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1CFFC4" w14:textId="77777777" w:rsidR="00C32987" w:rsidRPr="00AC4498" w:rsidRDefault="00C32987" w:rsidP="00C32987">
      <w:pPr>
        <w:spacing w:after="0" w:line="240" w:lineRule="auto"/>
        <w:jc w:val="both"/>
        <w:rPr>
          <w:rFonts w:ascii="Verdana" w:hAnsi="Verdana" w:cs="Arial"/>
          <w:lang w:val="es-MX"/>
        </w:rPr>
      </w:pPr>
      <w:bookmarkStart w:id="0" w:name="_Hlk143780582"/>
      <w:r w:rsidRPr="00AC4498">
        <w:rPr>
          <w:rFonts w:ascii="Verdana" w:hAnsi="Verdana" w:cs="Arial"/>
          <w:b/>
          <w:lang w:val="es-MX"/>
        </w:rPr>
        <w:t xml:space="preserve">EXPERIENCIA </w:t>
      </w:r>
      <w:r w:rsidRPr="00AC4498">
        <w:rPr>
          <w:rFonts w:ascii="Verdana" w:eastAsia="Calibri" w:hAnsi="Verdana" w:cs="Arial"/>
          <w:b/>
          <w:lang w:val="es-MX"/>
        </w:rPr>
        <w:t xml:space="preserve">– </w:t>
      </w:r>
      <w:r w:rsidRPr="00AC4498">
        <w:rPr>
          <w:rFonts w:ascii="Verdana" w:hAnsi="Verdana" w:cs="Arial"/>
          <w:b/>
          <w:lang w:val="es-MX"/>
        </w:rPr>
        <w:t xml:space="preserve">Noción ‒ </w:t>
      </w:r>
      <w:r w:rsidRPr="00AC4498">
        <w:rPr>
          <w:rFonts w:ascii="Verdana" w:hAnsi="Verdana" w:cs="Arial"/>
          <w:b/>
          <w:bCs/>
          <w:lang w:val="es-MX"/>
        </w:rPr>
        <w:t>Colombia Compra Eficiente</w:t>
      </w:r>
    </w:p>
    <w:p w14:paraId="428CC94F" w14:textId="77777777" w:rsidR="00C32987" w:rsidRPr="00221BD4" w:rsidRDefault="00C32987" w:rsidP="00C32987">
      <w:pPr>
        <w:spacing w:after="0" w:line="240" w:lineRule="auto"/>
        <w:jc w:val="both"/>
        <w:rPr>
          <w:rFonts w:ascii="Verdana" w:hAnsi="Verdana" w:cs="Arial"/>
          <w:sz w:val="20"/>
          <w:szCs w:val="20"/>
          <w:lang w:val="es-MX"/>
        </w:rPr>
      </w:pPr>
    </w:p>
    <w:p w14:paraId="2E13C400" w14:textId="77777777" w:rsidR="00C32987" w:rsidRDefault="00C32987" w:rsidP="00C32987">
      <w:pPr>
        <w:spacing w:after="0" w:line="240" w:lineRule="auto"/>
        <w:jc w:val="both"/>
        <w:rPr>
          <w:rFonts w:ascii="Verdana" w:eastAsia="Calibri" w:hAnsi="Verdana" w:cs="Arial"/>
          <w:sz w:val="20"/>
          <w:szCs w:val="20"/>
          <w:lang w:val="es-MX"/>
        </w:rPr>
      </w:pPr>
      <w:r w:rsidRPr="00221BD4">
        <w:rPr>
          <w:rFonts w:ascii="Verdana" w:eastAsia="Calibri" w:hAnsi="Verdana" w:cs="Arial"/>
          <w:sz w:val="20"/>
          <w:szCs w:val="20"/>
          <w:lang w:val="es-MX"/>
        </w:rPr>
        <w:t xml:space="preserve">i) La experiencia es </w:t>
      </w:r>
      <w:r w:rsidRPr="00221BD4">
        <w:rPr>
          <w:rFonts w:ascii="Verdana" w:eastAsia="Calibri" w:hAnsi="Verdana" w:cs="Arial"/>
          <w:i/>
          <w:iCs/>
          <w:sz w:val="20"/>
          <w:szCs w:val="20"/>
          <w:lang w:val="es-MX"/>
        </w:rPr>
        <w:t>personal</w:t>
      </w:r>
      <w:r w:rsidRPr="00221BD4">
        <w:rPr>
          <w:rFonts w:ascii="Verdana" w:eastAsia="Calibri" w:hAnsi="Verdana" w:cs="Arial"/>
          <w:sz w:val="20"/>
          <w:szCs w:val="20"/>
          <w:lang w:val="es-MX"/>
        </w:rPr>
        <w:t>, esto es, se adquiere participando, directa o indirectamente, sin que sea posible no hacerlo y tener experiencia.</w:t>
      </w:r>
    </w:p>
    <w:p w14:paraId="475307D8" w14:textId="77777777" w:rsidR="00C32987" w:rsidRPr="00221BD4" w:rsidRDefault="00C32987" w:rsidP="00C32987">
      <w:pPr>
        <w:spacing w:after="0" w:line="240" w:lineRule="auto"/>
        <w:jc w:val="both"/>
        <w:rPr>
          <w:rFonts w:ascii="Verdana" w:eastAsia="Calibri" w:hAnsi="Verdana" w:cs="Arial"/>
          <w:sz w:val="20"/>
          <w:szCs w:val="20"/>
          <w:lang w:val="es-MX"/>
        </w:rPr>
      </w:pPr>
    </w:p>
    <w:p w14:paraId="5760CD1F" w14:textId="77777777" w:rsidR="00C32987" w:rsidRDefault="00C32987" w:rsidP="00C32987">
      <w:pPr>
        <w:spacing w:after="0" w:line="240" w:lineRule="auto"/>
        <w:jc w:val="both"/>
        <w:rPr>
          <w:rFonts w:ascii="Verdana" w:eastAsia="Calibri" w:hAnsi="Verdana" w:cs="Arial"/>
          <w:sz w:val="20"/>
          <w:szCs w:val="20"/>
          <w:lang w:val="es-MX"/>
        </w:rPr>
      </w:pPr>
      <w:r w:rsidRPr="00221BD4">
        <w:rPr>
          <w:rFonts w:ascii="Verdana" w:eastAsia="Calibri" w:hAnsi="Verdana" w:cs="Arial"/>
          <w:sz w:val="20"/>
          <w:szCs w:val="20"/>
          <w:lang w:val="es-MX"/>
        </w:rPr>
        <w:t xml:space="preserve">ii) La experiencia se puede </w:t>
      </w:r>
      <w:r w:rsidRPr="00221BD4">
        <w:rPr>
          <w:rFonts w:ascii="Verdana" w:eastAsia="Calibri" w:hAnsi="Verdana" w:cs="Arial"/>
          <w:i/>
          <w:iCs/>
          <w:sz w:val="20"/>
          <w:szCs w:val="20"/>
          <w:lang w:val="es-MX"/>
        </w:rPr>
        <w:t>compartir</w:t>
      </w:r>
      <w:r w:rsidRPr="00221BD4">
        <w:rPr>
          <w:rFonts w:ascii="Verdana" w:eastAsia="Calibri" w:hAnsi="Verdana" w:cs="Arial"/>
          <w:sz w:val="20"/>
          <w:szCs w:val="20"/>
          <w:lang w:val="es-MX"/>
        </w:rPr>
        <w:t xml:space="preserve">, sin que implique que la compartida a una persona se entienda suya, ya que dentro del procedimiento contractual se reflejará que esa persona tiene la experiencia de otra, como es el caso de las figuras asociativas   </w:t>
      </w:r>
      <w:r w:rsidRPr="00221BD4">
        <w:rPr>
          <w:rFonts w:ascii="Arial" w:eastAsia="Calibri" w:hAnsi="Arial" w:cs="Arial"/>
          <w:sz w:val="20"/>
          <w:szCs w:val="20"/>
          <w:lang w:val="es-MX"/>
        </w:rPr>
        <w:t>̶</w:t>
      </w:r>
      <w:r w:rsidRPr="00221BD4">
        <w:rPr>
          <w:rFonts w:ascii="Verdana" w:eastAsia="Calibri" w:hAnsi="Verdana" w:cs="Arial"/>
          <w:sz w:val="20"/>
          <w:szCs w:val="20"/>
          <w:lang w:val="es-MX"/>
        </w:rPr>
        <w:t xml:space="preserve"> consorcios y uniones temporales </w:t>
      </w:r>
      <w:r w:rsidRPr="00221BD4">
        <w:rPr>
          <w:rFonts w:ascii="Arial" w:eastAsia="Calibri" w:hAnsi="Arial" w:cs="Arial"/>
          <w:sz w:val="20"/>
          <w:szCs w:val="20"/>
          <w:lang w:val="es-MX"/>
        </w:rPr>
        <w:t>̶</w:t>
      </w:r>
      <w:r w:rsidRPr="00221BD4">
        <w:rPr>
          <w:rFonts w:ascii="Verdana" w:eastAsia="Calibri" w:hAnsi="Verdana" w:cs="Arial"/>
          <w:sz w:val="20"/>
          <w:szCs w:val="20"/>
          <w:lang w:val="es-MX"/>
        </w:rPr>
        <w:t xml:space="preserve">   que se verificará en el documento privado de constitución.</w:t>
      </w:r>
    </w:p>
    <w:p w14:paraId="37AA0E6E" w14:textId="77777777" w:rsidR="00C32987" w:rsidRPr="00221BD4" w:rsidRDefault="00C32987" w:rsidP="00C32987">
      <w:pPr>
        <w:spacing w:after="0" w:line="240" w:lineRule="auto"/>
        <w:jc w:val="both"/>
        <w:rPr>
          <w:rFonts w:ascii="Verdana" w:eastAsia="Calibri" w:hAnsi="Verdana" w:cs="Arial"/>
          <w:sz w:val="20"/>
          <w:szCs w:val="20"/>
          <w:lang w:val="es-MX"/>
        </w:rPr>
      </w:pPr>
    </w:p>
    <w:p w14:paraId="11F86895" w14:textId="77777777" w:rsidR="00C32987" w:rsidRDefault="00C32987" w:rsidP="00C32987">
      <w:pPr>
        <w:spacing w:after="0" w:line="240" w:lineRule="auto"/>
        <w:jc w:val="both"/>
        <w:rPr>
          <w:rFonts w:ascii="Verdana" w:eastAsia="Calibri" w:hAnsi="Verdana" w:cs="Arial"/>
          <w:sz w:val="20"/>
          <w:szCs w:val="20"/>
          <w:lang w:val="es-MX"/>
        </w:rPr>
      </w:pPr>
      <w:r w:rsidRPr="00221BD4">
        <w:rPr>
          <w:rFonts w:ascii="Verdana" w:eastAsia="Calibri" w:hAnsi="Verdana" w:cs="Arial"/>
          <w:sz w:val="20"/>
          <w:szCs w:val="20"/>
          <w:lang w:val="es-MX"/>
        </w:rPr>
        <w:t xml:space="preserve">iii) La experiencia se puede </w:t>
      </w:r>
      <w:r w:rsidRPr="00221BD4">
        <w:rPr>
          <w:rFonts w:ascii="Verdana" w:eastAsia="Calibri" w:hAnsi="Verdana" w:cs="Arial"/>
          <w:i/>
          <w:iCs/>
          <w:sz w:val="20"/>
          <w:szCs w:val="20"/>
          <w:lang w:val="es-MX"/>
        </w:rPr>
        <w:t>transferir</w:t>
      </w:r>
      <w:r w:rsidRPr="00221BD4">
        <w:rPr>
          <w:rFonts w:ascii="Verdana" w:eastAsia="Calibri" w:hAnsi="Verdana" w:cs="Arial"/>
          <w:sz w:val="20"/>
          <w:szCs w:val="20"/>
          <w:lang w:val="es-MX"/>
        </w:rPr>
        <w:t xml:space="preserve">, y esto es diferente a compartir, lo que implica que la experiencia de una persona se traslada a otra, y esta última acredita la experiencia como propia, como sucede con la figura que se explicará </w:t>
      </w:r>
      <w:r>
        <w:rPr>
          <w:rFonts w:ascii="Verdana" w:eastAsia="Calibri" w:hAnsi="Verdana" w:cs="Arial"/>
          <w:sz w:val="20"/>
          <w:szCs w:val="20"/>
          <w:lang w:val="es-MX"/>
        </w:rPr>
        <w:t>mas adelante</w:t>
      </w:r>
      <w:r w:rsidRPr="00221BD4">
        <w:rPr>
          <w:rFonts w:ascii="Verdana" w:eastAsia="Calibri" w:hAnsi="Verdana" w:cs="Arial"/>
          <w:sz w:val="20"/>
          <w:szCs w:val="20"/>
          <w:lang w:val="es-MX"/>
        </w:rPr>
        <w:t>.</w:t>
      </w:r>
    </w:p>
    <w:p w14:paraId="01D0CEB6" w14:textId="77777777" w:rsidR="00C32987" w:rsidRPr="00221BD4" w:rsidRDefault="00C32987" w:rsidP="00C32987">
      <w:pPr>
        <w:spacing w:after="0" w:line="240" w:lineRule="auto"/>
        <w:jc w:val="both"/>
        <w:rPr>
          <w:rFonts w:ascii="Verdana" w:eastAsia="Calibri" w:hAnsi="Verdana" w:cs="Arial"/>
          <w:sz w:val="20"/>
          <w:szCs w:val="20"/>
          <w:lang w:val="es-MX"/>
        </w:rPr>
      </w:pPr>
    </w:p>
    <w:p w14:paraId="4296C088" w14:textId="77777777" w:rsidR="00C32987" w:rsidRPr="00221BD4" w:rsidRDefault="00C32987" w:rsidP="00C32987">
      <w:pPr>
        <w:spacing w:after="0" w:line="240" w:lineRule="auto"/>
        <w:jc w:val="both"/>
        <w:rPr>
          <w:rFonts w:ascii="Verdana" w:eastAsia="Calibri" w:hAnsi="Verdana" w:cs="Arial"/>
          <w:sz w:val="20"/>
          <w:szCs w:val="20"/>
          <w:lang w:val="es-MX"/>
        </w:rPr>
      </w:pPr>
      <w:r w:rsidRPr="00221BD4">
        <w:rPr>
          <w:rFonts w:ascii="Verdana" w:eastAsia="Calibri" w:hAnsi="Verdana" w:cs="Arial"/>
          <w:sz w:val="20"/>
          <w:szCs w:val="20"/>
          <w:lang w:val="es-MX"/>
        </w:rPr>
        <w:t xml:space="preserve">iv) Cuando la persona que adquirió la experiencia </w:t>
      </w:r>
      <w:r w:rsidRPr="00221BD4">
        <w:rPr>
          <w:rFonts w:ascii="Verdana" w:eastAsia="Calibri" w:hAnsi="Verdana" w:cs="Arial"/>
          <w:i/>
          <w:iCs/>
          <w:sz w:val="20"/>
          <w:szCs w:val="20"/>
          <w:lang w:val="es-MX"/>
        </w:rPr>
        <w:t>desaparece</w:t>
      </w:r>
      <w:r w:rsidRPr="00221BD4">
        <w:rPr>
          <w:rFonts w:ascii="Verdana" w:eastAsia="Calibri" w:hAnsi="Verdana" w:cs="Arial"/>
          <w:sz w:val="20"/>
          <w:szCs w:val="20"/>
          <w:lang w:val="es-MX"/>
        </w:rPr>
        <w:t xml:space="preserve"> o se liquida no es posible que comparta o transfiera su experiencia, porque al ser personal sigue la suerte de quien la adquirió.</w:t>
      </w:r>
    </w:p>
    <w:p w14:paraId="2C6505E4" w14:textId="77777777" w:rsidR="00C32987" w:rsidRPr="00221BD4" w:rsidRDefault="00C32987" w:rsidP="00C32987">
      <w:pPr>
        <w:spacing w:after="0" w:line="240" w:lineRule="auto"/>
        <w:jc w:val="both"/>
        <w:rPr>
          <w:rFonts w:ascii="Verdana" w:eastAsia="Calibri" w:hAnsi="Verdana" w:cs="Arial"/>
          <w:b/>
          <w:sz w:val="20"/>
          <w:szCs w:val="20"/>
          <w:lang w:val="es-MX"/>
        </w:rPr>
      </w:pPr>
    </w:p>
    <w:p w14:paraId="3A9FB633" w14:textId="77777777" w:rsidR="00C32987" w:rsidRPr="00AC4498" w:rsidRDefault="00C32987" w:rsidP="00C32987">
      <w:pPr>
        <w:spacing w:after="0" w:line="240" w:lineRule="auto"/>
        <w:jc w:val="both"/>
        <w:rPr>
          <w:rFonts w:ascii="Verdana" w:eastAsia="Calibri" w:hAnsi="Verdana" w:cs="Arial"/>
          <w:b/>
          <w:lang w:val="es-MX"/>
        </w:rPr>
      </w:pPr>
      <w:r w:rsidRPr="00AC4498">
        <w:rPr>
          <w:rFonts w:ascii="Verdana" w:eastAsia="Calibri" w:hAnsi="Verdana" w:cs="Arial"/>
          <w:b/>
          <w:lang w:val="es-MX"/>
        </w:rPr>
        <w:t>SOCIEDADES NUEVAS ‒ Experiencia ‒ Inferior a tres años ‒ Requisitos habilitantes ‒ Desarrollo de la empresa</w:t>
      </w:r>
    </w:p>
    <w:p w14:paraId="1C1D891D" w14:textId="77777777" w:rsidR="00C32987" w:rsidRPr="00221BD4" w:rsidRDefault="00C32987" w:rsidP="00C32987">
      <w:pPr>
        <w:spacing w:after="0" w:line="240" w:lineRule="auto"/>
        <w:jc w:val="both"/>
        <w:rPr>
          <w:rFonts w:ascii="Verdana" w:eastAsia="Calibri" w:hAnsi="Verdana" w:cs="Arial"/>
          <w:sz w:val="20"/>
          <w:szCs w:val="20"/>
          <w:lang w:val="es-MX"/>
        </w:rPr>
      </w:pPr>
    </w:p>
    <w:p w14:paraId="3421D50F" w14:textId="77777777" w:rsidR="00C32987" w:rsidRDefault="00C32987" w:rsidP="00C32987">
      <w:pPr>
        <w:spacing w:after="0" w:line="240" w:lineRule="auto"/>
        <w:jc w:val="both"/>
        <w:rPr>
          <w:rFonts w:ascii="Verdana" w:hAnsi="Verdana" w:cs="Arial"/>
          <w:sz w:val="20"/>
          <w:szCs w:val="20"/>
          <w:lang w:val="es-MX"/>
        </w:rPr>
      </w:pPr>
      <w:r w:rsidRPr="00221BD4">
        <w:rPr>
          <w:rFonts w:ascii="Verdana" w:hAnsi="Verdana" w:cs="Arial"/>
          <w:sz w:val="20"/>
          <w:szCs w:val="20"/>
          <w:lang w:val="es-MX"/>
        </w:rPr>
        <w:t xml:space="preserve">La parte final del numeral 2.5 del artículo citado incluye una medida diferenciada para las personas jurídicas cuya constitución sea menor a 3 años al momento del registro. Esta prerrogativa, que puede entenderse como una medida de fomento a la participación de pequeños oferentes en la contratación estatal, permite que las sociedades relativamente nuevas </w:t>
      </w:r>
      <w:r w:rsidRPr="00221BD4">
        <w:rPr>
          <w:rFonts w:ascii="Verdana" w:eastAsia="Calibri" w:hAnsi="Verdana" w:cs="Arial"/>
          <w:sz w:val="20"/>
          <w:szCs w:val="20"/>
          <w:lang w:val="es-MX"/>
        </w:rPr>
        <w:t>─</w:t>
      </w:r>
      <w:r w:rsidRPr="00221BD4">
        <w:rPr>
          <w:rFonts w:ascii="Verdana" w:hAnsi="Verdana" w:cs="Arial"/>
          <w:sz w:val="20"/>
          <w:szCs w:val="20"/>
          <w:lang w:val="es-MX"/>
        </w:rPr>
        <w:t>con menos de 3 años de constitución</w:t>
      </w:r>
      <w:r w:rsidRPr="00221BD4">
        <w:rPr>
          <w:rFonts w:ascii="Verdana" w:eastAsia="Calibri" w:hAnsi="Verdana" w:cs="Arial"/>
          <w:sz w:val="20"/>
          <w:szCs w:val="20"/>
          <w:lang w:val="es-MX"/>
        </w:rPr>
        <w:t>─</w:t>
      </w:r>
      <w:r w:rsidRPr="00221BD4">
        <w:rPr>
          <w:rFonts w:ascii="Verdana" w:hAnsi="Verdana" w:cs="Arial"/>
          <w:sz w:val="20"/>
          <w:szCs w:val="20"/>
          <w:lang w:val="es-MX"/>
        </w:rPr>
        <w:t xml:space="preserve"> puedan acreditar como experiencia en el RUP la de sus accionistas, socios o constituyentes. […]</w:t>
      </w:r>
    </w:p>
    <w:p w14:paraId="10F76AC8" w14:textId="77777777" w:rsidR="00C32987" w:rsidRPr="00221BD4" w:rsidRDefault="00C32987" w:rsidP="00C32987">
      <w:pPr>
        <w:spacing w:after="0" w:line="240" w:lineRule="auto"/>
        <w:jc w:val="both"/>
        <w:rPr>
          <w:rFonts w:ascii="Verdana" w:hAnsi="Verdana" w:cs="Arial"/>
          <w:sz w:val="20"/>
          <w:szCs w:val="20"/>
          <w:lang w:val="es-MX"/>
        </w:rPr>
      </w:pPr>
    </w:p>
    <w:p w14:paraId="7EC83552" w14:textId="77777777" w:rsidR="00C32987" w:rsidRPr="00221BD4" w:rsidRDefault="00C32987" w:rsidP="00C32987">
      <w:pPr>
        <w:spacing w:after="0" w:line="240" w:lineRule="auto"/>
        <w:jc w:val="both"/>
        <w:rPr>
          <w:rFonts w:ascii="Verdana" w:hAnsi="Verdana" w:cs="Arial"/>
          <w:sz w:val="20"/>
          <w:szCs w:val="20"/>
          <w:lang w:val="es-MX"/>
        </w:rPr>
      </w:pPr>
      <w:r w:rsidRPr="00221BD4">
        <w:rPr>
          <w:rFonts w:ascii="Verdana" w:hAnsi="Verdana" w:cs="Arial"/>
          <w:sz w:val="20"/>
          <w:szCs w:val="20"/>
          <w:lang w:val="es-MX"/>
        </w:rPr>
        <w:t>La finalidad de esta norma es permitir que las sociedades que no cuentan con la experiencia suficiente para contratar con el Estado puedan apoyarse en la experiencia de sus accionistas, socios o constituyentes con el fin de incentivar la competencia en la contratación estatal. Así las cosas, el socio transfiere la experiencia adquirida directamente a la sociedad de la que es parte, para que esta, como persona jurídica independiente, pueda cumplir con los requisitos habilitantes o puntuables que establezcan las entidades estatales en sus procesos de contratación, y de esta forma promover el desarrollo de la empresa y la pluralidad de oferentes en la contratación pública.</w:t>
      </w:r>
    </w:p>
    <w:p w14:paraId="61B2939B" w14:textId="77777777" w:rsidR="00C32987" w:rsidRPr="00221BD4" w:rsidRDefault="00C32987" w:rsidP="00C32987">
      <w:pPr>
        <w:spacing w:after="0" w:line="240" w:lineRule="auto"/>
        <w:jc w:val="both"/>
        <w:rPr>
          <w:rFonts w:ascii="Verdana" w:hAnsi="Verdana" w:cs="Arial"/>
          <w:b/>
          <w:sz w:val="20"/>
          <w:szCs w:val="20"/>
          <w:lang w:val="es-MX"/>
        </w:rPr>
      </w:pPr>
    </w:p>
    <w:p w14:paraId="1AD5953A" w14:textId="77777777" w:rsidR="00C32987" w:rsidRPr="00AC4498" w:rsidRDefault="00C32987" w:rsidP="00C32987">
      <w:pPr>
        <w:spacing w:after="0" w:line="240" w:lineRule="auto"/>
        <w:jc w:val="both"/>
        <w:rPr>
          <w:rFonts w:ascii="Verdana" w:hAnsi="Verdana" w:cs="Arial"/>
          <w:b/>
          <w:bCs/>
          <w:lang w:val="es-MX"/>
        </w:rPr>
      </w:pPr>
      <w:r w:rsidRPr="00AC4498">
        <w:rPr>
          <w:rFonts w:ascii="Verdana" w:hAnsi="Verdana" w:cs="Arial"/>
          <w:b/>
          <w:bCs/>
          <w:lang w:val="es-MX"/>
        </w:rPr>
        <w:t>EXPERIENCIA ‒ Conservación ‒ Renovación RUP ‒ Cesación efectos RUP</w:t>
      </w:r>
    </w:p>
    <w:p w14:paraId="0ECA8579" w14:textId="77777777" w:rsidR="00C32987" w:rsidRPr="00221BD4" w:rsidRDefault="00C32987" w:rsidP="00C32987">
      <w:pPr>
        <w:spacing w:after="0" w:line="240" w:lineRule="auto"/>
        <w:jc w:val="both"/>
        <w:rPr>
          <w:rFonts w:ascii="Verdana" w:hAnsi="Verdana" w:cs="Arial"/>
          <w:sz w:val="20"/>
          <w:szCs w:val="20"/>
          <w:lang w:val="es-MX"/>
        </w:rPr>
      </w:pPr>
    </w:p>
    <w:p w14:paraId="0A6F3DAA" w14:textId="77777777" w:rsidR="00C32987" w:rsidRPr="00221BD4" w:rsidRDefault="00C32987" w:rsidP="00C32987">
      <w:pPr>
        <w:spacing w:after="0" w:line="240" w:lineRule="auto"/>
        <w:jc w:val="both"/>
        <w:rPr>
          <w:rFonts w:ascii="Verdana" w:hAnsi="Verdana" w:cs="Arial"/>
          <w:sz w:val="20"/>
          <w:szCs w:val="20"/>
          <w:lang w:val="es-MX"/>
        </w:rPr>
      </w:pPr>
      <w:r w:rsidRPr="00221BD4">
        <w:rPr>
          <w:rFonts w:ascii="Verdana" w:hAnsi="Verdana" w:cs="Arial"/>
          <w:sz w:val="20"/>
          <w:szCs w:val="20"/>
          <w:lang w:val="es-MX"/>
        </w:rPr>
        <w:t xml:space="preserve">[…] si la persona jurídica con menos de tres años de constituida registra la experiencia de sus socios en el RUP, y éste es renovado, puede continuar utilizando la experiencia inscrita mientras no cesen los efectos del RUP. Por el contrario, si no se renueva y la persona jurídica supera los tres años de constituida, la experiencia que registró de sus </w:t>
      </w:r>
      <w:r w:rsidRPr="00221BD4">
        <w:rPr>
          <w:rFonts w:ascii="Verdana" w:hAnsi="Verdana" w:cs="Arial"/>
          <w:sz w:val="20"/>
          <w:szCs w:val="20"/>
          <w:lang w:val="es-MX"/>
        </w:rPr>
        <w:lastRenderedPageBreak/>
        <w:t xml:space="preserve">socios no puede ser inscrita nuevamente, puesto que el RUP ha cesado sus efectos y la cámara de comercio tiene que hacer nuevamente la verificación documental de la información presentada al momento de inscribirse en el registro.  </w:t>
      </w:r>
    </w:p>
    <w:p w14:paraId="689D59E7" w14:textId="77777777" w:rsidR="00C32987" w:rsidRPr="00221BD4" w:rsidRDefault="00C32987" w:rsidP="00C32987">
      <w:pPr>
        <w:spacing w:after="0" w:line="240" w:lineRule="auto"/>
        <w:jc w:val="both"/>
        <w:rPr>
          <w:rFonts w:ascii="Verdana" w:hAnsi="Verdana" w:cs="Arial"/>
          <w:b/>
          <w:sz w:val="20"/>
          <w:szCs w:val="20"/>
          <w:lang w:val="es-MX"/>
        </w:rPr>
      </w:pPr>
    </w:p>
    <w:p w14:paraId="778EE721" w14:textId="77777777" w:rsidR="00C32987" w:rsidRPr="00AC4498" w:rsidRDefault="00C32987" w:rsidP="00C32987">
      <w:pPr>
        <w:spacing w:after="0" w:line="240" w:lineRule="auto"/>
        <w:jc w:val="both"/>
        <w:rPr>
          <w:rFonts w:ascii="Verdana" w:hAnsi="Verdana" w:cs="Arial"/>
          <w:lang w:val="es-MX"/>
        </w:rPr>
      </w:pPr>
      <w:r w:rsidRPr="00AC4498">
        <w:rPr>
          <w:rFonts w:ascii="Verdana" w:hAnsi="Verdana" w:cs="Arial"/>
          <w:b/>
          <w:lang w:val="es-MX"/>
        </w:rPr>
        <w:t xml:space="preserve">EXPERIENCIA </w:t>
      </w:r>
      <w:r w:rsidRPr="00AC4498">
        <w:rPr>
          <w:rFonts w:ascii="Verdana" w:eastAsia="Calibri" w:hAnsi="Verdana" w:cs="Arial"/>
          <w:b/>
          <w:lang w:val="es-MX"/>
        </w:rPr>
        <w:t>–</w:t>
      </w:r>
      <w:r w:rsidRPr="00AC4498">
        <w:rPr>
          <w:rFonts w:ascii="Verdana" w:hAnsi="Verdana" w:cs="Arial"/>
          <w:b/>
          <w:lang w:val="es-MX"/>
        </w:rPr>
        <w:t xml:space="preserve"> Conservación </w:t>
      </w:r>
      <w:r w:rsidRPr="00AC4498">
        <w:rPr>
          <w:rFonts w:ascii="Verdana" w:eastAsia="Calibri" w:hAnsi="Verdana" w:cs="Arial"/>
          <w:b/>
          <w:lang w:val="es-MX"/>
        </w:rPr>
        <w:t xml:space="preserve">– </w:t>
      </w:r>
      <w:r w:rsidRPr="00AC4498">
        <w:rPr>
          <w:rFonts w:ascii="Verdana" w:hAnsi="Verdana" w:cs="Arial"/>
          <w:b/>
          <w:lang w:val="es-MX"/>
        </w:rPr>
        <w:t xml:space="preserve">Sociedades </w:t>
      </w:r>
      <w:r w:rsidRPr="00AC4498">
        <w:rPr>
          <w:rFonts w:ascii="Verdana" w:eastAsia="Calibri" w:hAnsi="Verdana" w:cs="Arial"/>
          <w:b/>
          <w:lang w:val="es-MX"/>
        </w:rPr>
        <w:t>– M</w:t>
      </w:r>
      <w:r w:rsidRPr="00AC4498">
        <w:rPr>
          <w:rFonts w:ascii="Verdana" w:hAnsi="Verdana" w:cs="Arial"/>
          <w:b/>
          <w:lang w:val="es-MX"/>
        </w:rPr>
        <w:t>enor a 3 años de constitución</w:t>
      </w:r>
      <w:r w:rsidRPr="00AC4498">
        <w:rPr>
          <w:rFonts w:ascii="Verdana" w:hAnsi="Verdana" w:cs="Arial"/>
          <w:lang w:val="es-MX"/>
        </w:rPr>
        <w:t xml:space="preserve"> </w:t>
      </w:r>
    </w:p>
    <w:p w14:paraId="4045D2A0" w14:textId="77777777" w:rsidR="00C32987" w:rsidRPr="00221BD4" w:rsidRDefault="00C32987" w:rsidP="00C32987">
      <w:pPr>
        <w:spacing w:after="0" w:line="240" w:lineRule="auto"/>
        <w:jc w:val="both"/>
        <w:rPr>
          <w:rFonts w:ascii="Verdana" w:hAnsi="Verdana" w:cs="Arial"/>
          <w:sz w:val="20"/>
          <w:szCs w:val="20"/>
          <w:lang w:val="es-MX"/>
        </w:rPr>
      </w:pPr>
    </w:p>
    <w:p w14:paraId="51AE24DB" w14:textId="77777777" w:rsidR="00C32987" w:rsidRPr="00221BD4" w:rsidRDefault="00C32987" w:rsidP="00C32987">
      <w:pPr>
        <w:spacing w:after="0" w:line="240" w:lineRule="auto"/>
        <w:jc w:val="both"/>
        <w:rPr>
          <w:rFonts w:ascii="Verdana" w:hAnsi="Verdana" w:cs="Arial"/>
          <w:sz w:val="20"/>
          <w:szCs w:val="20"/>
          <w:lang w:val="es-MX"/>
        </w:rPr>
      </w:pPr>
      <w:r w:rsidRPr="00221BD4">
        <w:rPr>
          <w:rFonts w:ascii="Verdana" w:hAnsi="Verdana" w:cs="Arial"/>
          <w:sz w:val="20"/>
          <w:szCs w:val="20"/>
          <w:lang w:val="es-MX"/>
        </w:rPr>
        <w:t>[…] en atención al principio general de interpretación según el cual donde el legislador no distingue no le es dado hacerlo al interprete, el hecho de que una sociedad con menos de 3 años de constitución haya hecho uso de la referida prerrogativa en determinado proceso de contratación o entidad, no excluye la posibilidad de que dicha sociedad siga haciendo uso del beneficio en otros procesos de contratación adelantados por otras entidades, incluso una vez vencidos los 3 años de constitución, siempre que no hayan cesado los efectos del RUP por el incumplimiento del deber de renovación.</w:t>
      </w:r>
    </w:p>
    <w:p w14:paraId="20C8D282" w14:textId="77777777" w:rsidR="00C32987" w:rsidRPr="00221BD4" w:rsidRDefault="00C32987" w:rsidP="00C32987">
      <w:pPr>
        <w:spacing w:after="0" w:line="240" w:lineRule="auto"/>
        <w:jc w:val="both"/>
        <w:rPr>
          <w:rFonts w:ascii="Verdana" w:hAnsi="Verdana" w:cs="Arial"/>
          <w:sz w:val="20"/>
          <w:szCs w:val="20"/>
          <w:lang w:val="es-MX"/>
        </w:rPr>
      </w:pPr>
    </w:p>
    <w:p w14:paraId="53407CBF" w14:textId="60F24043" w:rsidR="00C32987" w:rsidRPr="00AC4498" w:rsidRDefault="00C32987" w:rsidP="00C32987">
      <w:pPr>
        <w:spacing w:after="0" w:line="240" w:lineRule="auto"/>
        <w:jc w:val="both"/>
        <w:rPr>
          <w:rFonts w:ascii="Verdana" w:hAnsi="Verdana" w:cs="Arial"/>
          <w:lang w:val="es-MX"/>
        </w:rPr>
      </w:pPr>
      <w:r w:rsidRPr="00AC4498">
        <w:rPr>
          <w:rFonts w:ascii="Verdana" w:hAnsi="Verdana" w:cs="Arial"/>
          <w:b/>
          <w:lang w:val="es-MX"/>
        </w:rPr>
        <w:t>EXPERIENCIA</w:t>
      </w:r>
      <w:r w:rsidRPr="00AC4498">
        <w:rPr>
          <w:rFonts w:ascii="Verdana" w:eastAsia="Calibri" w:hAnsi="Verdana" w:cs="Arial"/>
          <w:b/>
          <w:lang w:val="es-MX"/>
        </w:rPr>
        <w:t xml:space="preserve"> – Retiro del socio – </w:t>
      </w:r>
      <w:r w:rsidRPr="00AC4498">
        <w:rPr>
          <w:rFonts w:ascii="Verdana" w:hAnsi="Verdana" w:cs="Arial"/>
          <w:b/>
          <w:lang w:val="es-MX"/>
        </w:rPr>
        <w:t xml:space="preserve">Sociedades </w:t>
      </w:r>
      <w:r w:rsidRPr="00AC4498">
        <w:rPr>
          <w:rFonts w:ascii="Verdana" w:eastAsia="Calibri" w:hAnsi="Verdana" w:cs="Arial"/>
          <w:b/>
          <w:lang w:val="es-MX"/>
        </w:rPr>
        <w:t>– M</w:t>
      </w:r>
      <w:r w:rsidRPr="00AC4498">
        <w:rPr>
          <w:rFonts w:ascii="Verdana" w:hAnsi="Verdana" w:cs="Arial"/>
          <w:b/>
          <w:lang w:val="es-MX"/>
        </w:rPr>
        <w:t>enor a 3 años de constitución</w:t>
      </w:r>
    </w:p>
    <w:p w14:paraId="6BFE9C14" w14:textId="77777777" w:rsidR="00C32987" w:rsidRPr="00221BD4" w:rsidRDefault="00C32987" w:rsidP="00C32987">
      <w:pPr>
        <w:spacing w:after="0" w:line="240" w:lineRule="auto"/>
        <w:ind w:firstLine="709"/>
        <w:jc w:val="both"/>
        <w:rPr>
          <w:rFonts w:ascii="Verdana" w:hAnsi="Verdana" w:cs="Arial"/>
          <w:sz w:val="20"/>
          <w:szCs w:val="20"/>
          <w:lang w:val="es-MX"/>
        </w:rPr>
      </w:pPr>
    </w:p>
    <w:p w14:paraId="21B68C4D" w14:textId="77777777" w:rsidR="00C32987" w:rsidRDefault="00C32987" w:rsidP="00C32987">
      <w:pPr>
        <w:spacing w:after="0" w:line="240" w:lineRule="auto"/>
        <w:jc w:val="both"/>
        <w:rPr>
          <w:rFonts w:ascii="Verdana" w:hAnsi="Verdana" w:cs="Arial"/>
          <w:sz w:val="20"/>
          <w:szCs w:val="20"/>
          <w:lang w:val="es-MX"/>
        </w:rPr>
      </w:pPr>
      <w:r w:rsidRPr="00221BD4">
        <w:rPr>
          <w:rFonts w:ascii="Verdana" w:hAnsi="Verdana" w:cs="Arial"/>
          <w:sz w:val="20"/>
          <w:szCs w:val="20"/>
          <w:lang w:val="es-MX"/>
        </w:rPr>
        <w:t xml:space="preserve">Sin perjuicio de lo anterior, no debe perderse de vista que el Decreto 1082 de 2015 solo permite que una sociedad acredite la experiencia de quienes tienen la calidad de accionistas, socios o constituyentes durante los primeros tres años de su constitución. Por tanto, si se pierden estas calidades, como sucedería cuando un socio se retira por venta o cesión de su participación y pierde su calidad de socio, ya no sería posible que la sociedad acredite la experiencia aportada por dicha persona. </w:t>
      </w:r>
    </w:p>
    <w:p w14:paraId="73312223" w14:textId="77777777" w:rsidR="00C32987" w:rsidRPr="00221BD4" w:rsidRDefault="00C32987" w:rsidP="00C32987">
      <w:pPr>
        <w:spacing w:after="0" w:line="240" w:lineRule="auto"/>
        <w:jc w:val="both"/>
        <w:rPr>
          <w:rFonts w:ascii="Verdana" w:hAnsi="Verdana" w:cs="Arial"/>
          <w:sz w:val="20"/>
          <w:szCs w:val="20"/>
          <w:lang w:val="es-MX"/>
        </w:rPr>
      </w:pPr>
    </w:p>
    <w:p w14:paraId="3EF79373" w14:textId="77777777" w:rsidR="00C32987" w:rsidRDefault="00C32987" w:rsidP="00C32987">
      <w:pPr>
        <w:pStyle w:val="Textonotapie"/>
        <w:jc w:val="both"/>
        <w:rPr>
          <w:rFonts w:ascii="Verdana" w:hAnsi="Verdana" w:cs="Arial"/>
        </w:rPr>
      </w:pPr>
      <w:r w:rsidRPr="00221BD4">
        <w:rPr>
          <w:rFonts w:ascii="Verdana" w:hAnsi="Verdana" w:cs="Arial"/>
        </w:rPr>
        <w:t>[…]</w:t>
      </w:r>
    </w:p>
    <w:p w14:paraId="3AE06AA2" w14:textId="77777777" w:rsidR="00C32987" w:rsidRPr="00221BD4" w:rsidRDefault="00C32987" w:rsidP="00C32987">
      <w:pPr>
        <w:pStyle w:val="Textonotapie"/>
        <w:jc w:val="both"/>
        <w:rPr>
          <w:rFonts w:ascii="Verdana" w:hAnsi="Verdana" w:cs="Arial"/>
        </w:rPr>
      </w:pPr>
    </w:p>
    <w:p w14:paraId="4E67AA1C" w14:textId="77777777" w:rsidR="00C32987" w:rsidRDefault="00C32987" w:rsidP="00C32987">
      <w:pPr>
        <w:pStyle w:val="Textonotapie"/>
        <w:jc w:val="both"/>
        <w:rPr>
          <w:rFonts w:ascii="Verdana" w:hAnsi="Verdana" w:cs="Arial"/>
        </w:rPr>
      </w:pPr>
      <w:r w:rsidRPr="00221BD4">
        <w:rPr>
          <w:rFonts w:ascii="Verdana" w:hAnsi="Verdana" w:cs="Arial"/>
        </w:rPr>
        <w:t xml:space="preserve">Por otra parte, en cuanto a la </w:t>
      </w:r>
      <w:r>
        <w:rPr>
          <w:rFonts w:ascii="Verdana" w:eastAsia="Calibri" w:hAnsi="Verdana" w:cs="Arial"/>
          <w:bCs/>
        </w:rPr>
        <w:t>“</w:t>
      </w:r>
      <w:r w:rsidRPr="00221BD4">
        <w:rPr>
          <w:rFonts w:ascii="Verdana" w:eastAsia="Calibri" w:hAnsi="Verdana" w:cs="Arial"/>
          <w:bCs/>
        </w:rPr>
        <w:t>liquidación</w:t>
      </w:r>
      <w:r>
        <w:rPr>
          <w:rFonts w:ascii="Verdana" w:eastAsia="Calibri" w:hAnsi="Verdana" w:cs="Arial"/>
          <w:bCs/>
        </w:rPr>
        <w:t>”</w:t>
      </w:r>
      <w:r w:rsidRPr="00221BD4">
        <w:rPr>
          <w:rFonts w:ascii="Verdana" w:eastAsia="Calibri" w:hAnsi="Verdana" w:cs="Arial"/>
          <w:bCs/>
        </w:rPr>
        <w:t xml:space="preserve"> de las sociedades comerciales, esta subdirección en los conceptos </w:t>
      </w:r>
      <w:r w:rsidRPr="00221BD4">
        <w:rPr>
          <w:rFonts w:ascii="Verdana" w:hAnsi="Verdana" w:cs="Arial"/>
        </w:rPr>
        <w:t xml:space="preserve">C-051 del </w:t>
      </w:r>
      <w:r w:rsidRPr="00221BD4">
        <w:rPr>
          <w:rFonts w:ascii="Verdana" w:hAnsi="Verdana" w:cs="Arial"/>
          <w:color w:val="000000" w:themeColor="text1"/>
        </w:rPr>
        <w:t xml:space="preserve">02 de marzo de 2020, C-491 del </w:t>
      </w:r>
      <w:r w:rsidRPr="00221BD4">
        <w:rPr>
          <w:rFonts w:ascii="Verdana" w:hAnsi="Verdana" w:cs="Arial"/>
          <w:color w:val="000000"/>
          <w:lang w:val="es-CO"/>
        </w:rPr>
        <w:t xml:space="preserve">27 de julio y C-584 del 31 de agosto de 2020, </w:t>
      </w:r>
      <w:r w:rsidRPr="00221BD4">
        <w:rPr>
          <w:rFonts w:ascii="Verdana" w:eastAsia="Calibri" w:hAnsi="Verdana" w:cs="Arial"/>
          <w:bCs/>
        </w:rPr>
        <w:t xml:space="preserve">ha indicado que, el Código de Comercio señala el procedimiento para realizar el inventario y distribución del patrimonio social, de lo cual se infiere que termina la persona jurídica, y la experiencia desaparece junto con la sociedad que la adquirió. Lo propio pasa con la muerte de uno de los socios, dado que, </w:t>
      </w:r>
      <w:r w:rsidRPr="00221BD4">
        <w:rPr>
          <w:rFonts w:ascii="Verdana" w:hAnsi="Verdana" w:cs="Arial"/>
          <w:lang w:val="es-ES"/>
        </w:rPr>
        <w:t>será jurídicamente inviable pretender que la experiencia de un sujeto que no existe sea transferida. Las situaciones mencionadas con anterioridad no es posible aplicar</w:t>
      </w:r>
      <w:r w:rsidRPr="00221BD4">
        <w:rPr>
          <w:rFonts w:ascii="Verdana" w:hAnsi="Verdana" w:cs="Arial"/>
        </w:rPr>
        <w:t xml:space="preserve"> el numeral 2.5 del artículo 2.2.1.1.1.5.2 del Decreto 1082 de 2015.</w:t>
      </w:r>
    </w:p>
    <w:p w14:paraId="79F5C52B" w14:textId="77777777" w:rsidR="00C32987" w:rsidRPr="00221BD4" w:rsidRDefault="00C32987" w:rsidP="00C32987">
      <w:pPr>
        <w:pStyle w:val="Textonotapie"/>
        <w:jc w:val="both"/>
        <w:rPr>
          <w:rFonts w:ascii="Verdana" w:hAnsi="Verdana" w:cs="Arial"/>
        </w:rPr>
      </w:pPr>
    </w:p>
    <w:p w14:paraId="6499EA05" w14:textId="77777777" w:rsidR="00C32987" w:rsidRPr="002C0402" w:rsidRDefault="00C32987" w:rsidP="00C32987">
      <w:pPr>
        <w:spacing w:after="0" w:line="240" w:lineRule="auto"/>
        <w:jc w:val="both"/>
        <w:textAlignment w:val="baseline"/>
        <w:rPr>
          <w:rFonts w:ascii="Verdana" w:hAnsi="Verdana" w:cs="Arial"/>
          <w:bCs/>
          <w:sz w:val="20"/>
          <w:szCs w:val="20"/>
          <w:lang w:val="es-ES_tradnl" w:eastAsia="es-CO"/>
        </w:rPr>
      </w:pPr>
      <w:r w:rsidRPr="00221BD4">
        <w:rPr>
          <w:rFonts w:ascii="Verdana" w:hAnsi="Verdana" w:cs="Arial"/>
          <w:sz w:val="20"/>
          <w:szCs w:val="20"/>
          <w:lang w:val="es-MX"/>
        </w:rPr>
        <w:t>Lo anterior se fundamenta, como se explicó en líneas atrás, en el carácter personalísimo de la experiencia respecto de la persona que la ha adquirido y que solo en casos excepcionales y por disposición legal o reglamentaria se presume de otra forma. Por lo tanto, no es posible trasladar la experiencia de un proponente a otro, excepto cuando una sociedad es de reciente creación.</w:t>
      </w:r>
      <w:r w:rsidRPr="00DD4729">
        <w:rPr>
          <w:rFonts w:ascii="Arial" w:hAnsi="Arial" w:cs="Arial"/>
          <w:sz w:val="20"/>
          <w:szCs w:val="20"/>
          <w:lang w:val="es-MX"/>
        </w:rPr>
        <w:t xml:space="preserve"> </w:t>
      </w:r>
      <w:r w:rsidRPr="002C0402">
        <w:rPr>
          <w:rFonts w:ascii="Verdana" w:hAnsi="Verdana" w:cs="Arial"/>
          <w:bCs/>
          <w:sz w:val="20"/>
          <w:szCs w:val="20"/>
          <w:lang w:val="es-ES_tradnl" w:eastAsia="es-CO"/>
        </w:rPr>
        <w:t xml:space="preserve">  </w:t>
      </w:r>
    </w:p>
    <w:p w14:paraId="7FB3B521" w14:textId="77777777" w:rsidR="00C32987" w:rsidRDefault="00C32987" w:rsidP="00C32987">
      <w:pPr>
        <w:spacing w:after="0" w:line="240" w:lineRule="auto"/>
        <w:rPr>
          <w:rFonts w:ascii="Verdana" w:eastAsia="Calibri" w:hAnsi="Verdana" w:cs="Arial"/>
          <w:b/>
          <w:color w:val="000000" w:themeColor="text1"/>
          <w:lang w:val="es-ES"/>
        </w:rPr>
      </w:pPr>
    </w:p>
    <w:p w14:paraId="2C38A1BC" w14:textId="77777777" w:rsidR="00C32987" w:rsidRDefault="00C32987" w:rsidP="00C32987">
      <w:pPr>
        <w:spacing w:after="0" w:line="240" w:lineRule="auto"/>
        <w:jc w:val="both"/>
        <w:rPr>
          <w:rFonts w:ascii="Verdana" w:eastAsia="Calibri" w:hAnsi="Verdana" w:cs="Arial"/>
          <w:b/>
          <w:bCs/>
          <w:lang w:val="es-ES" w:eastAsia="es-ES"/>
        </w:rPr>
      </w:pPr>
    </w:p>
    <w:p w14:paraId="13A16EC2" w14:textId="77777777" w:rsidR="00C32987" w:rsidRDefault="00C32987" w:rsidP="00C32987">
      <w:pPr>
        <w:spacing w:after="0" w:line="240" w:lineRule="auto"/>
        <w:jc w:val="both"/>
        <w:rPr>
          <w:rFonts w:ascii="Verdana" w:eastAsia="Calibri" w:hAnsi="Verdana" w:cs="Arial"/>
          <w:b/>
          <w:bCs/>
          <w:lang w:val="es-ES" w:eastAsia="es-ES"/>
        </w:rPr>
      </w:pPr>
    </w:p>
    <w:p w14:paraId="3322CA90" w14:textId="77777777" w:rsidR="00C32987" w:rsidRPr="0015699B" w:rsidRDefault="00C32987" w:rsidP="00C32987">
      <w:pPr>
        <w:spacing w:line="240" w:lineRule="auto"/>
        <w:jc w:val="both"/>
        <w:rPr>
          <w:rFonts w:ascii="Verdana" w:eastAsia="Verdana" w:hAnsi="Verdana" w:cs="Verdana"/>
          <w:color w:val="000000" w:themeColor="text1"/>
          <w:lang w:val="es"/>
        </w:rPr>
      </w:pPr>
      <w:r w:rsidRPr="39124533">
        <w:rPr>
          <w:rFonts w:ascii="Verdana" w:eastAsia="Verdana" w:hAnsi="Verdana" w:cs="Verdana"/>
          <w:color w:val="000000" w:themeColor="text1"/>
          <w:lang w:val="es"/>
        </w:rPr>
        <w:lastRenderedPageBreak/>
        <w:t xml:space="preserve">Bogotá D.C., </w:t>
      </w:r>
      <w:r>
        <w:rPr>
          <w:rFonts w:ascii="Verdana" w:eastAsia="Verdana" w:hAnsi="Verdana" w:cs="Verdana"/>
          <w:color w:val="000000" w:themeColor="text1"/>
          <w:lang w:val="es"/>
        </w:rPr>
        <w:t>24</w:t>
      </w:r>
      <w:r w:rsidRPr="39124533">
        <w:rPr>
          <w:rFonts w:ascii="Verdana" w:eastAsia="Verdana" w:hAnsi="Verdana" w:cs="Verdana"/>
          <w:color w:val="000000" w:themeColor="text1"/>
          <w:lang w:val="es"/>
        </w:rPr>
        <w:t xml:space="preserve"> de </w:t>
      </w:r>
      <w:r>
        <w:rPr>
          <w:rFonts w:ascii="Verdana" w:eastAsia="Verdana" w:hAnsi="Verdana" w:cs="Verdana"/>
          <w:color w:val="000000" w:themeColor="text1"/>
          <w:lang w:val="es"/>
        </w:rPr>
        <w:t>agosto</w:t>
      </w:r>
      <w:r w:rsidRPr="39124533">
        <w:rPr>
          <w:rFonts w:ascii="Verdana" w:eastAsia="Verdana" w:hAnsi="Verdana" w:cs="Verdana"/>
          <w:color w:val="000000" w:themeColor="text1"/>
          <w:lang w:val="es"/>
        </w:rPr>
        <w:t xml:space="preserve"> de 2026</w:t>
      </w:r>
    </w:p>
    <w:p w14:paraId="58C1D818" w14:textId="71726A9E" w:rsidR="00C32987" w:rsidRPr="0015699B" w:rsidRDefault="00C32987" w:rsidP="009D605E">
      <w:pPr>
        <w:spacing w:after="0" w:line="240" w:lineRule="auto"/>
        <w:jc w:val="right"/>
        <w:textAlignment w:val="baseline"/>
        <w:rPr>
          <w:rFonts w:ascii="Verdana" w:eastAsia="Verdana" w:hAnsi="Verdana" w:cs="Verdana"/>
          <w:color w:val="000000" w:themeColor="text1"/>
          <w:lang w:val="es"/>
        </w:rPr>
      </w:pPr>
      <w:r w:rsidRPr="40A87941">
        <w:rPr>
          <w:rFonts w:ascii="Verdana" w:eastAsia="Verdana" w:hAnsi="Verdana" w:cs="Verdana"/>
          <w:color w:val="000000" w:themeColor="text1"/>
          <w:lang w:val="es"/>
        </w:rPr>
        <w:t xml:space="preserve"> </w:t>
      </w:r>
      <w:r w:rsidR="009D605E">
        <w:rPr>
          <w:rFonts w:ascii="Verdana" w:eastAsia="Verdana" w:hAnsi="Verdana" w:cs="Verdana"/>
          <w:noProof/>
          <w:color w:val="000000" w:themeColor="text1"/>
          <w:lang w:val="es"/>
        </w:rPr>
        <w:drawing>
          <wp:inline distT="0" distB="0" distL="0" distR="0" wp14:anchorId="3CC895F3" wp14:editId="1B1E38B6">
            <wp:extent cx="2619375" cy="876300"/>
            <wp:effectExtent l="0" t="0" r="9525" b="0"/>
            <wp:docPr id="95093842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19375" cy="876300"/>
                    </a:xfrm>
                    <a:prstGeom prst="rect">
                      <a:avLst/>
                    </a:prstGeom>
                    <a:noFill/>
                    <a:ln>
                      <a:noFill/>
                    </a:ln>
                  </pic:spPr>
                </pic:pic>
              </a:graphicData>
            </a:graphic>
          </wp:inline>
        </w:drawing>
      </w:r>
    </w:p>
    <w:p w14:paraId="4A666582" w14:textId="77777777" w:rsidR="00C32987" w:rsidRDefault="00C32987" w:rsidP="00C32987">
      <w:pPr>
        <w:spacing w:after="0" w:line="240" w:lineRule="auto"/>
        <w:jc w:val="both"/>
        <w:textAlignment w:val="baseline"/>
        <w:rPr>
          <w:rFonts w:ascii="Verdana" w:eastAsia="Verdana" w:hAnsi="Verdana" w:cs="Verdana"/>
          <w:color w:val="000000" w:themeColor="text1"/>
          <w:lang w:val="es"/>
        </w:rPr>
      </w:pPr>
    </w:p>
    <w:p w14:paraId="55EE9EE7" w14:textId="43E885EB" w:rsidR="00C32987" w:rsidRDefault="00C32987" w:rsidP="00C32987">
      <w:pPr>
        <w:spacing w:after="0" w:line="240" w:lineRule="auto"/>
        <w:jc w:val="both"/>
        <w:textAlignment w:val="baseline"/>
        <w:rPr>
          <w:rFonts w:ascii="Verdana" w:eastAsia="Verdana" w:hAnsi="Verdana" w:cs="Verdana"/>
          <w:color w:val="000000" w:themeColor="text1"/>
          <w:lang w:val="es"/>
        </w:rPr>
      </w:pPr>
      <w:r w:rsidRPr="00842DC4">
        <w:rPr>
          <w:rFonts w:ascii="Verdana" w:eastAsia="Verdana" w:hAnsi="Verdana" w:cs="Verdana"/>
          <w:color w:val="000000" w:themeColor="text1"/>
          <w:lang w:val="es"/>
        </w:rPr>
        <w:t>Señor</w:t>
      </w:r>
    </w:p>
    <w:p w14:paraId="3E52F9DB" w14:textId="77777777" w:rsidR="00C32987" w:rsidRPr="00031208" w:rsidRDefault="00C32987" w:rsidP="00C32987">
      <w:pPr>
        <w:spacing w:after="0" w:line="240" w:lineRule="auto"/>
        <w:jc w:val="both"/>
        <w:textAlignment w:val="baseline"/>
        <w:rPr>
          <w:rFonts w:ascii="Verdana" w:eastAsia="Verdana" w:hAnsi="Verdana" w:cs="Verdana"/>
          <w:color w:val="000000" w:themeColor="text1"/>
          <w:lang w:val="es"/>
        </w:rPr>
      </w:pPr>
      <w:r w:rsidRPr="004F242E">
        <w:rPr>
          <w:rFonts w:ascii="Verdana" w:eastAsia="Verdana" w:hAnsi="Verdana" w:cs="Verdana"/>
          <w:b/>
          <w:bCs/>
        </w:rPr>
        <w:t>JOSÉ ALEJANDRO MARTÍNEZ NOVOA</w:t>
      </w:r>
    </w:p>
    <w:p w14:paraId="10481CA8" w14:textId="77777777" w:rsidR="00C32987" w:rsidRPr="00FB34D7" w:rsidRDefault="00C32987" w:rsidP="00C32987">
      <w:pPr>
        <w:spacing w:after="0" w:line="240" w:lineRule="auto"/>
        <w:jc w:val="both"/>
        <w:textAlignment w:val="baseline"/>
        <w:rPr>
          <w:rFonts w:ascii="Verdana" w:eastAsia="Verdana" w:hAnsi="Verdana" w:cs="Verdana"/>
          <w:lang w:val="es"/>
        </w:rPr>
      </w:pPr>
      <w:r w:rsidRPr="00FB34D7">
        <w:rPr>
          <w:rFonts w:ascii="Verdana" w:eastAsia="Verdana" w:hAnsi="Verdana" w:cs="Verdana"/>
          <w:color w:val="0000FF"/>
          <w:u w:val="single"/>
        </w:rPr>
        <w:t>josealejandromartineznova@gmail.com</w:t>
      </w:r>
    </w:p>
    <w:p w14:paraId="39800132" w14:textId="5550FD99" w:rsidR="00C32987" w:rsidRDefault="00C32987" w:rsidP="00C32987">
      <w:pPr>
        <w:spacing w:after="0" w:line="240" w:lineRule="auto"/>
        <w:jc w:val="both"/>
        <w:textAlignment w:val="baseline"/>
        <w:rPr>
          <w:rFonts w:ascii="Verdana" w:eastAsia="Verdana" w:hAnsi="Verdana" w:cs="Verdana"/>
          <w:lang w:val="es"/>
        </w:rPr>
      </w:pPr>
      <w:r>
        <w:rPr>
          <w:rFonts w:ascii="Verdana" w:eastAsia="Verdana" w:hAnsi="Verdana" w:cs="Verdana"/>
          <w:lang w:val="es"/>
        </w:rPr>
        <w:t xml:space="preserve">Bogotá D.C. </w:t>
      </w:r>
    </w:p>
    <w:p w14:paraId="1F1DBA77" w14:textId="52871F93" w:rsidR="00C32987" w:rsidRDefault="00C32987" w:rsidP="00C32987">
      <w:pPr>
        <w:spacing w:after="0" w:line="240" w:lineRule="auto"/>
        <w:jc w:val="both"/>
        <w:textAlignment w:val="baseline"/>
        <w:rPr>
          <w:rFonts w:ascii="Verdana" w:hAnsi="Verdana"/>
        </w:rPr>
      </w:pPr>
    </w:p>
    <w:p w14:paraId="24D33B06" w14:textId="77777777" w:rsidR="00C32987" w:rsidRPr="003D5882" w:rsidRDefault="00C32987" w:rsidP="00C32987">
      <w:pPr>
        <w:spacing w:after="0" w:line="240" w:lineRule="auto"/>
        <w:jc w:val="both"/>
        <w:textAlignment w:val="baseline"/>
        <w:rPr>
          <w:rFonts w:ascii="Verdana" w:hAnsi="Verdana"/>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5"/>
        <w:gridCol w:w="6540"/>
      </w:tblGrid>
      <w:tr w:rsidR="00C32987" w14:paraId="7495BBAB" w14:textId="77777777" w:rsidTr="00F9429A">
        <w:trPr>
          <w:trHeight w:val="615"/>
        </w:trPr>
        <w:tc>
          <w:tcPr>
            <w:tcW w:w="2265" w:type="dxa"/>
            <w:shd w:val="clear" w:color="auto" w:fill="FFFFFF" w:themeFill="background1"/>
            <w:tcMar>
              <w:left w:w="108" w:type="dxa"/>
              <w:right w:w="108" w:type="dxa"/>
            </w:tcMar>
          </w:tcPr>
          <w:p w14:paraId="7EBA9C6C" w14:textId="77777777" w:rsidR="00C32987" w:rsidRDefault="00C32987" w:rsidP="00F9429A">
            <w:pPr>
              <w:jc w:val="both"/>
              <w:rPr>
                <w:rFonts w:ascii="Verdana" w:eastAsia="Verdana" w:hAnsi="Verdana" w:cs="Verdana"/>
                <w:b/>
                <w:bCs/>
                <w:color w:val="000000" w:themeColor="text1"/>
              </w:rPr>
            </w:pPr>
          </w:p>
        </w:tc>
        <w:tc>
          <w:tcPr>
            <w:tcW w:w="6540" w:type="dxa"/>
            <w:shd w:val="clear" w:color="auto" w:fill="FFFFFF" w:themeFill="background1"/>
            <w:tcMar>
              <w:left w:w="108" w:type="dxa"/>
              <w:right w:w="108" w:type="dxa"/>
            </w:tcMar>
          </w:tcPr>
          <w:p w14:paraId="580FE374" w14:textId="16084608" w:rsidR="00C32987" w:rsidRDefault="00C32987" w:rsidP="00F9429A">
            <w:pPr>
              <w:jc w:val="both"/>
            </w:pPr>
            <w:r w:rsidRPr="40A87941">
              <w:rPr>
                <w:rFonts w:ascii="Verdana" w:eastAsia="Verdana" w:hAnsi="Verdana" w:cs="Verdana"/>
                <w:b/>
                <w:bCs/>
                <w:color w:val="000000" w:themeColor="text1"/>
                <w:lang w:val="es"/>
              </w:rPr>
              <w:t xml:space="preserve">Concepto C- </w:t>
            </w:r>
            <w:r>
              <w:rPr>
                <w:rFonts w:ascii="Verdana" w:eastAsia="Verdana" w:hAnsi="Verdana" w:cs="Verdana"/>
                <w:b/>
                <w:bCs/>
                <w:color w:val="000000" w:themeColor="text1"/>
                <w:lang w:val="es"/>
              </w:rPr>
              <w:t>1114</w:t>
            </w:r>
            <w:r w:rsidRPr="40A87941">
              <w:rPr>
                <w:rFonts w:ascii="Verdana" w:eastAsia="Verdana" w:hAnsi="Verdana" w:cs="Verdana"/>
                <w:b/>
                <w:bCs/>
                <w:color w:val="000000" w:themeColor="text1"/>
                <w:lang w:val="es"/>
              </w:rPr>
              <w:t xml:space="preserve"> de 2026</w:t>
            </w:r>
          </w:p>
        </w:tc>
      </w:tr>
      <w:tr w:rsidR="00C32987" w:rsidRPr="004F242E" w14:paraId="71EBECED" w14:textId="77777777" w:rsidTr="00F9429A">
        <w:trPr>
          <w:trHeight w:val="1065"/>
        </w:trPr>
        <w:tc>
          <w:tcPr>
            <w:tcW w:w="2265" w:type="dxa"/>
            <w:shd w:val="clear" w:color="auto" w:fill="FFFFFF" w:themeFill="background1"/>
            <w:tcMar>
              <w:left w:w="108" w:type="dxa"/>
              <w:right w:w="108" w:type="dxa"/>
            </w:tcMar>
          </w:tcPr>
          <w:p w14:paraId="2F4D89DB" w14:textId="77777777" w:rsidR="00C32987" w:rsidRDefault="00C32987" w:rsidP="00F9429A">
            <w:pPr>
              <w:jc w:val="both"/>
            </w:pPr>
            <w:r w:rsidRPr="40A87941">
              <w:rPr>
                <w:rFonts w:ascii="Verdana" w:eastAsia="Verdana" w:hAnsi="Verdana" w:cs="Verdana"/>
                <w:b/>
                <w:bCs/>
                <w:color w:val="000000" w:themeColor="text1"/>
              </w:rPr>
              <w:t>Temas:</w:t>
            </w:r>
            <w:r w:rsidRPr="40A87941">
              <w:rPr>
                <w:rFonts w:ascii="Verdana" w:eastAsia="Verdana" w:hAnsi="Verdana" w:cs="Verdana"/>
                <w:color w:val="000000" w:themeColor="text1"/>
              </w:rPr>
              <w:t xml:space="preserve">                   </w:t>
            </w:r>
          </w:p>
        </w:tc>
        <w:tc>
          <w:tcPr>
            <w:tcW w:w="6540" w:type="dxa"/>
            <w:shd w:val="clear" w:color="auto" w:fill="FFFFFF" w:themeFill="background1"/>
            <w:tcMar>
              <w:left w:w="108" w:type="dxa"/>
              <w:right w:w="108" w:type="dxa"/>
            </w:tcMar>
          </w:tcPr>
          <w:p w14:paraId="3F1C09F1" w14:textId="46043F99" w:rsidR="0049170E" w:rsidRPr="0049170E" w:rsidRDefault="0049170E" w:rsidP="0049170E">
            <w:pPr>
              <w:jc w:val="both"/>
              <w:rPr>
                <w:rFonts w:ascii="Verdana" w:eastAsia="Calibri" w:hAnsi="Verdana" w:cs="Arial"/>
                <w:bCs/>
                <w:lang w:val="es-MX"/>
              </w:rPr>
            </w:pPr>
            <w:r w:rsidRPr="0049170E">
              <w:rPr>
                <w:rFonts w:ascii="Verdana" w:hAnsi="Verdana" w:cs="Arial"/>
                <w:bCs/>
                <w:lang w:val="es-MX"/>
              </w:rPr>
              <w:t xml:space="preserve">EXPERIENCIA </w:t>
            </w:r>
            <w:r w:rsidRPr="0049170E">
              <w:rPr>
                <w:rFonts w:ascii="Verdana" w:eastAsia="Calibri" w:hAnsi="Verdana" w:cs="Arial"/>
                <w:bCs/>
                <w:lang w:val="es-MX"/>
              </w:rPr>
              <w:t xml:space="preserve">– </w:t>
            </w:r>
            <w:r w:rsidRPr="0049170E">
              <w:rPr>
                <w:rFonts w:ascii="Verdana" w:hAnsi="Verdana" w:cs="Arial"/>
                <w:bCs/>
                <w:lang w:val="es-MX"/>
              </w:rPr>
              <w:t xml:space="preserve">Noción ‒ Colombia Compra Eficiente / </w:t>
            </w:r>
            <w:r w:rsidRPr="0049170E">
              <w:rPr>
                <w:rFonts w:ascii="Verdana" w:eastAsia="Calibri" w:hAnsi="Verdana" w:cs="Arial"/>
                <w:bCs/>
                <w:lang w:val="es-MX"/>
              </w:rPr>
              <w:t>SOCIEDADES NUEVAS ‒ Experiencia ‒ Inferior a tres años ‒ Requisitos habilitantes ‒ Desarrollo de la empresa</w:t>
            </w:r>
            <w:r>
              <w:rPr>
                <w:rFonts w:ascii="Verdana" w:eastAsia="Calibri" w:hAnsi="Verdana" w:cs="Arial"/>
                <w:bCs/>
                <w:lang w:val="es-MX"/>
              </w:rPr>
              <w:t xml:space="preserve"> / </w:t>
            </w:r>
            <w:r w:rsidRPr="0049170E">
              <w:rPr>
                <w:rFonts w:ascii="Verdana" w:eastAsia="Calibri" w:hAnsi="Verdana" w:cs="Arial"/>
                <w:bCs/>
                <w:lang w:val="es-MX"/>
              </w:rPr>
              <w:t>EXPERIENCIA ‒ Conservación ‒ Renovación RUP ‒ Cesación efectos RUP</w:t>
            </w:r>
            <w:r>
              <w:rPr>
                <w:rFonts w:ascii="Verdana" w:eastAsia="Calibri" w:hAnsi="Verdana" w:cs="Arial"/>
                <w:bCs/>
                <w:lang w:val="es-MX"/>
              </w:rPr>
              <w:t xml:space="preserve"> / </w:t>
            </w:r>
            <w:r w:rsidRPr="0049170E">
              <w:rPr>
                <w:rFonts w:ascii="Verdana" w:eastAsia="Calibri" w:hAnsi="Verdana" w:cs="Arial"/>
                <w:bCs/>
                <w:lang w:val="es-MX"/>
              </w:rPr>
              <w:t>EXPERIENCIA – Conservación – Sociedades – Menor a 3 años de constitución</w:t>
            </w:r>
            <w:r>
              <w:rPr>
                <w:rFonts w:ascii="Verdana" w:eastAsia="Calibri" w:hAnsi="Verdana" w:cs="Arial"/>
                <w:bCs/>
                <w:lang w:val="es-MX"/>
              </w:rPr>
              <w:t xml:space="preserve"> / </w:t>
            </w:r>
            <w:r w:rsidRPr="0049170E">
              <w:rPr>
                <w:rFonts w:ascii="Verdana" w:eastAsia="Calibri" w:hAnsi="Verdana" w:cs="Arial"/>
                <w:bCs/>
                <w:lang w:val="es-MX"/>
              </w:rPr>
              <w:t>EXPERIENCIA – Retiro del socio – Sociedades – Menor a 3 años de constitución</w:t>
            </w:r>
          </w:p>
          <w:p w14:paraId="7CE19EA3" w14:textId="31B64229" w:rsidR="0049170E" w:rsidRPr="0049170E" w:rsidRDefault="0049170E" w:rsidP="0049170E">
            <w:pPr>
              <w:jc w:val="both"/>
              <w:rPr>
                <w:rFonts w:ascii="Verdana" w:hAnsi="Verdana" w:cs="Arial"/>
                <w:bCs/>
                <w:lang w:val="es-MX"/>
              </w:rPr>
            </w:pPr>
          </w:p>
          <w:p w14:paraId="5868E9C3" w14:textId="77777777" w:rsidR="00C32987" w:rsidRPr="004F242E" w:rsidRDefault="00C32987" w:rsidP="00F9429A">
            <w:pPr>
              <w:jc w:val="both"/>
              <w:rPr>
                <w:rFonts w:ascii="Verdana" w:hAnsi="Verdana" w:cs="Arial"/>
                <w:highlight w:val="yellow"/>
                <w:lang w:eastAsia="es-CO"/>
              </w:rPr>
            </w:pPr>
          </w:p>
          <w:p w14:paraId="4BDCD533" w14:textId="77777777" w:rsidR="00C32987" w:rsidRPr="004F242E" w:rsidRDefault="00C32987" w:rsidP="00F9429A">
            <w:pPr>
              <w:spacing w:line="276" w:lineRule="auto"/>
              <w:jc w:val="both"/>
              <w:rPr>
                <w:highlight w:val="yellow"/>
              </w:rPr>
            </w:pPr>
          </w:p>
        </w:tc>
      </w:tr>
      <w:tr w:rsidR="00C32987" w14:paraId="2DBB9D03" w14:textId="77777777" w:rsidTr="00F9429A">
        <w:trPr>
          <w:trHeight w:val="660"/>
        </w:trPr>
        <w:tc>
          <w:tcPr>
            <w:tcW w:w="2265" w:type="dxa"/>
            <w:shd w:val="clear" w:color="auto" w:fill="FFFFFF" w:themeFill="background1"/>
            <w:tcMar>
              <w:left w:w="108" w:type="dxa"/>
              <w:right w:w="108" w:type="dxa"/>
            </w:tcMar>
          </w:tcPr>
          <w:p w14:paraId="02ED336B" w14:textId="77777777" w:rsidR="00C32987" w:rsidRDefault="00C32987" w:rsidP="00F9429A">
            <w:pPr>
              <w:jc w:val="both"/>
            </w:pPr>
            <w:r w:rsidRPr="40A87941">
              <w:rPr>
                <w:rFonts w:ascii="Verdana" w:eastAsia="Verdana" w:hAnsi="Verdana" w:cs="Verdana"/>
                <w:b/>
                <w:bCs/>
                <w:color w:val="000000" w:themeColor="text1"/>
              </w:rPr>
              <w:t>Radicación:</w:t>
            </w:r>
            <w:r w:rsidRPr="40A87941">
              <w:rPr>
                <w:rFonts w:ascii="Verdana" w:eastAsia="Verdana" w:hAnsi="Verdana" w:cs="Verdana"/>
                <w:color w:val="000000" w:themeColor="text1"/>
              </w:rPr>
              <w:t xml:space="preserve">           </w:t>
            </w:r>
          </w:p>
        </w:tc>
        <w:tc>
          <w:tcPr>
            <w:tcW w:w="6540" w:type="dxa"/>
            <w:shd w:val="clear" w:color="auto" w:fill="FFFFFF" w:themeFill="background1"/>
            <w:tcMar>
              <w:left w:w="108" w:type="dxa"/>
              <w:right w:w="108" w:type="dxa"/>
            </w:tcMar>
          </w:tcPr>
          <w:p w14:paraId="60DA31F6" w14:textId="77777777" w:rsidR="00C32987" w:rsidRDefault="00C32987" w:rsidP="00F9429A">
            <w:pPr>
              <w:ind w:right="1"/>
              <w:jc w:val="both"/>
            </w:pPr>
            <w:r w:rsidRPr="39124533">
              <w:rPr>
                <w:rFonts w:ascii="Verdana" w:eastAsia="Verdana" w:hAnsi="Verdana" w:cs="Verdana"/>
                <w:color w:val="000000" w:themeColor="text1"/>
              </w:rPr>
              <w:t xml:space="preserve">Respuesta a consulta con radicado N.º </w:t>
            </w:r>
            <w:r w:rsidRPr="004F242E">
              <w:rPr>
                <w:rFonts w:ascii="Verdana" w:eastAsia="Verdana" w:hAnsi="Verdana" w:cs="Verdana"/>
                <w:color w:val="000000" w:themeColor="text1"/>
              </w:rPr>
              <w:t>1_2026_07_13_009250</w:t>
            </w:r>
          </w:p>
        </w:tc>
      </w:tr>
    </w:tbl>
    <w:p w14:paraId="11834320" w14:textId="77777777" w:rsidR="00C32987" w:rsidRPr="0015699B" w:rsidRDefault="00C32987" w:rsidP="00C32987">
      <w:pPr>
        <w:spacing w:after="0" w:line="240" w:lineRule="auto"/>
        <w:jc w:val="both"/>
        <w:textAlignment w:val="baseline"/>
        <w:rPr>
          <w:rFonts w:ascii="Verdana" w:eastAsia="Verdana" w:hAnsi="Verdana" w:cs="Verdana"/>
          <w:b/>
          <w:bCs/>
          <w:color w:val="000000" w:themeColor="text1"/>
          <w:lang w:val="es"/>
        </w:rPr>
      </w:pPr>
    </w:p>
    <w:p w14:paraId="73B2DD97" w14:textId="77777777" w:rsidR="00C32987" w:rsidRPr="0015699B" w:rsidRDefault="00C32987" w:rsidP="00C32987">
      <w:pPr>
        <w:spacing w:after="0" w:line="276" w:lineRule="auto"/>
        <w:jc w:val="both"/>
        <w:textAlignment w:val="baseline"/>
        <w:rPr>
          <w:rFonts w:ascii="Verdana" w:eastAsia="Verdana" w:hAnsi="Verdana" w:cs="Verdana"/>
          <w:color w:val="000000" w:themeColor="text1"/>
          <w:lang w:val="es"/>
        </w:rPr>
      </w:pPr>
      <w:r w:rsidRPr="40A87941">
        <w:rPr>
          <w:rFonts w:ascii="Verdana" w:eastAsia="Verdana" w:hAnsi="Verdana" w:cs="Verdana"/>
          <w:color w:val="000000" w:themeColor="text1"/>
          <w:lang w:val="es"/>
        </w:rPr>
        <w:t>Estimad</w:t>
      </w:r>
      <w:r>
        <w:rPr>
          <w:rFonts w:ascii="Verdana" w:eastAsia="Verdana" w:hAnsi="Verdana" w:cs="Verdana"/>
          <w:color w:val="000000" w:themeColor="text1"/>
          <w:lang w:val="es"/>
        </w:rPr>
        <w:t>o</w:t>
      </w:r>
      <w:r w:rsidRPr="40A87941">
        <w:rPr>
          <w:rFonts w:ascii="Verdana" w:eastAsia="Verdana" w:hAnsi="Verdana" w:cs="Verdana"/>
          <w:color w:val="000000" w:themeColor="text1"/>
          <w:lang w:val="es"/>
        </w:rPr>
        <w:t xml:space="preserve"> señor</w:t>
      </w:r>
      <w:r>
        <w:rPr>
          <w:rFonts w:ascii="Verdana" w:eastAsia="Verdana" w:hAnsi="Verdana" w:cs="Verdana"/>
          <w:color w:val="000000" w:themeColor="text1"/>
          <w:lang w:val="es"/>
        </w:rPr>
        <w:t xml:space="preserve"> </w:t>
      </w:r>
      <w:r w:rsidRPr="00FB34D7">
        <w:rPr>
          <w:rFonts w:ascii="Verdana" w:eastAsia="Verdana" w:hAnsi="Verdana" w:cs="Verdana"/>
          <w:color w:val="000000" w:themeColor="text1"/>
          <w:lang w:val="es"/>
        </w:rPr>
        <w:t>Martínez</w:t>
      </w:r>
      <w:r w:rsidRPr="40A87941">
        <w:rPr>
          <w:rFonts w:ascii="Verdana" w:eastAsia="Verdana" w:hAnsi="Verdana" w:cs="Verdana"/>
          <w:color w:val="000000" w:themeColor="text1"/>
          <w:lang w:val="es"/>
        </w:rPr>
        <w:t>;</w:t>
      </w:r>
    </w:p>
    <w:p w14:paraId="2FEBE830" w14:textId="77777777" w:rsidR="00C32987" w:rsidRPr="0015699B" w:rsidRDefault="00C32987" w:rsidP="00C32987">
      <w:pPr>
        <w:spacing w:after="0" w:line="276" w:lineRule="auto"/>
        <w:jc w:val="both"/>
        <w:textAlignment w:val="baseline"/>
        <w:rPr>
          <w:rFonts w:ascii="Calibri" w:eastAsia="Calibri" w:hAnsi="Calibri" w:cs="Calibri"/>
          <w:lang w:val="es"/>
        </w:rPr>
      </w:pPr>
      <w:r w:rsidRPr="40A87941">
        <w:rPr>
          <w:rFonts w:ascii="Calibri" w:eastAsia="Calibri" w:hAnsi="Calibri" w:cs="Calibri"/>
          <w:lang w:val="es"/>
        </w:rPr>
        <w:t xml:space="preserve"> </w:t>
      </w:r>
    </w:p>
    <w:p w14:paraId="08373682" w14:textId="77777777" w:rsidR="00C32987" w:rsidRDefault="00C32987" w:rsidP="00C32987">
      <w:pPr>
        <w:spacing w:after="120" w:line="276" w:lineRule="auto"/>
        <w:jc w:val="both"/>
        <w:textAlignment w:val="baseline"/>
        <w:rPr>
          <w:rFonts w:ascii="Verdana" w:eastAsia="Verdana" w:hAnsi="Verdana" w:cs="Verdana"/>
          <w:color w:val="000000" w:themeColor="text1"/>
          <w:lang w:val="es-ES"/>
        </w:rPr>
      </w:pPr>
      <w:r w:rsidRPr="39124533">
        <w:rPr>
          <w:rFonts w:ascii="Verdana" w:eastAsia="Verdana" w:hAnsi="Verdana" w:cs="Verdana"/>
          <w:color w:val="000000" w:themeColor="text1"/>
          <w:lang w:val="es-ES"/>
        </w:rPr>
        <w:t xml:space="preserve">En ejercicio de la competencia otorgada por los artículos 3, numeral 5º, y 11, numeral 8º, del Decreto Ley 4170 de 2011, así como lo establecido en el artículo 4 de la Resolución 1707 de 2018 expedida por esta Entidad, la Agencia Nacional de Contratación Pública – Colombia Compra Eficiente– responde a su solicitud radicada ante esta entidad el </w:t>
      </w:r>
      <w:r>
        <w:rPr>
          <w:rFonts w:ascii="Verdana" w:eastAsia="Verdana" w:hAnsi="Verdana" w:cs="Verdana"/>
          <w:color w:val="000000" w:themeColor="text1"/>
          <w:lang w:val="es-ES"/>
        </w:rPr>
        <w:t>13</w:t>
      </w:r>
      <w:r w:rsidRPr="39124533">
        <w:rPr>
          <w:rFonts w:ascii="Verdana" w:eastAsia="Verdana" w:hAnsi="Verdana" w:cs="Verdana"/>
          <w:color w:val="000000" w:themeColor="text1"/>
          <w:lang w:val="es-ES"/>
        </w:rPr>
        <w:t xml:space="preserve"> de ju</w:t>
      </w:r>
      <w:r>
        <w:rPr>
          <w:rFonts w:ascii="Verdana" w:eastAsia="Verdana" w:hAnsi="Verdana" w:cs="Verdana"/>
          <w:color w:val="000000" w:themeColor="text1"/>
          <w:lang w:val="es-ES"/>
        </w:rPr>
        <w:t>l</w:t>
      </w:r>
      <w:r w:rsidRPr="39124533">
        <w:rPr>
          <w:rFonts w:ascii="Verdana" w:eastAsia="Verdana" w:hAnsi="Verdana" w:cs="Verdana"/>
          <w:color w:val="000000" w:themeColor="text1"/>
          <w:lang w:val="es-ES"/>
        </w:rPr>
        <w:t>io de 2026 en la cual manifiesta lo siguiente:</w:t>
      </w:r>
    </w:p>
    <w:p w14:paraId="4932CE20" w14:textId="77777777" w:rsidR="00C32987" w:rsidRDefault="00C32987" w:rsidP="00C32987">
      <w:pPr>
        <w:spacing w:after="120" w:line="276" w:lineRule="auto"/>
        <w:ind w:left="567" w:right="758"/>
        <w:jc w:val="both"/>
        <w:textAlignment w:val="baseline"/>
        <w:rPr>
          <w:rFonts w:ascii="Verdana" w:hAnsi="Verdana"/>
          <w:sz w:val="21"/>
          <w:szCs w:val="21"/>
        </w:rPr>
      </w:pPr>
      <w:r w:rsidRPr="00971885">
        <w:rPr>
          <w:rFonts w:ascii="Verdana" w:eastAsia="Verdana" w:hAnsi="Verdana" w:cs="Verdana"/>
          <w:color w:val="000000" w:themeColor="text1"/>
          <w:sz w:val="21"/>
          <w:szCs w:val="21"/>
        </w:rPr>
        <w:t>“</w:t>
      </w:r>
    </w:p>
    <w:p w14:paraId="3D1A849B" w14:textId="77777777" w:rsidR="00C32987" w:rsidRPr="006B234D" w:rsidRDefault="00C32987" w:rsidP="00C32987">
      <w:pPr>
        <w:spacing w:after="0" w:line="240" w:lineRule="auto"/>
        <w:ind w:left="567" w:right="760"/>
        <w:jc w:val="both"/>
        <w:textAlignment w:val="baseline"/>
        <w:rPr>
          <w:rFonts w:ascii="Verdana" w:eastAsia="Verdana" w:hAnsi="Verdana" w:cs="Verdana"/>
          <w:color w:val="000000" w:themeColor="text1"/>
          <w:sz w:val="21"/>
          <w:szCs w:val="21"/>
        </w:rPr>
      </w:pPr>
      <w:r w:rsidRPr="006B234D">
        <w:rPr>
          <w:rFonts w:ascii="Verdana" w:eastAsia="Verdana" w:hAnsi="Verdana" w:cs="Verdana"/>
          <w:color w:val="000000" w:themeColor="text1"/>
          <w:sz w:val="21"/>
          <w:szCs w:val="21"/>
        </w:rPr>
        <w:lastRenderedPageBreak/>
        <w:t xml:space="preserve">De conformidad con lo dispuesto en el numeral 2.5 del artículo 2.2.1.1.1.5.2 del Decreto 1082 de 2015, referente a la información para la inscripción, renovación o actualización del Registro Único de Proponentes (RUP), se establece: </w:t>
      </w:r>
    </w:p>
    <w:p w14:paraId="3D5E0620" w14:textId="77777777" w:rsidR="00C32987" w:rsidRDefault="00C32987" w:rsidP="00C32987">
      <w:pPr>
        <w:spacing w:after="0" w:line="240" w:lineRule="auto"/>
        <w:ind w:left="567" w:right="760"/>
        <w:jc w:val="both"/>
        <w:textAlignment w:val="baseline"/>
        <w:rPr>
          <w:rFonts w:ascii="Verdana" w:eastAsia="Verdana" w:hAnsi="Verdana" w:cs="Verdana"/>
          <w:color w:val="000000" w:themeColor="text1"/>
          <w:sz w:val="21"/>
          <w:szCs w:val="21"/>
        </w:rPr>
      </w:pPr>
      <w:r w:rsidRPr="006B234D">
        <w:rPr>
          <w:rFonts w:ascii="Verdana" w:eastAsia="Verdana" w:hAnsi="Verdana" w:cs="Verdana"/>
          <w:color w:val="000000" w:themeColor="text1"/>
          <w:sz w:val="21"/>
          <w:szCs w:val="21"/>
        </w:rPr>
        <w:t xml:space="preserve">“2.5. Certificados de la experiencia en la provisión de los bienes, obras y servicios que ofrecerá a las Entidades Estatales, los cuales deben ser expedidos por terceros que hayan recibido tales bienes, obras o servicios y deben corresponder a contratos ejecutados o copias de los contratos cuando el interesado no puede obtener tal certificado. El interesado debe indicar en cada certificado o en cada copia de los contratos, los bienes, obras y servicios a los cuales corresponde la experiencia que pretende acreditar, identificándolos con el Clasificador de Bienes y Servicios en el tercer nivel. Si la constitución del interesado es menor a tres (3) años, puede acreditar la experiencia de sus accionistas, socios o constituyentes.” </w:t>
      </w:r>
    </w:p>
    <w:p w14:paraId="5B1DCEF8" w14:textId="77777777" w:rsidR="00C32987" w:rsidRPr="006B234D" w:rsidRDefault="00C32987" w:rsidP="00C32987">
      <w:pPr>
        <w:spacing w:after="0" w:line="240" w:lineRule="auto"/>
        <w:ind w:left="567" w:right="760"/>
        <w:jc w:val="both"/>
        <w:textAlignment w:val="baseline"/>
        <w:rPr>
          <w:rFonts w:ascii="Verdana" w:eastAsia="Verdana" w:hAnsi="Verdana" w:cs="Verdana"/>
          <w:color w:val="000000" w:themeColor="text1"/>
          <w:sz w:val="21"/>
          <w:szCs w:val="21"/>
        </w:rPr>
      </w:pPr>
    </w:p>
    <w:p w14:paraId="2199D5AA" w14:textId="77777777" w:rsidR="00C32987" w:rsidRDefault="00C32987" w:rsidP="00C32987">
      <w:pPr>
        <w:spacing w:after="0" w:line="240" w:lineRule="auto"/>
        <w:ind w:left="567" w:right="760"/>
        <w:jc w:val="both"/>
        <w:textAlignment w:val="baseline"/>
        <w:rPr>
          <w:rFonts w:ascii="Verdana" w:eastAsia="Verdana" w:hAnsi="Verdana" w:cs="Verdana"/>
          <w:color w:val="000000" w:themeColor="text1"/>
          <w:sz w:val="21"/>
          <w:szCs w:val="21"/>
        </w:rPr>
      </w:pPr>
      <w:r w:rsidRPr="006B234D">
        <w:rPr>
          <w:rFonts w:ascii="Verdana" w:eastAsia="Verdana" w:hAnsi="Verdana" w:cs="Verdana"/>
          <w:color w:val="000000" w:themeColor="text1"/>
          <w:sz w:val="21"/>
          <w:szCs w:val="21"/>
        </w:rPr>
        <w:t xml:space="preserve">Asimismo, mediante diversos conceptos, la Agencia Nacional de Contratación Pública (Colombia Compra Eficiente) ha señalado que, una vez incorporada la experiencia de los socios en el RUP de una sociedad constituida con una antigüedad inferior a tres (3) años y siempre que se cumpla oportunamente con la obligación de renovación del registro, dicha experiencia puede mantenerse vigente y ser utilizada en procesos de selección posteriores. </w:t>
      </w:r>
    </w:p>
    <w:p w14:paraId="25A69EDF" w14:textId="77777777" w:rsidR="00C32987" w:rsidRPr="006B234D" w:rsidRDefault="00C32987" w:rsidP="00C32987">
      <w:pPr>
        <w:spacing w:after="0" w:line="240" w:lineRule="auto"/>
        <w:ind w:left="567" w:right="760"/>
        <w:jc w:val="both"/>
        <w:textAlignment w:val="baseline"/>
        <w:rPr>
          <w:rFonts w:ascii="Verdana" w:eastAsia="Verdana" w:hAnsi="Verdana" w:cs="Verdana"/>
          <w:color w:val="000000" w:themeColor="text1"/>
          <w:sz w:val="21"/>
          <w:szCs w:val="21"/>
        </w:rPr>
      </w:pPr>
    </w:p>
    <w:p w14:paraId="042988C3" w14:textId="77777777" w:rsidR="00C32987" w:rsidRDefault="00C32987" w:rsidP="00C32987">
      <w:pPr>
        <w:spacing w:after="0" w:line="240" w:lineRule="auto"/>
        <w:ind w:left="567" w:right="760"/>
        <w:jc w:val="both"/>
        <w:textAlignment w:val="baseline"/>
        <w:rPr>
          <w:rFonts w:ascii="Verdana" w:eastAsia="Verdana" w:hAnsi="Verdana" w:cs="Verdana"/>
          <w:color w:val="000000" w:themeColor="text1"/>
          <w:sz w:val="21"/>
          <w:szCs w:val="21"/>
        </w:rPr>
      </w:pPr>
      <w:r w:rsidRPr="006B234D">
        <w:rPr>
          <w:rFonts w:ascii="Verdana" w:eastAsia="Verdana" w:hAnsi="Verdana" w:cs="Verdana"/>
          <w:color w:val="000000" w:themeColor="text1"/>
          <w:sz w:val="21"/>
          <w:szCs w:val="21"/>
        </w:rPr>
        <w:t xml:space="preserve">En este sentido, el Concepto C-841 de 2022 indicó: </w:t>
      </w:r>
    </w:p>
    <w:p w14:paraId="487059B6" w14:textId="77777777" w:rsidR="00C32987" w:rsidRPr="006B234D" w:rsidRDefault="00C32987" w:rsidP="00C32987">
      <w:pPr>
        <w:spacing w:after="0" w:line="240" w:lineRule="auto"/>
        <w:ind w:left="567" w:right="760"/>
        <w:jc w:val="both"/>
        <w:textAlignment w:val="baseline"/>
        <w:rPr>
          <w:rFonts w:ascii="Verdana" w:eastAsia="Verdana" w:hAnsi="Verdana" w:cs="Verdana"/>
          <w:color w:val="000000" w:themeColor="text1"/>
          <w:sz w:val="21"/>
          <w:szCs w:val="21"/>
        </w:rPr>
      </w:pPr>
    </w:p>
    <w:p w14:paraId="192E6FCA" w14:textId="77777777" w:rsidR="00C32987" w:rsidRDefault="00C32987" w:rsidP="00C32987">
      <w:pPr>
        <w:spacing w:after="0" w:line="240" w:lineRule="auto"/>
        <w:ind w:left="567" w:right="760"/>
        <w:jc w:val="both"/>
        <w:textAlignment w:val="baseline"/>
        <w:rPr>
          <w:rFonts w:ascii="Verdana" w:eastAsia="Verdana" w:hAnsi="Verdana" w:cs="Verdana"/>
          <w:color w:val="000000" w:themeColor="text1"/>
          <w:sz w:val="21"/>
          <w:szCs w:val="21"/>
        </w:rPr>
      </w:pPr>
      <w:r w:rsidRPr="006B234D">
        <w:rPr>
          <w:rFonts w:ascii="Verdana" w:eastAsia="Verdana" w:hAnsi="Verdana" w:cs="Verdana"/>
          <w:color w:val="000000" w:themeColor="text1"/>
          <w:sz w:val="21"/>
          <w:szCs w:val="21"/>
        </w:rPr>
        <w:t xml:space="preserve">“(…) en atención al principio general de interpretación según el cual donde el legislador no distingue no le es dado hacerlo al interprete, el hecho de que una sociedad con menos de 3 años de constitución haya hecho uso de la referida prerrogativa en determinado proceso de contratación o entidad, no excluye la posibilidad de que dicha sociedad siga haciendo uso del beneficio en otros procesos de contratación adelantados por otras entidades, incluso una vez vencidos los 3 años de constitución, siempre que no hayan cesado los efectos del RUP por el incumplimiento del deber de renovación.” </w:t>
      </w:r>
    </w:p>
    <w:p w14:paraId="2583559A" w14:textId="77777777" w:rsidR="00C32987" w:rsidRPr="006B234D" w:rsidRDefault="00C32987" w:rsidP="00C32987">
      <w:pPr>
        <w:spacing w:after="0" w:line="240" w:lineRule="auto"/>
        <w:ind w:left="567" w:right="760"/>
        <w:jc w:val="both"/>
        <w:textAlignment w:val="baseline"/>
        <w:rPr>
          <w:rFonts w:ascii="Verdana" w:eastAsia="Verdana" w:hAnsi="Verdana" w:cs="Verdana"/>
          <w:color w:val="000000" w:themeColor="text1"/>
          <w:sz w:val="21"/>
          <w:szCs w:val="21"/>
        </w:rPr>
      </w:pPr>
    </w:p>
    <w:p w14:paraId="3A77B7C8" w14:textId="77777777" w:rsidR="00C32987" w:rsidRDefault="00C32987" w:rsidP="00C32987">
      <w:pPr>
        <w:spacing w:after="0" w:line="240" w:lineRule="auto"/>
        <w:ind w:left="567" w:right="760"/>
        <w:jc w:val="both"/>
        <w:textAlignment w:val="baseline"/>
        <w:rPr>
          <w:rFonts w:ascii="Verdana" w:eastAsia="Verdana" w:hAnsi="Verdana" w:cs="Verdana"/>
          <w:color w:val="000000" w:themeColor="text1"/>
          <w:sz w:val="21"/>
          <w:szCs w:val="21"/>
        </w:rPr>
      </w:pPr>
      <w:r w:rsidRPr="006B234D">
        <w:rPr>
          <w:rFonts w:ascii="Verdana" w:eastAsia="Verdana" w:hAnsi="Verdana" w:cs="Verdana"/>
          <w:color w:val="000000" w:themeColor="text1"/>
          <w:sz w:val="21"/>
          <w:szCs w:val="21"/>
        </w:rPr>
        <w:t>En la práctica empresarial se presentan situaciones en las que la composición societaria puede variar por circunstancias tales como la cesión de acciones o cuotas sociales, el retiro voluntario de un socio, su sustitución o su fallecimiento. Tales</w:t>
      </w:r>
      <w:r>
        <w:rPr>
          <w:rFonts w:ascii="Verdana" w:eastAsia="Verdana" w:hAnsi="Verdana" w:cs="Verdana"/>
          <w:color w:val="000000" w:themeColor="text1"/>
          <w:sz w:val="21"/>
          <w:szCs w:val="21"/>
        </w:rPr>
        <w:t xml:space="preserve"> </w:t>
      </w:r>
      <w:r w:rsidRPr="006B234D">
        <w:rPr>
          <w:rFonts w:ascii="Verdana" w:eastAsia="Verdana" w:hAnsi="Verdana" w:cs="Verdana"/>
          <w:color w:val="000000" w:themeColor="text1"/>
          <w:sz w:val="21"/>
          <w:szCs w:val="21"/>
        </w:rPr>
        <w:t>eventos generan inquietudes respecto de la permanencia de la experiencia previamente incorporada al RUP y la posibilidad de acreditar nueva experiencia derivada de los nuevos integrantes de la sociedad.</w:t>
      </w:r>
    </w:p>
    <w:p w14:paraId="1DD24E66" w14:textId="77777777" w:rsidR="00C32987" w:rsidRPr="006B234D" w:rsidRDefault="00C32987" w:rsidP="00C32987">
      <w:pPr>
        <w:spacing w:after="0" w:line="240" w:lineRule="auto"/>
        <w:ind w:left="567" w:right="760"/>
        <w:jc w:val="both"/>
        <w:textAlignment w:val="baseline"/>
        <w:rPr>
          <w:rFonts w:ascii="Verdana" w:eastAsia="Verdana" w:hAnsi="Verdana" w:cs="Verdana"/>
          <w:color w:val="000000" w:themeColor="text1"/>
          <w:sz w:val="21"/>
          <w:szCs w:val="21"/>
        </w:rPr>
      </w:pPr>
    </w:p>
    <w:p w14:paraId="28165142" w14:textId="77777777" w:rsidR="00C32987" w:rsidRDefault="00C32987" w:rsidP="00C32987">
      <w:pPr>
        <w:spacing w:after="0" w:line="240" w:lineRule="auto"/>
        <w:ind w:left="567" w:right="760"/>
        <w:jc w:val="both"/>
        <w:textAlignment w:val="baseline"/>
        <w:rPr>
          <w:rFonts w:ascii="Verdana" w:eastAsia="Verdana" w:hAnsi="Verdana" w:cs="Verdana"/>
          <w:color w:val="000000" w:themeColor="text1"/>
          <w:sz w:val="21"/>
          <w:szCs w:val="21"/>
        </w:rPr>
      </w:pPr>
      <w:r w:rsidRPr="006B234D">
        <w:rPr>
          <w:rFonts w:ascii="Verdana" w:eastAsia="Verdana" w:hAnsi="Verdana" w:cs="Verdana"/>
          <w:color w:val="000000" w:themeColor="text1"/>
          <w:sz w:val="21"/>
          <w:szCs w:val="21"/>
        </w:rPr>
        <w:lastRenderedPageBreak/>
        <w:t>Desde una perspectiva jurídica, la principal discusión radica en que la norma permite acreditar inicialmente la experiencia de socios, accionistas o constituyentes cuando la sociedad tiene menos de tres años, pero no regula expresamente los efectos derivados de la posterior desvinculación de dichos socios. Precisamente por ello resulta pertinente consultar si la experiencia incorporada adquiere autonomía dentro del RUP o si, por el contrario, permanece vinculada a la permanencia del socio que la aportó.</w:t>
      </w:r>
    </w:p>
    <w:p w14:paraId="7B381F46" w14:textId="77777777" w:rsidR="00C32987" w:rsidRPr="006B234D" w:rsidRDefault="00C32987" w:rsidP="00C32987">
      <w:pPr>
        <w:spacing w:after="0" w:line="240" w:lineRule="auto"/>
        <w:ind w:left="567" w:right="760"/>
        <w:jc w:val="both"/>
        <w:textAlignment w:val="baseline"/>
        <w:rPr>
          <w:rFonts w:ascii="Verdana" w:eastAsia="Verdana" w:hAnsi="Verdana" w:cs="Verdana"/>
          <w:color w:val="000000" w:themeColor="text1"/>
          <w:sz w:val="21"/>
          <w:szCs w:val="21"/>
        </w:rPr>
      </w:pPr>
    </w:p>
    <w:p w14:paraId="3314B984" w14:textId="77777777" w:rsidR="00C32987" w:rsidRDefault="00C32987" w:rsidP="00C32987">
      <w:pPr>
        <w:spacing w:after="0" w:line="240" w:lineRule="auto"/>
        <w:ind w:left="567" w:right="760"/>
        <w:jc w:val="both"/>
        <w:textAlignment w:val="baseline"/>
        <w:rPr>
          <w:rFonts w:ascii="Verdana" w:eastAsia="Verdana" w:hAnsi="Verdana" w:cs="Verdana"/>
          <w:color w:val="000000" w:themeColor="text1"/>
          <w:sz w:val="21"/>
          <w:szCs w:val="21"/>
        </w:rPr>
      </w:pPr>
      <w:r w:rsidRPr="006B234D">
        <w:rPr>
          <w:rFonts w:ascii="Verdana" w:eastAsia="Verdana" w:hAnsi="Verdana" w:cs="Verdana"/>
          <w:color w:val="000000" w:themeColor="text1"/>
          <w:sz w:val="21"/>
          <w:szCs w:val="21"/>
        </w:rPr>
        <w:t>Teniendo en cuenta la información expuesta y considerando que las interrogantes surgen de la interpretación de las normas referidas, enfocadas en aspectos generales de la contratación estatal, se plantean las siguientes preguntas:</w:t>
      </w:r>
    </w:p>
    <w:p w14:paraId="3D1DC4CF" w14:textId="77777777" w:rsidR="00C32987" w:rsidRPr="006B234D" w:rsidRDefault="00C32987" w:rsidP="00C32987">
      <w:pPr>
        <w:spacing w:after="0" w:line="240" w:lineRule="auto"/>
        <w:ind w:left="567" w:right="760"/>
        <w:jc w:val="both"/>
        <w:textAlignment w:val="baseline"/>
        <w:rPr>
          <w:rFonts w:ascii="Verdana" w:eastAsia="Verdana" w:hAnsi="Verdana" w:cs="Verdana"/>
          <w:color w:val="000000" w:themeColor="text1"/>
          <w:sz w:val="21"/>
          <w:szCs w:val="21"/>
        </w:rPr>
      </w:pPr>
    </w:p>
    <w:p w14:paraId="3A141A75" w14:textId="77777777" w:rsidR="00C32987" w:rsidRPr="006B234D" w:rsidRDefault="00C32987" w:rsidP="00C32987">
      <w:pPr>
        <w:spacing w:after="0" w:line="240" w:lineRule="auto"/>
        <w:ind w:left="567" w:right="760"/>
        <w:jc w:val="both"/>
        <w:textAlignment w:val="baseline"/>
        <w:rPr>
          <w:rFonts w:ascii="Verdana" w:eastAsia="Verdana" w:hAnsi="Verdana" w:cs="Verdana"/>
          <w:color w:val="000000" w:themeColor="text1"/>
          <w:sz w:val="21"/>
          <w:szCs w:val="21"/>
        </w:rPr>
      </w:pPr>
      <w:r w:rsidRPr="006B234D">
        <w:rPr>
          <w:rFonts w:ascii="Verdana" w:eastAsia="Verdana" w:hAnsi="Verdana" w:cs="Verdana"/>
          <w:color w:val="000000" w:themeColor="text1"/>
          <w:sz w:val="21"/>
          <w:szCs w:val="21"/>
        </w:rPr>
        <w:t>1. En el evento en que se presente una cesión total de acciones o cuotas sociales y, como consecuencia de ello, se retire completamente un socio cuya experiencia fue incorporada al RUP, ¿es jurídicamente procedente sustituir dicha experiencia por la del nuevo socio o accionista que ingresa a la sociedad?</w:t>
      </w:r>
    </w:p>
    <w:p w14:paraId="3047CB81" w14:textId="77777777" w:rsidR="00C32987" w:rsidRPr="006B234D" w:rsidRDefault="00C32987" w:rsidP="00C32987">
      <w:pPr>
        <w:spacing w:after="0" w:line="240" w:lineRule="auto"/>
        <w:ind w:left="567" w:right="760"/>
        <w:jc w:val="both"/>
        <w:textAlignment w:val="baseline"/>
        <w:rPr>
          <w:rFonts w:ascii="Verdana" w:eastAsia="Verdana" w:hAnsi="Verdana" w:cs="Verdana"/>
          <w:color w:val="000000" w:themeColor="text1"/>
          <w:sz w:val="21"/>
          <w:szCs w:val="21"/>
        </w:rPr>
      </w:pPr>
      <w:r w:rsidRPr="006B234D">
        <w:rPr>
          <w:rFonts w:ascii="Verdana" w:eastAsia="Verdana" w:hAnsi="Verdana" w:cs="Verdana"/>
          <w:color w:val="000000" w:themeColor="text1"/>
          <w:sz w:val="21"/>
          <w:szCs w:val="21"/>
        </w:rPr>
        <w:t>2. En caso de ser afirmativa la respuesta anterior, ¿es posible efectuar dicha sustitución cuando la sociedad cuenta con una antigüedad superior a tres (3) años?</w:t>
      </w:r>
    </w:p>
    <w:p w14:paraId="4D56D4E7" w14:textId="77777777" w:rsidR="00C32987" w:rsidRPr="006B234D" w:rsidRDefault="00C32987" w:rsidP="00C32987">
      <w:pPr>
        <w:spacing w:after="0" w:line="240" w:lineRule="auto"/>
        <w:ind w:left="567" w:right="760"/>
        <w:jc w:val="both"/>
        <w:textAlignment w:val="baseline"/>
        <w:rPr>
          <w:rFonts w:ascii="Verdana" w:eastAsia="Verdana" w:hAnsi="Verdana" w:cs="Verdana"/>
          <w:color w:val="000000" w:themeColor="text1"/>
          <w:sz w:val="21"/>
          <w:szCs w:val="21"/>
        </w:rPr>
      </w:pPr>
      <w:r w:rsidRPr="006B234D">
        <w:rPr>
          <w:rFonts w:ascii="Verdana" w:eastAsia="Verdana" w:hAnsi="Verdana" w:cs="Verdana"/>
          <w:color w:val="000000" w:themeColor="text1"/>
          <w:sz w:val="21"/>
          <w:szCs w:val="21"/>
        </w:rPr>
        <w:t>3. Si una sociedad tiene una antigüedad superior a tres (3) años y se vincula un nuevo socio o accionista, ¿es jurídicamente procedente incorporar al RUP la experiencia de dicho nuevo socio, aun cuando la sociedad ya superó el término de tres (3) años previsto en el numeral 2.5 del artículo 2.2.1.1.1.5.2 del Decreto 1082 de 2015?</w:t>
      </w:r>
    </w:p>
    <w:p w14:paraId="17326EDF" w14:textId="77777777" w:rsidR="00C32987" w:rsidRPr="006B234D" w:rsidRDefault="00C32987" w:rsidP="00C32987">
      <w:pPr>
        <w:spacing w:after="0" w:line="240" w:lineRule="auto"/>
        <w:ind w:left="567" w:right="760"/>
        <w:jc w:val="both"/>
        <w:textAlignment w:val="baseline"/>
        <w:rPr>
          <w:rFonts w:ascii="Verdana" w:eastAsia="Verdana" w:hAnsi="Verdana" w:cs="Verdana"/>
          <w:color w:val="000000" w:themeColor="text1"/>
          <w:sz w:val="21"/>
          <w:szCs w:val="21"/>
        </w:rPr>
      </w:pPr>
      <w:r w:rsidRPr="006B234D">
        <w:rPr>
          <w:rFonts w:ascii="Verdana" w:eastAsia="Verdana" w:hAnsi="Verdana" w:cs="Verdana"/>
          <w:color w:val="000000" w:themeColor="text1"/>
          <w:sz w:val="21"/>
          <w:szCs w:val="21"/>
        </w:rPr>
        <w:t>4. En caso de que el socio cuya experiencia fue acreditada en el RUP se desvincule de la sociedad, ¿existe la obligación de excluir o depurar dicha experiencia en la siguiente renovación o actualización del Registro Único de Proponentes?</w:t>
      </w:r>
    </w:p>
    <w:p w14:paraId="04D42965" w14:textId="77777777" w:rsidR="00C32987" w:rsidRDefault="00C32987" w:rsidP="00C32987">
      <w:pPr>
        <w:spacing w:after="0" w:line="240" w:lineRule="auto"/>
        <w:ind w:left="567" w:right="760"/>
        <w:jc w:val="both"/>
        <w:textAlignment w:val="baseline"/>
        <w:rPr>
          <w:rFonts w:ascii="Verdana" w:eastAsia="Verdana" w:hAnsi="Verdana" w:cs="Verdana"/>
          <w:color w:val="000000" w:themeColor="text1"/>
          <w:sz w:val="21"/>
          <w:szCs w:val="21"/>
        </w:rPr>
      </w:pPr>
      <w:r w:rsidRPr="006B234D">
        <w:rPr>
          <w:rFonts w:ascii="Verdana" w:eastAsia="Verdana" w:hAnsi="Verdana" w:cs="Verdana"/>
          <w:color w:val="000000" w:themeColor="text1"/>
          <w:sz w:val="21"/>
          <w:szCs w:val="21"/>
        </w:rPr>
        <w:t>5. ¿La respuesta anterior varía dependiendo de si la desvinculación del socio ocurre antes o después de que la sociedad haya cumplido tres (3) años de existencia?</w:t>
      </w:r>
      <w:r>
        <w:rPr>
          <w:rFonts w:ascii="Verdana" w:eastAsia="Verdana" w:hAnsi="Verdana" w:cs="Verdana"/>
          <w:color w:val="000000" w:themeColor="text1"/>
          <w:sz w:val="21"/>
          <w:szCs w:val="21"/>
        </w:rPr>
        <w:t>”</w:t>
      </w:r>
    </w:p>
    <w:p w14:paraId="5A44CD00" w14:textId="77777777" w:rsidR="00C32987" w:rsidRDefault="00C32987" w:rsidP="00C32987">
      <w:pPr>
        <w:spacing w:after="0" w:line="240" w:lineRule="auto"/>
        <w:ind w:left="567" w:right="760"/>
        <w:jc w:val="both"/>
        <w:textAlignment w:val="baseline"/>
        <w:rPr>
          <w:rFonts w:ascii="Verdana" w:eastAsia="Verdana" w:hAnsi="Verdana" w:cs="Verdana"/>
          <w:color w:val="000000" w:themeColor="text1"/>
          <w:sz w:val="21"/>
          <w:szCs w:val="21"/>
        </w:rPr>
      </w:pPr>
    </w:p>
    <w:p w14:paraId="1C795384" w14:textId="77777777" w:rsidR="00C32987" w:rsidRDefault="00C32987" w:rsidP="00C32987">
      <w:pPr>
        <w:spacing w:after="0" w:line="240" w:lineRule="auto"/>
        <w:ind w:left="567" w:right="760"/>
        <w:jc w:val="both"/>
        <w:textAlignment w:val="baseline"/>
        <w:rPr>
          <w:rFonts w:ascii="Verdana" w:eastAsia="Verdana" w:hAnsi="Verdana" w:cs="Verdana"/>
          <w:color w:val="000000" w:themeColor="text1"/>
          <w:sz w:val="21"/>
          <w:szCs w:val="21"/>
        </w:rPr>
      </w:pPr>
    </w:p>
    <w:p w14:paraId="7585B29C" w14:textId="77777777" w:rsidR="00C32987" w:rsidRPr="0015699B" w:rsidRDefault="00C32987" w:rsidP="00C32987">
      <w:pPr>
        <w:spacing w:after="120" w:line="276" w:lineRule="auto"/>
        <w:ind w:right="51" w:firstLine="709"/>
        <w:jc w:val="both"/>
        <w:textAlignment w:val="baseline"/>
        <w:rPr>
          <w:rFonts w:ascii="Calibri" w:eastAsia="Calibri" w:hAnsi="Calibri" w:cs="Calibri"/>
          <w:lang w:val="es"/>
        </w:rPr>
      </w:pPr>
      <w:r w:rsidRPr="39124533">
        <w:rPr>
          <w:rFonts w:ascii="Verdana" w:eastAsia="Verdana" w:hAnsi="Verdana" w:cs="Verdana"/>
          <w:color w:val="000000" w:themeColor="text1"/>
          <w:lang w:val="es"/>
        </w:rPr>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w:t>
      </w:r>
      <w:r w:rsidRPr="39124533">
        <w:rPr>
          <w:rFonts w:ascii="Verdana" w:eastAsia="Verdana" w:hAnsi="Verdana" w:cs="Verdana"/>
          <w:color w:val="000000" w:themeColor="text1"/>
          <w:lang w:val="es"/>
        </w:rPr>
        <w:lastRenderedPageBreak/>
        <w:t>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w:t>
      </w:r>
      <w:r>
        <w:rPr>
          <w:rFonts w:ascii="Verdana" w:eastAsia="Verdana" w:hAnsi="Verdana" w:cs="Verdana"/>
          <w:color w:val="000000" w:themeColor="text1"/>
          <w:lang w:val="es"/>
        </w:rPr>
        <w:t xml:space="preserve"> </w:t>
      </w:r>
      <w:r w:rsidRPr="39124533">
        <w:rPr>
          <w:rFonts w:ascii="Verdana" w:eastAsia="Verdana" w:hAnsi="Verdana" w:cs="Verdana"/>
          <w:color w:val="000000" w:themeColor="text1"/>
          <w:lang w:val="es"/>
        </w:rPr>
        <w:t xml:space="preserve">Esta competencia de interpretación de normas generales, por definición, no puede extenderse a la resolución de controversias, ni a brindar asesorías sobre casos puntuales. </w:t>
      </w:r>
      <w:r w:rsidRPr="39124533">
        <w:rPr>
          <w:rFonts w:ascii="Calibri" w:eastAsia="Calibri" w:hAnsi="Calibri" w:cs="Calibri"/>
          <w:lang w:val="es"/>
        </w:rPr>
        <w:t xml:space="preserve">      </w:t>
      </w:r>
    </w:p>
    <w:p w14:paraId="25220BB3" w14:textId="77777777" w:rsidR="00C32987" w:rsidRPr="0015699B" w:rsidRDefault="00C32987" w:rsidP="00C32987">
      <w:pPr>
        <w:spacing w:after="0" w:line="240" w:lineRule="auto"/>
        <w:ind w:right="49" w:firstLine="360"/>
        <w:jc w:val="both"/>
        <w:textAlignment w:val="baseline"/>
        <w:rPr>
          <w:rFonts w:ascii="Verdana" w:eastAsia="Verdana" w:hAnsi="Verdana" w:cs="Verdana"/>
          <w:color w:val="000000" w:themeColor="text1"/>
          <w:lang w:val="es"/>
        </w:rPr>
      </w:pPr>
      <w:r w:rsidRPr="39124533">
        <w:rPr>
          <w:rFonts w:ascii="Verdana" w:eastAsia="Verdana" w:hAnsi="Verdana" w:cs="Verdana"/>
          <w:color w:val="000000" w:themeColor="text1"/>
          <w:lang w:val="es"/>
        </w:rPr>
        <w:t xml:space="preserve">Conforme lo expuesto, en aras de satisfacer el derecho fundamental de petición se resolverá su consulta dentro de los límites de la referida competencia consultiva, esto es, haciendo abstracción de las circunstancias particulares y concretas mencionadas en su petición, pero haciendo unas consideraciones sobre las normas generales relacionadas con el problema jurídico de su consulta. </w:t>
      </w:r>
    </w:p>
    <w:p w14:paraId="2627A3C7" w14:textId="77777777" w:rsidR="00C32987" w:rsidRPr="0015699B" w:rsidRDefault="00C32987" w:rsidP="00C32987">
      <w:pPr>
        <w:spacing w:after="0" w:line="276" w:lineRule="auto"/>
        <w:ind w:firstLine="709"/>
        <w:jc w:val="both"/>
        <w:textAlignment w:val="baseline"/>
        <w:rPr>
          <w:rFonts w:ascii="Verdana" w:eastAsia="Verdana" w:hAnsi="Verdana" w:cs="Verdana"/>
          <w:color w:val="000000" w:themeColor="text1"/>
          <w:lang w:val="es"/>
        </w:rPr>
      </w:pPr>
      <w:r w:rsidRPr="40A87941">
        <w:rPr>
          <w:rFonts w:ascii="Verdana" w:eastAsia="Verdana" w:hAnsi="Verdana" w:cs="Verdana"/>
          <w:color w:val="000000" w:themeColor="text1"/>
          <w:lang w:val="es"/>
        </w:rPr>
        <w:t xml:space="preserve"> </w:t>
      </w:r>
    </w:p>
    <w:p w14:paraId="59C2C349" w14:textId="77777777" w:rsidR="00C32987" w:rsidRPr="0015699B" w:rsidRDefault="00C32987" w:rsidP="00C32987">
      <w:pPr>
        <w:pStyle w:val="Prrafodelista"/>
        <w:numPr>
          <w:ilvl w:val="0"/>
          <w:numId w:val="16"/>
        </w:numPr>
        <w:spacing w:after="0" w:line="276" w:lineRule="auto"/>
        <w:ind w:left="851" w:hanging="567"/>
        <w:jc w:val="both"/>
        <w:textAlignment w:val="baseline"/>
        <w:rPr>
          <w:rFonts w:ascii="Verdana" w:eastAsia="Verdana" w:hAnsi="Verdana" w:cs="Verdana"/>
          <w:b/>
          <w:bCs/>
          <w:color w:val="000000" w:themeColor="text1"/>
          <w:lang w:val="es"/>
        </w:rPr>
      </w:pPr>
      <w:r w:rsidRPr="40A87941">
        <w:rPr>
          <w:rFonts w:ascii="Verdana" w:eastAsia="Verdana" w:hAnsi="Verdana" w:cs="Verdana"/>
          <w:b/>
          <w:bCs/>
          <w:color w:val="000000" w:themeColor="text1"/>
          <w:lang w:val="es"/>
        </w:rPr>
        <w:t>Problema planteado:</w:t>
      </w:r>
    </w:p>
    <w:p w14:paraId="1FCAB7FD" w14:textId="77777777" w:rsidR="00C32987" w:rsidRPr="0015699B" w:rsidRDefault="00C32987" w:rsidP="00C32987">
      <w:pPr>
        <w:tabs>
          <w:tab w:val="left" w:pos="426"/>
        </w:tabs>
        <w:spacing w:after="0" w:line="276" w:lineRule="auto"/>
        <w:jc w:val="both"/>
        <w:textAlignment w:val="baseline"/>
        <w:rPr>
          <w:rFonts w:ascii="Verdana" w:eastAsia="Verdana" w:hAnsi="Verdana" w:cs="Verdana"/>
          <w:color w:val="000000" w:themeColor="text1"/>
          <w:lang w:val="es"/>
        </w:rPr>
      </w:pPr>
      <w:r w:rsidRPr="40A87941">
        <w:rPr>
          <w:rFonts w:ascii="Verdana" w:eastAsia="Verdana" w:hAnsi="Verdana" w:cs="Verdana"/>
          <w:color w:val="000000" w:themeColor="text1"/>
          <w:lang w:val="es"/>
        </w:rPr>
        <w:t xml:space="preserve"> </w:t>
      </w:r>
    </w:p>
    <w:p w14:paraId="3F01310A" w14:textId="77777777" w:rsidR="00C32987" w:rsidRDefault="00C32987" w:rsidP="00C32987">
      <w:pPr>
        <w:spacing w:after="0" w:line="276" w:lineRule="auto"/>
        <w:jc w:val="both"/>
        <w:textAlignment w:val="baseline"/>
        <w:rPr>
          <w:rFonts w:ascii="Verdana" w:eastAsia="Verdana" w:hAnsi="Verdana" w:cs="Verdana"/>
          <w:color w:val="000000" w:themeColor="text1"/>
        </w:rPr>
      </w:pPr>
      <w:r w:rsidRPr="40A87941">
        <w:rPr>
          <w:rFonts w:ascii="Verdana" w:eastAsia="Verdana" w:hAnsi="Verdana" w:cs="Verdana"/>
          <w:color w:val="000000" w:themeColor="text1"/>
          <w:lang w:val="es"/>
        </w:rPr>
        <w:t xml:space="preserve">De acuerdo con el contenido de su solicitud, esta Agencia resolverá </w:t>
      </w:r>
      <w:r>
        <w:rPr>
          <w:rFonts w:ascii="Verdana" w:eastAsia="Verdana" w:hAnsi="Verdana" w:cs="Verdana"/>
          <w:color w:val="000000" w:themeColor="text1"/>
          <w:lang w:val="es"/>
        </w:rPr>
        <w:t xml:space="preserve">el </w:t>
      </w:r>
      <w:r w:rsidRPr="40A87941">
        <w:rPr>
          <w:rFonts w:ascii="Verdana" w:eastAsia="Verdana" w:hAnsi="Verdana" w:cs="Verdana"/>
          <w:color w:val="000000" w:themeColor="text1"/>
          <w:lang w:val="es"/>
        </w:rPr>
        <w:t>siguiente problema</w:t>
      </w:r>
      <w:r>
        <w:rPr>
          <w:rFonts w:ascii="Verdana" w:eastAsia="Verdana" w:hAnsi="Verdana" w:cs="Verdana"/>
          <w:color w:val="000000" w:themeColor="text1"/>
          <w:lang w:val="es"/>
        </w:rPr>
        <w:t xml:space="preserve"> </w:t>
      </w:r>
      <w:r w:rsidRPr="40A87941">
        <w:rPr>
          <w:rFonts w:ascii="Verdana" w:eastAsia="Verdana" w:hAnsi="Verdana" w:cs="Verdana"/>
          <w:color w:val="000000" w:themeColor="text1"/>
          <w:lang w:val="es"/>
        </w:rPr>
        <w:t>jurídico:</w:t>
      </w:r>
      <w:r>
        <w:rPr>
          <w:rFonts w:ascii="Verdana" w:eastAsia="Verdana" w:hAnsi="Verdana" w:cs="Verdana"/>
          <w:color w:val="000000" w:themeColor="text1"/>
          <w:lang w:val="es"/>
        </w:rPr>
        <w:t xml:space="preserve"> </w:t>
      </w:r>
      <w:r w:rsidRPr="00712F9E">
        <w:rPr>
          <w:rFonts w:ascii="Verdana" w:eastAsia="Verdana" w:hAnsi="Verdana" w:cs="Verdana"/>
          <w:color w:val="000000" w:themeColor="text1"/>
        </w:rPr>
        <w:t>¿Cuál es el alcance de la experiencia acreditada en el RUP por socios, accionistas o constituyentes de una sociedad y cuáles son los efectos de su desvinculación o de la superación del término de tres (3) años previsto en el numeral 2</w:t>
      </w:r>
      <w:r>
        <w:rPr>
          <w:rFonts w:ascii="Verdana" w:eastAsia="Verdana" w:hAnsi="Verdana" w:cs="Verdana"/>
          <w:color w:val="000000" w:themeColor="text1"/>
        </w:rPr>
        <w:t>.5</w:t>
      </w:r>
      <w:r w:rsidRPr="00712F9E">
        <w:rPr>
          <w:rFonts w:ascii="Verdana" w:eastAsia="Verdana" w:hAnsi="Verdana" w:cs="Verdana"/>
          <w:color w:val="000000" w:themeColor="text1"/>
        </w:rPr>
        <w:t xml:space="preserve"> del artículo 2</w:t>
      </w:r>
      <w:r>
        <w:rPr>
          <w:rFonts w:ascii="Verdana" w:eastAsia="Verdana" w:hAnsi="Verdana" w:cs="Verdana"/>
          <w:color w:val="000000" w:themeColor="text1"/>
        </w:rPr>
        <w:t>.</w:t>
      </w:r>
      <w:r w:rsidRPr="00712F9E">
        <w:rPr>
          <w:rFonts w:ascii="Verdana" w:eastAsia="Verdana" w:hAnsi="Verdana" w:cs="Verdana"/>
          <w:color w:val="000000" w:themeColor="text1"/>
        </w:rPr>
        <w:t>2.1.1.1.5.2 del Decreto 1082 de 2015?</w:t>
      </w:r>
    </w:p>
    <w:p w14:paraId="2BC31517" w14:textId="77777777" w:rsidR="00C32987" w:rsidRDefault="00C32987" w:rsidP="00C32987">
      <w:pPr>
        <w:spacing w:after="0" w:line="276" w:lineRule="auto"/>
        <w:jc w:val="both"/>
        <w:textAlignment w:val="baseline"/>
        <w:rPr>
          <w:rFonts w:ascii="Verdana" w:eastAsia="Verdana" w:hAnsi="Verdana" w:cs="Verdana"/>
          <w:color w:val="000000" w:themeColor="text1"/>
        </w:rPr>
      </w:pPr>
      <w:r>
        <w:rPr>
          <w:rFonts w:ascii="Verdana" w:eastAsia="Verdana" w:hAnsi="Verdana" w:cs="Verdana"/>
          <w:color w:val="000000" w:themeColor="text1"/>
        </w:rPr>
        <w:t xml:space="preserve"> </w:t>
      </w:r>
    </w:p>
    <w:p w14:paraId="760CDFA1" w14:textId="77777777" w:rsidR="00C32987" w:rsidRPr="0015699B" w:rsidRDefault="00C32987" w:rsidP="00C32987">
      <w:pPr>
        <w:pStyle w:val="Prrafodelista"/>
        <w:numPr>
          <w:ilvl w:val="0"/>
          <w:numId w:val="16"/>
        </w:numPr>
        <w:spacing w:after="0" w:line="257" w:lineRule="auto"/>
        <w:ind w:left="1080" w:hanging="720"/>
        <w:jc w:val="both"/>
        <w:textAlignment w:val="baseline"/>
        <w:rPr>
          <w:rFonts w:ascii="Verdana" w:eastAsia="Verdana" w:hAnsi="Verdana" w:cs="Verdana"/>
          <w:b/>
          <w:bCs/>
          <w:lang w:val="es"/>
        </w:rPr>
      </w:pPr>
      <w:r w:rsidRPr="40A87941">
        <w:rPr>
          <w:rFonts w:ascii="Verdana" w:eastAsia="Verdana" w:hAnsi="Verdana" w:cs="Verdana"/>
          <w:b/>
          <w:bCs/>
          <w:lang w:val="es"/>
        </w:rPr>
        <w:t>Respuesta:</w:t>
      </w:r>
    </w:p>
    <w:p w14:paraId="66EC203E" w14:textId="77777777" w:rsidR="00C32987" w:rsidRPr="0015699B" w:rsidRDefault="00C32987" w:rsidP="00C32987">
      <w:pPr>
        <w:tabs>
          <w:tab w:val="left" w:pos="142"/>
          <w:tab w:val="left" w:pos="284"/>
        </w:tabs>
        <w:spacing w:after="0" w:line="276" w:lineRule="auto"/>
        <w:jc w:val="both"/>
        <w:textAlignment w:val="baseline"/>
        <w:rPr>
          <w:rFonts w:ascii="Verdana" w:eastAsia="Verdana" w:hAnsi="Verdana" w:cs="Verdana"/>
          <w:b/>
          <w:bCs/>
          <w:color w:val="000000" w:themeColor="text1"/>
          <w:lang w:val="es"/>
        </w:rPr>
      </w:pPr>
      <w:r w:rsidRPr="40A87941">
        <w:rPr>
          <w:rFonts w:ascii="Verdana" w:eastAsia="Verdana" w:hAnsi="Verdana" w:cs="Verdana"/>
          <w:b/>
          <w:bCs/>
          <w:color w:val="000000" w:themeColor="text1"/>
          <w:lang w:val="es"/>
        </w:rPr>
        <w:t xml:space="preserve"> </w:t>
      </w:r>
    </w:p>
    <w:tbl>
      <w:tblPr>
        <w:tblStyle w:val="Tablaconcuadrcula"/>
        <w:tblW w:w="0" w:type="auto"/>
        <w:tblLook w:val="04A0" w:firstRow="1" w:lastRow="0" w:firstColumn="1" w:lastColumn="0" w:noHBand="0" w:noVBand="1"/>
      </w:tblPr>
      <w:tblGrid>
        <w:gridCol w:w="8818"/>
      </w:tblGrid>
      <w:tr w:rsidR="00C32987" w14:paraId="727C4B58" w14:textId="77777777" w:rsidTr="00F9429A">
        <w:trPr>
          <w:trHeight w:val="780"/>
        </w:trPr>
        <w:tc>
          <w:tcPr>
            <w:tcW w:w="8818" w:type="dxa"/>
            <w:tcBorders>
              <w:top w:val="dotted" w:sz="8" w:space="0" w:color="auto"/>
              <w:left w:val="dotted" w:sz="8" w:space="0" w:color="auto"/>
              <w:bottom w:val="dotted" w:sz="8" w:space="0" w:color="auto"/>
              <w:right w:val="dotted" w:sz="8" w:space="0" w:color="auto"/>
            </w:tcBorders>
            <w:tcMar>
              <w:left w:w="108" w:type="dxa"/>
              <w:right w:w="108" w:type="dxa"/>
            </w:tcMar>
          </w:tcPr>
          <w:p w14:paraId="0B9DD500" w14:textId="77777777" w:rsidR="00C32987" w:rsidRPr="00712F9E" w:rsidRDefault="00C32987" w:rsidP="00F9429A">
            <w:pPr>
              <w:spacing w:after="120" w:line="276" w:lineRule="auto"/>
              <w:jc w:val="both"/>
              <w:rPr>
                <w:rFonts w:ascii="Verdana" w:eastAsia="Verdana" w:hAnsi="Verdana" w:cs="Verdana"/>
              </w:rPr>
            </w:pPr>
            <w:r>
              <w:rPr>
                <w:rFonts w:ascii="Verdana" w:eastAsia="Verdana" w:hAnsi="Verdana" w:cs="Verdana"/>
              </w:rPr>
              <w:t xml:space="preserve">        De manera preliminar y p</w:t>
            </w:r>
            <w:r w:rsidRPr="00863D1A">
              <w:rPr>
                <w:rFonts w:ascii="Verdana" w:eastAsia="Verdana" w:hAnsi="Verdana" w:cs="Verdana"/>
              </w:rPr>
              <w:t xml:space="preserve">ara efectos de resolver la consulta, resulta necesario </w:t>
            </w:r>
            <w:r>
              <w:rPr>
                <w:rFonts w:ascii="Verdana" w:eastAsia="Verdana" w:hAnsi="Verdana" w:cs="Verdana"/>
              </w:rPr>
              <w:t>precisar que e</w:t>
            </w:r>
            <w:r w:rsidRPr="00712F9E">
              <w:rPr>
                <w:rFonts w:ascii="Verdana" w:eastAsia="Verdana" w:hAnsi="Verdana" w:cs="Verdana"/>
              </w:rPr>
              <w:t>l numeral 2.5 del artículo 2.2.1.1.1.5.2 del Decreto 1082 de 2015 establece una regla excepcional que permite a las sociedades con una constitución inferior a tres (3) años acreditar en el Registro Único de Proponentes (RUP) la experiencia de sus socios, accionistas o constituyentes. Esta disposición busca facilitar la participación de nuevas personas jurídicas en los procesos de contratación estatal, permitiéndoles acreditar experiencia a partir de la trayectoria de quienes las integran.</w:t>
            </w:r>
          </w:p>
          <w:p w14:paraId="410118BF" w14:textId="77777777" w:rsidR="00C32987" w:rsidRPr="00712F9E" w:rsidRDefault="00C32987" w:rsidP="00F9429A">
            <w:pPr>
              <w:spacing w:after="120" w:line="276" w:lineRule="auto"/>
              <w:jc w:val="both"/>
              <w:rPr>
                <w:rFonts w:ascii="Verdana" w:eastAsia="Verdana" w:hAnsi="Verdana" w:cs="Verdana"/>
              </w:rPr>
            </w:pPr>
            <w:r>
              <w:rPr>
                <w:rFonts w:ascii="Verdana" w:eastAsia="Verdana" w:hAnsi="Verdana" w:cs="Verdana"/>
              </w:rPr>
              <w:t xml:space="preserve">         </w:t>
            </w:r>
            <w:r w:rsidRPr="00712F9E">
              <w:rPr>
                <w:rFonts w:ascii="Verdana" w:eastAsia="Verdana" w:hAnsi="Verdana" w:cs="Verdana"/>
              </w:rPr>
              <w:t xml:space="preserve">Sobre el alcance de esta prerrogativa, la Agencia Nacional de Contratación Pública – Colombia Compra Eficiente, en el Concepto C-585 del 14 de mayo de 2026, precisó que cuando una sociedad con menos de tres (3) años de constituida registra válidamente en el RUP la experiencia de sus </w:t>
            </w:r>
            <w:r w:rsidRPr="00712F9E">
              <w:rPr>
                <w:rFonts w:ascii="Verdana" w:eastAsia="Verdana" w:hAnsi="Verdana" w:cs="Verdana"/>
              </w:rPr>
              <w:lastRenderedPageBreak/>
              <w:t xml:space="preserve">socios, accionistas o constituyentes, y mantiene vigente dicho registro mediante su renovación oportuna, puede continuar utilizando la experiencia inscrita aun después de haber superado el término de tres (3) años de existencia. En palabras de </w:t>
            </w:r>
            <w:r>
              <w:rPr>
                <w:rFonts w:ascii="Verdana" w:eastAsia="Verdana" w:hAnsi="Verdana" w:cs="Verdana"/>
              </w:rPr>
              <w:t>esta</w:t>
            </w:r>
            <w:r w:rsidRPr="00712F9E">
              <w:rPr>
                <w:rFonts w:ascii="Verdana" w:eastAsia="Verdana" w:hAnsi="Verdana" w:cs="Verdana"/>
              </w:rPr>
              <w:t xml:space="preserve"> Agencia:</w:t>
            </w:r>
            <w:r>
              <w:rPr>
                <w:rFonts w:ascii="Verdana" w:eastAsia="Verdana" w:hAnsi="Verdana" w:cs="Verdana"/>
              </w:rPr>
              <w:t xml:space="preserve"> </w:t>
            </w:r>
            <w:r w:rsidRPr="00712F9E">
              <w:rPr>
                <w:rFonts w:ascii="Verdana" w:eastAsia="Verdana" w:hAnsi="Verdana" w:cs="Verdana"/>
              </w:rPr>
              <w:t>“si la persona jurídica con menos de tres (3) años de constituida registra la experiencia de sus socios en el RUP, y éste es renovado, puede continuar utilizando la experiencia inscrita mientras no cesen los efectos del RUP”.</w:t>
            </w:r>
          </w:p>
          <w:p w14:paraId="621F369E" w14:textId="77777777" w:rsidR="00C32987" w:rsidRPr="00712F9E" w:rsidRDefault="00C32987" w:rsidP="00F9429A">
            <w:pPr>
              <w:spacing w:after="120" w:line="276" w:lineRule="auto"/>
              <w:jc w:val="both"/>
              <w:rPr>
                <w:rFonts w:ascii="Verdana" w:eastAsia="Verdana" w:hAnsi="Verdana" w:cs="Verdana"/>
              </w:rPr>
            </w:pPr>
            <w:r>
              <w:rPr>
                <w:rFonts w:ascii="Verdana" w:eastAsia="Verdana" w:hAnsi="Verdana" w:cs="Verdana"/>
              </w:rPr>
              <w:t xml:space="preserve">          </w:t>
            </w:r>
            <w:r w:rsidRPr="00712F9E">
              <w:rPr>
                <w:rFonts w:ascii="Verdana" w:eastAsia="Verdana" w:hAnsi="Verdana" w:cs="Verdana"/>
              </w:rPr>
              <w:t>No obstante, dicha conclusión debe interpretarse de manera sistemática con la finalidad y alcance de la norma. La experiencia de los socios constituye una excepción al principio general según el cual la experiencia es un atributo propio de quien ejecutó el contrato correspondiente. Por ello, la posibilidad de acreditar experiencia ajena a la persona jurídica se encuentra condicionada a los supuestos expresamente previstos en el ordenamiento jurídico.</w:t>
            </w:r>
          </w:p>
          <w:p w14:paraId="627F466E" w14:textId="77777777" w:rsidR="00C32987" w:rsidRPr="00712F9E" w:rsidRDefault="00C32987" w:rsidP="00F9429A">
            <w:pPr>
              <w:spacing w:after="120" w:line="276" w:lineRule="auto"/>
              <w:jc w:val="both"/>
              <w:rPr>
                <w:rFonts w:ascii="Verdana" w:eastAsia="Verdana" w:hAnsi="Verdana" w:cs="Verdana"/>
              </w:rPr>
            </w:pPr>
            <w:r>
              <w:rPr>
                <w:rFonts w:ascii="Verdana" w:eastAsia="Verdana" w:hAnsi="Verdana" w:cs="Verdana"/>
              </w:rPr>
              <w:t xml:space="preserve">         </w:t>
            </w:r>
            <w:r w:rsidRPr="00712F9E">
              <w:rPr>
                <w:rFonts w:ascii="Verdana" w:eastAsia="Verdana" w:hAnsi="Verdana" w:cs="Verdana"/>
              </w:rPr>
              <w:t>En este sentido, aunque la experiencia incorporada al RUP puede mantenerse vigente después de que la sociedad supera los tres (3) años de existencia, ello no implica que la sociedad pueda incorporar indefinidamente nueva experiencia proveniente de personas que ingresen con posterioridad a su composición societaria. La regla prevista en el numeral 2.5 del artículo 2.2.1.1.1.5.2 del Decreto 1082 de 2015 solo autoriza acreditar la experiencia de socios, accionistas o constituyentes cuando la sociedad tiene menos de tres (3) años de constituida.</w:t>
            </w:r>
          </w:p>
          <w:p w14:paraId="47BDCD8A" w14:textId="77777777" w:rsidR="00C32987" w:rsidRPr="00712F9E" w:rsidRDefault="00C32987" w:rsidP="00F9429A">
            <w:pPr>
              <w:spacing w:after="120" w:line="276" w:lineRule="auto"/>
              <w:jc w:val="both"/>
              <w:rPr>
                <w:rFonts w:ascii="Verdana" w:eastAsia="Verdana" w:hAnsi="Verdana" w:cs="Verdana"/>
              </w:rPr>
            </w:pPr>
            <w:r>
              <w:rPr>
                <w:rFonts w:ascii="Verdana" w:eastAsia="Verdana" w:hAnsi="Verdana" w:cs="Verdana"/>
              </w:rPr>
              <w:t xml:space="preserve">         </w:t>
            </w:r>
            <w:r w:rsidRPr="00712F9E">
              <w:rPr>
                <w:rFonts w:ascii="Verdana" w:eastAsia="Verdana" w:hAnsi="Verdana" w:cs="Verdana"/>
              </w:rPr>
              <w:t>Por esta razón, si posteriormente se presenta una cesión de acciones, una sustitución de socios, un retiro voluntario o cualquier modificación de la composición societaria, la sociedad no cuenta con habilitación legal para reemplazar la experiencia inicialmente acreditada por la experiencia de nuevos socios cuando ya ha superado el término de tres (3) años previsto en la norma.</w:t>
            </w:r>
          </w:p>
          <w:p w14:paraId="57831055" w14:textId="77777777" w:rsidR="00C32987" w:rsidRPr="00712F9E" w:rsidRDefault="00C32987" w:rsidP="00F9429A">
            <w:pPr>
              <w:spacing w:after="120" w:line="276" w:lineRule="auto"/>
              <w:jc w:val="both"/>
              <w:rPr>
                <w:rFonts w:ascii="Verdana" w:eastAsia="Verdana" w:hAnsi="Verdana" w:cs="Verdana"/>
              </w:rPr>
            </w:pPr>
            <w:r>
              <w:rPr>
                <w:rFonts w:ascii="Verdana" w:eastAsia="Verdana" w:hAnsi="Verdana" w:cs="Verdana"/>
              </w:rPr>
              <w:t xml:space="preserve">          </w:t>
            </w:r>
            <w:r w:rsidRPr="00712F9E">
              <w:rPr>
                <w:rFonts w:ascii="Verdana" w:eastAsia="Verdana" w:hAnsi="Verdana" w:cs="Verdana"/>
              </w:rPr>
              <w:t xml:space="preserve">De igual forma, la doctrina de Colombia Compra Eficiente ha sostenido que la experiencia acreditada mediante esta prerrogativa conserva un vínculo jurídico con la calidad de socio, accionista o constituyente que permitió su incorporación. En consecuencia, si la persona cuya experiencia fue utilizada pierde dicha condición, desaparece el presupuesto jurídico que justificaba su acreditación. Bajo esta interpretación, no resulta jurídicamente procedente </w:t>
            </w:r>
            <w:r w:rsidRPr="00712F9E">
              <w:rPr>
                <w:rFonts w:ascii="Verdana" w:eastAsia="Verdana" w:hAnsi="Verdana" w:cs="Verdana"/>
              </w:rPr>
              <w:lastRenderedPageBreak/>
              <w:t>que la sociedad continúe acreditando como propia una experiencia cuyo titular ya no forma parte de la persona jurídica.</w:t>
            </w:r>
          </w:p>
          <w:p w14:paraId="5A16679E" w14:textId="77777777" w:rsidR="00C32987" w:rsidRPr="00712F9E" w:rsidRDefault="00C32987" w:rsidP="00F9429A">
            <w:pPr>
              <w:spacing w:after="120" w:line="276" w:lineRule="auto"/>
              <w:jc w:val="both"/>
              <w:rPr>
                <w:rFonts w:ascii="Verdana" w:eastAsia="Verdana" w:hAnsi="Verdana" w:cs="Verdana"/>
              </w:rPr>
            </w:pPr>
            <w:r>
              <w:rPr>
                <w:rFonts w:ascii="Verdana" w:eastAsia="Verdana" w:hAnsi="Verdana" w:cs="Verdana"/>
              </w:rPr>
              <w:t xml:space="preserve">          </w:t>
            </w:r>
            <w:r w:rsidRPr="00712F9E">
              <w:rPr>
                <w:rFonts w:ascii="Verdana" w:eastAsia="Verdana" w:hAnsi="Verdana" w:cs="Verdana"/>
              </w:rPr>
              <w:t>Lo anterior conduce a que los cambios en la composición societaria deban reflejarse en la información contenida en el Registro Único de Proponentes, de conformidad con los principios de veracidad, buena fe y correspondencia entre la realidad jurídica del proponente y la información registral que sirve de soporte para la verificación de los requisitos habilitantes.</w:t>
            </w:r>
          </w:p>
          <w:p w14:paraId="2891F0F7" w14:textId="77777777" w:rsidR="00C32987" w:rsidRPr="00712F9E" w:rsidRDefault="00C32987" w:rsidP="00F9429A">
            <w:pPr>
              <w:spacing w:after="120" w:line="276" w:lineRule="auto"/>
              <w:jc w:val="both"/>
              <w:rPr>
                <w:rFonts w:ascii="Verdana" w:eastAsia="Verdana" w:hAnsi="Verdana" w:cs="Verdana"/>
              </w:rPr>
            </w:pPr>
            <w:r>
              <w:rPr>
                <w:rFonts w:ascii="Verdana" w:eastAsia="Verdana" w:hAnsi="Verdana" w:cs="Verdana"/>
              </w:rPr>
              <w:t xml:space="preserve">         </w:t>
            </w:r>
            <w:r w:rsidRPr="00712F9E">
              <w:rPr>
                <w:rFonts w:ascii="Verdana" w:eastAsia="Verdana" w:hAnsi="Verdana" w:cs="Verdana"/>
              </w:rPr>
              <w:t>Adicionalmente, debe señalarse que el propio Concepto C-585 del 14 de mayo de 2026 precisó que el numeral 2.5 del artículo 2.2.1.1.1.5.2 del Decreto 1082 de 2015 no establece condicionamientos relacionados con el porcentaje de participación accionaria del socio que aporta la experiencia, razón por la cual dicho elemento no constituye un criterio relevante para determinar la procedencia de su acreditación.</w:t>
            </w:r>
          </w:p>
          <w:p w14:paraId="01D60209" w14:textId="77777777" w:rsidR="00C32987" w:rsidRDefault="00C32987" w:rsidP="00F9429A">
            <w:pPr>
              <w:spacing w:after="120" w:line="276" w:lineRule="auto"/>
              <w:jc w:val="both"/>
              <w:rPr>
                <w:rFonts w:ascii="Verdana" w:eastAsia="Calibri" w:hAnsi="Verdana" w:cs="Times New Roman"/>
                <w:lang w:val="es-ES"/>
              </w:rPr>
            </w:pPr>
            <w:r>
              <w:rPr>
                <w:rFonts w:ascii="Verdana" w:eastAsia="Arial" w:hAnsi="Verdana" w:cs="Arial"/>
              </w:rPr>
              <w:t xml:space="preserve">        F</w:t>
            </w:r>
            <w:r>
              <w:rPr>
                <w:rFonts w:ascii="Verdana" w:eastAsia="Calibri" w:hAnsi="Verdana" w:cs="Arial"/>
                <w:bCs/>
                <w:color w:val="000000" w:themeColor="text1"/>
              </w:rPr>
              <w:t>inalmente</w:t>
            </w:r>
            <w:r>
              <w:rPr>
                <w:rFonts w:ascii="Verdana" w:eastAsia="Calibri" w:hAnsi="Verdana" w:cs="Times New Roman"/>
                <w:lang w:val="es-ES"/>
              </w:rPr>
              <w:t>,</w:t>
            </w:r>
            <w:r w:rsidRPr="00DB4737">
              <w:rPr>
                <w:rFonts w:ascii="Verdana" w:eastAsia="Calibri" w:hAnsi="Verdana" w:cs="Times New Roman"/>
                <w:lang w:val="es-ES"/>
              </w:rPr>
              <w:t xml:space="preserve"> debe advertirse que el análisis en torno </w:t>
            </w:r>
            <w:r>
              <w:rPr>
                <w:rFonts w:ascii="Verdana" w:eastAsia="Calibri" w:hAnsi="Verdana" w:cs="Times New Roman"/>
                <w:lang w:val="es-ES"/>
              </w:rPr>
              <w:t>a un proceso de contratación especifico debe</w:t>
            </w:r>
            <w:r w:rsidRPr="0012388D">
              <w:rPr>
                <w:rFonts w:ascii="Verdana" w:eastAsia="Calibri" w:hAnsi="Verdana" w:cs="Times New Roman"/>
                <w:lang w:val="es-ES"/>
              </w:rPr>
              <w:t xml:space="preserve"> ser realizado por quienes tengan interés en ello.</w:t>
            </w:r>
            <w:r w:rsidRPr="00DB4737">
              <w:rPr>
                <w:rFonts w:ascii="Verdana" w:eastAsia="Calibri" w:hAnsi="Verdana" w:cs="Times New Roman"/>
                <w:lang w:val="es-ES"/>
              </w:rPr>
              <w:t xml:space="preserve"> De esta forma, las afirmaciones aquí realizadas no pueden ser interpretadas como juicios de valor sobre circunstancias concretas relacionadas con los hechos que motivan la consulta. Por lo anterior, previo concepto de sus asesores, la solución de situaciones particulares corresponderá a los interesados de adoptar la decisión y, en caso de conflicto, a las autoridades judiciales, fiscales y disciplinarias.</w:t>
            </w:r>
          </w:p>
          <w:p w14:paraId="0A18BFA1" w14:textId="77777777" w:rsidR="00C32987" w:rsidRDefault="00C32987" w:rsidP="00F9429A">
            <w:pPr>
              <w:spacing w:after="120" w:line="276" w:lineRule="auto"/>
              <w:jc w:val="both"/>
              <w:rPr>
                <w:rFonts w:ascii="Verdana" w:eastAsia="Verdana" w:hAnsi="Verdana" w:cs="Verdana"/>
              </w:rPr>
            </w:pPr>
            <w:r>
              <w:rPr>
                <w:rFonts w:ascii="Verdana" w:eastAsia="Calibri" w:hAnsi="Verdana" w:cs="Times New Roman"/>
                <w:lang w:val="es-ES"/>
              </w:rPr>
              <w:t xml:space="preserve">         Así las cosas</w:t>
            </w:r>
            <w:r w:rsidRPr="00DB4737">
              <w:rPr>
                <w:rFonts w:ascii="Verdana" w:eastAsia="Calibri" w:hAnsi="Verdana" w:cs="Times New Roman"/>
                <w:lang w:val="es-ES"/>
              </w:rPr>
              <w:t>, al tratarse de un análisis que debe realizarse en un procedimiento contractual específico, esta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la Agencia Nacional de Contratación Pública – Colombia Compra Eficiente, validar sus actuaciones.</w:t>
            </w:r>
          </w:p>
        </w:tc>
      </w:tr>
    </w:tbl>
    <w:p w14:paraId="25636739" w14:textId="77777777" w:rsidR="00C32987" w:rsidRPr="0015699B" w:rsidRDefault="00C32987" w:rsidP="00C32987">
      <w:pPr>
        <w:tabs>
          <w:tab w:val="left" w:pos="142"/>
          <w:tab w:val="left" w:pos="284"/>
        </w:tabs>
        <w:spacing w:after="0" w:line="276" w:lineRule="auto"/>
        <w:jc w:val="both"/>
        <w:textAlignment w:val="baseline"/>
        <w:rPr>
          <w:rFonts w:ascii="Verdana" w:eastAsia="Verdana" w:hAnsi="Verdana" w:cs="Verdana"/>
          <w:b/>
          <w:bCs/>
          <w:color w:val="000000" w:themeColor="text1"/>
          <w:lang w:val="es"/>
        </w:rPr>
      </w:pPr>
      <w:r w:rsidRPr="40A87941">
        <w:rPr>
          <w:rFonts w:ascii="Verdana" w:eastAsia="Verdana" w:hAnsi="Verdana" w:cs="Verdana"/>
          <w:b/>
          <w:bCs/>
          <w:color w:val="000000" w:themeColor="text1"/>
          <w:lang w:val="es"/>
        </w:rPr>
        <w:lastRenderedPageBreak/>
        <w:t xml:space="preserve"> </w:t>
      </w:r>
    </w:p>
    <w:p w14:paraId="717BAE6D" w14:textId="77777777" w:rsidR="00C32987" w:rsidRPr="0015699B" w:rsidRDefault="00C32987" w:rsidP="00C32987">
      <w:pPr>
        <w:pStyle w:val="Prrafodelista"/>
        <w:numPr>
          <w:ilvl w:val="0"/>
          <w:numId w:val="16"/>
        </w:numPr>
        <w:spacing w:after="0" w:line="276" w:lineRule="auto"/>
        <w:ind w:left="1080" w:hanging="720"/>
        <w:jc w:val="both"/>
        <w:textAlignment w:val="baseline"/>
        <w:rPr>
          <w:rFonts w:ascii="Verdana" w:eastAsia="Verdana" w:hAnsi="Verdana" w:cs="Verdana"/>
          <w:b/>
          <w:bCs/>
          <w:color w:val="000000" w:themeColor="text1"/>
          <w:lang w:val="es"/>
        </w:rPr>
      </w:pPr>
      <w:r w:rsidRPr="40A87941">
        <w:rPr>
          <w:rFonts w:ascii="Verdana" w:eastAsia="Verdana" w:hAnsi="Verdana" w:cs="Verdana"/>
          <w:b/>
          <w:bCs/>
          <w:color w:val="000000" w:themeColor="text1"/>
          <w:lang w:val="es"/>
        </w:rPr>
        <w:t>Razones de la respuesta:</w:t>
      </w:r>
    </w:p>
    <w:p w14:paraId="30DF78B2" w14:textId="77777777" w:rsidR="00C32987" w:rsidRPr="0015699B" w:rsidRDefault="00C32987" w:rsidP="00C32987">
      <w:pPr>
        <w:tabs>
          <w:tab w:val="left" w:pos="142"/>
          <w:tab w:val="left" w:pos="284"/>
        </w:tabs>
        <w:spacing w:after="0" w:line="276" w:lineRule="auto"/>
        <w:jc w:val="both"/>
        <w:textAlignment w:val="baseline"/>
        <w:rPr>
          <w:rFonts w:ascii="Verdana" w:eastAsia="Verdana" w:hAnsi="Verdana" w:cs="Verdana"/>
          <w:b/>
          <w:bCs/>
          <w:color w:val="000000" w:themeColor="text1"/>
          <w:lang w:val="es"/>
        </w:rPr>
      </w:pPr>
      <w:r w:rsidRPr="40A87941">
        <w:rPr>
          <w:rFonts w:ascii="Verdana" w:eastAsia="Verdana" w:hAnsi="Verdana" w:cs="Verdana"/>
          <w:b/>
          <w:bCs/>
          <w:color w:val="000000" w:themeColor="text1"/>
          <w:lang w:val="es"/>
        </w:rPr>
        <w:t xml:space="preserve"> </w:t>
      </w:r>
    </w:p>
    <w:p w14:paraId="08260A20" w14:textId="77777777" w:rsidR="00C32987" w:rsidRPr="0015699B" w:rsidRDefault="00C32987" w:rsidP="00C32987">
      <w:pPr>
        <w:spacing w:after="0" w:line="276" w:lineRule="auto"/>
        <w:jc w:val="both"/>
        <w:textAlignment w:val="baseline"/>
        <w:rPr>
          <w:rFonts w:ascii="Verdana" w:eastAsia="Verdana" w:hAnsi="Verdana" w:cs="Verdana"/>
          <w:lang w:val="es"/>
        </w:rPr>
      </w:pPr>
      <w:r w:rsidRPr="40A87941">
        <w:rPr>
          <w:rFonts w:ascii="Verdana" w:eastAsia="Verdana" w:hAnsi="Verdana" w:cs="Verdana"/>
          <w:lang w:val="es"/>
        </w:rPr>
        <w:t xml:space="preserve">Lo anterior se sustenta en las siguientes consideraciones: </w:t>
      </w:r>
    </w:p>
    <w:p w14:paraId="365F2FB6" w14:textId="77777777" w:rsidR="00C32987" w:rsidRPr="0015699B" w:rsidRDefault="00C32987" w:rsidP="00C32987">
      <w:pPr>
        <w:spacing w:after="0" w:line="276" w:lineRule="auto"/>
        <w:jc w:val="both"/>
        <w:textAlignment w:val="baseline"/>
        <w:rPr>
          <w:rFonts w:ascii="Verdana" w:eastAsia="Verdana" w:hAnsi="Verdana" w:cs="Verdana"/>
          <w:lang w:val="es"/>
        </w:rPr>
      </w:pPr>
      <w:r w:rsidRPr="40A87941">
        <w:rPr>
          <w:rFonts w:ascii="Verdana" w:eastAsia="Verdana" w:hAnsi="Verdana" w:cs="Verdana"/>
          <w:lang w:val="es"/>
        </w:rPr>
        <w:t xml:space="preserve"> </w:t>
      </w:r>
    </w:p>
    <w:p w14:paraId="7CB63AE5" w14:textId="77777777" w:rsidR="00C32987" w:rsidRPr="00E74FB5" w:rsidRDefault="00C32987" w:rsidP="00C32987">
      <w:pPr>
        <w:spacing w:after="0" w:line="276" w:lineRule="auto"/>
        <w:ind w:firstLine="708"/>
        <w:jc w:val="both"/>
        <w:rPr>
          <w:rFonts w:ascii="Verdana" w:eastAsia="Calibri" w:hAnsi="Verdana" w:cs="Arial"/>
          <w:lang w:val="es-MX"/>
        </w:rPr>
      </w:pPr>
      <w:r>
        <w:rPr>
          <w:rFonts w:ascii="Verdana" w:eastAsia="Calibri" w:hAnsi="Verdana" w:cs="Times New Roman"/>
        </w:rPr>
        <w:lastRenderedPageBreak/>
        <w:t xml:space="preserve">De manera preliminar es pertinente indicar que </w:t>
      </w:r>
      <w:r w:rsidRPr="00E74FB5">
        <w:rPr>
          <w:rFonts w:ascii="Verdana" w:eastAsia="Calibri" w:hAnsi="Verdana" w:cs="Arial"/>
          <w:lang w:val="es-MX"/>
        </w:rPr>
        <w:t>la Agencia Nacional de Contratación Pública – Colombia Compra Eficiente puso a disposición de los interesados del Sistema de Compra Pública el Manual para determinar y verificar requisitos habilitantes en los procesos de contratación, donde se establecen las definiciones de cada requisito habilitante y se dan lineamientos sobre lo que las entidades pueden hacer para establecerlos. En relación con la experiencia, el Manual se centra en su carácter personal, lo cual significa que la experiencia se obtiene en razón a la participación, con anterioridad, en actividades que le permitieron conocer cómo ejecutar determinado objeto contractual, que la entidad ahora pretende desarrollar</w:t>
      </w:r>
      <w:r w:rsidRPr="00E74FB5">
        <w:rPr>
          <w:rFonts w:ascii="Verdana" w:eastAsia="Calibri" w:hAnsi="Verdana" w:cs="Arial"/>
          <w:vertAlign w:val="superscript"/>
          <w:lang w:val="es-MX"/>
        </w:rPr>
        <w:footnoteReference w:id="1"/>
      </w:r>
      <w:r w:rsidRPr="00E74FB5">
        <w:rPr>
          <w:rFonts w:ascii="Verdana" w:eastAsia="Calibri" w:hAnsi="Verdana" w:cs="Arial"/>
          <w:lang w:val="es-MX"/>
        </w:rPr>
        <w:t>.</w:t>
      </w:r>
    </w:p>
    <w:p w14:paraId="75FE64F7" w14:textId="77777777" w:rsidR="00C32987" w:rsidRPr="00E74FB5" w:rsidRDefault="00C32987" w:rsidP="00C32987">
      <w:pPr>
        <w:spacing w:before="120" w:after="120" w:line="276" w:lineRule="auto"/>
        <w:ind w:firstLine="708"/>
        <w:jc w:val="both"/>
        <w:rPr>
          <w:rFonts w:ascii="Verdana" w:eastAsia="Calibri" w:hAnsi="Verdana" w:cs="Arial"/>
          <w:lang w:val="es-MX"/>
        </w:rPr>
      </w:pPr>
      <w:r w:rsidRPr="00E74FB5">
        <w:rPr>
          <w:rFonts w:ascii="Verdana" w:eastAsia="Calibri" w:hAnsi="Verdana" w:cs="Arial"/>
          <w:lang w:val="es-MX"/>
        </w:rPr>
        <w:t xml:space="preserve">Lo anterior es determinante, porque no es posible adquirir la experiencia si en la práctica no se han ejecutado actividades similares previas; y precisamente de la experiencia se deriva el conocimiento del proponente, y para la contratación pública es importante, pues ello garantiza que no habrá improvisación ni mayores costos por errores o dificultades originadas en realizar una actividad por primera vez. Adicionalmente, el Manual explica que la experiencia puede obtenerse directamente o por participar asociado con otra persona, como es el caso de los proponentes plurales, en cuyo evento la experiencia no deja de ser personal, sino que es proporcional a la participación como miembro de un consorcio o unión temporal, donde por tratarse de esquemas asociativos la experiencia es compartida. Por otra parte, la Agencia recomienda que la experiencia que se solicite sea proporcional y no igual al objeto que se va a contratar, ya que esto puede limitar la participación de los </w:t>
      </w:r>
      <w:r w:rsidRPr="00E74FB5">
        <w:rPr>
          <w:rFonts w:ascii="Verdana" w:eastAsia="Calibri" w:hAnsi="Verdana" w:cs="Arial"/>
          <w:lang w:val="es-MX"/>
        </w:rPr>
        <w:lastRenderedPageBreak/>
        <w:t xml:space="preserve">proveedores por no haber ejecutado un objeto igual pero sí similar, lo que ayuda a que exista pluralidad de oferentes. </w:t>
      </w:r>
    </w:p>
    <w:p w14:paraId="3B7448A6" w14:textId="77777777" w:rsidR="00C32987" w:rsidRPr="00E74FB5" w:rsidRDefault="00C32987" w:rsidP="00C32987">
      <w:pPr>
        <w:spacing w:before="120" w:after="120" w:line="276" w:lineRule="auto"/>
        <w:ind w:firstLine="708"/>
        <w:jc w:val="both"/>
        <w:rPr>
          <w:rFonts w:ascii="Verdana" w:eastAsia="Calibri" w:hAnsi="Verdana" w:cs="Arial"/>
          <w:lang w:val="es-MX"/>
        </w:rPr>
      </w:pPr>
      <w:r>
        <w:rPr>
          <w:rFonts w:ascii="Verdana" w:eastAsia="Calibri" w:hAnsi="Verdana" w:cs="Arial"/>
          <w:lang w:val="es-MX"/>
        </w:rPr>
        <w:t>Así las cosas</w:t>
      </w:r>
      <w:r w:rsidRPr="00E74FB5">
        <w:rPr>
          <w:rFonts w:ascii="Verdana" w:eastAsia="Calibri" w:hAnsi="Verdana" w:cs="Arial"/>
          <w:lang w:val="es-MX"/>
        </w:rPr>
        <w:t xml:space="preserve">, pueden extraerse cuatro (4) conclusiones relevantes para evaluar las figuras y reformas estatutarias de las sociedades comerciales, respecto de la experiencia: </w:t>
      </w:r>
    </w:p>
    <w:p w14:paraId="7713D7F3" w14:textId="77777777" w:rsidR="00C32987" w:rsidRPr="00E74FB5" w:rsidRDefault="00C32987" w:rsidP="00C32987">
      <w:pPr>
        <w:spacing w:before="120" w:after="120" w:line="276" w:lineRule="auto"/>
        <w:ind w:firstLine="708"/>
        <w:jc w:val="both"/>
        <w:rPr>
          <w:rFonts w:ascii="Verdana" w:eastAsia="Calibri" w:hAnsi="Verdana" w:cs="Arial"/>
          <w:lang w:val="es-MX"/>
        </w:rPr>
      </w:pPr>
      <w:r w:rsidRPr="00E74FB5">
        <w:rPr>
          <w:rFonts w:ascii="Verdana" w:eastAsia="Calibri" w:hAnsi="Verdana" w:cs="Arial"/>
          <w:lang w:val="es-MX"/>
        </w:rPr>
        <w:t xml:space="preserve">i) La experiencia es </w:t>
      </w:r>
      <w:r w:rsidRPr="00E74FB5">
        <w:rPr>
          <w:rFonts w:ascii="Verdana" w:eastAsia="Calibri" w:hAnsi="Verdana" w:cs="Arial"/>
          <w:i/>
          <w:iCs/>
          <w:lang w:val="es-MX"/>
        </w:rPr>
        <w:t>personal</w:t>
      </w:r>
      <w:r w:rsidRPr="00E74FB5">
        <w:rPr>
          <w:rFonts w:ascii="Verdana" w:eastAsia="Calibri" w:hAnsi="Verdana" w:cs="Arial"/>
          <w:lang w:val="es-MX"/>
        </w:rPr>
        <w:t>, esto es, se adquiere participando, directa o indirectamente, sin que sea posible no hacerlo y tener experiencia.</w:t>
      </w:r>
    </w:p>
    <w:p w14:paraId="4F5088B3" w14:textId="77777777" w:rsidR="00C32987" w:rsidRPr="00E74FB5" w:rsidRDefault="00C32987" w:rsidP="00C32987">
      <w:pPr>
        <w:spacing w:before="120" w:after="120" w:line="276" w:lineRule="auto"/>
        <w:ind w:firstLine="708"/>
        <w:jc w:val="both"/>
        <w:rPr>
          <w:rFonts w:ascii="Verdana" w:eastAsia="Calibri" w:hAnsi="Verdana" w:cs="Arial"/>
          <w:lang w:val="es-MX"/>
        </w:rPr>
      </w:pPr>
      <w:r w:rsidRPr="00E74FB5">
        <w:rPr>
          <w:rFonts w:ascii="Verdana" w:eastAsia="Calibri" w:hAnsi="Verdana" w:cs="Arial"/>
          <w:lang w:val="es-MX"/>
        </w:rPr>
        <w:t xml:space="preserve">ii) La experiencia se puede </w:t>
      </w:r>
      <w:r w:rsidRPr="00E74FB5">
        <w:rPr>
          <w:rFonts w:ascii="Verdana" w:eastAsia="Calibri" w:hAnsi="Verdana" w:cs="Arial"/>
          <w:i/>
          <w:iCs/>
          <w:lang w:val="es-MX"/>
        </w:rPr>
        <w:t>compartir</w:t>
      </w:r>
      <w:r w:rsidRPr="00E74FB5">
        <w:rPr>
          <w:rFonts w:ascii="Verdana" w:eastAsia="Calibri" w:hAnsi="Verdana" w:cs="Arial"/>
          <w:lang w:val="es-MX"/>
        </w:rPr>
        <w:t xml:space="preserve">, sin que implique que la compartida a una persona se entienda suya, ya que dentro del procedimiento contractual se reflejará que esa persona tiene la experiencia de otra, como es el caso de las figuras asociativas   </w:t>
      </w:r>
      <w:r w:rsidRPr="00E74FB5">
        <w:rPr>
          <w:rFonts w:ascii="Arial" w:eastAsia="Calibri" w:hAnsi="Arial" w:cs="Arial"/>
          <w:lang w:val="es-MX"/>
        </w:rPr>
        <w:t>̶</w:t>
      </w:r>
      <w:r w:rsidRPr="00E74FB5">
        <w:rPr>
          <w:rFonts w:ascii="Verdana" w:eastAsia="Calibri" w:hAnsi="Verdana" w:cs="Arial"/>
          <w:lang w:val="es-MX"/>
        </w:rPr>
        <w:t xml:space="preserve"> consorcios y uniones temporales </w:t>
      </w:r>
      <w:r w:rsidRPr="00E74FB5">
        <w:rPr>
          <w:rFonts w:ascii="Arial" w:eastAsia="Calibri" w:hAnsi="Arial" w:cs="Arial"/>
          <w:lang w:val="es-MX"/>
        </w:rPr>
        <w:t>̶</w:t>
      </w:r>
      <w:r w:rsidRPr="00E74FB5">
        <w:rPr>
          <w:rFonts w:ascii="Verdana" w:eastAsia="Calibri" w:hAnsi="Verdana" w:cs="Arial"/>
          <w:lang w:val="es-MX"/>
        </w:rPr>
        <w:t xml:space="preserve">   que se verificará en el documento privado de constitución</w:t>
      </w:r>
      <w:r w:rsidRPr="00E74FB5">
        <w:rPr>
          <w:rFonts w:ascii="Verdana" w:eastAsia="Calibri" w:hAnsi="Verdana" w:cs="Arial"/>
          <w:vertAlign w:val="superscript"/>
          <w:lang w:val="es-MX"/>
        </w:rPr>
        <w:footnoteReference w:id="2"/>
      </w:r>
      <w:r w:rsidRPr="00E74FB5">
        <w:rPr>
          <w:rFonts w:ascii="Verdana" w:eastAsia="Calibri" w:hAnsi="Verdana" w:cs="Arial"/>
          <w:lang w:val="es-MX"/>
        </w:rPr>
        <w:t>.</w:t>
      </w:r>
    </w:p>
    <w:p w14:paraId="5F992BF1" w14:textId="77777777" w:rsidR="00C32987" w:rsidRPr="00E74FB5" w:rsidRDefault="00C32987" w:rsidP="00C32987">
      <w:pPr>
        <w:spacing w:before="120" w:after="120" w:line="276" w:lineRule="auto"/>
        <w:ind w:firstLine="708"/>
        <w:jc w:val="both"/>
        <w:rPr>
          <w:rFonts w:ascii="Verdana" w:eastAsia="Calibri" w:hAnsi="Verdana" w:cs="Arial"/>
          <w:lang w:val="es-MX"/>
        </w:rPr>
      </w:pPr>
      <w:r w:rsidRPr="00E74FB5">
        <w:rPr>
          <w:rFonts w:ascii="Verdana" w:eastAsia="Calibri" w:hAnsi="Verdana" w:cs="Arial"/>
          <w:lang w:val="es-MX"/>
        </w:rPr>
        <w:t xml:space="preserve">iii) La experiencia se puede </w:t>
      </w:r>
      <w:r w:rsidRPr="00E74FB5">
        <w:rPr>
          <w:rFonts w:ascii="Verdana" w:eastAsia="Calibri" w:hAnsi="Verdana" w:cs="Arial"/>
          <w:i/>
          <w:iCs/>
          <w:lang w:val="es-MX"/>
        </w:rPr>
        <w:t>transferir</w:t>
      </w:r>
      <w:r w:rsidRPr="00E74FB5">
        <w:rPr>
          <w:rFonts w:ascii="Verdana" w:eastAsia="Calibri" w:hAnsi="Verdana" w:cs="Arial"/>
          <w:lang w:val="es-MX"/>
        </w:rPr>
        <w:t xml:space="preserve">, y esto es diferente a compartir, lo que implica que la experiencia de una persona se traslada a otra, y esta última acredita la experiencia como propia, como sucede con la figura que se explicará </w:t>
      </w:r>
      <w:r>
        <w:rPr>
          <w:rFonts w:ascii="Verdana" w:eastAsia="Calibri" w:hAnsi="Verdana" w:cs="Arial"/>
          <w:lang w:val="es-MX"/>
        </w:rPr>
        <w:t>mas adelante</w:t>
      </w:r>
      <w:r w:rsidRPr="00E74FB5">
        <w:rPr>
          <w:rFonts w:ascii="Verdana" w:eastAsia="Calibri" w:hAnsi="Verdana" w:cs="Arial"/>
          <w:lang w:val="es-MX"/>
        </w:rPr>
        <w:t>.</w:t>
      </w:r>
    </w:p>
    <w:p w14:paraId="1237B27E" w14:textId="77777777" w:rsidR="00C32987" w:rsidRPr="00E74FB5" w:rsidRDefault="00C32987" w:rsidP="00C32987">
      <w:pPr>
        <w:spacing w:after="0" w:line="276" w:lineRule="auto"/>
        <w:ind w:firstLine="708"/>
        <w:jc w:val="both"/>
        <w:rPr>
          <w:rFonts w:ascii="Verdana" w:eastAsia="Calibri" w:hAnsi="Verdana" w:cs="Arial"/>
          <w:lang w:val="es-MX"/>
        </w:rPr>
      </w:pPr>
      <w:r w:rsidRPr="00E74FB5">
        <w:rPr>
          <w:rFonts w:ascii="Verdana" w:eastAsia="Calibri" w:hAnsi="Verdana" w:cs="Arial"/>
          <w:lang w:val="es-MX"/>
        </w:rPr>
        <w:t xml:space="preserve">iv) Cuando la persona que adquirió la experiencia </w:t>
      </w:r>
      <w:r w:rsidRPr="00E74FB5">
        <w:rPr>
          <w:rFonts w:ascii="Verdana" w:eastAsia="Calibri" w:hAnsi="Verdana" w:cs="Arial"/>
          <w:i/>
          <w:iCs/>
          <w:lang w:val="es-MX"/>
        </w:rPr>
        <w:t>desaparece</w:t>
      </w:r>
      <w:r w:rsidRPr="00E74FB5">
        <w:rPr>
          <w:rFonts w:ascii="Verdana" w:eastAsia="Calibri" w:hAnsi="Verdana" w:cs="Arial"/>
          <w:lang w:val="es-MX"/>
        </w:rPr>
        <w:t xml:space="preserve"> o se liquida no es posible que comparta o transfiera su experiencia, porque al ser personal sigue la suerte de quien la adquirió.</w:t>
      </w:r>
    </w:p>
    <w:p w14:paraId="7DC73B80" w14:textId="77777777" w:rsidR="00C32987" w:rsidRPr="00E74FB5" w:rsidRDefault="00C32987" w:rsidP="00C32987">
      <w:pPr>
        <w:spacing w:before="120" w:after="120" w:line="276" w:lineRule="auto"/>
        <w:ind w:firstLine="709"/>
        <w:jc w:val="both"/>
        <w:rPr>
          <w:rFonts w:ascii="Verdana" w:hAnsi="Verdana" w:cs="Arial"/>
          <w:lang w:val="es-MX"/>
        </w:rPr>
      </w:pPr>
      <w:r w:rsidRPr="00E74FB5">
        <w:rPr>
          <w:rFonts w:ascii="Verdana" w:hAnsi="Verdana" w:cs="Arial"/>
          <w:lang w:val="es-MX"/>
        </w:rPr>
        <w:t xml:space="preserve">Ahora, el RUP fue creado por el artículo 6 de la Ley 1150 de 2007 y constituye el medio idóneo para verificar las condiciones de los proponentes en procesos de contratación pública. Este registro, conforme a lo señalado por la Corte Constitucional, es administrado por las Cámaras de Comercio y la actividad relacionada en el mismo está </w:t>
      </w:r>
      <w:r>
        <w:rPr>
          <w:rFonts w:ascii="Verdana" w:hAnsi="Verdana" w:cs="Arial"/>
          <w:lang w:val="es-MX"/>
        </w:rPr>
        <w:t>“</w:t>
      </w:r>
      <w:r w:rsidRPr="00E74FB5">
        <w:rPr>
          <w:rFonts w:ascii="Verdana" w:hAnsi="Verdana" w:cs="Arial"/>
          <w:lang w:val="es-MX"/>
        </w:rPr>
        <w:t>sometid[a] a los principios de la función administrativa y de contratación estatal</w:t>
      </w:r>
      <w:r>
        <w:rPr>
          <w:rFonts w:ascii="Verdana" w:hAnsi="Verdana" w:cs="Arial"/>
          <w:lang w:val="es-MX"/>
        </w:rPr>
        <w:t>”</w:t>
      </w:r>
      <w:r w:rsidRPr="00E74FB5">
        <w:rPr>
          <w:rFonts w:ascii="Verdana" w:hAnsi="Verdana" w:cs="Arial"/>
          <w:vertAlign w:val="superscript"/>
          <w:lang w:val="es-MX"/>
        </w:rPr>
        <w:footnoteReference w:id="3"/>
      </w:r>
      <w:r w:rsidRPr="00E74FB5">
        <w:rPr>
          <w:rFonts w:ascii="Verdana" w:hAnsi="Verdana" w:cs="Arial"/>
          <w:lang w:val="es-MX"/>
        </w:rPr>
        <w:t xml:space="preserve">. </w:t>
      </w:r>
    </w:p>
    <w:p w14:paraId="5F429263" w14:textId="77777777" w:rsidR="00C32987" w:rsidRPr="00E74FB5" w:rsidRDefault="00C32987" w:rsidP="00C32987">
      <w:pPr>
        <w:spacing w:before="120" w:after="120" w:line="276" w:lineRule="auto"/>
        <w:ind w:firstLine="705"/>
        <w:jc w:val="both"/>
        <w:rPr>
          <w:rFonts w:ascii="Verdana" w:hAnsi="Verdana" w:cs="Arial"/>
          <w:lang w:val="es-MX"/>
        </w:rPr>
      </w:pPr>
      <w:r w:rsidRPr="00E74FB5">
        <w:rPr>
          <w:rFonts w:ascii="Verdana" w:hAnsi="Verdana" w:cs="Arial"/>
          <w:lang w:val="es-MX"/>
        </w:rPr>
        <w:t xml:space="preserve">El artículo 6 de la Ley 1150 de 2007 señala que el RUP </w:t>
      </w:r>
      <w:r>
        <w:rPr>
          <w:rFonts w:ascii="Verdana" w:hAnsi="Verdana" w:cs="Arial"/>
          <w:lang w:val="es-MX"/>
        </w:rPr>
        <w:t>“</w:t>
      </w:r>
      <w:r w:rsidRPr="00E74FB5">
        <w:rPr>
          <w:rFonts w:ascii="Verdana" w:hAnsi="Verdana" w:cs="Arial"/>
          <w:lang w:val="es-MX"/>
        </w:rPr>
        <w:t>es plena prueba de las circunstancias que en ella se hagan constar y que hayan sido verificadas por las Cámaras de Comercio</w:t>
      </w:r>
      <w:r>
        <w:rPr>
          <w:rFonts w:ascii="Verdana" w:hAnsi="Verdana" w:cs="Arial"/>
          <w:lang w:val="es-MX"/>
        </w:rPr>
        <w:t>”</w:t>
      </w:r>
      <w:r w:rsidRPr="00E74FB5">
        <w:rPr>
          <w:rFonts w:ascii="Verdana" w:hAnsi="Verdana" w:cs="Arial"/>
          <w:lang w:val="es-MX"/>
        </w:rPr>
        <w:t xml:space="preserve">, es decir, estableció una regla probatoria en lo que se refiere a las condiciones de las proponentes contenidas en el registro, y asignó la competencia a las cámaras para verificarlas. </w:t>
      </w:r>
    </w:p>
    <w:p w14:paraId="17F6C798" w14:textId="77777777" w:rsidR="00C32987" w:rsidRPr="00E74FB5" w:rsidRDefault="00C32987" w:rsidP="00C32987">
      <w:pPr>
        <w:spacing w:before="120" w:after="120" w:line="276" w:lineRule="auto"/>
        <w:ind w:firstLine="705"/>
        <w:jc w:val="both"/>
        <w:rPr>
          <w:rFonts w:ascii="Verdana" w:hAnsi="Verdana" w:cs="Arial"/>
          <w:lang w:val="es-MX"/>
        </w:rPr>
      </w:pPr>
      <w:r w:rsidRPr="00E74FB5">
        <w:rPr>
          <w:rFonts w:ascii="Verdana" w:hAnsi="Verdana" w:cs="Arial"/>
          <w:lang w:val="es-MX"/>
        </w:rPr>
        <w:lastRenderedPageBreak/>
        <w:t xml:space="preserve">La norma impuso la obligación a todos los proponentes de inscribirse en el registro único de proponentes, salvo en los casos de contratación directa, contratos para la prestación de servicios de salud, contratos de mínima cuantía, enajenación de bienes del Estado, y los contratos que tengan por objeto la adquisición de productos de origen o destinación agropecuaria que se ofrezcan en bolsas de productos legalmente constituidas. De igual forma, están exceptuados los actos y contratos que tengan por objeto directo las actividades comerciales e industriales propias de las empresas industriales y comerciales del Estado y las sociedades de economía mixta y los contratos de concesión de cualquier índole. </w:t>
      </w:r>
    </w:p>
    <w:p w14:paraId="7153CDB6" w14:textId="77777777" w:rsidR="00C32987" w:rsidRPr="00E74FB5" w:rsidRDefault="00C32987" w:rsidP="00C32987">
      <w:pPr>
        <w:spacing w:before="120" w:after="120" w:line="276" w:lineRule="auto"/>
        <w:jc w:val="both"/>
        <w:rPr>
          <w:rFonts w:ascii="Verdana" w:hAnsi="Verdana" w:cs="Arial"/>
          <w:lang w:val="es-MX"/>
        </w:rPr>
      </w:pPr>
      <w:r w:rsidRPr="00E74FB5">
        <w:rPr>
          <w:rFonts w:ascii="Verdana" w:hAnsi="Verdana" w:cs="Arial"/>
          <w:lang w:val="es-MX"/>
        </w:rPr>
        <w:tab/>
        <w:t xml:space="preserve">Asimismo, correlativo a este deber de los proponentes, la norma impuso a las cámaras de comercio la obligación de verificar los requisitos habilitantes de quienes se registren. El inciso 2 del numeral 6.1. le otorga carácter de plena prueba a la información contenida en el registro que haya sido verificada por las cámaras de comercio y, además, dispuso que la verificación de las condiciones de que trata el numeral 1 del artículo 5 de la Ley 1150 de 2007 se demostrará </w:t>
      </w:r>
      <w:r>
        <w:rPr>
          <w:rFonts w:ascii="Verdana" w:hAnsi="Verdana" w:cs="Arial"/>
          <w:lang w:val="es-MX"/>
        </w:rPr>
        <w:t>“</w:t>
      </w:r>
      <w:r w:rsidRPr="00E74FB5">
        <w:rPr>
          <w:rFonts w:ascii="Verdana" w:hAnsi="Verdana" w:cs="Arial"/>
          <w:lang w:val="es-MX"/>
        </w:rPr>
        <w:t>exclusivamente con el respectivo certificado del RUP en donde deberán constar dichas condiciones</w:t>
      </w:r>
      <w:r>
        <w:rPr>
          <w:rFonts w:ascii="Verdana" w:hAnsi="Verdana" w:cs="Arial"/>
          <w:lang w:val="es-MX"/>
        </w:rPr>
        <w:t>”</w:t>
      </w:r>
      <w:r w:rsidRPr="00E74FB5">
        <w:rPr>
          <w:rFonts w:ascii="Verdana" w:hAnsi="Verdana" w:cs="Arial"/>
          <w:lang w:val="es-MX"/>
        </w:rPr>
        <w:t xml:space="preserve">. </w:t>
      </w:r>
    </w:p>
    <w:p w14:paraId="3707A180" w14:textId="77777777" w:rsidR="00C32987" w:rsidRPr="00E74FB5" w:rsidRDefault="00C32987" w:rsidP="00C32987">
      <w:pPr>
        <w:spacing w:before="120" w:after="120" w:line="276" w:lineRule="auto"/>
        <w:ind w:firstLine="708"/>
        <w:jc w:val="both"/>
        <w:rPr>
          <w:rFonts w:ascii="Verdana" w:hAnsi="Verdana" w:cs="Arial"/>
          <w:lang w:val="es-MX"/>
        </w:rPr>
      </w:pPr>
      <w:r w:rsidRPr="00E74FB5">
        <w:rPr>
          <w:rFonts w:ascii="Verdana" w:hAnsi="Verdana" w:cs="Arial"/>
          <w:lang w:val="es-MX"/>
        </w:rPr>
        <w:t xml:space="preserve">En consecuencia, la norma dispone que a las entidades les está prohibido exigir otros documentos para efectuar la inscripción en el registro, salvo lo dispuesto en el inciso 3 del numeral 6.1.del artículo 6 de la Ley 1150 de 2007, en el que se prevé que la entidad podrá verificar requisitos adicionales a los contenidos en el registro cuando se requiera en virtud de la naturaleza del objeto a contratar. La norma señala que solo en este último evento la entidad podrá hacer la verificación en forma directa, es decir, cuando por el objeto del contrato se requieran verificar requisitos adicionales a los contenidos en el registro.  </w:t>
      </w:r>
    </w:p>
    <w:p w14:paraId="3ACB7202" w14:textId="77777777" w:rsidR="00C32987" w:rsidRDefault="00C32987" w:rsidP="00C32987">
      <w:pPr>
        <w:spacing w:after="0" w:line="276" w:lineRule="auto"/>
        <w:ind w:firstLine="709"/>
        <w:jc w:val="both"/>
        <w:rPr>
          <w:rFonts w:ascii="Verdana" w:hAnsi="Verdana" w:cs="Arial"/>
          <w:lang w:val="es-MX"/>
        </w:rPr>
      </w:pPr>
      <w:r w:rsidRPr="00E74FB5">
        <w:rPr>
          <w:rFonts w:ascii="Verdana" w:hAnsi="Verdana" w:cs="Arial"/>
          <w:lang w:val="es-MX"/>
        </w:rPr>
        <w:t xml:space="preserve">De lo anterior se concluye que la regla general es que la experiencia se acredite a través del RUP y, en consecuencia, la evaluación de la experiencia, como requisito habilitante, no puede ser evaluada nuevamente por la entidad pública a partir de otros criterios distintos a los contenidos en el registro único de proponentes. </w:t>
      </w:r>
    </w:p>
    <w:p w14:paraId="29E18DA5" w14:textId="77777777" w:rsidR="00C32987" w:rsidRDefault="00C32987" w:rsidP="00C32987">
      <w:pPr>
        <w:spacing w:after="0" w:line="276" w:lineRule="auto"/>
        <w:jc w:val="both"/>
        <w:rPr>
          <w:rFonts w:ascii="Verdana" w:hAnsi="Verdana" w:cs="Arial"/>
          <w:lang w:val="es-MX"/>
        </w:rPr>
      </w:pPr>
    </w:p>
    <w:p w14:paraId="4D03C164" w14:textId="77777777" w:rsidR="00C32987" w:rsidRPr="005A1C07" w:rsidRDefault="00C32987" w:rsidP="00C32987">
      <w:pPr>
        <w:spacing w:after="0" w:line="276" w:lineRule="auto"/>
        <w:jc w:val="both"/>
        <w:rPr>
          <w:rFonts w:ascii="Verdana" w:hAnsi="Verdana" w:cs="Arial"/>
          <w:lang w:val="es-MX"/>
        </w:rPr>
      </w:pPr>
      <w:r>
        <w:rPr>
          <w:rFonts w:ascii="Verdana" w:hAnsi="Verdana" w:cs="Arial"/>
          <w:lang w:val="es-MX"/>
        </w:rPr>
        <w:t xml:space="preserve">          Ahora bien, </w:t>
      </w:r>
      <w:r w:rsidRPr="005A1C07">
        <w:rPr>
          <w:rFonts w:ascii="Verdana" w:hAnsi="Verdana" w:cs="Arial"/>
          <w:lang w:val="es-MX"/>
        </w:rPr>
        <w:t xml:space="preserve"> </w:t>
      </w:r>
      <w:r>
        <w:rPr>
          <w:rFonts w:ascii="Verdana" w:hAnsi="Verdana" w:cs="Arial"/>
          <w:lang w:val="es-MX"/>
        </w:rPr>
        <w:t>e</w:t>
      </w:r>
      <w:r w:rsidRPr="005A1C07">
        <w:rPr>
          <w:rFonts w:ascii="Verdana" w:hAnsi="Verdana" w:cs="Arial"/>
          <w:lang w:val="es-MX"/>
        </w:rPr>
        <w:t xml:space="preserve">l artículo 5 de la Ley 1150 de 2007 dispone que la capacidad jurídica y las condiciones de experiencia, capacidad financiera y de organización de los proponentes serán objeto de verificación por parte de las entidades como </w:t>
      </w:r>
      <w:r w:rsidRPr="005A1C07">
        <w:rPr>
          <w:rFonts w:ascii="Verdana" w:hAnsi="Verdana" w:cs="Arial"/>
          <w:lang w:val="es-MX"/>
        </w:rPr>
        <w:lastRenderedPageBreak/>
        <w:t xml:space="preserve">requisitos habilitantes para participar en los procesos de selección y no otorgarán puntaje. Lo anterior con excepción de la selección de consultores mediante un concurso de méritos, donde es posible otorgar puntaje al criterio de experiencia. </w:t>
      </w:r>
    </w:p>
    <w:p w14:paraId="241EF9FD" w14:textId="77777777" w:rsidR="00C32987" w:rsidRPr="005A1C07" w:rsidRDefault="00C32987" w:rsidP="00C32987">
      <w:pPr>
        <w:spacing w:before="120" w:after="120" w:line="276" w:lineRule="auto"/>
        <w:ind w:firstLine="708"/>
        <w:jc w:val="both"/>
        <w:rPr>
          <w:rFonts w:ascii="Verdana" w:hAnsi="Verdana" w:cs="Arial"/>
          <w:lang w:val="es-MX"/>
        </w:rPr>
      </w:pPr>
      <w:r w:rsidRPr="005A1C07">
        <w:rPr>
          <w:rFonts w:ascii="Verdana" w:hAnsi="Verdana" w:cs="Arial"/>
          <w:lang w:val="es-MX"/>
        </w:rPr>
        <w:t xml:space="preserve">Por su parte, el artículo 6 de la Ley 1150 de 2007 señala que todas las personas naturales o jurídicas, nacionales o extranjeras, domiciliadas o con sucursal en Colombia, que aspiren celebrar contratos con las entidades deberán estar inscritas en el Registro Único de Proponentes. En dicho registro constará la información relacionada con la experiencia, capacidad jurídica, financiera y de organización del proponente y su clasificación. En relación con el requisito habilitante de experiencia, en el </w:t>
      </w:r>
      <w:r>
        <w:rPr>
          <w:rFonts w:ascii="Verdana" w:hAnsi="Verdana" w:cs="Arial"/>
          <w:lang w:val="es-MX"/>
        </w:rPr>
        <w:t>“</w:t>
      </w:r>
      <w:r w:rsidRPr="005A1C07">
        <w:rPr>
          <w:rFonts w:ascii="Verdana" w:hAnsi="Verdana" w:cs="Arial"/>
          <w:lang w:val="es-MX"/>
        </w:rPr>
        <w:t>Manual para determinar y verificar requisitos habilitantes en los procesos de contratación</w:t>
      </w:r>
      <w:r>
        <w:rPr>
          <w:rFonts w:ascii="Verdana" w:hAnsi="Verdana" w:cs="Arial"/>
          <w:lang w:val="es-MX"/>
        </w:rPr>
        <w:t>”</w:t>
      </w:r>
      <w:r w:rsidRPr="005A1C07">
        <w:rPr>
          <w:rFonts w:ascii="Verdana" w:hAnsi="Verdana" w:cs="Arial"/>
          <w:lang w:val="es-MX"/>
        </w:rPr>
        <w:t xml:space="preserve"> se define la experiencia como </w:t>
      </w:r>
      <w:r>
        <w:rPr>
          <w:rFonts w:ascii="Verdana" w:hAnsi="Verdana" w:cs="Arial"/>
          <w:lang w:val="es-MX"/>
        </w:rPr>
        <w:t>“</w:t>
      </w:r>
      <w:r w:rsidRPr="005A1C07">
        <w:rPr>
          <w:rFonts w:ascii="Verdana" w:hAnsi="Verdana" w:cs="Arial"/>
          <w:lang w:val="es-MX"/>
        </w:rPr>
        <w:t>el conocimiento del proponente derivado de su participación previa en actividades iguales o similares a las previstas en el objeto del contrato</w:t>
      </w:r>
      <w:r>
        <w:rPr>
          <w:rFonts w:ascii="Verdana" w:hAnsi="Verdana" w:cs="Arial"/>
          <w:lang w:val="es-MX"/>
        </w:rPr>
        <w:t>”</w:t>
      </w:r>
      <w:r w:rsidRPr="005A1C07">
        <w:rPr>
          <w:rFonts w:ascii="Verdana" w:hAnsi="Verdana" w:cs="Arial"/>
          <w:lang w:val="es-MX"/>
        </w:rPr>
        <w:t>.</w:t>
      </w:r>
    </w:p>
    <w:p w14:paraId="53691E86" w14:textId="77777777" w:rsidR="00C32987" w:rsidRPr="005A1C07" w:rsidRDefault="00C32987" w:rsidP="00C32987">
      <w:pPr>
        <w:spacing w:before="120" w:after="120" w:line="276" w:lineRule="auto"/>
        <w:ind w:firstLine="708"/>
        <w:jc w:val="both"/>
        <w:rPr>
          <w:rFonts w:ascii="Verdana" w:hAnsi="Verdana" w:cs="Arial"/>
          <w:lang w:val="es-MX"/>
        </w:rPr>
      </w:pPr>
      <w:r w:rsidRPr="005A1C07">
        <w:rPr>
          <w:rFonts w:ascii="Verdana" w:hAnsi="Verdana" w:cs="Arial"/>
          <w:lang w:val="es-MX"/>
        </w:rPr>
        <w:t>El Decreto 1082 de 2015, en el artículo 2.2.1.1.1.5.2, numeral 2.1, establece que si una persona natural se inscribe en el RUP aportará los certificados de experiencia en provisión de bienes, obras y servicios, los cuales deben ser expedidos por terceros que hayan recibido tales bienes, obras y servicios, y deben corresponder a contratos ejecutados o copias de los contratos cuando el interesado no puede obtener tal certificado</w:t>
      </w:r>
      <w:r w:rsidRPr="005A1C07">
        <w:rPr>
          <w:rFonts w:ascii="Verdana" w:hAnsi="Verdana" w:cs="Arial"/>
          <w:vertAlign w:val="superscript"/>
          <w:lang w:val="es-MX"/>
        </w:rPr>
        <w:footnoteReference w:id="4"/>
      </w:r>
      <w:r w:rsidRPr="005A1C07">
        <w:rPr>
          <w:rFonts w:ascii="Verdana" w:hAnsi="Verdana" w:cs="Arial"/>
          <w:lang w:val="es-MX"/>
        </w:rPr>
        <w:t xml:space="preserve">.  </w:t>
      </w:r>
    </w:p>
    <w:p w14:paraId="02C4DCB1" w14:textId="77777777" w:rsidR="00C32987" w:rsidRPr="005A1C07" w:rsidRDefault="00C32987" w:rsidP="00C32987">
      <w:pPr>
        <w:spacing w:before="120" w:after="120" w:line="276" w:lineRule="auto"/>
        <w:ind w:firstLine="708"/>
        <w:jc w:val="both"/>
        <w:rPr>
          <w:rFonts w:ascii="Verdana" w:hAnsi="Verdana" w:cs="Arial"/>
          <w:lang w:val="es-MX"/>
        </w:rPr>
      </w:pPr>
      <w:r w:rsidRPr="005A1C07">
        <w:rPr>
          <w:rFonts w:ascii="Verdana" w:hAnsi="Verdana" w:cs="Arial"/>
          <w:lang w:val="es-MX"/>
        </w:rPr>
        <w:t>El numeral 2.5 del mismo artículo señala que la persona jurídica se registrará aportando los certificados de la experiencia en la provisión de los bienes, obras y servicios que ofrecerá a las entidades estatales, los cuales deben ser expedidos por terceros que hayan recibido tales bienes, obras o servicios y deben corresponder a contratos ejecutados o copias de los contratos cuando el interesado no puede obtener tal certificado</w:t>
      </w:r>
      <w:r w:rsidRPr="005A1C07">
        <w:rPr>
          <w:rFonts w:ascii="Verdana" w:hAnsi="Verdana" w:cs="Arial"/>
          <w:vertAlign w:val="superscript"/>
          <w:lang w:val="es-MX"/>
        </w:rPr>
        <w:footnoteReference w:id="5"/>
      </w:r>
      <w:r w:rsidRPr="005A1C07">
        <w:rPr>
          <w:rFonts w:ascii="Verdana" w:hAnsi="Verdana" w:cs="Arial"/>
          <w:lang w:val="es-MX"/>
        </w:rPr>
        <w:t xml:space="preserve">. </w:t>
      </w:r>
    </w:p>
    <w:p w14:paraId="555315E4" w14:textId="77777777" w:rsidR="00C32987" w:rsidRPr="005A1C07" w:rsidRDefault="00C32987" w:rsidP="00C32987">
      <w:pPr>
        <w:spacing w:before="120" w:after="120" w:line="276" w:lineRule="auto"/>
        <w:ind w:firstLine="708"/>
        <w:jc w:val="both"/>
        <w:rPr>
          <w:rFonts w:ascii="Verdana" w:hAnsi="Verdana" w:cs="Arial"/>
          <w:lang w:val="es-MX"/>
        </w:rPr>
      </w:pPr>
      <w:r w:rsidRPr="005A1C07">
        <w:rPr>
          <w:rFonts w:ascii="Verdana" w:hAnsi="Verdana" w:cs="Arial"/>
          <w:lang w:val="es-MX"/>
        </w:rPr>
        <w:lastRenderedPageBreak/>
        <w:t>El interesado debe indicar en cada certificado, o en cada copia de los contratos, los bienes, obras y servicios a los cuales corresponde la experiencia que pretende acreditar, identificándolos con el Clasificador de Bienes y Servicios, en el tercer nivel. Si la constitución del interesado es menor a 3 años, puede acreditar la experiencia de sus accionistas, socios o constituyentes.</w:t>
      </w:r>
    </w:p>
    <w:p w14:paraId="6F7BB062" w14:textId="77777777" w:rsidR="00C32987" w:rsidRPr="005A1C07" w:rsidRDefault="00C32987" w:rsidP="00C32987">
      <w:pPr>
        <w:spacing w:before="120" w:after="120" w:line="276" w:lineRule="auto"/>
        <w:ind w:firstLine="708"/>
        <w:jc w:val="both"/>
        <w:rPr>
          <w:rFonts w:ascii="Verdana" w:hAnsi="Verdana" w:cs="Arial"/>
          <w:lang w:val="es-MX"/>
        </w:rPr>
      </w:pPr>
      <w:bookmarkStart w:id="1" w:name="_Hlk67496603"/>
      <w:r w:rsidRPr="005A1C07">
        <w:rPr>
          <w:rFonts w:ascii="Verdana" w:hAnsi="Verdana" w:cs="Arial"/>
          <w:lang w:val="es-MX"/>
        </w:rPr>
        <w:t xml:space="preserve">La parte final del numeral 2.5 del artículo citado incluye una medida diferenciada para las personas jurídicas cuya constitución sea menor a 3 años al momento del registro. Esta prerrogativa, que puede entenderse como una medida de fomento a la participación de pequeños oferentes en la contratación estatal, permite que las sociedades relativamente nuevas </w:t>
      </w:r>
      <w:r w:rsidRPr="005A1C07">
        <w:rPr>
          <w:rFonts w:ascii="Verdana" w:eastAsia="Calibri" w:hAnsi="Verdana" w:cs="Arial"/>
          <w:lang w:val="es-MX"/>
        </w:rPr>
        <w:t>─</w:t>
      </w:r>
      <w:r w:rsidRPr="005A1C07">
        <w:rPr>
          <w:rFonts w:ascii="Verdana" w:hAnsi="Verdana" w:cs="Arial"/>
          <w:lang w:val="es-MX"/>
        </w:rPr>
        <w:t>con menos de 3 años de constitución</w:t>
      </w:r>
      <w:r w:rsidRPr="005A1C07">
        <w:rPr>
          <w:rFonts w:ascii="Verdana" w:eastAsia="Calibri" w:hAnsi="Verdana" w:cs="Arial"/>
          <w:lang w:val="es-MX"/>
        </w:rPr>
        <w:t>─</w:t>
      </w:r>
      <w:r w:rsidRPr="005A1C07">
        <w:rPr>
          <w:rFonts w:ascii="Verdana" w:hAnsi="Verdana" w:cs="Arial"/>
          <w:lang w:val="es-MX"/>
        </w:rPr>
        <w:t xml:space="preserve"> puedan acreditar como experiencia en el RUP la de sus accionistas, socios o constituyentes. A pesar de que la experiencia es inherente a la persona que la ha obtenido, razón por la cual es intransferible en virtud de su carácter personalísimo, por disposición legal o reglamentaria, en casos excepcionales, como el descrito por el artículo mencionado, se aplica de otra forma. </w:t>
      </w:r>
    </w:p>
    <w:p w14:paraId="772A874D" w14:textId="77777777" w:rsidR="00C32987" w:rsidRPr="005A1C07" w:rsidRDefault="00C32987" w:rsidP="00C32987">
      <w:pPr>
        <w:spacing w:before="120" w:after="120" w:line="276" w:lineRule="auto"/>
        <w:ind w:firstLine="708"/>
        <w:jc w:val="both"/>
        <w:rPr>
          <w:rFonts w:ascii="Verdana" w:hAnsi="Verdana" w:cs="Arial"/>
          <w:lang w:val="es-MX"/>
        </w:rPr>
      </w:pPr>
      <w:r w:rsidRPr="005A1C07">
        <w:rPr>
          <w:rFonts w:ascii="Verdana" w:hAnsi="Verdana" w:cs="Arial"/>
          <w:lang w:val="es-MX"/>
        </w:rPr>
        <w:t>La finalidad de esta norma es permitir que las sociedades que no cuentan con la experiencia suficiente para contratar con el Estado puedan apoyarse en la experiencia de sus accionistas, socios o constituyentes con el fin de incentivar la competencia en la contratación estatal. Así las cosas, el socio transfiere la experiencia adquirida directamente a la sociedad de la que es parte, para que esta, como persona jurídica independiente, pueda cumplir con los requisitos habilitantes o puntuables que establezcan las entidades estatales en sus procesos de contratación, y de esta forma promover el desarrollo de la empresa y la pluralidad de oferentes en la contratación pública.</w:t>
      </w:r>
    </w:p>
    <w:bookmarkEnd w:id="1"/>
    <w:p w14:paraId="35957DCC" w14:textId="77777777" w:rsidR="00C32987" w:rsidRPr="00712F9E" w:rsidRDefault="00C32987" w:rsidP="00C32987">
      <w:pPr>
        <w:spacing w:after="120" w:line="276" w:lineRule="auto"/>
        <w:ind w:firstLine="708"/>
        <w:jc w:val="both"/>
        <w:rPr>
          <w:rFonts w:ascii="Verdana" w:eastAsia="Verdana" w:hAnsi="Verdana" w:cs="Verdana"/>
        </w:rPr>
      </w:pPr>
      <w:r>
        <w:rPr>
          <w:rFonts w:ascii="Verdana" w:eastAsia="Calibri" w:hAnsi="Verdana" w:cs="Times New Roman"/>
        </w:rPr>
        <w:t>Ahora bien, en atención al problema jurídico planteado</w:t>
      </w:r>
      <w:r w:rsidRPr="00712F9E">
        <w:rPr>
          <w:rFonts w:ascii="Verdana" w:eastAsia="Verdana" w:hAnsi="Verdana" w:cs="Verdana"/>
        </w:rPr>
        <w:t xml:space="preserve">, aunque la experiencia incorporada al RUP puede mantenerse vigente después de que la sociedad supera los tres (3) años de existencia, ello no implica que la sociedad pueda incorporar indefinidamente nueva experiencia proveniente de personas que ingresen con posterioridad a su composición societaria. La regla prevista en el numeral 2.5 del artículo 2.2.1.1.1.5.2 del Decreto 1082 de 2015 solo autoriza </w:t>
      </w:r>
      <w:r w:rsidRPr="00712F9E">
        <w:rPr>
          <w:rFonts w:ascii="Verdana" w:eastAsia="Verdana" w:hAnsi="Verdana" w:cs="Verdana"/>
        </w:rPr>
        <w:lastRenderedPageBreak/>
        <w:t>acreditar la experiencia de socios, accionistas o constituyentes cuando la sociedad tiene menos de tres (3) años de constituida.</w:t>
      </w:r>
    </w:p>
    <w:p w14:paraId="4307D972" w14:textId="77777777" w:rsidR="00C32987" w:rsidRPr="00712F9E" w:rsidRDefault="00C32987" w:rsidP="00C32987">
      <w:pPr>
        <w:spacing w:after="120" w:line="276" w:lineRule="auto"/>
        <w:jc w:val="both"/>
        <w:rPr>
          <w:rFonts w:ascii="Verdana" w:eastAsia="Verdana" w:hAnsi="Verdana" w:cs="Verdana"/>
        </w:rPr>
      </w:pPr>
      <w:r>
        <w:rPr>
          <w:rFonts w:ascii="Verdana" w:eastAsia="Verdana" w:hAnsi="Verdana" w:cs="Verdana"/>
        </w:rPr>
        <w:t xml:space="preserve">         </w:t>
      </w:r>
      <w:r w:rsidRPr="00712F9E">
        <w:rPr>
          <w:rFonts w:ascii="Verdana" w:eastAsia="Verdana" w:hAnsi="Verdana" w:cs="Verdana"/>
        </w:rPr>
        <w:t>Por esta razón, si posteriormente se presenta una cesión de acciones, una sustitución de socios, un retiro voluntario o cualquier modificación de la composición societaria, la sociedad no cuenta con habilitación legal para reemplazar la experiencia inicialmente acreditada por la experiencia de nuevos socios cuando ya ha superado el término de tres (3) años previsto en la norma.</w:t>
      </w:r>
    </w:p>
    <w:p w14:paraId="1F2DB831" w14:textId="77777777" w:rsidR="00C32987" w:rsidRPr="00712F9E" w:rsidRDefault="00C32987" w:rsidP="00C32987">
      <w:pPr>
        <w:spacing w:after="120" w:line="276" w:lineRule="auto"/>
        <w:jc w:val="both"/>
        <w:rPr>
          <w:rFonts w:ascii="Verdana" w:eastAsia="Verdana" w:hAnsi="Verdana" w:cs="Verdana"/>
        </w:rPr>
      </w:pPr>
      <w:r>
        <w:rPr>
          <w:rFonts w:ascii="Verdana" w:eastAsia="Verdana" w:hAnsi="Verdana" w:cs="Verdana"/>
        </w:rPr>
        <w:t xml:space="preserve">          </w:t>
      </w:r>
      <w:r w:rsidRPr="00712F9E">
        <w:rPr>
          <w:rFonts w:ascii="Verdana" w:eastAsia="Verdana" w:hAnsi="Verdana" w:cs="Verdana"/>
        </w:rPr>
        <w:t>De igual forma, la doctrina de Colombia Compra Eficiente ha sostenido que la experiencia acreditada mediante esta prerrogativa conserva un vínculo jurídico con la calidad de socio, accionista o constituyente que permitió su incorporación. En consecuencia, si la persona cuya experiencia fue utilizada pierde dicha condición, desaparece el presupuesto jurídico que justificaba su acreditación. Bajo esta interpretación, no resulta jurídicamente procedente que la sociedad continúe acreditando como propia una experiencia cuyo titular ya no forma parte de la persona jurídica.</w:t>
      </w:r>
    </w:p>
    <w:p w14:paraId="37FFF81B" w14:textId="77777777" w:rsidR="00C32987" w:rsidRPr="00712F9E" w:rsidRDefault="00C32987" w:rsidP="00C32987">
      <w:pPr>
        <w:spacing w:after="120" w:line="276" w:lineRule="auto"/>
        <w:jc w:val="both"/>
        <w:rPr>
          <w:rFonts w:ascii="Verdana" w:eastAsia="Verdana" w:hAnsi="Verdana" w:cs="Verdana"/>
        </w:rPr>
      </w:pPr>
      <w:r>
        <w:rPr>
          <w:rFonts w:ascii="Verdana" w:eastAsia="Verdana" w:hAnsi="Verdana" w:cs="Verdana"/>
        </w:rPr>
        <w:t xml:space="preserve">          </w:t>
      </w:r>
      <w:r w:rsidRPr="00712F9E">
        <w:rPr>
          <w:rFonts w:ascii="Verdana" w:eastAsia="Verdana" w:hAnsi="Verdana" w:cs="Verdana"/>
        </w:rPr>
        <w:t>Lo anterior conduce a que los cambios en la composición societaria deban reflejarse en la información contenida en el Registro Único de Proponentes, de conformidad con los principios de veracidad, buena fe y correspondencia entre la realidad jurídica del proponente y la información registral que sirve de soporte para la verificación de los requisitos habilitantes.</w:t>
      </w:r>
    </w:p>
    <w:p w14:paraId="71DE0882" w14:textId="77777777" w:rsidR="00C32987" w:rsidRPr="00712F9E" w:rsidRDefault="00C32987" w:rsidP="00C32987">
      <w:pPr>
        <w:spacing w:after="120" w:line="276" w:lineRule="auto"/>
        <w:jc w:val="both"/>
        <w:rPr>
          <w:rFonts w:ascii="Verdana" w:eastAsia="Verdana" w:hAnsi="Verdana" w:cs="Verdana"/>
        </w:rPr>
      </w:pPr>
      <w:r>
        <w:rPr>
          <w:rFonts w:ascii="Verdana" w:eastAsia="Verdana" w:hAnsi="Verdana" w:cs="Verdana"/>
        </w:rPr>
        <w:t xml:space="preserve">         </w:t>
      </w:r>
      <w:r w:rsidRPr="00712F9E">
        <w:rPr>
          <w:rFonts w:ascii="Verdana" w:eastAsia="Verdana" w:hAnsi="Verdana" w:cs="Verdana"/>
        </w:rPr>
        <w:t>Adicionalmente, debe señalarse que el propio Concepto C-585 del 14 de mayo de 2026 precisó que el numeral 2.5 del artículo 2.2.1.1.1.5.2 del Decreto 1082 de 2015 no establece condicionamientos relacionados con el porcentaje de participación accionaria del socio que aporta la experiencia, razón por la cual dicho elemento no constituye un criterio relevante para determinar la procedencia de su acreditación.</w:t>
      </w:r>
    </w:p>
    <w:p w14:paraId="6DF96839" w14:textId="77777777" w:rsidR="00C32987" w:rsidRDefault="00C32987" w:rsidP="00C32987">
      <w:pPr>
        <w:spacing w:after="120" w:line="276" w:lineRule="auto"/>
        <w:jc w:val="both"/>
        <w:rPr>
          <w:rFonts w:ascii="Verdana" w:eastAsia="Calibri" w:hAnsi="Verdana" w:cs="Times New Roman"/>
          <w:lang w:val="es-ES"/>
        </w:rPr>
      </w:pPr>
      <w:r>
        <w:rPr>
          <w:rFonts w:ascii="Verdana" w:eastAsia="Arial" w:hAnsi="Verdana" w:cs="Arial"/>
        </w:rPr>
        <w:t xml:space="preserve">         F</w:t>
      </w:r>
      <w:r>
        <w:rPr>
          <w:rFonts w:ascii="Verdana" w:eastAsia="Calibri" w:hAnsi="Verdana" w:cs="Arial"/>
          <w:bCs/>
          <w:color w:val="000000" w:themeColor="text1"/>
        </w:rPr>
        <w:t>inalmente</w:t>
      </w:r>
      <w:r>
        <w:rPr>
          <w:rFonts w:ascii="Verdana" w:eastAsia="Calibri" w:hAnsi="Verdana" w:cs="Times New Roman"/>
          <w:lang w:val="es-ES"/>
        </w:rPr>
        <w:t>,</w:t>
      </w:r>
      <w:r w:rsidRPr="00DB4737">
        <w:rPr>
          <w:rFonts w:ascii="Verdana" w:eastAsia="Calibri" w:hAnsi="Verdana" w:cs="Times New Roman"/>
          <w:lang w:val="es-ES"/>
        </w:rPr>
        <w:t xml:space="preserve"> debe advertirse que el análisis en torno </w:t>
      </w:r>
      <w:r>
        <w:rPr>
          <w:rFonts w:ascii="Verdana" w:eastAsia="Calibri" w:hAnsi="Verdana" w:cs="Times New Roman"/>
          <w:lang w:val="es-ES"/>
        </w:rPr>
        <w:t>a un proceso de contratación especifico debe</w:t>
      </w:r>
      <w:r w:rsidRPr="0012388D">
        <w:rPr>
          <w:rFonts w:ascii="Verdana" w:eastAsia="Calibri" w:hAnsi="Verdana" w:cs="Times New Roman"/>
          <w:lang w:val="es-ES"/>
        </w:rPr>
        <w:t xml:space="preserve"> ser realizado por quienes tengan interés en ello.</w:t>
      </w:r>
      <w:r w:rsidRPr="00DB4737">
        <w:rPr>
          <w:rFonts w:ascii="Verdana" w:eastAsia="Calibri" w:hAnsi="Verdana" w:cs="Times New Roman"/>
          <w:lang w:val="es-ES"/>
        </w:rPr>
        <w:t xml:space="preserve"> De esta forma, las afirmaciones aquí realizadas no pueden ser interpretadas como juicios de valor sobre circunstancias concretas relacionadas con los hechos que motivan la consulta. Por lo anterior, previo concepto de sus asesores, la solución de situaciones particulares corresponderá a los interesados de adoptar la decisión y, en caso de conflicto, a las autoridades judiciales, fiscales y disciplinarias.</w:t>
      </w:r>
    </w:p>
    <w:p w14:paraId="14203C6F" w14:textId="77777777" w:rsidR="00C32987" w:rsidRDefault="00C32987" w:rsidP="00C32987">
      <w:pPr>
        <w:pStyle w:val="Sinespaciado"/>
        <w:spacing w:line="276" w:lineRule="auto"/>
        <w:jc w:val="both"/>
        <w:rPr>
          <w:rFonts w:ascii="Verdana" w:hAnsi="Verdana" w:cs="Arial"/>
        </w:rPr>
      </w:pPr>
      <w:r>
        <w:rPr>
          <w:rFonts w:ascii="Verdana" w:eastAsia="Calibri" w:hAnsi="Verdana" w:cs="Times New Roman"/>
          <w:lang w:val="es-ES"/>
        </w:rPr>
        <w:lastRenderedPageBreak/>
        <w:t xml:space="preserve">         Así las cosas</w:t>
      </w:r>
      <w:r w:rsidRPr="00DB4737">
        <w:rPr>
          <w:rFonts w:ascii="Verdana" w:eastAsia="Calibri" w:hAnsi="Verdana" w:cs="Times New Roman"/>
          <w:lang w:val="es-ES"/>
        </w:rPr>
        <w:t>, al tratarse de un análisis que debe realizarse en un procedimiento contractual específico, esta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la Agencia Nacional de Contratación Pública – Colombia Compra Eficiente, validar sus actuaciones.</w:t>
      </w:r>
    </w:p>
    <w:p w14:paraId="33BB2D31" w14:textId="77777777" w:rsidR="00C32987" w:rsidRPr="0015699B" w:rsidRDefault="00C32987" w:rsidP="00C32987">
      <w:pPr>
        <w:spacing w:after="0" w:line="276" w:lineRule="auto"/>
        <w:ind w:firstLine="357"/>
        <w:jc w:val="both"/>
        <w:rPr>
          <w:rFonts w:ascii="Verdana" w:eastAsia="Verdana" w:hAnsi="Verdana" w:cs="Verdana"/>
          <w:lang w:val="es"/>
        </w:rPr>
      </w:pPr>
      <w:r>
        <w:rPr>
          <w:rFonts w:ascii="Verdana" w:hAnsi="Verdana"/>
        </w:rPr>
        <w:t xml:space="preserve">      </w:t>
      </w:r>
      <w:r w:rsidRPr="39124533">
        <w:rPr>
          <w:rFonts w:ascii="Verdana" w:eastAsia="Verdana" w:hAnsi="Verdana" w:cs="Verdana"/>
          <w:lang w:val="es"/>
        </w:rPr>
        <w:t xml:space="preserve"> </w:t>
      </w:r>
    </w:p>
    <w:p w14:paraId="2EC1737D" w14:textId="77777777" w:rsidR="00C32987" w:rsidRPr="0015699B" w:rsidRDefault="00C32987" w:rsidP="00C32987">
      <w:pPr>
        <w:pStyle w:val="Prrafodelista"/>
        <w:numPr>
          <w:ilvl w:val="0"/>
          <w:numId w:val="16"/>
        </w:numPr>
        <w:spacing w:after="0" w:line="240" w:lineRule="auto"/>
        <w:ind w:left="1080" w:hanging="720"/>
        <w:jc w:val="both"/>
        <w:textAlignment w:val="baseline"/>
        <w:rPr>
          <w:rFonts w:ascii="Verdana" w:eastAsia="Verdana" w:hAnsi="Verdana" w:cs="Verdana"/>
          <w:b/>
          <w:bCs/>
          <w:lang w:val="es"/>
        </w:rPr>
      </w:pPr>
      <w:r w:rsidRPr="40A87941">
        <w:rPr>
          <w:rFonts w:ascii="Verdana" w:eastAsia="Verdana" w:hAnsi="Verdana" w:cs="Verdana"/>
          <w:b/>
          <w:bCs/>
          <w:lang w:val="es"/>
        </w:rPr>
        <w:t>Referencias normativas, jurisprudenciales y otras fuentes:</w:t>
      </w:r>
    </w:p>
    <w:p w14:paraId="4E784F36" w14:textId="77777777" w:rsidR="00C32987" w:rsidRPr="0015699B" w:rsidRDefault="00C32987" w:rsidP="00C32987">
      <w:pPr>
        <w:spacing w:after="0" w:line="276" w:lineRule="auto"/>
        <w:jc w:val="both"/>
        <w:textAlignment w:val="baseline"/>
        <w:rPr>
          <w:rFonts w:ascii="Verdana" w:eastAsia="Verdana" w:hAnsi="Verdana" w:cs="Verdana"/>
          <w:lang w:val="es"/>
        </w:rPr>
      </w:pPr>
      <w:r w:rsidRPr="40A87941">
        <w:rPr>
          <w:rFonts w:ascii="Verdana" w:eastAsia="Verdana" w:hAnsi="Verdana" w:cs="Verdana"/>
          <w:lang w:val="es"/>
        </w:rPr>
        <w:t xml:space="preserve"> </w:t>
      </w:r>
    </w:p>
    <w:tbl>
      <w:tblPr>
        <w:tblStyle w:val="Tablaconcuadrcula"/>
        <w:tblW w:w="0" w:type="auto"/>
        <w:tblInd w:w="135" w:type="dxa"/>
        <w:tblLook w:val="04A0" w:firstRow="1" w:lastRow="0" w:firstColumn="1" w:lastColumn="0" w:noHBand="0" w:noVBand="1"/>
      </w:tblPr>
      <w:tblGrid>
        <w:gridCol w:w="8640"/>
      </w:tblGrid>
      <w:tr w:rsidR="00C32987" w14:paraId="574029B6" w14:textId="77777777" w:rsidTr="00F9429A">
        <w:trPr>
          <w:trHeight w:val="870"/>
        </w:trPr>
        <w:tc>
          <w:tcPr>
            <w:tcW w:w="8640" w:type="dxa"/>
            <w:tcBorders>
              <w:top w:val="dotted" w:sz="8" w:space="0" w:color="auto"/>
              <w:left w:val="dotted" w:sz="8" w:space="0" w:color="auto"/>
              <w:bottom w:val="dotted" w:sz="8" w:space="0" w:color="auto"/>
              <w:right w:val="dotted" w:sz="8" w:space="0" w:color="auto"/>
            </w:tcBorders>
            <w:tcMar>
              <w:left w:w="108" w:type="dxa"/>
              <w:right w:w="108" w:type="dxa"/>
            </w:tcMar>
          </w:tcPr>
          <w:p w14:paraId="7883AB6C" w14:textId="77777777" w:rsidR="00C32987" w:rsidRDefault="00C32987" w:rsidP="00C32987">
            <w:pPr>
              <w:pStyle w:val="Prrafodelista"/>
              <w:widowControl w:val="0"/>
              <w:numPr>
                <w:ilvl w:val="0"/>
                <w:numId w:val="17"/>
              </w:numPr>
              <w:autoSpaceDE w:val="0"/>
              <w:autoSpaceDN w:val="0"/>
              <w:spacing w:after="120" w:line="276" w:lineRule="auto"/>
              <w:ind w:left="714" w:hanging="357"/>
              <w:contextualSpacing w:val="0"/>
              <w:jc w:val="both"/>
              <w:rPr>
                <w:rFonts w:ascii="Verdana" w:hAnsi="Verdana" w:cs="Arial"/>
              </w:rPr>
            </w:pPr>
            <w:r>
              <w:rPr>
                <w:rFonts w:ascii="Verdana" w:hAnsi="Verdana" w:cs="Arial"/>
              </w:rPr>
              <w:t>Ley 1150 de 2007, artículos 5 y 6.</w:t>
            </w:r>
          </w:p>
          <w:p w14:paraId="6E544225" w14:textId="77777777" w:rsidR="00C32987" w:rsidRDefault="00C32987" w:rsidP="00C32987">
            <w:pPr>
              <w:pStyle w:val="Prrafodelista"/>
              <w:widowControl w:val="0"/>
              <w:numPr>
                <w:ilvl w:val="0"/>
                <w:numId w:val="17"/>
              </w:numPr>
              <w:autoSpaceDE w:val="0"/>
              <w:autoSpaceDN w:val="0"/>
              <w:spacing w:after="120" w:line="276" w:lineRule="auto"/>
              <w:ind w:left="714" w:hanging="357"/>
              <w:contextualSpacing w:val="0"/>
              <w:jc w:val="both"/>
              <w:rPr>
                <w:rFonts w:ascii="Verdana" w:hAnsi="Verdana" w:cs="Arial"/>
              </w:rPr>
            </w:pPr>
            <w:r>
              <w:rPr>
                <w:rFonts w:ascii="Verdana" w:hAnsi="Verdana" w:cs="Arial"/>
              </w:rPr>
              <w:t>Ley 1437 de 2011, artículos 28 y 112.</w:t>
            </w:r>
            <w:r w:rsidRPr="00B87E7A">
              <w:rPr>
                <w:rFonts w:ascii="Verdana" w:hAnsi="Verdana" w:cs="Arial"/>
              </w:rPr>
              <w:t xml:space="preserve"> </w:t>
            </w:r>
          </w:p>
          <w:p w14:paraId="317A85A5" w14:textId="77777777" w:rsidR="00C32987" w:rsidRDefault="00C32987" w:rsidP="00C32987">
            <w:pPr>
              <w:pStyle w:val="Prrafodelista"/>
              <w:widowControl w:val="0"/>
              <w:numPr>
                <w:ilvl w:val="0"/>
                <w:numId w:val="17"/>
              </w:numPr>
              <w:autoSpaceDE w:val="0"/>
              <w:autoSpaceDN w:val="0"/>
              <w:spacing w:after="120" w:line="276" w:lineRule="auto"/>
              <w:ind w:left="714" w:hanging="357"/>
              <w:contextualSpacing w:val="0"/>
              <w:jc w:val="both"/>
              <w:rPr>
                <w:rFonts w:ascii="Verdana" w:hAnsi="Verdana" w:cs="Arial"/>
              </w:rPr>
            </w:pPr>
            <w:r>
              <w:rPr>
                <w:rFonts w:ascii="Verdana" w:hAnsi="Verdana" w:cs="Arial"/>
              </w:rPr>
              <w:t>Decreto Ley 4170 de 2011, artículos 1, 3, 11, 12 y 13.</w:t>
            </w:r>
          </w:p>
          <w:p w14:paraId="4465DCB0" w14:textId="77777777" w:rsidR="00C32987" w:rsidRPr="00CB0D42" w:rsidRDefault="00C32987" w:rsidP="00C32987">
            <w:pPr>
              <w:pStyle w:val="Prrafodelista"/>
              <w:numPr>
                <w:ilvl w:val="0"/>
                <w:numId w:val="17"/>
              </w:numPr>
              <w:spacing w:line="276" w:lineRule="auto"/>
              <w:jc w:val="both"/>
              <w:rPr>
                <w:rFonts w:ascii="Verdana" w:eastAsia="Verdana" w:hAnsi="Verdana" w:cs="Verdana"/>
                <w:lang w:val="es"/>
              </w:rPr>
            </w:pPr>
            <w:r>
              <w:rPr>
                <w:rFonts w:ascii="Verdana" w:hAnsi="Verdana" w:cs="Arial"/>
              </w:rPr>
              <w:t xml:space="preserve">Decreto 1082 de 2015, artículo </w:t>
            </w:r>
            <w:r w:rsidRPr="005A1C07">
              <w:rPr>
                <w:rFonts w:ascii="Verdana" w:hAnsi="Verdana" w:cs="Arial"/>
                <w:lang w:val="es-MX"/>
              </w:rPr>
              <w:t>2.2.1.1.1.5.2</w:t>
            </w:r>
            <w:r>
              <w:rPr>
                <w:rFonts w:ascii="Verdana" w:hAnsi="Verdana" w:cs="Arial"/>
                <w:lang w:val="es-MX"/>
              </w:rPr>
              <w:t>.</w:t>
            </w:r>
          </w:p>
          <w:p w14:paraId="12D02C4C" w14:textId="77777777" w:rsidR="00C32987" w:rsidRPr="00CB0D42" w:rsidRDefault="00C32987" w:rsidP="00C32987">
            <w:pPr>
              <w:pStyle w:val="Prrafodelista"/>
              <w:numPr>
                <w:ilvl w:val="0"/>
                <w:numId w:val="17"/>
              </w:numPr>
              <w:spacing w:line="276" w:lineRule="auto"/>
              <w:jc w:val="both"/>
              <w:rPr>
                <w:rFonts w:ascii="Verdana" w:eastAsia="Verdana" w:hAnsi="Verdana" w:cs="Verdana"/>
                <w:lang w:val="es"/>
              </w:rPr>
            </w:pPr>
            <w:r w:rsidRPr="00CB0D42">
              <w:rPr>
                <w:rFonts w:ascii="Verdana" w:eastAsia="Verdana" w:hAnsi="Verdana" w:cs="Verdana"/>
                <w:lang w:val="es"/>
              </w:rPr>
              <w:t xml:space="preserve">Corte Constitucional. Sentencia C - 259 del 11 de marzo 2008. M.P. Jaime Córdoba Triviño. </w:t>
            </w:r>
          </w:p>
        </w:tc>
      </w:tr>
    </w:tbl>
    <w:p w14:paraId="538D1D9B" w14:textId="77777777" w:rsidR="00C32987" w:rsidRPr="0015699B" w:rsidRDefault="00C32987" w:rsidP="00C32987">
      <w:pPr>
        <w:spacing w:after="0" w:line="276" w:lineRule="auto"/>
        <w:jc w:val="both"/>
        <w:textAlignment w:val="baseline"/>
        <w:rPr>
          <w:rFonts w:ascii="Verdana" w:eastAsia="Verdana" w:hAnsi="Verdana" w:cs="Verdana"/>
          <w:lang w:val="es"/>
        </w:rPr>
      </w:pPr>
      <w:r w:rsidRPr="40A87941">
        <w:rPr>
          <w:rFonts w:ascii="Verdana" w:eastAsia="Verdana" w:hAnsi="Verdana" w:cs="Verdana"/>
          <w:lang w:val="es"/>
        </w:rPr>
        <w:t xml:space="preserve"> </w:t>
      </w:r>
    </w:p>
    <w:p w14:paraId="67B5B220" w14:textId="77777777" w:rsidR="00C32987" w:rsidRPr="003D5882" w:rsidRDefault="00C32987" w:rsidP="00C32987">
      <w:pPr>
        <w:pStyle w:val="Prrafodelista"/>
        <w:numPr>
          <w:ilvl w:val="0"/>
          <w:numId w:val="16"/>
        </w:numPr>
        <w:spacing w:before="1" w:after="0" w:line="240" w:lineRule="auto"/>
        <w:jc w:val="both"/>
        <w:textAlignment w:val="baseline"/>
        <w:rPr>
          <w:rFonts w:ascii="Verdana" w:eastAsia="Verdana" w:hAnsi="Verdana" w:cs="Verdana"/>
          <w:b/>
          <w:bCs/>
          <w:lang w:val="es"/>
        </w:rPr>
      </w:pPr>
      <w:r w:rsidRPr="39124533">
        <w:rPr>
          <w:rFonts w:ascii="Verdana" w:eastAsia="Verdana" w:hAnsi="Verdana" w:cs="Verdana"/>
          <w:b/>
          <w:bCs/>
          <w:lang w:val="es"/>
        </w:rPr>
        <w:t>Doctrina de la Agencia Nacional de Contratación Pública:</w:t>
      </w:r>
    </w:p>
    <w:p w14:paraId="407F6844" w14:textId="77777777" w:rsidR="00C32987" w:rsidRPr="003D5882" w:rsidRDefault="00C32987" w:rsidP="00C32987">
      <w:pPr>
        <w:pStyle w:val="Prrafodelista"/>
        <w:spacing w:before="1" w:after="0" w:line="240" w:lineRule="auto"/>
        <w:jc w:val="both"/>
        <w:textAlignment w:val="baseline"/>
        <w:rPr>
          <w:rFonts w:ascii="Verdana" w:eastAsia="Verdana" w:hAnsi="Verdana" w:cs="Verdana"/>
          <w:b/>
          <w:bCs/>
          <w:lang w:val="es"/>
        </w:rPr>
      </w:pPr>
    </w:p>
    <w:p w14:paraId="72CFCF18" w14:textId="77777777" w:rsidR="00C32987" w:rsidRPr="005510A2" w:rsidRDefault="00C32987" w:rsidP="00C32987">
      <w:pPr>
        <w:spacing w:after="0" w:line="276" w:lineRule="auto"/>
        <w:jc w:val="both"/>
        <w:rPr>
          <w:rStyle w:val="normaltextrun"/>
          <w:rFonts w:ascii="Verdana" w:hAnsi="Verdana" w:cs="Arial"/>
          <w:bCs/>
          <w:shd w:val="clear" w:color="auto" w:fill="FFFFFF"/>
        </w:rPr>
      </w:pPr>
      <w:r>
        <w:rPr>
          <w:rFonts w:ascii="Verdana" w:hAnsi="Verdana" w:cs="Arial"/>
          <w:shd w:val="clear" w:color="auto" w:fill="FFFFFF"/>
        </w:rPr>
        <w:t xml:space="preserve">Esta Subdirección </w:t>
      </w:r>
      <w:r w:rsidRPr="00683260">
        <w:rPr>
          <w:rStyle w:val="normaltextrun"/>
          <w:rFonts w:ascii="Verdana" w:hAnsi="Verdana" w:cs="Arial"/>
          <w:shd w:val="clear" w:color="auto" w:fill="FFFFFF"/>
        </w:rPr>
        <w:t xml:space="preserve">se ha pronunciado </w:t>
      </w:r>
      <w:r w:rsidRPr="00502997">
        <w:rPr>
          <w:rStyle w:val="normaltextrun"/>
          <w:rFonts w:ascii="Verdana" w:hAnsi="Verdana" w:cs="Arial"/>
          <w:shd w:val="clear" w:color="auto" w:fill="FFFFFF"/>
        </w:rPr>
        <w:t>sobre</w:t>
      </w:r>
      <w:r>
        <w:rPr>
          <w:rStyle w:val="normaltextrun"/>
          <w:rFonts w:ascii="Verdana" w:hAnsi="Verdana" w:cs="Arial"/>
          <w:shd w:val="clear" w:color="auto" w:fill="FFFFFF"/>
        </w:rPr>
        <w:t xml:space="preserve"> </w:t>
      </w:r>
      <w:r w:rsidRPr="000B7AD4">
        <w:rPr>
          <w:rStyle w:val="normaltextrun"/>
          <w:rFonts w:ascii="Verdana" w:hAnsi="Verdana" w:cs="Arial"/>
          <w:shd w:val="clear" w:color="auto" w:fill="FFFFFF"/>
        </w:rPr>
        <w:t xml:space="preserve">la acreditación de la experiencia de los socios por una sociedad nueva con menos de 3 años de constitución en los conceptos C-025 del 16 de marzo de 2020, C-051 del 2 de marzo de 2020, C-165 del 1 de abril de 2020, C-233 del 16 de abril de 2020, C-407 de 12 de junio de 2020, C-398 de 30 de junio de 2020, C-470 del 14 de julio de 2020, C-511 del 18 de agosto de 2020, C-584 de 31 de agosto 2020, C-619 de 21 de septiembre 2020, C-710 del 9 de diciembre de 2020, C-717 del 10 de diciembre de 2020, C-729 del 11 de diciembre de 2020, C-103 del 24 de marzo del 2021, C-140 del 9 de abril del 2021, C-230 del 25 de mayo de 2021, C-316 del 29 de junio de 2021, C-318 del 29 de junio de 2021, C-326 del 2 de julio de 2021, C-593 del 11 de diciembre de 2024, C-1006 del 30 de diciembre de 2024, C-093 del 17 de febrero de 2025, C-121 del 6 de marzo de 2025, C-200 del 25 de marzo de 2025, C-204 del 26 de marzo de 2025, </w:t>
      </w:r>
      <w:r>
        <w:rPr>
          <w:rStyle w:val="normaltextrun"/>
          <w:rFonts w:ascii="Verdana" w:hAnsi="Verdana" w:cs="Arial"/>
          <w:shd w:val="clear" w:color="auto" w:fill="FFFFFF"/>
        </w:rPr>
        <w:t>C-</w:t>
      </w:r>
      <w:r w:rsidRPr="000B7AD4">
        <w:rPr>
          <w:rStyle w:val="normaltextrun"/>
          <w:rFonts w:ascii="Verdana" w:hAnsi="Verdana" w:cs="Arial"/>
          <w:shd w:val="clear" w:color="auto" w:fill="FFFFFF"/>
        </w:rPr>
        <w:t>670 de</w:t>
      </w:r>
      <w:r>
        <w:rPr>
          <w:rStyle w:val="normaltextrun"/>
          <w:rFonts w:ascii="Verdana" w:hAnsi="Verdana" w:cs="Arial"/>
          <w:shd w:val="clear" w:color="auto" w:fill="FFFFFF"/>
        </w:rPr>
        <w:t>l 12 de noviembre de</w:t>
      </w:r>
      <w:r w:rsidRPr="000B7AD4">
        <w:rPr>
          <w:rStyle w:val="normaltextrun"/>
          <w:rFonts w:ascii="Verdana" w:hAnsi="Verdana" w:cs="Arial"/>
          <w:shd w:val="clear" w:color="auto" w:fill="FFFFFF"/>
        </w:rPr>
        <w:t xml:space="preserve"> 2024,</w:t>
      </w:r>
      <w:r>
        <w:rPr>
          <w:rStyle w:val="normaltextrun"/>
          <w:rFonts w:ascii="Verdana" w:hAnsi="Verdana" w:cs="Arial"/>
          <w:shd w:val="clear" w:color="auto" w:fill="FFFFFF"/>
        </w:rPr>
        <w:t xml:space="preserve"> </w:t>
      </w:r>
      <w:r w:rsidRPr="000B7AD4">
        <w:rPr>
          <w:rStyle w:val="normaltextrun"/>
          <w:rFonts w:ascii="Verdana" w:hAnsi="Verdana" w:cs="Arial"/>
          <w:shd w:val="clear" w:color="auto" w:fill="FFFFFF"/>
        </w:rPr>
        <w:t>C-804 de</w:t>
      </w:r>
      <w:r>
        <w:rPr>
          <w:rStyle w:val="normaltextrun"/>
          <w:rFonts w:ascii="Verdana" w:hAnsi="Verdana" w:cs="Arial"/>
          <w:shd w:val="clear" w:color="auto" w:fill="FFFFFF"/>
        </w:rPr>
        <w:t>l 30 de julio de</w:t>
      </w:r>
      <w:r w:rsidRPr="000B7AD4">
        <w:rPr>
          <w:rStyle w:val="normaltextrun"/>
          <w:rFonts w:ascii="Verdana" w:hAnsi="Verdana" w:cs="Arial"/>
          <w:shd w:val="clear" w:color="auto" w:fill="FFFFFF"/>
        </w:rPr>
        <w:t xml:space="preserve"> 2025</w:t>
      </w:r>
      <w:r>
        <w:rPr>
          <w:rStyle w:val="normaltextrun"/>
          <w:rFonts w:ascii="Verdana" w:hAnsi="Verdana" w:cs="Arial"/>
          <w:shd w:val="clear" w:color="auto" w:fill="FFFFFF"/>
        </w:rPr>
        <w:t>,</w:t>
      </w:r>
      <w:r w:rsidRPr="000B7AD4">
        <w:rPr>
          <w:rStyle w:val="normaltextrun"/>
          <w:rFonts w:ascii="Verdana" w:hAnsi="Verdana" w:cs="Arial"/>
          <w:shd w:val="clear" w:color="auto" w:fill="FFFFFF"/>
        </w:rPr>
        <w:t xml:space="preserve"> C-830 de</w:t>
      </w:r>
      <w:r>
        <w:rPr>
          <w:rStyle w:val="normaltextrun"/>
          <w:rFonts w:ascii="Verdana" w:hAnsi="Verdana" w:cs="Arial"/>
          <w:shd w:val="clear" w:color="auto" w:fill="FFFFFF"/>
        </w:rPr>
        <w:t>l 4 de agosto de</w:t>
      </w:r>
      <w:r w:rsidRPr="000B7AD4">
        <w:rPr>
          <w:rStyle w:val="normaltextrun"/>
          <w:rFonts w:ascii="Verdana" w:hAnsi="Verdana" w:cs="Arial"/>
          <w:shd w:val="clear" w:color="auto" w:fill="FFFFFF"/>
        </w:rPr>
        <w:t xml:space="preserve"> 2025</w:t>
      </w:r>
      <w:r>
        <w:rPr>
          <w:rStyle w:val="normaltextrun"/>
          <w:rFonts w:ascii="Verdana" w:hAnsi="Verdana" w:cs="Arial"/>
          <w:shd w:val="clear" w:color="auto" w:fill="FFFFFF"/>
        </w:rPr>
        <w:t>,</w:t>
      </w:r>
      <w:r w:rsidRPr="000B7AD4">
        <w:rPr>
          <w:rStyle w:val="normaltextrun"/>
          <w:rFonts w:ascii="Verdana" w:hAnsi="Verdana" w:cs="Arial"/>
          <w:shd w:val="clear" w:color="auto" w:fill="FFFFFF"/>
        </w:rPr>
        <w:t xml:space="preserve"> C-1391 de</w:t>
      </w:r>
      <w:r>
        <w:rPr>
          <w:rStyle w:val="normaltextrun"/>
          <w:rFonts w:ascii="Verdana" w:hAnsi="Verdana" w:cs="Arial"/>
          <w:shd w:val="clear" w:color="auto" w:fill="FFFFFF"/>
        </w:rPr>
        <w:t>l 4 de noviembre de</w:t>
      </w:r>
      <w:r w:rsidRPr="000B7AD4">
        <w:rPr>
          <w:rStyle w:val="normaltextrun"/>
          <w:rFonts w:ascii="Verdana" w:hAnsi="Verdana" w:cs="Arial"/>
          <w:shd w:val="clear" w:color="auto" w:fill="FFFFFF"/>
        </w:rPr>
        <w:t xml:space="preserve"> 2025</w:t>
      </w:r>
      <w:r>
        <w:rPr>
          <w:rStyle w:val="normaltextrun"/>
          <w:rFonts w:ascii="Verdana" w:hAnsi="Verdana" w:cs="Arial"/>
          <w:shd w:val="clear" w:color="auto" w:fill="FFFFFF"/>
        </w:rPr>
        <w:t xml:space="preserve">, C-1621 del 17 de diciembre de 2025 y C-585 del </w:t>
      </w:r>
      <w:r>
        <w:rPr>
          <w:rStyle w:val="normaltextrun"/>
          <w:rFonts w:ascii="Verdana" w:hAnsi="Verdana" w:cs="Arial"/>
          <w:shd w:val="clear" w:color="auto" w:fill="FFFFFF"/>
        </w:rPr>
        <w:lastRenderedPageBreak/>
        <w:t xml:space="preserve">14 de mayo de 2026, </w:t>
      </w:r>
      <w:r w:rsidRPr="005510A2">
        <w:rPr>
          <w:rFonts w:ascii="Verdana" w:eastAsia="Calibri" w:hAnsi="Verdana" w:cs="Arial"/>
          <w:lang w:val="es-ES_tradnl" w:eastAsia="es-ES_tradnl"/>
        </w:rPr>
        <w:t>entre otros</w:t>
      </w:r>
      <w:r w:rsidRPr="005510A2">
        <w:rPr>
          <w:rFonts w:ascii="Verdana" w:eastAsia="Calibri" w:hAnsi="Verdana" w:cs="Arial"/>
        </w:rPr>
        <w:t xml:space="preserve">. </w:t>
      </w:r>
      <w:r w:rsidRPr="005510A2">
        <w:rPr>
          <w:rStyle w:val="normaltextrun"/>
          <w:rFonts w:ascii="Verdana" w:hAnsi="Verdana" w:cs="Arial"/>
          <w:shd w:val="clear" w:color="auto" w:fill="FFFFFF"/>
          <w:lang w:val="es-ES"/>
        </w:rPr>
        <w:t>Es</w:t>
      </w:r>
      <w:r w:rsidRPr="005510A2">
        <w:rPr>
          <w:rFonts w:ascii="Verdana" w:hAnsi="Verdana"/>
        </w:rPr>
        <w:t>tos y otros conceptos se encuentran disponibles para consulta</w:t>
      </w:r>
      <w:r w:rsidRPr="00F766A3">
        <w:rPr>
          <w:rFonts w:ascii="Verdana" w:hAnsi="Verdana"/>
        </w:rPr>
        <w:t xml:space="preserve"> en el Sistema de relatoría de la Agencia, al cual se puede acceder a través del siguiente enlace:</w:t>
      </w:r>
      <w:r w:rsidRPr="00F766A3">
        <w:rPr>
          <w:rStyle w:val="normaltextrun"/>
          <w:rFonts w:ascii="Verdana" w:hAnsi="Verdana" w:cs="Arial"/>
          <w:shd w:val="clear" w:color="auto" w:fill="FFFFFF"/>
          <w:lang w:val="es-ES"/>
        </w:rPr>
        <w:t xml:space="preserve"> </w:t>
      </w:r>
      <w:hyperlink r:id="rId11" w:history="1">
        <w:r w:rsidRPr="00F766A3">
          <w:rPr>
            <w:rStyle w:val="Hipervnculo"/>
            <w:rFonts w:ascii="Verdana" w:hAnsi="Verdana" w:cs="Arial"/>
            <w:shd w:val="clear" w:color="auto" w:fill="FFFFFF"/>
            <w:lang w:val="es-ES"/>
          </w:rPr>
          <w:t>https://relatoria.colombiacompra.gov.co/busqueda/conceptos</w:t>
        </w:r>
      </w:hyperlink>
      <w:r w:rsidRPr="00F766A3">
        <w:rPr>
          <w:rStyle w:val="normaltextrun"/>
          <w:rFonts w:ascii="Verdana" w:hAnsi="Verdana" w:cs="Arial"/>
          <w:color w:val="FF0000"/>
          <w:shd w:val="clear" w:color="auto" w:fill="FFFFFF"/>
          <w:lang w:val="es-ES"/>
        </w:rPr>
        <w:t xml:space="preserve">. </w:t>
      </w:r>
    </w:p>
    <w:p w14:paraId="2948B61E" w14:textId="77777777" w:rsidR="00C32987" w:rsidRDefault="00C32987" w:rsidP="00C32987">
      <w:pPr>
        <w:spacing w:after="0" w:line="276" w:lineRule="auto"/>
        <w:jc w:val="both"/>
        <w:textAlignment w:val="baseline"/>
        <w:rPr>
          <w:rFonts w:ascii="Verdana" w:eastAsia="Verdana" w:hAnsi="Verdana" w:cs="Verdana"/>
        </w:rPr>
      </w:pPr>
    </w:p>
    <w:p w14:paraId="657F740A" w14:textId="77777777" w:rsidR="00C32987" w:rsidRPr="00010A5F" w:rsidRDefault="00C32987" w:rsidP="00C32987">
      <w:pPr>
        <w:spacing w:after="0" w:line="276" w:lineRule="auto"/>
        <w:jc w:val="both"/>
        <w:textAlignment w:val="baseline"/>
        <w:rPr>
          <w:rFonts w:ascii="Verdana" w:eastAsia="Verdana" w:hAnsi="Verdana" w:cs="Verdana"/>
          <w:color w:val="FF0000"/>
          <w:lang w:val="es"/>
        </w:rPr>
      </w:pPr>
      <w:r w:rsidRPr="39124533">
        <w:rPr>
          <w:rFonts w:ascii="Verdana" w:eastAsia="Verdana" w:hAnsi="Verdana" w:cs="Verdana"/>
        </w:rPr>
        <w:t>Estos se encuentran disponibles para consulta en el Sistema de relatoría de la Agencia, al cual puede accederse a través del siguiente enlace:</w:t>
      </w:r>
      <w:hyperlink r:id="rId12">
        <w:r w:rsidRPr="39124533">
          <w:rPr>
            <w:rStyle w:val="Hipervnculo"/>
            <w:rFonts w:ascii="Verdana" w:hAnsi="Verdana"/>
            <w:lang w:val="es"/>
          </w:rPr>
          <w:t>https://relatoria.colombiacompra.gov.co/busqueda/conceptos</w:t>
        </w:r>
      </w:hyperlink>
      <w:r w:rsidRPr="39124533">
        <w:rPr>
          <w:rFonts w:ascii="Verdana" w:eastAsia="Verdana" w:hAnsi="Verdana" w:cs="Verdana"/>
          <w:color w:val="000000" w:themeColor="text1"/>
          <w:lang w:val="es"/>
        </w:rPr>
        <w:t xml:space="preserve">. </w:t>
      </w:r>
      <w:r w:rsidRPr="39124533">
        <w:rPr>
          <w:rFonts w:ascii="Verdana" w:eastAsia="Verdana" w:hAnsi="Verdana" w:cs="Verdana"/>
          <w:color w:val="FF0000"/>
          <w:lang w:val="es"/>
        </w:rPr>
        <w:t xml:space="preserve"> </w:t>
      </w:r>
    </w:p>
    <w:p w14:paraId="659386FC" w14:textId="77777777" w:rsidR="00C32987" w:rsidRDefault="00C32987" w:rsidP="00C32987">
      <w:pPr>
        <w:spacing w:after="0" w:line="276" w:lineRule="auto"/>
        <w:jc w:val="both"/>
        <w:textAlignment w:val="baseline"/>
        <w:rPr>
          <w:rFonts w:ascii="Verdana" w:eastAsia="Verdana" w:hAnsi="Verdana" w:cs="Verdana"/>
          <w:color w:val="000000" w:themeColor="text1"/>
          <w:lang w:val="es"/>
        </w:rPr>
      </w:pPr>
      <w:r w:rsidRPr="39124533">
        <w:rPr>
          <w:rFonts w:ascii="Verdana" w:eastAsia="Verdana" w:hAnsi="Verdana" w:cs="Verdana"/>
          <w:color w:val="000000" w:themeColor="text1"/>
          <w:lang w:val="es"/>
        </w:rPr>
        <w:t xml:space="preserve">  </w:t>
      </w:r>
    </w:p>
    <w:p w14:paraId="67AE6C34" w14:textId="77777777" w:rsidR="00C32987" w:rsidRDefault="00C32987" w:rsidP="00C32987">
      <w:pPr>
        <w:shd w:val="clear" w:color="auto" w:fill="FFFFFF" w:themeFill="background1"/>
        <w:spacing w:after="0"/>
        <w:jc w:val="both"/>
        <w:rPr>
          <w:rFonts w:ascii="Verdana" w:eastAsia="Verdana" w:hAnsi="Verdana" w:cs="Verdana"/>
        </w:rPr>
      </w:pPr>
      <w:r w:rsidRPr="054CF0A3">
        <w:rPr>
          <w:rFonts w:ascii="Verdana" w:eastAsia="Verdana" w:hAnsi="Verdana" w:cs="Verdana"/>
          <w:color w:val="000000" w:themeColor="text1"/>
        </w:rPr>
        <w:t xml:space="preserve">Las garantías no son un requisito formal: son el instrumento con el que se protege el patrimonio público frente a los riesgos del contrato. Por ello, la Agencia Nacional de Contratación Pública –Colombia Compra Eficiente– te invita a consultar la nueva versión de la </w:t>
      </w:r>
      <w:r w:rsidRPr="054CF0A3">
        <w:rPr>
          <w:rFonts w:ascii="Verdana" w:eastAsia="Verdana" w:hAnsi="Verdana" w:cs="Verdana"/>
          <w:b/>
          <w:bCs/>
          <w:color w:val="000000" w:themeColor="text1"/>
        </w:rPr>
        <w:t>Guía para la Exigencia y Constitución de Garantías en los Procesos de Contratación</w:t>
      </w:r>
      <w:r w:rsidRPr="054CF0A3">
        <w:rPr>
          <w:rFonts w:ascii="Verdana" w:eastAsia="Verdana" w:hAnsi="Verdana" w:cs="Verdana"/>
          <w:color w:val="000000" w:themeColor="text1"/>
        </w:rPr>
        <w:t xml:space="preserve">, dirigida a las entidades sometidas al EGCAP y a las de regímenes exceptuados, así como a proveedores y órganos de control. Encontrarás orientaciones sobre las clases de garantías admisibles, la correspondencia entre riesgos asignados y amparos exigidos, su suficiencia y vigencia, y el procedimiento para hacerlas efectivas. Consúltala aquí: </w:t>
      </w:r>
      <w:hyperlink r:id="rId13">
        <w:r w:rsidRPr="054CF0A3">
          <w:rPr>
            <w:rStyle w:val="Hipervnculo"/>
            <w:rFonts w:ascii="Verdana" w:eastAsia="Verdana" w:hAnsi="Verdana" w:cs="Verdana"/>
            <w:color w:val="000000" w:themeColor="text1"/>
          </w:rPr>
          <w:t>https://www.colombiacompra.gov.co/archivos/manual/guia-de-garantias-en-procesos-de-contratacion</w:t>
        </w:r>
      </w:hyperlink>
    </w:p>
    <w:p w14:paraId="2979EDFE" w14:textId="77777777" w:rsidR="00C32987" w:rsidRDefault="00C32987" w:rsidP="00C32987">
      <w:pPr>
        <w:shd w:val="clear" w:color="auto" w:fill="FFFFFF" w:themeFill="background1"/>
        <w:spacing w:before="220" w:after="220"/>
        <w:jc w:val="both"/>
        <w:rPr>
          <w:rFonts w:ascii="Verdana" w:eastAsia="Verdana" w:hAnsi="Verdana" w:cs="Verdana"/>
        </w:rPr>
      </w:pPr>
      <w:r w:rsidRPr="054CF0A3">
        <w:rPr>
          <w:rFonts w:ascii="Verdana" w:eastAsia="Verdana" w:hAnsi="Verdana" w:cs="Verdana"/>
          <w:color w:val="000000" w:themeColor="text1"/>
        </w:rPr>
        <w:t xml:space="preserve">De otro lado, te contamos que el Decreto 287 del 19 de marzo de 2026 sustituyó los artículos 2.2.1.2.4.2.6., 2.2.1.2.4.2.7. y 2.2.1.2.4.2.8. del Decreto 1082 de 2015 y estructuró el </w:t>
      </w:r>
      <w:r w:rsidRPr="054CF0A3">
        <w:rPr>
          <w:rFonts w:ascii="Verdana" w:eastAsia="Verdana" w:hAnsi="Verdana" w:cs="Verdana"/>
          <w:b/>
          <w:bCs/>
          <w:color w:val="000000" w:themeColor="text1"/>
        </w:rPr>
        <w:t>Sistema Integral de Preferencias en favor de las personas con discapacidad</w:t>
      </w:r>
      <w:r w:rsidRPr="054CF0A3">
        <w:rPr>
          <w:rFonts w:ascii="Verdana" w:eastAsia="Verdana" w:hAnsi="Verdana" w:cs="Verdana"/>
          <w:color w:val="000000" w:themeColor="text1"/>
        </w:rPr>
        <w:t xml:space="preserve">, en cumplimiento del artículo 13 de la Ley Estatutaria 1618 de 2013. Para orientar su aplicación, esta Agencia expidió la </w:t>
      </w:r>
      <w:r w:rsidRPr="054CF0A3">
        <w:rPr>
          <w:rFonts w:ascii="Verdana" w:eastAsia="Verdana" w:hAnsi="Verdana" w:cs="Verdana"/>
          <w:b/>
          <w:bCs/>
          <w:color w:val="000000" w:themeColor="text1"/>
        </w:rPr>
        <w:t xml:space="preserve">Circular Externa 003 del 12 de mayo de 2026, </w:t>
      </w:r>
      <w:r w:rsidRPr="054CF0A3">
        <w:rPr>
          <w:rFonts w:ascii="Verdana" w:eastAsia="Verdana" w:hAnsi="Verdana" w:cs="Verdana"/>
          <w:color w:val="000000" w:themeColor="text1"/>
        </w:rPr>
        <w:t xml:space="preserve">en la que precisa quiénes son los beneficiarios, las cinco medidas que integran el sistema y su obligatoriedad según la modalidad de selección, y el régimen de transición aplicable a los procesos en curso. Consúltala aquí: </w:t>
      </w:r>
      <w:hyperlink r:id="rId14">
        <w:r w:rsidRPr="054CF0A3">
          <w:rPr>
            <w:rStyle w:val="Hipervnculo"/>
            <w:rFonts w:ascii="Verdana" w:eastAsia="Verdana" w:hAnsi="Verdana" w:cs="Verdana"/>
            <w:color w:val="000000" w:themeColor="text1"/>
          </w:rPr>
          <w:t>https://www.colombiacompra.gov.co/archivos/circular/circular-externa-003-de-2026</w:t>
        </w:r>
      </w:hyperlink>
    </w:p>
    <w:p w14:paraId="45AC00B7" w14:textId="77777777" w:rsidR="00C32987" w:rsidRDefault="00C32987" w:rsidP="00C32987">
      <w:pPr>
        <w:shd w:val="clear" w:color="auto" w:fill="FFFFFF" w:themeFill="background1"/>
        <w:spacing w:before="220" w:after="220"/>
        <w:jc w:val="both"/>
        <w:rPr>
          <w:rFonts w:ascii="Verdana" w:eastAsia="Verdana" w:hAnsi="Verdana" w:cs="Verdana"/>
        </w:rPr>
      </w:pPr>
      <w:r w:rsidRPr="054CF0A3">
        <w:rPr>
          <w:rFonts w:ascii="Verdana" w:eastAsia="Verdana" w:hAnsi="Verdana" w:cs="Verdana"/>
          <w:color w:val="000000" w:themeColor="text1"/>
        </w:rPr>
        <w:t>Recuerda también que la</w:t>
      </w:r>
      <w:r w:rsidRPr="054CF0A3">
        <w:rPr>
          <w:rFonts w:ascii="Verdana" w:eastAsia="Verdana" w:hAnsi="Verdana" w:cs="Verdana"/>
          <w:b/>
          <w:bCs/>
          <w:color w:val="000000" w:themeColor="text1"/>
        </w:rPr>
        <w:t xml:space="preserve"> información sobre sanciones e inhabilidades </w:t>
      </w:r>
      <w:r w:rsidRPr="054CF0A3">
        <w:rPr>
          <w:rFonts w:ascii="Verdana" w:eastAsia="Verdana" w:hAnsi="Verdana" w:cs="Verdana"/>
          <w:color w:val="000000" w:themeColor="text1"/>
        </w:rPr>
        <w:t xml:space="preserve">solo cumple su función preventiva si llega oportunamente a los registros públicos. Sobre este deber, esta Agencia expidió la </w:t>
      </w:r>
      <w:r w:rsidRPr="054CF0A3">
        <w:rPr>
          <w:rFonts w:ascii="Verdana" w:eastAsia="Verdana" w:hAnsi="Verdana" w:cs="Verdana"/>
          <w:b/>
          <w:bCs/>
          <w:color w:val="000000" w:themeColor="text1"/>
        </w:rPr>
        <w:t>Circular Externa 002 del 5 de mayo de 2026,</w:t>
      </w:r>
      <w:r w:rsidRPr="054CF0A3">
        <w:rPr>
          <w:rFonts w:ascii="Verdana" w:eastAsia="Verdana" w:hAnsi="Verdana" w:cs="Verdana"/>
          <w:color w:val="000000" w:themeColor="text1"/>
        </w:rPr>
        <w:t xml:space="preserve"> dirigida a todas las entidades del Estado sin distinción de su régimen contractual, en la que reitera la obligatoriedad de reportar caducidades, multas, sanciones, declaratorias de incumplimiento e inhabilidades ante las Cámaras de </w:t>
      </w:r>
      <w:r w:rsidRPr="054CF0A3">
        <w:rPr>
          <w:rFonts w:ascii="Verdana" w:eastAsia="Verdana" w:hAnsi="Verdana" w:cs="Verdana"/>
          <w:color w:val="000000" w:themeColor="text1"/>
        </w:rPr>
        <w:lastRenderedPageBreak/>
        <w:t xml:space="preserve">Comercio, la Procuraduría General de la Nación y el SECOP, e indica los responsables, los portales dispuestos para el efecto y las consecuencias disciplinarias de omitir este deber. Consúltala aquí: </w:t>
      </w:r>
      <w:hyperlink r:id="rId15">
        <w:r w:rsidRPr="054CF0A3">
          <w:rPr>
            <w:rStyle w:val="Hipervnculo"/>
            <w:rFonts w:ascii="Verdana" w:eastAsia="Verdana" w:hAnsi="Verdana" w:cs="Verdana"/>
            <w:color w:val="000000" w:themeColor="text1"/>
          </w:rPr>
          <w:t>https://www.colombiacompra.gov.co/archivos/circular/circular-externa-002-de-2026</w:t>
        </w:r>
      </w:hyperlink>
    </w:p>
    <w:p w14:paraId="72A44558" w14:textId="77777777" w:rsidR="00C32987" w:rsidRDefault="00C32987" w:rsidP="00C32987">
      <w:pPr>
        <w:shd w:val="clear" w:color="auto" w:fill="FFFFFF" w:themeFill="background1"/>
        <w:spacing w:before="220" w:after="220"/>
        <w:jc w:val="both"/>
        <w:rPr>
          <w:rFonts w:ascii="Verdana" w:eastAsia="Verdana" w:hAnsi="Verdana" w:cs="Verdana"/>
          <w:color w:val="000000" w:themeColor="text1"/>
        </w:rPr>
      </w:pPr>
      <w:r w:rsidRPr="054CF0A3">
        <w:rPr>
          <w:rFonts w:ascii="Verdana" w:eastAsia="Verdana" w:hAnsi="Verdana" w:cs="Verdana"/>
          <w:color w:val="000000" w:themeColor="text1"/>
        </w:rPr>
        <w:t>Finalmente, si quieres seguir de cerca la actividad de la Agencia, la tercera edición de 2026 del</w:t>
      </w:r>
      <w:r w:rsidRPr="054CF0A3">
        <w:rPr>
          <w:rFonts w:ascii="Verdana" w:eastAsia="Verdana" w:hAnsi="Verdana" w:cs="Verdana"/>
          <w:b/>
          <w:bCs/>
          <w:color w:val="000000" w:themeColor="text1"/>
        </w:rPr>
        <w:t xml:space="preserve"> Radar de la Compra Pública</w:t>
      </w:r>
      <w:r w:rsidRPr="054CF0A3">
        <w:rPr>
          <w:rFonts w:ascii="Verdana" w:eastAsia="Verdana" w:hAnsi="Verdana" w:cs="Verdana"/>
          <w:color w:val="000000" w:themeColor="text1"/>
        </w:rPr>
        <w:t xml:space="preserve"> reúne, entre otros contenidos, la Circular Externa 003 de 2026, el Decreto 552 de 2026, un estudio sobre inteligencia artificial en la compra pública, los avances de la Relatoría, análisis jurisprudencial, conceptos jurídicos destacados y la oferta de la Escuela Virtual ANCP-CCE. Descárgalo aquí: </w:t>
      </w:r>
      <w:hyperlink r:id="rId16">
        <w:r w:rsidRPr="054CF0A3">
          <w:rPr>
            <w:rStyle w:val="Hipervnculo"/>
            <w:rFonts w:ascii="Verdana" w:eastAsia="Verdana" w:hAnsi="Verdana" w:cs="Verdana"/>
            <w:color w:val="000000" w:themeColor="text1"/>
          </w:rPr>
          <w:t>https://www.colombiacompra.gov.co/archivos/boletin/boletin-edicion-n-3-de-2026-radar-de-la-compra-publica</w:t>
        </w:r>
      </w:hyperlink>
    </w:p>
    <w:p w14:paraId="23052B25" w14:textId="77777777" w:rsidR="00C32987" w:rsidRPr="003D5882" w:rsidRDefault="00C32987" w:rsidP="00C32987">
      <w:pPr>
        <w:spacing w:after="0" w:line="257" w:lineRule="auto"/>
        <w:jc w:val="both"/>
        <w:textAlignment w:val="baseline"/>
        <w:rPr>
          <w:rFonts w:ascii="Verdana" w:eastAsia="Verdana" w:hAnsi="Verdana" w:cs="Verdana"/>
          <w:color w:val="000000" w:themeColor="text1"/>
          <w:lang w:val="es"/>
        </w:rPr>
      </w:pPr>
      <w:r w:rsidRPr="39124533">
        <w:rPr>
          <w:rFonts w:ascii="Verdana" w:eastAsia="Verdana" w:hAnsi="Verdana" w:cs="Verdana"/>
          <w:color w:val="000000" w:themeColor="text1"/>
          <w:lang w:val="es"/>
        </w:rPr>
        <w:t xml:space="preserve">Lo invitamos a seguirnos en las redes sociales en las cuales se difunde información institucional: </w:t>
      </w:r>
    </w:p>
    <w:p w14:paraId="1854ECC1" w14:textId="77777777" w:rsidR="00C32987" w:rsidRPr="0015699B" w:rsidRDefault="00C32987" w:rsidP="00C32987">
      <w:pPr>
        <w:spacing w:after="0" w:line="240" w:lineRule="auto"/>
        <w:jc w:val="both"/>
        <w:textAlignment w:val="baseline"/>
        <w:rPr>
          <w:rFonts w:ascii="Verdana" w:eastAsia="Verdana" w:hAnsi="Verdana" w:cs="Verdana"/>
          <w:color w:val="000000" w:themeColor="text1"/>
          <w:lang w:val="es"/>
        </w:rPr>
      </w:pPr>
      <w:r w:rsidRPr="40A87941">
        <w:rPr>
          <w:rFonts w:ascii="Verdana" w:eastAsia="Verdana" w:hAnsi="Verdana" w:cs="Verdana"/>
          <w:color w:val="000000" w:themeColor="text1"/>
          <w:lang w:val="es"/>
        </w:rPr>
        <w:t xml:space="preserve"> </w:t>
      </w:r>
    </w:p>
    <w:p w14:paraId="0D0B7871" w14:textId="77777777" w:rsidR="00C32987" w:rsidRPr="0015699B" w:rsidRDefault="00C32987" w:rsidP="00C32987">
      <w:pPr>
        <w:spacing w:after="0" w:line="240" w:lineRule="auto"/>
        <w:jc w:val="both"/>
        <w:textAlignment w:val="baseline"/>
        <w:rPr>
          <w:rFonts w:ascii="Verdana" w:eastAsia="Verdana" w:hAnsi="Verdana" w:cs="Verdana"/>
          <w:color w:val="000000" w:themeColor="text1"/>
          <w:lang w:val="es"/>
        </w:rPr>
      </w:pPr>
      <w:r w:rsidRPr="40A87941">
        <w:rPr>
          <w:rFonts w:ascii="Verdana" w:eastAsia="Verdana" w:hAnsi="Verdana" w:cs="Verdana"/>
          <w:color w:val="000000" w:themeColor="text1"/>
          <w:lang w:val="es"/>
        </w:rPr>
        <w:t xml:space="preserve">Twitter: </w:t>
      </w:r>
      <w:r w:rsidRPr="40A87941">
        <w:rPr>
          <w:rFonts w:ascii="Verdana" w:eastAsia="Verdana" w:hAnsi="Verdana" w:cs="Verdana"/>
          <w:color w:val="000000" w:themeColor="text1"/>
          <w:u w:val="single"/>
          <w:lang w:val="es"/>
        </w:rPr>
        <w:t>@colombiacompra</w:t>
      </w:r>
      <w:r w:rsidRPr="40A87941">
        <w:rPr>
          <w:rFonts w:ascii="Verdana" w:eastAsia="Verdana" w:hAnsi="Verdana" w:cs="Verdana"/>
          <w:color w:val="000000" w:themeColor="text1"/>
          <w:lang w:val="es"/>
        </w:rPr>
        <w:t xml:space="preserve"> </w:t>
      </w:r>
    </w:p>
    <w:p w14:paraId="0C182FBE" w14:textId="77777777" w:rsidR="00C32987" w:rsidRPr="0015699B" w:rsidRDefault="00C32987" w:rsidP="00C32987">
      <w:pPr>
        <w:spacing w:after="0" w:line="240" w:lineRule="auto"/>
        <w:jc w:val="both"/>
        <w:textAlignment w:val="baseline"/>
        <w:rPr>
          <w:rFonts w:ascii="Verdana" w:eastAsia="Verdana" w:hAnsi="Verdana" w:cs="Verdana"/>
          <w:color w:val="000000" w:themeColor="text1"/>
          <w:u w:val="single"/>
          <w:lang w:val="es-ES"/>
        </w:rPr>
      </w:pPr>
      <w:r w:rsidRPr="40A87941">
        <w:rPr>
          <w:rFonts w:ascii="Verdana" w:eastAsia="Verdana" w:hAnsi="Verdana" w:cs="Verdana"/>
          <w:color w:val="000000" w:themeColor="text1"/>
          <w:lang w:val="es-ES"/>
        </w:rPr>
        <w:t xml:space="preserve">Facebook: </w:t>
      </w:r>
      <w:r w:rsidRPr="40A87941">
        <w:rPr>
          <w:rFonts w:ascii="Verdana" w:eastAsia="Verdana" w:hAnsi="Verdana" w:cs="Verdana"/>
          <w:color w:val="000000" w:themeColor="text1"/>
          <w:u w:val="single"/>
          <w:lang w:val="es-ES"/>
        </w:rPr>
        <w:t>ColombiaCompraEficiente</w:t>
      </w:r>
    </w:p>
    <w:p w14:paraId="16EC3157" w14:textId="77777777" w:rsidR="00C32987" w:rsidRPr="0015699B" w:rsidRDefault="00C32987" w:rsidP="00C32987">
      <w:pPr>
        <w:spacing w:after="0" w:line="240" w:lineRule="auto"/>
        <w:jc w:val="both"/>
        <w:textAlignment w:val="baseline"/>
        <w:rPr>
          <w:rFonts w:ascii="Verdana" w:eastAsia="Verdana" w:hAnsi="Verdana" w:cs="Verdana"/>
          <w:color w:val="000000" w:themeColor="text1"/>
          <w:u w:val="single"/>
          <w:lang w:val="es"/>
        </w:rPr>
      </w:pPr>
      <w:r w:rsidRPr="40A87941">
        <w:rPr>
          <w:rFonts w:ascii="Verdana" w:eastAsia="Verdana" w:hAnsi="Verdana" w:cs="Verdana"/>
          <w:color w:val="000000" w:themeColor="text1"/>
          <w:lang w:val="es"/>
        </w:rPr>
        <w:t xml:space="preserve">LinkedIn: </w:t>
      </w:r>
      <w:r w:rsidRPr="40A87941">
        <w:rPr>
          <w:rFonts w:ascii="Verdana" w:eastAsia="Verdana" w:hAnsi="Verdana" w:cs="Verdana"/>
          <w:color w:val="000000" w:themeColor="text1"/>
          <w:u w:val="single"/>
          <w:lang w:val="es"/>
        </w:rPr>
        <w:t>Agencia Nacional de Contratación Pública - Colombia Compra Eficiente</w:t>
      </w:r>
      <w:r w:rsidRPr="40A87941">
        <w:rPr>
          <w:rFonts w:ascii="Verdana" w:eastAsia="Verdana" w:hAnsi="Verdana" w:cs="Verdana"/>
          <w:color w:val="000000" w:themeColor="text1"/>
          <w:lang w:val="es"/>
        </w:rPr>
        <w:t xml:space="preserve"> Instagram: </w:t>
      </w:r>
      <w:r w:rsidRPr="40A87941">
        <w:rPr>
          <w:rFonts w:ascii="Verdana" w:eastAsia="Verdana" w:hAnsi="Verdana" w:cs="Verdana"/>
          <w:color w:val="000000" w:themeColor="text1"/>
          <w:u w:val="single"/>
          <w:lang w:val="es"/>
        </w:rPr>
        <w:t>@colombiacompraeficiente_cce</w:t>
      </w:r>
    </w:p>
    <w:p w14:paraId="7E2D9B9C" w14:textId="77777777" w:rsidR="00C32987" w:rsidRPr="0015699B" w:rsidRDefault="00C32987" w:rsidP="00C32987">
      <w:pPr>
        <w:spacing w:after="0" w:line="276" w:lineRule="auto"/>
        <w:jc w:val="both"/>
        <w:textAlignment w:val="baseline"/>
        <w:rPr>
          <w:rFonts w:ascii="Verdana" w:eastAsia="Verdana" w:hAnsi="Verdana" w:cs="Verdana"/>
          <w:color w:val="000000" w:themeColor="text1"/>
          <w:lang w:val="es"/>
        </w:rPr>
      </w:pPr>
      <w:r w:rsidRPr="40A87941">
        <w:rPr>
          <w:rFonts w:ascii="Verdana" w:eastAsia="Verdana" w:hAnsi="Verdana" w:cs="Verdana"/>
          <w:color w:val="000000" w:themeColor="text1"/>
          <w:lang w:val="es"/>
        </w:rPr>
        <w:t xml:space="preserve"> </w:t>
      </w:r>
    </w:p>
    <w:p w14:paraId="36B7BB0A" w14:textId="77777777" w:rsidR="00C32987" w:rsidRPr="0015699B" w:rsidRDefault="00C32987" w:rsidP="00C32987">
      <w:pPr>
        <w:spacing w:after="0" w:line="276" w:lineRule="auto"/>
        <w:jc w:val="both"/>
        <w:textAlignment w:val="baseline"/>
        <w:rPr>
          <w:rFonts w:ascii="Verdana" w:eastAsia="Verdana" w:hAnsi="Verdana" w:cs="Verdana"/>
          <w:color w:val="000000" w:themeColor="text1"/>
          <w:lang w:val="es"/>
        </w:rPr>
      </w:pPr>
      <w:r w:rsidRPr="40A87941">
        <w:rPr>
          <w:rFonts w:ascii="Verdana" w:eastAsia="Verdana" w:hAnsi="Verdana" w:cs="Verdana"/>
          <w:color w:val="000000" w:themeColor="text1"/>
          <w:lang w:val="es"/>
        </w:rPr>
        <w:t>Este concepto tiene el alcance previsto en el artículo 28 del Código de Procedimiento Administrativo y de lo Contencioso Administrativo y las expresiones aquí utilizadas con mayúscula inicial deben ser entendidas con el significado que les otorga el artículo 2.2.1.1.1.3.1. del Decreto 1082 de 2015.</w:t>
      </w:r>
    </w:p>
    <w:p w14:paraId="418F42C7" w14:textId="77777777" w:rsidR="00C32987" w:rsidRPr="0015699B" w:rsidRDefault="00C32987" w:rsidP="00C32987">
      <w:pPr>
        <w:spacing w:after="0" w:line="240" w:lineRule="auto"/>
        <w:jc w:val="both"/>
        <w:textAlignment w:val="baseline"/>
        <w:rPr>
          <w:rFonts w:ascii="Verdana" w:eastAsia="Verdana" w:hAnsi="Verdana" w:cs="Verdana"/>
          <w:color w:val="000000" w:themeColor="text1"/>
          <w:lang w:val="es"/>
        </w:rPr>
      </w:pPr>
      <w:r w:rsidRPr="40A87941">
        <w:rPr>
          <w:rFonts w:ascii="Verdana" w:eastAsia="Verdana" w:hAnsi="Verdana" w:cs="Verdana"/>
          <w:color w:val="000000" w:themeColor="text1"/>
          <w:lang w:val="es"/>
        </w:rPr>
        <w:t xml:space="preserve"> </w:t>
      </w:r>
    </w:p>
    <w:p w14:paraId="3001A575" w14:textId="77777777" w:rsidR="00C32987" w:rsidRPr="0015699B" w:rsidRDefault="00C32987" w:rsidP="00C32987">
      <w:pPr>
        <w:spacing w:after="0" w:line="240" w:lineRule="auto"/>
        <w:jc w:val="both"/>
        <w:textAlignment w:val="baseline"/>
      </w:pPr>
      <w:r w:rsidRPr="40A87941">
        <w:rPr>
          <w:rFonts w:ascii="Verdana" w:eastAsia="Verdana" w:hAnsi="Verdana" w:cs="Verdana"/>
          <w:color w:val="000000" w:themeColor="text1"/>
          <w:lang w:val="es"/>
        </w:rPr>
        <w:t xml:space="preserve"> Atentamente, </w:t>
      </w:r>
    </w:p>
    <w:p w14:paraId="4A355930" w14:textId="0719FCB4" w:rsidR="00C32987" w:rsidRDefault="00C32987" w:rsidP="00C32987">
      <w:pPr>
        <w:spacing w:after="0" w:line="240" w:lineRule="auto"/>
        <w:ind w:left="2340"/>
        <w:jc w:val="both"/>
        <w:rPr>
          <w:noProof/>
        </w:rPr>
      </w:pPr>
    </w:p>
    <w:p w14:paraId="2256110A" w14:textId="567365BD" w:rsidR="009D605E" w:rsidRDefault="009D605E" w:rsidP="009D605E">
      <w:pPr>
        <w:spacing w:after="0" w:line="240" w:lineRule="auto"/>
        <w:ind w:left="284" w:right="333"/>
        <w:jc w:val="center"/>
      </w:pPr>
      <w:r>
        <w:rPr>
          <w:noProof/>
        </w:rPr>
        <w:drawing>
          <wp:inline distT="0" distB="0" distL="0" distR="0" wp14:anchorId="0B1ACA08" wp14:editId="5B2DDCDB">
            <wp:extent cx="4029075" cy="1729612"/>
            <wp:effectExtent l="0" t="0" r="0" b="4445"/>
            <wp:docPr id="48372119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41648" cy="1735010"/>
                    </a:xfrm>
                    <a:prstGeom prst="rect">
                      <a:avLst/>
                    </a:prstGeom>
                    <a:noFill/>
                    <a:ln>
                      <a:noFill/>
                    </a:ln>
                  </pic:spPr>
                </pic:pic>
              </a:graphicData>
            </a:graphic>
          </wp:inline>
        </w:drawing>
      </w:r>
    </w:p>
    <w:p w14:paraId="7BAB5E8D" w14:textId="77777777" w:rsidR="00C32987" w:rsidRPr="0015699B" w:rsidRDefault="00C32987" w:rsidP="00C32987">
      <w:pPr>
        <w:spacing w:line="276" w:lineRule="auto"/>
        <w:jc w:val="center"/>
        <w:textAlignment w:val="baseline"/>
        <w:rPr>
          <w:rFonts w:ascii="Calibri" w:eastAsia="Calibri" w:hAnsi="Calibri" w:cs="Calibri"/>
          <w:lang w:val="es"/>
        </w:rPr>
      </w:pPr>
    </w:p>
    <w:tbl>
      <w:tblPr>
        <w:tblStyle w:val="Tablaconcuadrcula"/>
        <w:tblW w:w="0" w:type="auto"/>
        <w:tblBorders>
          <w:top w:val="none" w:sz="0" w:space="0" w:color="auto"/>
          <w:left w:val="none" w:sz="0" w:space="0" w:color="auto"/>
          <w:bottom w:val="none" w:sz="0" w:space="0" w:color="auto"/>
          <w:right w:val="none" w:sz="0" w:space="0" w:color="auto"/>
          <w:insideH w:val="dotted" w:sz="4" w:space="0" w:color="auto"/>
          <w:insideV w:val="dotted" w:sz="4" w:space="0" w:color="auto"/>
        </w:tblBorders>
        <w:tblLook w:val="04A0" w:firstRow="1" w:lastRow="0" w:firstColumn="1" w:lastColumn="0" w:noHBand="0" w:noVBand="1"/>
      </w:tblPr>
      <w:tblGrid>
        <w:gridCol w:w="893"/>
        <w:gridCol w:w="4919"/>
      </w:tblGrid>
      <w:tr w:rsidR="00C32987" w14:paraId="353069F0" w14:textId="77777777" w:rsidTr="00F9429A">
        <w:trPr>
          <w:trHeight w:val="315"/>
        </w:trPr>
        <w:tc>
          <w:tcPr>
            <w:tcW w:w="893" w:type="dxa"/>
            <w:tcBorders>
              <w:top w:val="nil"/>
              <w:bottom w:val="nil"/>
              <w:right w:val="nil"/>
            </w:tcBorders>
            <w:tcMar>
              <w:left w:w="108" w:type="dxa"/>
              <w:right w:w="108" w:type="dxa"/>
            </w:tcMar>
            <w:vAlign w:val="center"/>
          </w:tcPr>
          <w:p w14:paraId="78573870" w14:textId="77777777" w:rsidR="00C32987" w:rsidRDefault="00C32987" w:rsidP="00F9429A">
            <w:pPr>
              <w:rPr>
                <w:rFonts w:ascii="Verdana" w:eastAsia="Verdana" w:hAnsi="Verdana" w:cs="Verdana"/>
                <w:color w:val="000000" w:themeColor="text1"/>
                <w:sz w:val="16"/>
                <w:szCs w:val="16"/>
                <w:lang w:val="es"/>
              </w:rPr>
            </w:pPr>
            <w:r w:rsidRPr="40A87941">
              <w:rPr>
                <w:rFonts w:ascii="Verdana" w:eastAsia="Verdana" w:hAnsi="Verdana" w:cs="Verdana"/>
                <w:color w:val="000000" w:themeColor="text1"/>
                <w:sz w:val="16"/>
                <w:szCs w:val="16"/>
                <w:lang w:val="es"/>
              </w:rPr>
              <w:t>Elaboró:</w:t>
            </w:r>
          </w:p>
        </w:tc>
        <w:tc>
          <w:tcPr>
            <w:tcW w:w="4919" w:type="dxa"/>
            <w:tcBorders>
              <w:left w:val="nil"/>
            </w:tcBorders>
            <w:tcMar>
              <w:left w:w="108" w:type="dxa"/>
              <w:right w:w="108" w:type="dxa"/>
            </w:tcMar>
            <w:vAlign w:val="center"/>
          </w:tcPr>
          <w:p w14:paraId="451D0C36" w14:textId="77777777" w:rsidR="00C32987" w:rsidRDefault="00C32987" w:rsidP="00F9429A">
            <w:pPr>
              <w:rPr>
                <w:rFonts w:ascii="Verdana" w:eastAsia="Verdana" w:hAnsi="Verdana" w:cs="Verdana"/>
                <w:color w:val="000000" w:themeColor="text1"/>
                <w:sz w:val="16"/>
                <w:szCs w:val="16"/>
              </w:rPr>
            </w:pPr>
            <w:r w:rsidRPr="40A87941">
              <w:rPr>
                <w:rFonts w:ascii="Verdana" w:eastAsia="Verdana" w:hAnsi="Verdana" w:cs="Verdana"/>
                <w:color w:val="000000" w:themeColor="text1"/>
                <w:sz w:val="16"/>
                <w:szCs w:val="16"/>
              </w:rPr>
              <w:t>Daniel Eduardo Rojas Poveda</w:t>
            </w:r>
          </w:p>
          <w:p w14:paraId="066A4046" w14:textId="77777777" w:rsidR="00C32987" w:rsidRDefault="00C32987" w:rsidP="00F9429A">
            <w:pPr>
              <w:rPr>
                <w:rFonts w:ascii="Verdana" w:eastAsia="Verdana" w:hAnsi="Verdana" w:cs="Verdana"/>
                <w:color w:val="000000" w:themeColor="text1"/>
                <w:sz w:val="16"/>
                <w:szCs w:val="16"/>
              </w:rPr>
            </w:pPr>
            <w:r w:rsidRPr="40A87941">
              <w:rPr>
                <w:rFonts w:ascii="Verdana" w:eastAsia="Verdana" w:hAnsi="Verdana" w:cs="Verdana"/>
                <w:color w:val="000000" w:themeColor="text1"/>
                <w:sz w:val="16"/>
                <w:szCs w:val="16"/>
              </w:rPr>
              <w:t>C</w:t>
            </w:r>
            <w:r w:rsidRPr="40A87941">
              <w:rPr>
                <w:rFonts w:ascii="Verdana" w:eastAsia="Verdana" w:hAnsi="Verdana" w:cs="Verdana"/>
                <w:sz w:val="16"/>
                <w:szCs w:val="16"/>
              </w:rPr>
              <w:t xml:space="preserve">ontratista </w:t>
            </w:r>
            <w:r w:rsidRPr="40A87941">
              <w:rPr>
                <w:rFonts w:ascii="Verdana" w:eastAsia="Verdana" w:hAnsi="Verdana" w:cs="Verdana"/>
                <w:color w:val="000000" w:themeColor="text1"/>
                <w:sz w:val="16"/>
                <w:szCs w:val="16"/>
              </w:rPr>
              <w:t>de la Subdirección de Gestión Contractual</w:t>
            </w:r>
          </w:p>
        </w:tc>
      </w:tr>
      <w:tr w:rsidR="00C32987" w14:paraId="72DF96C9" w14:textId="77777777" w:rsidTr="00F9429A">
        <w:trPr>
          <w:trHeight w:val="330"/>
        </w:trPr>
        <w:tc>
          <w:tcPr>
            <w:tcW w:w="893" w:type="dxa"/>
            <w:tcBorders>
              <w:top w:val="nil"/>
              <w:bottom w:val="nil"/>
              <w:right w:val="nil"/>
            </w:tcBorders>
            <w:tcMar>
              <w:left w:w="108" w:type="dxa"/>
              <w:right w:w="108" w:type="dxa"/>
            </w:tcMar>
            <w:vAlign w:val="center"/>
          </w:tcPr>
          <w:p w14:paraId="1D5CF1FC" w14:textId="77777777" w:rsidR="00C32987" w:rsidRDefault="00C32987" w:rsidP="00F9429A">
            <w:pPr>
              <w:spacing w:after="255"/>
              <w:rPr>
                <w:rFonts w:ascii="Verdana" w:eastAsia="Verdana" w:hAnsi="Verdana" w:cs="Verdana"/>
                <w:color w:val="000000" w:themeColor="text1"/>
                <w:sz w:val="16"/>
                <w:szCs w:val="16"/>
                <w:lang w:val="es"/>
              </w:rPr>
            </w:pPr>
            <w:r w:rsidRPr="40A87941">
              <w:rPr>
                <w:rFonts w:ascii="Verdana" w:eastAsia="Verdana" w:hAnsi="Verdana" w:cs="Verdana"/>
                <w:color w:val="000000" w:themeColor="text1"/>
                <w:sz w:val="16"/>
                <w:szCs w:val="16"/>
                <w:lang w:val="es"/>
              </w:rPr>
              <w:t>Revisó:</w:t>
            </w:r>
          </w:p>
        </w:tc>
        <w:tc>
          <w:tcPr>
            <w:tcW w:w="4919" w:type="dxa"/>
            <w:tcBorders>
              <w:left w:val="nil"/>
            </w:tcBorders>
            <w:tcMar>
              <w:left w:w="108" w:type="dxa"/>
              <w:right w:w="108" w:type="dxa"/>
            </w:tcMar>
            <w:vAlign w:val="center"/>
          </w:tcPr>
          <w:p w14:paraId="11BC0334" w14:textId="77777777" w:rsidR="00C32987" w:rsidRDefault="00C32987" w:rsidP="00F9429A">
            <w:pPr>
              <w:rPr>
                <w:rFonts w:ascii="Verdana" w:eastAsia="Verdana" w:hAnsi="Verdana" w:cs="Verdana"/>
                <w:color w:val="000000" w:themeColor="text1"/>
                <w:sz w:val="16"/>
                <w:szCs w:val="16"/>
              </w:rPr>
            </w:pPr>
            <w:r>
              <w:rPr>
                <w:rFonts w:ascii="Verdana" w:eastAsia="Verdana" w:hAnsi="Verdana" w:cs="Verdana"/>
                <w:color w:val="000000" w:themeColor="text1"/>
                <w:sz w:val="16"/>
                <w:szCs w:val="16"/>
              </w:rPr>
              <w:t>Juan David Cardenas Cabeza</w:t>
            </w:r>
          </w:p>
          <w:p w14:paraId="74D38D45" w14:textId="77777777" w:rsidR="00C32987" w:rsidRDefault="00C32987" w:rsidP="00F9429A">
            <w:pPr>
              <w:rPr>
                <w:rFonts w:ascii="Verdana" w:eastAsia="Verdana" w:hAnsi="Verdana" w:cs="Verdana"/>
                <w:color w:val="000000" w:themeColor="text1"/>
                <w:sz w:val="16"/>
                <w:szCs w:val="16"/>
              </w:rPr>
            </w:pPr>
            <w:r>
              <w:rPr>
                <w:rFonts w:ascii="Verdana" w:eastAsia="Verdana" w:hAnsi="Verdana" w:cs="Verdana"/>
                <w:color w:val="000000" w:themeColor="text1"/>
                <w:sz w:val="16"/>
                <w:szCs w:val="16"/>
              </w:rPr>
              <w:t>Contratista</w:t>
            </w:r>
            <w:r w:rsidRPr="39124533">
              <w:rPr>
                <w:rFonts w:ascii="Verdana" w:eastAsia="Verdana" w:hAnsi="Verdana" w:cs="Verdana"/>
                <w:color w:val="000000" w:themeColor="text1"/>
                <w:sz w:val="16"/>
                <w:szCs w:val="16"/>
              </w:rPr>
              <w:t xml:space="preserve"> de la Subdirección de Gestión Contractual</w:t>
            </w:r>
          </w:p>
        </w:tc>
      </w:tr>
      <w:tr w:rsidR="00C32987" w14:paraId="348D156E" w14:textId="77777777" w:rsidTr="00F9429A">
        <w:trPr>
          <w:trHeight w:val="300"/>
        </w:trPr>
        <w:tc>
          <w:tcPr>
            <w:tcW w:w="893" w:type="dxa"/>
            <w:tcBorders>
              <w:top w:val="nil"/>
              <w:bottom w:val="nil"/>
              <w:right w:val="nil"/>
            </w:tcBorders>
            <w:tcMar>
              <w:left w:w="108" w:type="dxa"/>
              <w:right w:w="108" w:type="dxa"/>
            </w:tcMar>
            <w:vAlign w:val="center"/>
          </w:tcPr>
          <w:p w14:paraId="06A88DA4" w14:textId="77777777" w:rsidR="00C32987" w:rsidRDefault="00C32987" w:rsidP="00F9429A">
            <w:pPr>
              <w:rPr>
                <w:rFonts w:ascii="Verdana" w:eastAsia="Verdana" w:hAnsi="Verdana" w:cs="Verdana"/>
                <w:color w:val="000000" w:themeColor="text1"/>
                <w:sz w:val="16"/>
                <w:szCs w:val="16"/>
                <w:lang w:val="es"/>
              </w:rPr>
            </w:pPr>
            <w:r w:rsidRPr="40A87941">
              <w:rPr>
                <w:rFonts w:ascii="Verdana" w:eastAsia="Verdana" w:hAnsi="Verdana" w:cs="Verdana"/>
                <w:color w:val="000000" w:themeColor="text1"/>
                <w:sz w:val="16"/>
                <w:szCs w:val="16"/>
                <w:lang w:val="es"/>
              </w:rPr>
              <w:t>Aprobó:</w:t>
            </w:r>
          </w:p>
        </w:tc>
        <w:tc>
          <w:tcPr>
            <w:tcW w:w="4919" w:type="dxa"/>
            <w:tcBorders>
              <w:left w:val="nil"/>
            </w:tcBorders>
            <w:tcMar>
              <w:left w:w="108" w:type="dxa"/>
              <w:right w:w="108" w:type="dxa"/>
            </w:tcMar>
            <w:vAlign w:val="center"/>
          </w:tcPr>
          <w:p w14:paraId="0B4E805B" w14:textId="77777777" w:rsidR="00C32987" w:rsidRDefault="00C32987" w:rsidP="00F9429A">
            <w:pPr>
              <w:rPr>
                <w:rFonts w:ascii="Verdana" w:eastAsia="Verdana" w:hAnsi="Verdana" w:cs="Verdana"/>
                <w:color w:val="000000" w:themeColor="text1"/>
                <w:sz w:val="16"/>
                <w:szCs w:val="16"/>
                <w:lang w:val="pt-BR"/>
              </w:rPr>
            </w:pPr>
            <w:r w:rsidRPr="40A87941">
              <w:rPr>
                <w:rFonts w:ascii="Verdana" w:eastAsia="Verdana" w:hAnsi="Verdana" w:cs="Verdana"/>
                <w:color w:val="000000" w:themeColor="text1"/>
                <w:sz w:val="16"/>
                <w:szCs w:val="16"/>
                <w:lang w:val="pt-BR"/>
              </w:rPr>
              <w:t>Carolina Quintero Gacharná</w:t>
            </w:r>
          </w:p>
          <w:p w14:paraId="5D9EEA3D" w14:textId="77777777" w:rsidR="00C32987" w:rsidRDefault="00C32987" w:rsidP="00F9429A">
            <w:pPr>
              <w:rPr>
                <w:rFonts w:ascii="Verdana" w:eastAsia="Verdana" w:hAnsi="Verdana" w:cs="Verdana"/>
                <w:color w:val="000000" w:themeColor="text1"/>
                <w:sz w:val="16"/>
                <w:szCs w:val="16"/>
                <w:lang w:val="pt-BR"/>
              </w:rPr>
            </w:pPr>
            <w:r w:rsidRPr="40A87941">
              <w:rPr>
                <w:rFonts w:ascii="Verdana" w:eastAsia="Verdana" w:hAnsi="Verdana" w:cs="Verdana"/>
                <w:color w:val="000000" w:themeColor="text1"/>
                <w:sz w:val="16"/>
                <w:szCs w:val="16"/>
              </w:rPr>
              <w:t>Subdirectora</w:t>
            </w:r>
            <w:r w:rsidRPr="40A87941">
              <w:rPr>
                <w:rFonts w:ascii="Verdana" w:eastAsia="Verdana" w:hAnsi="Verdana" w:cs="Verdana"/>
                <w:color w:val="000000" w:themeColor="text1"/>
                <w:sz w:val="16"/>
                <w:szCs w:val="16"/>
                <w:lang w:val="pt-BR"/>
              </w:rPr>
              <w:t xml:space="preserve"> de Gestión Contractual ANCP – CCE</w:t>
            </w:r>
          </w:p>
        </w:tc>
      </w:tr>
    </w:tbl>
    <w:p w14:paraId="237BECB0" w14:textId="77777777" w:rsidR="00C32987" w:rsidRPr="0015699B" w:rsidRDefault="00C32987" w:rsidP="00C32987">
      <w:pPr>
        <w:spacing w:line="257" w:lineRule="auto"/>
        <w:jc w:val="both"/>
        <w:textAlignment w:val="baseline"/>
        <w:rPr>
          <w:rFonts w:ascii="Calibri" w:eastAsia="Calibri" w:hAnsi="Calibri" w:cs="Calibri"/>
          <w:lang w:val="es-ES"/>
        </w:rPr>
      </w:pPr>
      <w:r w:rsidRPr="40A87941">
        <w:rPr>
          <w:rFonts w:ascii="Calibri" w:eastAsia="Calibri" w:hAnsi="Calibri" w:cs="Calibri"/>
          <w:lang w:val="es"/>
        </w:rPr>
        <w:t xml:space="preserve"> </w:t>
      </w:r>
    </w:p>
    <w:p w14:paraId="3B27AFCD" w14:textId="77777777" w:rsidR="002A0DD0" w:rsidRPr="00C32987" w:rsidRDefault="002A0DD0" w:rsidP="30821638">
      <w:pPr>
        <w:spacing w:after="0" w:line="240" w:lineRule="auto"/>
        <w:jc w:val="both"/>
        <w:rPr>
          <w:rFonts w:ascii="Verdana" w:eastAsia="Verdana" w:hAnsi="Verdana" w:cs="Verdana"/>
          <w:b/>
          <w:bCs/>
          <w:lang w:val="es-ES"/>
        </w:rPr>
      </w:pPr>
    </w:p>
    <w:p w14:paraId="7C9026E2" w14:textId="77777777" w:rsidR="002A0DD0" w:rsidRPr="00E02524" w:rsidRDefault="002A0DD0" w:rsidP="30821638">
      <w:pPr>
        <w:spacing w:after="0" w:line="240" w:lineRule="auto"/>
        <w:jc w:val="both"/>
        <w:rPr>
          <w:rFonts w:ascii="Verdana" w:eastAsia="Verdana" w:hAnsi="Verdana" w:cs="Verdana"/>
          <w:b/>
          <w:bCs/>
          <w:lang w:val="es-MX"/>
        </w:rPr>
      </w:pPr>
    </w:p>
    <w:p w14:paraId="1006A388" w14:textId="77777777" w:rsidR="00C15139" w:rsidRPr="000E2B93" w:rsidRDefault="00C15139" w:rsidP="30821638">
      <w:pPr>
        <w:spacing w:after="0" w:line="240" w:lineRule="auto"/>
        <w:jc w:val="both"/>
        <w:textAlignment w:val="baseline"/>
        <w:rPr>
          <w:rFonts w:ascii="Verdana" w:eastAsia="Verdana" w:hAnsi="Verdana" w:cs="Verdana"/>
          <w:lang w:eastAsia="es-CO"/>
        </w:rPr>
      </w:pPr>
    </w:p>
    <w:p w14:paraId="69BC4D14" w14:textId="4D711AB2" w:rsidR="00C15139" w:rsidRPr="000E2B93" w:rsidRDefault="00C15139" w:rsidP="30821638">
      <w:pPr>
        <w:spacing w:after="0" w:line="240" w:lineRule="auto"/>
        <w:textAlignment w:val="baseline"/>
        <w:rPr>
          <w:rFonts w:ascii="Verdana" w:eastAsia="Verdana" w:hAnsi="Verdana" w:cs="Verdana"/>
          <w:lang w:eastAsia="es-CO"/>
        </w:rPr>
      </w:pPr>
      <w:r w:rsidRPr="30821638">
        <w:rPr>
          <w:rFonts w:ascii="Verdana" w:eastAsia="Verdana" w:hAnsi="Verdana" w:cs="Verdana"/>
          <w:lang w:eastAsia="es-CO"/>
        </w:rPr>
        <w:t> </w:t>
      </w:r>
      <w:bookmarkEnd w:id="0"/>
    </w:p>
    <w:sectPr w:rsidR="00C15139" w:rsidRPr="000E2B93" w:rsidSect="007C0C0F">
      <w:headerReference w:type="default" r:id="rId18"/>
      <w:footerReference w:type="default" r:id="rId19"/>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9B93EB" w14:textId="77777777" w:rsidR="00F7719F" w:rsidRDefault="00F7719F" w:rsidP="004A1847">
      <w:pPr>
        <w:spacing w:after="0" w:line="240" w:lineRule="auto"/>
      </w:pPr>
      <w:r>
        <w:separator/>
      </w:r>
    </w:p>
  </w:endnote>
  <w:endnote w:type="continuationSeparator" w:id="0">
    <w:p w14:paraId="01A3F491" w14:textId="77777777" w:rsidR="00F7719F" w:rsidRDefault="00F7719F"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Geomanist Bold">
    <w:altName w:val="Calibri"/>
    <w:panose1 w:val="00000000000000000000"/>
    <w:charset w:val="00"/>
    <w:family w:val="modern"/>
    <w:notTrueType/>
    <w:pitch w:val="variable"/>
    <w:sig w:usb0="A000002F" w:usb1="1000004A" w:usb2="00000000" w:usb3="00000000" w:csb0="00000193" w:csb1="00000000"/>
  </w:font>
  <w:font w:name="Century Gothic">
    <w:panose1 w:val="020B0502020202020204"/>
    <w:charset w:val="00"/>
    <w:family w:val="swiss"/>
    <w:pitch w:val="variable"/>
    <w:sig w:usb0="00000287" w:usb1="00000000" w:usb2="00000000" w:usb3="00000000" w:csb0="0000009F"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8B2E46" w14:textId="77777777" w:rsidR="00F7719F" w:rsidRDefault="00F7719F" w:rsidP="004A1847">
      <w:pPr>
        <w:spacing w:after="0" w:line="240" w:lineRule="auto"/>
      </w:pPr>
      <w:r>
        <w:separator/>
      </w:r>
    </w:p>
  </w:footnote>
  <w:footnote w:type="continuationSeparator" w:id="0">
    <w:p w14:paraId="73BBED1E" w14:textId="77777777" w:rsidR="00F7719F" w:rsidRDefault="00F7719F" w:rsidP="004A1847">
      <w:pPr>
        <w:spacing w:after="0" w:line="240" w:lineRule="auto"/>
      </w:pPr>
      <w:r>
        <w:continuationSeparator/>
      </w:r>
    </w:p>
  </w:footnote>
  <w:footnote w:id="1">
    <w:p w14:paraId="2A21EA3B" w14:textId="77777777" w:rsidR="00C32987" w:rsidRPr="005A1C07" w:rsidRDefault="00C32987" w:rsidP="00C32987">
      <w:pPr>
        <w:pStyle w:val="Textonotapie"/>
        <w:ind w:firstLine="708"/>
        <w:jc w:val="both"/>
        <w:rPr>
          <w:rFonts w:ascii="Verdana" w:hAnsi="Verdana" w:cs="Arial"/>
          <w:sz w:val="16"/>
          <w:szCs w:val="16"/>
        </w:rPr>
      </w:pPr>
      <w:r w:rsidRPr="005A1C07">
        <w:rPr>
          <w:rStyle w:val="Refdenotaalpie"/>
          <w:rFonts w:ascii="Verdana" w:hAnsi="Verdana" w:cs="Arial"/>
          <w:sz w:val="16"/>
          <w:szCs w:val="16"/>
        </w:rPr>
        <w:footnoteRef/>
      </w:r>
      <w:r w:rsidRPr="005A1C07">
        <w:rPr>
          <w:rFonts w:ascii="Verdana" w:hAnsi="Verdana" w:cs="Arial"/>
          <w:sz w:val="16"/>
          <w:szCs w:val="16"/>
        </w:rPr>
        <w:t xml:space="preserve"> Conforme al Manual para determinar y verificar requisitos habilitantes en los procesos de contratación, la experiencia “[…] debe ser entendida como el conocimiento del proponente derivado de su participación previa en actividades iguales o similares a las previstas en el objeto del contrato con contratantes públicos, privados, nacionales o extranjeros. La experiencia puede ser adquirida directamente de manera singularizada o en asocio con otras personas, como es el caso de los proponentes plurales, cuya experiencia no deja de ser personal, sino que, por tratarse de esquemas asociativos, se evalúa de forma proporcional a la participación de los miembros en los respectivos consorcios y/o uniones temporales.</w:t>
      </w:r>
    </w:p>
    <w:p w14:paraId="7223B43E" w14:textId="77777777" w:rsidR="00C32987" w:rsidRPr="005A1C07" w:rsidRDefault="00C32987" w:rsidP="00C32987">
      <w:pPr>
        <w:pStyle w:val="Textonotapie"/>
        <w:ind w:firstLine="708"/>
        <w:jc w:val="both"/>
        <w:rPr>
          <w:rFonts w:ascii="Verdana" w:hAnsi="Verdana" w:cs="Arial"/>
          <w:sz w:val="16"/>
          <w:szCs w:val="16"/>
        </w:rPr>
      </w:pPr>
      <w:r w:rsidRPr="005A1C07">
        <w:rPr>
          <w:rFonts w:ascii="Verdana" w:hAnsi="Verdana" w:cs="Arial"/>
          <w:sz w:val="16"/>
          <w:szCs w:val="16"/>
        </w:rPr>
        <w:t>[…]</w:t>
      </w:r>
    </w:p>
    <w:p w14:paraId="5EC6B46B" w14:textId="77777777" w:rsidR="00C32987" w:rsidRPr="005A1C07" w:rsidRDefault="00C32987" w:rsidP="00C32987">
      <w:pPr>
        <w:pStyle w:val="Textonotapie"/>
        <w:ind w:firstLine="708"/>
        <w:jc w:val="both"/>
        <w:rPr>
          <w:rFonts w:ascii="Verdana" w:hAnsi="Verdana" w:cs="Arial"/>
          <w:sz w:val="16"/>
          <w:szCs w:val="16"/>
        </w:rPr>
      </w:pPr>
      <w:r w:rsidRPr="005A1C07">
        <w:rPr>
          <w:rFonts w:ascii="Verdana" w:hAnsi="Verdana" w:cs="Arial"/>
          <w:sz w:val="16"/>
          <w:szCs w:val="16"/>
        </w:rPr>
        <w:t>La experiencia requerida en un Proceso de Contratación debe ser adecuada y proporcional a la naturaleza del contrato, su valor, complejidad y riesgo. La experiencia es adecuada cuando es afín al tipo de actividades incluidas dentro del objeto del contrato a celebrar. Por ejemplo, si es para prestar un servicio de aseo general, el proponente debe tener experiencia en tal servicio, sin que sea relevante el lugar en el cual lo haya ejecutado o quién fue el contratante.</w:t>
      </w:r>
    </w:p>
    <w:p w14:paraId="08045D7E" w14:textId="77777777" w:rsidR="00C32987" w:rsidRPr="005A1C07" w:rsidRDefault="00C32987" w:rsidP="00C32987">
      <w:pPr>
        <w:pStyle w:val="Textonotapie"/>
        <w:ind w:firstLine="708"/>
        <w:jc w:val="both"/>
        <w:rPr>
          <w:rFonts w:ascii="Verdana" w:hAnsi="Verdana" w:cs="Arial"/>
          <w:sz w:val="16"/>
          <w:szCs w:val="16"/>
        </w:rPr>
      </w:pPr>
      <w:r w:rsidRPr="005A1C07">
        <w:rPr>
          <w:rFonts w:ascii="Verdana" w:hAnsi="Verdana" w:cs="Arial"/>
          <w:sz w:val="16"/>
          <w:szCs w:val="16"/>
        </w:rPr>
        <w:t>De otra parte, la experiencia es proporcional cuando tiene relación con el alcance, la cuantía, riesgo y la complejidad del negocio a celebrar. Por ejemplo, en una obra pública con un presupuesto oficial de 100 SMMLV, la experiencia exigida es proporcional si se exige que los proponentes hayan participado en Procesos de Contratación con cuantías similares”.</w:t>
      </w:r>
    </w:p>
  </w:footnote>
  <w:footnote w:id="2">
    <w:p w14:paraId="2A835E7A" w14:textId="77777777" w:rsidR="00C32987" w:rsidRPr="005A1C07" w:rsidRDefault="00C32987" w:rsidP="00C32987">
      <w:pPr>
        <w:pStyle w:val="Textonotapie"/>
        <w:ind w:firstLine="708"/>
        <w:jc w:val="both"/>
        <w:rPr>
          <w:rFonts w:ascii="Verdana" w:hAnsi="Verdana" w:cs="Arial"/>
          <w:sz w:val="16"/>
          <w:szCs w:val="16"/>
        </w:rPr>
      </w:pPr>
      <w:r w:rsidRPr="005A1C07">
        <w:rPr>
          <w:rStyle w:val="Refdenotaalpie"/>
          <w:rFonts w:ascii="Verdana" w:hAnsi="Verdana"/>
          <w:sz w:val="16"/>
          <w:szCs w:val="16"/>
        </w:rPr>
        <w:footnoteRef/>
      </w:r>
      <w:r w:rsidRPr="005A1C07">
        <w:rPr>
          <w:rFonts w:ascii="Verdana" w:hAnsi="Verdana"/>
          <w:sz w:val="16"/>
          <w:szCs w:val="16"/>
        </w:rPr>
        <w:t xml:space="preserve"> </w:t>
      </w:r>
      <w:r w:rsidRPr="005A1C07">
        <w:rPr>
          <w:rFonts w:ascii="Verdana" w:hAnsi="Verdana" w:cs="Arial"/>
          <w:sz w:val="16"/>
          <w:szCs w:val="16"/>
        </w:rPr>
        <w:t>Esta conclusión cambió respecto del concepto C – 002 del 20 de febrero de 2020, para adecuarla a un mejor entendimiento de las normas sobre la experiencia.</w:t>
      </w:r>
    </w:p>
  </w:footnote>
  <w:footnote w:id="3">
    <w:p w14:paraId="0CCC2E8A" w14:textId="77777777" w:rsidR="00C32987" w:rsidRPr="005A1C07" w:rsidRDefault="00C32987" w:rsidP="00C32987">
      <w:pPr>
        <w:pStyle w:val="Textonotapie"/>
        <w:ind w:firstLine="708"/>
        <w:jc w:val="both"/>
        <w:rPr>
          <w:rFonts w:ascii="Verdana" w:hAnsi="Verdana" w:cs="Arial"/>
          <w:color w:val="000000" w:themeColor="text1"/>
          <w:sz w:val="16"/>
          <w:szCs w:val="16"/>
          <w:lang w:val="es-CO"/>
        </w:rPr>
      </w:pPr>
      <w:r w:rsidRPr="005A1C07">
        <w:rPr>
          <w:rStyle w:val="Refdenotaalpie"/>
          <w:rFonts w:ascii="Verdana" w:hAnsi="Verdana" w:cs="Arial"/>
          <w:color w:val="000000" w:themeColor="text1"/>
          <w:sz w:val="16"/>
          <w:szCs w:val="16"/>
        </w:rPr>
        <w:footnoteRef/>
      </w:r>
      <w:r w:rsidRPr="005A1C07">
        <w:rPr>
          <w:rFonts w:ascii="Verdana" w:hAnsi="Verdana" w:cs="Arial"/>
          <w:color w:val="000000" w:themeColor="text1"/>
          <w:sz w:val="16"/>
          <w:szCs w:val="16"/>
        </w:rPr>
        <w:t xml:space="preserve"> Corte Constitucional. </w:t>
      </w:r>
      <w:r w:rsidRPr="005A1C07">
        <w:rPr>
          <w:rFonts w:ascii="Verdana" w:hAnsi="Verdana" w:cs="Arial"/>
          <w:color w:val="000000" w:themeColor="text1"/>
          <w:sz w:val="16"/>
          <w:szCs w:val="16"/>
          <w:lang w:val="es-CO"/>
        </w:rPr>
        <w:t xml:space="preserve">Sentencia C </w:t>
      </w:r>
      <w:r w:rsidRPr="005A1C07">
        <w:rPr>
          <w:rFonts w:ascii="Verdana" w:eastAsia="Calibri" w:hAnsi="Verdana" w:cs="Arial"/>
          <w:color w:val="000000" w:themeColor="text1"/>
          <w:sz w:val="16"/>
          <w:szCs w:val="16"/>
        </w:rPr>
        <w:t xml:space="preserve">- </w:t>
      </w:r>
      <w:r w:rsidRPr="005A1C07">
        <w:rPr>
          <w:rFonts w:ascii="Verdana" w:hAnsi="Verdana" w:cs="Arial"/>
          <w:color w:val="000000" w:themeColor="text1"/>
          <w:sz w:val="16"/>
          <w:szCs w:val="16"/>
          <w:lang w:val="es-CO"/>
        </w:rPr>
        <w:t xml:space="preserve">259 del 11 de marzo 2008. M.P. Jaime Córdoba Triviño. </w:t>
      </w:r>
    </w:p>
  </w:footnote>
  <w:footnote w:id="4">
    <w:p w14:paraId="10220ACD" w14:textId="77777777" w:rsidR="00C32987" w:rsidRPr="005A1C07" w:rsidRDefault="00C32987" w:rsidP="00C32987">
      <w:pPr>
        <w:pStyle w:val="Textonotapie"/>
        <w:ind w:firstLine="708"/>
        <w:jc w:val="both"/>
        <w:rPr>
          <w:rFonts w:ascii="Verdana" w:hAnsi="Verdana" w:cs="Arial"/>
          <w:sz w:val="16"/>
          <w:szCs w:val="16"/>
        </w:rPr>
      </w:pPr>
      <w:r w:rsidRPr="005A1C07">
        <w:rPr>
          <w:rStyle w:val="Refdenotaalpie"/>
          <w:rFonts w:ascii="Verdana" w:hAnsi="Verdana" w:cs="Arial"/>
          <w:sz w:val="16"/>
          <w:szCs w:val="16"/>
        </w:rPr>
        <w:footnoteRef/>
      </w:r>
      <w:r w:rsidRPr="005A1C07">
        <w:rPr>
          <w:rFonts w:ascii="Verdana" w:hAnsi="Verdana" w:cs="Arial"/>
          <w:sz w:val="16"/>
          <w:szCs w:val="16"/>
        </w:rPr>
        <w:t xml:space="preserve"> </w:t>
      </w:r>
      <w:r>
        <w:rPr>
          <w:rFonts w:ascii="Verdana" w:hAnsi="Verdana" w:cs="Arial"/>
          <w:sz w:val="16"/>
          <w:szCs w:val="16"/>
        </w:rPr>
        <w:t>“</w:t>
      </w:r>
      <w:r w:rsidRPr="005A1C07">
        <w:rPr>
          <w:rFonts w:ascii="Verdana" w:hAnsi="Verdana" w:cs="Arial"/>
          <w:sz w:val="16"/>
          <w:szCs w:val="16"/>
        </w:rPr>
        <w:t>Artículo 2.2.1.1.1.5.2: Información para inscripción, renovación o actualización. El interesado debe presentar a cualquier cámara de comercio del país una solicitud de registro, acompañada de la siguiente información. La cámara de comercio del domicilio del solicitante es la responsable de la inscripción, renovación o actualización correspondiente:</w:t>
      </w:r>
    </w:p>
    <w:p w14:paraId="05050376" w14:textId="77777777" w:rsidR="00C32987" w:rsidRPr="005A1C07" w:rsidRDefault="00C32987" w:rsidP="00C32987">
      <w:pPr>
        <w:pStyle w:val="Textonotapie"/>
        <w:ind w:firstLine="708"/>
        <w:jc w:val="both"/>
        <w:rPr>
          <w:rFonts w:ascii="Verdana" w:hAnsi="Verdana" w:cs="Arial"/>
          <w:sz w:val="16"/>
          <w:szCs w:val="16"/>
        </w:rPr>
      </w:pPr>
      <w:r w:rsidRPr="005A1C07">
        <w:rPr>
          <w:rFonts w:ascii="Verdana" w:hAnsi="Verdana" w:cs="Arial"/>
          <w:sz w:val="16"/>
          <w:szCs w:val="16"/>
        </w:rPr>
        <w:t>[…]</w:t>
      </w:r>
    </w:p>
    <w:p w14:paraId="2C62870E" w14:textId="77777777" w:rsidR="00C32987" w:rsidRPr="005A1C07" w:rsidRDefault="00C32987" w:rsidP="00C32987">
      <w:pPr>
        <w:pStyle w:val="Textonotapie"/>
        <w:ind w:firstLine="708"/>
        <w:jc w:val="both"/>
        <w:rPr>
          <w:rFonts w:ascii="Verdana" w:hAnsi="Verdana" w:cs="Arial"/>
          <w:sz w:val="16"/>
          <w:szCs w:val="16"/>
        </w:rPr>
      </w:pPr>
      <w:r w:rsidRPr="005A1C07">
        <w:rPr>
          <w:rFonts w:ascii="Verdana" w:hAnsi="Verdana" w:cs="Arial"/>
          <w:sz w:val="16"/>
          <w:szCs w:val="16"/>
          <w:shd w:val="clear" w:color="auto" w:fill="FFFFFF"/>
        </w:rPr>
        <w:t>2.1.   Bienes, obras y servicios que ofrecerá a las Entidades Estatales, identificados con el Clasificador de Bienes y Servicios en el tercer nivel</w:t>
      </w:r>
      <w:r>
        <w:rPr>
          <w:rFonts w:ascii="Verdana" w:hAnsi="Verdana" w:cs="Arial"/>
          <w:sz w:val="16"/>
          <w:szCs w:val="16"/>
        </w:rPr>
        <w:t>”</w:t>
      </w:r>
      <w:r w:rsidRPr="005A1C07">
        <w:rPr>
          <w:rFonts w:ascii="Verdana" w:hAnsi="Verdana" w:cs="Arial"/>
          <w:sz w:val="16"/>
          <w:szCs w:val="16"/>
          <w:shd w:val="clear" w:color="auto" w:fill="FFFFFF"/>
        </w:rPr>
        <w:t>.</w:t>
      </w:r>
    </w:p>
  </w:footnote>
  <w:footnote w:id="5">
    <w:p w14:paraId="5AE3FEF9" w14:textId="77777777" w:rsidR="00C32987" w:rsidRPr="005A1C07" w:rsidRDefault="00C32987" w:rsidP="00C32987">
      <w:pPr>
        <w:pStyle w:val="Textonotapie"/>
        <w:ind w:firstLine="708"/>
        <w:jc w:val="both"/>
        <w:rPr>
          <w:rFonts w:ascii="Verdana" w:hAnsi="Verdana" w:cs="Arial"/>
          <w:sz w:val="16"/>
          <w:szCs w:val="16"/>
        </w:rPr>
      </w:pPr>
      <w:r w:rsidRPr="005A1C07">
        <w:rPr>
          <w:rStyle w:val="Refdenotaalpie"/>
          <w:rFonts w:ascii="Verdana" w:hAnsi="Verdana" w:cs="Arial"/>
          <w:sz w:val="16"/>
          <w:szCs w:val="16"/>
        </w:rPr>
        <w:footnoteRef/>
      </w:r>
      <w:r w:rsidRPr="005A1C07">
        <w:rPr>
          <w:rFonts w:ascii="Verdana" w:hAnsi="Verdana" w:cs="Arial"/>
          <w:sz w:val="16"/>
          <w:szCs w:val="16"/>
        </w:rPr>
        <w:t xml:space="preserve">  </w:t>
      </w:r>
      <w:r>
        <w:rPr>
          <w:rFonts w:ascii="Verdana" w:hAnsi="Verdana" w:cs="Arial"/>
          <w:sz w:val="16"/>
          <w:szCs w:val="16"/>
        </w:rPr>
        <w:t>“</w:t>
      </w:r>
      <w:r w:rsidRPr="005A1C07">
        <w:rPr>
          <w:rFonts w:ascii="Verdana" w:hAnsi="Verdana" w:cs="Arial"/>
          <w:sz w:val="16"/>
          <w:szCs w:val="16"/>
        </w:rPr>
        <w:t>Artículo 2.2.1.1.1.5.2. Información para inscripción, renovación o actualización. El interesado debe presentar a cualquier cámara de comercio del país una solicitud de registro, acompañada de la siguiente información. La cámara de comercio del domicilio del solicitante es la responsable de la inscripción, renovación o actualización correspondiente:</w:t>
      </w:r>
    </w:p>
    <w:p w14:paraId="77B97CF5" w14:textId="77777777" w:rsidR="00C32987" w:rsidRPr="005A1C07" w:rsidRDefault="00C32987" w:rsidP="00C32987">
      <w:pPr>
        <w:pStyle w:val="Textonotapie"/>
        <w:ind w:firstLine="708"/>
        <w:jc w:val="both"/>
        <w:rPr>
          <w:rFonts w:ascii="Verdana" w:hAnsi="Verdana" w:cs="Arial"/>
          <w:sz w:val="16"/>
          <w:szCs w:val="16"/>
        </w:rPr>
      </w:pPr>
      <w:r w:rsidRPr="005A1C07">
        <w:rPr>
          <w:rFonts w:ascii="Verdana" w:hAnsi="Verdana" w:cs="Arial"/>
          <w:sz w:val="16"/>
          <w:szCs w:val="16"/>
        </w:rPr>
        <w:t>[…]</w:t>
      </w:r>
    </w:p>
    <w:p w14:paraId="21FBAF6D" w14:textId="77777777" w:rsidR="00C32987" w:rsidRPr="005A1C07" w:rsidRDefault="00C32987" w:rsidP="00C32987">
      <w:pPr>
        <w:pStyle w:val="Textonotapie"/>
        <w:ind w:firstLine="708"/>
        <w:jc w:val="both"/>
        <w:rPr>
          <w:rFonts w:ascii="Verdana" w:hAnsi="Verdana" w:cs="Arial"/>
          <w:sz w:val="16"/>
          <w:szCs w:val="16"/>
          <w:lang w:val="es-CO"/>
        </w:rPr>
      </w:pPr>
      <w:r w:rsidRPr="005A1C07">
        <w:rPr>
          <w:rFonts w:ascii="Verdana" w:hAnsi="Verdana" w:cs="Arial"/>
          <w:sz w:val="16"/>
          <w:szCs w:val="16"/>
          <w:shd w:val="clear" w:color="auto" w:fill="FFFFFF"/>
        </w:rPr>
        <w:t>2.5. Certificados de la experiencia en la provisión de los bienes, obras y servicios que ofrecerá a las Entidades Estatales, los cuales deben ser expedidos por terceros que hayan recibido tales bienes, obras o servicios y deben corresponder a contratos ejecutados o copias de los contratos cuando el interesado no puede obtener tal certificado. El interesado debe indicar en cada certificado o en cada copia de los contratos, los bienes, obras y servicios a los cuales corresponde la experiencia que pretende acreditar, identificándolos con el Clasi</w:t>
      </w:r>
      <w:r w:rsidRPr="005A1C07">
        <w:rPr>
          <w:rFonts w:ascii="Verdana" w:hAnsi="Verdana" w:cs="Arial"/>
          <w:sz w:val="16"/>
          <w:szCs w:val="16"/>
          <w:shd w:val="clear" w:color="auto" w:fill="FFFFFF"/>
        </w:rPr>
        <w:softHyphen/>
        <w:t>ficador de Bienes y Servicios en el tercer nivel. Si la constitución del interesado es menor a 3 años, puede acreditar la experiencia de sus accionistas, socios o constituyentes</w:t>
      </w:r>
      <w:r>
        <w:rPr>
          <w:rFonts w:ascii="Verdana" w:hAnsi="Verdana" w:cs="Arial"/>
          <w:sz w:val="16"/>
          <w:szCs w:val="16"/>
        </w:rPr>
        <w:t>”</w:t>
      </w:r>
      <w:r w:rsidRPr="005A1C07">
        <w:rPr>
          <w:rFonts w:ascii="Verdana" w:hAnsi="Verdana"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65408"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6336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2pt" o:bullet="t">
        <v:imagedata r:id="rId1" o:title="mso1B13"/>
      </v:shape>
    </w:pict>
  </w:numPicBullet>
  <w:abstractNum w:abstractNumId="0"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9D726F5"/>
    <w:multiLevelType w:val="hybridMultilevel"/>
    <w:tmpl w:val="7FDC893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9" w15:restartNumberingAfterBreak="0">
    <w:nsid w:val="47CEB590"/>
    <w:multiLevelType w:val="hybridMultilevel"/>
    <w:tmpl w:val="AA841710"/>
    <w:lvl w:ilvl="0" w:tplc="26145AFA">
      <w:start w:val="1"/>
      <w:numFmt w:val="upperRoman"/>
      <w:lvlText w:val="%1."/>
      <w:lvlJc w:val="right"/>
      <w:pPr>
        <w:ind w:left="720" w:hanging="360"/>
      </w:pPr>
    </w:lvl>
    <w:lvl w:ilvl="1" w:tplc="802818A6">
      <w:start w:val="1"/>
      <w:numFmt w:val="lowerLetter"/>
      <w:lvlText w:val="%2."/>
      <w:lvlJc w:val="left"/>
      <w:pPr>
        <w:ind w:left="1440" w:hanging="360"/>
      </w:pPr>
    </w:lvl>
    <w:lvl w:ilvl="2" w:tplc="E98C3A7A">
      <w:start w:val="1"/>
      <w:numFmt w:val="lowerRoman"/>
      <w:lvlText w:val="%3."/>
      <w:lvlJc w:val="right"/>
      <w:pPr>
        <w:ind w:left="2160" w:hanging="180"/>
      </w:pPr>
    </w:lvl>
    <w:lvl w:ilvl="3" w:tplc="ACB8BD72">
      <w:start w:val="1"/>
      <w:numFmt w:val="decimal"/>
      <w:lvlText w:val="%4."/>
      <w:lvlJc w:val="left"/>
      <w:pPr>
        <w:ind w:left="2880" w:hanging="360"/>
      </w:pPr>
    </w:lvl>
    <w:lvl w:ilvl="4" w:tplc="48AE8B9A">
      <w:start w:val="1"/>
      <w:numFmt w:val="lowerLetter"/>
      <w:lvlText w:val="%5."/>
      <w:lvlJc w:val="left"/>
      <w:pPr>
        <w:ind w:left="3600" w:hanging="360"/>
      </w:pPr>
    </w:lvl>
    <w:lvl w:ilvl="5" w:tplc="327293A2">
      <w:start w:val="1"/>
      <w:numFmt w:val="lowerRoman"/>
      <w:lvlText w:val="%6."/>
      <w:lvlJc w:val="right"/>
      <w:pPr>
        <w:ind w:left="4320" w:hanging="180"/>
      </w:pPr>
    </w:lvl>
    <w:lvl w:ilvl="6" w:tplc="1FFC5D48">
      <w:start w:val="1"/>
      <w:numFmt w:val="decimal"/>
      <w:lvlText w:val="%7."/>
      <w:lvlJc w:val="left"/>
      <w:pPr>
        <w:ind w:left="5040" w:hanging="360"/>
      </w:pPr>
    </w:lvl>
    <w:lvl w:ilvl="7" w:tplc="2F589C46">
      <w:start w:val="1"/>
      <w:numFmt w:val="lowerLetter"/>
      <w:lvlText w:val="%8."/>
      <w:lvlJc w:val="left"/>
      <w:pPr>
        <w:ind w:left="5760" w:hanging="360"/>
      </w:pPr>
    </w:lvl>
    <w:lvl w:ilvl="8" w:tplc="AB7C3298">
      <w:start w:val="1"/>
      <w:numFmt w:val="lowerRoman"/>
      <w:lvlText w:val="%9."/>
      <w:lvlJc w:val="right"/>
      <w:pPr>
        <w:ind w:left="6480" w:hanging="180"/>
      </w:pPr>
    </w:lvl>
  </w:abstractNum>
  <w:abstractNum w:abstractNumId="10"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1"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53438210">
    <w:abstractNumId w:val="5"/>
  </w:num>
  <w:num w:numId="2" w16cid:durableId="1478720020">
    <w:abstractNumId w:val="1"/>
  </w:num>
  <w:num w:numId="3" w16cid:durableId="2022705548">
    <w:abstractNumId w:val="3"/>
  </w:num>
  <w:num w:numId="4" w16cid:durableId="39959399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95286404">
    <w:abstractNumId w:val="1"/>
  </w:num>
  <w:num w:numId="6" w16cid:durableId="1115059640">
    <w:abstractNumId w:val="13"/>
  </w:num>
  <w:num w:numId="7" w16cid:durableId="1880697813">
    <w:abstractNumId w:val="4"/>
  </w:num>
  <w:num w:numId="8" w16cid:durableId="527110187">
    <w:abstractNumId w:val="12"/>
  </w:num>
  <w:num w:numId="9" w16cid:durableId="2106656790">
    <w:abstractNumId w:val="6"/>
  </w:num>
  <w:num w:numId="10" w16cid:durableId="931163190">
    <w:abstractNumId w:val="11"/>
  </w:num>
  <w:num w:numId="11" w16cid:durableId="1101687310">
    <w:abstractNumId w:val="7"/>
  </w:num>
  <w:num w:numId="12" w16cid:durableId="443771415">
    <w:abstractNumId w:val="0"/>
  </w:num>
  <w:num w:numId="13" w16cid:durableId="1672219306">
    <w:abstractNumId w:val="2"/>
  </w:num>
  <w:num w:numId="14" w16cid:durableId="653026496">
    <w:abstractNumId w:val="14"/>
  </w:num>
  <w:num w:numId="15" w16cid:durableId="1152791257">
    <w:abstractNumId w:val="10"/>
  </w:num>
  <w:num w:numId="16" w16cid:durableId="1446535025">
    <w:abstractNumId w:val="9"/>
  </w:num>
  <w:num w:numId="17" w16cid:durableId="182276638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46945"/>
    <w:rsid w:val="00061B2A"/>
    <w:rsid w:val="00082362"/>
    <w:rsid w:val="000A683E"/>
    <w:rsid w:val="000B19B9"/>
    <w:rsid w:val="000D0334"/>
    <w:rsid w:val="000D5DA7"/>
    <w:rsid w:val="000F6486"/>
    <w:rsid w:val="00116940"/>
    <w:rsid w:val="00125105"/>
    <w:rsid w:val="00127233"/>
    <w:rsid w:val="0015699B"/>
    <w:rsid w:val="001A33BF"/>
    <w:rsid w:val="001E4177"/>
    <w:rsid w:val="001F0B24"/>
    <w:rsid w:val="001F7DC6"/>
    <w:rsid w:val="0022400B"/>
    <w:rsid w:val="002421BB"/>
    <w:rsid w:val="0025796E"/>
    <w:rsid w:val="002707A2"/>
    <w:rsid w:val="002951A0"/>
    <w:rsid w:val="002962BC"/>
    <w:rsid w:val="002A093D"/>
    <w:rsid w:val="002A0DD0"/>
    <w:rsid w:val="002A49AC"/>
    <w:rsid w:val="002A64FD"/>
    <w:rsid w:val="002C7A84"/>
    <w:rsid w:val="002E2BF8"/>
    <w:rsid w:val="002E4FD9"/>
    <w:rsid w:val="0030657A"/>
    <w:rsid w:val="00322A85"/>
    <w:rsid w:val="00324168"/>
    <w:rsid w:val="00330834"/>
    <w:rsid w:val="003448F4"/>
    <w:rsid w:val="00374F5E"/>
    <w:rsid w:val="00377E3E"/>
    <w:rsid w:val="003A779E"/>
    <w:rsid w:val="003D0F4D"/>
    <w:rsid w:val="003D5B0D"/>
    <w:rsid w:val="003E0499"/>
    <w:rsid w:val="003E4F80"/>
    <w:rsid w:val="003E6439"/>
    <w:rsid w:val="003F3941"/>
    <w:rsid w:val="00406575"/>
    <w:rsid w:val="00414C74"/>
    <w:rsid w:val="0042722E"/>
    <w:rsid w:val="0044528D"/>
    <w:rsid w:val="00466E39"/>
    <w:rsid w:val="0048139B"/>
    <w:rsid w:val="0049170E"/>
    <w:rsid w:val="004A1847"/>
    <w:rsid w:val="004A305D"/>
    <w:rsid w:val="004B5035"/>
    <w:rsid w:val="004F21C4"/>
    <w:rsid w:val="004F685F"/>
    <w:rsid w:val="0052746F"/>
    <w:rsid w:val="005566E8"/>
    <w:rsid w:val="00574867"/>
    <w:rsid w:val="00591460"/>
    <w:rsid w:val="005A65E0"/>
    <w:rsid w:val="005C3777"/>
    <w:rsid w:val="005C5CDC"/>
    <w:rsid w:val="005D476C"/>
    <w:rsid w:val="006200BF"/>
    <w:rsid w:val="006219F8"/>
    <w:rsid w:val="006302F7"/>
    <w:rsid w:val="00646B9F"/>
    <w:rsid w:val="00665D70"/>
    <w:rsid w:val="006900D9"/>
    <w:rsid w:val="006C762A"/>
    <w:rsid w:val="00706C16"/>
    <w:rsid w:val="007340C3"/>
    <w:rsid w:val="0075235A"/>
    <w:rsid w:val="00756841"/>
    <w:rsid w:val="007649AB"/>
    <w:rsid w:val="00771D0C"/>
    <w:rsid w:val="007833AC"/>
    <w:rsid w:val="00785C6E"/>
    <w:rsid w:val="007B268C"/>
    <w:rsid w:val="007B7171"/>
    <w:rsid w:val="007C0C0F"/>
    <w:rsid w:val="007C3DC2"/>
    <w:rsid w:val="007E5497"/>
    <w:rsid w:val="00806F5F"/>
    <w:rsid w:val="00820278"/>
    <w:rsid w:val="008258C9"/>
    <w:rsid w:val="00844AE9"/>
    <w:rsid w:val="00867F95"/>
    <w:rsid w:val="008843B6"/>
    <w:rsid w:val="00891928"/>
    <w:rsid w:val="008A446D"/>
    <w:rsid w:val="008B25F1"/>
    <w:rsid w:val="008D180B"/>
    <w:rsid w:val="008F0EA7"/>
    <w:rsid w:val="00923EEF"/>
    <w:rsid w:val="009419F9"/>
    <w:rsid w:val="0095685E"/>
    <w:rsid w:val="00961B09"/>
    <w:rsid w:val="00965334"/>
    <w:rsid w:val="0097093E"/>
    <w:rsid w:val="009A0DFA"/>
    <w:rsid w:val="009A1C6F"/>
    <w:rsid w:val="009B2D26"/>
    <w:rsid w:val="009C71FA"/>
    <w:rsid w:val="009C72E7"/>
    <w:rsid w:val="009C7F7E"/>
    <w:rsid w:val="009D3058"/>
    <w:rsid w:val="009D605E"/>
    <w:rsid w:val="009F3A13"/>
    <w:rsid w:val="00A122D3"/>
    <w:rsid w:val="00A14468"/>
    <w:rsid w:val="00A17F13"/>
    <w:rsid w:val="00A20739"/>
    <w:rsid w:val="00A23AF9"/>
    <w:rsid w:val="00A2772A"/>
    <w:rsid w:val="00A33C78"/>
    <w:rsid w:val="00AB0ADB"/>
    <w:rsid w:val="00B00C0E"/>
    <w:rsid w:val="00B01B1A"/>
    <w:rsid w:val="00B0381D"/>
    <w:rsid w:val="00B44A47"/>
    <w:rsid w:val="00B72CD3"/>
    <w:rsid w:val="00B72FFF"/>
    <w:rsid w:val="00BC3D36"/>
    <w:rsid w:val="00BD54A6"/>
    <w:rsid w:val="00BD7F72"/>
    <w:rsid w:val="00BF7425"/>
    <w:rsid w:val="00C04FB3"/>
    <w:rsid w:val="00C11D8B"/>
    <w:rsid w:val="00C15139"/>
    <w:rsid w:val="00C32987"/>
    <w:rsid w:val="00C330EB"/>
    <w:rsid w:val="00C50D69"/>
    <w:rsid w:val="00C5365C"/>
    <w:rsid w:val="00C754BE"/>
    <w:rsid w:val="00C76B1C"/>
    <w:rsid w:val="00C925AC"/>
    <w:rsid w:val="00CB6357"/>
    <w:rsid w:val="00CC1B26"/>
    <w:rsid w:val="00CE62A4"/>
    <w:rsid w:val="00D361FD"/>
    <w:rsid w:val="00D423A2"/>
    <w:rsid w:val="00D44E26"/>
    <w:rsid w:val="00D520D8"/>
    <w:rsid w:val="00D63AC2"/>
    <w:rsid w:val="00D7383B"/>
    <w:rsid w:val="00D7788A"/>
    <w:rsid w:val="00DA231B"/>
    <w:rsid w:val="00DC39FC"/>
    <w:rsid w:val="00DF5254"/>
    <w:rsid w:val="00E02524"/>
    <w:rsid w:val="00E16408"/>
    <w:rsid w:val="00E20894"/>
    <w:rsid w:val="00E245AB"/>
    <w:rsid w:val="00E2764C"/>
    <w:rsid w:val="00E27F2E"/>
    <w:rsid w:val="00E50AFE"/>
    <w:rsid w:val="00E75C92"/>
    <w:rsid w:val="00E771DC"/>
    <w:rsid w:val="00E8772A"/>
    <w:rsid w:val="00E90F6B"/>
    <w:rsid w:val="00E92C27"/>
    <w:rsid w:val="00EA0E3D"/>
    <w:rsid w:val="00EC38A7"/>
    <w:rsid w:val="00EE1AA8"/>
    <w:rsid w:val="00F23FEA"/>
    <w:rsid w:val="00F31EDC"/>
    <w:rsid w:val="00F462B3"/>
    <w:rsid w:val="00F5664F"/>
    <w:rsid w:val="00F666C4"/>
    <w:rsid w:val="00F76AFC"/>
    <w:rsid w:val="00F7719F"/>
    <w:rsid w:val="00FA47C0"/>
    <w:rsid w:val="00FB5DD1"/>
    <w:rsid w:val="00FC2B5D"/>
    <w:rsid w:val="00FF1449"/>
    <w:rsid w:val="00FF7963"/>
    <w:rsid w:val="071B8F93"/>
    <w:rsid w:val="07C73DD1"/>
    <w:rsid w:val="09908A09"/>
    <w:rsid w:val="0E0AF0F4"/>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Foot,List Paragraph"/>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paragraph" w:customStyle="1" w:styleId="Appelnotedebasde">
    <w:name w:val="Appel note de bas de..."/>
    <w:basedOn w:val="Normal"/>
    <w:link w:val="Refdenotaalpie"/>
    <w:uiPriority w:val="99"/>
    <w:rsid w:val="00C32987"/>
    <w:pPr>
      <w:spacing w:line="240" w:lineRule="exact"/>
    </w:pPr>
    <w:rPr>
      <w:vertAlign w:val="superscript"/>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C32987"/>
    <w:rPr>
      <w:rFonts w:ascii="Geomanist Light" w:hAnsi="Geomanist Light"/>
      <w:lang w:val="es-ES"/>
    </w:rPr>
  </w:style>
  <w:style w:type="paragraph" w:styleId="Sinespaciado">
    <w:name w:val="No Spacing"/>
    <w:aliases w:val="No Indent"/>
    <w:link w:val="SinespaciadoCar"/>
    <w:uiPriority w:val="3"/>
    <w:qFormat/>
    <w:rsid w:val="00C32987"/>
    <w:pPr>
      <w:spacing w:after="0" w:line="240" w:lineRule="auto"/>
    </w:pPr>
  </w:style>
  <w:style w:type="character" w:customStyle="1" w:styleId="SinespaciadoCar">
    <w:name w:val="Sin espaciado Car"/>
    <w:aliases w:val="No Indent Car"/>
    <w:link w:val="Sinespaciado"/>
    <w:uiPriority w:val="3"/>
    <w:rsid w:val="00C329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nam02.safelinks.protection.outlook.com/?url=https%3A%2F%2Fwww.colombiacompra.gov.co%2Farchivos%2Fmanual%2Fguia-de-garantias-en-procesos-de-contratacion&amp;data=05%7C02%7Cdaniel.rojas%40colombiacompra.gov.co%7C7128555136e04fa6887d08dee99e1b50%7C7b09041e245149d08cb179d5e3d8c1be%7C0%7C0%7C639205062448593820%7CUnknown%7CTWFpbGZsb3d8eyJFbXB0eU1hcGkiOnRydWUsIlYiOiIwLjAuMDAwMCIsIlAiOiJXaW4zMiIsIkFOIjoiTWFpbCIsIldUIjoyfQ%3D%3D%7C0%7C%7C%7C&amp;sdata=hxIQCfuGUII381yJFYTZLjCTG4dHWk4aCsIlfPWtcGc%3D&amp;reserved=0"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relatoria.colombiacompra.gov.co/busqueda/conceptos" TargetMode="External"/><Relationship Id="rId17" Type="http://schemas.openxmlformats.org/officeDocument/2006/relationships/image" Target="media/image3.jpeg"/><Relationship Id="rId2" Type="http://schemas.openxmlformats.org/officeDocument/2006/relationships/customXml" Target="../customXml/item2.xml"/><Relationship Id="rId16" Type="http://schemas.openxmlformats.org/officeDocument/2006/relationships/hyperlink" Target="https://nam02.safelinks.protection.outlook.com/?url=https%3A%2F%2Fwww.colombiacompra.gov.co%2Farchivos%2Fboletin%2Fboletin-edicion-n-3-de-2026-radar-de-la-compra-publica&amp;data=05%7C02%7Cdaniel.rojas%40colombiacompra.gov.co%7C7128555136e04fa6887d08dee99e1b50%7C7b09041e245149d08cb179d5e3d8c1be%7C0%7C0%7C639205062448658089%7CUnknown%7CTWFpbGZsb3d8eyJFbXB0eU1hcGkiOnRydWUsIlYiOiIwLjAuMDAwMCIsIlAiOiJXaW4zMiIsIkFOIjoiTWFpbCIsIldUIjoyfQ%3D%3D%7C0%7C%7C%7C&amp;sdata=hxI7IcssQTDJ1Uyr%2B%2BcRBDJJk7BVdJJW%2B%2F3Jg82WGfI%3D&amp;reserved=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relatoria.colombiacompra.gov.co/busqueda/conceptos" TargetMode="External"/><Relationship Id="rId5" Type="http://schemas.openxmlformats.org/officeDocument/2006/relationships/styles" Target="styles.xml"/><Relationship Id="rId15" Type="http://schemas.openxmlformats.org/officeDocument/2006/relationships/hyperlink" Target="https://nam02.safelinks.protection.outlook.com/?url=https%3A%2F%2Fwww.colombiacompra.gov.co%2Farchivos%2Fcircular%2Fcircular-externa-002-de-2026&amp;data=05%7C02%7Cdaniel.rojas%40colombiacompra.gov.co%7C7128555136e04fa6887d08dee99e1b50%7C7b09041e245149d08cb179d5e3d8c1be%7C0%7C0%7C639205062448638798%7CUnknown%7CTWFpbGZsb3d8eyJFbXB0eU1hcGkiOnRydWUsIlYiOiIwLjAuMDAwMCIsIlAiOiJXaW4zMiIsIkFOIjoiTWFpbCIsIldUIjoyfQ%3D%3D%7C0%7C%7C%7C&amp;sdata=BleggI38FRKn0jF8DoA8g9HSkP3uDdTrTqkrwcDrB%2Fo%3D&amp;reserved=0" TargetMode="External"/><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nam02.safelinks.protection.outlook.com/?url=https%3A%2F%2Fwww.colombiacompra.gov.co%2Farchivos%2Fcircular%2Fcircular-externa-003-de-2026&amp;data=05%7C02%7Cdaniel.rojas%40colombiacompra.gov.co%7C7128555136e04fa6887d08dee99e1b50%7C7b09041e245149d08cb179d5e3d8c1be%7C0%7C0%7C639205062448624002%7CUnknown%7CTWFpbGZsb3d8eyJFbXB0eU1hcGkiOnRydWUsIlYiOiIwLjAuMDAwMCIsIlAiOiJXaW4zMiIsIkFOIjoiTWFpbCIsIldUIjoyfQ%3D%3D%7C0%7C%7C%7C&amp;sdata=arzPuE5g9HcDcoQ6XcnrZvrBNmRg7dREpQYdCPBDVI8%3D&amp;reserved=0"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D6A7C31-AEDD-411C-9794-28C2598D642A}"/>
</file>

<file path=customXml/itemProps3.xml><?xml version="1.0" encoding="utf-8"?>
<ds:datastoreItem xmlns:ds="http://schemas.openxmlformats.org/officeDocument/2006/customXml" ds:itemID="{19B0637E-D058-473B-8FE7-AA861F69C79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18</Pages>
  <Words>6060</Words>
  <Characters>33336</Characters>
  <Application>Microsoft Office Word</Application>
  <DocSecurity>0</DocSecurity>
  <Lines>277</Lines>
  <Paragraphs>78</Paragraphs>
  <ScaleCrop>false</ScaleCrop>
  <Company/>
  <LinksUpToDate>false</LinksUpToDate>
  <CharactersWithSpaces>39318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Daniel Eduardo Rojas Poveda</cp:lastModifiedBy>
  <cp:revision>5</cp:revision>
  <cp:lastPrinted>2023-01-10T21:18:00Z</cp:lastPrinted>
  <dcterms:created xsi:type="dcterms:W3CDTF">2026-08-27T12:48:00Z</dcterms:created>
  <dcterms:modified xsi:type="dcterms:W3CDTF">2026-08-27T19:54:00Z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