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0CBF" w14:textId="77777777" w:rsidR="00F62047" w:rsidRPr="00980DA5" w:rsidRDefault="00F62047" w:rsidP="00F62047">
      <w:pPr>
        <w:spacing w:line="276" w:lineRule="auto"/>
        <w:jc w:val="both"/>
        <w:rPr>
          <w:rFonts w:ascii="Verdana" w:hAnsi="Verdana" w:cs="Arial"/>
          <w:b/>
          <w:bCs/>
          <w:lang w:val="es-ES" w:eastAsia="es-ES"/>
        </w:rPr>
      </w:pPr>
      <w:r w:rsidRPr="00980DA5">
        <w:rPr>
          <w:rFonts w:ascii="Verdana" w:hAnsi="Verdana" w:cs="Arial"/>
          <w:b/>
          <w:bCs/>
          <w:lang w:val="es-ES" w:eastAsia="es-ES"/>
        </w:rPr>
        <w:t>BIENES PÚBLICOS – Tipos – Bienes Fiscales – Bienes de Uso Público</w:t>
      </w:r>
    </w:p>
    <w:p w14:paraId="51B19B09" w14:textId="77777777" w:rsidR="00F62047" w:rsidRPr="00980DA5" w:rsidRDefault="00F62047" w:rsidP="00980DA5">
      <w:pPr>
        <w:spacing w:after="120" w:line="240" w:lineRule="auto"/>
        <w:jc w:val="both"/>
        <w:rPr>
          <w:rFonts w:ascii="Verdana" w:eastAsia="Calibri" w:hAnsi="Verdana" w:cs="Arial"/>
          <w:sz w:val="20"/>
          <w:szCs w:val="20"/>
          <w:lang w:val="es-ES"/>
        </w:rPr>
      </w:pPr>
      <w:r w:rsidRPr="00980DA5">
        <w:rPr>
          <w:rFonts w:ascii="Verdana" w:eastAsia="Calibri" w:hAnsi="Verdana" w:cs="Arial"/>
          <w:sz w:val="20"/>
          <w:szCs w:val="20"/>
          <w:lang w:val="es-ES"/>
        </w:rPr>
        <w:t>Los bienes de dominio público, de acuerdo con la Sentencia C- 183 de 2003 de la Corte Constitucional, son “</w:t>
      </w:r>
      <w:r w:rsidRPr="00980DA5">
        <w:rPr>
          <w:rFonts w:ascii="Verdana" w:eastAsia="Calibri" w:hAnsi="Verdana" w:cs="Arial"/>
          <w:iCs/>
          <w:sz w:val="20"/>
          <w:szCs w:val="20"/>
          <w:lang w:val="es-ES"/>
        </w:rPr>
        <w:t>el conjunto de bienes que la administración afecta al uso directo de la comunidad o que lo utiliza para servir a la sociedad”</w:t>
      </w:r>
      <w:r w:rsidRPr="00980DA5">
        <w:rPr>
          <w:rFonts w:ascii="Verdana" w:eastAsia="Calibri" w:hAnsi="Verdana" w:cs="Arial"/>
          <w:sz w:val="20"/>
          <w:szCs w:val="20"/>
          <w:lang w:val="es-ES"/>
        </w:rPr>
        <w:t>. Dentro de esta categoría se encuentran los bienes fiscales y los bienes de uso público</w:t>
      </w:r>
      <w:r w:rsidRPr="00980DA5">
        <w:rPr>
          <w:rFonts w:ascii="Calibri" w:eastAsia="Calibri" w:hAnsi="Calibri" w:cs="Times New Roman"/>
          <w:sz w:val="20"/>
          <w:szCs w:val="20"/>
          <w:vertAlign w:val="superscript"/>
          <w:lang w:val="es-ES"/>
        </w:rPr>
        <w:footnoteReference w:id="2"/>
      </w:r>
      <w:r w:rsidRPr="00980DA5">
        <w:rPr>
          <w:rFonts w:ascii="Verdana" w:eastAsia="Calibri" w:hAnsi="Verdana" w:cs="Arial"/>
          <w:sz w:val="20"/>
          <w:szCs w:val="20"/>
          <w:lang w:val="es-ES"/>
        </w:rPr>
        <w:t>. Los bienes fiscales, de acuerdo con el Alto Tribunal Constitucional</w:t>
      </w:r>
      <w:r w:rsidRPr="00980DA5">
        <w:rPr>
          <w:rFonts w:ascii="Calibri" w:eastAsia="Calibri" w:hAnsi="Calibri" w:cs="Times New Roman"/>
          <w:sz w:val="20"/>
          <w:szCs w:val="20"/>
          <w:vertAlign w:val="superscript"/>
          <w:lang w:val="es-ES"/>
        </w:rPr>
        <w:footnoteReference w:id="3"/>
      </w:r>
      <w:r w:rsidRPr="00980DA5">
        <w:rPr>
          <w:rFonts w:ascii="Verdana" w:eastAsia="Calibri" w:hAnsi="Verdana" w:cs="Arial"/>
          <w:sz w:val="20"/>
          <w:szCs w:val="20"/>
          <w:lang w:val="es-ES"/>
        </w:rPr>
        <w:t xml:space="preserve">, están destinados a la prestación de servicios públicos que la Administración utiliza de forma inmediata, como los edificios donde funcionan las oficinas públicas. </w:t>
      </w:r>
    </w:p>
    <w:p w14:paraId="473B86DD" w14:textId="7E5912BD" w:rsidR="00F62047" w:rsidRPr="00980DA5" w:rsidRDefault="00F62047" w:rsidP="00980DA5">
      <w:pPr>
        <w:spacing w:after="120" w:line="240" w:lineRule="auto"/>
        <w:jc w:val="both"/>
        <w:rPr>
          <w:rFonts w:ascii="Verdana" w:eastAsia="Calibri" w:hAnsi="Verdana" w:cs="Arial"/>
          <w:sz w:val="20"/>
          <w:szCs w:val="20"/>
          <w:vertAlign w:val="superscript"/>
          <w:lang w:val="es-ES"/>
        </w:rPr>
      </w:pPr>
      <w:r w:rsidRPr="00980DA5">
        <w:rPr>
          <w:rFonts w:ascii="Verdana" w:eastAsia="Calibri" w:hAnsi="Verdana" w:cs="Arial"/>
          <w:sz w:val="20"/>
          <w:szCs w:val="20"/>
          <w:lang w:val="es-ES"/>
        </w:rPr>
        <w:t xml:space="preserve">A su vez, el Consejo de Estado, define los bienes fiscales como </w:t>
      </w:r>
      <w:r w:rsidRPr="00980DA5">
        <w:rPr>
          <w:rFonts w:ascii="Verdana" w:eastAsia="Calibri" w:hAnsi="Verdana" w:cs="Arial"/>
          <w:iCs/>
          <w:sz w:val="20"/>
          <w:szCs w:val="20"/>
          <w:lang w:val="es-ES"/>
        </w:rPr>
        <w:t xml:space="preserve">“aquellos que pertenecen </w:t>
      </w:r>
      <w:r w:rsidRPr="00980DA5">
        <w:rPr>
          <w:rFonts w:ascii="Verdana" w:eastAsia="Calibri" w:hAnsi="Verdana" w:cs="Arial"/>
          <w:iCs/>
          <w:color w:val="000000" w:themeColor="text1"/>
          <w:sz w:val="20"/>
          <w:szCs w:val="20"/>
          <w:lang w:val="es-ES"/>
        </w:rPr>
        <w:t>a sujetos de derecho público de cualquier naturaleza u orden y que, por lo general, están destinados al cumplimiento de las funciones públicas o servicios públicos, tales como los terrenos, edificios, fincas, granjas, equipos, enseres, acciones, rentas y bienes del presupuesto, etc., es decir, afectos al desarrollo de su misión y utilizados para sus actividades, o pueden constituir una reserva patrimonial para fines de utilidad común. Su dominio corresponde a la República, pero su uso no pertenece generalmente a los habitantes, de manera que el Estado los posee y los administra en forma similar a como lo hacen los particulares con los bienes de su</w:t>
      </w:r>
      <w:r w:rsidRPr="00980DA5">
        <w:rPr>
          <w:rFonts w:ascii="Verdana" w:eastAsia="Calibri" w:hAnsi="Verdana" w:cs="Arial"/>
          <w:iCs/>
          <w:color w:val="000000" w:themeColor="text1"/>
          <w:spacing w:val="-27"/>
          <w:sz w:val="20"/>
          <w:szCs w:val="20"/>
          <w:lang w:val="es-ES"/>
        </w:rPr>
        <w:t xml:space="preserve"> </w:t>
      </w:r>
      <w:r w:rsidRPr="00980DA5">
        <w:rPr>
          <w:rFonts w:ascii="Verdana" w:eastAsia="Calibri" w:hAnsi="Verdana" w:cs="Arial"/>
          <w:iCs/>
          <w:color w:val="000000" w:themeColor="text1"/>
          <w:sz w:val="20"/>
          <w:szCs w:val="20"/>
          <w:lang w:val="es-ES"/>
        </w:rPr>
        <w:t>propiedad”</w:t>
      </w:r>
      <w:r w:rsidRPr="00980DA5">
        <w:rPr>
          <w:rFonts w:ascii="Calibri" w:eastAsia="Calibri" w:hAnsi="Calibri" w:cs="Times New Roman"/>
          <w:iCs/>
          <w:sz w:val="20"/>
          <w:szCs w:val="20"/>
          <w:vertAlign w:val="superscript"/>
          <w:lang w:val="es-ES"/>
        </w:rPr>
        <w:footnoteReference w:id="4"/>
      </w:r>
      <w:r w:rsidRPr="00980DA5">
        <w:rPr>
          <w:rFonts w:ascii="Verdana" w:eastAsia="Calibri" w:hAnsi="Verdana" w:cs="Arial"/>
          <w:iCs/>
          <w:color w:val="000000" w:themeColor="text1"/>
          <w:sz w:val="20"/>
          <w:szCs w:val="20"/>
          <w:lang w:val="es-ES"/>
        </w:rPr>
        <w:t>.</w:t>
      </w:r>
      <w:r w:rsidRPr="00980DA5">
        <w:rPr>
          <w:rFonts w:ascii="Verdana" w:eastAsia="Calibri" w:hAnsi="Verdana" w:cs="Arial"/>
          <w:color w:val="000000" w:themeColor="text1"/>
          <w:sz w:val="20"/>
          <w:szCs w:val="20"/>
          <w:lang w:val="es-ES"/>
        </w:rPr>
        <w:t xml:space="preserve"> </w:t>
      </w:r>
      <w:r w:rsidRPr="00980DA5">
        <w:rPr>
          <w:rFonts w:ascii="Verdana" w:eastAsia="Calibri" w:hAnsi="Verdana" w:cs="Arial"/>
          <w:sz w:val="20"/>
          <w:szCs w:val="20"/>
          <w:lang w:val="es-ES"/>
        </w:rPr>
        <w:t>De esta forma, sobre los bienes fiscales, a pesar de estar destinados a la prestación de servicios públicos, las Entidades Estatales tienen la facultad de disponer de ellos mediante un acto jurídico como la compraventa, la donación, el arriendo, entre</w:t>
      </w:r>
      <w:r w:rsidRPr="00980DA5">
        <w:rPr>
          <w:rFonts w:ascii="Verdana" w:eastAsia="Calibri" w:hAnsi="Verdana" w:cs="Arial"/>
          <w:spacing w:val="-3"/>
          <w:sz w:val="20"/>
          <w:szCs w:val="20"/>
          <w:lang w:val="es-ES"/>
        </w:rPr>
        <w:t xml:space="preserve"> </w:t>
      </w:r>
      <w:r w:rsidRPr="00980DA5">
        <w:rPr>
          <w:rFonts w:ascii="Verdana" w:eastAsia="Calibri" w:hAnsi="Verdana" w:cs="Arial"/>
          <w:sz w:val="20"/>
          <w:szCs w:val="20"/>
          <w:lang w:val="es-ES"/>
        </w:rPr>
        <w:t>otros.</w:t>
      </w:r>
      <w:r w:rsidRPr="00980DA5">
        <w:rPr>
          <w:rFonts w:ascii="Verdana" w:eastAsia="Calibri" w:hAnsi="Verdana" w:cs="Arial"/>
          <w:sz w:val="20"/>
          <w:szCs w:val="20"/>
          <w:vertAlign w:val="superscript"/>
          <w:lang w:val="es-ES"/>
        </w:rPr>
        <w:t xml:space="preserve"> </w:t>
      </w:r>
    </w:p>
    <w:p w14:paraId="376D1213" w14:textId="77777777" w:rsidR="00F62047" w:rsidRPr="00980DA5" w:rsidRDefault="00F62047" w:rsidP="00F62047">
      <w:pPr>
        <w:spacing w:line="276" w:lineRule="auto"/>
        <w:jc w:val="both"/>
        <w:rPr>
          <w:rFonts w:ascii="Verdana" w:hAnsi="Verdana" w:cs="Arial"/>
          <w:b/>
          <w:bCs/>
          <w:lang w:val="es-ES" w:eastAsia="es-ES"/>
        </w:rPr>
      </w:pPr>
      <w:r w:rsidRPr="00980DA5">
        <w:rPr>
          <w:rFonts w:ascii="Verdana" w:hAnsi="Verdana" w:cs="Arial"/>
          <w:b/>
          <w:bCs/>
          <w:lang w:val="es-ES" w:eastAsia="es-ES"/>
        </w:rPr>
        <w:t>BIENES FISCALES AFECTOS A SERVICIOS PÚBLICOS – Contratos estatales para su operación – Límites</w:t>
      </w:r>
    </w:p>
    <w:p w14:paraId="514A459A" w14:textId="77777777" w:rsidR="00F62047" w:rsidRPr="00980DA5" w:rsidRDefault="00F62047" w:rsidP="00980DA5">
      <w:pPr>
        <w:spacing w:before="120" w:after="120" w:line="240" w:lineRule="auto"/>
        <w:jc w:val="both"/>
        <w:rPr>
          <w:rFonts w:ascii="Verdana" w:hAnsi="Verdana" w:cs="Arial"/>
          <w:color w:val="000000" w:themeColor="text1"/>
          <w:sz w:val="20"/>
          <w:szCs w:val="20"/>
          <w:lang w:val="es-ES"/>
        </w:rPr>
      </w:pPr>
      <w:r w:rsidRPr="00980DA5">
        <w:rPr>
          <w:rFonts w:ascii="Verdana" w:hAnsi="Verdana" w:cs="Arial"/>
          <w:color w:val="000000" w:themeColor="text1"/>
          <w:sz w:val="20"/>
          <w:szCs w:val="20"/>
          <w:lang w:val="es-ES"/>
        </w:rPr>
        <w:t>Con respecto a los límites que debe considerar una Entidad Estatal al celebrar un contrato con un particular para la operación de un bien fiscal afecto a la prestación de un servicio público, las Entidades Estatales sometidas al EGCAP pueden celebrar tanto contratos típicos como atípicos, en ejercicio de la autonomía de la voluntad reconocida en los artículos 32 y 40 de la Ley 80 de 1993, siempre que el negocio jurídico no contraríe el orden público, no tenga objeto o causa ilícitos y cumpla las formalidades que la ley exija. Sobre los bienes fiscales, a pesar de estar destinados a la prestación de servicios públicos, las Entidades Estatales tienen la facultad de disponer de ellos mediante actos jurídicos como la compraventa, la donación o el arriendo, lo cual los distingue de los bienes de uso público cuya enajenación y arrendamiento están proscritos.</w:t>
      </w:r>
    </w:p>
    <w:p w14:paraId="62722D8C" w14:textId="15D4888E" w:rsidR="00F62047" w:rsidRPr="00980DA5" w:rsidRDefault="00F62047" w:rsidP="00980DA5">
      <w:pPr>
        <w:spacing w:before="120" w:after="120" w:line="240" w:lineRule="auto"/>
        <w:jc w:val="both"/>
        <w:rPr>
          <w:rFonts w:ascii="Verdana" w:hAnsi="Verdana" w:cs="Arial"/>
          <w:color w:val="000000" w:themeColor="text1"/>
          <w:sz w:val="20"/>
          <w:szCs w:val="20"/>
          <w:lang w:val="es-ES"/>
        </w:rPr>
      </w:pPr>
      <w:r w:rsidRPr="00980DA5">
        <w:rPr>
          <w:rFonts w:ascii="Verdana" w:hAnsi="Verdana" w:cs="Arial"/>
          <w:color w:val="000000" w:themeColor="text1"/>
          <w:sz w:val="20"/>
          <w:szCs w:val="20"/>
          <w:lang w:val="es-ES"/>
        </w:rPr>
        <w:t xml:space="preserve">No obstante, la validez del contrato no se agota en la existencia de una tipología disponible o en la ausencia de una prohibición expresa. La entidad debe considerar los límites que impone la licitud del objeto, en particular: a) que el contenido obligacional del contrato no sustraiga materialmente al bien de la prestación del servicio al que está afecto ni lo ponga de manera predominante al servicio de la actividad económica de un particular, pues ello podría configurar nulidad absoluta por objeto ilícito con </w:t>
      </w:r>
      <w:r w:rsidRPr="00980DA5">
        <w:rPr>
          <w:rFonts w:ascii="Verdana" w:hAnsi="Verdana" w:cs="Arial"/>
          <w:color w:val="000000" w:themeColor="text1"/>
          <w:sz w:val="20"/>
          <w:szCs w:val="20"/>
          <w:lang w:val="es-ES"/>
        </w:rPr>
        <w:lastRenderedPageBreak/>
        <w:t>independencia de la denominación del contrato; b) que el esquema de remuneración del contratista no genere una indeterminación de la contraprestación que comprometa la selección objetiva prevista en el artículo 5 de la Ley 1150 de 2007, ni una incompatibilidad estructural entre la disponibilidad del bien para el servicio y el margen de explotación económica del contratista; c) que el negocio no configure, en su efecto material, una contravención del artículo 355 de la Constitución Política; y d) que, cuando el bien fue adquirido con recursos de destinación específica, el esquema contractual no altere la finalidad para la cual dichos recursos fueron apropiados. Cada uno de estos se desarrolla en el presente concepto.</w:t>
      </w:r>
    </w:p>
    <w:p w14:paraId="02FA1AA8" w14:textId="77777777" w:rsidR="00F62047" w:rsidRPr="00980DA5" w:rsidRDefault="00F62047" w:rsidP="00F62047">
      <w:pPr>
        <w:spacing w:line="276" w:lineRule="auto"/>
        <w:jc w:val="both"/>
        <w:rPr>
          <w:rFonts w:ascii="Verdana" w:hAnsi="Verdana" w:cs="Arial"/>
          <w:b/>
          <w:bCs/>
          <w:lang w:val="es-ES" w:eastAsia="es-ES"/>
        </w:rPr>
      </w:pPr>
      <w:r w:rsidRPr="00980DA5">
        <w:rPr>
          <w:rFonts w:ascii="Verdana" w:hAnsi="Verdana" w:cs="Arial"/>
          <w:b/>
          <w:bCs/>
          <w:lang w:val="es-ES" w:eastAsia="es-ES"/>
        </w:rPr>
        <w:t>NULIDAD DEL CONTRATO ESTATAL – Nulidad Absoluta – Causales</w:t>
      </w:r>
    </w:p>
    <w:p w14:paraId="11922716" w14:textId="05ECA34C" w:rsidR="00980DA5" w:rsidRPr="00980DA5" w:rsidRDefault="00980DA5" w:rsidP="00980DA5">
      <w:pPr>
        <w:spacing w:after="140" w:line="240" w:lineRule="auto"/>
        <w:jc w:val="both"/>
        <w:rPr>
          <w:rFonts w:ascii="Verdana" w:hAnsi="Verdana"/>
          <w:sz w:val="20"/>
          <w:szCs w:val="20"/>
          <w:lang w:val="es-ES"/>
        </w:rPr>
      </w:pPr>
      <w:r w:rsidRPr="00980DA5">
        <w:rPr>
          <w:rFonts w:ascii="Verdana" w:eastAsia="Arial" w:hAnsi="Verdana" w:cs="Arial"/>
          <w:sz w:val="20"/>
          <w:szCs w:val="20"/>
          <w:lang w:val="es-ES"/>
        </w:rPr>
        <w:t>El régimen de nulidades del contrato estatal se encuentra regulado en el Estatuto General de Contratación de la Administración Pública, que integra por remisión las causales de nulidad del derecho civil y comercial; en el derecho común se establecen como causales de nulidad absoluta el objeto ilícito, la causa ilícita, la omisión de las formas solemnes y la incapacidad absoluta, a las que la Ley 80 de 1993 añade las suyas propias, en el artículo 44, entre ellas la celebración del contrato contra expresa prohibición constitucional o legal y su celebración con abuso o desviación de poder</w:t>
      </w:r>
      <w:r w:rsidRPr="00980DA5">
        <w:rPr>
          <w:rStyle w:val="Refdenotaalpie"/>
          <w:rFonts w:ascii="Verdana" w:eastAsia="Arial" w:hAnsi="Verdana" w:cs="Arial"/>
          <w:sz w:val="20"/>
          <w:szCs w:val="20"/>
          <w:lang w:val="es-ES"/>
        </w:rPr>
        <w:footnoteReference w:id="5"/>
      </w:r>
      <w:r w:rsidRPr="00980DA5">
        <w:rPr>
          <w:rFonts w:ascii="Verdana" w:eastAsia="Arial" w:hAnsi="Verdana" w:cs="Arial"/>
          <w:sz w:val="20"/>
          <w:szCs w:val="20"/>
          <w:lang w:val="es-ES"/>
        </w:rPr>
        <w:t>. El artículo 1519 del Código Civil dispone que hay objeto ilícito en todo lo que contraviene el derecho público de la Nación.</w:t>
      </w:r>
    </w:p>
    <w:p w14:paraId="2DC49475" w14:textId="77777777" w:rsidR="00F62047" w:rsidRPr="00980DA5" w:rsidRDefault="00F62047" w:rsidP="00F62047">
      <w:pPr>
        <w:spacing w:line="276" w:lineRule="auto"/>
        <w:jc w:val="both"/>
        <w:rPr>
          <w:rFonts w:ascii="Verdana" w:eastAsia="Calibri" w:hAnsi="Verdana" w:cs="Arial"/>
          <w:b/>
          <w:lang w:val="es-ES"/>
        </w:rPr>
      </w:pPr>
      <w:r w:rsidRPr="00980DA5">
        <w:rPr>
          <w:rFonts w:ascii="Verdana" w:eastAsia="Calibri" w:hAnsi="Verdana" w:cs="Arial"/>
          <w:b/>
          <w:lang w:val="es-ES"/>
        </w:rPr>
        <w:t xml:space="preserve">CONTRATO DE CONCESIÓN ― Colaboración público-privada ― No exclusiva </w:t>
      </w:r>
    </w:p>
    <w:p w14:paraId="09BBEBE0" w14:textId="095498B1" w:rsidR="00980DA5" w:rsidRPr="00980DA5" w:rsidRDefault="00980DA5" w:rsidP="00980DA5">
      <w:pPr>
        <w:spacing w:line="240" w:lineRule="auto"/>
        <w:jc w:val="both"/>
        <w:rPr>
          <w:rFonts w:ascii="Verdana" w:hAnsi="Verdana" w:cs="Arial"/>
          <w:color w:val="000000" w:themeColor="text1"/>
          <w:sz w:val="20"/>
          <w:szCs w:val="20"/>
          <w:lang w:val="es-ES"/>
        </w:rPr>
      </w:pPr>
      <w:r w:rsidRPr="00980DA5">
        <w:rPr>
          <w:rFonts w:ascii="Verdana" w:hAnsi="Verdana" w:cs="Arial"/>
          <w:color w:val="000000" w:themeColor="text1"/>
          <w:sz w:val="20"/>
          <w:szCs w:val="20"/>
          <w:lang w:val="es-ES"/>
        </w:rPr>
        <w:t>Si se trata de un contrato de concesión, debe concurrir la actuación del contratista por su propia cuenta y riesgo, la vinculación de capital privado y la remuneración derivada de la explotación. Cuando el bien ya fue adquirido con recursos públicos y no se requiere inversión privada para su provisión, y cuando la prestación se ejecuta a favor de la propia entidad y de los usuarios de su red, dichos elementos pueden no configurarse.</w:t>
      </w:r>
    </w:p>
    <w:p w14:paraId="12EB819C" w14:textId="77777777" w:rsidR="00980DA5" w:rsidRPr="00980DA5" w:rsidRDefault="00980DA5" w:rsidP="00980DA5">
      <w:pPr>
        <w:tabs>
          <w:tab w:val="left" w:pos="0"/>
        </w:tabs>
        <w:spacing w:after="120" w:line="240" w:lineRule="auto"/>
        <w:jc w:val="both"/>
        <w:rPr>
          <w:rFonts w:ascii="Verdana" w:eastAsia="Calibri" w:hAnsi="Verdana" w:cs="Arial"/>
          <w:bCs/>
          <w:color w:val="000000" w:themeColor="text1"/>
          <w:sz w:val="20"/>
          <w:szCs w:val="20"/>
          <w:lang w:val="es-ES"/>
        </w:rPr>
      </w:pPr>
      <w:r w:rsidRPr="00980DA5">
        <w:rPr>
          <w:rFonts w:ascii="Verdana" w:hAnsi="Verdana" w:cs="Arial"/>
          <w:color w:val="000000" w:themeColor="text1"/>
          <w:sz w:val="20"/>
          <w:szCs w:val="20"/>
          <w:lang w:val="es-ES"/>
        </w:rPr>
        <w:t xml:space="preserve">[…] </w:t>
      </w:r>
      <w:r w:rsidRPr="00980DA5">
        <w:rPr>
          <w:rFonts w:ascii="Verdana" w:eastAsia="Calibri" w:hAnsi="Verdana" w:cs="Arial"/>
          <w:bCs/>
          <w:color w:val="000000" w:themeColor="text1"/>
          <w:sz w:val="20"/>
          <w:szCs w:val="20"/>
          <w:lang w:val="es-ES"/>
        </w:rPr>
        <w:t xml:space="preserve">Tal como está tipificado el contrato de concesión en la Ley 80 de 1993, el Estado es el titular de la actividad o del bien y lo otorga a una persona que se denominará </w:t>
      </w:r>
      <w:r w:rsidRPr="00980DA5">
        <w:rPr>
          <w:rFonts w:ascii="Verdana" w:eastAsia="Calibri" w:hAnsi="Verdana" w:cs="Arial"/>
          <w:bCs/>
          <w:i/>
          <w:iCs/>
          <w:color w:val="000000" w:themeColor="text1"/>
          <w:sz w:val="20"/>
          <w:szCs w:val="20"/>
          <w:lang w:val="es-ES"/>
        </w:rPr>
        <w:t>concesionario</w:t>
      </w:r>
      <w:r w:rsidRPr="00980DA5">
        <w:rPr>
          <w:rFonts w:ascii="Verdana" w:eastAsia="Calibri" w:hAnsi="Verdana" w:cs="Arial"/>
          <w:bCs/>
          <w:color w:val="000000" w:themeColor="text1"/>
          <w:sz w:val="20"/>
          <w:szCs w:val="20"/>
          <w:lang w:val="es-ES"/>
        </w:rPr>
        <w:t xml:space="preserve">, para que este asuma el ejercicio del servicio público o la realización y explotación de una obra, por su propia cuenta y riesgo, pero con la permanente vigilancia de la entidad </w:t>
      </w:r>
      <w:r w:rsidRPr="00980DA5">
        <w:rPr>
          <w:rFonts w:ascii="Verdana" w:eastAsia="Calibri" w:hAnsi="Verdana" w:cs="Arial"/>
          <w:bCs/>
          <w:i/>
          <w:iCs/>
          <w:color w:val="000000" w:themeColor="text1"/>
          <w:sz w:val="20"/>
          <w:szCs w:val="20"/>
          <w:lang w:val="es-ES"/>
        </w:rPr>
        <w:t>concedente</w:t>
      </w:r>
      <w:r w:rsidRPr="00980DA5">
        <w:rPr>
          <w:rFonts w:ascii="Verdana" w:eastAsia="Calibri" w:hAnsi="Verdana" w:cs="Arial"/>
          <w:bCs/>
          <w:color w:val="000000" w:themeColor="text1"/>
          <w:sz w:val="20"/>
          <w:szCs w:val="20"/>
          <w:lang w:val="es-ES"/>
        </w:rPr>
        <w:t xml:space="preserve"> y como contraprestación recibirá un incentivo económico. La entidad concedente no se desprende de la potestad de dirección y control de la ejecución del contrato y debe ejercer la permanente vigilancia de la actividad que desarrolla el concesionario</w:t>
      </w:r>
      <w:r w:rsidRPr="00980DA5">
        <w:rPr>
          <w:rStyle w:val="Refdenotaalpie"/>
          <w:rFonts w:ascii="Verdana" w:eastAsia="Calibri" w:hAnsi="Verdana" w:cs="Arial"/>
          <w:bCs/>
          <w:color w:val="000000" w:themeColor="text1"/>
          <w:sz w:val="20"/>
          <w:szCs w:val="20"/>
          <w:lang w:val="es-ES"/>
        </w:rPr>
        <w:footnoteReference w:id="6"/>
      </w:r>
      <w:r w:rsidRPr="00980DA5">
        <w:rPr>
          <w:rFonts w:ascii="Verdana" w:eastAsia="Calibri" w:hAnsi="Verdana" w:cs="Arial"/>
          <w:bCs/>
          <w:color w:val="000000" w:themeColor="text1"/>
          <w:sz w:val="20"/>
          <w:szCs w:val="20"/>
          <w:lang w:val="es-ES"/>
        </w:rPr>
        <w:t xml:space="preserve">. Como se observa, en este tipo de contratos el contratista es, en principio, quien por su cuenta y riesgo ejecuta la prestación, operación, explotación u organización </w:t>
      </w:r>
      <w:r w:rsidRPr="00980DA5">
        <w:rPr>
          <w:rFonts w:ascii="Verdana" w:eastAsia="Calibri" w:hAnsi="Verdana" w:cs="Arial"/>
          <w:bCs/>
          <w:color w:val="000000" w:themeColor="text1"/>
          <w:sz w:val="20"/>
          <w:szCs w:val="20"/>
          <w:lang w:val="es-ES"/>
        </w:rPr>
        <w:lastRenderedPageBreak/>
        <w:t>del servicio, así como la construcción, explotación o conservación del bien, a cambio de una remuneración</w:t>
      </w:r>
      <w:r w:rsidRPr="00980DA5">
        <w:rPr>
          <w:rFonts w:ascii="Verdana" w:eastAsia="Calibri" w:hAnsi="Verdana" w:cs="Arial"/>
          <w:bCs/>
          <w:color w:val="000000" w:themeColor="text1"/>
          <w:sz w:val="20"/>
          <w:szCs w:val="20"/>
          <w:vertAlign w:val="superscript"/>
          <w:lang w:val="es-ES"/>
        </w:rPr>
        <w:footnoteReference w:id="7"/>
      </w:r>
      <w:r w:rsidRPr="00980DA5">
        <w:rPr>
          <w:rFonts w:ascii="Verdana" w:eastAsia="Calibri" w:hAnsi="Verdana" w:cs="Arial"/>
          <w:bCs/>
          <w:color w:val="000000" w:themeColor="text1"/>
          <w:sz w:val="20"/>
          <w:szCs w:val="20"/>
          <w:lang w:val="es-ES"/>
        </w:rPr>
        <w:t xml:space="preserve">. </w:t>
      </w:r>
    </w:p>
    <w:p w14:paraId="6466DA52" w14:textId="6FD7FB1C" w:rsidR="00980DA5" w:rsidRPr="00980DA5" w:rsidRDefault="00980DA5" w:rsidP="00980DA5">
      <w:pPr>
        <w:spacing w:line="240" w:lineRule="auto"/>
        <w:jc w:val="both"/>
        <w:rPr>
          <w:rFonts w:ascii="Verdana" w:eastAsia="Calibri" w:hAnsi="Verdana" w:cs="Arial"/>
          <w:bCs/>
          <w:sz w:val="20"/>
          <w:szCs w:val="20"/>
          <w:lang w:val="es-ES"/>
        </w:rPr>
      </w:pPr>
      <w:r w:rsidRPr="00980DA5">
        <w:rPr>
          <w:rFonts w:ascii="Verdana" w:eastAsia="Calibri" w:hAnsi="Verdana" w:cs="Arial"/>
          <w:bCs/>
          <w:color w:val="000000" w:themeColor="text1"/>
          <w:sz w:val="20"/>
          <w:szCs w:val="20"/>
          <w:lang w:val="es-ES"/>
        </w:rPr>
        <w:t>De esta manera, como característica fundamental de estos contratos se resalta “la vinculación de recursos del sector privado, a manera de inversión, en proyectos de interés público que permitan maximizar el gasto estatal en la satisfacción de otras necesidades”</w:t>
      </w:r>
      <w:r w:rsidRPr="00980DA5">
        <w:rPr>
          <w:rStyle w:val="Refdenotaalpie"/>
          <w:rFonts w:ascii="Verdana" w:eastAsia="Calibri" w:hAnsi="Verdana" w:cs="Arial"/>
          <w:bCs/>
          <w:color w:val="000000" w:themeColor="text1"/>
          <w:sz w:val="20"/>
          <w:szCs w:val="20"/>
          <w:lang w:val="es-ES"/>
        </w:rPr>
        <w:footnoteReference w:id="8"/>
      </w:r>
      <w:r w:rsidRPr="00980DA5">
        <w:rPr>
          <w:rFonts w:ascii="Verdana" w:eastAsia="Calibri" w:hAnsi="Verdana" w:cs="Arial"/>
          <w:bCs/>
          <w:color w:val="000000" w:themeColor="text1"/>
          <w:sz w:val="20"/>
          <w:szCs w:val="20"/>
          <w:lang w:val="es-ES"/>
        </w:rPr>
        <w:t>. Así mismo, es de la esencia del contrato de concesión la asunción de riesgos por parte del concesionario, lo que significa que tendrá derecho a la utilidad generada pero también asumirá las pérdidas derivadas de la gestión del servicio o bien concesionado.</w:t>
      </w:r>
    </w:p>
    <w:p w14:paraId="7A43D086" w14:textId="4076EF3C" w:rsidR="00F62047" w:rsidRPr="00980DA5" w:rsidRDefault="00F62047" w:rsidP="00F62047">
      <w:pPr>
        <w:spacing w:line="276" w:lineRule="auto"/>
        <w:jc w:val="both"/>
        <w:rPr>
          <w:rFonts w:ascii="Verdana" w:eastAsia="Calibri" w:hAnsi="Verdana" w:cs="Arial"/>
          <w:b/>
          <w:bCs/>
          <w:lang w:val="es-ES"/>
        </w:rPr>
      </w:pPr>
      <w:r w:rsidRPr="00980DA5">
        <w:rPr>
          <w:rFonts w:ascii="Verdana" w:eastAsia="Calibri" w:hAnsi="Verdana" w:cs="Arial"/>
          <w:b/>
          <w:bCs/>
          <w:lang w:val="es-ES"/>
        </w:rPr>
        <w:t>ASOCIACIONES PÚBLICO PRIVADAS – Ámbito de aplicación</w:t>
      </w:r>
    </w:p>
    <w:p w14:paraId="24A7277F" w14:textId="77777777" w:rsidR="00980DA5" w:rsidRPr="00980DA5" w:rsidRDefault="00980DA5" w:rsidP="00980DA5">
      <w:pPr>
        <w:widowControl w:val="0"/>
        <w:autoSpaceDE w:val="0"/>
        <w:autoSpaceDN w:val="0"/>
        <w:spacing w:after="120" w:line="240" w:lineRule="auto"/>
        <w:jc w:val="both"/>
        <w:rPr>
          <w:rFonts w:ascii="Verdana" w:eastAsia="Arial" w:hAnsi="Verdana" w:cs="Arial"/>
          <w:sz w:val="20"/>
          <w:szCs w:val="20"/>
          <w:lang w:val="es-ES"/>
        </w:rPr>
      </w:pPr>
      <w:r w:rsidRPr="00980DA5">
        <w:rPr>
          <w:rFonts w:ascii="Verdana" w:eastAsia="Calibri" w:hAnsi="Verdana" w:cs="Arial"/>
          <w:bCs/>
          <w:sz w:val="20"/>
          <w:szCs w:val="20"/>
          <w:lang w:val="es-ES" w:eastAsia="es-ES" w:bidi="es-ES"/>
        </w:rPr>
        <w:t xml:space="preserve">En relación con los contratos en los cuales resulta aplicable la figura de la </w:t>
      </w:r>
      <w:r w:rsidRPr="00980DA5">
        <w:rPr>
          <w:rFonts w:ascii="Verdana" w:eastAsia="Calibri" w:hAnsi="Verdana" w:cs="Arial"/>
          <w:bCs/>
          <w:color w:val="000000" w:themeColor="text1"/>
          <w:sz w:val="20"/>
          <w:szCs w:val="20"/>
          <w:lang w:val="es-ES"/>
        </w:rPr>
        <w:t>Asociación Público-Privada</w:t>
      </w:r>
      <w:r w:rsidRPr="00980DA5">
        <w:rPr>
          <w:rFonts w:ascii="Verdana" w:eastAsia="Calibri" w:hAnsi="Verdana" w:cs="Arial"/>
          <w:bCs/>
          <w:sz w:val="20"/>
          <w:szCs w:val="20"/>
          <w:lang w:val="es-ES" w:eastAsia="es-ES" w:bidi="es-ES"/>
        </w:rPr>
        <w:t xml:space="preserve">, es pertinente señalar que el artículo 3 de la Ley 1508 del 2012 prescribe que la ley “[…] es aplicable a todos aquellos contratos en los cuales las entidades estatales encarguen a un inversionista privado el diseño y construcción de una infraestructura y sus servicios asociados, o su construcción, reparación, mejoramiento o equipamiento, actividades todas estas que deberán involucrar la operación y mantenimiento de dicha infraestructura”. </w:t>
      </w:r>
      <w:r w:rsidRPr="00980DA5">
        <w:rPr>
          <w:rFonts w:ascii="Verdana" w:eastAsia="Arial" w:hAnsi="Verdana" w:cs="Arial"/>
          <w:sz w:val="20"/>
          <w:szCs w:val="20"/>
          <w:lang w:val="es-ES"/>
        </w:rPr>
        <w:t xml:space="preserve">Igualmente, el mencionado cuerpo normativo, y con ello las Asociaciones Público-Privadas, también aplican cuando el contrato verse </w:t>
      </w:r>
      <w:r w:rsidRPr="00980DA5">
        <w:rPr>
          <w:rFonts w:ascii="Verdana" w:eastAsia="Arial" w:hAnsi="Verdana" w:cs="Arial"/>
          <w:bCs/>
          <w:sz w:val="20"/>
          <w:szCs w:val="20"/>
          <w:lang w:val="es-ES"/>
        </w:rPr>
        <w:t>“</w:t>
      </w:r>
      <w:r w:rsidRPr="00980DA5">
        <w:rPr>
          <w:rFonts w:ascii="Verdana" w:eastAsia="Arial" w:hAnsi="Verdana" w:cs="Arial"/>
          <w:sz w:val="20"/>
          <w:szCs w:val="20"/>
          <w:lang w:val="es-ES"/>
        </w:rPr>
        <w:t>sobre infraestructura para la prestación de servicios públicos</w:t>
      </w:r>
      <w:r w:rsidRPr="00980DA5">
        <w:rPr>
          <w:rFonts w:ascii="Verdana" w:eastAsia="Arial" w:hAnsi="Verdana" w:cs="Arial"/>
          <w:bCs/>
          <w:sz w:val="20"/>
          <w:szCs w:val="20"/>
          <w:lang w:val="es-ES"/>
        </w:rPr>
        <w:t>”</w:t>
      </w:r>
      <w:r w:rsidRPr="00980DA5">
        <w:rPr>
          <w:rFonts w:ascii="Verdana" w:eastAsia="Arial" w:hAnsi="Verdana" w:cs="Arial"/>
          <w:sz w:val="20"/>
          <w:szCs w:val="20"/>
          <w:lang w:val="es-ES"/>
        </w:rPr>
        <w:t xml:space="preserve">, de acuerdo con lo dispuesto en el inciso segundo del artículo 3 de la Ley 1508 de 2012. </w:t>
      </w:r>
    </w:p>
    <w:p w14:paraId="3BA2E9AF" w14:textId="77777777" w:rsidR="00980DA5" w:rsidRPr="00980DA5" w:rsidRDefault="00980DA5" w:rsidP="00980DA5">
      <w:pPr>
        <w:widowControl w:val="0"/>
        <w:autoSpaceDE w:val="0"/>
        <w:autoSpaceDN w:val="0"/>
        <w:spacing w:after="120" w:line="240" w:lineRule="auto"/>
        <w:jc w:val="both"/>
        <w:rPr>
          <w:rFonts w:ascii="Verdana" w:eastAsia="Arial" w:hAnsi="Verdana" w:cs="Arial"/>
          <w:sz w:val="20"/>
          <w:szCs w:val="20"/>
          <w:lang w:val="es-ES"/>
        </w:rPr>
      </w:pPr>
      <w:r w:rsidRPr="00980DA5">
        <w:rPr>
          <w:rFonts w:ascii="Verdana" w:eastAsia="Arial" w:hAnsi="Verdana" w:cs="Arial"/>
          <w:sz w:val="20"/>
          <w:szCs w:val="20"/>
          <w:lang w:val="es-ES"/>
        </w:rPr>
        <w:t xml:space="preserve">Como se advierte del artículo 3 en comento, el ámbito de aplicación de las Asociaciones Publico-Privadas versa sobre los contratos que tengan por objeto i) el </w:t>
      </w:r>
      <w:r w:rsidRPr="00980DA5">
        <w:rPr>
          <w:rFonts w:ascii="Verdana" w:eastAsia="Calibri" w:hAnsi="Verdana" w:cs="Arial"/>
          <w:bCs/>
          <w:sz w:val="20"/>
          <w:szCs w:val="20"/>
          <w:lang w:val="es-ES" w:eastAsia="es-ES" w:bidi="es-ES"/>
        </w:rPr>
        <w:t xml:space="preserve">diseño y construcción de una infraestructura y sus servicios asociados, o </w:t>
      </w:r>
      <w:proofErr w:type="spellStart"/>
      <w:r w:rsidRPr="00980DA5">
        <w:rPr>
          <w:rFonts w:ascii="Verdana" w:eastAsia="Calibri" w:hAnsi="Verdana" w:cs="Arial"/>
          <w:bCs/>
          <w:sz w:val="20"/>
          <w:szCs w:val="20"/>
          <w:lang w:val="es-ES" w:eastAsia="es-ES" w:bidi="es-ES"/>
        </w:rPr>
        <w:t>ii</w:t>
      </w:r>
      <w:proofErr w:type="spellEnd"/>
      <w:r w:rsidRPr="00980DA5">
        <w:rPr>
          <w:rFonts w:ascii="Verdana" w:eastAsia="Calibri" w:hAnsi="Verdana" w:cs="Arial"/>
          <w:bCs/>
          <w:sz w:val="20"/>
          <w:szCs w:val="20"/>
          <w:lang w:val="es-ES" w:eastAsia="es-ES" w:bidi="es-ES"/>
        </w:rPr>
        <w:t>) la construcción, reparación, mejoramiento o equipamiento, actividades todas estas que deberán involucrar la operación y mantenimiento de dicha infraestructura, lo cual incluye también la infraestructura para la prestación de servicios públicos.</w:t>
      </w:r>
    </w:p>
    <w:p w14:paraId="749B060B" w14:textId="73EBC167" w:rsidR="00F62047" w:rsidRPr="00980DA5" w:rsidRDefault="00980DA5" w:rsidP="00980DA5">
      <w:pPr>
        <w:widowControl w:val="0"/>
        <w:spacing w:after="0" w:line="240" w:lineRule="auto"/>
        <w:jc w:val="both"/>
        <w:rPr>
          <w:rFonts w:ascii="Verdana" w:eastAsia="Arial" w:hAnsi="Verdana" w:cs="Arial"/>
          <w:sz w:val="20"/>
          <w:szCs w:val="20"/>
          <w:lang w:val="es-ES"/>
        </w:rPr>
      </w:pPr>
      <w:r w:rsidRPr="00980DA5">
        <w:rPr>
          <w:rFonts w:ascii="Verdana" w:eastAsia="Arial" w:hAnsi="Verdana" w:cs="Arial"/>
          <w:sz w:val="20"/>
          <w:szCs w:val="20"/>
          <w:lang w:val="es-ES"/>
        </w:rPr>
        <w:t>Así mismo, conviene precisar que, en los términos del parágrafo 1° del artículo 3 de la Ley 1508 de 2012, “solo se podrán realizar proyectos bajo esquemas de Asociación Público-Privada cuyo monto de inversión sea superior a seis mil (6.000) SMMLV”.</w:t>
      </w:r>
    </w:p>
    <w:p w14:paraId="3B263D21" w14:textId="77777777" w:rsidR="00980DA5" w:rsidRDefault="00980DA5" w:rsidP="00980DA5">
      <w:pPr>
        <w:widowControl w:val="0"/>
        <w:spacing w:after="0" w:line="276" w:lineRule="auto"/>
        <w:jc w:val="both"/>
        <w:rPr>
          <w:rFonts w:ascii="Verdana" w:hAnsi="Verdana"/>
          <w:lang w:val="es-ES"/>
        </w:rPr>
      </w:pPr>
    </w:p>
    <w:p w14:paraId="16D7FA90" w14:textId="38A387BC" w:rsidR="00326475" w:rsidRPr="00270E87" w:rsidRDefault="00F62047" w:rsidP="00326475">
      <w:pPr>
        <w:widowControl w:val="0"/>
        <w:spacing w:after="0" w:line="276" w:lineRule="auto"/>
        <w:jc w:val="both"/>
        <w:rPr>
          <w:rFonts w:ascii="Verdana" w:hAnsi="Verdana"/>
          <w:lang w:val="es-ES"/>
        </w:rPr>
      </w:pPr>
      <w:r>
        <w:rPr>
          <w:rFonts w:ascii="Verdana" w:hAnsi="Verdana"/>
          <w:noProof/>
          <w:lang w:val="es-ES"/>
        </w:rPr>
        <w:lastRenderedPageBreak/>
        <w:drawing>
          <wp:anchor distT="0" distB="0" distL="114300" distR="114300" simplePos="0" relativeHeight="251658240" behindDoc="0" locked="0" layoutInCell="1" allowOverlap="1" wp14:anchorId="167B0103" wp14:editId="6D3EC85F">
            <wp:simplePos x="0" y="0"/>
            <wp:positionH relativeFrom="column">
              <wp:posOffset>2750949</wp:posOffset>
            </wp:positionH>
            <wp:positionV relativeFrom="paragraph">
              <wp:posOffset>156199</wp:posOffset>
            </wp:positionV>
            <wp:extent cx="2572719" cy="786321"/>
            <wp:effectExtent l="0" t="0" r="5715" b="1270"/>
            <wp:wrapSquare wrapText="bothSides"/>
            <wp:docPr id="521929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29461" name="Picture 521929461"/>
                    <pic:cNvPicPr/>
                  </pic:nvPicPr>
                  <pic:blipFill>
                    <a:blip r:embed="rId11">
                      <a:extLst>
                        <a:ext uri="{28A0092B-C50C-407E-A947-70E740481C1C}">
                          <a14:useLocalDpi xmlns:a14="http://schemas.microsoft.com/office/drawing/2010/main" val="0"/>
                        </a:ext>
                      </a:extLst>
                    </a:blip>
                    <a:stretch>
                      <a:fillRect/>
                    </a:stretch>
                  </pic:blipFill>
                  <pic:spPr>
                    <a:xfrm>
                      <a:off x="0" y="0"/>
                      <a:ext cx="2572719" cy="786321"/>
                    </a:xfrm>
                    <a:prstGeom prst="rect">
                      <a:avLst/>
                    </a:prstGeom>
                  </pic:spPr>
                </pic:pic>
              </a:graphicData>
            </a:graphic>
            <wp14:sizeRelH relativeFrom="page">
              <wp14:pctWidth>0</wp14:pctWidth>
            </wp14:sizeRelH>
            <wp14:sizeRelV relativeFrom="page">
              <wp14:pctHeight>0</wp14:pctHeight>
            </wp14:sizeRelV>
          </wp:anchor>
        </w:drawing>
      </w:r>
      <w:r w:rsidR="00326475" w:rsidRPr="00270E87">
        <w:rPr>
          <w:rFonts w:ascii="Verdana" w:hAnsi="Verdana"/>
          <w:lang w:val="es-ES"/>
        </w:rPr>
        <w:t xml:space="preserve">Bogotá D.C., </w:t>
      </w:r>
      <w:r>
        <w:rPr>
          <w:rFonts w:ascii="Verdana" w:hAnsi="Verdana"/>
          <w:lang w:val="es-ES"/>
        </w:rPr>
        <w:t>26 de agosto de 2026</w:t>
      </w:r>
    </w:p>
    <w:p w14:paraId="76B430A3" w14:textId="28415E42" w:rsidR="00326475" w:rsidRPr="00270E87" w:rsidRDefault="00326475" w:rsidP="00326475">
      <w:pPr>
        <w:spacing w:after="0"/>
        <w:rPr>
          <w:rFonts w:ascii="Verdana" w:hAnsi="Verdana"/>
          <w:lang w:val="es-ES"/>
        </w:rPr>
      </w:pPr>
    </w:p>
    <w:p w14:paraId="79BAE49B" w14:textId="77777777" w:rsidR="00326475" w:rsidRPr="00270E87" w:rsidRDefault="00326475" w:rsidP="00326475">
      <w:pPr>
        <w:spacing w:after="0" w:line="240" w:lineRule="auto"/>
        <w:rPr>
          <w:rFonts w:ascii="Verdana" w:eastAsia="Calibri" w:hAnsi="Verdana" w:cs="Arial"/>
          <w:color w:val="000000" w:themeColor="text1"/>
          <w:lang w:val="es-ES" w:eastAsia="es-ES"/>
        </w:rPr>
      </w:pPr>
      <w:r w:rsidRPr="00270E87">
        <w:rPr>
          <w:rFonts w:ascii="Verdana" w:eastAsia="Calibri" w:hAnsi="Verdana" w:cs="Arial"/>
          <w:color w:val="000000" w:themeColor="text1"/>
          <w:lang w:val="es-ES" w:eastAsia="es-ES"/>
        </w:rPr>
        <w:t>Señor</w:t>
      </w:r>
    </w:p>
    <w:p w14:paraId="11E11735" w14:textId="77777777" w:rsidR="00326475" w:rsidRPr="00270E87" w:rsidRDefault="00326475" w:rsidP="00326475">
      <w:pPr>
        <w:spacing w:after="0" w:line="240" w:lineRule="auto"/>
        <w:rPr>
          <w:rFonts w:ascii="Verdana" w:eastAsia="Calibri" w:hAnsi="Verdana" w:cs="Arial"/>
          <w:b/>
          <w:bCs/>
          <w:color w:val="000000" w:themeColor="text1"/>
          <w:lang w:val="es-ES" w:eastAsia="es-ES"/>
        </w:rPr>
      </w:pPr>
      <w:r w:rsidRPr="006726B9">
        <w:rPr>
          <w:rFonts w:ascii="Verdana" w:eastAsia="Calibri" w:hAnsi="Verdana" w:cs="Arial"/>
          <w:b/>
          <w:bCs/>
          <w:color w:val="000000" w:themeColor="text1"/>
          <w:lang w:val="es-ES" w:eastAsia="es-ES"/>
        </w:rPr>
        <w:t>Jairo Enrique Buitrago Saza</w:t>
      </w:r>
    </w:p>
    <w:p w14:paraId="0343FA57" w14:textId="77777777" w:rsidR="00326475" w:rsidRPr="006726B9" w:rsidRDefault="00326475" w:rsidP="00326475">
      <w:pPr>
        <w:spacing w:after="0" w:line="240" w:lineRule="auto"/>
        <w:rPr>
          <w:rFonts w:ascii="Verdana" w:eastAsia="Calibri" w:hAnsi="Verdana" w:cs="Arial"/>
          <w:color w:val="000000" w:themeColor="text1"/>
          <w:lang w:val="es-ES" w:eastAsia="es-ES"/>
        </w:rPr>
      </w:pPr>
      <w:hyperlink r:id="rId12" w:history="1">
        <w:r w:rsidRPr="00270E87">
          <w:rPr>
            <w:rStyle w:val="Hipervnculo"/>
            <w:rFonts w:ascii="Verdana" w:eastAsia="Calibri" w:hAnsi="Verdana" w:cs="Arial"/>
            <w:lang w:val="es-ES" w:eastAsia="es-ES"/>
          </w:rPr>
          <w:t>buitragolawyers@gmail.com</w:t>
        </w:r>
      </w:hyperlink>
      <w:r w:rsidRPr="00270E87">
        <w:rPr>
          <w:rFonts w:ascii="Verdana" w:eastAsia="Calibri" w:hAnsi="Verdana" w:cs="Arial"/>
          <w:color w:val="000000" w:themeColor="text1"/>
          <w:lang w:val="es-ES" w:eastAsia="es-ES"/>
        </w:rPr>
        <w:t xml:space="preserve"> </w:t>
      </w:r>
    </w:p>
    <w:p w14:paraId="61E783EA" w14:textId="77777777" w:rsidR="00326475" w:rsidRPr="00270E87" w:rsidRDefault="00326475" w:rsidP="00326475">
      <w:pPr>
        <w:spacing w:after="0" w:line="240" w:lineRule="auto"/>
        <w:rPr>
          <w:rFonts w:ascii="Verdana" w:eastAsia="Calibri" w:hAnsi="Verdana" w:cs="Arial"/>
          <w:color w:val="000000" w:themeColor="text1"/>
          <w:lang w:val="es-ES" w:eastAsia="es-ES"/>
        </w:rPr>
      </w:pPr>
      <w:r w:rsidRPr="00270E87">
        <w:rPr>
          <w:rFonts w:ascii="Verdana" w:eastAsia="Calibri" w:hAnsi="Verdana" w:cs="Arial"/>
          <w:color w:val="000000" w:themeColor="text1"/>
          <w:lang w:val="es-ES" w:eastAsia="es-ES"/>
        </w:rPr>
        <w:t>Bogotá D.C.</w:t>
      </w: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326475" w:rsidRPr="00270E87" w14:paraId="741414A2" w14:textId="77777777" w:rsidTr="00591DE9">
        <w:trPr>
          <w:trHeight w:val="300"/>
        </w:trPr>
        <w:tc>
          <w:tcPr>
            <w:tcW w:w="2410" w:type="dxa"/>
          </w:tcPr>
          <w:p w14:paraId="09BC9D94" w14:textId="77777777" w:rsidR="00326475" w:rsidRPr="00270E87" w:rsidRDefault="00326475" w:rsidP="00591DE9">
            <w:pPr>
              <w:ind w:left="-142"/>
              <w:jc w:val="both"/>
              <w:rPr>
                <w:rFonts w:ascii="Verdana" w:eastAsia="Calibri" w:hAnsi="Verdana" w:cs="Arial"/>
                <w:b/>
                <w:bCs/>
                <w:color w:val="000000" w:themeColor="text1"/>
                <w:lang w:val="es-ES" w:eastAsia="es-ES_tradnl"/>
              </w:rPr>
            </w:pPr>
          </w:p>
        </w:tc>
        <w:tc>
          <w:tcPr>
            <w:tcW w:w="6100" w:type="dxa"/>
          </w:tcPr>
          <w:p w14:paraId="23F5DAA9" w14:textId="77777777" w:rsidR="00326475" w:rsidRPr="00270E87" w:rsidRDefault="00326475" w:rsidP="00591DE9">
            <w:pPr>
              <w:ind w:left="3"/>
              <w:jc w:val="both"/>
              <w:rPr>
                <w:rFonts w:ascii="Verdana" w:eastAsia="Calibri" w:hAnsi="Verdana" w:cs="Arial"/>
                <w:b/>
                <w:bCs/>
                <w:color w:val="000000" w:themeColor="text1"/>
                <w:lang w:val="es-ES" w:eastAsia="es-ES"/>
              </w:rPr>
            </w:pPr>
          </w:p>
          <w:p w14:paraId="29D23919" w14:textId="77777777" w:rsidR="00326475" w:rsidRPr="00270E87" w:rsidRDefault="00326475" w:rsidP="00591DE9">
            <w:pPr>
              <w:ind w:left="3"/>
              <w:jc w:val="both"/>
              <w:rPr>
                <w:rFonts w:ascii="Verdana" w:eastAsia="Calibri" w:hAnsi="Verdana" w:cs="Arial"/>
                <w:b/>
                <w:bCs/>
                <w:color w:val="000000" w:themeColor="text1"/>
                <w:lang w:val="es-ES" w:eastAsia="es-ES"/>
              </w:rPr>
            </w:pPr>
            <w:r w:rsidRPr="00270E87">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1116</w:t>
            </w:r>
            <w:r w:rsidRPr="00270E87">
              <w:rPr>
                <w:rFonts w:ascii="Verdana" w:eastAsia="Calibri" w:hAnsi="Verdana" w:cs="Arial"/>
                <w:b/>
                <w:bCs/>
                <w:color w:val="000000" w:themeColor="text1"/>
                <w:lang w:val="es-ES" w:eastAsia="es-ES"/>
              </w:rPr>
              <w:t xml:space="preserve"> de 2026</w:t>
            </w:r>
          </w:p>
          <w:p w14:paraId="00E5344D" w14:textId="77777777" w:rsidR="00326475" w:rsidRPr="00270E87" w:rsidRDefault="00326475" w:rsidP="00591DE9">
            <w:pPr>
              <w:ind w:left="3"/>
              <w:jc w:val="both"/>
              <w:rPr>
                <w:rFonts w:ascii="Verdana" w:eastAsia="Calibri" w:hAnsi="Verdana" w:cs="Arial"/>
                <w:b/>
                <w:bCs/>
                <w:color w:val="000000" w:themeColor="text1"/>
                <w:lang w:val="es-ES" w:eastAsia="es-ES"/>
              </w:rPr>
            </w:pPr>
          </w:p>
        </w:tc>
      </w:tr>
      <w:tr w:rsidR="00326475" w:rsidRPr="00270E87" w14:paraId="054B238B" w14:textId="77777777" w:rsidTr="00591DE9">
        <w:trPr>
          <w:trHeight w:val="300"/>
        </w:trPr>
        <w:tc>
          <w:tcPr>
            <w:tcW w:w="2410" w:type="dxa"/>
          </w:tcPr>
          <w:p w14:paraId="41688091" w14:textId="77777777" w:rsidR="00326475" w:rsidRPr="00270E87" w:rsidRDefault="00326475" w:rsidP="00591DE9">
            <w:pPr>
              <w:ind w:left="424" w:firstLine="142"/>
              <w:jc w:val="both"/>
              <w:rPr>
                <w:rFonts w:ascii="Verdana" w:eastAsia="Calibri" w:hAnsi="Verdana" w:cs="Arial"/>
                <w:color w:val="000000" w:themeColor="text1"/>
                <w:lang w:val="es-ES" w:eastAsia="es-ES_tradnl"/>
              </w:rPr>
            </w:pPr>
            <w:r w:rsidRPr="00270E87">
              <w:rPr>
                <w:rFonts w:ascii="Verdana" w:eastAsia="Calibri" w:hAnsi="Verdana" w:cs="Arial"/>
                <w:b/>
                <w:color w:val="000000" w:themeColor="text1"/>
                <w:lang w:val="es-ES" w:eastAsia="es-ES_tradnl"/>
              </w:rPr>
              <w:t>Temas:</w:t>
            </w:r>
            <w:r w:rsidRPr="00270E87">
              <w:rPr>
                <w:rFonts w:ascii="Verdana" w:eastAsia="Calibri" w:hAnsi="Verdana" w:cs="Arial"/>
                <w:color w:val="000000" w:themeColor="text1"/>
                <w:lang w:val="es-ES" w:eastAsia="es-ES_tradnl"/>
              </w:rPr>
              <w:t xml:space="preserve">                  </w:t>
            </w:r>
          </w:p>
        </w:tc>
        <w:tc>
          <w:tcPr>
            <w:tcW w:w="6100" w:type="dxa"/>
          </w:tcPr>
          <w:p w14:paraId="6119077A" w14:textId="77777777" w:rsidR="00326475" w:rsidRPr="00270E87" w:rsidRDefault="00326475" w:rsidP="00591DE9">
            <w:pPr>
              <w:spacing w:line="276" w:lineRule="auto"/>
              <w:jc w:val="both"/>
              <w:rPr>
                <w:rFonts w:ascii="Verdana" w:hAnsi="Verdana" w:cs="Arial"/>
                <w:lang w:val="es-ES" w:eastAsia="es-ES"/>
              </w:rPr>
            </w:pPr>
            <w:r w:rsidRPr="00270E87">
              <w:rPr>
                <w:rFonts w:ascii="Verdana" w:hAnsi="Verdana" w:cs="Arial"/>
                <w:lang w:val="es-ES" w:eastAsia="es-ES"/>
              </w:rPr>
              <w:t>BIENES PÚBLICOS – Tipos – Bienes Fiscales – Bienes de Uso Público / BIENES FISCALES AFECTOS A SERVICIOS PÚBLICOS – Contratos estatales para su operación – Límites / NULIDAD DEL CONTRATO ESTATAL – Nulidad Absoluta – Causales /</w:t>
            </w:r>
            <w:r w:rsidRPr="00270E87">
              <w:rPr>
                <w:rFonts w:ascii="Verdana" w:eastAsia="Calibri" w:hAnsi="Verdana" w:cs="Arial"/>
                <w:bCs/>
                <w:lang w:val="es-ES"/>
              </w:rPr>
              <w:t xml:space="preserve"> CONTRATO DE CONCESIÓN ― Colaboración público-privada ― No exclusiva /</w:t>
            </w:r>
            <w:r w:rsidRPr="00270E87">
              <w:rPr>
                <w:rFonts w:ascii="Verdana" w:eastAsia="Calibri" w:hAnsi="Verdana" w:cs="Arial"/>
                <w:lang w:val="es-ES"/>
              </w:rPr>
              <w:t xml:space="preserve"> ASOCIACIONES PÚBLICO PRIVADAS </w:t>
            </w:r>
            <w:r w:rsidRPr="00270E87">
              <w:rPr>
                <w:rFonts w:ascii="Verdana" w:eastAsia="Calibri" w:hAnsi="Verdana" w:cs="Arial"/>
                <w:bCs/>
                <w:lang w:val="es-ES"/>
              </w:rPr>
              <w:t>– Ámbito de aplicación</w:t>
            </w:r>
          </w:p>
          <w:p w14:paraId="1840B421" w14:textId="77777777" w:rsidR="00326475" w:rsidRPr="00270E87" w:rsidRDefault="00326475" w:rsidP="00591DE9">
            <w:pPr>
              <w:spacing w:line="276" w:lineRule="auto"/>
              <w:jc w:val="both"/>
              <w:rPr>
                <w:rFonts w:ascii="Verdana" w:eastAsia="Calibri" w:hAnsi="Verdana" w:cs="Arial"/>
                <w:color w:val="000000" w:themeColor="text1"/>
                <w:lang w:val="es-ES" w:eastAsia="es-ES"/>
              </w:rPr>
            </w:pPr>
          </w:p>
        </w:tc>
      </w:tr>
      <w:tr w:rsidR="00326475" w:rsidRPr="00270E87" w14:paraId="6CDB697C" w14:textId="77777777" w:rsidTr="00591DE9">
        <w:trPr>
          <w:trHeight w:val="300"/>
        </w:trPr>
        <w:tc>
          <w:tcPr>
            <w:tcW w:w="2410" w:type="dxa"/>
          </w:tcPr>
          <w:p w14:paraId="2E9F3EE6" w14:textId="77777777" w:rsidR="00326475" w:rsidRPr="00270E87" w:rsidRDefault="00326475" w:rsidP="00591DE9">
            <w:pPr>
              <w:ind w:left="561"/>
              <w:jc w:val="both"/>
              <w:rPr>
                <w:rFonts w:ascii="Verdana" w:eastAsia="Calibri" w:hAnsi="Verdana" w:cs="Arial"/>
                <w:b/>
                <w:color w:val="000000" w:themeColor="text1"/>
                <w:lang w:val="es-ES" w:eastAsia="es-ES_tradnl"/>
              </w:rPr>
            </w:pPr>
            <w:r w:rsidRPr="00270E87">
              <w:rPr>
                <w:rFonts w:ascii="Verdana" w:eastAsia="Calibri" w:hAnsi="Verdana" w:cs="Arial"/>
                <w:b/>
                <w:color w:val="000000" w:themeColor="text1"/>
                <w:lang w:val="es-ES" w:eastAsia="es-ES_tradnl"/>
              </w:rPr>
              <w:t xml:space="preserve">Radicación:              </w:t>
            </w:r>
          </w:p>
        </w:tc>
        <w:tc>
          <w:tcPr>
            <w:tcW w:w="6100" w:type="dxa"/>
          </w:tcPr>
          <w:p w14:paraId="2E3CC842" w14:textId="77777777" w:rsidR="00326475" w:rsidRPr="00270E87" w:rsidRDefault="00326475" w:rsidP="00591DE9">
            <w:pPr>
              <w:ind w:left="3"/>
              <w:jc w:val="both"/>
              <w:rPr>
                <w:rFonts w:ascii="Verdana" w:hAnsi="Verdana"/>
                <w:bCs/>
                <w:color w:val="000000"/>
                <w:lang w:val="es-ES"/>
              </w:rPr>
            </w:pPr>
            <w:r w:rsidRPr="00270E87">
              <w:rPr>
                <w:rFonts w:ascii="Verdana" w:eastAsia="Calibri" w:hAnsi="Verdana" w:cs="Arial"/>
                <w:bCs/>
                <w:color w:val="000000" w:themeColor="text1"/>
                <w:lang w:val="es-ES" w:eastAsia="es-ES"/>
              </w:rPr>
              <w:t>Respuesta a consulta con radicado No.</w:t>
            </w:r>
            <w:r w:rsidRPr="00270E87">
              <w:rPr>
                <w:rFonts w:ascii="Verdana" w:hAnsi="Verdana" w:cs="Segoe UI"/>
                <w:bCs/>
                <w:color w:val="242424"/>
                <w:shd w:val="clear" w:color="auto" w:fill="FFFFFF"/>
                <w:lang w:val="es-ES"/>
              </w:rPr>
              <w:t xml:space="preserve"> 1_2026_07_14_009263</w:t>
            </w:r>
            <w:r w:rsidRPr="00270E87">
              <w:rPr>
                <w:rFonts w:ascii="Verdana" w:eastAsia="Calibri" w:hAnsi="Verdana" w:cs="Arial"/>
                <w:bCs/>
                <w:color w:val="000000" w:themeColor="text1"/>
                <w:lang w:val="es-ES" w:eastAsia="es-ES"/>
              </w:rPr>
              <w:t xml:space="preserve"> </w:t>
            </w:r>
          </w:p>
        </w:tc>
      </w:tr>
    </w:tbl>
    <w:p w14:paraId="386AAE43" w14:textId="77777777" w:rsidR="00326475" w:rsidRPr="00270E87" w:rsidRDefault="00326475" w:rsidP="00326475">
      <w:pPr>
        <w:spacing w:after="0" w:line="276" w:lineRule="auto"/>
        <w:jc w:val="both"/>
        <w:rPr>
          <w:rFonts w:ascii="Verdana" w:eastAsia="Calibri" w:hAnsi="Verdana" w:cs="Arial"/>
          <w:color w:val="000000" w:themeColor="text1"/>
          <w:lang w:val="es-ES" w:eastAsia="es-ES"/>
        </w:rPr>
      </w:pPr>
    </w:p>
    <w:p w14:paraId="6FAC0FB0" w14:textId="77777777" w:rsidR="00326475" w:rsidRPr="00270E87" w:rsidRDefault="00326475" w:rsidP="00326475">
      <w:pPr>
        <w:spacing w:after="0" w:line="276" w:lineRule="auto"/>
        <w:jc w:val="both"/>
        <w:rPr>
          <w:rFonts w:ascii="Verdana" w:eastAsia="Calibri" w:hAnsi="Verdana" w:cs="Arial"/>
          <w:color w:val="000000" w:themeColor="text1"/>
          <w:lang w:val="es-ES" w:eastAsia="es-ES"/>
        </w:rPr>
      </w:pPr>
      <w:r w:rsidRPr="00270E87">
        <w:rPr>
          <w:rFonts w:ascii="Verdana" w:eastAsia="Calibri" w:hAnsi="Verdana" w:cs="Arial"/>
          <w:color w:val="000000" w:themeColor="text1"/>
          <w:lang w:val="es-ES" w:eastAsia="es-ES"/>
        </w:rPr>
        <w:t xml:space="preserve">Estimado señor Buitrago: </w:t>
      </w:r>
    </w:p>
    <w:p w14:paraId="36E2BA7D" w14:textId="77777777" w:rsidR="00326475" w:rsidRPr="00270E87" w:rsidRDefault="00326475" w:rsidP="00326475">
      <w:pPr>
        <w:tabs>
          <w:tab w:val="left" w:pos="3768"/>
        </w:tabs>
        <w:spacing w:after="0" w:line="276" w:lineRule="auto"/>
        <w:jc w:val="both"/>
        <w:rPr>
          <w:rFonts w:ascii="Verdana" w:eastAsia="Calibri" w:hAnsi="Verdana" w:cs="Arial"/>
          <w:color w:val="000000" w:themeColor="text1"/>
          <w:lang w:val="es-ES" w:eastAsia="es-ES"/>
        </w:rPr>
      </w:pPr>
      <w:r w:rsidRPr="00270E87">
        <w:rPr>
          <w:rFonts w:ascii="Verdana" w:eastAsia="Calibri" w:hAnsi="Verdana" w:cs="Arial"/>
          <w:color w:val="000000" w:themeColor="text1"/>
          <w:lang w:val="es-ES" w:eastAsia="es-ES"/>
        </w:rPr>
        <w:tab/>
      </w:r>
    </w:p>
    <w:p w14:paraId="33192873" w14:textId="77777777" w:rsidR="00326475" w:rsidRPr="00270E87" w:rsidRDefault="00326475" w:rsidP="00326475">
      <w:pPr>
        <w:spacing w:after="0" w:line="276" w:lineRule="auto"/>
        <w:jc w:val="both"/>
        <w:rPr>
          <w:rFonts w:ascii="Verdana" w:eastAsia="Calibri" w:hAnsi="Verdana" w:cs="Arial"/>
          <w:color w:val="000000" w:themeColor="text1"/>
          <w:lang w:val="es-ES" w:eastAsia="es-ES"/>
        </w:rPr>
      </w:pPr>
      <w:r w:rsidRPr="00270E87">
        <w:rPr>
          <w:rFonts w:ascii="Verdana" w:eastAsia="Calibri" w:hAnsi="Verdana" w:cs="Arial"/>
          <w:color w:val="000000" w:themeColor="text1"/>
          <w:lang w:val="es-ES" w:eastAsia="es-ES"/>
        </w:rPr>
        <w:t>En ejercicio de la competencia otorgada por los artículos 3, numeral 5º, y 11, numeral 8º, del Decreto Ley 4170 de 2011,</w:t>
      </w:r>
      <w:r w:rsidRPr="00270E87">
        <w:rPr>
          <w:rFonts w:ascii="Verdana" w:eastAsia="Arial MT" w:hAnsi="Verdana" w:cs="Arial MT"/>
          <w:color w:val="000000" w:themeColor="text1"/>
          <w:lang w:val="es-ES" w:eastAsia="es-ES"/>
        </w:rPr>
        <w:t xml:space="preserve"> </w:t>
      </w:r>
      <w:r w:rsidRPr="00270E87">
        <w:rPr>
          <w:rFonts w:ascii="Verdana" w:hAnsi="Verdana" w:cs="Arial"/>
          <w:color w:val="000000" w:themeColor="text1"/>
          <w:lang w:val="es-ES"/>
        </w:rPr>
        <w:t xml:space="preserve">así como lo establecido en el artículo 4 de la Resolución 1707 de 2018 expedida por esta Entidad, </w:t>
      </w:r>
      <w:r w:rsidRPr="00270E87">
        <w:rPr>
          <w:rFonts w:ascii="Verdana" w:eastAsia="Calibri" w:hAnsi="Verdana" w:cs="Arial"/>
          <w:color w:val="000000" w:themeColor="text1"/>
          <w:lang w:val="es-ES" w:eastAsia="es-ES"/>
        </w:rPr>
        <w:t xml:space="preserve">la Agencia Nacional de Contratación Pública – Colombia Compra Eficiente– responde su solicitud de consulta del 14 julio de 2026, en la cual manifiesta lo siguiente: </w:t>
      </w:r>
    </w:p>
    <w:p w14:paraId="673191DA" w14:textId="77777777" w:rsidR="00326475" w:rsidRPr="00270E87" w:rsidRDefault="00326475" w:rsidP="00326475">
      <w:pPr>
        <w:tabs>
          <w:tab w:val="left" w:pos="142"/>
          <w:tab w:val="left" w:pos="284"/>
        </w:tabs>
        <w:spacing w:after="0" w:line="276" w:lineRule="auto"/>
        <w:contextualSpacing/>
        <w:jc w:val="both"/>
        <w:rPr>
          <w:rFonts w:ascii="Verdana" w:eastAsia="Century Gothic" w:hAnsi="Verdana" w:cs="Century Gothic"/>
          <w:b/>
          <w:color w:val="000000" w:themeColor="text1"/>
          <w:lang w:val="es-ES"/>
        </w:rPr>
      </w:pPr>
    </w:p>
    <w:p w14:paraId="73B53C5F" w14:textId="77777777" w:rsidR="00326475" w:rsidRPr="00270E87" w:rsidRDefault="00326475" w:rsidP="00326475">
      <w:pPr>
        <w:spacing w:line="240" w:lineRule="auto"/>
        <w:ind w:right="709" w:firstLine="708"/>
        <w:jc w:val="both"/>
        <w:rPr>
          <w:rFonts w:ascii="Verdana" w:eastAsia="Calibri" w:hAnsi="Verdana" w:cs="Arial"/>
          <w:i/>
          <w:iCs/>
          <w:sz w:val="20"/>
          <w:szCs w:val="20"/>
          <w:lang w:val="es-ES"/>
        </w:rPr>
      </w:pPr>
      <w:r w:rsidRPr="00270E87">
        <w:rPr>
          <w:rFonts w:ascii="Verdana" w:eastAsia="Calibri" w:hAnsi="Verdana" w:cs="Arial"/>
          <w:i/>
          <w:iCs/>
          <w:sz w:val="20"/>
          <w:szCs w:val="20"/>
          <w:lang w:val="es-ES"/>
        </w:rPr>
        <w:t xml:space="preserve">“[…] </w:t>
      </w:r>
    </w:p>
    <w:p w14:paraId="0ADA0319" w14:textId="77777777" w:rsidR="00326475" w:rsidRPr="00270E87" w:rsidRDefault="00326475" w:rsidP="00326475">
      <w:pPr>
        <w:spacing w:line="240" w:lineRule="auto"/>
        <w:ind w:left="709" w:right="709"/>
        <w:jc w:val="both"/>
        <w:rPr>
          <w:rFonts w:ascii="Verdana" w:eastAsia="Calibri" w:hAnsi="Verdana" w:cs="Arial"/>
          <w:b/>
          <w:bCs/>
          <w:i/>
          <w:iCs/>
          <w:sz w:val="20"/>
          <w:szCs w:val="20"/>
          <w:lang w:val="es-ES"/>
        </w:rPr>
      </w:pPr>
      <w:r w:rsidRPr="00270E87">
        <w:rPr>
          <w:rFonts w:ascii="Verdana" w:eastAsia="Calibri" w:hAnsi="Verdana" w:cs="Arial"/>
          <w:b/>
          <w:bCs/>
          <w:i/>
          <w:iCs/>
          <w:sz w:val="20"/>
          <w:szCs w:val="20"/>
          <w:lang w:val="es-ES"/>
        </w:rPr>
        <w:t>III. Problema jurídico</w:t>
      </w:r>
    </w:p>
    <w:p w14:paraId="68B58FD9" w14:textId="77777777" w:rsidR="00326475" w:rsidRPr="00270E87" w:rsidRDefault="00326475" w:rsidP="00326475">
      <w:pPr>
        <w:spacing w:after="0" w:line="240" w:lineRule="auto"/>
        <w:ind w:left="709" w:right="709"/>
        <w:jc w:val="both"/>
        <w:rPr>
          <w:rFonts w:ascii="Verdana" w:eastAsia="Calibri" w:hAnsi="Verdana" w:cs="Arial"/>
          <w:b/>
          <w:bCs/>
          <w:i/>
          <w:iCs/>
          <w:sz w:val="20"/>
          <w:szCs w:val="20"/>
          <w:lang w:val="es-ES"/>
        </w:rPr>
      </w:pPr>
      <w:r w:rsidRPr="006726B9">
        <w:rPr>
          <w:rFonts w:ascii="Verdana" w:eastAsia="Calibri" w:hAnsi="Verdana" w:cs="Arial"/>
          <w:b/>
          <w:bCs/>
          <w:i/>
          <w:iCs/>
          <w:sz w:val="20"/>
          <w:szCs w:val="20"/>
          <w:lang w:val="es-ES"/>
        </w:rPr>
        <w:t>¿</w:t>
      </w:r>
      <w:proofErr w:type="spellStart"/>
      <w:r w:rsidRPr="006726B9">
        <w:rPr>
          <w:rFonts w:ascii="Verdana" w:eastAsia="Calibri" w:hAnsi="Verdana" w:cs="Arial"/>
          <w:b/>
          <w:bCs/>
          <w:i/>
          <w:iCs/>
          <w:sz w:val="20"/>
          <w:szCs w:val="20"/>
          <w:lang w:val="es-ES"/>
        </w:rPr>
        <w:t>Cuál</w:t>
      </w:r>
      <w:proofErr w:type="spellEnd"/>
      <w:r w:rsidRPr="006726B9">
        <w:rPr>
          <w:rFonts w:ascii="Verdana" w:eastAsia="Calibri" w:hAnsi="Verdana" w:cs="Arial"/>
          <w:b/>
          <w:bCs/>
          <w:i/>
          <w:iCs/>
          <w:sz w:val="20"/>
          <w:szCs w:val="20"/>
          <w:lang w:val="es-ES"/>
        </w:rPr>
        <w:t xml:space="preserve"> es el mecanismo contractual previsto en el Estatuto General de Contratación de la Administración Pública que permite a una entidad pública propietaria de una aeronave ambulancia contratar con un operador privado especializado para administrar y operar dicho bien, conservando la propiedad estatal, garantizando la destinación exclusiva al servicio público de salud y asegurando la sostenibilidad financiera de su operación? </w:t>
      </w:r>
    </w:p>
    <w:p w14:paraId="185C79C3" w14:textId="77777777" w:rsidR="00326475" w:rsidRPr="006726B9" w:rsidRDefault="00326475" w:rsidP="00326475">
      <w:pPr>
        <w:spacing w:after="0" w:line="240" w:lineRule="auto"/>
        <w:ind w:left="709" w:right="709"/>
        <w:jc w:val="both"/>
        <w:rPr>
          <w:rFonts w:ascii="Verdana" w:eastAsia="Calibri" w:hAnsi="Verdana" w:cs="Arial"/>
          <w:i/>
          <w:iCs/>
          <w:sz w:val="20"/>
          <w:szCs w:val="20"/>
          <w:lang w:val="es-ES"/>
        </w:rPr>
      </w:pPr>
    </w:p>
    <w:p w14:paraId="2EB7DFF8" w14:textId="77777777" w:rsidR="00326475" w:rsidRPr="006726B9" w:rsidRDefault="00326475" w:rsidP="00326475">
      <w:pPr>
        <w:spacing w:after="0" w:line="240" w:lineRule="auto"/>
        <w:ind w:left="709" w:right="709"/>
        <w:jc w:val="both"/>
        <w:rPr>
          <w:rFonts w:ascii="Verdana" w:eastAsia="Calibri" w:hAnsi="Verdana" w:cs="Arial"/>
          <w:b/>
          <w:bCs/>
          <w:i/>
          <w:iCs/>
          <w:sz w:val="20"/>
          <w:szCs w:val="20"/>
          <w:lang w:val="es-ES"/>
        </w:rPr>
      </w:pPr>
      <w:r w:rsidRPr="006726B9">
        <w:rPr>
          <w:rFonts w:ascii="Verdana" w:eastAsia="Calibri" w:hAnsi="Verdana" w:cs="Arial"/>
          <w:b/>
          <w:bCs/>
          <w:i/>
          <w:iCs/>
          <w:sz w:val="20"/>
          <w:szCs w:val="20"/>
          <w:lang w:val="es-ES"/>
        </w:rPr>
        <w:t>IV. Interrogantes</w:t>
      </w:r>
    </w:p>
    <w:p w14:paraId="5F17F46D" w14:textId="77777777" w:rsidR="00326475" w:rsidRPr="00270E87" w:rsidRDefault="00326475" w:rsidP="00326475">
      <w:pPr>
        <w:spacing w:after="0" w:line="240" w:lineRule="auto"/>
        <w:ind w:left="709" w:right="709"/>
        <w:jc w:val="both"/>
        <w:rPr>
          <w:rFonts w:ascii="Verdana" w:eastAsia="Calibri" w:hAnsi="Verdana" w:cs="Arial"/>
          <w:i/>
          <w:iCs/>
          <w:sz w:val="20"/>
          <w:szCs w:val="20"/>
          <w:lang w:val="es-ES"/>
        </w:rPr>
      </w:pPr>
      <w:r w:rsidRPr="006726B9">
        <w:rPr>
          <w:rFonts w:ascii="Verdana" w:eastAsia="Calibri" w:hAnsi="Verdana" w:cs="Arial"/>
          <w:i/>
          <w:iCs/>
          <w:sz w:val="20"/>
          <w:szCs w:val="20"/>
          <w:lang w:val="es-ES"/>
        </w:rPr>
        <w:t xml:space="preserve">Respetuosamente solicitamos a esa Agencia emitir concepto respecto de los siguientes aspectos: </w:t>
      </w:r>
    </w:p>
    <w:p w14:paraId="3508D071" w14:textId="77777777" w:rsidR="00326475" w:rsidRPr="006726B9" w:rsidRDefault="00326475" w:rsidP="00326475">
      <w:pPr>
        <w:spacing w:after="0" w:line="240" w:lineRule="auto"/>
        <w:ind w:left="709" w:right="709"/>
        <w:jc w:val="both"/>
        <w:rPr>
          <w:rFonts w:ascii="Verdana" w:eastAsia="Calibri" w:hAnsi="Verdana" w:cs="Arial"/>
          <w:i/>
          <w:iCs/>
          <w:sz w:val="20"/>
          <w:szCs w:val="20"/>
          <w:lang w:val="es-ES"/>
        </w:rPr>
      </w:pPr>
    </w:p>
    <w:p w14:paraId="2E314689" w14:textId="77777777" w:rsidR="00326475" w:rsidRPr="006726B9" w:rsidRDefault="00326475" w:rsidP="00326475">
      <w:pPr>
        <w:spacing w:after="0" w:line="240" w:lineRule="auto"/>
        <w:ind w:left="709" w:right="709"/>
        <w:jc w:val="both"/>
        <w:rPr>
          <w:rFonts w:ascii="Verdana" w:eastAsia="Calibri" w:hAnsi="Verdana" w:cs="Arial"/>
          <w:b/>
          <w:bCs/>
          <w:i/>
          <w:iCs/>
          <w:sz w:val="20"/>
          <w:szCs w:val="20"/>
          <w:lang w:val="es-ES"/>
        </w:rPr>
      </w:pPr>
      <w:r w:rsidRPr="006726B9">
        <w:rPr>
          <w:rFonts w:ascii="Verdana" w:eastAsia="Calibri" w:hAnsi="Verdana" w:cs="Arial"/>
          <w:b/>
          <w:bCs/>
          <w:i/>
          <w:iCs/>
          <w:sz w:val="20"/>
          <w:szCs w:val="20"/>
          <w:lang w:val="es-ES"/>
        </w:rPr>
        <w:t>Primera pregunta:</w:t>
      </w:r>
    </w:p>
    <w:p w14:paraId="336BB430" w14:textId="77777777" w:rsidR="00326475" w:rsidRPr="006726B9" w:rsidRDefault="00326475" w:rsidP="00326475">
      <w:pPr>
        <w:spacing w:after="0" w:line="240" w:lineRule="auto"/>
        <w:ind w:left="709" w:right="709"/>
        <w:jc w:val="both"/>
        <w:rPr>
          <w:rFonts w:ascii="Verdana" w:eastAsia="Calibri" w:hAnsi="Verdana" w:cs="Arial"/>
          <w:i/>
          <w:iCs/>
          <w:sz w:val="20"/>
          <w:szCs w:val="20"/>
          <w:lang w:val="es-ES"/>
        </w:rPr>
      </w:pPr>
      <w:r w:rsidRPr="006726B9">
        <w:rPr>
          <w:rFonts w:ascii="Verdana" w:eastAsia="Calibri" w:hAnsi="Verdana" w:cs="Arial"/>
          <w:i/>
          <w:iCs/>
          <w:sz w:val="20"/>
          <w:szCs w:val="20"/>
          <w:lang w:val="es-ES"/>
        </w:rPr>
        <w:t xml:space="preserve">¿Desde la perspectiva del Estatuto General de Contratación Pública resulta jurídicamente viable que una entidad pública celebre directamente un contrato con un operador privado para asumir la operación integral de una aeronave ambulancia de propiedad estatal, sin modificar la destinación para la cual fue adquirida? </w:t>
      </w:r>
    </w:p>
    <w:p w14:paraId="45EC54AD" w14:textId="77777777" w:rsidR="00326475" w:rsidRPr="006726B9" w:rsidRDefault="00326475" w:rsidP="00326475">
      <w:pPr>
        <w:spacing w:after="0" w:line="240" w:lineRule="auto"/>
        <w:ind w:left="709" w:right="709"/>
        <w:jc w:val="both"/>
        <w:rPr>
          <w:rFonts w:ascii="Verdana" w:eastAsia="Calibri" w:hAnsi="Verdana" w:cs="Arial"/>
          <w:b/>
          <w:bCs/>
          <w:i/>
          <w:iCs/>
          <w:sz w:val="20"/>
          <w:szCs w:val="20"/>
          <w:lang w:val="es-ES"/>
        </w:rPr>
      </w:pPr>
      <w:r w:rsidRPr="006726B9">
        <w:rPr>
          <w:rFonts w:ascii="Verdana" w:eastAsia="Calibri" w:hAnsi="Verdana" w:cs="Arial"/>
          <w:b/>
          <w:bCs/>
          <w:i/>
          <w:iCs/>
          <w:sz w:val="20"/>
          <w:szCs w:val="20"/>
          <w:lang w:val="es-ES"/>
        </w:rPr>
        <w:t>Segunda pregunta:</w:t>
      </w:r>
    </w:p>
    <w:p w14:paraId="16795661" w14:textId="77777777" w:rsidR="00326475" w:rsidRPr="006726B9" w:rsidRDefault="00326475" w:rsidP="00326475">
      <w:pPr>
        <w:spacing w:after="0" w:line="240" w:lineRule="auto"/>
        <w:ind w:left="709" w:right="709"/>
        <w:jc w:val="both"/>
        <w:rPr>
          <w:rFonts w:ascii="Verdana" w:eastAsia="Calibri" w:hAnsi="Verdana" w:cs="Arial"/>
          <w:i/>
          <w:iCs/>
          <w:sz w:val="20"/>
          <w:szCs w:val="20"/>
          <w:lang w:val="es-ES"/>
        </w:rPr>
      </w:pPr>
      <w:r w:rsidRPr="006726B9">
        <w:rPr>
          <w:rFonts w:ascii="Verdana" w:eastAsia="Calibri" w:hAnsi="Verdana" w:cs="Arial"/>
          <w:i/>
          <w:iCs/>
          <w:sz w:val="20"/>
          <w:szCs w:val="20"/>
          <w:lang w:val="es-ES"/>
        </w:rPr>
        <w:t>¿</w:t>
      </w:r>
      <w:proofErr w:type="spellStart"/>
      <w:r w:rsidRPr="006726B9">
        <w:rPr>
          <w:rFonts w:ascii="Verdana" w:eastAsia="Calibri" w:hAnsi="Verdana" w:cs="Arial"/>
          <w:i/>
          <w:iCs/>
          <w:sz w:val="20"/>
          <w:szCs w:val="20"/>
          <w:lang w:val="es-ES"/>
        </w:rPr>
        <w:t>Cuál</w:t>
      </w:r>
      <w:proofErr w:type="spellEnd"/>
      <w:r w:rsidRPr="006726B9">
        <w:rPr>
          <w:rFonts w:ascii="Verdana" w:eastAsia="Calibri" w:hAnsi="Verdana" w:cs="Arial"/>
          <w:i/>
          <w:iCs/>
          <w:sz w:val="20"/>
          <w:szCs w:val="20"/>
          <w:lang w:val="es-ES"/>
        </w:rPr>
        <w:t xml:space="preserve"> considera esa Agencia que constituye la figura contractual más apropiada para estructurar jurídicamente una relación de esta naturaleza? </w:t>
      </w:r>
    </w:p>
    <w:p w14:paraId="47F37F6F" w14:textId="77777777" w:rsidR="00326475" w:rsidRPr="006726B9" w:rsidRDefault="00326475" w:rsidP="00326475">
      <w:pPr>
        <w:spacing w:after="0" w:line="240" w:lineRule="auto"/>
        <w:ind w:left="709" w:right="709"/>
        <w:jc w:val="both"/>
        <w:rPr>
          <w:rFonts w:ascii="Verdana" w:eastAsia="Calibri" w:hAnsi="Verdana" w:cs="Arial"/>
          <w:i/>
          <w:iCs/>
          <w:sz w:val="20"/>
          <w:szCs w:val="20"/>
          <w:lang w:val="es-ES"/>
        </w:rPr>
      </w:pPr>
      <w:r w:rsidRPr="006726B9">
        <w:rPr>
          <w:rFonts w:ascii="Verdana" w:eastAsia="Calibri" w:hAnsi="Verdana" w:cs="Arial"/>
          <w:i/>
          <w:iCs/>
          <w:sz w:val="20"/>
          <w:szCs w:val="20"/>
          <w:lang w:val="es-ES"/>
        </w:rPr>
        <w:t xml:space="preserve">En particular, se solicita indicar si el negocio </w:t>
      </w:r>
      <w:proofErr w:type="spellStart"/>
      <w:r w:rsidRPr="006726B9">
        <w:rPr>
          <w:rFonts w:ascii="Verdana" w:eastAsia="Calibri" w:hAnsi="Verdana" w:cs="Arial"/>
          <w:i/>
          <w:iCs/>
          <w:sz w:val="20"/>
          <w:szCs w:val="20"/>
          <w:lang w:val="es-ES"/>
        </w:rPr>
        <w:t>jurídico</w:t>
      </w:r>
      <w:proofErr w:type="spellEnd"/>
      <w:r w:rsidRPr="006726B9">
        <w:rPr>
          <w:rFonts w:ascii="Verdana" w:eastAsia="Calibri" w:hAnsi="Verdana" w:cs="Arial"/>
          <w:i/>
          <w:iCs/>
          <w:sz w:val="20"/>
          <w:szCs w:val="20"/>
          <w:lang w:val="es-ES"/>
        </w:rPr>
        <w:t xml:space="preserve"> </w:t>
      </w:r>
      <w:proofErr w:type="spellStart"/>
      <w:r w:rsidRPr="006726B9">
        <w:rPr>
          <w:rFonts w:ascii="Verdana" w:eastAsia="Calibri" w:hAnsi="Verdana" w:cs="Arial"/>
          <w:i/>
          <w:iCs/>
          <w:sz w:val="20"/>
          <w:szCs w:val="20"/>
          <w:lang w:val="es-ES"/>
        </w:rPr>
        <w:t>podría</w:t>
      </w:r>
      <w:proofErr w:type="spellEnd"/>
      <w:r w:rsidRPr="006726B9">
        <w:rPr>
          <w:rFonts w:ascii="Verdana" w:eastAsia="Calibri" w:hAnsi="Verdana" w:cs="Arial"/>
          <w:i/>
          <w:iCs/>
          <w:sz w:val="20"/>
          <w:szCs w:val="20"/>
          <w:lang w:val="es-ES"/>
        </w:rPr>
        <w:t xml:space="preserve"> estructurarse, </w:t>
      </w:r>
      <w:proofErr w:type="spellStart"/>
      <w:r w:rsidRPr="006726B9">
        <w:rPr>
          <w:rFonts w:ascii="Verdana" w:eastAsia="Calibri" w:hAnsi="Verdana" w:cs="Arial"/>
          <w:i/>
          <w:iCs/>
          <w:sz w:val="20"/>
          <w:szCs w:val="20"/>
          <w:lang w:val="es-ES"/>
        </w:rPr>
        <w:t>según</w:t>
      </w:r>
      <w:proofErr w:type="spellEnd"/>
      <w:r w:rsidRPr="006726B9">
        <w:rPr>
          <w:rFonts w:ascii="Verdana" w:eastAsia="Calibri" w:hAnsi="Verdana" w:cs="Arial"/>
          <w:i/>
          <w:iCs/>
          <w:sz w:val="20"/>
          <w:szCs w:val="20"/>
          <w:lang w:val="es-ES"/>
        </w:rPr>
        <w:t xml:space="preserve"> las circunstancias del caso, mediante: </w:t>
      </w:r>
    </w:p>
    <w:p w14:paraId="636CA801" w14:textId="77777777" w:rsidR="00326475" w:rsidRPr="00270E87" w:rsidRDefault="00326475" w:rsidP="00326475">
      <w:pPr>
        <w:pStyle w:val="Prrafodelista"/>
        <w:numPr>
          <w:ilvl w:val="0"/>
          <w:numId w:val="19"/>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contrato de prestación de servicios especializados; </w:t>
      </w:r>
    </w:p>
    <w:p w14:paraId="5A7610AB" w14:textId="77777777" w:rsidR="00326475" w:rsidRPr="00270E87" w:rsidRDefault="00326475" w:rsidP="00326475">
      <w:pPr>
        <w:pStyle w:val="Prrafodelista"/>
        <w:numPr>
          <w:ilvl w:val="0"/>
          <w:numId w:val="19"/>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contrato de operación; </w:t>
      </w:r>
    </w:p>
    <w:p w14:paraId="7E6A55F2" w14:textId="77777777" w:rsidR="00326475" w:rsidRPr="00270E87" w:rsidRDefault="00326475" w:rsidP="00326475">
      <w:pPr>
        <w:pStyle w:val="Prrafodelista"/>
        <w:numPr>
          <w:ilvl w:val="0"/>
          <w:numId w:val="19"/>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contrato de </w:t>
      </w:r>
      <w:proofErr w:type="spellStart"/>
      <w:r w:rsidRPr="00270E87">
        <w:rPr>
          <w:rFonts w:ascii="Verdana" w:eastAsia="Calibri" w:hAnsi="Verdana" w:cs="Arial"/>
          <w:i/>
          <w:iCs/>
          <w:sz w:val="20"/>
          <w:szCs w:val="20"/>
        </w:rPr>
        <w:t>administración</w:t>
      </w:r>
      <w:proofErr w:type="spellEnd"/>
      <w:r w:rsidRPr="00270E87">
        <w:rPr>
          <w:rFonts w:ascii="Verdana" w:eastAsia="Calibri" w:hAnsi="Verdana" w:cs="Arial"/>
          <w:i/>
          <w:iCs/>
          <w:sz w:val="20"/>
          <w:szCs w:val="20"/>
        </w:rPr>
        <w:t xml:space="preserve">; </w:t>
      </w:r>
    </w:p>
    <w:p w14:paraId="50701F59" w14:textId="77777777" w:rsidR="00326475" w:rsidRPr="00270E87" w:rsidRDefault="00326475" w:rsidP="00326475">
      <w:pPr>
        <w:pStyle w:val="Prrafodelista"/>
        <w:numPr>
          <w:ilvl w:val="0"/>
          <w:numId w:val="19"/>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contrato de concesión; </w:t>
      </w:r>
    </w:p>
    <w:p w14:paraId="786F6BAD" w14:textId="77777777" w:rsidR="00326475" w:rsidRPr="00270E87" w:rsidRDefault="00326475" w:rsidP="00326475">
      <w:pPr>
        <w:pStyle w:val="Prrafodelista"/>
        <w:numPr>
          <w:ilvl w:val="0"/>
          <w:numId w:val="19"/>
        </w:numPr>
        <w:spacing w:after="0" w:line="240" w:lineRule="auto"/>
        <w:ind w:right="709"/>
        <w:jc w:val="both"/>
        <w:rPr>
          <w:rFonts w:ascii="Verdana" w:eastAsia="Calibri" w:hAnsi="Verdana" w:cs="Arial"/>
          <w:i/>
          <w:iCs/>
          <w:sz w:val="20"/>
          <w:szCs w:val="20"/>
        </w:rPr>
      </w:pPr>
      <w:proofErr w:type="spellStart"/>
      <w:r w:rsidRPr="00270E87">
        <w:rPr>
          <w:rFonts w:ascii="Verdana" w:eastAsia="Calibri" w:hAnsi="Verdana" w:cs="Arial"/>
          <w:i/>
          <w:iCs/>
          <w:sz w:val="20"/>
          <w:szCs w:val="20"/>
        </w:rPr>
        <w:t>asociación</w:t>
      </w:r>
      <w:proofErr w:type="spellEnd"/>
      <w:r w:rsidRPr="00270E87">
        <w:rPr>
          <w:rFonts w:ascii="Verdana" w:eastAsia="Calibri" w:hAnsi="Verdana" w:cs="Arial"/>
          <w:i/>
          <w:iCs/>
          <w:sz w:val="20"/>
          <w:szCs w:val="20"/>
        </w:rPr>
        <w:t xml:space="preserve"> </w:t>
      </w:r>
      <w:proofErr w:type="spellStart"/>
      <w:r w:rsidRPr="00270E87">
        <w:rPr>
          <w:rFonts w:ascii="Verdana" w:eastAsia="Calibri" w:hAnsi="Verdana" w:cs="Arial"/>
          <w:i/>
          <w:iCs/>
          <w:sz w:val="20"/>
          <w:szCs w:val="20"/>
        </w:rPr>
        <w:t>público-privada</w:t>
      </w:r>
      <w:proofErr w:type="spellEnd"/>
      <w:r w:rsidRPr="00270E87">
        <w:rPr>
          <w:rFonts w:ascii="Verdana" w:eastAsia="Calibri" w:hAnsi="Verdana" w:cs="Arial"/>
          <w:i/>
          <w:iCs/>
          <w:sz w:val="20"/>
          <w:szCs w:val="20"/>
        </w:rPr>
        <w:t xml:space="preserve">, cuando resulte procedente; </w:t>
      </w:r>
    </w:p>
    <w:p w14:paraId="6582BD96" w14:textId="77777777" w:rsidR="00326475" w:rsidRPr="00270E87" w:rsidRDefault="00326475" w:rsidP="00326475">
      <w:pPr>
        <w:pStyle w:val="Prrafodelista"/>
        <w:numPr>
          <w:ilvl w:val="0"/>
          <w:numId w:val="19"/>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contrato de colaboración; </w:t>
      </w:r>
    </w:p>
    <w:p w14:paraId="63B01981" w14:textId="77777777" w:rsidR="00326475" w:rsidRPr="00270E87" w:rsidRDefault="00326475" w:rsidP="00326475">
      <w:pPr>
        <w:pStyle w:val="Prrafodelista"/>
        <w:numPr>
          <w:ilvl w:val="0"/>
          <w:numId w:val="19"/>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otro mecanismo previsto en el ordenamiento jurídico. </w:t>
      </w:r>
    </w:p>
    <w:p w14:paraId="75CF46EC" w14:textId="77777777" w:rsidR="00326475" w:rsidRPr="00270E87" w:rsidRDefault="00326475" w:rsidP="00326475">
      <w:pPr>
        <w:spacing w:after="0" w:line="240" w:lineRule="auto"/>
        <w:ind w:left="709" w:right="709"/>
        <w:jc w:val="both"/>
        <w:rPr>
          <w:rFonts w:ascii="Verdana" w:eastAsia="Calibri" w:hAnsi="Verdana" w:cs="Arial"/>
          <w:i/>
          <w:iCs/>
          <w:sz w:val="20"/>
          <w:szCs w:val="20"/>
          <w:lang w:val="es-ES"/>
        </w:rPr>
      </w:pPr>
    </w:p>
    <w:p w14:paraId="2BE0BC81" w14:textId="77777777" w:rsidR="00326475" w:rsidRPr="006726B9" w:rsidRDefault="00326475" w:rsidP="00326475">
      <w:pPr>
        <w:spacing w:after="0" w:line="240" w:lineRule="auto"/>
        <w:ind w:left="709" w:right="709"/>
        <w:jc w:val="both"/>
        <w:rPr>
          <w:rFonts w:ascii="Verdana" w:eastAsia="Calibri" w:hAnsi="Verdana" w:cs="Arial"/>
          <w:b/>
          <w:bCs/>
          <w:i/>
          <w:iCs/>
          <w:sz w:val="20"/>
          <w:szCs w:val="20"/>
          <w:lang w:val="es-ES"/>
        </w:rPr>
      </w:pPr>
      <w:r w:rsidRPr="006726B9">
        <w:rPr>
          <w:rFonts w:ascii="Verdana" w:eastAsia="Calibri" w:hAnsi="Verdana" w:cs="Arial"/>
          <w:b/>
          <w:bCs/>
          <w:i/>
          <w:iCs/>
          <w:sz w:val="20"/>
          <w:szCs w:val="20"/>
          <w:lang w:val="es-ES"/>
        </w:rPr>
        <w:t>Tercera pregunta:</w:t>
      </w:r>
    </w:p>
    <w:p w14:paraId="67AC6293" w14:textId="77777777" w:rsidR="00326475" w:rsidRPr="006726B9" w:rsidRDefault="00326475" w:rsidP="00326475">
      <w:pPr>
        <w:spacing w:after="0" w:line="240" w:lineRule="auto"/>
        <w:ind w:left="709" w:right="709"/>
        <w:jc w:val="both"/>
        <w:rPr>
          <w:rFonts w:ascii="Verdana" w:eastAsia="Calibri" w:hAnsi="Verdana" w:cs="Arial"/>
          <w:i/>
          <w:iCs/>
          <w:sz w:val="20"/>
          <w:szCs w:val="20"/>
          <w:lang w:val="es-ES"/>
        </w:rPr>
      </w:pPr>
      <w:r w:rsidRPr="006726B9">
        <w:rPr>
          <w:rFonts w:ascii="Verdana" w:eastAsia="Calibri" w:hAnsi="Verdana" w:cs="Arial"/>
          <w:i/>
          <w:iCs/>
          <w:sz w:val="20"/>
          <w:szCs w:val="20"/>
          <w:lang w:val="es-ES"/>
        </w:rPr>
        <w:t xml:space="preserve">¿Existe </w:t>
      </w:r>
      <w:proofErr w:type="spellStart"/>
      <w:r w:rsidRPr="006726B9">
        <w:rPr>
          <w:rFonts w:ascii="Verdana" w:eastAsia="Calibri" w:hAnsi="Verdana" w:cs="Arial"/>
          <w:i/>
          <w:iCs/>
          <w:sz w:val="20"/>
          <w:szCs w:val="20"/>
          <w:lang w:val="es-ES"/>
        </w:rPr>
        <w:t>algún</w:t>
      </w:r>
      <w:proofErr w:type="spellEnd"/>
      <w:r w:rsidRPr="006726B9">
        <w:rPr>
          <w:rFonts w:ascii="Verdana" w:eastAsia="Calibri" w:hAnsi="Verdana" w:cs="Arial"/>
          <w:i/>
          <w:iCs/>
          <w:sz w:val="20"/>
          <w:szCs w:val="20"/>
          <w:lang w:val="es-ES"/>
        </w:rPr>
        <w:t xml:space="preserve"> impedimento </w:t>
      </w:r>
      <w:proofErr w:type="spellStart"/>
      <w:r w:rsidRPr="006726B9">
        <w:rPr>
          <w:rFonts w:ascii="Verdana" w:eastAsia="Calibri" w:hAnsi="Verdana" w:cs="Arial"/>
          <w:i/>
          <w:iCs/>
          <w:sz w:val="20"/>
          <w:szCs w:val="20"/>
          <w:lang w:val="es-ES"/>
        </w:rPr>
        <w:t>jurídico</w:t>
      </w:r>
      <w:proofErr w:type="spellEnd"/>
      <w:r w:rsidRPr="006726B9">
        <w:rPr>
          <w:rFonts w:ascii="Verdana" w:eastAsia="Calibri" w:hAnsi="Verdana" w:cs="Arial"/>
          <w:i/>
          <w:iCs/>
          <w:sz w:val="20"/>
          <w:szCs w:val="20"/>
          <w:lang w:val="es-ES"/>
        </w:rPr>
        <w:t xml:space="preserve"> para que el operador privado perciba ingresos derivados de la prestación del servicio y, </w:t>
      </w:r>
      <w:proofErr w:type="spellStart"/>
      <w:r w:rsidRPr="006726B9">
        <w:rPr>
          <w:rFonts w:ascii="Verdana" w:eastAsia="Calibri" w:hAnsi="Verdana" w:cs="Arial"/>
          <w:i/>
          <w:iCs/>
          <w:sz w:val="20"/>
          <w:szCs w:val="20"/>
          <w:lang w:val="es-ES"/>
        </w:rPr>
        <w:t>simultáneamente</w:t>
      </w:r>
      <w:proofErr w:type="spellEnd"/>
      <w:r w:rsidRPr="006726B9">
        <w:rPr>
          <w:rFonts w:ascii="Verdana" w:eastAsia="Calibri" w:hAnsi="Verdana" w:cs="Arial"/>
          <w:i/>
          <w:iCs/>
          <w:sz w:val="20"/>
          <w:szCs w:val="20"/>
          <w:lang w:val="es-ES"/>
        </w:rPr>
        <w:t xml:space="preserve">, la entidad </w:t>
      </w:r>
      <w:proofErr w:type="spellStart"/>
      <w:r w:rsidRPr="006726B9">
        <w:rPr>
          <w:rFonts w:ascii="Verdana" w:eastAsia="Calibri" w:hAnsi="Verdana" w:cs="Arial"/>
          <w:i/>
          <w:iCs/>
          <w:sz w:val="20"/>
          <w:szCs w:val="20"/>
          <w:lang w:val="es-ES"/>
        </w:rPr>
        <w:t>pública</w:t>
      </w:r>
      <w:proofErr w:type="spellEnd"/>
      <w:r w:rsidRPr="006726B9">
        <w:rPr>
          <w:rFonts w:ascii="Verdana" w:eastAsia="Calibri" w:hAnsi="Verdana" w:cs="Arial"/>
          <w:i/>
          <w:iCs/>
          <w:sz w:val="20"/>
          <w:szCs w:val="20"/>
          <w:lang w:val="es-ES"/>
        </w:rPr>
        <w:t xml:space="preserve"> reciba una participación económica destinada exclusivamente al mantenimiento, </w:t>
      </w:r>
      <w:proofErr w:type="spellStart"/>
      <w:r w:rsidRPr="006726B9">
        <w:rPr>
          <w:rFonts w:ascii="Verdana" w:eastAsia="Calibri" w:hAnsi="Verdana" w:cs="Arial"/>
          <w:i/>
          <w:iCs/>
          <w:sz w:val="20"/>
          <w:szCs w:val="20"/>
          <w:lang w:val="es-ES"/>
        </w:rPr>
        <w:t>conservación</w:t>
      </w:r>
      <w:proofErr w:type="spellEnd"/>
      <w:r w:rsidRPr="006726B9">
        <w:rPr>
          <w:rFonts w:ascii="Verdana" w:eastAsia="Calibri" w:hAnsi="Verdana" w:cs="Arial"/>
          <w:i/>
          <w:iCs/>
          <w:sz w:val="20"/>
          <w:szCs w:val="20"/>
          <w:lang w:val="es-ES"/>
        </w:rPr>
        <w:t xml:space="preserve"> y sostenibilidad financiera de la aeronave? </w:t>
      </w:r>
    </w:p>
    <w:p w14:paraId="5B4E86B4" w14:textId="77777777" w:rsidR="00326475" w:rsidRPr="00270E87" w:rsidRDefault="00326475" w:rsidP="00326475">
      <w:pPr>
        <w:spacing w:after="0" w:line="240" w:lineRule="auto"/>
        <w:ind w:left="709" w:right="709"/>
        <w:jc w:val="both"/>
        <w:rPr>
          <w:rFonts w:ascii="Verdana" w:eastAsia="Calibri" w:hAnsi="Verdana" w:cs="Arial"/>
          <w:b/>
          <w:bCs/>
          <w:i/>
          <w:iCs/>
          <w:sz w:val="20"/>
          <w:szCs w:val="20"/>
          <w:lang w:val="es-ES"/>
        </w:rPr>
      </w:pPr>
    </w:p>
    <w:p w14:paraId="6E929768" w14:textId="77777777" w:rsidR="00326475" w:rsidRPr="00270E87" w:rsidRDefault="00326475" w:rsidP="00326475">
      <w:pPr>
        <w:spacing w:after="0" w:line="240" w:lineRule="auto"/>
        <w:ind w:left="709" w:right="709"/>
        <w:jc w:val="both"/>
        <w:rPr>
          <w:rFonts w:ascii="Verdana" w:eastAsia="Calibri" w:hAnsi="Verdana" w:cs="Arial"/>
          <w:b/>
          <w:bCs/>
          <w:i/>
          <w:iCs/>
          <w:sz w:val="20"/>
          <w:szCs w:val="20"/>
          <w:lang w:val="es-ES"/>
        </w:rPr>
      </w:pPr>
      <w:r w:rsidRPr="006726B9">
        <w:rPr>
          <w:rFonts w:ascii="Verdana" w:eastAsia="Calibri" w:hAnsi="Verdana" w:cs="Arial"/>
          <w:b/>
          <w:bCs/>
          <w:i/>
          <w:iCs/>
          <w:sz w:val="20"/>
          <w:szCs w:val="20"/>
          <w:lang w:val="es-ES"/>
        </w:rPr>
        <w:t>Cuarta pregunta:</w:t>
      </w:r>
    </w:p>
    <w:p w14:paraId="08C75FD4" w14:textId="77777777" w:rsidR="00326475" w:rsidRPr="00270E87" w:rsidRDefault="00326475" w:rsidP="00326475">
      <w:pPr>
        <w:spacing w:after="0" w:line="240" w:lineRule="auto"/>
        <w:ind w:left="709" w:right="709"/>
        <w:jc w:val="both"/>
        <w:rPr>
          <w:rFonts w:ascii="Verdana" w:eastAsia="Calibri" w:hAnsi="Verdana" w:cs="Arial"/>
          <w:b/>
          <w:bCs/>
          <w:i/>
          <w:iCs/>
          <w:sz w:val="20"/>
          <w:szCs w:val="20"/>
          <w:lang w:val="es-ES"/>
        </w:rPr>
      </w:pPr>
      <w:r w:rsidRPr="006726B9">
        <w:rPr>
          <w:rFonts w:ascii="Verdana" w:eastAsia="Calibri" w:hAnsi="Verdana" w:cs="Arial"/>
          <w:i/>
          <w:iCs/>
          <w:sz w:val="20"/>
          <w:szCs w:val="20"/>
          <w:lang w:val="es-ES"/>
        </w:rPr>
        <w:t xml:space="preserve">¿La </w:t>
      </w:r>
      <w:proofErr w:type="spellStart"/>
      <w:r w:rsidRPr="006726B9">
        <w:rPr>
          <w:rFonts w:ascii="Verdana" w:eastAsia="Calibri" w:hAnsi="Verdana" w:cs="Arial"/>
          <w:i/>
          <w:iCs/>
          <w:sz w:val="20"/>
          <w:szCs w:val="20"/>
          <w:lang w:val="es-ES"/>
        </w:rPr>
        <w:t>obtención</w:t>
      </w:r>
      <w:proofErr w:type="spellEnd"/>
      <w:r w:rsidRPr="006726B9">
        <w:rPr>
          <w:rFonts w:ascii="Verdana" w:eastAsia="Calibri" w:hAnsi="Verdana" w:cs="Arial"/>
          <w:i/>
          <w:iCs/>
          <w:sz w:val="20"/>
          <w:szCs w:val="20"/>
          <w:lang w:val="es-ES"/>
        </w:rPr>
        <w:t xml:space="preserve"> de ingresos derivados de la operación del bien desnaturaliza la finalidad pública para la cual fue adquirido, cuando dichos recursos se reinvierten exclusivamente en el sostenimiento del servicio y en la </w:t>
      </w:r>
      <w:proofErr w:type="spellStart"/>
      <w:r w:rsidRPr="006726B9">
        <w:rPr>
          <w:rFonts w:ascii="Verdana" w:eastAsia="Calibri" w:hAnsi="Verdana" w:cs="Arial"/>
          <w:i/>
          <w:iCs/>
          <w:sz w:val="20"/>
          <w:szCs w:val="20"/>
          <w:lang w:val="es-ES"/>
        </w:rPr>
        <w:t>conservación</w:t>
      </w:r>
      <w:proofErr w:type="spellEnd"/>
      <w:r w:rsidRPr="006726B9">
        <w:rPr>
          <w:rFonts w:ascii="Verdana" w:eastAsia="Calibri" w:hAnsi="Verdana" w:cs="Arial"/>
          <w:i/>
          <w:iCs/>
          <w:sz w:val="20"/>
          <w:szCs w:val="20"/>
          <w:lang w:val="es-ES"/>
        </w:rPr>
        <w:t xml:space="preserve"> del patrimonio </w:t>
      </w:r>
      <w:proofErr w:type="spellStart"/>
      <w:r w:rsidRPr="006726B9">
        <w:rPr>
          <w:rFonts w:ascii="Verdana" w:eastAsia="Calibri" w:hAnsi="Verdana" w:cs="Arial"/>
          <w:i/>
          <w:iCs/>
          <w:sz w:val="20"/>
          <w:szCs w:val="20"/>
          <w:lang w:val="es-ES"/>
        </w:rPr>
        <w:t>público</w:t>
      </w:r>
      <w:proofErr w:type="spellEnd"/>
      <w:r w:rsidRPr="006726B9">
        <w:rPr>
          <w:rFonts w:ascii="Verdana" w:eastAsia="Calibri" w:hAnsi="Verdana" w:cs="Arial"/>
          <w:i/>
          <w:iCs/>
          <w:sz w:val="20"/>
          <w:szCs w:val="20"/>
          <w:lang w:val="es-ES"/>
        </w:rPr>
        <w:t xml:space="preserve">? </w:t>
      </w:r>
    </w:p>
    <w:p w14:paraId="63B402FB" w14:textId="77777777" w:rsidR="00326475" w:rsidRPr="00270E87" w:rsidRDefault="00326475" w:rsidP="00326475">
      <w:pPr>
        <w:spacing w:after="0" w:line="240" w:lineRule="auto"/>
        <w:ind w:left="709" w:right="709"/>
        <w:jc w:val="both"/>
        <w:rPr>
          <w:rFonts w:ascii="Verdana" w:eastAsia="Calibri" w:hAnsi="Verdana" w:cs="Arial"/>
          <w:b/>
          <w:bCs/>
          <w:i/>
          <w:iCs/>
          <w:sz w:val="20"/>
          <w:szCs w:val="20"/>
          <w:lang w:val="es-ES"/>
        </w:rPr>
      </w:pPr>
    </w:p>
    <w:p w14:paraId="0BE35584" w14:textId="77777777" w:rsidR="00326475" w:rsidRPr="006726B9" w:rsidRDefault="00326475" w:rsidP="00326475">
      <w:pPr>
        <w:spacing w:after="0" w:line="240" w:lineRule="auto"/>
        <w:ind w:left="709" w:right="709"/>
        <w:jc w:val="both"/>
        <w:rPr>
          <w:rFonts w:ascii="Verdana" w:eastAsia="Calibri" w:hAnsi="Verdana" w:cs="Arial"/>
          <w:b/>
          <w:bCs/>
          <w:i/>
          <w:iCs/>
          <w:sz w:val="20"/>
          <w:szCs w:val="20"/>
          <w:lang w:val="es-ES"/>
        </w:rPr>
      </w:pPr>
      <w:r w:rsidRPr="006726B9">
        <w:rPr>
          <w:rFonts w:ascii="Verdana" w:eastAsia="Calibri" w:hAnsi="Verdana" w:cs="Arial"/>
          <w:b/>
          <w:bCs/>
          <w:i/>
          <w:iCs/>
          <w:sz w:val="20"/>
          <w:szCs w:val="20"/>
          <w:lang w:val="es-ES"/>
        </w:rPr>
        <w:t>Quinta pregunta:</w:t>
      </w:r>
    </w:p>
    <w:p w14:paraId="2B5465DF" w14:textId="77777777" w:rsidR="00326475" w:rsidRPr="006726B9" w:rsidRDefault="00326475" w:rsidP="00326475">
      <w:pPr>
        <w:spacing w:after="0" w:line="240" w:lineRule="auto"/>
        <w:ind w:left="709" w:right="709"/>
        <w:jc w:val="both"/>
        <w:rPr>
          <w:rFonts w:ascii="Verdana" w:eastAsia="Calibri" w:hAnsi="Verdana" w:cs="Arial"/>
          <w:i/>
          <w:iCs/>
          <w:sz w:val="20"/>
          <w:szCs w:val="20"/>
          <w:lang w:val="es-ES"/>
        </w:rPr>
      </w:pPr>
      <w:r w:rsidRPr="006726B9">
        <w:rPr>
          <w:rFonts w:ascii="Verdana" w:eastAsia="Calibri" w:hAnsi="Verdana" w:cs="Arial"/>
          <w:i/>
          <w:iCs/>
          <w:sz w:val="20"/>
          <w:szCs w:val="20"/>
          <w:lang w:val="es-ES"/>
        </w:rPr>
        <w:t xml:space="preserve">¿Desde la perspectiva de la </w:t>
      </w:r>
      <w:proofErr w:type="spellStart"/>
      <w:r w:rsidRPr="006726B9">
        <w:rPr>
          <w:rFonts w:ascii="Verdana" w:eastAsia="Calibri" w:hAnsi="Verdana" w:cs="Arial"/>
          <w:i/>
          <w:iCs/>
          <w:sz w:val="20"/>
          <w:szCs w:val="20"/>
          <w:lang w:val="es-ES"/>
        </w:rPr>
        <w:t>contratación</w:t>
      </w:r>
      <w:proofErr w:type="spellEnd"/>
      <w:r w:rsidRPr="006726B9">
        <w:rPr>
          <w:rFonts w:ascii="Verdana" w:eastAsia="Calibri" w:hAnsi="Verdana" w:cs="Arial"/>
          <w:i/>
          <w:iCs/>
          <w:sz w:val="20"/>
          <w:szCs w:val="20"/>
          <w:lang w:val="es-ES"/>
        </w:rPr>
        <w:t xml:space="preserve"> estatal, </w:t>
      </w:r>
      <w:proofErr w:type="spellStart"/>
      <w:r w:rsidRPr="006726B9">
        <w:rPr>
          <w:rFonts w:ascii="Verdana" w:eastAsia="Calibri" w:hAnsi="Verdana" w:cs="Arial"/>
          <w:i/>
          <w:iCs/>
          <w:sz w:val="20"/>
          <w:szCs w:val="20"/>
          <w:lang w:val="es-ES"/>
        </w:rPr>
        <w:t>cuáles</w:t>
      </w:r>
      <w:proofErr w:type="spellEnd"/>
      <w:r w:rsidRPr="006726B9">
        <w:rPr>
          <w:rFonts w:ascii="Verdana" w:eastAsia="Calibri" w:hAnsi="Verdana" w:cs="Arial"/>
          <w:i/>
          <w:iCs/>
          <w:sz w:val="20"/>
          <w:szCs w:val="20"/>
          <w:lang w:val="es-ES"/>
        </w:rPr>
        <w:t xml:space="preserve"> </w:t>
      </w:r>
      <w:proofErr w:type="spellStart"/>
      <w:r w:rsidRPr="006726B9">
        <w:rPr>
          <w:rFonts w:ascii="Verdana" w:eastAsia="Calibri" w:hAnsi="Verdana" w:cs="Arial"/>
          <w:i/>
          <w:iCs/>
          <w:sz w:val="20"/>
          <w:szCs w:val="20"/>
          <w:lang w:val="es-ES"/>
        </w:rPr>
        <w:t>deberían</w:t>
      </w:r>
      <w:proofErr w:type="spellEnd"/>
      <w:r w:rsidRPr="006726B9">
        <w:rPr>
          <w:rFonts w:ascii="Verdana" w:eastAsia="Calibri" w:hAnsi="Verdana" w:cs="Arial"/>
          <w:i/>
          <w:iCs/>
          <w:sz w:val="20"/>
          <w:szCs w:val="20"/>
          <w:lang w:val="es-ES"/>
        </w:rPr>
        <w:t xml:space="preserve"> ser las condiciones </w:t>
      </w:r>
      <w:proofErr w:type="spellStart"/>
      <w:r w:rsidRPr="006726B9">
        <w:rPr>
          <w:rFonts w:ascii="Verdana" w:eastAsia="Calibri" w:hAnsi="Verdana" w:cs="Arial"/>
          <w:i/>
          <w:iCs/>
          <w:sz w:val="20"/>
          <w:szCs w:val="20"/>
          <w:lang w:val="es-ES"/>
        </w:rPr>
        <w:t>mínimas</w:t>
      </w:r>
      <w:proofErr w:type="spellEnd"/>
      <w:r w:rsidRPr="006726B9">
        <w:rPr>
          <w:rFonts w:ascii="Verdana" w:eastAsia="Calibri" w:hAnsi="Verdana" w:cs="Arial"/>
          <w:i/>
          <w:iCs/>
          <w:sz w:val="20"/>
          <w:szCs w:val="20"/>
          <w:lang w:val="es-ES"/>
        </w:rPr>
        <w:t xml:space="preserve"> que </w:t>
      </w:r>
      <w:proofErr w:type="spellStart"/>
      <w:r w:rsidRPr="006726B9">
        <w:rPr>
          <w:rFonts w:ascii="Verdana" w:eastAsia="Calibri" w:hAnsi="Verdana" w:cs="Arial"/>
          <w:i/>
          <w:iCs/>
          <w:sz w:val="20"/>
          <w:szCs w:val="20"/>
          <w:lang w:val="es-ES"/>
        </w:rPr>
        <w:t>debería</w:t>
      </w:r>
      <w:proofErr w:type="spellEnd"/>
      <w:r w:rsidRPr="006726B9">
        <w:rPr>
          <w:rFonts w:ascii="Verdana" w:eastAsia="Calibri" w:hAnsi="Verdana" w:cs="Arial"/>
          <w:i/>
          <w:iCs/>
          <w:sz w:val="20"/>
          <w:szCs w:val="20"/>
          <w:lang w:val="es-ES"/>
        </w:rPr>
        <w:t xml:space="preserve"> contener el contrato para garantizar: </w:t>
      </w:r>
    </w:p>
    <w:p w14:paraId="5FD4E956" w14:textId="77777777" w:rsidR="00326475" w:rsidRPr="00270E87" w:rsidRDefault="00326475" w:rsidP="00326475">
      <w:pPr>
        <w:pStyle w:val="Prrafodelista"/>
        <w:numPr>
          <w:ilvl w:val="0"/>
          <w:numId w:val="20"/>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la </w:t>
      </w:r>
      <w:proofErr w:type="spellStart"/>
      <w:r w:rsidRPr="00270E87">
        <w:rPr>
          <w:rFonts w:ascii="Verdana" w:eastAsia="Calibri" w:hAnsi="Verdana" w:cs="Arial"/>
          <w:i/>
          <w:iCs/>
          <w:sz w:val="20"/>
          <w:szCs w:val="20"/>
        </w:rPr>
        <w:t>protección</w:t>
      </w:r>
      <w:proofErr w:type="spellEnd"/>
      <w:r w:rsidRPr="00270E87">
        <w:rPr>
          <w:rFonts w:ascii="Verdana" w:eastAsia="Calibri" w:hAnsi="Verdana" w:cs="Arial"/>
          <w:i/>
          <w:iCs/>
          <w:sz w:val="20"/>
          <w:szCs w:val="20"/>
        </w:rPr>
        <w:t xml:space="preserve"> del patrimonio </w:t>
      </w:r>
      <w:proofErr w:type="spellStart"/>
      <w:r w:rsidRPr="00270E87">
        <w:rPr>
          <w:rFonts w:ascii="Verdana" w:eastAsia="Calibri" w:hAnsi="Verdana" w:cs="Arial"/>
          <w:i/>
          <w:iCs/>
          <w:sz w:val="20"/>
          <w:szCs w:val="20"/>
        </w:rPr>
        <w:t>público</w:t>
      </w:r>
      <w:proofErr w:type="spellEnd"/>
      <w:r w:rsidRPr="00270E87">
        <w:rPr>
          <w:rFonts w:ascii="Verdana" w:eastAsia="Calibri" w:hAnsi="Verdana" w:cs="Arial"/>
          <w:i/>
          <w:iCs/>
          <w:sz w:val="20"/>
          <w:szCs w:val="20"/>
        </w:rPr>
        <w:t xml:space="preserve">; </w:t>
      </w:r>
    </w:p>
    <w:p w14:paraId="06087378" w14:textId="77777777" w:rsidR="00326475" w:rsidRPr="00270E87" w:rsidRDefault="00326475" w:rsidP="00326475">
      <w:pPr>
        <w:pStyle w:val="Prrafodelista"/>
        <w:numPr>
          <w:ilvl w:val="0"/>
          <w:numId w:val="20"/>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la adecuada </w:t>
      </w:r>
      <w:proofErr w:type="spellStart"/>
      <w:r w:rsidRPr="00270E87">
        <w:rPr>
          <w:rFonts w:ascii="Verdana" w:eastAsia="Calibri" w:hAnsi="Verdana" w:cs="Arial"/>
          <w:i/>
          <w:iCs/>
          <w:sz w:val="20"/>
          <w:szCs w:val="20"/>
        </w:rPr>
        <w:t>administración</w:t>
      </w:r>
      <w:proofErr w:type="spellEnd"/>
      <w:r w:rsidRPr="00270E87">
        <w:rPr>
          <w:rFonts w:ascii="Verdana" w:eastAsia="Calibri" w:hAnsi="Verdana" w:cs="Arial"/>
          <w:i/>
          <w:iCs/>
          <w:sz w:val="20"/>
          <w:szCs w:val="20"/>
        </w:rPr>
        <w:t xml:space="preserve"> del activo; </w:t>
      </w:r>
    </w:p>
    <w:p w14:paraId="0D42734D" w14:textId="77777777" w:rsidR="00326475" w:rsidRPr="00270E87" w:rsidRDefault="00326475" w:rsidP="00326475">
      <w:pPr>
        <w:pStyle w:val="Prrafodelista"/>
        <w:numPr>
          <w:ilvl w:val="0"/>
          <w:numId w:val="20"/>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la disponibilidad permanente para atender las necesidades del departamento; </w:t>
      </w:r>
    </w:p>
    <w:p w14:paraId="494E06FF" w14:textId="77777777" w:rsidR="00326475" w:rsidRPr="00270E87" w:rsidRDefault="00326475" w:rsidP="00326475">
      <w:pPr>
        <w:pStyle w:val="Prrafodelista"/>
        <w:numPr>
          <w:ilvl w:val="0"/>
          <w:numId w:val="20"/>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la transparencia del esquema financiero; </w:t>
      </w:r>
    </w:p>
    <w:p w14:paraId="516F3D0D" w14:textId="77777777" w:rsidR="00326475" w:rsidRPr="00270E87" w:rsidRDefault="00326475" w:rsidP="00326475">
      <w:pPr>
        <w:pStyle w:val="Prrafodelista"/>
        <w:numPr>
          <w:ilvl w:val="0"/>
          <w:numId w:val="20"/>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t xml:space="preserve">la correcta </w:t>
      </w:r>
      <w:proofErr w:type="spellStart"/>
      <w:r w:rsidRPr="00270E87">
        <w:rPr>
          <w:rFonts w:ascii="Verdana" w:eastAsia="Calibri" w:hAnsi="Verdana" w:cs="Arial"/>
          <w:i/>
          <w:iCs/>
          <w:sz w:val="20"/>
          <w:szCs w:val="20"/>
        </w:rPr>
        <w:t>distribución</w:t>
      </w:r>
      <w:proofErr w:type="spellEnd"/>
      <w:r w:rsidRPr="00270E87">
        <w:rPr>
          <w:rFonts w:ascii="Verdana" w:eastAsia="Calibri" w:hAnsi="Verdana" w:cs="Arial"/>
          <w:i/>
          <w:iCs/>
          <w:sz w:val="20"/>
          <w:szCs w:val="20"/>
        </w:rPr>
        <w:t xml:space="preserve"> de riesgos; </w:t>
      </w:r>
    </w:p>
    <w:p w14:paraId="33860273" w14:textId="77777777" w:rsidR="00326475" w:rsidRPr="00270E87" w:rsidRDefault="00326475" w:rsidP="00326475">
      <w:pPr>
        <w:pStyle w:val="Prrafodelista"/>
        <w:numPr>
          <w:ilvl w:val="0"/>
          <w:numId w:val="20"/>
        </w:numPr>
        <w:spacing w:after="0" w:line="240" w:lineRule="auto"/>
        <w:ind w:right="709"/>
        <w:jc w:val="both"/>
        <w:rPr>
          <w:rFonts w:ascii="Verdana" w:eastAsia="Calibri" w:hAnsi="Verdana" w:cs="Arial"/>
          <w:i/>
          <w:iCs/>
          <w:sz w:val="20"/>
          <w:szCs w:val="20"/>
        </w:rPr>
      </w:pPr>
      <w:r w:rsidRPr="00270E87">
        <w:rPr>
          <w:rFonts w:ascii="Verdana" w:eastAsia="Calibri" w:hAnsi="Verdana" w:cs="Arial"/>
          <w:i/>
          <w:iCs/>
          <w:sz w:val="20"/>
          <w:szCs w:val="20"/>
        </w:rPr>
        <w:lastRenderedPageBreak/>
        <w:t xml:space="preserve">la </w:t>
      </w:r>
      <w:proofErr w:type="spellStart"/>
      <w:r w:rsidRPr="00270E87">
        <w:rPr>
          <w:rFonts w:ascii="Verdana" w:eastAsia="Calibri" w:hAnsi="Verdana" w:cs="Arial"/>
          <w:i/>
          <w:iCs/>
          <w:sz w:val="20"/>
          <w:szCs w:val="20"/>
        </w:rPr>
        <w:t>supervisión</w:t>
      </w:r>
      <w:proofErr w:type="spellEnd"/>
      <w:r w:rsidRPr="00270E87">
        <w:rPr>
          <w:rFonts w:ascii="Verdana" w:eastAsia="Calibri" w:hAnsi="Verdana" w:cs="Arial"/>
          <w:i/>
          <w:iCs/>
          <w:sz w:val="20"/>
          <w:szCs w:val="20"/>
        </w:rPr>
        <w:t xml:space="preserve"> permanente por parte de la entidad estatal? </w:t>
      </w:r>
    </w:p>
    <w:p w14:paraId="3718D0BE" w14:textId="77777777" w:rsidR="00326475" w:rsidRPr="00270E87" w:rsidRDefault="00326475" w:rsidP="00326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09"/>
        <w:jc w:val="both"/>
        <w:rPr>
          <w:rFonts w:ascii="Verdana" w:eastAsia="Times New Roman" w:hAnsi="Verdana" w:cs="Courier New"/>
          <w:b/>
          <w:bCs/>
          <w:i/>
          <w:iCs/>
          <w:sz w:val="20"/>
          <w:szCs w:val="20"/>
          <w:lang w:val="es-ES"/>
        </w:rPr>
      </w:pPr>
    </w:p>
    <w:p w14:paraId="4E0CD021" w14:textId="77777777" w:rsidR="00326475" w:rsidRPr="00270E87" w:rsidRDefault="00326475" w:rsidP="00326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09"/>
        <w:jc w:val="both"/>
        <w:rPr>
          <w:rFonts w:ascii="Verdana" w:eastAsia="Times New Roman" w:hAnsi="Verdana" w:cs="Courier New"/>
          <w:b/>
          <w:bCs/>
          <w:i/>
          <w:iCs/>
          <w:sz w:val="20"/>
          <w:szCs w:val="20"/>
          <w:lang w:val="es-ES"/>
        </w:rPr>
      </w:pPr>
      <w:r w:rsidRPr="006726B9">
        <w:rPr>
          <w:rFonts w:ascii="Verdana" w:eastAsia="Times New Roman" w:hAnsi="Verdana" w:cs="Courier New"/>
          <w:b/>
          <w:bCs/>
          <w:i/>
          <w:iCs/>
          <w:sz w:val="20"/>
          <w:szCs w:val="20"/>
          <w:lang w:val="es-ES"/>
        </w:rPr>
        <w:t>Sexta pregunta:</w:t>
      </w:r>
    </w:p>
    <w:p w14:paraId="5C996A49" w14:textId="77777777" w:rsidR="00326475" w:rsidRPr="00270E87" w:rsidRDefault="00326475" w:rsidP="00326475">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09"/>
        <w:jc w:val="both"/>
        <w:rPr>
          <w:rFonts w:ascii="Verdana" w:eastAsia="Times New Roman" w:hAnsi="Verdana" w:cs="Courier New"/>
          <w:b/>
          <w:bCs/>
          <w:i/>
          <w:iCs/>
          <w:sz w:val="20"/>
          <w:szCs w:val="20"/>
        </w:rPr>
      </w:pPr>
      <w:r w:rsidRPr="00270E87">
        <w:rPr>
          <w:rFonts w:ascii="Verdana" w:eastAsia="Times New Roman" w:hAnsi="Verdana" w:cs="Times New Roman"/>
          <w:i/>
          <w:iCs/>
          <w:sz w:val="20"/>
          <w:szCs w:val="20"/>
        </w:rPr>
        <w:t xml:space="preserve">¿Considera esa Agencia que el estudio previo </w:t>
      </w:r>
      <w:proofErr w:type="spellStart"/>
      <w:r w:rsidRPr="00270E87">
        <w:rPr>
          <w:rFonts w:ascii="Verdana" w:eastAsia="Times New Roman" w:hAnsi="Verdana" w:cs="Times New Roman"/>
          <w:i/>
          <w:iCs/>
          <w:sz w:val="20"/>
          <w:szCs w:val="20"/>
        </w:rPr>
        <w:t>debería</w:t>
      </w:r>
      <w:proofErr w:type="spellEnd"/>
      <w:r w:rsidRPr="00270E87">
        <w:rPr>
          <w:rFonts w:ascii="Verdana" w:eastAsia="Times New Roman" w:hAnsi="Verdana" w:cs="Times New Roman"/>
          <w:i/>
          <w:iCs/>
          <w:sz w:val="20"/>
          <w:szCs w:val="20"/>
        </w:rPr>
        <w:t xml:space="preserve"> incluir </w:t>
      </w:r>
      <w:proofErr w:type="spellStart"/>
      <w:r w:rsidRPr="00270E87">
        <w:rPr>
          <w:rFonts w:ascii="Verdana" w:eastAsia="Times New Roman" w:hAnsi="Verdana" w:cs="Times New Roman"/>
          <w:i/>
          <w:iCs/>
          <w:sz w:val="20"/>
          <w:szCs w:val="20"/>
        </w:rPr>
        <w:t>análisis</w:t>
      </w:r>
      <w:proofErr w:type="spellEnd"/>
      <w:r w:rsidRPr="00270E87">
        <w:rPr>
          <w:rFonts w:ascii="Verdana" w:eastAsia="Times New Roman" w:hAnsi="Verdana" w:cs="Times New Roman"/>
          <w:i/>
          <w:iCs/>
          <w:sz w:val="20"/>
          <w:szCs w:val="20"/>
        </w:rPr>
        <w:t xml:space="preserve"> </w:t>
      </w:r>
      <w:proofErr w:type="spellStart"/>
      <w:r w:rsidRPr="00270E87">
        <w:rPr>
          <w:rFonts w:ascii="Verdana" w:eastAsia="Times New Roman" w:hAnsi="Verdana" w:cs="Times New Roman"/>
          <w:i/>
          <w:iCs/>
          <w:sz w:val="20"/>
          <w:szCs w:val="20"/>
        </w:rPr>
        <w:t>específicos</w:t>
      </w:r>
      <w:proofErr w:type="spellEnd"/>
      <w:r w:rsidRPr="00270E87">
        <w:rPr>
          <w:rFonts w:ascii="Verdana" w:eastAsia="Times New Roman" w:hAnsi="Verdana" w:cs="Times New Roman"/>
          <w:i/>
          <w:iCs/>
          <w:sz w:val="20"/>
          <w:szCs w:val="20"/>
        </w:rPr>
        <w:t xml:space="preserve"> relacionados con: </w:t>
      </w:r>
    </w:p>
    <w:p w14:paraId="048F6CBB" w14:textId="77777777" w:rsidR="00326475" w:rsidRPr="00270E87" w:rsidRDefault="00326475" w:rsidP="00326475">
      <w:pPr>
        <w:pStyle w:val="Prrafodelist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right="709" w:hanging="425"/>
        <w:jc w:val="both"/>
        <w:rPr>
          <w:rFonts w:ascii="Verdana" w:eastAsia="Times New Roman" w:hAnsi="Verdana" w:cs="Courier New"/>
          <w:b/>
          <w:bCs/>
          <w:i/>
          <w:iCs/>
          <w:sz w:val="20"/>
          <w:szCs w:val="20"/>
        </w:rPr>
      </w:pPr>
      <w:r w:rsidRPr="00270E87">
        <w:rPr>
          <w:rFonts w:ascii="Verdana" w:eastAsia="Times New Roman" w:hAnsi="Verdana" w:cs="Times New Roman"/>
          <w:i/>
          <w:iCs/>
          <w:sz w:val="20"/>
          <w:szCs w:val="20"/>
        </w:rPr>
        <w:t xml:space="preserve">sostenibilidad financiera; </w:t>
      </w:r>
    </w:p>
    <w:p w14:paraId="0D4AFF3A" w14:textId="77777777" w:rsidR="00326475" w:rsidRPr="00270E87" w:rsidRDefault="00326475" w:rsidP="00326475">
      <w:pPr>
        <w:pStyle w:val="Prrafodelist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right="709" w:hanging="425"/>
        <w:jc w:val="both"/>
        <w:rPr>
          <w:rFonts w:ascii="Verdana" w:eastAsia="Times New Roman" w:hAnsi="Verdana" w:cs="Times New Roman"/>
          <w:i/>
          <w:iCs/>
          <w:sz w:val="20"/>
          <w:szCs w:val="20"/>
        </w:rPr>
      </w:pPr>
      <w:r w:rsidRPr="00270E87">
        <w:rPr>
          <w:rFonts w:ascii="Verdana" w:eastAsia="Times New Roman" w:hAnsi="Verdana" w:cs="Times New Roman"/>
          <w:i/>
          <w:iCs/>
          <w:sz w:val="20"/>
          <w:szCs w:val="20"/>
        </w:rPr>
        <w:t>análisis de riesgos;</w:t>
      </w:r>
    </w:p>
    <w:p w14:paraId="112E1DE1" w14:textId="77777777" w:rsidR="00326475" w:rsidRPr="00270E87" w:rsidRDefault="00326475" w:rsidP="00326475">
      <w:pPr>
        <w:pStyle w:val="Prrafodelist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right="709" w:hanging="425"/>
        <w:jc w:val="both"/>
        <w:rPr>
          <w:rFonts w:ascii="Verdana" w:eastAsia="Times New Roman" w:hAnsi="Verdana" w:cs="Courier New"/>
          <w:b/>
          <w:bCs/>
          <w:i/>
          <w:iCs/>
          <w:sz w:val="20"/>
          <w:szCs w:val="20"/>
        </w:rPr>
      </w:pPr>
      <w:r w:rsidRPr="00270E87">
        <w:rPr>
          <w:rFonts w:ascii="Verdana" w:eastAsia="Times New Roman" w:hAnsi="Verdana" w:cs="Times New Roman"/>
          <w:i/>
          <w:iCs/>
          <w:sz w:val="20"/>
          <w:szCs w:val="20"/>
        </w:rPr>
        <w:t xml:space="preserve">estudio de mercado especializado; </w:t>
      </w:r>
    </w:p>
    <w:p w14:paraId="313CF0FE" w14:textId="77777777" w:rsidR="00326475" w:rsidRPr="00270E87" w:rsidRDefault="00326475" w:rsidP="00326475">
      <w:pPr>
        <w:pStyle w:val="Prrafodelist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right="709" w:hanging="425"/>
        <w:jc w:val="both"/>
        <w:rPr>
          <w:rFonts w:ascii="Verdana" w:eastAsia="Times New Roman" w:hAnsi="Verdana" w:cs="Times New Roman"/>
          <w:i/>
          <w:iCs/>
          <w:sz w:val="20"/>
          <w:szCs w:val="20"/>
        </w:rPr>
      </w:pPr>
      <w:r w:rsidRPr="00270E87">
        <w:rPr>
          <w:rFonts w:ascii="Verdana" w:eastAsia="Times New Roman" w:hAnsi="Verdana" w:cs="Times New Roman"/>
          <w:i/>
          <w:iCs/>
          <w:sz w:val="20"/>
          <w:szCs w:val="20"/>
        </w:rPr>
        <w:t xml:space="preserve">disponibilidad </w:t>
      </w:r>
      <w:proofErr w:type="spellStart"/>
      <w:r w:rsidRPr="00270E87">
        <w:rPr>
          <w:rFonts w:ascii="Verdana" w:eastAsia="Times New Roman" w:hAnsi="Verdana" w:cs="Times New Roman"/>
          <w:i/>
          <w:iCs/>
          <w:sz w:val="20"/>
          <w:szCs w:val="20"/>
        </w:rPr>
        <w:t>aeronáutica</w:t>
      </w:r>
      <w:proofErr w:type="spellEnd"/>
      <w:r w:rsidRPr="00270E87">
        <w:rPr>
          <w:rFonts w:ascii="Verdana" w:eastAsia="Times New Roman" w:hAnsi="Verdana" w:cs="Times New Roman"/>
          <w:i/>
          <w:iCs/>
          <w:sz w:val="20"/>
          <w:szCs w:val="20"/>
        </w:rPr>
        <w:t xml:space="preserve">; </w:t>
      </w:r>
    </w:p>
    <w:p w14:paraId="09F61938" w14:textId="77777777" w:rsidR="00326475" w:rsidRPr="00270E87" w:rsidRDefault="00326475" w:rsidP="00326475">
      <w:pPr>
        <w:pStyle w:val="Prrafodelist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right="709" w:hanging="425"/>
        <w:jc w:val="both"/>
        <w:rPr>
          <w:rFonts w:ascii="Verdana" w:eastAsia="Times New Roman" w:hAnsi="Verdana" w:cs="Courier New"/>
          <w:b/>
          <w:bCs/>
          <w:i/>
          <w:iCs/>
          <w:sz w:val="20"/>
          <w:szCs w:val="20"/>
        </w:rPr>
      </w:pPr>
      <w:r w:rsidRPr="00270E87">
        <w:rPr>
          <w:rFonts w:ascii="Verdana" w:hAnsi="Verdana"/>
          <w:i/>
          <w:iCs/>
          <w:sz w:val="20"/>
          <w:szCs w:val="20"/>
        </w:rPr>
        <w:t xml:space="preserve">demanda potencial del servicio; </w:t>
      </w:r>
    </w:p>
    <w:p w14:paraId="41321DC2" w14:textId="77777777" w:rsidR="00326475" w:rsidRPr="00270E87" w:rsidRDefault="00326475" w:rsidP="00326475">
      <w:pPr>
        <w:pStyle w:val="Prrafodelist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right="709" w:hanging="425"/>
        <w:jc w:val="both"/>
        <w:rPr>
          <w:rFonts w:ascii="Verdana" w:eastAsia="Times New Roman" w:hAnsi="Verdana" w:cs="Courier New"/>
          <w:b/>
          <w:bCs/>
          <w:i/>
          <w:iCs/>
          <w:sz w:val="20"/>
          <w:szCs w:val="20"/>
        </w:rPr>
      </w:pPr>
      <w:r w:rsidRPr="00270E87">
        <w:rPr>
          <w:rFonts w:ascii="Verdana" w:hAnsi="Verdana"/>
          <w:i/>
          <w:iCs/>
          <w:sz w:val="20"/>
          <w:szCs w:val="20"/>
        </w:rPr>
        <w:t xml:space="preserve">mantenimiento de la finalidad pública; </w:t>
      </w:r>
    </w:p>
    <w:p w14:paraId="3AAC7FF5" w14:textId="77777777" w:rsidR="00326475" w:rsidRPr="00270E87" w:rsidRDefault="00326475" w:rsidP="00326475">
      <w:pPr>
        <w:pStyle w:val="Prrafodelist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right="709" w:hanging="425"/>
        <w:jc w:val="both"/>
        <w:rPr>
          <w:rFonts w:ascii="Verdana" w:eastAsia="Times New Roman" w:hAnsi="Verdana" w:cs="Courier New"/>
          <w:b/>
          <w:bCs/>
          <w:i/>
          <w:iCs/>
          <w:sz w:val="20"/>
          <w:szCs w:val="20"/>
        </w:rPr>
      </w:pPr>
      <w:r w:rsidRPr="00270E87">
        <w:rPr>
          <w:rFonts w:ascii="Verdana" w:hAnsi="Verdana"/>
          <w:i/>
          <w:iCs/>
          <w:sz w:val="20"/>
          <w:szCs w:val="20"/>
        </w:rPr>
        <w:t xml:space="preserve">mecanismos de seguimiento al operador? </w:t>
      </w:r>
    </w:p>
    <w:p w14:paraId="06B5A3BD" w14:textId="77777777" w:rsidR="00326475" w:rsidRPr="00270E87" w:rsidRDefault="00326475" w:rsidP="00326475">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09"/>
        <w:jc w:val="both"/>
        <w:rPr>
          <w:rFonts w:ascii="Verdana" w:eastAsia="Times New Roman" w:hAnsi="Verdana" w:cs="Courier New"/>
          <w:b/>
          <w:bCs/>
          <w:i/>
          <w:iCs/>
          <w:sz w:val="20"/>
          <w:szCs w:val="20"/>
        </w:rPr>
      </w:pPr>
    </w:p>
    <w:p w14:paraId="015732F3" w14:textId="77777777" w:rsidR="00326475" w:rsidRPr="00270E87" w:rsidRDefault="00326475" w:rsidP="00326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09"/>
        <w:jc w:val="both"/>
        <w:rPr>
          <w:rFonts w:ascii="Verdana" w:eastAsia="Times New Roman" w:hAnsi="Verdana" w:cs="Courier New"/>
          <w:b/>
          <w:bCs/>
          <w:i/>
          <w:iCs/>
          <w:sz w:val="20"/>
          <w:szCs w:val="20"/>
          <w:lang w:val="es-ES"/>
        </w:rPr>
      </w:pPr>
      <w:proofErr w:type="spellStart"/>
      <w:r w:rsidRPr="006726B9">
        <w:rPr>
          <w:rFonts w:ascii="Verdana" w:eastAsia="Times New Roman" w:hAnsi="Verdana" w:cs="Courier New"/>
          <w:b/>
          <w:bCs/>
          <w:i/>
          <w:iCs/>
          <w:sz w:val="20"/>
          <w:szCs w:val="20"/>
          <w:lang w:val="es-ES"/>
        </w:rPr>
        <w:t>Séptima</w:t>
      </w:r>
      <w:proofErr w:type="spellEnd"/>
      <w:r w:rsidRPr="006726B9">
        <w:rPr>
          <w:rFonts w:ascii="Verdana" w:eastAsia="Times New Roman" w:hAnsi="Verdana" w:cs="Courier New"/>
          <w:b/>
          <w:bCs/>
          <w:i/>
          <w:iCs/>
          <w:sz w:val="20"/>
          <w:szCs w:val="20"/>
          <w:lang w:val="es-ES"/>
        </w:rPr>
        <w:t xml:space="preserve"> pregunta:</w:t>
      </w:r>
    </w:p>
    <w:p w14:paraId="094A4AFB" w14:textId="77777777" w:rsidR="00326475" w:rsidRPr="00270E87" w:rsidRDefault="00326475" w:rsidP="00326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09"/>
        <w:jc w:val="both"/>
        <w:rPr>
          <w:rFonts w:ascii="Verdana" w:eastAsia="Times New Roman" w:hAnsi="Verdana" w:cs="Times New Roman"/>
          <w:i/>
          <w:iCs/>
          <w:sz w:val="20"/>
          <w:szCs w:val="20"/>
          <w:lang w:val="es-ES"/>
        </w:rPr>
      </w:pPr>
      <w:r w:rsidRPr="00270E87">
        <w:rPr>
          <w:rFonts w:ascii="Verdana" w:eastAsia="Times New Roman" w:hAnsi="Verdana" w:cs="Courier New"/>
          <w:i/>
          <w:iCs/>
          <w:sz w:val="20"/>
          <w:szCs w:val="20"/>
          <w:lang w:val="es-ES"/>
        </w:rPr>
        <w:t>¿</w:t>
      </w:r>
      <w:r w:rsidRPr="006726B9">
        <w:rPr>
          <w:rFonts w:ascii="Verdana" w:eastAsia="Times New Roman" w:hAnsi="Verdana" w:cs="Times New Roman"/>
          <w:i/>
          <w:iCs/>
          <w:sz w:val="20"/>
          <w:szCs w:val="20"/>
          <w:lang w:val="es-ES"/>
        </w:rPr>
        <w:t xml:space="preserve">Resulta </w:t>
      </w:r>
      <w:proofErr w:type="spellStart"/>
      <w:r w:rsidRPr="006726B9">
        <w:rPr>
          <w:rFonts w:ascii="Verdana" w:eastAsia="Times New Roman" w:hAnsi="Verdana" w:cs="Times New Roman"/>
          <w:i/>
          <w:iCs/>
          <w:sz w:val="20"/>
          <w:szCs w:val="20"/>
          <w:lang w:val="es-ES"/>
        </w:rPr>
        <w:t>jurídicamente</w:t>
      </w:r>
      <w:proofErr w:type="spellEnd"/>
      <w:r w:rsidRPr="006726B9">
        <w:rPr>
          <w:rFonts w:ascii="Verdana" w:eastAsia="Times New Roman" w:hAnsi="Verdana" w:cs="Times New Roman"/>
          <w:i/>
          <w:iCs/>
          <w:sz w:val="20"/>
          <w:szCs w:val="20"/>
          <w:lang w:val="es-ES"/>
        </w:rPr>
        <w:t xml:space="preserve"> procedente establecer </w:t>
      </w:r>
      <w:proofErr w:type="spellStart"/>
      <w:r w:rsidRPr="006726B9">
        <w:rPr>
          <w:rFonts w:ascii="Verdana" w:eastAsia="Times New Roman" w:hAnsi="Verdana" w:cs="Times New Roman"/>
          <w:i/>
          <w:iCs/>
          <w:sz w:val="20"/>
          <w:szCs w:val="20"/>
          <w:lang w:val="es-ES"/>
        </w:rPr>
        <w:t>cláusulas</w:t>
      </w:r>
      <w:proofErr w:type="spellEnd"/>
      <w:r w:rsidRPr="006726B9">
        <w:rPr>
          <w:rFonts w:ascii="Verdana" w:eastAsia="Times New Roman" w:hAnsi="Verdana" w:cs="Times New Roman"/>
          <w:i/>
          <w:iCs/>
          <w:sz w:val="20"/>
          <w:szCs w:val="20"/>
          <w:lang w:val="es-ES"/>
        </w:rPr>
        <w:t xml:space="preserve"> contractuales que otorguen prioridad absoluta a los pacientes remitidos por la red pública departamental, aun cuando el operador privado pueda desarrollar actividades complementarias compatibles con el objeto del contrato, siempre que ello no afecte la disponibilidad de la aeronave para atender las necesidades del departamento? </w:t>
      </w:r>
    </w:p>
    <w:p w14:paraId="022B233B" w14:textId="77777777" w:rsidR="00326475" w:rsidRPr="006726B9" w:rsidRDefault="00326475" w:rsidP="00326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09"/>
        <w:jc w:val="both"/>
        <w:rPr>
          <w:rFonts w:ascii="Verdana" w:eastAsia="Times New Roman" w:hAnsi="Verdana" w:cs="Courier New"/>
          <w:b/>
          <w:bCs/>
          <w:i/>
          <w:iCs/>
          <w:sz w:val="20"/>
          <w:szCs w:val="20"/>
          <w:lang w:val="es-ES"/>
        </w:rPr>
      </w:pPr>
    </w:p>
    <w:p w14:paraId="4BF33535" w14:textId="77777777" w:rsidR="00326475" w:rsidRPr="00270E87" w:rsidRDefault="00326475" w:rsidP="00326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09"/>
        <w:jc w:val="both"/>
        <w:rPr>
          <w:rFonts w:ascii="Verdana" w:eastAsia="Times New Roman" w:hAnsi="Verdana" w:cs="Courier New"/>
          <w:b/>
          <w:bCs/>
          <w:i/>
          <w:iCs/>
          <w:sz w:val="20"/>
          <w:szCs w:val="20"/>
          <w:lang w:val="es-ES"/>
        </w:rPr>
      </w:pPr>
      <w:r w:rsidRPr="006726B9">
        <w:rPr>
          <w:rFonts w:ascii="Verdana" w:eastAsia="Times New Roman" w:hAnsi="Verdana" w:cs="Courier New"/>
          <w:b/>
          <w:bCs/>
          <w:i/>
          <w:iCs/>
          <w:sz w:val="20"/>
          <w:szCs w:val="20"/>
          <w:lang w:val="es-ES"/>
        </w:rPr>
        <w:t>Octava pregunta:</w:t>
      </w:r>
    </w:p>
    <w:p w14:paraId="4C4D1F3D" w14:textId="77777777" w:rsidR="00326475" w:rsidRPr="00270E87" w:rsidRDefault="00326475" w:rsidP="00326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09"/>
        <w:jc w:val="both"/>
        <w:rPr>
          <w:rFonts w:ascii="Verdana" w:eastAsia="Times New Roman" w:hAnsi="Verdana" w:cs="Courier New"/>
          <w:b/>
          <w:bCs/>
          <w:sz w:val="20"/>
          <w:szCs w:val="20"/>
          <w:lang w:val="es-ES"/>
        </w:rPr>
      </w:pPr>
      <w:r w:rsidRPr="006726B9">
        <w:rPr>
          <w:rFonts w:ascii="Verdana" w:eastAsia="Times New Roman" w:hAnsi="Verdana" w:cs="Times New Roman"/>
          <w:i/>
          <w:iCs/>
          <w:sz w:val="20"/>
          <w:szCs w:val="20"/>
          <w:lang w:val="es-ES"/>
        </w:rPr>
        <w:t xml:space="preserve">¿Existen lineamientos, </w:t>
      </w:r>
      <w:proofErr w:type="spellStart"/>
      <w:r w:rsidRPr="006726B9">
        <w:rPr>
          <w:rFonts w:ascii="Verdana" w:eastAsia="Times New Roman" w:hAnsi="Verdana" w:cs="Times New Roman"/>
          <w:i/>
          <w:iCs/>
          <w:sz w:val="20"/>
          <w:szCs w:val="20"/>
          <w:lang w:val="es-ES"/>
        </w:rPr>
        <w:t>guías</w:t>
      </w:r>
      <w:proofErr w:type="spellEnd"/>
      <w:r w:rsidRPr="006726B9">
        <w:rPr>
          <w:rFonts w:ascii="Verdana" w:eastAsia="Times New Roman" w:hAnsi="Verdana" w:cs="Times New Roman"/>
          <w:i/>
          <w:iCs/>
          <w:sz w:val="20"/>
          <w:szCs w:val="20"/>
          <w:lang w:val="es-ES"/>
        </w:rPr>
        <w:t xml:space="preserve">, conceptos o buenas prácticas emitidas por esa Agencia que puedan servir como referente para estructurar un proceso contractual relacionado con la </w:t>
      </w:r>
      <w:proofErr w:type="spellStart"/>
      <w:r w:rsidRPr="006726B9">
        <w:rPr>
          <w:rFonts w:ascii="Verdana" w:eastAsia="Times New Roman" w:hAnsi="Verdana" w:cs="Times New Roman"/>
          <w:i/>
          <w:iCs/>
          <w:sz w:val="20"/>
          <w:szCs w:val="20"/>
          <w:lang w:val="es-ES"/>
        </w:rPr>
        <w:t>administración</w:t>
      </w:r>
      <w:proofErr w:type="spellEnd"/>
      <w:r w:rsidRPr="006726B9">
        <w:rPr>
          <w:rFonts w:ascii="Verdana" w:eastAsia="Times New Roman" w:hAnsi="Verdana" w:cs="Times New Roman"/>
          <w:i/>
          <w:iCs/>
          <w:sz w:val="20"/>
          <w:szCs w:val="20"/>
          <w:lang w:val="es-ES"/>
        </w:rPr>
        <w:t xml:space="preserve"> y </w:t>
      </w:r>
      <w:proofErr w:type="spellStart"/>
      <w:r w:rsidRPr="006726B9">
        <w:rPr>
          <w:rFonts w:ascii="Verdana" w:eastAsia="Times New Roman" w:hAnsi="Verdana" w:cs="Times New Roman"/>
          <w:i/>
          <w:iCs/>
          <w:sz w:val="20"/>
          <w:szCs w:val="20"/>
          <w:lang w:val="es-ES"/>
        </w:rPr>
        <w:t>operación</w:t>
      </w:r>
      <w:proofErr w:type="spellEnd"/>
      <w:r w:rsidRPr="006726B9">
        <w:rPr>
          <w:rFonts w:ascii="Verdana" w:eastAsia="Times New Roman" w:hAnsi="Verdana" w:cs="Times New Roman"/>
          <w:i/>
          <w:iCs/>
          <w:sz w:val="20"/>
          <w:szCs w:val="20"/>
          <w:lang w:val="es-ES"/>
        </w:rPr>
        <w:t xml:space="preserve"> de bienes públicos especializados destinados a la prestación de un servicio público esencial?</w:t>
      </w:r>
      <w:r w:rsidRPr="00270E87">
        <w:rPr>
          <w:rFonts w:ascii="Verdana" w:eastAsia="Calibri" w:hAnsi="Verdana" w:cs="Arial"/>
          <w:sz w:val="20"/>
          <w:szCs w:val="20"/>
          <w:lang w:val="es-ES"/>
        </w:rPr>
        <w:t>”.</w:t>
      </w:r>
    </w:p>
    <w:p w14:paraId="45B44C50" w14:textId="77777777" w:rsidR="00326475" w:rsidRPr="00270E87" w:rsidRDefault="00326475" w:rsidP="00326475">
      <w:pPr>
        <w:spacing w:after="0" w:line="276" w:lineRule="auto"/>
        <w:ind w:right="709"/>
        <w:jc w:val="both"/>
        <w:rPr>
          <w:rFonts w:ascii="Verdana" w:eastAsia="Calibri" w:hAnsi="Verdana" w:cs="Arial"/>
          <w:lang w:val="es-ES"/>
        </w:rPr>
      </w:pPr>
    </w:p>
    <w:p w14:paraId="30E07B25" w14:textId="77777777" w:rsidR="00326475" w:rsidRPr="00270E87" w:rsidRDefault="00326475" w:rsidP="00326475">
      <w:pPr>
        <w:spacing w:after="120" w:line="276" w:lineRule="auto"/>
        <w:ind w:firstLine="708"/>
        <w:jc w:val="both"/>
        <w:rPr>
          <w:rFonts w:ascii="Verdana" w:eastAsia="Calibri" w:hAnsi="Verdana" w:cs="Arial"/>
          <w:color w:val="000000" w:themeColor="text1"/>
          <w:lang w:val="es-ES" w:eastAsia="es-ES"/>
        </w:rPr>
      </w:pPr>
      <w:r w:rsidRPr="00270E87">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70E87">
        <w:rPr>
          <w:lang w:val="es-ES"/>
        </w:rPr>
        <w:tab/>
      </w:r>
    </w:p>
    <w:p w14:paraId="2EE10B5E" w14:textId="77777777" w:rsidR="00326475" w:rsidRPr="00270E87" w:rsidRDefault="00326475" w:rsidP="00326475">
      <w:pPr>
        <w:spacing w:after="0" w:line="276" w:lineRule="auto"/>
        <w:ind w:firstLine="709"/>
        <w:jc w:val="both"/>
        <w:rPr>
          <w:rFonts w:ascii="Verdana" w:eastAsia="Calibri" w:hAnsi="Verdana" w:cs="Arial"/>
          <w:color w:val="000000" w:themeColor="text1"/>
          <w:lang w:val="es-ES" w:eastAsia="es-ES"/>
        </w:rPr>
      </w:pPr>
      <w:r w:rsidRPr="00270E87">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w:t>
      </w:r>
      <w:r w:rsidRPr="00270E87">
        <w:rPr>
          <w:rFonts w:ascii="Verdana" w:eastAsia="Calibri" w:hAnsi="Verdana" w:cs="Arial"/>
          <w:color w:val="000000" w:themeColor="text1"/>
          <w:lang w:val="es-ES" w:eastAsia="es-ES"/>
        </w:rPr>
        <w:lastRenderedPageBreak/>
        <w:t xml:space="preserve">consultiva, esto es, haciendo abstracción de las circunstancias particulares y concretas mencionadas en su petición, pero haciendo unas consideraciones sobre las normas generales relacionadas con los problemas jurídicos de su consulta. </w:t>
      </w:r>
    </w:p>
    <w:p w14:paraId="0A7DCF39" w14:textId="77777777" w:rsidR="00326475" w:rsidRPr="00270E87" w:rsidRDefault="00326475" w:rsidP="00326475">
      <w:pPr>
        <w:spacing w:after="0" w:line="276" w:lineRule="auto"/>
        <w:jc w:val="both"/>
        <w:rPr>
          <w:rFonts w:ascii="Verdana" w:eastAsia="Calibri" w:hAnsi="Verdana" w:cs="Arial"/>
          <w:color w:val="000000" w:themeColor="text1"/>
          <w:lang w:val="es-ES" w:eastAsia="es-ES"/>
        </w:rPr>
      </w:pPr>
    </w:p>
    <w:p w14:paraId="1783686B" w14:textId="77777777" w:rsidR="00326475" w:rsidRPr="00270E87" w:rsidRDefault="00326475" w:rsidP="00326475">
      <w:pPr>
        <w:pStyle w:val="Prrafodelista"/>
        <w:numPr>
          <w:ilvl w:val="0"/>
          <w:numId w:val="18"/>
        </w:numPr>
        <w:tabs>
          <w:tab w:val="left" w:pos="142"/>
          <w:tab w:val="left" w:pos="284"/>
        </w:tabs>
        <w:spacing w:after="0" w:line="276" w:lineRule="auto"/>
        <w:jc w:val="both"/>
        <w:rPr>
          <w:rFonts w:ascii="Verdana" w:eastAsia="Century Gothic" w:hAnsi="Verdana" w:cs="Century Gothic"/>
          <w:b/>
          <w:color w:val="000000" w:themeColor="text1"/>
        </w:rPr>
      </w:pPr>
      <w:r w:rsidRPr="00270E87">
        <w:rPr>
          <w:rFonts w:ascii="Verdana" w:eastAsia="Century Gothic" w:hAnsi="Verdana" w:cs="Century Gothic"/>
          <w:b/>
          <w:bCs/>
          <w:color w:val="000000" w:themeColor="text1"/>
        </w:rPr>
        <w:t>Problema planteado:</w:t>
      </w:r>
    </w:p>
    <w:p w14:paraId="274998E1" w14:textId="77777777" w:rsidR="00326475" w:rsidRPr="00270E87" w:rsidRDefault="00326475" w:rsidP="00326475">
      <w:pPr>
        <w:tabs>
          <w:tab w:val="left" w:pos="426"/>
        </w:tabs>
        <w:spacing w:after="0" w:line="276" w:lineRule="auto"/>
        <w:jc w:val="both"/>
        <w:rPr>
          <w:rFonts w:ascii="Verdana" w:eastAsia="Century Gothic" w:hAnsi="Verdana" w:cs="Century Gothic"/>
          <w:color w:val="000000" w:themeColor="text1"/>
          <w:lang w:val="es-ES"/>
        </w:rPr>
      </w:pPr>
    </w:p>
    <w:p w14:paraId="4D7AB891" w14:textId="77777777" w:rsidR="00326475" w:rsidRPr="00270E87" w:rsidRDefault="00326475" w:rsidP="00326475">
      <w:pPr>
        <w:spacing w:after="140" w:line="276" w:lineRule="auto"/>
        <w:jc w:val="both"/>
        <w:rPr>
          <w:rFonts w:ascii="Verdana" w:eastAsia="Century Gothic" w:hAnsi="Verdana" w:cs="Century Gothic"/>
          <w:color w:val="000000" w:themeColor="text1"/>
          <w:lang w:val="es-ES"/>
        </w:rPr>
      </w:pPr>
      <w:r w:rsidRPr="00270E87">
        <w:rPr>
          <w:rFonts w:ascii="Verdana" w:eastAsia="Century Gothic" w:hAnsi="Verdana" w:cs="Century Gothic"/>
          <w:color w:val="000000" w:themeColor="text1"/>
          <w:lang w:val="es-ES"/>
        </w:rPr>
        <w:t>De acuerdo con el contenido de su solicitud, esta Agencia resolverá los siguientes problemas jurídicos: i</w:t>
      </w:r>
      <w:r w:rsidRPr="00270E87">
        <w:rPr>
          <w:rFonts w:ascii="Verdana" w:eastAsia="Arial" w:hAnsi="Verdana" w:cs="Arial"/>
          <w:lang w:val="es-ES"/>
        </w:rPr>
        <w:t xml:space="preserve">) ¿cuáles son los límites que debe considerar una Entidad Estatal sometida al Estatuto General de Contratación de la Administración Pública </w:t>
      </w:r>
      <w:r w:rsidRPr="00F62047">
        <w:rPr>
          <w:rFonts w:ascii="Verdana" w:eastAsia="Arial" w:hAnsi="Verdana" w:cs="Arial"/>
          <w:lang w:val="es-ES"/>
        </w:rPr>
        <w:t>al</w:t>
      </w:r>
      <w:r w:rsidRPr="00270E87">
        <w:rPr>
          <w:rFonts w:ascii="Verdana" w:eastAsia="Arial" w:hAnsi="Verdana" w:cs="Arial"/>
          <w:lang w:val="es-ES"/>
        </w:rPr>
        <w:t xml:space="preserve"> celebrar un contrato con un particular para la operación de un bien fiscal de su propiedad afecto a la prestación de un servicio público? </w:t>
      </w:r>
      <w:r w:rsidRPr="00270E87">
        <w:rPr>
          <w:rFonts w:ascii="Verdana" w:hAnsi="Verdana"/>
          <w:lang w:val="es-ES"/>
        </w:rPr>
        <w:t>;</w:t>
      </w:r>
      <w:r w:rsidRPr="00270E87">
        <w:rPr>
          <w:rFonts w:ascii="Verdana" w:eastAsia="Arial" w:hAnsi="Verdana" w:cs="Arial"/>
          <w:lang w:val="es-ES"/>
        </w:rPr>
        <w:t xml:space="preserve"> </w:t>
      </w:r>
      <w:proofErr w:type="spellStart"/>
      <w:r w:rsidRPr="00270E87">
        <w:rPr>
          <w:rFonts w:ascii="Verdana" w:eastAsia="Arial" w:hAnsi="Verdana" w:cs="Arial"/>
          <w:lang w:val="es-ES"/>
        </w:rPr>
        <w:t>ii</w:t>
      </w:r>
      <w:proofErr w:type="spellEnd"/>
      <w:r w:rsidRPr="00270E87">
        <w:rPr>
          <w:rFonts w:ascii="Verdana" w:eastAsia="Arial" w:hAnsi="Verdana" w:cs="Arial"/>
          <w:lang w:val="es-ES"/>
        </w:rPr>
        <w:t xml:space="preserve">) ¿cuáles son los criterios que permiten a la Entidad Estatal determinar la tipología contractual aplicable?; y </w:t>
      </w:r>
      <w:proofErr w:type="spellStart"/>
      <w:r w:rsidRPr="00270E87">
        <w:rPr>
          <w:rFonts w:ascii="Verdana" w:eastAsia="Arial" w:hAnsi="Verdana" w:cs="Arial"/>
          <w:lang w:val="es-ES"/>
        </w:rPr>
        <w:t>iii</w:t>
      </w:r>
      <w:proofErr w:type="spellEnd"/>
      <w:r w:rsidRPr="00270E87">
        <w:rPr>
          <w:rFonts w:ascii="Verdana" w:eastAsia="Arial" w:hAnsi="Verdana" w:cs="Arial"/>
          <w:lang w:val="es-ES"/>
        </w:rPr>
        <w:t>) ¿cuál es la modalidad de selección aplicable a un negocio de esta naturaleza?</w:t>
      </w:r>
    </w:p>
    <w:p w14:paraId="780781CB" w14:textId="77777777" w:rsidR="00326475" w:rsidRPr="00270E87" w:rsidRDefault="00326475" w:rsidP="00326475">
      <w:pPr>
        <w:pStyle w:val="Prrafodelista"/>
        <w:numPr>
          <w:ilvl w:val="0"/>
          <w:numId w:val="17"/>
        </w:numPr>
        <w:tabs>
          <w:tab w:val="left" w:pos="142"/>
          <w:tab w:val="left" w:pos="284"/>
        </w:tabs>
        <w:spacing w:after="0" w:line="276" w:lineRule="auto"/>
        <w:ind w:left="709"/>
        <w:jc w:val="both"/>
        <w:rPr>
          <w:rFonts w:ascii="Verdana" w:eastAsia="Century Gothic" w:hAnsi="Verdana" w:cs="Century Gothic"/>
          <w:b/>
          <w:color w:val="000000" w:themeColor="text1"/>
        </w:rPr>
      </w:pPr>
      <w:r w:rsidRPr="00270E87">
        <w:rPr>
          <w:rFonts w:ascii="Verdana" w:eastAsia="Century Gothic" w:hAnsi="Verdana" w:cs="Century Gothic"/>
          <w:b/>
          <w:bCs/>
          <w:color w:val="000000" w:themeColor="text1"/>
        </w:rPr>
        <w:t>Respuesta:</w:t>
      </w:r>
    </w:p>
    <w:p w14:paraId="530B30E5" w14:textId="77777777" w:rsidR="00326475" w:rsidRPr="00270E87" w:rsidRDefault="00326475" w:rsidP="00326475">
      <w:pPr>
        <w:spacing w:after="0" w:line="276" w:lineRule="auto"/>
        <w:jc w:val="both"/>
        <w:rPr>
          <w:rFonts w:ascii="Verdana" w:eastAsia="Calibri" w:hAnsi="Verdana" w:cs="Arial"/>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326475" w:rsidRPr="00270E87" w14:paraId="119B67CF" w14:textId="77777777" w:rsidTr="00591DE9">
        <w:trPr>
          <w:trHeight w:val="300"/>
        </w:trPr>
        <w:tc>
          <w:tcPr>
            <w:tcW w:w="8828" w:type="dxa"/>
          </w:tcPr>
          <w:p w14:paraId="6F5FAD9C" w14:textId="74D84940" w:rsidR="00326475" w:rsidRPr="004B38B3" w:rsidRDefault="00326475" w:rsidP="00591DE9">
            <w:pPr>
              <w:spacing w:before="120" w:after="120" w:line="276" w:lineRule="auto"/>
              <w:jc w:val="both"/>
              <w:rPr>
                <w:rFonts w:ascii="Verdana" w:hAnsi="Verdana" w:cs="Arial"/>
                <w:color w:val="000000" w:themeColor="text1"/>
                <w:lang w:val="es-ES"/>
              </w:rPr>
            </w:pPr>
            <w:r w:rsidRPr="00270E87">
              <w:rPr>
                <w:rFonts w:ascii="Verdana" w:hAnsi="Verdana" w:cs="Arial"/>
                <w:color w:val="000000" w:themeColor="text1"/>
                <w:lang w:val="es-ES"/>
              </w:rPr>
              <w:t>i</w:t>
            </w:r>
            <w:r w:rsidR="00565A9B">
              <w:rPr>
                <w:rFonts w:ascii="Verdana" w:hAnsi="Verdana" w:cs="Arial"/>
                <w:color w:val="000000" w:themeColor="text1"/>
                <w:lang w:val="es-ES"/>
              </w:rPr>
              <w:t>.</w:t>
            </w:r>
            <w:r w:rsidR="004A0E21">
              <w:rPr>
                <w:rFonts w:ascii="Verdana" w:hAnsi="Verdana" w:cs="Arial"/>
                <w:color w:val="000000" w:themeColor="text1"/>
                <w:lang w:val="es-ES"/>
              </w:rPr>
              <w:t xml:space="preserve"> </w:t>
            </w:r>
            <w:r w:rsidRPr="004B38B3">
              <w:rPr>
                <w:rFonts w:ascii="Verdana" w:hAnsi="Verdana" w:cs="Arial"/>
                <w:color w:val="000000" w:themeColor="text1"/>
                <w:lang w:val="es-ES"/>
              </w:rPr>
              <w:t xml:space="preserve">Con respecto a los límites que debe considerar una Entidad Estatal al celebrar un contrato con un particular para la operación de un bien fiscal afecto a la prestación de un servicio público, </w:t>
            </w:r>
            <w:r w:rsidRPr="00270E87">
              <w:rPr>
                <w:rFonts w:ascii="Verdana" w:hAnsi="Verdana" w:cs="Arial"/>
                <w:color w:val="000000" w:themeColor="text1"/>
                <w:lang w:val="es-ES"/>
              </w:rPr>
              <w:t>l</w:t>
            </w:r>
            <w:r w:rsidRPr="004B38B3">
              <w:rPr>
                <w:rFonts w:ascii="Verdana" w:hAnsi="Verdana" w:cs="Arial"/>
                <w:color w:val="000000" w:themeColor="text1"/>
                <w:lang w:val="es-ES"/>
              </w:rPr>
              <w:t>as Entidades Estatales sometidas al EGCAP pueden celebrar tanto contratos típicos como atípicos, en ejercicio de la autonomía de la voluntad reconocida en los artículos 32 y 40 de la Ley 80 de 1993, siempre que el negocio jurídico no contraríe el orden público, no tenga objeto o causa ilícitos y cumpla las formalidades que la ley exija. Sobre los bienes fiscales, a pesar de estar destinados a la prestación de servicios públicos, las Entidades Estatales tienen la facultad de disponer de ellos mediante actos jurídicos como la compraventa, la donación o el arriendo, lo cual los distingue de los bienes de uso público cuya enajenación y arrendamiento están proscritos.</w:t>
            </w:r>
          </w:p>
          <w:p w14:paraId="44943381" w14:textId="77777777" w:rsidR="00326475" w:rsidRPr="004B38B3" w:rsidRDefault="00326475" w:rsidP="00591DE9">
            <w:pPr>
              <w:spacing w:before="120" w:after="120" w:line="276" w:lineRule="auto"/>
              <w:ind w:firstLine="709"/>
              <w:jc w:val="both"/>
              <w:rPr>
                <w:rFonts w:ascii="Verdana" w:hAnsi="Verdana" w:cs="Arial"/>
                <w:color w:val="000000" w:themeColor="text1"/>
                <w:lang w:val="es-ES"/>
              </w:rPr>
            </w:pPr>
            <w:r w:rsidRPr="004B38B3">
              <w:rPr>
                <w:rFonts w:ascii="Verdana" w:hAnsi="Verdana" w:cs="Arial"/>
                <w:color w:val="000000" w:themeColor="text1"/>
                <w:lang w:val="es-ES"/>
              </w:rPr>
              <w:t xml:space="preserve">No obstante, la validez del contrato no se agota en la existencia de una tipología disponible o en la ausencia de una prohibición expresa. La entidad debe considerar los límites que impone la licitud del objeto, en particular: a) que el contenido obligacional del contrato no sustraiga materialmente al bien de la prestación del servicio al que está afecto ni lo ponga de manera predominante al servicio de la actividad económica de un particular, pues ello </w:t>
            </w:r>
            <w:r w:rsidRPr="004B38B3">
              <w:rPr>
                <w:rFonts w:ascii="Verdana" w:hAnsi="Verdana" w:cs="Arial"/>
                <w:color w:val="000000" w:themeColor="text1"/>
                <w:lang w:val="es-ES"/>
              </w:rPr>
              <w:lastRenderedPageBreak/>
              <w:t xml:space="preserve">podría configurar nulidad absoluta por objeto ilícito con independencia de la denominación del contrato; b) que el esquema de remuneración del contratista no genere una indeterminación de la contraprestación que comprometa la selección objetiva prevista en el artículo 5 de la Ley 1150 de 2007, ni una incompatibilidad estructural entre la disponibilidad del bien para el servicio y el margen de explotación económica del contratista; c) que el negocio no configure, en su efecto material, una </w:t>
            </w:r>
            <w:r w:rsidRPr="00270E87">
              <w:rPr>
                <w:rFonts w:ascii="Verdana" w:hAnsi="Verdana" w:cs="Arial"/>
                <w:color w:val="000000" w:themeColor="text1"/>
                <w:lang w:val="es-ES"/>
              </w:rPr>
              <w:t xml:space="preserve">contravención del </w:t>
            </w:r>
            <w:r w:rsidRPr="004B38B3">
              <w:rPr>
                <w:rFonts w:ascii="Verdana" w:hAnsi="Verdana" w:cs="Arial"/>
                <w:color w:val="000000" w:themeColor="text1"/>
                <w:lang w:val="es-ES"/>
              </w:rPr>
              <w:t>artículo 355 de la Constitución Política; y d) que, cuando el bien fue adquirido con recursos de destinación específica, el esquema contractual no altere la finalidad para la cual dichos recursos fueron apropiados.</w:t>
            </w:r>
            <w:r w:rsidRPr="00270E87">
              <w:rPr>
                <w:rFonts w:ascii="Verdana" w:hAnsi="Verdana" w:cs="Arial"/>
                <w:color w:val="000000" w:themeColor="text1"/>
                <w:lang w:val="es-ES"/>
              </w:rPr>
              <w:t xml:space="preserve"> Cada uno de estos se desarrolla en el presente concepto.</w:t>
            </w:r>
          </w:p>
          <w:p w14:paraId="0488C331" w14:textId="77777777" w:rsidR="00326475" w:rsidRPr="004B38B3" w:rsidRDefault="00326475" w:rsidP="00591DE9">
            <w:pPr>
              <w:spacing w:before="120" w:after="120" w:line="276" w:lineRule="auto"/>
              <w:jc w:val="both"/>
              <w:rPr>
                <w:rFonts w:ascii="Verdana" w:hAnsi="Verdana" w:cs="Arial"/>
                <w:color w:val="000000" w:themeColor="text1"/>
                <w:lang w:val="es-ES"/>
              </w:rPr>
            </w:pPr>
            <w:proofErr w:type="spellStart"/>
            <w:r w:rsidRPr="004B38B3">
              <w:rPr>
                <w:rFonts w:ascii="Verdana" w:hAnsi="Verdana" w:cs="Arial"/>
                <w:color w:val="000000" w:themeColor="text1"/>
                <w:lang w:val="es-ES"/>
              </w:rPr>
              <w:t>ii</w:t>
            </w:r>
            <w:proofErr w:type="spellEnd"/>
            <w:r w:rsidRPr="004B38B3">
              <w:rPr>
                <w:rFonts w:ascii="Verdana" w:hAnsi="Verdana" w:cs="Arial"/>
                <w:color w:val="000000" w:themeColor="text1"/>
                <w:lang w:val="es-ES"/>
              </w:rPr>
              <w:t>. En cuanto al segundo problema jurídico, sobre los criterios para determinar la tipología contractual, corresponde a la Entidad Estatal —y no a esta Agencia— definir, en ejercicio de su libertad de configuración y bajo su responsabilidad, el tipo de contrato que mejor se ajuste a la necesidad identificada.</w:t>
            </w:r>
          </w:p>
          <w:p w14:paraId="0DB4F4CA" w14:textId="77777777" w:rsidR="00326475" w:rsidRPr="004B38B3" w:rsidRDefault="00326475" w:rsidP="00591DE9">
            <w:pPr>
              <w:spacing w:before="120" w:after="120" w:line="276" w:lineRule="auto"/>
              <w:ind w:firstLine="709"/>
              <w:jc w:val="both"/>
              <w:rPr>
                <w:rFonts w:ascii="Verdana" w:hAnsi="Verdana" w:cs="Arial"/>
                <w:color w:val="000000" w:themeColor="text1"/>
                <w:lang w:val="es-ES"/>
              </w:rPr>
            </w:pPr>
            <w:r w:rsidRPr="004B38B3">
              <w:rPr>
                <w:rFonts w:ascii="Verdana" w:hAnsi="Verdana" w:cs="Arial"/>
                <w:color w:val="000000" w:themeColor="text1"/>
                <w:lang w:val="es-ES"/>
              </w:rPr>
              <w:t xml:space="preserve">Para ello, la entidad debe verificar si la necesidad coincide con los elementos definitorios de las tipologías disponibles. Si se trata de un contrato de concesión, debe concurrir la actuación del contratista por su propia cuenta y riesgo, la vinculación de capital privado y la remuneración derivada de la explotación. Cuando el bien ya fue adquirido con recursos públicos y no se requiere inversión privada para su provisión, y cuando la prestación se ejecuta a favor de la propia entidad y de los usuarios de su red, dichos elementos </w:t>
            </w:r>
            <w:r w:rsidRPr="00270E87">
              <w:rPr>
                <w:rFonts w:ascii="Verdana" w:hAnsi="Verdana" w:cs="Arial"/>
                <w:color w:val="000000" w:themeColor="text1"/>
                <w:lang w:val="es-ES"/>
              </w:rPr>
              <w:t xml:space="preserve">pueden </w:t>
            </w:r>
            <w:r w:rsidRPr="004B38B3">
              <w:rPr>
                <w:rFonts w:ascii="Verdana" w:hAnsi="Verdana" w:cs="Arial"/>
                <w:color w:val="000000" w:themeColor="text1"/>
                <w:lang w:val="es-ES"/>
              </w:rPr>
              <w:t>no configur</w:t>
            </w:r>
            <w:r w:rsidRPr="00270E87">
              <w:rPr>
                <w:rFonts w:ascii="Verdana" w:hAnsi="Verdana" w:cs="Arial"/>
                <w:color w:val="000000" w:themeColor="text1"/>
                <w:lang w:val="es-ES"/>
              </w:rPr>
              <w:t>arse</w:t>
            </w:r>
            <w:r w:rsidRPr="004B38B3">
              <w:rPr>
                <w:rFonts w:ascii="Verdana" w:hAnsi="Verdana" w:cs="Arial"/>
                <w:color w:val="000000" w:themeColor="text1"/>
                <w:lang w:val="es-ES"/>
              </w:rPr>
              <w:t xml:space="preserve">. En relación con el régimen de las Asociaciones </w:t>
            </w:r>
            <w:proofErr w:type="gramStart"/>
            <w:r w:rsidRPr="004B38B3">
              <w:rPr>
                <w:rFonts w:ascii="Verdana" w:hAnsi="Verdana" w:cs="Arial"/>
                <w:color w:val="000000" w:themeColor="text1"/>
                <w:lang w:val="es-ES"/>
              </w:rPr>
              <w:t>Público Privadas</w:t>
            </w:r>
            <w:proofErr w:type="gramEnd"/>
            <w:r w:rsidRPr="004B38B3">
              <w:rPr>
                <w:rFonts w:ascii="Verdana" w:hAnsi="Verdana" w:cs="Arial"/>
                <w:color w:val="000000" w:themeColor="text1"/>
                <w:lang w:val="es-ES"/>
              </w:rPr>
              <w:t xml:space="preserve"> de la Ley 1508 de 2012, su ámbito de aplicación exige que el contrato verse sobre infraestructura y que el monto de inversión sea superior a seis mil (6.000) SMMLV. </w:t>
            </w:r>
          </w:p>
          <w:p w14:paraId="721F8F85" w14:textId="2B6D241F" w:rsidR="00326475" w:rsidRPr="004B38B3" w:rsidRDefault="00326475" w:rsidP="00591DE9">
            <w:pPr>
              <w:spacing w:before="120" w:after="120" w:line="276" w:lineRule="auto"/>
              <w:jc w:val="both"/>
              <w:rPr>
                <w:rFonts w:ascii="Verdana" w:hAnsi="Verdana" w:cs="Arial"/>
                <w:color w:val="000000" w:themeColor="text1"/>
                <w:lang w:val="es-ES"/>
              </w:rPr>
            </w:pPr>
            <w:proofErr w:type="spellStart"/>
            <w:r w:rsidRPr="004B38B3">
              <w:rPr>
                <w:rFonts w:ascii="Verdana" w:hAnsi="Verdana" w:cs="Arial"/>
                <w:color w:val="000000" w:themeColor="text1"/>
                <w:lang w:val="es-ES"/>
              </w:rPr>
              <w:t>iii</w:t>
            </w:r>
            <w:proofErr w:type="spellEnd"/>
            <w:r w:rsidRPr="004B38B3">
              <w:rPr>
                <w:rFonts w:ascii="Verdana" w:hAnsi="Verdana" w:cs="Arial"/>
                <w:color w:val="000000" w:themeColor="text1"/>
                <w:lang w:val="es-ES"/>
              </w:rPr>
              <w:t xml:space="preserve">. Con respecto al tercer problema jurídico, relativo a la modalidad de selección, no se advierte una causal de contratación directa aplicable a un contrato celebrado con un particular para la operación de un bien fiscal afecto a la prestación de un servicio público. La contratación directa es una excepción al principio de libre concurrencia y competencia, de causales taxativas y de interpretación restrictiva, cuya aplicación no puede efectuarse por fuera del contenido del numeral 4 del artículo 2 de la Ley 1150 de 2007. La entidad deberá acudir a una modalidad competitiva, determinada según el objeto y la </w:t>
            </w:r>
            <w:r w:rsidRPr="004B38B3">
              <w:rPr>
                <w:rFonts w:ascii="Verdana" w:hAnsi="Verdana" w:cs="Arial"/>
                <w:color w:val="000000" w:themeColor="text1"/>
                <w:lang w:val="es-ES"/>
              </w:rPr>
              <w:lastRenderedPageBreak/>
              <w:t>cuantía, siendo la licitación pública la regla general. Serán procedentes otras modalidades si se cumplen los supuestos que el artículo 2 de la Ley 1150 de 2007 dispone expresamente para cada una de ellas</w:t>
            </w:r>
            <w:r w:rsidRPr="00270E87">
              <w:rPr>
                <w:rFonts w:ascii="Verdana" w:hAnsi="Verdana" w:cs="Arial"/>
                <w:color w:val="000000" w:themeColor="text1"/>
                <w:lang w:val="es-ES"/>
              </w:rPr>
              <w:t>, como es el caso de la selección abrevi</w:t>
            </w:r>
            <w:r w:rsidR="00C044BD">
              <w:rPr>
                <w:rFonts w:ascii="Verdana" w:hAnsi="Verdana" w:cs="Arial"/>
                <w:color w:val="000000" w:themeColor="text1"/>
                <w:lang w:val="es-ES"/>
              </w:rPr>
              <w:t>a</w:t>
            </w:r>
            <w:r w:rsidRPr="00270E87">
              <w:rPr>
                <w:rFonts w:ascii="Verdana" w:hAnsi="Verdana" w:cs="Arial"/>
                <w:color w:val="000000" w:themeColor="text1"/>
                <w:lang w:val="es-ES"/>
              </w:rPr>
              <w:t>da, la mínima cuantía o el concurso de méritos</w:t>
            </w:r>
            <w:r w:rsidRPr="004B38B3">
              <w:rPr>
                <w:rFonts w:ascii="Verdana" w:hAnsi="Verdana" w:cs="Arial"/>
                <w:color w:val="000000" w:themeColor="text1"/>
                <w:lang w:val="es-ES"/>
              </w:rPr>
              <w:t>.</w:t>
            </w:r>
          </w:p>
          <w:p w14:paraId="3FD1CC9D" w14:textId="77777777" w:rsidR="00326475" w:rsidRPr="00270E87" w:rsidRDefault="00326475" w:rsidP="00591DE9">
            <w:pPr>
              <w:spacing w:before="120" w:after="120" w:line="276" w:lineRule="auto"/>
              <w:ind w:firstLine="709"/>
              <w:jc w:val="both"/>
              <w:rPr>
                <w:rFonts w:ascii="Verdana" w:hAnsi="Verdana" w:cs="Arial"/>
                <w:color w:val="000000" w:themeColor="text1"/>
                <w:lang w:val="es-ES"/>
              </w:rPr>
            </w:pPr>
            <w:r w:rsidRPr="004B38B3">
              <w:rPr>
                <w:rFonts w:ascii="Verdana" w:hAnsi="Verdana" w:cs="Arial"/>
                <w:color w:val="000000" w:themeColor="text1"/>
                <w:lang w:val="es-ES"/>
              </w:rPr>
              <w:t>Dentro de este marco, al tratarse de un análisis que debe realizarse frente a cada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Estatal establecerá la forma de adelantar su gestión contractual, sin que sea atribución de la Agencia Nacional de Contratación Pública – Colombia Compra Eficiente definir, autorizar o validar esa decisión.</w:t>
            </w:r>
          </w:p>
          <w:p w14:paraId="6EA38111" w14:textId="77777777" w:rsidR="00326475" w:rsidRPr="00270E87" w:rsidRDefault="00326475" w:rsidP="00591DE9">
            <w:pPr>
              <w:spacing w:before="120" w:after="120" w:line="276" w:lineRule="auto"/>
              <w:ind w:firstLine="709"/>
              <w:jc w:val="both"/>
              <w:rPr>
                <w:rFonts w:ascii="Verdana" w:eastAsia="Times New Roman" w:hAnsi="Verdana" w:cs="Arial"/>
                <w:color w:val="000000" w:themeColor="text1"/>
                <w:lang w:val="es-ES"/>
              </w:rPr>
            </w:pPr>
            <w:r w:rsidRPr="00270E87">
              <w:rPr>
                <w:rFonts w:ascii="Verdana" w:hAnsi="Verdana" w:cs="Arial"/>
                <w:color w:val="000000" w:themeColor="text1"/>
                <w:lang w:val="es-ES"/>
              </w:rPr>
              <w:t>Dentro de este marco, al tratarse de un análisis que debe realizarse frente a cada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Estatal establecerá la forma de adelantar su gestión contractual y determinará, bajo su propia responsabilidad</w:t>
            </w:r>
            <w:r>
              <w:rPr>
                <w:rFonts w:ascii="Verdana" w:hAnsi="Verdana" w:cs="Arial"/>
                <w:color w:val="000000" w:themeColor="text1"/>
                <w:lang w:val="es-ES"/>
              </w:rPr>
              <w:t xml:space="preserve"> los aspectos objeto de consulta</w:t>
            </w:r>
            <w:r w:rsidRPr="00270E87">
              <w:rPr>
                <w:rFonts w:ascii="Verdana" w:hAnsi="Verdana" w:cs="Arial"/>
                <w:color w:val="000000" w:themeColor="text1"/>
                <w:lang w:val="es-ES"/>
              </w:rPr>
              <w:t>, sin que sea atribución de la Agencia Nacional de Contratación Pública – Colombia Compra Eficiente definir, autorizar o validar esa decisión.</w:t>
            </w:r>
          </w:p>
        </w:tc>
      </w:tr>
    </w:tbl>
    <w:p w14:paraId="11EA22C7" w14:textId="77777777" w:rsidR="00326475" w:rsidRPr="00270E87" w:rsidRDefault="00326475" w:rsidP="00326475">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5E44F712" w14:textId="77777777" w:rsidR="00326475" w:rsidRPr="00270E87" w:rsidRDefault="00326475" w:rsidP="00326475">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270E87">
        <w:rPr>
          <w:rFonts w:ascii="Verdana" w:eastAsia="Century Gothic" w:hAnsi="Verdana" w:cs="Century Gothic"/>
          <w:b/>
          <w:color w:val="000000" w:themeColor="text1"/>
        </w:rPr>
        <w:t>Razones de la respuesta:</w:t>
      </w:r>
    </w:p>
    <w:p w14:paraId="16C75205" w14:textId="77777777" w:rsidR="00326475" w:rsidRPr="00270E87" w:rsidRDefault="00326475" w:rsidP="00326475">
      <w:pPr>
        <w:spacing w:after="0" w:line="276" w:lineRule="auto"/>
        <w:jc w:val="both"/>
        <w:rPr>
          <w:rFonts w:ascii="Verdana" w:eastAsia="Calibri" w:hAnsi="Verdana" w:cs="Arial"/>
          <w:color w:val="000000" w:themeColor="text1"/>
          <w:lang w:val="es-ES"/>
        </w:rPr>
      </w:pPr>
    </w:p>
    <w:p w14:paraId="77A2538B" w14:textId="77777777" w:rsidR="00326475" w:rsidRPr="00270E87" w:rsidRDefault="00326475" w:rsidP="00326475">
      <w:pPr>
        <w:widowControl w:val="0"/>
        <w:autoSpaceDE w:val="0"/>
        <w:autoSpaceDN w:val="0"/>
        <w:spacing w:after="120" w:line="276" w:lineRule="auto"/>
        <w:jc w:val="both"/>
        <w:rPr>
          <w:rFonts w:ascii="Verdana" w:eastAsia="Verdana" w:hAnsi="Verdana" w:cs="Verdana"/>
          <w:lang w:val="es-ES"/>
        </w:rPr>
      </w:pPr>
      <w:r w:rsidRPr="00270E87">
        <w:rPr>
          <w:rFonts w:ascii="Verdana" w:eastAsia="Verdana" w:hAnsi="Verdana" w:cs="Verdana"/>
          <w:lang w:val="es-ES"/>
        </w:rPr>
        <w:t xml:space="preserve">i. </w:t>
      </w:r>
      <w:r w:rsidRPr="00270E87">
        <w:rPr>
          <w:rFonts w:ascii="Verdana" w:eastAsia="Calibri" w:hAnsi="Verdana" w:cs="Arial"/>
          <w:color w:val="000000" w:themeColor="text1"/>
          <w:lang w:val="es-ES"/>
        </w:rPr>
        <w:t>El artículo 32 de la Ley 80 de 1993 permite a las Entidades Estatales celebrar no solo los contratos que se definen expresamente en dicho Estatuto, sino también todos los demás que deriven del ejercicio de la autonomía de la voluntad</w:t>
      </w:r>
      <w:r w:rsidRPr="00270E87">
        <w:rPr>
          <w:rStyle w:val="Refdenotaalpie"/>
          <w:rFonts w:ascii="Verdana" w:eastAsia="Calibri" w:hAnsi="Verdana" w:cs="Arial"/>
          <w:color w:val="000000" w:themeColor="text1"/>
          <w:lang w:val="es-ES"/>
        </w:rPr>
        <w:footnoteReference w:id="9"/>
      </w:r>
      <w:r w:rsidRPr="00270E87">
        <w:rPr>
          <w:rFonts w:ascii="Verdana" w:eastAsia="Calibri" w:hAnsi="Verdana" w:cs="Arial"/>
          <w:color w:val="000000" w:themeColor="text1"/>
          <w:lang w:val="es-ES"/>
        </w:rPr>
        <w:t xml:space="preserve">. Esto significa que </w:t>
      </w:r>
      <w:r w:rsidRPr="00270E87">
        <w:rPr>
          <w:rFonts w:ascii="Verdana" w:eastAsia="Times New Roman" w:hAnsi="Verdana" w:cs="Arial"/>
          <w:color w:val="000000" w:themeColor="text1"/>
          <w:lang w:val="es-ES" w:eastAsia="es-ES_tradnl"/>
        </w:rPr>
        <w:t xml:space="preserve">las </w:t>
      </w:r>
      <w:r w:rsidRPr="00270E87">
        <w:rPr>
          <w:rFonts w:ascii="Verdana" w:eastAsia="Calibri" w:hAnsi="Verdana" w:cs="Arial"/>
          <w:lang w:val="es-ES" w:eastAsia="es-ES_tradnl"/>
        </w:rPr>
        <w:t xml:space="preserve">Entidades Estatales regidas por el EGCAP están habilitadas para celebrar los contratos que suelen celebrar los particulares entre sí en ejercicio de la autonomía de la voluntad privada. En ese sentido, puede </w:t>
      </w:r>
      <w:r w:rsidRPr="00270E87">
        <w:rPr>
          <w:rFonts w:ascii="Verdana" w:eastAsia="Calibri" w:hAnsi="Verdana" w:cs="Arial"/>
          <w:lang w:val="es-ES" w:eastAsia="es-ES_tradnl"/>
        </w:rPr>
        <w:lastRenderedPageBreak/>
        <w:t>ocurrir que dentro de la gestión ordinaria de sus competencias las entidades tengan necesidades que deban ser satisfechas a través de contratos como el arrendamiento, comodato o administración, en los que además de las disposiciones del EGCAP deberán aplicar normas de derecho privado.</w:t>
      </w:r>
    </w:p>
    <w:p w14:paraId="296BF183" w14:textId="77777777" w:rsidR="00326475" w:rsidRPr="00270E87" w:rsidRDefault="00326475" w:rsidP="00326475">
      <w:pPr>
        <w:widowControl w:val="0"/>
        <w:autoSpaceDE w:val="0"/>
        <w:autoSpaceDN w:val="0"/>
        <w:spacing w:after="0" w:line="276" w:lineRule="auto"/>
        <w:ind w:firstLine="607"/>
        <w:jc w:val="both"/>
        <w:rPr>
          <w:rFonts w:ascii="Verdana" w:eastAsia="Arial" w:hAnsi="Verdana" w:cs="Arial"/>
          <w:color w:val="000000" w:themeColor="text1"/>
          <w:lang w:val="es-ES" w:eastAsia="es-ES_tradnl"/>
        </w:rPr>
      </w:pPr>
      <w:r w:rsidRPr="00270E87">
        <w:rPr>
          <w:rFonts w:ascii="Verdana" w:eastAsia="Arial" w:hAnsi="Verdana" w:cs="Arial"/>
          <w:color w:val="000000" w:themeColor="text1"/>
          <w:lang w:val="es-ES" w:eastAsia="es-ES_tradnl"/>
        </w:rPr>
        <w:t>Este entendimiento encuentra, además, recepción en los artículos 13 y 40 de la Ley 80 de 1993, los cuales integran al derecho contractual estatal “las disposiciones comerciales y civiles pertinentes”, cuando indican que estos se regirán de forma supletiva por ese régimen jurídico, salvo en las materias expresa y particularmente reguladas por el EGCAP, lo que permite concluir que “mediante la Ley 80, se pretendió que la actividad contractual del Estado quedará</w:t>
      </w:r>
      <w:r w:rsidRPr="00270E87">
        <w:rPr>
          <w:rFonts w:ascii="Verdana" w:eastAsia="Arial" w:hAnsi="Verdana" w:cs="Arial"/>
          <w:lang w:val="es-ES" w:eastAsia="es-ES_tradnl"/>
        </w:rPr>
        <w:t xml:space="preserve"> </w:t>
      </w:r>
      <w:r w:rsidRPr="00270E87">
        <w:rPr>
          <w:rFonts w:ascii="Verdana" w:eastAsia="Arial" w:hAnsi="Verdana" w:cs="Arial"/>
          <w:color w:val="000000" w:themeColor="text1"/>
          <w:lang w:val="es-ES" w:eastAsia="es-ES_tradnl"/>
        </w:rPr>
        <w:t>bajo la égida del contrato estatal, caracterizado por tener un régimen jurídico mixto, integrado por normas de derecho público y derecho privado”</w:t>
      </w:r>
      <w:r w:rsidRPr="00270E87">
        <w:rPr>
          <w:rFonts w:ascii="Verdana" w:eastAsia="Arial" w:hAnsi="Verdana" w:cs="Arial"/>
          <w:color w:val="000000" w:themeColor="text1"/>
          <w:vertAlign w:val="superscript"/>
          <w:lang w:val="es-ES" w:eastAsia="es-ES_tradnl"/>
        </w:rPr>
        <w:footnoteReference w:id="10"/>
      </w:r>
      <w:r w:rsidRPr="00270E87">
        <w:rPr>
          <w:rFonts w:ascii="Verdana" w:eastAsia="Arial" w:hAnsi="Verdana" w:cs="Arial"/>
          <w:color w:val="000000" w:themeColor="text1"/>
          <w:lang w:val="es-ES" w:eastAsia="es-ES_tradnl"/>
        </w:rPr>
        <w:t xml:space="preserve">. En armonía con lo anterior, la Sala de Consulta y Servicio Civil del Consejo de Estado, expresó que, </w:t>
      </w:r>
      <w:r w:rsidRPr="00270E87">
        <w:rPr>
          <w:rFonts w:ascii="Verdana" w:eastAsia="Arial" w:hAnsi="Verdana" w:cs="Arial"/>
          <w:iCs/>
          <w:color w:val="000000" w:themeColor="text1"/>
          <w:lang w:val="es-ES" w:eastAsia="es-ES_tradnl"/>
        </w:rPr>
        <w:t>en tal virtud, p</w:t>
      </w:r>
      <w:r w:rsidRPr="00270E87">
        <w:rPr>
          <w:rFonts w:ascii="Verdana" w:eastAsia="Arial" w:hAnsi="Verdana" w:cs="Arial"/>
          <w:color w:val="000000" w:themeColor="text1"/>
          <w:lang w:val="es-ES" w:eastAsia="es-ES_tradnl"/>
        </w:rPr>
        <w:t>or regla general:</w:t>
      </w:r>
    </w:p>
    <w:p w14:paraId="2D1CE55D" w14:textId="77777777" w:rsidR="00326475" w:rsidRPr="00270E87" w:rsidRDefault="00326475" w:rsidP="00326475">
      <w:pPr>
        <w:widowControl w:val="0"/>
        <w:autoSpaceDE w:val="0"/>
        <w:autoSpaceDN w:val="0"/>
        <w:spacing w:after="0" w:line="276" w:lineRule="auto"/>
        <w:ind w:firstLine="607"/>
        <w:jc w:val="both"/>
        <w:rPr>
          <w:rFonts w:ascii="Verdana" w:eastAsia="Arial" w:hAnsi="Verdana" w:cs="Arial"/>
          <w:color w:val="000000" w:themeColor="text1"/>
          <w:lang w:val="es-ES" w:eastAsia="es-ES_tradnl"/>
        </w:rPr>
      </w:pPr>
    </w:p>
    <w:p w14:paraId="4897F228" w14:textId="77777777" w:rsidR="00326475" w:rsidRPr="00270E87" w:rsidRDefault="00326475" w:rsidP="00326475">
      <w:pPr>
        <w:widowControl w:val="0"/>
        <w:autoSpaceDE w:val="0"/>
        <w:autoSpaceDN w:val="0"/>
        <w:spacing w:after="0" w:line="240" w:lineRule="auto"/>
        <w:ind w:left="709" w:right="709"/>
        <w:contextualSpacing/>
        <w:jc w:val="both"/>
        <w:rPr>
          <w:rFonts w:ascii="Verdana" w:eastAsia="Arial" w:hAnsi="Verdana" w:cs="Arial"/>
          <w:b/>
          <w:color w:val="000000" w:themeColor="text1"/>
          <w:sz w:val="20"/>
          <w:szCs w:val="20"/>
          <w:lang w:val="es-ES" w:eastAsia="es-ES_tradnl"/>
        </w:rPr>
      </w:pPr>
      <w:r w:rsidRPr="00270E87">
        <w:rPr>
          <w:rFonts w:ascii="Verdana" w:eastAsia="Arial" w:hAnsi="Verdana" w:cs="Arial"/>
          <w:color w:val="000000" w:themeColor="text1"/>
          <w:sz w:val="20"/>
          <w:szCs w:val="20"/>
          <w:lang w:val="es-ES" w:eastAsia="es-ES_tradnl"/>
        </w:rPr>
        <w:t>“[…] las entidades estatales dentro del ámbito de aplicación del Estatuto General de Contratación de la Administración Púbica, cuando celebren contratos deben cumplir las disposiciones del derecho privado (comerciales y civiles) que resulten aplicables, excepto en aquellas materias expresamente reguladas por el citado Estatuto y las normas que lo modifiquen o adicionen, verbigracia, los mecanismos de selección, los principios de transparencia, economía y responsabilidad, el deber de selección objetiva, las inhabilidades e incompatibilidades para contratar, los requisitos de perfeccionamiento y ejecución del contrato, el equilibrio económico y financiero del contrato, las cláusulas excepcionales (interpretación, modificación y terminación  unilaterales, caducidad, reversión y sometimiento de a las leyes nacionales), la imposición y efectividad de las multas y cláusula penal una vez pactadas, las garantías del contrato, las nulidades específicas del contrato estatal, el silencio administrativo positivo, la liquidación del contrato, entre otras”</w:t>
      </w:r>
      <w:r w:rsidRPr="00270E87">
        <w:rPr>
          <w:rFonts w:ascii="Verdana" w:eastAsia="Arial" w:hAnsi="Verdana" w:cs="Arial"/>
          <w:color w:val="000000" w:themeColor="text1"/>
          <w:sz w:val="20"/>
          <w:szCs w:val="20"/>
          <w:vertAlign w:val="superscript"/>
          <w:lang w:val="es-ES" w:eastAsia="es-ES_tradnl"/>
        </w:rPr>
        <w:footnoteReference w:id="11"/>
      </w:r>
      <w:r w:rsidRPr="00270E87">
        <w:rPr>
          <w:rFonts w:ascii="Verdana" w:eastAsia="Arial" w:hAnsi="Verdana" w:cs="Arial"/>
          <w:color w:val="000000" w:themeColor="text1"/>
          <w:sz w:val="20"/>
          <w:szCs w:val="20"/>
          <w:lang w:val="es-ES" w:eastAsia="es-ES_tradnl"/>
        </w:rPr>
        <w:t>.</w:t>
      </w:r>
      <w:r w:rsidRPr="00270E87">
        <w:rPr>
          <w:rFonts w:ascii="Verdana" w:eastAsia="Arial" w:hAnsi="Verdana" w:cs="Arial"/>
          <w:b/>
          <w:color w:val="000000" w:themeColor="text1"/>
          <w:sz w:val="20"/>
          <w:szCs w:val="20"/>
          <w:lang w:val="es-ES" w:eastAsia="es-ES_tradnl"/>
        </w:rPr>
        <w:t xml:space="preserve"> </w:t>
      </w:r>
    </w:p>
    <w:p w14:paraId="0831CC6A" w14:textId="77777777" w:rsidR="00326475" w:rsidRPr="00270E87" w:rsidRDefault="00326475" w:rsidP="00326475">
      <w:pPr>
        <w:widowControl w:val="0"/>
        <w:autoSpaceDE w:val="0"/>
        <w:autoSpaceDN w:val="0"/>
        <w:spacing w:after="120" w:line="276" w:lineRule="auto"/>
        <w:jc w:val="both"/>
        <w:rPr>
          <w:rFonts w:ascii="Verdana" w:eastAsia="Calibri" w:hAnsi="Verdana" w:cs="Arial"/>
          <w:color w:val="000000" w:themeColor="text1"/>
          <w:lang w:val="es-ES"/>
        </w:rPr>
      </w:pPr>
    </w:p>
    <w:p w14:paraId="797BB6DA" w14:textId="77777777" w:rsidR="00326475" w:rsidRPr="00270E87" w:rsidRDefault="00326475" w:rsidP="00326475">
      <w:pPr>
        <w:tabs>
          <w:tab w:val="left" w:pos="142"/>
          <w:tab w:val="left" w:pos="426"/>
        </w:tabs>
        <w:spacing w:after="120" w:line="276" w:lineRule="auto"/>
        <w:jc w:val="both"/>
        <w:rPr>
          <w:rFonts w:ascii="Verdana" w:hAnsi="Verdana"/>
          <w:lang w:val="es-ES"/>
        </w:rPr>
      </w:pPr>
      <w:r w:rsidRPr="00270E87">
        <w:rPr>
          <w:rFonts w:ascii="Verdana" w:eastAsia="Calibri" w:hAnsi="Verdana" w:cs="Arial"/>
          <w:color w:val="000000" w:themeColor="text1"/>
          <w:lang w:val="es-ES"/>
        </w:rPr>
        <w:t>En virtud de lo anterior, las entidades estatales que se rigen por el Estatuto General de Contratación de la Administración Pública pueden celebrar contratos atípicos o innominados.</w:t>
      </w:r>
      <w:r w:rsidRPr="00270E87">
        <w:rPr>
          <w:rFonts w:ascii="Verdana" w:hAnsi="Verdana"/>
          <w:lang w:val="es-ES"/>
        </w:rPr>
        <w:t xml:space="preserve"> </w:t>
      </w:r>
      <w:r>
        <w:rPr>
          <w:rFonts w:ascii="Verdana" w:hAnsi="Verdana"/>
          <w:lang w:val="es-ES"/>
        </w:rPr>
        <w:t>L</w:t>
      </w:r>
      <w:r w:rsidRPr="00270E87">
        <w:rPr>
          <w:rFonts w:ascii="Verdana" w:hAnsi="Verdana"/>
          <w:lang w:val="es-ES"/>
        </w:rPr>
        <w:t xml:space="preserve">os contratos estatales –al igual que los que se celebran en el derecho privado– pueden clasificarse en contratos típicos y contratos atípicos. Los contratos atípicos se caracterizan por ser contratos en los cuales su </w:t>
      </w:r>
      <w:r w:rsidRPr="00270E87">
        <w:rPr>
          <w:rFonts w:ascii="Verdana" w:hAnsi="Verdana"/>
          <w:lang w:val="es-ES"/>
        </w:rPr>
        <w:lastRenderedPageBreak/>
        <w:t>causa o función socioeconómica no corresponde a ninguna de los contratos tipificados por la ley</w:t>
      </w:r>
      <w:r w:rsidRPr="00270E87">
        <w:rPr>
          <w:vertAlign w:val="superscript"/>
          <w:lang w:val="es-ES"/>
        </w:rPr>
        <w:footnoteReference w:id="12"/>
      </w:r>
      <w:r w:rsidRPr="00270E87">
        <w:rPr>
          <w:rFonts w:ascii="Verdana" w:hAnsi="Verdana"/>
          <w:vertAlign w:val="superscript"/>
          <w:lang w:val="es-ES"/>
        </w:rPr>
        <w:t>.</w:t>
      </w:r>
    </w:p>
    <w:p w14:paraId="1A22B9D1" w14:textId="77777777" w:rsidR="00326475" w:rsidRPr="00270E87" w:rsidRDefault="00326475" w:rsidP="00326475">
      <w:pPr>
        <w:tabs>
          <w:tab w:val="left" w:pos="142"/>
          <w:tab w:val="left" w:pos="426"/>
        </w:tabs>
        <w:spacing w:after="120" w:line="276" w:lineRule="auto"/>
        <w:jc w:val="both"/>
        <w:rPr>
          <w:rFonts w:ascii="Verdana" w:hAnsi="Verdana"/>
          <w:lang w:val="es-ES"/>
        </w:rPr>
      </w:pPr>
      <w:r w:rsidRPr="00270E87">
        <w:rPr>
          <w:rFonts w:ascii="Verdana" w:hAnsi="Verdana"/>
          <w:lang w:val="es-ES"/>
        </w:rPr>
        <w:tab/>
      </w:r>
      <w:r w:rsidRPr="00270E87">
        <w:rPr>
          <w:rFonts w:ascii="Verdana" w:hAnsi="Verdana"/>
          <w:lang w:val="es-ES"/>
        </w:rPr>
        <w:tab/>
      </w:r>
      <w:r w:rsidRPr="00270E87">
        <w:rPr>
          <w:rFonts w:ascii="Verdana" w:hAnsi="Verdana"/>
          <w:lang w:val="es-ES"/>
        </w:rPr>
        <w:tab/>
        <w:t>Tanto la jurisprudencia como la doctrina de derecho administrativo aceptan la presencia de contratos administrativos atípicos. En efecto, el Consejo de Estado, ha señalado que: “Como tampoco corresponde el negocio jurídico celebrado por las partes a ninguno otro de los tipificados en el Decreto Ley 222 de 1983, no obstante, lo cual, subsiste su naturaleza vinculante como acuerdo de voluntades creador de obligaciones a cargo de los cocontratantes y regido por las cláusulas pactadas por éstos”</w:t>
      </w:r>
      <w:r w:rsidRPr="00270E87">
        <w:rPr>
          <w:rStyle w:val="Refdenotaalpie"/>
          <w:rFonts w:ascii="Verdana" w:hAnsi="Verdana"/>
          <w:lang w:val="es-ES"/>
        </w:rPr>
        <w:footnoteReference w:id="13"/>
      </w:r>
      <w:r w:rsidRPr="00270E87">
        <w:rPr>
          <w:rFonts w:ascii="Verdana" w:hAnsi="Verdana"/>
          <w:lang w:val="es-ES"/>
        </w:rPr>
        <w:t>.</w:t>
      </w:r>
    </w:p>
    <w:p w14:paraId="413F3AB4" w14:textId="77777777" w:rsidR="00326475" w:rsidRPr="00270E87" w:rsidRDefault="00326475" w:rsidP="00326475">
      <w:pPr>
        <w:tabs>
          <w:tab w:val="left" w:pos="142"/>
          <w:tab w:val="left" w:pos="426"/>
        </w:tabs>
        <w:spacing w:after="120" w:line="276" w:lineRule="auto"/>
        <w:jc w:val="both"/>
        <w:rPr>
          <w:rFonts w:ascii="Verdana" w:hAnsi="Verdana"/>
          <w:lang w:val="es-ES"/>
        </w:rPr>
      </w:pPr>
      <w:r w:rsidRPr="00270E87">
        <w:rPr>
          <w:rFonts w:ascii="Verdana" w:hAnsi="Verdana"/>
          <w:lang w:val="es-ES"/>
        </w:rPr>
        <w:tab/>
      </w:r>
      <w:r w:rsidRPr="00270E87">
        <w:rPr>
          <w:rFonts w:ascii="Verdana" w:hAnsi="Verdana"/>
          <w:lang w:val="es-ES"/>
        </w:rPr>
        <w:tab/>
      </w:r>
      <w:r w:rsidRPr="00270E87">
        <w:rPr>
          <w:rFonts w:ascii="Verdana" w:hAnsi="Verdana"/>
          <w:lang w:val="es-ES"/>
        </w:rPr>
        <w:tab/>
        <w:t xml:space="preserve">Tratándose de contratos atípicos estatales y su contenido el mismo, estos son admisibles en nuestro ordenamiento jurídico, siempre y cuando esté dentro del orden público, que no tenga </w:t>
      </w:r>
      <w:proofErr w:type="gramStart"/>
      <w:r w:rsidRPr="00270E87">
        <w:rPr>
          <w:rFonts w:ascii="Verdana" w:hAnsi="Verdana"/>
          <w:lang w:val="es-ES"/>
        </w:rPr>
        <w:t>objeto ilícito o causa ilícita</w:t>
      </w:r>
      <w:proofErr w:type="gramEnd"/>
      <w:r w:rsidRPr="00270E87">
        <w:rPr>
          <w:rFonts w:ascii="Verdana" w:hAnsi="Verdana"/>
          <w:lang w:val="es-ES"/>
        </w:rPr>
        <w:t xml:space="preserve">, que no estén presentes vicios del consentimiento y que, en aquellos casos que se exigen formalidades, se cumplan para el nacimiento del contrato. Dado que se trata de contratos de la administración, además de cumplir con los anteriores requisitos el contrato debe constar por escrito. </w:t>
      </w:r>
    </w:p>
    <w:p w14:paraId="31BBD293" w14:textId="77777777" w:rsidR="00326475" w:rsidRPr="00270E87" w:rsidRDefault="00326475" w:rsidP="00326475">
      <w:pPr>
        <w:tabs>
          <w:tab w:val="left" w:pos="142"/>
          <w:tab w:val="left" w:pos="426"/>
        </w:tabs>
        <w:spacing w:after="120" w:line="276" w:lineRule="auto"/>
        <w:jc w:val="both"/>
        <w:rPr>
          <w:rFonts w:ascii="Verdana" w:hAnsi="Verdana"/>
          <w:lang w:val="es-ES"/>
        </w:rPr>
      </w:pPr>
      <w:r w:rsidRPr="00270E87">
        <w:rPr>
          <w:rFonts w:ascii="Verdana" w:hAnsi="Verdana"/>
          <w:lang w:val="es-ES"/>
        </w:rPr>
        <w:tab/>
      </w:r>
      <w:r w:rsidRPr="00270E87">
        <w:rPr>
          <w:rFonts w:ascii="Verdana" w:hAnsi="Verdana"/>
          <w:lang w:val="es-ES"/>
        </w:rPr>
        <w:tab/>
      </w:r>
      <w:r w:rsidRPr="00270E87">
        <w:rPr>
          <w:rFonts w:ascii="Verdana" w:hAnsi="Verdana"/>
          <w:lang w:val="es-ES"/>
        </w:rPr>
        <w:tab/>
      </w:r>
      <w:r>
        <w:rPr>
          <w:rFonts w:ascii="Verdana" w:hAnsi="Verdana"/>
          <w:lang w:val="es-ES"/>
        </w:rPr>
        <w:t>A partir de lo expuesto</w:t>
      </w:r>
      <w:r w:rsidRPr="00270E87">
        <w:rPr>
          <w:rFonts w:ascii="Verdana" w:hAnsi="Verdana"/>
          <w:lang w:val="es-ES"/>
        </w:rPr>
        <w:t>, esta Agencia considera que la Ley 80 de 1993 facultó a las Entidades Públicas para que estas, en aplicación del principio de autonomía de la voluntad, sean quienes determinen el tipo de contrato que mejor se ajuste al interés general e incluyan en sus contratos las cláusulas necesarias para dicho fin.</w:t>
      </w:r>
    </w:p>
    <w:p w14:paraId="0D8A1A50" w14:textId="77777777" w:rsidR="00326475" w:rsidRPr="00270E87" w:rsidRDefault="00326475" w:rsidP="00326475">
      <w:pPr>
        <w:tabs>
          <w:tab w:val="left" w:pos="142"/>
          <w:tab w:val="left" w:pos="426"/>
        </w:tabs>
        <w:spacing w:after="0" w:line="276" w:lineRule="auto"/>
        <w:contextualSpacing/>
        <w:jc w:val="both"/>
        <w:rPr>
          <w:rFonts w:ascii="Verdana" w:hAnsi="Verdana"/>
          <w:lang w:val="es-ES"/>
        </w:rPr>
      </w:pPr>
      <w:r w:rsidRPr="00270E87">
        <w:rPr>
          <w:rFonts w:ascii="Verdana" w:hAnsi="Verdana"/>
          <w:lang w:val="es-ES"/>
        </w:rPr>
        <w:tab/>
      </w:r>
      <w:r w:rsidRPr="00270E87">
        <w:rPr>
          <w:rFonts w:ascii="Verdana" w:hAnsi="Verdana"/>
          <w:lang w:val="es-ES"/>
        </w:rPr>
        <w:tab/>
      </w:r>
      <w:r w:rsidRPr="00270E87">
        <w:rPr>
          <w:rFonts w:ascii="Verdana" w:hAnsi="Verdana"/>
          <w:lang w:val="es-ES"/>
        </w:rPr>
        <w:tab/>
        <w:t>Sobre los elementos que componen los contratos atípicos, es imperioso decir que, las partes son las que dotan al contrato de aquellos elementos esenciales que confluyen bien sea de tomar elementos propios de otras figuras o de elementos originales para crear una relación jurídica propia que difiere de las demás. Al respecto, el Consejo de Estado ha manifestado:</w:t>
      </w:r>
    </w:p>
    <w:p w14:paraId="0620186D" w14:textId="77777777" w:rsidR="00326475" w:rsidRPr="00270E87" w:rsidRDefault="00326475" w:rsidP="00326475">
      <w:pPr>
        <w:tabs>
          <w:tab w:val="left" w:pos="142"/>
          <w:tab w:val="left" w:pos="426"/>
        </w:tabs>
        <w:spacing w:after="0" w:line="276" w:lineRule="auto"/>
        <w:contextualSpacing/>
        <w:jc w:val="both"/>
        <w:rPr>
          <w:rFonts w:ascii="Verdana" w:hAnsi="Verdana"/>
          <w:lang w:val="es-ES"/>
        </w:rPr>
      </w:pPr>
    </w:p>
    <w:p w14:paraId="1855CB44" w14:textId="77777777" w:rsidR="00326475" w:rsidRPr="00270E87" w:rsidRDefault="00326475" w:rsidP="00326475">
      <w:pPr>
        <w:tabs>
          <w:tab w:val="left" w:pos="142"/>
          <w:tab w:val="left" w:pos="426"/>
        </w:tabs>
        <w:spacing w:after="0" w:line="240" w:lineRule="auto"/>
        <w:ind w:left="709" w:right="709"/>
        <w:contextualSpacing/>
        <w:jc w:val="both"/>
        <w:rPr>
          <w:rFonts w:ascii="Verdana" w:eastAsia="Calibri" w:hAnsi="Verdana" w:cs="Arial"/>
          <w:b/>
          <w:sz w:val="20"/>
          <w:szCs w:val="20"/>
          <w:lang w:val="es-ES"/>
        </w:rPr>
      </w:pPr>
      <w:r w:rsidRPr="00270E87">
        <w:rPr>
          <w:rFonts w:ascii="Verdana" w:hAnsi="Verdana"/>
          <w:sz w:val="20"/>
          <w:szCs w:val="20"/>
          <w:lang w:val="es-ES"/>
        </w:rPr>
        <w:t xml:space="preserve">“Así las cosas, puede decirse que lo esencial en un acuerdo de voluntades, es aquello sin lo cual ese acuerdo deja de serlo para mutar en otro diferente o simplemente para extinguirse. En otras palabras, si llegaren a desaparecer elementos esenciales durante la ejecución de un contrato, la consecuencia lógica sería su terminación, o la necesidad de suscribir otro que regule la nueva situación fáctica que se presenta, precisamente por el </w:t>
      </w:r>
      <w:r w:rsidRPr="00270E87">
        <w:rPr>
          <w:rFonts w:ascii="Verdana" w:hAnsi="Verdana"/>
          <w:sz w:val="20"/>
          <w:szCs w:val="20"/>
          <w:lang w:val="es-ES"/>
        </w:rPr>
        <w:lastRenderedPageBreak/>
        <w:t>desaparecimiento del elemento esencial que determinaba la existencia del contrato anterior”.</w:t>
      </w:r>
      <w:r w:rsidRPr="00270E87">
        <w:rPr>
          <w:rStyle w:val="Refdenotaalpie"/>
          <w:rFonts w:ascii="Verdana" w:hAnsi="Verdana"/>
          <w:sz w:val="20"/>
          <w:szCs w:val="20"/>
          <w:lang w:val="es-ES"/>
        </w:rPr>
        <w:footnoteReference w:id="14"/>
      </w:r>
    </w:p>
    <w:p w14:paraId="2E63B5FD" w14:textId="77777777" w:rsidR="00326475" w:rsidRPr="00270E87" w:rsidRDefault="00326475" w:rsidP="00326475">
      <w:pPr>
        <w:tabs>
          <w:tab w:val="left" w:pos="142"/>
          <w:tab w:val="left" w:pos="426"/>
        </w:tabs>
        <w:spacing w:after="0" w:line="276" w:lineRule="auto"/>
        <w:jc w:val="both"/>
        <w:rPr>
          <w:rFonts w:ascii="Verdana" w:hAnsi="Verdana"/>
          <w:lang w:val="es-ES"/>
        </w:rPr>
      </w:pPr>
    </w:p>
    <w:p w14:paraId="42496CEC" w14:textId="77777777" w:rsidR="00326475" w:rsidRPr="00270E87" w:rsidRDefault="00326475" w:rsidP="00326475">
      <w:pPr>
        <w:tabs>
          <w:tab w:val="left" w:pos="142"/>
          <w:tab w:val="left" w:pos="426"/>
        </w:tabs>
        <w:spacing w:after="120" w:line="276" w:lineRule="auto"/>
        <w:jc w:val="both"/>
        <w:rPr>
          <w:rFonts w:ascii="Verdana" w:hAnsi="Verdana"/>
          <w:lang w:val="es-ES"/>
        </w:rPr>
      </w:pPr>
      <w:r w:rsidRPr="00270E87">
        <w:rPr>
          <w:rFonts w:ascii="Verdana" w:hAnsi="Verdana"/>
          <w:lang w:val="es-ES"/>
        </w:rPr>
        <w:tab/>
      </w:r>
      <w:r w:rsidRPr="00270E87">
        <w:rPr>
          <w:rFonts w:ascii="Verdana" w:hAnsi="Verdana"/>
          <w:lang w:val="es-ES"/>
        </w:rPr>
        <w:tab/>
      </w:r>
      <w:r w:rsidRPr="00270E87">
        <w:rPr>
          <w:rFonts w:ascii="Verdana" w:hAnsi="Verdana"/>
          <w:lang w:val="es-ES"/>
        </w:rPr>
        <w:tab/>
      </w:r>
      <w:r>
        <w:rPr>
          <w:rFonts w:ascii="Verdana" w:hAnsi="Verdana"/>
          <w:lang w:val="es-ES"/>
        </w:rPr>
        <w:t>A</w:t>
      </w:r>
      <w:r w:rsidRPr="00270E87">
        <w:rPr>
          <w:rFonts w:ascii="Verdana" w:hAnsi="Verdana"/>
          <w:lang w:val="es-ES"/>
        </w:rPr>
        <w:t xml:space="preserve"> juicio de la Agencia, si bien las partes pueden acordar aquellos elementos que integran el contrato atípico, de acuerdo con la autonomía de la voluntad reconocida en el ordenamiento jurídico, es importante tener en cuenta los siguientes aspectos:  i) La observancia de las normas imperativas contenidas en el EGCAP, como son las reglas de formación, celebración y contenido obligatorio de los contratos estatales; </w:t>
      </w:r>
      <w:proofErr w:type="spellStart"/>
      <w:r w:rsidRPr="00270E87">
        <w:rPr>
          <w:rFonts w:ascii="Verdana" w:hAnsi="Verdana"/>
          <w:lang w:val="es-ES"/>
        </w:rPr>
        <w:t>ii</w:t>
      </w:r>
      <w:proofErr w:type="spellEnd"/>
      <w:r w:rsidRPr="00270E87">
        <w:rPr>
          <w:rFonts w:ascii="Verdana" w:hAnsi="Verdana"/>
          <w:lang w:val="es-ES"/>
        </w:rPr>
        <w:t xml:space="preserve">) los límites impuestos por el orden público; </w:t>
      </w:r>
      <w:proofErr w:type="spellStart"/>
      <w:r w:rsidRPr="00270E87">
        <w:rPr>
          <w:rFonts w:ascii="Verdana" w:hAnsi="Verdana"/>
          <w:lang w:val="es-ES"/>
        </w:rPr>
        <w:t>iii</w:t>
      </w:r>
      <w:proofErr w:type="spellEnd"/>
      <w:r w:rsidRPr="00270E87">
        <w:rPr>
          <w:rFonts w:ascii="Verdana" w:hAnsi="Verdana"/>
          <w:lang w:val="es-ES"/>
        </w:rPr>
        <w:t xml:space="preserve">) en aquellos casos en los que se encuentren vacíos en el contrato o se requiera interpretar aspectos de aquel se deberá tener en cuenta que el EGCAP opera de forma supletiva frente al silencio de las partes; </w:t>
      </w:r>
      <w:proofErr w:type="spellStart"/>
      <w:r w:rsidRPr="00270E87">
        <w:rPr>
          <w:rFonts w:ascii="Verdana" w:hAnsi="Verdana"/>
          <w:lang w:val="es-ES"/>
        </w:rPr>
        <w:t>iv</w:t>
      </w:r>
      <w:proofErr w:type="spellEnd"/>
      <w:r w:rsidRPr="00270E87">
        <w:rPr>
          <w:rFonts w:ascii="Verdana" w:hAnsi="Verdana"/>
          <w:lang w:val="es-ES"/>
        </w:rPr>
        <w:t>) las normas generales sobre contratos contenidas en las normas de derecho privado de conformidad con el artículo 13 de la Ley 80 de 1993 y v) la aplicación de los principios generales de derecho y de la administración pública en especial.</w:t>
      </w:r>
    </w:p>
    <w:p w14:paraId="15E4748D" w14:textId="77777777" w:rsidR="00326475" w:rsidRPr="00270E87" w:rsidRDefault="00326475" w:rsidP="00326475">
      <w:pPr>
        <w:spacing w:after="140" w:line="276" w:lineRule="auto"/>
        <w:ind w:firstLine="708"/>
        <w:jc w:val="both"/>
        <w:rPr>
          <w:rFonts w:ascii="Verdana" w:hAnsi="Verdana"/>
          <w:lang w:val="es-ES"/>
        </w:rPr>
      </w:pPr>
      <w:r w:rsidRPr="00270E87">
        <w:rPr>
          <w:rFonts w:ascii="Verdana" w:hAnsi="Verdana"/>
          <w:lang w:val="es-ES"/>
        </w:rPr>
        <w:t xml:space="preserve">De esta manera, la libertad con la que cuentan las Entidades Estatales para celebrar los contratos que deriven de la autonomía de la voluntad no es ilimitada. Por esta razón, </w:t>
      </w:r>
      <w:r w:rsidRPr="00270E87">
        <w:rPr>
          <w:rFonts w:ascii="Verdana" w:eastAsia="Arial" w:hAnsi="Verdana" w:cs="Arial"/>
          <w:lang w:val="es-ES"/>
        </w:rPr>
        <w:t xml:space="preserve">esta Agencia ha precisado que los contratos atípicos son admisibles en nuestro ordenamiento jurídico siempre y cuando estén dentro del orden público, que no tengan </w:t>
      </w:r>
      <w:proofErr w:type="gramStart"/>
      <w:r w:rsidRPr="00270E87">
        <w:rPr>
          <w:rFonts w:ascii="Verdana" w:eastAsia="Arial" w:hAnsi="Verdana" w:cs="Arial"/>
          <w:lang w:val="es-ES"/>
        </w:rPr>
        <w:t>objeto ilícito o causa ilícita</w:t>
      </w:r>
      <w:proofErr w:type="gramEnd"/>
      <w:r w:rsidRPr="00270E87">
        <w:rPr>
          <w:rFonts w:ascii="Verdana" w:eastAsia="Arial" w:hAnsi="Verdana" w:cs="Arial"/>
          <w:lang w:val="es-ES"/>
        </w:rPr>
        <w:t>, que no estén presentes vicios del consentimiento y que, en aquellos casos en que se exigen formalidades, estas se cumplan para el nacimiento del contrato. El artículo 40 de la Ley 80 de 1993 reitera el punto al disponer que las estipulaciones serán las que, conforme a las normas civiles y comerciales, correspondan a la esencia y naturaleza del contrato, siempre que no sean contrarias a la Constitución, la ley, el orden público y los principios y finalidades del estatuto.</w:t>
      </w:r>
    </w:p>
    <w:p w14:paraId="7857FE64" w14:textId="77777777" w:rsidR="00326475" w:rsidRPr="00270E87" w:rsidRDefault="00326475" w:rsidP="00326475">
      <w:pPr>
        <w:spacing w:after="140" w:line="276" w:lineRule="auto"/>
        <w:ind w:firstLine="708"/>
        <w:jc w:val="both"/>
        <w:rPr>
          <w:rFonts w:ascii="Verdana" w:eastAsia="Arial" w:hAnsi="Verdana" w:cs="Arial"/>
          <w:lang w:val="es-ES"/>
        </w:rPr>
      </w:pPr>
      <w:r w:rsidRPr="0032271F">
        <w:rPr>
          <w:rFonts w:ascii="Verdana" w:eastAsia="Arial" w:hAnsi="Verdana" w:cs="Arial"/>
        </w:rPr>
        <w:t xml:space="preserve">Con respecto al supuesto objeto de consulta, lo anterior evidencia que el contrato estatal es un instrumento idóneo para que una Entidad Estatal gestione la propiedad de un bien fiscal. Sin embargo, el juicio sobre la validez del contrato no se agota en la ausencia de una prohibición expresa ni en que el negocio jurídico adopte una de las tipologías disponibles. Al determinar si es posible estructurar un proceso de contratación con las características señaladas en la consulta, la entidad debe considerar los aspectos que puedan afectar la licitud del objeto, en especial los relacionados con la destinación y naturaleza del bien </w:t>
      </w:r>
      <w:r w:rsidRPr="0032271F">
        <w:rPr>
          <w:rFonts w:ascii="Verdana" w:eastAsia="Arial" w:hAnsi="Verdana" w:cs="Arial"/>
        </w:rPr>
        <w:lastRenderedPageBreak/>
        <w:t xml:space="preserve">y de los recursos involucrados. Con el fin de profundizar en este aspecto, a </w:t>
      </w:r>
      <w:proofErr w:type="gramStart"/>
      <w:r w:rsidRPr="0032271F">
        <w:rPr>
          <w:rFonts w:ascii="Verdana" w:eastAsia="Arial" w:hAnsi="Verdana" w:cs="Arial"/>
        </w:rPr>
        <w:t>continuación</w:t>
      </w:r>
      <w:proofErr w:type="gramEnd"/>
      <w:r w:rsidRPr="0032271F">
        <w:rPr>
          <w:rFonts w:ascii="Verdana" w:eastAsia="Arial" w:hAnsi="Verdana" w:cs="Arial"/>
        </w:rPr>
        <w:t xml:space="preserve"> la Agencia se referirá al marco jurídico que rige los bienes fiscales en la contratación estatal</w:t>
      </w:r>
      <w:r w:rsidRPr="00270E87">
        <w:rPr>
          <w:rFonts w:ascii="Verdana" w:eastAsia="Arial" w:hAnsi="Verdana" w:cs="Arial"/>
          <w:lang w:val="es-ES"/>
        </w:rPr>
        <w:t xml:space="preserve">. </w:t>
      </w:r>
    </w:p>
    <w:p w14:paraId="62C732DE" w14:textId="77777777" w:rsidR="00326475" w:rsidRPr="00270E87" w:rsidRDefault="00326475" w:rsidP="00326475">
      <w:pPr>
        <w:spacing w:after="120" w:line="276" w:lineRule="auto"/>
        <w:jc w:val="both"/>
        <w:rPr>
          <w:rFonts w:ascii="Verdana" w:eastAsia="Calibri" w:hAnsi="Verdana" w:cs="Arial"/>
          <w:lang w:val="es-ES"/>
        </w:rPr>
      </w:pPr>
      <w:proofErr w:type="spellStart"/>
      <w:r w:rsidRPr="00270E87">
        <w:rPr>
          <w:rFonts w:ascii="Verdana" w:eastAsia="Arial" w:hAnsi="Verdana" w:cs="Arial"/>
          <w:lang w:val="es-ES"/>
        </w:rPr>
        <w:t>ii</w:t>
      </w:r>
      <w:proofErr w:type="spellEnd"/>
      <w:r w:rsidRPr="00270E87">
        <w:rPr>
          <w:rFonts w:ascii="Verdana" w:eastAsia="Arial" w:hAnsi="Verdana" w:cs="Arial"/>
          <w:lang w:val="es-ES"/>
        </w:rPr>
        <w:t>.</w:t>
      </w:r>
      <w:r w:rsidRPr="00270E87">
        <w:rPr>
          <w:rFonts w:ascii="Verdana" w:eastAsia="Calibri" w:hAnsi="Verdana" w:cs="Arial"/>
          <w:lang w:val="es-ES"/>
        </w:rPr>
        <w:t xml:space="preserve"> La Constitución Política de 1991 en los artículos 63</w:t>
      </w:r>
      <w:r w:rsidRPr="00270E87">
        <w:rPr>
          <w:rFonts w:ascii="Verdana" w:eastAsia="Calibri" w:hAnsi="Verdana" w:cs="Arial"/>
          <w:vertAlign w:val="superscript"/>
          <w:lang w:val="es-ES"/>
        </w:rPr>
        <w:footnoteReference w:id="15"/>
      </w:r>
      <w:r w:rsidRPr="00270E87">
        <w:rPr>
          <w:rFonts w:ascii="Verdana" w:eastAsia="Calibri" w:hAnsi="Verdana" w:cs="Arial"/>
          <w:lang w:val="es-ES"/>
        </w:rPr>
        <w:t>, 72</w:t>
      </w:r>
      <w:r w:rsidRPr="00270E87">
        <w:rPr>
          <w:rFonts w:ascii="Verdana" w:eastAsia="Calibri" w:hAnsi="Verdana" w:cs="Arial"/>
          <w:vertAlign w:val="superscript"/>
          <w:lang w:val="es-ES"/>
        </w:rPr>
        <w:footnoteReference w:id="16"/>
      </w:r>
      <w:r w:rsidRPr="00270E87">
        <w:rPr>
          <w:rFonts w:ascii="Verdana" w:eastAsia="Calibri" w:hAnsi="Verdana" w:cs="Arial"/>
          <w:lang w:val="es-ES"/>
        </w:rPr>
        <w:t>, 82</w:t>
      </w:r>
      <w:r w:rsidRPr="00270E87">
        <w:rPr>
          <w:rFonts w:ascii="Verdana" w:eastAsia="Calibri" w:hAnsi="Verdana" w:cs="Arial"/>
          <w:vertAlign w:val="superscript"/>
          <w:lang w:val="es-ES"/>
        </w:rPr>
        <w:footnoteReference w:id="17"/>
      </w:r>
      <w:r w:rsidRPr="00270E87">
        <w:rPr>
          <w:rFonts w:ascii="Verdana" w:eastAsia="Calibri" w:hAnsi="Verdana" w:cs="Arial"/>
          <w:lang w:val="es-ES"/>
        </w:rPr>
        <w:t>, 102</w:t>
      </w:r>
      <w:r w:rsidRPr="00270E87">
        <w:rPr>
          <w:rFonts w:ascii="Verdana" w:eastAsia="Calibri" w:hAnsi="Verdana" w:cs="Arial"/>
          <w:vertAlign w:val="superscript"/>
          <w:lang w:val="es-ES"/>
        </w:rPr>
        <w:footnoteReference w:id="18"/>
      </w:r>
      <w:r w:rsidRPr="00270E87">
        <w:rPr>
          <w:rFonts w:ascii="Verdana" w:eastAsia="Calibri" w:hAnsi="Verdana" w:cs="Arial"/>
          <w:lang w:val="es-ES"/>
        </w:rPr>
        <w:t xml:space="preserve"> y 332</w:t>
      </w:r>
      <w:r w:rsidRPr="00270E87">
        <w:rPr>
          <w:rFonts w:ascii="Verdana" w:eastAsia="Calibri" w:hAnsi="Verdana" w:cs="Arial"/>
          <w:vertAlign w:val="superscript"/>
          <w:lang w:val="es-ES"/>
        </w:rPr>
        <w:footnoteReference w:id="19"/>
      </w:r>
      <w:r w:rsidRPr="00270E87">
        <w:rPr>
          <w:rFonts w:ascii="Verdana" w:eastAsia="Calibri" w:hAnsi="Verdana" w:cs="Arial"/>
          <w:lang w:val="es-ES"/>
        </w:rPr>
        <w:t xml:space="preserve"> consideran que los Bienes de Dominio Público son aquellos destinados al desarrollo o cumplimiento de las funciones públicas del Estado o los que están afectados al uso común. Al respecto, el artículo 674 del Código Civil define los bienes de dominio público como aquellos que </w:t>
      </w:r>
      <w:r w:rsidRPr="00270E87">
        <w:rPr>
          <w:rFonts w:ascii="Verdana" w:eastAsia="Calibri" w:hAnsi="Verdana" w:cs="Arial"/>
          <w:iCs/>
          <w:lang w:val="es-ES"/>
        </w:rPr>
        <w:t>“[…] pertenece a todos los habitantes de un Territorio, como el de calles, plazas, puentes y caminos, se llaman bienes de la Unión o de uso o bienes públicos del Territorio”.</w:t>
      </w:r>
    </w:p>
    <w:p w14:paraId="0EF76843" w14:textId="77777777" w:rsidR="00326475" w:rsidRPr="00270E87" w:rsidRDefault="00326475" w:rsidP="00326475">
      <w:pPr>
        <w:spacing w:after="120" w:line="276" w:lineRule="auto"/>
        <w:ind w:firstLine="708"/>
        <w:jc w:val="both"/>
        <w:rPr>
          <w:rFonts w:ascii="Verdana" w:eastAsia="Calibri" w:hAnsi="Verdana" w:cs="Arial"/>
          <w:lang w:val="es-ES"/>
        </w:rPr>
      </w:pPr>
      <w:r w:rsidRPr="00270E87">
        <w:rPr>
          <w:rFonts w:ascii="Verdana" w:eastAsia="Calibri" w:hAnsi="Verdana" w:cs="Arial"/>
          <w:lang w:val="es-ES"/>
        </w:rPr>
        <w:t>Los bienes de dominio público, de acuerdo con la Sentencia C- 183 de 2003 de la Corte Constitucional, son “</w:t>
      </w:r>
      <w:r w:rsidRPr="00270E87">
        <w:rPr>
          <w:rFonts w:ascii="Verdana" w:eastAsia="Calibri" w:hAnsi="Verdana" w:cs="Arial"/>
          <w:iCs/>
          <w:lang w:val="es-ES"/>
        </w:rPr>
        <w:t>el conjunto de bienes que la administración afecta al uso directo de la comunidad o que lo utiliza para servir a la sociedad”</w:t>
      </w:r>
      <w:r w:rsidRPr="00270E87">
        <w:rPr>
          <w:rFonts w:ascii="Verdana" w:eastAsia="Calibri" w:hAnsi="Verdana" w:cs="Arial"/>
          <w:lang w:val="es-ES"/>
        </w:rPr>
        <w:t>. Dentro de esta categoría se encuentran los bienes fiscales y los bienes de uso público</w:t>
      </w:r>
      <w:r w:rsidRPr="00270E87">
        <w:rPr>
          <w:rFonts w:ascii="Calibri" w:eastAsia="Calibri" w:hAnsi="Calibri" w:cs="Times New Roman"/>
          <w:vertAlign w:val="superscript"/>
          <w:lang w:val="es-ES"/>
        </w:rPr>
        <w:footnoteReference w:id="20"/>
      </w:r>
      <w:r w:rsidRPr="00270E87">
        <w:rPr>
          <w:rFonts w:ascii="Verdana" w:eastAsia="Calibri" w:hAnsi="Verdana" w:cs="Arial"/>
          <w:lang w:val="es-ES"/>
        </w:rPr>
        <w:t>. Los bienes fiscales, de acuerdo con el Alto Tribunal Constitucional</w:t>
      </w:r>
      <w:r w:rsidRPr="00270E87">
        <w:rPr>
          <w:rFonts w:ascii="Calibri" w:eastAsia="Calibri" w:hAnsi="Calibri" w:cs="Times New Roman"/>
          <w:vertAlign w:val="superscript"/>
          <w:lang w:val="es-ES"/>
        </w:rPr>
        <w:footnoteReference w:id="21"/>
      </w:r>
      <w:r w:rsidRPr="00270E87">
        <w:rPr>
          <w:rFonts w:ascii="Verdana" w:eastAsia="Calibri" w:hAnsi="Verdana" w:cs="Arial"/>
          <w:lang w:val="es-ES"/>
        </w:rPr>
        <w:t xml:space="preserve">, están destinados a la prestación de servicios públicos que la Administración utiliza de forma inmediata, como los edificios donde funcionan las oficinas públicas. </w:t>
      </w:r>
    </w:p>
    <w:p w14:paraId="44677E3F" w14:textId="77777777" w:rsidR="00326475" w:rsidRPr="00270E87" w:rsidRDefault="00326475" w:rsidP="00326475">
      <w:pPr>
        <w:spacing w:after="120" w:line="276" w:lineRule="auto"/>
        <w:ind w:firstLine="708"/>
        <w:jc w:val="both"/>
        <w:rPr>
          <w:rFonts w:ascii="Verdana" w:eastAsia="Calibri" w:hAnsi="Verdana" w:cs="Arial"/>
          <w:vertAlign w:val="superscript"/>
          <w:lang w:val="es-ES"/>
        </w:rPr>
      </w:pPr>
      <w:r w:rsidRPr="00270E87">
        <w:rPr>
          <w:rFonts w:ascii="Verdana" w:eastAsia="Calibri" w:hAnsi="Verdana" w:cs="Arial"/>
          <w:lang w:val="es-ES"/>
        </w:rPr>
        <w:t xml:space="preserve">A su vez, el Consejo de Estado, define los bienes fiscales como </w:t>
      </w:r>
      <w:r w:rsidRPr="00270E87">
        <w:rPr>
          <w:rFonts w:ascii="Verdana" w:eastAsia="Calibri" w:hAnsi="Verdana" w:cs="Arial"/>
          <w:iCs/>
          <w:lang w:val="es-ES"/>
        </w:rPr>
        <w:t xml:space="preserve">“aquellos que pertenecen </w:t>
      </w:r>
      <w:r w:rsidRPr="00270E87">
        <w:rPr>
          <w:rFonts w:ascii="Verdana" w:eastAsia="Calibri" w:hAnsi="Verdana" w:cs="Arial"/>
          <w:iCs/>
          <w:color w:val="000000" w:themeColor="text1"/>
          <w:lang w:val="es-ES"/>
        </w:rPr>
        <w:t xml:space="preserve">a sujetos de derecho público de cualquier naturaleza u orden y que, por lo general, están destinados al cumplimiento de las funciones públicas o servicios públicos, tales como los terrenos, edificios, fincas, granjas, equipos, enseres, acciones, rentas y bienes del presupuesto, etc., es decir, afectos al </w:t>
      </w:r>
      <w:r w:rsidRPr="00270E87">
        <w:rPr>
          <w:rFonts w:ascii="Verdana" w:eastAsia="Calibri" w:hAnsi="Verdana" w:cs="Arial"/>
          <w:iCs/>
          <w:color w:val="000000" w:themeColor="text1"/>
          <w:lang w:val="es-ES"/>
        </w:rPr>
        <w:lastRenderedPageBreak/>
        <w:t>desarrollo de su misión y utilizados para sus actividades, o pueden constituir una reserva patrimonial para fines de utilidad común. Su dominio corresponde a la República, pero su uso no pertenece generalmente a los habitantes, de manera que el Estado los posee y los administra en forma similar a como lo hacen los particulares con los bienes de su</w:t>
      </w:r>
      <w:r w:rsidRPr="00270E87">
        <w:rPr>
          <w:rFonts w:ascii="Verdana" w:eastAsia="Calibri" w:hAnsi="Verdana" w:cs="Arial"/>
          <w:iCs/>
          <w:color w:val="000000" w:themeColor="text1"/>
          <w:spacing w:val="-27"/>
          <w:lang w:val="es-ES"/>
        </w:rPr>
        <w:t xml:space="preserve"> </w:t>
      </w:r>
      <w:r w:rsidRPr="00270E87">
        <w:rPr>
          <w:rFonts w:ascii="Verdana" w:eastAsia="Calibri" w:hAnsi="Verdana" w:cs="Arial"/>
          <w:iCs/>
          <w:color w:val="000000" w:themeColor="text1"/>
          <w:lang w:val="es-ES"/>
        </w:rPr>
        <w:t>propiedad”</w:t>
      </w:r>
      <w:r w:rsidRPr="00270E87">
        <w:rPr>
          <w:rFonts w:ascii="Calibri" w:eastAsia="Calibri" w:hAnsi="Calibri" w:cs="Times New Roman"/>
          <w:iCs/>
          <w:vertAlign w:val="superscript"/>
          <w:lang w:val="es-ES"/>
        </w:rPr>
        <w:footnoteReference w:id="22"/>
      </w:r>
      <w:r w:rsidRPr="00270E87">
        <w:rPr>
          <w:rFonts w:ascii="Verdana" w:eastAsia="Calibri" w:hAnsi="Verdana" w:cs="Arial"/>
          <w:iCs/>
          <w:color w:val="000000" w:themeColor="text1"/>
          <w:lang w:val="es-ES"/>
        </w:rPr>
        <w:t>.</w:t>
      </w:r>
      <w:r w:rsidRPr="00270E87">
        <w:rPr>
          <w:rFonts w:ascii="Verdana" w:eastAsia="Calibri" w:hAnsi="Verdana" w:cs="Arial"/>
          <w:color w:val="000000" w:themeColor="text1"/>
          <w:lang w:val="es-ES"/>
        </w:rPr>
        <w:t xml:space="preserve"> </w:t>
      </w:r>
      <w:r w:rsidRPr="00270E87">
        <w:rPr>
          <w:rFonts w:ascii="Verdana" w:eastAsia="Calibri" w:hAnsi="Verdana" w:cs="Arial"/>
          <w:lang w:val="es-ES"/>
        </w:rPr>
        <w:t>De esta forma, sobre los bienes fiscales, a pesar de estar destinados a la prestación de servicios públicos, las Entidades Estatales tienen la facultad de disponer de ellos mediante un acto jurídico como la compraventa, la donación, el arriendo, entre</w:t>
      </w:r>
      <w:r w:rsidRPr="00270E87">
        <w:rPr>
          <w:rFonts w:ascii="Verdana" w:eastAsia="Calibri" w:hAnsi="Verdana" w:cs="Arial"/>
          <w:spacing w:val="-3"/>
          <w:lang w:val="es-ES"/>
        </w:rPr>
        <w:t xml:space="preserve"> </w:t>
      </w:r>
      <w:r w:rsidRPr="00270E87">
        <w:rPr>
          <w:rFonts w:ascii="Verdana" w:eastAsia="Calibri" w:hAnsi="Verdana" w:cs="Arial"/>
          <w:lang w:val="es-ES"/>
        </w:rPr>
        <w:t>otros.</w:t>
      </w:r>
      <w:r w:rsidRPr="00270E87">
        <w:rPr>
          <w:rFonts w:ascii="Verdana" w:eastAsia="Calibri" w:hAnsi="Verdana" w:cs="Arial"/>
          <w:vertAlign w:val="superscript"/>
          <w:lang w:val="es-ES"/>
        </w:rPr>
        <w:t xml:space="preserve"> </w:t>
      </w:r>
    </w:p>
    <w:p w14:paraId="516321A9" w14:textId="77777777" w:rsidR="00326475" w:rsidRPr="00270E87" w:rsidRDefault="00326475" w:rsidP="00326475">
      <w:pPr>
        <w:spacing w:after="240" w:line="276" w:lineRule="auto"/>
        <w:ind w:firstLine="708"/>
        <w:jc w:val="both"/>
        <w:rPr>
          <w:rFonts w:ascii="Verdana" w:eastAsia="Calibri" w:hAnsi="Verdana" w:cs="Arial"/>
          <w:lang w:val="es-ES"/>
        </w:rPr>
      </w:pPr>
      <w:r w:rsidRPr="00270E87">
        <w:rPr>
          <w:rFonts w:ascii="Verdana" w:eastAsia="Calibri" w:hAnsi="Verdana" w:cs="Arial"/>
          <w:lang w:val="es-ES"/>
        </w:rPr>
        <w:t>Acerca de los bienes de uso público, el Consejo de Estado los define como “aquellos cuya titularidad pertenece al Estado y se hallan destinados al uso, goce y disfrute de todos los habitantes del territorio, están sometidos al régimen de derecho público y sobre ellos el Estado ejerce derechos de administración y de policía, con miras a garantizar y proteger su uso y goce común, por motivos de interés general</w:t>
      </w:r>
      <w:r w:rsidRPr="00270E87">
        <w:rPr>
          <w:rFonts w:ascii="Verdana" w:eastAsia="Calibri" w:hAnsi="Verdana" w:cs="Arial"/>
          <w:i/>
          <w:iCs/>
          <w:lang w:val="es-ES"/>
        </w:rPr>
        <w:t>”</w:t>
      </w:r>
      <w:r w:rsidRPr="00270E87">
        <w:rPr>
          <w:rFonts w:ascii="Calibri" w:eastAsia="Calibri" w:hAnsi="Calibri" w:cs="Times New Roman"/>
          <w:vertAlign w:val="superscript"/>
          <w:lang w:val="es-ES"/>
        </w:rPr>
        <w:footnoteReference w:id="23"/>
      </w:r>
      <w:r w:rsidRPr="00270E87">
        <w:rPr>
          <w:rFonts w:ascii="Verdana" w:eastAsia="Calibri" w:hAnsi="Verdana" w:cs="Arial"/>
          <w:i/>
          <w:iCs/>
          <w:lang w:val="es-ES"/>
        </w:rPr>
        <w:t>.</w:t>
      </w:r>
      <w:r w:rsidRPr="00270E87">
        <w:rPr>
          <w:rFonts w:ascii="Verdana" w:eastAsia="Calibri" w:hAnsi="Verdana" w:cs="Arial"/>
          <w:lang w:val="es-ES"/>
        </w:rPr>
        <w:t xml:space="preserve"> Por lo tanto, como estos bienes están destinados al uso de los habitantes de un territorio, el Estado no puede disponer de ellos por encontrarse fuera del comercio</w:t>
      </w:r>
      <w:r w:rsidRPr="00270E87">
        <w:rPr>
          <w:rFonts w:ascii="Calibri" w:eastAsia="Calibri" w:hAnsi="Calibri" w:cs="Times New Roman"/>
          <w:vertAlign w:val="superscript"/>
          <w:lang w:val="es-ES"/>
        </w:rPr>
        <w:footnoteReference w:id="24"/>
      </w:r>
      <w:r w:rsidRPr="00270E87">
        <w:rPr>
          <w:rFonts w:ascii="Verdana" w:eastAsia="Calibri" w:hAnsi="Verdana" w:cs="Arial"/>
          <w:lang w:val="es-ES"/>
        </w:rPr>
        <w:t>.</w:t>
      </w:r>
      <w:r w:rsidRPr="00270E87">
        <w:rPr>
          <w:rFonts w:ascii="Verdana" w:eastAsia="Calibri" w:hAnsi="Verdana" w:cs="Arial"/>
          <w:vertAlign w:val="superscript"/>
          <w:lang w:val="es-ES"/>
        </w:rPr>
        <w:t xml:space="preserve"> </w:t>
      </w:r>
      <w:r w:rsidRPr="00270E87">
        <w:rPr>
          <w:rFonts w:ascii="Verdana" w:eastAsia="Calibri" w:hAnsi="Verdana" w:cs="Arial"/>
          <w:lang w:val="es-ES"/>
        </w:rPr>
        <w:t>En ese orden de ideas, los bienes sobre los cuales puede recaer el acto de enajenación son los bienes fiscales muebles o inmuebles y no los bienes de uso público. Al respecto, el Consejo de Estado citando a la Corte Suprema de Justicia en la Sentencia SC9166</w:t>
      </w:r>
      <w:r w:rsidRPr="00270E87">
        <w:rPr>
          <w:rFonts w:ascii="Aptos" w:eastAsia="Aptos" w:hAnsi="Aptos" w:cs="Times New Roman"/>
          <w:kern w:val="2"/>
          <w:sz w:val="24"/>
          <w:szCs w:val="24"/>
          <w:vertAlign w:val="superscript"/>
          <w:lang w:val="es-ES"/>
          <w14:ligatures w14:val="standardContextual"/>
        </w:rPr>
        <w:footnoteReference w:id="25"/>
      </w:r>
      <w:r w:rsidRPr="00270E87">
        <w:rPr>
          <w:rFonts w:ascii="Verdana" w:eastAsia="Calibri" w:hAnsi="Verdana" w:cs="Arial"/>
          <w:lang w:val="es-ES"/>
        </w:rPr>
        <w:t xml:space="preserve"> de 2014, define los Bienes de Uso Público de la siguiente manera:</w:t>
      </w:r>
    </w:p>
    <w:p w14:paraId="630F2403" w14:textId="77777777" w:rsidR="00326475" w:rsidRPr="00270E87" w:rsidRDefault="00326475" w:rsidP="00326475">
      <w:pPr>
        <w:spacing w:after="0" w:line="240" w:lineRule="auto"/>
        <w:ind w:left="709" w:right="709"/>
        <w:jc w:val="both"/>
        <w:rPr>
          <w:rFonts w:ascii="Verdana" w:eastAsia="Aptos" w:hAnsi="Verdana" w:cs="Times New Roman"/>
          <w:kern w:val="2"/>
          <w:sz w:val="20"/>
          <w:szCs w:val="20"/>
          <w:lang w:val="es-ES"/>
          <w14:ligatures w14:val="standardContextual"/>
        </w:rPr>
      </w:pPr>
      <w:r w:rsidRPr="00270E87">
        <w:rPr>
          <w:rFonts w:ascii="Verdana" w:eastAsia="Aptos" w:hAnsi="Verdana" w:cs="Times New Roman"/>
          <w:kern w:val="2"/>
          <w:sz w:val="20"/>
          <w:szCs w:val="20"/>
          <w:lang w:val="es-ES"/>
          <w14:ligatures w14:val="standardContextual"/>
        </w:rPr>
        <w:t>“[…] Según el Código Civil, los bienes de la ‘Unión’ se clasifican en dos: De un lado, los de uso público, como las calles, plazas, puentes y caminos, y, de otro, los fiscales, es decir, aquellos que no estando adscritos a la prestación de un servicio público, forman parte del patrimonio estatal, ya sea por disposición constitucional, o porque han sido adquiridos por la Nación, los departamentos, los municipios y, en general las entidades de derecho público, para destinarlos a la organización de los fines que le son propios, siendo su uso común restringido o reprimido, distinción ésta que, como es sabido, se funda en conceptos de un nítido perfil romanista.</w:t>
      </w:r>
    </w:p>
    <w:p w14:paraId="56E57C34" w14:textId="77777777" w:rsidR="00326475" w:rsidRPr="00270E87" w:rsidRDefault="00326475" w:rsidP="00326475">
      <w:pPr>
        <w:spacing w:after="0" w:line="240" w:lineRule="auto"/>
        <w:ind w:left="709" w:right="709"/>
        <w:jc w:val="both"/>
        <w:rPr>
          <w:rFonts w:ascii="Verdana" w:eastAsia="Aptos" w:hAnsi="Verdana" w:cs="Times New Roman"/>
          <w:kern w:val="2"/>
          <w:sz w:val="20"/>
          <w:szCs w:val="20"/>
          <w:lang w:val="es-ES"/>
          <w14:ligatures w14:val="standardContextual"/>
        </w:rPr>
      </w:pPr>
    </w:p>
    <w:p w14:paraId="3CDAAD0F" w14:textId="77777777" w:rsidR="00326475" w:rsidRPr="00270E87" w:rsidRDefault="00326475" w:rsidP="00326475">
      <w:pPr>
        <w:spacing w:after="0" w:line="240" w:lineRule="auto"/>
        <w:ind w:left="709" w:right="709"/>
        <w:jc w:val="both"/>
        <w:rPr>
          <w:rFonts w:ascii="Verdana" w:eastAsia="Aptos" w:hAnsi="Verdana" w:cs="Times New Roman"/>
          <w:kern w:val="2"/>
          <w:sz w:val="20"/>
          <w:szCs w:val="20"/>
          <w:lang w:val="es-ES"/>
          <w14:ligatures w14:val="standardContextual"/>
        </w:rPr>
      </w:pPr>
      <w:r w:rsidRPr="00270E87">
        <w:rPr>
          <w:rFonts w:ascii="Verdana" w:eastAsia="Aptos" w:hAnsi="Verdana" w:cs="Times New Roman"/>
          <w:kern w:val="2"/>
          <w:sz w:val="20"/>
          <w:szCs w:val="20"/>
          <w:lang w:val="es-ES"/>
          <w14:ligatures w14:val="standardContextual"/>
        </w:rPr>
        <w:lastRenderedPageBreak/>
        <w:t xml:space="preserve">En cuanto a los primeros, los de uso público, </w:t>
      </w:r>
      <w:proofErr w:type="spellStart"/>
      <w:r w:rsidRPr="00270E87">
        <w:rPr>
          <w:rFonts w:ascii="Verdana" w:eastAsia="Aptos" w:hAnsi="Verdana" w:cs="Times New Roman"/>
          <w:kern w:val="2"/>
          <w:sz w:val="20"/>
          <w:szCs w:val="20"/>
          <w:lang w:val="es-ES"/>
          <w14:ligatures w14:val="standardContextual"/>
        </w:rPr>
        <w:t>débese</w:t>
      </w:r>
      <w:proofErr w:type="spellEnd"/>
      <w:r w:rsidRPr="00270E87">
        <w:rPr>
          <w:rFonts w:ascii="Verdana" w:eastAsia="Aptos" w:hAnsi="Verdana" w:cs="Times New Roman"/>
          <w:kern w:val="2"/>
          <w:sz w:val="20"/>
          <w:szCs w:val="20"/>
          <w:lang w:val="es-ES"/>
          <w14:ligatures w14:val="standardContextual"/>
        </w:rPr>
        <w:t xml:space="preserve"> precisar aquí que se caracterizan, como su nombre lo anuncia, porque, como acontece con algunos de propiedad privada, están destinados al uso común; porque son inalienables e imprescriptibles y, finalmente, porque pertenecen, salvo los privados afectados al uso público, a entidades de derecho público, exigencia esta última entendida en el sentido de que se encuentran sometidos a una singular, pero innegable, potestad estatal que excluye la propiedad privada sobre ellos, ya sea porque, como piensan algunos, tal poder configura un ‘dominio eminente’, traducido en meras facultades de policía administrativa que apenas le conceden a su titular las facultades de guarda y vigilancia, sin estructurar, en todo caso, un derecho de propiedad en sentido estricto, o ya, como piensan otros, como un genuino derecho público de propiedad cuyo ejercicio puede diferir en varios aspectos del modo como los particulares despliegan su poder sobre los bienes, pero sin ser sustancialmente distintos. </w:t>
      </w:r>
    </w:p>
    <w:p w14:paraId="2C2DEDF2" w14:textId="77777777" w:rsidR="00326475" w:rsidRPr="00270E87" w:rsidRDefault="00326475" w:rsidP="00326475">
      <w:pPr>
        <w:spacing w:after="0" w:line="240" w:lineRule="auto"/>
        <w:ind w:left="709" w:right="709"/>
        <w:jc w:val="both"/>
        <w:rPr>
          <w:rFonts w:ascii="Verdana" w:eastAsia="Aptos" w:hAnsi="Verdana" w:cs="Times New Roman"/>
          <w:i/>
          <w:iCs/>
          <w:kern w:val="2"/>
          <w:sz w:val="21"/>
          <w:szCs w:val="21"/>
          <w:lang w:val="es-ES"/>
          <w14:ligatures w14:val="standardContextual"/>
        </w:rPr>
      </w:pPr>
    </w:p>
    <w:p w14:paraId="790E1A0D" w14:textId="77777777" w:rsidR="00326475" w:rsidRDefault="00326475" w:rsidP="00326475">
      <w:pPr>
        <w:spacing w:after="0"/>
        <w:jc w:val="both"/>
        <w:rPr>
          <w:rFonts w:ascii="Verdana" w:eastAsia="Aptos" w:hAnsi="Verdana" w:cs="Times New Roman"/>
          <w:kern w:val="2"/>
          <w:lang w:val="es-ES"/>
          <w14:ligatures w14:val="standardContextual"/>
        </w:rPr>
      </w:pPr>
      <w:r w:rsidRPr="00270E87">
        <w:rPr>
          <w:rFonts w:ascii="Verdana" w:eastAsia="Aptos" w:hAnsi="Verdana" w:cs="Times New Roman"/>
          <w:kern w:val="2"/>
          <w:lang w:val="es-ES"/>
          <w14:ligatures w14:val="standardContextual"/>
        </w:rPr>
        <w:tab/>
        <w:t xml:space="preserve">Por tanto, los bienes de uso público están destinados al uso común de todos los habitantes del país, ya que su fin es servir para el uso y el disfrute de la colectividad, por ello, cuando se hace mención </w:t>
      </w:r>
      <w:proofErr w:type="gramStart"/>
      <w:r w:rsidRPr="00270E87">
        <w:rPr>
          <w:rFonts w:ascii="Verdana" w:eastAsia="Aptos" w:hAnsi="Verdana" w:cs="Times New Roman"/>
          <w:kern w:val="2"/>
          <w:lang w:val="es-ES"/>
          <w14:ligatures w14:val="standardContextual"/>
        </w:rPr>
        <w:t>a</w:t>
      </w:r>
      <w:proofErr w:type="gramEnd"/>
      <w:r w:rsidRPr="00270E87">
        <w:rPr>
          <w:rFonts w:ascii="Verdana" w:eastAsia="Aptos" w:hAnsi="Verdana" w:cs="Times New Roman"/>
          <w:kern w:val="2"/>
          <w:lang w:val="es-ES"/>
          <w14:ligatures w14:val="standardContextual"/>
        </w:rPr>
        <w:t xml:space="preserve"> bienes de uso público se hace referencia a calles, plazas, puentes, caminos, parques, entre otros. Al respecto, es importante tener en cuenta lo expresado por el Consejo de Estado, sobre la posibilidad de arrendar los Bienes de Uso Público, en la que ha expresado la prohibición de arrendarlo, pues ha confirmado que </w:t>
      </w:r>
      <w:r w:rsidRPr="00270E87">
        <w:rPr>
          <w:rFonts w:ascii="Verdana" w:eastAsia="Aptos" w:hAnsi="Verdana" w:cs="Times New Roman"/>
          <w:i/>
          <w:iCs/>
          <w:kern w:val="2"/>
          <w:lang w:val="es-ES"/>
          <w14:ligatures w14:val="standardContextual"/>
        </w:rPr>
        <w:t>“el contrato de arrendamiento está proscrito para la entrega de bienes de uso público, toda vez que, dicha modalidad tiene una finalidad de uso exclusivo para su arrendatario que riñe con la naturaleza de dichos bienes”</w:t>
      </w:r>
      <w:r w:rsidRPr="00270E87">
        <w:rPr>
          <w:rFonts w:ascii="Verdana" w:eastAsia="Aptos" w:hAnsi="Verdana" w:cs="Times New Roman"/>
          <w:kern w:val="2"/>
          <w:vertAlign w:val="superscript"/>
          <w:lang w:val="es-ES"/>
          <w14:ligatures w14:val="standardContextual"/>
        </w:rPr>
        <w:footnoteReference w:id="26"/>
      </w:r>
      <w:r w:rsidRPr="00270E87">
        <w:rPr>
          <w:rFonts w:ascii="Verdana" w:eastAsia="Aptos" w:hAnsi="Verdana" w:cs="Times New Roman"/>
          <w:kern w:val="2"/>
          <w:lang w:val="es-ES"/>
          <w14:ligatures w14:val="standardContextual"/>
        </w:rPr>
        <w:t xml:space="preserve">. </w:t>
      </w:r>
    </w:p>
    <w:p w14:paraId="2D0A6D52" w14:textId="77777777" w:rsidR="00326475" w:rsidRDefault="00326475" w:rsidP="00326475">
      <w:pPr>
        <w:spacing w:before="120" w:after="0"/>
        <w:ind w:firstLine="708"/>
        <w:jc w:val="both"/>
        <w:rPr>
          <w:rFonts w:ascii="Verdana" w:eastAsia="Aptos" w:hAnsi="Verdana" w:cs="Times New Roman"/>
          <w:kern w:val="2"/>
          <w:lang w:val="es-ES"/>
          <w14:ligatures w14:val="standardContextual"/>
        </w:rPr>
      </w:pPr>
      <w:r w:rsidRPr="00270E87">
        <w:rPr>
          <w:rFonts w:ascii="Verdana" w:eastAsia="Aptos" w:hAnsi="Verdana" w:cs="Times New Roman"/>
          <w:kern w:val="2"/>
          <w:lang w:val="es-ES"/>
          <w14:ligatures w14:val="standardContextual"/>
        </w:rPr>
        <w:t>En esta línea, el Consejo de Estado en la Sentencia de Unificación del 14 de agosto de 2018 unifica su posición de que: “No es procedente que las autoridades administrativas entreguen bienes de uso público utilizando para ello la fórmula contractual del arrendamiento, por las razones expuestas en la parte motiva de esta providencia”</w:t>
      </w:r>
      <w:r w:rsidRPr="00270E87">
        <w:rPr>
          <w:rFonts w:ascii="Verdana" w:eastAsia="Aptos" w:hAnsi="Verdana" w:cs="Times New Roman"/>
          <w:kern w:val="2"/>
          <w:vertAlign w:val="superscript"/>
          <w:lang w:val="es-ES"/>
          <w14:ligatures w14:val="standardContextual"/>
        </w:rPr>
        <w:footnoteReference w:id="27"/>
      </w:r>
      <w:r w:rsidRPr="00270E87">
        <w:rPr>
          <w:rFonts w:ascii="Verdana" w:eastAsia="Aptos" w:hAnsi="Verdana" w:cs="Times New Roman"/>
          <w:kern w:val="2"/>
          <w:lang w:val="es-ES"/>
          <w14:ligatures w14:val="standardContextual"/>
        </w:rPr>
        <w:t xml:space="preserve">. Por tanto, según el Consejo de Estado debe asumirse que además de bienes inalienables, inembargables e imprescriptibles, se trata de bienes afectados a una destinación de interés general, que constituye su finalidad esencial y que no es otra que servir para el uso y disfrute de la colectividad. De este modo, no es posible arrendar un Bien de Uso Público </w:t>
      </w:r>
      <w:proofErr w:type="gramStart"/>
      <w:r w:rsidRPr="00270E87">
        <w:rPr>
          <w:rFonts w:ascii="Verdana" w:eastAsia="Aptos" w:hAnsi="Verdana" w:cs="Times New Roman"/>
          <w:kern w:val="2"/>
          <w:lang w:val="es-ES"/>
          <w14:ligatures w14:val="standardContextual"/>
        </w:rPr>
        <w:t>y</w:t>
      </w:r>
      <w:proofErr w:type="gramEnd"/>
      <w:r w:rsidRPr="00270E87">
        <w:rPr>
          <w:rFonts w:ascii="Verdana" w:eastAsia="Aptos" w:hAnsi="Verdana" w:cs="Times New Roman"/>
          <w:kern w:val="2"/>
          <w:lang w:val="es-ES"/>
          <w14:ligatures w14:val="standardContextual"/>
        </w:rPr>
        <w:t xml:space="preserve"> por tanto, pactar cánones o formas de pago.</w:t>
      </w:r>
    </w:p>
    <w:p w14:paraId="04109B5D" w14:textId="77777777" w:rsidR="00326475" w:rsidRPr="00270E87" w:rsidRDefault="00326475" w:rsidP="00326475">
      <w:pPr>
        <w:spacing w:before="120" w:after="0"/>
        <w:ind w:firstLine="708"/>
        <w:jc w:val="both"/>
        <w:rPr>
          <w:rFonts w:ascii="Verdana" w:eastAsia="Aptos" w:hAnsi="Verdana" w:cs="Times New Roman"/>
          <w:kern w:val="2"/>
          <w:lang w:val="es-ES"/>
          <w14:ligatures w14:val="standardContextual"/>
        </w:rPr>
      </w:pPr>
      <w:r w:rsidRPr="00270E87">
        <w:rPr>
          <w:rFonts w:ascii="Verdana" w:eastAsia="Aptos" w:hAnsi="Verdana" w:cs="Times New Roman"/>
          <w:kern w:val="2"/>
          <w:lang w:val="es-ES"/>
          <w14:ligatures w14:val="standardContextual"/>
        </w:rPr>
        <w:lastRenderedPageBreak/>
        <w:t xml:space="preserve">En efecto, si el </w:t>
      </w:r>
      <w:proofErr w:type="spellStart"/>
      <w:r w:rsidRPr="00270E87">
        <w:rPr>
          <w:rFonts w:ascii="Verdana" w:eastAsia="Aptos" w:hAnsi="Verdana" w:cs="Times New Roman"/>
          <w:kern w:val="2"/>
          <w:lang w:val="es-ES"/>
          <w14:ligatures w14:val="standardContextual"/>
        </w:rPr>
        <w:t>bien es</w:t>
      </w:r>
      <w:proofErr w:type="spellEnd"/>
      <w:r w:rsidRPr="00270E87">
        <w:rPr>
          <w:rFonts w:ascii="Verdana" w:eastAsia="Aptos" w:hAnsi="Verdana" w:cs="Times New Roman"/>
          <w:kern w:val="2"/>
          <w:lang w:val="es-ES"/>
          <w14:ligatures w14:val="standardContextual"/>
        </w:rPr>
        <w:t xml:space="preserve"> de uso público no es jurídicamente viable entregarlo para el uso y goce exclusivo de un particular; en contraste, si su naturaleza es fiscal sí es posible sobre el mismo un acto de disposición jurídica con ese alcance —vender, arrendar, permutar— </w:t>
      </w:r>
      <w:r w:rsidRPr="00270E87">
        <w:rPr>
          <w:rFonts w:ascii="Verdana" w:eastAsia="Aptos" w:hAnsi="Verdana" w:cs="Times New Roman"/>
          <w:i/>
          <w:iCs/>
          <w:kern w:val="2"/>
          <w:lang w:val="es-ES"/>
          <w14:ligatures w14:val="standardContextual"/>
        </w:rPr>
        <w:t>siempre y cuando se cumplan las normas legales que regulan esa actividad</w:t>
      </w:r>
      <w:r w:rsidRPr="00270E87">
        <w:rPr>
          <w:rFonts w:ascii="Verdana" w:eastAsia="Aptos" w:hAnsi="Verdana" w:cs="Times New Roman"/>
          <w:kern w:val="2"/>
          <w:lang w:val="es-ES"/>
          <w14:ligatures w14:val="standardContextual"/>
        </w:rPr>
        <w:t>.</w:t>
      </w:r>
      <w:r>
        <w:rPr>
          <w:rFonts w:ascii="Verdana" w:eastAsia="Aptos" w:hAnsi="Verdana" w:cs="Times New Roman"/>
          <w:kern w:val="2"/>
          <w:lang w:val="es-ES"/>
          <w14:ligatures w14:val="standardContextual"/>
        </w:rPr>
        <w:t xml:space="preserve"> </w:t>
      </w:r>
      <w:r w:rsidRPr="00270E87">
        <w:rPr>
          <w:rFonts w:ascii="Verdana" w:eastAsia="Aptos" w:hAnsi="Verdana" w:cs="Times New Roman"/>
          <w:kern w:val="2"/>
          <w:lang w:val="es-ES"/>
          <w14:ligatures w14:val="standardContextual"/>
        </w:rPr>
        <w:t xml:space="preserve">De esta forma, la afectación de bienes fiscales a un servicio público no lo sustrae del comercio ni impide a la entidad adoptar medidas para su gestión contractual. Sin embargo, aunque los límites a lo anterior no se deriven del régimen del bien, pues admite actos de disposición, la entidad debe considerar los límites que impone el objeto y el contenido obligacional del contrato mediante el cual pretenda ejercer dichos actos, en especial, frente a la conservación efectiva de la finalidad a la que el bien está afecto. </w:t>
      </w:r>
    </w:p>
    <w:p w14:paraId="0C24F796" w14:textId="77777777" w:rsidR="00326475" w:rsidRPr="00270E87" w:rsidRDefault="00326475" w:rsidP="00326475">
      <w:pPr>
        <w:spacing w:after="140" w:line="276" w:lineRule="auto"/>
        <w:ind w:firstLine="708"/>
        <w:jc w:val="both"/>
        <w:rPr>
          <w:rFonts w:ascii="Verdana" w:eastAsia="Aptos" w:hAnsi="Verdana" w:cs="Times New Roman"/>
          <w:kern w:val="2"/>
          <w:lang w:val="es-ES"/>
          <w14:ligatures w14:val="standardContextual"/>
        </w:rPr>
      </w:pPr>
      <w:r w:rsidRPr="00270E87">
        <w:rPr>
          <w:rFonts w:ascii="Verdana" w:eastAsia="Aptos" w:hAnsi="Verdana" w:cs="Times New Roman"/>
          <w:kern w:val="2"/>
          <w:lang w:val="es-ES"/>
          <w14:ligatures w14:val="standardContextual"/>
        </w:rPr>
        <w:t>S</w:t>
      </w:r>
      <w:proofErr w:type="spellStart"/>
      <w:r w:rsidRPr="0032271F">
        <w:rPr>
          <w:rFonts w:ascii="Verdana" w:eastAsia="Aptos" w:hAnsi="Verdana" w:cs="Times New Roman"/>
          <w:kern w:val="2"/>
          <w14:ligatures w14:val="standardContextual"/>
        </w:rPr>
        <w:t>obre</w:t>
      </w:r>
      <w:proofErr w:type="spellEnd"/>
      <w:r w:rsidRPr="0032271F">
        <w:rPr>
          <w:rFonts w:ascii="Verdana" w:eastAsia="Aptos" w:hAnsi="Verdana" w:cs="Times New Roman"/>
          <w:kern w:val="2"/>
          <w14:ligatures w14:val="standardContextual"/>
        </w:rPr>
        <w:t xml:space="preserve"> este último punto, la consulta presentada destaca dos aspectos relevantes: i) que la Entidad Estatal adquirió el bien mediante recursos públicos provenientes de un proyecto de inversión cuyo objeto era fortalecer el sistema de referencia y contrarreferencia del departamento, esto es, el traslado oportuno de pacientes hacia instituciones de mayor complejidad; y </w:t>
      </w:r>
      <w:proofErr w:type="spellStart"/>
      <w:r w:rsidRPr="0032271F">
        <w:rPr>
          <w:rFonts w:ascii="Verdana" w:eastAsia="Aptos" w:hAnsi="Verdana" w:cs="Times New Roman"/>
          <w:kern w:val="2"/>
          <w14:ligatures w14:val="standardContextual"/>
        </w:rPr>
        <w:t>ii</w:t>
      </w:r>
      <w:proofErr w:type="spellEnd"/>
      <w:r w:rsidRPr="0032271F">
        <w:rPr>
          <w:rFonts w:ascii="Verdana" w:eastAsia="Aptos" w:hAnsi="Verdana" w:cs="Times New Roman"/>
          <w:kern w:val="2"/>
          <w14:ligatures w14:val="standardContextual"/>
        </w:rPr>
        <w:t>) que el bien se encuentra necesariamente afecto a la prestación del servicio público de salud. Ambos supuestos constituyen limitaciones que la entidad debe considerar al estructurar un contrato que permita a un particular asumir la operación del bien y, potencialmente, percibir ingresos derivados de su explotación comercial.</w:t>
      </w:r>
      <w:r w:rsidRPr="00270E87">
        <w:rPr>
          <w:rFonts w:ascii="Verdana" w:eastAsia="Aptos" w:hAnsi="Verdana" w:cs="Times New Roman"/>
          <w:kern w:val="2"/>
          <w:lang w:val="es-ES"/>
          <w14:ligatures w14:val="standardContextual"/>
        </w:rPr>
        <w:t xml:space="preserve"> </w:t>
      </w:r>
    </w:p>
    <w:p w14:paraId="013ADCD5" w14:textId="77777777" w:rsidR="00326475" w:rsidRPr="00270E87" w:rsidRDefault="00326475" w:rsidP="00326475">
      <w:pPr>
        <w:spacing w:after="140" w:line="276" w:lineRule="auto"/>
        <w:ind w:firstLine="708"/>
        <w:jc w:val="both"/>
        <w:rPr>
          <w:rFonts w:ascii="Verdana" w:eastAsia="Aptos" w:hAnsi="Verdana" w:cs="Times New Roman"/>
          <w:kern w:val="2"/>
          <w:lang w:val="es-ES"/>
          <w14:ligatures w14:val="standardContextual"/>
        </w:rPr>
      </w:pPr>
      <w:r w:rsidRPr="00270E87">
        <w:rPr>
          <w:rFonts w:ascii="Verdana" w:eastAsia="Arial" w:hAnsi="Verdana" w:cs="Arial"/>
          <w:lang w:val="es-ES"/>
        </w:rPr>
        <w:t xml:space="preserve">En </w:t>
      </w:r>
      <w:r w:rsidRPr="00270E87">
        <w:rPr>
          <w:rFonts w:ascii="Verdana" w:eastAsia="Arial" w:hAnsi="Verdana" w:cs="Arial"/>
          <w:i/>
          <w:iCs/>
          <w:lang w:val="es-ES"/>
        </w:rPr>
        <w:t>primer lugar</w:t>
      </w:r>
      <w:r w:rsidRPr="00270E87">
        <w:rPr>
          <w:rFonts w:ascii="Verdana" w:eastAsia="Arial" w:hAnsi="Verdana" w:cs="Arial"/>
          <w:lang w:val="es-ES"/>
        </w:rPr>
        <w:t xml:space="preserve">, si el negocio jurídico proyectado supone que el contratista se remunere mediante la explotación económica de un bien fiscal afecto a la prestación del servicio de salud, la entidad debe evaluar, de acuerdo con las condiciones particulares que pacte, la presencia de una posible ilicitud del objeto. </w:t>
      </w:r>
    </w:p>
    <w:p w14:paraId="4A3698B7" w14:textId="4B596182" w:rsidR="00326475" w:rsidRPr="00270E87" w:rsidRDefault="00326475" w:rsidP="00326475">
      <w:pPr>
        <w:spacing w:after="140" w:line="276" w:lineRule="auto"/>
        <w:ind w:firstLine="708"/>
        <w:jc w:val="both"/>
        <w:rPr>
          <w:rFonts w:ascii="Verdana" w:hAnsi="Verdana"/>
          <w:lang w:val="es-ES"/>
        </w:rPr>
      </w:pPr>
      <w:r w:rsidRPr="00270E87">
        <w:rPr>
          <w:rFonts w:ascii="Verdana" w:eastAsia="Arial" w:hAnsi="Verdana" w:cs="Arial"/>
          <w:lang w:val="es-ES"/>
        </w:rPr>
        <w:t xml:space="preserve">El régimen de nulidades del contrato estatal se encuentra regulado en el Estatuto General de Contratación de la Administración Pública, que integra por remisión las causales de nulidad del derecho civil y comercial; en el derecho común se establecen como causales de nulidad absoluta el objeto ilícito, la causa ilícita, la omisión de las formas solemnes y la incapacidad absoluta, a las que la Ley 80 de 1993 añade las suyas propias, </w:t>
      </w:r>
      <w:r w:rsidR="00233121">
        <w:rPr>
          <w:rFonts w:ascii="Verdana" w:eastAsia="Arial" w:hAnsi="Verdana" w:cs="Arial"/>
          <w:lang w:val="es-ES"/>
        </w:rPr>
        <w:t xml:space="preserve">en el artículo 44, </w:t>
      </w:r>
      <w:r w:rsidRPr="00270E87">
        <w:rPr>
          <w:rFonts w:ascii="Verdana" w:eastAsia="Arial" w:hAnsi="Verdana" w:cs="Arial"/>
          <w:lang w:val="es-ES"/>
        </w:rPr>
        <w:t>entre ellas la celebración del contrato contra expresa prohibición constitucional o legal y su celebración con abuso o desviación de poder</w:t>
      </w:r>
      <w:r w:rsidR="00233121">
        <w:rPr>
          <w:rStyle w:val="Refdenotaalpie"/>
          <w:rFonts w:ascii="Verdana" w:eastAsia="Arial" w:hAnsi="Verdana" w:cs="Arial"/>
          <w:lang w:val="es-ES"/>
        </w:rPr>
        <w:footnoteReference w:id="28"/>
      </w:r>
      <w:r w:rsidRPr="00270E87">
        <w:rPr>
          <w:rFonts w:ascii="Verdana" w:eastAsia="Arial" w:hAnsi="Verdana" w:cs="Arial"/>
          <w:lang w:val="es-ES"/>
        </w:rPr>
        <w:t xml:space="preserve">. El artículo 1519 del Código Civil </w:t>
      </w:r>
      <w:r w:rsidRPr="00270E87">
        <w:rPr>
          <w:rFonts w:ascii="Verdana" w:eastAsia="Arial" w:hAnsi="Verdana" w:cs="Arial"/>
          <w:lang w:val="es-ES"/>
        </w:rPr>
        <w:lastRenderedPageBreak/>
        <w:t>dispone que hay objeto ilícito en todo lo que contraviene el derecho público de la Nación.</w:t>
      </w:r>
    </w:p>
    <w:p w14:paraId="2B8D8D4F" w14:textId="77777777" w:rsidR="00326475" w:rsidRPr="00270E87" w:rsidRDefault="00326475" w:rsidP="00326475">
      <w:pPr>
        <w:spacing w:after="140" w:line="276" w:lineRule="auto"/>
        <w:ind w:firstLine="708"/>
        <w:jc w:val="both"/>
        <w:rPr>
          <w:rFonts w:ascii="Verdana" w:eastAsia="Arial" w:hAnsi="Verdana" w:cs="Arial"/>
          <w:lang w:val="es-ES"/>
        </w:rPr>
      </w:pPr>
      <w:r w:rsidRPr="00270E87">
        <w:rPr>
          <w:rFonts w:ascii="Verdana" w:eastAsia="Arial" w:hAnsi="Verdana" w:cs="Arial"/>
          <w:lang w:val="es-ES"/>
        </w:rPr>
        <w:t>De ahí que, si mediante el objeto contractual se sustrae materialmente al bien de la prestación del servicio al que está afecto, o lo pone de manera predominante al servicio de la actividad económica de un particular, el negocio no solo resulta inconveniente por los efectos negativos que pueda tener frente a la prestación del servicio y las limitaciones que encuentre la entidad para monitorear y garantizar que efectivamente el contratista garantice la priorización de las actividades afectas al servicio, sino que, además, el contrato mismo podría estar viciado de nulidad absoluta por objeto ilícito, con independencia de la denominación que las partes le atribuyan y de las declaraciones de propósito que el clausulado contenga.</w:t>
      </w:r>
    </w:p>
    <w:p w14:paraId="7072D30F" w14:textId="77777777" w:rsidR="00326475" w:rsidRPr="00270E87" w:rsidRDefault="00326475" w:rsidP="00326475">
      <w:pPr>
        <w:spacing w:after="140" w:line="276" w:lineRule="auto"/>
        <w:ind w:firstLine="708"/>
        <w:jc w:val="both"/>
        <w:rPr>
          <w:rFonts w:ascii="Verdana" w:eastAsia="Arial" w:hAnsi="Verdana" w:cs="Arial"/>
          <w:lang w:val="es-ES"/>
        </w:rPr>
      </w:pPr>
      <w:r w:rsidRPr="00270E87">
        <w:rPr>
          <w:rFonts w:ascii="Verdana" w:eastAsia="Arial" w:hAnsi="Verdana" w:cs="Arial"/>
          <w:lang w:val="es-ES"/>
        </w:rPr>
        <w:t xml:space="preserve">En </w:t>
      </w:r>
      <w:r w:rsidRPr="00270E87">
        <w:rPr>
          <w:rFonts w:ascii="Verdana" w:eastAsia="Arial" w:hAnsi="Verdana" w:cs="Arial"/>
          <w:i/>
          <w:iCs/>
          <w:lang w:val="es-ES"/>
        </w:rPr>
        <w:t>segundo lugar</w:t>
      </w:r>
      <w:r w:rsidRPr="00270E87">
        <w:rPr>
          <w:rFonts w:ascii="Verdana" w:eastAsia="Arial" w:hAnsi="Verdana" w:cs="Arial"/>
          <w:lang w:val="es-ES"/>
        </w:rPr>
        <w:t xml:space="preserve">, </w:t>
      </w:r>
      <w:r>
        <w:rPr>
          <w:rFonts w:ascii="Verdana" w:eastAsia="Arial" w:hAnsi="Verdana" w:cs="Arial"/>
        </w:rPr>
        <w:t>u</w:t>
      </w:r>
      <w:r w:rsidRPr="0032271F">
        <w:rPr>
          <w:rFonts w:ascii="Verdana" w:eastAsia="Arial" w:hAnsi="Verdana" w:cs="Arial"/>
        </w:rPr>
        <w:t>n esquema en el que la entidad no paga un precio y el contratista se remunera con la administración y la explotación comercial del bien puede comprometer el deber de selección objetiva previsto en el artículo 5 de la Ley 1150 de 2007, conforme al cual la escogencia debe hacerse al ofrecimiento más favorable a la entidad y a los fines que ella busca. Si la contraprestación a cargo de la entidad no está determinada —porque el negocio se autofinancia—, la entidad debe poder explicar qué ofrecen los interesados y sobre qué base se comparan sus propuestas</w:t>
      </w:r>
      <w:r>
        <w:rPr>
          <w:rFonts w:ascii="Verdana" w:eastAsia="Arial" w:hAnsi="Verdana" w:cs="Arial"/>
          <w:lang w:val="es-ES"/>
        </w:rPr>
        <w:t xml:space="preserve">. </w:t>
      </w:r>
      <w:r w:rsidRPr="00270E87">
        <w:rPr>
          <w:rFonts w:ascii="Verdana" w:eastAsia="Arial" w:hAnsi="Verdana" w:cs="Arial"/>
          <w:lang w:val="es-ES"/>
        </w:rPr>
        <w:t xml:space="preserve">Si no hay precio que ofertar ni participación económica determinable, el proceso </w:t>
      </w:r>
      <w:r>
        <w:rPr>
          <w:rFonts w:ascii="Verdana" w:eastAsia="Arial" w:hAnsi="Verdana" w:cs="Arial"/>
          <w:lang w:val="es-ES"/>
        </w:rPr>
        <w:t xml:space="preserve">puede carecer </w:t>
      </w:r>
      <w:r w:rsidRPr="00270E87">
        <w:rPr>
          <w:rFonts w:ascii="Verdana" w:eastAsia="Arial" w:hAnsi="Verdana" w:cs="Arial"/>
          <w:lang w:val="es-ES"/>
        </w:rPr>
        <w:t>de elemento</w:t>
      </w:r>
      <w:r>
        <w:rPr>
          <w:rFonts w:ascii="Verdana" w:eastAsia="Arial" w:hAnsi="Verdana" w:cs="Arial"/>
          <w:lang w:val="es-ES"/>
        </w:rPr>
        <w:t>s</w:t>
      </w:r>
      <w:r w:rsidRPr="00270E87">
        <w:rPr>
          <w:rFonts w:ascii="Verdana" w:eastAsia="Arial" w:hAnsi="Verdana" w:cs="Arial"/>
          <w:lang w:val="es-ES"/>
        </w:rPr>
        <w:t xml:space="preserve"> que </w:t>
      </w:r>
      <w:r>
        <w:rPr>
          <w:rFonts w:ascii="Verdana" w:eastAsia="Arial" w:hAnsi="Verdana" w:cs="Arial"/>
          <w:lang w:val="es-ES"/>
        </w:rPr>
        <w:t>hagan</w:t>
      </w:r>
      <w:r w:rsidRPr="00270E87">
        <w:rPr>
          <w:rFonts w:ascii="Verdana" w:eastAsia="Arial" w:hAnsi="Verdana" w:cs="Arial"/>
          <w:lang w:val="es-ES"/>
        </w:rPr>
        <w:t xml:space="preserve"> posible la comparación de ofrecimientos en términos de calidad y precio</w:t>
      </w:r>
      <w:r>
        <w:rPr>
          <w:rFonts w:ascii="Verdana" w:eastAsia="Arial" w:hAnsi="Verdana" w:cs="Arial"/>
          <w:lang w:val="es-ES"/>
        </w:rPr>
        <w:t>.</w:t>
      </w:r>
    </w:p>
    <w:p w14:paraId="0017CB9B" w14:textId="77777777" w:rsidR="00326475" w:rsidRPr="00270E87" w:rsidRDefault="00326475" w:rsidP="00326475">
      <w:pPr>
        <w:spacing w:after="140" w:line="276" w:lineRule="auto"/>
        <w:ind w:firstLine="708"/>
        <w:jc w:val="both"/>
        <w:rPr>
          <w:rFonts w:ascii="Verdana" w:eastAsia="Arial" w:hAnsi="Verdana" w:cs="Arial"/>
          <w:lang w:val="es-ES"/>
        </w:rPr>
      </w:pPr>
      <w:r w:rsidRPr="00270E87">
        <w:rPr>
          <w:rFonts w:ascii="Verdana" w:eastAsia="Arial" w:hAnsi="Verdana" w:cs="Arial"/>
          <w:lang w:val="es-ES"/>
        </w:rPr>
        <w:t xml:space="preserve">De la mano con lo anterior, existe un riesgo derivado de la correlativa incertidumbre del derecho o contraprestación del contratista. Si la entidad requiere disponibilidad permanente del bien para atender las necesidades de su red, el margen de explotación económica del contratista se reduce en la misma proporción. La entidad debe considerar que bajo el esquema proyectado la retribución o margen de explotación del contratista depende de qué tanto la entidad o la prestación adecuada del servicio requiera el uso del bien; en este marco, la capacidad de explotación económica del bien podrá incluso ser nula según la demanda del servicio público, o en un escenario adverso al interés general, la priorización puede no ser suficiente para garantizar la prestación adecuada del servicio y la demanda exige una disposición plena para atender las necesidades de su red. En este último supuesto, si se garantiza al contratista un </w:t>
      </w:r>
      <w:r w:rsidRPr="00270E87">
        <w:rPr>
          <w:rFonts w:ascii="Verdana" w:eastAsia="Arial" w:hAnsi="Verdana" w:cs="Arial"/>
          <w:lang w:val="es-ES"/>
        </w:rPr>
        <w:lastRenderedPageBreak/>
        <w:t>margen de explotación suficiente para remunerarlo, ese margen se detrae necesariamente de la disponibilidad del bien para el servicio al que está afecto. En efecto, la entidad debe en la etapa de planeación considerar y resolver la potencial incompatibilidad estructural entre la naturaleza y destinación del bien, de una parte, y el esquema de remuneración proyectado, de otra.</w:t>
      </w:r>
    </w:p>
    <w:p w14:paraId="2BEAB52E" w14:textId="77777777" w:rsidR="00326475" w:rsidRPr="00270E87" w:rsidRDefault="00326475" w:rsidP="00326475">
      <w:pPr>
        <w:spacing w:after="140" w:line="276" w:lineRule="auto"/>
        <w:ind w:firstLine="708"/>
        <w:jc w:val="both"/>
        <w:rPr>
          <w:rFonts w:ascii="Verdana" w:eastAsia="Arial" w:hAnsi="Verdana" w:cs="Arial"/>
          <w:lang w:val="es-ES"/>
        </w:rPr>
      </w:pPr>
      <w:r w:rsidRPr="00270E87">
        <w:rPr>
          <w:rFonts w:ascii="Verdana" w:eastAsia="Arial" w:hAnsi="Verdana" w:cs="Arial"/>
          <w:lang w:val="es-ES"/>
        </w:rPr>
        <w:t>En tercer lugar, es esencial considerar la prohibición establecida en el artículo 355 de la Constitución Política. Esta Agencia ha reiterado que las entidades estatales se encuentran limitadas para actuar como donantes en virtud de la restricción establecida dicha disposición, la cual prohíbe la entrega de auxilios o donaciones a personas naturales o jurídicas de derecho privado. En este sentido, el estudio previo debe valorar la conveniencia del negocio, garantizando que este responda a una finalidad pública y no implique una desviación de recursos o un uso indebido del patrimonio estatal.</w:t>
      </w:r>
    </w:p>
    <w:p w14:paraId="4C308C56" w14:textId="77777777" w:rsidR="00962E4A" w:rsidRPr="00667BDC" w:rsidRDefault="00962E4A" w:rsidP="00962E4A">
      <w:pPr>
        <w:spacing w:after="140" w:line="276" w:lineRule="auto"/>
        <w:ind w:firstLine="708"/>
        <w:jc w:val="both"/>
        <w:rPr>
          <w:rFonts w:ascii="Verdana" w:eastAsia="Arial" w:hAnsi="Verdana" w:cs="Arial"/>
          <w:lang w:val="es-ES"/>
        </w:rPr>
      </w:pPr>
      <w:r w:rsidRPr="00667BDC">
        <w:rPr>
          <w:rFonts w:ascii="Verdana" w:eastAsia="Arial" w:hAnsi="Verdana" w:cs="Arial"/>
          <w:lang w:val="es-ES"/>
        </w:rPr>
        <w:t>Sobre el alcance de esta prohibición, esta Agencia ha precisado, con apoyo en la jurisprudencia constitucional, que ella se materializa cuando la transferencia de recursos o del aprovechamiento económico de un bien a un particular carece de una contraprestación real y directa a favor de la entidad, se aparta del principio de legalidad del gasto o no persigue un fin constitucionalmente admisible. En consecuencia, el estudio previo debe evidenciar la equivalencia entre las prestaciones y la existencia de una causa lícita que descarte una liberalidad encubierta.</w:t>
      </w:r>
    </w:p>
    <w:p w14:paraId="66355E35" w14:textId="77777777" w:rsidR="00326475" w:rsidRPr="00270E87" w:rsidRDefault="00326475" w:rsidP="00326475">
      <w:pPr>
        <w:spacing w:after="140" w:line="276" w:lineRule="auto"/>
        <w:ind w:firstLine="708"/>
        <w:jc w:val="both"/>
        <w:rPr>
          <w:rFonts w:ascii="Verdana" w:eastAsia="Arial" w:hAnsi="Verdana" w:cs="Arial"/>
          <w:lang w:val="es-ES"/>
        </w:rPr>
      </w:pPr>
      <w:r w:rsidRPr="00270E87">
        <w:rPr>
          <w:rFonts w:ascii="Verdana" w:eastAsia="Arial" w:hAnsi="Verdana" w:cs="Arial"/>
          <w:lang w:val="es-ES"/>
        </w:rPr>
        <w:t>Este límite no puede eludirse mediante la elección de una tipología contractual específica. Si el efecto material del negocio es que un particular reciba el aprovechamiento económico de un activo público sin una contraprestación equivalente a favor de la entidad, la forma contractual que adopte el negocio jurídico no sanea una vulneración referido artículo constitucional. Por esto, es claro que el contrato estatal no puede emplearse para subvertir las prohibiciones que el ordenamiento impone a la gestión y disposición del patrimonio público.</w:t>
      </w:r>
    </w:p>
    <w:p w14:paraId="286BFD15" w14:textId="77777777" w:rsidR="00326475" w:rsidRPr="00270E87" w:rsidRDefault="00326475" w:rsidP="00326475">
      <w:pPr>
        <w:spacing w:after="140" w:line="276" w:lineRule="auto"/>
        <w:ind w:firstLine="708"/>
        <w:jc w:val="both"/>
        <w:rPr>
          <w:rFonts w:ascii="Verdana" w:eastAsia="Arial" w:hAnsi="Verdana" w:cs="Arial"/>
          <w:lang w:val="es-ES"/>
        </w:rPr>
      </w:pPr>
      <w:r w:rsidRPr="00270E87">
        <w:rPr>
          <w:rFonts w:ascii="Verdana" w:eastAsia="Arial" w:hAnsi="Verdana" w:cs="Arial"/>
          <w:lang w:val="es-ES"/>
        </w:rPr>
        <w:t xml:space="preserve">Finalmente, si un bien fue adquirido por una Entidad Estatal con recursos provenientes de fuentes de destinación específica, el análisis debería extenderse a la finalidad de esos recursos. Un esquema contractual que altere el uso del bien puede comportar una desviación de la finalidad para la cual los recursos fueron apropiados. Sin embargo, se advierte que sobre el cambio de finalidad </w:t>
      </w:r>
      <w:r w:rsidRPr="00270E87">
        <w:rPr>
          <w:rFonts w:ascii="Verdana" w:eastAsia="Arial" w:hAnsi="Verdana" w:cs="Arial"/>
          <w:lang w:val="es-ES"/>
        </w:rPr>
        <w:lastRenderedPageBreak/>
        <w:t>del bien y sus potenciales efectos sobre recursos de destinación específica son competentes para pronunciarse las autoridades de planeación, presupuesto o control fiscal.</w:t>
      </w:r>
    </w:p>
    <w:p w14:paraId="1BD32325" w14:textId="77777777" w:rsidR="0040722D" w:rsidRPr="00565A9B" w:rsidRDefault="0040722D" w:rsidP="0040722D">
      <w:pPr>
        <w:spacing w:after="140" w:line="276" w:lineRule="auto"/>
        <w:ind w:firstLine="708"/>
        <w:jc w:val="both"/>
        <w:rPr>
          <w:rFonts w:ascii="Verdana" w:eastAsia="Arial" w:hAnsi="Verdana" w:cs="Arial"/>
          <w:lang w:val="es-ES"/>
        </w:rPr>
      </w:pPr>
      <w:r w:rsidRPr="00565A9B">
        <w:rPr>
          <w:rFonts w:ascii="Verdana" w:eastAsia="Arial" w:hAnsi="Verdana" w:cs="Arial"/>
          <w:lang w:val="es-ES"/>
        </w:rPr>
        <w:t>Con todo, se advierte que el bien objeto de la consulta, en tanto ambulancia aérea afecta al servicio público de salud, se encuentra sujeto a regímenes sectoriales cuya verificación antecede y condiciona la estructuración del contrato. De una parte, la prestación del servicio de transporte asistencial en ambulancia aérea exige la habilitación del prestador y la declaración del servicio en el Registro Especial de Prestadores de Servicios de Salud, conforme a la Resolución 3100 de 2019 del Ministerio de Salud y Protección Social y las normas que la modifican. De otra parte, la operación de la aeronave se sujeta a los Reglamentos Aeronáuticos de Colombia y a las autorizaciones de la Unidad Administrativa Especial de Aeronáutica Civil. La determinación de estos requisitos y su incidencia sobre el objeto contractual corresponde a las autoridades de los sectores salud y aeronáutico, no a esta Agencia, cuya competencia se circunscribe a las normas generales de compra y contratación pública.</w:t>
      </w:r>
    </w:p>
    <w:p w14:paraId="51D8E2B3" w14:textId="77777777" w:rsidR="00326475" w:rsidRPr="0032271F" w:rsidRDefault="00326475" w:rsidP="00326475">
      <w:pPr>
        <w:widowControl w:val="0"/>
        <w:autoSpaceDE w:val="0"/>
        <w:autoSpaceDN w:val="0"/>
        <w:spacing w:after="120" w:line="276" w:lineRule="auto"/>
        <w:jc w:val="both"/>
        <w:rPr>
          <w:rFonts w:ascii="Verdana" w:eastAsia="Verdana" w:hAnsi="Verdana" w:cs="Verdana"/>
        </w:rPr>
      </w:pPr>
      <w:proofErr w:type="spellStart"/>
      <w:r w:rsidRPr="00270E87">
        <w:rPr>
          <w:rFonts w:ascii="Verdana" w:eastAsia="Verdana" w:hAnsi="Verdana" w:cs="Verdana"/>
          <w:lang w:val="es-ES"/>
        </w:rPr>
        <w:t>ii</w:t>
      </w:r>
      <w:r>
        <w:rPr>
          <w:rFonts w:ascii="Verdana" w:eastAsia="Verdana" w:hAnsi="Verdana" w:cs="Verdana"/>
          <w:lang w:val="es-ES"/>
        </w:rPr>
        <w:t>i</w:t>
      </w:r>
      <w:proofErr w:type="spellEnd"/>
      <w:r w:rsidRPr="00270E87">
        <w:rPr>
          <w:rFonts w:ascii="Verdana" w:eastAsia="Verdana" w:hAnsi="Verdana" w:cs="Verdana"/>
          <w:lang w:val="es-ES"/>
        </w:rPr>
        <w:t>.</w:t>
      </w:r>
      <w:r w:rsidRPr="0032271F">
        <w:rPr>
          <w:rFonts w:ascii="Times New Roman" w:eastAsia="Times New Roman" w:hAnsi="Times New Roman" w:cs="Times New Roman"/>
          <w:sz w:val="24"/>
          <w:szCs w:val="24"/>
        </w:rPr>
        <w:t xml:space="preserve"> </w:t>
      </w:r>
      <w:r w:rsidRPr="0032271F">
        <w:rPr>
          <w:rFonts w:ascii="Verdana" w:eastAsia="Verdana" w:hAnsi="Verdana" w:cs="Verdana"/>
        </w:rPr>
        <w:t>Con respecto a la elección de la tipología contractual, el objeto, el contenido obligacional y las características propias del proceso de contratación, corresponde a la Entidad Estatal adelantar una etapa de planeación adecuada y determinar, conforme a sus resultados, las condiciones pertinentes, razonables y adecuadas para satisfacer la necesidad pública identificada.</w:t>
      </w:r>
    </w:p>
    <w:p w14:paraId="087DBF3A" w14:textId="77777777" w:rsidR="00326475" w:rsidRPr="0032271F" w:rsidRDefault="00326475" w:rsidP="00326475">
      <w:pPr>
        <w:widowControl w:val="0"/>
        <w:autoSpaceDE w:val="0"/>
        <w:autoSpaceDN w:val="0"/>
        <w:spacing w:after="120" w:line="276" w:lineRule="auto"/>
        <w:jc w:val="both"/>
        <w:rPr>
          <w:rFonts w:ascii="Verdana" w:eastAsia="Verdana" w:hAnsi="Verdana" w:cs="Verdana"/>
        </w:rPr>
      </w:pPr>
      <w:r w:rsidRPr="0032271F">
        <w:rPr>
          <w:rFonts w:ascii="Verdana" w:eastAsia="Verdana" w:hAnsi="Verdana" w:cs="Verdana"/>
        </w:rPr>
        <w:t>En este sentido, la Entidad Estatal tiene la libertad de configuración y la responsabilidad de verificar si la necesidad identificada es acorde con los elementos de un tipo contractual específico</w:t>
      </w:r>
      <w:r w:rsidRPr="00270E87">
        <w:rPr>
          <w:rFonts w:ascii="Verdana" w:eastAsia="Verdana" w:hAnsi="Verdana" w:cs="Verdana"/>
          <w:lang w:val="es-ES"/>
        </w:rPr>
        <w:t xml:space="preserve">. Por ejemplo, </w:t>
      </w:r>
      <w:r>
        <w:rPr>
          <w:rFonts w:ascii="Verdana" w:eastAsia="Verdana" w:hAnsi="Verdana" w:cs="Verdana"/>
          <w:lang w:val="es-ES"/>
        </w:rPr>
        <w:t xml:space="preserve">debe determinar </w:t>
      </w:r>
      <w:r w:rsidRPr="00270E87">
        <w:rPr>
          <w:rFonts w:ascii="Verdana" w:eastAsia="Verdana" w:hAnsi="Verdana" w:cs="Verdana"/>
          <w:lang w:val="es-ES"/>
        </w:rPr>
        <w:t xml:space="preserve">si coincide con la definición y alcance del contrato de concesión previsto en el numeral 4 del artículo 32 de la Ley 80 de 1993, el cual los define así: </w:t>
      </w:r>
    </w:p>
    <w:p w14:paraId="5B1DD183" w14:textId="77777777" w:rsidR="00326475" w:rsidRPr="00270E87" w:rsidRDefault="00326475" w:rsidP="00326475">
      <w:pPr>
        <w:tabs>
          <w:tab w:val="left" w:pos="0"/>
        </w:tabs>
        <w:spacing w:before="120" w:after="0" w:line="240" w:lineRule="auto"/>
        <w:ind w:left="709" w:right="709"/>
        <w:jc w:val="both"/>
        <w:rPr>
          <w:rFonts w:ascii="Verdana" w:eastAsia="Calibri" w:hAnsi="Verdana" w:cs="Arial"/>
          <w:bCs/>
          <w:color w:val="000000" w:themeColor="text1"/>
          <w:sz w:val="20"/>
          <w:szCs w:val="20"/>
          <w:lang w:val="es-ES"/>
        </w:rPr>
      </w:pPr>
      <w:r w:rsidRPr="00270E87">
        <w:rPr>
          <w:rFonts w:ascii="Verdana" w:eastAsia="Calibri" w:hAnsi="Verdana" w:cs="Arial"/>
          <w:bCs/>
          <w:color w:val="000000" w:themeColor="text1"/>
          <w:sz w:val="20"/>
          <w:szCs w:val="20"/>
          <w:lang w:val="es-ES"/>
        </w:rPr>
        <w:t xml:space="preserve">“4. Son contratos de concesión los que celebran las entidades estatales con el objeto de otorgar a una persona llamada concesionario la prestación, operación, explotación, organización o gestión, total o parcial, de un servicio público, o la construcción, explotación o conservación total o parcial, de una obra o bien destinados al servicio o uso público, así como todas aquellas actividades necesarias para la adecuada prestación o funcionamiento de la obra o servicio por cuenta y riesgo del concesionario y bajo la vigilancia y control de la entidad concedente, a cambio de una remuneración que puede consistir en derechos, tarifas, tasas, valorización, o en la participación que se le otorgue en la explotación del bien, o en una </w:t>
      </w:r>
      <w:r w:rsidRPr="00270E87">
        <w:rPr>
          <w:rFonts w:ascii="Verdana" w:eastAsia="Calibri" w:hAnsi="Verdana" w:cs="Arial"/>
          <w:bCs/>
          <w:color w:val="000000" w:themeColor="text1"/>
          <w:sz w:val="20"/>
          <w:szCs w:val="20"/>
          <w:lang w:val="es-ES"/>
        </w:rPr>
        <w:lastRenderedPageBreak/>
        <w:t>suma periódica, única o porcentual y, en general, en cualquier otra modalidad de contraprestación que las partes acuerden”.</w:t>
      </w:r>
    </w:p>
    <w:p w14:paraId="21FB6655" w14:textId="77777777" w:rsidR="00326475" w:rsidRPr="00270E87" w:rsidRDefault="00326475" w:rsidP="00326475">
      <w:pPr>
        <w:tabs>
          <w:tab w:val="left" w:pos="0"/>
        </w:tabs>
        <w:spacing w:after="0" w:line="276" w:lineRule="auto"/>
        <w:jc w:val="both"/>
        <w:rPr>
          <w:rFonts w:ascii="Verdana" w:eastAsia="Calibri" w:hAnsi="Verdana" w:cs="Arial"/>
          <w:bCs/>
          <w:color w:val="000000" w:themeColor="text1"/>
          <w:lang w:val="es-ES"/>
        </w:rPr>
      </w:pPr>
    </w:p>
    <w:p w14:paraId="44919941" w14:textId="77777777" w:rsidR="00326475" w:rsidRDefault="00326475" w:rsidP="00326475">
      <w:pPr>
        <w:tabs>
          <w:tab w:val="left" w:pos="0"/>
        </w:tabs>
        <w:spacing w:after="120" w:line="276" w:lineRule="auto"/>
        <w:ind w:firstLine="709"/>
        <w:jc w:val="both"/>
        <w:rPr>
          <w:rFonts w:ascii="Verdana" w:eastAsia="Calibri" w:hAnsi="Verdana" w:cs="Arial"/>
          <w:bCs/>
          <w:color w:val="000000" w:themeColor="text1"/>
          <w:lang w:val="es-ES"/>
        </w:rPr>
      </w:pPr>
      <w:r w:rsidRPr="00270E87">
        <w:rPr>
          <w:rFonts w:ascii="Verdana" w:eastAsia="Calibri" w:hAnsi="Verdana" w:cs="Arial"/>
          <w:bCs/>
          <w:color w:val="000000" w:themeColor="text1"/>
          <w:lang w:val="es-ES"/>
        </w:rPr>
        <w:t xml:space="preserve">Tal como está tipificado el contrato de concesión en la Ley 80 de 1993, el Estado es el titular de la actividad o del bien y lo otorga a una persona que se denominará </w:t>
      </w:r>
      <w:r w:rsidRPr="00270E87">
        <w:rPr>
          <w:rFonts w:ascii="Verdana" w:eastAsia="Calibri" w:hAnsi="Verdana" w:cs="Arial"/>
          <w:bCs/>
          <w:i/>
          <w:iCs/>
          <w:color w:val="000000" w:themeColor="text1"/>
          <w:lang w:val="es-ES"/>
        </w:rPr>
        <w:t>concesionario</w:t>
      </w:r>
      <w:r w:rsidRPr="00270E87">
        <w:rPr>
          <w:rFonts w:ascii="Verdana" w:eastAsia="Calibri" w:hAnsi="Verdana" w:cs="Arial"/>
          <w:bCs/>
          <w:color w:val="000000" w:themeColor="text1"/>
          <w:lang w:val="es-ES"/>
        </w:rPr>
        <w:t xml:space="preserve">, para que este asuma el ejercicio del servicio público o la realización y explotación de una obra, por su propia cuenta y riesgo, pero con la permanente vigilancia de la entidad </w:t>
      </w:r>
      <w:r w:rsidRPr="00270E87">
        <w:rPr>
          <w:rFonts w:ascii="Verdana" w:eastAsia="Calibri" w:hAnsi="Verdana" w:cs="Arial"/>
          <w:bCs/>
          <w:i/>
          <w:iCs/>
          <w:color w:val="000000" w:themeColor="text1"/>
          <w:lang w:val="es-ES"/>
        </w:rPr>
        <w:t>concedente</w:t>
      </w:r>
      <w:r w:rsidRPr="00270E87">
        <w:rPr>
          <w:rFonts w:ascii="Verdana" w:eastAsia="Calibri" w:hAnsi="Verdana" w:cs="Arial"/>
          <w:bCs/>
          <w:color w:val="000000" w:themeColor="text1"/>
          <w:lang w:val="es-ES"/>
        </w:rPr>
        <w:t xml:space="preserve"> y como contraprestación recibirá un incentivo económico. La entidad concedente no se desprende de la potestad de dirección y control de la ejecución del contrato y debe ejercer la permanente vigilancia de la actividad que desarrolla el concesionario</w:t>
      </w:r>
      <w:r w:rsidRPr="00270E87">
        <w:rPr>
          <w:rStyle w:val="Refdenotaalpie"/>
          <w:rFonts w:ascii="Verdana" w:eastAsia="Calibri" w:hAnsi="Verdana" w:cs="Arial"/>
          <w:bCs/>
          <w:color w:val="000000" w:themeColor="text1"/>
          <w:lang w:val="es-ES"/>
        </w:rPr>
        <w:footnoteReference w:id="29"/>
      </w:r>
      <w:r w:rsidRPr="00270E87">
        <w:rPr>
          <w:rFonts w:ascii="Verdana" w:eastAsia="Calibri" w:hAnsi="Verdana" w:cs="Arial"/>
          <w:bCs/>
          <w:color w:val="000000" w:themeColor="text1"/>
          <w:lang w:val="es-ES"/>
        </w:rPr>
        <w:t>. Como se observa, en este tipo de contratos el contratista es, en principio, quien por su cuenta y riesgo ejecuta la prestación, operación, explotación u organización del servicio, así como la construcción, explotación o conservación del bien, a cambio de una remuneración</w:t>
      </w:r>
      <w:r w:rsidRPr="00270E87">
        <w:rPr>
          <w:rFonts w:ascii="Verdana" w:eastAsia="Calibri" w:hAnsi="Verdana" w:cs="Arial"/>
          <w:bCs/>
          <w:color w:val="000000" w:themeColor="text1"/>
          <w:vertAlign w:val="superscript"/>
          <w:lang w:val="es-ES"/>
        </w:rPr>
        <w:footnoteReference w:id="30"/>
      </w:r>
      <w:r w:rsidRPr="00270E87">
        <w:rPr>
          <w:rFonts w:ascii="Verdana" w:eastAsia="Calibri" w:hAnsi="Verdana" w:cs="Arial"/>
          <w:bCs/>
          <w:color w:val="000000" w:themeColor="text1"/>
          <w:lang w:val="es-ES"/>
        </w:rPr>
        <w:t xml:space="preserve">. </w:t>
      </w:r>
    </w:p>
    <w:p w14:paraId="20B12C4E" w14:textId="77777777" w:rsidR="00326475" w:rsidRPr="00270E87" w:rsidRDefault="00326475" w:rsidP="00326475">
      <w:pPr>
        <w:tabs>
          <w:tab w:val="left" w:pos="0"/>
        </w:tabs>
        <w:spacing w:after="120" w:line="276" w:lineRule="auto"/>
        <w:ind w:firstLine="709"/>
        <w:jc w:val="both"/>
        <w:rPr>
          <w:rFonts w:ascii="Verdana" w:eastAsia="Calibri" w:hAnsi="Verdana" w:cs="Arial"/>
          <w:bCs/>
          <w:color w:val="000000" w:themeColor="text1"/>
          <w:lang w:val="es-ES"/>
        </w:rPr>
      </w:pPr>
      <w:r w:rsidRPr="00270E87">
        <w:rPr>
          <w:rFonts w:ascii="Verdana" w:eastAsia="Calibri" w:hAnsi="Verdana" w:cs="Arial"/>
          <w:bCs/>
          <w:color w:val="000000" w:themeColor="text1"/>
          <w:lang w:val="es-ES"/>
        </w:rPr>
        <w:t>De esta manera, como característica fundamental de estos contratos se resalta “la vinculación de recursos del sector privado, a manera de inversión, en proyectos de interés público que permitan maximizar el gasto estatal en la satisfacción de otras necesidades”</w:t>
      </w:r>
      <w:r w:rsidRPr="00270E87">
        <w:rPr>
          <w:rStyle w:val="Refdenotaalpie"/>
          <w:rFonts w:ascii="Verdana" w:eastAsia="Calibri" w:hAnsi="Verdana" w:cs="Arial"/>
          <w:bCs/>
          <w:color w:val="000000" w:themeColor="text1"/>
          <w:lang w:val="es-ES"/>
        </w:rPr>
        <w:footnoteReference w:id="31"/>
      </w:r>
      <w:r w:rsidRPr="00270E87">
        <w:rPr>
          <w:rFonts w:ascii="Verdana" w:eastAsia="Calibri" w:hAnsi="Verdana" w:cs="Arial"/>
          <w:bCs/>
          <w:color w:val="000000" w:themeColor="text1"/>
          <w:lang w:val="es-ES"/>
        </w:rPr>
        <w:t>. Así mismo, es de la esencia del contrato de concesión la asunción de riesgos por parte del concesionario, lo que significa que tendrá derecho a la utilidad generada pero también asumirá las pérdidas derivadas de la gestión del servicio o bien concesionado.</w:t>
      </w:r>
      <w:r>
        <w:rPr>
          <w:rFonts w:ascii="Verdana" w:eastAsia="Calibri" w:hAnsi="Verdana" w:cs="Arial"/>
          <w:bCs/>
          <w:color w:val="000000" w:themeColor="text1"/>
          <w:lang w:val="es-ES"/>
        </w:rPr>
        <w:t xml:space="preserve"> </w:t>
      </w:r>
      <w:r w:rsidRPr="00270E87">
        <w:rPr>
          <w:rFonts w:ascii="Verdana" w:eastAsia="Calibri" w:hAnsi="Verdana" w:cs="Arial"/>
          <w:bCs/>
          <w:color w:val="000000" w:themeColor="text1"/>
          <w:lang w:val="es-ES"/>
        </w:rPr>
        <w:t>En palabras de la Corte Constitucional:</w:t>
      </w:r>
    </w:p>
    <w:p w14:paraId="47FD7012" w14:textId="77777777" w:rsidR="00326475" w:rsidRPr="00270E87" w:rsidRDefault="00326475" w:rsidP="00326475">
      <w:pPr>
        <w:spacing w:after="0" w:line="240" w:lineRule="auto"/>
        <w:ind w:left="709" w:right="709"/>
        <w:jc w:val="both"/>
        <w:rPr>
          <w:rFonts w:ascii="Verdana" w:eastAsia="Calibri" w:hAnsi="Verdana" w:cs="Arial"/>
          <w:color w:val="000000" w:themeColor="text1"/>
          <w:sz w:val="20"/>
          <w:szCs w:val="20"/>
          <w:lang w:val="es-ES"/>
        </w:rPr>
      </w:pPr>
      <w:r w:rsidRPr="00270E87">
        <w:rPr>
          <w:rFonts w:ascii="Verdana" w:eastAsia="Calibri" w:hAnsi="Verdana" w:cs="Arial"/>
          <w:color w:val="000000" w:themeColor="text1"/>
          <w:sz w:val="20"/>
          <w:szCs w:val="20"/>
          <w:lang w:val="es-ES"/>
        </w:rPr>
        <w:t xml:space="preserve">“Los contratos de concesión son entonces instrumentos a través de los cuales el Estado promueve el concurso de la inversión privada para el cumplimiento de sus fines. Estos contratos adquieren especial importancia </w:t>
      </w:r>
      <w:r w:rsidRPr="00270E87">
        <w:rPr>
          <w:rFonts w:ascii="Verdana" w:eastAsia="Calibri" w:hAnsi="Verdana" w:cs="Arial"/>
          <w:color w:val="000000" w:themeColor="text1"/>
          <w:sz w:val="20"/>
          <w:szCs w:val="20"/>
          <w:lang w:val="es-ES"/>
        </w:rPr>
        <w:lastRenderedPageBreak/>
        <w:t>en contextos en los que existen restricciones presupuestales, pues permiten la realización de importantes obras de infraestructura (vial, energética, de transporte, de telecomunicaciones, etc.) con el apoyo de los recursos y conocimientos privados; de este modo facilitan que los recursos públicos se enfoquen en otras necesidades de la actuación estatal”</w:t>
      </w:r>
      <w:r w:rsidRPr="00270E87">
        <w:rPr>
          <w:rFonts w:ascii="Verdana" w:eastAsia="Calibri" w:hAnsi="Verdana" w:cs="Arial"/>
          <w:color w:val="000000" w:themeColor="text1"/>
          <w:sz w:val="20"/>
          <w:szCs w:val="20"/>
          <w:vertAlign w:val="superscript"/>
          <w:lang w:val="es-ES"/>
        </w:rPr>
        <w:footnoteReference w:id="32"/>
      </w:r>
      <w:r w:rsidRPr="00270E87">
        <w:rPr>
          <w:rFonts w:ascii="Verdana" w:eastAsia="Calibri" w:hAnsi="Verdana" w:cs="Arial"/>
          <w:color w:val="000000" w:themeColor="text1"/>
          <w:sz w:val="20"/>
          <w:szCs w:val="20"/>
          <w:lang w:val="es-ES"/>
        </w:rPr>
        <w:t xml:space="preserve">. </w:t>
      </w:r>
    </w:p>
    <w:p w14:paraId="60C1442B" w14:textId="77777777" w:rsidR="00326475" w:rsidRPr="00270E87" w:rsidRDefault="00326475" w:rsidP="00326475">
      <w:pPr>
        <w:tabs>
          <w:tab w:val="left" w:pos="0"/>
        </w:tabs>
        <w:spacing w:after="0" w:line="276" w:lineRule="auto"/>
        <w:ind w:firstLine="709"/>
        <w:jc w:val="both"/>
        <w:rPr>
          <w:rFonts w:ascii="Verdana" w:eastAsia="Calibri" w:hAnsi="Verdana" w:cs="Arial"/>
          <w:bCs/>
          <w:color w:val="000000" w:themeColor="text1"/>
          <w:lang w:val="es-ES"/>
        </w:rPr>
      </w:pPr>
    </w:p>
    <w:p w14:paraId="71611975" w14:textId="77777777" w:rsidR="00326475" w:rsidRPr="00270E87" w:rsidRDefault="00326475" w:rsidP="00326475">
      <w:pPr>
        <w:spacing w:after="120" w:line="276" w:lineRule="auto"/>
        <w:ind w:firstLine="709"/>
        <w:jc w:val="both"/>
        <w:rPr>
          <w:rFonts w:ascii="Verdana" w:eastAsia="Calibri" w:hAnsi="Verdana" w:cs="Arial"/>
          <w:color w:val="000000" w:themeColor="text1"/>
          <w:lang w:val="es-ES"/>
        </w:rPr>
      </w:pPr>
      <w:r w:rsidRPr="00270E87">
        <w:rPr>
          <w:rFonts w:ascii="Verdana" w:eastAsia="Calibri" w:hAnsi="Verdana" w:cs="Arial"/>
          <w:color w:val="000000" w:themeColor="text1"/>
          <w:lang w:val="es-ES"/>
        </w:rPr>
        <w:t xml:space="preserve">A partir de la tipificación de este contrato, en el artículo citado, y sin perjuicio de la existencia de regímenes especiales, las disposiciones del Estatuto General de Contratación de la Administración Pública – en adelante EGCAP – eran las que aplicaban principalmente las Entidades Públicas en la celebración de los contratos de concesión. Sin embargo, con posterioridad se expidió la Ley 1508 de 2012, “Por la cual se establece el régimen jurídico de las Asociaciones Público-Privadas, se dictan normas orgánicas de presupuesto y se dictan otras disposiciones”, normativa que se menciona en su consulta. </w:t>
      </w:r>
    </w:p>
    <w:p w14:paraId="351A96AA" w14:textId="77777777" w:rsidR="00326475" w:rsidRPr="00270E87" w:rsidRDefault="00326475" w:rsidP="00326475">
      <w:pPr>
        <w:spacing w:after="120" w:line="276" w:lineRule="auto"/>
        <w:ind w:firstLine="709"/>
        <w:jc w:val="both"/>
        <w:rPr>
          <w:rFonts w:ascii="Verdana" w:eastAsia="Calibri" w:hAnsi="Verdana" w:cs="Arial"/>
          <w:bCs/>
          <w:lang w:val="es-ES"/>
        </w:rPr>
      </w:pPr>
      <w:r w:rsidRPr="00270E87">
        <w:rPr>
          <w:rFonts w:ascii="Verdana" w:eastAsia="Calibri" w:hAnsi="Verdana" w:cs="Arial"/>
          <w:bCs/>
          <w:lang w:val="es-ES"/>
        </w:rPr>
        <w:t xml:space="preserve">Mediante la </w:t>
      </w:r>
      <w:bookmarkStart w:id="1" w:name="_Hlk182374015"/>
      <w:r w:rsidRPr="00270E87">
        <w:rPr>
          <w:rFonts w:ascii="Verdana" w:eastAsia="Calibri" w:hAnsi="Verdana" w:cs="Arial"/>
          <w:bCs/>
          <w:lang w:val="es-ES"/>
        </w:rPr>
        <w:t xml:space="preserve">Ley 1508 de 2012 </w:t>
      </w:r>
      <w:bookmarkEnd w:id="1"/>
      <w:r w:rsidRPr="00270E87">
        <w:rPr>
          <w:rFonts w:ascii="Verdana" w:eastAsia="Calibri" w:hAnsi="Verdana" w:cs="Arial"/>
          <w:bCs/>
          <w:lang w:val="es-ES"/>
        </w:rPr>
        <w:t>se estableció el régimen jurídico de las Asociaciones Público-Privadas – APP, en cual se define dicha figura, se concreta su ámbito de aplicación y se prevén los principios generales a los que se someten las mencionadas Asociaciones, el derecho a retribuciones, el plazo de los respectivos contratos, entre otros aspectos. Adicionalmente, la norma aludida regula los tipos de Asociaciones Público-Privadas que existen en el ordenamiento jurídico colombiano; así como el alcance y requisitos que se deben cumplir, en cada caso, para su concreción y para la celebración y ejecución de los contratos respectivos.</w:t>
      </w:r>
    </w:p>
    <w:p w14:paraId="5812C6A8" w14:textId="77777777" w:rsidR="00326475" w:rsidRPr="00270E87" w:rsidRDefault="00326475" w:rsidP="00326475">
      <w:pPr>
        <w:tabs>
          <w:tab w:val="left" w:pos="426"/>
        </w:tabs>
        <w:spacing w:after="0" w:line="276" w:lineRule="auto"/>
        <w:ind w:firstLine="709"/>
        <w:jc w:val="both"/>
        <w:rPr>
          <w:rFonts w:ascii="Verdana" w:eastAsia="Calibri" w:hAnsi="Verdana" w:cs="Arial"/>
          <w:color w:val="000000" w:themeColor="text1"/>
          <w:lang w:val="es-ES"/>
        </w:rPr>
      </w:pPr>
      <w:r w:rsidRPr="00270E87">
        <w:rPr>
          <w:rFonts w:ascii="Verdana" w:eastAsia="Calibri" w:hAnsi="Verdana" w:cs="Arial"/>
          <w:bCs/>
          <w:lang w:val="es-ES"/>
        </w:rPr>
        <w:t xml:space="preserve">En ese contexto, el </w:t>
      </w:r>
      <w:bookmarkStart w:id="2" w:name="_Hlk182374022"/>
      <w:r w:rsidRPr="00270E87">
        <w:rPr>
          <w:rFonts w:ascii="Verdana" w:eastAsia="Calibri" w:hAnsi="Verdana" w:cs="Arial"/>
          <w:bCs/>
          <w:lang w:val="es-ES"/>
        </w:rPr>
        <w:t>artículo 1</w:t>
      </w:r>
      <w:bookmarkEnd w:id="2"/>
      <w:r w:rsidRPr="00270E87">
        <w:rPr>
          <w:rFonts w:ascii="Verdana" w:eastAsia="Calibri" w:hAnsi="Verdana" w:cs="Arial"/>
          <w:bCs/>
          <w:i/>
          <w:iCs/>
          <w:lang w:val="es-ES"/>
        </w:rPr>
        <w:t xml:space="preserve"> ibidem</w:t>
      </w:r>
      <w:r w:rsidRPr="00270E87">
        <w:rPr>
          <w:rFonts w:ascii="Verdana" w:eastAsia="Calibri" w:hAnsi="Verdana" w:cs="Arial"/>
          <w:bCs/>
          <w:lang w:val="es-ES"/>
        </w:rPr>
        <w:t xml:space="preserve"> definió las Asociaciones-Público Privadas </w:t>
      </w:r>
      <w:r w:rsidRPr="00270E87">
        <w:rPr>
          <w:rFonts w:ascii="Verdana" w:eastAsia="Calibri" w:hAnsi="Verdana" w:cs="Arial"/>
          <w:color w:val="000000" w:themeColor="text1"/>
          <w:lang w:val="es-ES"/>
        </w:rPr>
        <w:t>–APP– de la siguiente manera:</w:t>
      </w:r>
    </w:p>
    <w:p w14:paraId="635BFF22" w14:textId="77777777" w:rsidR="00326475" w:rsidRPr="00270E87" w:rsidRDefault="00326475" w:rsidP="00326475">
      <w:pPr>
        <w:tabs>
          <w:tab w:val="left" w:pos="0"/>
        </w:tabs>
        <w:spacing w:after="0" w:line="276" w:lineRule="auto"/>
        <w:ind w:left="709" w:right="709"/>
        <w:jc w:val="both"/>
        <w:rPr>
          <w:rFonts w:ascii="Verdana" w:eastAsia="Calibri" w:hAnsi="Verdana" w:cs="Arial"/>
          <w:bCs/>
          <w:color w:val="000000" w:themeColor="text1"/>
          <w:lang w:val="es-ES"/>
        </w:rPr>
      </w:pPr>
    </w:p>
    <w:p w14:paraId="5B57AEF7" w14:textId="77777777" w:rsidR="00326475" w:rsidRPr="00270E87" w:rsidRDefault="00326475" w:rsidP="00326475">
      <w:pPr>
        <w:spacing w:after="0" w:line="240" w:lineRule="auto"/>
        <w:ind w:left="709" w:right="709"/>
        <w:jc w:val="both"/>
        <w:rPr>
          <w:rFonts w:ascii="Verdana" w:eastAsia="Calibri" w:hAnsi="Verdana" w:cs="Arial"/>
          <w:color w:val="000000" w:themeColor="text1"/>
          <w:sz w:val="20"/>
          <w:szCs w:val="20"/>
          <w:lang w:val="es-ES"/>
        </w:rPr>
      </w:pPr>
      <w:r w:rsidRPr="00270E87">
        <w:rPr>
          <w:rFonts w:ascii="Verdana" w:eastAsia="Calibri" w:hAnsi="Verdana" w:cs="Arial"/>
          <w:color w:val="000000" w:themeColor="text1"/>
          <w:sz w:val="20"/>
          <w:szCs w:val="20"/>
          <w:lang w:val="es-ES"/>
        </w:rPr>
        <w:t xml:space="preserve">“Artículo 1. Las Asociaciones </w:t>
      </w:r>
      <w:proofErr w:type="gramStart"/>
      <w:r w:rsidRPr="00270E87">
        <w:rPr>
          <w:rFonts w:ascii="Verdana" w:eastAsia="Calibri" w:hAnsi="Verdana" w:cs="Arial"/>
          <w:color w:val="000000" w:themeColor="text1"/>
          <w:sz w:val="20"/>
          <w:szCs w:val="20"/>
          <w:lang w:val="es-ES"/>
        </w:rPr>
        <w:t>Público Privadas</w:t>
      </w:r>
      <w:proofErr w:type="gramEnd"/>
      <w:r w:rsidRPr="00270E87">
        <w:rPr>
          <w:rFonts w:ascii="Verdana" w:eastAsia="Calibri" w:hAnsi="Verdana" w:cs="Arial"/>
          <w:color w:val="000000" w:themeColor="text1"/>
          <w:sz w:val="20"/>
          <w:szCs w:val="20"/>
          <w:lang w:val="es-ES"/>
        </w:rPr>
        <w:t xml:space="preserve"> son un instrumento de vinculación de capital privado, que se materializan en un contrato entre una entidad estatal y una persona natural o jurídica de derecho privado, para la provisión de bienes públicos y de sus servicios relacionados, que involucra la retención y transferencia de riesgos entre las partes y mecanismos de pago, relacionados con la disponibilidad y el nivel de servicio de la infraestructura y/o servicio”.</w:t>
      </w:r>
    </w:p>
    <w:p w14:paraId="4DE01DFC" w14:textId="77777777" w:rsidR="00326475" w:rsidRPr="00270E87" w:rsidRDefault="00326475" w:rsidP="00326475">
      <w:pPr>
        <w:tabs>
          <w:tab w:val="left" w:pos="0"/>
        </w:tabs>
        <w:spacing w:after="0" w:line="276" w:lineRule="auto"/>
        <w:ind w:firstLine="709"/>
        <w:jc w:val="both"/>
        <w:rPr>
          <w:rFonts w:ascii="Verdana" w:eastAsia="Calibri" w:hAnsi="Verdana" w:cs="Arial"/>
          <w:bCs/>
          <w:color w:val="000000" w:themeColor="text1"/>
          <w:lang w:val="es-ES"/>
        </w:rPr>
      </w:pPr>
    </w:p>
    <w:p w14:paraId="29EB27BC" w14:textId="77777777" w:rsidR="00326475" w:rsidRPr="00270E87" w:rsidRDefault="00326475" w:rsidP="00326475">
      <w:pPr>
        <w:tabs>
          <w:tab w:val="left" w:pos="0"/>
        </w:tabs>
        <w:spacing w:after="120" w:line="276" w:lineRule="auto"/>
        <w:ind w:firstLine="709"/>
        <w:jc w:val="both"/>
        <w:rPr>
          <w:rFonts w:ascii="Verdana" w:eastAsia="Calibri" w:hAnsi="Verdana" w:cs="Arial"/>
          <w:bCs/>
          <w:strike/>
          <w:color w:val="000000" w:themeColor="text1"/>
          <w:lang w:val="es-ES"/>
        </w:rPr>
      </w:pPr>
      <w:r w:rsidRPr="00270E87">
        <w:rPr>
          <w:rFonts w:ascii="Verdana" w:eastAsia="Calibri" w:hAnsi="Verdana" w:cs="Arial"/>
          <w:bCs/>
          <w:color w:val="000000" w:themeColor="text1"/>
          <w:lang w:val="es-ES"/>
        </w:rPr>
        <w:lastRenderedPageBreak/>
        <w:t>Con fundamento en dicha noción, el legislador entiende la concesión como una forma de colaboración público-privada</w:t>
      </w:r>
      <w:r w:rsidRPr="00270E87">
        <w:rPr>
          <w:rFonts w:ascii="Verdana" w:eastAsia="Calibri" w:hAnsi="Verdana" w:cs="Arial"/>
          <w:bCs/>
          <w:color w:val="000000" w:themeColor="text1"/>
          <w:vertAlign w:val="superscript"/>
          <w:lang w:val="es-ES"/>
        </w:rPr>
        <w:footnoteReference w:id="33"/>
      </w:r>
      <w:r w:rsidRPr="00270E87">
        <w:rPr>
          <w:rFonts w:ascii="Verdana" w:eastAsia="Calibri" w:hAnsi="Verdana" w:cs="Arial"/>
          <w:bCs/>
          <w:color w:val="000000" w:themeColor="text1"/>
          <w:lang w:val="es-ES"/>
        </w:rPr>
        <w:t xml:space="preserve">, es decir, como un mecanismo a través del cual el sector privado participa en la gestión pública, representada en la ejecución de actividades de infraestructura o de otros servicios, vinculando capital, conocimientos y experiencia, así como un mayor riesgo que el que ordinariamente se asume en otras tipologías contractuales. </w:t>
      </w:r>
    </w:p>
    <w:p w14:paraId="3D60334F" w14:textId="10384629" w:rsidR="00326475" w:rsidRPr="00270E87" w:rsidRDefault="00326475" w:rsidP="00326475">
      <w:pPr>
        <w:tabs>
          <w:tab w:val="left" w:pos="426"/>
        </w:tabs>
        <w:spacing w:after="0" w:line="276" w:lineRule="auto"/>
        <w:ind w:firstLine="709"/>
        <w:jc w:val="both"/>
        <w:rPr>
          <w:rFonts w:ascii="Verdana" w:eastAsia="Calibri" w:hAnsi="Verdana" w:cs="Arial"/>
          <w:bCs/>
          <w:lang w:val="es-ES"/>
        </w:rPr>
      </w:pPr>
      <w:r w:rsidRPr="00270E87">
        <w:rPr>
          <w:rFonts w:ascii="Verdana" w:eastAsia="Calibri" w:hAnsi="Verdana" w:cs="Arial"/>
          <w:bCs/>
          <w:lang w:val="es-ES"/>
        </w:rPr>
        <w:t>Conforme a la regulación vigente, las Asociaciones Publico Privadas constituyen modalidades de negocio en las cuales la disponibilidad y el nivel de la infraestructura o servicio resultan determinantes. Así lo señala la Corte Constitucional, expresando lo siguiente:</w:t>
      </w:r>
    </w:p>
    <w:p w14:paraId="2E9D39A3" w14:textId="77777777" w:rsidR="00326475" w:rsidRPr="00270E87" w:rsidRDefault="00326475" w:rsidP="00326475">
      <w:pPr>
        <w:tabs>
          <w:tab w:val="left" w:pos="426"/>
        </w:tabs>
        <w:spacing w:after="0" w:line="276" w:lineRule="auto"/>
        <w:ind w:firstLine="709"/>
        <w:jc w:val="both"/>
        <w:rPr>
          <w:rFonts w:ascii="Verdana" w:eastAsia="Calibri" w:hAnsi="Verdana" w:cs="Arial"/>
          <w:bCs/>
          <w:lang w:val="es-ES"/>
        </w:rPr>
      </w:pPr>
    </w:p>
    <w:p w14:paraId="60B8F72F" w14:textId="77777777" w:rsidR="00326475" w:rsidRPr="00270E87" w:rsidRDefault="00326475" w:rsidP="00326475">
      <w:pPr>
        <w:tabs>
          <w:tab w:val="left" w:pos="426"/>
        </w:tabs>
        <w:spacing w:after="0" w:line="240" w:lineRule="auto"/>
        <w:ind w:left="709" w:right="709"/>
        <w:jc w:val="both"/>
        <w:rPr>
          <w:rFonts w:ascii="Verdana" w:eastAsia="Calibri" w:hAnsi="Verdana" w:cs="Arial"/>
          <w:bCs/>
          <w:sz w:val="20"/>
          <w:szCs w:val="20"/>
          <w:lang w:val="es-ES"/>
        </w:rPr>
      </w:pPr>
      <w:r w:rsidRPr="00270E87">
        <w:rPr>
          <w:rFonts w:ascii="Verdana" w:eastAsia="Calibri" w:hAnsi="Verdana" w:cs="Arial"/>
          <w:bCs/>
          <w:sz w:val="20"/>
          <w:szCs w:val="20"/>
          <w:lang w:val="es-ES"/>
        </w:rPr>
        <w:t>“Las APP se caracterizan por: (i) tener una larga duración; (</w:t>
      </w:r>
      <w:proofErr w:type="spellStart"/>
      <w:r w:rsidRPr="00270E87">
        <w:rPr>
          <w:rFonts w:ascii="Verdana" w:eastAsia="Calibri" w:hAnsi="Verdana" w:cs="Arial"/>
          <w:bCs/>
          <w:sz w:val="20"/>
          <w:szCs w:val="20"/>
          <w:lang w:val="es-ES"/>
        </w:rPr>
        <w:t>ii</w:t>
      </w:r>
      <w:proofErr w:type="spellEnd"/>
      <w:r w:rsidRPr="00270E87">
        <w:rPr>
          <w:rFonts w:ascii="Verdana" w:eastAsia="Calibri" w:hAnsi="Verdana" w:cs="Arial"/>
          <w:bCs/>
          <w:sz w:val="20"/>
          <w:szCs w:val="20"/>
          <w:lang w:val="es-ES"/>
        </w:rPr>
        <w:t>) definir sus objetos alrededor de proyectos, lo que conlleva la previsión de actividades como el diseño, construcción y mantenimiento de la infraestructura pública sobre la que verse el contrato y/o los servicios asociados; (</w:t>
      </w:r>
      <w:proofErr w:type="spellStart"/>
      <w:r w:rsidRPr="00270E87">
        <w:rPr>
          <w:rFonts w:ascii="Verdana" w:eastAsia="Calibri" w:hAnsi="Verdana" w:cs="Arial"/>
          <w:bCs/>
          <w:sz w:val="20"/>
          <w:szCs w:val="20"/>
          <w:lang w:val="es-ES"/>
        </w:rPr>
        <w:t>iii</w:t>
      </w:r>
      <w:proofErr w:type="spellEnd"/>
      <w:r w:rsidRPr="00270E87">
        <w:rPr>
          <w:rFonts w:ascii="Verdana" w:eastAsia="Calibri" w:hAnsi="Verdana" w:cs="Arial"/>
          <w:bCs/>
          <w:sz w:val="20"/>
          <w:szCs w:val="20"/>
          <w:lang w:val="es-ES"/>
        </w:rPr>
        <w:t>) contar con financiación privada o público-privada; (</w:t>
      </w:r>
      <w:proofErr w:type="spellStart"/>
      <w:r w:rsidRPr="00270E87">
        <w:rPr>
          <w:rFonts w:ascii="Verdana" w:eastAsia="Calibri" w:hAnsi="Verdana" w:cs="Arial"/>
          <w:bCs/>
          <w:sz w:val="20"/>
          <w:szCs w:val="20"/>
          <w:lang w:val="es-ES"/>
        </w:rPr>
        <w:t>iv</w:t>
      </w:r>
      <w:proofErr w:type="spellEnd"/>
      <w:r w:rsidRPr="00270E87">
        <w:rPr>
          <w:rFonts w:ascii="Verdana" w:eastAsia="Calibri" w:hAnsi="Verdana" w:cs="Arial"/>
          <w:bCs/>
          <w:sz w:val="20"/>
          <w:szCs w:val="20"/>
          <w:lang w:val="es-ES"/>
        </w:rPr>
        <w:t>) establecer como forma de remuneración el otorgamiento del derecho a la explotación de la infraestructura o servicio, aunque en algunos casos es posible pactar el desembolso de recursos públicos; (v) condicionar la remuneración a niveles de calidad; (vi) trasladar parte importante de los riesgos al contratista –por ejemplo, los asociados al diseño, niveles de demanda, deterioro y mantenimiento de la infraestructura- según su capacidad y experiencia; y (</w:t>
      </w:r>
      <w:proofErr w:type="spellStart"/>
      <w:r w:rsidRPr="00270E87">
        <w:rPr>
          <w:rFonts w:ascii="Verdana" w:eastAsia="Calibri" w:hAnsi="Verdana" w:cs="Arial"/>
          <w:bCs/>
          <w:sz w:val="20"/>
          <w:szCs w:val="20"/>
          <w:lang w:val="es-ES"/>
        </w:rPr>
        <w:t>vii</w:t>
      </w:r>
      <w:proofErr w:type="spellEnd"/>
      <w:r w:rsidRPr="00270E87">
        <w:rPr>
          <w:rFonts w:ascii="Verdana" w:eastAsia="Calibri" w:hAnsi="Verdana" w:cs="Arial"/>
          <w:bCs/>
          <w:sz w:val="20"/>
          <w:szCs w:val="20"/>
          <w:lang w:val="es-ES"/>
        </w:rPr>
        <w:t>) distribuir las tareas entre las partes de acuerdo con su experiencia y ventaja competitiva [...]”</w:t>
      </w:r>
      <w:r w:rsidRPr="00270E87">
        <w:rPr>
          <w:rFonts w:ascii="Verdana" w:eastAsia="Calibri" w:hAnsi="Verdana" w:cs="Arial"/>
          <w:bCs/>
          <w:sz w:val="20"/>
          <w:szCs w:val="20"/>
          <w:vertAlign w:val="superscript"/>
          <w:lang w:val="es-ES"/>
        </w:rPr>
        <w:footnoteReference w:id="34"/>
      </w:r>
      <w:r w:rsidRPr="00270E87">
        <w:rPr>
          <w:rFonts w:ascii="Verdana" w:eastAsia="Calibri" w:hAnsi="Verdana" w:cs="Arial"/>
          <w:bCs/>
          <w:sz w:val="20"/>
          <w:szCs w:val="20"/>
          <w:lang w:val="es-ES"/>
        </w:rPr>
        <w:t>.</w:t>
      </w:r>
    </w:p>
    <w:p w14:paraId="32EF9F2A" w14:textId="77777777" w:rsidR="00326475" w:rsidRPr="00270E87" w:rsidRDefault="00326475" w:rsidP="00326475">
      <w:pPr>
        <w:widowControl w:val="0"/>
        <w:autoSpaceDE w:val="0"/>
        <w:autoSpaceDN w:val="0"/>
        <w:spacing w:after="120" w:line="276" w:lineRule="auto"/>
        <w:jc w:val="both"/>
        <w:rPr>
          <w:rFonts w:ascii="Verdana" w:eastAsia="Verdana" w:hAnsi="Verdana" w:cs="Verdana"/>
          <w:lang w:val="es-ES"/>
        </w:rPr>
      </w:pPr>
    </w:p>
    <w:p w14:paraId="2DB9E6F9" w14:textId="40BAC6D8" w:rsidR="00326475" w:rsidRPr="00270E87" w:rsidRDefault="00326475" w:rsidP="00326475">
      <w:pPr>
        <w:widowControl w:val="0"/>
        <w:autoSpaceDE w:val="0"/>
        <w:autoSpaceDN w:val="0"/>
        <w:spacing w:after="120" w:line="276" w:lineRule="auto"/>
        <w:ind w:firstLine="709"/>
        <w:jc w:val="both"/>
        <w:rPr>
          <w:rFonts w:ascii="Verdana" w:eastAsia="Calibri" w:hAnsi="Verdana" w:cs="Arial"/>
          <w:bCs/>
          <w:color w:val="000000" w:themeColor="text1"/>
          <w:lang w:val="es-ES"/>
        </w:rPr>
      </w:pPr>
      <w:r w:rsidRPr="00270E87">
        <w:rPr>
          <w:rFonts w:ascii="Verdana" w:eastAsia="Calibri" w:hAnsi="Verdana" w:cs="Arial"/>
          <w:bCs/>
          <w:lang w:val="es-ES"/>
        </w:rPr>
        <w:t>Al respecto, e</w:t>
      </w:r>
      <w:r w:rsidRPr="00270E87">
        <w:rPr>
          <w:rFonts w:ascii="Verdana" w:eastAsia="Calibri" w:hAnsi="Verdana" w:cs="Arial"/>
          <w:bCs/>
          <w:lang w:val="es-ES" w:eastAsia="es-ES" w:bidi="es-ES"/>
        </w:rPr>
        <w:t>l artículo 2 de la Ley 1508 del 201</w:t>
      </w:r>
      <w:r w:rsidR="007C1E86">
        <w:rPr>
          <w:rFonts w:ascii="Verdana" w:eastAsia="Calibri" w:hAnsi="Verdana" w:cs="Arial"/>
          <w:bCs/>
          <w:lang w:val="es-ES" w:eastAsia="es-ES" w:bidi="es-ES"/>
        </w:rPr>
        <w:t>2</w:t>
      </w:r>
      <w:r w:rsidRPr="00270E87">
        <w:rPr>
          <w:rFonts w:ascii="Verdana" w:eastAsia="Calibri" w:hAnsi="Verdana" w:cs="Arial"/>
          <w:bCs/>
          <w:lang w:val="es-ES" w:eastAsia="es-ES" w:bidi="es-ES"/>
        </w:rPr>
        <w:t xml:space="preserve"> dispone expresamente que “las concesiones de que trata el numeral 4 del artículo 32 de la Ley 80 de 1993, se encuentran comprendidas dentro de los esquemas de Asociación Público Privadas”. En este sentido, </w:t>
      </w:r>
      <w:r w:rsidRPr="00270E87">
        <w:rPr>
          <w:rFonts w:ascii="Verdana" w:eastAsia="Calibri" w:hAnsi="Verdana" w:cs="Arial"/>
          <w:bCs/>
          <w:color w:val="000000" w:themeColor="text1"/>
          <w:lang w:val="es-ES"/>
        </w:rPr>
        <w:t>el contrato de concesión de la Ley 80 de 1993 pas</w:t>
      </w:r>
      <w:r w:rsidR="007C1E86">
        <w:rPr>
          <w:rFonts w:ascii="Verdana" w:eastAsia="Calibri" w:hAnsi="Verdana" w:cs="Arial"/>
          <w:bCs/>
          <w:color w:val="000000" w:themeColor="text1"/>
          <w:lang w:val="es-ES"/>
        </w:rPr>
        <w:t>ó</w:t>
      </w:r>
      <w:r w:rsidRPr="00270E87">
        <w:rPr>
          <w:rFonts w:ascii="Verdana" w:eastAsia="Calibri" w:hAnsi="Verdana" w:cs="Arial"/>
          <w:bCs/>
          <w:color w:val="000000" w:themeColor="text1"/>
          <w:lang w:val="es-ES"/>
        </w:rPr>
        <w:t xml:space="preserve"> a hacer parte del concepto de Asociación Público-Privada, sin que este sea el único instrumento jurídico para ejecutar proyectos mediante esta figura. Esto </w:t>
      </w:r>
      <w:r w:rsidRPr="00270E87">
        <w:rPr>
          <w:rFonts w:ascii="Verdana" w:eastAsia="Calibri" w:hAnsi="Verdana" w:cs="Arial"/>
          <w:bCs/>
          <w:color w:val="000000" w:themeColor="text1"/>
          <w:lang w:val="es-ES"/>
        </w:rPr>
        <w:lastRenderedPageBreak/>
        <w:t>se ratifica en el artículo 1</w:t>
      </w:r>
      <w:r w:rsidRPr="00270E87">
        <w:rPr>
          <w:rFonts w:ascii="Verdana" w:eastAsia="Calibri" w:hAnsi="Verdana" w:cs="Arial"/>
          <w:bCs/>
          <w:i/>
          <w:iCs/>
          <w:color w:val="000000" w:themeColor="text1"/>
          <w:lang w:val="es-ES"/>
        </w:rPr>
        <w:t xml:space="preserve"> ibidem </w:t>
      </w:r>
      <w:r w:rsidRPr="00270E87">
        <w:rPr>
          <w:rFonts w:ascii="Verdana" w:eastAsia="Calibri" w:hAnsi="Verdana" w:cs="Arial"/>
          <w:bCs/>
          <w:color w:val="000000" w:themeColor="text1"/>
          <w:lang w:val="es-ES"/>
        </w:rPr>
        <w:t xml:space="preserve">en el cual se indica que la Asociación Público-Privada se materializa </w:t>
      </w:r>
      <w:r w:rsidRPr="00270E87">
        <w:rPr>
          <w:rFonts w:ascii="Verdana" w:eastAsia="Calibri" w:hAnsi="Verdana" w:cs="Arial"/>
          <w:bCs/>
          <w:lang w:val="es-ES"/>
        </w:rPr>
        <w:t>en un contrato entre una Entidad Estatal y una persona natural o jurídica de derecho privado, por lo que se puede ejecutarse mediante cualquier tipo de contrato y no exclusivamente a través de un contrato de concesión</w:t>
      </w:r>
      <w:r w:rsidRPr="00270E87">
        <w:rPr>
          <w:rStyle w:val="Refdenotaalpie"/>
          <w:rFonts w:ascii="Verdana" w:eastAsia="Calibri" w:hAnsi="Verdana" w:cs="Arial"/>
          <w:bCs/>
          <w:lang w:val="es-ES"/>
        </w:rPr>
        <w:footnoteReference w:id="35"/>
      </w:r>
      <w:r w:rsidRPr="00270E87">
        <w:rPr>
          <w:rFonts w:ascii="Verdana" w:eastAsia="Calibri" w:hAnsi="Verdana" w:cs="Arial"/>
          <w:bCs/>
          <w:lang w:val="es-ES"/>
        </w:rPr>
        <w:t xml:space="preserve">. </w:t>
      </w:r>
    </w:p>
    <w:p w14:paraId="4FDEBAB1" w14:textId="586B306C" w:rsidR="00326475" w:rsidRDefault="00326475" w:rsidP="00326475">
      <w:pPr>
        <w:widowControl w:val="0"/>
        <w:autoSpaceDE w:val="0"/>
        <w:autoSpaceDN w:val="0"/>
        <w:spacing w:after="120" w:line="276" w:lineRule="auto"/>
        <w:ind w:firstLine="709"/>
        <w:jc w:val="both"/>
        <w:rPr>
          <w:rFonts w:ascii="Verdana" w:eastAsia="Arial" w:hAnsi="Verdana" w:cs="Arial"/>
          <w:lang w:val="es-ES"/>
        </w:rPr>
      </w:pPr>
      <w:r w:rsidRPr="00270E87">
        <w:rPr>
          <w:rFonts w:ascii="Verdana" w:eastAsia="Calibri" w:hAnsi="Verdana" w:cs="Arial"/>
          <w:bCs/>
          <w:lang w:val="es-ES" w:eastAsia="es-ES" w:bidi="es-ES"/>
        </w:rPr>
        <w:t xml:space="preserve">En relación con los contratos en los cuales resulta aplicable la figura de la </w:t>
      </w:r>
      <w:r w:rsidRPr="00270E87">
        <w:rPr>
          <w:rFonts w:ascii="Verdana" w:eastAsia="Calibri" w:hAnsi="Verdana" w:cs="Arial"/>
          <w:bCs/>
          <w:color w:val="000000" w:themeColor="text1"/>
          <w:lang w:val="es-ES"/>
        </w:rPr>
        <w:t>Asociación Público-Privada</w:t>
      </w:r>
      <w:r w:rsidRPr="00270E87">
        <w:rPr>
          <w:rFonts w:ascii="Verdana" w:eastAsia="Calibri" w:hAnsi="Verdana" w:cs="Arial"/>
          <w:bCs/>
          <w:lang w:val="es-ES" w:eastAsia="es-ES" w:bidi="es-ES"/>
        </w:rPr>
        <w:t>, es pertinente señalar que el artículo 3 de la Ley 1508 del 201</w:t>
      </w:r>
      <w:r w:rsidR="00E01785">
        <w:rPr>
          <w:rFonts w:ascii="Verdana" w:eastAsia="Calibri" w:hAnsi="Verdana" w:cs="Arial"/>
          <w:bCs/>
          <w:lang w:val="es-ES" w:eastAsia="es-ES" w:bidi="es-ES"/>
        </w:rPr>
        <w:t>2</w:t>
      </w:r>
      <w:r w:rsidRPr="00270E87">
        <w:rPr>
          <w:rFonts w:ascii="Verdana" w:eastAsia="Calibri" w:hAnsi="Verdana" w:cs="Arial"/>
          <w:bCs/>
          <w:lang w:val="es-ES" w:eastAsia="es-ES" w:bidi="es-ES"/>
        </w:rPr>
        <w:t xml:space="preserve"> prescribe que la ley “[…] es aplicable a todos aquellos contratos en los cuales las entidades estatales encarguen a un inversionista privado el diseño y construcción de una infraestructura y sus servicios asociados, o su construcción, reparación, mejoramiento o equipamiento, actividades todas estas que deberán involucrar la operación y mantenimiento de dicha infraestructura”. </w:t>
      </w:r>
      <w:r w:rsidRPr="00270E87">
        <w:rPr>
          <w:rFonts w:ascii="Verdana" w:eastAsia="Arial" w:hAnsi="Verdana" w:cs="Arial"/>
          <w:lang w:val="es-ES"/>
        </w:rPr>
        <w:t xml:space="preserve">Igualmente, el mencionado cuerpo normativo, y con ello las Asociaciones Público-Privadas, también aplican cuando el contrato verse </w:t>
      </w:r>
      <w:r w:rsidRPr="00270E87">
        <w:rPr>
          <w:rFonts w:ascii="Verdana" w:eastAsia="Arial" w:hAnsi="Verdana" w:cs="Arial"/>
          <w:bCs/>
          <w:lang w:val="es-ES"/>
        </w:rPr>
        <w:t>“</w:t>
      </w:r>
      <w:r w:rsidRPr="00270E87">
        <w:rPr>
          <w:rFonts w:ascii="Verdana" w:eastAsia="Arial" w:hAnsi="Verdana" w:cs="Arial"/>
          <w:lang w:val="es-ES"/>
        </w:rPr>
        <w:t>sobre infraestructura para la prestación de servicios públicos</w:t>
      </w:r>
      <w:r w:rsidRPr="00270E87">
        <w:rPr>
          <w:rFonts w:ascii="Verdana" w:eastAsia="Arial" w:hAnsi="Verdana" w:cs="Arial"/>
          <w:bCs/>
          <w:lang w:val="es-ES"/>
        </w:rPr>
        <w:t>”</w:t>
      </w:r>
      <w:r w:rsidRPr="00270E87">
        <w:rPr>
          <w:rFonts w:ascii="Verdana" w:eastAsia="Arial" w:hAnsi="Verdana" w:cs="Arial"/>
          <w:lang w:val="es-ES"/>
        </w:rPr>
        <w:t xml:space="preserve">, de acuerdo con lo dispuesto en el inciso segundo del artículo 3 de la Ley 1508 de 2012. </w:t>
      </w:r>
    </w:p>
    <w:p w14:paraId="2EAD0925" w14:textId="77777777" w:rsidR="00326475" w:rsidRPr="00270E87" w:rsidRDefault="00326475" w:rsidP="00326475">
      <w:pPr>
        <w:widowControl w:val="0"/>
        <w:autoSpaceDE w:val="0"/>
        <w:autoSpaceDN w:val="0"/>
        <w:spacing w:after="120" w:line="276" w:lineRule="auto"/>
        <w:ind w:firstLine="709"/>
        <w:jc w:val="both"/>
        <w:rPr>
          <w:rFonts w:ascii="Verdana" w:eastAsia="Arial" w:hAnsi="Verdana" w:cs="Arial"/>
          <w:lang w:val="es-ES"/>
        </w:rPr>
      </w:pPr>
      <w:r w:rsidRPr="00270E87">
        <w:rPr>
          <w:rFonts w:ascii="Verdana" w:eastAsia="Arial" w:hAnsi="Verdana" w:cs="Arial"/>
          <w:lang w:val="es-ES"/>
        </w:rPr>
        <w:t xml:space="preserve">Como se advierte </w:t>
      </w:r>
      <w:bookmarkStart w:id="4" w:name="_Hlk182374451"/>
      <w:r w:rsidRPr="00270E87">
        <w:rPr>
          <w:rFonts w:ascii="Verdana" w:eastAsia="Arial" w:hAnsi="Verdana" w:cs="Arial"/>
          <w:lang w:val="es-ES"/>
        </w:rPr>
        <w:t xml:space="preserve">del artículo 3 en comento, el ámbito de aplicación de las Asociaciones Publico-Privadas versa sobre los contratos que tengan por objeto i) el </w:t>
      </w:r>
      <w:r w:rsidRPr="00270E87">
        <w:rPr>
          <w:rFonts w:ascii="Verdana" w:eastAsia="Calibri" w:hAnsi="Verdana" w:cs="Arial"/>
          <w:bCs/>
          <w:lang w:val="es-ES" w:eastAsia="es-ES" w:bidi="es-ES"/>
        </w:rPr>
        <w:t xml:space="preserve">diseño y construcción de una infraestructura y sus servicios asociados, o </w:t>
      </w:r>
      <w:proofErr w:type="spellStart"/>
      <w:r w:rsidRPr="00270E87">
        <w:rPr>
          <w:rFonts w:ascii="Verdana" w:eastAsia="Calibri" w:hAnsi="Verdana" w:cs="Arial"/>
          <w:bCs/>
          <w:lang w:val="es-ES" w:eastAsia="es-ES" w:bidi="es-ES"/>
        </w:rPr>
        <w:t>ii</w:t>
      </w:r>
      <w:proofErr w:type="spellEnd"/>
      <w:r w:rsidRPr="00270E87">
        <w:rPr>
          <w:rFonts w:ascii="Verdana" w:eastAsia="Calibri" w:hAnsi="Verdana" w:cs="Arial"/>
          <w:bCs/>
          <w:lang w:val="es-ES" w:eastAsia="es-ES" w:bidi="es-ES"/>
        </w:rPr>
        <w:t>) la construcción, reparación, mejoramiento o equipamiento, actividades todas estas que deberán involucrar la operación y mantenimiento de dicha infraestructura, lo cual incluye también la infraestructura para la prestación de servicios públicos.</w:t>
      </w:r>
      <w:bookmarkEnd w:id="4"/>
    </w:p>
    <w:p w14:paraId="3F44990C" w14:textId="77777777" w:rsidR="00326475" w:rsidRPr="00270E87" w:rsidRDefault="00326475" w:rsidP="00326475">
      <w:pPr>
        <w:widowControl w:val="0"/>
        <w:autoSpaceDE w:val="0"/>
        <w:autoSpaceDN w:val="0"/>
        <w:spacing w:after="120" w:line="276" w:lineRule="auto"/>
        <w:ind w:firstLine="709"/>
        <w:jc w:val="both"/>
        <w:rPr>
          <w:rFonts w:ascii="Verdana" w:eastAsia="Arial" w:hAnsi="Verdana" w:cs="Arial"/>
          <w:lang w:val="es-ES"/>
        </w:rPr>
      </w:pPr>
      <w:bookmarkStart w:id="5" w:name="_Hlk182374517"/>
      <w:r w:rsidRPr="00270E87">
        <w:rPr>
          <w:rFonts w:ascii="Verdana" w:eastAsia="Arial" w:hAnsi="Verdana" w:cs="Arial"/>
          <w:lang w:val="es-ES"/>
        </w:rPr>
        <w:t xml:space="preserve">Así mismo, conviene precisar que, en los términos del parágrafo 1° del artículo 3 de la Ley 1508 de 2012, “solo se podrán realizar proyectos bajo esquemas de Asociación Público-Privada cuyo monto de inversión sea superior a seis mil (6.000) SMMLV”. Frente a este aspecto, se resalta que ni la Ley 1508 de 2012 ni el Decreto 1082 del 2015 que la reglamentan contienen disposiciones </w:t>
      </w:r>
      <w:r w:rsidRPr="00270E87">
        <w:rPr>
          <w:rFonts w:ascii="Verdana" w:eastAsia="Arial" w:hAnsi="Verdana" w:cs="Arial"/>
          <w:lang w:val="es-ES"/>
        </w:rPr>
        <w:lastRenderedPageBreak/>
        <w:t xml:space="preserve">específicas sobre los factores que se consideran comprendidos en el concepto </w:t>
      </w:r>
      <w:r w:rsidRPr="00270E87">
        <w:rPr>
          <w:rFonts w:ascii="Verdana" w:eastAsia="Arial" w:hAnsi="Verdana" w:cs="Arial"/>
          <w:bCs/>
          <w:lang w:val="es-ES"/>
        </w:rPr>
        <w:t xml:space="preserve">“monto de inversión”. Lo cual supone que, respecto </w:t>
      </w:r>
      <w:proofErr w:type="gramStart"/>
      <w:r w:rsidRPr="00270E87">
        <w:rPr>
          <w:rFonts w:ascii="Verdana" w:eastAsia="Arial" w:hAnsi="Verdana" w:cs="Arial"/>
          <w:bCs/>
          <w:lang w:val="es-ES"/>
        </w:rPr>
        <w:t>del mismo</w:t>
      </w:r>
      <w:proofErr w:type="gramEnd"/>
      <w:r w:rsidRPr="00270E87">
        <w:rPr>
          <w:rFonts w:ascii="Verdana" w:eastAsia="Arial" w:hAnsi="Verdana" w:cs="Arial"/>
          <w:bCs/>
          <w:lang w:val="es-ES"/>
        </w:rPr>
        <w:t xml:space="preserve"> se debe acudir al sentido literal de las palabras contenidas en la ley</w:t>
      </w:r>
      <w:r w:rsidRPr="00270E87">
        <w:rPr>
          <w:rFonts w:ascii="Verdana" w:eastAsia="Arial" w:hAnsi="Verdana" w:cs="Arial"/>
          <w:bCs/>
          <w:vertAlign w:val="superscript"/>
          <w:lang w:val="es-ES"/>
        </w:rPr>
        <w:footnoteReference w:id="36"/>
      </w:r>
      <w:r w:rsidRPr="00270E87">
        <w:rPr>
          <w:rFonts w:ascii="Verdana" w:eastAsia="Arial" w:hAnsi="Verdana" w:cs="Arial"/>
          <w:lang w:val="es-ES"/>
        </w:rPr>
        <w:t xml:space="preserve"> y, por lo tanto, que dicho monto se determina en función de la suma total que deberá invertirse en el proyecto. De este modo, a los contratos que se encuentren por debajo de este límite de seis mil (6.000) SMLMV no les será aplicable el régimen de la Ley 1508 de 2012. </w:t>
      </w:r>
    </w:p>
    <w:bookmarkEnd w:id="5"/>
    <w:p w14:paraId="45B03B93" w14:textId="2450CB25" w:rsidR="00326475" w:rsidRPr="00270E87" w:rsidRDefault="00326475" w:rsidP="00326475">
      <w:pPr>
        <w:widowControl w:val="0"/>
        <w:autoSpaceDE w:val="0"/>
        <w:autoSpaceDN w:val="0"/>
        <w:spacing w:after="120" w:line="276" w:lineRule="auto"/>
        <w:ind w:firstLine="708"/>
        <w:jc w:val="both"/>
        <w:rPr>
          <w:rFonts w:ascii="Verdana" w:eastAsia="Arial" w:hAnsi="Verdana" w:cs="Arial"/>
          <w:bCs/>
          <w:lang w:val="es-ES"/>
        </w:rPr>
      </w:pPr>
      <w:r w:rsidRPr="00270E87">
        <w:rPr>
          <w:rFonts w:ascii="Verdana" w:hAnsi="Verdana" w:cs="Arial"/>
          <w:bCs/>
          <w:lang w:val="es-ES"/>
        </w:rPr>
        <w:t xml:space="preserve">Las normas citadas indican que el régimen de las Asociaciones Público-Privadas previsto por la Ley 1508 de 2012 no es el único aplicable a contrato en que existe vinculación de capital privado para la provisión de bienes y servicios públicos que involucra la retención de y transferencia de riesgos entre las partes y mecanismos de pagos relacionados con la disponibilidad y el nivel de servicio de la infraestructura y/o servicio. Con respecto al caso objeto de consulta lo anterior supone que no se encuentran dentro de su ámbito de aplicación los proyectos que no versan sobre </w:t>
      </w:r>
      <w:r w:rsidRPr="00270E87">
        <w:rPr>
          <w:rFonts w:ascii="Verdana" w:hAnsi="Verdana" w:cs="Arial"/>
          <w:bCs/>
          <w:i/>
          <w:iCs/>
          <w:lang w:val="es-ES"/>
        </w:rPr>
        <w:t>infraestructura</w:t>
      </w:r>
      <w:r w:rsidRPr="00270E87">
        <w:rPr>
          <w:rFonts w:ascii="Verdana" w:hAnsi="Verdana" w:cs="Arial"/>
          <w:bCs/>
          <w:lang w:val="es-ES"/>
        </w:rPr>
        <w:t xml:space="preserve"> o cuya </w:t>
      </w:r>
      <w:r w:rsidRPr="00270E87">
        <w:rPr>
          <w:rFonts w:ascii="Verdana" w:hAnsi="Verdana" w:cs="Arial"/>
          <w:bCs/>
          <w:i/>
          <w:iCs/>
          <w:lang w:val="es-ES"/>
        </w:rPr>
        <w:t xml:space="preserve">cuantía </w:t>
      </w:r>
      <w:r w:rsidRPr="00270E87">
        <w:rPr>
          <w:rFonts w:ascii="Verdana" w:hAnsi="Verdana" w:cs="Arial"/>
          <w:bCs/>
          <w:lang w:val="es-ES"/>
        </w:rPr>
        <w:t>es inferior a seis mil (6.000) SMLMV</w:t>
      </w:r>
      <w:r w:rsidRPr="00270E87">
        <w:rPr>
          <w:rStyle w:val="Refdenotaalpie"/>
          <w:rFonts w:ascii="Verdana" w:hAnsi="Verdana" w:cs="Arial"/>
          <w:bCs/>
          <w:lang w:val="es-ES"/>
        </w:rPr>
        <w:footnoteReference w:id="37"/>
      </w:r>
      <w:r w:rsidRPr="00270E87">
        <w:rPr>
          <w:rFonts w:ascii="Verdana" w:hAnsi="Verdana" w:cs="Arial"/>
          <w:bCs/>
          <w:lang w:val="es-ES"/>
        </w:rPr>
        <w:t xml:space="preserve">. </w:t>
      </w:r>
      <w:bookmarkStart w:id="6" w:name="_Hlk182374897"/>
      <w:r w:rsidRPr="00270E87">
        <w:rPr>
          <w:rFonts w:ascii="Verdana" w:hAnsi="Verdana" w:cs="Arial"/>
          <w:bCs/>
          <w:lang w:val="es-ES"/>
        </w:rPr>
        <w:t xml:space="preserve">En consecuencia, la Entidad Estatal debe establecer si el supuesto objeto de consulta: i) versa sobre la provisión de bienes públicos y servicios relacionados; </w:t>
      </w:r>
      <w:proofErr w:type="spellStart"/>
      <w:r w:rsidRPr="00270E87">
        <w:rPr>
          <w:rFonts w:ascii="Verdana" w:hAnsi="Verdana" w:cs="Arial"/>
          <w:bCs/>
          <w:lang w:val="es-ES"/>
        </w:rPr>
        <w:t>ii</w:t>
      </w:r>
      <w:proofErr w:type="spellEnd"/>
      <w:r w:rsidRPr="00270E87">
        <w:rPr>
          <w:rFonts w:ascii="Verdana" w:hAnsi="Verdana" w:cs="Arial"/>
          <w:bCs/>
          <w:lang w:val="es-ES"/>
        </w:rPr>
        <w:t xml:space="preserve">) si corresponde a infraestructura y; </w:t>
      </w:r>
      <w:proofErr w:type="spellStart"/>
      <w:r w:rsidRPr="00270E87">
        <w:rPr>
          <w:rFonts w:ascii="Verdana" w:hAnsi="Verdana" w:cs="Arial"/>
          <w:bCs/>
          <w:lang w:val="es-ES"/>
        </w:rPr>
        <w:t>iii</w:t>
      </w:r>
      <w:proofErr w:type="spellEnd"/>
      <w:r w:rsidRPr="00270E87">
        <w:rPr>
          <w:rFonts w:ascii="Verdana" w:hAnsi="Verdana" w:cs="Arial"/>
          <w:bCs/>
          <w:lang w:val="es-ES"/>
        </w:rPr>
        <w:t>) si el proyecto es superior a la cuantía de que trata el parágrafo 1 del artículo 3 de la Ley 1508 de 2012. Si el proyecto no cumple tales condiciones, la consecuencia es que son aplicables las normas del contrato de concesión de que trata el numeral 4 del artículo 32 de la Ley 80 de 1993 o demás normas especiales y complementarias</w:t>
      </w:r>
      <w:r w:rsidRPr="00270E87">
        <w:rPr>
          <w:rStyle w:val="Refdenotaalpie"/>
          <w:rFonts w:ascii="Verdana" w:hAnsi="Verdana" w:cs="Arial"/>
          <w:bCs/>
          <w:lang w:val="es-ES"/>
        </w:rPr>
        <w:footnoteReference w:id="38"/>
      </w:r>
      <w:r w:rsidRPr="00270E87">
        <w:rPr>
          <w:rFonts w:ascii="Verdana" w:hAnsi="Verdana" w:cs="Arial"/>
          <w:bCs/>
          <w:lang w:val="es-ES"/>
        </w:rPr>
        <w:t xml:space="preserve"> y, por lo tanto, </w:t>
      </w:r>
      <w:r w:rsidRPr="00270E87">
        <w:rPr>
          <w:rFonts w:ascii="Verdana" w:eastAsia="Arial" w:hAnsi="Verdana" w:cs="Arial"/>
          <w:bCs/>
          <w:lang w:val="es-ES"/>
        </w:rPr>
        <w:t>no resultaría aplicable la Ley 1508 de 2012.</w:t>
      </w:r>
    </w:p>
    <w:bookmarkEnd w:id="6"/>
    <w:p w14:paraId="14EA448E" w14:textId="77777777" w:rsidR="00326475" w:rsidRPr="00270E87" w:rsidRDefault="00326475" w:rsidP="00326475">
      <w:pPr>
        <w:widowControl w:val="0"/>
        <w:autoSpaceDE w:val="0"/>
        <w:autoSpaceDN w:val="0"/>
        <w:spacing w:after="120" w:line="276" w:lineRule="auto"/>
        <w:ind w:firstLine="709"/>
        <w:jc w:val="both"/>
        <w:rPr>
          <w:rFonts w:ascii="Verdana" w:eastAsia="Arial" w:hAnsi="Verdana" w:cs="Arial"/>
          <w:lang w:val="es-ES"/>
        </w:rPr>
      </w:pPr>
      <w:r w:rsidRPr="00270E87">
        <w:rPr>
          <w:rFonts w:ascii="Verdana" w:eastAsia="Arial" w:hAnsi="Verdana" w:cs="Arial"/>
          <w:lang w:val="es-ES"/>
        </w:rPr>
        <w:t xml:space="preserve">Aunado a lo anterior, la aplicación de las Asociaciones Público-Privadas a un caso concreto no opera </w:t>
      </w:r>
      <w:r w:rsidRPr="00270E87">
        <w:rPr>
          <w:rFonts w:ascii="Verdana" w:eastAsia="Arial" w:hAnsi="Verdana" w:cs="Arial"/>
          <w:i/>
          <w:iCs/>
          <w:lang w:val="es-ES"/>
        </w:rPr>
        <w:t>ipso iure</w:t>
      </w:r>
      <w:r w:rsidRPr="00270E87">
        <w:rPr>
          <w:rFonts w:ascii="Verdana" w:eastAsia="Arial" w:hAnsi="Verdana" w:cs="Arial"/>
          <w:lang w:val="es-ES"/>
        </w:rPr>
        <w:t xml:space="preserve">, pues requiere de análisis jurídicos, técnicos y financieros en los que se evidencie la conveniencia y necesidad de acudir a ella. Así lo exige el artículo 4 de la Ley 1508 de 2012 al prever que el esquema Asociaciones Público-Privadas podrá emplearse por las Entidades Estatales </w:t>
      </w:r>
      <w:r w:rsidRPr="00270E87">
        <w:rPr>
          <w:rFonts w:ascii="Verdana" w:eastAsia="Arial" w:hAnsi="Verdana" w:cs="Arial"/>
          <w:lang w:val="es-ES"/>
        </w:rPr>
        <w:lastRenderedPageBreak/>
        <w:t xml:space="preserve">cuando </w:t>
      </w:r>
      <w:r w:rsidRPr="00270E87">
        <w:rPr>
          <w:rFonts w:ascii="Verdana" w:eastAsia="Arial" w:hAnsi="Verdana" w:cs="Arial"/>
          <w:bCs/>
          <w:lang w:val="es-ES"/>
        </w:rPr>
        <w:t>“</w:t>
      </w:r>
      <w:r w:rsidRPr="00270E87">
        <w:rPr>
          <w:rFonts w:ascii="Verdana" w:eastAsia="Arial" w:hAnsi="Verdana" w:cs="Arial"/>
          <w:lang w:val="es-ES"/>
        </w:rPr>
        <w:t>en la etapa de estructuración, los estudios económicos o de análisis de costo beneficio o los dictámenes comparativos, demuestren que son una modalidad eficiente o necesaria para su ejecución</w:t>
      </w:r>
      <w:r w:rsidRPr="00270E87">
        <w:rPr>
          <w:rFonts w:ascii="Verdana" w:eastAsia="Arial" w:hAnsi="Verdana" w:cs="Arial"/>
          <w:bCs/>
          <w:lang w:val="es-ES"/>
        </w:rPr>
        <w:t>”</w:t>
      </w:r>
      <w:r w:rsidRPr="00270E87">
        <w:rPr>
          <w:rFonts w:ascii="Verdana" w:eastAsia="Arial" w:hAnsi="Verdana" w:cs="Arial"/>
          <w:lang w:val="es-ES"/>
        </w:rPr>
        <w:t xml:space="preserve">. </w:t>
      </w:r>
    </w:p>
    <w:p w14:paraId="7A54C05E" w14:textId="77777777" w:rsidR="00326475" w:rsidRPr="00270E87" w:rsidRDefault="00326475" w:rsidP="00326475">
      <w:pPr>
        <w:spacing w:after="140" w:line="276" w:lineRule="auto"/>
        <w:jc w:val="both"/>
        <w:rPr>
          <w:rFonts w:ascii="Verdana" w:eastAsia="Arial" w:hAnsi="Verdana" w:cs="Arial"/>
          <w:lang w:val="es-ES"/>
        </w:rPr>
      </w:pPr>
      <w:r w:rsidRPr="00270E87">
        <w:rPr>
          <w:rFonts w:ascii="Verdana" w:eastAsia="Arial" w:hAnsi="Verdana" w:cs="Arial"/>
          <w:lang w:val="es-ES"/>
        </w:rPr>
        <w:t xml:space="preserve">Por las razones expresadas, a las Entidades Estatales les corresponde definir la modalidad de selección, la tipología contractual y demás condiciones en que se va a involucrar en el tráfico jurídico convencional para satisfacer una necesidad de interés público, todo lo cual debe estar soportado en los documentos de estructuración del proyecto. Frente al esquema proyectado en la consulta, es relevante entonces que la entidad identifique si efectivamente se trata de un esquema que corresponde al objeto, requisitos, finalidad y naturaleza de una concesión. </w:t>
      </w:r>
    </w:p>
    <w:p w14:paraId="2064CC9D" w14:textId="77777777" w:rsidR="00326475" w:rsidRPr="00270E87" w:rsidRDefault="00326475" w:rsidP="00326475">
      <w:pPr>
        <w:spacing w:after="140" w:line="276" w:lineRule="auto"/>
        <w:ind w:firstLine="708"/>
        <w:jc w:val="both"/>
        <w:rPr>
          <w:rFonts w:ascii="Verdana" w:eastAsia="Arial" w:hAnsi="Verdana" w:cs="Arial"/>
          <w:lang w:val="es-ES"/>
        </w:rPr>
      </w:pPr>
      <w:r w:rsidRPr="00270E87">
        <w:rPr>
          <w:rFonts w:ascii="Verdana" w:eastAsia="Arial" w:hAnsi="Verdana" w:cs="Arial"/>
          <w:lang w:val="es-ES"/>
        </w:rPr>
        <w:t xml:space="preserve">Por ejemplo, la entidad debe considerar si realmente la necesidad identificada se satisface de manera adecuada con un instrumento cuya finalidad es promover el concurso de la inversión o de capital privado. La concesión supone que el particular ejecuta la actividad </w:t>
      </w:r>
      <w:r w:rsidRPr="00270E87">
        <w:rPr>
          <w:rFonts w:ascii="Verdana" w:eastAsia="Arial" w:hAnsi="Verdana" w:cs="Arial"/>
          <w:i/>
          <w:iCs/>
          <w:lang w:val="es-ES"/>
        </w:rPr>
        <w:t>por su cuenta y riesgo</w:t>
      </w:r>
      <w:r w:rsidRPr="00270E87">
        <w:rPr>
          <w:rFonts w:ascii="Verdana" w:eastAsia="Arial" w:hAnsi="Verdana" w:cs="Arial"/>
          <w:lang w:val="es-ES"/>
        </w:rPr>
        <w:t>, vinculando en la medida de lo posible sus propios recursos privados y con la oportunidad de recuperar la inversión durante el plazo del contrato. Cuando el bien ya ha sido adquirido con recursos públicos, ya se encuentra incorporado al patrimonio de la entidad y no se requiere inversión privada para su provisión, ese elemento se desdibuja, pues el concesionario no vincula capital para proveer el bien, sino que recibe un bien ya provisto.</w:t>
      </w:r>
    </w:p>
    <w:p w14:paraId="560A5D41" w14:textId="77777777" w:rsidR="00326475" w:rsidRPr="00270E87" w:rsidRDefault="00326475" w:rsidP="00326475">
      <w:pPr>
        <w:spacing w:after="140" w:line="276" w:lineRule="auto"/>
        <w:ind w:firstLine="708"/>
        <w:jc w:val="both"/>
        <w:rPr>
          <w:rFonts w:ascii="Verdana" w:hAnsi="Verdana"/>
          <w:lang w:val="es-ES"/>
        </w:rPr>
      </w:pPr>
      <w:r w:rsidRPr="00270E87">
        <w:rPr>
          <w:rFonts w:ascii="Verdana" w:eastAsia="Arial" w:hAnsi="Verdana" w:cs="Arial"/>
          <w:lang w:val="es-ES"/>
        </w:rPr>
        <w:t>Adicionalmente, en la concesión la remuneración del concesionario proviene ordinariamente de la explotación misma —derechos, tarifas, tasas, valorización o la participación que se le otorgue en la explotación del bien—, es decir, de una actividad económica desplegada frente a terceros usuarios cuyo riesgo de demanda el concesionario asume. Cuando, por el contrario, la prestación se ejecuta a favor de la propia Entidad Estatal y de los usuarios de su red, el beneficiario del servicio es la entidad y es esta quien debe financiarlo con cargo a su presupuesto. En tal hipótesis no se configura una explotación por cuenta y riesgo del particular sino la prestación de un servicio remunerado por la administración, lo cual resulta concordante con una tipología distinta.</w:t>
      </w:r>
    </w:p>
    <w:p w14:paraId="66A8659F" w14:textId="77777777" w:rsidR="00326475" w:rsidRPr="00270E87" w:rsidRDefault="00326475" w:rsidP="00326475">
      <w:pPr>
        <w:spacing w:after="140" w:line="276" w:lineRule="auto"/>
        <w:ind w:firstLine="708"/>
        <w:jc w:val="both"/>
        <w:rPr>
          <w:rFonts w:ascii="Verdana" w:hAnsi="Verdana"/>
          <w:lang w:val="es-ES"/>
        </w:rPr>
      </w:pPr>
      <w:r w:rsidRPr="00270E87">
        <w:rPr>
          <w:rFonts w:ascii="Verdana" w:eastAsia="Arial" w:hAnsi="Verdana" w:cs="Arial"/>
          <w:lang w:val="es-ES"/>
        </w:rPr>
        <w:t xml:space="preserve">Por otra parte, la entidad deberá determinar si la necesidad consistente en obtener de un tercero los servicios especializados requeridos para operar y mantener un bien propio se enmarca en el contrato de prestación de servicios. Esta Agencia ha recordado que el contrato de prestación de servicios es un </w:t>
      </w:r>
      <w:r w:rsidRPr="00270E87">
        <w:rPr>
          <w:rFonts w:ascii="Verdana" w:eastAsia="Arial" w:hAnsi="Verdana" w:cs="Arial"/>
          <w:lang w:val="es-ES"/>
        </w:rPr>
        <w:lastRenderedPageBreak/>
        <w:t>contrato estatal típico, regulado en el numeral 3º del artículo 32 de la Ley 80 de 1993, definido como aquel que celebren las entidades estatales para desarrollar actividades relacionadas con la administración o funcionamiento de la entidad.</w:t>
      </w:r>
      <w:r w:rsidRPr="00270E87">
        <w:rPr>
          <w:rFonts w:ascii="Verdana" w:hAnsi="Verdana" w:cs="Arial"/>
          <w:lang w:val="es-ES"/>
        </w:rPr>
        <w:t xml:space="preserve"> Estos contratos sólo podrán celebrarse con personas naturales cuando dichas actividades no puedan realizarse con personal de planta o requieran conocimientos especializados.</w:t>
      </w:r>
    </w:p>
    <w:p w14:paraId="654F6AE3" w14:textId="77777777" w:rsidR="00326475" w:rsidRPr="00270E87" w:rsidRDefault="00326475" w:rsidP="00326475">
      <w:pPr>
        <w:spacing w:after="140" w:line="276" w:lineRule="auto"/>
        <w:ind w:firstLine="708"/>
        <w:jc w:val="both"/>
        <w:rPr>
          <w:rFonts w:ascii="Verdana" w:eastAsia="Arial" w:hAnsi="Verdana" w:cs="Arial"/>
          <w:lang w:val="es-ES"/>
        </w:rPr>
      </w:pPr>
      <w:r w:rsidRPr="00270E87">
        <w:rPr>
          <w:rFonts w:ascii="Verdana" w:eastAsia="Arial" w:hAnsi="Verdana" w:cs="Arial"/>
          <w:lang w:val="es-ES"/>
        </w:rPr>
        <w:t xml:space="preserve">En términos generales, corresponde a la entidad determinar, de acuerdo con los resultados de la etapa de planeación, la tipología contractual que resulta adecuada para satisfacer la necesidad identificada. En este sentido, el análisis de estos y otros posibles esquemas contractuales, la determinación de potenciales contenidos obligacionales, esquemas de riesgos, o de las condiciones económicas o financieras aplicables y su conveniencia corresponde a la Entidad que estructura el proceso de contratación y no a esta Agencia. </w:t>
      </w:r>
    </w:p>
    <w:p w14:paraId="198ECCEF" w14:textId="77777777" w:rsidR="007A53AE" w:rsidRPr="00667BDC" w:rsidRDefault="007A53AE" w:rsidP="007A53AE">
      <w:pPr>
        <w:spacing w:after="140" w:line="276" w:lineRule="auto"/>
        <w:ind w:firstLine="708"/>
        <w:jc w:val="both"/>
        <w:rPr>
          <w:rFonts w:ascii="Verdana" w:eastAsia="Arial" w:hAnsi="Verdana" w:cs="Arial"/>
          <w:lang w:val="es-ES"/>
        </w:rPr>
      </w:pPr>
      <w:r w:rsidRPr="00667BDC">
        <w:rPr>
          <w:rFonts w:ascii="Verdana" w:eastAsia="Arial" w:hAnsi="Verdana" w:cs="Arial"/>
          <w:lang w:val="es-ES"/>
        </w:rPr>
        <w:t>Finalmente, en cuanto a las condiciones mínimas del contrato y al contenido de los estudios previos, corresponde a la entidad definirlos en la etapa de planeación, de conformidad con el numeral 7 del artículo 25 de la Ley 80 de 1993, el artículo 2.2.1.1.2.1.1 del Decreto 1082 de 2015 y la tipificación, estimación y asignación de los riesgos previsibles prevista en el artículo 4 de la Ley 1150 de 2007. En ese marco resultan pertinentes, entre otros, el estudio del sector y de la demanda del servicio, el análisis de sostenibilidad financiera, la matriz de riesgos, la garantía de disponibilidad permanente del bien para la red pública, los mecanismos de supervisión de los artículos 83 y 84 de la Ley 1474 de 2011 y las garantías correspondientes. Del mismo modo, la entidad puede pactar cláusulas que aseguren la prioridad de los pacientes remitidos por la red pública y la destinación preferente del bien al servicio, siempre que las actividades complementarias que llegue a autorizar no afecten esa disponibilidad ni desnaturalicen la finalidad pública a la que el bien está afecto.</w:t>
      </w:r>
    </w:p>
    <w:p w14:paraId="32C47669" w14:textId="77777777" w:rsidR="00326475" w:rsidRDefault="00326475" w:rsidP="00326475">
      <w:pPr>
        <w:spacing w:after="140" w:line="276" w:lineRule="auto"/>
        <w:jc w:val="both"/>
        <w:rPr>
          <w:rFonts w:ascii="Verdana" w:eastAsia="Verdana" w:hAnsi="Verdana" w:cs="Verdana"/>
          <w:lang w:val="es-ES"/>
        </w:rPr>
      </w:pPr>
      <w:proofErr w:type="spellStart"/>
      <w:r>
        <w:rPr>
          <w:rFonts w:ascii="Verdana" w:eastAsia="Arial" w:hAnsi="Verdana" w:cs="Arial"/>
          <w:lang w:val="es-ES"/>
        </w:rPr>
        <w:t>iv</w:t>
      </w:r>
      <w:proofErr w:type="spellEnd"/>
      <w:r>
        <w:rPr>
          <w:rFonts w:ascii="Verdana" w:eastAsia="Arial" w:hAnsi="Verdana" w:cs="Arial"/>
          <w:lang w:val="es-ES"/>
        </w:rPr>
        <w:t>.</w:t>
      </w:r>
      <w:r w:rsidRPr="00270E87">
        <w:rPr>
          <w:rFonts w:ascii="Verdana" w:eastAsia="Arial" w:hAnsi="Verdana" w:cs="Arial"/>
          <w:lang w:val="es-ES"/>
        </w:rPr>
        <w:t xml:space="preserve"> </w:t>
      </w:r>
      <w:r w:rsidRPr="00270E87">
        <w:rPr>
          <w:rFonts w:ascii="Verdana" w:eastAsia="Verdana" w:hAnsi="Verdana" w:cs="Verdana"/>
          <w:lang w:val="es-ES"/>
        </w:rPr>
        <w:t xml:space="preserve">Con respecto a la modalidad de selección, la entidad </w:t>
      </w:r>
      <w:r w:rsidRPr="0032271F">
        <w:rPr>
          <w:rFonts w:ascii="Verdana" w:eastAsia="Verdana" w:hAnsi="Verdana" w:cs="Verdana"/>
        </w:rPr>
        <w:t>deberá determinar cuál de las modalidades dispuestas en el artículo 2 de la Ley 1150 de 2007 resulta procedente de acuerdo con las reglas allí establecidas.</w:t>
      </w:r>
    </w:p>
    <w:p w14:paraId="35FF5BDC" w14:textId="77777777" w:rsidR="00326475" w:rsidRPr="00270E87" w:rsidRDefault="00326475" w:rsidP="00326475">
      <w:pPr>
        <w:spacing w:after="140" w:line="276" w:lineRule="auto"/>
        <w:ind w:firstLine="709"/>
        <w:jc w:val="both"/>
        <w:rPr>
          <w:rFonts w:ascii="Verdana" w:eastAsia="Verdana" w:hAnsi="Verdana" w:cs="Verdana"/>
          <w:lang w:val="es-ES"/>
        </w:rPr>
      </w:pPr>
      <w:r w:rsidRPr="0032271F">
        <w:rPr>
          <w:rFonts w:ascii="Verdana" w:eastAsia="Century Gothic" w:hAnsi="Verdana" w:cs="Century Gothic"/>
        </w:rPr>
        <w:t>Esta Agencia ha reiterado que la contratación directa es una excepción al principio de libre concurrencia y competencia, conforme al cual cualquier persona interesada en satisfacer la necesidad de una entidad puede presentar una oferta. Por ello, es de aplicación restrictiv</w:t>
      </w:r>
      <w:r>
        <w:rPr>
          <w:rFonts w:ascii="Verdana" w:eastAsia="Century Gothic" w:hAnsi="Verdana" w:cs="Century Gothic"/>
        </w:rPr>
        <w:t xml:space="preserve">a. </w:t>
      </w:r>
      <w:r w:rsidRPr="00270E87">
        <w:rPr>
          <w:rFonts w:ascii="Verdana" w:eastAsia="Century Gothic" w:hAnsi="Verdana" w:cs="Century Gothic"/>
          <w:lang w:val="es-ES"/>
        </w:rPr>
        <w:t xml:space="preserve">Por ello, es de aplicación </w:t>
      </w:r>
      <w:r w:rsidRPr="00270E87">
        <w:rPr>
          <w:rFonts w:ascii="Verdana" w:eastAsia="Century Gothic" w:hAnsi="Verdana" w:cs="Century Gothic"/>
          <w:lang w:val="es-ES"/>
        </w:rPr>
        <w:lastRenderedPageBreak/>
        <w:t>restrictiva, esto es, solo procede por las causales señaladas taxativamente en el numeral 4 del artículo 2 de la Ley 1150 de 2007. En tal sentido, su aplicación no puede efectuarse por fuera del contenido normativo citado, ni operar más allá de lo que la misma norma dispone, dentro del contexto del ordenamiento jurídico de la contratación estatal.</w:t>
      </w:r>
    </w:p>
    <w:p w14:paraId="2073C5DD" w14:textId="77548128" w:rsidR="00326475" w:rsidRPr="00270E87" w:rsidRDefault="00326475" w:rsidP="00326475">
      <w:pPr>
        <w:pStyle w:val="Prrafodelista"/>
        <w:tabs>
          <w:tab w:val="left" w:pos="284"/>
        </w:tabs>
        <w:spacing w:after="0" w:line="276" w:lineRule="auto"/>
        <w:ind w:left="0"/>
        <w:jc w:val="both"/>
        <w:rPr>
          <w:rFonts w:ascii="Verdana" w:eastAsia="Century Gothic" w:hAnsi="Verdana" w:cs="Century Gothic"/>
        </w:rPr>
      </w:pPr>
      <w:r w:rsidRPr="00270E87">
        <w:rPr>
          <w:rFonts w:ascii="Verdana" w:eastAsia="Century Gothic" w:hAnsi="Verdana" w:cs="Century Gothic"/>
        </w:rPr>
        <w:tab/>
      </w:r>
      <w:r w:rsidRPr="00270E87">
        <w:rPr>
          <w:rFonts w:ascii="Verdana" w:eastAsia="Century Gothic" w:hAnsi="Verdana" w:cs="Century Gothic"/>
        </w:rPr>
        <w:tab/>
        <w:t>Lo anterior supone determinar si el supuesto objeto de consulta constituye una de las causales de contratación directa establecidas en la Ley 1150 de 2007. Si no existe una ca</w:t>
      </w:r>
      <w:r w:rsidR="005B75C9">
        <w:rPr>
          <w:rFonts w:ascii="Verdana" w:eastAsia="Century Gothic" w:hAnsi="Verdana" w:cs="Century Gothic"/>
        </w:rPr>
        <w:t>u</w:t>
      </w:r>
      <w:r w:rsidRPr="00270E87">
        <w:rPr>
          <w:rFonts w:ascii="Verdana" w:eastAsia="Century Gothic" w:hAnsi="Verdana" w:cs="Century Gothic"/>
        </w:rPr>
        <w:t>sal aplicable al negocio jurídico proyectado la entidad tiene la obligación de acudir a una modalidad de selección competitiva, frente a lo cual se resalta que la licitación pública es la regla general, y que serán procedentes otras modalidades como la selección abreviada o la mínima cuantía si se cumplen los supuestos que para ello dispone expresamente el artículo dos de la referida norma. Corresponde a la entidad establecer la modalidad de selección atendiendo a un conjunto de factores que cada entidad debe analizar según las características del proceso, considerando criterios como el objeto, el precio y las circunstancias de la contratación, para verificar si esta se enmarca en alguna de las causales de selección abreviada, concurso de méritos o mínima cuantía. En cualquier caso, en defecto de una causal que habilite una modalidad distinta, operará la licitación pública como regla general.</w:t>
      </w:r>
    </w:p>
    <w:p w14:paraId="147A78F1" w14:textId="2A94574A" w:rsidR="00326475" w:rsidRPr="00270E87" w:rsidRDefault="00326475" w:rsidP="00326475">
      <w:pPr>
        <w:spacing w:before="120" w:after="120" w:line="276" w:lineRule="auto"/>
        <w:ind w:firstLine="709"/>
        <w:jc w:val="both"/>
        <w:rPr>
          <w:rFonts w:ascii="Verdana" w:eastAsia="Calibri" w:hAnsi="Verdana" w:cs="Arial"/>
          <w:color w:val="000000" w:themeColor="text1"/>
          <w:lang w:val="es-ES"/>
        </w:rPr>
      </w:pPr>
      <w:r w:rsidRPr="00270E87">
        <w:rPr>
          <w:rFonts w:ascii="Verdana" w:eastAsia="Calibri" w:hAnsi="Verdana" w:cs="Arial"/>
          <w:color w:val="000000" w:themeColor="text1"/>
          <w:lang w:val="es-ES"/>
        </w:rPr>
        <w:t>Ahora bien, en principio,</w:t>
      </w:r>
      <w:r w:rsidRPr="00802DB7">
        <w:t xml:space="preserve"> </w:t>
      </w:r>
      <w:r w:rsidR="005B75C9" w:rsidRPr="00667BDC">
        <w:rPr>
          <w:rFonts w:ascii="Verdana" w:hAnsi="Verdana"/>
        </w:rPr>
        <w:t>n</w:t>
      </w:r>
      <w:r w:rsidRPr="00802DB7">
        <w:rPr>
          <w:rFonts w:ascii="Verdana" w:eastAsia="Calibri" w:hAnsi="Verdana" w:cs="Arial"/>
          <w:color w:val="000000" w:themeColor="text1"/>
        </w:rPr>
        <w:t>o se advierte una causal de contratación directa en el Estatuto General de Contratación de la Administración Pública para celebrar un contrato con un particular para la operación de un bien fiscal afecto a la prestación de un servicio público</w:t>
      </w:r>
      <w:r w:rsidRPr="00270E87">
        <w:rPr>
          <w:rFonts w:ascii="Verdana" w:eastAsia="Calibri" w:hAnsi="Verdana" w:cs="Arial"/>
          <w:color w:val="000000" w:themeColor="text1"/>
          <w:lang w:val="es-ES"/>
        </w:rPr>
        <w:t>. Pero, como el análisis de adecuación a los supuestos fácticos y jurídicos de las causales se debe realizar en consideración a las circunstancias concretas, corresponde a la entidad pública contratante determinarlo. Se reitera que la contratación directa es una modalidad de selección excepcional. Esto quiere decir que sus causales son de interpretación restrictiva, pues la normativa de contratación pública privilegia en mayor medida la libre concurrencia de los interesados y proponentes para garantizar principios como la transparencia y la selección objetiva</w:t>
      </w:r>
      <w:r w:rsidRPr="00270E87">
        <w:rPr>
          <w:rStyle w:val="Refdenotaalpie"/>
          <w:rFonts w:ascii="Verdana" w:eastAsia="Calibri" w:hAnsi="Verdana" w:cs="Arial"/>
          <w:color w:val="000000" w:themeColor="text1"/>
          <w:lang w:val="es-ES"/>
        </w:rPr>
        <w:footnoteReference w:id="39"/>
      </w:r>
      <w:r w:rsidRPr="00270E87">
        <w:rPr>
          <w:rFonts w:ascii="Verdana" w:eastAsia="Calibri" w:hAnsi="Verdana" w:cs="Arial"/>
          <w:color w:val="000000" w:themeColor="text1"/>
          <w:lang w:val="es-ES"/>
        </w:rPr>
        <w:t>.</w:t>
      </w:r>
    </w:p>
    <w:p w14:paraId="397E7E3B" w14:textId="77777777" w:rsidR="00326475" w:rsidRPr="00270E87" w:rsidRDefault="00326475" w:rsidP="00326475">
      <w:pPr>
        <w:spacing w:after="120" w:line="276" w:lineRule="auto"/>
        <w:ind w:firstLine="709"/>
        <w:jc w:val="both"/>
        <w:rPr>
          <w:rFonts w:ascii="Verdana" w:eastAsia="Verdana" w:hAnsi="Verdana" w:cs="Verdana"/>
          <w:lang w:val="es-ES"/>
        </w:rPr>
      </w:pPr>
      <w:r w:rsidRPr="00270E87">
        <w:rPr>
          <w:rFonts w:ascii="Verdana" w:eastAsia="Verdana" w:hAnsi="Verdana" w:cs="Verdana"/>
          <w:lang w:val="es-ES"/>
        </w:rPr>
        <w:t xml:space="preserve">Dentro de este marco, al tratarse de un análisis que debe realizarse frente a cada asunto particular y concreto, esta Agencia no puede definir un criterio universal y absoluto por vía consultiva, sino que brinda elementos de carácter </w:t>
      </w:r>
      <w:r w:rsidRPr="00270E87">
        <w:rPr>
          <w:rFonts w:ascii="Verdana" w:eastAsia="Verdana" w:hAnsi="Verdana" w:cs="Verdana"/>
          <w:lang w:val="es-ES"/>
        </w:rPr>
        <w:lastRenderedPageBreak/>
        <w:t>general para que los partícipes del Sistema de Compras y Contratación Pública adopten la decisión que corresponda, lo cual es acorde con el principio de juridicidad. Así, cada Entidad Estatal establecerá la forma de adelantar su gestión contractual, sin que sea atribución de la Agencia Nacional de Contratación Pública – Colombia Compra Eficiente definir, autorizar o validar esa decisión.</w:t>
      </w:r>
    </w:p>
    <w:p w14:paraId="44BD7E9E" w14:textId="77777777" w:rsidR="00326475" w:rsidRPr="00270E87" w:rsidRDefault="00326475" w:rsidP="00326475">
      <w:pPr>
        <w:spacing w:after="0" w:line="276" w:lineRule="auto"/>
        <w:jc w:val="both"/>
        <w:rPr>
          <w:rFonts w:ascii="Verdana" w:eastAsia="Times New Roman" w:hAnsi="Verdana" w:cs="Arial"/>
          <w:color w:val="000000" w:themeColor="text1"/>
          <w:lang w:val="es-ES"/>
        </w:rPr>
      </w:pPr>
    </w:p>
    <w:p w14:paraId="34AF3D6E" w14:textId="17E57612" w:rsidR="00326475" w:rsidRPr="00270E87" w:rsidRDefault="00326475" w:rsidP="00667BDC">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F404BC">
        <w:rPr>
          <w:rFonts w:ascii="Verdana" w:eastAsia="Century Gothic" w:hAnsi="Verdana" w:cs="Century Gothic"/>
          <w:b/>
          <w:color w:val="000000" w:themeColor="text1"/>
        </w:rPr>
        <w:t>Referencias normativas, jurisprudenciales y otras fuentes:</w:t>
      </w:r>
    </w:p>
    <w:p w14:paraId="41D46A1F" w14:textId="77777777" w:rsidR="00326475" w:rsidRPr="00270E87" w:rsidRDefault="00326475" w:rsidP="00326475">
      <w:pPr>
        <w:widowControl w:val="0"/>
        <w:autoSpaceDE w:val="0"/>
        <w:autoSpaceDN w:val="0"/>
        <w:spacing w:after="0" w:line="276" w:lineRule="auto"/>
        <w:jc w:val="both"/>
        <w:rPr>
          <w:rFonts w:ascii="Verdana" w:hAnsi="Verdana" w:cs="Arial"/>
          <w:color w:val="000000" w:themeColor="text1"/>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326475" w:rsidRPr="00270E87" w14:paraId="4701DCE2" w14:textId="77777777" w:rsidTr="00591DE9">
        <w:trPr>
          <w:trHeight w:val="297"/>
        </w:trPr>
        <w:tc>
          <w:tcPr>
            <w:tcW w:w="8647" w:type="dxa"/>
          </w:tcPr>
          <w:p w14:paraId="0CF7F3D8" w14:textId="77777777" w:rsidR="00326475" w:rsidRPr="00270E87" w:rsidRDefault="00326475" w:rsidP="00591DE9">
            <w:pPr>
              <w:widowControl w:val="0"/>
              <w:numPr>
                <w:ilvl w:val="0"/>
                <w:numId w:val="16"/>
              </w:numPr>
              <w:autoSpaceDE w:val="0"/>
              <w:autoSpaceDN w:val="0"/>
              <w:spacing w:before="120" w:after="120"/>
              <w:jc w:val="both"/>
              <w:rPr>
                <w:rFonts w:ascii="Verdana" w:hAnsi="Verdana" w:cs="Arial"/>
                <w:lang w:val="es-ES"/>
              </w:rPr>
            </w:pPr>
            <w:r w:rsidRPr="00270E87">
              <w:rPr>
                <w:rFonts w:ascii="Verdana" w:hAnsi="Verdana" w:cs="Arial"/>
                <w:lang w:val="es-ES"/>
              </w:rPr>
              <w:t>Constitución Política de Colombia, artículos 63, 72, 82, 102, 332 y 355</w:t>
            </w:r>
          </w:p>
          <w:p w14:paraId="1F524B03"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Código Civil, artículos 674 y 1519</w:t>
            </w:r>
          </w:p>
          <w:p w14:paraId="331465A4"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Ley 80 de 1993, artículos 13, 32 (numerales 3 y 4), 40 y 44</w:t>
            </w:r>
          </w:p>
          <w:p w14:paraId="308C1D38"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Ley 1150 de 2007, artículo 2 (numeral 4) y artículo 5</w:t>
            </w:r>
          </w:p>
          <w:p w14:paraId="0A49C29E"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Ley 1508 de 2012, artículos 1, 2, 3 (incluido parágrafo 1) y 4</w:t>
            </w:r>
          </w:p>
          <w:p w14:paraId="69DFFA43" w14:textId="77777777" w:rsidR="002B11A3" w:rsidRPr="00667BDC" w:rsidRDefault="002B11A3" w:rsidP="002B11A3">
            <w:pPr>
              <w:widowControl w:val="0"/>
              <w:numPr>
                <w:ilvl w:val="0"/>
                <w:numId w:val="16"/>
              </w:numPr>
              <w:autoSpaceDE w:val="0"/>
              <w:autoSpaceDN w:val="0"/>
              <w:spacing w:after="120"/>
              <w:jc w:val="both"/>
              <w:rPr>
                <w:rFonts w:ascii="Verdana" w:hAnsi="Verdana" w:cs="Arial"/>
                <w:lang w:val="es-ES"/>
              </w:rPr>
            </w:pPr>
            <w:r w:rsidRPr="00667BDC">
              <w:rPr>
                <w:rFonts w:ascii="Verdana" w:hAnsi="Verdana" w:cs="Arial"/>
                <w:lang w:val="es-ES"/>
              </w:rPr>
              <w:t>Ley 80 de 1993, artículo 25 (numeral 7) — deber de planeación</w:t>
            </w:r>
          </w:p>
          <w:p w14:paraId="5090D726" w14:textId="77777777" w:rsidR="002B11A3" w:rsidRPr="00667BDC" w:rsidRDefault="002B11A3" w:rsidP="002B11A3">
            <w:pPr>
              <w:widowControl w:val="0"/>
              <w:numPr>
                <w:ilvl w:val="0"/>
                <w:numId w:val="16"/>
              </w:numPr>
              <w:autoSpaceDE w:val="0"/>
              <w:autoSpaceDN w:val="0"/>
              <w:spacing w:after="120"/>
              <w:jc w:val="both"/>
              <w:rPr>
                <w:rFonts w:ascii="Verdana" w:hAnsi="Verdana" w:cs="Arial"/>
                <w:lang w:val="es-ES"/>
              </w:rPr>
            </w:pPr>
            <w:r w:rsidRPr="00667BDC">
              <w:rPr>
                <w:rFonts w:ascii="Verdana" w:hAnsi="Verdana" w:cs="Arial"/>
                <w:lang w:val="es-ES"/>
              </w:rPr>
              <w:t>Ley 1150 de 2007, artículo 4 — tipificación, estimación y asignación de riesgos previsibles</w:t>
            </w:r>
          </w:p>
          <w:p w14:paraId="5F9A9B7A" w14:textId="77777777" w:rsidR="002B11A3" w:rsidRPr="00667BDC" w:rsidRDefault="002B11A3" w:rsidP="002B11A3">
            <w:pPr>
              <w:widowControl w:val="0"/>
              <w:numPr>
                <w:ilvl w:val="0"/>
                <w:numId w:val="16"/>
              </w:numPr>
              <w:autoSpaceDE w:val="0"/>
              <w:autoSpaceDN w:val="0"/>
              <w:spacing w:after="120"/>
              <w:jc w:val="both"/>
              <w:rPr>
                <w:rFonts w:ascii="Verdana" w:hAnsi="Verdana" w:cs="Arial"/>
                <w:lang w:val="es-ES"/>
              </w:rPr>
            </w:pPr>
            <w:r w:rsidRPr="00667BDC">
              <w:rPr>
                <w:rFonts w:ascii="Verdana" w:hAnsi="Verdana" w:cs="Arial"/>
                <w:lang w:val="es-ES"/>
              </w:rPr>
              <w:t>Ley 1474 de 2011, artículos 83 y 84 — supervisión y vigilancia de la ejecución contractual</w:t>
            </w:r>
          </w:p>
          <w:p w14:paraId="4ABBCFA2"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Decreto 1082 de 2015</w:t>
            </w:r>
          </w:p>
          <w:p w14:paraId="75E94D6A" w14:textId="1059F882" w:rsidR="00203E5A" w:rsidRPr="00667BDC" w:rsidRDefault="00203E5A" w:rsidP="00203E5A">
            <w:pPr>
              <w:widowControl w:val="0"/>
              <w:numPr>
                <w:ilvl w:val="0"/>
                <w:numId w:val="16"/>
              </w:numPr>
              <w:autoSpaceDE w:val="0"/>
              <w:autoSpaceDN w:val="0"/>
              <w:spacing w:after="120"/>
              <w:jc w:val="both"/>
              <w:rPr>
                <w:rFonts w:ascii="Verdana" w:hAnsi="Verdana" w:cs="Arial"/>
                <w:lang w:val="es-ES"/>
              </w:rPr>
            </w:pPr>
            <w:r w:rsidRPr="00667BDC">
              <w:rPr>
                <w:rFonts w:ascii="Verdana" w:hAnsi="Verdana" w:cs="Arial"/>
                <w:lang w:val="es-ES"/>
              </w:rPr>
              <w:t>Resolución 3100 de 2019 del Ministerio de Salud y Protección Social — habilitación del servicio de transporte asistencial</w:t>
            </w:r>
          </w:p>
          <w:p w14:paraId="22196873"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Corte Constitucional. Sentencia C-183 de 2003. M.P. Alfredo Beltrán Sierra</w:t>
            </w:r>
          </w:p>
          <w:p w14:paraId="43C8BB26"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Corte Constitucional. Sentencia C-300 de 2012. M.P. Jorge Ignacio Pretelt Chaljub</w:t>
            </w:r>
          </w:p>
          <w:p w14:paraId="06C08390"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Corte Constitucional. Sentencia C-595 de 2014. M.P. Jorge Ignacio Pretelt Chaljub</w:t>
            </w:r>
          </w:p>
          <w:p w14:paraId="7B591CA6" w14:textId="77777777" w:rsidR="00030F50" w:rsidRPr="00667BDC" w:rsidRDefault="00030F50" w:rsidP="00030F50">
            <w:pPr>
              <w:widowControl w:val="0"/>
              <w:numPr>
                <w:ilvl w:val="0"/>
                <w:numId w:val="16"/>
              </w:numPr>
              <w:autoSpaceDE w:val="0"/>
              <w:autoSpaceDN w:val="0"/>
              <w:spacing w:after="120"/>
              <w:jc w:val="both"/>
              <w:rPr>
                <w:rFonts w:ascii="Verdana" w:hAnsi="Verdana" w:cs="Arial"/>
                <w:lang w:val="es-ES"/>
              </w:rPr>
            </w:pPr>
            <w:r w:rsidRPr="00667BDC">
              <w:rPr>
                <w:rFonts w:ascii="Verdana" w:hAnsi="Verdana" w:cs="Arial"/>
                <w:lang w:val="es-ES"/>
              </w:rPr>
              <w:t>Corte Constitucional. Sentencia C-068 de 2009. M.P. Mauricio González Cuervo</w:t>
            </w:r>
          </w:p>
          <w:p w14:paraId="2283EE3A"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Corte Suprema de Justicia. Sala de Casación Civil. Sentencia SC9166 del 15 de julio de 2014. M.P. Ruth Marina Díaz Rueda. Radicación 11001-3103-015-1974-04287-01</w:t>
            </w:r>
          </w:p>
          <w:p w14:paraId="3A56E26A"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lastRenderedPageBreak/>
              <w:t>Consejo de Estado. Sección Tercera. Sentencia del 23 de septiembre de 1997, Rad. S-701</w:t>
            </w:r>
          </w:p>
          <w:p w14:paraId="3238D0F4"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Consejo de Estado. Sección Tercera. Sentencia del 21 de abril de 2005, Rad. 14651. C.P. Ramiro Saavedra Becerra</w:t>
            </w:r>
          </w:p>
          <w:p w14:paraId="48B4EF51"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Consejo de Estado. Sala de Consulta y Servicio Civil. Sentencia del 12 de marzo de 2009, Rad. 1942. C.P. Gustavo Aponte Santos</w:t>
            </w:r>
          </w:p>
          <w:p w14:paraId="604DC5A0"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Consejo de Estado. Sección Tercera, Subsección B. Sentencia del 30 de abril de 2012, Exp. 21.699. C.P. Ruth Stella Correa Palacio</w:t>
            </w:r>
          </w:p>
          <w:p w14:paraId="22A364BE"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Consejo de Estado. Sala de Consulta y Servicio Civil. Concepto del 15 de mayo de 2018, Rad. 2335</w:t>
            </w:r>
          </w:p>
          <w:p w14:paraId="715C89CA"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Consejo de Estado. Sala Plena de lo Contencioso Administrativo. Sentencia de unificación del 14 de agosto de 2018, Rad. 05001-33-31-003-2009-00157-01(AP)SU. C.P. Oswaldo Giraldo López</w:t>
            </w:r>
          </w:p>
          <w:p w14:paraId="061EF024"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Consejo de Estado. Sección Tercera, Subsección A. Sentencia del 19 de julio de 2018, Exp. 36.711. C.P. Carlos Alberto Zambrano Barrera</w:t>
            </w:r>
          </w:p>
          <w:p w14:paraId="6BEF3BF7"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Consejo de Estado. Sección Tercera. Sentencia del 23 de octubre de 2017, Exp. 53.477. C.P. Jaime Orlando Santofimio Gamboa</w:t>
            </w:r>
          </w:p>
          <w:p w14:paraId="53DC56FC" w14:textId="77777777" w:rsidR="00326475" w:rsidRPr="00270E87" w:rsidRDefault="00326475" w:rsidP="00591DE9">
            <w:pPr>
              <w:widowControl w:val="0"/>
              <w:numPr>
                <w:ilvl w:val="0"/>
                <w:numId w:val="16"/>
              </w:numPr>
              <w:autoSpaceDE w:val="0"/>
              <w:autoSpaceDN w:val="0"/>
              <w:spacing w:after="120"/>
              <w:jc w:val="both"/>
              <w:rPr>
                <w:rFonts w:ascii="Verdana" w:hAnsi="Verdana" w:cs="Arial"/>
                <w:lang w:val="es-ES"/>
              </w:rPr>
            </w:pPr>
            <w:r w:rsidRPr="00270E87">
              <w:rPr>
                <w:rFonts w:ascii="Verdana" w:hAnsi="Verdana" w:cs="Arial"/>
                <w:lang w:val="es-ES"/>
              </w:rPr>
              <w:t>Consejo de Estado. Sección Tercera, Subsección A. Sentencia del 21 de noviembre de 2022, Exp. 65.566. C.P. María Adriana Marín</w:t>
            </w:r>
          </w:p>
        </w:tc>
      </w:tr>
    </w:tbl>
    <w:p w14:paraId="2D83B40D" w14:textId="77777777" w:rsidR="00326475" w:rsidRPr="00270E87" w:rsidRDefault="00326475" w:rsidP="00326475">
      <w:pPr>
        <w:widowControl w:val="0"/>
        <w:autoSpaceDE w:val="0"/>
        <w:autoSpaceDN w:val="0"/>
        <w:spacing w:after="0" w:line="276" w:lineRule="auto"/>
        <w:jc w:val="both"/>
        <w:rPr>
          <w:rFonts w:ascii="Verdana" w:hAnsi="Verdana" w:cs="Arial"/>
          <w:color w:val="000000" w:themeColor="text1"/>
          <w:lang w:val="es-ES"/>
        </w:rPr>
      </w:pPr>
    </w:p>
    <w:p w14:paraId="309F2A6B" w14:textId="69FCD401" w:rsidR="00326475" w:rsidRPr="00270E87" w:rsidRDefault="00326475" w:rsidP="00667BDC">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F404BC">
        <w:rPr>
          <w:rFonts w:ascii="Verdana" w:eastAsia="Century Gothic" w:hAnsi="Verdana" w:cs="Century Gothic"/>
          <w:b/>
          <w:color w:val="000000" w:themeColor="text1"/>
        </w:rPr>
        <w:t>Doctrina de la Agencia Nacional de Contratación Pública:</w:t>
      </w:r>
    </w:p>
    <w:p w14:paraId="652B2096" w14:textId="77777777" w:rsidR="00326475" w:rsidRPr="00270E87" w:rsidRDefault="00326475" w:rsidP="00326475">
      <w:pPr>
        <w:widowControl w:val="0"/>
        <w:autoSpaceDE w:val="0"/>
        <w:autoSpaceDN w:val="0"/>
        <w:spacing w:after="0" w:line="276" w:lineRule="auto"/>
        <w:jc w:val="both"/>
        <w:rPr>
          <w:rFonts w:ascii="Verdana" w:hAnsi="Verdana" w:cs="Arial"/>
          <w:color w:val="000000" w:themeColor="text1"/>
          <w:lang w:val="es-ES"/>
        </w:rPr>
      </w:pPr>
    </w:p>
    <w:p w14:paraId="428E12E7" w14:textId="235E2793" w:rsidR="00326475" w:rsidRPr="00270E87" w:rsidRDefault="00326475" w:rsidP="00326475">
      <w:pPr>
        <w:spacing w:line="276" w:lineRule="auto"/>
        <w:jc w:val="both"/>
        <w:rPr>
          <w:rFonts w:ascii="Verdana" w:eastAsia="Calibri" w:hAnsi="Verdana" w:cs="Arial"/>
          <w:b/>
          <w:bCs/>
          <w:color w:val="000000" w:themeColor="text1"/>
          <w:lang w:val="es-ES"/>
        </w:rPr>
      </w:pPr>
      <w:r w:rsidRPr="00270E87">
        <w:rPr>
          <w:rFonts w:ascii="Verdana" w:eastAsia="Calibri" w:hAnsi="Verdana" w:cs="Arial"/>
          <w:lang w:val="es-ES"/>
        </w:rPr>
        <w:t xml:space="preserve">La Agencia Nacional de Contratación Pública – Colombia Compra Eficiente se ha pronunciado sobre </w:t>
      </w:r>
      <w:r w:rsidRPr="00270E87">
        <w:rPr>
          <w:rFonts w:ascii="Verdana" w:eastAsia="Aptos" w:hAnsi="Verdana" w:cs="Arial"/>
          <w:shd w:val="clear" w:color="auto" w:fill="FFFFFF"/>
          <w:lang w:val="es-ES"/>
        </w:rPr>
        <w:t xml:space="preserve">la nulidad de los contratos estatales en los Conceptos </w:t>
      </w:r>
      <w:r w:rsidRPr="00270E87">
        <w:rPr>
          <w:rFonts w:ascii="Verdana" w:eastAsia="Calibri" w:hAnsi="Verdana" w:cs="Arial"/>
          <w:lang w:val="es-ES" w:eastAsia="es-MX"/>
        </w:rPr>
        <w:t>C-600 del 13 de octubre de 2020, C-378 del 31 de agosto de 2021, C-575 del 13 de octubre de 2021, C-896 del 17 de enero de 2023, C-041 del 20 de febrero de 2025</w:t>
      </w:r>
      <w:r w:rsidRPr="00270E87">
        <w:rPr>
          <w:rFonts w:ascii="Verdana" w:eastAsia="Aptos" w:hAnsi="Verdana" w:cs="Arial"/>
          <w:shd w:val="clear" w:color="auto" w:fill="FFFFFF"/>
          <w:lang w:val="es-ES"/>
        </w:rPr>
        <w:t>, C-466 del 16 de mayo de 2025, C-901 del 18 de julio de 2025, C-836 del 31 de julio de 2025, C-1511 del 26 de noviembre de 2025, C-394 del 24 de abril de 2026, C-499 del 8 de mayo de 2026, entre otros</w:t>
      </w:r>
      <w:r w:rsidRPr="00270E87">
        <w:rPr>
          <w:rFonts w:ascii="Verdana" w:hAnsi="Verdana" w:cs="Arial"/>
          <w:shd w:val="clear" w:color="auto" w:fill="FFFFFF"/>
          <w:lang w:val="es-ES"/>
        </w:rPr>
        <w:t xml:space="preserve">. </w:t>
      </w:r>
      <w:r w:rsidR="00211B92" w:rsidRPr="00667BDC">
        <w:rPr>
          <w:rFonts w:ascii="Verdana" w:eastAsia="Arial" w:hAnsi="Verdana" w:cs="Arial"/>
          <w:lang w:val="es-ES"/>
        </w:rPr>
        <w:t>En relación con la prohibición del artículo 355 de la Constitución Política, resulta pertinente el Concepto C-291 del 5 de marzo de 2026</w:t>
      </w:r>
      <w:r w:rsidR="00211B92" w:rsidRPr="00211B92">
        <w:rPr>
          <w:rFonts w:ascii="Verdana" w:eastAsia="Arial" w:hAnsi="Verdana" w:cs="Arial"/>
          <w:lang w:val="es-ES"/>
        </w:rPr>
        <w:t>. Estos y</w:t>
      </w:r>
      <w:r w:rsidRPr="00211B92">
        <w:rPr>
          <w:rFonts w:ascii="Verdana" w:hAnsi="Verdana" w:cs="Arial"/>
          <w:shd w:val="clear" w:color="auto" w:fill="FFFFFF"/>
          <w:lang w:val="es-ES"/>
        </w:rPr>
        <w:t xml:space="preserve"> </w:t>
      </w:r>
      <w:r w:rsidR="00211B92" w:rsidRPr="00211B92">
        <w:rPr>
          <w:rFonts w:ascii="Verdana" w:hAnsi="Verdana"/>
          <w:lang w:val="es-ES"/>
        </w:rPr>
        <w:t>o</w:t>
      </w:r>
      <w:r w:rsidRPr="00270E87">
        <w:rPr>
          <w:rFonts w:ascii="Verdana" w:hAnsi="Verdana"/>
          <w:lang w:val="es-ES"/>
        </w:rPr>
        <w:t>tros conceptos se encuentran disponibles para consulta en el Sistema de relatoría de la Agencia, al cual se puede acceder a través del siguiente enlace:</w:t>
      </w:r>
      <w:r w:rsidRPr="00270E87">
        <w:rPr>
          <w:rFonts w:ascii="Verdana" w:hAnsi="Verdana" w:cs="Arial"/>
          <w:shd w:val="clear" w:color="auto" w:fill="FFFFFF"/>
          <w:lang w:val="es-ES"/>
        </w:rPr>
        <w:t xml:space="preserve"> </w:t>
      </w:r>
      <w:hyperlink r:id="rId13" w:history="1">
        <w:r w:rsidRPr="00270E87">
          <w:rPr>
            <w:rStyle w:val="Hipervnculo"/>
            <w:rFonts w:ascii="Verdana" w:hAnsi="Verdana"/>
            <w:lang w:val="es-ES"/>
          </w:rPr>
          <w:t>https://relatoria.colombiacompra.gov.co/busqueda/conceptos</w:t>
        </w:r>
      </w:hyperlink>
      <w:r w:rsidRPr="00270E87">
        <w:rPr>
          <w:rFonts w:ascii="Verdana" w:hAnsi="Verdana" w:cs="Arial"/>
          <w:shd w:val="clear" w:color="auto" w:fill="FFFFFF"/>
          <w:lang w:val="es-ES"/>
        </w:rPr>
        <w:t>.</w:t>
      </w:r>
      <w:r w:rsidRPr="00270E87">
        <w:rPr>
          <w:rFonts w:ascii="Verdana" w:hAnsi="Verdana" w:cs="Arial"/>
          <w:color w:val="FF0000"/>
          <w:shd w:val="clear" w:color="auto" w:fill="FFFFFF"/>
          <w:lang w:val="es-ES"/>
        </w:rPr>
        <w:t xml:space="preserve"> </w:t>
      </w:r>
      <w:r w:rsidRPr="00270E87">
        <w:rPr>
          <w:rFonts w:ascii="Verdana" w:hAnsi="Verdana" w:cs="Arial"/>
          <w:color w:val="000000" w:themeColor="text1"/>
          <w:shd w:val="clear" w:color="auto" w:fill="FFFFFF"/>
          <w:lang w:val="es-ES"/>
        </w:rPr>
        <w:t>  </w:t>
      </w:r>
    </w:p>
    <w:p w14:paraId="5F77FDC9" w14:textId="77777777" w:rsidR="00326475" w:rsidRPr="00C044BD" w:rsidRDefault="00326475" w:rsidP="00326475">
      <w:pPr>
        <w:spacing w:after="0" w:line="276" w:lineRule="auto"/>
        <w:jc w:val="both"/>
        <w:rPr>
          <w:rFonts w:ascii="Verdana" w:hAnsi="Verdana"/>
          <w:lang w:val="it-CH"/>
        </w:rPr>
      </w:pPr>
      <w:r w:rsidRPr="00270E87">
        <w:rPr>
          <w:rFonts w:ascii="Verdana" w:hAnsi="Verdana"/>
          <w:lang w:val="es-ES"/>
        </w:rPr>
        <w:lastRenderedPageBreak/>
        <w:t>Las garantías no son un requisito formal: son el instrumento con el que se protege el patrimonio público frente a los riesgos del contrato. Por ello, la Agencia Nacional de Contratación Pública –Colombia Compra Eficiente</w:t>
      </w:r>
      <w:proofErr w:type="gramStart"/>
      <w:r w:rsidRPr="00270E87">
        <w:rPr>
          <w:rFonts w:ascii="Verdana" w:hAnsi="Verdana"/>
          <w:lang w:val="es-ES"/>
        </w:rPr>
        <w:t>–  invita</w:t>
      </w:r>
      <w:proofErr w:type="gramEnd"/>
      <w:r w:rsidRPr="00270E87">
        <w:rPr>
          <w:rFonts w:ascii="Verdana" w:hAnsi="Verdana"/>
          <w:lang w:val="es-ES"/>
        </w:rPr>
        <w:t xml:space="preserve"> a consultar la nueva versión de la </w:t>
      </w:r>
      <w:r w:rsidRPr="00270E87">
        <w:rPr>
          <w:rFonts w:ascii="Verdana" w:hAnsi="Verdana"/>
          <w:b/>
          <w:bCs/>
          <w:lang w:val="es-ES"/>
        </w:rPr>
        <w:t>Guía para la Exigencia y Constitución de Garantías en los Procesos de Contratación</w:t>
      </w:r>
      <w:r w:rsidRPr="00270E87">
        <w:rPr>
          <w:rFonts w:ascii="Verdana" w:hAnsi="Verdana"/>
          <w:lang w:val="es-ES"/>
        </w:rPr>
        <w:t xml:space="preserve">,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w:t>
      </w:r>
      <w:r w:rsidRPr="00C044BD">
        <w:rPr>
          <w:rFonts w:ascii="Verdana" w:hAnsi="Verdana"/>
          <w:lang w:val="it-CH"/>
        </w:rPr>
        <w:t>Consúltela aquí: </w:t>
      </w:r>
      <w:r>
        <w:fldChar w:fldCharType="begin"/>
      </w:r>
      <w:r w:rsidRPr="00C044BD">
        <w:rPr>
          <w:lang w:val="it-CH"/>
        </w:rPr>
        <w:instrText>HYPERLINK "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\h</w:instrText>
      </w:r>
      <w:r>
        <w:fldChar w:fldCharType="separate"/>
      </w:r>
      <w:r w:rsidRPr="00C044BD">
        <w:rPr>
          <w:rStyle w:val="Hipervnculo"/>
          <w:rFonts w:ascii="Verdana" w:hAnsi="Verdana"/>
          <w:lang w:val="it-CH"/>
        </w:rPr>
        <w:t>https://www.colombiacompra.gov.co/archivos/manual/guia-de-garantias-en-procesos-de-contratacion</w:t>
      </w:r>
      <w:r>
        <w:fldChar w:fldCharType="end"/>
      </w:r>
    </w:p>
    <w:p w14:paraId="194FE801" w14:textId="77777777" w:rsidR="00326475" w:rsidRPr="00C044BD" w:rsidRDefault="00326475" w:rsidP="00326475">
      <w:pPr>
        <w:spacing w:after="0" w:line="276" w:lineRule="auto"/>
        <w:jc w:val="both"/>
        <w:rPr>
          <w:rFonts w:ascii="Verdana" w:hAnsi="Verdana"/>
          <w:lang w:val="it-CH"/>
        </w:rPr>
      </w:pPr>
    </w:p>
    <w:p w14:paraId="29843BFE" w14:textId="77777777" w:rsidR="00326475" w:rsidRPr="00C044BD" w:rsidRDefault="00326475" w:rsidP="00326475">
      <w:pPr>
        <w:spacing w:after="0" w:line="276" w:lineRule="auto"/>
        <w:jc w:val="both"/>
        <w:rPr>
          <w:rFonts w:ascii="Verdana" w:hAnsi="Verdana"/>
          <w:lang w:val="it-CH"/>
        </w:rPr>
      </w:pPr>
      <w:r w:rsidRPr="00270E87">
        <w:rPr>
          <w:rFonts w:ascii="Verdana" w:hAnsi="Verdana"/>
          <w:lang w:val="es-ES"/>
        </w:rPr>
        <w:t>De otro lado, te contamos que el Decreto 287 del 19 de marzo de 2026 sustituyó los artículos 2.2.1.2.4.2.6., 2.2.1.2.4.2.7. y 2.2.1.2.4.2.8. del Decreto 1082 de 2015 y estructuró el </w:t>
      </w:r>
      <w:r w:rsidRPr="00270E87">
        <w:rPr>
          <w:rFonts w:ascii="Verdana" w:hAnsi="Verdana"/>
          <w:b/>
          <w:bCs/>
          <w:lang w:val="es-ES"/>
        </w:rPr>
        <w:t>Sistema Integral de Preferencias en favor de las personas con discapacidad</w:t>
      </w:r>
      <w:r w:rsidRPr="00270E87">
        <w:rPr>
          <w:rFonts w:ascii="Verdana" w:hAnsi="Verdana"/>
          <w:lang w:val="es-ES"/>
        </w:rPr>
        <w:t>, en cumplimiento del artículo 13 de la Ley Estatutaria 1618 de 2013. Para orientar su aplicación, esta Agencia expidió la </w:t>
      </w:r>
      <w:r w:rsidRPr="00270E87">
        <w:rPr>
          <w:rFonts w:ascii="Verdana" w:hAnsi="Verdana"/>
          <w:b/>
          <w:bCs/>
          <w:lang w:val="es-ES"/>
        </w:rPr>
        <w:t>Circular Externa 003 del 12 de mayo de 2026, </w:t>
      </w:r>
      <w:r w:rsidRPr="00270E87">
        <w:rPr>
          <w:rFonts w:ascii="Verdana" w:hAnsi="Verdana"/>
          <w:lang w:val="es-ES"/>
        </w:rPr>
        <w:t xml:space="preserve">en la que precisa quiénes son los beneficiarios, las cinco medidas que integran el sistema y su obligatoriedad según la modalidad de selección, y el régimen de transición aplicable a los procesos en curso. </w:t>
      </w:r>
      <w:r w:rsidRPr="00C044BD">
        <w:rPr>
          <w:rFonts w:ascii="Verdana" w:hAnsi="Verdana"/>
          <w:lang w:val="it-CH"/>
        </w:rPr>
        <w:t>Consúltela aquí: </w:t>
      </w:r>
      <w:r>
        <w:fldChar w:fldCharType="begin"/>
      </w:r>
      <w:r w:rsidRPr="00C044BD">
        <w:rPr>
          <w:lang w:val="it-CH"/>
        </w:rPr>
        <w:instrText>HYPERLINK "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\h</w:instrText>
      </w:r>
      <w:r>
        <w:fldChar w:fldCharType="separate"/>
      </w:r>
      <w:r w:rsidRPr="00C044BD">
        <w:rPr>
          <w:rStyle w:val="Hipervnculo"/>
          <w:rFonts w:ascii="Verdana" w:hAnsi="Verdana"/>
          <w:lang w:val="it-CH"/>
        </w:rPr>
        <w:t>https://www.colombiacompra.gov.co/archivos/circular/circular-externa-003-de-2026</w:t>
      </w:r>
      <w:r>
        <w:fldChar w:fldCharType="end"/>
      </w:r>
    </w:p>
    <w:p w14:paraId="50FE39A4" w14:textId="77777777" w:rsidR="00326475" w:rsidRPr="00C044BD" w:rsidRDefault="00326475" w:rsidP="00326475">
      <w:pPr>
        <w:spacing w:after="0" w:line="276" w:lineRule="auto"/>
        <w:jc w:val="both"/>
        <w:rPr>
          <w:rFonts w:ascii="Verdana" w:hAnsi="Verdana"/>
          <w:lang w:val="it-CH"/>
        </w:rPr>
      </w:pPr>
    </w:p>
    <w:p w14:paraId="43F63586" w14:textId="77777777" w:rsidR="00326475" w:rsidRPr="00C044BD" w:rsidRDefault="00326475" w:rsidP="00326475">
      <w:pPr>
        <w:spacing w:after="0" w:line="276" w:lineRule="auto"/>
        <w:jc w:val="both"/>
        <w:rPr>
          <w:rFonts w:ascii="Verdana" w:hAnsi="Verdana"/>
          <w:lang w:val="it-CH"/>
        </w:rPr>
      </w:pPr>
      <w:r w:rsidRPr="00270E87">
        <w:rPr>
          <w:rFonts w:ascii="Verdana" w:hAnsi="Verdana"/>
          <w:lang w:val="es-ES"/>
        </w:rPr>
        <w:t>Recuerde también que la</w:t>
      </w:r>
      <w:r w:rsidRPr="00270E87">
        <w:rPr>
          <w:rFonts w:ascii="Verdana" w:hAnsi="Verdana"/>
          <w:b/>
          <w:bCs/>
          <w:lang w:val="es-ES"/>
        </w:rPr>
        <w:t> información sobre sanciones e inhabilidades </w:t>
      </w:r>
      <w:r w:rsidRPr="00270E87">
        <w:rPr>
          <w:rFonts w:ascii="Verdana" w:hAnsi="Verdana"/>
          <w:lang w:val="es-ES"/>
        </w:rPr>
        <w:t>solo cumple su función preventiva si llega oportunamente a los registros públicos. Sobre este deber, esta Agencia expidió la </w:t>
      </w:r>
      <w:r w:rsidRPr="00270E87">
        <w:rPr>
          <w:rFonts w:ascii="Verdana" w:hAnsi="Verdana"/>
          <w:b/>
          <w:bCs/>
          <w:lang w:val="es-ES"/>
        </w:rPr>
        <w:t>Circular Externa 002 del 5 de mayo de 2026,</w:t>
      </w:r>
      <w:r w:rsidRPr="00270E87">
        <w:rPr>
          <w:rFonts w:ascii="Verdana" w:hAnsi="Verdana"/>
          <w:lang w:val="es-ES"/>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w:t>
      </w:r>
      <w:r w:rsidRPr="00C044BD">
        <w:rPr>
          <w:rFonts w:ascii="Verdana" w:hAnsi="Verdana"/>
          <w:lang w:val="it-CH"/>
        </w:rPr>
        <w:t>Consúltela aquí: </w:t>
      </w:r>
      <w:r>
        <w:fldChar w:fldCharType="begin"/>
      </w:r>
      <w:r w:rsidRPr="00C044BD">
        <w:rPr>
          <w:lang w:val="it-CH"/>
        </w:rPr>
        <w:instrText>HYPERLINK "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\h</w:instrText>
      </w:r>
      <w:r>
        <w:fldChar w:fldCharType="separate"/>
      </w:r>
      <w:r w:rsidRPr="00C044BD">
        <w:rPr>
          <w:rStyle w:val="Hipervnculo"/>
          <w:rFonts w:ascii="Verdana" w:hAnsi="Verdana"/>
          <w:lang w:val="it-CH"/>
        </w:rPr>
        <w:t>https://www.colombiacompra.gov.co/archivos/circular/circular-externa-002-de-2026</w:t>
      </w:r>
      <w:r>
        <w:fldChar w:fldCharType="end"/>
      </w:r>
    </w:p>
    <w:p w14:paraId="57703390" w14:textId="77777777" w:rsidR="00326475" w:rsidRPr="00C044BD" w:rsidRDefault="00326475" w:rsidP="00326475">
      <w:pPr>
        <w:spacing w:after="0" w:line="276" w:lineRule="auto"/>
        <w:jc w:val="both"/>
        <w:rPr>
          <w:rFonts w:ascii="Verdana" w:hAnsi="Verdana"/>
          <w:lang w:val="it-CH"/>
        </w:rPr>
      </w:pPr>
    </w:p>
    <w:p w14:paraId="06770C02" w14:textId="77777777" w:rsidR="00326475" w:rsidRPr="00270E87" w:rsidRDefault="00326475" w:rsidP="00326475">
      <w:pPr>
        <w:spacing w:after="0" w:line="276" w:lineRule="auto"/>
        <w:jc w:val="both"/>
        <w:rPr>
          <w:rFonts w:ascii="Verdana" w:hAnsi="Verdana"/>
          <w:lang w:val="es-ES"/>
        </w:rPr>
      </w:pPr>
      <w:r w:rsidRPr="00270E87">
        <w:rPr>
          <w:rFonts w:ascii="Verdana" w:hAnsi="Verdana"/>
          <w:lang w:val="es-ES"/>
        </w:rPr>
        <w:lastRenderedPageBreak/>
        <w:t>Finalmente, si quiere seguir de cerca la actividad de la Agencia, la tercera edición de 2026 del</w:t>
      </w:r>
      <w:r w:rsidRPr="00270E87">
        <w:rPr>
          <w:rFonts w:ascii="Verdana" w:hAnsi="Verdana"/>
          <w:b/>
          <w:bCs/>
          <w:lang w:val="es-ES"/>
        </w:rPr>
        <w:t> Radar de la Compra Pública</w:t>
      </w:r>
      <w:r w:rsidRPr="00270E87">
        <w:rPr>
          <w:rFonts w:ascii="Verdana" w:hAnsi="Verdana"/>
          <w:lang w:val="es-ES"/>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4">
        <w:r w:rsidRPr="00270E87">
          <w:rPr>
            <w:rStyle w:val="Hipervnculo"/>
            <w:rFonts w:ascii="Verdana" w:hAnsi="Verdana"/>
            <w:lang w:val="es-ES"/>
          </w:rPr>
          <w:t>https://www.colombiacompra.gov.co/archivos/boletin/boletin-edicion-n-3-de-2026-radar-de-la-compra-publica</w:t>
        </w:r>
      </w:hyperlink>
    </w:p>
    <w:p w14:paraId="20146366" w14:textId="77777777" w:rsidR="00326475" w:rsidRPr="00270E87" w:rsidRDefault="00326475" w:rsidP="00326475">
      <w:pPr>
        <w:spacing w:line="276" w:lineRule="auto"/>
        <w:jc w:val="both"/>
        <w:rPr>
          <w:rFonts w:ascii="Verdana" w:hAnsi="Verdana"/>
          <w:lang w:val="es-ES"/>
        </w:rPr>
      </w:pPr>
    </w:p>
    <w:p w14:paraId="4935FC26" w14:textId="77777777" w:rsidR="00326475" w:rsidRPr="00270E87" w:rsidRDefault="00326475" w:rsidP="00326475">
      <w:pPr>
        <w:spacing w:after="0" w:line="276" w:lineRule="auto"/>
        <w:jc w:val="both"/>
        <w:rPr>
          <w:rFonts w:ascii="Verdana" w:hAnsi="Verdana"/>
          <w:lang w:val="es-ES"/>
        </w:rPr>
      </w:pPr>
      <w:r w:rsidRPr="00270E87">
        <w:rPr>
          <w:rFonts w:ascii="Verdana" w:hAnsi="Verdana"/>
          <w:lang w:val="es-ES"/>
        </w:rPr>
        <w:t xml:space="preserve">Por último, le invitamos a seguirnos en las redes sociales en las cuales se difunde información institucional: </w:t>
      </w:r>
    </w:p>
    <w:p w14:paraId="37170B35" w14:textId="77777777" w:rsidR="00326475" w:rsidRPr="00270E87" w:rsidRDefault="00326475" w:rsidP="00326475">
      <w:pPr>
        <w:spacing w:after="0" w:line="276" w:lineRule="auto"/>
        <w:jc w:val="both"/>
        <w:rPr>
          <w:rFonts w:ascii="Verdana" w:hAnsi="Verdana"/>
          <w:lang w:val="es-ES"/>
        </w:rPr>
      </w:pPr>
    </w:p>
    <w:p w14:paraId="0A15BC16" w14:textId="77777777" w:rsidR="00326475" w:rsidRPr="00270E87" w:rsidRDefault="00326475" w:rsidP="00326475">
      <w:pPr>
        <w:spacing w:after="0" w:line="276" w:lineRule="auto"/>
        <w:jc w:val="both"/>
        <w:rPr>
          <w:rFonts w:ascii="Verdana" w:hAnsi="Verdana"/>
          <w:lang w:val="es-ES"/>
        </w:rPr>
      </w:pPr>
      <w:r w:rsidRPr="00270E87">
        <w:rPr>
          <w:rFonts w:ascii="Verdana" w:hAnsi="Verdana"/>
          <w:lang w:val="es-ES"/>
        </w:rPr>
        <w:t xml:space="preserve">Twitter: </w:t>
      </w:r>
      <w:r w:rsidRPr="00270E87">
        <w:rPr>
          <w:rStyle w:val="Hipervnculo"/>
          <w:rFonts w:ascii="Verdana" w:hAnsi="Verdana" w:cs="Arial"/>
          <w:shd w:val="clear" w:color="auto" w:fill="FFFFFF"/>
          <w:lang w:val="es-ES"/>
        </w:rPr>
        <w:t>@colombiacompra</w:t>
      </w:r>
      <w:r w:rsidRPr="00270E87">
        <w:rPr>
          <w:rFonts w:ascii="Verdana" w:hAnsi="Verdana"/>
          <w:color w:val="4472C4" w:themeColor="accent1"/>
          <w:lang w:val="es-ES"/>
        </w:rPr>
        <w:t xml:space="preserve"> </w:t>
      </w:r>
    </w:p>
    <w:p w14:paraId="7EDD4492" w14:textId="77777777" w:rsidR="00326475" w:rsidRPr="00270E87" w:rsidRDefault="00326475" w:rsidP="00326475">
      <w:pPr>
        <w:spacing w:after="0" w:line="276" w:lineRule="auto"/>
        <w:jc w:val="both"/>
        <w:rPr>
          <w:rFonts w:ascii="Verdana" w:hAnsi="Verdana"/>
          <w:lang w:val="es-ES"/>
        </w:rPr>
      </w:pPr>
      <w:r w:rsidRPr="00270E87">
        <w:rPr>
          <w:rFonts w:ascii="Verdana" w:hAnsi="Verdana"/>
          <w:lang w:val="es-ES"/>
        </w:rPr>
        <w:t xml:space="preserve">Facebook: </w:t>
      </w:r>
      <w:proofErr w:type="spellStart"/>
      <w:r w:rsidRPr="00270E87">
        <w:rPr>
          <w:rStyle w:val="Hipervnculo"/>
          <w:rFonts w:ascii="Verdana" w:hAnsi="Verdana" w:cs="Arial"/>
          <w:shd w:val="clear" w:color="auto" w:fill="FFFFFF"/>
          <w:lang w:val="es-ES"/>
        </w:rPr>
        <w:t>ColombiaCompraEficiente</w:t>
      </w:r>
      <w:proofErr w:type="spellEnd"/>
    </w:p>
    <w:p w14:paraId="099C982B" w14:textId="77777777" w:rsidR="00326475" w:rsidRPr="00270E87" w:rsidRDefault="00326475" w:rsidP="00326475">
      <w:pPr>
        <w:spacing w:after="0" w:line="276" w:lineRule="auto"/>
        <w:jc w:val="both"/>
        <w:rPr>
          <w:rFonts w:ascii="Verdana" w:hAnsi="Verdana"/>
          <w:lang w:val="es-ES"/>
        </w:rPr>
      </w:pPr>
      <w:r w:rsidRPr="00270E87">
        <w:rPr>
          <w:rFonts w:ascii="Verdana" w:hAnsi="Verdana"/>
          <w:lang w:val="es-ES"/>
        </w:rPr>
        <w:t xml:space="preserve">LinkedIn: </w:t>
      </w:r>
      <w:r w:rsidRPr="00270E87">
        <w:rPr>
          <w:rStyle w:val="Hipervnculo"/>
          <w:rFonts w:ascii="Verdana" w:hAnsi="Verdana" w:cs="Arial"/>
          <w:shd w:val="clear" w:color="auto" w:fill="FFFFFF"/>
          <w:lang w:val="es-ES"/>
        </w:rPr>
        <w:t xml:space="preserve">Agencia Nacional de Contratación Pública - Colombia Compra Eficiente </w:t>
      </w:r>
      <w:r w:rsidRPr="00270E87">
        <w:rPr>
          <w:rFonts w:ascii="Verdana" w:hAnsi="Verdana"/>
          <w:lang w:val="es-ES"/>
        </w:rPr>
        <w:t xml:space="preserve">Instagram: </w:t>
      </w:r>
      <w:r w:rsidRPr="00270E87">
        <w:rPr>
          <w:rStyle w:val="Hipervnculo"/>
          <w:rFonts w:ascii="Verdana" w:hAnsi="Verdana" w:cs="Arial"/>
          <w:shd w:val="clear" w:color="auto" w:fill="FFFFFF"/>
          <w:lang w:val="es-ES"/>
        </w:rPr>
        <w:t>@colombiacompraeficiente_cce</w:t>
      </w:r>
    </w:p>
    <w:p w14:paraId="5786584D" w14:textId="77777777" w:rsidR="00326475" w:rsidRPr="00270E87" w:rsidRDefault="00326475" w:rsidP="00326475">
      <w:pPr>
        <w:widowControl w:val="0"/>
        <w:autoSpaceDE w:val="0"/>
        <w:autoSpaceDN w:val="0"/>
        <w:spacing w:after="0" w:line="276" w:lineRule="auto"/>
        <w:jc w:val="both"/>
        <w:rPr>
          <w:rFonts w:ascii="Verdana" w:hAnsi="Verdana" w:cs="Arial"/>
          <w:lang w:val="es-ES"/>
        </w:rPr>
      </w:pPr>
    </w:p>
    <w:p w14:paraId="57F66208" w14:textId="77777777" w:rsidR="00326475" w:rsidRPr="00270E87" w:rsidRDefault="00326475" w:rsidP="00326475">
      <w:pPr>
        <w:widowControl w:val="0"/>
        <w:autoSpaceDE w:val="0"/>
        <w:autoSpaceDN w:val="0"/>
        <w:spacing w:after="0" w:line="276" w:lineRule="auto"/>
        <w:jc w:val="both"/>
        <w:rPr>
          <w:rFonts w:ascii="Verdana" w:hAnsi="Verdana" w:cs="Arial"/>
          <w:lang w:val="es-ES"/>
        </w:rPr>
      </w:pPr>
      <w:r w:rsidRPr="00270E87">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21BA181" w14:textId="77777777" w:rsidR="00326475" w:rsidRPr="00270E87" w:rsidRDefault="00326475" w:rsidP="00326475">
      <w:pPr>
        <w:widowControl w:val="0"/>
        <w:autoSpaceDE w:val="0"/>
        <w:autoSpaceDN w:val="0"/>
        <w:spacing w:after="0" w:line="276" w:lineRule="auto"/>
        <w:jc w:val="both"/>
        <w:rPr>
          <w:rFonts w:ascii="Verdana" w:hAnsi="Verdana" w:cs="Arial"/>
          <w:lang w:val="es-ES"/>
        </w:rPr>
      </w:pPr>
    </w:p>
    <w:p w14:paraId="190F881D" w14:textId="56344F25" w:rsidR="00326475" w:rsidRPr="00270E87" w:rsidRDefault="00326475" w:rsidP="00326475">
      <w:pPr>
        <w:spacing w:after="0" w:line="276" w:lineRule="auto"/>
        <w:rPr>
          <w:rFonts w:ascii="Verdana" w:hAnsi="Verdana" w:cs="Arial"/>
          <w:color w:val="000000" w:themeColor="text1"/>
          <w:lang w:val="es-ES" w:eastAsia="es-CO"/>
        </w:rPr>
      </w:pPr>
      <w:r w:rsidRPr="00270E87">
        <w:rPr>
          <w:rFonts w:ascii="Verdana" w:eastAsia="Times New Roman" w:hAnsi="Verdana" w:cs="Arial"/>
          <w:color w:val="000000" w:themeColor="text1"/>
          <w:lang w:val="es-ES" w:eastAsia="es-CO"/>
        </w:rPr>
        <w:t>Atentamente,</w:t>
      </w:r>
      <w:r w:rsidRPr="00270E87">
        <w:rPr>
          <w:rFonts w:ascii="Verdana" w:hAnsi="Verdana" w:cs="Arial"/>
          <w:color w:val="000000" w:themeColor="text1"/>
          <w:lang w:val="es-ES" w:eastAsia="es-CO"/>
        </w:rPr>
        <w:t xml:space="preserve"> </w:t>
      </w:r>
    </w:p>
    <w:p w14:paraId="03E5877F" w14:textId="763930D1" w:rsidR="00326475" w:rsidRPr="00270E87" w:rsidRDefault="00F62047" w:rsidP="00326475">
      <w:pPr>
        <w:spacing w:after="0" w:line="276" w:lineRule="auto"/>
        <w:rPr>
          <w:rFonts w:ascii="Verdana" w:hAnsi="Verdana" w:cs="Arial"/>
          <w:color w:val="000000" w:themeColor="text1"/>
          <w:lang w:val="es-ES" w:eastAsia="es-CO"/>
        </w:rPr>
      </w:pPr>
      <w:r w:rsidRPr="00F21F0B">
        <w:rPr>
          <w:rFonts w:ascii="Century Gothic" w:hAnsi="Century Gothic"/>
          <w:noProof/>
        </w:rPr>
        <w:drawing>
          <wp:anchor distT="0" distB="0" distL="114300" distR="114300" simplePos="0" relativeHeight="251660288" behindDoc="0" locked="0" layoutInCell="1" allowOverlap="1" wp14:anchorId="63155D7E" wp14:editId="7268A6B8">
            <wp:simplePos x="0" y="0"/>
            <wp:positionH relativeFrom="column">
              <wp:posOffset>999641</wp:posOffset>
            </wp:positionH>
            <wp:positionV relativeFrom="paragraph">
              <wp:posOffset>16887</wp:posOffset>
            </wp:positionV>
            <wp:extent cx="3771900" cy="1402080"/>
            <wp:effectExtent l="0" t="0" r="0" b="0"/>
            <wp:wrapSquare wrapText="bothSides"/>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1900" cy="140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8BC724" w14:textId="23CFCEB1" w:rsidR="00326475" w:rsidRPr="00270E87" w:rsidRDefault="00326475" w:rsidP="00326475">
      <w:pPr>
        <w:spacing w:line="276" w:lineRule="auto"/>
        <w:jc w:val="center"/>
        <w:rPr>
          <w:rFonts w:ascii="Verdana" w:hAnsi="Verdana" w:cs="Arial"/>
          <w:color w:val="000000" w:themeColor="text1"/>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326475" w:rsidRPr="00270E87" w14:paraId="1EE08375" w14:textId="77777777" w:rsidTr="00591DE9">
        <w:trPr>
          <w:trHeight w:val="315"/>
        </w:trPr>
        <w:tc>
          <w:tcPr>
            <w:tcW w:w="893" w:type="dxa"/>
            <w:vAlign w:val="center"/>
            <w:hideMark/>
          </w:tcPr>
          <w:p w14:paraId="686365CD" w14:textId="77777777" w:rsidR="00326475" w:rsidRPr="00270E87" w:rsidRDefault="00326475" w:rsidP="00591DE9">
            <w:pPr>
              <w:contextualSpacing/>
              <w:rPr>
                <w:rFonts w:ascii="Verdana" w:hAnsi="Verdana" w:cs="Arial"/>
                <w:sz w:val="16"/>
                <w:szCs w:val="16"/>
                <w:lang w:val="es-ES" w:eastAsia="es-ES"/>
              </w:rPr>
            </w:pPr>
            <w:r w:rsidRPr="00270E8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48454C61" w14:textId="77777777" w:rsidR="00326475" w:rsidRPr="00270E87" w:rsidRDefault="00326475" w:rsidP="00591DE9">
            <w:pPr>
              <w:contextualSpacing/>
              <w:rPr>
                <w:rFonts w:ascii="Verdana" w:eastAsia="Arial" w:hAnsi="Verdana" w:cs="Arial"/>
                <w:color w:val="000000" w:themeColor="text1"/>
                <w:sz w:val="16"/>
                <w:szCs w:val="16"/>
                <w:lang w:val="es-ES"/>
              </w:rPr>
            </w:pPr>
            <w:r w:rsidRPr="00270E87">
              <w:rPr>
                <w:rFonts w:ascii="Verdana" w:eastAsia="Arial" w:hAnsi="Verdana" w:cs="Arial"/>
                <w:color w:val="000000" w:themeColor="text1"/>
                <w:sz w:val="16"/>
                <w:szCs w:val="16"/>
                <w:lang w:val="es-ES"/>
              </w:rPr>
              <w:t>Anamaría Bonilla Prieto</w:t>
            </w:r>
          </w:p>
          <w:p w14:paraId="258FF616" w14:textId="77777777" w:rsidR="00326475" w:rsidRPr="00270E87" w:rsidRDefault="00326475" w:rsidP="00591DE9">
            <w:pPr>
              <w:contextualSpacing/>
              <w:rPr>
                <w:rFonts w:ascii="Verdana" w:eastAsia="Arial" w:hAnsi="Verdana" w:cs="Arial"/>
                <w:sz w:val="16"/>
                <w:szCs w:val="16"/>
                <w:lang w:val="es-ES"/>
              </w:rPr>
            </w:pPr>
            <w:r w:rsidRPr="00270E87">
              <w:rPr>
                <w:rStyle w:val="normaltextrun"/>
                <w:rFonts w:ascii="Verdana" w:eastAsia="Arial" w:hAnsi="Verdana" w:cs="Arial"/>
                <w:color w:val="000000" w:themeColor="text1"/>
                <w:sz w:val="16"/>
                <w:szCs w:val="16"/>
                <w:lang w:val="es-ES"/>
              </w:rPr>
              <w:t xml:space="preserve">Contratista de la Subdirección </w:t>
            </w:r>
            <w:r w:rsidRPr="00270E87">
              <w:rPr>
                <w:rStyle w:val="normaltextrun"/>
                <w:rFonts w:ascii="Verdana" w:eastAsia="Arial" w:hAnsi="Verdana" w:cs="Arial"/>
                <w:sz w:val="16"/>
                <w:szCs w:val="16"/>
                <w:lang w:val="es-ES"/>
              </w:rPr>
              <w:t>de Gestión Contractual</w:t>
            </w:r>
          </w:p>
        </w:tc>
      </w:tr>
      <w:tr w:rsidR="00326475" w:rsidRPr="00270E87" w14:paraId="66A66DBF" w14:textId="77777777" w:rsidTr="00591DE9">
        <w:trPr>
          <w:trHeight w:val="330"/>
        </w:trPr>
        <w:tc>
          <w:tcPr>
            <w:tcW w:w="893" w:type="dxa"/>
            <w:vAlign w:val="center"/>
            <w:hideMark/>
          </w:tcPr>
          <w:p w14:paraId="261FF4B3" w14:textId="77777777" w:rsidR="00326475" w:rsidRPr="00270E87" w:rsidRDefault="00326475" w:rsidP="00591DE9">
            <w:pPr>
              <w:contextualSpacing/>
              <w:rPr>
                <w:rFonts w:ascii="Verdana" w:hAnsi="Verdana" w:cs="Arial"/>
                <w:sz w:val="16"/>
                <w:szCs w:val="16"/>
                <w:lang w:val="es-ES" w:eastAsia="es-ES"/>
              </w:rPr>
            </w:pPr>
            <w:r w:rsidRPr="00270E8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2FB3EA9" w14:textId="77777777" w:rsidR="00326475" w:rsidRPr="00270E87" w:rsidRDefault="00326475" w:rsidP="00591DE9">
            <w:pPr>
              <w:spacing w:line="276" w:lineRule="auto"/>
              <w:contextualSpacing/>
              <w:textAlignment w:val="baseline"/>
              <w:rPr>
                <w:rStyle w:val="normaltextrun"/>
                <w:rFonts w:ascii="Verdana" w:eastAsia="Arial" w:hAnsi="Verdana"/>
                <w:color w:val="000000" w:themeColor="text1"/>
                <w:sz w:val="16"/>
                <w:szCs w:val="16"/>
                <w:lang w:val="es-ES"/>
              </w:rPr>
            </w:pPr>
            <w:r w:rsidRPr="00270E87">
              <w:rPr>
                <w:rStyle w:val="normaltextrun"/>
                <w:rFonts w:ascii="Verdana" w:eastAsia="Arial" w:hAnsi="Verdana"/>
                <w:color w:val="000000" w:themeColor="text1"/>
                <w:sz w:val="16"/>
                <w:szCs w:val="16"/>
                <w:lang w:val="es-ES"/>
              </w:rPr>
              <w:t>Alejandro Sarmiento Cantillo</w:t>
            </w:r>
          </w:p>
          <w:p w14:paraId="6B9FA5BE" w14:textId="77777777" w:rsidR="00326475" w:rsidRPr="00270E87" w:rsidRDefault="00326475" w:rsidP="00591DE9">
            <w:pPr>
              <w:pStyle w:val="paragraph"/>
              <w:spacing w:before="0" w:beforeAutospacing="0" w:after="0" w:afterAutospacing="0"/>
              <w:contextualSpacing/>
              <w:textAlignment w:val="baseline"/>
              <w:rPr>
                <w:rFonts w:ascii="Verdana" w:hAnsi="Verdana" w:cs="Segoe UI"/>
                <w:sz w:val="16"/>
                <w:szCs w:val="16"/>
                <w:lang w:val="es-ES"/>
              </w:rPr>
            </w:pPr>
            <w:r w:rsidRPr="00270E87">
              <w:rPr>
                <w:rStyle w:val="normaltextrun"/>
                <w:rFonts w:ascii="Verdana" w:eastAsia="Arial" w:hAnsi="Verdana"/>
                <w:color w:val="000000" w:themeColor="text1"/>
                <w:sz w:val="16"/>
                <w:szCs w:val="16"/>
                <w:lang w:val="es-ES" w:eastAsia="en-US"/>
              </w:rPr>
              <w:t xml:space="preserve">Gestor T1 – 15 </w:t>
            </w:r>
            <w:r w:rsidRPr="00270E87">
              <w:rPr>
                <w:rStyle w:val="normaltextrun"/>
                <w:rFonts w:ascii="Verdana" w:eastAsia="Arial" w:hAnsi="Verdana" w:cs="Arial"/>
                <w:color w:val="000000" w:themeColor="text1"/>
                <w:sz w:val="16"/>
                <w:szCs w:val="16"/>
                <w:lang w:val="es-ES" w:eastAsia="en-US"/>
              </w:rPr>
              <w:t>de la Subdirección de Gestión Contractual</w:t>
            </w:r>
            <w:r w:rsidRPr="00270E87">
              <w:rPr>
                <w:rStyle w:val="eop"/>
                <w:rFonts w:ascii="Verdana" w:hAnsi="Verdana" w:cs="Arial"/>
                <w:sz w:val="16"/>
                <w:szCs w:val="16"/>
                <w:lang w:val="es-ES"/>
              </w:rPr>
              <w:t> </w:t>
            </w:r>
          </w:p>
        </w:tc>
      </w:tr>
      <w:tr w:rsidR="00326475" w:rsidRPr="00270E87" w14:paraId="754E88DF" w14:textId="77777777" w:rsidTr="00591DE9">
        <w:trPr>
          <w:trHeight w:val="300"/>
        </w:trPr>
        <w:tc>
          <w:tcPr>
            <w:tcW w:w="893" w:type="dxa"/>
            <w:vAlign w:val="center"/>
          </w:tcPr>
          <w:p w14:paraId="19CD1ED1" w14:textId="77777777" w:rsidR="00326475" w:rsidRPr="00270E87" w:rsidRDefault="00326475" w:rsidP="00591DE9">
            <w:pPr>
              <w:contextualSpacing/>
              <w:rPr>
                <w:rFonts w:ascii="Verdana" w:hAnsi="Verdana" w:cs="Arial"/>
                <w:sz w:val="16"/>
                <w:szCs w:val="16"/>
                <w:lang w:val="es-ES" w:eastAsia="es-ES"/>
              </w:rPr>
            </w:pPr>
            <w:r w:rsidRPr="00270E8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D23F703" w14:textId="77777777" w:rsidR="00326475" w:rsidRPr="00270E87" w:rsidRDefault="00326475" w:rsidP="00591DE9">
            <w:pPr>
              <w:contextualSpacing/>
              <w:rPr>
                <w:rFonts w:ascii="Verdana" w:eastAsia="Calibri" w:hAnsi="Verdana" w:cs="Arial"/>
                <w:sz w:val="16"/>
                <w:szCs w:val="16"/>
                <w:lang w:val="es-ES" w:eastAsia="es-ES"/>
              </w:rPr>
            </w:pPr>
            <w:r w:rsidRPr="00270E87">
              <w:rPr>
                <w:rFonts w:ascii="Verdana" w:eastAsia="Calibri" w:hAnsi="Verdana" w:cs="Arial"/>
                <w:sz w:val="16"/>
                <w:szCs w:val="16"/>
                <w:lang w:val="es-ES" w:eastAsia="es-ES"/>
              </w:rPr>
              <w:t>Carolina Quintero Gacharná</w:t>
            </w:r>
          </w:p>
          <w:p w14:paraId="17C82C0C" w14:textId="77777777" w:rsidR="00326475" w:rsidRPr="00270E87" w:rsidRDefault="00326475" w:rsidP="00591DE9">
            <w:pPr>
              <w:contextualSpacing/>
              <w:rPr>
                <w:rFonts w:ascii="Verdana" w:eastAsia="Calibri" w:hAnsi="Verdana" w:cs="Arial"/>
                <w:sz w:val="16"/>
                <w:szCs w:val="16"/>
                <w:lang w:val="es-ES" w:eastAsia="es-ES"/>
              </w:rPr>
            </w:pPr>
            <w:r w:rsidRPr="00270E87">
              <w:rPr>
                <w:rFonts w:ascii="Verdana" w:eastAsia="Calibri" w:hAnsi="Verdana" w:cs="Arial"/>
                <w:sz w:val="16"/>
                <w:szCs w:val="16"/>
                <w:lang w:val="es-ES" w:eastAsia="es-ES"/>
              </w:rPr>
              <w:t>Subdirectora de Gestión Contractual ANCP – CCE</w:t>
            </w:r>
          </w:p>
        </w:tc>
      </w:tr>
    </w:tbl>
    <w:p w14:paraId="60E5BBE9" w14:textId="21A0AF6C" w:rsidR="00326475" w:rsidRPr="00270E87" w:rsidRDefault="00326475" w:rsidP="00326475">
      <w:pPr>
        <w:spacing w:after="0" w:line="276" w:lineRule="auto"/>
        <w:jc w:val="center"/>
        <w:rPr>
          <w:lang w:val="es-ES"/>
        </w:rPr>
      </w:pPr>
    </w:p>
    <w:sectPr w:rsidR="00326475" w:rsidRPr="00270E87" w:rsidSect="007C0C0F">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2CB83" w14:textId="77777777" w:rsidR="00830386" w:rsidRDefault="00830386" w:rsidP="004A1847">
      <w:pPr>
        <w:spacing w:after="0" w:line="240" w:lineRule="auto"/>
      </w:pPr>
      <w:r>
        <w:separator/>
      </w:r>
    </w:p>
  </w:endnote>
  <w:endnote w:type="continuationSeparator" w:id="0">
    <w:p w14:paraId="1C4B1C29" w14:textId="77777777" w:rsidR="00830386" w:rsidRDefault="00830386" w:rsidP="004A1847">
      <w:pPr>
        <w:spacing w:after="0" w:line="240" w:lineRule="auto"/>
      </w:pPr>
      <w:r>
        <w:continuationSeparator/>
      </w:r>
    </w:p>
  </w:endnote>
  <w:endnote w:type="continuationNotice" w:id="1">
    <w:p w14:paraId="4D29B0DA" w14:textId="77777777" w:rsidR="00830386" w:rsidRDefault="008303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orbe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471C0" w14:textId="77777777" w:rsidR="00830386" w:rsidRDefault="00830386" w:rsidP="004A1847">
      <w:pPr>
        <w:spacing w:after="0" w:line="240" w:lineRule="auto"/>
      </w:pPr>
      <w:r>
        <w:separator/>
      </w:r>
    </w:p>
  </w:footnote>
  <w:footnote w:type="continuationSeparator" w:id="0">
    <w:p w14:paraId="49145E6F" w14:textId="77777777" w:rsidR="00830386" w:rsidRDefault="00830386" w:rsidP="004A1847">
      <w:pPr>
        <w:spacing w:after="0" w:line="240" w:lineRule="auto"/>
      </w:pPr>
      <w:r>
        <w:continuationSeparator/>
      </w:r>
    </w:p>
  </w:footnote>
  <w:footnote w:type="continuationNotice" w:id="1">
    <w:p w14:paraId="62BFE97A" w14:textId="77777777" w:rsidR="00830386" w:rsidRDefault="00830386">
      <w:pPr>
        <w:spacing w:after="0" w:line="240" w:lineRule="auto"/>
      </w:pPr>
    </w:p>
  </w:footnote>
  <w:footnote w:id="2">
    <w:p w14:paraId="7320642E" w14:textId="77777777" w:rsidR="00F62047" w:rsidRPr="00FD7B13" w:rsidRDefault="00F62047" w:rsidP="00F62047">
      <w:pPr>
        <w:spacing w:after="0" w:line="240" w:lineRule="auto"/>
        <w:ind w:firstLine="708"/>
        <w:jc w:val="both"/>
        <w:rPr>
          <w:rFonts w:ascii="Verdana" w:hAnsi="Verdana" w:cs="Arial"/>
          <w:color w:val="000000" w:themeColor="text1"/>
          <w:sz w:val="16"/>
          <w:szCs w:val="16"/>
        </w:rPr>
      </w:pPr>
      <w:r w:rsidRPr="00FD7B13">
        <w:rPr>
          <w:rStyle w:val="Refdenotaalpie"/>
          <w:rFonts w:ascii="Verdana" w:hAnsi="Verdana" w:cs="Arial"/>
          <w:sz w:val="16"/>
          <w:szCs w:val="16"/>
        </w:rPr>
        <w:footnoteRef/>
      </w:r>
      <w:r w:rsidRPr="00FD7B13">
        <w:rPr>
          <w:rFonts w:ascii="Verdana" w:hAnsi="Verdana" w:cs="Arial"/>
          <w:sz w:val="16"/>
          <w:szCs w:val="16"/>
          <w:lang w:val="pt-BR"/>
        </w:rPr>
        <w:t xml:space="preserve"> </w:t>
      </w:r>
      <w:r w:rsidRPr="00FD7B13">
        <w:rPr>
          <w:rFonts w:ascii="Verdana" w:hAnsi="Verdana" w:cs="Arial"/>
          <w:color w:val="000000" w:themeColor="text1"/>
          <w:sz w:val="16"/>
          <w:szCs w:val="16"/>
          <w:lang w:val="pt-BR"/>
        </w:rPr>
        <w:t xml:space="preserve">CORTE CONSTITUCIONAL. Sentencia C-183 de 2003. </w:t>
      </w:r>
      <w:r w:rsidRPr="00FD7B13">
        <w:rPr>
          <w:rFonts w:ascii="Verdana" w:hAnsi="Verdana" w:cs="Arial"/>
          <w:color w:val="000000" w:themeColor="text1"/>
          <w:sz w:val="16"/>
          <w:szCs w:val="16"/>
        </w:rPr>
        <w:t xml:space="preserve">M.P. Alfredo Beltrán Sierra. </w:t>
      </w:r>
    </w:p>
  </w:footnote>
  <w:footnote w:id="3">
    <w:p w14:paraId="3CB01C37" w14:textId="77777777" w:rsidR="00F62047" w:rsidRPr="00FD7B13" w:rsidRDefault="00F62047" w:rsidP="00F62047">
      <w:pPr>
        <w:pStyle w:val="Textonotapie"/>
        <w:ind w:firstLine="708"/>
        <w:jc w:val="both"/>
        <w:rPr>
          <w:rFonts w:ascii="Verdana" w:hAnsi="Verdana" w:cs="Arial"/>
          <w:sz w:val="16"/>
          <w:szCs w:val="16"/>
          <w:lang w:val="es-ES"/>
        </w:rPr>
      </w:pPr>
      <w:r w:rsidRPr="00FD7B13">
        <w:rPr>
          <w:rStyle w:val="Refdenotaalpie"/>
          <w:rFonts w:ascii="Verdana" w:hAnsi="Verdana" w:cs="Arial"/>
          <w:sz w:val="16"/>
          <w:szCs w:val="16"/>
        </w:rPr>
        <w:footnoteRef/>
      </w:r>
      <w:r w:rsidRPr="00FD7B13">
        <w:rPr>
          <w:rFonts w:ascii="Verdana" w:hAnsi="Verdana" w:cs="Arial"/>
          <w:sz w:val="16"/>
          <w:szCs w:val="16"/>
        </w:rPr>
        <w:t xml:space="preserve"> </w:t>
      </w:r>
      <w:proofErr w:type="spellStart"/>
      <w:r w:rsidRPr="00FD7B13">
        <w:rPr>
          <w:rFonts w:ascii="Verdana" w:hAnsi="Verdana" w:cs="Arial"/>
          <w:sz w:val="16"/>
          <w:szCs w:val="16"/>
          <w:lang w:val="es-ES"/>
        </w:rPr>
        <w:t>Ibídem</w:t>
      </w:r>
      <w:proofErr w:type="spellEnd"/>
    </w:p>
  </w:footnote>
  <w:footnote w:id="4">
    <w:p w14:paraId="4B374C36" w14:textId="77777777" w:rsidR="00F62047" w:rsidRPr="00FD7B13" w:rsidRDefault="00F62047" w:rsidP="00F62047">
      <w:pPr>
        <w:pStyle w:val="Textonotapie"/>
        <w:ind w:firstLine="708"/>
        <w:jc w:val="both"/>
        <w:rPr>
          <w:rFonts w:ascii="Verdana" w:hAnsi="Verdana" w:cs="Arial"/>
          <w:color w:val="000000" w:themeColor="text1"/>
          <w:sz w:val="16"/>
          <w:szCs w:val="16"/>
        </w:rPr>
      </w:pPr>
      <w:r w:rsidRPr="00FD7B13">
        <w:rPr>
          <w:rStyle w:val="Refdenotaalpie"/>
          <w:rFonts w:ascii="Verdana" w:hAnsi="Verdana" w:cs="Arial"/>
          <w:color w:val="000000" w:themeColor="text1"/>
          <w:sz w:val="16"/>
          <w:szCs w:val="16"/>
        </w:rPr>
        <w:footnoteRef/>
      </w:r>
      <w:r w:rsidRPr="00FD7B13">
        <w:rPr>
          <w:rFonts w:ascii="Verdana" w:hAnsi="Verdana" w:cs="Arial"/>
          <w:color w:val="000000" w:themeColor="text1"/>
          <w:sz w:val="16"/>
          <w:szCs w:val="16"/>
        </w:rPr>
        <w:t xml:space="preserve"> CONSEJO DE ESTADO, Sección Tercera, Subsección B. Sentencia del 30 de abril de 2012. Expediente 21.699. C.P. Ruth Stella Correa Palacio. </w:t>
      </w:r>
    </w:p>
  </w:footnote>
  <w:footnote w:id="5">
    <w:p w14:paraId="1A377C12" w14:textId="77777777" w:rsidR="00980DA5" w:rsidRPr="00667BDC" w:rsidRDefault="00980DA5" w:rsidP="00980DA5">
      <w:pPr>
        <w:pStyle w:val="Textonotapie"/>
        <w:ind w:firstLine="708"/>
        <w:jc w:val="both"/>
        <w:rPr>
          <w:rFonts w:ascii="Verdana" w:hAnsi="Verdana"/>
          <w:sz w:val="16"/>
          <w:szCs w:val="16"/>
        </w:rPr>
      </w:pPr>
      <w:r w:rsidRPr="00667BDC">
        <w:rPr>
          <w:rStyle w:val="Refdenotaalpie"/>
          <w:rFonts w:ascii="Verdana" w:hAnsi="Verdana"/>
          <w:sz w:val="16"/>
          <w:szCs w:val="16"/>
        </w:rPr>
        <w:footnoteRef/>
      </w:r>
      <w:r w:rsidRPr="00667BDC">
        <w:rPr>
          <w:rFonts w:ascii="Verdana" w:hAnsi="Verdana"/>
          <w:sz w:val="16"/>
          <w:szCs w:val="16"/>
        </w:rPr>
        <w:t xml:space="preserve"> </w:t>
      </w:r>
      <w:r w:rsidRPr="00667BDC">
        <w:rPr>
          <w:rFonts w:ascii="Verdana" w:eastAsia="Arial" w:hAnsi="Verdana" w:cs="Arial"/>
          <w:sz w:val="16"/>
          <w:szCs w:val="16"/>
          <w:lang w:val="es-CO"/>
        </w:rPr>
        <w:t>Agencia Nacional de Contratación Pública – Colombia Compra Eficiente–, Concepto C-041 del 20 de febrero de 2025.</w:t>
      </w:r>
    </w:p>
  </w:footnote>
  <w:footnote w:id="6">
    <w:p w14:paraId="4BC95F47" w14:textId="77777777" w:rsidR="00980DA5" w:rsidRPr="00FD7B13" w:rsidRDefault="00980DA5" w:rsidP="00980DA5">
      <w:pPr>
        <w:pStyle w:val="Textonotapie"/>
        <w:ind w:firstLine="708"/>
        <w:contextualSpacing/>
        <w:jc w:val="both"/>
        <w:rPr>
          <w:rFonts w:ascii="Verdana" w:hAnsi="Verdana"/>
          <w:sz w:val="16"/>
          <w:szCs w:val="16"/>
          <w:lang w:val="es-CO"/>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sz w:val="16"/>
          <w:szCs w:val="16"/>
          <w:lang w:val="es-CO"/>
        </w:rPr>
        <w:t xml:space="preserve">OSORIO ARTURO, Edna Lorena. Asociaciones Público – Privadas en Colombia. El contrato de APP. Una mirada legal – Infraestructura Social – Hospitales. Página 183. </w:t>
      </w:r>
    </w:p>
  </w:footnote>
  <w:footnote w:id="7">
    <w:p w14:paraId="0758F53F" w14:textId="77777777" w:rsidR="00980DA5" w:rsidRPr="00FD7B13" w:rsidRDefault="00980DA5" w:rsidP="00980DA5">
      <w:pPr>
        <w:tabs>
          <w:tab w:val="left" w:pos="0"/>
        </w:tabs>
        <w:spacing w:after="0" w:line="240" w:lineRule="auto"/>
        <w:ind w:firstLine="709"/>
        <w:contextualSpacing/>
        <w:jc w:val="both"/>
        <w:rPr>
          <w:rFonts w:ascii="Verdana" w:eastAsia="Calibri" w:hAnsi="Verdana" w:cs="Arial"/>
          <w:bCs/>
          <w:color w:val="000000" w:themeColor="text1"/>
          <w:sz w:val="16"/>
          <w:szCs w:val="16"/>
          <w:lang w:val="es-ES_tradnl"/>
        </w:rPr>
      </w:pPr>
      <w:r w:rsidRPr="00FD7B13">
        <w:rPr>
          <w:rStyle w:val="Refdenotaalpie"/>
          <w:rFonts w:ascii="Verdana" w:hAnsi="Verdana" w:cs="Arial"/>
          <w:sz w:val="16"/>
          <w:szCs w:val="16"/>
          <w:lang w:val="es-ES_tradnl"/>
        </w:rPr>
        <w:footnoteRef/>
      </w:r>
      <w:r w:rsidRPr="00FD7B13">
        <w:rPr>
          <w:rFonts w:ascii="Verdana" w:hAnsi="Verdana" w:cs="Arial"/>
          <w:sz w:val="16"/>
          <w:szCs w:val="16"/>
          <w:lang w:val="es-ES_tradnl"/>
        </w:rPr>
        <w:t xml:space="preserve"> </w:t>
      </w:r>
      <w:r w:rsidRPr="00FD7B13">
        <w:rPr>
          <w:rFonts w:ascii="Verdana" w:eastAsia="Calibri" w:hAnsi="Verdana" w:cs="Arial"/>
          <w:bCs/>
          <w:color w:val="000000" w:themeColor="text1"/>
          <w:sz w:val="16"/>
          <w:szCs w:val="16"/>
          <w:lang w:val="es-ES_tradnl"/>
        </w:rPr>
        <w:t>El Consejo de Estado ha destacado sus características: “</w:t>
      </w:r>
      <w:r w:rsidRPr="00FD7B13">
        <w:rPr>
          <w:rFonts w:ascii="Verdana" w:hAnsi="Verdana" w:cs="Arial"/>
          <w:sz w:val="16"/>
          <w:szCs w:val="16"/>
          <w:lang w:val="es-ES_tradnl"/>
        </w:rPr>
        <w:t xml:space="preserve">[…] </w:t>
      </w:r>
      <w:r w:rsidRPr="00FD7B13">
        <w:rPr>
          <w:rFonts w:ascii="Verdana" w:eastAsia="Calibri" w:hAnsi="Verdana" w:cs="Arial"/>
          <w:bCs/>
          <w:color w:val="000000" w:themeColor="text1"/>
          <w:sz w:val="16"/>
          <w:szCs w:val="16"/>
          <w:lang w:val="es-ES_tradnl"/>
        </w:rPr>
        <w:t xml:space="preserve">la jurisprudencia de la Sección Tercera de esta Corporación ha señalado como características propias del contrato de concesión que: i) dentro de su celebración interviene una entidad estatal que actúa como concedente y una persona natural o jurídica denominada concesionario; </w:t>
      </w:r>
      <w:proofErr w:type="spellStart"/>
      <w:r w:rsidRPr="00FD7B13">
        <w:rPr>
          <w:rFonts w:ascii="Verdana" w:eastAsia="Calibri" w:hAnsi="Verdana" w:cs="Arial"/>
          <w:bCs/>
          <w:color w:val="000000" w:themeColor="text1"/>
          <w:sz w:val="16"/>
          <w:szCs w:val="16"/>
          <w:lang w:val="es-ES_tradnl"/>
        </w:rPr>
        <w:t>ii</w:t>
      </w:r>
      <w:proofErr w:type="spellEnd"/>
      <w:r w:rsidRPr="00FD7B13">
        <w:rPr>
          <w:rFonts w:ascii="Verdana" w:eastAsia="Calibri" w:hAnsi="Verdana" w:cs="Arial"/>
          <w:bCs/>
          <w:color w:val="000000" w:themeColor="text1"/>
          <w:sz w:val="16"/>
          <w:szCs w:val="16"/>
          <w:lang w:val="es-ES_tradnl"/>
        </w:rPr>
        <w:t xml:space="preserve">) El concesionario es quien asume la gestión y riesgo de un servicio que corresponde al Estado sustituyendo a éste en el cumplimiento de dicha carga; </w:t>
      </w:r>
      <w:proofErr w:type="spellStart"/>
      <w:r w:rsidRPr="00FD7B13">
        <w:rPr>
          <w:rFonts w:ascii="Verdana" w:eastAsia="Calibri" w:hAnsi="Verdana" w:cs="Arial"/>
          <w:bCs/>
          <w:color w:val="000000" w:themeColor="text1"/>
          <w:sz w:val="16"/>
          <w:szCs w:val="16"/>
          <w:lang w:val="es-ES_tradnl"/>
        </w:rPr>
        <w:t>iii</w:t>
      </w:r>
      <w:proofErr w:type="spellEnd"/>
      <w:r w:rsidRPr="00FD7B13">
        <w:rPr>
          <w:rFonts w:ascii="Verdana" w:eastAsia="Calibri" w:hAnsi="Verdana" w:cs="Arial"/>
          <w:bCs/>
          <w:color w:val="000000" w:themeColor="text1"/>
          <w:sz w:val="16"/>
          <w:szCs w:val="16"/>
          <w:lang w:val="es-ES_tradnl"/>
        </w:rPr>
        <w:t xml:space="preserve">) La entidad estatal mantiene durante la ejecución del contrato la inspección, vigilancia y control de la labor a ejecutar por parte del concesionario; </w:t>
      </w:r>
      <w:proofErr w:type="spellStart"/>
      <w:r w:rsidRPr="00FD7B13">
        <w:rPr>
          <w:rFonts w:ascii="Verdana" w:eastAsia="Calibri" w:hAnsi="Verdana" w:cs="Arial"/>
          <w:bCs/>
          <w:color w:val="000000" w:themeColor="text1"/>
          <w:sz w:val="16"/>
          <w:szCs w:val="16"/>
          <w:lang w:val="es-ES_tradnl"/>
        </w:rPr>
        <w:t>iv</w:t>
      </w:r>
      <w:proofErr w:type="spellEnd"/>
      <w:r w:rsidRPr="00FD7B13">
        <w:rPr>
          <w:rFonts w:ascii="Verdana" w:eastAsia="Calibri" w:hAnsi="Verdana" w:cs="Arial"/>
          <w:bCs/>
          <w:color w:val="000000" w:themeColor="text1"/>
          <w:sz w:val="16"/>
          <w:szCs w:val="16"/>
          <w:lang w:val="es-ES_tradnl"/>
        </w:rPr>
        <w:t>) el concesionario recibe una remuneración o contraprestación, la cual se pacta, de diversas maneras (tasas, tarifas, derechos, participación en la explotación del bien, entre otros); y que v) los bienes construidos o adecuados durante la concesión deben revertirse al Estado, aunque ello no se pacte expresamente en el contrato”. Consejo de Estado. Sección Tercera. Sentencia del 23 de octubre de 2017. Consejero Ponente: Jaime Orlando Santofimio Gamboa. Exp. 53.477.</w:t>
      </w:r>
    </w:p>
  </w:footnote>
  <w:footnote w:id="8">
    <w:p w14:paraId="7AC52C2D" w14:textId="77777777" w:rsidR="00980DA5" w:rsidRPr="00FD7B13" w:rsidRDefault="00980DA5" w:rsidP="00980DA5">
      <w:pPr>
        <w:pStyle w:val="Textonotapie"/>
        <w:ind w:firstLine="709"/>
        <w:contextualSpacing/>
        <w:jc w:val="both"/>
        <w:rPr>
          <w:rFonts w:ascii="Verdana" w:hAnsi="Verdana" w:cs="Arial"/>
          <w:sz w:val="16"/>
          <w:szCs w:val="16"/>
          <w:lang w:val="pt-BR"/>
        </w:rPr>
      </w:pPr>
      <w:r w:rsidRPr="00FD7B13">
        <w:rPr>
          <w:rStyle w:val="Refdenotaalpie"/>
          <w:rFonts w:ascii="Verdana" w:hAnsi="Verdana" w:cs="Arial"/>
          <w:sz w:val="16"/>
          <w:szCs w:val="16"/>
        </w:rPr>
        <w:footnoteRef/>
      </w:r>
      <w:r w:rsidRPr="00FD7B13">
        <w:rPr>
          <w:rFonts w:ascii="Verdana" w:hAnsi="Verdana" w:cs="Arial"/>
          <w:sz w:val="16"/>
          <w:szCs w:val="16"/>
        </w:rPr>
        <w:t xml:space="preserve"> QUIÑONES GUZMÁN, Juan Carlos. Contratos de Asociación Publico – Privada e Infraestructura de Transporte. </w:t>
      </w:r>
      <w:r w:rsidRPr="00FD7B13">
        <w:rPr>
          <w:rFonts w:ascii="Verdana" w:hAnsi="Verdana" w:cs="Arial"/>
          <w:sz w:val="16"/>
          <w:szCs w:val="16"/>
          <w:lang w:val="es-ES_tradnl"/>
        </w:rPr>
        <w:t xml:space="preserve">Primera edición 2020. </w:t>
      </w:r>
      <w:r w:rsidRPr="00FD7B13">
        <w:rPr>
          <w:rFonts w:ascii="Verdana" w:hAnsi="Verdana" w:cs="Arial"/>
          <w:sz w:val="16"/>
          <w:szCs w:val="16"/>
          <w:lang w:val="pt-BR"/>
        </w:rPr>
        <w:t>Página 6.</w:t>
      </w:r>
    </w:p>
  </w:footnote>
  <w:footnote w:id="9">
    <w:p w14:paraId="634960A1" w14:textId="77777777" w:rsidR="00326475" w:rsidRPr="00FD7B13" w:rsidRDefault="00326475" w:rsidP="00326475">
      <w:pPr>
        <w:pStyle w:val="Textonotapie"/>
        <w:ind w:firstLine="709"/>
        <w:jc w:val="both"/>
        <w:rPr>
          <w:rFonts w:ascii="Verdana" w:hAnsi="Verdana"/>
          <w:color w:val="000000" w:themeColor="text1"/>
          <w:sz w:val="16"/>
          <w:szCs w:val="16"/>
          <w:lang w:val="es-ES_tradnl"/>
        </w:rPr>
      </w:pPr>
      <w:r w:rsidRPr="00FD7B13">
        <w:rPr>
          <w:rStyle w:val="Refdenotaalpie"/>
          <w:rFonts w:ascii="Verdana" w:hAnsi="Verdana"/>
          <w:color w:val="000000" w:themeColor="text1"/>
          <w:sz w:val="16"/>
          <w:szCs w:val="16"/>
        </w:rPr>
        <w:footnoteRef/>
      </w:r>
      <w:r w:rsidRPr="00FD7B13">
        <w:rPr>
          <w:rFonts w:ascii="Verdana" w:hAnsi="Verdana"/>
          <w:color w:val="000000" w:themeColor="text1"/>
          <w:sz w:val="16"/>
          <w:szCs w:val="16"/>
        </w:rPr>
        <w:t xml:space="preserve"> </w:t>
      </w:r>
      <w:r w:rsidRPr="00FD7B13">
        <w:rPr>
          <w:rFonts w:ascii="Verdana" w:hAnsi="Verdana"/>
          <w:color w:val="000000" w:themeColor="text1"/>
          <w:sz w:val="16"/>
          <w:szCs w:val="16"/>
          <w:lang w:val="es-ES_tradnl"/>
        </w:rPr>
        <w:t>En efecto, dicha norma establece: “</w:t>
      </w:r>
      <w:r w:rsidRPr="00FD7B13">
        <w:rPr>
          <w:rFonts w:ascii="Verdana" w:hAnsi="Verdana"/>
          <w:color w:val="000000" w:themeColor="text1"/>
          <w:sz w:val="16"/>
          <w:szCs w:val="16"/>
          <w:shd w:val="clear" w:color="auto" w:fill="FFFFFF"/>
        </w:rPr>
        <w:t>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w:t>
      </w:r>
    </w:p>
  </w:footnote>
  <w:footnote w:id="10">
    <w:p w14:paraId="110CF84D" w14:textId="77777777" w:rsidR="00326475" w:rsidRPr="00FD7B13" w:rsidRDefault="00326475" w:rsidP="00326475">
      <w:pPr>
        <w:spacing w:after="0" w:line="240" w:lineRule="auto"/>
        <w:ind w:firstLine="707"/>
        <w:contextualSpacing/>
        <w:jc w:val="both"/>
        <w:rPr>
          <w:rFonts w:ascii="Verdana" w:hAnsi="Verdana" w:cs="Arial"/>
          <w:sz w:val="16"/>
          <w:szCs w:val="16"/>
        </w:rPr>
      </w:pPr>
      <w:r w:rsidRPr="00FD7B13">
        <w:rPr>
          <w:rStyle w:val="Refdenotaalpie"/>
          <w:rFonts w:ascii="Verdana" w:hAnsi="Verdana" w:cs="Arial"/>
          <w:sz w:val="16"/>
          <w:szCs w:val="16"/>
        </w:rPr>
        <w:footnoteRef/>
      </w:r>
      <w:r w:rsidRPr="00FD7B13">
        <w:rPr>
          <w:rFonts w:ascii="Verdana" w:hAnsi="Verdana" w:cs="Arial"/>
          <w:sz w:val="16"/>
          <w:szCs w:val="16"/>
        </w:rPr>
        <w:t xml:space="preserve"> CONSEJO DE ESTADO, Sección Tercera. Sentencia de 23 de septiembre de 1997, Rad. S-701.</w:t>
      </w:r>
    </w:p>
  </w:footnote>
  <w:footnote w:id="11">
    <w:p w14:paraId="399E6675" w14:textId="77777777" w:rsidR="00326475" w:rsidRPr="00FD7B13" w:rsidRDefault="00326475" w:rsidP="00326475">
      <w:pPr>
        <w:spacing w:after="0" w:line="240" w:lineRule="auto"/>
        <w:ind w:firstLine="707"/>
        <w:contextualSpacing/>
        <w:jc w:val="both"/>
        <w:rPr>
          <w:rFonts w:ascii="Verdana" w:hAnsi="Verdana" w:cs="Arial"/>
          <w:sz w:val="16"/>
          <w:szCs w:val="16"/>
        </w:rPr>
      </w:pPr>
      <w:r w:rsidRPr="00FD7B13">
        <w:rPr>
          <w:rStyle w:val="Refdenotaalpie"/>
          <w:rFonts w:ascii="Verdana" w:hAnsi="Verdana" w:cs="Arial"/>
          <w:sz w:val="16"/>
          <w:szCs w:val="16"/>
        </w:rPr>
        <w:footnoteRef/>
      </w:r>
      <w:r w:rsidRPr="00FD7B13">
        <w:rPr>
          <w:rFonts w:ascii="Verdana" w:hAnsi="Verdana" w:cs="Arial"/>
          <w:sz w:val="16"/>
          <w:szCs w:val="16"/>
        </w:rPr>
        <w:t xml:space="preserve"> CONSEJO DE ESTADO, Sala de Consulta y Servicio Civil. Concepto de 15 de mayo de 2018, Rad. 2335.</w:t>
      </w:r>
    </w:p>
  </w:footnote>
  <w:footnote w:id="12">
    <w:p w14:paraId="0CCD7118" w14:textId="77777777" w:rsidR="00326475" w:rsidRPr="00FD7B13" w:rsidRDefault="00326475" w:rsidP="00326475">
      <w:pPr>
        <w:pStyle w:val="Textonotapie"/>
        <w:ind w:firstLine="707"/>
        <w:contextualSpacing/>
        <w:jc w:val="both"/>
        <w:rPr>
          <w:rFonts w:ascii="Verdana" w:hAnsi="Verdana"/>
          <w:sz w:val="16"/>
          <w:szCs w:val="16"/>
        </w:rPr>
      </w:pPr>
      <w:r w:rsidRPr="00FD7B13">
        <w:rPr>
          <w:rStyle w:val="Refdenotaalpie"/>
          <w:rFonts w:ascii="Verdana" w:hAnsi="Verdana"/>
          <w:sz w:val="16"/>
          <w:szCs w:val="16"/>
        </w:rPr>
        <w:footnoteRef/>
      </w:r>
      <w:r w:rsidRPr="00FD7B13">
        <w:rPr>
          <w:rFonts w:ascii="Verdana" w:hAnsi="Verdana"/>
          <w:sz w:val="16"/>
          <w:szCs w:val="16"/>
        </w:rPr>
        <w:t xml:space="preserve"> Messineo Ob. Cit. Pág. 394</w:t>
      </w:r>
    </w:p>
  </w:footnote>
  <w:footnote w:id="13">
    <w:p w14:paraId="40787059" w14:textId="77777777" w:rsidR="00326475" w:rsidRPr="00FD7B13" w:rsidRDefault="00326475" w:rsidP="00326475">
      <w:pPr>
        <w:pStyle w:val="Textonotapie"/>
        <w:ind w:firstLine="707"/>
        <w:contextualSpacing/>
        <w:jc w:val="both"/>
        <w:rPr>
          <w:rFonts w:ascii="Verdana" w:hAnsi="Verdana"/>
          <w:sz w:val="16"/>
          <w:szCs w:val="16"/>
        </w:rPr>
      </w:pPr>
      <w:r w:rsidRPr="00FD7B13">
        <w:rPr>
          <w:rStyle w:val="Refdenotaalpie"/>
          <w:rFonts w:ascii="Verdana" w:hAnsi="Verdana"/>
          <w:sz w:val="16"/>
          <w:szCs w:val="16"/>
        </w:rPr>
        <w:footnoteRef/>
      </w:r>
      <w:r w:rsidRPr="00FD7B13">
        <w:rPr>
          <w:rFonts w:ascii="Verdana" w:hAnsi="Verdana"/>
          <w:sz w:val="16"/>
          <w:szCs w:val="16"/>
        </w:rPr>
        <w:t xml:space="preserve"> Consejo de Estado, Sección Tercera en Sentencia del 21 de abril de 2005 radicado No 14651 C.P. Ramiro Saavedra Becerra</w:t>
      </w:r>
    </w:p>
  </w:footnote>
  <w:footnote w:id="14">
    <w:p w14:paraId="677ADCDF" w14:textId="77777777" w:rsidR="00326475" w:rsidRPr="00FD7B13" w:rsidRDefault="00326475" w:rsidP="00326475">
      <w:pPr>
        <w:pStyle w:val="Textonotapie"/>
        <w:ind w:firstLine="707"/>
        <w:contextualSpacing/>
        <w:jc w:val="both"/>
        <w:rPr>
          <w:rFonts w:ascii="Verdana" w:hAnsi="Verdana"/>
          <w:sz w:val="16"/>
          <w:szCs w:val="16"/>
        </w:rPr>
      </w:pPr>
      <w:r w:rsidRPr="00FD7B13">
        <w:rPr>
          <w:rStyle w:val="Refdenotaalpie"/>
          <w:rFonts w:ascii="Verdana" w:hAnsi="Verdana"/>
          <w:sz w:val="16"/>
          <w:szCs w:val="16"/>
        </w:rPr>
        <w:footnoteRef/>
      </w:r>
      <w:r w:rsidRPr="00FD7B13">
        <w:rPr>
          <w:rFonts w:ascii="Verdana" w:hAnsi="Verdana"/>
          <w:sz w:val="16"/>
          <w:szCs w:val="16"/>
        </w:rPr>
        <w:t xml:space="preserve"> Consejo de Estado, Sala de Consulta y Servicio Civil, sentencia de 12 de marzo de 2009, C.P. Gustavo Aponte Santos, radicado No 1942</w:t>
      </w:r>
    </w:p>
  </w:footnote>
  <w:footnote w:id="15">
    <w:p w14:paraId="6F784F58" w14:textId="77777777" w:rsidR="00326475" w:rsidRPr="00FD7B13" w:rsidRDefault="00326475" w:rsidP="00326475">
      <w:pPr>
        <w:pStyle w:val="Textonotapie"/>
        <w:ind w:firstLine="708"/>
        <w:jc w:val="both"/>
        <w:rPr>
          <w:rFonts w:ascii="Verdana" w:hAnsi="Verdana"/>
          <w:sz w:val="16"/>
          <w:szCs w:val="16"/>
          <w:lang w:val="es-ES"/>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bCs/>
          <w:sz w:val="16"/>
          <w:szCs w:val="16"/>
          <w:lang w:val="es-CO"/>
        </w:rPr>
        <w:t>Artículo 63.</w:t>
      </w:r>
      <w:r w:rsidRPr="00FD7B13">
        <w:rPr>
          <w:rFonts w:ascii="Verdana" w:hAnsi="Verdana"/>
          <w:sz w:val="16"/>
          <w:szCs w:val="16"/>
          <w:lang w:val="es-CO"/>
        </w:rPr>
        <w:t> Los bienes de uso público, los parques naturales, las tierras comunales de grupos étnicos, las tierras de resguardo, el patrimonio arqueológico de la Nación y los demás bienes que determine la ley, son inalienables, imprescriptibles e inembargables. </w:t>
      </w:r>
    </w:p>
  </w:footnote>
  <w:footnote w:id="16">
    <w:p w14:paraId="7588D83B" w14:textId="77777777" w:rsidR="00326475" w:rsidRPr="00FD7B13" w:rsidRDefault="00326475" w:rsidP="00326475">
      <w:pPr>
        <w:pStyle w:val="Textonotapie"/>
        <w:ind w:firstLine="708"/>
        <w:jc w:val="both"/>
        <w:rPr>
          <w:rFonts w:ascii="Verdana" w:hAnsi="Verdana"/>
          <w:sz w:val="16"/>
          <w:szCs w:val="16"/>
          <w:lang w:val="es-ES"/>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bCs/>
          <w:sz w:val="16"/>
          <w:szCs w:val="16"/>
          <w:lang w:val="es-CO"/>
        </w:rPr>
        <w:t>Artículo 72.</w:t>
      </w:r>
      <w:r w:rsidRPr="00FD7B13">
        <w:rPr>
          <w:rFonts w:ascii="Verdana" w:hAnsi="Verdana"/>
          <w:sz w:val="16"/>
          <w:szCs w:val="16"/>
          <w:lang w:val="es-CO"/>
        </w:rPr>
        <w:t> El patrimonio cultural de la Nación está bajo la protección del Estado. El patrimonio arqueológico y otros bienes culturales que conforman la identidad nacional, pertenecen a la Nación y son inalienables, inembargables e imprescriptibles. La ley establecerá los mecanismos para readquirirlos cuando se encuentren en manos de particulares y reglamentará los derechos especiales que pudieran tener los grupos étnicos asentados en territorios de riqueza arqueológica. </w:t>
      </w:r>
    </w:p>
  </w:footnote>
  <w:footnote w:id="17">
    <w:p w14:paraId="1DDC339D" w14:textId="77777777" w:rsidR="00326475" w:rsidRPr="00FD7B13" w:rsidRDefault="00326475" w:rsidP="00326475">
      <w:pPr>
        <w:pStyle w:val="Textonotapie"/>
        <w:ind w:firstLine="708"/>
        <w:jc w:val="both"/>
        <w:rPr>
          <w:rFonts w:ascii="Verdana" w:hAnsi="Verdana"/>
          <w:sz w:val="16"/>
          <w:szCs w:val="16"/>
          <w:lang w:val="es-CO"/>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bCs/>
          <w:sz w:val="16"/>
          <w:szCs w:val="16"/>
          <w:lang w:val="es-CO"/>
        </w:rPr>
        <w:t>Artículo 82.</w:t>
      </w:r>
      <w:r w:rsidRPr="00FD7B13">
        <w:rPr>
          <w:rFonts w:ascii="Verdana" w:hAnsi="Verdana"/>
          <w:sz w:val="16"/>
          <w:szCs w:val="16"/>
          <w:lang w:val="es-CO"/>
        </w:rPr>
        <w:t> Es deber del Estado velar por la protección de la integridad del espacio público y por su destinación al uso común, el cual prevalece sobre el interés particular. </w:t>
      </w:r>
    </w:p>
    <w:p w14:paraId="23B4E255" w14:textId="77777777" w:rsidR="00326475" w:rsidRPr="00FD7B13" w:rsidRDefault="00326475" w:rsidP="00326475">
      <w:pPr>
        <w:pStyle w:val="Textonotapie"/>
        <w:ind w:firstLine="708"/>
        <w:jc w:val="both"/>
        <w:rPr>
          <w:rFonts w:ascii="Verdana" w:hAnsi="Verdana"/>
          <w:sz w:val="16"/>
          <w:szCs w:val="16"/>
          <w:lang w:val="es-CO"/>
        </w:rPr>
      </w:pPr>
      <w:r w:rsidRPr="00FD7B13">
        <w:rPr>
          <w:rFonts w:ascii="Verdana" w:hAnsi="Verdana"/>
          <w:sz w:val="16"/>
          <w:szCs w:val="16"/>
          <w:lang w:val="es-CO"/>
        </w:rPr>
        <w:t>Las entidades públicas participarán en la plusvalía que genere su acción urbanística y regularán la utilización del suelo y del espacio aéreo urbano en defensa del interés común. </w:t>
      </w:r>
    </w:p>
  </w:footnote>
  <w:footnote w:id="18">
    <w:p w14:paraId="6D5B979D" w14:textId="77777777" w:rsidR="00326475" w:rsidRPr="00FD7B13" w:rsidRDefault="00326475" w:rsidP="00326475">
      <w:pPr>
        <w:pStyle w:val="Textonotapie"/>
        <w:ind w:firstLine="708"/>
        <w:jc w:val="both"/>
        <w:rPr>
          <w:rFonts w:ascii="Verdana" w:hAnsi="Verdana"/>
          <w:sz w:val="16"/>
          <w:szCs w:val="16"/>
          <w:lang w:val="es-ES"/>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bCs/>
          <w:sz w:val="16"/>
          <w:szCs w:val="16"/>
          <w:lang w:val="es-CO"/>
        </w:rPr>
        <w:t>Artículo 102.</w:t>
      </w:r>
      <w:r w:rsidRPr="00FD7B13">
        <w:rPr>
          <w:rFonts w:ascii="Verdana" w:hAnsi="Verdana"/>
          <w:sz w:val="16"/>
          <w:szCs w:val="16"/>
          <w:lang w:val="es-CO"/>
        </w:rPr>
        <w:t> El territorio, con los bienes públicos que de él forman parte, pertenecen a la Nación. </w:t>
      </w:r>
    </w:p>
  </w:footnote>
  <w:footnote w:id="19">
    <w:p w14:paraId="6DD45FD6" w14:textId="77777777" w:rsidR="00326475" w:rsidRPr="00FD7B13" w:rsidRDefault="00326475" w:rsidP="00326475">
      <w:pPr>
        <w:pStyle w:val="Textonotapie"/>
        <w:ind w:firstLine="708"/>
        <w:jc w:val="both"/>
        <w:rPr>
          <w:rFonts w:ascii="Verdana" w:hAnsi="Verdana"/>
          <w:sz w:val="16"/>
          <w:szCs w:val="16"/>
          <w:lang w:val="es-CO"/>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bCs/>
          <w:sz w:val="16"/>
          <w:szCs w:val="16"/>
          <w:lang w:val="es-CO"/>
        </w:rPr>
        <w:t>Artículo 332.</w:t>
      </w:r>
      <w:r w:rsidRPr="00FD7B13">
        <w:rPr>
          <w:rFonts w:ascii="Verdana" w:hAnsi="Verdana"/>
          <w:sz w:val="16"/>
          <w:szCs w:val="16"/>
          <w:lang w:val="es-CO"/>
        </w:rPr>
        <w:t> El Estado es propietario del subsuelo y de los recursos naturales no renovables, sin perjuicio de los derechos adquiridos y perfeccionados con arreglo a las leyes preexistentes. </w:t>
      </w:r>
    </w:p>
  </w:footnote>
  <w:footnote w:id="20">
    <w:p w14:paraId="076D940D" w14:textId="77777777" w:rsidR="00326475" w:rsidRPr="00FD7B13" w:rsidRDefault="00326475" w:rsidP="00326475">
      <w:pPr>
        <w:spacing w:after="0" w:line="240" w:lineRule="auto"/>
        <w:ind w:firstLine="708"/>
        <w:jc w:val="both"/>
        <w:rPr>
          <w:rFonts w:ascii="Verdana" w:hAnsi="Verdana" w:cs="Arial"/>
          <w:color w:val="000000" w:themeColor="text1"/>
          <w:sz w:val="16"/>
          <w:szCs w:val="16"/>
        </w:rPr>
      </w:pPr>
      <w:r w:rsidRPr="00FD7B13">
        <w:rPr>
          <w:rStyle w:val="Refdenotaalpie"/>
          <w:rFonts w:ascii="Verdana" w:hAnsi="Verdana" w:cs="Arial"/>
          <w:sz w:val="16"/>
          <w:szCs w:val="16"/>
        </w:rPr>
        <w:footnoteRef/>
      </w:r>
      <w:r w:rsidRPr="00FD7B13">
        <w:rPr>
          <w:rFonts w:ascii="Verdana" w:hAnsi="Verdana" w:cs="Arial"/>
          <w:sz w:val="16"/>
          <w:szCs w:val="16"/>
          <w:lang w:val="pt-BR"/>
        </w:rPr>
        <w:t xml:space="preserve"> </w:t>
      </w:r>
      <w:r w:rsidRPr="00FD7B13">
        <w:rPr>
          <w:rFonts w:ascii="Verdana" w:hAnsi="Verdana" w:cs="Arial"/>
          <w:color w:val="000000" w:themeColor="text1"/>
          <w:sz w:val="16"/>
          <w:szCs w:val="16"/>
          <w:lang w:val="pt-BR"/>
        </w:rPr>
        <w:t xml:space="preserve">CORTE CONSTITUCIONAL. Sentencia C-183 de 2003. </w:t>
      </w:r>
      <w:r w:rsidRPr="00FD7B13">
        <w:rPr>
          <w:rFonts w:ascii="Verdana" w:hAnsi="Verdana" w:cs="Arial"/>
          <w:color w:val="000000" w:themeColor="text1"/>
          <w:sz w:val="16"/>
          <w:szCs w:val="16"/>
        </w:rPr>
        <w:t xml:space="preserve">M.P. Alfredo Beltrán Sierra. </w:t>
      </w:r>
    </w:p>
  </w:footnote>
  <w:footnote w:id="21">
    <w:p w14:paraId="11D55B37" w14:textId="77777777" w:rsidR="00326475" w:rsidRPr="00FD7B13" w:rsidRDefault="00326475" w:rsidP="00326475">
      <w:pPr>
        <w:pStyle w:val="Textonotapie"/>
        <w:ind w:firstLine="708"/>
        <w:jc w:val="both"/>
        <w:rPr>
          <w:rFonts w:ascii="Verdana" w:hAnsi="Verdana" w:cs="Arial"/>
          <w:sz w:val="16"/>
          <w:szCs w:val="16"/>
          <w:lang w:val="es-ES"/>
        </w:rPr>
      </w:pPr>
      <w:r w:rsidRPr="00FD7B13">
        <w:rPr>
          <w:rStyle w:val="Refdenotaalpie"/>
          <w:rFonts w:ascii="Verdana" w:hAnsi="Verdana" w:cs="Arial"/>
          <w:sz w:val="16"/>
          <w:szCs w:val="16"/>
        </w:rPr>
        <w:footnoteRef/>
      </w:r>
      <w:r w:rsidRPr="00FD7B13">
        <w:rPr>
          <w:rFonts w:ascii="Verdana" w:hAnsi="Verdana" w:cs="Arial"/>
          <w:sz w:val="16"/>
          <w:szCs w:val="16"/>
        </w:rPr>
        <w:t xml:space="preserve"> </w:t>
      </w:r>
      <w:r w:rsidRPr="00FD7B13">
        <w:rPr>
          <w:rFonts w:ascii="Verdana" w:hAnsi="Verdana" w:cs="Arial"/>
          <w:sz w:val="16"/>
          <w:szCs w:val="16"/>
          <w:lang w:val="es-ES"/>
        </w:rPr>
        <w:t>Ibídem</w:t>
      </w:r>
    </w:p>
  </w:footnote>
  <w:footnote w:id="22">
    <w:p w14:paraId="41191211" w14:textId="77777777" w:rsidR="00326475" w:rsidRPr="00FD7B13" w:rsidRDefault="00326475" w:rsidP="00326475">
      <w:pPr>
        <w:pStyle w:val="Textonotapie"/>
        <w:ind w:firstLine="708"/>
        <w:jc w:val="both"/>
        <w:rPr>
          <w:rFonts w:ascii="Verdana" w:hAnsi="Verdana" w:cs="Arial"/>
          <w:color w:val="000000" w:themeColor="text1"/>
          <w:sz w:val="16"/>
          <w:szCs w:val="16"/>
        </w:rPr>
      </w:pPr>
      <w:r w:rsidRPr="00FD7B13">
        <w:rPr>
          <w:rStyle w:val="Refdenotaalpie"/>
          <w:rFonts w:ascii="Verdana" w:hAnsi="Verdana" w:cs="Arial"/>
          <w:color w:val="000000" w:themeColor="text1"/>
          <w:sz w:val="16"/>
          <w:szCs w:val="16"/>
        </w:rPr>
        <w:footnoteRef/>
      </w:r>
      <w:r w:rsidRPr="00FD7B13">
        <w:rPr>
          <w:rFonts w:ascii="Verdana" w:hAnsi="Verdana" w:cs="Arial"/>
          <w:color w:val="000000" w:themeColor="text1"/>
          <w:sz w:val="16"/>
          <w:szCs w:val="16"/>
        </w:rPr>
        <w:t xml:space="preserve"> CONSEJO DE ESTADO, Sección Tercera, Subsección B. Sentencia del 30 de abril de 2012. Expediente 21.699. C.P. Ruth Stella Correa Palacio. </w:t>
      </w:r>
    </w:p>
  </w:footnote>
  <w:footnote w:id="23">
    <w:p w14:paraId="79D6DBC8" w14:textId="77777777" w:rsidR="00326475" w:rsidRPr="00FD7B13" w:rsidRDefault="00326475" w:rsidP="00326475">
      <w:pPr>
        <w:spacing w:after="0" w:line="240" w:lineRule="auto"/>
        <w:ind w:firstLine="708"/>
        <w:jc w:val="both"/>
        <w:rPr>
          <w:rFonts w:ascii="Verdana" w:hAnsi="Verdana" w:cs="Arial"/>
          <w:color w:val="000000" w:themeColor="text1"/>
          <w:sz w:val="16"/>
          <w:szCs w:val="16"/>
          <w:lang w:val="pt-BR"/>
        </w:rPr>
      </w:pPr>
      <w:r w:rsidRPr="00FD7B13">
        <w:rPr>
          <w:rStyle w:val="Refdenotaalpie"/>
          <w:rFonts w:ascii="Verdana" w:hAnsi="Verdana" w:cs="Arial"/>
          <w:color w:val="000000" w:themeColor="text1"/>
          <w:sz w:val="16"/>
          <w:szCs w:val="16"/>
        </w:rPr>
        <w:footnoteRef/>
      </w:r>
      <w:r w:rsidRPr="00FD7B13">
        <w:rPr>
          <w:rFonts w:ascii="Verdana" w:hAnsi="Verdana" w:cs="Arial"/>
          <w:color w:val="000000" w:themeColor="text1"/>
          <w:sz w:val="16"/>
          <w:szCs w:val="16"/>
        </w:rPr>
        <w:t xml:space="preserve"> CONSEJO DE ESTADO, Sección Tercera, Subsección A. Sentencia del 19 de julio de 2018, Expediente 36.711. </w:t>
      </w:r>
      <w:r w:rsidRPr="00FD7B13">
        <w:rPr>
          <w:rFonts w:ascii="Verdana" w:hAnsi="Verdana" w:cs="Arial"/>
          <w:color w:val="000000" w:themeColor="text1"/>
          <w:sz w:val="16"/>
          <w:szCs w:val="16"/>
          <w:lang w:val="pt-BR"/>
        </w:rPr>
        <w:t xml:space="preserve">C.P. Carlos Alberto Zambrano </w:t>
      </w:r>
      <w:proofErr w:type="spellStart"/>
      <w:r w:rsidRPr="00FD7B13">
        <w:rPr>
          <w:rFonts w:ascii="Verdana" w:hAnsi="Verdana" w:cs="Arial"/>
          <w:color w:val="000000" w:themeColor="text1"/>
          <w:sz w:val="16"/>
          <w:szCs w:val="16"/>
          <w:lang w:val="pt-BR"/>
        </w:rPr>
        <w:t>Barrera</w:t>
      </w:r>
      <w:proofErr w:type="spellEnd"/>
      <w:r w:rsidRPr="00FD7B13">
        <w:rPr>
          <w:rFonts w:ascii="Verdana" w:hAnsi="Verdana" w:cs="Arial"/>
          <w:color w:val="000000" w:themeColor="text1"/>
          <w:sz w:val="16"/>
          <w:szCs w:val="16"/>
          <w:lang w:val="pt-BR"/>
        </w:rPr>
        <w:t>.</w:t>
      </w:r>
    </w:p>
  </w:footnote>
  <w:footnote w:id="24">
    <w:p w14:paraId="42BA7E0B" w14:textId="77777777" w:rsidR="00326475" w:rsidRPr="00FD7B13" w:rsidRDefault="00326475" w:rsidP="00326475">
      <w:pPr>
        <w:spacing w:after="0" w:line="240" w:lineRule="auto"/>
        <w:ind w:firstLine="708"/>
        <w:jc w:val="both"/>
        <w:rPr>
          <w:rFonts w:ascii="Verdana" w:hAnsi="Verdana" w:cs="Arial"/>
          <w:color w:val="000000" w:themeColor="text1"/>
          <w:sz w:val="16"/>
          <w:szCs w:val="16"/>
        </w:rPr>
      </w:pPr>
      <w:r w:rsidRPr="00FD7B13">
        <w:rPr>
          <w:rStyle w:val="Refdenotaalpie"/>
          <w:rFonts w:ascii="Verdana" w:hAnsi="Verdana" w:cs="Arial"/>
          <w:color w:val="000000" w:themeColor="text1"/>
          <w:sz w:val="16"/>
          <w:szCs w:val="16"/>
        </w:rPr>
        <w:footnoteRef/>
      </w:r>
      <w:r w:rsidRPr="00FD7B13">
        <w:rPr>
          <w:rFonts w:ascii="Verdana" w:hAnsi="Verdana" w:cs="Arial"/>
          <w:color w:val="000000" w:themeColor="text1"/>
          <w:sz w:val="16"/>
          <w:szCs w:val="16"/>
          <w:lang w:val="pt-BR"/>
        </w:rPr>
        <w:t xml:space="preserve"> CORTE CONSTITUCIONAL. Sentencia C-183 de 2003. </w:t>
      </w:r>
      <w:r w:rsidRPr="00FD7B13">
        <w:rPr>
          <w:rFonts w:ascii="Verdana" w:hAnsi="Verdana" w:cs="Arial"/>
          <w:color w:val="000000" w:themeColor="text1"/>
          <w:sz w:val="16"/>
          <w:szCs w:val="16"/>
        </w:rPr>
        <w:t>M.P. Alfredo Beltrán Sierra.</w:t>
      </w:r>
    </w:p>
  </w:footnote>
  <w:footnote w:id="25">
    <w:p w14:paraId="0782458A" w14:textId="77777777" w:rsidR="00326475" w:rsidRPr="00FD7B13" w:rsidRDefault="00326475" w:rsidP="00326475">
      <w:pPr>
        <w:spacing w:line="240" w:lineRule="auto"/>
        <w:ind w:firstLine="708"/>
        <w:jc w:val="both"/>
        <w:rPr>
          <w:rFonts w:ascii="Verdana" w:hAnsi="Verdana" w:cs="Times New Roman"/>
          <w:sz w:val="16"/>
          <w:szCs w:val="16"/>
          <w:lang w:val="es-ES"/>
        </w:rPr>
      </w:pPr>
      <w:r w:rsidRPr="00FD7B13">
        <w:rPr>
          <w:rStyle w:val="Refdenotaalpie"/>
          <w:rFonts w:ascii="Verdana" w:hAnsi="Verdana" w:cs="Times New Roman"/>
          <w:sz w:val="16"/>
          <w:szCs w:val="16"/>
        </w:rPr>
        <w:footnoteRef/>
      </w:r>
      <w:r w:rsidRPr="00FD7B13">
        <w:rPr>
          <w:rFonts w:ascii="Verdana" w:hAnsi="Verdana" w:cs="Times New Roman"/>
          <w:sz w:val="16"/>
          <w:szCs w:val="16"/>
          <w:lang w:val="es-ES"/>
        </w:rPr>
        <w:t xml:space="preserve"> </w:t>
      </w:r>
      <w:r w:rsidRPr="00FD7B13">
        <w:rPr>
          <w:rFonts w:ascii="Verdana" w:hAnsi="Verdana" w:cs="Times New Roman"/>
          <w:sz w:val="16"/>
          <w:szCs w:val="16"/>
        </w:rPr>
        <w:t xml:space="preserve">CORTE SUPREMA DE JUSTICIA. Sala de casación Civil. Sentencia del 15 de julio de 2014, proferida en el proceso número 11001-3103-015-1974-04287-01. M.P. Ruth Marina Díaz Rueda. Número de Providencia: SC9166-2014. Citado en: </w:t>
      </w:r>
      <w:r w:rsidRPr="00FD7B13">
        <w:rPr>
          <w:rFonts w:ascii="Verdana" w:hAnsi="Verdana" w:cs="Times New Roman"/>
          <w:sz w:val="16"/>
          <w:szCs w:val="16"/>
          <w:lang w:val="es-ES"/>
        </w:rPr>
        <w:t>CONSEJO DE ESTADO, Sala Plena Contenciosa. Sentencia del 14 de agosto de 2018, Radicado.</w:t>
      </w:r>
      <w:r w:rsidRPr="00FD7B13">
        <w:rPr>
          <w:rFonts w:ascii="Verdana" w:hAnsi="Verdana"/>
          <w:sz w:val="16"/>
          <w:szCs w:val="16"/>
        </w:rPr>
        <w:t xml:space="preserve"> </w:t>
      </w:r>
      <w:r w:rsidRPr="00FD7B13">
        <w:rPr>
          <w:rFonts w:ascii="Verdana" w:hAnsi="Verdana" w:cs="Times New Roman"/>
          <w:sz w:val="16"/>
          <w:szCs w:val="16"/>
        </w:rPr>
        <w:t>05001-33-31-003-2009-00157-01(AP)SU.</w:t>
      </w:r>
      <w:r w:rsidRPr="00FD7B13">
        <w:rPr>
          <w:rFonts w:ascii="Verdana" w:hAnsi="Verdana" w:cs="Times New Roman"/>
          <w:sz w:val="16"/>
          <w:szCs w:val="16"/>
          <w:lang w:val="es-ES"/>
        </w:rPr>
        <w:t xml:space="preserve"> C.P. Oswaldo Giraldo López. </w:t>
      </w:r>
    </w:p>
  </w:footnote>
  <w:footnote w:id="26">
    <w:p w14:paraId="2BB274EF" w14:textId="77777777" w:rsidR="00326475" w:rsidRPr="00FD7B13" w:rsidRDefault="00326475" w:rsidP="00326475">
      <w:pPr>
        <w:spacing w:line="240" w:lineRule="auto"/>
        <w:ind w:firstLine="708"/>
        <w:contextualSpacing/>
        <w:jc w:val="both"/>
        <w:rPr>
          <w:rFonts w:ascii="Verdana" w:hAnsi="Verdana" w:cs="Times New Roman"/>
          <w:sz w:val="16"/>
          <w:szCs w:val="16"/>
        </w:rPr>
      </w:pPr>
      <w:r w:rsidRPr="00FD7B13">
        <w:rPr>
          <w:rStyle w:val="Refdenotaalpie"/>
          <w:rFonts w:ascii="Verdana" w:hAnsi="Verdana" w:cs="Times New Roman"/>
          <w:sz w:val="16"/>
          <w:szCs w:val="16"/>
        </w:rPr>
        <w:footnoteRef/>
      </w:r>
      <w:r w:rsidRPr="00FD7B13">
        <w:rPr>
          <w:rFonts w:ascii="Verdana" w:hAnsi="Verdana" w:cs="Times New Roman"/>
          <w:sz w:val="16"/>
          <w:szCs w:val="16"/>
        </w:rPr>
        <w:t xml:space="preserve"> CONSEJO DE ESTADO, Sección Tercera, Subsección A. Sentencia del 21 de noviembre de 2022. Exp. 65.566. C.P. María Adriana Marín.</w:t>
      </w:r>
    </w:p>
  </w:footnote>
  <w:footnote w:id="27">
    <w:p w14:paraId="783CB855" w14:textId="77777777" w:rsidR="00326475" w:rsidRPr="00FD7B13" w:rsidRDefault="00326475" w:rsidP="00326475">
      <w:pPr>
        <w:pStyle w:val="Textonotapie"/>
        <w:ind w:firstLine="708"/>
        <w:jc w:val="both"/>
        <w:rPr>
          <w:rFonts w:ascii="Verdana" w:hAnsi="Verdana"/>
          <w:sz w:val="16"/>
          <w:szCs w:val="16"/>
          <w:lang w:val="es-ES"/>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cs="Times New Roman"/>
          <w:sz w:val="16"/>
          <w:szCs w:val="16"/>
          <w:lang w:val="es-ES"/>
        </w:rPr>
        <w:t>CONSEJO DE ESTADO, Sala Plena Contenciosa. Sentencia del 14 de agosto de 2018, Radicado.</w:t>
      </w:r>
      <w:r w:rsidRPr="00FD7B13">
        <w:rPr>
          <w:rFonts w:ascii="Verdana" w:hAnsi="Verdana"/>
          <w:sz w:val="16"/>
          <w:szCs w:val="16"/>
        </w:rPr>
        <w:t xml:space="preserve"> </w:t>
      </w:r>
      <w:r w:rsidRPr="00FD7B13">
        <w:rPr>
          <w:rFonts w:ascii="Verdana" w:hAnsi="Verdana" w:cs="Times New Roman"/>
          <w:sz w:val="16"/>
          <w:szCs w:val="16"/>
        </w:rPr>
        <w:t>05001-33-31-003-2009-00157-01(AP)SU.</w:t>
      </w:r>
      <w:r w:rsidRPr="00FD7B13">
        <w:rPr>
          <w:rFonts w:ascii="Verdana" w:hAnsi="Verdana" w:cs="Times New Roman"/>
          <w:sz w:val="16"/>
          <w:szCs w:val="16"/>
          <w:lang w:val="es-ES"/>
        </w:rPr>
        <w:t xml:space="preserve"> C.P. Oswaldo Giraldo López.</w:t>
      </w:r>
    </w:p>
  </w:footnote>
  <w:footnote w:id="28">
    <w:p w14:paraId="4243D7D8" w14:textId="76B72A97" w:rsidR="00233121" w:rsidRPr="00667BDC" w:rsidRDefault="00233121" w:rsidP="00667BDC">
      <w:pPr>
        <w:pStyle w:val="Textonotapie"/>
        <w:ind w:firstLine="708"/>
        <w:jc w:val="both"/>
        <w:rPr>
          <w:rFonts w:ascii="Verdana" w:hAnsi="Verdana"/>
          <w:sz w:val="16"/>
          <w:szCs w:val="16"/>
        </w:rPr>
      </w:pPr>
      <w:r w:rsidRPr="00667BDC">
        <w:rPr>
          <w:rStyle w:val="Refdenotaalpie"/>
          <w:rFonts w:ascii="Verdana" w:hAnsi="Verdana"/>
          <w:sz w:val="16"/>
          <w:szCs w:val="16"/>
        </w:rPr>
        <w:footnoteRef/>
      </w:r>
      <w:r w:rsidRPr="00667BDC">
        <w:rPr>
          <w:rFonts w:ascii="Verdana" w:hAnsi="Verdana"/>
          <w:sz w:val="16"/>
          <w:szCs w:val="16"/>
        </w:rPr>
        <w:t xml:space="preserve"> </w:t>
      </w:r>
      <w:r w:rsidR="00842C83" w:rsidRPr="00667BDC">
        <w:rPr>
          <w:rFonts w:ascii="Verdana" w:eastAsia="Arial" w:hAnsi="Verdana" w:cs="Arial"/>
          <w:sz w:val="16"/>
          <w:szCs w:val="16"/>
          <w:lang w:val="es-CO"/>
        </w:rPr>
        <w:t>Agencia Nacional de Contratación Pública – Colombia Compra Eficiente–, Concepto C-041 del 20 de febrero de 2025.</w:t>
      </w:r>
    </w:p>
  </w:footnote>
  <w:footnote w:id="29">
    <w:p w14:paraId="4C7887F8" w14:textId="77777777" w:rsidR="00326475" w:rsidRPr="00FD7B13" w:rsidRDefault="00326475" w:rsidP="00326475">
      <w:pPr>
        <w:pStyle w:val="Textonotapie"/>
        <w:ind w:firstLine="708"/>
        <w:contextualSpacing/>
        <w:jc w:val="both"/>
        <w:rPr>
          <w:rFonts w:ascii="Verdana" w:hAnsi="Verdana"/>
          <w:sz w:val="16"/>
          <w:szCs w:val="16"/>
          <w:lang w:val="es-CO"/>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sz w:val="16"/>
          <w:szCs w:val="16"/>
          <w:lang w:val="es-CO"/>
        </w:rPr>
        <w:t xml:space="preserve">OSORIO ARTURO, Edna Lorena. Asociaciones Público – Privadas en Colombia. El contrato de APP. Una mirada legal – Infraestructura Social – Hospitales. Página 183. </w:t>
      </w:r>
    </w:p>
  </w:footnote>
  <w:footnote w:id="30">
    <w:p w14:paraId="47050EEF" w14:textId="77777777" w:rsidR="00326475" w:rsidRPr="00FD7B13" w:rsidRDefault="00326475" w:rsidP="00326475">
      <w:pPr>
        <w:tabs>
          <w:tab w:val="left" w:pos="0"/>
        </w:tabs>
        <w:spacing w:after="0" w:line="240" w:lineRule="auto"/>
        <w:ind w:firstLine="709"/>
        <w:contextualSpacing/>
        <w:jc w:val="both"/>
        <w:rPr>
          <w:rFonts w:ascii="Verdana" w:eastAsia="Calibri" w:hAnsi="Verdana" w:cs="Arial"/>
          <w:bCs/>
          <w:color w:val="000000" w:themeColor="text1"/>
          <w:sz w:val="16"/>
          <w:szCs w:val="16"/>
          <w:lang w:val="es-ES_tradnl"/>
        </w:rPr>
      </w:pPr>
      <w:r w:rsidRPr="00FD7B13">
        <w:rPr>
          <w:rStyle w:val="Refdenotaalpie"/>
          <w:rFonts w:ascii="Verdana" w:hAnsi="Verdana" w:cs="Arial"/>
          <w:sz w:val="16"/>
          <w:szCs w:val="16"/>
          <w:lang w:val="es-ES_tradnl"/>
        </w:rPr>
        <w:footnoteRef/>
      </w:r>
      <w:r w:rsidRPr="00FD7B13">
        <w:rPr>
          <w:rFonts w:ascii="Verdana" w:hAnsi="Verdana" w:cs="Arial"/>
          <w:sz w:val="16"/>
          <w:szCs w:val="16"/>
          <w:lang w:val="es-ES_tradnl"/>
        </w:rPr>
        <w:t xml:space="preserve"> </w:t>
      </w:r>
      <w:r w:rsidRPr="00FD7B13">
        <w:rPr>
          <w:rFonts w:ascii="Verdana" w:eastAsia="Calibri" w:hAnsi="Verdana" w:cs="Arial"/>
          <w:bCs/>
          <w:color w:val="000000" w:themeColor="text1"/>
          <w:sz w:val="16"/>
          <w:szCs w:val="16"/>
          <w:lang w:val="es-ES_tradnl"/>
        </w:rPr>
        <w:t>El Consejo de Estado ha destacado sus características: “</w:t>
      </w:r>
      <w:r w:rsidRPr="00FD7B13">
        <w:rPr>
          <w:rFonts w:ascii="Verdana" w:hAnsi="Verdana" w:cs="Arial"/>
          <w:sz w:val="16"/>
          <w:szCs w:val="16"/>
          <w:lang w:val="es-ES_tradnl"/>
        </w:rPr>
        <w:t xml:space="preserve">[…] </w:t>
      </w:r>
      <w:r w:rsidRPr="00FD7B13">
        <w:rPr>
          <w:rFonts w:ascii="Verdana" w:eastAsia="Calibri" w:hAnsi="Verdana" w:cs="Arial"/>
          <w:bCs/>
          <w:color w:val="000000" w:themeColor="text1"/>
          <w:sz w:val="16"/>
          <w:szCs w:val="16"/>
          <w:lang w:val="es-ES_tradnl"/>
        </w:rPr>
        <w:t xml:space="preserve">la jurisprudencia de la Sección Tercera de esta Corporación ha señalado como características propias del contrato de concesión que: i) dentro de su celebración interviene una entidad estatal que actúa como concedente y una persona natural o jurídica denominada concesionario; </w:t>
      </w:r>
      <w:proofErr w:type="spellStart"/>
      <w:r w:rsidRPr="00FD7B13">
        <w:rPr>
          <w:rFonts w:ascii="Verdana" w:eastAsia="Calibri" w:hAnsi="Verdana" w:cs="Arial"/>
          <w:bCs/>
          <w:color w:val="000000" w:themeColor="text1"/>
          <w:sz w:val="16"/>
          <w:szCs w:val="16"/>
          <w:lang w:val="es-ES_tradnl"/>
        </w:rPr>
        <w:t>ii</w:t>
      </w:r>
      <w:proofErr w:type="spellEnd"/>
      <w:r w:rsidRPr="00FD7B13">
        <w:rPr>
          <w:rFonts w:ascii="Verdana" w:eastAsia="Calibri" w:hAnsi="Verdana" w:cs="Arial"/>
          <w:bCs/>
          <w:color w:val="000000" w:themeColor="text1"/>
          <w:sz w:val="16"/>
          <w:szCs w:val="16"/>
          <w:lang w:val="es-ES_tradnl"/>
        </w:rPr>
        <w:t xml:space="preserve">) El concesionario es quien asume la gestión y riesgo de un servicio que corresponde al Estado sustituyendo a éste en el cumplimiento de dicha carga; </w:t>
      </w:r>
      <w:proofErr w:type="spellStart"/>
      <w:r w:rsidRPr="00FD7B13">
        <w:rPr>
          <w:rFonts w:ascii="Verdana" w:eastAsia="Calibri" w:hAnsi="Verdana" w:cs="Arial"/>
          <w:bCs/>
          <w:color w:val="000000" w:themeColor="text1"/>
          <w:sz w:val="16"/>
          <w:szCs w:val="16"/>
          <w:lang w:val="es-ES_tradnl"/>
        </w:rPr>
        <w:t>iii</w:t>
      </w:r>
      <w:proofErr w:type="spellEnd"/>
      <w:r w:rsidRPr="00FD7B13">
        <w:rPr>
          <w:rFonts w:ascii="Verdana" w:eastAsia="Calibri" w:hAnsi="Verdana" w:cs="Arial"/>
          <w:bCs/>
          <w:color w:val="000000" w:themeColor="text1"/>
          <w:sz w:val="16"/>
          <w:szCs w:val="16"/>
          <w:lang w:val="es-ES_tradnl"/>
        </w:rPr>
        <w:t xml:space="preserve">) La entidad estatal mantiene durante la ejecución del contrato la inspección, vigilancia y control de la labor a ejecutar por parte del concesionario; </w:t>
      </w:r>
      <w:proofErr w:type="spellStart"/>
      <w:r w:rsidRPr="00FD7B13">
        <w:rPr>
          <w:rFonts w:ascii="Verdana" w:eastAsia="Calibri" w:hAnsi="Verdana" w:cs="Arial"/>
          <w:bCs/>
          <w:color w:val="000000" w:themeColor="text1"/>
          <w:sz w:val="16"/>
          <w:szCs w:val="16"/>
          <w:lang w:val="es-ES_tradnl"/>
        </w:rPr>
        <w:t>iv</w:t>
      </w:r>
      <w:proofErr w:type="spellEnd"/>
      <w:r w:rsidRPr="00FD7B13">
        <w:rPr>
          <w:rFonts w:ascii="Verdana" w:eastAsia="Calibri" w:hAnsi="Verdana" w:cs="Arial"/>
          <w:bCs/>
          <w:color w:val="000000" w:themeColor="text1"/>
          <w:sz w:val="16"/>
          <w:szCs w:val="16"/>
          <w:lang w:val="es-ES_tradnl"/>
        </w:rPr>
        <w:t>) el concesionario recibe una remuneración o contraprestación, la cual se pacta, de diversas maneras (tasas, tarifas, derechos, participación en la explotación del bien, entre otros); y que v) los bienes construidos o adecuados durante la concesión deben revertirse al Estado, aunque ello no se pacte expresamente en el contrato”. Consejo de Estado. Sección Tercera. Sentencia del 23 de octubre de 2017. Consejero Ponente: Jaime Orlando Santofimio Gamboa. Exp. 53.477.</w:t>
      </w:r>
    </w:p>
  </w:footnote>
  <w:footnote w:id="31">
    <w:p w14:paraId="281AB87F" w14:textId="77777777" w:rsidR="00326475" w:rsidRPr="00FD7B13" w:rsidRDefault="00326475" w:rsidP="00326475">
      <w:pPr>
        <w:pStyle w:val="Textonotapie"/>
        <w:ind w:firstLine="709"/>
        <w:contextualSpacing/>
        <w:jc w:val="both"/>
        <w:rPr>
          <w:rFonts w:ascii="Verdana" w:hAnsi="Verdana" w:cs="Arial"/>
          <w:sz w:val="16"/>
          <w:szCs w:val="16"/>
          <w:lang w:val="pt-BR"/>
        </w:rPr>
      </w:pPr>
      <w:r w:rsidRPr="00FD7B13">
        <w:rPr>
          <w:rStyle w:val="Refdenotaalpie"/>
          <w:rFonts w:ascii="Verdana" w:hAnsi="Verdana" w:cs="Arial"/>
          <w:sz w:val="16"/>
          <w:szCs w:val="16"/>
        </w:rPr>
        <w:footnoteRef/>
      </w:r>
      <w:r w:rsidRPr="00FD7B13">
        <w:rPr>
          <w:rFonts w:ascii="Verdana" w:hAnsi="Verdana" w:cs="Arial"/>
          <w:sz w:val="16"/>
          <w:szCs w:val="16"/>
        </w:rPr>
        <w:t xml:space="preserve"> QUIÑONES GUZMÁN, Juan Carlos. Contratos de Asociación Publico – Privada e Infraestructura de Transporte. </w:t>
      </w:r>
      <w:r w:rsidRPr="00FD7B13">
        <w:rPr>
          <w:rFonts w:ascii="Verdana" w:hAnsi="Verdana" w:cs="Arial"/>
          <w:sz w:val="16"/>
          <w:szCs w:val="16"/>
          <w:lang w:val="es-ES_tradnl"/>
        </w:rPr>
        <w:t xml:space="preserve">Primera edición 2020. </w:t>
      </w:r>
      <w:r w:rsidRPr="00FD7B13">
        <w:rPr>
          <w:rFonts w:ascii="Verdana" w:hAnsi="Verdana" w:cs="Arial"/>
          <w:sz w:val="16"/>
          <w:szCs w:val="16"/>
          <w:lang w:val="pt-BR"/>
        </w:rPr>
        <w:t>Página 6.</w:t>
      </w:r>
    </w:p>
  </w:footnote>
  <w:footnote w:id="32">
    <w:p w14:paraId="2424B987" w14:textId="77777777" w:rsidR="00326475" w:rsidRPr="00FD7B13" w:rsidRDefault="00326475" w:rsidP="00326475">
      <w:pPr>
        <w:spacing w:after="0" w:line="240" w:lineRule="auto"/>
        <w:ind w:firstLine="709"/>
        <w:contextualSpacing/>
        <w:jc w:val="both"/>
        <w:rPr>
          <w:rFonts w:ascii="Verdana" w:hAnsi="Verdana" w:cs="Arial"/>
          <w:sz w:val="16"/>
          <w:szCs w:val="16"/>
          <w:lang w:val="pt-BR"/>
        </w:rPr>
      </w:pPr>
      <w:r w:rsidRPr="00FD7B13">
        <w:rPr>
          <w:rStyle w:val="Refdenotaalpie"/>
          <w:rFonts w:ascii="Verdana" w:hAnsi="Verdana" w:cs="Arial"/>
          <w:sz w:val="16"/>
          <w:szCs w:val="16"/>
        </w:rPr>
        <w:footnoteRef/>
      </w:r>
      <w:r w:rsidRPr="00FD7B13">
        <w:rPr>
          <w:rFonts w:ascii="Verdana" w:hAnsi="Verdana" w:cs="Arial"/>
          <w:sz w:val="16"/>
          <w:szCs w:val="16"/>
          <w:lang w:val="pt-BR"/>
        </w:rPr>
        <w:t xml:space="preserve"> </w:t>
      </w:r>
      <w:bookmarkStart w:id="0" w:name="_Hlk182373531"/>
      <w:r w:rsidRPr="00FD7B13">
        <w:rPr>
          <w:rFonts w:ascii="Verdana" w:hAnsi="Verdana" w:cs="Arial"/>
          <w:sz w:val="16"/>
          <w:szCs w:val="16"/>
          <w:lang w:val="pt-BR"/>
        </w:rPr>
        <w:t xml:space="preserve">Corte Constitucional. Sentencia C-300 de 2012. Magistrado </w:t>
      </w:r>
      <w:proofErr w:type="spellStart"/>
      <w:r w:rsidRPr="00FD7B13">
        <w:rPr>
          <w:rFonts w:ascii="Verdana" w:hAnsi="Verdana" w:cs="Arial"/>
          <w:sz w:val="16"/>
          <w:szCs w:val="16"/>
          <w:lang w:val="pt-BR"/>
        </w:rPr>
        <w:t>Ponente</w:t>
      </w:r>
      <w:proofErr w:type="spellEnd"/>
      <w:r w:rsidRPr="00FD7B13">
        <w:rPr>
          <w:rFonts w:ascii="Verdana" w:hAnsi="Verdana" w:cs="Arial"/>
          <w:sz w:val="16"/>
          <w:szCs w:val="16"/>
          <w:lang w:val="pt-BR"/>
        </w:rPr>
        <w:t xml:space="preserve">: Jorge Ignacio </w:t>
      </w:r>
      <w:proofErr w:type="spellStart"/>
      <w:r w:rsidRPr="00FD7B13">
        <w:rPr>
          <w:rFonts w:ascii="Verdana" w:hAnsi="Verdana" w:cs="Arial"/>
          <w:sz w:val="16"/>
          <w:szCs w:val="16"/>
          <w:lang w:val="pt-BR"/>
        </w:rPr>
        <w:t>Pretelt</w:t>
      </w:r>
      <w:proofErr w:type="spellEnd"/>
      <w:r w:rsidRPr="00FD7B13">
        <w:rPr>
          <w:rFonts w:ascii="Verdana" w:hAnsi="Verdana" w:cs="Arial"/>
          <w:sz w:val="16"/>
          <w:szCs w:val="16"/>
          <w:lang w:val="pt-BR"/>
        </w:rPr>
        <w:t xml:space="preserve"> Chaljub.</w:t>
      </w:r>
      <w:bookmarkEnd w:id="0"/>
    </w:p>
  </w:footnote>
  <w:footnote w:id="33">
    <w:p w14:paraId="2FEE3E45" w14:textId="77777777" w:rsidR="00326475" w:rsidRPr="00FD7B13" w:rsidRDefault="00326475" w:rsidP="00326475">
      <w:pPr>
        <w:pStyle w:val="Textonotapie"/>
        <w:ind w:firstLine="709"/>
        <w:contextualSpacing/>
        <w:jc w:val="both"/>
        <w:rPr>
          <w:rFonts w:ascii="Verdana" w:hAnsi="Verdana" w:cs="Arial"/>
          <w:sz w:val="16"/>
          <w:szCs w:val="16"/>
          <w:lang w:val="pt-BR"/>
        </w:rPr>
      </w:pPr>
      <w:r w:rsidRPr="00FD7B13">
        <w:rPr>
          <w:rStyle w:val="Refdenotaalpie"/>
          <w:rFonts w:ascii="Verdana" w:hAnsi="Verdana" w:cs="Arial"/>
          <w:sz w:val="16"/>
          <w:szCs w:val="16"/>
          <w:lang w:val="es-ES_tradnl"/>
        </w:rPr>
        <w:footnoteRef/>
      </w:r>
      <w:r w:rsidRPr="00FD7B13">
        <w:rPr>
          <w:rFonts w:ascii="Verdana" w:hAnsi="Verdana" w:cs="Arial"/>
          <w:sz w:val="16"/>
          <w:szCs w:val="16"/>
          <w:lang w:val="es-ES_tradnl"/>
        </w:rPr>
        <w:t xml:space="preserve"> La doctrina ha señalado que “[…] durante la década de los ochenta y de los noventa, las más variadas instituciones anglosajonas empiezan a proponer toda una serie de definiciones de la citada colaboración público privada (o en términos anglosajones </w:t>
      </w:r>
      <w:proofErr w:type="spellStart"/>
      <w:r w:rsidRPr="00FD7B13">
        <w:rPr>
          <w:rFonts w:ascii="Verdana" w:hAnsi="Verdana" w:cs="Arial"/>
          <w:i/>
          <w:iCs/>
          <w:sz w:val="16"/>
          <w:szCs w:val="16"/>
          <w:lang w:val="es-ES_tradnl"/>
        </w:rPr>
        <w:t>public</w:t>
      </w:r>
      <w:proofErr w:type="spellEnd"/>
      <w:r w:rsidRPr="00FD7B13">
        <w:rPr>
          <w:rFonts w:ascii="Verdana" w:hAnsi="Verdana" w:cs="Arial"/>
          <w:i/>
          <w:iCs/>
          <w:sz w:val="16"/>
          <w:szCs w:val="16"/>
          <w:lang w:val="es-ES_tradnl"/>
        </w:rPr>
        <w:t xml:space="preserve"> </w:t>
      </w:r>
      <w:proofErr w:type="spellStart"/>
      <w:r w:rsidRPr="00FD7B13">
        <w:rPr>
          <w:rFonts w:ascii="Verdana" w:hAnsi="Verdana" w:cs="Arial"/>
          <w:i/>
          <w:iCs/>
          <w:sz w:val="16"/>
          <w:szCs w:val="16"/>
          <w:lang w:val="es-ES_tradnl"/>
        </w:rPr>
        <w:t>private</w:t>
      </w:r>
      <w:proofErr w:type="spellEnd"/>
      <w:r w:rsidRPr="00FD7B13">
        <w:rPr>
          <w:rFonts w:ascii="Verdana" w:hAnsi="Verdana" w:cs="Arial"/>
          <w:i/>
          <w:iCs/>
          <w:sz w:val="16"/>
          <w:szCs w:val="16"/>
          <w:lang w:val="es-ES_tradnl"/>
        </w:rPr>
        <w:t xml:space="preserve"> </w:t>
      </w:r>
      <w:proofErr w:type="spellStart"/>
      <w:r w:rsidRPr="00FD7B13">
        <w:rPr>
          <w:rFonts w:ascii="Verdana" w:hAnsi="Verdana" w:cs="Arial"/>
          <w:i/>
          <w:iCs/>
          <w:sz w:val="16"/>
          <w:szCs w:val="16"/>
          <w:lang w:val="es-ES_tradnl"/>
        </w:rPr>
        <w:t>partnerships</w:t>
      </w:r>
      <w:proofErr w:type="spellEnd"/>
      <w:r w:rsidRPr="00FD7B13">
        <w:rPr>
          <w:rFonts w:ascii="Verdana" w:hAnsi="Verdana" w:cs="Arial"/>
          <w:i/>
          <w:iCs/>
          <w:sz w:val="16"/>
          <w:szCs w:val="16"/>
          <w:lang w:val="es-ES_tradnl"/>
        </w:rPr>
        <w:t xml:space="preserve"> –</w:t>
      </w:r>
      <w:r w:rsidRPr="00FD7B13">
        <w:rPr>
          <w:rFonts w:ascii="Verdana" w:hAnsi="Verdana" w:cs="Arial"/>
          <w:sz w:val="16"/>
          <w:szCs w:val="16"/>
          <w:lang w:val="es-ES_tradnl"/>
        </w:rPr>
        <w:t xml:space="preserve">PPP–, en adelante), para hacer referencia a una amplia gama de operaciones, técnicas y metodologías aglutinadas bajo un enfoque o idea común: incentivar el interés particular en la ejecución de cometidos públicos asumiendo los riesgos inherentes a dicha ejecución, de modo que cada sector aporta sus recursos y conocimientos con el fin de acometer la construcción de una infraestructura o la gestión de un servicio público de la manera más eficiente posible. HERNANDO RYDINGS, María. La colaboración </w:t>
      </w:r>
      <w:proofErr w:type="gramStart"/>
      <w:r w:rsidRPr="00FD7B13">
        <w:rPr>
          <w:rFonts w:ascii="Verdana" w:hAnsi="Verdana" w:cs="Arial"/>
          <w:sz w:val="16"/>
          <w:szCs w:val="16"/>
          <w:lang w:val="es-ES_tradnl"/>
        </w:rPr>
        <w:t>público privada</w:t>
      </w:r>
      <w:proofErr w:type="gramEnd"/>
      <w:r w:rsidRPr="00FD7B13">
        <w:rPr>
          <w:rFonts w:ascii="Verdana" w:hAnsi="Verdana" w:cs="Arial"/>
          <w:sz w:val="16"/>
          <w:szCs w:val="16"/>
          <w:lang w:val="es-ES_tradnl"/>
        </w:rPr>
        <w:t xml:space="preserve">. Fórmulas contractuales. Madrid: </w:t>
      </w:r>
      <w:proofErr w:type="spellStart"/>
      <w:r w:rsidRPr="00FD7B13">
        <w:rPr>
          <w:rFonts w:ascii="Verdana" w:hAnsi="Verdana" w:cs="Arial"/>
          <w:sz w:val="16"/>
          <w:szCs w:val="16"/>
          <w:lang w:val="es-ES_tradnl"/>
        </w:rPr>
        <w:t>Civitas</w:t>
      </w:r>
      <w:proofErr w:type="spellEnd"/>
      <w:r w:rsidRPr="00FD7B13">
        <w:rPr>
          <w:rFonts w:ascii="Verdana" w:hAnsi="Verdana" w:cs="Arial"/>
          <w:sz w:val="16"/>
          <w:szCs w:val="16"/>
          <w:lang w:val="es-ES_tradnl"/>
        </w:rPr>
        <w:t xml:space="preserve">. </w:t>
      </w:r>
      <w:r w:rsidRPr="00FD7B13">
        <w:rPr>
          <w:rFonts w:ascii="Verdana" w:hAnsi="Verdana" w:cs="Arial"/>
          <w:sz w:val="16"/>
          <w:szCs w:val="16"/>
          <w:lang w:val="pt-BR"/>
        </w:rPr>
        <w:t>Página 37-38.</w:t>
      </w:r>
    </w:p>
  </w:footnote>
  <w:footnote w:id="34">
    <w:p w14:paraId="61D7A8D1" w14:textId="77777777" w:rsidR="00326475" w:rsidRPr="00FD7B13" w:rsidRDefault="00326475" w:rsidP="00326475">
      <w:pPr>
        <w:pStyle w:val="Textonotapie"/>
        <w:ind w:firstLine="708"/>
        <w:contextualSpacing/>
        <w:jc w:val="both"/>
        <w:rPr>
          <w:rFonts w:ascii="Verdana" w:hAnsi="Verdana" w:cs="Arial"/>
          <w:sz w:val="16"/>
          <w:szCs w:val="16"/>
          <w:lang w:val="pt-BR"/>
        </w:rPr>
      </w:pPr>
      <w:r w:rsidRPr="00FD7B13">
        <w:rPr>
          <w:rStyle w:val="Refdenotaalpie"/>
          <w:rFonts w:ascii="Verdana" w:hAnsi="Verdana" w:cs="Arial"/>
          <w:sz w:val="16"/>
          <w:szCs w:val="16"/>
        </w:rPr>
        <w:footnoteRef/>
      </w:r>
      <w:r w:rsidRPr="00FD7B13">
        <w:rPr>
          <w:rFonts w:ascii="Verdana" w:hAnsi="Verdana" w:cs="Arial"/>
          <w:sz w:val="16"/>
          <w:szCs w:val="16"/>
          <w:lang w:val="pt-BR"/>
        </w:rPr>
        <w:t xml:space="preserve"> </w:t>
      </w:r>
      <w:bookmarkStart w:id="3" w:name="_Hlk182374189"/>
      <w:r w:rsidRPr="00FD7B13">
        <w:rPr>
          <w:rFonts w:ascii="Verdana" w:hAnsi="Verdana" w:cs="Arial"/>
          <w:sz w:val="16"/>
          <w:szCs w:val="16"/>
          <w:lang w:val="pt-BR"/>
        </w:rPr>
        <w:t xml:space="preserve">Corte Constitucional. Sentencia C-595 de 2014. Magistrado </w:t>
      </w:r>
      <w:proofErr w:type="spellStart"/>
      <w:r w:rsidRPr="00FD7B13">
        <w:rPr>
          <w:rFonts w:ascii="Verdana" w:hAnsi="Verdana" w:cs="Arial"/>
          <w:sz w:val="16"/>
          <w:szCs w:val="16"/>
          <w:lang w:val="pt-BR"/>
        </w:rPr>
        <w:t>Ponente</w:t>
      </w:r>
      <w:proofErr w:type="spellEnd"/>
      <w:r w:rsidRPr="00FD7B13">
        <w:rPr>
          <w:rFonts w:ascii="Verdana" w:hAnsi="Verdana" w:cs="Arial"/>
          <w:sz w:val="16"/>
          <w:szCs w:val="16"/>
          <w:lang w:val="pt-BR"/>
        </w:rPr>
        <w:t xml:space="preserve">: Jorge Ignacio </w:t>
      </w:r>
      <w:proofErr w:type="spellStart"/>
      <w:r w:rsidRPr="00FD7B13">
        <w:rPr>
          <w:rFonts w:ascii="Verdana" w:hAnsi="Verdana" w:cs="Arial"/>
          <w:sz w:val="16"/>
          <w:szCs w:val="16"/>
          <w:lang w:val="pt-BR"/>
        </w:rPr>
        <w:t>Pretelt</w:t>
      </w:r>
      <w:proofErr w:type="spellEnd"/>
      <w:r w:rsidRPr="00FD7B13">
        <w:rPr>
          <w:rFonts w:ascii="Verdana" w:hAnsi="Verdana" w:cs="Arial"/>
          <w:sz w:val="16"/>
          <w:szCs w:val="16"/>
          <w:lang w:val="pt-BR"/>
        </w:rPr>
        <w:t xml:space="preserve"> Chaljub.</w:t>
      </w:r>
      <w:bookmarkEnd w:id="3"/>
    </w:p>
  </w:footnote>
  <w:footnote w:id="35">
    <w:p w14:paraId="29744C45" w14:textId="77777777" w:rsidR="00326475" w:rsidRPr="00FD7B13" w:rsidRDefault="00326475" w:rsidP="00326475">
      <w:pPr>
        <w:pStyle w:val="Textonotapie"/>
        <w:ind w:firstLine="709"/>
        <w:contextualSpacing/>
        <w:jc w:val="both"/>
        <w:rPr>
          <w:rFonts w:ascii="Verdana" w:hAnsi="Verdana" w:cs="Arial"/>
          <w:iCs/>
          <w:sz w:val="16"/>
          <w:szCs w:val="16"/>
          <w:lang w:val="es-CO"/>
        </w:rPr>
      </w:pPr>
      <w:r w:rsidRPr="00FD7B13">
        <w:rPr>
          <w:rStyle w:val="Refdenotaalpie"/>
          <w:rFonts w:ascii="Verdana" w:hAnsi="Verdana" w:cs="Arial"/>
          <w:sz w:val="16"/>
          <w:szCs w:val="16"/>
        </w:rPr>
        <w:footnoteRef/>
      </w:r>
      <w:r w:rsidRPr="00FD7B13">
        <w:rPr>
          <w:rFonts w:ascii="Verdana" w:hAnsi="Verdana" w:cs="Arial"/>
          <w:sz w:val="16"/>
          <w:szCs w:val="16"/>
        </w:rPr>
        <w:t xml:space="preserve"> Al respecto, la doctrina ha señalado que  “</w:t>
      </w:r>
      <w:r w:rsidRPr="00FD7B13">
        <w:rPr>
          <w:rFonts w:ascii="Verdana" w:hAnsi="Verdana" w:cs="Arial"/>
          <w:sz w:val="16"/>
          <w:szCs w:val="16"/>
          <w:lang w:val="es-CO"/>
        </w:rPr>
        <w:t xml:space="preserve">La Ley 1508 de 2012 introdujo al sistema jurídico colombiano un género denominado asociación público privada que puede revestir diferentes tipos contractuales, siendo el más conocido el de la concesión, pero también puede ser un contrato de sociedad (APP colaborativas), un contrato de construcción, operación y mantenimiento (BOM por sus siglas en inglés </w:t>
      </w:r>
      <w:proofErr w:type="spellStart"/>
      <w:r w:rsidRPr="00FD7B13">
        <w:rPr>
          <w:rFonts w:ascii="Verdana" w:hAnsi="Verdana" w:cs="Arial"/>
          <w:sz w:val="16"/>
          <w:szCs w:val="16"/>
          <w:lang w:val="es-CO"/>
        </w:rPr>
        <w:t>build</w:t>
      </w:r>
      <w:proofErr w:type="spellEnd"/>
      <w:r w:rsidRPr="00FD7B13">
        <w:rPr>
          <w:rFonts w:ascii="Verdana" w:hAnsi="Verdana" w:cs="Arial"/>
          <w:sz w:val="16"/>
          <w:szCs w:val="16"/>
          <w:lang w:val="es-CO"/>
        </w:rPr>
        <w:t xml:space="preserve"> opérate and </w:t>
      </w:r>
      <w:proofErr w:type="spellStart"/>
      <w:r w:rsidRPr="00FD7B13">
        <w:rPr>
          <w:rFonts w:ascii="Verdana" w:hAnsi="Verdana" w:cs="Arial"/>
          <w:sz w:val="16"/>
          <w:szCs w:val="16"/>
          <w:lang w:val="es-CO"/>
        </w:rPr>
        <w:t>maintain</w:t>
      </w:r>
      <w:proofErr w:type="spellEnd"/>
      <w:r w:rsidRPr="00FD7B13">
        <w:rPr>
          <w:rFonts w:ascii="Verdana" w:hAnsi="Verdana" w:cs="Arial"/>
          <w:sz w:val="16"/>
          <w:szCs w:val="16"/>
          <w:lang w:val="es-CO"/>
        </w:rPr>
        <w:t xml:space="preserve">) que puede implicar o no la reversión del activo (BOMT por sus siglas en inglés </w:t>
      </w:r>
      <w:proofErr w:type="spellStart"/>
      <w:r w:rsidRPr="00FD7B13">
        <w:rPr>
          <w:rFonts w:ascii="Verdana" w:hAnsi="Verdana" w:cs="Arial"/>
          <w:sz w:val="16"/>
          <w:szCs w:val="16"/>
          <w:lang w:val="es-CO"/>
        </w:rPr>
        <w:t>build</w:t>
      </w:r>
      <w:proofErr w:type="spellEnd"/>
      <w:r w:rsidRPr="00FD7B13">
        <w:rPr>
          <w:rFonts w:ascii="Verdana" w:hAnsi="Verdana" w:cs="Arial"/>
          <w:sz w:val="16"/>
          <w:szCs w:val="16"/>
          <w:lang w:val="es-CO"/>
        </w:rPr>
        <w:t xml:space="preserve"> opérate </w:t>
      </w:r>
      <w:proofErr w:type="spellStart"/>
      <w:r w:rsidRPr="00FD7B13">
        <w:rPr>
          <w:rFonts w:ascii="Verdana" w:hAnsi="Verdana" w:cs="Arial"/>
          <w:sz w:val="16"/>
          <w:szCs w:val="16"/>
          <w:lang w:val="es-CO"/>
        </w:rPr>
        <w:t>maintain</w:t>
      </w:r>
      <w:proofErr w:type="spellEnd"/>
      <w:r w:rsidRPr="00FD7B13">
        <w:rPr>
          <w:rFonts w:ascii="Verdana" w:hAnsi="Verdana" w:cs="Arial"/>
          <w:sz w:val="16"/>
          <w:szCs w:val="16"/>
          <w:lang w:val="es-CO"/>
        </w:rPr>
        <w:t xml:space="preserve"> and transfer o BOOMT por sus siglas en inglés </w:t>
      </w:r>
      <w:proofErr w:type="spellStart"/>
      <w:r w:rsidRPr="00FD7B13">
        <w:rPr>
          <w:rFonts w:ascii="Verdana" w:hAnsi="Verdana" w:cs="Arial"/>
          <w:sz w:val="16"/>
          <w:szCs w:val="16"/>
          <w:lang w:val="es-CO"/>
        </w:rPr>
        <w:t>build</w:t>
      </w:r>
      <w:proofErr w:type="spellEnd"/>
      <w:r w:rsidRPr="00FD7B13">
        <w:rPr>
          <w:rFonts w:ascii="Verdana" w:hAnsi="Verdana" w:cs="Arial"/>
          <w:sz w:val="16"/>
          <w:szCs w:val="16"/>
          <w:lang w:val="es-CO"/>
        </w:rPr>
        <w:t xml:space="preserve"> </w:t>
      </w:r>
      <w:proofErr w:type="spellStart"/>
      <w:r w:rsidRPr="00FD7B13">
        <w:rPr>
          <w:rFonts w:ascii="Verdana" w:hAnsi="Verdana" w:cs="Arial"/>
          <w:sz w:val="16"/>
          <w:szCs w:val="16"/>
          <w:lang w:val="es-CO"/>
        </w:rPr>
        <w:t>own</w:t>
      </w:r>
      <w:proofErr w:type="spellEnd"/>
      <w:r w:rsidRPr="00FD7B13">
        <w:rPr>
          <w:rFonts w:ascii="Verdana" w:hAnsi="Verdana" w:cs="Arial"/>
          <w:sz w:val="16"/>
          <w:szCs w:val="16"/>
          <w:lang w:val="es-CO"/>
        </w:rPr>
        <w:t xml:space="preserve"> opérate </w:t>
      </w:r>
      <w:proofErr w:type="spellStart"/>
      <w:r w:rsidRPr="00FD7B13">
        <w:rPr>
          <w:rFonts w:ascii="Verdana" w:hAnsi="Verdana" w:cs="Arial"/>
          <w:sz w:val="16"/>
          <w:szCs w:val="16"/>
          <w:lang w:val="es-CO"/>
        </w:rPr>
        <w:t>maintain</w:t>
      </w:r>
      <w:proofErr w:type="spellEnd"/>
      <w:r w:rsidRPr="00FD7B13">
        <w:rPr>
          <w:rFonts w:ascii="Verdana" w:hAnsi="Verdana" w:cs="Arial"/>
          <w:sz w:val="16"/>
          <w:szCs w:val="16"/>
          <w:lang w:val="es-CO"/>
        </w:rPr>
        <w:t xml:space="preserve"> and transfer), en general puede ser cualquier contrato atípico que diseñen las partes en desarrollo de los principios de autonomía y libertad contractuales</w:t>
      </w:r>
      <w:r w:rsidRPr="00FD7B13">
        <w:rPr>
          <w:rFonts w:ascii="Verdana" w:hAnsi="Verdana" w:cs="Arial"/>
          <w:iCs/>
          <w:sz w:val="16"/>
          <w:szCs w:val="16"/>
          <w:lang w:val="es-CO"/>
        </w:rPr>
        <w:t xml:space="preserve">”. ABELLO GALVIS, Alessia. Reflexiones sobre las Asociaciones </w:t>
      </w:r>
      <w:proofErr w:type="gramStart"/>
      <w:r w:rsidRPr="00FD7B13">
        <w:rPr>
          <w:rFonts w:ascii="Verdana" w:hAnsi="Verdana" w:cs="Arial"/>
          <w:iCs/>
          <w:sz w:val="16"/>
          <w:szCs w:val="16"/>
          <w:lang w:val="es-CO"/>
        </w:rPr>
        <w:t>Público Privadas</w:t>
      </w:r>
      <w:proofErr w:type="gramEnd"/>
      <w:r w:rsidRPr="00FD7B13">
        <w:rPr>
          <w:rFonts w:ascii="Verdana" w:hAnsi="Verdana" w:cs="Arial"/>
          <w:iCs/>
          <w:sz w:val="16"/>
          <w:szCs w:val="16"/>
          <w:lang w:val="es-CO"/>
        </w:rPr>
        <w:t>. En: PALACIO JARAMILLO, María Teresa (editora académica). Contratos Estatales. Tomo II. Bogotá: Universidad del Rosario. Página 1603.</w:t>
      </w:r>
    </w:p>
  </w:footnote>
  <w:footnote w:id="36">
    <w:p w14:paraId="6D9EAD95" w14:textId="77777777" w:rsidR="00326475" w:rsidRPr="00FD7B13" w:rsidRDefault="00326475" w:rsidP="00326475">
      <w:pPr>
        <w:pStyle w:val="Textonotapie"/>
        <w:ind w:firstLine="708"/>
        <w:contextualSpacing/>
        <w:jc w:val="both"/>
        <w:rPr>
          <w:rFonts w:ascii="Verdana" w:hAnsi="Verdana" w:cs="Arial"/>
          <w:iCs/>
          <w:sz w:val="16"/>
          <w:szCs w:val="16"/>
          <w:lang w:val="es-CO"/>
        </w:rPr>
      </w:pPr>
      <w:r w:rsidRPr="00FD7B13">
        <w:rPr>
          <w:rStyle w:val="Refdenotaalpie"/>
          <w:rFonts w:ascii="Verdana" w:hAnsi="Verdana" w:cs="Arial"/>
          <w:sz w:val="16"/>
          <w:szCs w:val="16"/>
        </w:rPr>
        <w:footnoteRef/>
      </w:r>
      <w:r w:rsidRPr="00FD7B13">
        <w:rPr>
          <w:rFonts w:ascii="Verdana" w:hAnsi="Verdana" w:cs="Arial"/>
          <w:sz w:val="16"/>
          <w:szCs w:val="16"/>
        </w:rPr>
        <w:t xml:space="preserve"> </w:t>
      </w:r>
      <w:r w:rsidRPr="00FD7B13">
        <w:rPr>
          <w:rFonts w:ascii="Verdana" w:hAnsi="Verdana" w:cs="Arial"/>
          <w:bCs/>
          <w:iCs/>
          <w:sz w:val="16"/>
          <w:szCs w:val="16"/>
          <w:lang w:val="es-CO"/>
        </w:rPr>
        <w:t>Artículo 28</w:t>
      </w:r>
      <w:r w:rsidRPr="00FD7B13">
        <w:rPr>
          <w:rFonts w:ascii="Verdana" w:hAnsi="Verdana" w:cs="Arial"/>
          <w:b/>
          <w:bCs/>
          <w:iCs/>
          <w:sz w:val="16"/>
          <w:szCs w:val="16"/>
          <w:lang w:val="es-CO"/>
        </w:rPr>
        <w:t>. “</w:t>
      </w:r>
      <w:r w:rsidRPr="00FD7B13">
        <w:rPr>
          <w:rFonts w:ascii="Verdana" w:hAnsi="Verdana" w:cs="Arial"/>
          <w:iCs/>
          <w:sz w:val="16"/>
          <w:szCs w:val="16"/>
          <w:lang w:val="es-CO"/>
        </w:rPr>
        <w:t>Las palabras de la ley se entenderán en su sentido natural y obvio, según el uso general de las mismas palabras; pero cuando el legislador las haya definido expresamente para ciertas materias, se les dará en éstas su significado legal”.</w:t>
      </w:r>
    </w:p>
    <w:p w14:paraId="7B762802" w14:textId="77777777" w:rsidR="00326475" w:rsidRPr="00FD7B13" w:rsidRDefault="00326475" w:rsidP="00326475">
      <w:pPr>
        <w:pStyle w:val="Textonotapie"/>
        <w:ind w:firstLine="708"/>
        <w:contextualSpacing/>
        <w:jc w:val="both"/>
        <w:rPr>
          <w:rFonts w:ascii="Verdana" w:hAnsi="Verdana" w:cs="Arial"/>
          <w:sz w:val="16"/>
          <w:szCs w:val="16"/>
          <w:lang w:val="es-CO"/>
        </w:rPr>
      </w:pPr>
      <w:r w:rsidRPr="00FD7B13">
        <w:rPr>
          <w:rFonts w:ascii="Verdana" w:hAnsi="Verdana" w:cs="Arial"/>
          <w:sz w:val="16"/>
          <w:szCs w:val="16"/>
          <w:lang w:val="es-CO"/>
        </w:rPr>
        <w:t>En virtud de esta disposición, las palabras de la ley deben interpretarse en su sentido natural y obvio, salvo que el legislador les haya dado un significado especial, pues en tal caso resulta claro que la definición legal vincula al operador jurídico.</w:t>
      </w:r>
    </w:p>
  </w:footnote>
  <w:footnote w:id="37">
    <w:p w14:paraId="7EE9D0BB" w14:textId="77777777" w:rsidR="00326475" w:rsidRPr="00FD7B13" w:rsidRDefault="00326475" w:rsidP="00326475">
      <w:pPr>
        <w:pStyle w:val="Textonotapie"/>
        <w:ind w:firstLine="708"/>
        <w:contextualSpacing/>
        <w:jc w:val="both"/>
        <w:rPr>
          <w:rFonts w:ascii="Verdana" w:hAnsi="Verdana"/>
          <w:sz w:val="16"/>
          <w:szCs w:val="16"/>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sz w:val="16"/>
          <w:szCs w:val="16"/>
          <w:lang w:val="es-CO"/>
        </w:rPr>
        <w:t xml:space="preserve">OSORIO ARTURO, Edna Lorena. Asociaciones Público – Privadas en Colombia. El contrato de APP. Una mirada legal – Infraestructura Social – Hospitales. Página </w:t>
      </w:r>
      <w:r w:rsidRPr="00FD7B13">
        <w:rPr>
          <w:rFonts w:ascii="Verdana" w:hAnsi="Verdana"/>
          <w:sz w:val="16"/>
          <w:szCs w:val="16"/>
        </w:rPr>
        <w:t>186</w:t>
      </w:r>
    </w:p>
  </w:footnote>
  <w:footnote w:id="38">
    <w:p w14:paraId="6AF98773" w14:textId="77777777" w:rsidR="00326475" w:rsidRPr="00FD7B13" w:rsidRDefault="00326475" w:rsidP="00326475">
      <w:pPr>
        <w:pStyle w:val="Textonotapie"/>
        <w:ind w:firstLine="708"/>
        <w:contextualSpacing/>
        <w:jc w:val="both"/>
        <w:rPr>
          <w:rFonts w:ascii="Verdana" w:hAnsi="Verdana"/>
          <w:sz w:val="16"/>
          <w:szCs w:val="16"/>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sz w:val="16"/>
          <w:szCs w:val="16"/>
          <w:lang w:val="es-CO"/>
        </w:rPr>
        <w:t xml:space="preserve">OSORIO ARTURO, Edna Lorena. Asociaciones Público – Privadas en Colombia. El contrato de APP. Una mirada legal – Infraestructura Social – Hospitales. Página </w:t>
      </w:r>
      <w:r w:rsidRPr="00FD7B13">
        <w:rPr>
          <w:rFonts w:ascii="Verdana" w:hAnsi="Verdana"/>
          <w:sz w:val="16"/>
          <w:szCs w:val="16"/>
        </w:rPr>
        <w:t xml:space="preserve">186. </w:t>
      </w:r>
    </w:p>
  </w:footnote>
  <w:footnote w:id="39">
    <w:p w14:paraId="01CE27D0" w14:textId="77777777" w:rsidR="00326475" w:rsidRPr="00FD7B13" w:rsidRDefault="00326475" w:rsidP="00326475">
      <w:pPr>
        <w:pStyle w:val="Textonotapie"/>
        <w:ind w:firstLine="709"/>
        <w:jc w:val="both"/>
        <w:rPr>
          <w:rFonts w:ascii="Verdana" w:hAnsi="Verdana"/>
          <w:sz w:val="16"/>
          <w:szCs w:val="16"/>
          <w:lang w:val="es-ES_tradnl"/>
        </w:rPr>
      </w:pPr>
      <w:r w:rsidRPr="00FD7B13">
        <w:rPr>
          <w:rStyle w:val="Refdenotaalpie"/>
          <w:rFonts w:ascii="Verdana" w:hAnsi="Verdana"/>
          <w:sz w:val="16"/>
          <w:szCs w:val="16"/>
        </w:rPr>
        <w:footnoteRef/>
      </w:r>
      <w:r w:rsidRPr="00FD7B13">
        <w:rPr>
          <w:rFonts w:ascii="Verdana" w:hAnsi="Verdana"/>
          <w:sz w:val="16"/>
          <w:szCs w:val="16"/>
        </w:rPr>
        <w:t xml:space="preserve"> </w:t>
      </w:r>
      <w:r w:rsidRPr="00FD7B13">
        <w:rPr>
          <w:rFonts w:ascii="Verdana" w:hAnsi="Verdana"/>
          <w:sz w:val="16"/>
          <w:szCs w:val="16"/>
          <w:lang w:val="es-ES_tradnl"/>
        </w:rPr>
        <w:t>Artículos 23 y 24 de la Ley 80 de 1993 y artículo 5 de la Ley 1150 de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39675BC"/>
    <w:multiLevelType w:val="hybridMultilevel"/>
    <w:tmpl w:val="B5DC7236"/>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DE5CCA"/>
    <w:multiLevelType w:val="hybridMultilevel"/>
    <w:tmpl w:val="6F56A0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F5754C"/>
    <w:multiLevelType w:val="hybridMultilevel"/>
    <w:tmpl w:val="705AB7DA"/>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6BA1D2F"/>
    <w:multiLevelType w:val="hybridMultilevel"/>
    <w:tmpl w:val="960E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2B0E16"/>
    <w:multiLevelType w:val="hybridMultilevel"/>
    <w:tmpl w:val="0E96F60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948779781">
    <w:abstractNumId w:val="7"/>
  </w:num>
  <w:num w:numId="2" w16cid:durableId="19822139">
    <w:abstractNumId w:val="1"/>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6"/>
  </w:num>
  <w:num w:numId="7" w16cid:durableId="1946422806">
    <w:abstractNumId w:val="6"/>
  </w:num>
  <w:num w:numId="8" w16cid:durableId="152644682">
    <w:abstractNumId w:val="15"/>
  </w:num>
  <w:num w:numId="9" w16cid:durableId="1317221377">
    <w:abstractNumId w:val="8"/>
  </w:num>
  <w:num w:numId="10" w16cid:durableId="1471245386">
    <w:abstractNumId w:val="14"/>
  </w:num>
  <w:num w:numId="11" w16cid:durableId="289172385">
    <w:abstractNumId w:val="9"/>
  </w:num>
  <w:num w:numId="12" w16cid:durableId="1470781324">
    <w:abstractNumId w:val="0"/>
  </w:num>
  <w:num w:numId="13" w16cid:durableId="1512908409">
    <w:abstractNumId w:val="3"/>
  </w:num>
  <w:num w:numId="14" w16cid:durableId="895897244">
    <w:abstractNumId w:val="17"/>
  </w:num>
  <w:num w:numId="15" w16cid:durableId="390349800">
    <w:abstractNumId w:val="13"/>
  </w:num>
  <w:num w:numId="16" w16cid:durableId="153255849">
    <w:abstractNumId w:val="11"/>
  </w:num>
  <w:num w:numId="17" w16cid:durableId="410347328">
    <w:abstractNumId w:val="2"/>
  </w:num>
  <w:num w:numId="18" w16cid:durableId="1657416961">
    <w:abstractNumId w:val="4"/>
  </w:num>
  <w:num w:numId="19" w16cid:durableId="2077584637">
    <w:abstractNumId w:val="18"/>
  </w:num>
  <w:num w:numId="20" w16cid:durableId="1221088439">
    <w:abstractNumId w:val="10"/>
  </w:num>
  <w:num w:numId="21" w16cid:durableId="1766344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0F50"/>
    <w:rsid w:val="00046945"/>
    <w:rsid w:val="00061B2A"/>
    <w:rsid w:val="00082362"/>
    <w:rsid w:val="000839F0"/>
    <w:rsid w:val="000A683E"/>
    <w:rsid w:val="000B19B9"/>
    <w:rsid w:val="000D0334"/>
    <w:rsid w:val="000D5DA7"/>
    <w:rsid w:val="000F6486"/>
    <w:rsid w:val="00102E4F"/>
    <w:rsid w:val="00116940"/>
    <w:rsid w:val="00122807"/>
    <w:rsid w:val="00125105"/>
    <w:rsid w:val="00127233"/>
    <w:rsid w:val="0015699B"/>
    <w:rsid w:val="00172CC6"/>
    <w:rsid w:val="001A33BF"/>
    <w:rsid w:val="001E4177"/>
    <w:rsid w:val="001F0B24"/>
    <w:rsid w:val="001F7DC6"/>
    <w:rsid w:val="00203E5A"/>
    <w:rsid w:val="00211B92"/>
    <w:rsid w:val="0022210B"/>
    <w:rsid w:val="0022400B"/>
    <w:rsid w:val="00233121"/>
    <w:rsid w:val="002421BB"/>
    <w:rsid w:val="00251763"/>
    <w:rsid w:val="0025796E"/>
    <w:rsid w:val="002707A2"/>
    <w:rsid w:val="002951A0"/>
    <w:rsid w:val="002962BC"/>
    <w:rsid w:val="002A093D"/>
    <w:rsid w:val="002A0DD0"/>
    <w:rsid w:val="002A49AC"/>
    <w:rsid w:val="002A64FD"/>
    <w:rsid w:val="002B11A3"/>
    <w:rsid w:val="002C65F3"/>
    <w:rsid w:val="002C7A84"/>
    <w:rsid w:val="002E2BF8"/>
    <w:rsid w:val="002E4FD9"/>
    <w:rsid w:val="0030657A"/>
    <w:rsid w:val="00322A85"/>
    <w:rsid w:val="00324168"/>
    <w:rsid w:val="00326475"/>
    <w:rsid w:val="00330834"/>
    <w:rsid w:val="003448F4"/>
    <w:rsid w:val="0037123D"/>
    <w:rsid w:val="00374F5E"/>
    <w:rsid w:val="00377E3E"/>
    <w:rsid w:val="003A779E"/>
    <w:rsid w:val="003B1226"/>
    <w:rsid w:val="003D0F4D"/>
    <w:rsid w:val="003D5B0D"/>
    <w:rsid w:val="003E0499"/>
    <w:rsid w:val="003E4F80"/>
    <w:rsid w:val="003E6439"/>
    <w:rsid w:val="003F3941"/>
    <w:rsid w:val="00406575"/>
    <w:rsid w:val="0040722D"/>
    <w:rsid w:val="00414C74"/>
    <w:rsid w:val="0042722E"/>
    <w:rsid w:val="0044528D"/>
    <w:rsid w:val="004472C7"/>
    <w:rsid w:val="00466E39"/>
    <w:rsid w:val="004A0E21"/>
    <w:rsid w:val="004A1847"/>
    <w:rsid w:val="004A305D"/>
    <w:rsid w:val="004B4ED2"/>
    <w:rsid w:val="004F21C4"/>
    <w:rsid w:val="004F685F"/>
    <w:rsid w:val="005566E8"/>
    <w:rsid w:val="00565A9B"/>
    <w:rsid w:val="00574867"/>
    <w:rsid w:val="00591460"/>
    <w:rsid w:val="005A65E0"/>
    <w:rsid w:val="005B75C9"/>
    <w:rsid w:val="005C3777"/>
    <w:rsid w:val="005C5CDC"/>
    <w:rsid w:val="005D476C"/>
    <w:rsid w:val="006200BF"/>
    <w:rsid w:val="006219F8"/>
    <w:rsid w:val="006302F7"/>
    <w:rsid w:val="00646B9F"/>
    <w:rsid w:val="00665D70"/>
    <w:rsid w:val="00667BDC"/>
    <w:rsid w:val="006900D9"/>
    <w:rsid w:val="006D2879"/>
    <w:rsid w:val="00706C16"/>
    <w:rsid w:val="007340C3"/>
    <w:rsid w:val="0075235A"/>
    <w:rsid w:val="00756841"/>
    <w:rsid w:val="007649AB"/>
    <w:rsid w:val="00771D0C"/>
    <w:rsid w:val="007833AC"/>
    <w:rsid w:val="007975DF"/>
    <w:rsid w:val="007A53AE"/>
    <w:rsid w:val="007B268C"/>
    <w:rsid w:val="007B7171"/>
    <w:rsid w:val="007C0C0F"/>
    <w:rsid w:val="007C1E86"/>
    <w:rsid w:val="007C3DC2"/>
    <w:rsid w:val="007E5497"/>
    <w:rsid w:val="00806F5F"/>
    <w:rsid w:val="00820278"/>
    <w:rsid w:val="008258C9"/>
    <w:rsid w:val="00830386"/>
    <w:rsid w:val="00842C83"/>
    <w:rsid w:val="00844AE9"/>
    <w:rsid w:val="00867F95"/>
    <w:rsid w:val="008843B6"/>
    <w:rsid w:val="00891928"/>
    <w:rsid w:val="008A3B9A"/>
    <w:rsid w:val="008A446D"/>
    <w:rsid w:val="008B25F1"/>
    <w:rsid w:val="008D180B"/>
    <w:rsid w:val="008F0EA7"/>
    <w:rsid w:val="00923EEF"/>
    <w:rsid w:val="009419F9"/>
    <w:rsid w:val="0095685E"/>
    <w:rsid w:val="00961B09"/>
    <w:rsid w:val="00962E4A"/>
    <w:rsid w:val="00965334"/>
    <w:rsid w:val="0097093E"/>
    <w:rsid w:val="00980DA5"/>
    <w:rsid w:val="009840F1"/>
    <w:rsid w:val="009A0DFA"/>
    <w:rsid w:val="009A1C6F"/>
    <w:rsid w:val="009B2D26"/>
    <w:rsid w:val="009C71FA"/>
    <w:rsid w:val="009C72E7"/>
    <w:rsid w:val="009C7F7E"/>
    <w:rsid w:val="009D3058"/>
    <w:rsid w:val="009F3A13"/>
    <w:rsid w:val="00A122D3"/>
    <w:rsid w:val="00A14468"/>
    <w:rsid w:val="00A17F13"/>
    <w:rsid w:val="00A20739"/>
    <w:rsid w:val="00A23AF9"/>
    <w:rsid w:val="00A24675"/>
    <w:rsid w:val="00A33C78"/>
    <w:rsid w:val="00AB0ADB"/>
    <w:rsid w:val="00B00C0E"/>
    <w:rsid w:val="00B01B1A"/>
    <w:rsid w:val="00B0381D"/>
    <w:rsid w:val="00B44A47"/>
    <w:rsid w:val="00B72CD3"/>
    <w:rsid w:val="00B72FFF"/>
    <w:rsid w:val="00BC3D36"/>
    <w:rsid w:val="00BD54A6"/>
    <w:rsid w:val="00BD7F72"/>
    <w:rsid w:val="00BF7425"/>
    <w:rsid w:val="00C044BD"/>
    <w:rsid w:val="00C04FB3"/>
    <w:rsid w:val="00C11D8B"/>
    <w:rsid w:val="00C15139"/>
    <w:rsid w:val="00C330EB"/>
    <w:rsid w:val="00C50D69"/>
    <w:rsid w:val="00C5365C"/>
    <w:rsid w:val="00C754BE"/>
    <w:rsid w:val="00C76B1C"/>
    <w:rsid w:val="00C925AC"/>
    <w:rsid w:val="00CB3B40"/>
    <w:rsid w:val="00CB6357"/>
    <w:rsid w:val="00CC1B26"/>
    <w:rsid w:val="00D17A7F"/>
    <w:rsid w:val="00D361FD"/>
    <w:rsid w:val="00D423A2"/>
    <w:rsid w:val="00D44E26"/>
    <w:rsid w:val="00D520D8"/>
    <w:rsid w:val="00D63AC2"/>
    <w:rsid w:val="00D7383B"/>
    <w:rsid w:val="00D7788A"/>
    <w:rsid w:val="00DA231B"/>
    <w:rsid w:val="00DC39FC"/>
    <w:rsid w:val="00DF5254"/>
    <w:rsid w:val="00DF751B"/>
    <w:rsid w:val="00E01785"/>
    <w:rsid w:val="00E01BCF"/>
    <w:rsid w:val="00E02524"/>
    <w:rsid w:val="00E16408"/>
    <w:rsid w:val="00E20894"/>
    <w:rsid w:val="00E245AB"/>
    <w:rsid w:val="00E2764C"/>
    <w:rsid w:val="00E27F2E"/>
    <w:rsid w:val="00E50AFE"/>
    <w:rsid w:val="00E75C92"/>
    <w:rsid w:val="00E76503"/>
    <w:rsid w:val="00E771DC"/>
    <w:rsid w:val="00E8772A"/>
    <w:rsid w:val="00E90F6B"/>
    <w:rsid w:val="00E92C27"/>
    <w:rsid w:val="00EA0E3D"/>
    <w:rsid w:val="00EC38A7"/>
    <w:rsid w:val="00EC524F"/>
    <w:rsid w:val="00EE1AA8"/>
    <w:rsid w:val="00F23FEA"/>
    <w:rsid w:val="00F31EDC"/>
    <w:rsid w:val="00F404BC"/>
    <w:rsid w:val="00F462B3"/>
    <w:rsid w:val="00F54D0D"/>
    <w:rsid w:val="00F5664F"/>
    <w:rsid w:val="00F62047"/>
    <w:rsid w:val="00F664E6"/>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26475"/>
    <w:pPr>
      <w:spacing w:after="0"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26475"/>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uitragolawyers@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4973182C-6B60-4B30-BD9A-49DA9D838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F8B801-2D23-E64A-A6F9-5B53C985A812}">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15</TotalTime>
  <Pages>31</Pages>
  <Words>11066</Words>
  <Characters>60866</Characters>
  <Application>Microsoft Office Word</Application>
  <DocSecurity>0</DocSecurity>
  <Lines>507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71789</CharactersWithSpaces>
  <SharedDoc>false</SharedDoc>
  <HLinks>
    <vt:vector size="36" baseType="variant">
      <vt:variant>
        <vt:i4>2424881</vt:i4>
      </vt:variant>
      <vt:variant>
        <vt:i4>15</vt:i4>
      </vt:variant>
      <vt:variant>
        <vt:i4>0</vt:i4>
      </vt:variant>
      <vt:variant>
        <vt:i4>5</vt:i4>
      </vt:variant>
      <vt:variant>
        <vt:lpwstr>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vt:lpwstr>
      </vt:variant>
      <vt:variant>
        <vt:lpwstr/>
      </vt:variant>
      <vt:variant>
        <vt:i4>2162795</vt:i4>
      </vt:variant>
      <vt:variant>
        <vt:i4>12</vt:i4>
      </vt:variant>
      <vt:variant>
        <vt:i4>0</vt:i4>
      </vt:variant>
      <vt:variant>
        <vt:i4>5</vt:i4>
      </vt:variant>
      <vt:variant>
        <vt:lpwstr>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vt:lpwstr>
      </vt:variant>
      <vt:variant>
        <vt:lpwstr/>
      </vt:variant>
      <vt:variant>
        <vt:i4>2097259</vt:i4>
      </vt:variant>
      <vt:variant>
        <vt:i4>9</vt:i4>
      </vt:variant>
      <vt:variant>
        <vt:i4>0</vt:i4>
      </vt:variant>
      <vt:variant>
        <vt:i4>5</vt:i4>
      </vt:variant>
      <vt:variant>
        <vt:lpwstr>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vt:lpwstr>
      </vt:variant>
      <vt:variant>
        <vt:lpwstr/>
      </vt:variant>
      <vt:variant>
        <vt:i4>3145838</vt:i4>
      </vt:variant>
      <vt:variant>
        <vt:i4>6</vt:i4>
      </vt:variant>
      <vt:variant>
        <vt:i4>0</vt:i4>
      </vt:variant>
      <vt:variant>
        <vt:i4>5</vt:i4>
      </vt:variant>
      <vt:variant>
        <vt:lpwstr>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1376298</vt:i4>
      </vt:variant>
      <vt:variant>
        <vt:i4>0</vt:i4>
      </vt:variant>
      <vt:variant>
        <vt:i4>0</vt:i4>
      </vt:variant>
      <vt:variant>
        <vt:i4>5</vt:i4>
      </vt:variant>
      <vt:variant>
        <vt:lpwstr>mailto:buitragolawyers@gmail.com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2026-08-27T23:58:00Z</dcterms:created>
  <dcterms:modified xsi:type="dcterms:W3CDTF">2026-08-28T18:30:00Z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