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101D1" w14:textId="77777777" w:rsidR="009C15D0" w:rsidRPr="008211E7" w:rsidRDefault="009C15D0" w:rsidP="009C15D0">
      <w:pPr>
        <w:spacing w:after="0" w:line="240" w:lineRule="auto"/>
        <w:jc w:val="both"/>
        <w:rPr>
          <w:rFonts w:ascii="Verdana" w:hAnsi="Verdana" w:cs="Arial"/>
          <w:b/>
          <w:lang w:val="es-ES_tradnl" w:eastAsia="es-ES"/>
        </w:rPr>
      </w:pPr>
      <w:r w:rsidRPr="008211E7">
        <w:rPr>
          <w:rFonts w:ascii="Verdana" w:hAnsi="Verdana" w:cs="Arial"/>
          <w:b/>
          <w:lang w:val="es-ES_tradnl" w:eastAsia="es-ES"/>
        </w:rPr>
        <w:t xml:space="preserve">LIQUIDACIÓN DEL CONTRATO – Definición – Objetivo </w:t>
      </w:r>
    </w:p>
    <w:p w14:paraId="1D7FAE28" w14:textId="77777777" w:rsidR="009C15D0" w:rsidRPr="008211E7" w:rsidRDefault="009C15D0" w:rsidP="009C15D0">
      <w:pPr>
        <w:spacing w:after="0" w:line="240" w:lineRule="auto"/>
        <w:jc w:val="both"/>
        <w:rPr>
          <w:rFonts w:ascii="Verdana" w:hAnsi="Verdana" w:cs="Arial"/>
          <w:b/>
          <w:sz w:val="20"/>
          <w:szCs w:val="20"/>
          <w:lang w:val="es-ES_tradnl" w:eastAsia="es-ES"/>
        </w:rPr>
      </w:pPr>
    </w:p>
    <w:p w14:paraId="2F1C0192" w14:textId="01961482" w:rsidR="00917600" w:rsidRDefault="00917600" w:rsidP="009C15D0">
      <w:pPr>
        <w:spacing w:after="0" w:line="240" w:lineRule="auto"/>
        <w:jc w:val="both"/>
        <w:rPr>
          <w:rFonts w:ascii="Verdana" w:hAnsi="Verdana" w:cs="Arial"/>
          <w:sz w:val="20"/>
          <w:szCs w:val="20"/>
          <w:lang w:val="es-ES_tradnl"/>
        </w:rPr>
      </w:pPr>
      <w:r w:rsidRPr="00917600">
        <w:rPr>
          <w:rFonts w:ascii="Verdana" w:hAnsi="Verdana" w:cs="Arial"/>
          <w:sz w:val="20"/>
          <w:szCs w:val="20"/>
          <w:lang w:val="es-ES_tradnl"/>
        </w:rPr>
        <w:t xml:space="preserve">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liquidar supone un ajuste en relación con las cuentas y el estado de cumplimiento del contrato estatal y, por el otro, que la liquidación debe incluir el análisis de las condiciones de calidad y oportunidad en la entrega de los bienes, obras o servicios, así como el balance económico y el comportamiento financiero del negocio. </w:t>
      </w:r>
    </w:p>
    <w:p w14:paraId="7871C9F2" w14:textId="77777777" w:rsidR="009C15D0" w:rsidRPr="008211E7" w:rsidRDefault="009C15D0" w:rsidP="009C15D0">
      <w:pPr>
        <w:spacing w:after="0" w:line="240" w:lineRule="auto"/>
        <w:jc w:val="both"/>
        <w:rPr>
          <w:rFonts w:ascii="Verdana" w:hAnsi="Verdana" w:cs="Arial"/>
          <w:sz w:val="20"/>
          <w:szCs w:val="20"/>
          <w:lang w:val="es-ES_tradnl" w:eastAsia="es-ES"/>
        </w:rPr>
      </w:pPr>
    </w:p>
    <w:p w14:paraId="405D3064" w14:textId="77777777" w:rsidR="009C15D0" w:rsidRPr="008211E7" w:rsidRDefault="009C15D0" w:rsidP="009C15D0">
      <w:pPr>
        <w:spacing w:after="0" w:line="240" w:lineRule="auto"/>
        <w:jc w:val="both"/>
        <w:rPr>
          <w:rFonts w:ascii="Verdana" w:hAnsi="Verdana" w:cs="Arial"/>
          <w:b/>
          <w:lang w:val="es-ES_tradnl" w:eastAsia="es-ES"/>
        </w:rPr>
      </w:pPr>
      <w:r w:rsidRPr="008211E7">
        <w:rPr>
          <w:rFonts w:ascii="Verdana" w:hAnsi="Verdana" w:cs="Arial"/>
          <w:b/>
          <w:lang w:val="es-ES_tradnl" w:eastAsia="es-ES"/>
        </w:rPr>
        <w:t xml:space="preserve">LIQUIDACIÓN DEL CONTRATO – Normativa </w:t>
      </w:r>
    </w:p>
    <w:p w14:paraId="52164052" w14:textId="77777777" w:rsidR="009C15D0" w:rsidRPr="008211E7" w:rsidRDefault="009C15D0" w:rsidP="009C15D0">
      <w:pPr>
        <w:spacing w:after="0" w:line="240" w:lineRule="auto"/>
        <w:jc w:val="both"/>
        <w:rPr>
          <w:rFonts w:ascii="Verdana" w:hAnsi="Verdana" w:cs="Arial"/>
          <w:sz w:val="20"/>
          <w:szCs w:val="20"/>
          <w:lang w:val="es-ES_tradnl" w:eastAsia="es-ES"/>
        </w:rPr>
      </w:pPr>
    </w:p>
    <w:p w14:paraId="3AAE7B62" w14:textId="77777777" w:rsidR="009C15D0" w:rsidRPr="008211E7" w:rsidRDefault="009C15D0" w:rsidP="009C15D0">
      <w:pPr>
        <w:spacing w:after="0" w:line="240" w:lineRule="auto"/>
        <w:jc w:val="both"/>
        <w:rPr>
          <w:rFonts w:ascii="Verdana" w:hAnsi="Verdana" w:cs="Arial"/>
          <w:sz w:val="20"/>
          <w:szCs w:val="20"/>
          <w:lang w:val="es-ES_tradnl" w:eastAsia="es-ES"/>
        </w:rPr>
      </w:pPr>
      <w:r w:rsidRPr="008211E7">
        <w:rPr>
          <w:rFonts w:ascii="Verdana" w:hAnsi="Verdana" w:cs="Arial"/>
          <w:sz w:val="20"/>
          <w:szCs w:val="20"/>
          <w:lang w:val="es-ES_tradnl" w:eastAsia="es-ES"/>
        </w:rPr>
        <w:t xml:space="preserve">Las disposiciones legales que regulan la etapa de liquidación de los contratos estatales son: el artículo 60 de la Ley 80 de 1993, modificado por el artículo 217 del Decreto 019 de 2012, y el artículo 11 de la Ley 1150 de 2007. El primero de estos artículos se refiere al alcance sustantivo de la liquidación, mientras que el segundo contiene reglas procedimentales para su realización. De acuerdo con el artículo 60 de la Ley 80 de 1993, los contratos de tracto sucesivo, aquellos cuyo cumplimiento o ejecución se prolongue en el tiempo y los demás que lo requieran </w:t>
      </w:r>
      <w:r>
        <w:rPr>
          <w:rFonts w:ascii="Verdana" w:hAnsi="Verdana" w:cs="Arial"/>
          <w:sz w:val="20"/>
          <w:szCs w:val="20"/>
          <w:lang w:val="es-ES_tradnl" w:eastAsia="es-ES"/>
        </w:rPr>
        <w:t>“</w:t>
      </w:r>
      <w:r w:rsidRPr="008211E7">
        <w:rPr>
          <w:rFonts w:ascii="Verdana" w:hAnsi="Verdana" w:cs="Arial"/>
          <w:sz w:val="20"/>
          <w:szCs w:val="20"/>
          <w:lang w:val="es-ES_tradnl" w:eastAsia="es-ES"/>
        </w:rPr>
        <w:t>serán objeto de liquidación</w:t>
      </w:r>
      <w:r>
        <w:rPr>
          <w:rFonts w:ascii="Verdana" w:hAnsi="Verdana" w:cs="Arial"/>
          <w:sz w:val="20"/>
          <w:szCs w:val="20"/>
          <w:lang w:val="es-ES_tradnl" w:eastAsia="es-ES"/>
        </w:rPr>
        <w:t>”</w:t>
      </w:r>
      <w:r w:rsidRPr="008211E7">
        <w:rPr>
          <w:rFonts w:ascii="Verdana" w:hAnsi="Verdana" w:cs="Arial"/>
          <w:sz w:val="20"/>
          <w:szCs w:val="20"/>
          <w:lang w:val="es-ES_tradnl" w:eastAsia="es-ES"/>
        </w:rPr>
        <w:t>. El mismo artículo prescribe que no será obligatoria la liquidación en los contratos de prestación de servicios profesionales y de apoyo a la gestión. El artículo 11 de la Ley 1150 de 2007 contiene las reglas de tipo procedimental para liquidar los contratos estatales, […].</w:t>
      </w:r>
    </w:p>
    <w:p w14:paraId="52C0202A" w14:textId="77777777" w:rsidR="009C15D0" w:rsidRPr="008211E7" w:rsidRDefault="009C15D0" w:rsidP="009C15D0">
      <w:pPr>
        <w:spacing w:after="0" w:line="240" w:lineRule="auto"/>
        <w:jc w:val="both"/>
        <w:rPr>
          <w:rFonts w:ascii="Verdana" w:hAnsi="Verdana" w:cs="Arial"/>
          <w:b/>
          <w:sz w:val="20"/>
          <w:szCs w:val="20"/>
          <w:lang w:val="es-ES_tradnl" w:eastAsia="es-ES"/>
        </w:rPr>
      </w:pPr>
    </w:p>
    <w:p w14:paraId="2F9EC2A0" w14:textId="77777777" w:rsidR="009C15D0" w:rsidRPr="008211E7" w:rsidRDefault="009C15D0" w:rsidP="009C15D0">
      <w:pPr>
        <w:spacing w:after="0" w:line="240" w:lineRule="auto"/>
        <w:jc w:val="both"/>
        <w:rPr>
          <w:rFonts w:ascii="Verdana" w:hAnsi="Verdana" w:cs="Arial"/>
          <w:b/>
          <w:lang w:val="es-ES_tradnl" w:eastAsia="es-ES"/>
        </w:rPr>
      </w:pPr>
      <w:r w:rsidRPr="008211E7">
        <w:rPr>
          <w:rFonts w:ascii="Verdana" w:hAnsi="Verdana" w:cs="Arial"/>
          <w:b/>
          <w:lang w:val="es-ES_tradnl" w:eastAsia="es-ES"/>
        </w:rPr>
        <w:t>LIQUIDACIÓN DEL CONTRATO – Tipos – Bilateral – Unilateral – Judicial</w:t>
      </w:r>
    </w:p>
    <w:p w14:paraId="789D4605" w14:textId="77777777" w:rsidR="009C15D0" w:rsidRPr="008211E7" w:rsidRDefault="009C15D0" w:rsidP="009C15D0">
      <w:pPr>
        <w:spacing w:after="0" w:line="240" w:lineRule="auto"/>
        <w:jc w:val="both"/>
        <w:rPr>
          <w:rFonts w:ascii="Verdana" w:hAnsi="Verdana" w:cs="Arial"/>
          <w:b/>
          <w:sz w:val="20"/>
          <w:szCs w:val="20"/>
          <w:lang w:val="es-ES_tradnl" w:eastAsia="es-ES"/>
        </w:rPr>
      </w:pPr>
    </w:p>
    <w:p w14:paraId="44941C1C" w14:textId="77777777" w:rsidR="009C15D0" w:rsidRPr="008211E7" w:rsidRDefault="009C15D0" w:rsidP="009C15D0">
      <w:pPr>
        <w:spacing w:after="0" w:line="240" w:lineRule="auto"/>
        <w:jc w:val="both"/>
        <w:rPr>
          <w:rFonts w:ascii="Verdana" w:hAnsi="Verdana" w:cs="Arial"/>
          <w:sz w:val="20"/>
          <w:szCs w:val="20"/>
          <w:lang w:val="es-ES" w:eastAsia="es-ES"/>
        </w:rPr>
      </w:pPr>
      <w:r w:rsidRPr="7F5332F4">
        <w:rPr>
          <w:rFonts w:ascii="Verdana" w:hAnsi="Verdana" w:cs="Arial"/>
          <w:sz w:val="20"/>
          <w:szCs w:val="20"/>
          <w:lang w:val="es-ES" w:eastAsia="es-ES"/>
        </w:rPr>
        <w:t xml:space="preserve">En suma, de acuerdo con el artículo 11 de la Ley 1150 de 2007, existen tres tipos de liquidación: i) bilateral, </w:t>
      </w:r>
      <w:proofErr w:type="spellStart"/>
      <w:r w:rsidRPr="7F5332F4">
        <w:rPr>
          <w:rFonts w:ascii="Verdana" w:hAnsi="Verdana" w:cs="Arial"/>
          <w:sz w:val="20"/>
          <w:szCs w:val="20"/>
          <w:lang w:val="es-ES" w:eastAsia="es-ES"/>
        </w:rPr>
        <w:t>ii</w:t>
      </w:r>
      <w:proofErr w:type="spellEnd"/>
      <w:r w:rsidRPr="7F5332F4">
        <w:rPr>
          <w:rFonts w:ascii="Verdana" w:hAnsi="Verdana" w:cs="Arial"/>
          <w:sz w:val="20"/>
          <w:szCs w:val="20"/>
          <w:lang w:val="es-ES" w:eastAsia="es-ES"/>
        </w:rPr>
        <w:t xml:space="preserve">) unilateral y </w:t>
      </w:r>
      <w:proofErr w:type="spellStart"/>
      <w:r w:rsidRPr="7F5332F4">
        <w:rPr>
          <w:rFonts w:ascii="Verdana" w:hAnsi="Verdana" w:cs="Arial"/>
          <w:sz w:val="20"/>
          <w:szCs w:val="20"/>
          <w:lang w:val="es-ES" w:eastAsia="es-ES"/>
        </w:rPr>
        <w:t>iii</w:t>
      </w:r>
      <w:proofErr w:type="spellEnd"/>
      <w:r w:rsidRPr="7F5332F4">
        <w:rPr>
          <w:rFonts w:ascii="Verdana" w:hAnsi="Verdana" w:cs="Arial"/>
          <w:sz w:val="20"/>
          <w:szCs w:val="20"/>
          <w:lang w:val="es-ES" w:eastAsia="es-ES"/>
        </w:rPr>
        <w:t>) judicial. En términos generales, la primera, que puede ser total o parcial, debe hacerse en el término que estipulen las partes o, en su defecto, dentro del término supletivo de cuatro meses. La segunda se debe practicar dentro de los dos meses siguientes al vencimiento del término que acuerden las partes, o ante el silencio de estas, luego de los cuatro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ello, existe un plazo máximo de 2 años contados a partir de los dos meses establecidos en la Ley para realizar la liquidación unilateral.</w:t>
      </w:r>
    </w:p>
    <w:p w14:paraId="01074667" w14:textId="77777777" w:rsidR="009C15D0" w:rsidRPr="004A23CD" w:rsidRDefault="009C15D0" w:rsidP="009C15D0">
      <w:pPr>
        <w:spacing w:after="0" w:line="240" w:lineRule="auto"/>
        <w:jc w:val="both"/>
        <w:rPr>
          <w:rFonts w:ascii="Verdana" w:eastAsia="Calibri" w:hAnsi="Verdana" w:cs="Arial"/>
          <w:b/>
          <w:sz w:val="20"/>
          <w:szCs w:val="20"/>
        </w:rPr>
      </w:pPr>
    </w:p>
    <w:p w14:paraId="4FE95BCF" w14:textId="77777777" w:rsidR="00A4788D" w:rsidRDefault="00A4788D" w:rsidP="009C15D0">
      <w:pPr>
        <w:tabs>
          <w:tab w:val="left" w:pos="3374"/>
        </w:tabs>
        <w:spacing w:after="0" w:line="240" w:lineRule="auto"/>
        <w:jc w:val="both"/>
        <w:rPr>
          <w:rFonts w:ascii="Verdana" w:eastAsia="Calibri" w:hAnsi="Verdana" w:cs="Arial"/>
          <w:b/>
          <w:bCs/>
          <w:lang w:val="es-ES" w:eastAsia="es-ES"/>
        </w:rPr>
      </w:pPr>
      <w:r w:rsidRPr="00A4788D">
        <w:rPr>
          <w:rFonts w:ascii="Verdana" w:eastAsia="Calibri" w:hAnsi="Verdana" w:cs="Arial"/>
          <w:b/>
          <w:bCs/>
          <w:lang w:val="es-ES" w:eastAsia="es-ES"/>
        </w:rPr>
        <w:t xml:space="preserve">LIQUIDACIÓN DEL CONTRATO – Pérdida de competencia para liquidar – Notificación del auto admisorio de la demanda </w:t>
      </w:r>
    </w:p>
    <w:p w14:paraId="5933E767" w14:textId="77777777" w:rsidR="00A4788D" w:rsidRDefault="00A4788D" w:rsidP="009C15D0">
      <w:pPr>
        <w:tabs>
          <w:tab w:val="left" w:pos="3374"/>
        </w:tabs>
        <w:spacing w:after="0" w:line="240" w:lineRule="auto"/>
        <w:jc w:val="both"/>
        <w:rPr>
          <w:rFonts w:ascii="Verdana" w:eastAsia="Calibri" w:hAnsi="Verdana" w:cs="Arial"/>
          <w:b/>
          <w:bCs/>
          <w:lang w:val="es-ES" w:eastAsia="es-ES"/>
        </w:rPr>
      </w:pPr>
    </w:p>
    <w:p w14:paraId="5874B50B" w14:textId="5F119916" w:rsidR="00436BEC" w:rsidRDefault="00FD51F4" w:rsidP="00436BEC">
      <w:pPr>
        <w:tabs>
          <w:tab w:val="left" w:pos="3374"/>
        </w:tabs>
        <w:spacing w:after="0" w:line="240" w:lineRule="auto"/>
        <w:jc w:val="both"/>
        <w:rPr>
          <w:rFonts w:ascii="Verdana" w:hAnsi="Verdana" w:cs="Arial"/>
          <w:sz w:val="20"/>
          <w:szCs w:val="20"/>
          <w:lang w:val="es-ES" w:eastAsia="es-ES"/>
        </w:rPr>
      </w:pPr>
      <w:r>
        <w:rPr>
          <w:rFonts w:ascii="Verdana" w:hAnsi="Verdana" w:cs="Arial"/>
          <w:sz w:val="20"/>
          <w:szCs w:val="20"/>
          <w:lang w:val="es-ES" w:eastAsia="es-ES"/>
        </w:rPr>
        <w:t>L</w:t>
      </w:r>
      <w:r w:rsidR="00436BEC" w:rsidRPr="00436BEC">
        <w:rPr>
          <w:rFonts w:ascii="Verdana" w:hAnsi="Verdana" w:cs="Arial"/>
          <w:sz w:val="20"/>
          <w:szCs w:val="20"/>
          <w:lang w:val="es-ES" w:eastAsia="es-ES"/>
        </w:rPr>
        <w:t xml:space="preserve">as Subsecciones A y C de la Sección Tercera del Consejo de Estado comparten una postura diferente a la que sostenía la Subsección B. Mientras las primeras consideraban que la pérdida de competencia de la entidad estatal para efectuar la liquidación unilateral del contrato se producía con la notificación del auto admisorio de la demanda en que se </w:t>
      </w:r>
      <w:r w:rsidR="00436BEC" w:rsidRPr="00436BEC">
        <w:rPr>
          <w:rFonts w:ascii="Verdana" w:hAnsi="Verdana" w:cs="Arial"/>
          <w:sz w:val="20"/>
          <w:szCs w:val="20"/>
          <w:lang w:val="es-ES" w:eastAsia="es-ES"/>
        </w:rPr>
        <w:lastRenderedPageBreak/>
        <w:t>incorporen pretensiones de incumplimiento y de liquidación, la Subsección B sostenía que dicho efecto se materializaba desde la presentación de la demanda.</w:t>
      </w:r>
    </w:p>
    <w:p w14:paraId="1ECA1501" w14:textId="77777777" w:rsidR="00FD51F4" w:rsidRDefault="00FD51F4" w:rsidP="00436BEC">
      <w:pPr>
        <w:tabs>
          <w:tab w:val="left" w:pos="3374"/>
        </w:tabs>
        <w:spacing w:after="0" w:line="240" w:lineRule="auto"/>
        <w:jc w:val="both"/>
        <w:rPr>
          <w:rFonts w:ascii="Verdana" w:hAnsi="Verdana" w:cs="Arial"/>
          <w:sz w:val="20"/>
          <w:szCs w:val="20"/>
          <w:lang w:val="es-ES" w:eastAsia="es-ES"/>
        </w:rPr>
      </w:pPr>
    </w:p>
    <w:p w14:paraId="2C170D44" w14:textId="14FE12A7" w:rsidR="00FD51F4" w:rsidRDefault="00FD51F4" w:rsidP="00FD51F4">
      <w:pPr>
        <w:tabs>
          <w:tab w:val="left" w:pos="3374"/>
        </w:tabs>
        <w:spacing w:after="0" w:line="240" w:lineRule="auto"/>
        <w:jc w:val="both"/>
        <w:rPr>
          <w:rFonts w:ascii="Verdana" w:hAnsi="Verdana" w:cs="Arial"/>
          <w:sz w:val="20"/>
          <w:szCs w:val="20"/>
          <w:lang w:val="es-ES" w:eastAsia="es-ES"/>
        </w:rPr>
      </w:pPr>
      <w:r>
        <w:rPr>
          <w:rFonts w:ascii="Verdana" w:hAnsi="Verdana" w:cs="Arial"/>
          <w:sz w:val="20"/>
          <w:szCs w:val="20"/>
          <w:lang w:val="es-ES" w:eastAsia="es-ES"/>
        </w:rPr>
        <w:t xml:space="preserve">No obstante, </w:t>
      </w:r>
      <w:r w:rsidRPr="00FD51F4">
        <w:rPr>
          <w:rFonts w:ascii="Verdana" w:hAnsi="Verdana" w:cs="Arial"/>
          <w:sz w:val="20"/>
          <w:szCs w:val="20"/>
          <w:lang w:val="es-ES" w:eastAsia="es-ES"/>
        </w:rPr>
        <w:t xml:space="preserve">mediante auto del 27 de febrero de 2026, la Subsección B, acogió la línea interpretativa desarrollada por las Subsecciones A y C con el propósito de fijar un criterio uniforme de decisión y consecuencialmente brindar seguridad jurídica a la comunidad. Para sustentar este cambio de postura, expuso dos razones principales: en primer lugar, señaló que la presentación de la demanda no implica la existencia de una relación jurídica procesal, ya que cuando la demanda se inadmite o se rechaza no surge la relación procesal. En caso de la inadmisión es necesario esperar a que se subsane para efectos de dictar el auto admisorio correspondiente; pero si se rechaza de plano o por no haberse subsanado, la relación procesal no nace a la vida jurídica. Además, indicó que “una vez presentada una demanda, y antes de que se notifique a algún demandado o al Ministerio Público, es perfectamente posible retirarla, sin que dicha conducta implique la ocurrencia del fenómeno de la cosa juzgada”. </w:t>
      </w:r>
    </w:p>
    <w:p w14:paraId="7FA26B5F" w14:textId="77777777" w:rsidR="00FD51F4" w:rsidRPr="00FD51F4" w:rsidRDefault="00FD51F4" w:rsidP="00FD51F4">
      <w:pPr>
        <w:tabs>
          <w:tab w:val="left" w:pos="3374"/>
        </w:tabs>
        <w:spacing w:after="0" w:line="240" w:lineRule="auto"/>
        <w:jc w:val="both"/>
        <w:rPr>
          <w:rFonts w:ascii="Verdana" w:hAnsi="Verdana" w:cs="Arial"/>
          <w:sz w:val="20"/>
          <w:szCs w:val="20"/>
          <w:lang w:val="es-ES" w:eastAsia="es-ES"/>
        </w:rPr>
      </w:pPr>
    </w:p>
    <w:p w14:paraId="5FD1E06E" w14:textId="0B64B323" w:rsidR="00FD51F4" w:rsidRPr="00436BEC" w:rsidRDefault="00FD51F4" w:rsidP="00FD51F4">
      <w:pPr>
        <w:tabs>
          <w:tab w:val="left" w:pos="3374"/>
        </w:tabs>
        <w:spacing w:after="0" w:line="240" w:lineRule="auto"/>
        <w:jc w:val="both"/>
        <w:rPr>
          <w:rFonts w:ascii="Verdana" w:hAnsi="Verdana" w:cs="Arial"/>
          <w:sz w:val="20"/>
          <w:szCs w:val="20"/>
          <w:lang w:val="es-ES" w:eastAsia="es-ES"/>
        </w:rPr>
      </w:pPr>
      <w:r w:rsidRPr="00FD51F4">
        <w:rPr>
          <w:rFonts w:ascii="Verdana" w:hAnsi="Verdana" w:cs="Arial"/>
          <w:sz w:val="20"/>
          <w:szCs w:val="20"/>
          <w:lang w:val="es-ES" w:eastAsia="es-ES"/>
        </w:rPr>
        <w:t>En segundo lugar indicó que “solo se traba la litis cuando se notifica el auto admisorio de la demanda al extremo pasivo, y hay total certeza de que la relación jurídico procesal se ha originado, pues ya no es posible retirar la demanda, ni que esta sea rechazada”. Asimismo, señaló que con la notificación del auto admisorio de la demanda se vincula el extremo demandado al proceso, y el ejercicio del derecho de acción solo sirve para constituir la relación procesal “una vez la demanda se comunica o notifica a la contraparte”.</w:t>
      </w:r>
    </w:p>
    <w:p w14:paraId="6BD2A106" w14:textId="77777777" w:rsidR="00A4788D" w:rsidRPr="00A4788D" w:rsidRDefault="00A4788D" w:rsidP="009C15D0">
      <w:pPr>
        <w:tabs>
          <w:tab w:val="left" w:pos="3374"/>
        </w:tabs>
        <w:spacing w:after="0" w:line="240" w:lineRule="auto"/>
        <w:jc w:val="both"/>
        <w:rPr>
          <w:rFonts w:ascii="Verdana" w:eastAsia="Calibri" w:hAnsi="Verdana" w:cs="Arial"/>
          <w:b/>
          <w:bCs/>
          <w:lang w:val="es-ES" w:eastAsia="es-ES"/>
        </w:rPr>
      </w:pPr>
    </w:p>
    <w:p w14:paraId="32CE7276" w14:textId="77777777" w:rsidR="00A4788D" w:rsidRDefault="00A4788D" w:rsidP="009C15D0">
      <w:pPr>
        <w:tabs>
          <w:tab w:val="left" w:pos="3374"/>
        </w:tabs>
        <w:spacing w:after="0" w:line="240" w:lineRule="auto"/>
        <w:jc w:val="both"/>
        <w:rPr>
          <w:rFonts w:ascii="Verdana" w:eastAsia="Calibri" w:hAnsi="Verdana" w:cs="Arial"/>
          <w:b/>
          <w:bCs/>
          <w:lang w:val="es-ES" w:eastAsia="es-ES"/>
        </w:rPr>
      </w:pPr>
      <w:r w:rsidRPr="00A4788D">
        <w:rPr>
          <w:rFonts w:ascii="Verdana" w:eastAsia="Calibri" w:hAnsi="Verdana" w:cs="Arial"/>
          <w:b/>
          <w:bCs/>
          <w:lang w:val="es-ES" w:eastAsia="es-ES"/>
        </w:rPr>
        <w:t xml:space="preserve">LIQUIDACIÓN DEL CONTRATO – Competencia – Rectificación jurisprudencial – Cambio de línea – Alcance </w:t>
      </w:r>
    </w:p>
    <w:p w14:paraId="1B523280" w14:textId="77777777" w:rsidR="00683F0B" w:rsidRDefault="00683F0B" w:rsidP="00683F0B">
      <w:pPr>
        <w:tabs>
          <w:tab w:val="left" w:pos="3374"/>
        </w:tabs>
        <w:spacing w:after="0" w:line="240" w:lineRule="auto"/>
        <w:jc w:val="both"/>
        <w:rPr>
          <w:rFonts w:ascii="Verdana" w:eastAsia="Calibri" w:hAnsi="Verdana" w:cs="Arial"/>
          <w:b/>
          <w:bCs/>
          <w:lang w:val="es-ES" w:eastAsia="es-ES"/>
        </w:rPr>
      </w:pPr>
    </w:p>
    <w:p w14:paraId="0DEEE8DF" w14:textId="3A4CCC02" w:rsidR="00436BEC" w:rsidRDefault="001E43CE" w:rsidP="00683F0B">
      <w:pPr>
        <w:tabs>
          <w:tab w:val="left" w:pos="3374"/>
        </w:tabs>
        <w:spacing w:after="0" w:line="240" w:lineRule="auto"/>
        <w:jc w:val="both"/>
        <w:rPr>
          <w:rFonts w:ascii="Verdana" w:hAnsi="Verdana" w:cs="Arial"/>
          <w:sz w:val="20"/>
          <w:szCs w:val="20"/>
          <w:lang w:val="es-ES" w:eastAsia="es-ES"/>
        </w:rPr>
      </w:pPr>
      <w:r w:rsidRPr="008211E7">
        <w:rPr>
          <w:rFonts w:ascii="Verdana" w:hAnsi="Verdana" w:cs="Arial"/>
          <w:sz w:val="20"/>
          <w:szCs w:val="20"/>
          <w:lang w:val="es-ES_tradnl" w:eastAsia="es-ES"/>
        </w:rPr>
        <w:t>[…]</w:t>
      </w:r>
      <w:r>
        <w:rPr>
          <w:rFonts w:ascii="Verdana" w:hAnsi="Verdana" w:cs="Arial"/>
          <w:sz w:val="20"/>
          <w:szCs w:val="20"/>
          <w:lang w:val="es-ES_tradnl" w:eastAsia="es-ES"/>
        </w:rPr>
        <w:t xml:space="preserve"> </w:t>
      </w:r>
      <w:r w:rsidR="00436BEC" w:rsidRPr="00436BEC">
        <w:rPr>
          <w:rFonts w:ascii="Verdana" w:hAnsi="Verdana" w:cs="Arial"/>
          <w:sz w:val="20"/>
          <w:szCs w:val="20"/>
          <w:lang w:val="es-ES" w:eastAsia="es-ES"/>
        </w:rPr>
        <w:t>En este contexto, la Subsección B rectificó su jurisprudencia y se realineó con la posición sostenida por las Subsecciones A y C, en el sentido de que 'la entidad estatal pierde competencia para expedir actos administrativos de declaratoria de incumplimiento y liquidación del contrato, una vez que se le notifica el auto admisorio de la demanda presentada en contra de la propia entidad, siempre y cuando las pretensiones o los hechos correspondientes se refieran a los puntos específicos que dieron lugar al procedimiento administrativo de declaratoria de incumplimiento o de liquidación del contrato'. Conviene precisar que esta decisión constituye una rectificación de la jurisprudencia de la Subsección B —que la hace converger con las demás subsecciones—, y no una sentencia o auto de unificación jurisprudencial en los términos de los artículos 270 y 271 del CPACA, cuya expedición corresponde a la Sala Plena de la Sección o a la Sala Plena de lo Contencioso Administrativo</w:t>
      </w:r>
    </w:p>
    <w:p w14:paraId="1097D94A" w14:textId="77777777" w:rsidR="001E43CE" w:rsidRDefault="001E43CE" w:rsidP="00683F0B">
      <w:pPr>
        <w:tabs>
          <w:tab w:val="left" w:pos="3374"/>
        </w:tabs>
        <w:spacing w:after="0" w:line="240" w:lineRule="auto"/>
        <w:jc w:val="both"/>
        <w:rPr>
          <w:rFonts w:ascii="Verdana" w:hAnsi="Verdana" w:cs="Arial"/>
          <w:sz w:val="20"/>
          <w:szCs w:val="20"/>
          <w:lang w:val="es-ES" w:eastAsia="es-ES"/>
        </w:rPr>
      </w:pPr>
    </w:p>
    <w:p w14:paraId="04F574EA" w14:textId="0CEF7543" w:rsidR="001E43CE" w:rsidRPr="00436BEC" w:rsidRDefault="00FD51F4" w:rsidP="00683F0B">
      <w:pPr>
        <w:tabs>
          <w:tab w:val="left" w:pos="3374"/>
        </w:tabs>
        <w:spacing w:after="0" w:line="240" w:lineRule="auto"/>
        <w:jc w:val="both"/>
        <w:rPr>
          <w:rFonts w:ascii="Verdana" w:hAnsi="Verdana" w:cs="Arial"/>
          <w:sz w:val="20"/>
          <w:szCs w:val="20"/>
          <w:lang w:val="es-ES" w:eastAsia="es-ES"/>
        </w:rPr>
      </w:pPr>
      <w:r w:rsidRPr="00FD51F4">
        <w:rPr>
          <w:rFonts w:ascii="Verdana" w:hAnsi="Verdana" w:cs="Arial"/>
          <w:sz w:val="20"/>
          <w:szCs w:val="20"/>
          <w:lang w:val="es-ES" w:eastAsia="es-ES"/>
        </w:rPr>
        <w:t xml:space="preserve">Así las cosas, en atención a la rectificación jurisprudencial adoptada por la Subsección B —hoy convergente con la línea reiterada de las Subsecciones A y C—, esta Agencia replantea, con el fin de armonizarla con dicho criterio, la postura expuesta en el concepto C-326 de 2024 y en los demás en que sostuvo que la pérdida de competencia para liquidar se configuraba con la presentación de la demanda. En consecuencia, es claro </w:t>
      </w:r>
      <w:r w:rsidRPr="00FD51F4">
        <w:rPr>
          <w:rFonts w:ascii="Verdana" w:hAnsi="Verdana" w:cs="Arial"/>
          <w:sz w:val="20"/>
          <w:szCs w:val="20"/>
          <w:lang w:val="es-ES" w:eastAsia="es-ES"/>
        </w:rPr>
        <w:lastRenderedPageBreak/>
        <w:t>que la pérdida de competencia de la entidad estatal para adelantar la liquidación unilateral del contrato se configura a partir de la notificación del auto admisorio de la demanda cuando esta tenga por objeto, o incluya entre sus pretensiones, la liquidación judicial del negocio jurídico. A partir de ese momento, corresponde al juez del contrato conocer y decidir los aspectos relativos a la liquidación, en atención a que la competencia para pronunciarse sobre dicha materia se radica en la jurisdicción de lo contencioso administrativo.</w:t>
      </w:r>
    </w:p>
    <w:p w14:paraId="57A892D5" w14:textId="77777777" w:rsidR="00A4788D" w:rsidRPr="00A4788D" w:rsidRDefault="00A4788D" w:rsidP="009C15D0">
      <w:pPr>
        <w:tabs>
          <w:tab w:val="left" w:pos="3374"/>
        </w:tabs>
        <w:spacing w:after="0" w:line="240" w:lineRule="auto"/>
        <w:jc w:val="both"/>
        <w:rPr>
          <w:rFonts w:ascii="Verdana" w:eastAsia="Calibri" w:hAnsi="Verdana" w:cs="Arial"/>
          <w:b/>
          <w:bCs/>
          <w:lang w:val="es-ES" w:eastAsia="es-ES"/>
        </w:rPr>
      </w:pPr>
    </w:p>
    <w:p w14:paraId="2FC32711" w14:textId="3509E525" w:rsidR="00A4788D" w:rsidRPr="00A4788D" w:rsidRDefault="00A4788D" w:rsidP="009C15D0">
      <w:pPr>
        <w:tabs>
          <w:tab w:val="left" w:pos="3374"/>
        </w:tabs>
        <w:spacing w:after="0" w:line="240" w:lineRule="auto"/>
        <w:jc w:val="both"/>
        <w:rPr>
          <w:rFonts w:ascii="Verdana" w:eastAsia="Calibri" w:hAnsi="Verdana" w:cs="Arial"/>
          <w:b/>
          <w:bCs/>
          <w:lang w:val="es-ES" w:eastAsia="es-ES"/>
        </w:rPr>
      </w:pPr>
      <w:r w:rsidRPr="00A4788D">
        <w:rPr>
          <w:rFonts w:ascii="Verdana" w:eastAsia="Calibri" w:hAnsi="Verdana" w:cs="Arial"/>
          <w:b/>
          <w:bCs/>
          <w:lang w:val="es-ES" w:eastAsia="es-ES"/>
        </w:rPr>
        <w:t>GESTIÓN PRESUPUESTAL – Buena práctica contractual</w:t>
      </w:r>
    </w:p>
    <w:p w14:paraId="6574FC22" w14:textId="77777777" w:rsidR="00A4788D" w:rsidRDefault="00A4788D" w:rsidP="009C15D0">
      <w:pPr>
        <w:tabs>
          <w:tab w:val="left" w:pos="3374"/>
        </w:tabs>
        <w:spacing w:after="0" w:line="240" w:lineRule="auto"/>
        <w:jc w:val="both"/>
        <w:rPr>
          <w:rFonts w:ascii="Verdana" w:eastAsia="Calibri" w:hAnsi="Verdana" w:cs="Arial"/>
          <w:lang w:val="es-ES" w:eastAsia="es-ES"/>
        </w:rPr>
      </w:pPr>
    </w:p>
    <w:p w14:paraId="6CF3F503" w14:textId="77777777" w:rsidR="00683F0B" w:rsidRPr="008F6C0F" w:rsidRDefault="00683F0B" w:rsidP="00683F0B">
      <w:pPr>
        <w:snapToGrid w:val="0"/>
        <w:spacing w:after="0" w:line="240" w:lineRule="auto"/>
        <w:jc w:val="both"/>
        <w:rPr>
          <w:rFonts w:ascii="Verdana" w:eastAsia="Calibri" w:hAnsi="Verdana" w:cs="Arial"/>
          <w:sz w:val="20"/>
          <w:szCs w:val="20"/>
        </w:rPr>
      </w:pPr>
      <w:r w:rsidRPr="008F6C0F">
        <w:rPr>
          <w:rFonts w:ascii="Verdana" w:eastAsia="Calibri" w:hAnsi="Verdana" w:cs="Arial"/>
          <w:sz w:val="20"/>
          <w:szCs w:val="20"/>
        </w:rPr>
        <w:t>Finalmente, constituye una buena práctica administrativa que las entidades estatales regulen, en sus manuales o instrumentos internos de gestión financiera y presupuestal, el procedimiento para la liberación de saldos no ejecutados, en armonía con las normas presupuestales que les resulten aplicables. Ello contribuye a garantizar una adecuada administración de los recursos públicos, sin desconocer la obligación de prever los mecanismos presupuestales necesarios para atender las obligaciones que puedan derivarse de una eventual decisión judicial.</w:t>
      </w:r>
    </w:p>
    <w:p w14:paraId="7A3D82F5" w14:textId="77777777" w:rsidR="00A4788D" w:rsidRDefault="00A4788D" w:rsidP="009C15D0">
      <w:pPr>
        <w:spacing w:after="0" w:line="240" w:lineRule="auto"/>
        <w:rPr>
          <w:rFonts w:ascii="Verdana" w:eastAsia="Calibri" w:hAnsi="Verdana" w:cs="Arial"/>
          <w:b/>
          <w:bCs/>
        </w:rPr>
      </w:pPr>
    </w:p>
    <w:p w14:paraId="08646F5B" w14:textId="77777777" w:rsidR="00735127" w:rsidRDefault="00735127" w:rsidP="006E3B9E">
      <w:pPr>
        <w:spacing w:after="0" w:line="240" w:lineRule="auto"/>
        <w:rPr>
          <w:rFonts w:ascii="Verdana" w:eastAsia="Geomanist Light" w:hAnsi="Verdana" w:cs="Arial"/>
          <w:color w:val="000000" w:themeColor="text1"/>
          <w:lang w:val="es-MX"/>
        </w:rPr>
      </w:pPr>
    </w:p>
    <w:p w14:paraId="6BA08ECA" w14:textId="77777777" w:rsidR="00735127" w:rsidRDefault="00735127" w:rsidP="006E3B9E">
      <w:pPr>
        <w:spacing w:after="0" w:line="240" w:lineRule="auto"/>
        <w:rPr>
          <w:rFonts w:ascii="Verdana" w:eastAsia="Geomanist Light" w:hAnsi="Verdana" w:cs="Arial"/>
          <w:color w:val="000000" w:themeColor="text1"/>
          <w:lang w:val="es-MX"/>
        </w:rPr>
      </w:pPr>
    </w:p>
    <w:p w14:paraId="61F07BF5" w14:textId="77777777" w:rsidR="00735127" w:rsidRDefault="00735127" w:rsidP="006E3B9E">
      <w:pPr>
        <w:spacing w:after="0" w:line="240" w:lineRule="auto"/>
        <w:rPr>
          <w:rFonts w:ascii="Verdana" w:eastAsia="Geomanist Light" w:hAnsi="Verdana" w:cs="Arial"/>
          <w:color w:val="000000" w:themeColor="text1"/>
          <w:lang w:val="es-MX"/>
        </w:rPr>
      </w:pPr>
    </w:p>
    <w:p w14:paraId="1249F84D" w14:textId="77777777" w:rsidR="00735127" w:rsidRDefault="00735127" w:rsidP="006E3B9E">
      <w:pPr>
        <w:spacing w:after="0" w:line="240" w:lineRule="auto"/>
        <w:rPr>
          <w:rFonts w:ascii="Verdana" w:eastAsia="Geomanist Light" w:hAnsi="Verdana" w:cs="Arial"/>
          <w:color w:val="000000" w:themeColor="text1"/>
          <w:lang w:val="es-MX"/>
        </w:rPr>
      </w:pPr>
    </w:p>
    <w:p w14:paraId="0CC9C715" w14:textId="77777777" w:rsidR="00735127" w:rsidRDefault="00735127" w:rsidP="006E3B9E">
      <w:pPr>
        <w:spacing w:after="0" w:line="240" w:lineRule="auto"/>
        <w:rPr>
          <w:rFonts w:ascii="Verdana" w:eastAsia="Geomanist Light" w:hAnsi="Verdana" w:cs="Arial"/>
          <w:color w:val="000000" w:themeColor="text1"/>
          <w:lang w:val="es-MX"/>
        </w:rPr>
      </w:pPr>
    </w:p>
    <w:p w14:paraId="449A9A67" w14:textId="77777777" w:rsidR="00735127" w:rsidRDefault="00735127" w:rsidP="006E3B9E">
      <w:pPr>
        <w:spacing w:after="0" w:line="240" w:lineRule="auto"/>
        <w:rPr>
          <w:rFonts w:ascii="Verdana" w:eastAsia="Geomanist Light" w:hAnsi="Verdana" w:cs="Arial"/>
          <w:color w:val="000000" w:themeColor="text1"/>
          <w:lang w:val="es-MX"/>
        </w:rPr>
      </w:pPr>
    </w:p>
    <w:p w14:paraId="10956A24" w14:textId="77777777" w:rsidR="00735127" w:rsidRDefault="00735127" w:rsidP="006E3B9E">
      <w:pPr>
        <w:spacing w:after="0" w:line="240" w:lineRule="auto"/>
        <w:rPr>
          <w:rFonts w:ascii="Verdana" w:eastAsia="Geomanist Light" w:hAnsi="Verdana" w:cs="Arial"/>
          <w:color w:val="000000" w:themeColor="text1"/>
          <w:lang w:val="es-MX"/>
        </w:rPr>
      </w:pPr>
    </w:p>
    <w:p w14:paraId="0AA90D55" w14:textId="77777777" w:rsidR="00735127" w:rsidRDefault="00735127" w:rsidP="006E3B9E">
      <w:pPr>
        <w:spacing w:after="0" w:line="240" w:lineRule="auto"/>
        <w:rPr>
          <w:rFonts w:ascii="Verdana" w:eastAsia="Geomanist Light" w:hAnsi="Verdana" w:cs="Arial"/>
          <w:color w:val="000000" w:themeColor="text1"/>
          <w:lang w:val="es-MX"/>
        </w:rPr>
      </w:pPr>
    </w:p>
    <w:p w14:paraId="189D2D22" w14:textId="77777777" w:rsidR="00735127" w:rsidRDefault="00735127" w:rsidP="006E3B9E">
      <w:pPr>
        <w:spacing w:after="0" w:line="240" w:lineRule="auto"/>
        <w:rPr>
          <w:rFonts w:ascii="Verdana" w:eastAsia="Geomanist Light" w:hAnsi="Verdana" w:cs="Arial"/>
          <w:color w:val="000000" w:themeColor="text1"/>
          <w:lang w:val="es-MX"/>
        </w:rPr>
      </w:pPr>
    </w:p>
    <w:p w14:paraId="05FC23F7" w14:textId="77777777" w:rsidR="00735127" w:rsidRDefault="00735127" w:rsidP="006E3B9E">
      <w:pPr>
        <w:spacing w:after="0" w:line="240" w:lineRule="auto"/>
        <w:rPr>
          <w:rFonts w:ascii="Verdana" w:eastAsia="Geomanist Light" w:hAnsi="Verdana" w:cs="Arial"/>
          <w:color w:val="000000" w:themeColor="text1"/>
          <w:lang w:val="es-MX"/>
        </w:rPr>
      </w:pPr>
    </w:p>
    <w:p w14:paraId="556CDE49" w14:textId="77777777" w:rsidR="00735127" w:rsidRDefault="00735127" w:rsidP="006E3B9E">
      <w:pPr>
        <w:spacing w:after="0" w:line="240" w:lineRule="auto"/>
        <w:rPr>
          <w:rFonts w:ascii="Verdana" w:eastAsia="Geomanist Light" w:hAnsi="Verdana" w:cs="Arial"/>
          <w:color w:val="000000" w:themeColor="text1"/>
          <w:lang w:val="es-MX"/>
        </w:rPr>
      </w:pPr>
    </w:p>
    <w:p w14:paraId="0E4C5469" w14:textId="77777777" w:rsidR="00735127" w:rsidRDefault="00735127" w:rsidP="006E3B9E">
      <w:pPr>
        <w:spacing w:after="0" w:line="240" w:lineRule="auto"/>
        <w:rPr>
          <w:rFonts w:ascii="Verdana" w:eastAsia="Geomanist Light" w:hAnsi="Verdana" w:cs="Arial"/>
          <w:color w:val="000000" w:themeColor="text1"/>
          <w:lang w:val="es-MX"/>
        </w:rPr>
      </w:pPr>
    </w:p>
    <w:p w14:paraId="6B4CBECC" w14:textId="77777777" w:rsidR="00735127" w:rsidRDefault="00735127" w:rsidP="006E3B9E">
      <w:pPr>
        <w:spacing w:after="0" w:line="240" w:lineRule="auto"/>
        <w:rPr>
          <w:rFonts w:ascii="Verdana" w:eastAsia="Geomanist Light" w:hAnsi="Verdana" w:cs="Arial"/>
          <w:color w:val="000000" w:themeColor="text1"/>
          <w:lang w:val="es-MX"/>
        </w:rPr>
      </w:pPr>
    </w:p>
    <w:p w14:paraId="16C4B8FE" w14:textId="77777777" w:rsidR="00735127" w:rsidRDefault="00735127" w:rsidP="006E3B9E">
      <w:pPr>
        <w:spacing w:after="0" w:line="240" w:lineRule="auto"/>
        <w:rPr>
          <w:rFonts w:ascii="Verdana" w:eastAsia="Geomanist Light" w:hAnsi="Verdana" w:cs="Arial"/>
          <w:color w:val="000000" w:themeColor="text1"/>
          <w:lang w:val="es-MX"/>
        </w:rPr>
      </w:pPr>
    </w:p>
    <w:p w14:paraId="68FE7040" w14:textId="77777777" w:rsidR="00735127" w:rsidRDefault="00735127" w:rsidP="006E3B9E">
      <w:pPr>
        <w:spacing w:after="0" w:line="240" w:lineRule="auto"/>
        <w:rPr>
          <w:rFonts w:ascii="Verdana" w:eastAsia="Geomanist Light" w:hAnsi="Verdana" w:cs="Arial"/>
          <w:color w:val="000000" w:themeColor="text1"/>
          <w:lang w:val="es-MX"/>
        </w:rPr>
      </w:pPr>
    </w:p>
    <w:p w14:paraId="205376F1" w14:textId="77777777" w:rsidR="00735127" w:rsidRDefault="00735127" w:rsidP="006E3B9E">
      <w:pPr>
        <w:spacing w:after="0" w:line="240" w:lineRule="auto"/>
        <w:rPr>
          <w:rFonts w:ascii="Verdana" w:eastAsia="Geomanist Light" w:hAnsi="Verdana" w:cs="Arial"/>
          <w:color w:val="000000" w:themeColor="text1"/>
          <w:lang w:val="es-MX"/>
        </w:rPr>
      </w:pPr>
    </w:p>
    <w:p w14:paraId="47F648DD" w14:textId="77777777" w:rsidR="00735127" w:rsidRDefault="00735127" w:rsidP="006E3B9E">
      <w:pPr>
        <w:spacing w:after="0" w:line="240" w:lineRule="auto"/>
        <w:rPr>
          <w:rFonts w:ascii="Verdana" w:eastAsia="Geomanist Light" w:hAnsi="Verdana" w:cs="Arial"/>
          <w:color w:val="000000" w:themeColor="text1"/>
          <w:lang w:val="es-MX"/>
        </w:rPr>
      </w:pPr>
    </w:p>
    <w:p w14:paraId="5BD2DE00" w14:textId="77777777" w:rsidR="00735127" w:rsidRDefault="00735127" w:rsidP="006E3B9E">
      <w:pPr>
        <w:spacing w:after="0" w:line="240" w:lineRule="auto"/>
        <w:rPr>
          <w:rFonts w:ascii="Verdana" w:eastAsia="Geomanist Light" w:hAnsi="Verdana" w:cs="Arial"/>
          <w:color w:val="000000" w:themeColor="text1"/>
          <w:lang w:val="es-MX"/>
        </w:rPr>
      </w:pPr>
    </w:p>
    <w:p w14:paraId="3F78AD4C" w14:textId="77777777" w:rsidR="00735127" w:rsidRDefault="00735127" w:rsidP="006E3B9E">
      <w:pPr>
        <w:spacing w:after="0" w:line="240" w:lineRule="auto"/>
        <w:rPr>
          <w:rFonts w:ascii="Verdana" w:eastAsia="Geomanist Light" w:hAnsi="Verdana" w:cs="Arial"/>
          <w:color w:val="000000" w:themeColor="text1"/>
          <w:lang w:val="es-MX"/>
        </w:rPr>
      </w:pPr>
    </w:p>
    <w:p w14:paraId="091A71FE" w14:textId="77777777" w:rsidR="00735127" w:rsidRDefault="00735127" w:rsidP="006E3B9E">
      <w:pPr>
        <w:spacing w:after="0" w:line="240" w:lineRule="auto"/>
        <w:rPr>
          <w:rFonts w:ascii="Verdana" w:eastAsia="Geomanist Light" w:hAnsi="Verdana" w:cs="Arial"/>
          <w:color w:val="000000" w:themeColor="text1"/>
          <w:lang w:val="es-MX"/>
        </w:rPr>
      </w:pPr>
    </w:p>
    <w:p w14:paraId="7FBC276B" w14:textId="77777777" w:rsidR="00735127" w:rsidRDefault="00735127" w:rsidP="006E3B9E">
      <w:pPr>
        <w:spacing w:after="0" w:line="240" w:lineRule="auto"/>
        <w:rPr>
          <w:rFonts w:ascii="Verdana" w:eastAsia="Geomanist Light" w:hAnsi="Verdana" w:cs="Arial"/>
          <w:color w:val="000000" w:themeColor="text1"/>
          <w:lang w:val="es-MX"/>
        </w:rPr>
      </w:pPr>
    </w:p>
    <w:p w14:paraId="10664F6E" w14:textId="77777777" w:rsidR="00735127" w:rsidRDefault="00735127" w:rsidP="006E3B9E">
      <w:pPr>
        <w:spacing w:after="0" w:line="240" w:lineRule="auto"/>
        <w:rPr>
          <w:rFonts w:ascii="Verdana" w:eastAsia="Geomanist Light" w:hAnsi="Verdana" w:cs="Arial"/>
          <w:color w:val="000000" w:themeColor="text1"/>
          <w:lang w:val="es-MX"/>
        </w:rPr>
      </w:pPr>
    </w:p>
    <w:p w14:paraId="224A8085" w14:textId="77777777" w:rsidR="00735127" w:rsidRDefault="00735127" w:rsidP="006E3B9E">
      <w:pPr>
        <w:spacing w:after="0" w:line="240" w:lineRule="auto"/>
        <w:rPr>
          <w:rFonts w:ascii="Verdana" w:eastAsia="Geomanist Light" w:hAnsi="Verdana" w:cs="Arial"/>
          <w:color w:val="000000" w:themeColor="text1"/>
          <w:lang w:val="es-MX"/>
        </w:rPr>
      </w:pPr>
    </w:p>
    <w:p w14:paraId="3B68B4BA" w14:textId="77777777" w:rsidR="00735127" w:rsidRDefault="00735127" w:rsidP="006E3B9E">
      <w:pPr>
        <w:spacing w:after="0" w:line="240" w:lineRule="auto"/>
        <w:rPr>
          <w:rFonts w:ascii="Verdana" w:eastAsia="Geomanist Light" w:hAnsi="Verdana" w:cs="Arial"/>
          <w:color w:val="000000" w:themeColor="text1"/>
          <w:lang w:val="es-MX"/>
        </w:rPr>
      </w:pPr>
    </w:p>
    <w:p w14:paraId="7E73258E" w14:textId="77777777" w:rsidR="00FD51F4" w:rsidRDefault="00FD51F4" w:rsidP="006E3B9E">
      <w:pPr>
        <w:spacing w:after="0" w:line="240" w:lineRule="auto"/>
        <w:rPr>
          <w:rFonts w:ascii="Verdana" w:eastAsia="Geomanist Light" w:hAnsi="Verdana" w:cs="Arial"/>
          <w:color w:val="000000" w:themeColor="text1"/>
          <w:lang w:val="es-MX"/>
        </w:rPr>
      </w:pPr>
    </w:p>
    <w:p w14:paraId="0317BA9D" w14:textId="7BF19878" w:rsidR="006E3B9E" w:rsidRPr="00593A5F" w:rsidRDefault="006E3B9E" w:rsidP="006E3B9E">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735127">
        <w:rPr>
          <w:rFonts w:ascii="Verdana" w:eastAsia="Geomanist Light" w:hAnsi="Verdana" w:cs="Arial"/>
          <w:color w:val="201F1E"/>
        </w:rPr>
        <w:t>31 de julio de 2026</w:t>
      </w:r>
    </w:p>
    <w:p w14:paraId="405ED487" w14:textId="4B6E7628" w:rsidR="006E3B9E" w:rsidRDefault="001E43CE" w:rsidP="001E43CE">
      <w:pPr>
        <w:spacing w:after="0" w:line="240" w:lineRule="auto"/>
        <w:jc w:val="right"/>
        <w:rPr>
          <w:rFonts w:ascii="Verdana" w:eastAsia="Calibri" w:hAnsi="Verdana" w:cs="Arial"/>
          <w:color w:val="000000"/>
          <w:lang w:val="es-ES"/>
        </w:rPr>
      </w:pPr>
      <w:r w:rsidRPr="001E43CE">
        <w:rPr>
          <w:rFonts w:ascii="Verdana" w:eastAsia="Calibri" w:hAnsi="Verdana" w:cs="Arial"/>
          <w:noProof/>
          <w:color w:val="000000"/>
          <w:lang w:val="es-ES"/>
        </w:rPr>
        <w:drawing>
          <wp:anchor distT="0" distB="0" distL="114300" distR="114300" simplePos="0" relativeHeight="251658240" behindDoc="0" locked="0" layoutInCell="1" allowOverlap="1" wp14:anchorId="11BC8DE8" wp14:editId="16AF0252">
            <wp:simplePos x="0" y="0"/>
            <wp:positionH relativeFrom="column">
              <wp:posOffset>3324225</wp:posOffset>
            </wp:positionH>
            <wp:positionV relativeFrom="paragraph">
              <wp:posOffset>-2540</wp:posOffset>
            </wp:positionV>
            <wp:extent cx="2286000" cy="800100"/>
            <wp:effectExtent l="0" t="0" r="0" b="0"/>
            <wp:wrapSquare wrapText="bothSides"/>
            <wp:docPr id="19892450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800100"/>
                    </a:xfrm>
                    <a:prstGeom prst="rect">
                      <a:avLst/>
                    </a:prstGeom>
                    <a:noFill/>
                    <a:ln>
                      <a:noFill/>
                    </a:ln>
                  </pic:spPr>
                </pic:pic>
              </a:graphicData>
            </a:graphic>
          </wp:anchor>
        </w:drawing>
      </w:r>
    </w:p>
    <w:p w14:paraId="110C216E" w14:textId="77777777" w:rsidR="006E3B9E" w:rsidRPr="00593A5F" w:rsidRDefault="006E3B9E" w:rsidP="006E3B9E">
      <w:pPr>
        <w:spacing w:after="0" w:line="240" w:lineRule="auto"/>
        <w:jc w:val="both"/>
        <w:rPr>
          <w:rFonts w:ascii="Verdana" w:eastAsia="Calibri" w:hAnsi="Verdana" w:cs="Arial"/>
          <w:color w:val="000000"/>
          <w:lang w:val="es-ES"/>
        </w:rPr>
      </w:pPr>
    </w:p>
    <w:p w14:paraId="196B3009" w14:textId="77777777" w:rsidR="006E3B9E" w:rsidRPr="00B96799" w:rsidRDefault="006E3B9E" w:rsidP="006E3B9E">
      <w:pPr>
        <w:spacing w:after="0" w:line="240" w:lineRule="auto"/>
        <w:jc w:val="both"/>
        <w:rPr>
          <w:rFonts w:ascii="Verdana" w:eastAsia="Calibri" w:hAnsi="Verdana" w:cs="Arial"/>
          <w:lang w:val="es-ES" w:eastAsia="es-ES"/>
        </w:rPr>
      </w:pPr>
      <w:r>
        <w:rPr>
          <w:rFonts w:ascii="Verdana" w:eastAsia="Calibri" w:hAnsi="Verdana" w:cs="Arial"/>
          <w:lang w:val="es-ES" w:eastAsia="es-ES"/>
        </w:rPr>
        <w:t>Señor</w:t>
      </w:r>
    </w:p>
    <w:p w14:paraId="401E9027" w14:textId="77777777" w:rsidR="006E3B9E" w:rsidRDefault="006E3B9E" w:rsidP="006E3B9E">
      <w:pPr>
        <w:spacing w:after="0" w:line="240" w:lineRule="auto"/>
        <w:rPr>
          <w:rFonts w:ascii="Verdana" w:eastAsia="Calibri" w:hAnsi="Verdana" w:cs="Arial"/>
          <w:b/>
          <w:lang w:val="es-ES_tradnl" w:eastAsia="es-ES_tradnl"/>
        </w:rPr>
      </w:pPr>
      <w:r w:rsidRPr="009877BE">
        <w:rPr>
          <w:rFonts w:ascii="Verdana" w:eastAsia="Calibri" w:hAnsi="Verdana" w:cs="Arial"/>
          <w:b/>
          <w:lang w:val="es-ES_tradnl" w:eastAsia="es-ES_tradnl"/>
        </w:rPr>
        <w:t>Juan Sebastián Loaiza Gualtero</w:t>
      </w:r>
      <w:r>
        <w:rPr>
          <w:rFonts w:ascii="Verdana" w:eastAsia="Calibri" w:hAnsi="Verdana" w:cs="Arial"/>
          <w:b/>
          <w:lang w:val="es-ES_tradnl" w:eastAsia="es-ES_tradnl"/>
        </w:rPr>
        <w:t xml:space="preserve"> </w:t>
      </w:r>
    </w:p>
    <w:p w14:paraId="6F8CFB90" w14:textId="77777777" w:rsidR="006E3B9E" w:rsidRDefault="006E3B9E" w:rsidP="006E3B9E">
      <w:pPr>
        <w:spacing w:after="0" w:line="240" w:lineRule="auto"/>
        <w:rPr>
          <w:rFonts w:ascii="Verdana" w:hAnsi="Verdana" w:cs="Arial"/>
        </w:rPr>
      </w:pPr>
      <w:r w:rsidRPr="004C7277">
        <w:rPr>
          <w:rFonts w:ascii="Verdana" w:hAnsi="Verdana" w:cs="Arial"/>
        </w:rPr>
        <w:t>E.T. de Gestión Jurídica, Defensa Judicial y Cobro Coactivo</w:t>
      </w:r>
    </w:p>
    <w:p w14:paraId="0E9BA386" w14:textId="77777777" w:rsidR="006E3B9E" w:rsidRPr="00376F11" w:rsidRDefault="006E3B9E" w:rsidP="006E3B9E">
      <w:pPr>
        <w:spacing w:after="0" w:line="240" w:lineRule="auto"/>
        <w:rPr>
          <w:rFonts w:ascii="Verdana" w:hAnsi="Verdana" w:cs="Arial"/>
        </w:rPr>
      </w:pPr>
      <w:r w:rsidRPr="00376F11">
        <w:rPr>
          <w:rFonts w:ascii="Verdana" w:hAnsi="Verdana" w:cs="Arial"/>
        </w:rPr>
        <w:t xml:space="preserve">Fondo de adaptación </w:t>
      </w:r>
    </w:p>
    <w:p w14:paraId="03DD07DA" w14:textId="77777777" w:rsidR="006E3B9E" w:rsidRPr="001E175A" w:rsidRDefault="006E3B9E" w:rsidP="006E3B9E">
      <w:pPr>
        <w:spacing w:after="0" w:line="240" w:lineRule="auto"/>
        <w:rPr>
          <w:rFonts w:ascii="Verdana" w:eastAsia="Calibri" w:hAnsi="Verdana" w:cs="Arial"/>
          <w:lang w:val="es-ES" w:eastAsia="es-ES"/>
        </w:rPr>
      </w:pPr>
      <w:hyperlink r:id="rId12" w:history="1">
        <w:r w:rsidRPr="00231C24">
          <w:rPr>
            <w:rStyle w:val="Hipervnculo"/>
            <w:rFonts w:ascii="Verdana" w:hAnsi="Verdana"/>
          </w:rPr>
          <w:t>notificacionesdatafondo@fondoadaptacion.gov.co</w:t>
        </w:r>
      </w:hyperlink>
      <w:r>
        <w:rPr>
          <w:rFonts w:ascii="Verdana" w:hAnsi="Verdana"/>
        </w:rPr>
        <w:t xml:space="preserve"> </w:t>
      </w:r>
      <w:r w:rsidRPr="001E175A">
        <w:rPr>
          <w:rFonts w:ascii="Verdana" w:hAnsi="Verdana"/>
        </w:rPr>
        <w:t xml:space="preserve">                    </w:t>
      </w:r>
      <w:r w:rsidRPr="001E175A">
        <w:rPr>
          <w:rFonts w:ascii="Verdana" w:eastAsia="Calibri" w:hAnsi="Verdana" w:cs="Arial"/>
          <w:lang w:val="es-ES" w:eastAsia="es-ES"/>
        </w:rPr>
        <w:t xml:space="preserve">    </w:t>
      </w:r>
    </w:p>
    <w:p w14:paraId="5182E433" w14:textId="77777777" w:rsidR="006E3B9E" w:rsidRDefault="006E3B9E" w:rsidP="006E3B9E">
      <w:pPr>
        <w:spacing w:after="0" w:line="240" w:lineRule="auto"/>
        <w:rPr>
          <w:rFonts w:ascii="Verdana" w:eastAsia="Calibri" w:hAnsi="Verdana" w:cs="Arial"/>
          <w:lang w:val="es-ES" w:eastAsia="es-ES"/>
        </w:rPr>
      </w:pPr>
      <w:r w:rsidRPr="00593A5F">
        <w:rPr>
          <w:rFonts w:ascii="Verdana" w:eastAsia="Geomanist Light" w:hAnsi="Verdana" w:cs="Arial"/>
          <w:color w:val="000000" w:themeColor="text1"/>
          <w:lang w:val="es-MX"/>
        </w:rPr>
        <w:t>Bogotá D.C.</w:t>
      </w:r>
      <w:r>
        <w:rPr>
          <w:rFonts w:ascii="Verdana" w:eastAsia="Calibri" w:hAnsi="Verdana" w:cs="Arial"/>
          <w:lang w:val="es-ES" w:eastAsia="es-ES"/>
        </w:rPr>
        <w:t xml:space="preserve"> </w:t>
      </w:r>
    </w:p>
    <w:p w14:paraId="25796699" w14:textId="77777777" w:rsidR="006E3B9E" w:rsidRPr="00593A5F" w:rsidRDefault="006E3B9E" w:rsidP="006E3B9E">
      <w:pPr>
        <w:spacing w:after="0" w:line="240" w:lineRule="auto"/>
        <w:rPr>
          <w:rFonts w:ascii="Verdana" w:eastAsia="Calibri" w:hAnsi="Verdana" w:cs="Arial"/>
          <w:b/>
          <w:bCs/>
          <w:color w:val="000000"/>
          <w:lang w:val="es-ES_tradnl" w:eastAsia="es-ES_tradnl"/>
        </w:rPr>
      </w:pPr>
    </w:p>
    <w:p w14:paraId="3D61CEE7" w14:textId="77777777" w:rsidR="006E3B9E" w:rsidRPr="00593A5F" w:rsidRDefault="006E3B9E" w:rsidP="006E3B9E">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6E3B9E" w:rsidRPr="00593A5F" w14:paraId="50E78538" w14:textId="77777777" w:rsidTr="00C671FE">
        <w:trPr>
          <w:trHeight w:val="884"/>
        </w:trPr>
        <w:tc>
          <w:tcPr>
            <w:tcW w:w="2689" w:type="dxa"/>
          </w:tcPr>
          <w:p w14:paraId="6C4B4D28" w14:textId="77777777" w:rsidR="006E3B9E" w:rsidRPr="00C00976" w:rsidRDefault="006E3B9E" w:rsidP="00C671FE">
            <w:pPr>
              <w:jc w:val="both"/>
              <w:rPr>
                <w:rFonts w:ascii="Verdana" w:eastAsia="Calibri" w:hAnsi="Verdana" w:cs="Arial"/>
                <w:b/>
                <w:bCs/>
                <w:color w:val="7030A0"/>
                <w:lang w:val="es-ES_tradnl" w:eastAsia="es-ES_tradnl"/>
              </w:rPr>
            </w:pPr>
          </w:p>
        </w:tc>
        <w:tc>
          <w:tcPr>
            <w:tcW w:w="6100" w:type="dxa"/>
          </w:tcPr>
          <w:p w14:paraId="1FDBDE2F" w14:textId="3AAE0CD4" w:rsidR="006E3B9E" w:rsidRPr="00C00976" w:rsidRDefault="006E3B9E" w:rsidP="00C671FE">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F7041A">
              <w:rPr>
                <w:rFonts w:ascii="Verdana" w:eastAsia="Calibri" w:hAnsi="Verdana" w:cs="Arial"/>
                <w:b/>
                <w:bCs/>
                <w:lang w:val="es-ES" w:eastAsia="es-ES"/>
              </w:rPr>
              <w:t>-</w:t>
            </w:r>
            <w:r>
              <w:rPr>
                <w:rFonts w:ascii="Verdana" w:eastAsia="Calibri" w:hAnsi="Verdana" w:cs="Arial"/>
                <w:b/>
                <w:bCs/>
                <w:lang w:val="es-ES" w:eastAsia="es-ES"/>
              </w:rPr>
              <w:t xml:space="preserve">1118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6E3B9E" w:rsidRPr="00593A5F" w14:paraId="20C0EDB2" w14:textId="77777777" w:rsidTr="00C671FE">
        <w:trPr>
          <w:trHeight w:val="884"/>
        </w:trPr>
        <w:tc>
          <w:tcPr>
            <w:tcW w:w="2689" w:type="dxa"/>
          </w:tcPr>
          <w:p w14:paraId="5CEE8E82" w14:textId="77777777" w:rsidR="006E3B9E" w:rsidRPr="00593A5F" w:rsidRDefault="006E3B9E" w:rsidP="00C671FE">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46DDF0E9" w14:textId="77777777" w:rsidR="006E3B9E" w:rsidRDefault="006E3B9E" w:rsidP="00C671FE">
            <w:pPr>
              <w:spacing w:line="276" w:lineRule="auto"/>
              <w:jc w:val="both"/>
              <w:rPr>
                <w:rFonts w:ascii="Verdana" w:eastAsia="Calibri" w:hAnsi="Verdana" w:cs="Arial"/>
                <w:lang w:val="es-ES" w:eastAsia="es-ES"/>
              </w:rPr>
            </w:pPr>
            <w:r w:rsidRPr="00AB1FEA">
              <w:rPr>
                <w:rFonts w:ascii="Verdana" w:eastAsia="Calibri" w:hAnsi="Verdana" w:cs="Arial"/>
                <w:lang w:val="es-ES" w:eastAsia="es-ES"/>
              </w:rPr>
              <w:t>LIQUIDACIÓN DEL CONTRATO – Definición – Objetivo / LIQUIDACIÓN DEL CONTRATO – Normativa / LIQUIDACIÓN DEL CONTRATO – Tipos – Bilateral – Unilateral – Judicial</w:t>
            </w:r>
            <w:r>
              <w:rPr>
                <w:rFonts w:ascii="Verdana" w:eastAsia="Calibri" w:hAnsi="Verdana" w:cs="Arial"/>
                <w:lang w:val="es-ES" w:eastAsia="es-ES"/>
              </w:rPr>
              <w:t xml:space="preserve"> /</w:t>
            </w:r>
            <w:r>
              <w:rPr>
                <w:rFonts w:eastAsia="Calibri"/>
                <w:lang w:val="es-ES" w:eastAsia="es-ES"/>
              </w:rPr>
              <w:t xml:space="preserve"> </w:t>
            </w:r>
            <w:r>
              <w:rPr>
                <w:rFonts w:ascii="Verdana" w:eastAsia="Calibri" w:hAnsi="Verdana" w:cs="Arial"/>
                <w:lang w:val="es-ES" w:eastAsia="es-ES"/>
              </w:rPr>
              <w:t xml:space="preserve">LIQUIDACIÓN DEL CONTRATO </w:t>
            </w:r>
            <w:r w:rsidRPr="006F0A05">
              <w:rPr>
                <w:rFonts w:ascii="Verdana" w:eastAsia="Calibri" w:hAnsi="Verdana" w:cs="Arial"/>
                <w:lang w:val="es-ES" w:eastAsia="es-ES"/>
              </w:rPr>
              <w:t xml:space="preserve">– Pérdida de competencia para liquidar – Notificación del auto admisorio de la demanda </w:t>
            </w:r>
            <w:r>
              <w:rPr>
                <w:rFonts w:ascii="Verdana" w:eastAsia="Calibri" w:hAnsi="Verdana" w:cs="Arial"/>
                <w:lang w:val="es-ES" w:eastAsia="es-ES"/>
              </w:rPr>
              <w:t>/</w:t>
            </w:r>
            <w:r w:rsidRPr="006F0A05">
              <w:rPr>
                <w:rFonts w:ascii="Verdana" w:eastAsia="Calibri" w:hAnsi="Verdana" w:cs="Arial"/>
                <w:lang w:val="es-ES" w:eastAsia="es-ES"/>
              </w:rPr>
              <w:t xml:space="preserve"> LIQUIDACIÓN DEL CONTRATO –</w:t>
            </w:r>
            <w:r>
              <w:rPr>
                <w:rFonts w:ascii="Verdana" w:eastAsia="Calibri" w:hAnsi="Verdana" w:cs="Arial"/>
                <w:lang w:val="es-ES" w:eastAsia="es-ES"/>
              </w:rPr>
              <w:t xml:space="preserve"> Competencia –</w:t>
            </w:r>
            <w:r w:rsidRPr="006F0A05">
              <w:rPr>
                <w:rFonts w:ascii="Verdana" w:eastAsia="Calibri" w:hAnsi="Verdana" w:cs="Arial"/>
                <w:lang w:val="es-ES" w:eastAsia="es-ES"/>
              </w:rPr>
              <w:t xml:space="preserve"> Rectificación jurisprudencial –</w:t>
            </w:r>
            <w:r>
              <w:rPr>
                <w:rFonts w:ascii="Verdana" w:eastAsia="Calibri" w:hAnsi="Verdana" w:cs="Arial"/>
                <w:lang w:val="es-ES" w:eastAsia="es-ES"/>
              </w:rPr>
              <w:t xml:space="preserve"> Cambio de línea </w:t>
            </w:r>
            <w:r w:rsidRPr="006F0A05">
              <w:rPr>
                <w:rFonts w:ascii="Verdana" w:eastAsia="Calibri" w:hAnsi="Verdana" w:cs="Arial"/>
                <w:lang w:val="es-ES" w:eastAsia="es-ES"/>
              </w:rPr>
              <w:t>– Alcance / GESTIÓN PRESUPUESTAL – Buena práctica contractual</w:t>
            </w:r>
          </w:p>
          <w:p w14:paraId="4B6FF2C3" w14:textId="77777777" w:rsidR="006E3B9E" w:rsidRPr="00593A5F" w:rsidRDefault="006E3B9E" w:rsidP="00C671FE">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6E3B9E" w:rsidRPr="008E6AD9" w14:paraId="17257273" w14:textId="77777777" w:rsidTr="00C671FE">
        <w:tc>
          <w:tcPr>
            <w:tcW w:w="2689" w:type="dxa"/>
          </w:tcPr>
          <w:p w14:paraId="246B8AC0" w14:textId="77777777" w:rsidR="006E3B9E" w:rsidRPr="008E6AD9" w:rsidRDefault="006E3B9E" w:rsidP="00C671FE">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4CB6AD5C" w14:textId="77777777" w:rsidR="006E3B9E" w:rsidRPr="00B92340" w:rsidRDefault="006E3B9E" w:rsidP="00C671FE">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434C0A">
              <w:rPr>
                <w:rFonts w:ascii="Verdana" w:eastAsia="Calibri" w:hAnsi="Verdana" w:cs="Arial"/>
                <w:lang w:val="es-ES_tradnl" w:eastAsia="es-ES_tradnl"/>
              </w:rPr>
              <w:t>1_2026_07_14_009287</w:t>
            </w:r>
            <w:r>
              <w:rPr>
                <w:rFonts w:ascii="Verdana" w:eastAsia="Calibri" w:hAnsi="Verdana" w:cs="Arial"/>
                <w:lang w:val="es-ES_tradnl" w:eastAsia="es-ES_tradnl"/>
              </w:rPr>
              <w:t xml:space="preserve"> </w:t>
            </w:r>
          </w:p>
        </w:tc>
      </w:tr>
    </w:tbl>
    <w:p w14:paraId="12A458F5" w14:textId="77777777" w:rsidR="006E3B9E" w:rsidRPr="00593A5F" w:rsidRDefault="006E3B9E" w:rsidP="006E3B9E">
      <w:pPr>
        <w:spacing w:after="0" w:line="240" w:lineRule="auto"/>
        <w:jc w:val="both"/>
        <w:rPr>
          <w:rFonts w:ascii="Verdana" w:eastAsia="Calibri" w:hAnsi="Verdana" w:cs="Arial"/>
          <w:color w:val="000000"/>
          <w:lang w:val="es-ES_tradnl" w:eastAsia="es-ES_tradnl"/>
        </w:rPr>
      </w:pPr>
    </w:p>
    <w:p w14:paraId="45F564CD" w14:textId="77777777" w:rsidR="006E3B9E" w:rsidRPr="00593A5F" w:rsidRDefault="006E3B9E" w:rsidP="006E3B9E">
      <w:pPr>
        <w:spacing w:after="0" w:line="240" w:lineRule="auto"/>
        <w:jc w:val="both"/>
        <w:rPr>
          <w:rFonts w:ascii="Verdana" w:eastAsia="Calibri" w:hAnsi="Verdana" w:cs="Arial"/>
          <w:color w:val="000000"/>
          <w:lang w:val="es-ES_tradnl" w:eastAsia="es-ES_tradnl"/>
        </w:rPr>
      </w:pPr>
    </w:p>
    <w:p w14:paraId="7228F658" w14:textId="77777777" w:rsidR="006E3B9E" w:rsidRPr="008E6AD9" w:rsidRDefault="006E3B9E" w:rsidP="006E3B9E">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 señor Loaiza</w:t>
      </w:r>
      <w:r w:rsidRPr="008E6AD9">
        <w:rPr>
          <w:rFonts w:ascii="Verdana" w:eastAsia="Calibri" w:hAnsi="Verdana" w:cs="Arial"/>
          <w:lang w:val="es-ES" w:eastAsia="es-ES"/>
        </w:rPr>
        <w:t xml:space="preserve">: </w:t>
      </w:r>
    </w:p>
    <w:p w14:paraId="287F810F" w14:textId="77777777" w:rsidR="006E3B9E" w:rsidRDefault="006E3B9E" w:rsidP="006E3B9E">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3E86F64A" w14:textId="77777777" w:rsidR="006E3B9E" w:rsidRPr="00593A5F" w:rsidRDefault="006E3B9E" w:rsidP="006E3B9E">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14 de julio de 2026, donde solicita conceptuar sobre los siguientes aspectos</w:t>
      </w:r>
      <w:r w:rsidRPr="008E6AD9">
        <w:rPr>
          <w:rFonts w:ascii="Verdana" w:eastAsia="Calibri" w:hAnsi="Verdana" w:cs="Arial"/>
          <w:lang w:val="es-ES" w:eastAsia="es-ES"/>
        </w:rPr>
        <w:t xml:space="preserve">: </w:t>
      </w:r>
    </w:p>
    <w:p w14:paraId="5AA3468E" w14:textId="77777777" w:rsidR="006E3B9E" w:rsidRPr="00272A7B" w:rsidRDefault="006E3B9E" w:rsidP="006E3B9E">
      <w:pPr>
        <w:pStyle w:val="Prrafodelista"/>
        <w:tabs>
          <w:tab w:val="left" w:pos="142"/>
          <w:tab w:val="left" w:pos="284"/>
        </w:tabs>
        <w:spacing w:after="0" w:line="276" w:lineRule="auto"/>
        <w:ind w:left="0"/>
        <w:jc w:val="both"/>
        <w:rPr>
          <w:rFonts w:ascii="Verdana" w:eastAsia="Century Gothic" w:hAnsi="Verdana" w:cs="Century Gothic"/>
          <w:b/>
          <w:bCs/>
        </w:rPr>
      </w:pPr>
    </w:p>
    <w:p w14:paraId="44D68EFA" w14:textId="77777777" w:rsidR="006E3B9E" w:rsidRPr="005743EC" w:rsidRDefault="006E3B9E" w:rsidP="006E3B9E">
      <w:pPr>
        <w:spacing w:after="120" w:line="240" w:lineRule="auto"/>
        <w:ind w:left="709" w:right="709"/>
        <w:jc w:val="both"/>
        <w:rPr>
          <w:rFonts w:ascii="Verdana" w:eastAsia="Century Gothic" w:hAnsi="Verdana" w:cs="Century Gothic"/>
          <w:sz w:val="20"/>
          <w:szCs w:val="20"/>
        </w:rPr>
      </w:pPr>
      <w:bookmarkStart w:id="0" w:name="_Hlk95313578"/>
      <w:r w:rsidRPr="005743EC">
        <w:rPr>
          <w:rFonts w:ascii="Verdana" w:eastAsia="Century Gothic" w:hAnsi="Verdana" w:cs="Century Gothic"/>
          <w:sz w:val="20"/>
          <w:szCs w:val="20"/>
          <w:lang w:val="es-ES"/>
        </w:rPr>
        <w:lastRenderedPageBreak/>
        <w:t>“</w:t>
      </w:r>
      <w:bookmarkEnd w:id="0"/>
      <w:r w:rsidRPr="005743EC">
        <w:rPr>
          <w:rFonts w:ascii="Verdana" w:eastAsia="Century Gothic" w:hAnsi="Verdana" w:cs="Century Gothic"/>
          <w:sz w:val="20"/>
          <w:szCs w:val="20"/>
        </w:rPr>
        <w:t xml:space="preserve">1. ¿La sola existencia de un proceso judicial derivado de un contrato estatal limita o suspende las competencias administrativas que conserva la entidad contratante respecto del contrato una vez finalizada su ejecución? </w:t>
      </w:r>
    </w:p>
    <w:p w14:paraId="7637DB0B" w14:textId="77777777" w:rsidR="006E3B9E" w:rsidRPr="005743EC" w:rsidRDefault="006E3B9E" w:rsidP="006E3B9E">
      <w:pPr>
        <w:spacing w:after="120" w:line="240" w:lineRule="auto"/>
        <w:ind w:left="709" w:right="709"/>
        <w:jc w:val="both"/>
        <w:rPr>
          <w:rFonts w:ascii="Verdana" w:eastAsia="Century Gothic" w:hAnsi="Verdana" w:cs="Century Gothic"/>
          <w:sz w:val="20"/>
          <w:szCs w:val="20"/>
        </w:rPr>
      </w:pPr>
      <w:r w:rsidRPr="005743EC">
        <w:rPr>
          <w:rFonts w:ascii="Verdana" w:eastAsia="Century Gothic" w:hAnsi="Verdana" w:cs="Century Gothic"/>
          <w:sz w:val="20"/>
          <w:szCs w:val="20"/>
        </w:rPr>
        <w:t xml:space="preserve">2. ¿La presentación de una demanda en ejercicio del medio de control de controversias contractuales produce, por sí misma, algún efecto jurídico que impida a la entidad adoptar actuaciones administrativas relacionadas con la administración del contrato, distintas de aquellas cuyo conocimiento corresponde de manera exclusiva al juez del contrato? </w:t>
      </w:r>
    </w:p>
    <w:p w14:paraId="57DB271C" w14:textId="77777777" w:rsidR="006E3B9E" w:rsidRPr="005743EC" w:rsidRDefault="006E3B9E" w:rsidP="006E3B9E">
      <w:pPr>
        <w:spacing w:after="120" w:line="240" w:lineRule="auto"/>
        <w:ind w:left="709" w:right="709"/>
        <w:jc w:val="both"/>
        <w:rPr>
          <w:rFonts w:ascii="Verdana" w:eastAsia="Century Gothic" w:hAnsi="Verdana" w:cs="Century Gothic"/>
          <w:sz w:val="20"/>
          <w:szCs w:val="20"/>
        </w:rPr>
      </w:pPr>
      <w:r w:rsidRPr="005743EC">
        <w:rPr>
          <w:rFonts w:ascii="Verdana" w:eastAsia="Century Gothic" w:hAnsi="Verdana" w:cs="Century Gothic"/>
          <w:sz w:val="20"/>
          <w:szCs w:val="20"/>
        </w:rPr>
        <w:t xml:space="preserve">3. ¿Qué actuaciones administrativas conserva la entidad estatal respecto de un contrato una vez este ha finalizado y mientras se encuentra en curso un proceso judicial derivado de aquel? </w:t>
      </w:r>
    </w:p>
    <w:p w14:paraId="0D784F97" w14:textId="77777777" w:rsidR="006E3B9E" w:rsidRPr="005743EC" w:rsidRDefault="006E3B9E" w:rsidP="006E3B9E">
      <w:pPr>
        <w:spacing w:after="120" w:line="240" w:lineRule="auto"/>
        <w:ind w:left="709" w:right="709"/>
        <w:jc w:val="both"/>
        <w:rPr>
          <w:rFonts w:ascii="Verdana" w:eastAsia="Century Gothic" w:hAnsi="Verdana" w:cs="Century Gothic"/>
          <w:sz w:val="20"/>
          <w:szCs w:val="20"/>
        </w:rPr>
      </w:pPr>
      <w:r w:rsidRPr="005743EC">
        <w:rPr>
          <w:rFonts w:ascii="Verdana" w:eastAsia="Century Gothic" w:hAnsi="Verdana" w:cs="Century Gothic"/>
          <w:sz w:val="20"/>
          <w:szCs w:val="20"/>
        </w:rPr>
        <w:t xml:space="preserve">4. Desde la perspectiva del Estatuto General de Contratación de la Administración Pública, ¿existe alguna disposición que impida a una entidad adoptar decisiones administrativas relacionadas con recursos contractuales que no constituyen objeto de las pretensiones sometidas al conocimiento del juez? </w:t>
      </w:r>
    </w:p>
    <w:p w14:paraId="5B921557" w14:textId="77777777" w:rsidR="006E3B9E" w:rsidRPr="005743EC" w:rsidRDefault="006E3B9E" w:rsidP="006E3B9E">
      <w:pPr>
        <w:spacing w:after="120" w:line="240" w:lineRule="auto"/>
        <w:ind w:left="709" w:right="709"/>
        <w:jc w:val="both"/>
        <w:rPr>
          <w:rFonts w:ascii="Verdana" w:eastAsia="Century Gothic" w:hAnsi="Verdana" w:cs="Century Gothic"/>
          <w:sz w:val="20"/>
          <w:szCs w:val="20"/>
        </w:rPr>
      </w:pPr>
      <w:r w:rsidRPr="005743EC">
        <w:rPr>
          <w:rFonts w:ascii="Verdana" w:eastAsia="Century Gothic" w:hAnsi="Verdana" w:cs="Century Gothic"/>
          <w:sz w:val="20"/>
          <w:szCs w:val="20"/>
        </w:rPr>
        <w:t xml:space="preserve">5. ¿Cuál es el alcance de la competencia exclusiva del juez del contrato frente a las competencias administrativas que conserva la entidad contratante respecto de aspectos que no han sido sometidos a decisión judicial? </w:t>
      </w:r>
    </w:p>
    <w:p w14:paraId="0E49A15F" w14:textId="77777777" w:rsidR="006E3B9E" w:rsidRPr="005743EC" w:rsidRDefault="006E3B9E" w:rsidP="006E3B9E">
      <w:pPr>
        <w:spacing w:after="120" w:line="240" w:lineRule="auto"/>
        <w:ind w:left="709" w:right="709"/>
        <w:jc w:val="both"/>
        <w:rPr>
          <w:rFonts w:ascii="Verdana" w:eastAsia="Century Gothic" w:hAnsi="Verdana" w:cs="Century Gothic"/>
          <w:sz w:val="20"/>
          <w:szCs w:val="20"/>
        </w:rPr>
      </w:pPr>
      <w:r w:rsidRPr="005743EC">
        <w:rPr>
          <w:rFonts w:ascii="Verdana" w:eastAsia="Century Gothic" w:hAnsi="Verdana" w:cs="Century Gothic"/>
          <w:sz w:val="20"/>
          <w:szCs w:val="20"/>
        </w:rPr>
        <w:t>6. ¿Resulta jurídicamente válido afirmar que la existencia de un proceso judicial derivado de un contrato estatal inmoviliza, por sí sola, todas las actuaciones administrativas relacionadas con dicho contrato o, por el contrario, únicamente aquellas que puedan interferir con las materias sometidas a decisión judicial?”</w:t>
      </w:r>
    </w:p>
    <w:p w14:paraId="39C0692B" w14:textId="77777777" w:rsidR="006E3B9E" w:rsidRDefault="006E3B9E" w:rsidP="006E3B9E">
      <w:pPr>
        <w:spacing w:after="0" w:line="276" w:lineRule="auto"/>
        <w:ind w:firstLine="709"/>
        <w:jc w:val="both"/>
        <w:rPr>
          <w:rFonts w:ascii="Verdana" w:eastAsia="Calibri" w:hAnsi="Verdana" w:cs="Arial"/>
          <w:color w:val="000000"/>
          <w:lang w:val="es-ES" w:eastAsia="es-ES"/>
        </w:rPr>
      </w:pPr>
    </w:p>
    <w:p w14:paraId="258F5E2E" w14:textId="77777777" w:rsidR="006E3B9E" w:rsidRPr="00A652FF" w:rsidRDefault="006E3B9E" w:rsidP="006E3B9E">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081CD019" w14:textId="77777777" w:rsidR="006E3B9E" w:rsidRDefault="006E3B9E" w:rsidP="006E3B9E">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lastRenderedPageBreak/>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54680A33" w14:textId="77777777" w:rsidR="006E3B9E" w:rsidRPr="00593A5F" w:rsidRDefault="006E3B9E" w:rsidP="006E3B9E">
      <w:pPr>
        <w:spacing w:after="0" w:line="276" w:lineRule="auto"/>
        <w:ind w:firstLine="709"/>
        <w:jc w:val="both"/>
        <w:rPr>
          <w:rFonts w:ascii="Verdana" w:eastAsia="Calibri" w:hAnsi="Verdana" w:cs="Arial"/>
          <w:color w:val="000000"/>
          <w:lang w:val="es-ES" w:eastAsia="es-ES"/>
        </w:rPr>
      </w:pPr>
    </w:p>
    <w:p w14:paraId="365C2C6E" w14:textId="77777777" w:rsidR="006E3B9E" w:rsidRPr="00593A5F" w:rsidRDefault="006E3B9E" w:rsidP="006E3B9E">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09215301" w14:textId="77777777" w:rsidR="006E3B9E" w:rsidRPr="00593A5F" w:rsidRDefault="006E3B9E" w:rsidP="006E3B9E">
      <w:pPr>
        <w:tabs>
          <w:tab w:val="left" w:pos="426"/>
        </w:tabs>
        <w:spacing w:after="0" w:line="276" w:lineRule="auto"/>
        <w:jc w:val="both"/>
        <w:rPr>
          <w:rFonts w:ascii="Verdana" w:eastAsia="Century Gothic" w:hAnsi="Verdana" w:cs="Century Gothic"/>
          <w:lang w:val="es-ES"/>
        </w:rPr>
      </w:pPr>
    </w:p>
    <w:p w14:paraId="5E79F513" w14:textId="77777777" w:rsidR="006E3B9E" w:rsidRPr="00593A5F" w:rsidRDefault="006E3B9E" w:rsidP="006E3B9E">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¿En qué momento una entidad estatal pierde competencia para liquidar el contrato cuando se ha promovido un proceso judicial de controversias contractuales, y cuál su alcance?</w:t>
      </w:r>
    </w:p>
    <w:p w14:paraId="07BBBE16" w14:textId="77777777" w:rsidR="006E3B9E" w:rsidRPr="004B140F" w:rsidRDefault="006E3B9E" w:rsidP="006E3B9E">
      <w:pPr>
        <w:spacing w:after="0" w:line="276" w:lineRule="auto"/>
        <w:jc w:val="both"/>
        <w:rPr>
          <w:rFonts w:ascii="Verdana" w:eastAsia="Calibri" w:hAnsi="Verdana" w:cs="Arial"/>
          <w:color w:val="7030A0"/>
        </w:rPr>
      </w:pPr>
    </w:p>
    <w:p w14:paraId="4877FFD9" w14:textId="77777777" w:rsidR="006E3B9E" w:rsidRPr="00593A5F" w:rsidRDefault="006E3B9E" w:rsidP="006E3B9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3E9F07F7" w14:textId="77777777" w:rsidR="006E3B9E" w:rsidRPr="00593A5F" w:rsidRDefault="006E3B9E" w:rsidP="006E3B9E">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6E3B9E" w:rsidRPr="00593A5F" w14:paraId="147A1FD3" w14:textId="77777777" w:rsidTr="00C671FE">
        <w:trPr>
          <w:jc w:val="center"/>
        </w:trPr>
        <w:tc>
          <w:tcPr>
            <w:tcW w:w="8828" w:type="dxa"/>
          </w:tcPr>
          <w:p w14:paraId="76016A4A" w14:textId="77777777" w:rsidR="006E3B9E" w:rsidRDefault="006E3B9E" w:rsidP="00C671FE">
            <w:pPr>
              <w:snapToGrid w:val="0"/>
              <w:spacing w:after="120" w:line="276" w:lineRule="auto"/>
              <w:jc w:val="both"/>
              <w:rPr>
                <w:rFonts w:ascii="Verdana" w:eastAsia="Calibri" w:hAnsi="Verdana" w:cs="Arial"/>
              </w:rPr>
            </w:pPr>
            <w:bookmarkStart w:id="1" w:name="_Hlk171694685"/>
            <w:r>
              <w:rPr>
                <w:rFonts w:ascii="Verdana" w:eastAsia="Calibri" w:hAnsi="Verdana" w:cs="Arial"/>
              </w:rPr>
              <w:t>E</w:t>
            </w:r>
            <w:r w:rsidRPr="0002364E">
              <w:rPr>
                <w:rFonts w:ascii="Verdana" w:eastAsia="Calibri" w:hAnsi="Verdana" w:cs="Arial"/>
              </w:rPr>
              <w:t>n aquellos eventos en los que el contrato no haya sido liquidado de mutuo acuerdo ni unilateralmente y se haya promovido un proceso judicial de controversias contractuales para resolver aspectos relacionados con su liquidación, la jurisprudencia del Consejo de Estado no ha mantenido una posición uniforme en torno al momento a partir del cual la entidad estatal pierde la competencia para efectuar la liquidación del contrato.</w:t>
            </w:r>
          </w:p>
          <w:p w14:paraId="2F5797BD" w14:textId="77777777" w:rsidR="006E3B9E" w:rsidRDefault="006E3B9E" w:rsidP="00C671FE">
            <w:pPr>
              <w:snapToGrid w:val="0"/>
              <w:spacing w:after="120" w:line="276" w:lineRule="auto"/>
              <w:ind w:firstLine="708"/>
              <w:jc w:val="both"/>
              <w:rPr>
                <w:rFonts w:ascii="Verdana" w:hAnsi="Verdana"/>
              </w:rPr>
            </w:pPr>
            <w:r>
              <w:rPr>
                <w:rFonts w:ascii="Verdana" w:hAnsi="Verdana"/>
              </w:rPr>
              <w:t xml:space="preserve">En efecto, </w:t>
            </w:r>
            <w:r w:rsidRPr="0093722E">
              <w:rPr>
                <w:rFonts w:ascii="Verdana" w:hAnsi="Verdana"/>
              </w:rPr>
              <w:t xml:space="preserve">las Subsecciones A y C de la Sección Tercera del Consejo de Estado </w:t>
            </w:r>
            <w:r>
              <w:rPr>
                <w:rFonts w:ascii="Verdana" w:hAnsi="Verdana"/>
              </w:rPr>
              <w:t>comparten</w:t>
            </w:r>
            <w:r w:rsidRPr="0093722E">
              <w:rPr>
                <w:rFonts w:ascii="Verdana" w:hAnsi="Verdana"/>
              </w:rPr>
              <w:t xml:space="preserve"> un</w:t>
            </w:r>
            <w:r>
              <w:rPr>
                <w:rFonts w:ascii="Verdana" w:hAnsi="Verdana"/>
              </w:rPr>
              <w:t>a</w:t>
            </w:r>
            <w:r w:rsidRPr="0093722E">
              <w:rPr>
                <w:rFonts w:ascii="Verdana" w:hAnsi="Verdana"/>
              </w:rPr>
              <w:t xml:space="preserve"> </w:t>
            </w:r>
            <w:r>
              <w:rPr>
                <w:rFonts w:ascii="Verdana" w:hAnsi="Verdana"/>
              </w:rPr>
              <w:t>postura</w:t>
            </w:r>
            <w:r w:rsidRPr="0093722E">
              <w:rPr>
                <w:rFonts w:ascii="Verdana" w:hAnsi="Verdana"/>
              </w:rPr>
              <w:t xml:space="preserve"> d</w:t>
            </w:r>
            <w:r>
              <w:rPr>
                <w:rFonts w:ascii="Verdana" w:hAnsi="Verdana"/>
              </w:rPr>
              <w:t>iferente</w:t>
            </w:r>
            <w:r w:rsidRPr="0093722E">
              <w:rPr>
                <w:rFonts w:ascii="Verdana" w:hAnsi="Verdana"/>
              </w:rPr>
              <w:t xml:space="preserve"> a</w:t>
            </w:r>
            <w:r>
              <w:rPr>
                <w:rFonts w:ascii="Verdana" w:hAnsi="Verdana"/>
              </w:rPr>
              <w:t xml:space="preserve"> la </w:t>
            </w:r>
            <w:r w:rsidRPr="0093722E">
              <w:rPr>
                <w:rFonts w:ascii="Verdana" w:hAnsi="Verdana"/>
              </w:rPr>
              <w:t>que</w:t>
            </w:r>
            <w:r>
              <w:rPr>
                <w:rFonts w:ascii="Verdana" w:hAnsi="Verdana"/>
              </w:rPr>
              <w:t xml:space="preserve"> sostenía </w:t>
            </w:r>
            <w:r w:rsidRPr="0093722E">
              <w:rPr>
                <w:rFonts w:ascii="Verdana" w:hAnsi="Verdana"/>
              </w:rPr>
              <w:t>la Subsección B. Mientras las primeras consideraban que la pérdida de competencia de la entidad estatal para efectuar la liquidación unilateral del contrato se producía con la notificación del auto admisorio de la demand</w:t>
            </w:r>
            <w:r>
              <w:rPr>
                <w:rFonts w:ascii="Verdana" w:hAnsi="Verdana"/>
              </w:rPr>
              <w:t>a e</w:t>
            </w:r>
            <w:r w:rsidRPr="00346A72">
              <w:rPr>
                <w:rFonts w:ascii="Verdana" w:hAnsi="Verdana"/>
              </w:rPr>
              <w:t>n que se incorporen pretensiones de incumplimiento y de liquidación</w:t>
            </w:r>
            <w:r w:rsidRPr="0093722E">
              <w:rPr>
                <w:rFonts w:ascii="Verdana" w:hAnsi="Verdana"/>
              </w:rPr>
              <w:t>, la Subsección B sostenía que dicho efecto se materializaba desde la presentación de la demanda</w:t>
            </w:r>
            <w:r>
              <w:rPr>
                <w:rFonts w:ascii="Verdana" w:hAnsi="Verdana"/>
              </w:rPr>
              <w:t>.</w:t>
            </w:r>
          </w:p>
          <w:p w14:paraId="4E64F511" w14:textId="77777777" w:rsidR="006E3B9E" w:rsidRDefault="006E3B9E" w:rsidP="00C671FE">
            <w:pPr>
              <w:snapToGrid w:val="0"/>
              <w:spacing w:after="120" w:line="276" w:lineRule="auto"/>
              <w:ind w:firstLine="708"/>
              <w:jc w:val="both"/>
              <w:rPr>
                <w:rFonts w:ascii="Verdana" w:hAnsi="Verdana"/>
              </w:rPr>
            </w:pPr>
            <w:r>
              <w:rPr>
                <w:rFonts w:ascii="Verdana" w:hAnsi="Verdana"/>
              </w:rPr>
              <w:t xml:space="preserve">Sin embargo, </w:t>
            </w:r>
            <w:r w:rsidRPr="0093722E">
              <w:rPr>
                <w:rFonts w:ascii="Verdana" w:hAnsi="Verdana"/>
              </w:rPr>
              <w:t>mediante auto del 2</w:t>
            </w:r>
            <w:r>
              <w:rPr>
                <w:rFonts w:ascii="Verdana" w:hAnsi="Verdana"/>
              </w:rPr>
              <w:t>7</w:t>
            </w:r>
            <w:r w:rsidRPr="0093722E">
              <w:rPr>
                <w:rFonts w:ascii="Verdana" w:hAnsi="Verdana"/>
              </w:rPr>
              <w:t xml:space="preserve"> de febrero de 2026, la Subsección B,</w:t>
            </w:r>
            <w:r w:rsidRPr="00F02A60">
              <w:rPr>
                <w:rFonts w:ascii="Verdana" w:hAnsi="Verdana"/>
              </w:rPr>
              <w:t xml:space="preserve"> </w:t>
            </w:r>
            <w:r w:rsidRPr="0093722E">
              <w:rPr>
                <w:rFonts w:ascii="Verdana" w:hAnsi="Verdana"/>
              </w:rPr>
              <w:t>acogió la línea interpretativa desarrollada por las Subsecciones A y C con el propósito de</w:t>
            </w:r>
            <w:r w:rsidRPr="00EA4182">
              <w:rPr>
                <w:rFonts w:ascii="Verdana" w:hAnsi="Verdana"/>
              </w:rPr>
              <w:t xml:space="preserve"> fijar un criterio uniforme de decisión y consecuencialmente brindar seguridad jurídica a la comunidad</w:t>
            </w:r>
            <w:r w:rsidRPr="0093722E">
              <w:rPr>
                <w:rFonts w:ascii="Verdana" w:hAnsi="Verdana"/>
              </w:rPr>
              <w:t>.</w:t>
            </w:r>
            <w:r>
              <w:rPr>
                <w:rFonts w:ascii="Verdana" w:hAnsi="Verdana"/>
              </w:rPr>
              <w:t xml:space="preserve"> </w:t>
            </w:r>
            <w:r w:rsidRPr="000813FE">
              <w:rPr>
                <w:rFonts w:ascii="Verdana" w:hAnsi="Verdana"/>
              </w:rPr>
              <w:t>Para sustentar este cambio de</w:t>
            </w:r>
            <w:r>
              <w:rPr>
                <w:rFonts w:ascii="Verdana" w:hAnsi="Verdana"/>
              </w:rPr>
              <w:t xml:space="preserve"> postura</w:t>
            </w:r>
            <w:r w:rsidRPr="000813FE">
              <w:rPr>
                <w:rFonts w:ascii="Verdana" w:hAnsi="Verdana"/>
              </w:rPr>
              <w:t>,</w:t>
            </w:r>
            <w:r>
              <w:rPr>
                <w:rFonts w:ascii="Verdana" w:hAnsi="Verdana"/>
              </w:rPr>
              <w:t xml:space="preserve"> </w:t>
            </w:r>
            <w:r w:rsidRPr="000813FE">
              <w:rPr>
                <w:rFonts w:ascii="Verdana" w:hAnsi="Verdana"/>
              </w:rPr>
              <w:t>expuso dos razones principales</w:t>
            </w:r>
            <w:r>
              <w:rPr>
                <w:rFonts w:ascii="Verdana" w:hAnsi="Verdana"/>
              </w:rPr>
              <w:t>:</w:t>
            </w:r>
            <w:r w:rsidRPr="000813FE">
              <w:rPr>
                <w:rFonts w:ascii="Verdana" w:hAnsi="Verdana"/>
              </w:rPr>
              <w:t xml:space="preserve"> </w:t>
            </w:r>
            <w:r>
              <w:rPr>
                <w:rFonts w:ascii="Verdana" w:hAnsi="Verdana"/>
              </w:rPr>
              <w:t>e</w:t>
            </w:r>
            <w:r w:rsidRPr="000813FE">
              <w:rPr>
                <w:rFonts w:ascii="Verdana" w:hAnsi="Verdana"/>
              </w:rPr>
              <w:t>n primer lugar, señaló que</w:t>
            </w:r>
            <w:r w:rsidRPr="002157E3">
              <w:t xml:space="preserve"> </w:t>
            </w:r>
            <w:r>
              <w:rPr>
                <w:rFonts w:ascii="Verdana" w:hAnsi="Verdana"/>
              </w:rPr>
              <w:t>l</w:t>
            </w:r>
            <w:r w:rsidRPr="004F3BFC">
              <w:rPr>
                <w:rFonts w:ascii="Verdana" w:hAnsi="Verdana"/>
              </w:rPr>
              <w:t>a presentación de la demanda no implica la existencia de una relación jurídica procesal</w:t>
            </w:r>
            <w:r>
              <w:rPr>
                <w:rFonts w:ascii="Verdana" w:hAnsi="Verdana"/>
              </w:rPr>
              <w:t>, ya que</w:t>
            </w:r>
            <w:r w:rsidRPr="000D726F">
              <w:t xml:space="preserve"> </w:t>
            </w:r>
            <w:r>
              <w:rPr>
                <w:rFonts w:ascii="Verdana" w:hAnsi="Verdana"/>
              </w:rPr>
              <w:t>c</w:t>
            </w:r>
            <w:r w:rsidRPr="000D726F">
              <w:rPr>
                <w:rFonts w:ascii="Verdana" w:hAnsi="Verdana"/>
              </w:rPr>
              <w:t xml:space="preserve">uando la demanda se inadmite o se rechaza no surge la </w:t>
            </w:r>
            <w:r w:rsidRPr="000D726F">
              <w:rPr>
                <w:rFonts w:ascii="Verdana" w:hAnsi="Verdana"/>
              </w:rPr>
              <w:lastRenderedPageBreak/>
              <w:t>relación procesal</w:t>
            </w:r>
            <w:r>
              <w:rPr>
                <w:rFonts w:ascii="Verdana" w:hAnsi="Verdana"/>
              </w:rPr>
              <w:t xml:space="preserve">. En caso de la inadmisión </w:t>
            </w:r>
            <w:r w:rsidRPr="002157E3">
              <w:rPr>
                <w:rFonts w:ascii="Verdana" w:hAnsi="Verdana"/>
              </w:rPr>
              <w:t>es necesario esperar a que se subsane para efectos de dictar el auto admisorio correspondiente; pero si se rechaza de plano o por no haberse subsanado, la relación procesal no nace a la vida jurídica.</w:t>
            </w:r>
            <w:r>
              <w:rPr>
                <w:rFonts w:ascii="Verdana" w:hAnsi="Verdana"/>
              </w:rPr>
              <w:t xml:space="preserve"> Además, indicó que “</w:t>
            </w:r>
            <w:r w:rsidRPr="00C500C1">
              <w:rPr>
                <w:rFonts w:ascii="Verdana" w:hAnsi="Verdana"/>
              </w:rPr>
              <w:t>una vez presentada una demanda, y antes de que se notifique a algún demandado o al Ministerio Público,</w:t>
            </w:r>
            <w:r>
              <w:rPr>
                <w:rFonts w:ascii="Verdana" w:hAnsi="Verdana"/>
              </w:rPr>
              <w:t xml:space="preserve"> </w:t>
            </w:r>
            <w:r w:rsidRPr="005A043C">
              <w:rPr>
                <w:rFonts w:ascii="Verdana" w:hAnsi="Verdana"/>
              </w:rPr>
              <w:t>es perfectamente posible retirarla, sin que dicha conducta implique la ocurrencia del fenómeno de la cosa juzgada</w:t>
            </w:r>
            <w:r>
              <w:rPr>
                <w:rFonts w:ascii="Verdana" w:hAnsi="Verdana"/>
              </w:rPr>
              <w:t xml:space="preserve">”. </w:t>
            </w:r>
          </w:p>
          <w:p w14:paraId="121A6AFD" w14:textId="77777777" w:rsidR="006E3B9E" w:rsidRDefault="006E3B9E" w:rsidP="00C671FE">
            <w:pPr>
              <w:snapToGrid w:val="0"/>
              <w:spacing w:after="120" w:line="276" w:lineRule="auto"/>
              <w:ind w:firstLine="708"/>
              <w:jc w:val="both"/>
              <w:rPr>
                <w:rFonts w:ascii="Verdana" w:hAnsi="Verdana"/>
              </w:rPr>
            </w:pPr>
            <w:r>
              <w:rPr>
                <w:rFonts w:ascii="Verdana" w:hAnsi="Verdana"/>
              </w:rPr>
              <w:t>En segundo lugar, indicó que “</w:t>
            </w:r>
            <w:r w:rsidRPr="00F73DFD">
              <w:rPr>
                <w:rFonts w:ascii="Verdana" w:hAnsi="Verdana"/>
              </w:rPr>
              <w:t>solo se traba la litis cuando se notifica el auto admisorio de la demanda al extremo pasivo, y hay total certeza de que la relación jurídico procesal se ha originado, pues ya no es posible retirar la demanda, ni que esta sea rechazada</w:t>
            </w:r>
            <w:r>
              <w:rPr>
                <w:rFonts w:ascii="Verdana" w:hAnsi="Verdana"/>
              </w:rPr>
              <w:t xml:space="preserve">”. Así mismo señaló que </w:t>
            </w:r>
            <w:r w:rsidRPr="002A14BA">
              <w:rPr>
                <w:rFonts w:ascii="Verdana" w:hAnsi="Verdana"/>
              </w:rPr>
              <w:t>con la notificación del auto admisorio de la demanda se vincula el extremo demandado al proceso, y que el ejercicio del derecho de acción solo sirve para constituir la relación procesal “una vez la demanda se comunica o notifica a la contraparte”</w:t>
            </w:r>
            <w:r>
              <w:rPr>
                <w:rFonts w:ascii="Verdana" w:hAnsi="Verdana"/>
              </w:rPr>
              <w:t>.</w:t>
            </w:r>
          </w:p>
          <w:p w14:paraId="1A872F46" w14:textId="77777777" w:rsidR="006E3B9E" w:rsidRDefault="006E3B9E" w:rsidP="00C671FE">
            <w:pPr>
              <w:snapToGrid w:val="0"/>
              <w:spacing w:after="120" w:line="276" w:lineRule="auto"/>
              <w:ind w:firstLine="708"/>
              <w:jc w:val="both"/>
              <w:rPr>
                <w:rFonts w:ascii="Verdana" w:eastAsia="Calibri" w:hAnsi="Verdana" w:cs="Arial"/>
              </w:rPr>
            </w:pPr>
            <w:r w:rsidRPr="00B0513B">
              <w:rPr>
                <w:rFonts w:ascii="Verdana" w:hAnsi="Verdana"/>
              </w:rPr>
              <w:t>En este contexto, la Subsección B rectificó su jurisprudencia y se realineó con la posición sostenida por las Subsecciones A y C, en el sentido de que 'la entidad estatal pierde competencia para expedir actos administrativos de declaratoria de incumplimiento y liquidación del contrato, una vez que se le notifica el auto admisorio de la demanda presentada en contra de la propia entidad, siempre y cuando las pretensiones o los hechos correspondientes se refieran a los puntos específicos que dieron lugar al procedimiento administrativo de declaratoria de incumplimiento o de liquidación del contrato'. Conviene precisar que esta decisión constituye una rectificación de la jurisprudencia de la Subsección B —que la hace converger con las demás subsecciones—, y no una sentencia o auto de unificación jurisprudencial en los términos de los artículos 270 y 271 del CPACA, cuya expedición corresponde a la Sala Plena de la Sección o a la Sala Plena de lo Contencioso Administrativo</w:t>
            </w:r>
            <w:r>
              <w:rPr>
                <w:rFonts w:ascii="Verdana" w:hAnsi="Verdana"/>
              </w:rPr>
              <w:t>.</w:t>
            </w:r>
          </w:p>
          <w:p w14:paraId="4F2D4F38" w14:textId="77777777" w:rsidR="006E3B9E" w:rsidRDefault="006E3B9E" w:rsidP="00C671FE">
            <w:pPr>
              <w:snapToGrid w:val="0"/>
              <w:spacing w:after="120" w:line="276" w:lineRule="auto"/>
              <w:ind w:firstLine="708"/>
              <w:jc w:val="both"/>
              <w:rPr>
                <w:rFonts w:ascii="Verdana" w:eastAsia="Calibri" w:hAnsi="Verdana" w:cs="Arial"/>
              </w:rPr>
            </w:pPr>
            <w:r w:rsidRPr="00175FAD">
              <w:rPr>
                <w:rFonts w:ascii="Verdana" w:eastAsia="Calibri" w:hAnsi="Verdana" w:cs="Arial"/>
              </w:rPr>
              <w:t xml:space="preserve">El alcance de esta regla se concreta en que, una vez notificado el auto admisorio de la demanda, la entidad estatal pierde la competencia para adoptar aquellas decisiones cuyo conocimiento ha sido </w:t>
            </w:r>
            <w:r>
              <w:rPr>
                <w:rFonts w:ascii="Verdana" w:eastAsia="Calibri" w:hAnsi="Verdana" w:cs="Arial"/>
              </w:rPr>
              <w:t>solicitado</w:t>
            </w:r>
            <w:r w:rsidRPr="00175FAD">
              <w:rPr>
                <w:rFonts w:ascii="Verdana" w:eastAsia="Calibri" w:hAnsi="Verdana" w:cs="Arial"/>
              </w:rPr>
              <w:t xml:space="preserve"> al juez del contrato. En consecuencia, cuando las pretensiones de la demanda comprendan la declaratoria de incumplimiento o la liquidación judicial del contrato, la entidad no podrá expedir actos administrativos dirigidos a declarar el incumplimiento ni adelantar la liquidación unilateral del negocio jurídico, pues tales materias han sido sometidas al conocimiento de</w:t>
            </w:r>
            <w:r>
              <w:rPr>
                <w:rFonts w:ascii="Verdana" w:eastAsia="Calibri" w:hAnsi="Verdana" w:cs="Arial"/>
              </w:rPr>
              <w:t>l juez</w:t>
            </w:r>
            <w:r w:rsidRPr="00175FAD">
              <w:rPr>
                <w:rFonts w:ascii="Verdana" w:eastAsia="Calibri" w:hAnsi="Verdana" w:cs="Arial"/>
              </w:rPr>
              <w:t xml:space="preserve">. En este </w:t>
            </w:r>
            <w:r w:rsidRPr="00175FAD">
              <w:rPr>
                <w:rFonts w:ascii="Verdana" w:eastAsia="Calibri" w:hAnsi="Verdana" w:cs="Arial"/>
              </w:rPr>
              <w:lastRenderedPageBreak/>
              <w:t>sentido, la entidad deberá abstenerse de adelantar actuaciones que recaigan sobre l</w:t>
            </w:r>
            <w:r>
              <w:rPr>
                <w:rFonts w:ascii="Verdana" w:eastAsia="Calibri" w:hAnsi="Verdana" w:cs="Arial"/>
              </w:rPr>
              <w:t>os puntos</w:t>
            </w:r>
            <w:r w:rsidRPr="00175FAD">
              <w:rPr>
                <w:rFonts w:ascii="Verdana" w:eastAsia="Calibri" w:hAnsi="Verdana" w:cs="Arial"/>
              </w:rPr>
              <w:t xml:space="preserve"> objeto del litigio o que puedan interferir con el ejercicio de la competencia del juez</w:t>
            </w:r>
            <w:r>
              <w:rPr>
                <w:rFonts w:ascii="Verdana" w:eastAsia="Calibri" w:hAnsi="Verdana" w:cs="Arial"/>
              </w:rPr>
              <w:t xml:space="preserve">. </w:t>
            </w:r>
            <w:r w:rsidRPr="00A632F7">
              <w:rPr>
                <w:rFonts w:ascii="Verdana" w:eastAsia="Calibri" w:hAnsi="Verdana" w:cs="Arial"/>
              </w:rPr>
              <w:t>Esta regla es, además, expresión del debido proceso y de la separación entre la función administrativa y la judicial</w:t>
            </w:r>
            <w:r>
              <w:rPr>
                <w:rFonts w:ascii="Verdana" w:eastAsia="Calibri" w:hAnsi="Verdana" w:cs="Arial"/>
              </w:rPr>
              <w:t>.</w:t>
            </w:r>
            <w:r w:rsidRPr="00A632F7">
              <w:rPr>
                <w:rFonts w:ascii="Verdana" w:eastAsia="Calibri" w:hAnsi="Verdana" w:cs="Arial"/>
              </w:rPr>
              <w:t xml:space="preserve"> </w:t>
            </w:r>
            <w:r>
              <w:rPr>
                <w:rFonts w:ascii="Verdana" w:eastAsia="Calibri" w:hAnsi="Verdana" w:cs="Arial"/>
              </w:rPr>
              <w:t>T</w:t>
            </w:r>
            <w:r w:rsidRPr="00A632F7">
              <w:rPr>
                <w:rFonts w:ascii="Verdana" w:eastAsia="Calibri" w:hAnsi="Verdana" w:cs="Arial"/>
              </w:rPr>
              <w:t xml:space="preserve">rabada la </w:t>
            </w:r>
            <w:r w:rsidRPr="00BD4D05">
              <w:rPr>
                <w:rFonts w:ascii="Verdana" w:eastAsia="Calibri" w:hAnsi="Verdana" w:cs="Arial"/>
                <w:i/>
                <w:iCs/>
              </w:rPr>
              <w:t>litis</w:t>
            </w:r>
            <w:r w:rsidRPr="00A632F7">
              <w:rPr>
                <w:rFonts w:ascii="Verdana" w:eastAsia="Calibri" w:hAnsi="Verdana" w:cs="Arial"/>
              </w:rPr>
              <w:t>, la administración no puede pronunciarse sobre aquello que ya ha sido sometido al conocimiento del juez del contrato, so pena de convertirse en juez de su propia causa.</w:t>
            </w:r>
          </w:p>
          <w:p w14:paraId="1844F96D" w14:textId="77777777" w:rsidR="006E3B9E" w:rsidRDefault="006E3B9E" w:rsidP="00C671FE">
            <w:pPr>
              <w:snapToGrid w:val="0"/>
              <w:spacing w:after="120" w:line="276" w:lineRule="auto"/>
              <w:ind w:firstLine="708"/>
              <w:jc w:val="both"/>
              <w:rPr>
                <w:rFonts w:ascii="Verdana" w:eastAsia="Calibri" w:hAnsi="Verdana" w:cs="Arial"/>
              </w:rPr>
            </w:pPr>
            <w:r w:rsidRPr="004D0A74">
              <w:rPr>
                <w:rFonts w:ascii="Verdana" w:eastAsia="Calibri" w:hAnsi="Verdana" w:cs="Arial"/>
              </w:rPr>
              <w:t>Con todo, la pérdida de la competencia para liquidar unilateralmente el contrato no depende únicamente de la existencia de un proceso judicial. Dicha facultad también se extingue por el vencimiento del término legal para su ejercicio, esto es, una vez transcurrida la ventana de dos años posteriores al vencimiento del plazo para la liquidación unilateral, o cuando ha operado la caducidad del medio de control de controversias contractuales. En consecuencia, la competencia se extingue por el primero de los siguientes hitos que ocurra: (i) la notificación del auto admisorio de la demanda que persigue la liquidación judicial del contrato, o (</w:t>
            </w:r>
            <w:proofErr w:type="spellStart"/>
            <w:r w:rsidRPr="004D0A74">
              <w:rPr>
                <w:rFonts w:ascii="Verdana" w:eastAsia="Calibri" w:hAnsi="Verdana" w:cs="Arial"/>
              </w:rPr>
              <w:t>ii</w:t>
            </w:r>
            <w:proofErr w:type="spellEnd"/>
            <w:r w:rsidRPr="004D0A74">
              <w:rPr>
                <w:rFonts w:ascii="Verdana" w:eastAsia="Calibri" w:hAnsi="Verdana" w:cs="Arial"/>
              </w:rPr>
              <w:t>) el vencimiento del término legal —incluida la referida ventana de dos años— para liquidar.</w:t>
            </w:r>
          </w:p>
          <w:p w14:paraId="29219B86" w14:textId="77777777" w:rsidR="006E3B9E" w:rsidRDefault="006E3B9E" w:rsidP="00C671FE">
            <w:pPr>
              <w:snapToGrid w:val="0"/>
              <w:spacing w:after="120" w:line="276" w:lineRule="auto"/>
              <w:ind w:firstLine="708"/>
              <w:jc w:val="both"/>
              <w:rPr>
                <w:rFonts w:ascii="Verdana" w:eastAsia="Calibri" w:hAnsi="Verdana" w:cs="Arial"/>
                <w:color w:val="000000" w:themeColor="text1"/>
                <w:lang w:val="es-ES"/>
              </w:rPr>
            </w:pPr>
            <w:r>
              <w:rPr>
                <w:rFonts w:ascii="Verdana" w:eastAsia="Calibri" w:hAnsi="Verdana" w:cs="Arial"/>
                <w:color w:val="000000" w:themeColor="text1"/>
              </w:rPr>
              <w:t xml:space="preserve">Sin embargo, esta </w:t>
            </w:r>
            <w:r w:rsidRPr="00FC6F8D">
              <w:rPr>
                <w:rFonts w:ascii="Verdana" w:eastAsia="Calibri" w:hAnsi="Verdana" w:cs="Arial"/>
                <w:color w:val="000000" w:themeColor="text1"/>
              </w:rPr>
              <w:t xml:space="preserve">circunstancia no impide que la entidad </w:t>
            </w:r>
            <w:r>
              <w:rPr>
                <w:rFonts w:ascii="Verdana" w:eastAsia="Calibri" w:hAnsi="Verdana" w:cs="Arial"/>
                <w:color w:val="000000" w:themeColor="text1"/>
              </w:rPr>
              <w:t>realice las actuaciones presupuestales</w:t>
            </w:r>
            <w:r w:rsidRPr="00FC6F8D">
              <w:rPr>
                <w:rFonts w:ascii="Verdana" w:eastAsia="Calibri" w:hAnsi="Verdana" w:cs="Arial"/>
                <w:color w:val="000000" w:themeColor="text1"/>
              </w:rPr>
              <w:t xml:space="preserve"> que</w:t>
            </w:r>
            <w:r>
              <w:rPr>
                <w:rFonts w:ascii="Verdana" w:eastAsia="Calibri" w:hAnsi="Verdana" w:cs="Arial"/>
                <w:color w:val="000000" w:themeColor="text1"/>
              </w:rPr>
              <w:t xml:space="preserve"> correspondan</w:t>
            </w:r>
            <w:r w:rsidRPr="00FC6F8D">
              <w:rPr>
                <w:rFonts w:ascii="Verdana" w:eastAsia="Calibri" w:hAnsi="Verdana" w:cs="Arial"/>
                <w:color w:val="000000" w:themeColor="text1"/>
              </w:rPr>
              <w:t xml:space="preserve">, </w:t>
            </w:r>
            <w:r>
              <w:rPr>
                <w:rFonts w:ascii="Verdana" w:eastAsia="Calibri" w:hAnsi="Verdana" w:cs="Arial"/>
                <w:color w:val="000000" w:themeColor="text1"/>
              </w:rPr>
              <w:t xml:space="preserve">en torno al contrato del cual se pretende la liquidación. </w:t>
            </w:r>
            <w:r>
              <w:rPr>
                <w:rFonts w:ascii="Verdana" w:eastAsia="Calibri" w:hAnsi="Verdana" w:cs="Arial"/>
                <w:color w:val="000000" w:themeColor="text1"/>
                <w:lang w:val="es-ES"/>
              </w:rPr>
              <w:t xml:space="preserve">En estos eventos y </w:t>
            </w:r>
            <w:r w:rsidRPr="00B90FD5">
              <w:rPr>
                <w:rFonts w:ascii="Verdana" w:eastAsia="Calibri" w:hAnsi="Verdana" w:cs="Arial"/>
                <w:color w:val="000000" w:themeColor="text1"/>
                <w:lang w:val="es-ES"/>
              </w:rPr>
              <w:t xml:space="preserve">siempre que ello no implique adoptar decisiones sobre materias sometidas al conocimiento del juez, la entidad podrá </w:t>
            </w:r>
            <w:r>
              <w:rPr>
                <w:rFonts w:ascii="Verdana" w:eastAsia="Calibri" w:hAnsi="Verdana" w:cs="Arial"/>
                <w:color w:val="000000" w:themeColor="text1"/>
                <w:lang w:val="es-ES"/>
              </w:rPr>
              <w:t xml:space="preserve">gestionar </w:t>
            </w:r>
            <w:r w:rsidRPr="00B90FD5">
              <w:rPr>
                <w:rFonts w:ascii="Verdana" w:eastAsia="Calibri" w:hAnsi="Verdana" w:cs="Arial"/>
                <w:color w:val="000000" w:themeColor="text1"/>
                <w:lang w:val="es-ES"/>
              </w:rPr>
              <w:t>los recursos asociados al contrato de conformidad con el régimen presupuestal aplicable</w:t>
            </w:r>
            <w:r>
              <w:rPr>
                <w:rFonts w:ascii="Verdana" w:eastAsia="Calibri" w:hAnsi="Verdana" w:cs="Arial"/>
                <w:color w:val="000000" w:themeColor="text1"/>
                <w:lang w:val="es-ES"/>
              </w:rPr>
              <w:t xml:space="preserve">, lo que podría comprender, por ejemplo, </w:t>
            </w:r>
            <w:r w:rsidRPr="00B90FD5">
              <w:rPr>
                <w:rFonts w:ascii="Verdana" w:eastAsia="Calibri" w:hAnsi="Verdana" w:cs="Arial"/>
                <w:color w:val="000000" w:themeColor="text1"/>
                <w:lang w:val="es-ES"/>
              </w:rPr>
              <w:t>la utilización de las figuras presupuestales como las reservas presupuestales o los pasivos exigibles por vigencias expiradas, cuando se cumplan los requisitos para su procedencia</w:t>
            </w:r>
            <w:r>
              <w:rPr>
                <w:rFonts w:ascii="Verdana" w:eastAsia="Calibri" w:hAnsi="Verdana" w:cs="Arial"/>
                <w:color w:val="000000" w:themeColor="text1"/>
                <w:lang w:val="es-ES"/>
              </w:rPr>
              <w:t>,</w:t>
            </w:r>
            <w:r w:rsidRPr="006C6964">
              <w:rPr>
                <w:rFonts w:ascii="Verdana" w:eastAsia="Calibri" w:hAnsi="Verdana" w:cs="Arial"/>
                <w:color w:val="000000" w:themeColor="text1"/>
                <w:lang w:val="es-ES"/>
              </w:rPr>
              <w:t xml:space="preserve"> </w:t>
            </w:r>
            <w:r w:rsidRPr="00B90FD5">
              <w:rPr>
                <w:rFonts w:ascii="Verdana" w:eastAsia="Calibri" w:hAnsi="Verdana" w:cs="Arial"/>
                <w:color w:val="000000" w:themeColor="text1"/>
                <w:lang w:val="es-ES"/>
              </w:rPr>
              <w:t>la liberación de saldos no comprometidos o no ejecutados, y las demás actuaciones de gestión presupuestal autorizadas por la normativa vigente</w:t>
            </w:r>
            <w:r>
              <w:rPr>
                <w:rStyle w:val="Refdenotaalpie"/>
                <w:rFonts w:ascii="Verdana" w:eastAsia="Calibri" w:hAnsi="Verdana" w:cs="Arial"/>
                <w:color w:val="000000" w:themeColor="text1"/>
                <w:lang w:val="es-ES"/>
              </w:rPr>
              <w:footnoteReference w:id="1"/>
            </w:r>
            <w:r w:rsidRPr="00B90FD5">
              <w:rPr>
                <w:rFonts w:ascii="Verdana" w:eastAsia="Calibri" w:hAnsi="Verdana" w:cs="Arial"/>
                <w:color w:val="000000" w:themeColor="text1"/>
                <w:lang w:val="es-ES"/>
              </w:rPr>
              <w:t>.</w:t>
            </w:r>
          </w:p>
          <w:p w14:paraId="09581DC1" w14:textId="77777777" w:rsidR="006E3B9E" w:rsidRPr="00476EC8" w:rsidRDefault="006E3B9E" w:rsidP="00C671FE">
            <w:pPr>
              <w:snapToGrid w:val="0"/>
              <w:spacing w:after="120" w:line="276" w:lineRule="auto"/>
              <w:ind w:firstLine="708"/>
              <w:jc w:val="both"/>
              <w:rPr>
                <w:rFonts w:ascii="Verdana" w:eastAsia="Calibri" w:hAnsi="Verdana" w:cs="Arial"/>
              </w:rPr>
            </w:pPr>
            <w:r w:rsidRPr="00E0292A">
              <w:rPr>
                <w:rFonts w:ascii="Verdana" w:eastAsia="Calibri" w:hAnsi="Verdana" w:cs="Arial"/>
              </w:rPr>
              <w:t xml:space="preserve">En síntesis, la pérdida de competencia para liquidar y la gestión presupuestal de los recursos asociados al contrato operan en planos distintos </w:t>
            </w:r>
            <w:r w:rsidRPr="00E0292A">
              <w:rPr>
                <w:rFonts w:ascii="Verdana" w:eastAsia="Calibri" w:hAnsi="Verdana" w:cs="Arial"/>
              </w:rPr>
              <w:lastRenderedPageBreak/>
              <w:t>y responden a fundamentos normativos diferentes</w:t>
            </w:r>
            <w:r>
              <w:rPr>
                <w:rFonts w:ascii="Verdana" w:eastAsia="Calibri" w:hAnsi="Verdana" w:cs="Arial"/>
              </w:rPr>
              <w:t>.</w:t>
            </w:r>
            <w:r w:rsidRPr="00E0292A">
              <w:rPr>
                <w:rFonts w:ascii="Verdana" w:eastAsia="Calibri" w:hAnsi="Verdana" w:cs="Arial"/>
              </w:rPr>
              <w:t xml:space="preserve"> </w:t>
            </w:r>
            <w:r>
              <w:rPr>
                <w:rFonts w:ascii="Verdana" w:eastAsia="Calibri" w:hAnsi="Verdana" w:cs="Arial"/>
              </w:rPr>
              <w:t>L</w:t>
            </w:r>
            <w:r w:rsidRPr="00E0292A">
              <w:rPr>
                <w:rFonts w:ascii="Verdana" w:eastAsia="Calibri" w:hAnsi="Verdana" w:cs="Arial"/>
              </w:rPr>
              <w:t>a primera se rige por el Estatuto General de Contratación de la Administración Pública —en particular, el artículo 11 de la Ley 1150 de 2007 y el artículo 141 del CPACA— y cede ante el juez del contrato una vez notificado el auto admisorio de la demanda; la segunda se rige por el Estatuto Orgánico del Presupuesto y sus normas reglamentarias, y permanece en cabeza de la entidad. Por ello, que la liquidación del contrato haya sido sometida al juez no inmoviliza la gestión presupuestal: la entidad conserva la facultad de administrar los recursos conforme al régimen presupuestal aplicable, con el único límite de no adoptar, por esa vía, decisiones sobre los aspectos que integran el objeto de la controversia judicial.</w:t>
            </w:r>
          </w:p>
        </w:tc>
      </w:tr>
    </w:tbl>
    <w:p w14:paraId="2C23A9A9" w14:textId="77777777" w:rsidR="006E3B9E" w:rsidRPr="00593A5F" w:rsidRDefault="006E3B9E" w:rsidP="006E3B9E">
      <w:pPr>
        <w:tabs>
          <w:tab w:val="left" w:pos="142"/>
          <w:tab w:val="left" w:pos="284"/>
        </w:tabs>
        <w:spacing w:after="0" w:line="276" w:lineRule="auto"/>
        <w:jc w:val="both"/>
        <w:rPr>
          <w:rFonts w:ascii="Verdana" w:eastAsia="Century Gothic" w:hAnsi="Verdana" w:cs="Century Gothic"/>
          <w:b/>
          <w:bCs/>
          <w:lang w:val="es-ES"/>
        </w:rPr>
      </w:pPr>
    </w:p>
    <w:bookmarkEnd w:id="1"/>
    <w:p w14:paraId="6F308139" w14:textId="77777777" w:rsidR="006E3B9E" w:rsidRPr="00593A5F" w:rsidRDefault="006E3B9E" w:rsidP="006E3B9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32DA56D4" w14:textId="77777777" w:rsidR="006E3B9E" w:rsidRPr="00593A5F" w:rsidRDefault="006E3B9E" w:rsidP="006E3B9E">
      <w:pPr>
        <w:spacing w:after="0" w:line="276" w:lineRule="auto"/>
        <w:jc w:val="both"/>
        <w:rPr>
          <w:rFonts w:ascii="Verdana" w:eastAsia="Calibri" w:hAnsi="Verdana" w:cs="Arial"/>
          <w:color w:val="7030A0"/>
          <w:lang w:val="es-ES"/>
        </w:rPr>
      </w:pPr>
    </w:p>
    <w:p w14:paraId="7D41C4E0" w14:textId="77777777" w:rsidR="006E3B9E" w:rsidRDefault="006E3B9E" w:rsidP="006E3B9E">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5F2AB89D" w14:textId="77777777" w:rsidR="006E3B9E" w:rsidRPr="00415608" w:rsidRDefault="006E3B9E" w:rsidP="006E3B9E">
      <w:pPr>
        <w:spacing w:after="0" w:line="276" w:lineRule="auto"/>
        <w:jc w:val="both"/>
        <w:rPr>
          <w:rFonts w:ascii="Verdana" w:eastAsia="Calibri" w:hAnsi="Verdana" w:cs="Arial"/>
          <w:lang w:val="es-ES"/>
        </w:rPr>
      </w:pPr>
    </w:p>
    <w:p w14:paraId="04F946F7" w14:textId="77777777" w:rsidR="006E3B9E" w:rsidRPr="00FB5FC4" w:rsidRDefault="006E3B9E" w:rsidP="006E3B9E">
      <w:pPr>
        <w:spacing w:after="0" w:line="276" w:lineRule="auto"/>
        <w:jc w:val="both"/>
        <w:rPr>
          <w:rFonts w:ascii="Verdana" w:eastAsia="Calibri" w:hAnsi="Verdana" w:cs="Arial"/>
          <w:color w:val="000000"/>
          <w:lang w:val="es-ES_tradnl"/>
        </w:rPr>
      </w:pPr>
      <w:r>
        <w:rPr>
          <w:rFonts w:ascii="Verdana" w:eastAsia="Calibri" w:hAnsi="Verdana" w:cs="Arial"/>
          <w:color w:val="000000"/>
          <w:lang w:val="es-ES_tradnl"/>
        </w:rPr>
        <w:t xml:space="preserve">i. </w:t>
      </w:r>
      <w:r w:rsidRPr="00FB5FC4">
        <w:rPr>
          <w:rFonts w:ascii="Verdana" w:eastAsia="Calibri" w:hAnsi="Verdana" w:cs="Arial"/>
          <w:color w:val="000000"/>
          <w:lang w:val="es-ES_tradnl"/>
        </w:rPr>
        <w:t>La liquidación es el momento en el cual, una vez concluido el contrato estatal, las partes cruzan cuentas respecto de sus obligaciones</w:t>
      </w:r>
      <w:r>
        <w:rPr>
          <w:rFonts w:ascii="Verdana" w:eastAsia="Calibri" w:hAnsi="Verdana" w:cs="Arial"/>
          <w:color w:val="000000"/>
          <w:lang w:val="es-ES_tradnl"/>
        </w:rPr>
        <w:t>.</w:t>
      </w:r>
      <w:r w:rsidRPr="00FB5FC4">
        <w:rPr>
          <w:rFonts w:ascii="Verdana" w:eastAsia="Calibri" w:hAnsi="Verdana" w:cs="Arial"/>
          <w:color w:val="000000"/>
          <w:lang w:val="es-ES_tradnl"/>
        </w:rPr>
        <w:t xml:space="preserve"> </w:t>
      </w:r>
      <w:r>
        <w:rPr>
          <w:rFonts w:ascii="Verdana" w:eastAsia="Calibri" w:hAnsi="Verdana" w:cs="Arial"/>
          <w:color w:val="000000"/>
          <w:lang w:val="es-ES_tradnl"/>
        </w:rPr>
        <w:t>P</w:t>
      </w:r>
      <w:r w:rsidRPr="00FB5FC4">
        <w:rPr>
          <w:rFonts w:ascii="Verdana" w:eastAsia="Calibri" w:hAnsi="Verdana" w:cs="Arial"/>
          <w:color w:val="000000"/>
          <w:lang w:val="es-ES_tradnl"/>
        </w:rPr>
        <w:t xml:space="preserve">or tanto, su objetivo es determinar si pueden declararse a paz y salvo mutuo o si, por el contrario, existen aún obligaciones por cumplir, para acordar la forma en que deben ser </w:t>
      </w:r>
      <w:r>
        <w:rPr>
          <w:rFonts w:ascii="Verdana" w:eastAsia="Calibri" w:hAnsi="Verdana" w:cs="Arial"/>
          <w:color w:val="000000"/>
          <w:lang w:val="es-ES_tradnl"/>
        </w:rPr>
        <w:t>finalizadas</w:t>
      </w:r>
      <w:r w:rsidRPr="00FB5FC4">
        <w:rPr>
          <w:rFonts w:ascii="Verdana" w:eastAsia="Calibri" w:hAnsi="Verdana" w:cs="Arial"/>
          <w:color w:val="000000"/>
          <w:vertAlign w:val="superscript"/>
          <w:lang w:val="es-ES_tradnl"/>
        </w:rPr>
        <w:footnoteReference w:id="2"/>
      </w:r>
      <w:r w:rsidRPr="00FB5FC4">
        <w:rPr>
          <w:rFonts w:ascii="Verdana" w:eastAsia="Calibri" w:hAnsi="Verdana" w:cs="Arial"/>
          <w:color w:val="000000"/>
          <w:lang w:val="es-ES_tradnl"/>
        </w:rPr>
        <w:t>. En armonía con lo anterior, la doctrina ha definido la liquidación de la siguiente manera:</w:t>
      </w:r>
    </w:p>
    <w:p w14:paraId="6A2422BB" w14:textId="77777777" w:rsidR="006E3B9E" w:rsidRPr="00FB5FC4" w:rsidRDefault="006E3B9E" w:rsidP="006E3B9E">
      <w:pPr>
        <w:spacing w:after="0" w:line="276" w:lineRule="auto"/>
        <w:jc w:val="both"/>
        <w:rPr>
          <w:rFonts w:ascii="Verdana" w:eastAsia="Calibri" w:hAnsi="Verdana" w:cs="Arial"/>
          <w:color w:val="000000"/>
          <w:lang w:val="es-ES_tradnl"/>
        </w:rPr>
      </w:pPr>
    </w:p>
    <w:p w14:paraId="07555833" w14:textId="77777777" w:rsidR="006E3B9E" w:rsidRPr="00A71E32" w:rsidRDefault="006E3B9E" w:rsidP="006E3B9E">
      <w:pPr>
        <w:spacing w:after="0" w:line="240" w:lineRule="auto"/>
        <w:ind w:left="709" w:right="758"/>
        <w:jc w:val="both"/>
        <w:rPr>
          <w:rFonts w:ascii="Verdana" w:eastAsia="Calibri" w:hAnsi="Verdana" w:cs="Arial"/>
          <w:sz w:val="20"/>
          <w:szCs w:val="20"/>
          <w:lang w:val="es-MX"/>
        </w:rPr>
      </w:pPr>
      <w:r w:rsidRPr="00A71E32">
        <w:rPr>
          <w:rFonts w:ascii="Verdana" w:eastAsia="Calibri" w:hAnsi="Verdana" w:cs="Arial"/>
          <w:i/>
          <w:iCs/>
          <w:color w:val="000000"/>
          <w:sz w:val="20"/>
          <w:szCs w:val="20"/>
          <w:lang w:val="es-ES_tradnl"/>
        </w:rPr>
        <w:t>“</w:t>
      </w:r>
      <w:r w:rsidRPr="00A71E32">
        <w:rPr>
          <w:rFonts w:ascii="Verdana" w:eastAsia="Calibri" w:hAnsi="Verdana" w:cs="Arial"/>
          <w:sz w:val="20"/>
          <w:szCs w:val="20"/>
          <w:lang w:val="es-MX"/>
        </w:rPr>
        <w:t xml:space="preserve">[…] la liquidación del contrato estatal corresponde al arreglo o ajuste económico, técnico y jurídico al que se llega de forma bilateral (por las partes del negocio), unilateralmente (por la administración), por el juez o por el árbitro, según el caso, para determinar el estado final de la relación contractual, no solo en cuento al cumplimiento del objeto acordado y al 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w:t>
      </w:r>
      <w:r w:rsidRPr="00A71E32">
        <w:rPr>
          <w:rFonts w:ascii="Verdana" w:eastAsia="Calibri" w:hAnsi="Verdana" w:cs="Arial"/>
          <w:sz w:val="20"/>
          <w:szCs w:val="20"/>
          <w:lang w:val="es-MX"/>
        </w:rPr>
        <w:lastRenderedPageBreak/>
        <w:t xml:space="preserve">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w:t>
      </w:r>
      <w:proofErr w:type="spellStart"/>
      <w:r w:rsidRPr="00A71E32">
        <w:rPr>
          <w:rFonts w:ascii="Verdana" w:eastAsia="Calibri" w:hAnsi="Verdana" w:cs="Arial"/>
          <w:sz w:val="20"/>
          <w:szCs w:val="20"/>
          <w:lang w:val="es-MX"/>
        </w:rPr>
        <w:t>ii</w:t>
      </w:r>
      <w:proofErr w:type="spellEnd"/>
      <w:r w:rsidRPr="00A71E32">
        <w:rPr>
          <w:rFonts w:ascii="Verdana" w:eastAsia="Calibri" w:hAnsi="Verdana" w:cs="Arial"/>
          <w:sz w:val="20"/>
          <w:szCs w:val="20"/>
          <w:lang w:val="es-MX"/>
        </w:rPr>
        <w:t>) definir la situación jurídica de las partes, estableciendo si pueden constituirse o no a paz y salvo; lo que exige, en la práctica, que los negociantes dialoguen e intenten ponerse de acuerdo (aspecto subjetivo)”</w:t>
      </w:r>
      <w:r w:rsidRPr="00A71E32">
        <w:rPr>
          <w:rFonts w:ascii="Verdana" w:eastAsia="Calibri" w:hAnsi="Verdana" w:cs="Arial"/>
          <w:sz w:val="20"/>
          <w:szCs w:val="20"/>
          <w:vertAlign w:val="superscript"/>
          <w:lang w:val="es-MX"/>
        </w:rPr>
        <w:footnoteReference w:id="3"/>
      </w:r>
      <w:r w:rsidRPr="00A71E32">
        <w:rPr>
          <w:rFonts w:ascii="Verdana" w:eastAsia="Calibri" w:hAnsi="Verdana" w:cs="Arial"/>
          <w:sz w:val="20"/>
          <w:szCs w:val="20"/>
          <w:lang w:val="es-MX"/>
        </w:rPr>
        <w:t>.</w:t>
      </w:r>
    </w:p>
    <w:p w14:paraId="70253E18" w14:textId="77777777" w:rsidR="006E3B9E" w:rsidRPr="00FB5FC4" w:rsidRDefault="006E3B9E" w:rsidP="006E3B9E">
      <w:pPr>
        <w:spacing w:after="0" w:line="276" w:lineRule="auto"/>
        <w:jc w:val="both"/>
        <w:rPr>
          <w:rFonts w:ascii="Verdana" w:eastAsia="Calibri" w:hAnsi="Verdana" w:cs="Arial"/>
          <w:color w:val="000000"/>
          <w:lang w:val="es-ES_tradnl"/>
        </w:rPr>
      </w:pPr>
    </w:p>
    <w:p w14:paraId="5FCC06F1" w14:textId="77777777" w:rsidR="006E3B9E" w:rsidRPr="00FB5FC4" w:rsidRDefault="006E3B9E" w:rsidP="006E3B9E">
      <w:pPr>
        <w:spacing w:after="120" w:line="276" w:lineRule="auto"/>
        <w:ind w:firstLine="709"/>
        <w:jc w:val="both"/>
        <w:rPr>
          <w:rFonts w:ascii="Verdana" w:eastAsia="Times New Roman" w:hAnsi="Verdana" w:cs="Arial"/>
          <w:color w:val="000000"/>
          <w:sz w:val="21"/>
          <w:szCs w:val="21"/>
          <w:lang w:val="es-ES_tradnl" w:eastAsia="es-ES_tradnl"/>
        </w:rPr>
      </w:pPr>
      <w:r>
        <w:rPr>
          <w:rFonts w:ascii="Verdana" w:eastAsia="Times New Roman" w:hAnsi="Verdana" w:cs="Arial"/>
          <w:color w:val="000000"/>
          <w:szCs w:val="24"/>
          <w:lang w:val="es-ES_tradnl" w:eastAsia="es-ES_tradnl"/>
        </w:rPr>
        <w:t>S</w:t>
      </w:r>
      <w:r w:rsidRPr="00FB5FC4">
        <w:rPr>
          <w:rFonts w:ascii="Verdana" w:eastAsia="Times New Roman" w:hAnsi="Verdana" w:cs="Arial"/>
          <w:color w:val="000000"/>
          <w:szCs w:val="24"/>
          <w:lang w:val="es-ES_tradnl" w:eastAsia="es-ES_tradnl"/>
        </w:rPr>
        <w:t xml:space="preserve">egún la jurisprudencia, la liquidación es el ajuste de cuentas donde las partes hacen un balance económico, técnico y jurídico del cumplimiento de las obligaciones que tienen a su cargo. Así lo manifestó el Consejo de Estado en la </w:t>
      </w:r>
      <w:r>
        <w:rPr>
          <w:rFonts w:ascii="Verdana" w:eastAsia="Times New Roman" w:hAnsi="Verdana" w:cs="Arial"/>
          <w:color w:val="000000"/>
          <w:szCs w:val="24"/>
          <w:lang w:val="es-ES_tradnl" w:eastAsia="es-ES_tradnl"/>
        </w:rPr>
        <w:t>S</w:t>
      </w:r>
      <w:r w:rsidRPr="00FB5FC4">
        <w:rPr>
          <w:rFonts w:ascii="Verdana" w:eastAsia="Times New Roman" w:hAnsi="Verdana" w:cs="Arial"/>
          <w:color w:val="000000"/>
          <w:szCs w:val="24"/>
          <w:lang w:val="es-ES_tradnl" w:eastAsia="es-ES_tradnl"/>
        </w:rPr>
        <w:t xml:space="preserve">entencia del 20 de octubre de 2014, en la que consideró, por un lado, que </w:t>
      </w:r>
      <w:r w:rsidRPr="00FB5FC4">
        <w:rPr>
          <w:rFonts w:ascii="Verdana" w:eastAsia="Times New Roman" w:hAnsi="Verdana" w:cs="Arial"/>
          <w:i/>
          <w:iCs/>
          <w:color w:val="000000"/>
          <w:szCs w:val="24"/>
          <w:lang w:val="es-ES_tradnl" w:eastAsia="es-ES_tradnl"/>
        </w:rPr>
        <w:t>liquidar</w:t>
      </w:r>
      <w:r w:rsidRPr="00FB5FC4">
        <w:rPr>
          <w:rFonts w:ascii="Verdana" w:eastAsia="Times New Roman" w:hAnsi="Verdana" w:cs="Arial"/>
          <w:color w:val="000000"/>
          <w:szCs w:val="24"/>
          <w:lang w:val="es-ES_tradnl" w:eastAsia="es-ES_tradnl"/>
        </w:rPr>
        <w:t xml:space="preserve"> supone un ajuste en relación con las cuentas y el estado de cumplimiento del contrato estatal y, por el otro, que la </w:t>
      </w:r>
      <w:r w:rsidRPr="00FB5FC4">
        <w:rPr>
          <w:rFonts w:ascii="Verdana" w:eastAsia="Times New Roman" w:hAnsi="Verdana" w:cs="Arial"/>
          <w:i/>
          <w:iCs/>
          <w:color w:val="000000"/>
          <w:szCs w:val="24"/>
          <w:lang w:val="es-ES_tradnl" w:eastAsia="es-ES_tradnl"/>
        </w:rPr>
        <w:t>liquidación</w:t>
      </w:r>
      <w:r w:rsidRPr="00FB5FC4">
        <w:rPr>
          <w:rFonts w:ascii="Verdana" w:eastAsia="Times New Roman" w:hAnsi="Verdana" w:cs="Arial"/>
          <w:color w:val="000000"/>
          <w:szCs w:val="24"/>
          <w:lang w:val="es-ES_tradnl" w:eastAsia="es-ES_tradnl"/>
        </w:rPr>
        <w:t xml:space="preserve"> debe incluir el análisis de las condiciones de calidad y oportunidad en la entrega de los bienes, obras o servicios, así como el balance económico y el comportamiento financiero del negocio</w:t>
      </w:r>
      <w:r w:rsidRPr="00FB5FC4">
        <w:rPr>
          <w:rFonts w:ascii="Verdana" w:eastAsia="Times New Roman" w:hAnsi="Verdana" w:cs="Arial"/>
          <w:color w:val="000000"/>
          <w:szCs w:val="24"/>
          <w:vertAlign w:val="superscript"/>
          <w:lang w:val="es-ES_tradnl" w:eastAsia="es-ES_tradnl"/>
        </w:rPr>
        <w:footnoteReference w:id="4"/>
      </w:r>
      <w:r w:rsidRPr="00FB5FC4">
        <w:rPr>
          <w:rFonts w:ascii="Verdana" w:eastAsia="Times New Roman" w:hAnsi="Verdana" w:cs="Arial"/>
          <w:color w:val="000000"/>
          <w:szCs w:val="24"/>
          <w:lang w:val="es-ES_tradnl" w:eastAsia="es-ES_tradnl"/>
        </w:rPr>
        <w:t xml:space="preserve">. </w:t>
      </w:r>
    </w:p>
    <w:p w14:paraId="31333EDE" w14:textId="77777777" w:rsidR="006E3B9E" w:rsidRPr="00FB5FC4" w:rsidRDefault="006E3B9E" w:rsidP="006E3B9E">
      <w:pPr>
        <w:spacing w:after="0" w:line="276" w:lineRule="auto"/>
        <w:ind w:firstLine="709"/>
        <w:jc w:val="both"/>
        <w:rPr>
          <w:rFonts w:ascii="Verdana" w:eastAsia="Calibri" w:hAnsi="Verdana" w:cs="Arial"/>
          <w:color w:val="000000"/>
          <w:lang w:val="es-ES_tradnl"/>
        </w:rPr>
      </w:pPr>
      <w:r w:rsidRPr="00E13252">
        <w:rPr>
          <w:rFonts w:ascii="Verdana" w:eastAsia="Calibri" w:hAnsi="Verdana" w:cs="Arial"/>
          <w:color w:val="000000"/>
          <w:lang w:val="es-ES_tradnl"/>
        </w:rPr>
        <w:t>Para las entidades sometidas al EGCAP</w:t>
      </w:r>
      <w:r>
        <w:rPr>
          <w:rFonts w:ascii="Verdana" w:eastAsia="Calibri" w:hAnsi="Verdana" w:cs="Arial"/>
          <w:color w:val="000000"/>
          <w:lang w:val="es-ES_tradnl"/>
        </w:rPr>
        <w:t>, l</w:t>
      </w:r>
      <w:r w:rsidRPr="00FB5FC4">
        <w:rPr>
          <w:rFonts w:ascii="Verdana" w:eastAsia="Calibri" w:hAnsi="Verdana" w:cs="Arial"/>
          <w:color w:val="000000"/>
          <w:lang w:val="es-ES_tradnl"/>
        </w:rPr>
        <w:t xml:space="preserve">as disposiciones legales que regulan la etapa de liquidación de los contratos estatales son el artículo 60 de la Ley 80 de 1993, modificado por el artículo 217 del Decreto </w:t>
      </w:r>
      <w:r>
        <w:rPr>
          <w:rFonts w:ascii="Verdana" w:eastAsia="Calibri" w:hAnsi="Verdana" w:cs="Arial"/>
          <w:color w:val="000000"/>
          <w:lang w:val="es-ES_tradnl"/>
        </w:rPr>
        <w:t xml:space="preserve">Ley </w:t>
      </w:r>
      <w:r w:rsidRPr="00FB5FC4">
        <w:rPr>
          <w:rFonts w:ascii="Verdana" w:eastAsia="Calibri" w:hAnsi="Verdana" w:cs="Arial"/>
          <w:color w:val="000000"/>
          <w:lang w:val="es-ES_tradnl"/>
        </w:rPr>
        <w:t>019 de 2012, y el artículo 11 de la Ley 1150 de 2007. El primero de estos artículos se refiere al alcance sustantivo de la liquidación y los contratos en que procede, mientras que el segundo contiene reglas procedimentales para su realización. En relación con el artículo 60 referido, la doctrina ha indicado que:</w:t>
      </w:r>
    </w:p>
    <w:p w14:paraId="15FF9308" w14:textId="77777777" w:rsidR="006E3B9E" w:rsidRPr="00D71733" w:rsidRDefault="006E3B9E" w:rsidP="006E3B9E">
      <w:pPr>
        <w:spacing w:after="0" w:line="276" w:lineRule="auto"/>
        <w:ind w:firstLine="708"/>
        <w:jc w:val="both"/>
        <w:rPr>
          <w:rFonts w:ascii="Verdana" w:eastAsia="Calibri" w:hAnsi="Verdana" w:cs="Arial"/>
          <w:lang w:val="es-ES"/>
        </w:rPr>
      </w:pPr>
    </w:p>
    <w:p w14:paraId="08B85F38" w14:textId="77777777" w:rsidR="006E3B9E" w:rsidRPr="00A71E32" w:rsidRDefault="006E3B9E" w:rsidP="006E3B9E">
      <w:pPr>
        <w:spacing w:after="0" w:line="240" w:lineRule="auto"/>
        <w:ind w:left="709" w:right="758"/>
        <w:jc w:val="both"/>
        <w:rPr>
          <w:rFonts w:ascii="Verdana" w:eastAsia="Calibri" w:hAnsi="Verdana" w:cs="Arial"/>
          <w:sz w:val="20"/>
          <w:szCs w:val="20"/>
          <w:lang w:val="es-MX"/>
        </w:rPr>
      </w:pPr>
      <w:r w:rsidRPr="00A71E32">
        <w:rPr>
          <w:rFonts w:ascii="Verdana" w:eastAsia="Calibri" w:hAnsi="Verdana" w:cs="Arial"/>
          <w:sz w:val="20"/>
          <w:szCs w:val="20"/>
          <w:lang w:val="es-ES"/>
        </w:rPr>
        <w:lastRenderedPageBreak/>
        <w:t>“</w:t>
      </w:r>
      <w:r w:rsidRPr="00A71E32">
        <w:rPr>
          <w:rFonts w:ascii="Verdana" w:eastAsia="Calibri" w:hAnsi="Verdana" w:cs="Arial"/>
          <w:sz w:val="20"/>
          <w:szCs w:val="20"/>
          <w:lang w:val="es-MX"/>
        </w:rPr>
        <w:t xml:space="preserve">La ley 80 de 1993 […] dispuso en el artículo 60 que serían objeto de liquidación todos los contratos de tracto sucesivo, entendiendo por estos los de ejecución y cumplimiento prolongados en el tiempo, así como los demás que lo requieran –que son generalmente aquellos de ejecución instantánea en los que la misma se ha extendido temporalmente–, etapa en la cual las partes debían acordar los ajustes, revisiones y reconocimientos a que hubiera lugar, y que el contenido de la misma debía reflejar </w:t>
      </w:r>
      <w:r>
        <w:rPr>
          <w:rFonts w:ascii="Verdana" w:eastAsia="Calibri" w:hAnsi="Verdana" w:cs="Arial"/>
          <w:sz w:val="20"/>
          <w:szCs w:val="20"/>
          <w:lang w:val="es-MX"/>
        </w:rPr>
        <w:t>‘</w:t>
      </w:r>
      <w:r w:rsidRPr="00A71E32">
        <w:rPr>
          <w:rFonts w:ascii="Verdana" w:eastAsia="Calibri" w:hAnsi="Verdana" w:cs="Arial"/>
          <w:sz w:val="20"/>
          <w:szCs w:val="20"/>
          <w:lang w:val="es-MX"/>
        </w:rPr>
        <w:t>los acuerdos, conciliaciones y transacciones a que llegaren las partes para poner fin a las divergencias presentadas y poder declararse a paz y salvo</w:t>
      </w:r>
      <w:r>
        <w:rPr>
          <w:rFonts w:ascii="Verdana" w:eastAsia="Calibri" w:hAnsi="Verdana" w:cs="Arial"/>
          <w:sz w:val="20"/>
          <w:szCs w:val="20"/>
          <w:lang w:val="es-MX"/>
        </w:rPr>
        <w:t>’</w:t>
      </w:r>
      <w:r w:rsidRPr="00A71E32">
        <w:rPr>
          <w:rFonts w:ascii="Verdana" w:eastAsia="Calibri" w:hAnsi="Verdana" w:cs="Arial"/>
          <w:sz w:val="20"/>
          <w:szCs w:val="20"/>
          <w:lang w:val="es-MX"/>
        </w:rPr>
        <w:t>”</w:t>
      </w:r>
      <w:r w:rsidRPr="00A71E32">
        <w:rPr>
          <w:rFonts w:ascii="Verdana" w:eastAsia="Calibri" w:hAnsi="Verdana" w:cs="Arial"/>
          <w:sz w:val="20"/>
          <w:szCs w:val="20"/>
          <w:vertAlign w:val="superscript"/>
          <w:lang w:val="es-MX"/>
        </w:rPr>
        <w:footnoteReference w:id="5"/>
      </w:r>
      <w:r w:rsidRPr="00A71E32">
        <w:rPr>
          <w:rFonts w:ascii="Verdana" w:eastAsia="Calibri" w:hAnsi="Verdana" w:cs="Arial"/>
          <w:sz w:val="20"/>
          <w:szCs w:val="20"/>
          <w:lang w:val="es-MX"/>
        </w:rPr>
        <w:t>.</w:t>
      </w:r>
    </w:p>
    <w:p w14:paraId="24299B7F" w14:textId="77777777" w:rsidR="006E3B9E" w:rsidRPr="00D71733" w:rsidRDefault="006E3B9E" w:rsidP="006E3B9E">
      <w:pPr>
        <w:spacing w:after="0" w:line="276" w:lineRule="auto"/>
        <w:ind w:left="709" w:right="758"/>
        <w:jc w:val="both"/>
        <w:rPr>
          <w:rFonts w:ascii="Verdana" w:eastAsia="Calibri" w:hAnsi="Verdana" w:cs="Arial"/>
          <w:lang w:val="es-ES"/>
        </w:rPr>
      </w:pPr>
    </w:p>
    <w:p w14:paraId="6B3F1ACB" w14:textId="77777777" w:rsidR="006E3B9E" w:rsidRPr="00FB5FC4" w:rsidRDefault="006E3B9E" w:rsidP="006E3B9E">
      <w:pPr>
        <w:spacing w:after="120" w:line="276" w:lineRule="auto"/>
        <w:ind w:firstLine="708"/>
        <w:jc w:val="both"/>
        <w:rPr>
          <w:rFonts w:ascii="Verdana" w:eastAsia="Calibri" w:hAnsi="Verdana" w:cs="Arial"/>
          <w:color w:val="000000"/>
          <w:lang w:val="es-ES_tradnl"/>
        </w:rPr>
      </w:pPr>
      <w:r w:rsidRPr="00FB5FC4">
        <w:rPr>
          <w:rFonts w:ascii="Verdana" w:eastAsia="Calibri" w:hAnsi="Verdana" w:cs="Arial"/>
          <w:color w:val="000000"/>
          <w:lang w:val="es-ES_tradnl"/>
        </w:rPr>
        <w:t>Así las cosas, de acuerdo con el artículo 60 de la Ley 80 de 1993, los contratos de tracto sucesivo, aquellos cuyo cumplimiento o ejecución se prolongue en el tiempo y los demás que lo requieran “</w:t>
      </w:r>
      <w:r w:rsidRPr="00D71733">
        <w:rPr>
          <w:rFonts w:ascii="Verdana" w:eastAsia="Calibri" w:hAnsi="Verdana" w:cs="Arial"/>
          <w:color w:val="000000"/>
          <w:lang w:val="es-ES_tradnl"/>
        </w:rPr>
        <w:t>serán objeto de liquidación</w:t>
      </w:r>
      <w:r w:rsidRPr="00FB5FC4">
        <w:rPr>
          <w:rFonts w:ascii="Verdana" w:eastAsia="Calibri" w:hAnsi="Verdana" w:cs="Arial"/>
          <w:color w:val="000000"/>
          <w:lang w:val="es-ES_tradnl"/>
        </w:rPr>
        <w:t>”. El mismo artículo prescribe que no será obligatoria la liquidación en los contratos de prestación de servicios profesionales y de apoyo a la gestión. Adicionalmente, en los contratos las entidades estatales deben definir la oportunidad y forma de recibir el objeto contratado y, en cada caso, si un contrato requiere o no de liquidación, con arreglo a criterios tales como la naturaleza, objeto y plazo del contrato</w:t>
      </w:r>
      <w:r w:rsidRPr="00FB5FC4">
        <w:rPr>
          <w:rFonts w:ascii="Verdana" w:eastAsia="Calibri" w:hAnsi="Verdana" w:cs="Arial"/>
          <w:color w:val="000000"/>
          <w:vertAlign w:val="superscript"/>
          <w:lang w:val="es-ES_tradnl"/>
        </w:rPr>
        <w:footnoteReference w:id="6"/>
      </w:r>
      <w:r w:rsidRPr="00FB5FC4">
        <w:rPr>
          <w:rFonts w:ascii="Verdana" w:eastAsia="Calibri" w:hAnsi="Verdana" w:cs="Arial"/>
          <w:color w:val="000000"/>
          <w:lang w:val="es-ES_tradnl"/>
        </w:rPr>
        <w:t xml:space="preserve">, así como la probabilidad de que puedan surgir diferencias durante la ejecución del contrato; sin perjuicio de que, como se indicó, todos los contratos estatales de </w:t>
      </w:r>
      <w:r w:rsidRPr="00FB5FC4">
        <w:rPr>
          <w:rFonts w:ascii="Verdana" w:eastAsia="Calibri" w:hAnsi="Verdana" w:cs="Arial"/>
          <w:i/>
          <w:iCs/>
          <w:color w:val="000000"/>
          <w:lang w:val="es-ES_tradnl"/>
        </w:rPr>
        <w:t>tracto sucesivo</w:t>
      </w:r>
      <w:r w:rsidRPr="00FB5FC4">
        <w:rPr>
          <w:rFonts w:ascii="Verdana" w:eastAsia="Calibri" w:hAnsi="Verdana" w:cs="Arial"/>
          <w:color w:val="000000"/>
          <w:lang w:val="es-ES_tradnl"/>
        </w:rPr>
        <w:t xml:space="preserve"> o aquellos cuya ejecución se prolongue en el tiempo siempre deban liquidarse, convirtiéndose en estos contratos en una cláusula de la naturaleza, conforme a la clasificación prevista en el Código Civil.</w:t>
      </w:r>
    </w:p>
    <w:p w14:paraId="6EF3DEC5" w14:textId="77777777" w:rsidR="006E3B9E" w:rsidRPr="00FB5FC4" w:rsidRDefault="006E3B9E" w:rsidP="006E3B9E">
      <w:pPr>
        <w:spacing w:after="120" w:line="276" w:lineRule="auto"/>
        <w:ind w:firstLine="708"/>
        <w:jc w:val="both"/>
        <w:rPr>
          <w:rFonts w:ascii="Verdana" w:eastAsia="Calibri" w:hAnsi="Verdana" w:cs="Arial"/>
          <w:color w:val="000000"/>
          <w:lang w:val="es-ES"/>
        </w:rPr>
      </w:pPr>
      <w:r w:rsidRPr="64F094BD">
        <w:rPr>
          <w:rFonts w:ascii="Verdana" w:eastAsia="Calibri" w:hAnsi="Verdana" w:cs="Arial"/>
          <w:color w:val="000000"/>
          <w:lang w:val="es-ES"/>
        </w:rPr>
        <w:t>Por su parte, el artículo 11 de la Ley 1150 de 2007 contiene las reglas de tipo procedimental para liquidar los contratos estatales, las cuales se pasan a explicar</w:t>
      </w:r>
      <w:r w:rsidRPr="64F094BD">
        <w:rPr>
          <w:rFonts w:ascii="Verdana" w:eastAsia="Calibri" w:hAnsi="Verdana" w:cs="Arial"/>
          <w:color w:val="000000" w:themeColor="text1"/>
          <w:vertAlign w:val="superscript"/>
          <w:lang w:val="es-ES"/>
        </w:rPr>
        <w:footnoteReference w:id="7"/>
      </w:r>
      <w:r w:rsidRPr="64F094BD">
        <w:rPr>
          <w:rFonts w:ascii="Verdana" w:eastAsia="Calibri" w:hAnsi="Verdana" w:cs="Arial"/>
          <w:color w:val="000000"/>
          <w:lang w:val="es-ES"/>
        </w:rPr>
        <w:t xml:space="preserve">. En primer lugar, en ejercicio de la autonomía de la voluntad y de </w:t>
      </w:r>
      <w:r w:rsidRPr="64F094BD">
        <w:rPr>
          <w:rFonts w:ascii="Verdana" w:eastAsia="Calibri" w:hAnsi="Verdana" w:cs="Arial"/>
          <w:color w:val="000000"/>
          <w:lang w:val="es-ES"/>
        </w:rPr>
        <w:lastRenderedPageBreak/>
        <w:t>conformidad con los criterios de la naturaleza, objeto y plazo del contrato, la entidad puede definir en el pliego de condiciones o en el contrato el plazo para efectuar la liquidación de mutuo acuerdo. En ausencia de pacto contractual, el artículo 11 de la Ley 1150 de 2007 prevé un término suplet</w:t>
      </w:r>
      <w:r>
        <w:rPr>
          <w:rFonts w:ascii="Verdana" w:eastAsia="Calibri" w:hAnsi="Verdana" w:cs="Arial"/>
          <w:color w:val="000000"/>
          <w:lang w:val="es-ES"/>
        </w:rPr>
        <w:t>orio</w:t>
      </w:r>
      <w:r w:rsidRPr="64F094BD">
        <w:rPr>
          <w:rFonts w:ascii="Verdana" w:eastAsia="Calibri" w:hAnsi="Verdana" w:cs="Arial"/>
          <w:color w:val="000000"/>
          <w:lang w:val="es-ES"/>
        </w:rPr>
        <w:t xml:space="preserve"> de 4 meses contados desde: i) el vencimiento del plazo previsto para la ejecución del contrato; </w:t>
      </w:r>
      <w:proofErr w:type="spellStart"/>
      <w:r w:rsidRPr="64F094BD">
        <w:rPr>
          <w:rFonts w:ascii="Verdana" w:eastAsia="Calibri" w:hAnsi="Verdana" w:cs="Arial"/>
          <w:color w:val="000000"/>
          <w:lang w:val="es-ES"/>
        </w:rPr>
        <w:t>ii</w:t>
      </w:r>
      <w:proofErr w:type="spellEnd"/>
      <w:r w:rsidRPr="64F094BD">
        <w:rPr>
          <w:rFonts w:ascii="Verdana" w:eastAsia="Calibri" w:hAnsi="Verdana" w:cs="Arial"/>
          <w:color w:val="000000"/>
          <w:lang w:val="es-ES"/>
        </w:rPr>
        <w:t xml:space="preserve">) la expedición del acto administrativo que ordene la terminación del contrato; o, </w:t>
      </w:r>
      <w:proofErr w:type="spellStart"/>
      <w:r w:rsidRPr="64F094BD">
        <w:rPr>
          <w:rFonts w:ascii="Verdana" w:eastAsia="Calibri" w:hAnsi="Verdana" w:cs="Arial"/>
          <w:color w:val="000000"/>
          <w:lang w:val="es-ES"/>
        </w:rPr>
        <w:t>iii</w:t>
      </w:r>
      <w:proofErr w:type="spellEnd"/>
      <w:r w:rsidRPr="64F094BD">
        <w:rPr>
          <w:rFonts w:ascii="Verdana" w:eastAsia="Calibri" w:hAnsi="Verdana" w:cs="Arial"/>
          <w:color w:val="000000"/>
          <w:lang w:val="es-ES"/>
        </w:rPr>
        <w:t>) la fecha del acuerdo que disponga la terminación del contrato.</w:t>
      </w:r>
    </w:p>
    <w:p w14:paraId="1CB623AE" w14:textId="77777777" w:rsidR="006E3B9E" w:rsidRPr="004B5D6E" w:rsidRDefault="006E3B9E" w:rsidP="006E3B9E">
      <w:pPr>
        <w:spacing w:after="120" w:line="276" w:lineRule="auto"/>
        <w:ind w:firstLine="709"/>
        <w:jc w:val="both"/>
        <w:rPr>
          <w:rFonts w:ascii="Verdana" w:eastAsia="Times New Roman" w:hAnsi="Verdana" w:cs="Arial"/>
          <w:lang w:val="es-ES_tradnl" w:eastAsia="es-ES_tradnl"/>
        </w:rPr>
      </w:pPr>
      <w:r w:rsidRPr="00FB5FC4">
        <w:rPr>
          <w:rFonts w:ascii="Verdana" w:eastAsia="Times New Roman" w:hAnsi="Verdana" w:cs="Arial"/>
          <w:szCs w:val="24"/>
          <w:lang w:val="es-ES_tradnl" w:eastAsia="es-ES_tradnl"/>
        </w:rPr>
        <w:t xml:space="preserve">El </w:t>
      </w:r>
      <w:r w:rsidRPr="004B5D6E">
        <w:rPr>
          <w:rFonts w:ascii="Verdana" w:eastAsia="Times New Roman" w:hAnsi="Verdana" w:cs="Arial"/>
          <w:szCs w:val="24"/>
          <w:lang w:val="es-ES_tradnl" w:eastAsia="es-ES_tradnl"/>
        </w:rPr>
        <w:t>artículo 11 de la Ley 1150 de 2007 señala que la liquidación de mutuo acuerdo deberá realizar dentro del plazo previsto en “</w:t>
      </w:r>
      <w:r w:rsidRPr="004B5D6E">
        <w:rPr>
          <w:rFonts w:ascii="Verdana" w:eastAsia="Times New Roman" w:hAnsi="Verdana" w:cs="Arial"/>
          <w:lang w:val="es-ES_tradnl" w:eastAsia="es-ES_tradnl"/>
        </w:rPr>
        <w:t>los pliegos de condiciones o sus equivalentes, o dentro del que acuerden las partes para el efecto”. Para dilucidar a qué se refiere la norma con “equivalentes” resulta necesario tener presente que el pliego de condiciones es un documento contentivo de las reglas aplicables a un determinado proceso de selección, que “</w:t>
      </w:r>
      <w:r w:rsidRPr="004B5D6E">
        <w:rPr>
          <w:rFonts w:ascii="Verdana" w:eastAsia="Times New Roman" w:hAnsi="Verdana" w:cs="Arial"/>
          <w:szCs w:val="24"/>
          <w:lang w:val="es-ES_tradnl" w:eastAsia="es-ES_tradnl"/>
        </w:rPr>
        <w:t>materializa los principios de planeación contractual y de trasparencia, comoquiera que su adecuada formulación permite o garantiza la selección objetiva del contratista de acuerdo con los parámetros de calificación correspondientes para cada tipo de procedimiento [y que</w:t>
      </w:r>
      <w:r w:rsidRPr="004B5D6E">
        <w:rPr>
          <w:rFonts w:ascii="Verdana" w:eastAsia="Times New Roman" w:hAnsi="Verdana" w:cs="Arial"/>
          <w:lang w:val="es-ES_tradnl" w:eastAsia="es-ES_tradnl"/>
        </w:rPr>
        <w:t>] constituye la ley tanto del procedimiento administrativo de selección del contratista, como del contrato a</w:t>
      </w:r>
      <w:r w:rsidRPr="004B5D6E">
        <w:rPr>
          <w:rFonts w:ascii="Verdana" w:eastAsia="Times New Roman" w:hAnsi="Verdana" w:cs="Arial"/>
          <w:spacing w:val="-7"/>
          <w:lang w:val="es-ES_tradnl" w:eastAsia="es-ES_tradnl"/>
        </w:rPr>
        <w:t xml:space="preserve"> </w:t>
      </w:r>
      <w:r w:rsidRPr="004B5D6E">
        <w:rPr>
          <w:rFonts w:ascii="Verdana" w:eastAsia="Times New Roman" w:hAnsi="Verdana" w:cs="Arial"/>
          <w:lang w:val="es-ES_tradnl" w:eastAsia="es-ES_tradnl"/>
        </w:rPr>
        <w:t>celebrar”</w:t>
      </w:r>
      <w:r w:rsidRPr="004B5D6E">
        <w:rPr>
          <w:rFonts w:ascii="Verdana" w:eastAsia="Times New Roman" w:hAnsi="Verdana" w:cs="Arial"/>
          <w:vertAlign w:val="superscript"/>
          <w:lang w:val="es-ES_tradnl" w:eastAsia="es-ES_tradnl"/>
        </w:rPr>
        <w:footnoteReference w:id="8"/>
      </w:r>
      <w:r w:rsidRPr="004B5D6E">
        <w:rPr>
          <w:rFonts w:ascii="Verdana" w:eastAsia="Times New Roman" w:hAnsi="Verdana" w:cs="Arial"/>
          <w:lang w:val="es-ES_tradnl" w:eastAsia="es-ES_tradnl"/>
        </w:rPr>
        <w:t>. A partir de tales características debe determinarse la equivalencia de un documento con un pliego de condiciones, la cual se puede ejemplificar claramente con la invitación a participar en los procesos de mínima cuantía</w:t>
      </w:r>
      <w:r w:rsidRPr="004B5D6E">
        <w:rPr>
          <w:rFonts w:ascii="Verdana" w:eastAsia="Times New Roman" w:hAnsi="Verdana" w:cs="Arial"/>
          <w:vertAlign w:val="superscript"/>
          <w:lang w:val="es-ES_tradnl" w:eastAsia="es-ES_tradnl"/>
        </w:rPr>
        <w:footnoteReference w:id="9"/>
      </w:r>
      <w:r w:rsidRPr="004B5D6E">
        <w:rPr>
          <w:rFonts w:ascii="Verdana" w:eastAsia="Times New Roman" w:hAnsi="Verdana" w:cs="Arial"/>
          <w:lang w:val="es-ES_tradnl" w:eastAsia="es-ES_tradnl"/>
        </w:rPr>
        <w:t xml:space="preserve">, documento dentro del cual la entidad contratante debe fijar las reglas aplicables al procedimiento de selección, cumpliendo con la función del pliego de condiciones. En tal sentido, es un documento “equivalente” del mismo en los términos del artículo 11 </w:t>
      </w:r>
      <w:r w:rsidRPr="00A71E32">
        <w:rPr>
          <w:rFonts w:ascii="Verdana" w:eastAsia="Times New Roman" w:hAnsi="Verdana" w:cs="Arial"/>
          <w:i/>
          <w:iCs/>
          <w:lang w:val="es-ES_tradnl" w:eastAsia="es-ES_tradnl"/>
        </w:rPr>
        <w:t>ibidem</w:t>
      </w:r>
      <w:r w:rsidRPr="004B5D6E">
        <w:rPr>
          <w:rFonts w:ascii="Verdana" w:eastAsia="Times New Roman" w:hAnsi="Verdana" w:cs="Arial"/>
          <w:lang w:val="es-ES_tradnl" w:eastAsia="es-ES_tradnl"/>
        </w:rPr>
        <w:t xml:space="preserve">, dentro del cual es viable establecer el plazo para la liquidación de mutuo acuerdo. </w:t>
      </w:r>
    </w:p>
    <w:p w14:paraId="12838449" w14:textId="77777777" w:rsidR="006E3B9E" w:rsidRPr="00FB5FC4" w:rsidRDefault="006E3B9E" w:rsidP="006E3B9E">
      <w:pPr>
        <w:spacing w:after="120" w:line="276" w:lineRule="auto"/>
        <w:ind w:firstLine="709"/>
        <w:jc w:val="both"/>
        <w:rPr>
          <w:rFonts w:ascii="Verdana" w:eastAsia="Times New Roman" w:hAnsi="Verdana" w:cs="Arial"/>
          <w:lang w:val="es-ES_tradnl" w:eastAsia="es-ES_tradnl"/>
        </w:rPr>
      </w:pPr>
      <w:r w:rsidRPr="00FB5FC4">
        <w:rPr>
          <w:rFonts w:ascii="Verdana" w:eastAsia="Times New Roman" w:hAnsi="Verdana" w:cs="Arial"/>
          <w:lang w:val="es-ES_tradnl" w:eastAsia="es-ES_tradnl"/>
        </w:rPr>
        <w:lastRenderedPageBreak/>
        <w:t>De otra parte, cuando el artículo 11 de la Ley 1150 de 2007 hace referencia al término que “</w:t>
      </w:r>
      <w:r w:rsidRPr="004B5D6E">
        <w:rPr>
          <w:rFonts w:ascii="Verdana" w:eastAsia="Times New Roman" w:hAnsi="Verdana" w:cs="Arial"/>
          <w:lang w:val="es-ES_tradnl" w:eastAsia="es-ES_tradnl"/>
        </w:rPr>
        <w:t>acuerden las partes</w:t>
      </w:r>
      <w:r w:rsidRPr="00FB5FC4">
        <w:rPr>
          <w:rFonts w:ascii="Verdana" w:eastAsia="Times New Roman" w:hAnsi="Verdana" w:cs="Arial"/>
          <w:lang w:val="es-ES_tradnl" w:eastAsia="es-ES_tradnl"/>
        </w:rPr>
        <w:t xml:space="preserve">” para efectos de la liquidación de mutuo acuerdo, claramente, está habilitando a las partes para que, en ejercicio de la autonomía de la voluntad que les asiste, prevean, de común acuerdo, un plazo para la liquidación bilateral, el cual, en principio, debe estar recogido en el contrato, al ser este el acto jurídico bilateral en el que se consigna originalmente la voluntad de las partes. Sin embargo, cabe la posibilidad de que en el contrato inicialmente suscrito no se haya previsto un acuerdo para la liquidación bilateral. Este hecho no impide que, en el marco de la ejecución del contrato, las partes acuerden fijar el referido plazo; acuerdo que, en tanto significa una alteración de las reglas que orientan la relación contractual, </w:t>
      </w:r>
      <w:r>
        <w:rPr>
          <w:rFonts w:ascii="Verdana" w:eastAsia="Times New Roman" w:hAnsi="Verdana" w:cs="Arial"/>
          <w:lang w:val="es-ES_tradnl" w:eastAsia="es-ES_tradnl"/>
        </w:rPr>
        <w:t>implica</w:t>
      </w:r>
      <w:r w:rsidRPr="00FB5FC4">
        <w:rPr>
          <w:rFonts w:ascii="Verdana" w:eastAsia="Times New Roman" w:hAnsi="Verdana" w:cs="Arial"/>
          <w:lang w:val="es-ES_tradnl" w:eastAsia="es-ES_tradnl"/>
        </w:rPr>
        <w:t xml:space="preserve"> una modificación del contrato. Por tal razón, su celebración debe cumplir con los requisitos del negocio jurídico, ameritando la concurrencia de capacidad jurídica de los agentes, un consentimiento libre de vicios, un objeto y causa lícita, así como la </w:t>
      </w:r>
      <w:r>
        <w:rPr>
          <w:rFonts w:ascii="Verdana" w:eastAsia="Times New Roman" w:hAnsi="Verdana" w:cs="Arial"/>
          <w:lang w:val="es-ES_tradnl" w:eastAsia="es-ES_tradnl"/>
        </w:rPr>
        <w:t>formalidad escrita</w:t>
      </w:r>
      <w:r w:rsidRPr="00FB5FC4">
        <w:rPr>
          <w:rFonts w:ascii="Verdana" w:eastAsia="Times New Roman" w:hAnsi="Verdana" w:cs="Arial"/>
          <w:lang w:val="es-ES_tradnl" w:eastAsia="es-ES_tradnl"/>
        </w:rPr>
        <w:t xml:space="preserve"> requerida en materia de contratación estatal</w:t>
      </w:r>
      <w:r w:rsidRPr="00FB5FC4">
        <w:rPr>
          <w:rFonts w:ascii="Verdana" w:eastAsia="Times New Roman" w:hAnsi="Verdana" w:cs="Arial"/>
          <w:vertAlign w:val="superscript"/>
          <w:lang w:val="es-ES_tradnl" w:eastAsia="es-ES_tradnl"/>
        </w:rPr>
        <w:footnoteReference w:id="10"/>
      </w:r>
      <w:r w:rsidRPr="00FB5FC4">
        <w:rPr>
          <w:rFonts w:ascii="Verdana" w:eastAsia="Times New Roman" w:hAnsi="Verdana" w:cs="Arial"/>
          <w:lang w:val="es-ES_tradnl" w:eastAsia="es-ES_tradnl"/>
        </w:rPr>
        <w:t xml:space="preserve">. </w:t>
      </w:r>
    </w:p>
    <w:p w14:paraId="5A768F3A" w14:textId="77777777" w:rsidR="006E3B9E" w:rsidRPr="00FB5FC4" w:rsidRDefault="006E3B9E" w:rsidP="006E3B9E">
      <w:pPr>
        <w:spacing w:after="120" w:line="276" w:lineRule="auto"/>
        <w:ind w:firstLine="709"/>
        <w:jc w:val="both"/>
        <w:rPr>
          <w:rFonts w:ascii="Verdana" w:eastAsia="Calibri" w:hAnsi="Verdana" w:cs="Arial"/>
          <w:lang w:val="es-ES_tradnl"/>
        </w:rPr>
      </w:pPr>
      <w:r w:rsidRPr="00FB5FC4">
        <w:rPr>
          <w:rFonts w:ascii="Verdana" w:eastAsia="Calibri" w:hAnsi="Verdana" w:cs="Arial"/>
          <w:lang w:val="es-ES_tradnl"/>
        </w:rPr>
        <w:t xml:space="preserve">Ahora bien, el término de 4 meses previsto en el artículo 11 de la Ley 1150 de 2007, dado su carácter supletivo, solo resulta aplicable ante la ausencia de regulación de este en el pliego de condiciones –documento equivalente– o acuerdo entre las partes en torno al plazo de liquidación bilateral. Por lo tanto, las partes, en desarrollo de la autonomía de la voluntad que les asiste, están habilitadas para pactar un término diferente, el cual puede ser inferior o incluso superior al plazo supletivo, ante la ausencia de una prohibición normativa al respecto, y ante la existencia, en cambio, de habilitación legal. Sobre este punto, no debe perderse de vista que las actuaciones contractuales regidas por el Estatuto General de Contratación de la Administración pública se encuentran </w:t>
      </w:r>
      <w:r w:rsidRPr="00FB5FC4">
        <w:rPr>
          <w:rFonts w:ascii="Verdana" w:eastAsia="Calibri" w:hAnsi="Verdana" w:cs="Arial"/>
          <w:lang w:val="es-ES_tradnl"/>
        </w:rPr>
        <w:lastRenderedPageBreak/>
        <w:t>sometidas a los principios de la función administrativa</w:t>
      </w:r>
      <w:r w:rsidRPr="00FB5FC4">
        <w:rPr>
          <w:rFonts w:ascii="Verdana" w:eastAsia="Calibri" w:hAnsi="Verdana" w:cs="Arial"/>
          <w:vertAlign w:val="superscript"/>
          <w:lang w:val="es-ES_tradnl"/>
        </w:rPr>
        <w:footnoteReference w:id="11"/>
      </w:r>
      <w:r w:rsidRPr="00FB5FC4">
        <w:rPr>
          <w:rFonts w:ascii="Verdana" w:eastAsia="Calibri" w:hAnsi="Verdana" w:cs="Arial"/>
          <w:lang w:val="es-ES_tradnl"/>
        </w:rPr>
        <w:t>, lo cual implica que las mismas se desarrollen en procura de la economía y la celeridad</w:t>
      </w:r>
      <w:r w:rsidRPr="00FB5FC4">
        <w:rPr>
          <w:rFonts w:ascii="Verdana" w:eastAsia="Calibri" w:hAnsi="Verdana" w:cs="Arial"/>
          <w:vertAlign w:val="superscript"/>
          <w:lang w:val="es-ES_tradnl"/>
        </w:rPr>
        <w:footnoteReference w:id="12"/>
      </w:r>
      <w:r w:rsidRPr="00FB5FC4">
        <w:rPr>
          <w:rFonts w:ascii="Verdana" w:eastAsia="Calibri" w:hAnsi="Verdana" w:cs="Arial"/>
          <w:lang w:val="es-ES_tradnl"/>
        </w:rPr>
        <w:t>. Esto significa que, en ejercicio de la facultad que les asiste para fijar el plazo para la liquidación bilateral, las partes deben actuar en garantía de estos principios, por lo que el término que se acuerde debe fija</w:t>
      </w:r>
      <w:r>
        <w:rPr>
          <w:rFonts w:ascii="Verdana" w:eastAsia="Calibri" w:hAnsi="Verdana" w:cs="Arial"/>
          <w:lang w:val="es-ES_tradnl"/>
        </w:rPr>
        <w:t>rse</w:t>
      </w:r>
      <w:r w:rsidRPr="00FB5FC4">
        <w:rPr>
          <w:rFonts w:ascii="Verdana" w:eastAsia="Calibri" w:hAnsi="Verdana" w:cs="Arial"/>
          <w:lang w:val="es-ES_tradnl"/>
        </w:rPr>
        <w:t xml:space="preserve"> de manera razonable.</w:t>
      </w:r>
    </w:p>
    <w:p w14:paraId="11619271" w14:textId="77777777" w:rsidR="006E3B9E" w:rsidRPr="00FB5FC4" w:rsidRDefault="006E3B9E" w:rsidP="006E3B9E">
      <w:pPr>
        <w:spacing w:after="120" w:line="276" w:lineRule="auto"/>
        <w:ind w:firstLine="709"/>
        <w:jc w:val="both"/>
        <w:rPr>
          <w:rFonts w:ascii="Verdana" w:eastAsia="Calibri" w:hAnsi="Verdana" w:cs="Arial"/>
          <w:color w:val="000000"/>
          <w:lang w:val="es-ES_tradnl"/>
        </w:rPr>
      </w:pPr>
      <w:r w:rsidRPr="00FB5FC4">
        <w:rPr>
          <w:rFonts w:ascii="Verdana" w:eastAsia="Calibri" w:hAnsi="Verdana" w:cs="Arial"/>
          <w:color w:val="000000"/>
          <w:lang w:val="es-ES_tradnl"/>
        </w:rPr>
        <w:t>Durante este término, el contratista puede solicitar que se adelante el trámite de liquidación. Sin embargo, es responsabilidad de la entidad estatal convocarlo para adelantar la liquidación de común acuerdo o notificarlo para que se presente a realizarla</w:t>
      </w:r>
      <w:r w:rsidRPr="00FB5FC4">
        <w:rPr>
          <w:rFonts w:ascii="Verdana" w:eastAsia="Calibri" w:hAnsi="Verdana" w:cs="Arial"/>
          <w:color w:val="000000"/>
          <w:vertAlign w:val="superscript"/>
          <w:lang w:val="es-ES_tradnl"/>
        </w:rPr>
        <w:footnoteReference w:id="13"/>
      </w:r>
      <w:r w:rsidRPr="00FB5FC4">
        <w:rPr>
          <w:rFonts w:ascii="Verdana" w:eastAsia="Calibri" w:hAnsi="Verdana" w:cs="Arial"/>
          <w:color w:val="000000"/>
          <w:lang w:val="es-ES_tradnl"/>
        </w:rPr>
        <w:t>, de manera que el contrato pueda ser liquidado bilateralmente, bien sea en el plazo previsto en el pliego de condiciones, el acordado por las partes, o el supletivo de cuatro meses señalado en la ley, según corresponda. Esta liquidación bilateral puede ser total o parcial</w:t>
      </w:r>
      <w:r w:rsidRPr="00FB5FC4">
        <w:rPr>
          <w:rFonts w:ascii="Verdana" w:eastAsia="Calibri" w:hAnsi="Verdana" w:cs="Arial"/>
          <w:iCs/>
          <w:color w:val="000000"/>
          <w:vertAlign w:val="superscript"/>
          <w:lang w:val="es-ES_tradnl"/>
        </w:rPr>
        <w:footnoteReference w:id="14"/>
      </w:r>
      <w:r w:rsidRPr="00FB5FC4">
        <w:rPr>
          <w:rFonts w:ascii="Verdana" w:eastAsia="Calibri" w:hAnsi="Verdana" w:cs="Arial"/>
          <w:color w:val="000000"/>
          <w:lang w:val="es-ES_tradnl"/>
        </w:rPr>
        <w:t xml:space="preserve">, y </w:t>
      </w:r>
      <w:r w:rsidRPr="00FB5FC4">
        <w:rPr>
          <w:rFonts w:ascii="Verdana" w:eastAsia="Calibri" w:hAnsi="Verdana" w:cs="Arial"/>
          <w:iCs/>
          <w:color w:val="000000"/>
          <w:lang w:val="es-ES_tradnl"/>
        </w:rPr>
        <w:t>el documento que la contiene presta mérito ejecutivo, siempre que se satisfagan los elementos para considerarlo como tal</w:t>
      </w:r>
      <w:r w:rsidRPr="00FB5FC4">
        <w:rPr>
          <w:rFonts w:ascii="Verdana" w:eastAsia="Calibri" w:hAnsi="Verdana" w:cs="Arial"/>
          <w:color w:val="000000"/>
          <w:lang w:val="es-ES_tradnl"/>
        </w:rPr>
        <w:t>.</w:t>
      </w:r>
    </w:p>
    <w:p w14:paraId="673BC1E1" w14:textId="77777777" w:rsidR="006E3B9E" w:rsidRPr="00FB5FC4" w:rsidRDefault="006E3B9E" w:rsidP="006E3B9E">
      <w:pPr>
        <w:spacing w:after="0" w:line="276" w:lineRule="auto"/>
        <w:ind w:firstLine="705"/>
        <w:jc w:val="both"/>
        <w:rPr>
          <w:rFonts w:ascii="Verdana" w:eastAsia="Times New Roman" w:hAnsi="Verdana" w:cs="Arial"/>
          <w:color w:val="000000"/>
          <w:lang w:eastAsia="es-ES_tradnl"/>
        </w:rPr>
      </w:pPr>
      <w:r w:rsidRPr="00FB5FC4">
        <w:rPr>
          <w:rFonts w:ascii="Verdana" w:eastAsia="Times New Roman" w:hAnsi="Verdana" w:cs="Arial"/>
          <w:color w:val="000000"/>
          <w:bdr w:val="none" w:sz="0" w:space="0" w:color="auto" w:frame="1"/>
          <w:shd w:val="clear" w:color="auto" w:fill="FFFFFF"/>
          <w:lang w:val="es-ES" w:eastAsia="es-ES_tradnl"/>
        </w:rPr>
        <w:t xml:space="preserve">Si no es posible efectuar la liquidación de manera bilateral, el ordenamiento jurídico prevé una facultad, de carácter subsidiario, para que la Entidad Estatal realice la liquidación unilateralmente. En relación con este aspecto, la </w:t>
      </w:r>
      <w:r w:rsidRPr="00FB5FC4">
        <w:rPr>
          <w:rFonts w:ascii="Verdana" w:eastAsia="Times New Roman" w:hAnsi="Verdana" w:cs="Arial"/>
          <w:color w:val="000000"/>
          <w:bdr w:val="none" w:sz="0" w:space="0" w:color="auto" w:frame="1"/>
          <w:shd w:val="clear" w:color="auto" w:fill="FFFFFF"/>
          <w:lang w:val="es-MX" w:eastAsia="es-ES_tradnl"/>
        </w:rPr>
        <w:t xml:space="preserve">Sala de Consulta y Servicio Civil del </w:t>
      </w:r>
      <w:r w:rsidRPr="00FB5FC4">
        <w:rPr>
          <w:rFonts w:ascii="Verdana" w:eastAsia="Times New Roman" w:hAnsi="Verdana" w:cs="Arial"/>
          <w:color w:val="000000"/>
          <w:bdr w:val="none" w:sz="0" w:space="0" w:color="auto" w:frame="1"/>
          <w:shd w:val="clear" w:color="auto" w:fill="FFFFFF"/>
          <w:lang w:val="es-ES" w:eastAsia="es-ES_tradnl"/>
        </w:rPr>
        <w:t>Consejo de Estado</w:t>
      </w:r>
      <w:r w:rsidRPr="00FB5FC4">
        <w:rPr>
          <w:rFonts w:ascii="Verdana" w:eastAsia="Times New Roman" w:hAnsi="Verdana" w:cs="Arial"/>
          <w:color w:val="000000"/>
          <w:bdr w:val="none" w:sz="0" w:space="0" w:color="auto" w:frame="1"/>
          <w:shd w:val="clear" w:color="auto" w:fill="FFFFFF"/>
          <w:lang w:val="es-MX" w:eastAsia="es-ES_tradnl"/>
        </w:rPr>
        <w:t>, en concepto del 28 de junio de 2016, manifestó que:  </w:t>
      </w:r>
    </w:p>
    <w:p w14:paraId="7A89C3DB" w14:textId="77777777" w:rsidR="006E3B9E" w:rsidRPr="00FB5FC4" w:rsidRDefault="006E3B9E" w:rsidP="006E3B9E">
      <w:pPr>
        <w:spacing w:after="0" w:line="276" w:lineRule="auto"/>
        <w:ind w:left="705" w:right="750"/>
        <w:jc w:val="both"/>
        <w:rPr>
          <w:rFonts w:ascii="Verdana" w:eastAsia="Times New Roman" w:hAnsi="Verdana" w:cs="Arial"/>
          <w:color w:val="000000"/>
          <w:lang w:eastAsia="es-ES_tradnl"/>
        </w:rPr>
      </w:pPr>
    </w:p>
    <w:p w14:paraId="122B90B6" w14:textId="77777777" w:rsidR="006E3B9E" w:rsidRPr="00A71E32" w:rsidRDefault="006E3B9E" w:rsidP="006E3B9E">
      <w:pPr>
        <w:spacing w:after="0" w:line="240" w:lineRule="auto"/>
        <w:ind w:left="705" w:right="750"/>
        <w:jc w:val="both"/>
        <w:rPr>
          <w:rFonts w:ascii="Verdana" w:eastAsia="Times New Roman" w:hAnsi="Verdana" w:cs="Arial"/>
          <w:color w:val="000000"/>
          <w:sz w:val="20"/>
          <w:szCs w:val="20"/>
          <w:lang w:eastAsia="es-ES_tradnl"/>
        </w:rPr>
      </w:pPr>
      <w:r w:rsidRPr="00A71E32">
        <w:rPr>
          <w:rFonts w:ascii="Verdana" w:eastAsia="Times New Roman" w:hAnsi="Verdana" w:cs="Arial"/>
          <w:i/>
          <w:iCs/>
          <w:sz w:val="20"/>
          <w:szCs w:val="20"/>
          <w:lang w:val="es-ES_tradnl" w:eastAsia="es-ES_tradnl"/>
        </w:rPr>
        <w:t>“</w:t>
      </w:r>
      <w:r w:rsidRPr="00A71E32">
        <w:rPr>
          <w:rFonts w:ascii="Verdana" w:eastAsia="Calibri" w:hAnsi="Verdana" w:cs="Arial"/>
          <w:color w:val="000000"/>
          <w:sz w:val="20"/>
          <w:szCs w:val="20"/>
          <w:lang w:val="es-ES" w:eastAsia="es-ES_tradnl"/>
        </w:rPr>
        <w:t>[</w:t>
      </w:r>
      <w:r w:rsidRPr="00A71E32">
        <w:rPr>
          <w:rFonts w:ascii="Verdana" w:eastAsia="Times New Roman" w:hAnsi="Verdana" w:cs="Arial"/>
          <w:color w:val="000000"/>
          <w:sz w:val="20"/>
          <w:szCs w:val="20"/>
          <w:bdr w:val="none" w:sz="0" w:space="0" w:color="auto" w:frame="1"/>
          <w:shd w:val="clear" w:color="auto" w:fill="FFFFFF"/>
          <w:lang w:eastAsia="es-ES_tradnl"/>
        </w:rPr>
        <w:t xml:space="preserve">…] </w:t>
      </w:r>
      <w:r w:rsidRPr="00A71E32">
        <w:rPr>
          <w:rFonts w:ascii="Verdana" w:eastAsia="Times New Roman" w:hAnsi="Verdana" w:cs="Arial"/>
          <w:color w:val="000000"/>
          <w:sz w:val="20"/>
          <w:szCs w:val="20"/>
          <w:bdr w:val="none" w:sz="0" w:space="0" w:color="auto" w:frame="1"/>
          <w:shd w:val="clear" w:color="auto" w:fill="FFFFFF"/>
          <w:lang w:val="es-ES" w:eastAsia="es-ES_tradnl"/>
        </w:rPr>
        <w:t xml:space="preserve">se debe tener en cuenta que la liquidación unilateral es subsidiaria o supletoria frente a la bilateral, dado que el contratista tiene derecho a acordar la liquidación, debidamente reconocido por el ordenamiento jurídico. Para tal efecto, el contratista debe ser convocado o citado por la </w:t>
      </w:r>
      <w:r w:rsidRPr="00A71E32">
        <w:rPr>
          <w:rFonts w:ascii="Verdana" w:eastAsia="Times New Roman" w:hAnsi="Verdana" w:cs="Arial"/>
          <w:color w:val="000000"/>
          <w:sz w:val="20"/>
          <w:szCs w:val="20"/>
          <w:bdr w:val="none" w:sz="0" w:space="0" w:color="auto" w:frame="1"/>
          <w:shd w:val="clear" w:color="auto" w:fill="FFFFFF"/>
          <w:lang w:val="es-ES" w:eastAsia="es-ES_tradnl"/>
        </w:rPr>
        <w:lastRenderedPageBreak/>
        <w:t>entidad contratante con el fin de intentar la liquidación bilateral, puesto que en el supuesto caso de que no sea así, la liquidación unilateral posterior que llegase a practicar la administración resultaría inválida, dado que no tendría competencia material para hacerla y por cuanto su adopción con tal omisión vulneraría el derecho del contratista al debido proceso y sus corolarios de defensa y contradicción y, además, configuraría un abuso de poder”</w:t>
      </w:r>
      <w:r w:rsidRPr="00A71E32">
        <w:rPr>
          <w:rFonts w:ascii="Verdana" w:eastAsia="Times New Roman" w:hAnsi="Verdana" w:cs="Arial"/>
          <w:color w:val="000000"/>
          <w:sz w:val="20"/>
          <w:szCs w:val="20"/>
          <w:bdr w:val="none" w:sz="0" w:space="0" w:color="auto" w:frame="1"/>
          <w:shd w:val="clear" w:color="auto" w:fill="FFFFFF"/>
          <w:vertAlign w:val="superscript"/>
          <w:lang w:val="es-MX" w:eastAsia="es-ES_tradnl"/>
        </w:rPr>
        <w:footnoteReference w:id="15"/>
      </w:r>
      <w:r w:rsidRPr="00A71E32">
        <w:rPr>
          <w:rFonts w:ascii="Verdana" w:eastAsia="Times New Roman" w:hAnsi="Verdana" w:cs="Arial"/>
          <w:color w:val="000000"/>
          <w:sz w:val="20"/>
          <w:szCs w:val="20"/>
          <w:bdr w:val="none" w:sz="0" w:space="0" w:color="auto" w:frame="1"/>
          <w:shd w:val="clear" w:color="auto" w:fill="FFFFFF"/>
          <w:lang w:val="es-ES" w:eastAsia="es-ES_tradnl"/>
        </w:rPr>
        <w:t>. </w:t>
      </w:r>
      <w:r w:rsidRPr="00A71E32">
        <w:rPr>
          <w:rFonts w:ascii="Verdana" w:eastAsia="Times New Roman" w:hAnsi="Verdana" w:cs="Arial"/>
          <w:color w:val="000000"/>
          <w:sz w:val="20"/>
          <w:szCs w:val="20"/>
          <w:bdr w:val="none" w:sz="0" w:space="0" w:color="auto" w:frame="1"/>
          <w:shd w:val="clear" w:color="auto" w:fill="FFFFFF"/>
          <w:lang w:eastAsia="es-ES_tradnl"/>
        </w:rPr>
        <w:t>  </w:t>
      </w:r>
    </w:p>
    <w:p w14:paraId="2C5B5C2D" w14:textId="77777777" w:rsidR="006E3B9E" w:rsidRPr="00FB5FC4" w:rsidRDefault="006E3B9E" w:rsidP="006E3B9E">
      <w:pPr>
        <w:spacing w:after="0" w:line="276" w:lineRule="auto"/>
        <w:ind w:left="705" w:right="750"/>
        <w:jc w:val="both"/>
        <w:rPr>
          <w:rFonts w:ascii="Verdana" w:eastAsia="Times New Roman" w:hAnsi="Verdana" w:cs="Arial"/>
          <w:color w:val="000000"/>
          <w:lang w:eastAsia="es-ES_tradnl"/>
        </w:rPr>
      </w:pPr>
    </w:p>
    <w:p w14:paraId="47EBFDD1" w14:textId="77777777" w:rsidR="006E3B9E" w:rsidRPr="00FB5FC4" w:rsidRDefault="006E3B9E" w:rsidP="006E3B9E">
      <w:pPr>
        <w:spacing w:after="120" w:line="276" w:lineRule="auto"/>
        <w:ind w:firstLine="705"/>
        <w:jc w:val="both"/>
        <w:rPr>
          <w:rFonts w:ascii="Verdana" w:eastAsia="Times New Roman" w:hAnsi="Verdana" w:cs="Arial"/>
          <w:color w:val="000000"/>
          <w:lang w:eastAsia="es-ES_tradnl"/>
        </w:rPr>
      </w:pPr>
      <w:bookmarkStart w:id="9" w:name="_Hlk141851266"/>
      <w:r w:rsidRPr="00FB5FC4">
        <w:rPr>
          <w:rFonts w:ascii="Verdana" w:eastAsia="Times New Roman" w:hAnsi="Verdana" w:cs="Arial"/>
          <w:color w:val="000000"/>
          <w:bdr w:val="none" w:sz="0" w:space="0" w:color="auto" w:frame="1"/>
          <w:shd w:val="clear" w:color="auto" w:fill="FFFFFF"/>
          <w:lang w:val="es-ES" w:eastAsia="es-ES_tradnl"/>
        </w:rPr>
        <w:t>Si no se logra la liquidación bilateral del contrato, la entidad estatal tiene la facultad de liquidarlo unilateralmente dentro del término de 2 meses contados a partir del vencimiento del plazo que acuerden las partes para liquidar bilateralmente o, ante el silencio de estas, del vencimiento de los 4 meses supletivo establecido por la ley. </w:t>
      </w:r>
    </w:p>
    <w:p w14:paraId="4375221A" w14:textId="77777777" w:rsidR="006E3B9E" w:rsidRPr="00FB5FC4" w:rsidRDefault="006E3B9E" w:rsidP="006E3B9E">
      <w:pPr>
        <w:spacing w:after="0" w:line="276" w:lineRule="auto"/>
        <w:ind w:firstLine="705"/>
        <w:jc w:val="both"/>
        <w:rPr>
          <w:rFonts w:ascii="Verdana" w:eastAsia="Times New Roman" w:hAnsi="Verdana" w:cs="Arial"/>
          <w:color w:val="000000"/>
          <w:bdr w:val="none" w:sz="0" w:space="0" w:color="auto" w:frame="1"/>
          <w:shd w:val="clear" w:color="auto" w:fill="FFFFFF"/>
          <w:lang w:eastAsia="es-ES_tradnl"/>
        </w:rPr>
      </w:pPr>
      <w:r w:rsidRPr="00FB5FC4">
        <w:rPr>
          <w:rFonts w:ascii="Verdana" w:eastAsia="Times New Roman" w:hAnsi="Verdana" w:cs="Arial"/>
          <w:color w:val="000000"/>
          <w:bdr w:val="none" w:sz="0" w:space="0" w:color="auto" w:frame="1"/>
          <w:shd w:val="clear" w:color="auto" w:fill="FFFFFF"/>
          <w:lang w:val="es-ES" w:eastAsia="es-ES_tradnl"/>
        </w:rPr>
        <w:t xml:space="preserve">Finalmente, transcurridos estos meses, la liquidación podrá ser realizada en cualquier tiempo dentro de los dos años siguientes al vencimiento del término referido, de mutuo acuerdo o unilateralmente, salvo que el contratista haya presentado la demanda con la cual pretenda la liquidación judicial del contrato. De esta manera, durante estos dos años la liquidación podrá hacerse de mutuo acuerdo, unilateralmente por la entidad, o podrá ser solicitada judicialmente por el interesado. </w:t>
      </w:r>
      <w:bookmarkEnd w:id="9"/>
      <w:r w:rsidRPr="00FB5FC4">
        <w:rPr>
          <w:rFonts w:ascii="Verdana" w:eastAsia="Times New Roman" w:hAnsi="Verdana" w:cs="Arial"/>
          <w:color w:val="000000"/>
          <w:bdr w:val="none" w:sz="0" w:space="0" w:color="auto" w:frame="1"/>
          <w:shd w:val="clear" w:color="auto" w:fill="FFFFFF"/>
          <w:lang w:val="es-ES" w:eastAsia="es-ES_tradnl"/>
        </w:rPr>
        <w:t xml:space="preserve">En este sentido, en decisión de unificación de la </w:t>
      </w:r>
      <w:r w:rsidRPr="00FB5FC4">
        <w:rPr>
          <w:rFonts w:ascii="Verdana" w:eastAsia="Times New Roman" w:hAnsi="Verdana" w:cs="Arial"/>
          <w:color w:val="000000"/>
          <w:bdr w:val="none" w:sz="0" w:space="0" w:color="auto" w:frame="1"/>
          <w:shd w:val="clear" w:color="auto" w:fill="FFFFFF"/>
          <w:lang w:val="es-MX" w:eastAsia="es-ES_tradnl"/>
        </w:rPr>
        <w:t>Sección Tercera</w:t>
      </w:r>
      <w:r w:rsidRPr="00FB5FC4">
        <w:rPr>
          <w:rFonts w:ascii="Verdana" w:eastAsia="Times New Roman" w:hAnsi="Verdana" w:cs="Arial"/>
          <w:color w:val="000000"/>
          <w:bdr w:val="none" w:sz="0" w:space="0" w:color="auto" w:frame="1"/>
          <w:shd w:val="clear" w:color="auto" w:fill="FFFFFF"/>
          <w:lang w:val="es-ES" w:eastAsia="es-ES_tradnl"/>
        </w:rPr>
        <w:t xml:space="preserve"> del Consejo de Estado del</w:t>
      </w:r>
      <w:r w:rsidRPr="00FB5FC4">
        <w:rPr>
          <w:rFonts w:ascii="Verdana" w:eastAsia="Times New Roman" w:hAnsi="Verdana" w:cs="Arial"/>
          <w:color w:val="000000"/>
          <w:bdr w:val="none" w:sz="0" w:space="0" w:color="auto" w:frame="1"/>
          <w:shd w:val="clear" w:color="auto" w:fill="FFFFFF"/>
          <w:lang w:val="es-MX" w:eastAsia="es-ES_tradnl"/>
        </w:rPr>
        <w:t> </w:t>
      </w:r>
      <w:r w:rsidRPr="00FB5FC4">
        <w:rPr>
          <w:rFonts w:ascii="Verdana" w:eastAsia="Times New Roman" w:hAnsi="Verdana" w:cs="Arial"/>
          <w:color w:val="000000"/>
          <w:bdr w:val="none" w:sz="0" w:space="0" w:color="auto" w:frame="1"/>
          <w:shd w:val="clear" w:color="auto" w:fill="FFFFFF"/>
          <w:lang w:eastAsia="es-ES_tradnl"/>
        </w:rPr>
        <w:t>1 de agosto de 2019, se expresó: </w:t>
      </w:r>
    </w:p>
    <w:p w14:paraId="7FAA1DDA" w14:textId="77777777" w:rsidR="006E3B9E" w:rsidRPr="00FB5FC4" w:rsidRDefault="006E3B9E" w:rsidP="006E3B9E">
      <w:pPr>
        <w:spacing w:after="0" w:line="276" w:lineRule="auto"/>
        <w:ind w:firstLine="705"/>
        <w:jc w:val="both"/>
        <w:rPr>
          <w:rFonts w:ascii="Verdana" w:eastAsia="Times New Roman" w:hAnsi="Verdana" w:cs="Arial"/>
          <w:color w:val="000000"/>
          <w:lang w:eastAsia="es-ES_tradnl"/>
        </w:rPr>
      </w:pPr>
    </w:p>
    <w:p w14:paraId="3C482F4E" w14:textId="77777777" w:rsidR="006E3B9E" w:rsidRPr="00A71E32" w:rsidRDefault="006E3B9E" w:rsidP="006E3B9E">
      <w:pPr>
        <w:spacing w:after="0" w:line="240" w:lineRule="auto"/>
        <w:ind w:left="705" w:right="750"/>
        <w:jc w:val="both"/>
        <w:rPr>
          <w:rFonts w:ascii="Verdana" w:eastAsia="Times New Roman" w:hAnsi="Verdana" w:cs="Arial"/>
          <w:color w:val="000000"/>
          <w:sz w:val="20"/>
          <w:szCs w:val="20"/>
          <w:lang w:eastAsia="es-ES_tradnl"/>
        </w:rPr>
      </w:pPr>
      <w:r w:rsidRPr="00A71E32">
        <w:rPr>
          <w:rFonts w:ascii="Verdana" w:eastAsia="Times New Roman" w:hAnsi="Verdana" w:cs="Arial"/>
          <w:sz w:val="20"/>
          <w:szCs w:val="20"/>
          <w:lang w:val="es-ES_tradnl" w:eastAsia="es-ES_tradnl"/>
        </w:rPr>
        <w:t>“</w:t>
      </w:r>
      <w:r w:rsidRPr="00A71E32">
        <w:rPr>
          <w:rFonts w:ascii="Verdana" w:eastAsia="Times New Roman" w:hAnsi="Verdana" w:cs="Arial"/>
          <w:color w:val="000000"/>
          <w:sz w:val="20"/>
          <w:szCs w:val="20"/>
          <w:bdr w:val="none" w:sz="0" w:space="0" w:color="auto" w:frame="1"/>
          <w:shd w:val="clear" w:color="auto" w:fill="FFFFFF"/>
          <w:lang w:val="es-ES" w:eastAsia="es-ES_tradnl"/>
        </w:rPr>
        <w:t>Como pudo apreciarse, este precepto legal permite que la liquidación bilateral se acuerde después del vencimiento del término pactado en el contrato o previsto en los documentos antepuestos, o, del término supletorio que para la concertación de la liquidación establece la ley, e  incluso, después de haber pasado los dos meses subsiguientes a dicho vencimiento sin que la administración lo hubiera liquidado unilateralmente, bajo condición de que el acuerdo </w:t>
      </w:r>
      <w:proofErr w:type="spellStart"/>
      <w:r w:rsidRPr="00A71E32">
        <w:rPr>
          <w:rFonts w:ascii="Verdana" w:eastAsia="Times New Roman" w:hAnsi="Verdana" w:cs="Arial"/>
          <w:color w:val="000000"/>
          <w:sz w:val="20"/>
          <w:szCs w:val="20"/>
          <w:bdr w:val="none" w:sz="0" w:space="0" w:color="auto" w:frame="1"/>
          <w:shd w:val="clear" w:color="auto" w:fill="FFFFFF"/>
          <w:lang w:val="es-ES" w:eastAsia="es-ES_tradnl"/>
        </w:rPr>
        <w:t>liquidatorio</w:t>
      </w:r>
      <w:proofErr w:type="spellEnd"/>
      <w:r w:rsidRPr="00A71E32">
        <w:rPr>
          <w:rFonts w:ascii="Verdana" w:eastAsia="Times New Roman" w:hAnsi="Verdana" w:cs="Arial"/>
          <w:color w:val="000000"/>
          <w:sz w:val="20"/>
          <w:szCs w:val="20"/>
          <w:bdr w:val="none" w:sz="0" w:space="0" w:color="auto" w:frame="1"/>
          <w:shd w:val="clear" w:color="auto" w:fill="FFFFFF"/>
          <w:lang w:val="es-ES" w:eastAsia="es-ES_tradnl"/>
        </w:rPr>
        <w:t> se logre dentro del lapso de dos años contados a partir del vencimiento del término legalmente conocido para la liquidación unilateral, pues ese es el lapso que el ordenamiento ha fijado para el ejercicio oportuno de la acción</w:t>
      </w:r>
      <w:r w:rsidRPr="00A71E32">
        <w:rPr>
          <w:rFonts w:ascii="Verdana" w:eastAsia="Times New Roman" w:hAnsi="Verdana" w:cs="Arial"/>
          <w:sz w:val="20"/>
          <w:szCs w:val="20"/>
          <w:lang w:val="es-ES_tradnl" w:eastAsia="es-ES_tradnl"/>
        </w:rPr>
        <w:t>”</w:t>
      </w:r>
      <w:r w:rsidRPr="00A71E32">
        <w:rPr>
          <w:rFonts w:ascii="Verdana" w:eastAsia="Times New Roman" w:hAnsi="Verdana" w:cs="Arial"/>
          <w:color w:val="000000"/>
          <w:sz w:val="20"/>
          <w:szCs w:val="20"/>
          <w:bdr w:val="none" w:sz="0" w:space="0" w:color="auto" w:frame="1"/>
          <w:shd w:val="clear" w:color="auto" w:fill="FFFFFF"/>
          <w:vertAlign w:val="superscript"/>
          <w:lang w:eastAsia="es-ES_tradnl"/>
        </w:rPr>
        <w:t xml:space="preserve"> </w:t>
      </w:r>
      <w:r w:rsidRPr="00A71E32">
        <w:rPr>
          <w:rFonts w:ascii="Verdana" w:eastAsia="Times New Roman" w:hAnsi="Verdana" w:cs="Arial"/>
          <w:color w:val="000000"/>
          <w:sz w:val="20"/>
          <w:szCs w:val="20"/>
          <w:bdr w:val="none" w:sz="0" w:space="0" w:color="auto" w:frame="1"/>
          <w:shd w:val="clear" w:color="auto" w:fill="FFFFFF"/>
          <w:vertAlign w:val="superscript"/>
          <w:lang w:eastAsia="es-ES_tradnl"/>
        </w:rPr>
        <w:footnoteReference w:id="16"/>
      </w:r>
      <w:r w:rsidRPr="00A71E32">
        <w:rPr>
          <w:rFonts w:ascii="Verdana" w:eastAsia="Times New Roman" w:hAnsi="Verdana" w:cs="Arial"/>
          <w:sz w:val="20"/>
          <w:szCs w:val="20"/>
          <w:lang w:val="es-ES_tradnl" w:eastAsia="es-ES_tradnl"/>
        </w:rPr>
        <w:t>.</w:t>
      </w:r>
      <w:r w:rsidRPr="00A71E32">
        <w:rPr>
          <w:rFonts w:ascii="Verdana" w:eastAsia="Times New Roman" w:hAnsi="Verdana" w:cs="Arial"/>
          <w:color w:val="000000"/>
          <w:sz w:val="20"/>
          <w:szCs w:val="20"/>
          <w:bdr w:val="none" w:sz="0" w:space="0" w:color="auto" w:frame="1"/>
          <w:shd w:val="clear" w:color="auto" w:fill="FFFFFF"/>
          <w:lang w:val="es-ES" w:eastAsia="es-ES_tradnl"/>
        </w:rPr>
        <w:t> </w:t>
      </w:r>
    </w:p>
    <w:p w14:paraId="384B8799" w14:textId="77777777" w:rsidR="006E3B9E" w:rsidRPr="00FB5FC4" w:rsidRDefault="006E3B9E" w:rsidP="006E3B9E">
      <w:pPr>
        <w:spacing w:after="0" w:line="276" w:lineRule="auto"/>
        <w:ind w:firstLine="708"/>
        <w:jc w:val="both"/>
        <w:rPr>
          <w:rFonts w:ascii="Verdana" w:eastAsia="Times New Roman" w:hAnsi="Verdana" w:cs="Arial"/>
          <w:color w:val="000000"/>
          <w:lang w:eastAsia="es-ES_tradnl"/>
        </w:rPr>
      </w:pPr>
    </w:p>
    <w:p w14:paraId="449DBE44" w14:textId="77777777" w:rsidR="006E3B9E" w:rsidRDefault="006E3B9E" w:rsidP="006E3B9E">
      <w:pPr>
        <w:tabs>
          <w:tab w:val="left" w:pos="709"/>
        </w:tabs>
        <w:spacing w:after="120" w:line="276" w:lineRule="auto"/>
        <w:jc w:val="both"/>
        <w:rPr>
          <w:rFonts w:ascii="Verdana" w:eastAsia="Times New Roman" w:hAnsi="Verdana" w:cs="Arial"/>
          <w:color w:val="000000"/>
          <w:bdr w:val="none" w:sz="0" w:space="0" w:color="auto" w:frame="1"/>
          <w:shd w:val="clear" w:color="auto" w:fill="FFFFFF"/>
          <w:lang w:eastAsia="es-ES_tradnl"/>
        </w:rPr>
      </w:pPr>
      <w:r>
        <w:rPr>
          <w:rFonts w:ascii="Verdana" w:eastAsia="Times New Roman" w:hAnsi="Verdana" w:cs="Arial"/>
          <w:color w:val="000000"/>
          <w:bdr w:val="none" w:sz="0" w:space="0" w:color="auto" w:frame="1"/>
          <w:shd w:val="clear" w:color="auto" w:fill="FFFFFF"/>
          <w:lang w:eastAsia="es-ES_tradnl"/>
        </w:rPr>
        <w:tab/>
      </w:r>
      <w:r w:rsidRPr="00FB5FC4">
        <w:rPr>
          <w:rFonts w:ascii="Verdana" w:eastAsia="Times New Roman" w:hAnsi="Verdana" w:cs="Arial"/>
          <w:color w:val="000000"/>
          <w:bdr w:val="none" w:sz="0" w:space="0" w:color="auto" w:frame="1"/>
          <w:shd w:val="clear" w:color="auto" w:fill="FFFFFF"/>
          <w:lang w:eastAsia="es-ES_tradnl"/>
        </w:rPr>
        <w:t>A su turno</w:t>
      </w:r>
      <w:r>
        <w:rPr>
          <w:rFonts w:ascii="Verdana" w:eastAsia="Times New Roman" w:hAnsi="Verdana" w:cs="Arial"/>
          <w:color w:val="000000"/>
          <w:bdr w:val="none" w:sz="0" w:space="0" w:color="auto" w:frame="1"/>
          <w:shd w:val="clear" w:color="auto" w:fill="FFFFFF"/>
          <w:lang w:eastAsia="es-ES_tradnl"/>
        </w:rPr>
        <w:t xml:space="preserve">, la liquidación judicial hace parte de una de las pretensiones que admite el medio de control de controversias contractuales. Al respecto, el artículo 141 de la Ley 1437 de 2011 dispone que “[…] </w:t>
      </w:r>
      <w:r w:rsidRPr="00F915F3">
        <w:rPr>
          <w:rFonts w:ascii="Verdana" w:eastAsia="Times New Roman" w:hAnsi="Verdana" w:cs="Arial"/>
          <w:color w:val="000000"/>
          <w:bdr w:val="none" w:sz="0" w:space="0" w:color="auto" w:frame="1"/>
          <w:shd w:val="clear" w:color="auto" w:fill="FFFFFF"/>
          <w:lang w:eastAsia="es-ES_tradnl"/>
        </w:rPr>
        <w:t xml:space="preserve">el interesado podrá </w:t>
      </w:r>
      <w:bookmarkStart w:id="10" w:name="_Hlk172560769"/>
      <w:r w:rsidRPr="00F915F3">
        <w:rPr>
          <w:rFonts w:ascii="Verdana" w:eastAsia="Times New Roman" w:hAnsi="Verdana" w:cs="Arial"/>
          <w:color w:val="000000"/>
          <w:bdr w:val="none" w:sz="0" w:space="0" w:color="auto" w:frame="1"/>
          <w:shd w:val="clear" w:color="auto" w:fill="FFFFFF"/>
          <w:lang w:eastAsia="es-ES_tradnl"/>
        </w:rPr>
        <w:lastRenderedPageBreak/>
        <w:t>solicitar la liquidación judicial</w:t>
      </w:r>
      <w:bookmarkEnd w:id="10"/>
      <w:r w:rsidRPr="00F915F3">
        <w:rPr>
          <w:rFonts w:ascii="Verdana" w:eastAsia="Times New Roman" w:hAnsi="Verdana" w:cs="Arial"/>
          <w:color w:val="000000"/>
          <w:bdr w:val="none" w:sz="0" w:space="0" w:color="auto" w:frame="1"/>
          <w:shd w:val="clear" w:color="auto" w:fill="FFFFFF"/>
          <w:lang w:eastAsia="es-ES_tradnl"/>
        </w:rPr>
        <w:t xml:space="preserve"> del contrato cuando esta no se haya logrado de mutuo acuerdo y la entidad estatal no lo haya liquidado unilateralmente dentro de los dos (2) meses siguientes al vencimiento del plazo convenido para liquidar de mutuo acuerdo o, en su defecto, del término establecido por la ley</w:t>
      </w:r>
      <w:r>
        <w:rPr>
          <w:rFonts w:ascii="Verdana" w:eastAsia="Times New Roman" w:hAnsi="Verdana" w:cs="Arial"/>
          <w:color w:val="000000"/>
          <w:bdr w:val="none" w:sz="0" w:space="0" w:color="auto" w:frame="1"/>
          <w:shd w:val="clear" w:color="auto" w:fill="FFFFFF"/>
          <w:lang w:eastAsia="es-ES_tradnl"/>
        </w:rPr>
        <w:t>”</w:t>
      </w:r>
      <w:r w:rsidRPr="00F915F3">
        <w:rPr>
          <w:rFonts w:ascii="Verdana" w:eastAsia="Times New Roman" w:hAnsi="Verdana" w:cs="Arial"/>
          <w:color w:val="000000"/>
          <w:bdr w:val="none" w:sz="0" w:space="0" w:color="auto" w:frame="1"/>
          <w:shd w:val="clear" w:color="auto" w:fill="FFFFFF"/>
          <w:lang w:eastAsia="es-ES_tradnl"/>
        </w:rPr>
        <w:t>.</w:t>
      </w:r>
      <w:r>
        <w:rPr>
          <w:rFonts w:ascii="Verdana" w:eastAsia="Times New Roman" w:hAnsi="Verdana" w:cs="Arial"/>
          <w:color w:val="000000"/>
          <w:bdr w:val="none" w:sz="0" w:space="0" w:color="auto" w:frame="1"/>
          <w:shd w:val="clear" w:color="auto" w:fill="FFFFFF"/>
          <w:lang w:eastAsia="es-ES_tradnl"/>
        </w:rPr>
        <w:t xml:space="preserve"> Bajo esta perspectiva, para la entidad cesa la facultad de liquidar bilateral o unilateralmente, ya que el tema pasa de la administración a la jurisdicción.</w:t>
      </w:r>
    </w:p>
    <w:p w14:paraId="72990DB1" w14:textId="77777777" w:rsidR="006E3B9E" w:rsidRDefault="006E3B9E" w:rsidP="006E3B9E">
      <w:pPr>
        <w:tabs>
          <w:tab w:val="left" w:pos="709"/>
        </w:tabs>
        <w:spacing w:after="120" w:line="276" w:lineRule="auto"/>
        <w:jc w:val="both"/>
        <w:rPr>
          <w:rFonts w:ascii="Verdana" w:eastAsia="Times New Roman" w:hAnsi="Verdana" w:cs="Arial"/>
          <w:color w:val="000000"/>
          <w:bdr w:val="none" w:sz="0" w:space="0" w:color="auto" w:frame="1"/>
          <w:shd w:val="clear" w:color="auto" w:fill="FFFFFF"/>
          <w:lang w:val="es-ES" w:eastAsia="es-ES"/>
        </w:rPr>
      </w:pPr>
      <w:r>
        <w:rPr>
          <w:rFonts w:ascii="Verdana" w:eastAsia="Times New Roman" w:hAnsi="Verdana" w:cs="Arial"/>
          <w:color w:val="000000"/>
          <w:bdr w:val="none" w:sz="0" w:space="0" w:color="auto" w:frame="1"/>
          <w:shd w:val="clear" w:color="auto" w:fill="FFFFFF"/>
          <w:lang w:eastAsia="es-ES_tradnl"/>
        </w:rPr>
        <w:tab/>
      </w:r>
      <w:r w:rsidRPr="64F094BD">
        <w:rPr>
          <w:rFonts w:ascii="Verdana" w:eastAsia="Times New Roman" w:hAnsi="Verdana" w:cs="Arial"/>
          <w:color w:val="000000"/>
          <w:bdr w:val="none" w:sz="0" w:space="0" w:color="auto" w:frame="1"/>
          <w:shd w:val="clear" w:color="auto" w:fill="FFFFFF"/>
          <w:lang w:val="es-ES" w:eastAsia="es-ES"/>
        </w:rPr>
        <w:t xml:space="preserve">En suma, de acuerdo con el artículo 11 de la Ley 1150 de 2007, existen tres (3) tipos de liquidación: i) bilateral, </w:t>
      </w:r>
      <w:proofErr w:type="spellStart"/>
      <w:r w:rsidRPr="64F094BD">
        <w:rPr>
          <w:rFonts w:ascii="Verdana" w:eastAsia="Times New Roman" w:hAnsi="Verdana" w:cs="Arial"/>
          <w:color w:val="000000"/>
          <w:bdr w:val="none" w:sz="0" w:space="0" w:color="auto" w:frame="1"/>
          <w:shd w:val="clear" w:color="auto" w:fill="FFFFFF"/>
          <w:lang w:val="es-ES" w:eastAsia="es-ES"/>
        </w:rPr>
        <w:t>ii</w:t>
      </w:r>
      <w:proofErr w:type="spellEnd"/>
      <w:r w:rsidRPr="64F094BD">
        <w:rPr>
          <w:rFonts w:ascii="Verdana" w:eastAsia="Times New Roman" w:hAnsi="Verdana" w:cs="Arial"/>
          <w:color w:val="000000"/>
          <w:bdr w:val="none" w:sz="0" w:space="0" w:color="auto" w:frame="1"/>
          <w:shd w:val="clear" w:color="auto" w:fill="FFFFFF"/>
          <w:lang w:val="es-ES" w:eastAsia="es-ES"/>
        </w:rPr>
        <w:t xml:space="preserve">) unilateral y </w:t>
      </w:r>
      <w:proofErr w:type="spellStart"/>
      <w:r w:rsidRPr="64F094BD">
        <w:rPr>
          <w:rFonts w:ascii="Verdana" w:eastAsia="Times New Roman" w:hAnsi="Verdana" w:cs="Arial"/>
          <w:color w:val="000000"/>
          <w:bdr w:val="none" w:sz="0" w:space="0" w:color="auto" w:frame="1"/>
          <w:shd w:val="clear" w:color="auto" w:fill="FFFFFF"/>
          <w:lang w:val="es-ES" w:eastAsia="es-ES"/>
        </w:rPr>
        <w:t>iii</w:t>
      </w:r>
      <w:proofErr w:type="spellEnd"/>
      <w:r w:rsidRPr="64F094BD">
        <w:rPr>
          <w:rFonts w:ascii="Verdana" w:eastAsia="Times New Roman" w:hAnsi="Verdana" w:cs="Arial"/>
          <w:color w:val="000000"/>
          <w:bdr w:val="none" w:sz="0" w:space="0" w:color="auto" w:frame="1"/>
          <w:shd w:val="clear" w:color="auto" w:fill="FFFFFF"/>
          <w:lang w:val="es-ES" w:eastAsia="es-ES"/>
        </w:rPr>
        <w:t>) judicial. En términos generales, la primera, que puede ser total o parcial, debe hacerse en el término que estipulen las partes o, en su defecto, dentro del término supletivo de cuatro (4) meses. La segunda se debe practicar dentro de los dos (2) meses siguientes al vencimiento del término que acuerden las partes, o ante el silencio de estas, luego de los cuatro (4)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ello, existe un plazo máximo de dos (2) años contados a partir de los dos meses establecidos en la Ley para realizar la liquidación unilateral.</w:t>
      </w:r>
    </w:p>
    <w:p w14:paraId="74AF3B14" w14:textId="77777777" w:rsidR="006E3B9E" w:rsidRDefault="006E3B9E" w:rsidP="006E3B9E">
      <w:pPr>
        <w:spacing w:after="120" w:line="276" w:lineRule="auto"/>
        <w:jc w:val="both"/>
        <w:rPr>
          <w:rFonts w:ascii="Verdana" w:eastAsia="Calibri" w:hAnsi="Verdana" w:cs="Arial"/>
        </w:rPr>
      </w:pPr>
      <w:proofErr w:type="spellStart"/>
      <w:r>
        <w:rPr>
          <w:rFonts w:ascii="Verdana" w:eastAsia="Calibri" w:hAnsi="Verdana" w:cs="Arial"/>
        </w:rPr>
        <w:t>ii</w:t>
      </w:r>
      <w:proofErr w:type="spellEnd"/>
      <w:r>
        <w:rPr>
          <w:rFonts w:ascii="Verdana" w:eastAsia="Calibri" w:hAnsi="Verdana" w:cs="Arial"/>
        </w:rPr>
        <w:t xml:space="preserve">. Ahora bien, </w:t>
      </w:r>
      <w:r w:rsidRPr="0002364E">
        <w:rPr>
          <w:rFonts w:ascii="Verdana" w:eastAsia="Calibri" w:hAnsi="Verdana" w:cs="Arial"/>
        </w:rPr>
        <w:t>en atención al problema jurídico planteado, es preciso señalar que, en aquellos eventos en los que el contrato no haya sido liquidado de mutuo acuerdo ni unilateralmente y se haya promovido un proceso judicial de controversias contractuales para resolver aspectos relacionados con su liquidación, la jurisprudencia del Consejo de Estado no ha mantenido una posición uniforme en torno al momento a partir del cual la entidad estatal pierde la competencia para efectuar la liquidación del contrato.</w:t>
      </w:r>
      <w:r>
        <w:rPr>
          <w:rFonts w:ascii="Verdana" w:eastAsia="Calibri" w:hAnsi="Verdana" w:cs="Arial"/>
        </w:rPr>
        <w:t xml:space="preserve"> </w:t>
      </w:r>
    </w:p>
    <w:p w14:paraId="017A712B" w14:textId="77777777" w:rsidR="006E3B9E" w:rsidRPr="0029408E" w:rsidRDefault="006E3B9E" w:rsidP="006E3B9E">
      <w:pPr>
        <w:spacing w:after="120" w:line="276" w:lineRule="auto"/>
        <w:ind w:firstLine="703"/>
        <w:jc w:val="both"/>
        <w:rPr>
          <w:rFonts w:ascii="Verdana" w:eastAsia="Calibri" w:hAnsi="Verdana" w:cs="Arial"/>
        </w:rPr>
      </w:pPr>
      <w:r>
        <w:rPr>
          <w:rFonts w:ascii="Verdana" w:eastAsia="Calibri" w:hAnsi="Verdana" w:cs="Arial"/>
        </w:rPr>
        <w:t>En ef</w:t>
      </w:r>
      <w:r>
        <w:rPr>
          <w:rFonts w:ascii="Verdana" w:eastAsia="Times New Roman" w:hAnsi="Verdana" w:cs="Arial"/>
          <w:color w:val="000000"/>
          <w:bdr w:val="none" w:sz="0" w:space="0" w:color="auto" w:frame="1"/>
          <w:shd w:val="clear" w:color="auto" w:fill="FFFFFF"/>
          <w:lang w:eastAsia="es-ES_tradnl"/>
        </w:rPr>
        <w:t xml:space="preserve">ecto, en sentencia del 12 de mayo de 2016, la subsección A de la Sección Tercera del Consejo de Estado consideró que “[…] si la pretensión principal es que el juez liquide el convenio, es porque el negocio jurídico no ha sido liquidado hasta antes de que se trabe litis, es decir, </w:t>
      </w:r>
      <w:r>
        <w:rPr>
          <w:rFonts w:ascii="Verdana" w:eastAsia="Times New Roman" w:hAnsi="Verdana" w:cs="Arial"/>
          <w:i/>
          <w:iCs/>
          <w:color w:val="000000"/>
          <w:bdr w:val="none" w:sz="0" w:space="0" w:color="auto" w:frame="1"/>
          <w:shd w:val="clear" w:color="auto" w:fill="FFFFFF"/>
          <w:lang w:eastAsia="es-ES_tradnl"/>
        </w:rPr>
        <w:t>hasta antes de que se notifique el auto admisorio de la demanda al extremo pasivo del proceso</w:t>
      </w:r>
      <w:r>
        <w:rPr>
          <w:rFonts w:ascii="Verdana" w:eastAsia="Times New Roman" w:hAnsi="Verdana" w:cs="Arial"/>
          <w:color w:val="000000"/>
          <w:bdr w:val="none" w:sz="0" w:space="0" w:color="auto" w:frame="1"/>
          <w:shd w:val="clear" w:color="auto" w:fill="FFFFFF"/>
          <w:lang w:eastAsia="es-ES_tradnl"/>
        </w:rPr>
        <w:t xml:space="preserve">, bien </w:t>
      </w:r>
      <w:r>
        <w:rPr>
          <w:rFonts w:ascii="Verdana" w:eastAsia="Times New Roman" w:hAnsi="Verdana" w:cs="Arial"/>
          <w:color w:val="000000"/>
          <w:bdr w:val="none" w:sz="0" w:space="0" w:color="auto" w:frame="1"/>
          <w:shd w:val="clear" w:color="auto" w:fill="FFFFFF"/>
          <w:lang w:eastAsia="es-ES_tradnl"/>
        </w:rPr>
        <w:lastRenderedPageBreak/>
        <w:t>sea porque las partes no lograron liquidarlo de mutuo acuerdo o porque la administración no lo liquidó unilateralmente”</w:t>
      </w:r>
      <w:r>
        <w:rPr>
          <w:rStyle w:val="Refdenotaalpie"/>
          <w:rFonts w:ascii="Verdana" w:eastAsia="Times New Roman" w:hAnsi="Verdana" w:cs="Arial"/>
          <w:color w:val="000000"/>
          <w:bdr w:val="none" w:sz="0" w:space="0" w:color="auto" w:frame="1"/>
          <w:shd w:val="clear" w:color="auto" w:fill="FFFFFF"/>
          <w:lang w:eastAsia="es-ES_tradnl"/>
        </w:rPr>
        <w:footnoteReference w:id="17"/>
      </w:r>
      <w:r>
        <w:rPr>
          <w:rFonts w:ascii="Verdana" w:eastAsia="Times New Roman" w:hAnsi="Verdana" w:cs="Arial"/>
          <w:color w:val="000000"/>
          <w:bdr w:val="none" w:sz="0" w:space="0" w:color="auto" w:frame="1"/>
          <w:shd w:val="clear" w:color="auto" w:fill="FFFFFF"/>
          <w:lang w:eastAsia="es-ES_tradnl"/>
        </w:rPr>
        <w:t xml:space="preserve"> [Énfasis por fuera de texto].</w:t>
      </w:r>
    </w:p>
    <w:p w14:paraId="51543EAF" w14:textId="77777777" w:rsidR="006E3B9E" w:rsidRDefault="006E3B9E" w:rsidP="006E3B9E">
      <w:pPr>
        <w:snapToGrid w:val="0"/>
        <w:spacing w:after="120" w:line="276" w:lineRule="auto"/>
        <w:ind w:firstLine="708"/>
        <w:jc w:val="both"/>
        <w:rPr>
          <w:rFonts w:ascii="Verdana" w:eastAsia="Calibri" w:hAnsi="Verdana" w:cs="Arial"/>
        </w:rPr>
      </w:pPr>
      <w:r>
        <w:rPr>
          <w:rFonts w:ascii="Verdana" w:eastAsia="Calibri" w:hAnsi="Verdana" w:cs="Arial"/>
        </w:rPr>
        <w:t>Esta postura también fue compartida por la Subsección C, que en sentencia del 22 de junio de 2000, señaló que  “</w:t>
      </w:r>
      <w:r w:rsidRPr="003909D2">
        <w:rPr>
          <w:rFonts w:ascii="Verdana" w:eastAsia="Calibri" w:hAnsi="Verdana" w:cs="Arial"/>
        </w:rPr>
        <w:t>Si por el contrario el contratista sí demandó la liquidación judicial del contrato por el incumplimiento de la Administración del deber de liquidar el contrato, el término que tendrá la Administración será hasta antes de que sea notificada del auto admisorio de la demanda, siempre y cuando desde la omisión de liquidar no haya transcurrido, hipotéticamente, el plazo legal máximo, de prescripción o caducidad, según el caso, para promover ante el juez la demanda correspondiente</w:t>
      </w:r>
      <w:r>
        <w:rPr>
          <w:rStyle w:val="Refdenotaalpie"/>
          <w:rFonts w:ascii="Verdana" w:eastAsia="Calibri" w:hAnsi="Verdana" w:cs="Arial"/>
        </w:rPr>
        <w:footnoteReference w:id="18"/>
      </w:r>
      <w:r>
        <w:rPr>
          <w:rFonts w:ascii="Verdana" w:eastAsia="Calibri" w:hAnsi="Verdana" w:cs="Arial"/>
        </w:rPr>
        <w:t xml:space="preserve">”. Posteriormente, en sentencia del 21 de octubre de 2025, esta misma Subsección reiteró dicha tesis precisando que </w:t>
      </w:r>
      <w:r w:rsidRPr="004A1593">
        <w:rPr>
          <w:rFonts w:ascii="Verdana" w:eastAsia="Calibri" w:hAnsi="Verdana" w:cs="Arial"/>
        </w:rPr>
        <w:t xml:space="preserve">la administración pierde la competencia para efectuar la liquidación unilateral una vez le sea </w:t>
      </w:r>
      <w:r w:rsidRPr="00CA64AD">
        <w:rPr>
          <w:rFonts w:ascii="Verdana" w:eastAsia="Calibri" w:hAnsi="Verdana" w:cs="Arial"/>
        </w:rPr>
        <w:t>notificado el auto admisorio de la demanda</w:t>
      </w:r>
      <w:r>
        <w:rPr>
          <w:rFonts w:ascii="Verdana" w:eastAsia="Calibri" w:hAnsi="Verdana" w:cs="Arial"/>
        </w:rPr>
        <w:t xml:space="preserve">, en los siguientes términos: </w:t>
      </w:r>
    </w:p>
    <w:p w14:paraId="27F5A508" w14:textId="77777777" w:rsidR="006E3B9E" w:rsidRDefault="006E3B9E" w:rsidP="006E3B9E">
      <w:pPr>
        <w:snapToGrid w:val="0"/>
        <w:spacing w:after="0" w:line="276" w:lineRule="auto"/>
        <w:ind w:firstLine="709"/>
        <w:jc w:val="both"/>
        <w:rPr>
          <w:rFonts w:ascii="Verdana" w:eastAsia="Calibri" w:hAnsi="Verdana" w:cs="Arial"/>
        </w:rPr>
      </w:pPr>
    </w:p>
    <w:p w14:paraId="15C8E09A" w14:textId="77777777" w:rsidR="006E3B9E" w:rsidRDefault="006E3B9E" w:rsidP="006E3B9E">
      <w:pPr>
        <w:snapToGrid w:val="0"/>
        <w:spacing w:after="0" w:line="240" w:lineRule="auto"/>
        <w:ind w:left="709" w:right="760"/>
        <w:jc w:val="both"/>
        <w:rPr>
          <w:rFonts w:ascii="Verdana" w:eastAsia="Calibri" w:hAnsi="Verdana" w:cs="Arial"/>
          <w:sz w:val="20"/>
          <w:szCs w:val="20"/>
        </w:rPr>
      </w:pPr>
      <w:r w:rsidRPr="00F93FEA">
        <w:rPr>
          <w:rFonts w:ascii="Verdana" w:eastAsia="Calibri" w:hAnsi="Verdana" w:cs="Arial"/>
          <w:sz w:val="20"/>
          <w:szCs w:val="20"/>
        </w:rPr>
        <w:t xml:space="preserve"> “la Administración pierde competencia para liquidar unilateralmente el contrato cuando se notifica el auto admisorio de la demanda cuyo objeto o pretensión consista en liquidar en sede judicial el negocio jurídico. Lo anterior, bajo el entendido de que la notificación del auto admisorio de la demanda en la que se pide la liquidación judicial del contrato es el hito que produce la pérdida de competencia de la entidad para liquidarlo unilateralmente, mientras aquel acuerdo no haya sido liquidado unilateral o bilateralmente.</w:t>
      </w:r>
    </w:p>
    <w:p w14:paraId="565D2C5E" w14:textId="77777777" w:rsidR="006E3B9E" w:rsidRDefault="006E3B9E" w:rsidP="006E3B9E">
      <w:pPr>
        <w:snapToGrid w:val="0"/>
        <w:spacing w:after="0" w:line="240" w:lineRule="auto"/>
        <w:ind w:left="709" w:right="760"/>
        <w:jc w:val="both"/>
        <w:rPr>
          <w:rFonts w:ascii="Verdana" w:eastAsia="Calibri" w:hAnsi="Verdana" w:cs="Arial"/>
          <w:sz w:val="20"/>
          <w:szCs w:val="20"/>
        </w:rPr>
      </w:pPr>
    </w:p>
    <w:p w14:paraId="4F7BE35F" w14:textId="77777777" w:rsidR="006E3B9E" w:rsidRDefault="006E3B9E" w:rsidP="006E3B9E">
      <w:pPr>
        <w:snapToGrid w:val="0"/>
        <w:spacing w:after="0" w:line="240" w:lineRule="auto"/>
        <w:ind w:left="709" w:right="760"/>
        <w:jc w:val="both"/>
        <w:rPr>
          <w:rFonts w:ascii="Verdana" w:eastAsia="Calibri" w:hAnsi="Verdana" w:cs="Arial"/>
          <w:sz w:val="20"/>
          <w:szCs w:val="20"/>
        </w:rPr>
      </w:pPr>
      <w:r>
        <w:rPr>
          <w:rFonts w:ascii="Verdana" w:eastAsia="Calibri" w:hAnsi="Verdana" w:cs="Arial"/>
          <w:sz w:val="20"/>
          <w:szCs w:val="20"/>
        </w:rPr>
        <w:t xml:space="preserve">(…) </w:t>
      </w:r>
    </w:p>
    <w:p w14:paraId="5ECE8974" w14:textId="77777777" w:rsidR="006E3B9E" w:rsidRPr="00F93FEA" w:rsidRDefault="006E3B9E" w:rsidP="006E3B9E">
      <w:pPr>
        <w:snapToGrid w:val="0"/>
        <w:spacing w:after="0" w:line="240" w:lineRule="auto"/>
        <w:ind w:left="709" w:right="760"/>
        <w:jc w:val="both"/>
        <w:rPr>
          <w:rFonts w:ascii="Verdana" w:eastAsia="Calibri" w:hAnsi="Verdana" w:cs="Arial"/>
          <w:sz w:val="20"/>
          <w:szCs w:val="20"/>
        </w:rPr>
      </w:pPr>
    </w:p>
    <w:p w14:paraId="347C0E18" w14:textId="77777777" w:rsidR="006E3B9E" w:rsidRDefault="006E3B9E" w:rsidP="006E3B9E">
      <w:pPr>
        <w:snapToGrid w:val="0"/>
        <w:spacing w:after="0" w:line="240" w:lineRule="auto"/>
        <w:ind w:left="709" w:right="760"/>
        <w:jc w:val="both"/>
        <w:rPr>
          <w:rFonts w:ascii="Verdana" w:eastAsia="Calibri" w:hAnsi="Verdana" w:cs="Arial"/>
          <w:sz w:val="20"/>
          <w:szCs w:val="20"/>
        </w:rPr>
      </w:pPr>
      <w:r w:rsidRPr="00F93FEA">
        <w:rPr>
          <w:rFonts w:ascii="Verdana" w:eastAsia="Calibri" w:hAnsi="Verdana" w:cs="Arial"/>
          <w:sz w:val="20"/>
          <w:szCs w:val="20"/>
        </w:rPr>
        <w:t>Este criterio también ha sido acogido por la Sala de Consulta y Servicio Civil del Consejo de Estado, al conceptuar que la competencia de la entidad para liquidar de forma unilateral un contrato estatal se pierde ´cuando ha expirado el termino de caducidad para la presentación de la demanda en ejercicio del medio de control de controversias contractuales o cuando se ha notificado el auto admisorio de la demanda que persigue la liquidación del contrato</w:t>
      </w:r>
      <w:r>
        <w:rPr>
          <w:rFonts w:ascii="Verdana" w:eastAsia="Calibri" w:hAnsi="Verdana" w:cs="Arial"/>
          <w:sz w:val="20"/>
          <w:szCs w:val="20"/>
        </w:rPr>
        <w:t>.</w:t>
      </w:r>
    </w:p>
    <w:p w14:paraId="1635783A" w14:textId="77777777" w:rsidR="006E3B9E" w:rsidRDefault="006E3B9E" w:rsidP="006E3B9E">
      <w:pPr>
        <w:snapToGrid w:val="0"/>
        <w:spacing w:after="0" w:line="240" w:lineRule="auto"/>
        <w:ind w:left="709" w:right="760"/>
        <w:jc w:val="both"/>
        <w:rPr>
          <w:rFonts w:ascii="Verdana" w:eastAsia="Calibri" w:hAnsi="Verdana" w:cs="Arial"/>
          <w:sz w:val="20"/>
          <w:szCs w:val="20"/>
        </w:rPr>
      </w:pPr>
    </w:p>
    <w:p w14:paraId="1C5203D1" w14:textId="77777777" w:rsidR="006E3B9E" w:rsidRPr="00F93FEA" w:rsidRDefault="006E3B9E" w:rsidP="006E3B9E">
      <w:pPr>
        <w:snapToGrid w:val="0"/>
        <w:spacing w:after="0" w:line="240" w:lineRule="auto"/>
        <w:ind w:left="709" w:right="760"/>
        <w:jc w:val="both"/>
        <w:rPr>
          <w:rFonts w:ascii="Verdana" w:eastAsia="Calibri" w:hAnsi="Verdana" w:cs="Arial"/>
          <w:sz w:val="20"/>
          <w:szCs w:val="20"/>
        </w:rPr>
      </w:pPr>
      <w:r w:rsidRPr="00723B16">
        <w:rPr>
          <w:rFonts w:ascii="Verdana" w:eastAsia="Calibri" w:hAnsi="Verdana" w:cs="Arial"/>
          <w:sz w:val="20"/>
          <w:szCs w:val="20"/>
        </w:rPr>
        <w:t>Lo expuesto encuentra sentido dados los efectos procesales de la notificación y posterior firmeza del auto admisorio de la demanda, trabándose la litis y, por consiguiente, estableci</w:t>
      </w:r>
      <w:r>
        <w:rPr>
          <w:rFonts w:ascii="Verdana" w:eastAsia="Calibri" w:hAnsi="Verdana" w:cs="Arial"/>
          <w:sz w:val="20"/>
          <w:szCs w:val="20"/>
        </w:rPr>
        <w:t>én</w:t>
      </w:r>
      <w:r w:rsidRPr="00723B16">
        <w:rPr>
          <w:rFonts w:ascii="Verdana" w:eastAsia="Calibri" w:hAnsi="Verdana" w:cs="Arial"/>
          <w:sz w:val="20"/>
          <w:szCs w:val="20"/>
        </w:rPr>
        <w:t>dos</w:t>
      </w:r>
      <w:r>
        <w:rPr>
          <w:rFonts w:ascii="Verdana" w:eastAsia="Calibri" w:hAnsi="Verdana" w:cs="Arial"/>
          <w:sz w:val="20"/>
          <w:szCs w:val="20"/>
        </w:rPr>
        <w:t>e</w:t>
      </w:r>
      <w:r w:rsidRPr="00723B16">
        <w:rPr>
          <w:rFonts w:ascii="Verdana" w:eastAsia="Calibri" w:hAnsi="Verdana" w:cs="Arial"/>
          <w:sz w:val="20"/>
          <w:szCs w:val="20"/>
        </w:rPr>
        <w:t xml:space="preserve"> la relación procesal </w:t>
      </w:r>
      <w:r w:rsidRPr="00723B16">
        <w:rPr>
          <w:rFonts w:ascii="Verdana" w:eastAsia="Calibri" w:hAnsi="Verdana" w:cs="Arial"/>
          <w:sz w:val="20"/>
          <w:szCs w:val="20"/>
        </w:rPr>
        <w:lastRenderedPageBreak/>
        <w:t>entre las partes en contienda — en sede judicial— con los pedimentos formulados en el libelo introductorio</w:t>
      </w:r>
      <w:r w:rsidRPr="00723B16">
        <w:rPr>
          <w:rFonts w:ascii="Verdana" w:eastAsia="Calibri" w:hAnsi="Verdana" w:cs="Arial"/>
          <w:sz w:val="20"/>
          <w:szCs w:val="20"/>
          <w:vertAlign w:val="superscript"/>
        </w:rPr>
        <w:t xml:space="preserve"> </w:t>
      </w:r>
      <w:r>
        <w:rPr>
          <w:rStyle w:val="Refdenotaalpie"/>
          <w:rFonts w:ascii="Verdana" w:eastAsia="Calibri" w:hAnsi="Verdana" w:cs="Arial"/>
          <w:sz w:val="20"/>
          <w:szCs w:val="20"/>
        </w:rPr>
        <w:footnoteReference w:id="19"/>
      </w:r>
      <w:r w:rsidRPr="00F93FEA">
        <w:rPr>
          <w:rFonts w:ascii="Verdana" w:eastAsia="Calibri" w:hAnsi="Verdana" w:cs="Arial"/>
          <w:sz w:val="20"/>
          <w:szCs w:val="20"/>
        </w:rPr>
        <w:t xml:space="preserve">.” </w:t>
      </w:r>
    </w:p>
    <w:p w14:paraId="11692BFD" w14:textId="77777777" w:rsidR="006E3B9E" w:rsidRDefault="006E3B9E" w:rsidP="006E3B9E">
      <w:pPr>
        <w:snapToGrid w:val="0"/>
        <w:spacing w:after="0" w:line="240" w:lineRule="auto"/>
        <w:ind w:firstLine="708"/>
        <w:jc w:val="both"/>
        <w:rPr>
          <w:rFonts w:ascii="Verdana" w:hAnsi="Verdana"/>
        </w:rPr>
      </w:pPr>
    </w:p>
    <w:p w14:paraId="0AC95232" w14:textId="77777777" w:rsidR="006E3B9E" w:rsidRDefault="006E3B9E" w:rsidP="006E3B9E">
      <w:pPr>
        <w:snapToGrid w:val="0"/>
        <w:spacing w:after="120" w:line="276" w:lineRule="auto"/>
        <w:ind w:firstLine="708"/>
        <w:jc w:val="both"/>
        <w:rPr>
          <w:rFonts w:ascii="Verdana" w:hAnsi="Verdana"/>
        </w:rPr>
      </w:pPr>
      <w:r>
        <w:rPr>
          <w:rFonts w:ascii="Verdana" w:hAnsi="Verdana"/>
        </w:rPr>
        <w:t>En contraste</w:t>
      </w:r>
      <w:r w:rsidRPr="00DB7DB3">
        <w:rPr>
          <w:rFonts w:ascii="Verdana" w:hAnsi="Verdana"/>
        </w:rPr>
        <w:t xml:space="preserve">, la Subsección B </w:t>
      </w:r>
      <w:r>
        <w:rPr>
          <w:rFonts w:ascii="Verdana" w:hAnsi="Verdana"/>
        </w:rPr>
        <w:t>tenía un</w:t>
      </w:r>
      <w:r w:rsidRPr="00DB7DB3">
        <w:rPr>
          <w:rFonts w:ascii="Verdana" w:hAnsi="Verdana"/>
        </w:rPr>
        <w:t xml:space="preserve"> criterio distinto al explicado en los párrafos precedentes. Al respecto, considerando fenómenos como la interrupción de la prescripción o de la caducidad, así como la constitución en mora, manifiesta que “[…] se hace necesario un ejercicio de integración normativa que esté más acorde con los efectos que la legislación procesal le atribuye a la presentación de la demanda, y que no están condicionados a su notificación. </w:t>
      </w:r>
      <w:r w:rsidRPr="007C5179">
        <w:rPr>
          <w:rFonts w:ascii="Verdana" w:hAnsi="Verdana"/>
        </w:rPr>
        <w:t>Desde este enfoque, la Sala declarará que la Administración perdió competencia para liquidar el contrato en forma unilateral, a partir de la fecha en que se presentó la demanda que pretendió su liquidación judicial</w:t>
      </w:r>
      <w:r w:rsidRPr="007C5179">
        <w:rPr>
          <w:rFonts w:ascii="Verdana" w:hAnsi="Verdana"/>
          <w:vertAlign w:val="superscript"/>
        </w:rPr>
        <w:footnoteReference w:id="20"/>
      </w:r>
      <w:r w:rsidRPr="007C5179">
        <w:rPr>
          <w:rFonts w:ascii="Verdana" w:hAnsi="Verdana"/>
        </w:rPr>
        <w:t>”.</w:t>
      </w:r>
      <w:r w:rsidRPr="0074711B">
        <w:rPr>
          <w:rFonts w:ascii="Verdana" w:eastAsia="Times New Roman" w:hAnsi="Verdana" w:cs="Arial"/>
          <w:color w:val="000000"/>
          <w:bdr w:val="none" w:sz="0" w:space="0" w:color="auto" w:frame="1"/>
          <w:shd w:val="clear" w:color="auto" w:fill="FFFFFF"/>
          <w:lang w:eastAsia="es-ES_tradnl"/>
        </w:rPr>
        <w:t xml:space="preserve"> </w:t>
      </w:r>
      <w:r>
        <w:rPr>
          <w:rFonts w:ascii="Verdana" w:eastAsia="Times New Roman" w:hAnsi="Verdana" w:cs="Arial"/>
          <w:color w:val="000000"/>
          <w:bdr w:val="none" w:sz="0" w:space="0" w:color="auto" w:frame="1"/>
          <w:shd w:val="clear" w:color="auto" w:fill="FFFFFF"/>
          <w:lang w:eastAsia="es-ES_tradnl"/>
        </w:rPr>
        <w:t xml:space="preserve">Dicho criterio fue sido reiterado por la misma Subsección en la Sentencia del 14 de septiembre de 2022, rad. 67167, con ponencia del consejero </w:t>
      </w:r>
      <w:r w:rsidRPr="008457D2">
        <w:rPr>
          <w:rFonts w:ascii="Verdana" w:eastAsia="Times New Roman" w:hAnsi="Verdana" w:cs="Arial"/>
          <w:color w:val="000000"/>
          <w:bdr w:val="none" w:sz="0" w:space="0" w:color="auto" w:frame="1"/>
          <w:shd w:val="clear" w:color="auto" w:fill="FFFFFF"/>
          <w:lang w:eastAsia="es-ES_tradnl"/>
        </w:rPr>
        <w:t>Fredy Ibarra Martínez</w:t>
      </w:r>
      <w:r>
        <w:rPr>
          <w:rFonts w:ascii="Verdana" w:eastAsia="Times New Roman" w:hAnsi="Verdana" w:cs="Arial"/>
          <w:color w:val="000000"/>
          <w:bdr w:val="none" w:sz="0" w:space="0" w:color="auto" w:frame="1"/>
          <w:shd w:val="clear" w:color="auto" w:fill="FFFFFF"/>
          <w:lang w:eastAsia="es-ES_tradnl"/>
        </w:rPr>
        <w:t>.</w:t>
      </w:r>
    </w:p>
    <w:p w14:paraId="6862EE00" w14:textId="77777777" w:rsidR="006E3B9E" w:rsidRPr="0093722E" w:rsidRDefault="006E3B9E" w:rsidP="006E3B9E">
      <w:pPr>
        <w:snapToGrid w:val="0"/>
        <w:spacing w:after="120" w:line="276" w:lineRule="auto"/>
        <w:ind w:firstLine="708"/>
        <w:jc w:val="both"/>
        <w:rPr>
          <w:rFonts w:ascii="Verdana" w:hAnsi="Verdana"/>
        </w:rPr>
      </w:pPr>
      <w:r w:rsidRPr="0093722E">
        <w:rPr>
          <w:rFonts w:ascii="Verdana" w:hAnsi="Verdana"/>
        </w:rPr>
        <w:t>De esta manera, se observa que las Subsecciones A y C de la Sección Tercera del Consejo de Estado sost</w:t>
      </w:r>
      <w:r>
        <w:rPr>
          <w:rFonts w:ascii="Verdana" w:hAnsi="Verdana"/>
        </w:rPr>
        <w:t>ienen</w:t>
      </w:r>
      <w:r w:rsidRPr="0093722E">
        <w:rPr>
          <w:rFonts w:ascii="Verdana" w:hAnsi="Verdana"/>
        </w:rPr>
        <w:t xml:space="preserve"> un</w:t>
      </w:r>
      <w:r>
        <w:rPr>
          <w:rFonts w:ascii="Verdana" w:hAnsi="Verdana"/>
        </w:rPr>
        <w:t>a</w:t>
      </w:r>
      <w:r w:rsidRPr="0093722E">
        <w:rPr>
          <w:rFonts w:ascii="Verdana" w:hAnsi="Verdana"/>
        </w:rPr>
        <w:t xml:space="preserve"> </w:t>
      </w:r>
      <w:r>
        <w:rPr>
          <w:rFonts w:ascii="Verdana" w:hAnsi="Verdana"/>
        </w:rPr>
        <w:t>postura</w:t>
      </w:r>
      <w:r w:rsidRPr="0093722E">
        <w:rPr>
          <w:rFonts w:ascii="Verdana" w:hAnsi="Verdana"/>
        </w:rPr>
        <w:t xml:space="preserve"> d</w:t>
      </w:r>
      <w:r>
        <w:rPr>
          <w:rFonts w:ascii="Verdana" w:hAnsi="Verdana"/>
        </w:rPr>
        <w:t>iferente</w:t>
      </w:r>
      <w:r w:rsidRPr="0093722E">
        <w:rPr>
          <w:rFonts w:ascii="Verdana" w:hAnsi="Verdana"/>
        </w:rPr>
        <w:t xml:space="preserve"> a</w:t>
      </w:r>
      <w:r>
        <w:rPr>
          <w:rFonts w:ascii="Verdana" w:hAnsi="Verdana"/>
        </w:rPr>
        <w:t xml:space="preserve"> la de </w:t>
      </w:r>
      <w:r w:rsidRPr="0093722E">
        <w:rPr>
          <w:rFonts w:ascii="Verdana" w:hAnsi="Verdana"/>
        </w:rPr>
        <w:t>la Subsección B. Mientras las primeras consideraban que la pérdida de competencia de la entidad estatal para efectuar la liquidación unilateral del contrato se producía con la notificación del auto admisorio de la demand</w:t>
      </w:r>
      <w:r>
        <w:rPr>
          <w:rFonts w:ascii="Verdana" w:hAnsi="Verdana"/>
        </w:rPr>
        <w:t>a e</w:t>
      </w:r>
      <w:r w:rsidRPr="00346A72">
        <w:rPr>
          <w:rFonts w:ascii="Verdana" w:hAnsi="Verdana"/>
        </w:rPr>
        <w:t>n que se incorporen pretensiones de incumplimiento y de liquidación</w:t>
      </w:r>
      <w:r w:rsidRPr="0093722E">
        <w:rPr>
          <w:rFonts w:ascii="Verdana" w:hAnsi="Verdana"/>
        </w:rPr>
        <w:t>, la Subsección B sostenía que dicho efecto se materializaba desde la presentación de la demanda</w:t>
      </w:r>
      <w:r>
        <w:rPr>
          <w:rFonts w:ascii="Verdana" w:hAnsi="Verdana"/>
        </w:rPr>
        <w:t>.</w:t>
      </w:r>
    </w:p>
    <w:p w14:paraId="36516BCA" w14:textId="77777777" w:rsidR="006E3B9E" w:rsidRDefault="006E3B9E" w:rsidP="006E3B9E">
      <w:pPr>
        <w:snapToGrid w:val="0"/>
        <w:spacing w:after="120" w:line="276" w:lineRule="auto"/>
        <w:ind w:firstLine="708"/>
        <w:jc w:val="both"/>
        <w:rPr>
          <w:rFonts w:ascii="Verdana" w:hAnsi="Verdana"/>
        </w:rPr>
      </w:pPr>
      <w:r w:rsidRPr="0093722E">
        <w:rPr>
          <w:rFonts w:ascii="Verdana" w:hAnsi="Verdana"/>
        </w:rPr>
        <w:t>No obstante, mediante auto del 2</w:t>
      </w:r>
      <w:r>
        <w:rPr>
          <w:rFonts w:ascii="Verdana" w:hAnsi="Verdana"/>
        </w:rPr>
        <w:t>7</w:t>
      </w:r>
      <w:r w:rsidRPr="0093722E">
        <w:rPr>
          <w:rFonts w:ascii="Verdana" w:hAnsi="Verdana"/>
        </w:rPr>
        <w:t xml:space="preserve"> de febrero de 2026, la Subsección B,</w:t>
      </w:r>
      <w:r w:rsidRPr="00F02A60">
        <w:rPr>
          <w:rFonts w:ascii="Verdana" w:hAnsi="Verdana"/>
        </w:rPr>
        <w:t xml:space="preserve"> </w:t>
      </w:r>
      <w:r w:rsidRPr="0093722E">
        <w:rPr>
          <w:rFonts w:ascii="Verdana" w:hAnsi="Verdana"/>
        </w:rPr>
        <w:t>acogió la línea interpretativa desarrollada por las Subsecciones A y C con el propósito de</w:t>
      </w:r>
      <w:r w:rsidRPr="00EA4182">
        <w:rPr>
          <w:rFonts w:ascii="Verdana" w:hAnsi="Verdana"/>
        </w:rPr>
        <w:t xml:space="preserve"> fijar un criterio uniforme de decisión y consecuencialmente brindar seguridad jurídica a la comunidad</w:t>
      </w:r>
      <w:r>
        <w:rPr>
          <w:rStyle w:val="Refdenotaalpie"/>
          <w:rFonts w:ascii="Verdana" w:hAnsi="Verdana"/>
        </w:rPr>
        <w:footnoteReference w:id="21"/>
      </w:r>
      <w:r w:rsidRPr="0093722E">
        <w:rPr>
          <w:rFonts w:ascii="Verdana" w:hAnsi="Verdana"/>
        </w:rPr>
        <w:t>.</w:t>
      </w:r>
      <w:r>
        <w:rPr>
          <w:rFonts w:ascii="Verdana" w:hAnsi="Verdana"/>
        </w:rPr>
        <w:t xml:space="preserve"> </w:t>
      </w:r>
      <w:r w:rsidRPr="000813FE">
        <w:rPr>
          <w:rFonts w:ascii="Verdana" w:hAnsi="Verdana"/>
        </w:rPr>
        <w:t>Para sustentar este cambio de</w:t>
      </w:r>
      <w:r>
        <w:rPr>
          <w:rFonts w:ascii="Verdana" w:hAnsi="Verdana"/>
        </w:rPr>
        <w:t xml:space="preserve"> postura</w:t>
      </w:r>
      <w:r w:rsidRPr="000813FE">
        <w:rPr>
          <w:rFonts w:ascii="Verdana" w:hAnsi="Verdana"/>
        </w:rPr>
        <w:t>,</w:t>
      </w:r>
      <w:r>
        <w:rPr>
          <w:rFonts w:ascii="Verdana" w:hAnsi="Verdana"/>
        </w:rPr>
        <w:t xml:space="preserve"> </w:t>
      </w:r>
      <w:r w:rsidRPr="000813FE">
        <w:rPr>
          <w:rFonts w:ascii="Verdana" w:hAnsi="Verdana"/>
        </w:rPr>
        <w:t>expuso dos razones principales</w:t>
      </w:r>
      <w:r>
        <w:rPr>
          <w:rFonts w:ascii="Verdana" w:hAnsi="Verdana"/>
        </w:rPr>
        <w:t>:</w:t>
      </w:r>
      <w:r w:rsidRPr="000813FE">
        <w:rPr>
          <w:rFonts w:ascii="Verdana" w:hAnsi="Verdana"/>
        </w:rPr>
        <w:t xml:space="preserve"> </w:t>
      </w:r>
      <w:r>
        <w:rPr>
          <w:rFonts w:ascii="Verdana" w:hAnsi="Verdana"/>
        </w:rPr>
        <w:t>e</w:t>
      </w:r>
      <w:r w:rsidRPr="000813FE">
        <w:rPr>
          <w:rFonts w:ascii="Verdana" w:hAnsi="Verdana"/>
        </w:rPr>
        <w:t>n primer lugar, señaló que</w:t>
      </w:r>
      <w:r w:rsidRPr="002157E3">
        <w:t xml:space="preserve"> </w:t>
      </w:r>
      <w:r>
        <w:rPr>
          <w:rFonts w:ascii="Verdana" w:hAnsi="Verdana"/>
        </w:rPr>
        <w:t>l</w:t>
      </w:r>
      <w:r w:rsidRPr="004F3BFC">
        <w:rPr>
          <w:rFonts w:ascii="Verdana" w:hAnsi="Verdana"/>
        </w:rPr>
        <w:t>a presentación de la demanda no implica la existencia de una relación jurídica procesal</w:t>
      </w:r>
      <w:r>
        <w:rPr>
          <w:rFonts w:ascii="Verdana" w:hAnsi="Verdana"/>
        </w:rPr>
        <w:t>, ya que</w:t>
      </w:r>
      <w:r w:rsidRPr="000D726F">
        <w:t xml:space="preserve"> </w:t>
      </w:r>
      <w:r>
        <w:rPr>
          <w:rFonts w:ascii="Verdana" w:hAnsi="Verdana"/>
        </w:rPr>
        <w:t>c</w:t>
      </w:r>
      <w:r w:rsidRPr="000D726F">
        <w:rPr>
          <w:rFonts w:ascii="Verdana" w:hAnsi="Verdana"/>
        </w:rPr>
        <w:t>uando la demanda se inadmite o se rechaza no surge la relación procesal</w:t>
      </w:r>
      <w:r>
        <w:rPr>
          <w:rFonts w:ascii="Verdana" w:hAnsi="Verdana"/>
        </w:rPr>
        <w:t xml:space="preserve">. En caso de la inadmisión </w:t>
      </w:r>
      <w:r w:rsidRPr="002157E3">
        <w:rPr>
          <w:rFonts w:ascii="Verdana" w:hAnsi="Verdana"/>
        </w:rPr>
        <w:t>es necesario esperar a que se subsane para efectos de dictar el auto admisorio correspondiente; pero si se rechaza de plano o por no haberse subsanado, la relación procesal no nace a la vida jurídica.</w:t>
      </w:r>
      <w:r>
        <w:rPr>
          <w:rFonts w:ascii="Verdana" w:hAnsi="Verdana"/>
        </w:rPr>
        <w:t xml:space="preserve"> Además, </w:t>
      </w:r>
      <w:r>
        <w:rPr>
          <w:rFonts w:ascii="Verdana" w:hAnsi="Verdana"/>
        </w:rPr>
        <w:lastRenderedPageBreak/>
        <w:t>indicó que “</w:t>
      </w:r>
      <w:r w:rsidRPr="00C500C1">
        <w:rPr>
          <w:rFonts w:ascii="Verdana" w:hAnsi="Verdana"/>
        </w:rPr>
        <w:t>una vez presentada una demanda, y antes de que se notifique a algún demandado o al Ministerio Público,</w:t>
      </w:r>
      <w:r>
        <w:rPr>
          <w:rFonts w:ascii="Verdana" w:hAnsi="Verdana"/>
        </w:rPr>
        <w:t xml:space="preserve"> </w:t>
      </w:r>
      <w:r w:rsidRPr="005A043C">
        <w:rPr>
          <w:rFonts w:ascii="Verdana" w:hAnsi="Verdana"/>
        </w:rPr>
        <w:t>es perfectamente posible retirarla, sin que dicha conducta implique la ocurrencia del fenómeno de la cosa juzgada</w:t>
      </w:r>
      <w:r>
        <w:rPr>
          <w:rFonts w:ascii="Verdana" w:hAnsi="Verdana"/>
        </w:rPr>
        <w:t xml:space="preserve">”. </w:t>
      </w:r>
    </w:p>
    <w:p w14:paraId="6CA0EC89" w14:textId="77777777" w:rsidR="006E3B9E" w:rsidRDefault="006E3B9E" w:rsidP="006E3B9E">
      <w:pPr>
        <w:snapToGrid w:val="0"/>
        <w:spacing w:after="120" w:line="276" w:lineRule="auto"/>
        <w:ind w:firstLine="708"/>
        <w:jc w:val="both"/>
        <w:rPr>
          <w:rFonts w:ascii="Verdana" w:hAnsi="Verdana"/>
        </w:rPr>
      </w:pPr>
      <w:r>
        <w:rPr>
          <w:rFonts w:ascii="Verdana" w:hAnsi="Verdana"/>
        </w:rPr>
        <w:t>En segundo lugar indicó que “</w:t>
      </w:r>
      <w:r w:rsidRPr="00F73DFD">
        <w:rPr>
          <w:rFonts w:ascii="Verdana" w:hAnsi="Verdana"/>
        </w:rPr>
        <w:t>solo se traba la litis cuando se notifica el auto admisorio de la demanda al extremo pasivo, y hay total certeza de que la relación jurídico procesal se ha originado, pues ya no es posible retirar la demanda, ni que esta sea rechazada</w:t>
      </w:r>
      <w:r>
        <w:rPr>
          <w:rFonts w:ascii="Verdana" w:hAnsi="Verdana"/>
        </w:rPr>
        <w:t xml:space="preserve">”. Asimismo, señaló que </w:t>
      </w:r>
      <w:r w:rsidRPr="002A14BA">
        <w:rPr>
          <w:rFonts w:ascii="Verdana" w:hAnsi="Verdana"/>
        </w:rPr>
        <w:t>con la notificación del auto admisorio de la demanda se vincula el extremo demandado al proceso, y el ejercicio del derecho de acción solo sirve para constituir la relación procesal “una vez la demanda se comunica o notifica a la contraparte”</w:t>
      </w:r>
      <w:r>
        <w:rPr>
          <w:rFonts w:ascii="Verdana" w:hAnsi="Verdana"/>
        </w:rPr>
        <w:t>.</w:t>
      </w:r>
    </w:p>
    <w:p w14:paraId="749F40E6" w14:textId="77777777" w:rsidR="006E3B9E" w:rsidRDefault="006E3B9E" w:rsidP="006E3B9E">
      <w:pPr>
        <w:snapToGrid w:val="0"/>
        <w:spacing w:after="120" w:line="276" w:lineRule="auto"/>
        <w:ind w:firstLine="708"/>
        <w:jc w:val="both"/>
        <w:rPr>
          <w:rFonts w:ascii="Verdana" w:hAnsi="Verdana"/>
        </w:rPr>
      </w:pPr>
      <w:r w:rsidRPr="00B0513B">
        <w:rPr>
          <w:rFonts w:ascii="Verdana" w:hAnsi="Verdana"/>
        </w:rPr>
        <w:t>En este contexto, la Subsección B rectificó su jurisprudencia y se realineó con la posición sostenida por las Subsecciones A y C, en el sentido de que 'la entidad estatal pierde competencia para expedir actos administrativos de declaratoria de incumplimiento y liquidación del contrato, una vez que se le notifica el auto admisorio de la demanda presentada en contra de la propia entidad, siempre y cuando las pretensiones o los hechos correspondientes se refieran a los puntos específicos que dieron lugar al procedimiento administrativo de declaratoria de incumplimiento o de liquidación del contrato'. Conviene precisar que esta decisión constituye una rectificación de la jurisprudencia de la Subsección B —que la hace converger con las demás subsecciones—, y no una sentencia o auto de unificación jurisprudencial en los términos de los artículos 270 y 271 del CPACA, cuya expedición corresponde a la Sala Plena de la Sección o a la Sala Plena de lo Contencioso Administrativo</w:t>
      </w:r>
    </w:p>
    <w:p w14:paraId="1C899E95" w14:textId="77777777" w:rsidR="006E3B9E" w:rsidRDefault="006E3B9E" w:rsidP="006E3B9E">
      <w:pPr>
        <w:snapToGrid w:val="0"/>
        <w:spacing w:after="120" w:line="276" w:lineRule="auto"/>
        <w:ind w:firstLine="708"/>
        <w:jc w:val="both"/>
        <w:rPr>
          <w:rFonts w:ascii="Verdana" w:eastAsia="Calibri" w:hAnsi="Verdana" w:cs="Arial"/>
        </w:rPr>
      </w:pPr>
      <w:r w:rsidRPr="009C42D9">
        <w:rPr>
          <w:rFonts w:ascii="Verdana" w:eastAsia="Calibri" w:hAnsi="Verdana" w:cs="Arial"/>
        </w:rPr>
        <w:t>Así las cosas, en atención a la rectificación jurisprudencial adoptada por la Subsección B —hoy convergente con la línea reiterada de las Subsecciones A y C—, esta Agencia replantea, con el fin de armonizarla con dicho criterio, la postura expuesta en el concepto C-326 de 2024 y en los demás en que sostuvo que la pérdida de competencia para liquidar se configuraba con la presentación de la demanda</w:t>
      </w:r>
      <w:r>
        <w:rPr>
          <w:rFonts w:ascii="Verdana" w:eastAsia="Calibri" w:hAnsi="Verdana" w:cs="Arial"/>
        </w:rPr>
        <w:t xml:space="preserve">. En consecuencia, es claro que </w:t>
      </w:r>
      <w:r w:rsidRPr="006A6DB1">
        <w:rPr>
          <w:rFonts w:ascii="Verdana" w:eastAsia="Calibri" w:hAnsi="Verdana" w:cs="Arial"/>
        </w:rPr>
        <w:t xml:space="preserve">la pérdida de competencia de la entidad estatal para adelantar la liquidación unilateral del contrato se configura a partir de la notificación del auto admisorio de la demanda cuando esta tenga por objeto, o incluya entre sus pretensiones, la liquidación judicial del negocio jurídico. A partir de ese momento, corresponde al juez del contrato conocer y decidir los aspectos relativos a la liquidación, en atención a que la competencia </w:t>
      </w:r>
      <w:r w:rsidRPr="006A6DB1">
        <w:rPr>
          <w:rFonts w:ascii="Verdana" w:eastAsia="Calibri" w:hAnsi="Verdana" w:cs="Arial"/>
        </w:rPr>
        <w:lastRenderedPageBreak/>
        <w:t>para pronunciarse sobre dicha materia se radica en la jurisdicción de lo contencioso administrativo.</w:t>
      </w:r>
    </w:p>
    <w:p w14:paraId="66958AAD" w14:textId="77777777" w:rsidR="006E3B9E" w:rsidRPr="00175FAD" w:rsidRDefault="006E3B9E" w:rsidP="006E3B9E">
      <w:pPr>
        <w:snapToGrid w:val="0"/>
        <w:spacing w:after="120" w:line="276" w:lineRule="auto"/>
        <w:ind w:firstLine="708"/>
        <w:jc w:val="both"/>
        <w:rPr>
          <w:rFonts w:ascii="Verdana" w:eastAsia="Calibri" w:hAnsi="Verdana" w:cs="Arial"/>
        </w:rPr>
      </w:pPr>
      <w:r w:rsidRPr="00175FAD">
        <w:rPr>
          <w:rFonts w:ascii="Verdana" w:eastAsia="Calibri" w:hAnsi="Verdana" w:cs="Arial"/>
        </w:rPr>
        <w:t xml:space="preserve">El alcance de esta regla se concreta en que, una vez notificado el auto admisorio de la demanda, la entidad estatal pierde la competencia para adoptar aquellas decisiones cuyo conocimiento ha sido </w:t>
      </w:r>
      <w:r>
        <w:rPr>
          <w:rFonts w:ascii="Verdana" w:eastAsia="Calibri" w:hAnsi="Verdana" w:cs="Arial"/>
        </w:rPr>
        <w:t>solicitado</w:t>
      </w:r>
      <w:r w:rsidRPr="00175FAD">
        <w:rPr>
          <w:rFonts w:ascii="Verdana" w:eastAsia="Calibri" w:hAnsi="Verdana" w:cs="Arial"/>
        </w:rPr>
        <w:t xml:space="preserve"> al juez del contrato. En consecuencia, cuando las pretensiones de la demanda comprendan la declaratoria de incumplimiento o la liquidación judicial del contrato, la entidad no podrá expedir actos administrativos dirigidos a declarar el incumplimiento ni adelantar la liquidación unilateral del negocio jurídico, pues tales materias han sido sometidas al conocimiento de</w:t>
      </w:r>
      <w:r>
        <w:rPr>
          <w:rFonts w:ascii="Verdana" w:eastAsia="Calibri" w:hAnsi="Verdana" w:cs="Arial"/>
        </w:rPr>
        <w:t>l juez</w:t>
      </w:r>
      <w:r w:rsidRPr="00175FAD">
        <w:rPr>
          <w:rFonts w:ascii="Verdana" w:eastAsia="Calibri" w:hAnsi="Verdana" w:cs="Arial"/>
        </w:rPr>
        <w:t>. En este sentido, la entidad deberá abstenerse de adelantar actuaciones que recaigan sobre l</w:t>
      </w:r>
      <w:r>
        <w:rPr>
          <w:rFonts w:ascii="Verdana" w:eastAsia="Calibri" w:hAnsi="Verdana" w:cs="Arial"/>
        </w:rPr>
        <w:t>os puntos</w:t>
      </w:r>
      <w:r w:rsidRPr="00175FAD">
        <w:rPr>
          <w:rFonts w:ascii="Verdana" w:eastAsia="Calibri" w:hAnsi="Verdana" w:cs="Arial"/>
        </w:rPr>
        <w:t xml:space="preserve"> objeto del litigio o que puedan interferir con el ejercicio de la competencia del juez</w:t>
      </w:r>
      <w:r>
        <w:rPr>
          <w:rFonts w:ascii="Verdana" w:eastAsia="Calibri" w:hAnsi="Verdana" w:cs="Arial"/>
        </w:rPr>
        <w:t xml:space="preserve">. </w:t>
      </w:r>
      <w:r w:rsidRPr="00A632F7">
        <w:rPr>
          <w:rFonts w:ascii="Verdana" w:eastAsia="Calibri" w:hAnsi="Verdana" w:cs="Arial"/>
        </w:rPr>
        <w:t>Esta regla es, además, expresión del debido proceso y de la separación entre la función administrativa y la judicial</w:t>
      </w:r>
      <w:r>
        <w:rPr>
          <w:rFonts w:ascii="Verdana" w:eastAsia="Calibri" w:hAnsi="Verdana" w:cs="Arial"/>
        </w:rPr>
        <w:t>.</w:t>
      </w:r>
      <w:r w:rsidRPr="00A632F7">
        <w:rPr>
          <w:rFonts w:ascii="Verdana" w:eastAsia="Calibri" w:hAnsi="Verdana" w:cs="Arial"/>
        </w:rPr>
        <w:t xml:space="preserve"> </w:t>
      </w:r>
      <w:r>
        <w:rPr>
          <w:rFonts w:ascii="Verdana" w:eastAsia="Calibri" w:hAnsi="Verdana" w:cs="Arial"/>
        </w:rPr>
        <w:t>T</w:t>
      </w:r>
      <w:r w:rsidRPr="00A632F7">
        <w:rPr>
          <w:rFonts w:ascii="Verdana" w:eastAsia="Calibri" w:hAnsi="Verdana" w:cs="Arial"/>
        </w:rPr>
        <w:t xml:space="preserve">rabada la </w:t>
      </w:r>
      <w:r w:rsidRPr="00BD4D05">
        <w:rPr>
          <w:rFonts w:ascii="Verdana" w:eastAsia="Calibri" w:hAnsi="Verdana" w:cs="Arial"/>
          <w:i/>
          <w:iCs/>
        </w:rPr>
        <w:t>litis</w:t>
      </w:r>
      <w:r w:rsidRPr="00A632F7">
        <w:rPr>
          <w:rFonts w:ascii="Verdana" w:eastAsia="Calibri" w:hAnsi="Verdana" w:cs="Arial"/>
        </w:rPr>
        <w:t xml:space="preserve">, la administración no puede pronunciarse sobre aquello que ya ha sido sometido al conocimiento del juez del contrato, so pena de convertirse en juez de su propia causa. </w:t>
      </w:r>
    </w:p>
    <w:p w14:paraId="11F5F2CE" w14:textId="77777777" w:rsidR="006E3B9E" w:rsidRDefault="006E3B9E" w:rsidP="006E3B9E">
      <w:pPr>
        <w:snapToGrid w:val="0"/>
        <w:spacing w:after="120" w:line="276" w:lineRule="auto"/>
        <w:ind w:firstLine="708"/>
        <w:jc w:val="both"/>
        <w:rPr>
          <w:rFonts w:ascii="Verdana" w:eastAsia="Calibri" w:hAnsi="Verdana" w:cs="Arial"/>
        </w:rPr>
      </w:pPr>
      <w:r w:rsidRPr="00175FAD">
        <w:rPr>
          <w:rFonts w:ascii="Verdana" w:eastAsia="Calibri" w:hAnsi="Verdana" w:cs="Arial"/>
        </w:rPr>
        <w:t xml:space="preserve">En particular, tratándose de la liquidación del contrato, conviene recordar que esta </w:t>
      </w:r>
      <w:r>
        <w:rPr>
          <w:rFonts w:ascii="Verdana" w:eastAsia="Calibri" w:hAnsi="Verdana" w:cs="Arial"/>
        </w:rPr>
        <w:t>“</w:t>
      </w:r>
      <w:r w:rsidRPr="001141E0">
        <w:rPr>
          <w:rFonts w:ascii="Verdana" w:eastAsia="Calibri" w:hAnsi="Verdana" w:cs="Arial"/>
        </w:rPr>
        <w:t>busca finiquitar la relación contractual, razón por la cual se plasma y formaliza la situación financiera y jurídica al término del negocio y el grado de cumplimiento del objeto contratado. Igualmente, tiene como propósito decidir todas las reclamaciones asociadas a la ejecución del contrato, de modo que constituye la oportunidad para formular y decidir las reclamaciones que se consideren pertinentes</w:t>
      </w:r>
      <w:r>
        <w:rPr>
          <w:rStyle w:val="Refdenotaalpie"/>
          <w:rFonts w:ascii="Verdana" w:eastAsia="Calibri" w:hAnsi="Verdana" w:cs="Arial"/>
        </w:rPr>
        <w:footnoteReference w:id="22"/>
      </w:r>
      <w:r>
        <w:rPr>
          <w:rFonts w:ascii="Verdana" w:eastAsia="Calibri" w:hAnsi="Verdana" w:cs="Arial"/>
        </w:rPr>
        <w:t>”</w:t>
      </w:r>
      <w:r w:rsidRPr="001141E0">
        <w:rPr>
          <w:rFonts w:ascii="Verdana" w:eastAsia="Calibri" w:hAnsi="Verdana" w:cs="Arial"/>
        </w:rPr>
        <w:t>.</w:t>
      </w:r>
      <w:r>
        <w:rPr>
          <w:rFonts w:ascii="Verdana" w:eastAsia="Calibri" w:hAnsi="Verdana" w:cs="Arial"/>
        </w:rPr>
        <w:t xml:space="preserve"> </w:t>
      </w:r>
      <w:r w:rsidRPr="00175FAD">
        <w:rPr>
          <w:rFonts w:ascii="Verdana" w:eastAsia="Calibri" w:hAnsi="Verdana" w:cs="Arial"/>
        </w:rPr>
        <w:t>En ese sentido, la liquidación constituye el escenario en el que se define de manera definitiva la situación financiera y jurídica del contrato y se deciden las reclamaciones que las partes estimen procedentes.</w:t>
      </w:r>
      <w:r>
        <w:rPr>
          <w:rFonts w:ascii="Verdana" w:eastAsia="Calibri" w:hAnsi="Verdana" w:cs="Arial"/>
        </w:rPr>
        <w:t xml:space="preserve"> </w:t>
      </w:r>
    </w:p>
    <w:p w14:paraId="23708827" w14:textId="77777777" w:rsidR="006E3B9E" w:rsidRDefault="006E3B9E" w:rsidP="006E3B9E">
      <w:pPr>
        <w:snapToGrid w:val="0"/>
        <w:spacing w:after="120" w:line="276" w:lineRule="auto"/>
        <w:ind w:firstLine="708"/>
        <w:jc w:val="both"/>
        <w:rPr>
          <w:rFonts w:ascii="Verdana" w:eastAsia="Calibri" w:hAnsi="Verdana" w:cs="Arial"/>
        </w:rPr>
      </w:pPr>
      <w:r w:rsidRPr="00175FAD">
        <w:rPr>
          <w:rFonts w:ascii="Verdana" w:eastAsia="Calibri" w:hAnsi="Verdana" w:cs="Arial"/>
        </w:rPr>
        <w:t xml:space="preserve">Por consiguiente, una vez notificado el auto admisorio de la demanda que </w:t>
      </w:r>
      <w:r>
        <w:rPr>
          <w:rFonts w:ascii="Verdana" w:eastAsia="Calibri" w:hAnsi="Verdana" w:cs="Arial"/>
        </w:rPr>
        <w:t>pretende</w:t>
      </w:r>
      <w:r w:rsidRPr="00175FAD">
        <w:rPr>
          <w:rFonts w:ascii="Verdana" w:eastAsia="Calibri" w:hAnsi="Verdana" w:cs="Arial"/>
        </w:rPr>
        <w:t xml:space="preserve"> la liquidación judicial del contrato, la entidad estatal carece de competencia para adoptar decisiones </w:t>
      </w:r>
      <w:r>
        <w:rPr>
          <w:rFonts w:ascii="Verdana" w:eastAsia="Calibri" w:hAnsi="Verdana" w:cs="Arial"/>
        </w:rPr>
        <w:t xml:space="preserve">relacionadas con el </w:t>
      </w:r>
      <w:r w:rsidRPr="00175FAD">
        <w:rPr>
          <w:rFonts w:ascii="Verdana" w:eastAsia="Calibri" w:hAnsi="Verdana" w:cs="Arial"/>
        </w:rPr>
        <w:t>contenido propio de la liquidación o que supongan determinar el balance final del negocio jurídico, establecer obligaciones recíprocas, reconocer o negar reclamaciones o definir aspectos que, por haber sido sometidos al conocimiento del juez, deberán ser resueltos en el respectivo proceso judicial</w:t>
      </w:r>
      <w:r>
        <w:rPr>
          <w:rFonts w:ascii="Verdana" w:eastAsia="Calibri" w:hAnsi="Verdana" w:cs="Arial"/>
        </w:rPr>
        <w:t>.</w:t>
      </w:r>
    </w:p>
    <w:p w14:paraId="2F24064D" w14:textId="77777777" w:rsidR="006E3B9E" w:rsidRDefault="006E3B9E" w:rsidP="006E3B9E">
      <w:pPr>
        <w:tabs>
          <w:tab w:val="left" w:pos="709"/>
        </w:tabs>
        <w:spacing w:after="120" w:line="276" w:lineRule="auto"/>
        <w:ind w:firstLine="709"/>
        <w:jc w:val="both"/>
        <w:rPr>
          <w:rFonts w:ascii="Verdana" w:eastAsia="Calibri" w:hAnsi="Verdana" w:cs="Arial"/>
          <w:color w:val="000000" w:themeColor="text1"/>
        </w:rPr>
      </w:pPr>
      <w:r w:rsidRPr="003F08D3">
        <w:rPr>
          <w:rFonts w:ascii="Verdana" w:eastAsia="Calibri" w:hAnsi="Verdana" w:cs="Arial"/>
        </w:rPr>
        <w:lastRenderedPageBreak/>
        <w:t>En este contexto, frente a las consultas planteadas, resulta necesario distinguir entre la</w:t>
      </w:r>
      <w:r>
        <w:rPr>
          <w:rFonts w:ascii="Verdana" w:eastAsia="Calibri" w:hAnsi="Verdana" w:cs="Arial"/>
        </w:rPr>
        <w:t xml:space="preserve"> </w:t>
      </w:r>
      <w:r w:rsidRPr="003F08D3">
        <w:rPr>
          <w:rFonts w:ascii="Verdana" w:eastAsia="Calibri" w:hAnsi="Verdana" w:cs="Arial"/>
        </w:rPr>
        <w:t xml:space="preserve">competencia </w:t>
      </w:r>
      <w:r>
        <w:rPr>
          <w:rFonts w:ascii="Verdana" w:eastAsia="Calibri" w:hAnsi="Verdana" w:cs="Arial"/>
        </w:rPr>
        <w:t xml:space="preserve">de </w:t>
      </w:r>
      <w:r w:rsidRPr="003F08D3">
        <w:rPr>
          <w:rFonts w:ascii="Verdana" w:eastAsia="Calibri" w:hAnsi="Verdana" w:cs="Arial"/>
        </w:rPr>
        <w:t xml:space="preserve">la liquidación judicial del contrato y las actuaciones relacionadas con la gestión presupuestal de los recursos asociados al </w:t>
      </w:r>
      <w:r>
        <w:rPr>
          <w:rFonts w:ascii="Verdana" w:eastAsia="Calibri" w:hAnsi="Verdana" w:cs="Arial"/>
        </w:rPr>
        <w:t xml:space="preserve">contrato </w:t>
      </w:r>
      <w:r w:rsidRPr="003F08D3">
        <w:rPr>
          <w:rFonts w:ascii="Verdana" w:eastAsia="Calibri" w:hAnsi="Verdana" w:cs="Arial"/>
        </w:rPr>
        <w:t>cuya liquidación es objeto del proceso judicial</w:t>
      </w:r>
      <w:r>
        <w:rPr>
          <w:rFonts w:ascii="Verdana" w:eastAsia="Calibri" w:hAnsi="Verdana" w:cs="Arial"/>
        </w:rPr>
        <w:t>, pues s</w:t>
      </w:r>
      <w:r w:rsidRPr="003F08D3">
        <w:rPr>
          <w:rFonts w:ascii="Verdana" w:eastAsia="Calibri" w:hAnsi="Verdana" w:cs="Arial"/>
        </w:rPr>
        <w:t xml:space="preserve">i bien ambas </w:t>
      </w:r>
      <w:r>
        <w:rPr>
          <w:rFonts w:ascii="Verdana" w:eastAsia="Calibri" w:hAnsi="Verdana" w:cs="Arial"/>
        </w:rPr>
        <w:t>actuaciones</w:t>
      </w:r>
      <w:r w:rsidRPr="003F08D3">
        <w:rPr>
          <w:rFonts w:ascii="Verdana" w:eastAsia="Calibri" w:hAnsi="Verdana" w:cs="Arial"/>
        </w:rPr>
        <w:t xml:space="preserve"> guardan relación con un mismo contrato, tienen naturaleza y finalidades diferentes</w:t>
      </w:r>
      <w:r>
        <w:rPr>
          <w:rFonts w:ascii="Verdana" w:eastAsia="Calibri" w:hAnsi="Verdana" w:cs="Arial"/>
        </w:rPr>
        <w:t xml:space="preserve">. </w:t>
      </w:r>
      <w:r>
        <w:rPr>
          <w:rFonts w:ascii="Verdana" w:eastAsia="Calibri" w:hAnsi="Verdana" w:cs="Arial"/>
          <w:color w:val="000000" w:themeColor="text1"/>
          <w:lang w:val="es-ES"/>
        </w:rPr>
        <w:t xml:space="preserve">En tal sentido, como se indicó, </w:t>
      </w:r>
      <w:r w:rsidRPr="007A31A7">
        <w:rPr>
          <w:rFonts w:ascii="Verdana" w:eastAsia="Calibri" w:hAnsi="Verdana" w:cs="Arial"/>
          <w:color w:val="000000" w:themeColor="text1"/>
        </w:rPr>
        <w:t xml:space="preserve">mientras la liquidación </w:t>
      </w:r>
      <w:r>
        <w:rPr>
          <w:rFonts w:ascii="Verdana" w:eastAsia="Calibri" w:hAnsi="Verdana" w:cs="Arial"/>
          <w:color w:val="000000" w:themeColor="text1"/>
        </w:rPr>
        <w:t xml:space="preserve">judicial busca que el juez defina </w:t>
      </w:r>
      <w:r w:rsidRPr="007A31A7">
        <w:rPr>
          <w:rFonts w:ascii="Verdana" w:eastAsia="Calibri" w:hAnsi="Verdana" w:cs="Arial"/>
          <w:color w:val="000000" w:themeColor="text1"/>
        </w:rPr>
        <w:t xml:space="preserve">de manera definitiva la situación jurídica y económica de las partes, la gestión presupuestal </w:t>
      </w:r>
      <w:r>
        <w:rPr>
          <w:rFonts w:ascii="Verdana" w:eastAsia="Calibri" w:hAnsi="Verdana" w:cs="Arial"/>
          <w:color w:val="000000" w:themeColor="text1"/>
        </w:rPr>
        <w:t xml:space="preserve">en cabeza de la entidad </w:t>
      </w:r>
      <w:r w:rsidRPr="007A31A7">
        <w:rPr>
          <w:rFonts w:ascii="Verdana" w:eastAsia="Calibri" w:hAnsi="Verdana" w:cs="Arial"/>
          <w:color w:val="000000" w:themeColor="text1"/>
        </w:rPr>
        <w:t xml:space="preserve">se orienta a garantizar la adecuada administración de los recursos públicos de conformidad con las normas presupuestales aplicables. </w:t>
      </w:r>
      <w:r>
        <w:rPr>
          <w:rFonts w:ascii="Verdana" w:eastAsia="Calibri" w:hAnsi="Verdana" w:cs="Arial"/>
          <w:color w:val="000000" w:themeColor="text1"/>
        </w:rPr>
        <w:t>Por tanto</w:t>
      </w:r>
      <w:r w:rsidRPr="00FC6F8D">
        <w:rPr>
          <w:rFonts w:ascii="Verdana" w:eastAsia="Calibri" w:hAnsi="Verdana" w:cs="Arial"/>
          <w:color w:val="000000" w:themeColor="text1"/>
        </w:rPr>
        <w:t xml:space="preserve">, la circunstancia de que la liquidación del contrato haya sido sometida al conocimiento del juez no impide que la entidad </w:t>
      </w:r>
      <w:r>
        <w:rPr>
          <w:rFonts w:ascii="Verdana" w:eastAsia="Calibri" w:hAnsi="Verdana" w:cs="Arial"/>
          <w:color w:val="000000" w:themeColor="text1"/>
        </w:rPr>
        <w:t>realice las actuaciones presupuestales</w:t>
      </w:r>
      <w:r w:rsidRPr="00FC6F8D">
        <w:rPr>
          <w:rFonts w:ascii="Verdana" w:eastAsia="Calibri" w:hAnsi="Verdana" w:cs="Arial"/>
          <w:color w:val="000000" w:themeColor="text1"/>
        </w:rPr>
        <w:t xml:space="preserve"> que</w:t>
      </w:r>
      <w:r>
        <w:rPr>
          <w:rFonts w:ascii="Verdana" w:eastAsia="Calibri" w:hAnsi="Verdana" w:cs="Arial"/>
          <w:color w:val="000000" w:themeColor="text1"/>
        </w:rPr>
        <w:t xml:space="preserve"> correspondan</w:t>
      </w:r>
      <w:r w:rsidRPr="00FC6F8D">
        <w:rPr>
          <w:rFonts w:ascii="Verdana" w:eastAsia="Calibri" w:hAnsi="Verdana" w:cs="Arial"/>
          <w:color w:val="000000" w:themeColor="text1"/>
        </w:rPr>
        <w:t xml:space="preserve">, siempre que su ejercicio no comporte un pronunciamiento sobre aspectos que </w:t>
      </w:r>
      <w:r>
        <w:rPr>
          <w:rFonts w:ascii="Verdana" w:eastAsia="Calibri" w:hAnsi="Verdana" w:cs="Arial"/>
          <w:color w:val="000000" w:themeColor="text1"/>
        </w:rPr>
        <w:t xml:space="preserve">atañen </w:t>
      </w:r>
      <w:r w:rsidRPr="00FC6F8D">
        <w:rPr>
          <w:rFonts w:ascii="Verdana" w:eastAsia="Calibri" w:hAnsi="Verdana" w:cs="Arial"/>
          <w:color w:val="000000" w:themeColor="text1"/>
        </w:rPr>
        <w:t>al objeto de la controversia judicial</w:t>
      </w:r>
      <w:r>
        <w:rPr>
          <w:rFonts w:ascii="Verdana" w:eastAsia="Calibri" w:hAnsi="Verdana" w:cs="Arial"/>
          <w:color w:val="000000" w:themeColor="text1"/>
        </w:rPr>
        <w:t>.</w:t>
      </w:r>
    </w:p>
    <w:p w14:paraId="1412926A" w14:textId="77777777" w:rsidR="006E3B9E" w:rsidRDefault="006E3B9E" w:rsidP="006E3B9E">
      <w:pPr>
        <w:tabs>
          <w:tab w:val="left" w:pos="709"/>
        </w:tabs>
        <w:spacing w:after="120" w:line="276" w:lineRule="auto"/>
        <w:ind w:firstLine="709"/>
        <w:jc w:val="both"/>
        <w:rPr>
          <w:rFonts w:ascii="Verdana" w:eastAsia="Calibri" w:hAnsi="Verdana" w:cs="Arial"/>
          <w:color w:val="000000" w:themeColor="text1"/>
        </w:rPr>
      </w:pPr>
      <w:r w:rsidRPr="00802795">
        <w:rPr>
          <w:rFonts w:ascii="Verdana" w:eastAsia="Calibri" w:hAnsi="Verdana" w:cs="Arial"/>
          <w:color w:val="000000" w:themeColor="text1"/>
        </w:rPr>
        <w:t>Esta distinción no es solo funcional, sino de fundamento normativo. La facultad de liquidar el contrato —bilateral, unilateral o judicialmente— tiene su fuente en el Estatuto General de Contratación de la Administración Pública, y es la que se desplaza hacia el juez del contrato al notificarse el auto admisorio de la demanda que persigue la liquidación judicial. La gestión presupuestal, en cambio, encuentra su fuente en el Estatuto Orgánico del Presupuesto y en sus normas reglamentarias, y constituye una competencia propia y permanente de la entidad para administrar sus apropiaciones conforme al principio de legalidad del gasto público</w:t>
      </w:r>
      <w:r>
        <w:rPr>
          <w:rStyle w:val="Refdenotaalpie"/>
          <w:rFonts w:ascii="Verdana" w:eastAsia="Calibri" w:hAnsi="Verdana" w:cs="Arial"/>
          <w:color w:val="000000" w:themeColor="text1"/>
        </w:rPr>
        <w:footnoteReference w:id="23"/>
      </w:r>
      <w:r w:rsidRPr="00802795">
        <w:rPr>
          <w:rFonts w:ascii="Verdana" w:eastAsia="Calibri" w:hAnsi="Verdana" w:cs="Arial"/>
          <w:color w:val="000000" w:themeColor="text1"/>
        </w:rPr>
        <w:t>. Por tratarse de competencias con fundamento y finalidad distintos, la que se radica en el juez con la notificación del auto admisorio es la de liquidar, no la de administrar el presupuesto; de ahí que la entidad conserve esta última, sin que su ejercicio pueda entenderse como una intromisión en el litigio, siempre que no suponga definir el balance final del contrato ni resolver los aspectos sometidos al conocimiento del juez.</w:t>
      </w:r>
    </w:p>
    <w:p w14:paraId="2787A934" w14:textId="77777777" w:rsidR="006E3B9E" w:rsidRDefault="006E3B9E" w:rsidP="006E3B9E">
      <w:pPr>
        <w:tabs>
          <w:tab w:val="left" w:pos="709"/>
        </w:tabs>
        <w:spacing w:after="120" w:line="276" w:lineRule="auto"/>
        <w:ind w:firstLine="709"/>
        <w:jc w:val="both"/>
        <w:rPr>
          <w:rFonts w:ascii="Verdana" w:eastAsia="Calibri" w:hAnsi="Verdana" w:cs="Arial"/>
          <w:lang w:val="es-ES"/>
        </w:rPr>
      </w:pPr>
      <w:r>
        <w:rPr>
          <w:rFonts w:ascii="Verdana" w:eastAsia="Calibri" w:hAnsi="Verdana" w:cs="Arial"/>
          <w:color w:val="000000" w:themeColor="text1"/>
          <w:lang w:val="es-ES"/>
        </w:rPr>
        <w:lastRenderedPageBreak/>
        <w:t xml:space="preserve">Al respecto, vale precisar que de conformidad con </w:t>
      </w:r>
      <w:r>
        <w:rPr>
          <w:rFonts w:ascii="Verdana" w:eastAsia="Arial MT" w:hAnsi="Verdana" w:cs="Arial"/>
          <w:color w:val="000000" w:themeColor="text1"/>
          <w:sz w:val="21"/>
          <w:szCs w:val="21"/>
          <w:lang w:val="es-ES"/>
        </w:rPr>
        <w:t>la Ley 80 de 1993</w:t>
      </w:r>
      <w:r>
        <w:rPr>
          <w:rFonts w:ascii="Verdana" w:eastAsia="Arial MT" w:hAnsi="Verdana" w:cs="Arial"/>
          <w:color w:val="000000" w:themeColor="text1"/>
          <w:sz w:val="21"/>
          <w:szCs w:val="21"/>
          <w:vertAlign w:val="superscript"/>
          <w:lang w:val="es-ES"/>
        </w:rPr>
        <w:footnoteReference w:id="24"/>
      </w:r>
      <w:r>
        <w:rPr>
          <w:rFonts w:ascii="Verdana" w:eastAsia="Arial MT" w:hAnsi="Verdana" w:cs="Arial"/>
          <w:color w:val="000000" w:themeColor="text1"/>
          <w:sz w:val="21"/>
          <w:szCs w:val="21"/>
          <w:lang w:val="es-ES"/>
        </w:rPr>
        <w:t xml:space="preserve"> y el Estatuto Orgánico de Presupuesto</w:t>
      </w:r>
      <w:r>
        <w:rPr>
          <w:rFonts w:ascii="Verdana" w:eastAsia="Arial MT" w:hAnsi="Verdana" w:cs="Arial"/>
          <w:color w:val="000000" w:themeColor="text1"/>
          <w:sz w:val="21"/>
          <w:szCs w:val="21"/>
          <w:vertAlign w:val="superscript"/>
          <w:lang w:val="es-ES"/>
        </w:rPr>
        <w:footnoteReference w:id="25"/>
      </w:r>
      <w:r>
        <w:rPr>
          <w:rFonts w:ascii="Verdana" w:eastAsia="Arial MT" w:hAnsi="Verdana" w:cs="Arial"/>
          <w:color w:val="000000" w:themeColor="text1"/>
          <w:sz w:val="21"/>
          <w:szCs w:val="21"/>
          <w:lang w:val="es-ES"/>
        </w:rPr>
        <w:t>,</w:t>
      </w:r>
      <w:r>
        <w:rPr>
          <w:rFonts w:ascii="Verdana" w:eastAsia="Calibri" w:hAnsi="Verdana" w:cs="Arial"/>
          <w:bCs/>
          <w:color w:val="000000" w:themeColor="text1"/>
          <w:lang w:val="es-ES"/>
        </w:rPr>
        <w:t xml:space="preserve"> las entidades estatales tienen el deber de contar con la disponibilidad de recursos para asumir gastos u obligaciones. Esta obligación es una expresión del principio de legalidad del gasto público que se enmarca en el mandato constitucional de la legalidad de las actuaciones públicas y que permea todo el régimen regulado por el</w:t>
      </w:r>
      <w:r>
        <w:rPr>
          <w:rFonts w:ascii="Verdana" w:eastAsia="Calibri" w:hAnsi="Verdana" w:cs="Arial"/>
          <w:color w:val="000000" w:themeColor="text1"/>
          <w:lang w:val="es-ES"/>
        </w:rPr>
        <w:t xml:space="preserve"> Estatuto Orgánico del Presupuesto</w:t>
      </w:r>
      <w:r>
        <w:rPr>
          <w:rFonts w:ascii="Verdana" w:eastAsia="Calibri" w:hAnsi="Verdana" w:cs="Arial"/>
          <w:bCs/>
          <w:color w:val="000000" w:themeColor="text1"/>
          <w:lang w:val="es-ES"/>
        </w:rPr>
        <w:t xml:space="preserve">. </w:t>
      </w:r>
      <w:r>
        <w:rPr>
          <w:rFonts w:ascii="Verdana" w:eastAsia="Calibri" w:hAnsi="Verdana" w:cs="Arial"/>
          <w:bCs/>
          <w:lang w:val="es-ES"/>
        </w:rPr>
        <w:t xml:space="preserve">En materia contractual, su cumplimiento se refleja necesariamente mediante la expedición del </w:t>
      </w:r>
      <w:r>
        <w:rPr>
          <w:rFonts w:ascii="Verdana" w:eastAsia="Calibri" w:hAnsi="Verdana" w:cs="Arial"/>
          <w:lang w:val="es-ES"/>
        </w:rPr>
        <w:t xml:space="preserve">Certificado de Disponibilidad Presupuestal </w:t>
      </w:r>
      <w:r>
        <w:rPr>
          <w:rFonts w:ascii="Verdana" w:eastAsia="Times New Roman" w:hAnsi="Verdana" w:cs="Arial"/>
          <w:color w:val="1A1A1A" w:themeColor="background1" w:themeShade="1A"/>
          <w:lang w:val="es-ES" w:eastAsia="es-ES_tradnl"/>
        </w:rPr>
        <w:t>-CDP-</w:t>
      </w:r>
      <w:r>
        <w:rPr>
          <w:rFonts w:ascii="Verdana" w:eastAsia="Calibri" w:hAnsi="Verdana" w:cs="Arial"/>
          <w:lang w:val="es-ES"/>
        </w:rPr>
        <w:t xml:space="preserve"> de forma </w:t>
      </w:r>
      <w:r w:rsidRPr="00126E07">
        <w:rPr>
          <w:rFonts w:ascii="Verdana" w:eastAsia="Calibri" w:hAnsi="Verdana" w:cs="Arial"/>
          <w:lang w:val="es-ES"/>
        </w:rPr>
        <w:t xml:space="preserve">previa </w:t>
      </w:r>
      <w:r>
        <w:rPr>
          <w:rFonts w:ascii="Verdana" w:eastAsia="Calibri" w:hAnsi="Verdana" w:cs="Arial"/>
          <w:lang w:val="es-ES"/>
        </w:rPr>
        <w:t>a que la entidad asuma obligaciones o compromisos de este tipo, como una garantía de la existencia de recursos suficientes para atender los gastos que serán asumidos por el Estado durante la ejecución. Asimismo, conforme al artículo 40 de la Ley 80 de 1993, p</w:t>
      </w:r>
      <w:r w:rsidRPr="00F859C3">
        <w:rPr>
          <w:rFonts w:ascii="Verdana" w:eastAsia="Calibri" w:hAnsi="Verdana" w:cs="Arial"/>
          <w:lang w:val="es-ES"/>
        </w:rPr>
        <w:t xml:space="preserve">ara la ejecución del contrato se exige a la entidad estatal contar con un Registro Presupuestal </w:t>
      </w:r>
      <w:r>
        <w:rPr>
          <w:rFonts w:ascii="Verdana" w:eastAsia="Calibri" w:hAnsi="Verdana" w:cs="Arial"/>
          <w:lang w:val="es-ES"/>
        </w:rPr>
        <w:t>-</w:t>
      </w:r>
      <w:r w:rsidRPr="00F859C3">
        <w:rPr>
          <w:rFonts w:ascii="Verdana" w:eastAsia="Calibri" w:hAnsi="Verdana" w:cs="Arial"/>
          <w:lang w:val="es-ES"/>
        </w:rPr>
        <w:t>RP</w:t>
      </w:r>
      <w:r>
        <w:rPr>
          <w:rFonts w:ascii="Verdana" w:eastAsia="Calibri" w:hAnsi="Verdana" w:cs="Arial"/>
          <w:lang w:val="es-ES"/>
        </w:rPr>
        <w:t xml:space="preserve">- </w:t>
      </w:r>
      <w:r w:rsidRPr="00F859C3">
        <w:rPr>
          <w:rFonts w:ascii="Verdana" w:eastAsia="Calibri" w:hAnsi="Verdana" w:cs="Arial"/>
          <w:lang w:val="es-ES"/>
        </w:rPr>
        <w:t>que consiste en la certificación de apropiación de presupuesto con destino al cumplimiento de las obligaciones pecuniarias del contrato.</w:t>
      </w:r>
    </w:p>
    <w:p w14:paraId="1A72E850" w14:textId="77777777" w:rsidR="006E3B9E" w:rsidRPr="004F6A62" w:rsidRDefault="006E3B9E" w:rsidP="006E3B9E">
      <w:pPr>
        <w:tabs>
          <w:tab w:val="left" w:pos="709"/>
        </w:tabs>
        <w:spacing w:after="120" w:line="276" w:lineRule="auto"/>
        <w:ind w:firstLine="709"/>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En este sentido, las </w:t>
      </w:r>
      <w:r w:rsidRPr="00B90FD5">
        <w:rPr>
          <w:rFonts w:ascii="Verdana" w:eastAsia="Calibri" w:hAnsi="Verdana" w:cs="Arial"/>
          <w:color w:val="000000" w:themeColor="text1"/>
          <w:lang w:val="es-ES"/>
        </w:rPr>
        <w:t>disposiciones</w:t>
      </w:r>
      <w:r>
        <w:rPr>
          <w:rFonts w:ascii="Verdana" w:eastAsia="Calibri" w:hAnsi="Verdana" w:cs="Arial"/>
          <w:color w:val="000000" w:themeColor="text1"/>
          <w:lang w:val="es-ES"/>
        </w:rPr>
        <w:t xml:space="preserve"> que</w:t>
      </w:r>
      <w:r w:rsidRPr="00B90FD5">
        <w:rPr>
          <w:rFonts w:ascii="Verdana" w:eastAsia="Calibri" w:hAnsi="Verdana" w:cs="Arial"/>
          <w:color w:val="000000" w:themeColor="text1"/>
          <w:lang w:val="es-ES"/>
        </w:rPr>
        <w:t xml:space="preserve"> regulan la disponibilidad y el registro presupuestal tienen por finalidad garantizar la existencia de recursos suficientes para respaldar los compromisos derivados del contrato durante su ejecución y para atender las obligaciones que asuma la entidad. Sin embargo, de tales disposiciones no puede inferirse que las apropiaciones presupuestales deban permanecer vinculadas indefinidamente al contrato una vez este haya finalizado, particularmente respecto de aquellos recursos que no fueron comprometidos o ejecutados.</w:t>
      </w:r>
      <w:r>
        <w:rPr>
          <w:rFonts w:ascii="Verdana" w:eastAsia="Calibri" w:hAnsi="Verdana" w:cs="Arial"/>
          <w:color w:val="000000" w:themeColor="text1"/>
          <w:lang w:val="es-ES"/>
        </w:rPr>
        <w:t xml:space="preserve"> En estos eventos y </w:t>
      </w:r>
      <w:r w:rsidRPr="00B90FD5">
        <w:rPr>
          <w:rFonts w:ascii="Verdana" w:eastAsia="Calibri" w:hAnsi="Verdana" w:cs="Arial"/>
          <w:color w:val="000000" w:themeColor="text1"/>
          <w:lang w:val="es-ES"/>
        </w:rPr>
        <w:t xml:space="preserve">siempre que ello no implique adoptar decisiones sobre materias sometidas al conocimiento del juez, la entidad podrá </w:t>
      </w:r>
      <w:r>
        <w:rPr>
          <w:rFonts w:ascii="Verdana" w:eastAsia="Calibri" w:hAnsi="Verdana" w:cs="Arial"/>
          <w:color w:val="000000" w:themeColor="text1"/>
          <w:lang w:val="es-ES"/>
        </w:rPr>
        <w:t xml:space="preserve">gestionar </w:t>
      </w:r>
      <w:r w:rsidRPr="00B90FD5">
        <w:rPr>
          <w:rFonts w:ascii="Verdana" w:eastAsia="Calibri" w:hAnsi="Verdana" w:cs="Arial"/>
          <w:color w:val="000000" w:themeColor="text1"/>
          <w:lang w:val="es-ES"/>
        </w:rPr>
        <w:t>los recursos asociados al contrato de conformidad con el régimen presupuestal aplicable</w:t>
      </w:r>
      <w:r>
        <w:rPr>
          <w:rFonts w:ascii="Verdana" w:eastAsia="Calibri" w:hAnsi="Verdana" w:cs="Arial"/>
          <w:color w:val="000000" w:themeColor="text1"/>
          <w:lang w:val="es-ES"/>
        </w:rPr>
        <w:t xml:space="preserve">, lo que podría comprender, por ejemplo, </w:t>
      </w:r>
      <w:r w:rsidRPr="00B90FD5">
        <w:rPr>
          <w:rFonts w:ascii="Verdana" w:eastAsia="Calibri" w:hAnsi="Verdana" w:cs="Arial"/>
          <w:color w:val="000000" w:themeColor="text1"/>
          <w:lang w:val="es-ES"/>
        </w:rPr>
        <w:t>la utilización de las figuras presupuestales como las reservas presupuestales o los pasivos exigibles por vigencias expiradas, cuando se cumplan los requisitos para su procedencia</w:t>
      </w:r>
      <w:r>
        <w:rPr>
          <w:rFonts w:ascii="Verdana" w:eastAsia="Calibri" w:hAnsi="Verdana" w:cs="Arial"/>
          <w:color w:val="000000" w:themeColor="text1"/>
          <w:lang w:val="es-ES"/>
        </w:rPr>
        <w:t>,</w:t>
      </w:r>
      <w:r w:rsidRPr="006C6964">
        <w:rPr>
          <w:rFonts w:ascii="Verdana" w:eastAsia="Calibri" w:hAnsi="Verdana" w:cs="Arial"/>
          <w:color w:val="000000" w:themeColor="text1"/>
          <w:lang w:val="es-ES"/>
        </w:rPr>
        <w:t xml:space="preserve"> </w:t>
      </w:r>
      <w:r w:rsidRPr="00B90FD5">
        <w:rPr>
          <w:rFonts w:ascii="Verdana" w:eastAsia="Calibri" w:hAnsi="Verdana" w:cs="Arial"/>
          <w:color w:val="000000" w:themeColor="text1"/>
          <w:lang w:val="es-ES"/>
        </w:rPr>
        <w:t xml:space="preserve">la liberación de saldos no comprometidos o no ejecutados, y las </w:t>
      </w:r>
      <w:r w:rsidRPr="00B90FD5">
        <w:rPr>
          <w:rFonts w:ascii="Verdana" w:eastAsia="Calibri" w:hAnsi="Verdana" w:cs="Arial"/>
          <w:color w:val="000000" w:themeColor="text1"/>
          <w:lang w:val="es-ES"/>
        </w:rPr>
        <w:lastRenderedPageBreak/>
        <w:t>demás actuaciones de gestión presupuestal autorizadas por la normativa vigente.</w:t>
      </w:r>
    </w:p>
    <w:p w14:paraId="45471649" w14:textId="77777777" w:rsidR="006E3B9E" w:rsidRPr="007A361B" w:rsidRDefault="006E3B9E" w:rsidP="006E3B9E">
      <w:pPr>
        <w:tabs>
          <w:tab w:val="left" w:pos="709"/>
        </w:tabs>
        <w:spacing w:after="120" w:line="276" w:lineRule="auto"/>
        <w:ind w:firstLine="709"/>
        <w:jc w:val="both"/>
        <w:rPr>
          <w:rFonts w:ascii="Verdana" w:eastAsia="Calibri" w:hAnsi="Verdana" w:cs="Arial"/>
          <w:bCs/>
          <w:color w:val="000000" w:themeColor="text1"/>
          <w:lang w:val="es-ES"/>
        </w:rPr>
      </w:pPr>
      <w:r>
        <w:rPr>
          <w:rFonts w:ascii="Verdana" w:eastAsia="Calibri" w:hAnsi="Verdana" w:cs="Arial"/>
          <w:bCs/>
          <w:color w:val="000000" w:themeColor="text1"/>
          <w:lang w:val="es-ES"/>
        </w:rPr>
        <w:t xml:space="preserve">Esto </w:t>
      </w:r>
      <w:r w:rsidRPr="007A361B">
        <w:rPr>
          <w:rFonts w:ascii="Verdana" w:eastAsia="Calibri" w:hAnsi="Verdana" w:cs="Arial"/>
          <w:bCs/>
          <w:color w:val="000000" w:themeColor="text1"/>
          <w:lang w:val="es-ES"/>
        </w:rPr>
        <w:t xml:space="preserve">no significa que la entidad quede exonerada de garantizar la disponibilidad de recursos para atender las obligaciones que eventualmente se consoliden con ocasión de la liquidación </w:t>
      </w:r>
      <w:r>
        <w:rPr>
          <w:rFonts w:ascii="Verdana" w:eastAsia="Calibri" w:hAnsi="Verdana" w:cs="Arial"/>
          <w:bCs/>
          <w:color w:val="000000" w:themeColor="text1"/>
          <w:lang w:val="es-ES"/>
        </w:rPr>
        <w:t xml:space="preserve">judicial </w:t>
      </w:r>
      <w:r w:rsidRPr="007A361B">
        <w:rPr>
          <w:rFonts w:ascii="Verdana" w:eastAsia="Calibri" w:hAnsi="Verdana" w:cs="Arial"/>
          <w:bCs/>
          <w:color w:val="000000" w:themeColor="text1"/>
          <w:lang w:val="es-ES"/>
        </w:rPr>
        <w:t>del contrato. Por el contrario, si como resultado de la liquidación se reconocen obligaciones económicas a cargo de la entidad, la asunción y el pago de dichas obligaciones deberán sujetarse a las reglas previstas en la Ley 80 de 1993 y en el Estatuto Orgánico del Presupuesto.</w:t>
      </w:r>
      <w:r>
        <w:rPr>
          <w:rFonts w:ascii="Verdana" w:eastAsia="Calibri" w:hAnsi="Verdana" w:cs="Arial"/>
          <w:bCs/>
          <w:color w:val="000000" w:themeColor="text1"/>
          <w:lang w:val="es-ES"/>
        </w:rPr>
        <w:t xml:space="preserve"> Precisamente, </w:t>
      </w:r>
      <w:r w:rsidRPr="007A361B">
        <w:rPr>
          <w:rFonts w:ascii="Verdana" w:eastAsia="Calibri" w:hAnsi="Verdana" w:cs="Arial"/>
          <w:bCs/>
          <w:color w:val="000000" w:themeColor="text1"/>
          <w:lang w:val="es-ES"/>
        </w:rPr>
        <w:t xml:space="preserve">el principio de legalidad del gasto público exige que la entidad cuente con el correspondiente Certificado de Disponibilidad Presupuestal </w:t>
      </w:r>
      <w:r>
        <w:rPr>
          <w:rFonts w:ascii="Verdana" w:eastAsia="Calibri" w:hAnsi="Verdana" w:cs="Arial"/>
          <w:bCs/>
          <w:color w:val="000000" w:themeColor="text1"/>
          <w:lang w:val="es-ES"/>
        </w:rPr>
        <w:t>-</w:t>
      </w:r>
      <w:r w:rsidRPr="007A361B">
        <w:rPr>
          <w:rFonts w:ascii="Verdana" w:eastAsia="Calibri" w:hAnsi="Verdana" w:cs="Arial"/>
          <w:bCs/>
          <w:color w:val="000000" w:themeColor="text1"/>
          <w:lang w:val="es-ES"/>
        </w:rPr>
        <w:t>CDP</w:t>
      </w:r>
      <w:r>
        <w:rPr>
          <w:rFonts w:ascii="Verdana" w:eastAsia="Calibri" w:hAnsi="Verdana" w:cs="Arial"/>
          <w:bCs/>
          <w:color w:val="000000" w:themeColor="text1"/>
          <w:lang w:val="es-ES"/>
        </w:rPr>
        <w:t>-</w:t>
      </w:r>
      <w:r w:rsidRPr="007A361B">
        <w:rPr>
          <w:rFonts w:ascii="Verdana" w:eastAsia="Calibri" w:hAnsi="Verdana" w:cs="Arial"/>
          <w:bCs/>
          <w:color w:val="000000" w:themeColor="text1"/>
          <w:lang w:val="es-ES"/>
        </w:rPr>
        <w:t xml:space="preserve">, como garantía de la existencia de recursos suficientes para asumir el compromiso económico, y posteriormente expida el respectivo Registro Presupuestal </w:t>
      </w:r>
      <w:r>
        <w:rPr>
          <w:rFonts w:ascii="Verdana" w:eastAsia="Calibri" w:hAnsi="Verdana" w:cs="Arial"/>
          <w:bCs/>
          <w:color w:val="000000" w:themeColor="text1"/>
          <w:lang w:val="es-ES"/>
        </w:rPr>
        <w:t>-</w:t>
      </w:r>
      <w:r w:rsidRPr="007A361B">
        <w:rPr>
          <w:rFonts w:ascii="Verdana" w:eastAsia="Calibri" w:hAnsi="Verdana" w:cs="Arial"/>
          <w:bCs/>
          <w:color w:val="000000" w:themeColor="text1"/>
          <w:lang w:val="es-ES"/>
        </w:rPr>
        <w:t>RP</w:t>
      </w:r>
      <w:r>
        <w:rPr>
          <w:rFonts w:ascii="Verdana" w:eastAsia="Calibri" w:hAnsi="Verdana" w:cs="Arial"/>
          <w:bCs/>
          <w:color w:val="000000" w:themeColor="text1"/>
          <w:lang w:val="es-ES"/>
        </w:rPr>
        <w:t>-</w:t>
      </w:r>
      <w:r w:rsidRPr="007A361B">
        <w:rPr>
          <w:rFonts w:ascii="Verdana" w:eastAsia="Calibri" w:hAnsi="Verdana" w:cs="Arial"/>
          <w:bCs/>
          <w:color w:val="000000" w:themeColor="text1"/>
          <w:lang w:val="es-ES"/>
        </w:rPr>
        <w:t>, mediante el cual se afecta la apropiación destinada al cumplimiento de la obligación pecuniaria reconocida. Ello aplica tanto cuando la obligación surge de un acta de liquidación bilateral, de un acto administrativo de liquidación unilateral o del acto administrativo mediante el cual la entidad da cumplimiento a una sentencia que liquida el contrato.</w:t>
      </w:r>
      <w:r>
        <w:rPr>
          <w:rFonts w:ascii="Verdana" w:eastAsia="Calibri" w:hAnsi="Verdana" w:cs="Arial"/>
          <w:bCs/>
          <w:color w:val="000000" w:themeColor="text1"/>
          <w:lang w:val="es-ES"/>
        </w:rPr>
        <w:t xml:space="preserve"> </w:t>
      </w:r>
    </w:p>
    <w:p w14:paraId="532EC476" w14:textId="77777777" w:rsidR="006E3B9E" w:rsidRPr="007A361B" w:rsidRDefault="006E3B9E" w:rsidP="006E3B9E">
      <w:pPr>
        <w:tabs>
          <w:tab w:val="left" w:pos="709"/>
        </w:tabs>
        <w:spacing w:after="120" w:line="276" w:lineRule="auto"/>
        <w:ind w:firstLine="709"/>
        <w:jc w:val="both"/>
        <w:rPr>
          <w:rFonts w:ascii="Verdana" w:eastAsia="Calibri" w:hAnsi="Verdana" w:cs="Arial"/>
          <w:bCs/>
          <w:color w:val="000000" w:themeColor="text1"/>
          <w:lang w:val="es-ES"/>
        </w:rPr>
      </w:pPr>
      <w:r w:rsidRPr="007A361B">
        <w:rPr>
          <w:rFonts w:ascii="Verdana" w:eastAsia="Calibri" w:hAnsi="Verdana" w:cs="Arial"/>
          <w:bCs/>
          <w:color w:val="000000" w:themeColor="text1"/>
          <w:lang w:val="es-ES"/>
        </w:rPr>
        <w:t xml:space="preserve">En consecuencia, mientras el proceso judicial se encuentra en curso, no </w:t>
      </w:r>
      <w:r>
        <w:rPr>
          <w:rFonts w:ascii="Verdana" w:eastAsia="Calibri" w:hAnsi="Verdana" w:cs="Arial"/>
          <w:bCs/>
          <w:color w:val="000000" w:themeColor="text1"/>
          <w:lang w:val="es-ES"/>
        </w:rPr>
        <w:t xml:space="preserve">hay </w:t>
      </w:r>
      <w:r w:rsidRPr="007A361B">
        <w:rPr>
          <w:rFonts w:ascii="Verdana" w:eastAsia="Calibri" w:hAnsi="Verdana" w:cs="Arial"/>
          <w:bCs/>
          <w:color w:val="000000" w:themeColor="text1"/>
          <w:lang w:val="es-ES"/>
        </w:rPr>
        <w:t>obligaciones ciertas</w:t>
      </w:r>
      <w:r>
        <w:rPr>
          <w:rFonts w:ascii="Verdana" w:eastAsia="Calibri" w:hAnsi="Verdana" w:cs="Arial"/>
          <w:bCs/>
          <w:color w:val="000000" w:themeColor="text1"/>
          <w:lang w:val="es-ES"/>
        </w:rPr>
        <w:t xml:space="preserve"> y </w:t>
      </w:r>
      <w:r w:rsidRPr="007A361B">
        <w:rPr>
          <w:rFonts w:ascii="Verdana" w:eastAsia="Calibri" w:hAnsi="Verdana" w:cs="Arial"/>
          <w:bCs/>
          <w:color w:val="000000" w:themeColor="text1"/>
          <w:lang w:val="es-ES"/>
        </w:rPr>
        <w:t xml:space="preserve">exigibles a cargo de la entidad, pues precisamente </w:t>
      </w:r>
      <w:r w:rsidRPr="00DB2EF9">
        <w:rPr>
          <w:rFonts w:ascii="Verdana" w:eastAsia="Calibri" w:hAnsi="Verdana" w:cs="Arial"/>
          <w:bCs/>
          <w:color w:val="000000" w:themeColor="text1"/>
          <w:lang w:val="es-ES"/>
        </w:rPr>
        <w:t>tales aspectos constituyen el objeto de la controversia sometida al conocimiento de</w:t>
      </w:r>
      <w:r>
        <w:rPr>
          <w:rFonts w:ascii="Verdana" w:eastAsia="Calibri" w:hAnsi="Verdana" w:cs="Arial"/>
          <w:bCs/>
          <w:color w:val="000000" w:themeColor="text1"/>
          <w:lang w:val="es-ES"/>
        </w:rPr>
        <w:t>l juez</w:t>
      </w:r>
      <w:r w:rsidRPr="007A361B">
        <w:rPr>
          <w:rFonts w:ascii="Verdana" w:eastAsia="Calibri" w:hAnsi="Verdana" w:cs="Arial"/>
          <w:bCs/>
          <w:color w:val="000000" w:themeColor="text1"/>
          <w:lang w:val="es-ES"/>
        </w:rPr>
        <w:t xml:space="preserve">. </w:t>
      </w:r>
      <w:r w:rsidRPr="00626641">
        <w:rPr>
          <w:rFonts w:ascii="Verdana" w:eastAsia="Calibri" w:hAnsi="Verdana" w:cs="Arial"/>
          <w:bCs/>
          <w:color w:val="000000" w:themeColor="text1"/>
        </w:rPr>
        <w:t>En coherencia con lo anterior, mientras las sumas discutidas permanezcan inciertas por estar sometidas al juez, su tratamiento presupuestal corresponde al de una obligación contingente —objeto de la provisión que prevean las normas sobre pasivos contingentes—, y no al de una reserva presupuestal firme ni al de una cuenta por pagar, figuras reservadas a compromisos u obligaciones ya perfeccionados y exigibles. Por ello, la elección de la figura aplicable —reserva presupuestal, cuenta por pagar, pasivo exigible por vigencias expiradas o liberación de saldos— depende de la naturaleza y del estado jurídico de la respectiva obligación, conforme al Estatuto Orgánico del Presupuesto</w:t>
      </w:r>
      <w:r>
        <w:rPr>
          <w:rFonts w:ascii="Verdana" w:eastAsia="Calibri" w:hAnsi="Verdana" w:cs="Arial"/>
          <w:bCs/>
          <w:color w:val="000000" w:themeColor="text1"/>
        </w:rPr>
        <w:t xml:space="preserve">. </w:t>
      </w:r>
      <w:r>
        <w:rPr>
          <w:rFonts w:ascii="Verdana" w:eastAsia="Calibri" w:hAnsi="Verdana" w:cs="Arial"/>
          <w:bCs/>
          <w:color w:val="000000" w:themeColor="text1"/>
          <w:lang w:val="es-ES"/>
        </w:rPr>
        <w:t xml:space="preserve">Por consiguiente, </w:t>
      </w:r>
      <w:r w:rsidRPr="007A361B">
        <w:rPr>
          <w:rFonts w:ascii="Verdana" w:eastAsia="Calibri" w:hAnsi="Verdana" w:cs="Arial"/>
          <w:bCs/>
          <w:color w:val="000000" w:themeColor="text1"/>
          <w:lang w:val="es-ES"/>
        </w:rPr>
        <w:t xml:space="preserve">la circunstancia de que el contrato se encuentre sometido a un proceso </w:t>
      </w:r>
      <w:r>
        <w:rPr>
          <w:rFonts w:ascii="Verdana" w:eastAsia="Calibri" w:hAnsi="Verdana" w:cs="Arial"/>
          <w:bCs/>
          <w:color w:val="000000" w:themeColor="text1"/>
          <w:lang w:val="es-ES"/>
        </w:rPr>
        <w:t>judicial para obtener su</w:t>
      </w:r>
      <w:r w:rsidRPr="007A361B">
        <w:rPr>
          <w:rFonts w:ascii="Verdana" w:eastAsia="Calibri" w:hAnsi="Verdana" w:cs="Arial"/>
          <w:bCs/>
          <w:color w:val="000000" w:themeColor="text1"/>
          <w:lang w:val="es-ES"/>
        </w:rPr>
        <w:t xml:space="preserve"> liquidación </w:t>
      </w:r>
      <w:r>
        <w:rPr>
          <w:rFonts w:ascii="Verdana" w:eastAsia="Calibri" w:hAnsi="Verdana" w:cs="Arial"/>
          <w:bCs/>
          <w:color w:val="000000" w:themeColor="text1"/>
          <w:lang w:val="es-ES"/>
        </w:rPr>
        <w:t xml:space="preserve">no implica, </w:t>
      </w:r>
      <w:r w:rsidRPr="007A361B">
        <w:rPr>
          <w:rFonts w:ascii="Verdana" w:eastAsia="Calibri" w:hAnsi="Verdana" w:cs="Arial"/>
          <w:bCs/>
          <w:color w:val="000000" w:themeColor="text1"/>
          <w:lang w:val="es-ES"/>
        </w:rPr>
        <w:t xml:space="preserve">por sí misma, que la entidad </w:t>
      </w:r>
      <w:r>
        <w:rPr>
          <w:rFonts w:ascii="Verdana" w:eastAsia="Calibri" w:hAnsi="Verdana" w:cs="Arial"/>
          <w:bCs/>
          <w:color w:val="000000" w:themeColor="text1"/>
          <w:lang w:val="es-ES"/>
        </w:rPr>
        <w:t xml:space="preserve">no pueda realizar </w:t>
      </w:r>
      <w:r w:rsidRPr="007A361B">
        <w:rPr>
          <w:rFonts w:ascii="Verdana" w:eastAsia="Calibri" w:hAnsi="Verdana" w:cs="Arial"/>
          <w:bCs/>
          <w:color w:val="000000" w:themeColor="text1"/>
          <w:lang w:val="es-ES"/>
        </w:rPr>
        <w:t>las actuaciones de gestión presupuestal que le correspondan conforme al régimen presupuestal aplicable.</w:t>
      </w:r>
    </w:p>
    <w:p w14:paraId="4433C9D2" w14:textId="77777777" w:rsidR="006E3B9E" w:rsidRDefault="006E3B9E" w:rsidP="006E3B9E">
      <w:pPr>
        <w:snapToGrid w:val="0"/>
        <w:spacing w:after="120" w:line="276" w:lineRule="auto"/>
        <w:ind w:firstLine="708"/>
        <w:jc w:val="both"/>
        <w:rPr>
          <w:rFonts w:ascii="Verdana" w:eastAsia="Calibri" w:hAnsi="Verdana" w:cs="Arial"/>
          <w:bCs/>
          <w:color w:val="000000" w:themeColor="text1"/>
          <w:lang w:val="es-ES"/>
        </w:rPr>
      </w:pPr>
      <w:r w:rsidRPr="00BF60AF">
        <w:rPr>
          <w:rFonts w:ascii="Verdana" w:eastAsia="Calibri" w:hAnsi="Verdana" w:cs="Arial"/>
          <w:bCs/>
          <w:color w:val="000000" w:themeColor="text1"/>
          <w:lang w:val="es-ES"/>
        </w:rPr>
        <w:t xml:space="preserve">Así las cosas, siempre que tales actuaciones no impliquen definir el balance final del contrato, establecer derechos u obligaciones recíprocas entre </w:t>
      </w:r>
      <w:r w:rsidRPr="00BF60AF">
        <w:rPr>
          <w:rFonts w:ascii="Verdana" w:eastAsia="Calibri" w:hAnsi="Verdana" w:cs="Arial"/>
          <w:bCs/>
          <w:color w:val="000000" w:themeColor="text1"/>
          <w:lang w:val="es-ES"/>
        </w:rPr>
        <w:lastRenderedPageBreak/>
        <w:t>las partes o resolver aspectos que integran el objeto de la controversia judicial, la entidad podrá gestionar los recursos asociados al contrato de conformidad con el régimen presupuestal que le resulte aplicable. En todo caso, las decisiones que adopte en ejercicio de dicha competencia deberán estar debidamente fundamentadas en las disposiciones presupuestales que regulan su actuación y ajustarse a los requisitos y procedimientos previstos en ellas.</w:t>
      </w:r>
    </w:p>
    <w:p w14:paraId="11D246CC" w14:textId="77777777" w:rsidR="006E3B9E" w:rsidRPr="00546132" w:rsidRDefault="006E3B9E" w:rsidP="006E3B9E">
      <w:pPr>
        <w:snapToGrid w:val="0"/>
        <w:spacing w:after="120" w:line="276" w:lineRule="auto"/>
        <w:ind w:firstLine="708"/>
        <w:jc w:val="both"/>
        <w:rPr>
          <w:rFonts w:ascii="Verdana" w:eastAsia="Calibri" w:hAnsi="Verdana" w:cs="Arial"/>
        </w:rPr>
      </w:pPr>
      <w:r w:rsidRPr="003F08D3">
        <w:rPr>
          <w:rFonts w:ascii="Verdana" w:eastAsia="Calibri" w:hAnsi="Verdana" w:cs="Arial"/>
        </w:rPr>
        <w:t>Finalmente, constituye una buena práctica administrativa que las entidades estatales regulen, en sus manuales o instrumentos internos de gestión financiera y presupuestal, el procedimiento para la liberación de saldos no ejecutados, en armonía con las normas presupuestales que les resulten aplicables. Ello contribuye a garantizar una adecuada administración de los recursos públicos, sin desconocer la obligación de prever los mecanismos presupuestales necesarios para atender las obligaciones que puedan derivarse de una eventual decisión judicial.</w:t>
      </w:r>
    </w:p>
    <w:p w14:paraId="4AF2BADA" w14:textId="77777777" w:rsidR="006E3B9E" w:rsidRPr="00A05118" w:rsidRDefault="006E3B9E" w:rsidP="006E3B9E">
      <w:pPr>
        <w:tabs>
          <w:tab w:val="left" w:pos="709"/>
        </w:tabs>
        <w:spacing w:after="180" w:line="276" w:lineRule="auto"/>
        <w:jc w:val="both"/>
        <w:rPr>
          <w:rFonts w:ascii="Verdana" w:hAnsi="Verdana" w:cs="Arial"/>
          <w:color w:val="000000" w:themeColor="text1"/>
          <w:lang w:val="es-ES"/>
        </w:rPr>
      </w:pPr>
      <w:proofErr w:type="spellStart"/>
      <w:r>
        <w:rPr>
          <w:rFonts w:ascii="Verdana" w:eastAsia="Calibri" w:hAnsi="Verdana" w:cs="Arial"/>
          <w:bCs/>
          <w:color w:val="000000" w:themeColor="text1"/>
        </w:rPr>
        <w:t>iii</w:t>
      </w:r>
      <w:proofErr w:type="spellEnd"/>
      <w:r>
        <w:rPr>
          <w:rFonts w:ascii="Verdana" w:eastAsia="Calibri" w:hAnsi="Verdana" w:cs="Arial"/>
          <w:bCs/>
          <w:color w:val="000000" w:themeColor="text1"/>
        </w:rPr>
        <w:t>.</w:t>
      </w:r>
      <w:r>
        <w:rPr>
          <w:rFonts w:ascii="Verdana" w:hAnsi="Verdana" w:cs="Arial"/>
          <w:color w:val="000000" w:themeColor="text1"/>
          <w:lang w:val="es-ES"/>
        </w:rPr>
        <w:t xml:space="preserve"> </w:t>
      </w:r>
      <w:r w:rsidRPr="00A47393">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w:t>
      </w:r>
      <w:r>
        <w:rPr>
          <w:rFonts w:ascii="Verdana" w:eastAsia="Calibri" w:hAnsi="Verdana" w:cs="Arial"/>
          <w:bCs/>
          <w:color w:val="000000" w:themeColor="text1"/>
        </w:rPr>
        <w:t>en</w:t>
      </w:r>
      <w:r w:rsidRPr="00A47393">
        <w:rPr>
          <w:rFonts w:ascii="Verdana" w:eastAsia="Calibri" w:hAnsi="Verdana" w:cs="Arial"/>
          <w:bCs/>
          <w:color w:val="000000" w:themeColor="text1"/>
        </w:rPr>
        <w:t xml:space="preserve">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CF7269E" w14:textId="77777777" w:rsidR="006E3B9E" w:rsidRPr="00185EE9" w:rsidRDefault="006E3B9E" w:rsidP="006E3B9E">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10916B0B" w14:textId="77777777" w:rsidR="006E3B9E" w:rsidRPr="00182C89" w:rsidRDefault="006E3B9E" w:rsidP="006E3B9E">
      <w:pPr>
        <w:tabs>
          <w:tab w:val="left" w:pos="709"/>
        </w:tabs>
        <w:spacing w:after="0" w:line="276" w:lineRule="auto"/>
        <w:jc w:val="both"/>
        <w:rPr>
          <w:rFonts w:ascii="Verdana" w:eastAsia="Calibri" w:hAnsi="Verdana" w:cs="Arial"/>
          <w:color w:val="000000" w:themeColor="text1"/>
        </w:rPr>
      </w:pPr>
    </w:p>
    <w:p w14:paraId="35C45133" w14:textId="77777777" w:rsidR="006E3B9E" w:rsidRPr="00593A5F" w:rsidRDefault="006E3B9E" w:rsidP="006E3B9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476BE0F4" w14:textId="77777777" w:rsidR="006E3B9E" w:rsidRPr="00593A5F" w:rsidRDefault="006E3B9E" w:rsidP="006E3B9E">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E3B9E" w:rsidRPr="002407CE" w14:paraId="2C8D5827" w14:textId="77777777" w:rsidTr="00C671FE">
        <w:trPr>
          <w:trHeight w:val="56"/>
          <w:jc w:val="center"/>
        </w:trPr>
        <w:tc>
          <w:tcPr>
            <w:tcW w:w="8647" w:type="dxa"/>
          </w:tcPr>
          <w:p w14:paraId="10A1B8CD" w14:textId="77777777" w:rsidR="006E3B9E" w:rsidRPr="00B954AE" w:rsidRDefault="006E3B9E" w:rsidP="00C671FE">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C95374">
              <w:rPr>
                <w:rFonts w:ascii="Verdana" w:hAnsi="Verdana" w:cs="Arial"/>
              </w:rPr>
              <w:t>Ley 80 de 1993, artículo</w:t>
            </w:r>
            <w:r>
              <w:rPr>
                <w:rFonts w:ascii="Verdana" w:hAnsi="Verdana" w:cs="Arial"/>
              </w:rPr>
              <w:t>s 40 y</w:t>
            </w:r>
            <w:r w:rsidRPr="00C95374">
              <w:rPr>
                <w:rFonts w:ascii="Verdana" w:hAnsi="Verdana" w:cs="Arial"/>
              </w:rPr>
              <w:t xml:space="preserve"> 60.</w:t>
            </w:r>
          </w:p>
          <w:p w14:paraId="273B40E1" w14:textId="77777777" w:rsidR="006E3B9E" w:rsidRPr="00B954AE" w:rsidRDefault="006E3B9E" w:rsidP="00C671FE">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C95374">
              <w:rPr>
                <w:rFonts w:ascii="Verdana" w:hAnsi="Verdana" w:cs="Arial"/>
              </w:rPr>
              <w:t>Ley 1150 de 2007, artículo 11.</w:t>
            </w:r>
          </w:p>
          <w:p w14:paraId="2734B841" w14:textId="77777777" w:rsidR="006E3B9E" w:rsidRPr="00075A01" w:rsidRDefault="006E3B9E" w:rsidP="00C671FE">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C95374">
              <w:rPr>
                <w:rFonts w:ascii="Verdana" w:hAnsi="Verdana" w:cs="Arial"/>
              </w:rPr>
              <w:t>Ley 1437 de 2011, artículo 141</w:t>
            </w:r>
            <w:r>
              <w:rPr>
                <w:rFonts w:ascii="Verdana" w:hAnsi="Verdana" w:cs="Arial"/>
              </w:rPr>
              <w:t>.</w:t>
            </w:r>
          </w:p>
        </w:tc>
      </w:tr>
    </w:tbl>
    <w:p w14:paraId="457B8F08" w14:textId="77777777" w:rsidR="006E3B9E" w:rsidRPr="002407CE" w:rsidRDefault="006E3B9E" w:rsidP="006E3B9E">
      <w:pPr>
        <w:widowControl w:val="0"/>
        <w:autoSpaceDE w:val="0"/>
        <w:autoSpaceDN w:val="0"/>
        <w:spacing w:after="0" w:line="276" w:lineRule="auto"/>
        <w:jc w:val="both"/>
        <w:rPr>
          <w:rFonts w:ascii="Verdana" w:hAnsi="Verdana" w:cs="Arial"/>
        </w:rPr>
      </w:pPr>
    </w:p>
    <w:p w14:paraId="302B0EF5" w14:textId="77777777" w:rsidR="006E3B9E" w:rsidRPr="00593A5F" w:rsidRDefault="006E3B9E" w:rsidP="006E3B9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7EE999CD" w14:textId="77777777" w:rsidR="006E3B9E" w:rsidRPr="00593A5F" w:rsidRDefault="006E3B9E" w:rsidP="006E3B9E">
      <w:pPr>
        <w:widowControl w:val="0"/>
        <w:autoSpaceDE w:val="0"/>
        <w:autoSpaceDN w:val="0"/>
        <w:spacing w:after="0" w:line="276" w:lineRule="auto"/>
        <w:jc w:val="both"/>
        <w:rPr>
          <w:rFonts w:ascii="Verdana" w:hAnsi="Verdana" w:cs="Arial"/>
        </w:rPr>
      </w:pPr>
    </w:p>
    <w:p w14:paraId="62BE54A4" w14:textId="77777777" w:rsidR="006E3B9E" w:rsidRPr="00BD4D05" w:rsidRDefault="006E3B9E" w:rsidP="006E3B9E">
      <w:pPr>
        <w:widowControl w:val="0"/>
        <w:autoSpaceDE w:val="0"/>
        <w:autoSpaceDN w:val="0"/>
        <w:spacing w:after="0" w:line="276" w:lineRule="auto"/>
        <w:jc w:val="both"/>
        <w:rPr>
          <w:rStyle w:val="normaltextrun"/>
          <w:rFonts w:ascii="Verdana" w:hAnsi="Verdana" w:cs="Arial"/>
          <w:shd w:val="clear" w:color="auto" w:fill="FFFFFF"/>
          <w:lang w:val="es-ES_tradnl"/>
        </w:rPr>
      </w:pPr>
      <w:r w:rsidRPr="000E4CD6">
        <w:rPr>
          <w:rStyle w:val="normaltextrun"/>
          <w:rFonts w:ascii="Verdana" w:hAnsi="Verdana" w:cs="Arial"/>
          <w:shd w:val="clear" w:color="auto" w:fill="FFFFFF"/>
          <w:lang w:val="es-ES_tradnl"/>
        </w:rPr>
        <w:t>Esta Subdirección se ha pronunciado sobre la liquidación en los Conceptos 4201912000004908 del 27 de septiembre de 2019, CU-028 de 25 de febrero de 2020, C-221 de 21 de abril de 2020, C-078 del 17 de marzo de 2021, C-220 del 18 de mayo de 2021, C-444 del 23 de julio de 2021, C-747 del 8 de noviembre de 2022, C-739 del 29 de noviembre de 2022, C- 176 de 3 de mayo de 2023, C-158 del 6 de junio de 2023, C-326 del 15 de agosto de 2024</w:t>
      </w:r>
      <w:r>
        <w:rPr>
          <w:rStyle w:val="normaltextrun"/>
          <w:rFonts w:ascii="Verdana" w:hAnsi="Verdana" w:cs="Arial"/>
          <w:shd w:val="clear" w:color="auto" w:fill="FFFFFF"/>
          <w:lang w:val="es-ES_tradnl"/>
        </w:rPr>
        <w:t>,</w:t>
      </w:r>
      <w:r w:rsidRPr="000E4CD6">
        <w:rPr>
          <w:rStyle w:val="normaltextrun"/>
          <w:rFonts w:ascii="Verdana" w:hAnsi="Verdana" w:cs="Arial"/>
          <w:shd w:val="clear" w:color="auto" w:fill="FFFFFF"/>
          <w:lang w:val="es-ES_tradnl"/>
        </w:rPr>
        <w:t xml:space="preserve"> C-568 del 18 de octubre de 2024</w:t>
      </w:r>
      <w:r>
        <w:rPr>
          <w:rStyle w:val="normaltextrun"/>
          <w:rFonts w:ascii="Verdana" w:hAnsi="Verdana" w:cs="Arial"/>
          <w:shd w:val="clear" w:color="auto" w:fill="FFFFFF"/>
          <w:lang w:val="es-ES_tradnl"/>
        </w:rPr>
        <w:t>, C-968 del 16 de diciembre de 2024, C-1254 del 7 de octubre de 2025, C-1685 del 1 de diciembre de 2025 y C-1010 del 1 de julio de 2026</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3"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3AC20B7E" w14:textId="77777777" w:rsidR="006E3B9E" w:rsidRPr="00096788" w:rsidRDefault="006E3B9E" w:rsidP="006E3B9E">
      <w:pPr>
        <w:widowControl w:val="0"/>
        <w:autoSpaceDE w:val="0"/>
        <w:autoSpaceDN w:val="0"/>
        <w:spacing w:after="0" w:line="276" w:lineRule="auto"/>
        <w:jc w:val="both"/>
        <w:rPr>
          <w:rFonts w:ascii="Verdana" w:hAnsi="Verdana" w:cs="Arial"/>
          <w:color w:val="000000" w:themeColor="text1"/>
          <w:shd w:val="clear" w:color="auto" w:fill="FFFFFF"/>
        </w:rPr>
      </w:pPr>
    </w:p>
    <w:p w14:paraId="413FBA8A" w14:textId="77777777" w:rsidR="006E3B9E" w:rsidRPr="00F74645" w:rsidRDefault="006E3B9E" w:rsidP="006E3B9E">
      <w:pPr>
        <w:widowControl w:val="0"/>
        <w:autoSpaceDE w:val="0"/>
        <w:autoSpaceDN w:val="0"/>
        <w:spacing w:after="120" w:line="276" w:lineRule="auto"/>
        <w:jc w:val="both"/>
        <w:rPr>
          <w:rFonts w:ascii="Verdana" w:hAnsi="Verdana" w:cs="Arial"/>
          <w:color w:val="000000" w:themeColor="text1"/>
          <w:shd w:val="clear" w:color="auto" w:fill="FFFFFF"/>
        </w:rPr>
      </w:pPr>
      <w:r w:rsidRPr="00F74645">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74645">
        <w:rPr>
          <w:rFonts w:ascii="Verdana" w:eastAsia="Times New Roman" w:hAnsi="Verdana" w:cs="Times New Roman"/>
          <w:b/>
          <w:bCs/>
          <w:color w:val="000000"/>
          <w:lang w:eastAsia="es-CO"/>
        </w:rPr>
        <w:t>Guía para la Exigencia y Constitución de Garantías en los Procesos de Contratación</w:t>
      </w:r>
      <w:r w:rsidRPr="00F74645">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44E40AD6" w14:textId="77777777" w:rsidR="006E3B9E" w:rsidRPr="00F74645" w:rsidRDefault="006E3B9E" w:rsidP="006E3B9E">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74645">
        <w:rPr>
          <w:rFonts w:ascii="Verdana" w:eastAsia="Times New Roman" w:hAnsi="Verdana" w:cs="Times New Roman"/>
          <w:b/>
          <w:bCs/>
          <w:color w:val="000000"/>
          <w:lang w:eastAsia="es-CO"/>
        </w:rPr>
        <w:t>Sistema Integral de Preferencias en favor de las personas con discapacidad</w:t>
      </w:r>
      <w:r w:rsidRPr="00F74645">
        <w:rPr>
          <w:rFonts w:ascii="Verdana" w:eastAsia="Times New Roman" w:hAnsi="Verdana" w:cs="Times New Roman"/>
          <w:color w:val="000000"/>
          <w:lang w:eastAsia="es-CO"/>
        </w:rPr>
        <w:t xml:space="preserve">, en cumplimiento del artículo 13 de la Ley Estatutaria 1618 de 2013. Para orientar su aplicación, esta Agencia expidió </w:t>
      </w:r>
      <w:r w:rsidRPr="00F74645">
        <w:rPr>
          <w:rFonts w:ascii="Verdana" w:eastAsia="Times New Roman" w:hAnsi="Verdana" w:cs="Times New Roman"/>
          <w:color w:val="000000"/>
          <w:lang w:eastAsia="es-CO"/>
        </w:rPr>
        <w:lastRenderedPageBreak/>
        <w:t>la </w:t>
      </w:r>
      <w:r w:rsidRPr="00F74645">
        <w:rPr>
          <w:rFonts w:ascii="Verdana" w:eastAsia="Times New Roman" w:hAnsi="Verdana" w:cs="Times New Roman"/>
          <w:b/>
          <w:bCs/>
          <w:color w:val="000000"/>
          <w:lang w:eastAsia="es-CO"/>
        </w:rPr>
        <w:t>Circular Externa 003 del 12 de mayo de 2026, </w:t>
      </w:r>
      <w:r w:rsidRPr="00F74645">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7B809140" w14:textId="77777777" w:rsidR="006E3B9E" w:rsidRPr="00F74645" w:rsidRDefault="006E3B9E" w:rsidP="006E3B9E">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Recuerda también que la</w:t>
      </w:r>
      <w:r w:rsidRPr="00F74645">
        <w:rPr>
          <w:rFonts w:ascii="Verdana" w:eastAsia="Times New Roman" w:hAnsi="Verdana" w:cs="Times New Roman"/>
          <w:b/>
          <w:bCs/>
          <w:color w:val="000000"/>
          <w:lang w:eastAsia="es-CO"/>
        </w:rPr>
        <w:t> información sobre sanciones e inhabilidades </w:t>
      </w:r>
      <w:r w:rsidRPr="00F74645">
        <w:rPr>
          <w:rFonts w:ascii="Verdana" w:eastAsia="Times New Roman" w:hAnsi="Verdana" w:cs="Times New Roman"/>
          <w:color w:val="000000"/>
          <w:lang w:eastAsia="es-CO"/>
        </w:rPr>
        <w:t>solo cumple su función preventiva si llega oportunamente a los registros públicos. Sobre este deber, esta Agencia expidió la </w:t>
      </w:r>
      <w:r w:rsidRPr="00F74645">
        <w:rPr>
          <w:rFonts w:ascii="Verdana" w:eastAsia="Times New Roman" w:hAnsi="Verdana" w:cs="Times New Roman"/>
          <w:b/>
          <w:bCs/>
          <w:color w:val="000000"/>
          <w:lang w:eastAsia="es-CO"/>
        </w:rPr>
        <w:t>Circular Externa 002 del 5 de mayo de 2026,</w:t>
      </w:r>
      <w:r w:rsidRPr="00F74645">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0E513878" w14:textId="77777777" w:rsidR="006E3B9E" w:rsidRPr="00F74645" w:rsidRDefault="006E3B9E" w:rsidP="006E3B9E">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Finalmente, si quieres seguir de cerca la actividad de la Agencia, la tercera edición de 2026 del</w:t>
      </w:r>
      <w:r w:rsidRPr="00F74645">
        <w:rPr>
          <w:rFonts w:ascii="Verdana" w:eastAsia="Times New Roman" w:hAnsi="Verdana" w:cs="Times New Roman"/>
          <w:b/>
          <w:bCs/>
          <w:color w:val="000000"/>
          <w:lang w:eastAsia="es-CO"/>
        </w:rPr>
        <w:t> Radar de la Compra Pública</w:t>
      </w:r>
      <w:r w:rsidRPr="00F74645">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74645">
        <w:rPr>
          <w:rFonts w:ascii="Verdana" w:eastAsia="Times New Roman" w:hAnsi="Verdana" w:cs="Times New Roman"/>
          <w:color w:val="000000"/>
          <w:lang w:eastAsia="es-CO"/>
        </w:rPr>
        <w:t>"</w:t>
      </w:r>
    </w:p>
    <w:p w14:paraId="5CEFFC94" w14:textId="77777777" w:rsidR="006E3B9E" w:rsidRPr="00F74645" w:rsidRDefault="006E3B9E" w:rsidP="006E3B9E">
      <w:pPr>
        <w:spacing w:after="0" w:line="276" w:lineRule="auto"/>
        <w:jc w:val="both"/>
        <w:rPr>
          <w:rFonts w:ascii="Verdana" w:hAnsi="Verdana"/>
          <w:lang w:val="es-ES"/>
        </w:rPr>
      </w:pPr>
      <w:r w:rsidRPr="00F74645">
        <w:rPr>
          <w:rFonts w:ascii="Verdana" w:hAnsi="Verdana"/>
          <w:lang w:val="es-ES"/>
        </w:rPr>
        <w:t xml:space="preserve">Por último, lo invitamos a seguirnos en las redes sociales en las cuales se difunde información institucional: </w:t>
      </w:r>
    </w:p>
    <w:p w14:paraId="7DB9A150" w14:textId="77777777" w:rsidR="006E3B9E" w:rsidRPr="00F74645" w:rsidRDefault="006E3B9E" w:rsidP="006E3B9E">
      <w:pPr>
        <w:spacing w:after="0" w:line="276" w:lineRule="auto"/>
        <w:jc w:val="both"/>
        <w:rPr>
          <w:rFonts w:ascii="Verdana" w:hAnsi="Verdana"/>
          <w:lang w:val="es-ES"/>
        </w:rPr>
      </w:pPr>
    </w:p>
    <w:p w14:paraId="556E7B50" w14:textId="77777777" w:rsidR="006E3B9E" w:rsidRPr="00F74645" w:rsidRDefault="006E3B9E" w:rsidP="006E3B9E">
      <w:pPr>
        <w:spacing w:after="0" w:line="276" w:lineRule="auto"/>
        <w:jc w:val="both"/>
        <w:rPr>
          <w:rFonts w:ascii="Verdana" w:hAnsi="Verdana"/>
          <w:lang w:val="es-ES"/>
        </w:rPr>
      </w:pPr>
      <w:r w:rsidRPr="00F74645">
        <w:rPr>
          <w:rFonts w:ascii="Verdana" w:hAnsi="Verdana"/>
          <w:lang w:val="es-ES"/>
        </w:rPr>
        <w:t xml:space="preserve">Twitter: </w:t>
      </w:r>
      <w:r w:rsidRPr="00F74645">
        <w:rPr>
          <w:rFonts w:ascii="Verdana" w:hAnsi="Verdana" w:cs="Arial"/>
          <w:color w:val="0000FF"/>
          <w:u w:val="single"/>
          <w:shd w:val="clear" w:color="auto" w:fill="FFFFFF"/>
          <w:lang w:val="es-ES"/>
        </w:rPr>
        <w:t>@colombiacompra</w:t>
      </w:r>
      <w:r w:rsidRPr="00F74645">
        <w:rPr>
          <w:rFonts w:ascii="Verdana" w:hAnsi="Verdana"/>
          <w:color w:val="4472C4" w:themeColor="accent1"/>
          <w:lang w:val="es-ES"/>
        </w:rPr>
        <w:t xml:space="preserve"> </w:t>
      </w:r>
    </w:p>
    <w:p w14:paraId="0A7D92A5" w14:textId="77777777" w:rsidR="006E3B9E" w:rsidRPr="00F74645" w:rsidRDefault="006E3B9E" w:rsidP="006E3B9E">
      <w:pPr>
        <w:spacing w:after="0" w:line="276" w:lineRule="auto"/>
        <w:jc w:val="both"/>
        <w:rPr>
          <w:rFonts w:ascii="Verdana" w:hAnsi="Verdana"/>
          <w:lang w:val="es-ES"/>
        </w:rPr>
      </w:pPr>
      <w:r w:rsidRPr="00F74645">
        <w:rPr>
          <w:rFonts w:ascii="Verdana" w:hAnsi="Verdana"/>
          <w:lang w:val="es-ES"/>
        </w:rPr>
        <w:t xml:space="preserve">Facebook: </w:t>
      </w:r>
      <w:proofErr w:type="spellStart"/>
      <w:r w:rsidRPr="00F74645">
        <w:rPr>
          <w:rFonts w:ascii="Verdana" w:hAnsi="Verdana" w:cs="Arial"/>
          <w:color w:val="0000FF"/>
          <w:u w:val="single"/>
          <w:shd w:val="clear" w:color="auto" w:fill="FFFFFF"/>
          <w:lang w:val="es-ES"/>
        </w:rPr>
        <w:t>ColombiaCompraEficiente</w:t>
      </w:r>
      <w:proofErr w:type="spellEnd"/>
    </w:p>
    <w:p w14:paraId="0E6F6A9C" w14:textId="77777777" w:rsidR="006E3B9E" w:rsidRPr="00F74645" w:rsidRDefault="006E3B9E" w:rsidP="006E3B9E">
      <w:pPr>
        <w:spacing w:after="0" w:line="276" w:lineRule="auto"/>
        <w:jc w:val="both"/>
        <w:rPr>
          <w:rFonts w:ascii="Verdana" w:hAnsi="Verdana"/>
          <w:lang w:val="es-ES"/>
        </w:rPr>
      </w:pPr>
      <w:r w:rsidRPr="00F74645">
        <w:rPr>
          <w:rFonts w:ascii="Verdana" w:hAnsi="Verdana"/>
          <w:lang w:val="es-ES"/>
        </w:rPr>
        <w:t xml:space="preserve">LinkedIn: </w:t>
      </w:r>
      <w:r w:rsidRPr="00F74645">
        <w:rPr>
          <w:rFonts w:ascii="Verdana" w:hAnsi="Verdana" w:cs="Arial"/>
          <w:color w:val="0000FF"/>
          <w:u w:val="single"/>
          <w:shd w:val="clear" w:color="auto" w:fill="FFFFFF"/>
          <w:lang w:val="es-ES"/>
        </w:rPr>
        <w:t xml:space="preserve">Agencia Nacional de Contratación Pública - Colombia Compra Eficiente </w:t>
      </w:r>
      <w:r w:rsidRPr="00F74645">
        <w:rPr>
          <w:rFonts w:ascii="Verdana" w:hAnsi="Verdana"/>
          <w:lang w:val="es-ES"/>
        </w:rPr>
        <w:t xml:space="preserve">Instagram: </w:t>
      </w:r>
      <w:r w:rsidRPr="00F74645">
        <w:rPr>
          <w:rFonts w:ascii="Verdana" w:hAnsi="Verdana" w:cs="Arial"/>
          <w:color w:val="0000FF"/>
          <w:u w:val="single"/>
          <w:shd w:val="clear" w:color="auto" w:fill="FFFFFF"/>
          <w:lang w:val="es-ES"/>
        </w:rPr>
        <w:t>@colombiacompraeficiente_cce</w:t>
      </w:r>
    </w:p>
    <w:p w14:paraId="63598BA8" w14:textId="77777777" w:rsidR="006E3B9E" w:rsidRPr="00F74645" w:rsidRDefault="006E3B9E" w:rsidP="006E3B9E">
      <w:pPr>
        <w:spacing w:after="0" w:line="276" w:lineRule="auto"/>
        <w:jc w:val="both"/>
        <w:rPr>
          <w:rFonts w:ascii="Verdana" w:hAnsi="Verdana"/>
          <w:lang w:val="es-ES"/>
        </w:rPr>
      </w:pPr>
    </w:p>
    <w:p w14:paraId="7D4F9394" w14:textId="77777777" w:rsidR="006E3B9E" w:rsidRPr="00F74645" w:rsidRDefault="006E3B9E" w:rsidP="006E3B9E">
      <w:pPr>
        <w:spacing w:before="120" w:after="0" w:line="276" w:lineRule="auto"/>
        <w:jc w:val="both"/>
        <w:rPr>
          <w:rFonts w:ascii="Verdana" w:hAnsi="Verdana"/>
        </w:rPr>
      </w:pPr>
      <w:r w:rsidRPr="00F74645">
        <w:rPr>
          <w:rFonts w:ascii="Verdana" w:hAnsi="Verdana"/>
        </w:rPr>
        <w:t xml:space="preserve">Este concepto tiene el alcance previsto en el artículo 28 del Código de Procedimiento Administrativo y de lo Contencioso Administrativo y las </w:t>
      </w:r>
      <w:r w:rsidRPr="00F74645">
        <w:rPr>
          <w:rFonts w:ascii="Verdana" w:hAnsi="Verdana"/>
        </w:rPr>
        <w:lastRenderedPageBreak/>
        <w:t>expresiones utilizadas con mayúscula inicial deben ser entendidas con el significado que les otorga el artículo 2.2.1.1.1.3.1 del Decreto 1082 de 2015.</w:t>
      </w:r>
    </w:p>
    <w:p w14:paraId="70DD9604" w14:textId="77777777" w:rsidR="006E3B9E" w:rsidRPr="00F74645" w:rsidRDefault="006E3B9E" w:rsidP="006E3B9E">
      <w:pPr>
        <w:spacing w:after="0" w:line="276" w:lineRule="auto"/>
        <w:jc w:val="both"/>
        <w:rPr>
          <w:rFonts w:ascii="Verdana" w:eastAsia="Calibri" w:hAnsi="Verdana" w:cs="Times New Roman"/>
        </w:rPr>
      </w:pPr>
    </w:p>
    <w:p w14:paraId="7FD0FE07" w14:textId="77777777" w:rsidR="006E3B9E" w:rsidRPr="00F74645" w:rsidRDefault="006E3B9E" w:rsidP="006E3B9E">
      <w:pPr>
        <w:spacing w:after="0" w:line="276" w:lineRule="auto"/>
        <w:jc w:val="both"/>
        <w:rPr>
          <w:rFonts w:ascii="Verdana" w:eastAsia="Calibri" w:hAnsi="Verdana" w:cs="Times New Roman"/>
        </w:rPr>
      </w:pPr>
      <w:r w:rsidRPr="00F74645">
        <w:rPr>
          <w:rFonts w:ascii="Verdana" w:eastAsia="Calibri" w:hAnsi="Verdana" w:cs="Times New Roman"/>
        </w:rPr>
        <w:t>Atentamente,</w:t>
      </w:r>
    </w:p>
    <w:p w14:paraId="0FAE4603" w14:textId="6046E027" w:rsidR="006E3B9E" w:rsidRPr="00F74645" w:rsidRDefault="00492AF9" w:rsidP="006E3B9E">
      <w:pPr>
        <w:spacing w:after="0" w:line="276" w:lineRule="auto"/>
        <w:jc w:val="center"/>
        <w:rPr>
          <w:rFonts w:ascii="Verdana" w:eastAsia="Calibri" w:hAnsi="Verdana" w:cs="Times New Roman"/>
        </w:rPr>
      </w:pPr>
      <w:r>
        <w:rPr>
          <w:noProof/>
        </w:rPr>
        <w:drawing>
          <wp:inline distT="0" distB="0" distL="0" distR="0" wp14:anchorId="1A123108" wp14:editId="46EFB2DB">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8"/>
                    <a:stretch>
                      <a:fillRect/>
                    </a:stretch>
                  </pic:blipFill>
                  <pic:spPr>
                    <a:xfrm>
                      <a:off x="0" y="0"/>
                      <a:ext cx="3771900" cy="1400175"/>
                    </a:xfrm>
                    <a:prstGeom prst="rect">
                      <a:avLst/>
                    </a:prstGeom>
                  </pic:spPr>
                </pic:pic>
              </a:graphicData>
            </a:graphic>
          </wp:inline>
        </w:drawing>
      </w:r>
    </w:p>
    <w:p w14:paraId="2BC0911F" w14:textId="77777777" w:rsidR="006E3B9E" w:rsidRPr="00F74645" w:rsidRDefault="006E3B9E" w:rsidP="006E3B9E">
      <w:pPr>
        <w:spacing w:after="0" w:line="276" w:lineRule="auto"/>
        <w:jc w:val="center"/>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E3B9E" w:rsidRPr="00F74645" w14:paraId="160D3D1B" w14:textId="77777777" w:rsidTr="00C671FE">
        <w:trPr>
          <w:trHeight w:val="315"/>
        </w:trPr>
        <w:tc>
          <w:tcPr>
            <w:tcW w:w="893" w:type="dxa"/>
            <w:vAlign w:val="center"/>
            <w:hideMark/>
          </w:tcPr>
          <w:p w14:paraId="158C164D" w14:textId="77777777" w:rsidR="006E3B9E" w:rsidRPr="00F74645" w:rsidRDefault="006E3B9E" w:rsidP="00C671FE">
            <w:pPr>
              <w:contextualSpacing/>
              <w:rPr>
                <w:rFonts w:ascii="Verdana" w:hAnsi="Verdana" w:cs="Arial"/>
                <w:sz w:val="16"/>
                <w:szCs w:val="16"/>
                <w:lang w:eastAsia="es-ES"/>
              </w:rPr>
            </w:pPr>
            <w:r w:rsidRPr="00F74645">
              <w:rPr>
                <w:rFonts w:ascii="Verdana" w:hAnsi="Verdana" w:cs="Arial"/>
                <w:sz w:val="16"/>
                <w:szCs w:val="16"/>
                <w:lang w:eastAsia="es-ES"/>
              </w:rPr>
              <w:t>Elaboró:</w:t>
            </w:r>
          </w:p>
        </w:tc>
        <w:tc>
          <w:tcPr>
            <w:tcW w:w="5628" w:type="dxa"/>
            <w:tcBorders>
              <w:top w:val="nil"/>
              <w:left w:val="nil"/>
              <w:bottom w:val="dotted" w:sz="4" w:space="0" w:color="7F7F7F" w:themeColor="text1" w:themeTint="80"/>
              <w:right w:val="nil"/>
            </w:tcBorders>
            <w:vAlign w:val="center"/>
            <w:hideMark/>
          </w:tcPr>
          <w:p w14:paraId="3A4038C0" w14:textId="77777777" w:rsidR="006E3B9E" w:rsidRPr="00F74645" w:rsidRDefault="006E3B9E" w:rsidP="00C671FE">
            <w:pPr>
              <w:contextualSpacing/>
              <w:rPr>
                <w:rFonts w:ascii="Verdana" w:hAnsi="Verdana"/>
                <w:sz w:val="16"/>
                <w:szCs w:val="16"/>
              </w:rPr>
            </w:pPr>
            <w:r w:rsidRPr="00F74645">
              <w:rPr>
                <w:rFonts w:ascii="Verdana" w:hAnsi="Verdana"/>
                <w:sz w:val="16"/>
                <w:szCs w:val="16"/>
              </w:rPr>
              <w:t>Tatiana Baquero Iguarán</w:t>
            </w:r>
          </w:p>
          <w:p w14:paraId="4CCE011B" w14:textId="77777777" w:rsidR="006E3B9E" w:rsidRPr="00F74645" w:rsidRDefault="006E3B9E" w:rsidP="00C671FE">
            <w:pPr>
              <w:contextualSpacing/>
              <w:rPr>
                <w:rFonts w:ascii="Verdana" w:eastAsia="Arial" w:hAnsi="Verdana" w:cs="Arial"/>
                <w:sz w:val="16"/>
                <w:szCs w:val="16"/>
              </w:rPr>
            </w:pPr>
            <w:r w:rsidRPr="00F74645">
              <w:rPr>
                <w:rFonts w:ascii="Verdana" w:hAnsi="Verdana"/>
                <w:sz w:val="16"/>
                <w:szCs w:val="16"/>
              </w:rPr>
              <w:t>Contratista de la Subdirección de Gestión Contractual</w:t>
            </w:r>
          </w:p>
        </w:tc>
      </w:tr>
      <w:tr w:rsidR="006E3B9E" w:rsidRPr="00F74645" w14:paraId="09D9399D" w14:textId="77777777" w:rsidTr="00C671FE">
        <w:trPr>
          <w:trHeight w:val="330"/>
        </w:trPr>
        <w:tc>
          <w:tcPr>
            <w:tcW w:w="893" w:type="dxa"/>
            <w:vAlign w:val="center"/>
            <w:hideMark/>
          </w:tcPr>
          <w:p w14:paraId="14EDF58D" w14:textId="77777777" w:rsidR="006E3B9E" w:rsidRPr="00F74645" w:rsidRDefault="006E3B9E" w:rsidP="00C671FE">
            <w:pPr>
              <w:contextualSpacing/>
              <w:rPr>
                <w:rFonts w:ascii="Verdana" w:hAnsi="Verdana" w:cs="Arial"/>
                <w:sz w:val="16"/>
                <w:szCs w:val="16"/>
                <w:lang w:eastAsia="es-ES"/>
              </w:rPr>
            </w:pPr>
            <w:r w:rsidRPr="00F74645">
              <w:rPr>
                <w:rFonts w:ascii="Verdana" w:hAnsi="Verdana" w:cs="Arial"/>
                <w:sz w:val="16"/>
                <w:szCs w:val="16"/>
                <w:lang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7F1D34E" w14:textId="77777777" w:rsidR="006E3B9E" w:rsidRPr="00F74645" w:rsidRDefault="006E3B9E" w:rsidP="00C671FE">
            <w:pPr>
              <w:textAlignment w:val="baseline"/>
              <w:rPr>
                <w:rFonts w:ascii="Verdana" w:eastAsia="Times New Roman" w:hAnsi="Verdana" w:cs="Arial"/>
                <w:sz w:val="16"/>
                <w:szCs w:val="16"/>
                <w:lang w:val="es-ES_tradnl"/>
              </w:rPr>
            </w:pPr>
            <w:r w:rsidRPr="00F74645">
              <w:rPr>
                <w:rFonts w:ascii="Verdana" w:eastAsia="Times New Roman" w:hAnsi="Verdana" w:cs="Arial"/>
                <w:sz w:val="16"/>
                <w:szCs w:val="16"/>
                <w:lang w:val="es-ES_tradnl"/>
              </w:rPr>
              <w:t>Alejandro Sarmiento Cantillo</w:t>
            </w:r>
          </w:p>
          <w:p w14:paraId="634409D6" w14:textId="77777777" w:rsidR="006E3B9E" w:rsidRPr="00F74645" w:rsidRDefault="006E3B9E" w:rsidP="00C671FE">
            <w:pPr>
              <w:contextualSpacing/>
              <w:textAlignment w:val="baseline"/>
              <w:rPr>
                <w:rFonts w:ascii="Verdana" w:eastAsia="Times New Roman" w:hAnsi="Verdana" w:cs="Segoe UI"/>
                <w:sz w:val="16"/>
                <w:szCs w:val="16"/>
                <w:lang w:eastAsia="es-ES_tradnl"/>
              </w:rPr>
            </w:pPr>
            <w:r w:rsidRPr="00F74645">
              <w:rPr>
                <w:rFonts w:ascii="Verdana" w:hAnsi="Verdana" w:cs="Arial"/>
                <w:sz w:val="16"/>
                <w:szCs w:val="16"/>
                <w:lang w:val="es-ES_tradnl"/>
              </w:rPr>
              <w:t>Gestor T1 ‒ 15 de la Subdirección de Gestión Contractual</w:t>
            </w:r>
          </w:p>
          <w:p w14:paraId="443A40EA" w14:textId="77777777" w:rsidR="006E3B9E" w:rsidRPr="00F74645" w:rsidRDefault="006E3B9E" w:rsidP="00C671FE">
            <w:pPr>
              <w:contextualSpacing/>
              <w:textAlignment w:val="baseline"/>
              <w:rPr>
                <w:rFonts w:ascii="Verdana" w:eastAsia="Times New Roman" w:hAnsi="Verdana" w:cs="Segoe UI"/>
                <w:sz w:val="16"/>
                <w:szCs w:val="16"/>
                <w:lang w:eastAsia="es-ES_tradnl"/>
              </w:rPr>
            </w:pPr>
          </w:p>
        </w:tc>
      </w:tr>
      <w:tr w:rsidR="006E3B9E" w:rsidRPr="00F74645" w14:paraId="4449145E" w14:textId="77777777" w:rsidTr="00C671FE">
        <w:trPr>
          <w:trHeight w:val="300"/>
        </w:trPr>
        <w:tc>
          <w:tcPr>
            <w:tcW w:w="893" w:type="dxa"/>
            <w:vAlign w:val="center"/>
          </w:tcPr>
          <w:p w14:paraId="6D83DF06" w14:textId="77777777" w:rsidR="006E3B9E" w:rsidRPr="00F74645" w:rsidRDefault="006E3B9E" w:rsidP="00C671FE">
            <w:pPr>
              <w:contextualSpacing/>
              <w:rPr>
                <w:rFonts w:ascii="Verdana" w:hAnsi="Verdana" w:cs="Arial"/>
                <w:sz w:val="16"/>
                <w:szCs w:val="16"/>
                <w:lang w:eastAsia="es-ES"/>
              </w:rPr>
            </w:pPr>
            <w:r w:rsidRPr="00F74645">
              <w:rPr>
                <w:rFonts w:ascii="Verdana" w:hAnsi="Verdana" w:cs="Arial"/>
                <w:sz w:val="16"/>
                <w:szCs w:val="16"/>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70FE2B6" w14:textId="77777777" w:rsidR="006E3B9E" w:rsidRPr="00F74645" w:rsidRDefault="006E3B9E" w:rsidP="00C671FE">
            <w:pPr>
              <w:contextualSpacing/>
              <w:rPr>
                <w:rFonts w:ascii="Verdana" w:eastAsia="Calibri" w:hAnsi="Verdana" w:cs="Arial"/>
                <w:sz w:val="16"/>
                <w:szCs w:val="16"/>
                <w:lang w:eastAsia="es-ES"/>
              </w:rPr>
            </w:pPr>
            <w:r w:rsidRPr="00F74645">
              <w:rPr>
                <w:rFonts w:ascii="Verdana" w:eastAsia="Calibri" w:hAnsi="Verdana" w:cs="Arial"/>
                <w:sz w:val="16"/>
                <w:szCs w:val="16"/>
                <w:lang w:eastAsia="es-ES"/>
              </w:rPr>
              <w:t>Carolina Quintero Gacharná</w:t>
            </w:r>
          </w:p>
          <w:p w14:paraId="377951EF" w14:textId="77777777" w:rsidR="006E3B9E" w:rsidRPr="00F74645" w:rsidRDefault="006E3B9E" w:rsidP="00C671FE">
            <w:pPr>
              <w:contextualSpacing/>
              <w:rPr>
                <w:rFonts w:ascii="Verdana" w:eastAsia="Calibri" w:hAnsi="Verdana" w:cs="Arial"/>
                <w:sz w:val="16"/>
                <w:szCs w:val="16"/>
                <w:lang w:eastAsia="es-ES"/>
              </w:rPr>
            </w:pPr>
            <w:r w:rsidRPr="00F74645">
              <w:rPr>
                <w:rFonts w:ascii="Verdana" w:eastAsia="Calibri" w:hAnsi="Verdana" w:cs="Arial"/>
                <w:sz w:val="16"/>
                <w:szCs w:val="16"/>
                <w:lang w:eastAsia="es-ES"/>
              </w:rPr>
              <w:t>Subdirectora de Gestión Contractual ANCP – CCE</w:t>
            </w:r>
          </w:p>
        </w:tc>
      </w:tr>
    </w:tbl>
    <w:p w14:paraId="429F2C1F" w14:textId="77777777" w:rsidR="006E3B9E" w:rsidRPr="00F74645" w:rsidRDefault="006E3B9E" w:rsidP="006E3B9E">
      <w:pPr>
        <w:rPr>
          <w:lang w:val="es-ES"/>
        </w:rPr>
      </w:pPr>
    </w:p>
    <w:p w14:paraId="6F6C7029" w14:textId="2692EB61" w:rsidR="006E3B9E" w:rsidRPr="00F74645" w:rsidRDefault="006E3B9E" w:rsidP="006E3B9E"/>
    <w:p w14:paraId="2E17B900" w14:textId="77777777" w:rsidR="006E3B9E" w:rsidRPr="00F74645" w:rsidRDefault="006E3B9E" w:rsidP="006E3B9E"/>
    <w:p w14:paraId="5F210240" w14:textId="77777777" w:rsidR="006E3B9E" w:rsidRPr="00F74645" w:rsidRDefault="006E3B9E" w:rsidP="006E3B9E"/>
    <w:p w14:paraId="10603582" w14:textId="77777777" w:rsidR="006E3B9E" w:rsidRPr="00F74645" w:rsidRDefault="006E3B9E" w:rsidP="006E3B9E"/>
    <w:p w14:paraId="55F1710D" w14:textId="77777777" w:rsidR="006E3B9E" w:rsidRDefault="006E3B9E" w:rsidP="006E3B9E"/>
    <w:p w14:paraId="2A8ADBBC" w14:textId="77777777" w:rsidR="006E3B9E" w:rsidRPr="00825F84" w:rsidRDefault="006E3B9E" w:rsidP="006E3B9E"/>
    <w:p w14:paraId="45F7E7D1" w14:textId="77777777" w:rsidR="009C15D0" w:rsidRPr="00F74645" w:rsidRDefault="009C15D0" w:rsidP="009C15D0"/>
    <w:p w14:paraId="52850994" w14:textId="77777777" w:rsidR="009C15D0" w:rsidRPr="00F74645" w:rsidRDefault="009C15D0" w:rsidP="009C15D0"/>
    <w:p w14:paraId="54CD45A3" w14:textId="77777777" w:rsidR="009C15D0" w:rsidRDefault="009C15D0" w:rsidP="009C15D0"/>
    <w:p w14:paraId="61F55402" w14:textId="77777777" w:rsidR="009C15D0" w:rsidRPr="00825F84" w:rsidRDefault="009C15D0" w:rsidP="009C15D0"/>
    <w:p w14:paraId="6689AA1B" w14:textId="77777777" w:rsidR="00421F16" w:rsidRPr="009C15D0" w:rsidRDefault="00421F16" w:rsidP="009C15D0"/>
    <w:sectPr w:rsidR="00421F16" w:rsidRPr="009C15D0"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8AAE1" w14:textId="77777777" w:rsidR="006D62E1" w:rsidRDefault="006D62E1" w:rsidP="004A1847">
      <w:pPr>
        <w:spacing w:after="0" w:line="240" w:lineRule="auto"/>
      </w:pPr>
      <w:r>
        <w:separator/>
      </w:r>
    </w:p>
  </w:endnote>
  <w:endnote w:type="continuationSeparator" w:id="0">
    <w:p w14:paraId="097BF7B7" w14:textId="77777777" w:rsidR="006D62E1" w:rsidRDefault="006D62E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6EDBA" w14:textId="77777777" w:rsidR="006D62E1" w:rsidRDefault="006D62E1" w:rsidP="004A1847">
      <w:pPr>
        <w:spacing w:after="0" w:line="240" w:lineRule="auto"/>
      </w:pPr>
      <w:r>
        <w:separator/>
      </w:r>
    </w:p>
  </w:footnote>
  <w:footnote w:type="continuationSeparator" w:id="0">
    <w:p w14:paraId="5A623817" w14:textId="77777777" w:rsidR="006D62E1" w:rsidRDefault="006D62E1" w:rsidP="004A1847">
      <w:pPr>
        <w:spacing w:after="0" w:line="240" w:lineRule="auto"/>
      </w:pPr>
      <w:r>
        <w:continuationSeparator/>
      </w:r>
    </w:p>
  </w:footnote>
  <w:footnote w:id="1">
    <w:p w14:paraId="5B22B39A" w14:textId="77777777" w:rsidR="006E3B9E" w:rsidRPr="00BD4D05" w:rsidRDefault="006E3B9E" w:rsidP="006E3B9E">
      <w:pPr>
        <w:pStyle w:val="Textonotapie"/>
        <w:ind w:firstLine="708"/>
        <w:jc w:val="both"/>
        <w:rPr>
          <w:rFonts w:ascii="Verdana" w:hAnsi="Verdana"/>
          <w:sz w:val="16"/>
          <w:szCs w:val="16"/>
        </w:rPr>
      </w:pPr>
      <w:r w:rsidRPr="00BD4D05">
        <w:rPr>
          <w:rStyle w:val="Refdenotaalpie"/>
          <w:rFonts w:ascii="Verdana" w:hAnsi="Verdana"/>
          <w:sz w:val="16"/>
          <w:szCs w:val="16"/>
        </w:rPr>
        <w:footnoteRef/>
      </w:r>
      <w:r w:rsidRPr="00BD4D05">
        <w:rPr>
          <w:rFonts w:ascii="Verdana" w:hAnsi="Verdana"/>
          <w:sz w:val="16"/>
          <w:szCs w:val="16"/>
        </w:rPr>
        <w:t xml:space="preserve"> </w:t>
      </w:r>
      <w:r w:rsidRPr="00BD4D05">
        <w:rPr>
          <w:rFonts w:ascii="Verdana" w:hAnsi="Verdana"/>
          <w:sz w:val="16"/>
          <w:szCs w:val="16"/>
          <w:lang w:val="es-CO"/>
        </w:rPr>
        <w:t>Reservas presupuestales y cuentas por pagar: Decreto 111 de 1996 (Estatuto Orgánico del Presupuesto), artículo 89, y Decreto 1068 de 2015, artículos 2.8.1.7.3.1, 2.8.1.7.3.3 y 2.8.1.7.3.4. Pasivos exigibles – vigencias expiradas: artículo 89 del Estatuto Orgánico del Presupuesto, en concordancia con la disposición de la respectiva ley anual de presupuesto que autoriza su pago. Liberación de saldos: principio de anualidad (artículo 14 del Estatuto Orgánico del Presupuesto) y normas de ejecución presupuestal del Decreto 1068 de 2015.</w:t>
      </w:r>
    </w:p>
  </w:footnote>
  <w:footnote w:id="2">
    <w:p w14:paraId="5D510BDC" w14:textId="77777777" w:rsidR="006E3B9E" w:rsidRPr="0043275F" w:rsidRDefault="006E3B9E" w:rsidP="006E3B9E">
      <w:pPr>
        <w:pStyle w:val="Textonotapie"/>
        <w:ind w:firstLine="708"/>
        <w:jc w:val="both"/>
        <w:rPr>
          <w:rFonts w:ascii="Verdana" w:hAnsi="Verdana" w:cs="Arial"/>
          <w:color w:val="000000"/>
          <w:sz w:val="16"/>
          <w:szCs w:val="16"/>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43275F">
        <w:rPr>
          <w:rFonts w:ascii="Verdana" w:hAnsi="Verdana" w:cs="Arial"/>
          <w:color w:val="000000"/>
          <w:sz w:val="16"/>
          <w:szCs w:val="16"/>
          <w:shd w:val="clear" w:color="auto" w:fill="FFFFFF"/>
        </w:rPr>
        <w:t>” (</w:t>
      </w:r>
      <w:r w:rsidRPr="0043275F">
        <w:rPr>
          <w:rFonts w:ascii="Verdana" w:hAnsi="Verdana" w:cs="Arial"/>
          <w:color w:val="000000"/>
          <w:sz w:val="16"/>
          <w:szCs w:val="16"/>
        </w:rPr>
        <w:t>EXPOSITO, Juan Carlos. Forma y contenido del contrato estatal. Bogotá: Universidad Externado de Colombia, p. 89 y 90).</w:t>
      </w:r>
    </w:p>
  </w:footnote>
  <w:footnote w:id="3">
    <w:p w14:paraId="0940ECDD" w14:textId="77777777" w:rsidR="006E3B9E" w:rsidRPr="0043275F" w:rsidRDefault="006E3B9E" w:rsidP="006E3B9E">
      <w:pPr>
        <w:pStyle w:val="Textonotapie"/>
        <w:ind w:firstLine="708"/>
        <w:jc w:val="both"/>
        <w:rPr>
          <w:rFonts w:ascii="Verdana" w:hAnsi="Verdana" w:cs="Arial"/>
          <w:color w:val="000000"/>
          <w:sz w:val="16"/>
          <w:szCs w:val="16"/>
          <w:lang w:val="es-CO"/>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DÍAZ DÍEZ, Cristian Andrés. La liquidación. Serie: Las Cláusulas del Contrato Estatal. Medellín: Librería Jurídica Sánchez y Centro de Estudios de Derecho Administrativo –CEDA–, 2013. pp. 53-54.</w:t>
      </w:r>
    </w:p>
  </w:footnote>
  <w:footnote w:id="4">
    <w:p w14:paraId="1ACB8A04" w14:textId="77777777" w:rsidR="006E3B9E" w:rsidRPr="0043275F" w:rsidRDefault="006E3B9E" w:rsidP="006E3B9E">
      <w:pPr>
        <w:spacing w:after="0"/>
        <w:ind w:firstLine="708"/>
        <w:jc w:val="both"/>
        <w:rPr>
          <w:rFonts w:ascii="Verdana" w:hAnsi="Verdana" w:cs="Arial"/>
          <w:color w:val="000000"/>
          <w:sz w:val="16"/>
          <w:szCs w:val="16"/>
          <w:lang w:val="es-ES"/>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Consejo de Estado. Sección Tercera. Subsección C. 20 de octubre de 2014, M.P: Enrique Gil Botero. Exp. 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footnote>
  <w:footnote w:id="5">
    <w:p w14:paraId="0D7A89FB" w14:textId="77777777" w:rsidR="006E3B9E" w:rsidRPr="0043275F" w:rsidRDefault="006E3B9E" w:rsidP="006E3B9E">
      <w:pPr>
        <w:pStyle w:val="Textonotapie"/>
        <w:ind w:firstLine="708"/>
        <w:jc w:val="both"/>
        <w:rPr>
          <w:rFonts w:ascii="Verdana" w:hAnsi="Verdana" w:cs="Arial"/>
          <w:color w:val="000000"/>
          <w:sz w:val="16"/>
          <w:szCs w:val="16"/>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EXPÓSITO VÉLEZ, Juan Carlos. Forma y contenido del contrato estatal, p. 90.</w:t>
      </w:r>
    </w:p>
  </w:footnote>
  <w:footnote w:id="6">
    <w:p w14:paraId="310C2373" w14:textId="77777777" w:rsidR="006E3B9E" w:rsidRPr="0043275F" w:rsidRDefault="006E3B9E" w:rsidP="006E3B9E">
      <w:pPr>
        <w:pStyle w:val="Textonotapie"/>
        <w:ind w:firstLine="708"/>
        <w:jc w:val="both"/>
        <w:rPr>
          <w:rFonts w:ascii="Verdana" w:hAnsi="Verdana" w:cs="Arial"/>
          <w:color w:val="000000"/>
          <w:sz w:val="16"/>
          <w:szCs w:val="16"/>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CONSEJO DE ESTADO, Sala de Consulta y Servicio Civil. Radicado No. 1453. Concepto de 6 de agosto de 2003. MP. Augusto Trejos.</w:t>
      </w:r>
    </w:p>
  </w:footnote>
  <w:footnote w:id="7">
    <w:p w14:paraId="39B8AE45" w14:textId="77777777" w:rsidR="006E3B9E" w:rsidRPr="0043275F" w:rsidRDefault="006E3B9E" w:rsidP="006E3B9E">
      <w:pPr>
        <w:pStyle w:val="Textonotapie"/>
        <w:ind w:firstLine="708"/>
        <w:jc w:val="both"/>
        <w:rPr>
          <w:rFonts w:ascii="Verdana" w:hAnsi="Verdana" w:cs="Arial"/>
          <w:color w:val="000000"/>
          <w:sz w:val="16"/>
          <w:szCs w:val="16"/>
          <w:lang w:val="es-ES"/>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w:t>
      </w:r>
      <w:r w:rsidRPr="0043275F">
        <w:rPr>
          <w:rFonts w:ascii="Verdana" w:hAnsi="Verdana" w:cs="Arial"/>
          <w:color w:val="000000"/>
          <w:sz w:val="16"/>
          <w:szCs w:val="16"/>
          <w:lang w:val="es-ES"/>
        </w:rPr>
        <w:t>El artículo 11 de la Ley 1150 de 2007 prescribe: “Artículo 11. Del plazo para la liquidación de los contratos. La liquidación de los contratos se hará de mutuo acuerdo dentro del término fijado en los pliegos de condiciones o sus equivalentes, o dentro del que acuerden las partes para el efecto. De no existir tal término, la liquidación se realizará dentro de los cuatro (4) meses siguientes a la expiración del término previsto para la ejecución del contrato o a la expedición del acto administrativo que ordene la terminación, o a la fecha del acuerdo que la disponga.</w:t>
      </w:r>
    </w:p>
    <w:p w14:paraId="7D026F72" w14:textId="77777777" w:rsidR="006E3B9E" w:rsidRPr="0043275F" w:rsidRDefault="006E3B9E" w:rsidP="006E3B9E">
      <w:pPr>
        <w:pStyle w:val="Textonotapie"/>
        <w:ind w:firstLine="708"/>
        <w:jc w:val="both"/>
        <w:rPr>
          <w:rFonts w:ascii="Verdana" w:hAnsi="Verdana" w:cs="Arial"/>
          <w:color w:val="000000"/>
          <w:sz w:val="16"/>
          <w:szCs w:val="16"/>
          <w:lang w:val="es-ES"/>
        </w:rPr>
      </w:pPr>
      <w:r w:rsidRPr="0043275F">
        <w:rPr>
          <w:rFonts w:ascii="Verdana" w:hAnsi="Verdana" w:cs="Arial"/>
          <w:color w:val="000000"/>
          <w:sz w:val="16"/>
          <w:szCs w:val="16"/>
          <w:lang w:val="es-ES"/>
        </w:rPr>
        <w:t>En aquellos casos en que el contratista no se presente a la liquidación previa notificación o convocatoria que le haga la entidad, o las partes no lleguen a un acuerdo sobre su contenido, la entidad tendrá la facultad de liquidar en forma unilateral dentro de los dos (2) meses siguientes, de conformidad con lo dispuesto en el artículo 136 del C. C. A.</w:t>
      </w:r>
    </w:p>
    <w:p w14:paraId="617A5535" w14:textId="77777777" w:rsidR="006E3B9E" w:rsidRPr="0043275F" w:rsidRDefault="006E3B9E" w:rsidP="006E3B9E">
      <w:pPr>
        <w:pStyle w:val="Textonotapie"/>
        <w:ind w:firstLine="708"/>
        <w:jc w:val="both"/>
        <w:rPr>
          <w:rFonts w:ascii="Verdana" w:hAnsi="Verdana" w:cs="Arial"/>
          <w:color w:val="000000"/>
          <w:sz w:val="16"/>
          <w:szCs w:val="16"/>
          <w:lang w:val="es-ES"/>
        </w:rPr>
      </w:pPr>
      <w:r w:rsidRPr="0043275F">
        <w:rPr>
          <w:rFonts w:ascii="Verdana" w:hAnsi="Verdana" w:cs="Arial"/>
          <w:color w:val="000000"/>
          <w:sz w:val="16"/>
          <w:szCs w:val="16"/>
          <w:lang w:val="es-ES"/>
        </w:rPr>
        <w:t>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w:t>
      </w:r>
    </w:p>
    <w:p w14:paraId="2D23C891" w14:textId="77777777" w:rsidR="006E3B9E" w:rsidRPr="0043275F" w:rsidRDefault="006E3B9E" w:rsidP="006E3B9E">
      <w:pPr>
        <w:pStyle w:val="Textonotapie"/>
        <w:ind w:firstLine="708"/>
        <w:jc w:val="both"/>
        <w:rPr>
          <w:rFonts w:ascii="Verdana" w:hAnsi="Verdana" w:cs="Arial"/>
          <w:color w:val="000000"/>
          <w:sz w:val="16"/>
          <w:szCs w:val="16"/>
          <w:lang w:val="es-ES"/>
        </w:rPr>
      </w:pPr>
      <w:r w:rsidRPr="0043275F">
        <w:rPr>
          <w:rFonts w:ascii="Verdana" w:hAnsi="Verdana" w:cs="Arial"/>
          <w:color w:val="000000"/>
          <w:sz w:val="16"/>
          <w:szCs w:val="16"/>
          <w:lang w:val="es-ES"/>
        </w:rPr>
        <w:t>Los contratistas tendrán derecho a efectuar salvedades a la liquidación por mutuo acuerdo, y en este evento la liquidación unilateral solo procederá en relación con los aspectos que no hayan sido objeto de acuerdo”.</w:t>
      </w:r>
    </w:p>
  </w:footnote>
  <w:footnote w:id="8">
    <w:p w14:paraId="50D2353F" w14:textId="77777777" w:rsidR="006E3B9E" w:rsidRPr="0043275F" w:rsidRDefault="006E3B9E" w:rsidP="006E3B9E">
      <w:pPr>
        <w:pStyle w:val="Textonotapie"/>
        <w:ind w:firstLine="709"/>
        <w:jc w:val="both"/>
        <w:rPr>
          <w:rFonts w:ascii="Verdana" w:hAnsi="Verdana" w:cs="Arial"/>
          <w:color w:val="000000"/>
          <w:sz w:val="16"/>
          <w:szCs w:val="16"/>
          <w:lang w:val="es-CO"/>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CONSEJO DE ESTADO, Sección Tercera, Subsección C, Sentencia del 24 de julio de 2013, radicado No. 25.642, Consejero Ponente Enrique Gil Botero.</w:t>
      </w:r>
    </w:p>
  </w:footnote>
  <w:footnote w:id="9">
    <w:p w14:paraId="2B51922C" w14:textId="77777777" w:rsidR="006E3B9E" w:rsidRPr="0043275F" w:rsidRDefault="006E3B9E" w:rsidP="006E3B9E">
      <w:pPr>
        <w:pStyle w:val="NormalWeb"/>
        <w:spacing w:before="0" w:beforeAutospacing="0" w:after="0" w:afterAutospacing="0"/>
        <w:ind w:firstLine="709"/>
        <w:jc w:val="both"/>
        <w:rPr>
          <w:rFonts w:ascii="Verdana" w:hAnsi="Verdana" w:cs="Arial"/>
          <w:color w:val="000000"/>
          <w:sz w:val="16"/>
          <w:szCs w:val="16"/>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Decreto 1082 de 2015 “</w:t>
      </w:r>
      <w:r w:rsidRPr="0043275F">
        <w:rPr>
          <w:rStyle w:val="Fuerte"/>
          <w:rFonts w:ascii="Verdana" w:hAnsi="Verdana" w:cs="Arial"/>
          <w:b w:val="0"/>
          <w:bCs w:val="0"/>
          <w:color w:val="000000"/>
          <w:sz w:val="16"/>
          <w:szCs w:val="16"/>
        </w:rPr>
        <w:t>Artículo 2.2.1.2.1.5.2. </w:t>
      </w:r>
      <w:r w:rsidRPr="0043275F">
        <w:rPr>
          <w:rStyle w:val="nfasis"/>
          <w:rFonts w:ascii="Verdana" w:eastAsia="MS Mincho" w:hAnsi="Verdana" w:cs="Arial"/>
          <w:color w:val="000000"/>
          <w:sz w:val="16"/>
          <w:szCs w:val="16"/>
        </w:rPr>
        <w:t>Procedimiento para la contratación de mínima cuantía. </w:t>
      </w:r>
      <w:r w:rsidRPr="0043275F">
        <w:rPr>
          <w:rFonts w:ascii="Verdana" w:hAnsi="Verdana" w:cs="Arial"/>
          <w:color w:val="000000"/>
          <w:sz w:val="16"/>
          <w:szCs w:val="16"/>
        </w:rPr>
        <w:t>Las siguientes reglas son aplicables a la contratación cuyo valor no excede del 10% de la menor cuantía de la Entidad Estatal, independientemente de su objeto: </w:t>
      </w:r>
    </w:p>
    <w:p w14:paraId="7361651E" w14:textId="77777777" w:rsidR="006E3B9E" w:rsidRPr="0043275F" w:rsidRDefault="006E3B9E" w:rsidP="006E3B9E">
      <w:pPr>
        <w:pStyle w:val="NormalWeb"/>
        <w:spacing w:before="0" w:beforeAutospacing="0" w:after="0" w:afterAutospacing="0"/>
        <w:jc w:val="both"/>
        <w:rPr>
          <w:rFonts w:ascii="Verdana" w:hAnsi="Verdana" w:cs="Arial"/>
          <w:color w:val="000000"/>
          <w:sz w:val="16"/>
          <w:szCs w:val="16"/>
        </w:rPr>
      </w:pPr>
      <w:r w:rsidRPr="0043275F">
        <w:rPr>
          <w:rFonts w:ascii="Verdana" w:hAnsi="Verdana" w:cs="Arial"/>
          <w:color w:val="000000"/>
          <w:sz w:val="16"/>
          <w:szCs w:val="16"/>
        </w:rPr>
        <w:t>  </w:t>
      </w:r>
      <w:r w:rsidRPr="0043275F">
        <w:rPr>
          <w:rFonts w:ascii="Verdana" w:hAnsi="Verdana" w:cs="Arial"/>
          <w:color w:val="000000"/>
          <w:sz w:val="16"/>
          <w:szCs w:val="16"/>
        </w:rPr>
        <w:tab/>
        <w:t>1. La Entidad Estatal debe señalar en la invitación a participar en procesos de mínima cuantía la información a la que se refieren los numerales 2, 3 y 4 del artículo anterior, y la forma como el interesado debe acreditar su capacidad jurídica y la experiencia mínima, si se exige esta última, y el cumplimiento de las condiciones técnicas exigidas […]”. </w:t>
      </w:r>
    </w:p>
  </w:footnote>
  <w:footnote w:id="10">
    <w:p w14:paraId="7A712682" w14:textId="77777777" w:rsidR="006E3B9E" w:rsidRPr="0043275F" w:rsidRDefault="006E3B9E" w:rsidP="006E3B9E">
      <w:pPr>
        <w:pStyle w:val="NormalWeb"/>
        <w:spacing w:before="0" w:beforeAutospacing="0" w:after="0" w:afterAutospacing="0"/>
        <w:ind w:firstLine="720"/>
        <w:jc w:val="both"/>
        <w:rPr>
          <w:rFonts w:ascii="Verdana" w:hAnsi="Verdana" w:cs="Arial"/>
          <w:color w:val="000000"/>
          <w:sz w:val="16"/>
          <w:szCs w:val="16"/>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Ley 80 de 1993 “</w:t>
      </w:r>
      <w:r w:rsidRPr="0043275F">
        <w:rPr>
          <w:rStyle w:val="Fuerte"/>
          <w:rFonts w:ascii="Verdana" w:hAnsi="Verdana" w:cs="Arial"/>
          <w:b w:val="0"/>
          <w:bCs w:val="0"/>
          <w:color w:val="000000"/>
          <w:sz w:val="16"/>
          <w:szCs w:val="16"/>
        </w:rPr>
        <w:t>Articulo 39. De la forma del contrato estatal. </w:t>
      </w:r>
      <w:r w:rsidRPr="0043275F">
        <w:rPr>
          <w:rFonts w:ascii="Verdana" w:hAnsi="Verdana" w:cs="Arial"/>
          <w:color w:val="000000"/>
          <w:sz w:val="16"/>
          <w:szCs w:val="16"/>
        </w:rPr>
        <w:t>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w:t>
      </w:r>
    </w:p>
    <w:p w14:paraId="61DF37BE" w14:textId="77777777" w:rsidR="006E3B9E" w:rsidRPr="0043275F" w:rsidRDefault="006E3B9E" w:rsidP="006E3B9E">
      <w:pPr>
        <w:pStyle w:val="NormalWeb"/>
        <w:spacing w:before="0" w:beforeAutospacing="0" w:after="0" w:afterAutospacing="0"/>
        <w:jc w:val="both"/>
        <w:rPr>
          <w:rFonts w:ascii="Verdana" w:hAnsi="Verdana" w:cs="Arial"/>
          <w:color w:val="000000"/>
          <w:sz w:val="16"/>
          <w:szCs w:val="16"/>
        </w:rPr>
      </w:pPr>
      <w:r w:rsidRPr="0043275F">
        <w:rPr>
          <w:rFonts w:ascii="Verdana" w:hAnsi="Verdana" w:cs="Arial"/>
          <w:color w:val="000000"/>
          <w:sz w:val="16"/>
          <w:szCs w:val="16"/>
        </w:rPr>
        <w:t>  </w:t>
      </w:r>
      <w:r w:rsidRPr="0043275F">
        <w:rPr>
          <w:rFonts w:ascii="Verdana" w:hAnsi="Verdana" w:cs="Arial"/>
          <w:color w:val="000000"/>
          <w:sz w:val="16"/>
          <w:szCs w:val="16"/>
        </w:rPr>
        <w:tab/>
        <w:t>[…]</w:t>
      </w:r>
      <w:bookmarkStart w:id="2" w:name="ver_1790147"/>
      <w:bookmarkStart w:id="3" w:name="ver_30220791"/>
      <w:bookmarkStart w:id="4" w:name="ver_1790148"/>
      <w:bookmarkEnd w:id="2"/>
      <w:bookmarkEnd w:id="3"/>
    </w:p>
    <w:p w14:paraId="4B6A713A" w14:textId="77777777" w:rsidR="006E3B9E" w:rsidRPr="0043275F" w:rsidRDefault="006E3B9E" w:rsidP="006E3B9E">
      <w:pPr>
        <w:pStyle w:val="NormalWeb"/>
        <w:spacing w:before="0" w:beforeAutospacing="0" w:after="0" w:afterAutospacing="0"/>
        <w:ind w:firstLine="720"/>
        <w:jc w:val="both"/>
        <w:rPr>
          <w:rFonts w:ascii="Verdana" w:hAnsi="Verdana" w:cs="Arial"/>
          <w:color w:val="000000"/>
          <w:sz w:val="16"/>
          <w:szCs w:val="16"/>
        </w:rPr>
      </w:pPr>
      <w:r w:rsidRPr="0043275F">
        <w:rPr>
          <w:rStyle w:val="Fuerte"/>
          <w:rFonts w:ascii="Verdana" w:hAnsi="Verdana" w:cs="Arial"/>
          <w:b w:val="0"/>
          <w:bCs w:val="0"/>
          <w:color w:val="000000"/>
          <w:sz w:val="16"/>
          <w:szCs w:val="16"/>
        </w:rPr>
        <w:t>Artículo 40. Del contenido del contrato estatal.</w:t>
      </w:r>
      <w:r w:rsidRPr="0043275F">
        <w:rPr>
          <w:rFonts w:ascii="Verdana" w:hAnsi="Verdana" w:cs="Arial"/>
          <w:color w:val="000000"/>
          <w:sz w:val="16"/>
          <w:szCs w:val="16"/>
        </w:rPr>
        <w:t> Las estipulaciones de los contratos serán las que de acuerdo con las normas civiles, comerciales y las previstas en esta ley, correspondan a su esencia y naturaleza. </w:t>
      </w:r>
    </w:p>
    <w:p w14:paraId="4D86ABEA" w14:textId="77777777" w:rsidR="006E3B9E" w:rsidRPr="0043275F" w:rsidRDefault="006E3B9E" w:rsidP="006E3B9E">
      <w:pPr>
        <w:pStyle w:val="NormalWeb"/>
        <w:spacing w:before="0" w:beforeAutospacing="0" w:after="0" w:afterAutospacing="0"/>
        <w:ind w:firstLine="720"/>
        <w:jc w:val="both"/>
        <w:rPr>
          <w:rFonts w:ascii="Verdana" w:hAnsi="Verdana" w:cs="Arial"/>
          <w:color w:val="000000"/>
          <w:sz w:val="16"/>
          <w:szCs w:val="16"/>
        </w:rPr>
      </w:pPr>
      <w:r w:rsidRPr="0043275F">
        <w:rPr>
          <w:rFonts w:ascii="Verdana" w:hAnsi="Verdana" w:cs="Arial"/>
          <w:color w:val="000000"/>
          <w:sz w:val="16"/>
          <w:szCs w:val="16"/>
        </w:rPr>
        <w:t>Las entidades podrán celebrar los contratos y acuerdos que permitan la autonomía de la voluntad y requieran el cumplimiento de los fines estatales. </w:t>
      </w:r>
    </w:p>
    <w:p w14:paraId="427E14C9" w14:textId="77777777" w:rsidR="006E3B9E" w:rsidRPr="0043275F" w:rsidRDefault="006E3B9E" w:rsidP="006E3B9E">
      <w:pPr>
        <w:pStyle w:val="NormalWeb"/>
        <w:spacing w:before="0" w:beforeAutospacing="0" w:after="0" w:afterAutospacing="0"/>
        <w:jc w:val="both"/>
        <w:rPr>
          <w:rFonts w:ascii="Verdana" w:hAnsi="Verdana" w:cs="Arial"/>
          <w:color w:val="000000"/>
          <w:sz w:val="16"/>
          <w:szCs w:val="16"/>
        </w:rPr>
      </w:pPr>
      <w:r w:rsidRPr="0043275F">
        <w:rPr>
          <w:rFonts w:ascii="Verdana" w:hAnsi="Verdana" w:cs="Arial"/>
          <w:color w:val="000000"/>
          <w:sz w:val="16"/>
          <w:szCs w:val="16"/>
        </w:rPr>
        <w:t>  </w:t>
      </w:r>
      <w:r w:rsidRPr="0043275F">
        <w:rPr>
          <w:rFonts w:ascii="Verdana" w:hAnsi="Verdana" w:cs="Arial"/>
          <w:color w:val="000000"/>
          <w:sz w:val="16"/>
          <w:szCs w:val="16"/>
        </w:rPr>
        <w:tab/>
        <w:t>[…]  </w:t>
      </w:r>
    </w:p>
    <w:p w14:paraId="79F0489E" w14:textId="77777777" w:rsidR="006E3B9E" w:rsidRPr="0043275F" w:rsidRDefault="006E3B9E" w:rsidP="006E3B9E">
      <w:pPr>
        <w:pStyle w:val="NormalWeb"/>
        <w:spacing w:before="0" w:beforeAutospacing="0" w:after="0" w:afterAutospacing="0"/>
        <w:ind w:firstLine="720"/>
        <w:jc w:val="both"/>
        <w:rPr>
          <w:rFonts w:ascii="Verdana" w:hAnsi="Verdana" w:cs="Arial"/>
          <w:color w:val="000000"/>
          <w:sz w:val="16"/>
          <w:szCs w:val="16"/>
        </w:rPr>
      </w:pPr>
      <w:bookmarkStart w:id="5" w:name="ver_30161420"/>
      <w:bookmarkStart w:id="6" w:name="ver_1790149"/>
      <w:bookmarkStart w:id="7" w:name="ver_30161408"/>
      <w:bookmarkStart w:id="8" w:name="ver_30161443"/>
      <w:bookmarkEnd w:id="4"/>
      <w:bookmarkEnd w:id="5"/>
      <w:bookmarkEnd w:id="6"/>
      <w:bookmarkEnd w:id="7"/>
      <w:bookmarkEnd w:id="8"/>
      <w:r w:rsidRPr="0043275F">
        <w:rPr>
          <w:rStyle w:val="Fuerte"/>
          <w:rFonts w:ascii="Verdana" w:hAnsi="Verdana" w:cs="Arial"/>
          <w:b w:val="0"/>
          <w:bCs w:val="0"/>
          <w:color w:val="000000"/>
          <w:sz w:val="16"/>
          <w:szCs w:val="16"/>
        </w:rPr>
        <w:t>Artículo 41. Del perfeccionamiento del contrato.</w:t>
      </w:r>
      <w:r w:rsidRPr="0043275F">
        <w:rPr>
          <w:rFonts w:ascii="Verdana" w:hAnsi="Verdana" w:cs="Arial"/>
          <w:color w:val="000000"/>
          <w:sz w:val="16"/>
          <w:szCs w:val="16"/>
        </w:rPr>
        <w:t> Los contratos del Estado se perfeccionan cuando se logre acuerdo sobre el objeto y la contraprestación y éste se eleve a escrito […]”.</w:t>
      </w:r>
    </w:p>
  </w:footnote>
  <w:footnote w:id="11">
    <w:p w14:paraId="121EE14B" w14:textId="77777777" w:rsidR="006E3B9E" w:rsidRPr="0043275F" w:rsidRDefault="006E3B9E" w:rsidP="006E3B9E">
      <w:pPr>
        <w:pStyle w:val="Textonotapie"/>
        <w:ind w:firstLine="709"/>
        <w:jc w:val="both"/>
        <w:rPr>
          <w:rFonts w:ascii="Verdana" w:hAnsi="Verdana" w:cs="Arial"/>
          <w:color w:val="000000"/>
          <w:sz w:val="16"/>
          <w:szCs w:val="16"/>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Ley 80 de 1993 “</w:t>
      </w:r>
      <w:r w:rsidRPr="0043275F">
        <w:rPr>
          <w:rStyle w:val="Fuerte"/>
          <w:rFonts w:ascii="Verdana" w:hAnsi="Verdana" w:cs="Arial"/>
          <w:b w:val="0"/>
          <w:bCs w:val="0"/>
          <w:color w:val="000000"/>
          <w:sz w:val="16"/>
          <w:szCs w:val="16"/>
        </w:rPr>
        <w:t>Artículo 77. De la normatividad aplicable en las actuaciones administrativas.</w:t>
      </w:r>
      <w:r w:rsidRPr="0043275F">
        <w:rPr>
          <w:rFonts w:ascii="Verdana" w:hAnsi="Verdana" w:cs="Arial"/>
          <w:color w:val="000000"/>
          <w:sz w:val="16"/>
          <w:szCs w:val="16"/>
        </w:rPr>
        <w:t> En cuanto sean compatibles con la finalidad y los principios de esta ley, las normas que rigen los procedimientos y actuaciones en la función administrativa, serán aplicables en las actuaciones contractuales. A falta de estas, regirán las disposiciones del Código de Procedimiento Civil […]”. </w:t>
      </w:r>
    </w:p>
  </w:footnote>
  <w:footnote w:id="12">
    <w:p w14:paraId="45B5B284" w14:textId="77777777" w:rsidR="006E3B9E" w:rsidRPr="0043275F" w:rsidRDefault="006E3B9E" w:rsidP="006E3B9E">
      <w:pPr>
        <w:pStyle w:val="NormalWeb"/>
        <w:spacing w:before="0" w:beforeAutospacing="0" w:after="0" w:afterAutospacing="0"/>
        <w:ind w:firstLine="709"/>
        <w:jc w:val="both"/>
        <w:rPr>
          <w:rFonts w:ascii="Verdana" w:hAnsi="Verdana" w:cs="Arial"/>
          <w:color w:val="000000"/>
          <w:sz w:val="16"/>
          <w:szCs w:val="16"/>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Ley 80 de 1993 “</w:t>
      </w:r>
      <w:r w:rsidRPr="0043275F">
        <w:rPr>
          <w:rStyle w:val="Fuerte"/>
          <w:rFonts w:ascii="Verdana" w:hAnsi="Verdana" w:cs="Arial"/>
          <w:b w:val="0"/>
          <w:bCs w:val="0"/>
          <w:color w:val="000000"/>
          <w:sz w:val="16"/>
          <w:szCs w:val="16"/>
        </w:rPr>
        <w:t>Artículo 25. Del principio de economía.</w:t>
      </w:r>
      <w:r w:rsidRPr="0043275F">
        <w:rPr>
          <w:rFonts w:ascii="Verdana" w:hAnsi="Verdana" w:cs="Arial"/>
          <w:color w:val="000000"/>
          <w:sz w:val="16"/>
          <w:szCs w:val="16"/>
        </w:rPr>
        <w:t> En virtud de este principio: </w:t>
      </w:r>
    </w:p>
    <w:p w14:paraId="668E5B9A" w14:textId="77777777" w:rsidR="006E3B9E" w:rsidRPr="0043275F" w:rsidRDefault="006E3B9E" w:rsidP="006E3B9E">
      <w:pPr>
        <w:pStyle w:val="NormalWeb"/>
        <w:spacing w:before="0" w:beforeAutospacing="0" w:after="0" w:afterAutospacing="0"/>
        <w:ind w:firstLine="709"/>
        <w:jc w:val="both"/>
        <w:rPr>
          <w:rFonts w:ascii="Verdana" w:hAnsi="Verdana" w:cs="Arial"/>
          <w:color w:val="000000"/>
          <w:sz w:val="16"/>
          <w:szCs w:val="16"/>
        </w:rPr>
      </w:pPr>
      <w:r w:rsidRPr="0043275F">
        <w:rPr>
          <w:rFonts w:ascii="Verdana" w:hAnsi="Verdana" w:cs="Arial"/>
          <w:color w:val="000000"/>
          <w:sz w:val="16"/>
          <w:szCs w:val="16"/>
        </w:rPr>
        <w:t>[…]</w:t>
      </w:r>
    </w:p>
    <w:p w14:paraId="7E5D0120" w14:textId="77777777" w:rsidR="006E3B9E" w:rsidRPr="0043275F" w:rsidRDefault="006E3B9E" w:rsidP="006E3B9E">
      <w:pPr>
        <w:pStyle w:val="NormalWeb"/>
        <w:spacing w:before="0" w:beforeAutospacing="0" w:after="0" w:afterAutospacing="0"/>
        <w:ind w:firstLine="709"/>
        <w:jc w:val="both"/>
        <w:rPr>
          <w:rFonts w:ascii="Verdana" w:hAnsi="Verdana" w:cs="Arial"/>
          <w:color w:val="000000"/>
          <w:sz w:val="16"/>
          <w:szCs w:val="16"/>
        </w:rPr>
      </w:pPr>
      <w:r w:rsidRPr="0043275F">
        <w:rPr>
          <w:rFonts w:ascii="Verdana" w:hAnsi="Verdana" w:cs="Arial"/>
          <w:color w:val="000000"/>
          <w:sz w:val="16"/>
          <w:szCs w:val="16"/>
        </w:rPr>
        <w:t>4o. Los trámites se adelantarán con austeridad de tiempo, medios y gastos y se impedirán las dilaciones y los retardos en la ejecución del contrato. </w:t>
      </w:r>
    </w:p>
    <w:p w14:paraId="51013531" w14:textId="77777777" w:rsidR="006E3B9E" w:rsidRPr="0043275F" w:rsidRDefault="006E3B9E" w:rsidP="006E3B9E">
      <w:pPr>
        <w:pStyle w:val="NormalWeb"/>
        <w:spacing w:before="0" w:beforeAutospacing="0" w:after="0" w:afterAutospacing="0"/>
        <w:jc w:val="both"/>
        <w:rPr>
          <w:rFonts w:ascii="Verdana" w:hAnsi="Verdana" w:cs="Arial"/>
          <w:color w:val="000000"/>
          <w:sz w:val="16"/>
          <w:szCs w:val="16"/>
        </w:rPr>
      </w:pPr>
      <w:r w:rsidRPr="0043275F">
        <w:rPr>
          <w:rFonts w:ascii="Verdana" w:hAnsi="Verdana" w:cs="Arial"/>
          <w:color w:val="000000"/>
          <w:sz w:val="16"/>
          <w:szCs w:val="16"/>
        </w:rPr>
        <w:t>  </w:t>
      </w:r>
      <w:r w:rsidRPr="0043275F">
        <w:rPr>
          <w:rFonts w:ascii="Verdana" w:hAnsi="Verdana" w:cs="Arial"/>
          <w:color w:val="000000"/>
          <w:sz w:val="16"/>
          <w:szCs w:val="16"/>
        </w:rPr>
        <w:tab/>
        <w:t>5o. Se adoptarán procedimientos que garanticen la pronta solución de las diferencias y controversias que con motivo de la celebración y ejecución del contrato se presenten […]”.</w:t>
      </w:r>
    </w:p>
  </w:footnote>
  <w:footnote w:id="13">
    <w:p w14:paraId="36626959" w14:textId="77777777" w:rsidR="006E3B9E" w:rsidRPr="0043275F" w:rsidRDefault="006E3B9E" w:rsidP="006E3B9E">
      <w:pPr>
        <w:pStyle w:val="Textonotapie"/>
        <w:ind w:firstLine="708"/>
        <w:jc w:val="both"/>
        <w:rPr>
          <w:rFonts w:ascii="Verdana" w:hAnsi="Verdana" w:cs="Arial"/>
          <w:color w:val="000000"/>
          <w:sz w:val="16"/>
          <w:szCs w:val="16"/>
          <w:lang w:val="es-ES"/>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COLOMBIA COMPRA EFICIENTE. Guía para la Liquidación de los Procesos de Contratación. página 5, disponible en: </w:t>
      </w:r>
      <w:hyperlink r:id="rId1" w:history="1">
        <w:r w:rsidRPr="0043275F">
          <w:rPr>
            <w:rStyle w:val="Hipervnculo"/>
            <w:rFonts w:ascii="Verdana" w:hAnsi="Verdana" w:cs="Arial"/>
            <w:sz w:val="16"/>
            <w:szCs w:val="16"/>
          </w:rPr>
          <w:t xml:space="preserve">https://www.colombiacompra.gov.co/sites/cce_public/files/cce_documents/cce_guia_liquidacion_procesos.pdf  </w:t>
        </w:r>
      </w:hyperlink>
    </w:p>
  </w:footnote>
  <w:footnote w:id="14">
    <w:p w14:paraId="78705F49" w14:textId="77777777" w:rsidR="006E3B9E" w:rsidRPr="0043275F" w:rsidRDefault="006E3B9E" w:rsidP="006E3B9E">
      <w:pPr>
        <w:pStyle w:val="Textonotapie"/>
        <w:ind w:firstLine="708"/>
        <w:jc w:val="both"/>
        <w:rPr>
          <w:rFonts w:ascii="Verdana" w:hAnsi="Verdana" w:cs="Arial"/>
          <w:color w:val="000000"/>
          <w:sz w:val="16"/>
          <w:szCs w:val="16"/>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Conviene recordar que es válida la liquidación bilateral parcial, debido a que las partes no logran ponerse de acuerdo en todos los asuntos referentes al contrato. En este evento, se debe hacer uso de las glosas o salvedades, y únicamente sobre tal glosa o salvedad girará el debate judicial que se da con ocasión de la demanda en ejercicio del medio de control de controversias contractuales.</w:t>
      </w:r>
    </w:p>
  </w:footnote>
  <w:footnote w:id="15">
    <w:p w14:paraId="0A045933" w14:textId="77777777" w:rsidR="006E3B9E" w:rsidRPr="0043275F" w:rsidRDefault="006E3B9E" w:rsidP="006E3B9E">
      <w:pPr>
        <w:pStyle w:val="Textonotapie"/>
        <w:ind w:firstLine="708"/>
        <w:jc w:val="both"/>
        <w:rPr>
          <w:rFonts w:ascii="Verdana" w:hAnsi="Verdana" w:cs="Arial"/>
          <w:color w:val="000000"/>
          <w:sz w:val="16"/>
          <w:szCs w:val="16"/>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CONSEJO DE ESTADO. Sala de Consulta y Servicio Civil. Concepto de 28 de Junio de 2016. Radicación: 2253. C.P. Álvaro Namén Vargas. </w:t>
      </w:r>
    </w:p>
  </w:footnote>
  <w:footnote w:id="16">
    <w:p w14:paraId="63DEBFBC" w14:textId="77777777" w:rsidR="006E3B9E" w:rsidRPr="0043275F" w:rsidRDefault="006E3B9E" w:rsidP="006E3B9E">
      <w:pPr>
        <w:pStyle w:val="Textonotapie"/>
        <w:ind w:firstLine="708"/>
        <w:jc w:val="both"/>
        <w:rPr>
          <w:rFonts w:ascii="Verdana" w:hAnsi="Verdana"/>
          <w:color w:val="000000"/>
          <w:sz w:val="16"/>
          <w:szCs w:val="16"/>
          <w:lang w:val="es-ES"/>
        </w:rPr>
      </w:pPr>
      <w:r w:rsidRPr="0043275F">
        <w:rPr>
          <w:rStyle w:val="Refdenotaalpie"/>
          <w:rFonts w:ascii="Verdana" w:hAnsi="Verdana" w:cs="Arial"/>
          <w:color w:val="000000"/>
          <w:sz w:val="16"/>
          <w:szCs w:val="16"/>
        </w:rPr>
        <w:footnoteRef/>
      </w:r>
      <w:r w:rsidRPr="0043275F">
        <w:rPr>
          <w:rFonts w:ascii="Verdana" w:hAnsi="Verdana" w:cs="Arial"/>
          <w:color w:val="000000"/>
          <w:sz w:val="16"/>
          <w:szCs w:val="16"/>
        </w:rPr>
        <w:t xml:space="preserve"> CONSEJO DE ESTADO. Sección Tercera. </w:t>
      </w:r>
      <w:r w:rsidRPr="0043275F">
        <w:rPr>
          <w:rFonts w:ascii="Verdana" w:hAnsi="Verdana" w:cs="Arial"/>
          <w:color w:val="000000"/>
          <w:sz w:val="16"/>
          <w:szCs w:val="16"/>
          <w:lang w:val="es-CO"/>
        </w:rPr>
        <w:t xml:space="preserve">Sala Plena. Auto del 1 de agosto de 2019. </w:t>
      </w:r>
      <w:r w:rsidRPr="0043275F">
        <w:rPr>
          <w:rFonts w:ascii="Verdana" w:hAnsi="Verdana" w:cs="Arial"/>
          <w:color w:val="000000"/>
          <w:sz w:val="16"/>
          <w:szCs w:val="16"/>
        </w:rPr>
        <w:t xml:space="preserve">Exp. </w:t>
      </w:r>
      <w:r w:rsidRPr="0042586F">
        <w:rPr>
          <w:rFonts w:ascii="Verdana" w:hAnsi="Verdana" w:cs="Arial"/>
          <w:color w:val="000000"/>
          <w:sz w:val="16"/>
          <w:szCs w:val="16"/>
        </w:rPr>
        <w:t xml:space="preserve">No. </w:t>
      </w:r>
      <w:r w:rsidRPr="0043275F">
        <w:rPr>
          <w:rFonts w:ascii="Verdana" w:hAnsi="Verdana" w:cs="Arial"/>
          <w:color w:val="000000"/>
          <w:sz w:val="16"/>
          <w:szCs w:val="16"/>
        </w:rPr>
        <w:t xml:space="preserve">62009. C.P. Jaime Enrique Rodríguez Navas. </w:t>
      </w:r>
      <w:r w:rsidRPr="0043275F">
        <w:rPr>
          <w:rFonts w:ascii="Verdana" w:hAnsi="Verdana"/>
          <w:color w:val="000000"/>
          <w:sz w:val="16"/>
          <w:szCs w:val="16"/>
          <w:lang w:val="es-ES"/>
        </w:rPr>
        <w:t xml:space="preserve"> </w:t>
      </w:r>
    </w:p>
  </w:footnote>
  <w:footnote w:id="17">
    <w:p w14:paraId="736E70B3" w14:textId="77777777" w:rsidR="006E3B9E" w:rsidRPr="0043275F" w:rsidRDefault="006E3B9E" w:rsidP="006E3B9E">
      <w:pPr>
        <w:pStyle w:val="Textonotapie"/>
        <w:ind w:firstLine="708"/>
        <w:jc w:val="both"/>
        <w:rPr>
          <w:rFonts w:ascii="Verdana" w:hAnsi="Verdana"/>
          <w:sz w:val="16"/>
          <w:szCs w:val="16"/>
        </w:rPr>
      </w:pPr>
      <w:r w:rsidRPr="0043275F">
        <w:rPr>
          <w:rStyle w:val="Refdenotaalpie"/>
          <w:rFonts w:ascii="Verdana" w:hAnsi="Verdana"/>
          <w:sz w:val="16"/>
          <w:szCs w:val="16"/>
        </w:rPr>
        <w:footnoteRef/>
      </w:r>
      <w:r w:rsidRPr="0043275F">
        <w:rPr>
          <w:rFonts w:ascii="Verdana" w:hAnsi="Verdana"/>
          <w:sz w:val="16"/>
          <w:szCs w:val="16"/>
        </w:rPr>
        <w:t xml:space="preserve"> </w:t>
      </w:r>
      <w:r w:rsidRPr="0042586F">
        <w:rPr>
          <w:rFonts w:ascii="Verdana" w:hAnsi="Verdana"/>
          <w:sz w:val="16"/>
          <w:szCs w:val="16"/>
        </w:rPr>
        <w:t>CONSEJO DE ESTADO.</w:t>
      </w:r>
      <w:r w:rsidRPr="0043275F">
        <w:rPr>
          <w:rFonts w:ascii="Verdana" w:hAnsi="Verdana"/>
          <w:sz w:val="16"/>
          <w:szCs w:val="16"/>
        </w:rPr>
        <w:t xml:space="preserve"> Sección Tercera. Subsección A. Sentencia del 12 de mayo de 2016. </w:t>
      </w:r>
      <w:r w:rsidRPr="0042586F">
        <w:rPr>
          <w:rFonts w:ascii="Verdana" w:hAnsi="Verdana"/>
          <w:sz w:val="16"/>
          <w:szCs w:val="16"/>
        </w:rPr>
        <w:t xml:space="preserve">Exp. No. </w:t>
      </w:r>
      <w:r w:rsidRPr="0043275F">
        <w:rPr>
          <w:rFonts w:ascii="Verdana" w:hAnsi="Verdana"/>
          <w:sz w:val="16"/>
          <w:szCs w:val="16"/>
        </w:rPr>
        <w:t>35056. C.P. Carlos Alberto Zambrano Barrera.</w:t>
      </w:r>
    </w:p>
  </w:footnote>
  <w:footnote w:id="18">
    <w:p w14:paraId="6EE68852" w14:textId="77777777" w:rsidR="006E3B9E" w:rsidRPr="0043275F" w:rsidRDefault="006E3B9E" w:rsidP="006E3B9E">
      <w:pPr>
        <w:pStyle w:val="Textonotapie"/>
        <w:ind w:firstLine="709"/>
        <w:jc w:val="both"/>
        <w:rPr>
          <w:rFonts w:ascii="Verdana" w:hAnsi="Verdana"/>
          <w:sz w:val="16"/>
          <w:szCs w:val="16"/>
          <w:lang w:val="es-CO"/>
        </w:rPr>
      </w:pPr>
      <w:r w:rsidRPr="0043275F">
        <w:rPr>
          <w:rStyle w:val="Refdenotaalpie"/>
          <w:rFonts w:ascii="Verdana" w:hAnsi="Verdana"/>
          <w:sz w:val="16"/>
          <w:szCs w:val="16"/>
        </w:rPr>
        <w:footnoteRef/>
      </w:r>
      <w:r w:rsidRPr="0043275F">
        <w:rPr>
          <w:rFonts w:ascii="Verdana" w:hAnsi="Verdana"/>
          <w:sz w:val="16"/>
          <w:szCs w:val="16"/>
        </w:rPr>
        <w:t xml:space="preserve"> </w:t>
      </w:r>
      <w:r w:rsidRPr="0042586F">
        <w:rPr>
          <w:rFonts w:ascii="Verdana" w:hAnsi="Verdana"/>
          <w:sz w:val="16"/>
          <w:szCs w:val="16"/>
        </w:rPr>
        <w:t>CONSEJO DE ESTADO.</w:t>
      </w:r>
      <w:r w:rsidRPr="0043275F">
        <w:rPr>
          <w:rFonts w:ascii="Verdana" w:hAnsi="Verdana"/>
          <w:sz w:val="16"/>
          <w:szCs w:val="16"/>
        </w:rPr>
        <w:t xml:space="preserve"> Sección Tercera. Subsección B. Sentencia del 22 de junio del 2000. </w:t>
      </w:r>
      <w:r w:rsidRPr="0042586F">
        <w:rPr>
          <w:rFonts w:ascii="Verdana" w:hAnsi="Verdana"/>
          <w:sz w:val="16"/>
          <w:szCs w:val="16"/>
        </w:rPr>
        <w:t xml:space="preserve">Exp. No. </w:t>
      </w:r>
      <w:r w:rsidRPr="0043275F">
        <w:rPr>
          <w:rFonts w:ascii="Verdana" w:hAnsi="Verdana"/>
          <w:sz w:val="16"/>
          <w:szCs w:val="16"/>
        </w:rPr>
        <w:t xml:space="preserve"> </w:t>
      </w:r>
      <w:r w:rsidRPr="0043275F">
        <w:rPr>
          <w:rFonts w:ascii="Verdana" w:hAnsi="Verdana"/>
          <w:sz w:val="16"/>
          <w:szCs w:val="16"/>
          <w:lang w:val="es-CO"/>
        </w:rPr>
        <w:t>252688</w:t>
      </w:r>
      <w:r w:rsidRPr="0043275F">
        <w:rPr>
          <w:rFonts w:ascii="Verdana" w:hAnsi="Verdana"/>
          <w:sz w:val="16"/>
          <w:szCs w:val="16"/>
        </w:rPr>
        <w:t>. C.P. María Elena Giraldo Gómez</w:t>
      </w:r>
    </w:p>
  </w:footnote>
  <w:footnote w:id="19">
    <w:p w14:paraId="1D08B763" w14:textId="77777777" w:rsidR="006E3B9E" w:rsidRPr="0043275F" w:rsidRDefault="006E3B9E" w:rsidP="006E3B9E">
      <w:pPr>
        <w:pStyle w:val="Textonotapie"/>
        <w:ind w:firstLine="709"/>
        <w:jc w:val="both"/>
        <w:rPr>
          <w:rFonts w:ascii="Verdana" w:hAnsi="Verdana"/>
          <w:sz w:val="16"/>
          <w:szCs w:val="16"/>
          <w:lang w:val="es-CO"/>
        </w:rPr>
      </w:pPr>
      <w:r w:rsidRPr="0043275F">
        <w:rPr>
          <w:rStyle w:val="Refdenotaalpie"/>
          <w:rFonts w:ascii="Verdana" w:hAnsi="Verdana"/>
          <w:sz w:val="16"/>
          <w:szCs w:val="16"/>
        </w:rPr>
        <w:footnoteRef/>
      </w:r>
      <w:r w:rsidRPr="0043275F">
        <w:rPr>
          <w:rFonts w:ascii="Verdana" w:hAnsi="Verdana"/>
          <w:sz w:val="16"/>
          <w:szCs w:val="16"/>
        </w:rPr>
        <w:t xml:space="preserve"> </w:t>
      </w:r>
      <w:r w:rsidRPr="0042586F">
        <w:rPr>
          <w:rFonts w:ascii="Verdana" w:hAnsi="Verdana"/>
          <w:sz w:val="16"/>
          <w:szCs w:val="16"/>
        </w:rPr>
        <w:t>CONSEJO DE ESTADO.</w:t>
      </w:r>
      <w:r w:rsidRPr="0043275F">
        <w:rPr>
          <w:rFonts w:ascii="Verdana" w:hAnsi="Verdana"/>
          <w:sz w:val="16"/>
          <w:szCs w:val="16"/>
        </w:rPr>
        <w:t xml:space="preserve"> </w:t>
      </w:r>
      <w:r>
        <w:rPr>
          <w:rFonts w:ascii="Verdana" w:hAnsi="Verdana"/>
          <w:sz w:val="16"/>
          <w:szCs w:val="16"/>
        </w:rPr>
        <w:t xml:space="preserve">Subsección C. </w:t>
      </w:r>
      <w:r w:rsidRPr="0043275F">
        <w:rPr>
          <w:rFonts w:ascii="Verdana" w:hAnsi="Verdana"/>
          <w:sz w:val="16"/>
          <w:szCs w:val="16"/>
        </w:rPr>
        <w:t xml:space="preserve">Sección Tercera de la Sala de lo Contencioso Administrativo. Sentencia del 21 de octubre de 2025. </w:t>
      </w:r>
      <w:r w:rsidRPr="0042586F">
        <w:rPr>
          <w:rFonts w:ascii="Verdana" w:hAnsi="Verdana"/>
          <w:sz w:val="16"/>
          <w:szCs w:val="16"/>
        </w:rPr>
        <w:t xml:space="preserve">Exp. No. </w:t>
      </w:r>
      <w:r w:rsidRPr="0043275F">
        <w:rPr>
          <w:rFonts w:ascii="Verdana" w:hAnsi="Verdana"/>
          <w:sz w:val="16"/>
          <w:szCs w:val="16"/>
        </w:rPr>
        <w:t>65636. MP: Adriana Polidura Castillo.</w:t>
      </w:r>
    </w:p>
  </w:footnote>
  <w:footnote w:id="20">
    <w:p w14:paraId="727025B5" w14:textId="77777777" w:rsidR="006E3B9E" w:rsidRPr="0043275F" w:rsidRDefault="006E3B9E" w:rsidP="006E3B9E">
      <w:pPr>
        <w:pStyle w:val="Textonotapie"/>
        <w:ind w:firstLine="708"/>
        <w:jc w:val="both"/>
        <w:rPr>
          <w:rFonts w:ascii="Verdana" w:hAnsi="Verdana"/>
          <w:sz w:val="16"/>
          <w:szCs w:val="16"/>
        </w:rPr>
      </w:pPr>
      <w:r w:rsidRPr="0043275F">
        <w:rPr>
          <w:rStyle w:val="Refdenotaalpie"/>
          <w:rFonts w:ascii="Verdana" w:hAnsi="Verdana"/>
          <w:sz w:val="16"/>
          <w:szCs w:val="16"/>
        </w:rPr>
        <w:footnoteRef/>
      </w:r>
      <w:r w:rsidRPr="0043275F">
        <w:rPr>
          <w:rFonts w:ascii="Verdana" w:hAnsi="Verdana"/>
          <w:sz w:val="16"/>
          <w:szCs w:val="16"/>
        </w:rPr>
        <w:t xml:space="preserve"> </w:t>
      </w:r>
      <w:r w:rsidRPr="0042586F">
        <w:rPr>
          <w:rFonts w:ascii="Verdana" w:hAnsi="Verdana"/>
          <w:sz w:val="16"/>
          <w:szCs w:val="16"/>
        </w:rPr>
        <w:t>CONSEJO DE ESTADO.</w:t>
      </w:r>
      <w:r w:rsidRPr="0043275F">
        <w:rPr>
          <w:rFonts w:ascii="Verdana" w:hAnsi="Verdana"/>
          <w:sz w:val="16"/>
          <w:szCs w:val="16"/>
        </w:rPr>
        <w:t xml:space="preserve"> Sección Tercera. Subsección B. Sentencia del 1° de junio de 2020. </w:t>
      </w:r>
      <w:r w:rsidRPr="0042586F">
        <w:rPr>
          <w:rFonts w:ascii="Verdana" w:hAnsi="Verdana"/>
          <w:sz w:val="16"/>
          <w:szCs w:val="16"/>
        </w:rPr>
        <w:t xml:space="preserve">Exp. No. </w:t>
      </w:r>
      <w:r w:rsidRPr="0043275F">
        <w:rPr>
          <w:rFonts w:ascii="Verdana" w:hAnsi="Verdana"/>
          <w:sz w:val="16"/>
          <w:szCs w:val="16"/>
        </w:rPr>
        <w:t>48522. C.P. Alberto Montaña Plata.</w:t>
      </w:r>
    </w:p>
  </w:footnote>
  <w:footnote w:id="21">
    <w:p w14:paraId="53637B4D" w14:textId="77777777" w:rsidR="006E3B9E" w:rsidRPr="00BD4D05" w:rsidRDefault="006E3B9E" w:rsidP="006E3B9E">
      <w:pPr>
        <w:pStyle w:val="Textonotapie"/>
        <w:ind w:firstLine="709"/>
        <w:jc w:val="both"/>
        <w:rPr>
          <w:rFonts w:ascii="Verdana" w:hAnsi="Verdana"/>
          <w:sz w:val="16"/>
          <w:szCs w:val="16"/>
          <w:lang w:val="es-CO"/>
        </w:rPr>
      </w:pPr>
      <w:r w:rsidRPr="00BD4D05">
        <w:rPr>
          <w:rStyle w:val="Refdenotaalpie"/>
          <w:rFonts w:ascii="Verdana" w:hAnsi="Verdana"/>
          <w:sz w:val="16"/>
          <w:szCs w:val="16"/>
        </w:rPr>
        <w:footnoteRef/>
      </w:r>
      <w:r w:rsidRPr="00BD4D05">
        <w:rPr>
          <w:rFonts w:ascii="Verdana" w:hAnsi="Verdana"/>
          <w:sz w:val="16"/>
          <w:szCs w:val="16"/>
        </w:rPr>
        <w:t xml:space="preserve"> </w:t>
      </w:r>
      <w:r w:rsidRPr="0042586F">
        <w:rPr>
          <w:rFonts w:ascii="Verdana" w:hAnsi="Verdana"/>
          <w:sz w:val="16"/>
          <w:szCs w:val="16"/>
        </w:rPr>
        <w:t>CONSEJO DE ESTADO.</w:t>
      </w:r>
      <w:r w:rsidRPr="0043275F">
        <w:rPr>
          <w:rFonts w:ascii="Verdana" w:hAnsi="Verdana"/>
          <w:sz w:val="16"/>
          <w:szCs w:val="16"/>
        </w:rPr>
        <w:t xml:space="preserve"> Sección Tercera. Subsección B. </w:t>
      </w:r>
      <w:r>
        <w:rPr>
          <w:rFonts w:ascii="Verdana" w:hAnsi="Verdana"/>
          <w:sz w:val="16"/>
          <w:szCs w:val="16"/>
        </w:rPr>
        <w:t>Auto</w:t>
      </w:r>
      <w:r w:rsidRPr="0043275F">
        <w:rPr>
          <w:rFonts w:ascii="Verdana" w:hAnsi="Verdana"/>
          <w:sz w:val="16"/>
          <w:szCs w:val="16"/>
        </w:rPr>
        <w:t xml:space="preserve"> del </w:t>
      </w:r>
      <w:r>
        <w:rPr>
          <w:rFonts w:ascii="Verdana" w:hAnsi="Verdana"/>
          <w:sz w:val="16"/>
          <w:szCs w:val="16"/>
        </w:rPr>
        <w:t>27 de febrero de 2026</w:t>
      </w:r>
      <w:r w:rsidRPr="0043275F">
        <w:rPr>
          <w:rFonts w:ascii="Verdana" w:hAnsi="Verdana"/>
          <w:sz w:val="16"/>
          <w:szCs w:val="16"/>
        </w:rPr>
        <w:t>. Rad.</w:t>
      </w:r>
      <w:r w:rsidRPr="00BD4D05">
        <w:rPr>
          <w:rFonts w:ascii="Verdana" w:hAnsi="Verdana"/>
          <w:sz w:val="16"/>
          <w:szCs w:val="16"/>
        </w:rPr>
        <w:t xml:space="preserve"> </w:t>
      </w:r>
      <w:r w:rsidRPr="00E03C70">
        <w:rPr>
          <w:rFonts w:ascii="Verdana" w:hAnsi="Verdana"/>
          <w:sz w:val="16"/>
          <w:szCs w:val="16"/>
        </w:rPr>
        <w:t>73035</w:t>
      </w:r>
      <w:r w:rsidRPr="0043275F">
        <w:rPr>
          <w:rFonts w:ascii="Verdana" w:hAnsi="Verdana"/>
          <w:sz w:val="16"/>
          <w:szCs w:val="16"/>
        </w:rPr>
        <w:t xml:space="preserve">. C.P. </w:t>
      </w:r>
      <w:r w:rsidRPr="00E03C70">
        <w:rPr>
          <w:rFonts w:ascii="Verdana" w:hAnsi="Verdana"/>
          <w:sz w:val="16"/>
          <w:szCs w:val="16"/>
        </w:rPr>
        <w:t>Diego Enrique Franco Victoria</w:t>
      </w:r>
      <w:r w:rsidRPr="0042586F">
        <w:rPr>
          <w:rFonts w:ascii="Verdana" w:hAnsi="Verdana"/>
          <w:sz w:val="16"/>
          <w:szCs w:val="16"/>
        </w:rPr>
        <w:t>.</w:t>
      </w:r>
      <w:r>
        <w:rPr>
          <w:rFonts w:ascii="Verdana" w:hAnsi="Verdana"/>
          <w:sz w:val="16"/>
          <w:szCs w:val="16"/>
        </w:rPr>
        <w:t xml:space="preserve"> </w:t>
      </w:r>
    </w:p>
  </w:footnote>
  <w:footnote w:id="22">
    <w:p w14:paraId="2A7E1E34" w14:textId="77777777" w:rsidR="006E3B9E" w:rsidRPr="00BD4D05" w:rsidRDefault="006E3B9E" w:rsidP="006E3B9E">
      <w:pPr>
        <w:pStyle w:val="Textonotapie"/>
        <w:ind w:firstLine="709"/>
        <w:jc w:val="both"/>
        <w:rPr>
          <w:rFonts w:ascii="Verdana" w:hAnsi="Verdana"/>
          <w:sz w:val="16"/>
          <w:szCs w:val="16"/>
          <w:lang w:val="es-CO"/>
        </w:rPr>
      </w:pPr>
      <w:r w:rsidRPr="00BD4D05">
        <w:rPr>
          <w:rStyle w:val="Refdenotaalpie"/>
          <w:rFonts w:ascii="Verdana" w:hAnsi="Verdana"/>
          <w:sz w:val="16"/>
          <w:szCs w:val="16"/>
        </w:rPr>
        <w:footnoteRef/>
      </w:r>
      <w:r w:rsidRPr="00BD4D05">
        <w:rPr>
          <w:rFonts w:ascii="Verdana" w:hAnsi="Verdana"/>
          <w:sz w:val="16"/>
          <w:szCs w:val="16"/>
        </w:rPr>
        <w:t xml:space="preserve"> </w:t>
      </w:r>
      <w:r w:rsidRPr="0042586F">
        <w:rPr>
          <w:rFonts w:ascii="Verdana" w:hAnsi="Verdana"/>
          <w:sz w:val="16"/>
          <w:szCs w:val="16"/>
        </w:rPr>
        <w:t>CONSEJO DE ESTADO.</w:t>
      </w:r>
      <w:r w:rsidRPr="00476EC8">
        <w:rPr>
          <w:rFonts w:ascii="Verdana" w:hAnsi="Verdana"/>
          <w:sz w:val="16"/>
          <w:szCs w:val="16"/>
        </w:rPr>
        <w:t xml:space="preserve"> Sección Tercera</w:t>
      </w:r>
      <w:r w:rsidRPr="0042586F">
        <w:rPr>
          <w:rFonts w:ascii="Verdana" w:hAnsi="Verdana"/>
          <w:sz w:val="16"/>
          <w:szCs w:val="16"/>
        </w:rPr>
        <w:t xml:space="preserve">. </w:t>
      </w:r>
      <w:r w:rsidRPr="00476EC8">
        <w:rPr>
          <w:rFonts w:ascii="Verdana" w:hAnsi="Verdana"/>
          <w:sz w:val="16"/>
          <w:szCs w:val="16"/>
        </w:rPr>
        <w:t>Sentencia del 24 de octubre de 2025. Radicación 65062. MP: María Adriana Marín.</w:t>
      </w:r>
    </w:p>
  </w:footnote>
  <w:footnote w:id="23">
    <w:p w14:paraId="43597394" w14:textId="77777777" w:rsidR="006E3B9E" w:rsidRPr="00BD4D05" w:rsidRDefault="006E3B9E" w:rsidP="006E3B9E">
      <w:pPr>
        <w:pStyle w:val="Textonotapie"/>
        <w:ind w:firstLine="708"/>
        <w:jc w:val="both"/>
        <w:rPr>
          <w:rFonts w:ascii="Verdana" w:hAnsi="Verdana"/>
          <w:sz w:val="16"/>
          <w:szCs w:val="16"/>
        </w:rPr>
      </w:pPr>
      <w:r w:rsidRPr="00BD4D05">
        <w:rPr>
          <w:rStyle w:val="Refdenotaalpie"/>
          <w:rFonts w:ascii="Verdana" w:hAnsi="Verdana"/>
          <w:sz w:val="16"/>
          <w:szCs w:val="16"/>
        </w:rPr>
        <w:footnoteRef/>
      </w:r>
      <w:r w:rsidRPr="00BD4D05">
        <w:rPr>
          <w:rFonts w:ascii="Verdana" w:hAnsi="Verdana"/>
          <w:sz w:val="16"/>
          <w:szCs w:val="16"/>
        </w:rPr>
        <w:t xml:space="preserve"> </w:t>
      </w:r>
      <w:r w:rsidRPr="00BD4D05">
        <w:rPr>
          <w:rFonts w:ascii="Verdana" w:hAnsi="Verdana"/>
          <w:sz w:val="16"/>
          <w:szCs w:val="16"/>
          <w:lang w:val="es-CO"/>
        </w:rPr>
        <w:t>Decreto 111 de 1996</w:t>
      </w:r>
      <w:r>
        <w:rPr>
          <w:rFonts w:ascii="Verdana" w:hAnsi="Verdana"/>
          <w:sz w:val="16"/>
          <w:szCs w:val="16"/>
          <w:lang w:val="es-CO"/>
        </w:rPr>
        <w:t>.</w:t>
      </w:r>
      <w:r w:rsidRPr="00BD4D05">
        <w:rPr>
          <w:rFonts w:ascii="Verdana" w:hAnsi="Verdana"/>
          <w:sz w:val="16"/>
          <w:szCs w:val="16"/>
          <w:lang w:val="es-CO"/>
        </w:rPr>
        <w:t>Estatuto Orgánico del Presupuesto</w:t>
      </w:r>
      <w:r>
        <w:rPr>
          <w:rFonts w:ascii="Verdana" w:hAnsi="Verdana"/>
          <w:sz w:val="16"/>
          <w:szCs w:val="16"/>
          <w:lang w:val="es-CO"/>
        </w:rPr>
        <w:t>.</w:t>
      </w:r>
      <w:r w:rsidRPr="00BD4D05">
        <w:rPr>
          <w:rFonts w:ascii="Verdana" w:hAnsi="Verdana"/>
          <w:sz w:val="16"/>
          <w:szCs w:val="16"/>
          <w:lang w:val="es-CO"/>
        </w:rPr>
        <w:t xml:space="preserve"> </w:t>
      </w:r>
      <w:r>
        <w:rPr>
          <w:rFonts w:ascii="Verdana" w:hAnsi="Verdana"/>
          <w:sz w:val="16"/>
          <w:szCs w:val="16"/>
          <w:lang w:val="es-CO"/>
        </w:rPr>
        <w:t>A</w:t>
      </w:r>
      <w:r w:rsidRPr="00BD4D05">
        <w:rPr>
          <w:rFonts w:ascii="Verdana" w:hAnsi="Verdana"/>
          <w:sz w:val="16"/>
          <w:szCs w:val="16"/>
          <w:lang w:val="es-CO"/>
        </w:rPr>
        <w:t xml:space="preserve">rtículos 71 </w:t>
      </w:r>
      <w:r>
        <w:rPr>
          <w:rFonts w:ascii="Verdana" w:hAnsi="Verdana"/>
          <w:sz w:val="16"/>
          <w:szCs w:val="16"/>
          <w:lang w:val="es-CO"/>
        </w:rPr>
        <w:t>–</w:t>
      </w:r>
      <w:r w:rsidRPr="00BD4D05">
        <w:rPr>
          <w:rFonts w:ascii="Verdana" w:hAnsi="Verdana"/>
          <w:sz w:val="16"/>
          <w:szCs w:val="16"/>
          <w:lang w:val="es-CO"/>
        </w:rPr>
        <w:t>afectación del presupuesto: certificado de disponibilidad y registro presupuestal</w:t>
      </w:r>
      <w:r>
        <w:rPr>
          <w:rFonts w:ascii="Verdana" w:hAnsi="Verdana"/>
          <w:sz w:val="16"/>
          <w:szCs w:val="16"/>
          <w:lang w:val="es-CO"/>
        </w:rPr>
        <w:t>–</w:t>
      </w:r>
      <w:r w:rsidRPr="00BD4D05">
        <w:rPr>
          <w:rFonts w:ascii="Verdana" w:hAnsi="Verdana"/>
          <w:sz w:val="16"/>
          <w:szCs w:val="16"/>
          <w:lang w:val="es-CO"/>
        </w:rPr>
        <w:t xml:space="preserve"> </w:t>
      </w:r>
      <w:r>
        <w:rPr>
          <w:rFonts w:ascii="Verdana" w:hAnsi="Verdana"/>
          <w:sz w:val="16"/>
          <w:szCs w:val="16"/>
          <w:lang w:val="es-CO"/>
        </w:rPr>
        <w:t>,</w:t>
      </w:r>
      <w:r w:rsidRPr="00BD4D05">
        <w:rPr>
          <w:rFonts w:ascii="Verdana" w:hAnsi="Verdana"/>
          <w:sz w:val="16"/>
          <w:szCs w:val="16"/>
          <w:lang w:val="es-CO"/>
        </w:rPr>
        <w:t xml:space="preserve"> 89 </w:t>
      </w:r>
      <w:r>
        <w:rPr>
          <w:rFonts w:ascii="Verdana" w:hAnsi="Verdana"/>
          <w:sz w:val="16"/>
          <w:szCs w:val="16"/>
          <w:lang w:val="es-CO"/>
        </w:rPr>
        <w:t>–</w:t>
      </w:r>
      <w:r w:rsidRPr="00BD4D05">
        <w:rPr>
          <w:rFonts w:ascii="Verdana" w:hAnsi="Verdana"/>
          <w:sz w:val="16"/>
          <w:szCs w:val="16"/>
          <w:lang w:val="es-CO"/>
        </w:rPr>
        <w:t>reservas presupuestales y cuentas por pagar</w:t>
      </w:r>
      <w:r>
        <w:rPr>
          <w:rFonts w:ascii="Verdana" w:hAnsi="Verdana"/>
          <w:sz w:val="16"/>
          <w:szCs w:val="16"/>
          <w:lang w:val="es-CO"/>
        </w:rPr>
        <w:t xml:space="preserve">–, entre otros. </w:t>
      </w:r>
      <w:r w:rsidRPr="00BD4D05">
        <w:rPr>
          <w:rFonts w:ascii="Verdana" w:hAnsi="Verdana"/>
          <w:sz w:val="16"/>
          <w:szCs w:val="16"/>
        </w:rPr>
        <w:t xml:space="preserve"> </w:t>
      </w:r>
    </w:p>
  </w:footnote>
  <w:footnote w:id="24">
    <w:p w14:paraId="59B3C191" w14:textId="77777777" w:rsidR="006E3B9E" w:rsidRDefault="006E3B9E" w:rsidP="006E3B9E">
      <w:pPr>
        <w:pStyle w:val="Textonotapie"/>
        <w:snapToGrid w:val="0"/>
        <w:ind w:firstLine="709"/>
        <w:jc w:val="both"/>
        <w:rPr>
          <w:rFonts w:ascii="Verdana" w:hAnsi="Verdana" w:cs="Open Sans"/>
          <w:color w:val="000000" w:themeColor="text1"/>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color w:val="000000" w:themeColor="text1"/>
          <w:sz w:val="16"/>
          <w:szCs w:val="16"/>
        </w:rPr>
        <w:t xml:space="preserve">El </w:t>
      </w:r>
      <w:r>
        <w:rPr>
          <w:rFonts w:ascii="Verdana" w:eastAsia="Times New Roman" w:hAnsi="Verdana" w:cs="Arial"/>
          <w:color w:val="000000" w:themeColor="text1"/>
          <w:sz w:val="16"/>
          <w:szCs w:val="16"/>
          <w:lang w:val="es-ES" w:eastAsia="es-ES_tradnl"/>
        </w:rPr>
        <w:t xml:space="preserve">numeral 6° del artículo 25 de la Ley 80 de 1993 dispone que: </w:t>
      </w:r>
      <w:r>
        <w:rPr>
          <w:rFonts w:ascii="Verdana" w:hAnsi="Verdana" w:cs="Open Sans"/>
          <w:color w:val="000000" w:themeColor="text1"/>
          <w:sz w:val="16"/>
          <w:szCs w:val="16"/>
        </w:rPr>
        <w:t>Las entidades estatales abrirán licitaciones e iniciarán procesos de suscripción de contratos, cuando existan las respectivas partidas o disponibilidades presupuestales.</w:t>
      </w:r>
    </w:p>
    <w:p w14:paraId="6015B87B" w14:textId="77777777" w:rsidR="006E3B9E" w:rsidRDefault="006E3B9E" w:rsidP="006E3B9E">
      <w:pPr>
        <w:pStyle w:val="Textonotapie"/>
        <w:snapToGrid w:val="0"/>
        <w:ind w:firstLine="709"/>
        <w:jc w:val="both"/>
        <w:rPr>
          <w:rFonts w:ascii="Verdana" w:hAnsi="Verdana"/>
          <w:color w:val="000000" w:themeColor="text1"/>
          <w:sz w:val="16"/>
          <w:szCs w:val="16"/>
          <w:lang w:val="es-CO"/>
        </w:rPr>
      </w:pPr>
    </w:p>
  </w:footnote>
  <w:footnote w:id="25">
    <w:p w14:paraId="3C533A99" w14:textId="77777777" w:rsidR="006E3B9E" w:rsidRDefault="006E3B9E" w:rsidP="006E3B9E">
      <w:pPr>
        <w:pStyle w:val="Textonotapie"/>
        <w:snapToGrid w:val="0"/>
        <w:ind w:firstLine="709"/>
        <w:jc w:val="both"/>
        <w:rPr>
          <w:rFonts w:ascii="Verdana" w:hAnsi="Verdana" w:cs="Arial"/>
          <w:color w:val="000000" w:themeColor="text1"/>
          <w:sz w:val="16"/>
          <w:szCs w:val="16"/>
          <w:lang w:val="es-CO" w:eastAsia="es-ES_tradnl"/>
        </w:rPr>
      </w:pPr>
      <w:r>
        <w:rPr>
          <w:rStyle w:val="Refdenotaalpie"/>
          <w:rFonts w:ascii="Verdana" w:hAnsi="Verdana"/>
          <w:color w:val="000000" w:themeColor="text1"/>
          <w:sz w:val="16"/>
          <w:szCs w:val="16"/>
        </w:rPr>
        <w:footnoteRef/>
      </w:r>
      <w:r>
        <w:rPr>
          <w:rFonts w:ascii="Verdana" w:hAnsi="Verdana"/>
          <w:color w:val="000000" w:themeColor="text1"/>
          <w:sz w:val="16"/>
          <w:szCs w:val="16"/>
        </w:rPr>
        <w:t xml:space="preserve"> El </w:t>
      </w:r>
      <w:r>
        <w:rPr>
          <w:rFonts w:ascii="Verdana" w:eastAsia="Times New Roman" w:hAnsi="Verdana" w:cs="Arial"/>
          <w:color w:val="000000" w:themeColor="text1"/>
          <w:sz w:val="16"/>
          <w:szCs w:val="16"/>
          <w:lang w:val="es-ES" w:eastAsia="es-ES_tradnl"/>
        </w:rPr>
        <w:t>artículo 71 del Decreto 111 de 1996 –Estatuto Orgánico del Presupuesto- establece que: “</w:t>
      </w:r>
      <w:r>
        <w:rPr>
          <w:rFonts w:ascii="Verdana" w:hAnsi="Verdana" w:cs="Arial"/>
          <w:color w:val="000000" w:themeColor="text1"/>
          <w:sz w:val="16"/>
          <w:szCs w:val="16"/>
          <w:lang w:val="es-CO" w:eastAsia="es-ES_tradnl"/>
        </w:rPr>
        <w:t>Todos los actos administrativos que afecten las apropiaciones presupuestales deberán contar con certificados de disponibilidad previos que garanticen la existencia de apropiación suficiente para atender estos gastos.</w:t>
      </w:r>
    </w:p>
    <w:p w14:paraId="5FFBD958" w14:textId="77777777" w:rsidR="006E3B9E" w:rsidRDefault="006E3B9E" w:rsidP="006E3B9E">
      <w:pPr>
        <w:pStyle w:val="Textonotapie"/>
        <w:snapToGrid w:val="0"/>
        <w:ind w:firstLine="709"/>
        <w:jc w:val="both"/>
        <w:rPr>
          <w:rFonts w:ascii="Verdana" w:eastAsia="Times New Roman" w:hAnsi="Verdana" w:cs="Arial"/>
          <w:color w:val="1A1A1A" w:themeColor="background1" w:themeShade="1A"/>
          <w:sz w:val="16"/>
          <w:szCs w:val="16"/>
          <w:lang w:val="es-CO" w:eastAsia="es-ES_tradnl"/>
        </w:rPr>
      </w:pPr>
      <w:r>
        <w:rPr>
          <w:rFonts w:ascii="Verdana" w:eastAsia="Times New Roman" w:hAnsi="Verdana" w:cs="Arial"/>
          <w:color w:val="000000" w:themeColor="text1"/>
          <w:sz w:val="16"/>
          <w:szCs w:val="16"/>
          <w:lang w:val="es-CO" w:eastAsia="es-ES_tradnl"/>
        </w:rPr>
        <w:t xml:space="preserve">Igualmente, estos compromisos deberán contar con registro presupuestal para que los recursos con él financiados no sean desviados a ningún otro fin </w:t>
      </w:r>
      <w:r>
        <w:rPr>
          <w:rFonts w:ascii="Verdana" w:eastAsia="Times New Roman" w:hAnsi="Verdana" w:cs="Arial"/>
          <w:color w:val="000000" w:themeColor="text1"/>
          <w:sz w:val="16"/>
          <w:szCs w:val="16"/>
          <w:lang w:val="es-ES" w:eastAsia="es-ES_tradnl"/>
        </w:rPr>
        <w:t>[…]</w:t>
      </w:r>
      <w:r>
        <w:rPr>
          <w:rFonts w:ascii="Verdana" w:eastAsia="Times New Roman" w:hAnsi="Verdana" w:cs="Arial"/>
          <w:color w:val="000000" w:themeColor="text1"/>
          <w:sz w:val="16"/>
          <w:szCs w:val="16"/>
          <w:lang w:val="es-CO" w:eastAsia="es-ES_tradnl"/>
        </w:rPr>
        <w:t>”</w:t>
      </w:r>
      <w:r>
        <w:rPr>
          <w:rFonts w:ascii="Verdana" w:eastAsia="Times New Roman" w:hAnsi="Verdana" w:cs="Arial"/>
          <w:color w:val="1A1A1A" w:themeColor="background1" w:themeShade="1A"/>
          <w:sz w:val="16"/>
          <w:szCs w:val="16"/>
          <w:lang w:val="es-CO" w:eastAsia="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7329"/>
    <w:rsid w:val="00010FFE"/>
    <w:rsid w:val="00015C39"/>
    <w:rsid w:val="00016F78"/>
    <w:rsid w:val="0002364E"/>
    <w:rsid w:val="00034952"/>
    <w:rsid w:val="0004255C"/>
    <w:rsid w:val="00046945"/>
    <w:rsid w:val="000477CA"/>
    <w:rsid w:val="0005002C"/>
    <w:rsid w:val="00057657"/>
    <w:rsid w:val="00061B2A"/>
    <w:rsid w:val="000734D7"/>
    <w:rsid w:val="0007500D"/>
    <w:rsid w:val="00075A01"/>
    <w:rsid w:val="000767F1"/>
    <w:rsid w:val="000813FE"/>
    <w:rsid w:val="00082362"/>
    <w:rsid w:val="00082E08"/>
    <w:rsid w:val="00082E1F"/>
    <w:rsid w:val="00096031"/>
    <w:rsid w:val="000960AD"/>
    <w:rsid w:val="000A3EBB"/>
    <w:rsid w:val="000A683E"/>
    <w:rsid w:val="000B01D4"/>
    <w:rsid w:val="000B19B9"/>
    <w:rsid w:val="000B374C"/>
    <w:rsid w:val="000B38DC"/>
    <w:rsid w:val="000C1DA7"/>
    <w:rsid w:val="000C6700"/>
    <w:rsid w:val="000D0334"/>
    <w:rsid w:val="000D5DA7"/>
    <w:rsid w:val="000D726F"/>
    <w:rsid w:val="000E0698"/>
    <w:rsid w:val="000E326E"/>
    <w:rsid w:val="000E5ACB"/>
    <w:rsid w:val="000F27DC"/>
    <w:rsid w:val="000F618C"/>
    <w:rsid w:val="000F6486"/>
    <w:rsid w:val="000F6EB1"/>
    <w:rsid w:val="00111F22"/>
    <w:rsid w:val="00112066"/>
    <w:rsid w:val="001141E0"/>
    <w:rsid w:val="00116940"/>
    <w:rsid w:val="0012034E"/>
    <w:rsid w:val="00124722"/>
    <w:rsid w:val="00125105"/>
    <w:rsid w:val="00126E07"/>
    <w:rsid w:val="00127233"/>
    <w:rsid w:val="001414E6"/>
    <w:rsid w:val="00147C13"/>
    <w:rsid w:val="0015699B"/>
    <w:rsid w:val="001749FB"/>
    <w:rsid w:val="00174A7B"/>
    <w:rsid w:val="00175FAD"/>
    <w:rsid w:val="001764F0"/>
    <w:rsid w:val="001828EF"/>
    <w:rsid w:val="001A0F70"/>
    <w:rsid w:val="001A33BF"/>
    <w:rsid w:val="001A5F09"/>
    <w:rsid w:val="001B13CB"/>
    <w:rsid w:val="001C32B5"/>
    <w:rsid w:val="001C7169"/>
    <w:rsid w:val="001C7C9D"/>
    <w:rsid w:val="001D62EB"/>
    <w:rsid w:val="001E4177"/>
    <w:rsid w:val="001E43CE"/>
    <w:rsid w:val="001E5959"/>
    <w:rsid w:val="001F0B24"/>
    <w:rsid w:val="001F27A8"/>
    <w:rsid w:val="001F3EB7"/>
    <w:rsid w:val="001F6059"/>
    <w:rsid w:val="001F60D6"/>
    <w:rsid w:val="001F7DC6"/>
    <w:rsid w:val="00202E11"/>
    <w:rsid w:val="002052C1"/>
    <w:rsid w:val="002068CF"/>
    <w:rsid w:val="002157E3"/>
    <w:rsid w:val="0022073D"/>
    <w:rsid w:val="00220D9C"/>
    <w:rsid w:val="00221E39"/>
    <w:rsid w:val="0022400B"/>
    <w:rsid w:val="00227029"/>
    <w:rsid w:val="002379E2"/>
    <w:rsid w:val="002421BB"/>
    <w:rsid w:val="0024622F"/>
    <w:rsid w:val="0025796E"/>
    <w:rsid w:val="00263AFC"/>
    <w:rsid w:val="00266D47"/>
    <w:rsid w:val="002707A2"/>
    <w:rsid w:val="00274709"/>
    <w:rsid w:val="00284BC9"/>
    <w:rsid w:val="0029408E"/>
    <w:rsid w:val="002951A0"/>
    <w:rsid w:val="002962BC"/>
    <w:rsid w:val="002A093D"/>
    <w:rsid w:val="002A0DD0"/>
    <w:rsid w:val="002A14BA"/>
    <w:rsid w:val="002A49AC"/>
    <w:rsid w:val="002A64FD"/>
    <w:rsid w:val="002C1411"/>
    <w:rsid w:val="002C1778"/>
    <w:rsid w:val="002C29F7"/>
    <w:rsid w:val="002C7A84"/>
    <w:rsid w:val="002D6569"/>
    <w:rsid w:val="002E0F0A"/>
    <w:rsid w:val="002E2BF8"/>
    <w:rsid w:val="002E4FD9"/>
    <w:rsid w:val="002F0F28"/>
    <w:rsid w:val="002F5765"/>
    <w:rsid w:val="002F5EDA"/>
    <w:rsid w:val="0030657A"/>
    <w:rsid w:val="003159C9"/>
    <w:rsid w:val="00316C96"/>
    <w:rsid w:val="00322A85"/>
    <w:rsid w:val="00323F7C"/>
    <w:rsid w:val="00324168"/>
    <w:rsid w:val="00330834"/>
    <w:rsid w:val="003422DB"/>
    <w:rsid w:val="003448F4"/>
    <w:rsid w:val="00344977"/>
    <w:rsid w:val="00346A72"/>
    <w:rsid w:val="003540B5"/>
    <w:rsid w:val="003671BD"/>
    <w:rsid w:val="00374F5E"/>
    <w:rsid w:val="00376889"/>
    <w:rsid w:val="00376F11"/>
    <w:rsid w:val="00377E3E"/>
    <w:rsid w:val="00382815"/>
    <w:rsid w:val="003909D2"/>
    <w:rsid w:val="00390DCE"/>
    <w:rsid w:val="003979DA"/>
    <w:rsid w:val="003A3775"/>
    <w:rsid w:val="003A779E"/>
    <w:rsid w:val="003B638B"/>
    <w:rsid w:val="003C4B60"/>
    <w:rsid w:val="003C4D24"/>
    <w:rsid w:val="003D0112"/>
    <w:rsid w:val="003D0F4D"/>
    <w:rsid w:val="003D4F2C"/>
    <w:rsid w:val="003D5B0D"/>
    <w:rsid w:val="003E0499"/>
    <w:rsid w:val="003E4F80"/>
    <w:rsid w:val="003E6439"/>
    <w:rsid w:val="003F08D3"/>
    <w:rsid w:val="003F3941"/>
    <w:rsid w:val="003F447F"/>
    <w:rsid w:val="00406575"/>
    <w:rsid w:val="00406DA8"/>
    <w:rsid w:val="00414AD4"/>
    <w:rsid w:val="00414C74"/>
    <w:rsid w:val="00421464"/>
    <w:rsid w:val="00421F16"/>
    <w:rsid w:val="0042722E"/>
    <w:rsid w:val="0043275F"/>
    <w:rsid w:val="00434C0A"/>
    <w:rsid w:val="00436BEC"/>
    <w:rsid w:val="004379CE"/>
    <w:rsid w:val="00441B18"/>
    <w:rsid w:val="0044237E"/>
    <w:rsid w:val="0044528D"/>
    <w:rsid w:val="00450268"/>
    <w:rsid w:val="00457625"/>
    <w:rsid w:val="00464F7F"/>
    <w:rsid w:val="0046616B"/>
    <w:rsid w:val="00466E39"/>
    <w:rsid w:val="00473C76"/>
    <w:rsid w:val="00476EC8"/>
    <w:rsid w:val="0047708A"/>
    <w:rsid w:val="00481AC9"/>
    <w:rsid w:val="00491DA5"/>
    <w:rsid w:val="00492AF9"/>
    <w:rsid w:val="004A1847"/>
    <w:rsid w:val="004A1DB9"/>
    <w:rsid w:val="004A305D"/>
    <w:rsid w:val="004C31B9"/>
    <w:rsid w:val="004C64BE"/>
    <w:rsid w:val="004C7277"/>
    <w:rsid w:val="004C7BFE"/>
    <w:rsid w:val="004D3BA4"/>
    <w:rsid w:val="004D6B27"/>
    <w:rsid w:val="004F06AF"/>
    <w:rsid w:val="004F21C4"/>
    <w:rsid w:val="004F3BFC"/>
    <w:rsid w:val="004F685F"/>
    <w:rsid w:val="004F6A62"/>
    <w:rsid w:val="00501ECE"/>
    <w:rsid w:val="00503D43"/>
    <w:rsid w:val="005218FA"/>
    <w:rsid w:val="0052315C"/>
    <w:rsid w:val="00541B48"/>
    <w:rsid w:val="00546132"/>
    <w:rsid w:val="005466D0"/>
    <w:rsid w:val="005566E8"/>
    <w:rsid w:val="00565D80"/>
    <w:rsid w:val="00565FB8"/>
    <w:rsid w:val="0057220D"/>
    <w:rsid w:val="00573262"/>
    <w:rsid w:val="005743EC"/>
    <w:rsid w:val="00574867"/>
    <w:rsid w:val="00583D22"/>
    <w:rsid w:val="00587A92"/>
    <w:rsid w:val="00591460"/>
    <w:rsid w:val="005928F8"/>
    <w:rsid w:val="0059658A"/>
    <w:rsid w:val="005A043C"/>
    <w:rsid w:val="005A65E0"/>
    <w:rsid w:val="005C3777"/>
    <w:rsid w:val="005C50B0"/>
    <w:rsid w:val="005C5CDC"/>
    <w:rsid w:val="005D476C"/>
    <w:rsid w:val="005D5D81"/>
    <w:rsid w:val="005E2551"/>
    <w:rsid w:val="005E703D"/>
    <w:rsid w:val="005F4C2A"/>
    <w:rsid w:val="006023FF"/>
    <w:rsid w:val="00615D01"/>
    <w:rsid w:val="006172DF"/>
    <w:rsid w:val="0061731E"/>
    <w:rsid w:val="006200BF"/>
    <w:rsid w:val="006219F8"/>
    <w:rsid w:val="006302F7"/>
    <w:rsid w:val="006431E2"/>
    <w:rsid w:val="00646306"/>
    <w:rsid w:val="00646B9F"/>
    <w:rsid w:val="00647CCB"/>
    <w:rsid w:val="00647FA5"/>
    <w:rsid w:val="00662733"/>
    <w:rsid w:val="0066332B"/>
    <w:rsid w:val="00664852"/>
    <w:rsid w:val="00665D70"/>
    <w:rsid w:val="00666A39"/>
    <w:rsid w:val="00671CDE"/>
    <w:rsid w:val="00683414"/>
    <w:rsid w:val="00683F0B"/>
    <w:rsid w:val="006900D9"/>
    <w:rsid w:val="006B376C"/>
    <w:rsid w:val="006B4435"/>
    <w:rsid w:val="006B4F3B"/>
    <w:rsid w:val="006B7305"/>
    <w:rsid w:val="006B7DF9"/>
    <w:rsid w:val="006C10A3"/>
    <w:rsid w:val="006C6964"/>
    <w:rsid w:val="006D2088"/>
    <w:rsid w:val="006D3CE2"/>
    <w:rsid w:val="006D62E1"/>
    <w:rsid w:val="006E3B9E"/>
    <w:rsid w:val="00703E49"/>
    <w:rsid w:val="00706C16"/>
    <w:rsid w:val="0073093B"/>
    <w:rsid w:val="007340C3"/>
    <w:rsid w:val="00735127"/>
    <w:rsid w:val="00743381"/>
    <w:rsid w:val="0074711B"/>
    <w:rsid w:val="00751869"/>
    <w:rsid w:val="0075235A"/>
    <w:rsid w:val="00756841"/>
    <w:rsid w:val="007649AB"/>
    <w:rsid w:val="00770AF9"/>
    <w:rsid w:val="00771D0C"/>
    <w:rsid w:val="007833AC"/>
    <w:rsid w:val="007A31A7"/>
    <w:rsid w:val="007A361B"/>
    <w:rsid w:val="007B268C"/>
    <w:rsid w:val="007B7171"/>
    <w:rsid w:val="007B7EBF"/>
    <w:rsid w:val="007C03BD"/>
    <w:rsid w:val="007C0C0F"/>
    <w:rsid w:val="007C1BA5"/>
    <w:rsid w:val="007C3DC2"/>
    <w:rsid w:val="007C5179"/>
    <w:rsid w:val="007D350D"/>
    <w:rsid w:val="007D623D"/>
    <w:rsid w:val="007E2348"/>
    <w:rsid w:val="007E5497"/>
    <w:rsid w:val="007F2E0A"/>
    <w:rsid w:val="007F752D"/>
    <w:rsid w:val="00805B17"/>
    <w:rsid w:val="00806F5F"/>
    <w:rsid w:val="00810177"/>
    <w:rsid w:val="00820278"/>
    <w:rsid w:val="008242EA"/>
    <w:rsid w:val="008258C9"/>
    <w:rsid w:val="00825E7B"/>
    <w:rsid w:val="0083554E"/>
    <w:rsid w:val="00840730"/>
    <w:rsid w:val="00840B6B"/>
    <w:rsid w:val="00844AE9"/>
    <w:rsid w:val="0085126A"/>
    <w:rsid w:val="00854E35"/>
    <w:rsid w:val="008638E6"/>
    <w:rsid w:val="00867F95"/>
    <w:rsid w:val="00873628"/>
    <w:rsid w:val="0088246A"/>
    <w:rsid w:val="00882783"/>
    <w:rsid w:val="008843B6"/>
    <w:rsid w:val="00885DEC"/>
    <w:rsid w:val="00891928"/>
    <w:rsid w:val="00897A29"/>
    <w:rsid w:val="008A0E37"/>
    <w:rsid w:val="008A446D"/>
    <w:rsid w:val="008B25F1"/>
    <w:rsid w:val="008B3868"/>
    <w:rsid w:val="008B45AE"/>
    <w:rsid w:val="008C4781"/>
    <w:rsid w:val="008D180B"/>
    <w:rsid w:val="008D1C0B"/>
    <w:rsid w:val="008F0EA7"/>
    <w:rsid w:val="008F221B"/>
    <w:rsid w:val="008F423A"/>
    <w:rsid w:val="008F6C0F"/>
    <w:rsid w:val="009108A7"/>
    <w:rsid w:val="00911077"/>
    <w:rsid w:val="00917600"/>
    <w:rsid w:val="00923EEF"/>
    <w:rsid w:val="0093722E"/>
    <w:rsid w:val="00940C61"/>
    <w:rsid w:val="009419F9"/>
    <w:rsid w:val="009431E0"/>
    <w:rsid w:val="00943A96"/>
    <w:rsid w:val="009505D3"/>
    <w:rsid w:val="0095685E"/>
    <w:rsid w:val="00961B09"/>
    <w:rsid w:val="00965334"/>
    <w:rsid w:val="009676E3"/>
    <w:rsid w:val="0097093E"/>
    <w:rsid w:val="00974114"/>
    <w:rsid w:val="009769BF"/>
    <w:rsid w:val="009877BE"/>
    <w:rsid w:val="00993C6D"/>
    <w:rsid w:val="009941B5"/>
    <w:rsid w:val="009941D6"/>
    <w:rsid w:val="00997C04"/>
    <w:rsid w:val="009A0DFA"/>
    <w:rsid w:val="009A1C6F"/>
    <w:rsid w:val="009B2D26"/>
    <w:rsid w:val="009B33E1"/>
    <w:rsid w:val="009C0D21"/>
    <w:rsid w:val="009C15D0"/>
    <w:rsid w:val="009C3527"/>
    <w:rsid w:val="009C5952"/>
    <w:rsid w:val="009C71FA"/>
    <w:rsid w:val="009C72E7"/>
    <w:rsid w:val="009C7F7E"/>
    <w:rsid w:val="009D3058"/>
    <w:rsid w:val="009F3A13"/>
    <w:rsid w:val="009F55F7"/>
    <w:rsid w:val="00A122D3"/>
    <w:rsid w:val="00A126DC"/>
    <w:rsid w:val="00A14468"/>
    <w:rsid w:val="00A17F13"/>
    <w:rsid w:val="00A20739"/>
    <w:rsid w:val="00A21B10"/>
    <w:rsid w:val="00A23AF9"/>
    <w:rsid w:val="00A27707"/>
    <w:rsid w:val="00A321C3"/>
    <w:rsid w:val="00A33C78"/>
    <w:rsid w:val="00A34888"/>
    <w:rsid w:val="00A47305"/>
    <w:rsid w:val="00A4788D"/>
    <w:rsid w:val="00A52CD2"/>
    <w:rsid w:val="00A552E1"/>
    <w:rsid w:val="00A86E0D"/>
    <w:rsid w:val="00A91D7E"/>
    <w:rsid w:val="00A94FFF"/>
    <w:rsid w:val="00AA21D6"/>
    <w:rsid w:val="00AB0ADB"/>
    <w:rsid w:val="00AB59FF"/>
    <w:rsid w:val="00AC2FED"/>
    <w:rsid w:val="00AC7D34"/>
    <w:rsid w:val="00AE7B7E"/>
    <w:rsid w:val="00AF5375"/>
    <w:rsid w:val="00B00984"/>
    <w:rsid w:val="00B00C0E"/>
    <w:rsid w:val="00B01B1A"/>
    <w:rsid w:val="00B0381D"/>
    <w:rsid w:val="00B17365"/>
    <w:rsid w:val="00B33930"/>
    <w:rsid w:val="00B44A47"/>
    <w:rsid w:val="00B46B52"/>
    <w:rsid w:val="00B72CD3"/>
    <w:rsid w:val="00B72FFF"/>
    <w:rsid w:val="00B8055B"/>
    <w:rsid w:val="00B837B2"/>
    <w:rsid w:val="00B8666F"/>
    <w:rsid w:val="00B90FD5"/>
    <w:rsid w:val="00BC0B74"/>
    <w:rsid w:val="00BC2617"/>
    <w:rsid w:val="00BC3D36"/>
    <w:rsid w:val="00BC7799"/>
    <w:rsid w:val="00BD0331"/>
    <w:rsid w:val="00BD54A6"/>
    <w:rsid w:val="00BD7F72"/>
    <w:rsid w:val="00BE05A8"/>
    <w:rsid w:val="00BE6501"/>
    <w:rsid w:val="00BF60AF"/>
    <w:rsid w:val="00BF7425"/>
    <w:rsid w:val="00C0210C"/>
    <w:rsid w:val="00C02755"/>
    <w:rsid w:val="00C02F7A"/>
    <w:rsid w:val="00C04FB3"/>
    <w:rsid w:val="00C11D8B"/>
    <w:rsid w:val="00C15139"/>
    <w:rsid w:val="00C172EF"/>
    <w:rsid w:val="00C21B19"/>
    <w:rsid w:val="00C22283"/>
    <w:rsid w:val="00C31C9F"/>
    <w:rsid w:val="00C330EB"/>
    <w:rsid w:val="00C445CE"/>
    <w:rsid w:val="00C454AF"/>
    <w:rsid w:val="00C500C1"/>
    <w:rsid w:val="00C50D69"/>
    <w:rsid w:val="00C53248"/>
    <w:rsid w:val="00C5365C"/>
    <w:rsid w:val="00C649CE"/>
    <w:rsid w:val="00C74058"/>
    <w:rsid w:val="00C754BE"/>
    <w:rsid w:val="00C76B1C"/>
    <w:rsid w:val="00C925AC"/>
    <w:rsid w:val="00CA1405"/>
    <w:rsid w:val="00CA384E"/>
    <w:rsid w:val="00CB350F"/>
    <w:rsid w:val="00CB6357"/>
    <w:rsid w:val="00CC06E1"/>
    <w:rsid w:val="00CC1B26"/>
    <w:rsid w:val="00CC29A1"/>
    <w:rsid w:val="00CD6609"/>
    <w:rsid w:val="00CF257E"/>
    <w:rsid w:val="00CF5A8A"/>
    <w:rsid w:val="00CF657F"/>
    <w:rsid w:val="00D000C7"/>
    <w:rsid w:val="00D030D2"/>
    <w:rsid w:val="00D07E00"/>
    <w:rsid w:val="00D24BE9"/>
    <w:rsid w:val="00D27B83"/>
    <w:rsid w:val="00D27DB7"/>
    <w:rsid w:val="00D34730"/>
    <w:rsid w:val="00D352A1"/>
    <w:rsid w:val="00D361FD"/>
    <w:rsid w:val="00D423A2"/>
    <w:rsid w:val="00D44E26"/>
    <w:rsid w:val="00D520D8"/>
    <w:rsid w:val="00D537A8"/>
    <w:rsid w:val="00D63AC2"/>
    <w:rsid w:val="00D7383B"/>
    <w:rsid w:val="00D7788A"/>
    <w:rsid w:val="00D8120E"/>
    <w:rsid w:val="00D83637"/>
    <w:rsid w:val="00D9109E"/>
    <w:rsid w:val="00D93D08"/>
    <w:rsid w:val="00DA231B"/>
    <w:rsid w:val="00DB2EF9"/>
    <w:rsid w:val="00DB4482"/>
    <w:rsid w:val="00DB7DB3"/>
    <w:rsid w:val="00DC39FC"/>
    <w:rsid w:val="00DD2821"/>
    <w:rsid w:val="00DF5254"/>
    <w:rsid w:val="00E02524"/>
    <w:rsid w:val="00E03C70"/>
    <w:rsid w:val="00E03F02"/>
    <w:rsid w:val="00E061AB"/>
    <w:rsid w:val="00E13252"/>
    <w:rsid w:val="00E15177"/>
    <w:rsid w:val="00E16408"/>
    <w:rsid w:val="00E20894"/>
    <w:rsid w:val="00E245AB"/>
    <w:rsid w:val="00E25A2E"/>
    <w:rsid w:val="00E2764C"/>
    <w:rsid w:val="00E27F2E"/>
    <w:rsid w:val="00E329CF"/>
    <w:rsid w:val="00E42339"/>
    <w:rsid w:val="00E425DF"/>
    <w:rsid w:val="00E43E86"/>
    <w:rsid w:val="00E50AFE"/>
    <w:rsid w:val="00E520EB"/>
    <w:rsid w:val="00E6081D"/>
    <w:rsid w:val="00E75C92"/>
    <w:rsid w:val="00E7678C"/>
    <w:rsid w:val="00E771DC"/>
    <w:rsid w:val="00E825BB"/>
    <w:rsid w:val="00E8772A"/>
    <w:rsid w:val="00E90F6B"/>
    <w:rsid w:val="00E92C27"/>
    <w:rsid w:val="00E95579"/>
    <w:rsid w:val="00E955FA"/>
    <w:rsid w:val="00EA0E3D"/>
    <w:rsid w:val="00EA4182"/>
    <w:rsid w:val="00EB1CCC"/>
    <w:rsid w:val="00EB7E95"/>
    <w:rsid w:val="00EC38A7"/>
    <w:rsid w:val="00ED44C0"/>
    <w:rsid w:val="00ED5607"/>
    <w:rsid w:val="00ED5A60"/>
    <w:rsid w:val="00ED61A7"/>
    <w:rsid w:val="00EE1AA8"/>
    <w:rsid w:val="00EF233E"/>
    <w:rsid w:val="00F007BE"/>
    <w:rsid w:val="00F021A1"/>
    <w:rsid w:val="00F02A60"/>
    <w:rsid w:val="00F107DF"/>
    <w:rsid w:val="00F23FEA"/>
    <w:rsid w:val="00F31EDC"/>
    <w:rsid w:val="00F33790"/>
    <w:rsid w:val="00F34581"/>
    <w:rsid w:val="00F36FCF"/>
    <w:rsid w:val="00F37E7E"/>
    <w:rsid w:val="00F37F09"/>
    <w:rsid w:val="00F43932"/>
    <w:rsid w:val="00F44476"/>
    <w:rsid w:val="00F462B3"/>
    <w:rsid w:val="00F46C6E"/>
    <w:rsid w:val="00F47FDB"/>
    <w:rsid w:val="00F5664F"/>
    <w:rsid w:val="00F666C4"/>
    <w:rsid w:val="00F7041A"/>
    <w:rsid w:val="00F73DFD"/>
    <w:rsid w:val="00F754EE"/>
    <w:rsid w:val="00F76AFC"/>
    <w:rsid w:val="00F859C3"/>
    <w:rsid w:val="00F86177"/>
    <w:rsid w:val="00F95188"/>
    <w:rsid w:val="00F978E2"/>
    <w:rsid w:val="00FA0332"/>
    <w:rsid w:val="00FA15E0"/>
    <w:rsid w:val="00FA47C0"/>
    <w:rsid w:val="00FB25D0"/>
    <w:rsid w:val="00FB5DD1"/>
    <w:rsid w:val="00FB7031"/>
    <w:rsid w:val="00FC2B5D"/>
    <w:rsid w:val="00FC6F8D"/>
    <w:rsid w:val="00FD51F4"/>
    <w:rsid w:val="00FF1449"/>
    <w:rsid w:val="00FF5B12"/>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4790C76"/>
    <w:rsid w:val="64F094BD"/>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EC57EFD0-E99F-1146-BCE7-8BE335BE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2F5EDA"/>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F5EDA"/>
    <w:rPr>
      <w:rFonts w:ascii="Geomanist Light" w:hAnsi="Geomanist Light"/>
      <w:lang w:val="es-ES"/>
    </w:rPr>
  </w:style>
  <w:style w:type="character" w:customStyle="1" w:styleId="s15">
    <w:name w:val="s15"/>
    <w:basedOn w:val="Fuentedeprrafopredeter"/>
    <w:rsid w:val="002F5EDA"/>
  </w:style>
  <w:style w:type="character" w:customStyle="1" w:styleId="NormalWebCar">
    <w:name w:val="Normal (Web) Car"/>
    <w:link w:val="NormalWeb"/>
    <w:uiPriority w:val="99"/>
    <w:rsid w:val="002F5EDA"/>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2F5EDA"/>
    <w:rPr>
      <w:b/>
      <w:bCs/>
    </w:rPr>
  </w:style>
  <w:style w:type="character" w:styleId="nfasis">
    <w:name w:val="Emphasis"/>
    <w:basedOn w:val="Fuentedeprrafopredeter"/>
    <w:uiPriority w:val="20"/>
    <w:qFormat/>
    <w:rsid w:val="002F5EDA"/>
    <w:rPr>
      <w:i/>
      <w:iCs/>
    </w:rPr>
  </w:style>
  <w:style w:type="character" w:styleId="Refdecomentario">
    <w:name w:val="annotation reference"/>
    <w:basedOn w:val="Fuentedeprrafopredeter"/>
    <w:uiPriority w:val="99"/>
    <w:semiHidden/>
    <w:unhideWhenUsed/>
    <w:rsid w:val="009C15D0"/>
    <w:rPr>
      <w:sz w:val="16"/>
      <w:szCs w:val="16"/>
    </w:rPr>
  </w:style>
  <w:style w:type="paragraph" w:styleId="Textocomentario">
    <w:name w:val="annotation text"/>
    <w:basedOn w:val="Normal"/>
    <w:link w:val="TextocomentarioCar"/>
    <w:uiPriority w:val="99"/>
    <w:unhideWhenUsed/>
    <w:rsid w:val="009C15D0"/>
    <w:pPr>
      <w:spacing w:line="240" w:lineRule="auto"/>
    </w:pPr>
    <w:rPr>
      <w:sz w:val="20"/>
      <w:szCs w:val="20"/>
    </w:rPr>
  </w:style>
  <w:style w:type="character" w:customStyle="1" w:styleId="TextocomentarioCar">
    <w:name w:val="Texto comentario Car"/>
    <w:basedOn w:val="Fuentedeprrafopredeter"/>
    <w:link w:val="Textocomentario"/>
    <w:uiPriority w:val="99"/>
    <w:rsid w:val="009C15D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otificacionesdatafondo@fondoadaptacion.gov.co" TargetMode="External"/><Relationship Id="rId17"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ceficiente.sharepoint.com/sites/SGDEA/TRD_254/EXPEDIENTE_1668/DOCUMENTO_407171/DOCUMENTO_407171.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59008F5A-3ABD-4BC3-9585-7D45614F2F9F}">
  <ds:schemaRefs>
    <ds:schemaRef ds:uri="http://schemas.openxmlformats.org/officeDocument/2006/bibliography"/>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028395EA-B186-4B64-806F-FC9D8CB68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23</TotalTime>
  <Pages>27</Pages>
  <Words>9355</Words>
  <Characters>51457</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60691</CharactersWithSpaces>
  <SharedDoc>false</SharedDoc>
  <HLinks>
    <vt:vector size="54" baseType="variant">
      <vt:variant>
        <vt:i4>4456513</vt:i4>
      </vt:variant>
      <vt:variant>
        <vt:i4>21</vt:i4>
      </vt:variant>
      <vt:variant>
        <vt:i4>0</vt:i4>
      </vt:variant>
      <vt:variant>
        <vt:i4>5</vt:i4>
      </vt:variant>
      <vt:variant>
        <vt:lpwstr>https://forms.office.com/r/pPHyWVs2SZ</vt:lpwstr>
      </vt:variant>
      <vt:variant>
        <vt:lpwstr/>
      </vt:variant>
      <vt:variant>
        <vt:i4>3407926</vt:i4>
      </vt:variant>
      <vt:variant>
        <vt:i4>18</vt:i4>
      </vt:variant>
      <vt:variant>
        <vt:i4>0</vt:i4>
      </vt:variant>
      <vt:variant>
        <vt:i4>5</vt:i4>
      </vt:variant>
      <vt:variant>
        <vt:lpwstr>https://www.colombiacompra.gov.co/pqrsd/informacion-importante-antes-de-formular-una-pqrsd</vt:lpwstr>
      </vt:variant>
      <vt:variant>
        <vt:lpwstr/>
      </vt:variant>
      <vt:variant>
        <vt:i4>4980779</vt:i4>
      </vt:variant>
      <vt:variant>
        <vt:i4>15</vt:i4>
      </vt:variant>
      <vt:variant>
        <vt:i4>0</vt:i4>
      </vt:variant>
      <vt:variant>
        <vt:i4>5</vt:i4>
      </vt:variant>
      <vt:variant>
        <vt:lpwstr>mailto:ventanilladeradicacion@colombiacompra.gov.co</vt:lpwstr>
      </vt:variant>
      <vt:variant>
        <vt:lpwstr/>
      </vt: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7274580</vt:i4>
      </vt:variant>
      <vt:variant>
        <vt:i4>0</vt:i4>
      </vt:variant>
      <vt:variant>
        <vt:i4>0</vt:i4>
      </vt:variant>
      <vt:variant>
        <vt:i4>5</vt:i4>
      </vt:variant>
      <vt:variant>
        <vt:lpwstr>mailto:elcarmencontratos@gmail.com</vt:lpwstr>
      </vt:variant>
      <vt:variant>
        <vt:lpwstr/>
      </vt:variant>
      <vt:variant>
        <vt:i4>458817</vt:i4>
      </vt:variant>
      <vt:variant>
        <vt:i4>0</vt:i4>
      </vt:variant>
      <vt:variant>
        <vt:i4>0</vt:i4>
      </vt:variant>
      <vt:variant>
        <vt:i4>5</vt:i4>
      </vt:variant>
      <vt:variant>
        <vt:lpwstr>https://cceficiente.sharepoint.com/sites/SGDEA/TRD_254/EXPEDIENTE_1668/DOCUMENTO_407171/DOCUMENTO_407171.docx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12</cp:revision>
  <cp:lastPrinted>2023-01-10T18:18:00Z</cp:lastPrinted>
  <dcterms:created xsi:type="dcterms:W3CDTF">2026-08-03T14:12:00Z</dcterms:created>
  <dcterms:modified xsi:type="dcterms:W3CDTF">2026-08-04T13:47:00Z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