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27EBB" w14:textId="77777777" w:rsidR="00AC377F" w:rsidRPr="00A007C7" w:rsidRDefault="00AC377F" w:rsidP="00AC377F">
      <w:pPr>
        <w:spacing w:after="0" w:line="240" w:lineRule="auto"/>
        <w:jc w:val="both"/>
        <w:rPr>
          <w:rFonts w:ascii="Verdana" w:eastAsia="Verdana" w:hAnsi="Verdana" w:cs="Verdana"/>
          <w:b/>
        </w:rPr>
      </w:pPr>
      <w:bookmarkStart w:id="0" w:name="_Hlk143780582"/>
      <w:r w:rsidRPr="00A007C7">
        <w:rPr>
          <w:rFonts w:ascii="Verdana" w:eastAsia="Verdana" w:hAnsi="Verdana" w:cs="Verdana"/>
          <w:b/>
        </w:rPr>
        <w:t xml:space="preserve">CONTRATO DE PRESTACIÓN DE SERVICIOS – Definición </w:t>
      </w:r>
    </w:p>
    <w:p w14:paraId="2B84C71E" w14:textId="77777777" w:rsidR="00AC377F" w:rsidRPr="00A007C7" w:rsidRDefault="00AC377F" w:rsidP="00AC377F">
      <w:pPr>
        <w:spacing w:after="0" w:line="240" w:lineRule="auto"/>
        <w:jc w:val="both"/>
        <w:rPr>
          <w:rFonts w:ascii="Verdana" w:eastAsia="Verdana" w:hAnsi="Verdana" w:cs="Verdana"/>
          <w:b/>
        </w:rPr>
      </w:pPr>
    </w:p>
    <w:p w14:paraId="1FD7950E" w14:textId="77777777" w:rsidR="00AC377F" w:rsidRPr="00A007C7" w:rsidRDefault="00AC377F" w:rsidP="00AC377F">
      <w:pPr>
        <w:spacing w:after="0" w:line="240" w:lineRule="auto"/>
        <w:jc w:val="both"/>
        <w:rPr>
          <w:rFonts w:ascii="Verdana" w:eastAsia="Verdana" w:hAnsi="Verdana" w:cs="Verdana"/>
          <w:sz w:val="20"/>
        </w:rPr>
      </w:pPr>
      <w:r w:rsidRPr="00A007C7">
        <w:rPr>
          <w:rFonts w:ascii="Verdana" w:eastAsia="Verdana" w:hAnsi="Verdana" w:cs="Verdana"/>
          <w:sz w:val="20"/>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 “Son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2C7DF4AE" w14:textId="77777777" w:rsidR="00AC377F" w:rsidRPr="00A007C7" w:rsidRDefault="00AC377F" w:rsidP="00AC377F">
      <w:pPr>
        <w:spacing w:after="0" w:line="240" w:lineRule="auto"/>
        <w:jc w:val="both"/>
        <w:rPr>
          <w:rFonts w:ascii="Verdana" w:eastAsia="Verdana" w:hAnsi="Verdana" w:cs="Verdana"/>
          <w:b/>
        </w:rPr>
      </w:pPr>
    </w:p>
    <w:p w14:paraId="772092B2" w14:textId="77777777" w:rsidR="00AC377F" w:rsidRPr="00A007C7" w:rsidRDefault="00AC377F" w:rsidP="00AC377F">
      <w:pPr>
        <w:spacing w:after="0" w:line="240" w:lineRule="auto"/>
        <w:jc w:val="both"/>
        <w:rPr>
          <w:rFonts w:ascii="Verdana" w:eastAsia="Verdana" w:hAnsi="Verdana" w:cs="Verdana"/>
          <w:b/>
        </w:rPr>
      </w:pPr>
      <w:r w:rsidRPr="00A007C7">
        <w:rPr>
          <w:rFonts w:ascii="Verdana" w:eastAsia="Verdana" w:hAnsi="Verdana" w:cs="Verdana"/>
          <w:b/>
        </w:rPr>
        <w:t xml:space="preserve">CONTRATO DE PRESTACIÓN DE SERVICIOS – Características </w:t>
      </w:r>
    </w:p>
    <w:p w14:paraId="37A8AE8D" w14:textId="77777777" w:rsidR="00AC377F" w:rsidRDefault="00AC377F" w:rsidP="00AC377F">
      <w:pPr>
        <w:spacing w:after="0" w:line="240" w:lineRule="auto"/>
        <w:jc w:val="both"/>
        <w:rPr>
          <w:rFonts w:ascii="Verdana" w:eastAsia="Verdana" w:hAnsi="Verdana" w:cs="Verdana"/>
          <w:b/>
        </w:rPr>
      </w:pPr>
    </w:p>
    <w:p w14:paraId="5D3D22AD" w14:textId="77777777" w:rsidR="00AC377F" w:rsidRDefault="00AC377F" w:rsidP="00AC377F">
      <w:pPr>
        <w:spacing w:after="0" w:line="240" w:lineRule="auto"/>
        <w:jc w:val="both"/>
        <w:rPr>
          <w:rFonts w:ascii="Verdana" w:eastAsia="Verdana" w:hAnsi="Verdana" w:cs="Verdana"/>
          <w:sz w:val="20"/>
          <w:szCs w:val="20"/>
        </w:rPr>
      </w:pPr>
      <w:r w:rsidRPr="00A007C7">
        <w:rPr>
          <w:rFonts w:ascii="Verdana" w:eastAsia="Verdana" w:hAnsi="Verdana" w:cs="Verdana"/>
          <w:sz w:val="20"/>
          <w:szCs w:val="20"/>
        </w:rPr>
        <w:t>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w:t>
      </w:r>
    </w:p>
    <w:p w14:paraId="0D681D51" w14:textId="77777777" w:rsidR="00AC377F" w:rsidRPr="00A007C7" w:rsidRDefault="00AC377F" w:rsidP="00AC377F">
      <w:pPr>
        <w:spacing w:after="0" w:line="240" w:lineRule="auto"/>
        <w:jc w:val="both"/>
        <w:rPr>
          <w:rFonts w:ascii="Verdana" w:eastAsia="Verdana" w:hAnsi="Verdana" w:cs="Verdana"/>
          <w:sz w:val="20"/>
          <w:szCs w:val="20"/>
        </w:rPr>
      </w:pPr>
    </w:p>
    <w:p w14:paraId="6E39776D" w14:textId="77777777" w:rsidR="00AC377F" w:rsidRDefault="00AC377F" w:rsidP="00AC377F">
      <w:pPr>
        <w:spacing w:after="0" w:line="240" w:lineRule="auto"/>
        <w:jc w:val="both"/>
        <w:rPr>
          <w:rFonts w:ascii="Verdana" w:eastAsia="Verdana" w:hAnsi="Verdana" w:cs="Verdana"/>
          <w:sz w:val="20"/>
          <w:szCs w:val="20"/>
        </w:rPr>
      </w:pPr>
      <w:r w:rsidRPr="00A007C7">
        <w:rPr>
          <w:rFonts w:ascii="Verdana" w:eastAsia="Verdana" w:hAnsi="Verdana" w:cs="Verdana"/>
          <w:sz w:val="20"/>
          <w:szCs w:val="20"/>
        </w:rPr>
        <w:t>a) Solo puede celebrarse para realizar “actividades relacionadas con la administración o funcionamiento de la entidad”, es decir, que hagan parte de su giro ordinario o quehacer cotidiano.</w:t>
      </w:r>
    </w:p>
    <w:p w14:paraId="2DA789FC" w14:textId="77777777" w:rsidR="00AC377F" w:rsidRPr="00A007C7" w:rsidRDefault="00AC377F" w:rsidP="00AC377F">
      <w:pPr>
        <w:spacing w:after="0" w:line="240" w:lineRule="auto"/>
        <w:jc w:val="both"/>
        <w:rPr>
          <w:rFonts w:ascii="Verdana" w:eastAsia="Verdana" w:hAnsi="Verdana" w:cs="Verdana"/>
          <w:sz w:val="20"/>
          <w:szCs w:val="20"/>
        </w:rPr>
      </w:pPr>
    </w:p>
    <w:p w14:paraId="0F6545EB" w14:textId="77777777" w:rsidR="00AC377F" w:rsidRDefault="00AC377F" w:rsidP="00AC377F">
      <w:pPr>
        <w:spacing w:after="0" w:line="240" w:lineRule="auto"/>
        <w:jc w:val="both"/>
        <w:rPr>
          <w:rFonts w:ascii="Verdana" w:eastAsia="Verdana" w:hAnsi="Verdana" w:cs="Verdana"/>
          <w:sz w:val="20"/>
          <w:szCs w:val="20"/>
        </w:rPr>
      </w:pPr>
      <w:r w:rsidRPr="00A007C7">
        <w:rPr>
          <w:rFonts w:ascii="Verdana" w:eastAsia="Verdana" w:hAnsi="Verdana" w:cs="Verdana"/>
          <w:sz w:val="20"/>
          <w:szCs w:val="20"/>
        </w:rPr>
        <w:t>b)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Esto puede suceder en varios eventos, como, por ejemplo, que, efectivamente, no exista el personal de planta para encargarse de dichas labores; que exista, pero que está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3B37F2C8" w14:textId="77777777" w:rsidR="00AC377F" w:rsidRPr="00A007C7" w:rsidRDefault="00AC377F" w:rsidP="00AC377F">
      <w:pPr>
        <w:spacing w:after="0" w:line="240" w:lineRule="auto"/>
        <w:jc w:val="both"/>
        <w:rPr>
          <w:rFonts w:ascii="Verdana" w:eastAsia="Verdana" w:hAnsi="Verdana" w:cs="Verdana"/>
          <w:sz w:val="20"/>
          <w:szCs w:val="20"/>
        </w:rPr>
      </w:pPr>
    </w:p>
    <w:p w14:paraId="6C69B526" w14:textId="77777777" w:rsidR="00AC377F" w:rsidRPr="00A007C7" w:rsidRDefault="00AC377F" w:rsidP="00AC377F">
      <w:pPr>
        <w:spacing w:after="0" w:line="240" w:lineRule="auto"/>
        <w:jc w:val="both"/>
        <w:rPr>
          <w:rFonts w:ascii="Verdana" w:eastAsia="Verdana" w:hAnsi="Verdana" w:cs="Verdana"/>
          <w:sz w:val="20"/>
          <w:szCs w:val="20"/>
        </w:rPr>
      </w:pPr>
      <w:r w:rsidRPr="00A007C7">
        <w:rPr>
          <w:rFonts w:ascii="Verdana" w:eastAsia="Verdana" w:hAnsi="Verdana" w:cs="Verdana"/>
          <w:sz w:val="20"/>
          <w:szCs w:val="20"/>
        </w:rPr>
        <w:t xml:space="preserve">c) Si bien se celebran para obtener la prestación personal de un servicio, se diferencian del contrato de trabajo en que quien celebra el contrato de prestación de servicios profesionales debe mantener autonomía e independencia en la ejecución de la labor, lo que significa que no puede existir la </w:t>
      </w:r>
      <w:r w:rsidRPr="00A007C7">
        <w:rPr>
          <w:rFonts w:ascii="Verdana" w:eastAsia="Verdana" w:hAnsi="Verdana" w:cs="Verdana"/>
          <w:i/>
          <w:sz w:val="20"/>
          <w:szCs w:val="20"/>
        </w:rPr>
        <w:t>subordinación y dependencia</w:t>
      </w:r>
      <w:r w:rsidRPr="00A007C7">
        <w:rPr>
          <w:rFonts w:ascii="Verdana" w:eastAsia="Verdana" w:hAnsi="Verdana" w:cs="Verdana"/>
          <w:iCs/>
          <w:sz w:val="20"/>
          <w:szCs w:val="20"/>
        </w:rPr>
        <w:t>,</w:t>
      </w:r>
      <w:r w:rsidRPr="00A007C7">
        <w:rPr>
          <w:rFonts w:ascii="Verdana" w:eastAsia="Verdana" w:hAnsi="Verdana" w:cs="Verdana"/>
          <w:sz w:val="20"/>
          <w:szCs w:val="20"/>
        </w:rPr>
        <w:t xml:space="preserve"> que es uno de los elementos constitutivos del vínculo laboral. Por ello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w:t>
      </w:r>
      <w:r w:rsidRPr="00A007C7">
        <w:rPr>
          <w:rFonts w:ascii="Verdana" w:eastAsia="Verdana" w:hAnsi="Verdana" w:cs="Verdana"/>
          <w:i/>
          <w:sz w:val="20"/>
          <w:szCs w:val="20"/>
        </w:rPr>
        <w:t>no pueden</w:t>
      </w:r>
      <w:r w:rsidRPr="00A007C7">
        <w:rPr>
          <w:rFonts w:ascii="Verdana" w:eastAsia="Verdana" w:hAnsi="Verdana" w:cs="Verdana"/>
          <w:sz w:val="20"/>
          <w:szCs w:val="20"/>
        </w:rPr>
        <w:t xml:space="preserve"> generar relación laboral, ni dar lugar a que las entidades estatales paguen por su cuenta los aportes al Sistema de Seguridad Social Integral del contratista. </w:t>
      </w:r>
    </w:p>
    <w:p w14:paraId="2E57727C" w14:textId="77777777" w:rsidR="00AC377F" w:rsidRPr="00A007C7" w:rsidRDefault="00AC377F" w:rsidP="00AC377F">
      <w:pPr>
        <w:spacing w:after="0" w:line="240" w:lineRule="auto"/>
        <w:jc w:val="both"/>
        <w:rPr>
          <w:rFonts w:ascii="Verdana" w:eastAsia="Verdana" w:hAnsi="Verdana" w:cs="Verdana"/>
          <w:sz w:val="20"/>
          <w:szCs w:val="20"/>
        </w:rPr>
      </w:pPr>
    </w:p>
    <w:p w14:paraId="6BCFC64D" w14:textId="77777777" w:rsidR="00AC377F" w:rsidRPr="00A007C7" w:rsidRDefault="00AC377F" w:rsidP="00AC377F">
      <w:pPr>
        <w:spacing w:after="0" w:line="240" w:lineRule="auto"/>
        <w:jc w:val="both"/>
        <w:rPr>
          <w:rFonts w:ascii="Verdana" w:eastAsia="Verdana" w:hAnsi="Verdana" w:cs="Verdana"/>
          <w:b/>
        </w:rPr>
      </w:pPr>
      <w:r w:rsidRPr="00A007C7">
        <w:rPr>
          <w:rFonts w:ascii="Verdana" w:eastAsia="Verdana" w:hAnsi="Verdana" w:cs="Verdana"/>
          <w:b/>
        </w:rPr>
        <w:t xml:space="preserve">RESTRICCIONES Y LIMITACIONES – Inhabilidades e incompatibilidades – Conflictos de Interés – Restricciones – Prohibiciones </w:t>
      </w:r>
    </w:p>
    <w:p w14:paraId="1CF76E36" w14:textId="77777777" w:rsidR="00AC377F" w:rsidRPr="00A007C7" w:rsidRDefault="00AC377F" w:rsidP="00AC377F">
      <w:pPr>
        <w:spacing w:after="0" w:line="240" w:lineRule="auto"/>
        <w:jc w:val="both"/>
        <w:rPr>
          <w:rFonts w:ascii="Verdana" w:eastAsia="Verdana" w:hAnsi="Verdana" w:cs="Verdana"/>
          <w:b/>
        </w:rPr>
      </w:pPr>
    </w:p>
    <w:p w14:paraId="5B4BD95E" w14:textId="77777777" w:rsidR="00AC377F" w:rsidRPr="00A007C7" w:rsidRDefault="00AC377F" w:rsidP="00AC377F">
      <w:pPr>
        <w:spacing w:after="0" w:line="240" w:lineRule="auto"/>
        <w:jc w:val="both"/>
        <w:rPr>
          <w:rFonts w:ascii="Verdana" w:eastAsia="Verdana" w:hAnsi="Verdana" w:cs="Verdana"/>
          <w:sz w:val="20"/>
          <w:lang w:val="es-ES"/>
        </w:rPr>
      </w:pPr>
      <w:r w:rsidRPr="00A007C7">
        <w:rPr>
          <w:rFonts w:ascii="Verdana" w:eastAsia="Verdana" w:hAnsi="Verdana" w:cs="Verdana"/>
          <w:sz w:val="20"/>
          <w:lang w:val="es-ES"/>
        </w:rPr>
        <w:t xml:space="preserve">[…] el ordenamiento jurídico contempla restricciones aplicables tanto los servidores públicos —empleados públicos, trabajadores oficiales y miembros de corporaciones públicas—, así como los contratistas del Estado, quienes, por la naturaleza de sus actividades u obligaciones de los contratos que celebran, están sujetos a normas específicas que regulan su comportamiento. Dichas restricciones pueden abarcar desde la incompatibilidad para ejercer simultáneamente ciertos cargos, la prohibición de participar en actividades políticas en determinados contextos, hasta la obligación de abstenerse de adelantar cierto tipo de actuaciones que generen conflictos de interés. </w:t>
      </w:r>
    </w:p>
    <w:p w14:paraId="07DEDD7E" w14:textId="77777777" w:rsidR="00AC377F" w:rsidRPr="00A007C7" w:rsidRDefault="00AC377F" w:rsidP="00AC377F">
      <w:pPr>
        <w:spacing w:after="0" w:line="240" w:lineRule="auto"/>
        <w:jc w:val="both"/>
        <w:rPr>
          <w:rFonts w:ascii="Verdana" w:eastAsia="Verdana" w:hAnsi="Verdana" w:cs="Verdana"/>
          <w:sz w:val="20"/>
          <w:lang w:val="es-ES"/>
        </w:rPr>
      </w:pPr>
    </w:p>
    <w:p w14:paraId="0BE3E54C" w14:textId="77777777" w:rsidR="00AC377F" w:rsidRPr="00A007C7" w:rsidRDefault="00AC377F" w:rsidP="00AC377F">
      <w:pPr>
        <w:spacing w:after="0" w:line="240" w:lineRule="auto"/>
        <w:jc w:val="both"/>
        <w:rPr>
          <w:rFonts w:ascii="Verdana" w:eastAsia="Verdana" w:hAnsi="Verdana" w:cs="Verdana"/>
          <w:sz w:val="20"/>
          <w:lang w:val="es-MX"/>
        </w:rPr>
      </w:pPr>
      <w:r w:rsidRPr="00A007C7">
        <w:rPr>
          <w:rFonts w:ascii="Verdana" w:eastAsia="Verdana" w:hAnsi="Verdana" w:cs="Verdana"/>
          <w:sz w:val="20"/>
          <w:lang w:val="es-ES"/>
        </w:rPr>
        <w:t xml:space="preserve">En esta línea, se encuentra el régimen de conflictos de interés, impedimentos y recusaciones, así como el régimen de inhabilidades e incompatibilidades. </w:t>
      </w:r>
      <w:r w:rsidRPr="00A007C7">
        <w:rPr>
          <w:rFonts w:ascii="Verdana" w:eastAsia="Verdana" w:hAnsi="Verdana" w:cs="Verdana"/>
          <w:sz w:val="20"/>
          <w:lang w:val="es-MX"/>
        </w:rPr>
        <w:t>Estos últimos son circunstancias establecidas por la Constitución o la ley que impiden que personas naturales o jurídicas sean elegidas o designadas en un cargo público, celebren contratos con el Estado, o no puedan ejercer una profesión, con el objetivo de garantizar la idoneidad, imparcialidad, probidad, transparencia y moralidad de la función pública, garantizando el interés general.</w:t>
      </w:r>
    </w:p>
    <w:p w14:paraId="40E042C4" w14:textId="77777777" w:rsidR="00AC377F" w:rsidRPr="00A007C7" w:rsidRDefault="00AC377F" w:rsidP="00AC377F">
      <w:pPr>
        <w:spacing w:after="0" w:line="240" w:lineRule="auto"/>
        <w:jc w:val="both"/>
        <w:rPr>
          <w:rFonts w:ascii="Verdana" w:eastAsia="Verdana" w:hAnsi="Verdana" w:cs="Verdana"/>
          <w:b/>
        </w:rPr>
      </w:pPr>
    </w:p>
    <w:p w14:paraId="766E2ED8" w14:textId="77777777" w:rsidR="00AC377F" w:rsidRPr="00A007C7" w:rsidRDefault="00AC377F" w:rsidP="00AC377F">
      <w:pPr>
        <w:spacing w:after="0" w:line="240" w:lineRule="auto"/>
        <w:jc w:val="both"/>
        <w:rPr>
          <w:rFonts w:ascii="Verdana" w:eastAsia="Verdana" w:hAnsi="Verdana" w:cs="Verdana"/>
          <w:b/>
        </w:rPr>
      </w:pPr>
      <w:r w:rsidRPr="00A007C7">
        <w:rPr>
          <w:rFonts w:ascii="Verdana" w:eastAsia="Verdana" w:hAnsi="Verdana" w:cs="Verdana"/>
          <w:b/>
        </w:rPr>
        <w:t xml:space="preserve">PARTICIPACIÓN EN POLÍTICA – Restricciones Constitucionales </w:t>
      </w:r>
    </w:p>
    <w:p w14:paraId="7C0805E8" w14:textId="77777777" w:rsidR="00AC377F" w:rsidRDefault="00AC377F" w:rsidP="00AC377F">
      <w:pPr>
        <w:spacing w:after="0" w:line="240" w:lineRule="auto"/>
        <w:jc w:val="both"/>
        <w:rPr>
          <w:rFonts w:ascii="Verdana" w:eastAsia="Verdana" w:hAnsi="Verdana" w:cs="Verdana"/>
          <w:b/>
        </w:rPr>
      </w:pPr>
    </w:p>
    <w:p w14:paraId="5AD795C8" w14:textId="77777777" w:rsidR="00AC377F" w:rsidRPr="0007142E" w:rsidRDefault="00AC377F" w:rsidP="00AC377F">
      <w:pPr>
        <w:spacing w:after="0" w:line="240" w:lineRule="auto"/>
        <w:jc w:val="both"/>
        <w:rPr>
          <w:rFonts w:ascii="Verdana" w:eastAsia="Verdana" w:hAnsi="Verdana" w:cs="Verdana"/>
          <w:bCs/>
          <w:sz w:val="20"/>
          <w:lang w:val="es-ES_tradnl"/>
        </w:rPr>
      </w:pPr>
      <w:r w:rsidRPr="0007142E">
        <w:rPr>
          <w:rFonts w:ascii="Verdana" w:eastAsia="Verdana" w:hAnsi="Verdana" w:cs="Verdana"/>
          <w:sz w:val="20"/>
          <w:lang w:val="es-MX"/>
        </w:rPr>
        <w:t xml:space="preserve">Teniendo en cuenta estas precisiones, es pertinente revisar si existe una inhabilidad o incompatibilidad o algún otro tipo de restricción con aquellos que tienen un vínculo con el Estado que pretendan participan en actividades políticas previas a cualquier tipo de elección. En este aspecto, puede encontrarse restricciones para los servidores públicos y su participación en la política, como se detalla el </w:t>
      </w:r>
      <w:r w:rsidRPr="0007142E">
        <w:rPr>
          <w:rFonts w:ascii="Verdana" w:eastAsia="Verdana" w:hAnsi="Verdana" w:cs="Verdana"/>
          <w:bCs/>
          <w:sz w:val="20"/>
          <w:lang w:val="es-ES_tradnl"/>
        </w:rPr>
        <w:t xml:space="preserve">el artículo 127 de la Constitución Política: “ARTÍCULO 127. Los servidores públicos no podrán celebrar, por si o por interpuesta persona, o en representación de otro, contrato alguno con entidades públicas o con personas privadas que manejen o administren recursos públicos, salvo las excepciones legales. </w:t>
      </w:r>
      <w:r w:rsidRPr="0007142E">
        <w:rPr>
          <w:rFonts w:ascii="Verdana" w:eastAsia="Verdana" w:hAnsi="Verdana" w:cs="Verdana"/>
          <w:sz w:val="20"/>
          <w:lang w:val="es-ES_tradnl"/>
        </w:rPr>
        <w:t xml:space="preserve">A los empleados del Estado que se desempeñen en la Rama Judicial, en los órganos electorales, de control y de seguridad les está prohibido tomar parte en las actividades de los partidos y </w:t>
      </w:r>
      <w:r w:rsidRPr="0007142E">
        <w:rPr>
          <w:rFonts w:ascii="Verdana" w:eastAsia="Verdana" w:hAnsi="Verdana" w:cs="Verdana"/>
          <w:sz w:val="20"/>
          <w:szCs w:val="20"/>
          <w:lang w:val="es-ES_tradnl"/>
        </w:rPr>
        <w:t>movimientos</w:t>
      </w:r>
      <w:r w:rsidRPr="0007142E">
        <w:rPr>
          <w:rFonts w:ascii="Verdana" w:eastAsia="Verdana" w:hAnsi="Verdana" w:cs="Verdana"/>
          <w:sz w:val="20"/>
          <w:lang w:val="es-ES_tradnl"/>
        </w:rPr>
        <w:t xml:space="preserve"> y en las controversias políticas, sin perjuicio de ejercer libremente el derecho al sufragio</w:t>
      </w:r>
      <w:r w:rsidRPr="0007142E">
        <w:rPr>
          <w:rFonts w:ascii="Verdana" w:eastAsia="Verdana" w:hAnsi="Verdana" w:cs="Verdana"/>
          <w:bCs/>
          <w:sz w:val="20"/>
          <w:lang w:val="es-ES_tradnl"/>
        </w:rPr>
        <w:t>. A los miembros de la Fuerza Pública en servicio activo se les aplican las limitaciones contempladas en el artículo 219 de la Constitución.” (énfasis fuera del texto)</w:t>
      </w:r>
    </w:p>
    <w:p w14:paraId="1B9A0747" w14:textId="77777777" w:rsidR="00AC377F" w:rsidRPr="0007142E" w:rsidRDefault="00AC377F" w:rsidP="00AC377F">
      <w:pPr>
        <w:spacing w:after="0" w:line="240" w:lineRule="auto"/>
        <w:jc w:val="both"/>
        <w:rPr>
          <w:rFonts w:ascii="Verdana" w:eastAsia="Verdana" w:hAnsi="Verdana" w:cs="Verdana"/>
          <w:bCs/>
          <w:sz w:val="20"/>
          <w:lang w:val="es-ES_tradnl"/>
        </w:rPr>
      </w:pPr>
    </w:p>
    <w:p w14:paraId="7F15FEAA" w14:textId="77777777" w:rsidR="00AC377F" w:rsidRPr="001503E9" w:rsidRDefault="00AC377F" w:rsidP="00AC377F">
      <w:pPr>
        <w:spacing w:after="0" w:line="240" w:lineRule="auto"/>
        <w:jc w:val="both"/>
        <w:rPr>
          <w:rFonts w:ascii="Verdana" w:eastAsia="Verdana" w:hAnsi="Verdana" w:cs="Verdana"/>
          <w:bCs/>
          <w:sz w:val="20"/>
          <w:szCs w:val="20"/>
          <w:lang w:val="es-ES_tradnl"/>
        </w:rPr>
      </w:pPr>
      <w:r w:rsidRPr="001503E9">
        <w:rPr>
          <w:rFonts w:ascii="Verdana" w:eastAsia="Verdana" w:hAnsi="Verdana" w:cs="Verdana"/>
          <w:bCs/>
          <w:sz w:val="20"/>
          <w:szCs w:val="20"/>
          <w:lang w:val="es-ES_tradnl"/>
        </w:rPr>
        <w:t xml:space="preserve">De igual modo, el artículo 219 de la Constitución Política establece: “ARTÍCULO 219. La Fuerza Pública no es deliberante; no podrá reunirse sino por orden de autoridad legítima, ni dirigir peticiones, excepto sobre asuntos que se relacionen con el servicio y la moralidad del respectivo cuerpo y con arreglo a la ley. </w:t>
      </w:r>
      <w:r w:rsidRPr="001503E9">
        <w:rPr>
          <w:rFonts w:ascii="Verdana" w:eastAsia="Verdana" w:hAnsi="Verdana" w:cs="Verdana"/>
          <w:sz w:val="20"/>
          <w:szCs w:val="20"/>
          <w:lang w:val="es-ES_tradnl"/>
        </w:rPr>
        <w:t>Los miembros de la Fuerza Pública no podrán ejercer la función del sufragio mientras permanezcan en servicio activo, ni intervenir en actividades o debates de partidos o movimientos políticos</w:t>
      </w:r>
      <w:r w:rsidRPr="001503E9">
        <w:rPr>
          <w:rFonts w:ascii="Verdana" w:eastAsia="Verdana" w:hAnsi="Verdana" w:cs="Verdana"/>
          <w:bCs/>
          <w:sz w:val="20"/>
          <w:szCs w:val="20"/>
          <w:lang w:val="es-ES_tradnl"/>
        </w:rPr>
        <w:t>.”</w:t>
      </w:r>
    </w:p>
    <w:p w14:paraId="09D7B1BA" w14:textId="77777777" w:rsidR="00AC377F" w:rsidRPr="00A007C7" w:rsidRDefault="00AC377F" w:rsidP="00AC377F">
      <w:pPr>
        <w:spacing w:after="0" w:line="240" w:lineRule="auto"/>
        <w:jc w:val="both"/>
        <w:rPr>
          <w:rFonts w:ascii="Verdana" w:eastAsia="Verdana" w:hAnsi="Verdana" w:cs="Verdana"/>
          <w:b/>
        </w:rPr>
      </w:pPr>
    </w:p>
    <w:p w14:paraId="32C9EAB0" w14:textId="77777777" w:rsidR="00AC377F" w:rsidRPr="00A007C7" w:rsidRDefault="00AC377F" w:rsidP="00AC377F">
      <w:pPr>
        <w:spacing w:after="0" w:line="240" w:lineRule="auto"/>
        <w:jc w:val="both"/>
        <w:rPr>
          <w:rFonts w:ascii="Verdana" w:eastAsia="Verdana" w:hAnsi="Verdana" w:cs="Verdana"/>
          <w:b/>
        </w:rPr>
      </w:pPr>
      <w:r w:rsidRPr="00A007C7">
        <w:rPr>
          <w:rFonts w:ascii="Verdana" w:eastAsia="Verdana" w:hAnsi="Verdana" w:cs="Verdana"/>
          <w:b/>
        </w:rPr>
        <w:lastRenderedPageBreak/>
        <w:t xml:space="preserve">PARTICIPACIÓN EN POLÍTICA – Ley de Garantías – Restricciones – Servidores Públicos </w:t>
      </w:r>
    </w:p>
    <w:p w14:paraId="073D2BAC" w14:textId="77777777" w:rsidR="00AC377F" w:rsidRPr="0007142E" w:rsidRDefault="00AC377F" w:rsidP="00AC377F">
      <w:pPr>
        <w:spacing w:after="0" w:line="240" w:lineRule="auto"/>
        <w:jc w:val="both"/>
        <w:rPr>
          <w:rFonts w:ascii="Verdana" w:eastAsia="Verdana" w:hAnsi="Verdana" w:cs="Verdana"/>
          <w:sz w:val="20"/>
          <w:szCs w:val="20"/>
        </w:rPr>
      </w:pPr>
    </w:p>
    <w:p w14:paraId="50C10EC5" w14:textId="77777777" w:rsidR="00AC377F" w:rsidRPr="0007142E" w:rsidRDefault="00AC377F" w:rsidP="00AC377F">
      <w:pPr>
        <w:spacing w:after="0" w:line="240" w:lineRule="auto"/>
        <w:jc w:val="both"/>
        <w:rPr>
          <w:rFonts w:ascii="Verdana" w:eastAsia="Verdana" w:hAnsi="Verdana" w:cs="Verdana"/>
          <w:sz w:val="20"/>
          <w:szCs w:val="20"/>
          <w:lang w:val="es-MX"/>
        </w:rPr>
      </w:pPr>
      <w:r w:rsidRPr="0007142E">
        <w:rPr>
          <w:rFonts w:ascii="Verdana" w:eastAsia="Verdana" w:hAnsi="Verdana" w:cs="Verdana"/>
          <w:sz w:val="20"/>
          <w:szCs w:val="20"/>
          <w:lang w:val="es-MX"/>
        </w:rPr>
        <w:t xml:space="preserve">En este contexto, la Ley de Garantías Electorales establece el marco jurídico para el desarrollo de las elecciones, procurando condiciones de igualdad y transparencia para los aspirantes. Paralelamente, se incluyen restricciones en las actuaciones de los servidores públicos, evitando interferencias en la contienda electoral, así como la posible desviación de recursos públicos en aspiraciones electorales. Por ello, varias de las disposiciones de la Ley 996 de 2005, al contener normas prohibitivas, no admiten una interpretación amplia, sino que deben interpretarse restrictivamente. </w:t>
      </w:r>
    </w:p>
    <w:p w14:paraId="196078A1" w14:textId="77777777" w:rsidR="00AC377F" w:rsidRPr="0007142E" w:rsidRDefault="00AC377F" w:rsidP="00AC377F">
      <w:pPr>
        <w:spacing w:after="0" w:line="240" w:lineRule="auto"/>
        <w:jc w:val="both"/>
        <w:rPr>
          <w:rFonts w:ascii="Verdana" w:eastAsia="Verdana" w:hAnsi="Verdana" w:cs="Verdana"/>
          <w:bCs/>
          <w:sz w:val="20"/>
          <w:szCs w:val="20"/>
          <w:lang w:val="es-ES_tradnl"/>
        </w:rPr>
      </w:pPr>
      <w:r w:rsidRPr="0007142E">
        <w:rPr>
          <w:rFonts w:ascii="Verdana" w:eastAsia="Verdana" w:hAnsi="Verdana" w:cs="Verdana"/>
          <w:bCs/>
          <w:sz w:val="20"/>
          <w:szCs w:val="20"/>
          <w:lang w:val="es-ES_tradnl"/>
        </w:rPr>
        <w:t>[…]</w:t>
      </w:r>
    </w:p>
    <w:p w14:paraId="250082E5" w14:textId="77777777" w:rsidR="00AC377F" w:rsidRPr="0007142E" w:rsidRDefault="00AC377F" w:rsidP="00AC377F">
      <w:pPr>
        <w:spacing w:after="0" w:line="240" w:lineRule="auto"/>
        <w:jc w:val="both"/>
        <w:rPr>
          <w:rFonts w:ascii="Verdana" w:eastAsia="Verdana" w:hAnsi="Verdana" w:cs="Verdana"/>
          <w:sz w:val="20"/>
          <w:szCs w:val="20"/>
        </w:rPr>
      </w:pPr>
      <w:r w:rsidRPr="0007142E">
        <w:rPr>
          <w:rFonts w:ascii="Verdana" w:eastAsia="Verdana" w:hAnsi="Verdana" w:cs="Verdana"/>
          <w:sz w:val="20"/>
          <w:szCs w:val="20"/>
          <w:lang w:val="es-MX"/>
        </w:rPr>
        <w:t>De</w:t>
      </w:r>
      <w:r w:rsidRPr="0007142E">
        <w:rPr>
          <w:rFonts w:ascii="Verdana" w:eastAsia="Verdana" w:hAnsi="Verdana" w:cs="Verdana"/>
          <w:sz w:val="20"/>
          <w:szCs w:val="20"/>
          <w:lang w:bidi="es-ES"/>
        </w:rPr>
        <w:t xml:space="preserve"> conformidad con lo anterior, la Ley de Garantías Electorales estableció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De este modo, se encuentra el artículo 38 de la Ley de Garantías Electorales.</w:t>
      </w:r>
    </w:p>
    <w:p w14:paraId="1FAA4CD5" w14:textId="77777777" w:rsidR="00AC377F" w:rsidRPr="0007142E" w:rsidRDefault="00AC377F" w:rsidP="00AC377F">
      <w:pPr>
        <w:spacing w:after="0" w:line="240" w:lineRule="auto"/>
        <w:jc w:val="both"/>
        <w:rPr>
          <w:rFonts w:ascii="Verdana" w:eastAsia="Verdana" w:hAnsi="Verdana" w:cs="Verdana"/>
          <w:sz w:val="20"/>
          <w:szCs w:val="20"/>
        </w:rPr>
      </w:pPr>
      <w:r w:rsidRPr="0007142E">
        <w:rPr>
          <w:rFonts w:ascii="Verdana" w:eastAsia="Verdana" w:hAnsi="Verdana" w:cs="Verdana"/>
          <w:sz w:val="20"/>
          <w:szCs w:val="20"/>
        </w:rPr>
        <w:t>[…]</w:t>
      </w:r>
    </w:p>
    <w:p w14:paraId="63523F59" w14:textId="77777777" w:rsidR="00AC377F" w:rsidRPr="0007142E" w:rsidRDefault="00AC377F" w:rsidP="00AC377F">
      <w:pPr>
        <w:spacing w:after="0" w:line="240" w:lineRule="auto"/>
        <w:jc w:val="both"/>
        <w:rPr>
          <w:rFonts w:ascii="Verdana" w:eastAsia="Verdana" w:hAnsi="Verdana" w:cs="Verdana"/>
          <w:bCs/>
          <w:sz w:val="20"/>
          <w:szCs w:val="20"/>
          <w:lang w:val="es-ES_tradnl"/>
        </w:rPr>
      </w:pPr>
    </w:p>
    <w:p w14:paraId="65552D78" w14:textId="77777777" w:rsidR="00AC377F" w:rsidRPr="0007142E" w:rsidRDefault="00AC377F" w:rsidP="00AC377F">
      <w:pPr>
        <w:spacing w:after="0" w:line="240" w:lineRule="auto"/>
        <w:jc w:val="both"/>
        <w:rPr>
          <w:rFonts w:ascii="Verdana" w:eastAsia="Verdana" w:hAnsi="Verdana" w:cs="Verdana"/>
          <w:bCs/>
          <w:sz w:val="20"/>
          <w:szCs w:val="20"/>
          <w:lang w:val="es-ES_tradnl"/>
        </w:rPr>
      </w:pPr>
      <w:r w:rsidRPr="0007142E">
        <w:rPr>
          <w:rFonts w:ascii="Verdana" w:eastAsia="Verdana" w:hAnsi="Verdana" w:cs="Verdana"/>
          <w:bCs/>
          <w:sz w:val="20"/>
          <w:szCs w:val="20"/>
          <w:lang w:val="es-ES_tradnl"/>
        </w:rPr>
        <w:t xml:space="preserve">El artículo 38 establece que los servidores públicos tienen prohibido presionar a sus subalternos para apoyar causas políticas, difundir propaganda electoral usando medios oficiales, otorgar beneficios o ascensos indebidos por afinidad política, ofrecer ventajas particulares a ciudadanos o comunidades para influir en el voto, y despedir funcionarios de carrera alegando “buen servicio”. La violación de cualquiera de estas normas se considera una falta gravísima. Ahora bien, establecida la prohibición a los empleados públicos de participar en actividades políticas, es necesario analizar si los contratistas se les puede extender mediante interpretación de la Constitución y la Ley. </w:t>
      </w:r>
    </w:p>
    <w:p w14:paraId="0FBE4344" w14:textId="77777777" w:rsidR="00AC377F" w:rsidRPr="0007142E" w:rsidRDefault="00AC377F" w:rsidP="00AC377F">
      <w:pPr>
        <w:spacing w:after="0" w:line="240" w:lineRule="auto"/>
        <w:jc w:val="both"/>
        <w:rPr>
          <w:rFonts w:ascii="Verdana" w:eastAsia="Verdana" w:hAnsi="Verdana" w:cs="Verdana"/>
          <w:b/>
          <w:lang w:val="es-ES_tradnl"/>
        </w:rPr>
      </w:pPr>
    </w:p>
    <w:p w14:paraId="1127460C" w14:textId="77777777" w:rsidR="00AC377F" w:rsidRPr="00A007C7" w:rsidRDefault="00AC377F" w:rsidP="00AC377F">
      <w:pPr>
        <w:spacing w:after="0" w:line="240" w:lineRule="auto"/>
        <w:jc w:val="both"/>
        <w:rPr>
          <w:rFonts w:ascii="Verdana" w:eastAsia="Verdana" w:hAnsi="Verdana" w:cs="Verdana"/>
          <w:b/>
        </w:rPr>
      </w:pPr>
      <w:r w:rsidRPr="00A007C7">
        <w:rPr>
          <w:rFonts w:ascii="Verdana" w:eastAsia="Verdana" w:hAnsi="Verdana" w:cs="Verdana"/>
          <w:b/>
        </w:rPr>
        <w:t>PARTICIPACIÓN EN POLÍTICA – Restricciones – Contratistas de Prestación de Servicios – Uso adecuado – Recursos Públicos</w:t>
      </w:r>
    </w:p>
    <w:p w14:paraId="2AB6F2A2" w14:textId="77777777" w:rsidR="00AC377F" w:rsidRDefault="00AC377F" w:rsidP="00AC377F">
      <w:pPr>
        <w:spacing w:after="0" w:line="240" w:lineRule="auto"/>
        <w:rPr>
          <w:rFonts w:ascii="Verdana" w:eastAsia="Verdana" w:hAnsi="Verdana" w:cs="Verdana"/>
        </w:rPr>
      </w:pPr>
    </w:p>
    <w:p w14:paraId="4786F423" w14:textId="77777777" w:rsidR="00AC377F" w:rsidRPr="0007142E" w:rsidRDefault="00AC377F" w:rsidP="00AC377F">
      <w:pPr>
        <w:spacing w:after="0" w:line="240" w:lineRule="auto"/>
        <w:jc w:val="both"/>
        <w:rPr>
          <w:rFonts w:ascii="Verdana" w:eastAsia="Verdana" w:hAnsi="Verdana" w:cs="Verdana"/>
          <w:bCs/>
          <w:sz w:val="20"/>
          <w:lang w:val="es-ES_tradnl"/>
        </w:rPr>
      </w:pPr>
      <w:r w:rsidRPr="0007142E">
        <w:rPr>
          <w:rFonts w:ascii="Verdana" w:eastAsia="Verdana" w:hAnsi="Verdana" w:cs="Verdana"/>
          <w:bCs/>
          <w:sz w:val="20"/>
          <w:lang w:val="es-ES_tradnl"/>
        </w:rPr>
        <w:t>En este contexto, los contratistas de prestación de servicios no les aplicaría la restricción para su participación en política, pues no están dentro de las restricciones constitucionales ni legales. Sin embargo, ello no significa que las entidades públicas les permitan adelantar su actividad política en los horarios ni mucho menos en los espacios y sedes de estas. Para ello, es menester tener en cuenta lo dispuesto en el parágrafo único del artículo 38 de la Ley 996 de 2005, que prohíbe a los gobernadores, alcaldes municipales y/o distritales, secretarios, gerentes y directores de entidades descentralizadas, entre otras cosas, lo siguiente: “</w:t>
      </w:r>
      <w:r w:rsidRPr="0007142E">
        <w:rPr>
          <w:rFonts w:ascii="Verdana" w:eastAsia="Verdana" w:hAnsi="Verdana" w:cs="Verdana"/>
          <w:bCs/>
          <w:sz w:val="20"/>
        </w:rPr>
        <w:t>No podrán autorizar la utilización de inmuebles o bienes muebles de carácter público para actividades proselitistas, ni para facilitar el alojamiento, ni el transporte de electores de candidatos a cargos de elección popular. Tampoco podrán hacerlo cuando participen voceros de los candidatos”.</w:t>
      </w:r>
    </w:p>
    <w:p w14:paraId="1F50C0E7" w14:textId="77777777" w:rsidR="00AC377F" w:rsidRPr="0007142E" w:rsidRDefault="00AC377F" w:rsidP="00AC377F">
      <w:pPr>
        <w:spacing w:after="0" w:line="240" w:lineRule="auto"/>
        <w:jc w:val="both"/>
        <w:rPr>
          <w:rFonts w:ascii="Verdana" w:eastAsia="Verdana" w:hAnsi="Verdana" w:cs="Verdana"/>
          <w:bCs/>
          <w:sz w:val="20"/>
        </w:rPr>
      </w:pPr>
      <w:r w:rsidRPr="0007142E">
        <w:rPr>
          <w:rFonts w:ascii="Verdana" w:eastAsia="Verdana" w:hAnsi="Verdana" w:cs="Verdana"/>
          <w:bCs/>
          <w:sz w:val="20"/>
        </w:rPr>
        <w:t xml:space="preserve">[…] </w:t>
      </w:r>
    </w:p>
    <w:p w14:paraId="78051DC1" w14:textId="77777777" w:rsidR="00AC377F" w:rsidRDefault="00AC377F" w:rsidP="00AC377F">
      <w:pPr>
        <w:spacing w:after="0" w:line="240" w:lineRule="auto"/>
        <w:jc w:val="both"/>
        <w:rPr>
          <w:rFonts w:ascii="Verdana" w:eastAsia="Verdana" w:hAnsi="Verdana" w:cs="Verdana"/>
          <w:bCs/>
          <w:sz w:val="20"/>
        </w:rPr>
      </w:pPr>
    </w:p>
    <w:p w14:paraId="77536C05" w14:textId="77777777" w:rsidR="00AC377F" w:rsidRPr="0007142E" w:rsidRDefault="00AC377F" w:rsidP="00AC377F">
      <w:pPr>
        <w:spacing w:after="0" w:line="240" w:lineRule="auto"/>
        <w:jc w:val="both"/>
        <w:rPr>
          <w:rFonts w:ascii="Verdana" w:eastAsia="Verdana" w:hAnsi="Verdana" w:cs="Verdana"/>
          <w:bCs/>
          <w:sz w:val="20"/>
        </w:rPr>
      </w:pPr>
      <w:r w:rsidRPr="0007142E">
        <w:rPr>
          <w:rFonts w:ascii="Verdana" w:eastAsia="Verdana" w:hAnsi="Verdana" w:cs="Verdana"/>
          <w:bCs/>
          <w:sz w:val="20"/>
        </w:rPr>
        <w:lastRenderedPageBreak/>
        <w:t xml:space="preserve">En este aspecto, es importante resaltar que la Procuraduría General de la Nación en sus diferentes directivas, en especial, la Directiva 013 del 28 de agosto de 2025 ha establecido una serie de recomendaciones en torno a la participación en actividades y controversias políticas y prohibiciones en relación con los procesos electorales para elegir Congreso de la República, Presidente y Vicepresidente de la República, Período 2026-2030. En dicha Directiva se detalla las normas que deben cumplirse y acatarse por parte de los servidores públicos y los particulares que cumplen funciones públicas frente a restricciones y prohibiciones relativas a la participación en las actividades de los partidos y movimientos políticos y en las controversias políticas, sin perjuicio de ejercer libremente el derecho de afiliación a las agrupaciones políticas y el derecho al sufragio. </w:t>
      </w:r>
    </w:p>
    <w:p w14:paraId="56640635" w14:textId="77777777" w:rsidR="00AC377F" w:rsidRPr="0007142E" w:rsidRDefault="00AC377F" w:rsidP="00AC377F">
      <w:pPr>
        <w:spacing w:after="0" w:line="240" w:lineRule="auto"/>
        <w:jc w:val="both"/>
        <w:rPr>
          <w:rFonts w:ascii="Verdana" w:eastAsia="Verdana" w:hAnsi="Verdana" w:cs="Verdana"/>
          <w:bCs/>
          <w:sz w:val="20"/>
        </w:rPr>
      </w:pPr>
      <w:r w:rsidRPr="0007142E">
        <w:rPr>
          <w:rFonts w:ascii="Verdana" w:eastAsia="Verdana" w:hAnsi="Verdana" w:cs="Verdana"/>
          <w:bCs/>
          <w:sz w:val="20"/>
        </w:rPr>
        <w:t xml:space="preserve">En referencia a esta Directiva, se resalta una de las prohibiciones a todo servidor público, contenida en el Artículo 2°, literal k, que dispone: “k) Autorizar la utilización de inmuebles o bienes muebles de carácter público para actividades proselitistas”. De tal manera, las entidades y en estricto sentido, los servidores públicos no pueden permitir que los contratistas usen los bienes y recursos públicos que están a su disposición y uso, con el fin de que se desvíen hacia intereses particulares o partidistas, lo cual generaría una ventaja indebida y afectaría la igualdad en la competencia electoral. </w:t>
      </w:r>
    </w:p>
    <w:p w14:paraId="564F0BF9" w14:textId="77777777" w:rsidR="00AC377F" w:rsidRPr="0007142E" w:rsidRDefault="00AC377F" w:rsidP="00AC377F">
      <w:pPr>
        <w:spacing w:after="0" w:line="240" w:lineRule="auto"/>
        <w:jc w:val="both"/>
        <w:rPr>
          <w:rFonts w:ascii="Verdana" w:eastAsia="Verdana" w:hAnsi="Verdana" w:cs="Verdana"/>
          <w:bCs/>
          <w:sz w:val="20"/>
        </w:rPr>
      </w:pPr>
    </w:p>
    <w:p w14:paraId="318B3ECD" w14:textId="77777777" w:rsidR="00AC377F" w:rsidRPr="0007142E" w:rsidRDefault="00AC377F" w:rsidP="00AC377F">
      <w:pPr>
        <w:spacing w:after="0" w:line="240" w:lineRule="auto"/>
        <w:jc w:val="both"/>
        <w:rPr>
          <w:rFonts w:ascii="Verdana" w:eastAsia="Verdana" w:hAnsi="Verdana" w:cs="Verdana"/>
          <w:bCs/>
          <w:sz w:val="20"/>
        </w:rPr>
      </w:pPr>
      <w:r w:rsidRPr="0007142E">
        <w:rPr>
          <w:rFonts w:ascii="Verdana" w:eastAsia="Verdana" w:hAnsi="Verdana" w:cs="Verdana"/>
          <w:bCs/>
          <w:sz w:val="20"/>
        </w:rPr>
        <w:t xml:space="preserve">Por último, se señala que los particulares que cumplen funciones públicas no se encuentran los contratistas de prestación de servicios, sino que están los notarios, los interventores y los auxiliares de justicia. Sin embargo, dicha exclusión no los exonera de que los contratistas de prestación de servicios incurran en conductas con incidencia en responsabilidad penal que resulten aplicables a las campañas electorales y a la diligencia de escrutinios. Dichas conductas están reguladas en la Ley </w:t>
      </w:r>
      <w:hyperlink r:id="rId10" w:history="1">
        <w:r w:rsidRPr="0007142E">
          <w:rPr>
            <w:rStyle w:val="Hipervnculo"/>
            <w:rFonts w:ascii="Verdana" w:eastAsia="Verdana" w:hAnsi="Verdana" w:cs="Verdana"/>
            <w:bCs/>
            <w:color w:val="auto"/>
            <w:sz w:val="20"/>
          </w:rPr>
          <w:t>1864</w:t>
        </w:r>
      </w:hyperlink>
      <w:r w:rsidRPr="0007142E">
        <w:rPr>
          <w:rFonts w:ascii="Verdana" w:eastAsia="Verdana" w:hAnsi="Verdana" w:cs="Verdana"/>
          <w:bCs/>
          <w:sz w:val="20"/>
        </w:rPr>
        <w:t xml:space="preserve"> de 2017, por la cual se modificó la Ley </w:t>
      </w:r>
      <w:hyperlink r:id="rId11" w:history="1">
        <w:r w:rsidRPr="0007142E">
          <w:rPr>
            <w:rStyle w:val="Hipervnculo"/>
            <w:rFonts w:ascii="Verdana" w:eastAsia="Verdana" w:hAnsi="Verdana" w:cs="Verdana"/>
            <w:bCs/>
            <w:color w:val="auto"/>
            <w:sz w:val="20"/>
          </w:rPr>
          <w:t>599</w:t>
        </w:r>
      </w:hyperlink>
      <w:r w:rsidRPr="0007142E">
        <w:rPr>
          <w:rFonts w:ascii="Verdana" w:eastAsia="Verdana" w:hAnsi="Verdana" w:cs="Verdana"/>
          <w:bCs/>
          <w:sz w:val="20"/>
        </w:rPr>
        <w:t xml:space="preserve"> de 2000, como son la perturbación del certamen democrático, constreñimiento al sufragante, fraude al sufragante, corrupción de sufragante, tráfico de votos, voto fraudulento, entre otros tipos penales.  </w:t>
      </w:r>
    </w:p>
    <w:p w14:paraId="45F5152A" w14:textId="77777777" w:rsidR="00AC377F" w:rsidRDefault="00AC377F" w:rsidP="00AC377F">
      <w:pPr>
        <w:spacing w:after="0"/>
        <w:rPr>
          <w:rFonts w:ascii="Verdana" w:eastAsia="Verdana" w:hAnsi="Verdana" w:cs="Verdana"/>
        </w:rPr>
      </w:pPr>
    </w:p>
    <w:p w14:paraId="6639CC2A" w14:textId="77777777" w:rsidR="00AC377F" w:rsidRDefault="00AC377F" w:rsidP="00AC377F">
      <w:pPr>
        <w:spacing w:after="0"/>
        <w:rPr>
          <w:rFonts w:ascii="Verdana" w:eastAsia="Verdana" w:hAnsi="Verdana" w:cs="Verdana"/>
        </w:rPr>
      </w:pPr>
    </w:p>
    <w:p w14:paraId="525A5447" w14:textId="77777777" w:rsidR="00AC377F" w:rsidRDefault="00AC377F" w:rsidP="00AC377F">
      <w:pPr>
        <w:spacing w:after="0"/>
        <w:rPr>
          <w:rFonts w:ascii="Verdana" w:eastAsia="Verdana" w:hAnsi="Verdana" w:cs="Verdana"/>
        </w:rPr>
      </w:pPr>
    </w:p>
    <w:p w14:paraId="6E600CA5" w14:textId="77777777" w:rsidR="00AC377F" w:rsidRDefault="00AC377F" w:rsidP="00AC377F">
      <w:pPr>
        <w:spacing w:after="0"/>
        <w:rPr>
          <w:rFonts w:ascii="Verdana" w:eastAsia="Verdana" w:hAnsi="Verdana" w:cs="Verdana"/>
        </w:rPr>
      </w:pPr>
    </w:p>
    <w:p w14:paraId="75D20282" w14:textId="77777777" w:rsidR="00AC377F" w:rsidRDefault="00AC377F" w:rsidP="00AC377F">
      <w:pPr>
        <w:spacing w:after="0"/>
        <w:rPr>
          <w:rFonts w:ascii="Verdana" w:eastAsia="Verdana" w:hAnsi="Verdana" w:cs="Verdana"/>
        </w:rPr>
      </w:pPr>
    </w:p>
    <w:p w14:paraId="14B73D13" w14:textId="77777777" w:rsidR="00AC377F" w:rsidRDefault="00AC377F" w:rsidP="00AC377F">
      <w:pPr>
        <w:spacing w:after="0"/>
        <w:rPr>
          <w:rFonts w:ascii="Verdana" w:eastAsia="Verdana" w:hAnsi="Verdana" w:cs="Verdana"/>
        </w:rPr>
      </w:pPr>
    </w:p>
    <w:p w14:paraId="54AEC184" w14:textId="77777777" w:rsidR="00AC377F" w:rsidRDefault="00AC377F" w:rsidP="00AC377F">
      <w:pPr>
        <w:spacing w:after="0"/>
        <w:rPr>
          <w:rFonts w:ascii="Verdana" w:eastAsia="Verdana" w:hAnsi="Verdana" w:cs="Verdana"/>
        </w:rPr>
      </w:pPr>
    </w:p>
    <w:p w14:paraId="4F42C6F5" w14:textId="77777777" w:rsidR="00AC377F" w:rsidRDefault="00AC377F" w:rsidP="00AC377F">
      <w:pPr>
        <w:spacing w:after="0"/>
        <w:rPr>
          <w:rFonts w:ascii="Verdana" w:eastAsia="Verdana" w:hAnsi="Verdana" w:cs="Verdana"/>
        </w:rPr>
      </w:pPr>
    </w:p>
    <w:p w14:paraId="4FD79552" w14:textId="77777777" w:rsidR="00AC377F" w:rsidRDefault="00AC377F" w:rsidP="00AC377F">
      <w:pPr>
        <w:spacing w:after="0"/>
        <w:rPr>
          <w:rFonts w:ascii="Verdana" w:eastAsia="Verdana" w:hAnsi="Verdana" w:cs="Verdana"/>
        </w:rPr>
      </w:pPr>
    </w:p>
    <w:p w14:paraId="1C884F58" w14:textId="77777777" w:rsidR="00AC377F" w:rsidRDefault="00AC377F" w:rsidP="00AC377F">
      <w:pPr>
        <w:spacing w:after="0"/>
        <w:rPr>
          <w:rFonts w:ascii="Verdana" w:eastAsia="Verdana" w:hAnsi="Verdana" w:cs="Verdana"/>
        </w:rPr>
      </w:pPr>
    </w:p>
    <w:p w14:paraId="3458B3AB" w14:textId="77777777" w:rsidR="00AC377F" w:rsidRDefault="00AC377F" w:rsidP="00AC377F">
      <w:pPr>
        <w:spacing w:after="0"/>
        <w:rPr>
          <w:rFonts w:ascii="Verdana" w:eastAsia="Verdana" w:hAnsi="Verdana" w:cs="Verdana"/>
        </w:rPr>
      </w:pPr>
    </w:p>
    <w:p w14:paraId="49F172A6" w14:textId="77777777" w:rsidR="00AC377F" w:rsidRDefault="00AC377F" w:rsidP="00AC377F">
      <w:pPr>
        <w:spacing w:after="0"/>
        <w:rPr>
          <w:rFonts w:ascii="Verdana" w:eastAsia="Verdana" w:hAnsi="Verdana" w:cs="Verdana"/>
        </w:rPr>
      </w:pPr>
    </w:p>
    <w:p w14:paraId="0280F959" w14:textId="77777777" w:rsidR="00D3683A" w:rsidRDefault="00D3683A" w:rsidP="00AC377F">
      <w:pPr>
        <w:spacing w:after="0"/>
        <w:rPr>
          <w:rFonts w:ascii="Verdana" w:eastAsia="Verdana" w:hAnsi="Verdana" w:cs="Verdana"/>
        </w:rPr>
      </w:pPr>
    </w:p>
    <w:p w14:paraId="45FE8929" w14:textId="77777777" w:rsidR="00D3683A" w:rsidRDefault="00D3683A" w:rsidP="00AC377F">
      <w:pPr>
        <w:spacing w:after="0"/>
        <w:rPr>
          <w:rFonts w:ascii="Verdana" w:eastAsia="Verdana" w:hAnsi="Verdana" w:cs="Verdana"/>
        </w:rPr>
      </w:pPr>
    </w:p>
    <w:p w14:paraId="71D91B7E" w14:textId="77777777" w:rsidR="00D3683A" w:rsidRDefault="00D3683A" w:rsidP="00AC377F">
      <w:pPr>
        <w:spacing w:after="0"/>
        <w:rPr>
          <w:rFonts w:ascii="Verdana" w:eastAsia="Verdana" w:hAnsi="Verdana" w:cs="Verdana"/>
        </w:rPr>
      </w:pPr>
    </w:p>
    <w:p w14:paraId="4EC827BD" w14:textId="77777777" w:rsidR="00AC377F" w:rsidRDefault="00AC377F" w:rsidP="00AC377F">
      <w:pPr>
        <w:spacing w:after="0"/>
        <w:rPr>
          <w:rFonts w:ascii="Verdana" w:eastAsia="Verdana" w:hAnsi="Verdana" w:cs="Verdana"/>
        </w:rPr>
      </w:pPr>
    </w:p>
    <w:p w14:paraId="6FA96AE7" w14:textId="5A761E02" w:rsidR="00AC377F" w:rsidRPr="00FB2944" w:rsidRDefault="00AC377F" w:rsidP="00AC377F">
      <w:pPr>
        <w:spacing w:after="0"/>
        <w:rPr>
          <w:rFonts w:ascii="Verdana" w:hAnsi="Verdana"/>
        </w:rPr>
      </w:pPr>
      <w:r>
        <w:rPr>
          <w:rFonts w:ascii="Verdana" w:eastAsia="Verdana" w:hAnsi="Verdana" w:cs="Verdana"/>
        </w:rPr>
        <w:lastRenderedPageBreak/>
        <w:t xml:space="preserve">Bogotá D.C., </w:t>
      </w:r>
      <w:r w:rsidR="00D3683A">
        <w:rPr>
          <w:rFonts w:ascii="Verdana" w:eastAsia="Verdana" w:hAnsi="Verdana" w:cs="Verdana"/>
        </w:rPr>
        <w:t>25 agosto 2026</w:t>
      </w:r>
      <w:r w:rsidRPr="00337320">
        <w:rPr>
          <w:rFonts w:ascii="Verdana" w:hAnsi="Verdana"/>
        </w:rPr>
        <w:tab/>
      </w:r>
    </w:p>
    <w:p w14:paraId="517719AD" w14:textId="006A07ED" w:rsidR="00AC377F" w:rsidRPr="00FB2944" w:rsidRDefault="00D3683A" w:rsidP="00AC377F">
      <w:pPr>
        <w:spacing w:after="0"/>
        <w:rPr>
          <w:rFonts w:ascii="Verdana" w:hAnsi="Verdana"/>
        </w:rPr>
      </w:pPr>
      <w:r w:rsidRPr="00D3683A">
        <w:rPr>
          <w:rFonts w:ascii="Verdana" w:eastAsia="Verdana" w:hAnsi="Verdana" w:cs="Verdana"/>
          <w:noProof/>
        </w:rPr>
        <w:drawing>
          <wp:anchor distT="0" distB="0" distL="114300" distR="114300" simplePos="0" relativeHeight="251658240" behindDoc="1" locked="0" layoutInCell="1" allowOverlap="1" wp14:anchorId="32A8A484" wp14:editId="7EBEB05D">
            <wp:simplePos x="0" y="0"/>
            <wp:positionH relativeFrom="margin">
              <wp:align>right</wp:align>
            </wp:positionH>
            <wp:positionV relativeFrom="paragraph">
              <wp:posOffset>80783</wp:posOffset>
            </wp:positionV>
            <wp:extent cx="2782570" cy="768985"/>
            <wp:effectExtent l="0" t="0" r="0" b="0"/>
            <wp:wrapTight wrapText="bothSides">
              <wp:wrapPolygon edited="0">
                <wp:start x="0" y="0"/>
                <wp:lineTo x="0" y="20869"/>
                <wp:lineTo x="21442" y="20869"/>
                <wp:lineTo x="21442" y="0"/>
                <wp:lineTo x="0" y="0"/>
              </wp:wrapPolygon>
            </wp:wrapTight>
            <wp:docPr id="16827124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2570" cy="768985"/>
                    </a:xfrm>
                    <a:prstGeom prst="rect">
                      <a:avLst/>
                    </a:prstGeom>
                    <a:noFill/>
                    <a:ln>
                      <a:noFill/>
                    </a:ln>
                  </pic:spPr>
                </pic:pic>
              </a:graphicData>
            </a:graphic>
          </wp:anchor>
        </w:drawing>
      </w:r>
    </w:p>
    <w:p w14:paraId="6120E221" w14:textId="77777777" w:rsidR="00AC377F" w:rsidRPr="00D63293" w:rsidRDefault="00AC377F" w:rsidP="00AC377F">
      <w:pPr>
        <w:spacing w:after="0"/>
        <w:rPr>
          <w:rFonts w:ascii="Verdana" w:hAnsi="Verdana"/>
        </w:rPr>
      </w:pPr>
    </w:p>
    <w:p w14:paraId="458FF57D" w14:textId="77777777" w:rsidR="00AC377F" w:rsidRPr="00FB2944" w:rsidRDefault="00AC377F" w:rsidP="00AC377F">
      <w:pPr>
        <w:spacing w:after="0" w:line="240" w:lineRule="auto"/>
        <w:rPr>
          <w:rFonts w:ascii="Verdana" w:eastAsia="Calibri" w:hAnsi="Verdana" w:cs="Times New Roman"/>
          <w:lang w:val="es-MX"/>
        </w:rPr>
      </w:pPr>
      <w:r w:rsidRPr="00FB2944">
        <w:rPr>
          <w:rFonts w:ascii="Verdana" w:eastAsia="Calibri" w:hAnsi="Verdana" w:cs="Times New Roman"/>
          <w:lang w:val="es-MX"/>
        </w:rPr>
        <w:t>Señor</w:t>
      </w:r>
      <w:r>
        <w:rPr>
          <w:rFonts w:ascii="Verdana" w:eastAsia="Calibri" w:hAnsi="Verdana" w:cs="Times New Roman"/>
          <w:lang w:val="es-MX"/>
        </w:rPr>
        <w:t>(a)</w:t>
      </w:r>
    </w:p>
    <w:p w14:paraId="3EC98CA9" w14:textId="77777777" w:rsidR="00AC377F" w:rsidRPr="00FB2944" w:rsidRDefault="00AC377F" w:rsidP="00AC377F">
      <w:pPr>
        <w:spacing w:after="0" w:line="240" w:lineRule="auto"/>
        <w:rPr>
          <w:rFonts w:ascii="Verdana" w:eastAsia="Calibri" w:hAnsi="Verdana" w:cs="Times New Roman"/>
          <w:b/>
        </w:rPr>
      </w:pPr>
      <w:r w:rsidRPr="00FB2944">
        <w:rPr>
          <w:rFonts w:ascii="Verdana" w:eastAsia="Calibri" w:hAnsi="Verdana" w:cs="Times New Roman"/>
          <w:b/>
        </w:rPr>
        <w:t>An</w:t>
      </w:r>
      <w:r>
        <w:rPr>
          <w:rFonts w:ascii="Verdana" w:eastAsia="Calibri" w:hAnsi="Verdana" w:cs="Times New Roman"/>
          <w:b/>
        </w:rPr>
        <w:t xml:space="preserve">ónimo </w:t>
      </w:r>
    </w:p>
    <w:p w14:paraId="5525F779" w14:textId="77777777" w:rsidR="00AC377F" w:rsidRPr="0004628F" w:rsidRDefault="00AC377F" w:rsidP="00AC377F">
      <w:pPr>
        <w:spacing w:after="0" w:line="240" w:lineRule="auto"/>
        <w:rPr>
          <w:rFonts w:ascii="Verdana" w:hAnsi="Verdana"/>
        </w:rPr>
      </w:pPr>
      <w:hyperlink r:id="rId13" w:history="1">
        <w:r w:rsidRPr="00D4159F">
          <w:rPr>
            <w:rStyle w:val="Hipervnculo"/>
            <w:rFonts w:ascii="Verdana" w:hAnsi="Verdana"/>
          </w:rPr>
          <w:t>gilpisalazar@gmail.com</w:t>
        </w:r>
      </w:hyperlink>
    </w:p>
    <w:p w14:paraId="2C93D31F" w14:textId="77777777" w:rsidR="00AC377F" w:rsidRPr="0004628F" w:rsidRDefault="00AC377F" w:rsidP="00AC377F">
      <w:pPr>
        <w:spacing w:after="0" w:line="240" w:lineRule="auto"/>
        <w:rPr>
          <w:rFonts w:ascii="Verdana" w:hAnsi="Verdana"/>
        </w:rPr>
      </w:pPr>
      <w:r w:rsidRPr="00D63293">
        <w:rPr>
          <w:rFonts w:ascii="Verdana" w:eastAsia="Calibri" w:hAnsi="Verdana" w:cs="Times New Roman"/>
        </w:rPr>
        <w:t>Bogotá D.C.</w:t>
      </w:r>
    </w:p>
    <w:p w14:paraId="3E1710E5" w14:textId="77777777" w:rsidR="00AC377F" w:rsidRPr="00FB2944" w:rsidRDefault="00AC377F" w:rsidP="00AC377F">
      <w:pPr>
        <w:spacing w:after="0" w:line="240" w:lineRule="auto"/>
        <w:rPr>
          <w:rFonts w:ascii="Verdana" w:eastAsia="Calibri" w:hAnsi="Verdana" w:cs="Times New Roman"/>
        </w:rPr>
      </w:pPr>
    </w:p>
    <w:p w14:paraId="15F009B8" w14:textId="77777777" w:rsidR="00AC377F" w:rsidRPr="00FB2944" w:rsidRDefault="00AC377F" w:rsidP="00AC377F">
      <w:pPr>
        <w:spacing w:after="0" w:line="240" w:lineRule="auto"/>
        <w:rPr>
          <w:rFonts w:ascii="Verdana" w:eastAsia="Calibri" w:hAnsi="Verdana" w:cs="Times New Roman"/>
        </w:rPr>
      </w:pPr>
    </w:p>
    <w:p w14:paraId="34B19A3B" w14:textId="77777777" w:rsidR="00AC377F" w:rsidRPr="00FB2944" w:rsidRDefault="00AC377F" w:rsidP="00AC377F">
      <w:pPr>
        <w:spacing w:after="0" w:line="240" w:lineRule="auto"/>
        <w:rPr>
          <w:rFonts w:ascii="Verdana" w:eastAsia="Calibri" w:hAnsi="Verdana" w:cs="Times New Roman"/>
          <w:b/>
          <w:bCs/>
          <w:lang w:val="es-ES"/>
        </w:rPr>
      </w:pPr>
      <w:r w:rsidRPr="00FB2944">
        <w:rPr>
          <w:rFonts w:ascii="Verdana" w:eastAsia="Calibri" w:hAnsi="Verdana" w:cs="Times New Roman"/>
          <w:b/>
          <w:bCs/>
        </w:rPr>
        <w:t xml:space="preserve">                                    </w:t>
      </w:r>
      <w:r w:rsidRPr="00FB2944">
        <w:rPr>
          <w:rFonts w:ascii="Verdana" w:eastAsia="Calibri" w:hAnsi="Verdana" w:cs="Times New Roman"/>
          <w:b/>
          <w:bCs/>
          <w:lang w:val="es-ES"/>
        </w:rPr>
        <w:t xml:space="preserve">Concepto C– </w:t>
      </w:r>
      <w:r>
        <w:rPr>
          <w:rFonts w:ascii="Verdana" w:eastAsia="Calibri" w:hAnsi="Verdana" w:cs="Times New Roman"/>
          <w:b/>
          <w:bCs/>
          <w:lang w:val="es-ES"/>
        </w:rPr>
        <w:t>1119</w:t>
      </w:r>
      <w:r w:rsidRPr="00FB2944">
        <w:rPr>
          <w:rFonts w:ascii="Verdana" w:eastAsia="Calibri" w:hAnsi="Verdana" w:cs="Times New Roman"/>
          <w:b/>
          <w:bCs/>
          <w:lang w:val="es-ES"/>
        </w:rPr>
        <w:t xml:space="preserve"> de 2026</w:t>
      </w:r>
    </w:p>
    <w:p w14:paraId="1C76A0BA" w14:textId="77777777" w:rsidR="00AC377F" w:rsidRPr="00FB2944" w:rsidRDefault="00AC377F" w:rsidP="00AC377F">
      <w:pPr>
        <w:spacing w:after="0" w:line="240"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AC377F" w:rsidRPr="00FB2944" w14:paraId="53442A4D" w14:textId="77777777" w:rsidTr="00C93A5F">
        <w:trPr>
          <w:trHeight w:val="884"/>
        </w:trPr>
        <w:tc>
          <w:tcPr>
            <w:tcW w:w="2685" w:type="dxa"/>
            <w:hideMark/>
          </w:tcPr>
          <w:p w14:paraId="0E00CA81" w14:textId="77777777" w:rsidR="00AC377F" w:rsidRPr="00FB2944" w:rsidRDefault="00AC377F" w:rsidP="00C93A5F">
            <w:pPr>
              <w:rPr>
                <w:rFonts w:ascii="Verdana" w:hAnsi="Verdana"/>
                <w:b/>
                <w:bCs/>
                <w:lang w:val="es-ES_tradnl"/>
              </w:rPr>
            </w:pPr>
            <w:r w:rsidRPr="00FB2944">
              <w:rPr>
                <w:rFonts w:ascii="Verdana" w:hAnsi="Verdana"/>
                <w:b/>
                <w:bCs/>
                <w:lang w:val="es-ES_tradnl"/>
              </w:rPr>
              <w:t xml:space="preserve">Temas:                   </w:t>
            </w:r>
          </w:p>
        </w:tc>
        <w:tc>
          <w:tcPr>
            <w:tcW w:w="6241" w:type="dxa"/>
            <w:hideMark/>
          </w:tcPr>
          <w:p w14:paraId="4F655C8D" w14:textId="77777777" w:rsidR="00AC377F" w:rsidRPr="00FB2944" w:rsidRDefault="00AC377F" w:rsidP="00C93A5F">
            <w:pPr>
              <w:jc w:val="both"/>
              <w:rPr>
                <w:rFonts w:ascii="Verdana" w:hAnsi="Verdana" w:cs="Arial"/>
                <w:lang w:val="es-ES_tradnl"/>
              </w:rPr>
            </w:pPr>
            <w:r w:rsidRPr="00FB2944">
              <w:rPr>
                <w:rFonts w:ascii="Verdana" w:hAnsi="Verdana" w:cs="Arial"/>
                <w:lang w:val="es-ES_tradnl"/>
              </w:rPr>
              <w:t>CONTRATO DE PRESTACIÓN DE SERVICIOS – Definición / CONTRATO DE PRESTACIÓN DE SERVICIOS – Características / RESTRICCIONES Y LIMITACIONES – Inhabilidades e incompatibilidades – Conflictos de Interés – Restricciones – Prohibiciones / PARTICIPACIÓN EN POLÍTICA – Restricciones Constitucionales / PARTICIPACIÓN EN POLÍTICA – Ley de Garantías – Restricciones – Servidores Públicos / PARTICIPACIÓN EN POLÍTICA – Restricciones – Contratistas de Prestación de Servicios – Uso adecuado – Recursos Públicos.</w:t>
            </w:r>
          </w:p>
        </w:tc>
        <w:tc>
          <w:tcPr>
            <w:tcW w:w="6237" w:type="dxa"/>
          </w:tcPr>
          <w:p w14:paraId="7E9C7512" w14:textId="77777777" w:rsidR="00AC377F" w:rsidRPr="00FB2944" w:rsidRDefault="00AC377F" w:rsidP="00C93A5F">
            <w:pPr>
              <w:rPr>
                <w:rFonts w:ascii="Verdana" w:hAnsi="Verdana"/>
              </w:rPr>
            </w:pPr>
          </w:p>
        </w:tc>
      </w:tr>
      <w:tr w:rsidR="00AC377F" w:rsidRPr="00FB2944" w14:paraId="10E091B6" w14:textId="77777777" w:rsidTr="00C93A5F">
        <w:tc>
          <w:tcPr>
            <w:tcW w:w="2685" w:type="dxa"/>
          </w:tcPr>
          <w:p w14:paraId="7917A210" w14:textId="77777777" w:rsidR="00AC377F" w:rsidRPr="00FB2944" w:rsidRDefault="00AC377F" w:rsidP="00C93A5F">
            <w:pPr>
              <w:rPr>
                <w:rFonts w:ascii="Verdana" w:hAnsi="Verdana"/>
                <w:lang w:val="es-ES_tradnl"/>
              </w:rPr>
            </w:pPr>
          </w:p>
          <w:p w14:paraId="1AB134B4" w14:textId="77777777" w:rsidR="00AC377F" w:rsidRPr="009431D2" w:rsidRDefault="00AC377F" w:rsidP="00C93A5F">
            <w:pPr>
              <w:rPr>
                <w:rFonts w:ascii="Verdana" w:hAnsi="Verdana"/>
                <w:b/>
                <w:bCs/>
                <w:lang w:val="es-ES_tradnl"/>
              </w:rPr>
            </w:pPr>
            <w:r w:rsidRPr="00D63293">
              <w:rPr>
                <w:rFonts w:ascii="Verdana" w:hAnsi="Verdana"/>
                <w:b/>
                <w:bCs/>
                <w:lang w:val="es-ES_tradnl"/>
              </w:rPr>
              <w:t>Radicación:</w:t>
            </w:r>
            <w:r w:rsidRPr="008475E0">
              <w:rPr>
                <w:rFonts w:ascii="Verdana" w:hAnsi="Verdana"/>
                <w:b/>
                <w:bCs/>
                <w:lang w:val="es-ES_tradnl"/>
              </w:rPr>
              <w:t xml:space="preserve">               </w:t>
            </w:r>
          </w:p>
        </w:tc>
        <w:tc>
          <w:tcPr>
            <w:tcW w:w="6241" w:type="dxa"/>
          </w:tcPr>
          <w:p w14:paraId="1B3F9EA8" w14:textId="77777777" w:rsidR="00AC377F" w:rsidRPr="00FB2944" w:rsidRDefault="00AC377F" w:rsidP="00C93A5F">
            <w:pPr>
              <w:jc w:val="both"/>
              <w:rPr>
                <w:rFonts w:ascii="Verdana" w:hAnsi="Verdana"/>
                <w:lang w:val="es-ES_tradnl"/>
              </w:rPr>
            </w:pPr>
          </w:p>
          <w:p w14:paraId="72B64E86" w14:textId="77777777" w:rsidR="00AC377F" w:rsidRPr="00FB2944" w:rsidRDefault="00AC377F" w:rsidP="00C93A5F">
            <w:pPr>
              <w:jc w:val="both"/>
              <w:rPr>
                <w:rFonts w:ascii="Verdana" w:hAnsi="Verdana"/>
              </w:rPr>
            </w:pPr>
            <w:r w:rsidRPr="00FB2944">
              <w:rPr>
                <w:rFonts w:ascii="Verdana" w:hAnsi="Verdana"/>
                <w:lang w:val="es-ES_tradnl"/>
              </w:rPr>
              <w:t xml:space="preserve">Respuesta a consulta con radicado </w:t>
            </w:r>
            <w:r w:rsidRPr="00A461FB">
              <w:rPr>
                <w:rFonts w:ascii="Verdana" w:hAnsi="Verdana"/>
              </w:rPr>
              <w:t>1_2026_07_14_009298</w:t>
            </w:r>
          </w:p>
          <w:p w14:paraId="56EF4D0F" w14:textId="77777777" w:rsidR="00AC377F" w:rsidRPr="00FB2944" w:rsidRDefault="00AC377F" w:rsidP="00C93A5F">
            <w:pPr>
              <w:jc w:val="both"/>
              <w:rPr>
                <w:rFonts w:ascii="Verdana" w:hAnsi="Verdana"/>
              </w:rPr>
            </w:pPr>
          </w:p>
        </w:tc>
        <w:tc>
          <w:tcPr>
            <w:tcW w:w="6237" w:type="dxa"/>
          </w:tcPr>
          <w:p w14:paraId="356C2552" w14:textId="77777777" w:rsidR="00AC377F" w:rsidRPr="00FB2944" w:rsidRDefault="00AC377F" w:rsidP="00C93A5F">
            <w:pPr>
              <w:rPr>
                <w:rFonts w:ascii="Verdana" w:hAnsi="Verdana"/>
                <w:lang w:val="es-ES_tradnl"/>
              </w:rPr>
            </w:pPr>
          </w:p>
        </w:tc>
      </w:tr>
      <w:tr w:rsidR="00AC377F" w:rsidRPr="00FB2944" w14:paraId="3D999DC0" w14:textId="77777777" w:rsidTr="00C93A5F">
        <w:tc>
          <w:tcPr>
            <w:tcW w:w="2685" w:type="dxa"/>
          </w:tcPr>
          <w:p w14:paraId="12429B35" w14:textId="77777777" w:rsidR="00AC377F" w:rsidRPr="00FB2944" w:rsidRDefault="00AC377F" w:rsidP="00C93A5F">
            <w:pPr>
              <w:spacing w:line="276" w:lineRule="auto"/>
              <w:rPr>
                <w:rFonts w:ascii="Verdana" w:hAnsi="Verdana"/>
                <w:lang w:val="es-ES_tradnl"/>
              </w:rPr>
            </w:pPr>
          </w:p>
        </w:tc>
        <w:tc>
          <w:tcPr>
            <w:tcW w:w="6241" w:type="dxa"/>
          </w:tcPr>
          <w:p w14:paraId="2048FA8D" w14:textId="77777777" w:rsidR="00AC377F" w:rsidRPr="00FB2944" w:rsidRDefault="00AC377F" w:rsidP="00C93A5F">
            <w:pPr>
              <w:spacing w:line="276" w:lineRule="auto"/>
              <w:jc w:val="both"/>
              <w:rPr>
                <w:rFonts w:ascii="Verdana" w:hAnsi="Verdana"/>
                <w:lang w:val="es-ES_tradnl"/>
              </w:rPr>
            </w:pPr>
          </w:p>
        </w:tc>
        <w:tc>
          <w:tcPr>
            <w:tcW w:w="6237" w:type="dxa"/>
          </w:tcPr>
          <w:p w14:paraId="2AC0B2D7" w14:textId="77777777" w:rsidR="00AC377F" w:rsidRPr="00FB2944" w:rsidRDefault="00AC377F" w:rsidP="00C93A5F">
            <w:pPr>
              <w:spacing w:line="276" w:lineRule="auto"/>
              <w:rPr>
                <w:rFonts w:ascii="Verdana" w:hAnsi="Verdana"/>
                <w:lang w:val="es-ES_tradnl"/>
              </w:rPr>
            </w:pPr>
          </w:p>
        </w:tc>
      </w:tr>
    </w:tbl>
    <w:p w14:paraId="494598B4" w14:textId="77777777" w:rsidR="00AC377F" w:rsidRPr="00FB2944" w:rsidRDefault="00AC377F" w:rsidP="00AC377F">
      <w:pPr>
        <w:spacing w:after="0" w:line="276" w:lineRule="auto"/>
        <w:rPr>
          <w:rFonts w:ascii="Verdana" w:eastAsia="Calibri" w:hAnsi="Verdana" w:cs="Times New Roman"/>
          <w:lang w:val="es-ES"/>
        </w:rPr>
      </w:pPr>
      <w:r w:rsidRPr="00FB2944">
        <w:rPr>
          <w:rFonts w:ascii="Verdana" w:eastAsia="Calibri" w:hAnsi="Verdana" w:cs="Times New Roman"/>
          <w:lang w:val="es-ES"/>
        </w:rPr>
        <w:t>Estimado</w:t>
      </w:r>
      <w:r>
        <w:rPr>
          <w:rFonts w:ascii="Verdana" w:eastAsia="Calibri" w:hAnsi="Verdana" w:cs="Times New Roman"/>
          <w:lang w:val="es-ES"/>
        </w:rPr>
        <w:t>(a)</w:t>
      </w:r>
      <w:r w:rsidRPr="00FB2944">
        <w:rPr>
          <w:rFonts w:ascii="Verdana" w:eastAsia="Calibri" w:hAnsi="Verdana" w:cs="Times New Roman"/>
          <w:lang w:val="es-ES"/>
        </w:rPr>
        <w:t xml:space="preserve"> Señor</w:t>
      </w:r>
      <w:r>
        <w:rPr>
          <w:rFonts w:ascii="Verdana" w:eastAsia="Calibri" w:hAnsi="Verdana" w:cs="Times New Roman"/>
          <w:lang w:val="es-ES"/>
        </w:rPr>
        <w:t>(a)</w:t>
      </w:r>
      <w:r w:rsidRPr="00FB2944">
        <w:rPr>
          <w:rFonts w:ascii="Verdana" w:eastAsia="Calibri" w:hAnsi="Verdana" w:cs="Times New Roman"/>
          <w:lang w:val="es-ES"/>
        </w:rPr>
        <w:t>:</w:t>
      </w:r>
    </w:p>
    <w:p w14:paraId="0E0015F3" w14:textId="77777777" w:rsidR="00AC377F" w:rsidRPr="00FB2944" w:rsidRDefault="00AC377F" w:rsidP="00AC377F">
      <w:pPr>
        <w:spacing w:after="0" w:line="276" w:lineRule="auto"/>
        <w:rPr>
          <w:rFonts w:ascii="Verdana" w:eastAsia="Calibri" w:hAnsi="Verdana" w:cs="Times New Roman"/>
          <w:lang w:val="es-ES"/>
        </w:rPr>
      </w:pPr>
    </w:p>
    <w:p w14:paraId="3456B59D" w14:textId="306C506E" w:rsidR="00AC377F" w:rsidRPr="00FB2944" w:rsidRDefault="00AC377F" w:rsidP="00AC377F">
      <w:pPr>
        <w:spacing w:after="0" w:line="276" w:lineRule="auto"/>
        <w:jc w:val="both"/>
        <w:rPr>
          <w:rFonts w:ascii="Verdana" w:eastAsia="Calibri" w:hAnsi="Verdana" w:cs="Times New Roman"/>
          <w:bCs/>
          <w:lang w:val="es-ES" w:bidi="es-ES"/>
        </w:rPr>
      </w:pPr>
      <w:r w:rsidRPr="00D63293">
        <w:rPr>
          <w:rFonts w:ascii="Verdana" w:eastAsia="Calibri" w:hAnsi="Verdana" w:cs="Times New Roman"/>
          <w:bCs/>
          <w:lang w:val="es-ES" w:bidi="es-ES"/>
        </w:rPr>
        <w:t xml:space="preserve">En ejercicio de la competencia otorgada por los artículos 3, numeral 5º, y 11, numeral 8º, del Decreto Ley 4170 de 2011, </w:t>
      </w:r>
      <w:r w:rsidRPr="00FB2944">
        <w:rPr>
          <w:rFonts w:ascii="Verdana" w:eastAsia="Calibri" w:hAnsi="Verdana" w:cs="Times New Roman"/>
          <w:bCs/>
        </w:rPr>
        <w:t xml:space="preserve">así como lo establecido por la Resolución 469 de 2025 expedida por esta Entidad, </w:t>
      </w:r>
      <w:r w:rsidRPr="00FB2944">
        <w:rPr>
          <w:rFonts w:ascii="Verdana" w:eastAsia="Calibri" w:hAnsi="Verdana" w:cs="Times New Roman"/>
          <w:bCs/>
          <w:lang w:val="es-ES" w:bidi="es-ES"/>
        </w:rPr>
        <w:t xml:space="preserve">la Agencia Nacional de Contratación Pública – Colombia Compra Eficiente– responde la solicitud de consulta presentada el </w:t>
      </w:r>
      <w:r w:rsidR="00EC3362">
        <w:rPr>
          <w:rFonts w:ascii="Verdana" w:eastAsia="Calibri" w:hAnsi="Verdana" w:cs="Times New Roman"/>
          <w:bCs/>
          <w:lang w:val="es-ES" w:bidi="es-ES"/>
        </w:rPr>
        <w:t>14</w:t>
      </w:r>
      <w:r>
        <w:rPr>
          <w:rFonts w:ascii="Verdana" w:eastAsia="Calibri" w:hAnsi="Verdana" w:cs="Times New Roman"/>
          <w:bCs/>
          <w:lang w:val="es-ES" w:bidi="es-ES"/>
        </w:rPr>
        <w:t xml:space="preserve"> de julio</w:t>
      </w:r>
      <w:r w:rsidRPr="00FB2944">
        <w:rPr>
          <w:rFonts w:ascii="Verdana" w:eastAsia="Calibri" w:hAnsi="Verdana" w:cs="Times New Roman"/>
          <w:bCs/>
          <w:lang w:val="es-ES" w:bidi="es-ES"/>
        </w:rPr>
        <w:t xml:space="preserve"> de 2026 en torno a la participación política de contratistas de prestación de servicios, en la cual manifiesta: </w:t>
      </w:r>
    </w:p>
    <w:p w14:paraId="7D82138F" w14:textId="77777777" w:rsidR="00AC377F" w:rsidRPr="00FB2944" w:rsidRDefault="00AC377F" w:rsidP="00AC377F">
      <w:pPr>
        <w:spacing w:after="0" w:line="276" w:lineRule="auto"/>
        <w:jc w:val="both"/>
        <w:rPr>
          <w:rFonts w:ascii="Verdana" w:eastAsia="Calibri" w:hAnsi="Verdana" w:cs="Times New Roman"/>
          <w:lang w:val="es-ES"/>
        </w:rPr>
      </w:pPr>
    </w:p>
    <w:p w14:paraId="023558C1" w14:textId="77777777" w:rsidR="00AC377F" w:rsidRPr="00080959" w:rsidRDefault="00AC377F" w:rsidP="00AC377F">
      <w:pPr>
        <w:spacing w:after="0" w:line="240" w:lineRule="auto"/>
        <w:ind w:left="709" w:right="709"/>
        <w:jc w:val="both"/>
        <w:rPr>
          <w:rFonts w:ascii="Verdana" w:eastAsia="Calibri" w:hAnsi="Verdana" w:cs="Times New Roman"/>
          <w:sz w:val="20"/>
          <w:szCs w:val="20"/>
        </w:rPr>
      </w:pPr>
      <w:r w:rsidRPr="00080959">
        <w:rPr>
          <w:rFonts w:ascii="Verdana" w:eastAsia="Calibri" w:hAnsi="Verdana" w:cs="Times New Roman"/>
          <w:sz w:val="20"/>
          <w:szCs w:val="20"/>
        </w:rPr>
        <w:t xml:space="preserve"> </w:t>
      </w:r>
      <w:r w:rsidRPr="00080959">
        <w:rPr>
          <w:rFonts w:ascii="Verdana" w:eastAsia="Calibri" w:hAnsi="Verdana" w:cs="Times New Roman"/>
          <w:i/>
          <w:iCs/>
          <w:sz w:val="20"/>
          <w:szCs w:val="20"/>
        </w:rPr>
        <w:t xml:space="preserve">“DE ACUERDO CON LA NORMATIVIDAD VIGENTE, SOLICITO INFORMACIÓN SI LAS PERSONAS NATURALES O JURÍDICAS QUE TIENEN CONTRATOS U OPS (ORDEN DE PRESTACIÓN DE SERVICIOS) CON UNA ENTIDAD PUBLICA (GOBERNACIÓN O ALCALDIA) </w:t>
      </w:r>
    </w:p>
    <w:p w14:paraId="539A84B5" w14:textId="77777777" w:rsidR="00AC377F" w:rsidRPr="00080959" w:rsidRDefault="00AC377F" w:rsidP="00AC377F">
      <w:pPr>
        <w:spacing w:after="0" w:line="240" w:lineRule="auto"/>
        <w:ind w:left="709" w:right="709"/>
        <w:jc w:val="both"/>
        <w:rPr>
          <w:rFonts w:ascii="Verdana" w:eastAsia="Calibri" w:hAnsi="Verdana" w:cs="Times New Roman"/>
          <w:sz w:val="20"/>
          <w:szCs w:val="20"/>
        </w:rPr>
      </w:pPr>
      <w:r w:rsidRPr="00080959">
        <w:rPr>
          <w:rFonts w:ascii="Verdana" w:eastAsia="Calibri" w:hAnsi="Verdana" w:cs="Times New Roman"/>
          <w:i/>
          <w:iCs/>
          <w:sz w:val="20"/>
          <w:szCs w:val="20"/>
        </w:rPr>
        <w:lastRenderedPageBreak/>
        <w:t xml:space="preserve">PUEDEN INTERVENIR EN POLITICA, </w:t>
      </w:r>
    </w:p>
    <w:p w14:paraId="69E1EE1E" w14:textId="77777777" w:rsidR="00AC377F" w:rsidRPr="003C7D14" w:rsidRDefault="00AC377F" w:rsidP="00AC377F">
      <w:pPr>
        <w:spacing w:after="0" w:line="240" w:lineRule="auto"/>
        <w:ind w:left="709" w:right="709"/>
        <w:jc w:val="both"/>
        <w:rPr>
          <w:rFonts w:ascii="Verdana" w:eastAsia="Calibri" w:hAnsi="Verdana" w:cs="Times New Roman"/>
          <w:sz w:val="20"/>
          <w:szCs w:val="20"/>
        </w:rPr>
      </w:pPr>
      <w:r w:rsidRPr="00080959">
        <w:rPr>
          <w:rFonts w:ascii="Verdana" w:eastAsia="Calibri" w:hAnsi="Verdana" w:cs="Times New Roman"/>
          <w:i/>
          <w:iCs/>
          <w:sz w:val="20"/>
          <w:szCs w:val="20"/>
        </w:rPr>
        <w:t>MANIFESTANDO SU INTERÉS POR UN CANDIDATO EN PARTICULAR O UN PARTIDO O PUEDEN PUBLICAR PUBLICIDAD EN LAS REDES SOCIALES DE DETERMINADO CANTIDATO O PARTIDO.”</w:t>
      </w:r>
    </w:p>
    <w:p w14:paraId="1B78E7FE" w14:textId="77777777" w:rsidR="00AC377F" w:rsidRPr="00337320" w:rsidRDefault="00AC377F" w:rsidP="00AC377F">
      <w:pPr>
        <w:spacing w:after="0" w:line="276" w:lineRule="auto"/>
        <w:ind w:left="709" w:right="709"/>
        <w:jc w:val="both"/>
        <w:rPr>
          <w:rFonts w:ascii="Verdana" w:eastAsia="Calibri" w:hAnsi="Verdana" w:cs="Times New Roman"/>
          <w:bCs/>
          <w:i/>
          <w:iCs/>
        </w:rPr>
      </w:pPr>
    </w:p>
    <w:p w14:paraId="0868AEC1" w14:textId="77777777" w:rsidR="00AC377F" w:rsidRPr="0060163E" w:rsidRDefault="00AC377F" w:rsidP="00AC377F">
      <w:pPr>
        <w:spacing w:after="120" w:line="276" w:lineRule="auto"/>
        <w:ind w:firstLine="709"/>
        <w:jc w:val="both"/>
        <w:rPr>
          <w:rFonts w:ascii="Verdana" w:eastAsia="Calibri" w:hAnsi="Verdana" w:cs="Times New Roman"/>
          <w:lang w:val="es-ES"/>
        </w:rPr>
      </w:pPr>
      <w:r w:rsidRPr="0060163E">
        <w:rPr>
          <w:rFonts w:ascii="Verdana" w:eastAsia="Calibri" w:hAnsi="Verdana" w:cs="Times New Roman"/>
          <w:lang w:val="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Times New Roman"/>
          <w:lang w:val="es-ES"/>
        </w:rPr>
        <w:t xml:space="preserve">la Agencia Nacional de Contratación Pública – </w:t>
      </w:r>
      <w:r w:rsidRPr="0060163E">
        <w:rPr>
          <w:rFonts w:ascii="Verdana" w:eastAsia="Calibri" w:hAnsi="Verdana" w:cs="Times New Roman"/>
          <w:lang w:val="es-ES"/>
        </w:rPr>
        <w:t>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3304CD6C" w14:textId="77777777" w:rsidR="00AC377F" w:rsidRDefault="00AC377F" w:rsidP="00AC377F">
      <w:pPr>
        <w:spacing w:after="0" w:line="276" w:lineRule="auto"/>
        <w:ind w:firstLine="708"/>
        <w:jc w:val="both"/>
        <w:rPr>
          <w:rFonts w:ascii="Verdana" w:eastAsia="Calibri" w:hAnsi="Verdana" w:cs="Times New Roman"/>
          <w:lang w:val="es-ES"/>
        </w:rPr>
      </w:pPr>
      <w:r w:rsidRPr="0060163E">
        <w:rPr>
          <w:rFonts w:ascii="Verdana" w:eastAsia="Calibri" w:hAnsi="Verdana" w:cs="Times New Roman"/>
          <w:lang w:val="es-ES"/>
        </w:rPr>
        <w:t>Conforme</w:t>
      </w:r>
      <w:r>
        <w:rPr>
          <w:rFonts w:ascii="Verdana" w:eastAsia="Calibri" w:hAnsi="Verdana" w:cs="Times New Roman"/>
          <w:lang w:val="es-ES"/>
        </w:rPr>
        <w:t xml:space="preserve"> a</w:t>
      </w:r>
      <w:r w:rsidRPr="0060163E">
        <w:rPr>
          <w:rFonts w:ascii="Verdana" w:eastAsia="Calibri" w:hAnsi="Verdana" w:cs="Times New Roman"/>
          <w:lang w:val="es-ES"/>
        </w:rPr>
        <w:t xml:space="preserve"> lo expuesto, en aras de satisfacer el derecho fundamental de petición se resolverá su consulta dentro de los límites de la referida competencia consultiva, esto es, haciendo abstracción de las circunstancias particulares y concretas mencionadas en su petición, pero </w:t>
      </w:r>
      <w:r>
        <w:rPr>
          <w:rFonts w:ascii="Verdana" w:eastAsia="Calibri" w:hAnsi="Verdana" w:cs="Times New Roman"/>
          <w:lang w:val="es-ES"/>
        </w:rPr>
        <w:t>señalando</w:t>
      </w:r>
      <w:r w:rsidRPr="0060163E">
        <w:rPr>
          <w:rFonts w:ascii="Verdana" w:eastAsia="Calibri" w:hAnsi="Verdana" w:cs="Times New Roman"/>
          <w:lang w:val="es-ES"/>
        </w:rPr>
        <w:t xml:space="preserve"> </w:t>
      </w:r>
      <w:r>
        <w:rPr>
          <w:rFonts w:ascii="Verdana" w:eastAsia="Calibri" w:hAnsi="Verdana" w:cs="Times New Roman"/>
          <w:lang w:val="es-ES"/>
        </w:rPr>
        <w:t>alg</w:t>
      </w:r>
      <w:r w:rsidRPr="0060163E">
        <w:rPr>
          <w:rFonts w:ascii="Verdana" w:eastAsia="Calibri" w:hAnsi="Verdana" w:cs="Times New Roman"/>
          <w:lang w:val="es-ES"/>
        </w:rPr>
        <w:t>unas consideraciones sobre las normas generales</w:t>
      </w:r>
      <w:r>
        <w:rPr>
          <w:rFonts w:ascii="Verdana" w:eastAsia="Calibri" w:hAnsi="Verdana" w:cs="Times New Roman"/>
          <w:lang w:val="es-ES"/>
        </w:rPr>
        <w:t xml:space="preserve"> en materia de contratación estatal</w:t>
      </w:r>
      <w:r w:rsidRPr="0060163E">
        <w:rPr>
          <w:rFonts w:ascii="Verdana" w:eastAsia="Calibri" w:hAnsi="Verdana" w:cs="Times New Roman"/>
          <w:lang w:val="es-ES"/>
        </w:rPr>
        <w:t xml:space="preserve"> relacionada</w:t>
      </w:r>
      <w:r>
        <w:rPr>
          <w:rFonts w:ascii="Verdana" w:eastAsia="Calibri" w:hAnsi="Verdana" w:cs="Times New Roman"/>
          <w:lang w:val="es-ES"/>
        </w:rPr>
        <w:t xml:space="preserve">s con el problema jurídico de su consulta. </w:t>
      </w:r>
    </w:p>
    <w:p w14:paraId="5A49819F" w14:textId="77777777" w:rsidR="00AC377F" w:rsidRPr="0060163E" w:rsidRDefault="00AC377F" w:rsidP="00AC377F">
      <w:pPr>
        <w:spacing w:after="0" w:line="276" w:lineRule="auto"/>
        <w:ind w:firstLine="708"/>
        <w:jc w:val="both"/>
        <w:rPr>
          <w:rFonts w:ascii="Verdana" w:eastAsia="Calibri" w:hAnsi="Verdana" w:cs="Times New Roman"/>
          <w:lang w:val="es-ES"/>
        </w:rPr>
      </w:pPr>
    </w:p>
    <w:p w14:paraId="50FEA559" w14:textId="77777777" w:rsidR="00AC377F" w:rsidRPr="0060163E" w:rsidRDefault="00AC377F" w:rsidP="00AC377F">
      <w:pPr>
        <w:spacing w:after="0" w:line="276" w:lineRule="auto"/>
        <w:rPr>
          <w:rFonts w:ascii="Verdana" w:eastAsia="Calibri" w:hAnsi="Verdana" w:cs="Times New Roman"/>
          <w:b/>
          <w:bCs/>
          <w:lang w:val="es-ES"/>
        </w:rPr>
      </w:pPr>
      <w:r>
        <w:rPr>
          <w:rFonts w:ascii="Verdana" w:eastAsia="Calibri" w:hAnsi="Verdana" w:cs="Times New Roman"/>
          <w:b/>
          <w:bCs/>
          <w:lang w:val="es-ES"/>
        </w:rPr>
        <w:t xml:space="preserve">I. </w:t>
      </w:r>
      <w:r w:rsidRPr="0060163E">
        <w:rPr>
          <w:rFonts w:ascii="Verdana" w:eastAsia="Calibri" w:hAnsi="Verdana" w:cs="Times New Roman"/>
          <w:b/>
          <w:bCs/>
          <w:lang w:val="es-ES"/>
        </w:rPr>
        <w:t>Problema planteado:</w:t>
      </w:r>
    </w:p>
    <w:p w14:paraId="541A3972" w14:textId="77777777" w:rsidR="00AC377F" w:rsidRPr="0060163E" w:rsidRDefault="00AC377F" w:rsidP="00AC377F">
      <w:pPr>
        <w:spacing w:after="0" w:line="276" w:lineRule="auto"/>
        <w:rPr>
          <w:rFonts w:ascii="Verdana" w:eastAsia="Calibri" w:hAnsi="Verdana" w:cs="Times New Roman"/>
        </w:rPr>
      </w:pPr>
    </w:p>
    <w:p w14:paraId="0D1ABCC2" w14:textId="77777777" w:rsidR="00AC377F" w:rsidRPr="00BF497E" w:rsidRDefault="00AC377F" w:rsidP="00AC377F">
      <w:pPr>
        <w:spacing w:after="0" w:line="276" w:lineRule="auto"/>
        <w:jc w:val="both"/>
        <w:rPr>
          <w:rFonts w:ascii="Verdana" w:eastAsia="Calibri" w:hAnsi="Verdana" w:cs="Times New Roman"/>
        </w:rPr>
      </w:pPr>
      <w:r w:rsidRPr="0060163E">
        <w:rPr>
          <w:rFonts w:ascii="Verdana" w:eastAsia="Calibri" w:hAnsi="Verdana" w:cs="Times New Roman"/>
        </w:rPr>
        <w:t xml:space="preserve">De acuerdo con el contenido de su solicitud, esta Agencia procede a resolver </w:t>
      </w:r>
      <w:r>
        <w:rPr>
          <w:rFonts w:ascii="Verdana" w:eastAsia="Calibri" w:hAnsi="Verdana" w:cs="Times New Roman"/>
        </w:rPr>
        <w:t xml:space="preserve">el siguiente problema jurídico: </w:t>
      </w:r>
      <w:r w:rsidRPr="00B36B4B">
        <w:rPr>
          <w:rFonts w:ascii="Verdana" w:eastAsia="Calibri" w:hAnsi="Verdana" w:cs="Times New Roman"/>
        </w:rPr>
        <w:t xml:space="preserve">¿Cuál es el alcance </w:t>
      </w:r>
      <w:r>
        <w:rPr>
          <w:rFonts w:ascii="Verdana" w:eastAsia="Calibri" w:hAnsi="Verdana" w:cs="Times New Roman"/>
        </w:rPr>
        <w:t xml:space="preserve">permitido para </w:t>
      </w:r>
      <w:r w:rsidRPr="00B36B4B">
        <w:rPr>
          <w:rFonts w:ascii="Verdana" w:eastAsia="Calibri" w:hAnsi="Verdana" w:cs="Times New Roman"/>
        </w:rPr>
        <w:t xml:space="preserve">la participación en actividades políticas por parte de contratistas </w:t>
      </w:r>
      <w:r>
        <w:rPr>
          <w:rFonts w:ascii="Verdana" w:eastAsia="Calibri" w:hAnsi="Verdana" w:cs="Times New Roman"/>
        </w:rPr>
        <w:t xml:space="preserve">de prestación de servicios </w:t>
      </w:r>
      <w:r w:rsidRPr="00B36B4B">
        <w:rPr>
          <w:rFonts w:ascii="Verdana" w:eastAsia="Calibri" w:hAnsi="Verdana" w:cs="Times New Roman"/>
        </w:rPr>
        <w:t xml:space="preserve">durante época electoral, </w:t>
      </w:r>
      <w:r>
        <w:rPr>
          <w:rFonts w:ascii="Verdana" w:eastAsia="Calibri" w:hAnsi="Verdana" w:cs="Times New Roman"/>
        </w:rPr>
        <w:t xml:space="preserve">y en qué medida </w:t>
      </w:r>
      <w:r w:rsidRPr="00B36B4B">
        <w:rPr>
          <w:rFonts w:ascii="Verdana" w:eastAsia="Calibri" w:hAnsi="Verdana" w:cs="Times New Roman"/>
        </w:rPr>
        <w:t>dichas actividades están permitidas dentro o fuera de la jornada laboral</w:t>
      </w:r>
      <w:r>
        <w:rPr>
          <w:rFonts w:ascii="Verdana" w:eastAsia="Calibri" w:hAnsi="Verdana" w:cs="Times New Roman"/>
        </w:rPr>
        <w:t>?</w:t>
      </w:r>
    </w:p>
    <w:p w14:paraId="55C818FF" w14:textId="77777777" w:rsidR="00AC377F" w:rsidRPr="0060163E" w:rsidRDefault="00AC377F" w:rsidP="00AC377F">
      <w:pPr>
        <w:spacing w:after="0" w:line="276" w:lineRule="auto"/>
        <w:rPr>
          <w:rFonts w:ascii="Verdana" w:eastAsia="Calibri" w:hAnsi="Verdana" w:cs="Times New Roman"/>
        </w:rPr>
      </w:pPr>
    </w:p>
    <w:p w14:paraId="7873C327" w14:textId="77777777" w:rsidR="00AC377F" w:rsidRPr="0060163E" w:rsidRDefault="00AC377F" w:rsidP="00AC377F">
      <w:pPr>
        <w:spacing w:after="0" w:line="276" w:lineRule="auto"/>
        <w:rPr>
          <w:rFonts w:ascii="Verdana" w:eastAsia="Calibri" w:hAnsi="Verdana" w:cs="Times New Roman"/>
          <w:b/>
          <w:bCs/>
          <w:lang w:val="es-ES"/>
        </w:rPr>
      </w:pPr>
      <w:r>
        <w:rPr>
          <w:rFonts w:ascii="Verdana" w:eastAsia="Calibri" w:hAnsi="Verdana" w:cs="Times New Roman"/>
          <w:b/>
          <w:bCs/>
          <w:lang w:val="es-ES"/>
        </w:rPr>
        <w:t xml:space="preserve">II. </w:t>
      </w:r>
      <w:r w:rsidRPr="0060163E">
        <w:rPr>
          <w:rFonts w:ascii="Verdana" w:eastAsia="Calibri" w:hAnsi="Verdana" w:cs="Times New Roman"/>
          <w:b/>
          <w:bCs/>
          <w:lang w:val="es-ES"/>
        </w:rPr>
        <w:t>Respuesta:</w:t>
      </w:r>
    </w:p>
    <w:p w14:paraId="0C12AB2E" w14:textId="77777777" w:rsidR="00AC377F" w:rsidRPr="0060163E" w:rsidRDefault="00AC377F" w:rsidP="00AC377F">
      <w:pPr>
        <w:spacing w:after="0" w:line="276" w:lineRule="auto"/>
        <w:jc w:val="both"/>
        <w:rPr>
          <w:rFonts w:ascii="Verdana" w:eastAsia="Calibri" w:hAnsi="Verdana" w:cs="Times New Roman"/>
          <w:bCs/>
          <w:lang w:val="es-ES" w:bidi="es-ES"/>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C377F" w:rsidRPr="0060163E" w14:paraId="39879F6A" w14:textId="77777777" w:rsidTr="00C93A5F">
        <w:trPr>
          <w:trHeight w:val="870"/>
          <w:jc w:val="center"/>
        </w:trPr>
        <w:tc>
          <w:tcPr>
            <w:tcW w:w="8647" w:type="dxa"/>
          </w:tcPr>
          <w:p w14:paraId="433DA880" w14:textId="77777777" w:rsidR="00AC377F" w:rsidRDefault="00AC377F" w:rsidP="00C93A5F">
            <w:pPr>
              <w:spacing w:after="120" w:line="276" w:lineRule="auto"/>
              <w:jc w:val="both"/>
              <w:rPr>
                <w:rFonts w:ascii="Verdana" w:eastAsia="Calibri" w:hAnsi="Verdana" w:cs="Arial"/>
                <w:bCs/>
                <w:color w:val="000000" w:themeColor="text1"/>
                <w:lang w:val="es-ES_tradnl"/>
              </w:rPr>
            </w:pPr>
            <w:r w:rsidRPr="00982AE2">
              <w:rPr>
                <w:rFonts w:ascii="Verdana" w:eastAsia="Calibri" w:hAnsi="Verdana" w:cs="Arial"/>
                <w:bCs/>
              </w:rPr>
              <w:lastRenderedPageBreak/>
              <w:t xml:space="preserve">De acuerdo </w:t>
            </w:r>
            <w:r>
              <w:rPr>
                <w:rFonts w:ascii="Verdana" w:eastAsia="Calibri" w:hAnsi="Verdana" w:cs="Arial"/>
                <w:bCs/>
              </w:rPr>
              <w:t>con</w:t>
            </w:r>
            <w:r w:rsidRPr="00982AE2">
              <w:rPr>
                <w:rFonts w:ascii="Verdana" w:eastAsia="Calibri" w:hAnsi="Verdana" w:cs="Arial"/>
                <w:bCs/>
              </w:rPr>
              <w:t xml:space="preserve"> </w:t>
            </w:r>
            <w:r>
              <w:rPr>
                <w:rFonts w:ascii="Verdana" w:eastAsia="Calibri" w:hAnsi="Verdana" w:cs="Arial"/>
                <w:bCs/>
              </w:rPr>
              <w:t xml:space="preserve">el </w:t>
            </w:r>
            <w:r w:rsidRPr="00982AE2">
              <w:rPr>
                <w:rFonts w:ascii="Verdana" w:eastAsia="Calibri" w:hAnsi="Verdana" w:cs="Arial"/>
                <w:bCs/>
              </w:rPr>
              <w:t xml:space="preserve">problema jurídico presentado, </w:t>
            </w:r>
            <w:r>
              <w:rPr>
                <w:rFonts w:ascii="Verdana" w:eastAsia="Calibri" w:hAnsi="Verdana" w:cs="Arial"/>
                <w:bCs/>
                <w:color w:val="000000" w:themeColor="text1"/>
                <w:lang w:val="es-ES_tradnl"/>
              </w:rPr>
              <w:t>l</w:t>
            </w:r>
            <w:r w:rsidRPr="00C00CDC">
              <w:rPr>
                <w:rFonts w:ascii="Verdana" w:eastAsia="Calibri" w:hAnsi="Verdana" w:cs="Arial"/>
                <w:bCs/>
                <w:color w:val="000000" w:themeColor="text1"/>
                <w:lang w:val="es-ES_tradnl"/>
              </w:rPr>
              <w:t xml:space="preserve">os contratistas de prestación de servicios no adquieren la calidad de servidores públicos, ya que su vinculación con el Estado se </w:t>
            </w:r>
            <w:r>
              <w:rPr>
                <w:rFonts w:ascii="Verdana" w:eastAsia="Calibri" w:hAnsi="Verdana" w:cs="Arial"/>
                <w:bCs/>
                <w:color w:val="000000" w:themeColor="text1"/>
                <w:lang w:val="es-ES_tradnl"/>
              </w:rPr>
              <w:t>realiza</w:t>
            </w:r>
            <w:r w:rsidRPr="00C00CDC">
              <w:rPr>
                <w:rFonts w:ascii="Verdana" w:eastAsia="Calibri" w:hAnsi="Verdana" w:cs="Arial"/>
                <w:bCs/>
                <w:color w:val="000000" w:themeColor="text1"/>
                <w:lang w:val="es-ES_tradnl"/>
              </w:rPr>
              <w:t xml:space="preserve"> exclusivamente a través de un contrato </w:t>
            </w:r>
            <w:r>
              <w:rPr>
                <w:rFonts w:ascii="Verdana" w:eastAsia="Calibri" w:hAnsi="Verdana" w:cs="Arial"/>
                <w:bCs/>
                <w:color w:val="000000" w:themeColor="text1"/>
                <w:lang w:val="es-ES_tradnl"/>
              </w:rPr>
              <w:t>estatal de prestación de servicios. Esta modalidad contractual no</w:t>
            </w:r>
            <w:r w:rsidRPr="00C00CDC">
              <w:rPr>
                <w:rFonts w:ascii="Verdana" w:eastAsia="Calibri" w:hAnsi="Verdana" w:cs="Arial"/>
                <w:bCs/>
                <w:color w:val="000000" w:themeColor="text1"/>
                <w:lang w:val="es-ES_tradnl"/>
              </w:rPr>
              <w:t xml:space="preserve"> les confier</w:t>
            </w:r>
            <w:r>
              <w:rPr>
                <w:rFonts w:ascii="Verdana" w:eastAsia="Calibri" w:hAnsi="Verdana" w:cs="Arial"/>
                <w:bCs/>
                <w:color w:val="000000" w:themeColor="text1"/>
                <w:lang w:val="es-ES_tradnl"/>
              </w:rPr>
              <w:t>e</w:t>
            </w:r>
            <w:r w:rsidRPr="00C00CDC">
              <w:rPr>
                <w:rFonts w:ascii="Verdana" w:eastAsia="Calibri" w:hAnsi="Verdana" w:cs="Arial"/>
                <w:bCs/>
                <w:color w:val="000000" w:themeColor="text1"/>
                <w:lang w:val="es-ES_tradnl"/>
              </w:rPr>
              <w:t xml:space="preserve"> una investidura pública</w:t>
            </w:r>
            <w:r>
              <w:rPr>
                <w:rFonts w:ascii="Verdana" w:eastAsia="Calibri" w:hAnsi="Verdana" w:cs="Arial"/>
                <w:bCs/>
                <w:color w:val="000000" w:themeColor="text1"/>
                <w:lang w:val="es-ES_tradnl"/>
              </w:rPr>
              <w:t xml:space="preserve"> ni los convierte en titulares del régimen jurídico aplicable a quienes ejercen funciones públicas</w:t>
            </w:r>
            <w:r w:rsidRPr="00C00CDC">
              <w:rPr>
                <w:rFonts w:ascii="Verdana" w:eastAsia="Calibri" w:hAnsi="Verdana" w:cs="Arial"/>
                <w:bCs/>
                <w:color w:val="000000" w:themeColor="text1"/>
                <w:lang w:val="es-ES_tradnl"/>
              </w:rPr>
              <w:t xml:space="preserve">. </w:t>
            </w:r>
            <w:r>
              <w:rPr>
                <w:rFonts w:ascii="Verdana" w:eastAsia="Calibri" w:hAnsi="Verdana" w:cs="Arial"/>
                <w:bCs/>
                <w:color w:val="000000" w:themeColor="text1"/>
                <w:lang w:val="es-ES_tradnl"/>
              </w:rPr>
              <w:t>Si bien</w:t>
            </w:r>
            <w:r w:rsidRPr="00C00CDC">
              <w:rPr>
                <w:rFonts w:ascii="Verdana" w:eastAsia="Calibri" w:hAnsi="Verdana" w:cs="Arial"/>
                <w:bCs/>
                <w:color w:val="000000" w:themeColor="text1"/>
                <w:lang w:val="es-ES_tradnl"/>
              </w:rPr>
              <w:t xml:space="preserve"> mediante dicho contrato se les </w:t>
            </w:r>
            <w:r>
              <w:rPr>
                <w:rFonts w:ascii="Verdana" w:eastAsia="Calibri" w:hAnsi="Verdana" w:cs="Arial"/>
                <w:bCs/>
                <w:color w:val="000000" w:themeColor="text1"/>
                <w:lang w:val="es-ES_tradnl"/>
              </w:rPr>
              <w:t xml:space="preserve">puede </w:t>
            </w:r>
            <w:r w:rsidRPr="00C00CDC">
              <w:rPr>
                <w:rFonts w:ascii="Verdana" w:eastAsia="Calibri" w:hAnsi="Verdana" w:cs="Arial"/>
                <w:bCs/>
                <w:color w:val="000000" w:themeColor="text1"/>
                <w:lang w:val="es-ES_tradnl"/>
              </w:rPr>
              <w:t>encomend</w:t>
            </w:r>
            <w:r>
              <w:rPr>
                <w:rFonts w:ascii="Verdana" w:eastAsia="Calibri" w:hAnsi="Verdana" w:cs="Arial"/>
                <w:bCs/>
                <w:color w:val="000000" w:themeColor="text1"/>
                <w:lang w:val="es-ES_tradnl"/>
              </w:rPr>
              <w:t>ar</w:t>
            </w:r>
            <w:r w:rsidRPr="00C00CDC">
              <w:rPr>
                <w:rFonts w:ascii="Verdana" w:eastAsia="Calibri" w:hAnsi="Verdana" w:cs="Arial"/>
                <w:bCs/>
                <w:color w:val="000000" w:themeColor="text1"/>
                <w:lang w:val="es-ES_tradnl"/>
              </w:rPr>
              <w:t xml:space="preserve"> la realización de actividades de interés general o utilidad pública, estas se ejecutan con autonomía técnica y operativa frente a la entidad contratante, lo que los mantiene en la condición de particulares. </w:t>
            </w:r>
          </w:p>
          <w:p w14:paraId="2F761775" w14:textId="77777777" w:rsidR="00AC377F" w:rsidRDefault="00AC377F" w:rsidP="00C93A5F">
            <w:pPr>
              <w:spacing w:after="120" w:line="276" w:lineRule="auto"/>
              <w:ind w:firstLine="709"/>
              <w:jc w:val="both"/>
              <w:rPr>
                <w:rFonts w:ascii="Verdana" w:eastAsia="Calibri" w:hAnsi="Verdana" w:cs="Arial"/>
                <w:bCs/>
                <w:color w:val="000000" w:themeColor="text1"/>
                <w:lang w:val="es-ES_tradnl"/>
              </w:rPr>
            </w:pPr>
            <w:r w:rsidRPr="00C00CDC">
              <w:rPr>
                <w:rFonts w:ascii="Verdana" w:eastAsia="Calibri" w:hAnsi="Verdana" w:cs="Arial"/>
                <w:bCs/>
                <w:color w:val="000000" w:themeColor="text1"/>
                <w:lang w:val="es-ES_tradnl"/>
              </w:rPr>
              <w:t>En consecuencia, el hecho de colaborar con la administración no implica el ejercicio de funciones públicas en sentido estricto, ni los somete al régimen jurídico propio de los servidores públicos</w:t>
            </w:r>
            <w:r>
              <w:rPr>
                <w:rFonts w:ascii="Verdana" w:eastAsia="Calibri" w:hAnsi="Verdana" w:cs="Arial"/>
                <w:bCs/>
                <w:color w:val="000000" w:themeColor="text1"/>
                <w:lang w:val="es-ES_tradnl"/>
              </w:rPr>
              <w:t xml:space="preserve"> y, por lo tanto, no los somete a las restricciones constitucionales y legales propias de los servidores públicos en materia de participación en política. Tales restricciones son de interpretación exegética y solo aplican a los sujetos a quienes las normas expresamente les impone. </w:t>
            </w:r>
          </w:p>
          <w:p w14:paraId="606EBEFD" w14:textId="77777777" w:rsidR="00AC377F" w:rsidRPr="00661930" w:rsidRDefault="00AC377F" w:rsidP="00C93A5F">
            <w:pPr>
              <w:spacing w:after="120" w:line="276" w:lineRule="auto"/>
              <w:ind w:firstLine="709"/>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Sin embargo, ello no significa que las entidades públicas puedan permitir o tolerar que los contratistas adelanten actividades políticas durante el tiempo destinado a la ejecución del contrato, ni mucho menos dentro de los espacios y sedes de estas o utilizando recursos públicos. En este punto, es menester tener en cuenta lo dispuesto en el parágrafo único del artículo 38 de la Ley 996 de 2005, el cual prohíbe a los gobernadores, alcaldes municipales y/o distritales, secretarios, gerentes y directores de entidades descentralizadas, entre otras cosas, lo siguiente: “</w:t>
            </w:r>
            <w:r w:rsidRPr="00550896">
              <w:rPr>
                <w:rFonts w:ascii="Verdana" w:eastAsia="Calibri" w:hAnsi="Verdana" w:cs="Arial"/>
                <w:bCs/>
              </w:rPr>
              <w:t>No podrán autorizar la utilización de inmuebles o bienes muebles de carácter público para actividades proselitistas, ni para facilitar el alojamiento, ni el transporte de electores de candidatos a cargos de elección popular. Tampoco podrán hacerlo cuando participen voceros de los candidatos</w:t>
            </w:r>
            <w:r>
              <w:rPr>
                <w:rFonts w:ascii="Verdana" w:eastAsia="Calibri" w:hAnsi="Verdana" w:cs="Arial"/>
                <w:bCs/>
              </w:rPr>
              <w:t>”</w:t>
            </w:r>
            <w:r w:rsidRPr="00550896">
              <w:rPr>
                <w:rFonts w:ascii="Verdana" w:eastAsia="Calibri" w:hAnsi="Verdana" w:cs="Arial"/>
                <w:bCs/>
              </w:rPr>
              <w:t>.</w:t>
            </w:r>
          </w:p>
          <w:p w14:paraId="13A1E7CC" w14:textId="77777777" w:rsidR="00AC377F" w:rsidRDefault="00AC377F" w:rsidP="00C93A5F">
            <w:pPr>
              <w:tabs>
                <w:tab w:val="left" w:pos="0"/>
              </w:tabs>
              <w:spacing w:after="120" w:line="276" w:lineRule="auto"/>
              <w:jc w:val="both"/>
              <w:rPr>
                <w:rFonts w:ascii="Verdana" w:eastAsia="Calibri" w:hAnsi="Verdana" w:cs="Arial"/>
                <w:bCs/>
              </w:rPr>
            </w:pPr>
            <w:r>
              <w:rPr>
                <w:rFonts w:ascii="Verdana" w:eastAsia="Calibri" w:hAnsi="Verdana" w:cs="Arial"/>
                <w:bCs/>
              </w:rPr>
              <w:tab/>
            </w:r>
            <w:r w:rsidRPr="002D6F7E">
              <w:rPr>
                <w:rFonts w:ascii="Verdana" w:eastAsia="Calibri" w:hAnsi="Verdana" w:cs="Arial"/>
                <w:bCs/>
              </w:rPr>
              <w:t xml:space="preserve">Esta disposición busca proteger la neutralidad y transparencia del uso de bienes públicos frente a procesos electorales. En términos </w:t>
            </w:r>
            <w:r>
              <w:rPr>
                <w:rFonts w:ascii="Verdana" w:eastAsia="Calibri" w:hAnsi="Verdana" w:cs="Arial"/>
                <w:bCs/>
              </w:rPr>
              <w:t>prácticos</w:t>
            </w:r>
            <w:r w:rsidRPr="002D6F7E">
              <w:rPr>
                <w:rFonts w:ascii="Verdana" w:eastAsia="Calibri" w:hAnsi="Verdana" w:cs="Arial"/>
                <w:bCs/>
              </w:rPr>
              <w:t xml:space="preserve">, </w:t>
            </w:r>
            <w:r>
              <w:rPr>
                <w:rFonts w:ascii="Verdana" w:eastAsia="Calibri" w:hAnsi="Verdana" w:cs="Arial"/>
                <w:bCs/>
              </w:rPr>
              <w:t xml:space="preserve">implica </w:t>
            </w:r>
            <w:r w:rsidRPr="002D6F7E">
              <w:rPr>
                <w:rFonts w:ascii="Verdana" w:eastAsia="Calibri" w:hAnsi="Verdana" w:cs="Arial"/>
                <w:bCs/>
              </w:rPr>
              <w:t xml:space="preserve">que </w:t>
            </w:r>
            <w:r>
              <w:rPr>
                <w:rFonts w:ascii="Verdana" w:eastAsia="Calibri" w:hAnsi="Verdana" w:cs="Arial"/>
                <w:bCs/>
              </w:rPr>
              <w:t xml:space="preserve">este tipo de autoridades NO </w:t>
            </w:r>
            <w:r w:rsidRPr="002D6F7E">
              <w:rPr>
                <w:rFonts w:ascii="Verdana" w:eastAsia="Calibri" w:hAnsi="Verdana" w:cs="Arial"/>
                <w:bCs/>
              </w:rPr>
              <w:t xml:space="preserve">puede permitir que </w:t>
            </w:r>
            <w:r>
              <w:rPr>
                <w:rFonts w:ascii="Verdana" w:eastAsia="Calibri" w:hAnsi="Verdana" w:cs="Arial"/>
                <w:bCs/>
              </w:rPr>
              <w:t xml:space="preserve">bienes </w:t>
            </w:r>
            <w:r w:rsidRPr="002D6F7E">
              <w:rPr>
                <w:rFonts w:ascii="Verdana" w:eastAsia="Calibri" w:hAnsi="Verdana" w:cs="Arial"/>
                <w:bCs/>
              </w:rPr>
              <w:t xml:space="preserve">inmuebles o muebles del Estado —como edificios oficiales, vehículos institucionales, equipos o recursos públicos— sean utilizados para actividades de carácter proselitista, es decir, para promover candidatos, partidos o campañas </w:t>
            </w:r>
            <w:r w:rsidRPr="002D6F7E">
              <w:rPr>
                <w:rFonts w:ascii="Verdana" w:eastAsia="Calibri" w:hAnsi="Verdana" w:cs="Arial"/>
                <w:bCs/>
              </w:rPr>
              <w:lastRenderedPageBreak/>
              <w:t>políticas. Tampoco se pueden destinar estos bienes para dar alojamiento o transporte a electores, ni para facilitar la participación de voceros de candidatos en actos dentro de instalaciones públicas.</w:t>
            </w:r>
            <w:r>
              <w:rPr>
                <w:rFonts w:ascii="Verdana" w:eastAsia="Calibri" w:hAnsi="Verdana" w:cs="Arial"/>
                <w:bCs/>
              </w:rPr>
              <w:t xml:space="preserve"> </w:t>
            </w:r>
          </w:p>
          <w:p w14:paraId="45464890" w14:textId="77777777" w:rsidR="00AC377F" w:rsidRDefault="00AC377F" w:rsidP="00C93A5F">
            <w:pPr>
              <w:tabs>
                <w:tab w:val="left" w:pos="0"/>
              </w:tabs>
              <w:spacing w:after="120" w:line="276" w:lineRule="auto"/>
              <w:jc w:val="both"/>
              <w:rPr>
                <w:rFonts w:ascii="Verdana" w:eastAsia="Calibri" w:hAnsi="Verdana" w:cs="Arial"/>
                <w:bCs/>
              </w:rPr>
            </w:pPr>
            <w:r>
              <w:rPr>
                <w:rFonts w:ascii="Verdana" w:eastAsia="Calibri" w:hAnsi="Verdana" w:cs="Arial"/>
                <w:bCs/>
              </w:rPr>
              <w:tab/>
              <w:t xml:space="preserve">En este mismo sentido, es importante resaltar que la Procuraduría General de la Nación, en sus diferentes directivas, en especial, la Directiva 013 del 28 de agosto de 2025 estableció una serie de recomendaciones en torno a la participación en actividades y controversias políticas y prohibiciones en relación con los procesos electorales para elegir Congreso de la República, Presidente y Vicepresidente de la República, Período 2026-2030. En dicha Directiva se detallan las normas que debían cumplirse y acatarse por parte de los servidores públicos y los particulares que cumplen funciones públicas frente a restricciones y prohibiciones </w:t>
            </w:r>
            <w:r w:rsidRPr="00A61B2B">
              <w:rPr>
                <w:rFonts w:ascii="Verdana" w:eastAsia="Calibri" w:hAnsi="Verdana" w:cs="Arial"/>
                <w:bCs/>
              </w:rPr>
              <w:t>relativas a la participación en las actividades de los partidos y movimientos políticos y en las controversias políticas, sin perjuicio de ejercer libremente el derecho de afiliación a las agrupaciones políticas y el derecho al sufragio.</w:t>
            </w:r>
            <w:r>
              <w:rPr>
                <w:rFonts w:ascii="Verdana" w:eastAsia="Calibri" w:hAnsi="Verdana" w:cs="Arial"/>
                <w:bCs/>
              </w:rPr>
              <w:t xml:space="preserve"> </w:t>
            </w:r>
          </w:p>
          <w:p w14:paraId="345A92C8" w14:textId="77777777" w:rsidR="00AC377F" w:rsidRDefault="00AC377F" w:rsidP="00C93A5F">
            <w:pPr>
              <w:tabs>
                <w:tab w:val="left" w:pos="0"/>
              </w:tabs>
              <w:spacing w:after="120" w:line="276" w:lineRule="auto"/>
              <w:jc w:val="both"/>
              <w:rPr>
                <w:rFonts w:ascii="Verdana" w:eastAsia="Calibri" w:hAnsi="Verdana" w:cs="Arial"/>
                <w:bCs/>
              </w:rPr>
            </w:pPr>
            <w:r>
              <w:rPr>
                <w:rFonts w:ascii="Verdana" w:eastAsia="Calibri" w:hAnsi="Verdana" w:cs="Arial"/>
                <w:bCs/>
              </w:rPr>
              <w:tab/>
              <w:t xml:space="preserve">En referencia a esta Directiva, se resalta una de las prohibiciones a todo servidor público, contenida en el Artículo 2°, literal k, que dispone: “k) </w:t>
            </w:r>
            <w:r w:rsidRPr="00D547E3">
              <w:rPr>
                <w:rFonts w:ascii="Verdana" w:eastAsia="Calibri" w:hAnsi="Verdana" w:cs="Arial"/>
                <w:bCs/>
              </w:rPr>
              <w:t>Autorizar la utilización de inmuebles o bienes muebles de carácter público para actividades proselitistas</w:t>
            </w:r>
            <w:r>
              <w:rPr>
                <w:rFonts w:ascii="Verdana" w:eastAsia="Calibri" w:hAnsi="Verdana" w:cs="Arial"/>
                <w:bCs/>
              </w:rPr>
              <w:t xml:space="preserve">”. De esta manera, las entidades y, en estricto sentido, los servidores públicos no pueden permitir que los contratistas usen los bienes y recursos públicos que están a su disposición y uso, con el fin de que </w:t>
            </w:r>
            <w:r w:rsidRPr="002D6F7E">
              <w:rPr>
                <w:rFonts w:ascii="Verdana" w:eastAsia="Calibri" w:hAnsi="Verdana" w:cs="Arial"/>
                <w:bCs/>
              </w:rPr>
              <w:t xml:space="preserve">se desvíen hacia intereses particulares o partidistas, lo cual generaría una ventaja indebida y afectaría la igualdad en la competencia electoral. </w:t>
            </w:r>
          </w:p>
          <w:p w14:paraId="11BDCDAA" w14:textId="77777777" w:rsidR="00AC377F" w:rsidRPr="00F927B1" w:rsidRDefault="00AC377F" w:rsidP="00C93A5F">
            <w:pPr>
              <w:spacing w:line="276" w:lineRule="auto"/>
              <w:ind w:firstLine="708"/>
              <w:jc w:val="both"/>
              <w:rPr>
                <w:rFonts w:ascii="Verdana" w:eastAsia="Calibri" w:hAnsi="Verdana" w:cs="Arial"/>
                <w:bCs/>
                <w:color w:val="000000" w:themeColor="text1"/>
              </w:rPr>
            </w:pPr>
            <w:r w:rsidRPr="00DB2A80">
              <w:rPr>
                <w:rFonts w:ascii="Verdana" w:eastAsia="Calibri" w:hAnsi="Verdana" w:cs="Arial"/>
                <w:bCs/>
                <w:color w:val="000000" w:themeColor="text1"/>
              </w:rPr>
              <w:t xml:space="preserve">Dentro de este marco, </w:t>
            </w:r>
            <w:r>
              <w:rPr>
                <w:rFonts w:ascii="Verdana" w:eastAsia="Calibri" w:hAnsi="Verdana" w:cs="Arial"/>
                <w:bCs/>
                <w:color w:val="000000" w:themeColor="text1"/>
              </w:rPr>
              <w:t xml:space="preserve">el consultante </w:t>
            </w:r>
            <w:r w:rsidRPr="00DB2A80">
              <w:rPr>
                <w:rFonts w:ascii="Verdana" w:eastAsia="Calibri" w:hAnsi="Verdana" w:cs="Arial"/>
                <w:bCs/>
                <w:color w:val="000000" w:themeColor="text1"/>
              </w:rPr>
              <w:t xml:space="preserve">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tc>
      </w:tr>
    </w:tbl>
    <w:p w14:paraId="22FB893D" w14:textId="77777777" w:rsidR="00AC377F" w:rsidRDefault="00AC377F" w:rsidP="00AC377F">
      <w:pPr>
        <w:spacing w:after="0" w:line="276" w:lineRule="auto"/>
        <w:rPr>
          <w:rFonts w:ascii="Verdana" w:eastAsia="Calibri" w:hAnsi="Verdana" w:cs="Times New Roman"/>
          <w:b/>
          <w:bCs/>
          <w:lang w:val="es-ES"/>
        </w:rPr>
      </w:pPr>
    </w:p>
    <w:p w14:paraId="26CCB9EF" w14:textId="77777777" w:rsidR="00AC377F" w:rsidRPr="0060163E" w:rsidRDefault="00AC377F" w:rsidP="00AC377F">
      <w:pPr>
        <w:spacing w:after="0" w:line="276" w:lineRule="auto"/>
        <w:rPr>
          <w:rFonts w:ascii="Verdana" w:eastAsia="Calibri" w:hAnsi="Verdana" w:cs="Times New Roman"/>
          <w:b/>
          <w:bCs/>
          <w:lang w:val="es-ES"/>
        </w:rPr>
      </w:pPr>
      <w:r>
        <w:rPr>
          <w:rFonts w:ascii="Verdana" w:eastAsia="Calibri" w:hAnsi="Verdana" w:cs="Times New Roman"/>
          <w:b/>
          <w:bCs/>
          <w:lang w:val="es-ES"/>
        </w:rPr>
        <w:t xml:space="preserve">III. </w:t>
      </w:r>
      <w:r w:rsidRPr="0060163E">
        <w:rPr>
          <w:rFonts w:ascii="Verdana" w:eastAsia="Calibri" w:hAnsi="Verdana" w:cs="Times New Roman"/>
          <w:b/>
          <w:bCs/>
          <w:lang w:val="es-ES"/>
        </w:rPr>
        <w:t>Razones de la respuesta:</w:t>
      </w:r>
    </w:p>
    <w:p w14:paraId="1705D853" w14:textId="77777777" w:rsidR="00AC377F" w:rsidRPr="0060163E" w:rsidRDefault="00AC377F" w:rsidP="00AC377F">
      <w:pPr>
        <w:spacing w:after="0" w:line="276" w:lineRule="auto"/>
        <w:rPr>
          <w:rFonts w:ascii="Verdana" w:eastAsia="Calibri" w:hAnsi="Verdana" w:cs="Times New Roman"/>
          <w:b/>
          <w:bCs/>
          <w:lang w:val="es-ES"/>
        </w:rPr>
      </w:pPr>
    </w:p>
    <w:p w14:paraId="56489B1A" w14:textId="77777777" w:rsidR="00AC377F" w:rsidRPr="0060163E" w:rsidRDefault="00AC377F" w:rsidP="00AC377F">
      <w:pPr>
        <w:spacing w:after="0" w:line="276" w:lineRule="auto"/>
        <w:jc w:val="both"/>
        <w:rPr>
          <w:rFonts w:ascii="Verdana" w:eastAsia="Calibri" w:hAnsi="Verdana" w:cs="Arial"/>
          <w:lang w:val="es-ES"/>
        </w:rPr>
      </w:pPr>
      <w:r w:rsidRPr="0060163E">
        <w:rPr>
          <w:rFonts w:ascii="Verdana" w:eastAsia="Calibri" w:hAnsi="Verdana" w:cs="Arial"/>
          <w:lang w:val="es-ES"/>
        </w:rPr>
        <w:lastRenderedPageBreak/>
        <w:t xml:space="preserve">Lo anterior se sustenta en las siguientes consideraciones: </w:t>
      </w:r>
    </w:p>
    <w:p w14:paraId="3A732211" w14:textId="77777777" w:rsidR="00AC377F" w:rsidRPr="0060163E" w:rsidRDefault="00AC377F" w:rsidP="00AC377F">
      <w:pPr>
        <w:spacing w:after="0" w:line="276" w:lineRule="auto"/>
        <w:jc w:val="both"/>
        <w:rPr>
          <w:rFonts w:ascii="Verdana" w:eastAsia="Calibri" w:hAnsi="Verdana" w:cs="Arial"/>
          <w:lang w:val="es-MX"/>
        </w:rPr>
      </w:pPr>
    </w:p>
    <w:p w14:paraId="6DEEB60C" w14:textId="77777777" w:rsidR="00AC377F" w:rsidRPr="00AE22D5" w:rsidRDefault="00AC377F" w:rsidP="00AC377F">
      <w:pPr>
        <w:spacing w:after="0" w:line="276" w:lineRule="auto"/>
        <w:jc w:val="both"/>
        <w:rPr>
          <w:rFonts w:ascii="Verdana" w:eastAsia="Calibri" w:hAnsi="Verdana" w:cs="Arial"/>
          <w:color w:val="000000"/>
        </w:rPr>
      </w:pPr>
      <w:r w:rsidRPr="00AE22D5">
        <w:rPr>
          <w:rFonts w:ascii="Verdana" w:eastAsia="Calibri" w:hAnsi="Verdana" w:cs="Arial"/>
          <w:color w:val="000000"/>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p>
    <w:p w14:paraId="79CADC52" w14:textId="77777777" w:rsidR="00AC377F" w:rsidRPr="00AE22D5" w:rsidRDefault="00AC377F" w:rsidP="00AC377F">
      <w:pPr>
        <w:spacing w:after="0" w:line="276" w:lineRule="auto"/>
        <w:jc w:val="both"/>
        <w:rPr>
          <w:rFonts w:ascii="Verdana" w:eastAsia="Calibri" w:hAnsi="Verdana" w:cs="Arial"/>
          <w:color w:val="000000"/>
        </w:rPr>
      </w:pPr>
    </w:p>
    <w:p w14:paraId="767340A1" w14:textId="77777777" w:rsidR="00AC377F" w:rsidRPr="00AE22D5" w:rsidRDefault="00AC377F" w:rsidP="00AC377F">
      <w:pPr>
        <w:spacing w:after="0" w:line="240" w:lineRule="auto"/>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r w:rsidRPr="00AE22D5">
        <w:rPr>
          <w:rFonts w:ascii="Verdana" w:eastAsia="Calibri" w:hAnsi="Verdana" w:cs="Arial"/>
          <w:color w:val="000000"/>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3E8350A8" w14:textId="77777777" w:rsidR="00AC377F" w:rsidRPr="00AE22D5" w:rsidRDefault="00AC377F" w:rsidP="00AC377F">
      <w:pPr>
        <w:spacing w:after="0" w:line="240" w:lineRule="auto"/>
        <w:ind w:left="709" w:right="709"/>
        <w:jc w:val="both"/>
        <w:rPr>
          <w:rFonts w:ascii="Verdana" w:eastAsia="Calibri" w:hAnsi="Verdana" w:cs="Arial"/>
          <w:color w:val="000000"/>
          <w:sz w:val="20"/>
          <w:szCs w:val="20"/>
        </w:rPr>
      </w:pPr>
    </w:p>
    <w:p w14:paraId="4EBA13B9" w14:textId="77777777" w:rsidR="00AC377F" w:rsidRPr="00AE22D5" w:rsidRDefault="00AC377F" w:rsidP="00AC377F">
      <w:pPr>
        <w:spacing w:after="0" w:line="240" w:lineRule="auto"/>
        <w:ind w:left="709" w:right="709"/>
        <w:jc w:val="both"/>
        <w:rPr>
          <w:rFonts w:ascii="Verdana" w:eastAsia="Calibri" w:hAnsi="Verdana" w:cs="Arial"/>
          <w:color w:val="000000"/>
          <w:sz w:val="20"/>
          <w:szCs w:val="20"/>
        </w:rPr>
      </w:pPr>
      <w:r w:rsidRPr="00AE22D5">
        <w:rPr>
          <w:rFonts w:ascii="Verdana" w:eastAsia="Calibri" w:hAnsi="Verdana" w:cs="Arial"/>
          <w:color w:val="000000"/>
          <w:sz w:val="20"/>
          <w:szCs w:val="20"/>
        </w:rPr>
        <w:t>En ningún caso estos contratos generan relación laboral ni prestaciones sociales y se celebrarán por el término estrictamente indispensable</w:t>
      </w:r>
      <w:r>
        <w:rPr>
          <w:rFonts w:ascii="Verdana" w:eastAsia="Calibri" w:hAnsi="Verdana" w:cs="Arial"/>
          <w:color w:val="000000"/>
          <w:sz w:val="20"/>
          <w:szCs w:val="20"/>
        </w:rPr>
        <w:t>”</w:t>
      </w:r>
      <w:r w:rsidRPr="00AE22D5">
        <w:rPr>
          <w:rFonts w:ascii="Verdana" w:eastAsia="Calibri" w:hAnsi="Verdana" w:cs="Arial"/>
          <w:color w:val="000000"/>
          <w:sz w:val="20"/>
          <w:szCs w:val="20"/>
        </w:rPr>
        <w:t>.</w:t>
      </w:r>
    </w:p>
    <w:p w14:paraId="5393801D" w14:textId="77777777" w:rsidR="00AC377F" w:rsidRPr="00AE22D5" w:rsidRDefault="00AC377F" w:rsidP="00AC377F">
      <w:pPr>
        <w:tabs>
          <w:tab w:val="left" w:pos="284"/>
        </w:tabs>
        <w:spacing w:after="0" w:line="276" w:lineRule="auto"/>
        <w:contextualSpacing/>
        <w:jc w:val="both"/>
        <w:rPr>
          <w:rFonts w:ascii="Verdana" w:eastAsia="Calibri" w:hAnsi="Verdana" w:cs="Arial"/>
          <w:b/>
          <w:color w:val="000000"/>
        </w:rPr>
      </w:pPr>
    </w:p>
    <w:p w14:paraId="5CA6C58E" w14:textId="77777777" w:rsidR="00AC377F" w:rsidRPr="00AE22D5" w:rsidRDefault="00AC377F" w:rsidP="00AC377F">
      <w:pPr>
        <w:spacing w:after="0" w:line="276" w:lineRule="auto"/>
        <w:ind w:firstLine="709"/>
        <w:jc w:val="both"/>
        <w:rPr>
          <w:rFonts w:ascii="Verdana" w:eastAsia="Calibri" w:hAnsi="Verdana" w:cs="Arial"/>
          <w:color w:val="000000"/>
        </w:rPr>
      </w:pPr>
      <w:r w:rsidRPr="00AE22D5">
        <w:rPr>
          <w:rFonts w:ascii="Verdana" w:eastAsia="Calibri" w:hAnsi="Verdana" w:cs="Arial"/>
          <w:color w:val="000000"/>
        </w:rPr>
        <w:t>De otro lado, la celebración de dicho contrato debe efectuarse mediante la modalidad de la contratación directa. Así lo prevé el artículo 2, numeral 4º, literal h) de la Ley 1150 de 2007, que dispone:</w:t>
      </w:r>
    </w:p>
    <w:p w14:paraId="04F5BD71" w14:textId="77777777" w:rsidR="00AC377F" w:rsidRPr="00AE22D5" w:rsidRDefault="00AC377F" w:rsidP="00AC377F">
      <w:pPr>
        <w:spacing w:after="0" w:line="276" w:lineRule="auto"/>
        <w:ind w:firstLine="709"/>
        <w:jc w:val="both"/>
        <w:rPr>
          <w:rFonts w:ascii="Verdana" w:eastAsia="Calibri" w:hAnsi="Verdana" w:cs="Arial"/>
          <w:color w:val="000000"/>
        </w:rPr>
      </w:pPr>
    </w:p>
    <w:p w14:paraId="62715E42" w14:textId="77777777" w:rsidR="00AC377F" w:rsidRPr="00AE22D5" w:rsidRDefault="00AC377F" w:rsidP="00AC377F">
      <w:pPr>
        <w:spacing w:after="0" w:line="240" w:lineRule="auto"/>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r w:rsidRPr="00AE22D5">
        <w:rPr>
          <w:rFonts w:ascii="Verdana" w:eastAsia="Calibri" w:hAnsi="Verdana" w:cs="Arial"/>
          <w:color w:val="000000"/>
          <w:sz w:val="20"/>
          <w:szCs w:val="20"/>
        </w:rPr>
        <w:t>[…]</w:t>
      </w:r>
    </w:p>
    <w:p w14:paraId="3239EB62" w14:textId="77777777" w:rsidR="00AC377F" w:rsidRPr="00AE22D5" w:rsidRDefault="00AC377F" w:rsidP="00AC377F">
      <w:pPr>
        <w:spacing w:after="0" w:line="240" w:lineRule="auto"/>
        <w:ind w:left="709" w:right="709"/>
        <w:jc w:val="both"/>
        <w:rPr>
          <w:rFonts w:ascii="Verdana" w:eastAsia="Calibri" w:hAnsi="Verdana" w:cs="Arial"/>
          <w:color w:val="000000"/>
          <w:sz w:val="20"/>
          <w:szCs w:val="20"/>
        </w:rPr>
      </w:pPr>
      <w:r w:rsidRPr="00AE22D5">
        <w:rPr>
          <w:rFonts w:ascii="Verdana" w:eastAsia="Calibri" w:hAnsi="Verdana" w:cs="Arial"/>
          <w:color w:val="000000"/>
          <w:sz w:val="20"/>
          <w:szCs w:val="20"/>
        </w:rPr>
        <w:t>Contratación directa. La modalidad de selección de contratación directa, solamente procederá en los siguientes casos:</w:t>
      </w:r>
    </w:p>
    <w:p w14:paraId="7307ED88" w14:textId="77777777" w:rsidR="00AC377F" w:rsidRPr="00AE22D5" w:rsidRDefault="00AC377F" w:rsidP="00AC377F">
      <w:pPr>
        <w:spacing w:after="0" w:line="240" w:lineRule="auto"/>
        <w:ind w:left="709" w:right="709"/>
        <w:jc w:val="both"/>
        <w:rPr>
          <w:rFonts w:ascii="Verdana" w:eastAsia="Calibri" w:hAnsi="Verdana" w:cs="Arial"/>
          <w:color w:val="000000"/>
          <w:sz w:val="20"/>
          <w:szCs w:val="20"/>
        </w:rPr>
      </w:pPr>
    </w:p>
    <w:p w14:paraId="12307FEE" w14:textId="77777777" w:rsidR="00AC377F" w:rsidRPr="00AE22D5" w:rsidRDefault="00AC377F" w:rsidP="00AC377F">
      <w:pPr>
        <w:spacing w:after="0" w:line="240" w:lineRule="auto"/>
        <w:ind w:left="709" w:right="709"/>
        <w:jc w:val="both"/>
        <w:rPr>
          <w:rFonts w:ascii="Verdana" w:eastAsia="Calibri" w:hAnsi="Verdana" w:cs="Arial"/>
          <w:color w:val="000000"/>
          <w:sz w:val="20"/>
          <w:szCs w:val="20"/>
        </w:rPr>
      </w:pPr>
      <w:r w:rsidRPr="00AE22D5">
        <w:rPr>
          <w:rFonts w:ascii="Verdana" w:eastAsia="Calibri" w:hAnsi="Verdana" w:cs="Arial"/>
          <w:color w:val="000000"/>
          <w:sz w:val="20"/>
          <w:szCs w:val="20"/>
        </w:rPr>
        <w:t>[…]</w:t>
      </w:r>
    </w:p>
    <w:p w14:paraId="69A89B4F" w14:textId="77777777" w:rsidR="00AC377F" w:rsidRPr="00AE22D5" w:rsidRDefault="00AC377F" w:rsidP="00AC377F">
      <w:pPr>
        <w:spacing w:after="0" w:line="240" w:lineRule="auto"/>
        <w:ind w:left="709" w:right="709"/>
        <w:jc w:val="both"/>
        <w:rPr>
          <w:rFonts w:ascii="Verdana" w:eastAsia="Calibri" w:hAnsi="Verdana" w:cs="Arial"/>
          <w:color w:val="000000"/>
          <w:sz w:val="20"/>
          <w:szCs w:val="20"/>
        </w:rPr>
      </w:pPr>
      <w:r w:rsidRPr="00AE22D5">
        <w:rPr>
          <w:rFonts w:ascii="Verdana" w:eastAsia="Calibri" w:hAnsi="Verdana" w:cs="Arial"/>
          <w:color w:val="000000"/>
          <w:sz w:val="20"/>
          <w:szCs w:val="20"/>
        </w:rPr>
        <w:t>h) Para la prestación de servicios profesionales y de apoyo a la gestión, o para la ejecución de trabajos artísticos que sólo puedan encomendarse a determinadas personas naturales;</w:t>
      </w:r>
      <w:r>
        <w:rPr>
          <w:rFonts w:ascii="Verdana" w:eastAsia="Calibri" w:hAnsi="Verdana" w:cs="Arial"/>
          <w:color w:val="000000"/>
          <w:sz w:val="20"/>
          <w:szCs w:val="20"/>
        </w:rPr>
        <w:t>”</w:t>
      </w:r>
    </w:p>
    <w:p w14:paraId="045B1B57" w14:textId="77777777" w:rsidR="00AC377F" w:rsidRPr="00337320" w:rsidRDefault="00AC377F" w:rsidP="00AC377F">
      <w:pPr>
        <w:spacing w:after="0" w:line="276" w:lineRule="auto"/>
        <w:ind w:right="709"/>
        <w:jc w:val="both"/>
        <w:rPr>
          <w:rFonts w:ascii="Verdana" w:eastAsia="Calibri" w:hAnsi="Verdana" w:cs="Arial"/>
          <w:color w:val="000000"/>
        </w:rPr>
      </w:pPr>
    </w:p>
    <w:p w14:paraId="363492D3" w14:textId="77777777" w:rsidR="00AC377F" w:rsidRPr="00AE22D5" w:rsidRDefault="00AC377F" w:rsidP="00AC377F">
      <w:pPr>
        <w:spacing w:after="120" w:line="276" w:lineRule="auto"/>
        <w:ind w:firstLine="709"/>
        <w:jc w:val="both"/>
        <w:rPr>
          <w:rFonts w:ascii="Verdana" w:eastAsia="Calibri" w:hAnsi="Verdana" w:cs="Arial"/>
          <w:color w:val="000000"/>
        </w:rPr>
      </w:pPr>
      <w:r w:rsidRPr="00AE22D5">
        <w:rPr>
          <w:rFonts w:ascii="Verdana" w:eastAsia="Calibri" w:hAnsi="Verdana" w:cs="Arial"/>
          <w:color w:val="000000"/>
        </w:rPr>
        <w:t>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w:t>
      </w:r>
    </w:p>
    <w:p w14:paraId="19F187AA" w14:textId="77777777" w:rsidR="00AC377F" w:rsidRPr="00AE22D5" w:rsidRDefault="00AC377F" w:rsidP="00AC377F">
      <w:pPr>
        <w:spacing w:after="120" w:line="276" w:lineRule="auto"/>
        <w:ind w:firstLine="709"/>
        <w:jc w:val="both"/>
        <w:rPr>
          <w:rFonts w:ascii="Verdana" w:eastAsia="Calibri" w:hAnsi="Verdana" w:cs="Arial"/>
          <w:color w:val="000000"/>
        </w:rPr>
      </w:pPr>
      <w:r w:rsidRPr="00AE22D5">
        <w:rPr>
          <w:rFonts w:ascii="Verdana" w:eastAsia="Calibri" w:hAnsi="Verdana" w:cs="Arial"/>
          <w:color w:val="000000"/>
        </w:rPr>
        <w:t>a) Solo puede celebrarse para realizar “actividades relacionadas con la administración o funcionamiento de la entidad”, es decir, que hagan parte de su giro ordinario o quehacer cotidiano.</w:t>
      </w:r>
    </w:p>
    <w:p w14:paraId="61EE4485" w14:textId="77777777" w:rsidR="00AC377F" w:rsidRPr="00AE22D5" w:rsidRDefault="00AC377F" w:rsidP="00AC377F">
      <w:pPr>
        <w:spacing w:after="120" w:line="276" w:lineRule="auto"/>
        <w:ind w:firstLine="709"/>
        <w:jc w:val="both"/>
        <w:rPr>
          <w:rFonts w:ascii="Verdana" w:eastAsia="Calibri" w:hAnsi="Verdana" w:cs="Arial"/>
          <w:color w:val="000000"/>
        </w:rPr>
      </w:pPr>
      <w:r w:rsidRPr="00AE22D5">
        <w:rPr>
          <w:rFonts w:ascii="Verdana" w:eastAsia="Calibri" w:hAnsi="Verdana" w:cs="Arial"/>
          <w:color w:val="000000"/>
        </w:rPr>
        <w:t xml:space="preserve">b) Admite que se suscriba tanto con personas naturales, como con personas jurídicas. Sin embargo, cuando pretenda celebrarse con una persona </w:t>
      </w:r>
      <w:r w:rsidRPr="00AE22D5">
        <w:rPr>
          <w:rFonts w:ascii="Verdana" w:eastAsia="Calibri" w:hAnsi="Verdana" w:cs="Arial"/>
          <w:color w:val="000000"/>
        </w:rPr>
        <w:lastRenderedPageBreak/>
        <w:t>natural, la entidad estatal debe justificar en los estudios previos que las actividades que buscan encomendarse a aquella “no puedan realizarse con personal de planta o requieran conocimientos especializados”. Esto puede suceder en varios eventos, como, por ejemplo, que, efectivamente, no exista el personal de planta para encargarse de dichas labores; que exista, pero que está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0CC79243" w14:textId="77777777" w:rsidR="00AC377F" w:rsidRDefault="00AC377F" w:rsidP="00AC377F">
      <w:pPr>
        <w:spacing w:after="120" w:line="276" w:lineRule="auto"/>
        <w:ind w:firstLine="709"/>
        <w:jc w:val="both"/>
        <w:rPr>
          <w:rFonts w:ascii="Verdana" w:eastAsia="Calibri" w:hAnsi="Verdana" w:cs="Arial"/>
          <w:color w:val="000000"/>
        </w:rPr>
      </w:pPr>
      <w:r w:rsidRPr="00AE22D5">
        <w:rPr>
          <w:rFonts w:ascii="Verdana" w:eastAsia="Calibri" w:hAnsi="Verdana" w:cs="Arial"/>
          <w:color w:val="000000"/>
        </w:rPr>
        <w:t>c) Si bien se celebran para obtener la prestación personal de un servicio, se diferencian del contrato de trabajo</w:t>
      </w:r>
      <w:r w:rsidRPr="00AE22D5">
        <w:rPr>
          <w:rFonts w:ascii="Verdana" w:eastAsia="Calibri" w:hAnsi="Verdana" w:cs="Arial"/>
          <w:color w:val="000000"/>
          <w:vertAlign w:val="superscript"/>
        </w:rPr>
        <w:footnoteReference w:id="1"/>
      </w:r>
      <w:r w:rsidRPr="00AE22D5">
        <w:rPr>
          <w:rFonts w:ascii="Verdana" w:eastAsia="Calibri" w:hAnsi="Verdana" w:cs="Arial"/>
          <w:color w:val="000000"/>
        </w:rPr>
        <w:t xml:space="preserve"> en que quien celebra el contrato de prestación de servicios profesionales debe mantener autonomía e independencia en la ejecución de la labor, lo que significa que no puede existir la </w:t>
      </w:r>
      <w:r w:rsidRPr="00AE22D5">
        <w:rPr>
          <w:rFonts w:ascii="Verdana" w:eastAsia="Calibri" w:hAnsi="Verdana" w:cs="Arial"/>
          <w:i/>
          <w:color w:val="000000"/>
        </w:rPr>
        <w:t>subordinación y dependencia</w:t>
      </w:r>
      <w:r w:rsidRPr="00AE22D5">
        <w:rPr>
          <w:rFonts w:ascii="Verdana" w:eastAsia="Calibri" w:hAnsi="Verdana" w:cs="Arial"/>
          <w:iCs/>
          <w:color w:val="000000"/>
        </w:rPr>
        <w:t>,</w:t>
      </w:r>
      <w:r w:rsidRPr="00AE22D5">
        <w:rPr>
          <w:rFonts w:ascii="Verdana" w:eastAsia="Calibri" w:hAnsi="Verdana" w:cs="Arial"/>
          <w:color w:val="000000"/>
        </w:rPr>
        <w:t xml:space="preserve"> que es uno de los elementos constitutivos del vínculo laboral. Por ello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w:t>
      </w:r>
      <w:r w:rsidRPr="00AE22D5">
        <w:rPr>
          <w:rFonts w:ascii="Verdana" w:eastAsia="Calibri" w:hAnsi="Verdana" w:cs="Arial"/>
          <w:i/>
          <w:color w:val="000000"/>
        </w:rPr>
        <w:t>no pueden</w:t>
      </w:r>
      <w:r w:rsidRPr="00AE22D5">
        <w:rPr>
          <w:rFonts w:ascii="Verdana" w:eastAsia="Calibri" w:hAnsi="Verdana" w:cs="Arial"/>
          <w:color w:val="000000"/>
        </w:rPr>
        <w:t xml:space="preserve"> generar relación laboral, ni dar lugar a que las entidades estatales paguen por su cuenta los aportes al Sistema de Seguridad Social Integral del contratista. </w:t>
      </w:r>
    </w:p>
    <w:p w14:paraId="5F42D60D" w14:textId="77777777" w:rsidR="00AC377F" w:rsidRDefault="00AC377F" w:rsidP="00AC377F">
      <w:pPr>
        <w:spacing w:after="120" w:line="276" w:lineRule="auto"/>
        <w:ind w:firstLine="709"/>
        <w:jc w:val="both"/>
        <w:rPr>
          <w:rFonts w:ascii="Verdana" w:eastAsia="Calibri" w:hAnsi="Verdana" w:cs="Arial"/>
          <w:color w:val="000000"/>
        </w:rPr>
      </w:pPr>
      <w:r>
        <w:rPr>
          <w:rFonts w:ascii="Verdana" w:eastAsia="Calibri" w:hAnsi="Verdana" w:cs="Arial"/>
          <w:color w:val="000000"/>
        </w:rPr>
        <w:t>Lo anterior</w:t>
      </w:r>
      <w:r w:rsidRPr="00AE22D5">
        <w:rPr>
          <w:rFonts w:ascii="Verdana" w:eastAsia="Calibri" w:hAnsi="Verdana" w:cs="Arial"/>
          <w:color w:val="000000"/>
        </w:rPr>
        <w:t xml:space="preserve"> por cuanto, según se indicó, en dichos contratos no puede existir subordinación </w:t>
      </w:r>
      <w:r>
        <w:rPr>
          <w:rFonts w:ascii="Verdana" w:eastAsia="Calibri" w:hAnsi="Verdana" w:cs="Arial"/>
          <w:color w:val="000000"/>
        </w:rPr>
        <w:t xml:space="preserve">ni </w:t>
      </w:r>
      <w:r w:rsidRPr="00AE22D5">
        <w:rPr>
          <w:rFonts w:ascii="Verdana" w:eastAsia="Calibri" w:hAnsi="Verdana" w:cs="Arial"/>
          <w:color w:val="000000"/>
        </w:rPr>
        <w:t>dependencia</w:t>
      </w:r>
      <w:r>
        <w:rPr>
          <w:rFonts w:ascii="Verdana" w:eastAsia="Calibri" w:hAnsi="Verdana" w:cs="Arial"/>
          <w:color w:val="000000"/>
        </w:rPr>
        <w:t>. Así las cosas</w:t>
      </w:r>
      <w:r w:rsidRPr="00AE22D5">
        <w:rPr>
          <w:rFonts w:ascii="Verdana" w:eastAsia="Calibri" w:hAnsi="Verdana" w:cs="Arial"/>
          <w:color w:val="000000"/>
        </w:rPr>
        <w:t xml:space="preserve">, la relación laboral está proscrita y es el contratista quien, como “trabajador independiente” –como lo califican las normas en materia de seguridad social– debe cotizar por su cuenta y riesgo al Sistema de Seguridad Social Integral. </w:t>
      </w:r>
    </w:p>
    <w:p w14:paraId="221A9607" w14:textId="77777777" w:rsidR="00AC377F" w:rsidRDefault="00AC377F" w:rsidP="00AC377F">
      <w:pPr>
        <w:spacing w:after="120" w:line="276" w:lineRule="auto"/>
        <w:ind w:firstLine="709"/>
        <w:jc w:val="both"/>
        <w:rPr>
          <w:rFonts w:ascii="Verdana" w:eastAsia="Calibri" w:hAnsi="Verdana" w:cs="Arial"/>
          <w:color w:val="000000"/>
        </w:rPr>
      </w:pPr>
      <w:r w:rsidRPr="00AE22D5">
        <w:rPr>
          <w:rFonts w:ascii="Verdana" w:eastAsia="Calibri" w:hAnsi="Verdana" w:cs="Arial"/>
          <w:color w:val="000000"/>
        </w:rPr>
        <w:t xml:space="preserve">Pero es posible que, a pesar de este mandato deontológico, en la práctica surja la relación laboral, pues, como se sabe, el contrato de trabajo es un </w:t>
      </w:r>
      <w:r w:rsidRPr="00AE22D5">
        <w:rPr>
          <w:rFonts w:ascii="Verdana" w:eastAsia="Calibri" w:hAnsi="Verdana" w:cs="Arial"/>
          <w:i/>
          <w:color w:val="000000"/>
        </w:rPr>
        <w:t>contrato realidad</w:t>
      </w:r>
      <w:r w:rsidRPr="00AE22D5">
        <w:rPr>
          <w:rFonts w:ascii="Verdana" w:eastAsia="Calibri" w:hAnsi="Verdana" w:cs="Arial"/>
          <w:color w:val="000000"/>
        </w:rPr>
        <w:t xml:space="preserve">, ya que para su perfeccionamiento rige el principio de la prevalencia de la realidad sobre las formalidades. En esa perspectiva, la Corte </w:t>
      </w:r>
      <w:r w:rsidRPr="00AE22D5">
        <w:rPr>
          <w:rFonts w:ascii="Verdana" w:eastAsia="Calibri" w:hAnsi="Verdana" w:cs="Arial"/>
          <w:color w:val="000000"/>
        </w:rPr>
        <w:lastRenderedPageBreak/>
        <w:t>Constitucional declaró la constitucionalidad condicionada del segundo inciso del numeral 3º del artículo 32, indicando que “las expresiones acusadas del numeral 3o. del artículo 32 de la Ley 80 de 1993, no vulneran los preceptos constitucionales, razón por la cual deberán ser declaradas exequibles, salvo que se acredite por parte del contratista la existencia de una relación laboral subordinada”</w:t>
      </w:r>
      <w:r w:rsidRPr="00AE22D5">
        <w:rPr>
          <w:rFonts w:ascii="Verdana" w:eastAsia="Calibri" w:hAnsi="Verdana" w:cs="Arial"/>
          <w:color w:val="000000"/>
          <w:vertAlign w:val="superscript"/>
        </w:rPr>
        <w:footnoteReference w:id="2"/>
      </w:r>
      <w:r w:rsidRPr="00AE22D5">
        <w:rPr>
          <w:rFonts w:ascii="Verdana" w:eastAsia="Calibri" w:hAnsi="Verdana" w:cs="Arial"/>
          <w:color w:val="000000"/>
        </w:rPr>
        <w:t xml:space="preserve">. </w:t>
      </w:r>
    </w:p>
    <w:p w14:paraId="70FA5432" w14:textId="77777777" w:rsidR="00AC377F" w:rsidRDefault="00AC377F" w:rsidP="00AC377F">
      <w:pPr>
        <w:spacing w:after="120" w:line="276" w:lineRule="auto"/>
        <w:ind w:firstLine="709"/>
        <w:jc w:val="both"/>
        <w:rPr>
          <w:rFonts w:ascii="Verdana" w:eastAsia="Calibri" w:hAnsi="Verdana" w:cs="Arial"/>
          <w:color w:val="000000"/>
        </w:rPr>
      </w:pPr>
      <w:r w:rsidRPr="00AE22D5">
        <w:rPr>
          <w:rFonts w:ascii="Verdana" w:eastAsia="Calibri" w:hAnsi="Verdana" w:cs="Arial"/>
          <w:color w:val="000000"/>
        </w:rPr>
        <w:t>En esta misma línea, la Corte Constitucional en el control de constitucionalidad a un aparte del artículo 2° del Decreto Ley 2400 de 1968 modificado por el Decreto Ley 3074 de 1968 señaló que el indebido uso del contrato de prestación de servicios, constituye una violación del derecho a la igualdad, pues tratándose de funciones de carácter permanentes, los trabajadores que se presentan en esos supuestos, podrían encontrarse en la práctica, bajo una continuada dependencia o subordinación, características que eventualmente configurarían una vinculación legal y reglamentaria y/o un contrato de trabajo, según sea la naturaleza jurídica de la entidad pública y el tipo de cargo</w:t>
      </w:r>
      <w:r w:rsidRPr="00AE22D5">
        <w:rPr>
          <w:rFonts w:ascii="Verdana" w:eastAsia="Calibri" w:hAnsi="Verdana" w:cs="Arial"/>
          <w:color w:val="000000"/>
          <w:vertAlign w:val="superscript"/>
        </w:rPr>
        <w:footnoteReference w:id="3"/>
      </w:r>
      <w:r w:rsidRPr="00AE22D5">
        <w:rPr>
          <w:rFonts w:ascii="Verdana" w:eastAsia="Calibri" w:hAnsi="Verdana" w:cs="Arial"/>
          <w:color w:val="000000"/>
        </w:rPr>
        <w:t xml:space="preserve">. </w:t>
      </w:r>
    </w:p>
    <w:p w14:paraId="4E7CF135" w14:textId="77777777" w:rsidR="00AC377F" w:rsidRPr="00AE22D5" w:rsidRDefault="00AC377F" w:rsidP="00AC377F">
      <w:pPr>
        <w:spacing w:after="120" w:line="276" w:lineRule="auto"/>
        <w:ind w:firstLine="709"/>
        <w:jc w:val="both"/>
        <w:rPr>
          <w:rFonts w:ascii="Verdana" w:eastAsia="Calibri" w:hAnsi="Verdana" w:cs="Arial"/>
          <w:color w:val="000000"/>
        </w:rPr>
      </w:pPr>
      <w:r w:rsidRPr="00AE22D5">
        <w:rPr>
          <w:rFonts w:ascii="Verdana" w:eastAsia="Calibri" w:hAnsi="Verdana" w:cs="Arial"/>
          <w:color w:val="000000"/>
        </w:rPr>
        <w:t>De modo que, bajo la perspectiva indicada, se podría invocar la presunción de la existencia de una relación laboral; siendo contrario a uno de los aspectos más relevantes del contrato de prestación de servicio, la autonomía e independencia en la ejecución del mismo.</w:t>
      </w:r>
    </w:p>
    <w:p w14:paraId="2A3E5F96" w14:textId="77777777" w:rsidR="00AC377F" w:rsidRPr="00AE22D5" w:rsidRDefault="00AC377F" w:rsidP="00AC377F">
      <w:pPr>
        <w:spacing w:after="0" w:line="276" w:lineRule="auto"/>
        <w:ind w:firstLine="709"/>
        <w:jc w:val="both"/>
        <w:rPr>
          <w:rFonts w:ascii="Verdana" w:eastAsia="Calibri" w:hAnsi="Verdana" w:cs="Arial"/>
          <w:color w:val="000000"/>
        </w:rPr>
      </w:pPr>
      <w:r w:rsidRPr="00AE22D5">
        <w:rPr>
          <w:rFonts w:ascii="Verdana" w:eastAsia="Calibri" w:hAnsi="Verdana" w:cs="Arial"/>
          <w:color w:val="000000"/>
        </w:rPr>
        <w:t>d) Deben ser temporales. Así lo señaló la Corte Constitucional en la misma providencia a la que se aludió previamente, expresando que:</w:t>
      </w:r>
    </w:p>
    <w:p w14:paraId="35E5D575" w14:textId="77777777" w:rsidR="00AC377F" w:rsidRPr="00AE22D5" w:rsidRDefault="00AC377F" w:rsidP="00AC377F">
      <w:pPr>
        <w:spacing w:after="0" w:line="276" w:lineRule="auto"/>
        <w:ind w:firstLine="709"/>
        <w:jc w:val="both"/>
        <w:rPr>
          <w:rFonts w:ascii="Verdana" w:eastAsia="Calibri" w:hAnsi="Verdana" w:cs="Arial"/>
          <w:color w:val="000000"/>
        </w:rPr>
      </w:pPr>
    </w:p>
    <w:p w14:paraId="4D3ACCC9" w14:textId="77777777" w:rsidR="00AC377F" w:rsidRPr="00AE22D5" w:rsidRDefault="00AC377F" w:rsidP="00AC377F">
      <w:pPr>
        <w:spacing w:after="0" w:line="240" w:lineRule="auto"/>
        <w:ind w:left="709" w:right="709"/>
        <w:jc w:val="both"/>
        <w:rPr>
          <w:rFonts w:ascii="Verdana" w:eastAsia="Calibri" w:hAnsi="Verdana" w:cs="Arial"/>
          <w:color w:val="000000"/>
          <w:sz w:val="21"/>
          <w:szCs w:val="21"/>
        </w:rPr>
      </w:pPr>
      <w:r>
        <w:rPr>
          <w:rFonts w:ascii="Verdana" w:eastAsia="Calibri" w:hAnsi="Verdana" w:cs="Arial"/>
          <w:color w:val="000000"/>
          <w:sz w:val="20"/>
          <w:szCs w:val="20"/>
        </w:rPr>
        <w:t>“</w:t>
      </w:r>
      <w:r w:rsidRPr="00AE22D5">
        <w:rPr>
          <w:rFonts w:ascii="Verdana" w:eastAsia="Calibri" w:hAnsi="Verdana" w:cs="Arial"/>
          <w:color w:val="000000"/>
          <w:sz w:val="20"/>
          <w:szCs w:val="20"/>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Pr>
          <w:rFonts w:ascii="Verdana" w:eastAsia="Calibri" w:hAnsi="Verdana" w:cs="Arial"/>
          <w:color w:val="000000"/>
          <w:sz w:val="20"/>
          <w:szCs w:val="20"/>
        </w:rPr>
        <w:t>”</w:t>
      </w:r>
      <w:r w:rsidRPr="00AE22D5">
        <w:rPr>
          <w:rFonts w:ascii="Verdana" w:eastAsia="Calibri" w:hAnsi="Verdana" w:cs="Arial"/>
          <w:color w:val="000000"/>
          <w:sz w:val="21"/>
          <w:szCs w:val="21"/>
          <w:vertAlign w:val="superscript"/>
        </w:rPr>
        <w:footnoteReference w:id="4"/>
      </w:r>
      <w:r w:rsidRPr="00AE22D5">
        <w:rPr>
          <w:rFonts w:ascii="Verdana" w:eastAsia="Calibri" w:hAnsi="Verdana" w:cs="Arial"/>
          <w:color w:val="000000"/>
          <w:sz w:val="21"/>
          <w:szCs w:val="21"/>
        </w:rPr>
        <w:t>.</w:t>
      </w:r>
    </w:p>
    <w:p w14:paraId="63CF0858" w14:textId="77777777" w:rsidR="00AC377F" w:rsidRPr="00AE22D5" w:rsidRDefault="00AC377F" w:rsidP="00AC377F">
      <w:pPr>
        <w:spacing w:after="0" w:line="240" w:lineRule="auto"/>
        <w:ind w:firstLine="709"/>
        <w:jc w:val="both"/>
        <w:rPr>
          <w:rFonts w:ascii="Verdana" w:eastAsia="Calibri" w:hAnsi="Verdana" w:cs="Arial"/>
          <w:color w:val="000000"/>
        </w:rPr>
      </w:pPr>
    </w:p>
    <w:p w14:paraId="18800332" w14:textId="77777777" w:rsidR="00AC377F" w:rsidRPr="00AE22D5" w:rsidRDefault="00AC377F" w:rsidP="00AC377F">
      <w:pPr>
        <w:spacing w:after="120" w:line="276" w:lineRule="auto"/>
        <w:ind w:firstLine="709"/>
        <w:jc w:val="both"/>
        <w:rPr>
          <w:rFonts w:ascii="Verdana" w:eastAsia="Calibri" w:hAnsi="Verdana" w:cs="Arial"/>
          <w:color w:val="000000"/>
          <w:sz w:val="21"/>
          <w:szCs w:val="21"/>
        </w:rPr>
      </w:pPr>
      <w:r w:rsidRPr="00AE22D5">
        <w:rPr>
          <w:rFonts w:ascii="Verdana" w:eastAsia="Calibri" w:hAnsi="Verdana" w:cs="Arial"/>
          <w:color w:val="000000"/>
        </w:rPr>
        <w:lastRenderedPageBreak/>
        <w:t xml:space="preserve">e) Los contratos de prestación de servicios profesionales hacen parte del género denominado </w:t>
      </w:r>
      <w:r w:rsidRPr="00AE22D5">
        <w:rPr>
          <w:rFonts w:ascii="Verdana" w:eastAsia="Calibri" w:hAnsi="Verdana" w:cs="Arial"/>
          <w:i/>
          <w:color w:val="000000"/>
        </w:rPr>
        <w:t>contratos de prestación de servicios</w:t>
      </w:r>
      <w:r w:rsidRPr="00AE22D5">
        <w:rPr>
          <w:rFonts w:ascii="Verdana" w:eastAsia="Calibri" w:hAnsi="Verdana" w:cs="Arial"/>
          <w:color w:val="000000"/>
        </w:rPr>
        <w:t>, dentro del cual también se ubican, como especies, los contratos de prestación de servicios de apoyo a la gestión y los contratos de prestación de servicios artísticos que solo pueden encomendarse a determinadas personas naturales, de acuerdo con lo reglamentado en el artículo 2.2.1.2.4.9. del Decreto 1082 de 2015</w:t>
      </w:r>
      <w:r w:rsidRPr="00AE22D5">
        <w:rPr>
          <w:rFonts w:ascii="Verdana" w:eastAsia="Calibri" w:hAnsi="Verdana" w:cs="Arial"/>
          <w:color w:val="000000"/>
          <w:vertAlign w:val="superscript"/>
        </w:rPr>
        <w:footnoteReference w:id="5"/>
      </w:r>
      <w:r w:rsidRPr="00AE22D5">
        <w:rPr>
          <w:rFonts w:ascii="Verdana" w:eastAsia="Calibri" w:hAnsi="Verdana" w:cs="Arial"/>
          <w:color w:val="000000"/>
        </w:rPr>
        <w:t xml:space="preserve">. </w:t>
      </w:r>
    </w:p>
    <w:p w14:paraId="020745DF" w14:textId="77777777" w:rsidR="00AC377F" w:rsidRPr="00AE22D5" w:rsidRDefault="00AC377F" w:rsidP="00AC377F">
      <w:pPr>
        <w:spacing w:after="120" w:line="276" w:lineRule="auto"/>
        <w:ind w:firstLine="709"/>
        <w:jc w:val="both"/>
        <w:rPr>
          <w:rFonts w:ascii="Verdana" w:eastAsia="Calibri" w:hAnsi="Verdana" w:cs="Arial"/>
          <w:color w:val="000000"/>
        </w:rPr>
      </w:pPr>
      <w:r w:rsidRPr="00AE22D5">
        <w:rPr>
          <w:rFonts w:ascii="Verdana" w:eastAsia="Calibri" w:hAnsi="Verdana" w:cs="Arial"/>
          <w:color w:val="000000"/>
        </w:rPr>
        <w:t>f) Su celebración debe realizarse a través de la modalidad de contratación directa, independientemente de la cuantía y del tipo de servicio profesional, siempre que este no ingrese dentro del objeto del contrato de consultoría, pues, como lo indicó el Consejo de Estado, si bien en ambos existe un componente intelectual, profesional e intangible, el objeto del contrato de consultoría es especial y debe celebrarse, por regla general, precedido de un concurso de méritos</w:t>
      </w:r>
      <w:r w:rsidRPr="00AE22D5">
        <w:rPr>
          <w:rFonts w:ascii="Verdana" w:eastAsia="Calibri" w:hAnsi="Verdana" w:cs="Arial"/>
          <w:color w:val="000000"/>
          <w:vertAlign w:val="superscript"/>
        </w:rPr>
        <w:footnoteReference w:id="6"/>
      </w:r>
      <w:r w:rsidRPr="00AE22D5">
        <w:rPr>
          <w:rFonts w:ascii="Verdana" w:eastAsia="Calibri" w:hAnsi="Verdana" w:cs="Arial"/>
          <w:color w:val="000000"/>
        </w:rPr>
        <w:t>. Pero, tampoco puede suscribirse un contrato de prestación de servicios profesionales para que el contratista ejecute labores que se enmarcan dentro de los otros contratos tipificados en el artículo 32 de la Ley 80 de 1993, como, por ejemplo, para que el contratista de prestación de servicios construya una obra.</w:t>
      </w:r>
    </w:p>
    <w:p w14:paraId="6C103208" w14:textId="77777777" w:rsidR="00AC377F" w:rsidRPr="00AE22D5" w:rsidRDefault="00AC377F" w:rsidP="00AC377F">
      <w:pPr>
        <w:spacing w:after="120" w:line="276" w:lineRule="auto"/>
        <w:ind w:firstLine="709"/>
        <w:jc w:val="both"/>
        <w:rPr>
          <w:rFonts w:ascii="Verdana" w:eastAsia="Calibri" w:hAnsi="Verdana" w:cs="Arial"/>
          <w:color w:val="000000"/>
        </w:rPr>
      </w:pPr>
      <w:r w:rsidRPr="00AE22D5">
        <w:rPr>
          <w:rFonts w:ascii="Verdana" w:eastAsia="Calibri" w:hAnsi="Verdana" w:cs="Arial"/>
          <w:color w:val="000000"/>
        </w:rPr>
        <w:t>g) Para su celebración no se requiere la expedición del acto administrativo de justificación de la contratación directa</w:t>
      </w:r>
      <w:r w:rsidRPr="00AE22D5">
        <w:rPr>
          <w:rFonts w:ascii="Verdana" w:eastAsia="Calibri" w:hAnsi="Verdana" w:cs="Arial"/>
          <w:color w:val="000000"/>
          <w:vertAlign w:val="superscript"/>
        </w:rPr>
        <w:footnoteReference w:id="7"/>
      </w:r>
      <w:r w:rsidRPr="00AE22D5">
        <w:rPr>
          <w:rFonts w:ascii="Verdana" w:eastAsia="Calibri" w:hAnsi="Verdana" w:cs="Arial"/>
          <w:color w:val="000000"/>
        </w:rPr>
        <w:t xml:space="preserve">. </w:t>
      </w:r>
    </w:p>
    <w:p w14:paraId="445C5BB0" w14:textId="77777777" w:rsidR="00AC377F" w:rsidRPr="00AE22D5" w:rsidRDefault="00AC377F" w:rsidP="00AC377F">
      <w:pPr>
        <w:spacing w:after="120" w:line="276" w:lineRule="auto"/>
        <w:ind w:firstLine="709"/>
        <w:jc w:val="both"/>
        <w:rPr>
          <w:rFonts w:ascii="Verdana" w:eastAsia="Calibri" w:hAnsi="Verdana" w:cs="Arial"/>
          <w:color w:val="000000"/>
        </w:rPr>
      </w:pPr>
      <w:r w:rsidRPr="00AE22D5">
        <w:rPr>
          <w:rFonts w:ascii="Verdana" w:eastAsia="Calibri" w:hAnsi="Verdana" w:cs="Arial"/>
          <w:color w:val="000000"/>
        </w:rPr>
        <w:lastRenderedPageBreak/>
        <w:t>h) Admiten el pacto de cláusulas excepcionales. Es decir, en los contratos de prestación de servicios profesionales puede estipularse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w:t>
      </w:r>
      <w:r w:rsidRPr="00AE22D5">
        <w:rPr>
          <w:rFonts w:ascii="Verdana" w:eastAsia="Calibri" w:hAnsi="Verdana" w:cs="Arial"/>
          <w:color w:val="000000"/>
          <w:vertAlign w:val="superscript"/>
        </w:rPr>
        <w:footnoteReference w:id="8"/>
      </w:r>
      <w:r w:rsidRPr="00AE22D5">
        <w:rPr>
          <w:rFonts w:ascii="Verdana" w:eastAsia="Calibri" w:hAnsi="Verdana" w:cs="Arial"/>
          <w:color w:val="000000"/>
        </w:rPr>
        <w:t>.</w:t>
      </w:r>
    </w:p>
    <w:p w14:paraId="26364661" w14:textId="77777777" w:rsidR="00AC377F" w:rsidRPr="00AE22D5" w:rsidRDefault="00AC377F" w:rsidP="00AC377F">
      <w:pPr>
        <w:spacing w:before="120" w:after="120" w:line="276" w:lineRule="auto"/>
        <w:ind w:firstLine="709"/>
        <w:jc w:val="both"/>
        <w:rPr>
          <w:rFonts w:ascii="Verdana" w:eastAsia="Calibri" w:hAnsi="Verdana" w:cs="Arial"/>
          <w:color w:val="000000"/>
        </w:rPr>
      </w:pPr>
      <w:r w:rsidRPr="00AE22D5">
        <w:rPr>
          <w:rFonts w:ascii="Verdana" w:eastAsia="Calibri" w:hAnsi="Verdana" w:cs="Arial"/>
          <w:color w:val="000000"/>
        </w:rPr>
        <w:t>i) En ellos no es obligatoria la liquidación, pues así lo estableció el artículo 217 del Decreto 019 de 2012, que modificó el artículo 60 de la Ley 80 de 1993</w:t>
      </w:r>
      <w:r w:rsidRPr="00AE22D5">
        <w:rPr>
          <w:rFonts w:ascii="Verdana" w:eastAsia="Calibri" w:hAnsi="Verdana" w:cs="Arial"/>
          <w:color w:val="000000"/>
          <w:vertAlign w:val="superscript"/>
        </w:rPr>
        <w:footnoteReference w:id="9"/>
      </w:r>
      <w:r w:rsidRPr="00AE22D5">
        <w:rPr>
          <w:rFonts w:ascii="Verdana" w:eastAsia="Calibri" w:hAnsi="Verdana" w:cs="Arial"/>
          <w:color w:val="000000"/>
        </w:rPr>
        <w:t xml:space="preserve">, </w:t>
      </w:r>
      <w:r w:rsidRPr="00AE22D5">
        <w:rPr>
          <w:rFonts w:ascii="Verdana" w:eastAsia="Calibri" w:hAnsi="Verdana" w:cs="Arial"/>
          <w:color w:val="000000"/>
          <w:lang w:val="es-ES" w:eastAsia="es-ES"/>
        </w:rPr>
        <w:t>refiriéndose expresamente a los contratos de prestación de servicios profesionales y de apoyo a la gestión.</w:t>
      </w:r>
    </w:p>
    <w:p w14:paraId="0B36D01B" w14:textId="77777777" w:rsidR="00AC377F" w:rsidRPr="00AE22D5" w:rsidRDefault="00AC377F" w:rsidP="00AC377F">
      <w:pPr>
        <w:spacing w:after="120" w:line="276" w:lineRule="auto"/>
        <w:ind w:firstLine="709"/>
        <w:jc w:val="both"/>
        <w:rPr>
          <w:rFonts w:ascii="Verdana" w:eastAsia="Calibri" w:hAnsi="Verdana" w:cs="Arial"/>
          <w:color w:val="000000"/>
        </w:rPr>
      </w:pPr>
      <w:r w:rsidRPr="00AE22D5">
        <w:rPr>
          <w:rFonts w:ascii="Verdana" w:eastAsia="Calibri" w:hAnsi="Verdana" w:cs="Arial"/>
          <w:color w:val="000000"/>
        </w:rPr>
        <w:t>j) Para su celebración no se requiere inscripción en el Registro Único de Proponentes (RUP), según lo prevé el artículo 6 de la Ley 1150 de 2007</w:t>
      </w:r>
      <w:r w:rsidRPr="00AE22D5">
        <w:rPr>
          <w:rFonts w:ascii="Verdana" w:eastAsia="Calibri" w:hAnsi="Verdana" w:cs="Arial"/>
          <w:color w:val="000000"/>
          <w:vertAlign w:val="superscript"/>
        </w:rPr>
        <w:footnoteReference w:id="10"/>
      </w:r>
      <w:r w:rsidRPr="00AE22D5">
        <w:rPr>
          <w:rFonts w:ascii="Verdana" w:eastAsia="Calibri" w:hAnsi="Verdana" w:cs="Arial"/>
          <w:color w:val="000000"/>
        </w:rPr>
        <w:t>.</w:t>
      </w:r>
    </w:p>
    <w:p w14:paraId="50DA5F9E" w14:textId="77777777" w:rsidR="00AC377F" w:rsidRPr="00AE22D5" w:rsidRDefault="00AC377F" w:rsidP="00AC377F">
      <w:pPr>
        <w:spacing w:after="120" w:line="276" w:lineRule="auto"/>
        <w:ind w:firstLine="709"/>
        <w:jc w:val="both"/>
        <w:rPr>
          <w:rFonts w:ascii="Verdana" w:eastAsia="Calibri" w:hAnsi="Verdana" w:cs="Arial"/>
          <w:color w:val="000000"/>
        </w:rPr>
      </w:pPr>
      <w:r w:rsidRPr="00AE22D5">
        <w:rPr>
          <w:rFonts w:ascii="Verdana" w:eastAsia="Calibri" w:hAnsi="Verdana" w:cs="Arial"/>
          <w:color w:val="000000"/>
        </w:rPr>
        <w:t>k) En ellos no son necesarias las garantías</w:t>
      </w:r>
      <w:r w:rsidRPr="00AE22D5">
        <w:rPr>
          <w:rFonts w:ascii="Verdana" w:eastAsia="Calibri" w:hAnsi="Verdana" w:cs="Arial"/>
          <w:color w:val="000000"/>
          <w:vertAlign w:val="superscript"/>
        </w:rPr>
        <w:footnoteReference w:id="11"/>
      </w:r>
      <w:r w:rsidRPr="00AE22D5">
        <w:rPr>
          <w:rFonts w:ascii="Verdana" w:eastAsia="Calibri" w:hAnsi="Verdana" w:cs="Arial"/>
          <w:color w:val="000000"/>
        </w:rPr>
        <w:t>.</w:t>
      </w:r>
    </w:p>
    <w:p w14:paraId="649318FF" w14:textId="77777777" w:rsidR="00AC377F" w:rsidRDefault="00AC377F" w:rsidP="00AC377F">
      <w:pPr>
        <w:spacing w:after="120" w:line="276" w:lineRule="auto"/>
        <w:ind w:firstLine="709"/>
        <w:jc w:val="both"/>
        <w:rPr>
          <w:rFonts w:ascii="Verdana" w:hAnsi="Verdana" w:cs="Arial"/>
          <w:color w:val="000000" w:themeColor="text1"/>
          <w:lang w:val="es-ES"/>
        </w:rPr>
      </w:pPr>
      <w:r w:rsidRPr="00AE22D5">
        <w:rPr>
          <w:rFonts w:ascii="Verdana" w:hAnsi="Verdana" w:cs="Arial"/>
          <w:color w:val="000000" w:themeColor="text1"/>
          <w:lang w:val="es-ES"/>
        </w:rPr>
        <w:lastRenderedPageBreak/>
        <w:t xml:space="preserve">Teniendo en cuenta las anteriores características </w:t>
      </w:r>
      <w:r>
        <w:rPr>
          <w:rFonts w:ascii="Verdana" w:hAnsi="Verdana" w:cs="Arial"/>
          <w:color w:val="000000" w:themeColor="text1"/>
          <w:lang w:val="es-ES"/>
        </w:rPr>
        <w:t xml:space="preserve">propias </w:t>
      </w:r>
      <w:r w:rsidRPr="00AE22D5">
        <w:rPr>
          <w:rFonts w:ascii="Verdana" w:hAnsi="Verdana" w:cs="Arial"/>
          <w:color w:val="000000" w:themeColor="text1"/>
          <w:lang w:val="es-ES"/>
        </w:rPr>
        <w:t>del contrato de prestación de servicios, es claro que quienes celebren contratos de esta naturaleza no son servidores públicos</w:t>
      </w:r>
      <w:r>
        <w:rPr>
          <w:rFonts w:ascii="Verdana" w:hAnsi="Verdana" w:cs="Arial"/>
          <w:color w:val="000000" w:themeColor="text1"/>
          <w:lang w:val="es-ES"/>
        </w:rPr>
        <w:t xml:space="preserve">. Por tanto, será necesario revisar el marco normativo a tener en cuenta para determinar la participación política de contratistas de prestación de servicios y sus posibles restricciones. </w:t>
      </w:r>
      <w:bookmarkStart w:id="1" w:name="_Hlk213782318"/>
    </w:p>
    <w:p w14:paraId="7A32DE5A" w14:textId="77777777" w:rsidR="00AC377F" w:rsidRDefault="00AC377F" w:rsidP="00AC377F">
      <w:pPr>
        <w:spacing w:after="120" w:line="276" w:lineRule="auto"/>
        <w:jc w:val="both"/>
        <w:rPr>
          <w:rFonts w:ascii="Verdana" w:hAnsi="Verdana" w:cs="Arial"/>
          <w:color w:val="000000" w:themeColor="text1"/>
          <w:lang w:val="es-ES"/>
        </w:rPr>
      </w:pPr>
      <w:r>
        <w:rPr>
          <w:rFonts w:ascii="Verdana" w:hAnsi="Verdana" w:cs="Arial"/>
          <w:color w:val="000000" w:themeColor="text1"/>
          <w:lang w:val="es-ES"/>
        </w:rPr>
        <w:tab/>
      </w:r>
      <w:r w:rsidRPr="00E713E2">
        <w:rPr>
          <w:rFonts w:ascii="Verdana" w:hAnsi="Verdana" w:cs="Arial"/>
          <w:color w:val="000000" w:themeColor="text1"/>
          <w:lang w:val="es-ES"/>
        </w:rPr>
        <w:t xml:space="preserve">Un aspecto fundamental en el análisis de las relaciones entre los particulares y el Estado es el conjunto de restricciones que recaen sobre quienes mantienen algún tipo de vínculo con la administración pública. Estas limitaciones buscan garantizar la transparencia, la imparcialidad y la correcta gestión de los recursos públicos. En este sentido, </w:t>
      </w:r>
      <w:r>
        <w:rPr>
          <w:rFonts w:ascii="Verdana" w:hAnsi="Verdana" w:cs="Arial"/>
          <w:color w:val="000000" w:themeColor="text1"/>
          <w:lang w:val="es-ES"/>
        </w:rPr>
        <w:t>el ordenamiento jurídico contempla restricciones aplicables</w:t>
      </w:r>
      <w:r w:rsidRPr="00E713E2">
        <w:rPr>
          <w:rFonts w:ascii="Verdana" w:hAnsi="Verdana" w:cs="Arial"/>
          <w:color w:val="000000" w:themeColor="text1"/>
          <w:lang w:val="es-ES"/>
        </w:rPr>
        <w:t xml:space="preserve"> tanto los servidores públicos —empleados públicos, trabajadores oficiales y miembros de corporaciones públicas—</w:t>
      </w:r>
      <w:r>
        <w:rPr>
          <w:rFonts w:ascii="Verdana" w:hAnsi="Verdana" w:cs="Arial"/>
          <w:color w:val="000000" w:themeColor="text1"/>
          <w:lang w:val="es-ES"/>
        </w:rPr>
        <w:t xml:space="preserve">, así como </w:t>
      </w:r>
      <w:r w:rsidRPr="00E713E2">
        <w:rPr>
          <w:rFonts w:ascii="Verdana" w:hAnsi="Verdana" w:cs="Arial"/>
          <w:color w:val="000000" w:themeColor="text1"/>
          <w:lang w:val="es-ES"/>
        </w:rPr>
        <w:t xml:space="preserve">los contratistas del Estado, quienes, por la naturaleza de sus </w:t>
      </w:r>
      <w:r>
        <w:rPr>
          <w:rFonts w:ascii="Verdana" w:hAnsi="Verdana" w:cs="Arial"/>
          <w:color w:val="000000" w:themeColor="text1"/>
          <w:lang w:val="es-ES"/>
        </w:rPr>
        <w:t>actividades u obligaciones</w:t>
      </w:r>
      <w:r w:rsidRPr="00E713E2">
        <w:rPr>
          <w:rFonts w:ascii="Verdana" w:hAnsi="Verdana" w:cs="Arial"/>
          <w:color w:val="000000" w:themeColor="text1"/>
          <w:lang w:val="es-ES"/>
        </w:rPr>
        <w:t xml:space="preserve"> de los contratos que celebran, están sujetos a normas específicas que regulan su comportamiento. Dichas restricciones pueden abarcar desde la incompatibilidad para ejercer simultáneamente ciertos cargos, la prohibición de participar en actividades políticas en determinados contextos, hasta la obligación de abstenerse de </w:t>
      </w:r>
      <w:r>
        <w:rPr>
          <w:rFonts w:ascii="Verdana" w:hAnsi="Verdana" w:cs="Arial"/>
          <w:color w:val="000000" w:themeColor="text1"/>
          <w:lang w:val="es-ES"/>
        </w:rPr>
        <w:t>adelantar cierto tipo de actuaciones qu</w:t>
      </w:r>
      <w:r w:rsidRPr="00E713E2">
        <w:rPr>
          <w:rFonts w:ascii="Verdana" w:hAnsi="Verdana" w:cs="Arial"/>
          <w:color w:val="000000" w:themeColor="text1"/>
          <w:lang w:val="es-ES"/>
        </w:rPr>
        <w:t xml:space="preserve">e generen conflictos de interés. </w:t>
      </w:r>
    </w:p>
    <w:p w14:paraId="0C891C3C" w14:textId="77777777" w:rsidR="00AC377F" w:rsidRDefault="00AC377F" w:rsidP="00AC377F">
      <w:pPr>
        <w:spacing w:after="0" w:line="276" w:lineRule="auto"/>
        <w:ind w:firstLine="708"/>
        <w:jc w:val="both"/>
        <w:rPr>
          <w:rFonts w:ascii="Verdana" w:eastAsia="Calibri" w:hAnsi="Verdana" w:cs="Arial"/>
          <w:lang w:val="es-MX"/>
        </w:rPr>
      </w:pPr>
      <w:r>
        <w:rPr>
          <w:rFonts w:ascii="Verdana" w:hAnsi="Verdana" w:cs="Arial"/>
          <w:color w:val="000000" w:themeColor="text1"/>
          <w:lang w:val="es-ES"/>
        </w:rPr>
        <w:t xml:space="preserve">En esta línea, se encuentra el régimen de conflictos de interés, impedimentos y recusaciones, así como el régimen de inhabilidades e incompatibilidades. </w:t>
      </w:r>
      <w:r>
        <w:rPr>
          <w:rFonts w:ascii="Verdana" w:eastAsia="Calibri" w:hAnsi="Verdana" w:cs="Arial"/>
          <w:lang w:val="es-MX"/>
        </w:rPr>
        <w:t xml:space="preserve">Estos últimos </w:t>
      </w:r>
      <w:r w:rsidRPr="0060163E">
        <w:rPr>
          <w:rFonts w:ascii="Verdana" w:eastAsia="Calibri" w:hAnsi="Verdana" w:cs="Arial"/>
          <w:lang w:val="es-MX"/>
        </w:rPr>
        <w:t>son circunstancias establecidas por la Constitución o la ley que impiden que personas naturales o jurídicas sean elegidas o d</w:t>
      </w:r>
      <w:r>
        <w:rPr>
          <w:rFonts w:ascii="Verdana" w:eastAsia="Calibri" w:hAnsi="Verdana" w:cs="Arial"/>
          <w:lang w:val="es-MX"/>
        </w:rPr>
        <w:t xml:space="preserve">esignadas en un cargo público, </w:t>
      </w:r>
      <w:r w:rsidRPr="0060163E">
        <w:rPr>
          <w:rFonts w:ascii="Verdana" w:eastAsia="Calibri" w:hAnsi="Verdana" w:cs="Arial"/>
          <w:lang w:val="es-MX"/>
        </w:rPr>
        <w:t>celebren contratos con el Estado</w:t>
      </w:r>
      <w:r>
        <w:rPr>
          <w:rFonts w:ascii="Verdana" w:eastAsia="Calibri" w:hAnsi="Verdana" w:cs="Arial"/>
          <w:lang w:val="es-MX"/>
        </w:rPr>
        <w:t>, o no puedan ejercer una profesión</w:t>
      </w:r>
      <w:r w:rsidRPr="0060163E">
        <w:rPr>
          <w:rFonts w:ascii="Verdana" w:eastAsia="Calibri" w:hAnsi="Verdana" w:cs="Arial"/>
          <w:lang w:val="es-MX"/>
        </w:rPr>
        <w:t xml:space="preserve">, con el objetivo de garantizar la idoneidad, imparcialidad, probidad, transparencia y moralidad de la función pública, garantizando el interés general. </w:t>
      </w:r>
      <w:r>
        <w:rPr>
          <w:rFonts w:ascii="Verdana" w:eastAsia="Calibri" w:hAnsi="Verdana" w:cs="Arial"/>
          <w:lang w:val="es-MX"/>
        </w:rPr>
        <w:t xml:space="preserve">De igual modo, en torno a la incompatibilidad, la Corte Constitucional ha señalado: </w:t>
      </w:r>
    </w:p>
    <w:p w14:paraId="030CCEE4" w14:textId="77777777" w:rsidR="00AC377F" w:rsidRDefault="00AC377F" w:rsidP="00AC377F">
      <w:pPr>
        <w:spacing w:after="0" w:line="240" w:lineRule="auto"/>
        <w:jc w:val="both"/>
        <w:rPr>
          <w:rFonts w:ascii="Verdana" w:eastAsia="Calibri" w:hAnsi="Verdana" w:cs="Arial"/>
          <w:lang w:val="es-MX"/>
        </w:rPr>
      </w:pPr>
    </w:p>
    <w:p w14:paraId="1D69B0EF" w14:textId="77777777" w:rsidR="00AC377F" w:rsidRPr="00AE2F78" w:rsidRDefault="00AC377F" w:rsidP="00AC377F">
      <w:pPr>
        <w:spacing w:after="0" w:line="240" w:lineRule="auto"/>
        <w:ind w:left="709" w:right="709"/>
        <w:jc w:val="both"/>
        <w:rPr>
          <w:rFonts w:ascii="Verdana" w:eastAsia="Calibri" w:hAnsi="Verdana" w:cs="Arial"/>
          <w:bCs/>
          <w:iCs/>
          <w:sz w:val="20"/>
          <w:szCs w:val="20"/>
          <w:lang w:val="es-ES"/>
        </w:rPr>
      </w:pPr>
      <w:r w:rsidRPr="00AE2F78">
        <w:rPr>
          <w:rFonts w:ascii="Verdana" w:eastAsia="Calibri" w:hAnsi="Verdana" w:cs="Arial"/>
          <w:bCs/>
          <w:iCs/>
          <w:sz w:val="20"/>
          <w:szCs w:val="20"/>
          <w:lang w:val="es-ES"/>
        </w:rPr>
        <w:t xml:space="preserve">“[…] una prohibición dirigida al titular de una función pública a quien, por ese hecho, se le impide ocuparse de ciertas actividades o ejercer, simultáneamente, las competencias propias de la función que desempeña y las correspondientes a otros cargos o empleos, en guarda del interés superior que puede verse afectado por una indebida acumulación de funciones o por la confluencia de intereses poco conciliables y capaces, en </w:t>
      </w:r>
      <w:r w:rsidRPr="00AE2F78">
        <w:rPr>
          <w:rFonts w:ascii="Verdana" w:eastAsia="Calibri" w:hAnsi="Verdana" w:cs="Arial"/>
          <w:bCs/>
          <w:iCs/>
          <w:sz w:val="20"/>
          <w:szCs w:val="20"/>
          <w:lang w:val="es-ES"/>
        </w:rPr>
        <w:lastRenderedPageBreak/>
        <w:t>todo caso, de afectar la imparcialidad y la independencia que deben guiar las actuaciones de quien ejerce la autoridad en nombre del Estado”</w:t>
      </w:r>
      <w:r w:rsidRPr="00AE2F78">
        <w:rPr>
          <w:rFonts w:ascii="Verdana" w:eastAsia="Calibri" w:hAnsi="Verdana" w:cs="Arial"/>
          <w:bCs/>
          <w:iCs/>
          <w:sz w:val="20"/>
          <w:szCs w:val="20"/>
          <w:vertAlign w:val="superscript"/>
          <w:lang w:val="es-ES"/>
        </w:rPr>
        <w:footnoteReference w:id="12"/>
      </w:r>
      <w:r w:rsidRPr="00AE2F78">
        <w:rPr>
          <w:rFonts w:ascii="Verdana" w:eastAsia="Calibri" w:hAnsi="Verdana" w:cs="Arial"/>
          <w:bCs/>
          <w:iCs/>
          <w:sz w:val="20"/>
          <w:szCs w:val="20"/>
          <w:lang w:val="es-ES"/>
        </w:rPr>
        <w:t>.</w:t>
      </w:r>
    </w:p>
    <w:p w14:paraId="7AB58BD4" w14:textId="77777777" w:rsidR="00AC377F" w:rsidRPr="00337320" w:rsidRDefault="00AC377F" w:rsidP="00AC377F">
      <w:pPr>
        <w:spacing w:after="0" w:line="276" w:lineRule="auto"/>
        <w:ind w:left="709" w:right="709"/>
        <w:jc w:val="both"/>
        <w:rPr>
          <w:rFonts w:ascii="Verdana" w:eastAsia="Calibri" w:hAnsi="Verdana" w:cs="Arial"/>
          <w:bCs/>
          <w:iCs/>
          <w:lang w:val="es-ES_tradnl"/>
        </w:rPr>
      </w:pPr>
    </w:p>
    <w:p w14:paraId="21C22E0B" w14:textId="77777777" w:rsidR="00AC377F" w:rsidRDefault="00AC377F" w:rsidP="00AC377F">
      <w:pPr>
        <w:spacing w:after="120" w:line="276" w:lineRule="auto"/>
        <w:ind w:firstLine="709"/>
        <w:jc w:val="both"/>
        <w:rPr>
          <w:rFonts w:ascii="Verdana" w:eastAsia="Calibri" w:hAnsi="Verdana" w:cs="Arial"/>
          <w:lang w:val="es-MX"/>
        </w:rPr>
      </w:pPr>
      <w:r>
        <w:rPr>
          <w:rFonts w:ascii="Verdana" w:eastAsia="Calibri" w:hAnsi="Verdana" w:cs="Arial"/>
          <w:lang w:val="es-MX"/>
        </w:rPr>
        <w:t>Las inhabilidades e incompatibilidades pueden enfocarse en varios asuntos: en primer lugar, se encuentran las inhabilidades e incompatibilidades que impiden que u</w:t>
      </w:r>
      <w:r w:rsidRPr="007218AE">
        <w:rPr>
          <w:rFonts w:ascii="Verdana" w:eastAsia="Calibri" w:hAnsi="Verdana" w:cs="Arial"/>
        </w:rPr>
        <w:t xml:space="preserve">na persona sea elegida, designada para un cargo público, como también en ciertos </w:t>
      </w:r>
      <w:r>
        <w:rPr>
          <w:rFonts w:ascii="Verdana" w:eastAsia="Calibri" w:hAnsi="Verdana" w:cs="Arial"/>
        </w:rPr>
        <w:t xml:space="preserve">eventos </w:t>
      </w:r>
      <w:r w:rsidRPr="007218AE">
        <w:rPr>
          <w:rFonts w:ascii="Verdana" w:eastAsia="Calibri" w:hAnsi="Verdana" w:cs="Arial"/>
        </w:rPr>
        <w:t xml:space="preserve">impiden que la persona </w:t>
      </w:r>
      <w:r>
        <w:rPr>
          <w:rFonts w:ascii="Verdana" w:eastAsia="Calibri" w:hAnsi="Verdana" w:cs="Arial"/>
        </w:rPr>
        <w:t xml:space="preserve">se encuentre </w:t>
      </w:r>
      <w:r w:rsidRPr="007218AE">
        <w:rPr>
          <w:rFonts w:ascii="Verdana" w:eastAsia="Calibri" w:hAnsi="Verdana" w:cs="Arial"/>
        </w:rPr>
        <w:t>vinculada a la f</w:t>
      </w:r>
      <w:r>
        <w:rPr>
          <w:rFonts w:ascii="Verdana" w:eastAsia="Calibri" w:hAnsi="Verdana" w:cs="Arial"/>
        </w:rPr>
        <w:t xml:space="preserve">unción pública continúe en ella; en segundo lugar, se hallan las inhabilidades e incompatibilidades para el ejercicio de una profesión, las cuales se constituyen </w:t>
      </w:r>
      <w:r>
        <w:rPr>
          <w:rFonts w:ascii="Verdana" w:eastAsia="Calibri" w:hAnsi="Verdana" w:cs="Arial"/>
          <w:lang w:val="es-MX"/>
        </w:rPr>
        <w:t xml:space="preserve">en restricciones que impiden el ejercicio de una profesión que encuentran sustento en el artículo 26 de la Constitución Política; en tercer lugar, se encuentra el régimen de inhabilidades e incompatibilidades en la contratación estatal, que busca limitar la celebración de contratos, así como evitar que siga contratando por una inhabilidad o incompatibilidad sobreviniente. De acuerdo con lo expuesto, se señala que la Agencia Nacional de Contratación Pública es competente para resolver consultas sobre normas del sistema de compras públicas que establezca inhabilidades e incompatibilidades para contratar con el Estado. </w:t>
      </w:r>
    </w:p>
    <w:p w14:paraId="316D105F" w14:textId="77777777" w:rsidR="00AC377F" w:rsidRPr="0060163E" w:rsidRDefault="00AC377F" w:rsidP="00AC377F">
      <w:pPr>
        <w:spacing w:after="120" w:line="276" w:lineRule="auto"/>
        <w:ind w:firstLine="709"/>
        <w:jc w:val="both"/>
        <w:rPr>
          <w:rFonts w:ascii="Verdana" w:eastAsia="Calibri" w:hAnsi="Verdana" w:cs="Arial"/>
          <w:lang w:val="es-MX"/>
        </w:rPr>
      </w:pPr>
      <w:r>
        <w:rPr>
          <w:rFonts w:ascii="Verdana" w:eastAsia="Calibri" w:hAnsi="Verdana" w:cs="Arial"/>
          <w:lang w:val="es-MX"/>
        </w:rPr>
        <w:t>Así las cosas, hay que precisar que, el</w:t>
      </w:r>
      <w:r w:rsidRPr="0060163E">
        <w:rPr>
          <w:rFonts w:ascii="Verdana" w:eastAsia="Calibri" w:hAnsi="Verdana" w:cs="Arial"/>
          <w:lang w:val="es-MX"/>
        </w:rPr>
        <w:t xml:space="preserve">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Pr="0060163E">
        <w:rPr>
          <w:rFonts w:ascii="Verdana" w:eastAsia="Calibri" w:hAnsi="Verdana" w:cs="Arial"/>
          <w:vertAlign w:val="superscript"/>
          <w:lang w:val="es-MX"/>
        </w:rPr>
        <w:footnoteReference w:id="13"/>
      </w:r>
    </w:p>
    <w:p w14:paraId="4019E514" w14:textId="77777777" w:rsidR="00AC377F" w:rsidRDefault="00AC377F" w:rsidP="00AC377F">
      <w:pPr>
        <w:spacing w:after="0" w:line="276" w:lineRule="auto"/>
        <w:jc w:val="both"/>
        <w:rPr>
          <w:rFonts w:ascii="Verdana" w:eastAsia="Calibri" w:hAnsi="Verdana" w:cs="Arial"/>
          <w:bCs/>
          <w:color w:val="000000" w:themeColor="text1"/>
          <w:lang w:val="es-ES_tradnl"/>
        </w:rPr>
      </w:pPr>
      <w:r>
        <w:rPr>
          <w:rFonts w:ascii="Verdana" w:hAnsi="Verdana" w:cs="Arial"/>
          <w:color w:val="000000" w:themeColor="text1"/>
          <w:lang w:val="es-MX"/>
        </w:rPr>
        <w:tab/>
        <w:t xml:space="preserve">Teniendo en cuenta estas precisiones, es pertinente revisar si existe una inhabilidad o incompatibilidad o algún otro tipo de restricción con aquellos que tienen un vínculo con el Estado que pretendan participan en actividades políticas previas a cualquier tipo de elección. En este aspecto, puede encontrarse </w:t>
      </w:r>
      <w:r>
        <w:rPr>
          <w:rFonts w:ascii="Verdana" w:hAnsi="Verdana" w:cs="Arial"/>
          <w:color w:val="000000" w:themeColor="text1"/>
          <w:lang w:val="es-MX"/>
        </w:rPr>
        <w:lastRenderedPageBreak/>
        <w:t xml:space="preserve">restricciones para los servidores públicos y su participación en la política, como se detalla el </w:t>
      </w:r>
      <w:r w:rsidRPr="003565AF">
        <w:rPr>
          <w:rFonts w:ascii="Verdana" w:eastAsia="Calibri" w:hAnsi="Verdana" w:cs="Arial"/>
          <w:bCs/>
          <w:color w:val="000000" w:themeColor="text1"/>
          <w:lang w:val="es-ES_tradnl"/>
        </w:rPr>
        <w:t>el artículo 127 de la Constitución Política:</w:t>
      </w:r>
    </w:p>
    <w:p w14:paraId="3C75FE91" w14:textId="77777777" w:rsidR="00AC377F" w:rsidRPr="00D26657" w:rsidRDefault="00AC377F" w:rsidP="00AC377F">
      <w:pPr>
        <w:spacing w:after="0" w:line="240" w:lineRule="auto"/>
        <w:jc w:val="both"/>
        <w:rPr>
          <w:rFonts w:ascii="Verdana" w:hAnsi="Verdana" w:cs="Arial"/>
          <w:color w:val="000000" w:themeColor="text1"/>
          <w:sz w:val="20"/>
          <w:szCs w:val="20"/>
          <w:lang w:val="es-MX"/>
        </w:rPr>
      </w:pPr>
    </w:p>
    <w:p w14:paraId="15B3D366" w14:textId="77777777" w:rsidR="00AC377F" w:rsidRPr="00337320" w:rsidRDefault="00AC377F" w:rsidP="00AC377F">
      <w:pPr>
        <w:tabs>
          <w:tab w:val="left" w:pos="284"/>
        </w:tabs>
        <w:spacing w:after="0" w:line="240" w:lineRule="auto"/>
        <w:ind w:left="709" w:right="709"/>
        <w:jc w:val="both"/>
        <w:rPr>
          <w:rFonts w:ascii="Verdana" w:eastAsia="Calibri" w:hAnsi="Verdana" w:cs="Arial"/>
          <w:bCs/>
          <w:color w:val="000000" w:themeColor="text1"/>
          <w:sz w:val="20"/>
          <w:szCs w:val="20"/>
          <w:lang w:val="es-ES_tradnl"/>
        </w:rPr>
      </w:pPr>
      <w:r w:rsidRPr="00337320">
        <w:rPr>
          <w:rFonts w:ascii="Verdana" w:eastAsia="Calibri" w:hAnsi="Verdana" w:cs="Arial"/>
          <w:bCs/>
          <w:color w:val="000000" w:themeColor="text1"/>
          <w:sz w:val="20"/>
          <w:szCs w:val="20"/>
          <w:lang w:val="es-ES_tradnl"/>
        </w:rPr>
        <w:t>“ARTÍCULO 127. Los servidores públicos no podrán celebrar, por si o por interpuesta persona, o en representación de otro, contrato alguno con entidades públicas o con personas privadas que manejen o administren recursos públicos, salvo las excepciones legales.</w:t>
      </w:r>
    </w:p>
    <w:p w14:paraId="2EC1B7EA" w14:textId="77777777" w:rsidR="00AC377F" w:rsidRPr="00D26657" w:rsidRDefault="00AC377F" w:rsidP="00AC377F">
      <w:pPr>
        <w:tabs>
          <w:tab w:val="left" w:pos="284"/>
        </w:tabs>
        <w:spacing w:after="0" w:line="240" w:lineRule="auto"/>
        <w:ind w:left="709" w:right="709"/>
        <w:jc w:val="both"/>
        <w:rPr>
          <w:rFonts w:ascii="Verdana" w:eastAsia="Calibri" w:hAnsi="Verdana" w:cs="Arial"/>
          <w:bCs/>
          <w:color w:val="000000" w:themeColor="text1"/>
          <w:sz w:val="20"/>
          <w:szCs w:val="20"/>
          <w:lang w:val="es-ES_tradnl"/>
        </w:rPr>
      </w:pPr>
    </w:p>
    <w:p w14:paraId="58B946E6" w14:textId="77777777" w:rsidR="00AC377F" w:rsidRPr="00D26657" w:rsidRDefault="00AC377F" w:rsidP="00AC377F">
      <w:pPr>
        <w:tabs>
          <w:tab w:val="left" w:pos="284"/>
        </w:tabs>
        <w:spacing w:after="0" w:line="240" w:lineRule="auto"/>
        <w:ind w:left="709" w:right="709"/>
        <w:jc w:val="both"/>
        <w:rPr>
          <w:rFonts w:ascii="Verdana" w:eastAsia="Calibri" w:hAnsi="Verdana" w:cs="Arial"/>
          <w:bCs/>
          <w:color w:val="000000" w:themeColor="text1"/>
          <w:sz w:val="20"/>
          <w:szCs w:val="20"/>
          <w:lang w:val="es-ES_tradnl"/>
        </w:rPr>
      </w:pPr>
      <w:r w:rsidRPr="00D26657">
        <w:rPr>
          <w:rFonts w:ascii="Verdana" w:eastAsia="Calibri" w:hAnsi="Verdana" w:cs="Arial"/>
          <w:b/>
          <w:color w:val="000000" w:themeColor="text1"/>
          <w:sz w:val="20"/>
          <w:szCs w:val="20"/>
          <w:lang w:val="es-ES_tradnl"/>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w:t>
      </w:r>
      <w:r w:rsidRPr="00D26657">
        <w:rPr>
          <w:rFonts w:ascii="Verdana" w:eastAsia="Calibri" w:hAnsi="Verdana" w:cs="Arial"/>
          <w:bCs/>
          <w:color w:val="000000" w:themeColor="text1"/>
          <w:sz w:val="20"/>
          <w:szCs w:val="20"/>
          <w:lang w:val="es-ES_tradnl"/>
        </w:rPr>
        <w:t>. A los miembros de la Fuerza Pública en servicio activo se les aplican las limitaciones contempladas en el artículo 219 de la Constitución.” (énfasis fuera del texto)</w:t>
      </w:r>
    </w:p>
    <w:p w14:paraId="56E1DCEA" w14:textId="77777777" w:rsidR="00AC377F" w:rsidRPr="00D26657" w:rsidRDefault="00AC377F" w:rsidP="00AC377F">
      <w:pPr>
        <w:tabs>
          <w:tab w:val="left" w:pos="284"/>
        </w:tabs>
        <w:spacing w:after="0" w:line="276" w:lineRule="auto"/>
        <w:ind w:left="709" w:right="902"/>
        <w:jc w:val="both"/>
        <w:rPr>
          <w:rFonts w:ascii="Verdana" w:eastAsia="Calibri" w:hAnsi="Verdana" w:cs="Arial"/>
          <w:bCs/>
          <w:color w:val="000000" w:themeColor="text1"/>
          <w:lang w:val="es-ES_tradnl"/>
        </w:rPr>
      </w:pPr>
    </w:p>
    <w:p w14:paraId="31E4E469" w14:textId="77777777" w:rsidR="00AC377F" w:rsidRPr="00D26657" w:rsidRDefault="00AC377F" w:rsidP="00AC377F">
      <w:pPr>
        <w:tabs>
          <w:tab w:val="left" w:pos="0"/>
        </w:tabs>
        <w:spacing w:after="0" w:line="276" w:lineRule="auto"/>
        <w:jc w:val="both"/>
        <w:rPr>
          <w:rFonts w:ascii="Verdana" w:eastAsia="Calibri" w:hAnsi="Verdana" w:cs="Arial"/>
          <w:bCs/>
          <w:color w:val="000000" w:themeColor="text1"/>
          <w:lang w:val="es-ES_tradnl"/>
        </w:rPr>
      </w:pPr>
      <w:r w:rsidRPr="00D26657">
        <w:rPr>
          <w:rFonts w:ascii="Verdana" w:eastAsia="Calibri" w:hAnsi="Verdana" w:cs="Arial"/>
          <w:bCs/>
          <w:color w:val="000000" w:themeColor="text1"/>
          <w:lang w:val="es-ES_tradnl"/>
        </w:rPr>
        <w:tab/>
        <w:t>De igual modo, el artículo 219 de la Constitución Política establece:</w:t>
      </w:r>
    </w:p>
    <w:p w14:paraId="351B5D19" w14:textId="77777777" w:rsidR="00AC377F" w:rsidRPr="00D26657" w:rsidRDefault="00AC377F" w:rsidP="00AC377F">
      <w:pPr>
        <w:tabs>
          <w:tab w:val="left" w:pos="0"/>
        </w:tabs>
        <w:spacing w:after="0" w:line="276" w:lineRule="auto"/>
        <w:jc w:val="both"/>
        <w:rPr>
          <w:rFonts w:ascii="Verdana" w:eastAsia="Calibri" w:hAnsi="Verdana" w:cs="Arial"/>
          <w:bCs/>
          <w:color w:val="000000" w:themeColor="text1"/>
          <w:sz w:val="20"/>
          <w:szCs w:val="20"/>
          <w:lang w:val="es-ES_tradnl"/>
        </w:rPr>
      </w:pPr>
    </w:p>
    <w:p w14:paraId="75CF5076" w14:textId="77777777" w:rsidR="00AC377F" w:rsidRPr="00337320" w:rsidRDefault="00AC377F" w:rsidP="00AC377F">
      <w:pPr>
        <w:spacing w:after="0" w:line="240" w:lineRule="auto"/>
        <w:ind w:left="709" w:right="709"/>
        <w:jc w:val="both"/>
        <w:rPr>
          <w:rFonts w:ascii="Verdana" w:eastAsia="Calibri" w:hAnsi="Verdana" w:cs="Arial"/>
          <w:bCs/>
          <w:color w:val="000000" w:themeColor="text1"/>
          <w:sz w:val="20"/>
          <w:szCs w:val="20"/>
          <w:lang w:val="es-ES_tradnl"/>
        </w:rPr>
      </w:pPr>
      <w:r w:rsidRPr="00337320">
        <w:rPr>
          <w:rFonts w:ascii="Verdana" w:eastAsia="Calibri" w:hAnsi="Verdana" w:cs="Arial"/>
          <w:bCs/>
          <w:color w:val="000000" w:themeColor="text1"/>
          <w:sz w:val="20"/>
          <w:szCs w:val="20"/>
          <w:lang w:val="es-ES_tradnl"/>
        </w:rPr>
        <w:t>“ARTÍCULO 219. La Fuerza Pública no es deliberante; no podrá reunirse sino por orden de autoridad legítima, ni dirigir peticiones, excepto sobre asuntos que se relacionen con el servicio y la moralidad del respectivo cuerpo y con arreglo a la ley.</w:t>
      </w:r>
    </w:p>
    <w:p w14:paraId="2D4EAA8A" w14:textId="77777777" w:rsidR="00AC377F" w:rsidRPr="00D26657" w:rsidRDefault="00AC377F" w:rsidP="00AC377F">
      <w:pPr>
        <w:spacing w:after="0" w:line="240" w:lineRule="auto"/>
        <w:ind w:left="709" w:right="709"/>
        <w:jc w:val="both"/>
        <w:rPr>
          <w:rFonts w:ascii="Verdana" w:eastAsia="Calibri" w:hAnsi="Verdana" w:cs="Arial"/>
          <w:bCs/>
          <w:color w:val="000000" w:themeColor="text1"/>
          <w:sz w:val="20"/>
          <w:szCs w:val="20"/>
          <w:lang w:val="es-ES_tradnl"/>
        </w:rPr>
      </w:pPr>
    </w:p>
    <w:p w14:paraId="3DF14AB9" w14:textId="77777777" w:rsidR="00AC377F" w:rsidRPr="00337320" w:rsidRDefault="00AC377F" w:rsidP="00AC377F">
      <w:pPr>
        <w:spacing w:after="0" w:line="240" w:lineRule="auto"/>
        <w:ind w:left="709" w:right="709"/>
        <w:jc w:val="both"/>
        <w:rPr>
          <w:rFonts w:ascii="Verdana" w:eastAsia="Calibri" w:hAnsi="Verdana" w:cs="Arial"/>
          <w:bCs/>
          <w:color w:val="000000" w:themeColor="text1"/>
          <w:sz w:val="20"/>
          <w:szCs w:val="20"/>
          <w:lang w:val="es-ES_tradnl"/>
        </w:rPr>
      </w:pPr>
      <w:r w:rsidRPr="00D26657">
        <w:rPr>
          <w:rFonts w:ascii="Verdana" w:eastAsia="Calibri" w:hAnsi="Verdana" w:cs="Arial"/>
          <w:b/>
          <w:color w:val="000000" w:themeColor="text1"/>
          <w:sz w:val="20"/>
          <w:szCs w:val="20"/>
          <w:lang w:val="es-ES_tradnl"/>
        </w:rPr>
        <w:t>Los miembros de la Fuerza Pública no podrán ejercer la función del sufragio mientras permanezcan en servicio activo, ni intervenir en actividades o debates de partidos o movimientos políticos</w:t>
      </w:r>
      <w:r w:rsidRPr="00D26657">
        <w:rPr>
          <w:rFonts w:ascii="Verdana" w:eastAsia="Calibri" w:hAnsi="Verdana" w:cs="Arial"/>
          <w:bCs/>
          <w:color w:val="000000" w:themeColor="text1"/>
          <w:sz w:val="20"/>
          <w:szCs w:val="20"/>
          <w:lang w:val="es-ES_tradnl"/>
        </w:rPr>
        <w:t>.” (énfasis fuera del texto)</w:t>
      </w:r>
    </w:p>
    <w:p w14:paraId="6CCC65D5" w14:textId="77777777" w:rsidR="00AC377F" w:rsidRDefault="00AC377F" w:rsidP="00AC377F">
      <w:pPr>
        <w:tabs>
          <w:tab w:val="left" w:pos="0"/>
        </w:tabs>
        <w:spacing w:after="0"/>
        <w:jc w:val="both"/>
        <w:rPr>
          <w:rFonts w:ascii="Verdana" w:eastAsia="Calibri" w:hAnsi="Verdana" w:cs="Arial"/>
          <w:bCs/>
          <w:color w:val="000000" w:themeColor="text1"/>
          <w:lang w:val="es-ES_tradnl"/>
        </w:rPr>
      </w:pPr>
    </w:p>
    <w:p w14:paraId="786B9948" w14:textId="77777777" w:rsidR="00AC377F" w:rsidRDefault="00AC377F" w:rsidP="00AC377F">
      <w:pPr>
        <w:tabs>
          <w:tab w:val="left" w:pos="426"/>
        </w:tabs>
        <w:spacing w:after="120" w:line="276" w:lineRule="auto"/>
        <w:ind w:firstLine="709"/>
        <w:jc w:val="both"/>
        <w:rPr>
          <w:rFonts w:ascii="Verdana" w:eastAsia="Calibri" w:hAnsi="Verdana" w:cs="Arial"/>
          <w:lang w:val="es-ES_tradnl"/>
        </w:rPr>
      </w:pPr>
      <w:r w:rsidRPr="00E2397D">
        <w:rPr>
          <w:rFonts w:ascii="Verdana" w:eastAsia="Times New Roman" w:hAnsi="Verdana" w:cs="Arial"/>
          <w:lang w:eastAsia="es-CO"/>
        </w:rPr>
        <w:t>En el mismo sentido</w:t>
      </w:r>
      <w:r w:rsidRPr="00E2397D">
        <w:rPr>
          <w:rFonts w:ascii="Verdana" w:eastAsia="Times New Roman" w:hAnsi="Verdana" w:cs="Arial"/>
          <w:lang w:val="es-MX" w:eastAsia="es-CO"/>
        </w:rPr>
        <w:t xml:space="preserve">, </w:t>
      </w:r>
      <w:bookmarkStart w:id="2" w:name="_Hlk99576829"/>
      <w:r w:rsidRPr="00E2397D">
        <w:rPr>
          <w:rFonts w:ascii="Verdana" w:eastAsia="Times New Roman" w:hAnsi="Verdana" w:cs="Arial"/>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E2397D">
        <w:rPr>
          <w:rFonts w:ascii="Verdana" w:eastAsia="Times New Roman" w:hAnsi="Verdana" w:cs="Arial"/>
          <w:vertAlign w:val="superscript"/>
          <w:lang w:val="es-MX" w:eastAsia="es-CO"/>
        </w:rPr>
        <w:footnoteReference w:id="14"/>
      </w:r>
      <w:r w:rsidRPr="00E2397D">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sidRPr="00E2397D">
        <w:rPr>
          <w:rFonts w:ascii="Verdana" w:eastAsia="Calibri" w:hAnsi="Verdana" w:cs="Arial"/>
          <w:lang w:val="es-ES_tradnl"/>
        </w:rPr>
        <w:t xml:space="preserve"> </w:t>
      </w:r>
      <w:bookmarkEnd w:id="2"/>
    </w:p>
    <w:p w14:paraId="52E45791" w14:textId="77777777" w:rsidR="00AC377F" w:rsidRPr="006B14B5" w:rsidRDefault="00AC377F" w:rsidP="00AC377F">
      <w:pPr>
        <w:tabs>
          <w:tab w:val="left" w:pos="426"/>
        </w:tabs>
        <w:spacing w:after="0" w:line="276" w:lineRule="auto"/>
        <w:ind w:firstLine="709"/>
        <w:jc w:val="both"/>
        <w:rPr>
          <w:rFonts w:ascii="Verdana" w:eastAsia="Calibri" w:hAnsi="Verdana" w:cs="Arial"/>
          <w:lang w:val="es-ES_tradnl"/>
        </w:rPr>
      </w:pPr>
      <w:r w:rsidRPr="00E2397D">
        <w:rPr>
          <w:rFonts w:ascii="Verdana" w:eastAsia="Times New Roman" w:hAnsi="Verdana" w:cs="Arial"/>
          <w:lang w:val="es-MX" w:eastAsia="es-CO"/>
        </w:rPr>
        <w:lastRenderedPageBreak/>
        <w:t>En armonía con lo anterior, la Corte Constitucional ha abordado la definición de la Ley de Garantías Electorales. De esta manera, explica que tiene como propósito:</w:t>
      </w:r>
    </w:p>
    <w:p w14:paraId="1D002B9F" w14:textId="77777777" w:rsidR="00AC377F" w:rsidRPr="00E2397D" w:rsidRDefault="00AC377F" w:rsidP="00AC377F">
      <w:pPr>
        <w:spacing w:after="0" w:line="276" w:lineRule="auto"/>
        <w:ind w:right="709"/>
        <w:contextualSpacing/>
        <w:jc w:val="both"/>
        <w:rPr>
          <w:rFonts w:ascii="Verdana" w:eastAsia="Times New Roman" w:hAnsi="Verdana" w:cs="Arial"/>
          <w:lang w:val="es-ES" w:eastAsia="es-CO"/>
        </w:rPr>
      </w:pPr>
    </w:p>
    <w:p w14:paraId="2A96335A" w14:textId="77777777" w:rsidR="00AC377F" w:rsidRPr="00E2397D" w:rsidRDefault="00AC377F" w:rsidP="00AC377F">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ES" w:eastAsia="es-CO"/>
        </w:rPr>
        <w:t xml:space="preserve">“[…] </w:t>
      </w:r>
      <w:r w:rsidRPr="00E2397D">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5F3CCD33" w14:textId="77777777" w:rsidR="00AC377F" w:rsidRPr="00D07CEE" w:rsidRDefault="00AC377F" w:rsidP="00AC377F">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 xml:space="preserve">[…] </w:t>
      </w:r>
    </w:p>
    <w:p w14:paraId="3A98FEA3" w14:textId="77777777" w:rsidR="00AC377F" w:rsidRPr="00E2397D" w:rsidRDefault="00AC377F" w:rsidP="00AC377F">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E2397D">
        <w:rPr>
          <w:rFonts w:ascii="Verdana" w:eastAsia="Calibri" w:hAnsi="Verdana" w:cs="Arial"/>
          <w:sz w:val="20"/>
          <w:szCs w:val="20"/>
          <w:vertAlign w:val="superscript"/>
          <w:lang w:val="es-MX"/>
        </w:rPr>
        <w:footnoteReference w:id="15"/>
      </w:r>
    </w:p>
    <w:p w14:paraId="1A6D7647" w14:textId="77777777" w:rsidR="00AC377F" w:rsidRPr="00E2397D" w:rsidRDefault="00AC377F" w:rsidP="00AC377F">
      <w:pPr>
        <w:spacing w:after="0" w:line="276" w:lineRule="auto"/>
        <w:ind w:firstLine="709"/>
        <w:jc w:val="both"/>
        <w:rPr>
          <w:rFonts w:ascii="Verdana" w:eastAsia="Times New Roman" w:hAnsi="Verdana" w:cs="Arial"/>
          <w:lang w:val="es-MX" w:eastAsia="es-CO"/>
        </w:rPr>
      </w:pPr>
      <w:bookmarkStart w:id="3" w:name="_Hlk78818186"/>
    </w:p>
    <w:p w14:paraId="745F4B12" w14:textId="77777777" w:rsidR="00AC377F" w:rsidRPr="00E2397D" w:rsidRDefault="00AC377F" w:rsidP="00AC377F">
      <w:pPr>
        <w:spacing w:after="0" w:line="276" w:lineRule="auto"/>
        <w:ind w:firstLine="709"/>
        <w:jc w:val="both"/>
        <w:rPr>
          <w:rFonts w:ascii="Verdana" w:eastAsia="Times New Roman" w:hAnsi="Verdana" w:cs="Arial"/>
          <w:lang w:val="es-MX" w:eastAsia="es-CO"/>
        </w:rPr>
      </w:pPr>
      <w:r w:rsidRPr="00E2397D">
        <w:rPr>
          <w:rFonts w:ascii="Verdana" w:eastAsia="Times New Roman" w:hAnsi="Verdana" w:cs="Arial"/>
          <w:lang w:val="es-MX" w:eastAsia="es-CO"/>
        </w:rPr>
        <w:t>En este contexto, la Ley de Garantías Electorales establece el marco jurídico para el desarrollo de las elecciones, procurando condiciones de igualdad y transparencia para los aspirantes. Paralelamente,</w:t>
      </w:r>
      <w:r>
        <w:rPr>
          <w:rFonts w:ascii="Verdana" w:eastAsia="Times New Roman" w:hAnsi="Verdana" w:cs="Arial"/>
          <w:lang w:val="es-MX" w:eastAsia="es-CO"/>
        </w:rPr>
        <w:t xml:space="preserve"> se incluyen restricciones en las actuaciones</w:t>
      </w:r>
      <w:r w:rsidRPr="00E2397D">
        <w:rPr>
          <w:rFonts w:ascii="Verdana" w:eastAsia="Times New Roman" w:hAnsi="Verdana" w:cs="Arial"/>
          <w:lang w:val="es-MX" w:eastAsia="es-CO"/>
        </w:rPr>
        <w:t xml:space="preserve"> de los servidores públicos, evitando interferencias en la contienda electoral, así como la posible desviación de recursos públicos en aspiraciones electorales. </w:t>
      </w:r>
      <w:bookmarkEnd w:id="3"/>
      <w:r w:rsidRPr="00E2397D">
        <w:rPr>
          <w:rFonts w:ascii="Verdana" w:eastAsia="Times New Roman" w:hAnsi="Verdana" w:cs="Arial"/>
          <w:lang w:val="es-MX" w:eastAsia="es-CO"/>
        </w:rPr>
        <w:t>Por ello, varias de las disposiciones de la Ley 996 de 2005, al contener normas prohibitivas, no admiten una interpretación amplia, sino que deben interpretarse restrictivamente. En efecto, la Sala de Consulta y Servicio Civil del Consejo de Estado, pre</w:t>
      </w:r>
      <w:r>
        <w:rPr>
          <w:rFonts w:ascii="Verdana" w:eastAsia="Times New Roman" w:hAnsi="Verdana" w:cs="Arial"/>
          <w:lang w:val="es-MX" w:eastAsia="es-CO"/>
        </w:rPr>
        <w:t>cisó</w:t>
      </w:r>
      <w:r w:rsidRPr="00E2397D">
        <w:rPr>
          <w:rFonts w:ascii="Verdana" w:eastAsia="Times New Roman" w:hAnsi="Verdana" w:cs="Arial"/>
          <w:lang w:val="es-MX" w:eastAsia="es-CO"/>
        </w:rPr>
        <w:t>:</w:t>
      </w:r>
    </w:p>
    <w:p w14:paraId="06CFE41C" w14:textId="77777777" w:rsidR="00AC377F" w:rsidRPr="00886C02" w:rsidRDefault="00AC377F" w:rsidP="00AC377F">
      <w:pPr>
        <w:spacing w:after="0" w:line="276" w:lineRule="auto"/>
        <w:ind w:firstLine="709"/>
        <w:jc w:val="both"/>
        <w:rPr>
          <w:rFonts w:ascii="Verdana" w:eastAsia="Times New Roman" w:hAnsi="Verdana" w:cs="Arial"/>
          <w:lang w:val="es-MX" w:eastAsia="es-CO"/>
        </w:rPr>
      </w:pPr>
    </w:p>
    <w:p w14:paraId="706EAF4E" w14:textId="77777777" w:rsidR="00AC377F" w:rsidRPr="00D652BE" w:rsidRDefault="00AC377F" w:rsidP="00AC377F">
      <w:pPr>
        <w:spacing w:after="0" w:line="240" w:lineRule="auto"/>
        <w:ind w:left="709" w:right="709"/>
        <w:jc w:val="both"/>
        <w:rPr>
          <w:rFonts w:ascii="Verdana" w:eastAsia="Times New Roman" w:hAnsi="Verdana" w:cs="Arial"/>
          <w:sz w:val="20"/>
          <w:szCs w:val="20"/>
          <w:lang w:val="es-MX" w:eastAsia="es-CO"/>
        </w:rPr>
      </w:pPr>
      <w:r w:rsidRPr="00D652BE">
        <w:rPr>
          <w:rFonts w:ascii="Verdana" w:eastAsia="Times New Roman" w:hAnsi="Verdana" w:cs="Arial"/>
          <w:sz w:val="20"/>
          <w:szCs w:val="20"/>
          <w:lang w:val="es-MX"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614838D2" w14:textId="77777777" w:rsidR="00AC377F" w:rsidRPr="00D652BE" w:rsidRDefault="00AC377F" w:rsidP="00AC377F">
      <w:pPr>
        <w:spacing w:after="0" w:line="240" w:lineRule="auto"/>
        <w:ind w:right="709"/>
        <w:jc w:val="both"/>
        <w:rPr>
          <w:rFonts w:ascii="Verdana" w:eastAsia="Times New Roman" w:hAnsi="Verdana" w:cs="Arial"/>
          <w:sz w:val="20"/>
          <w:szCs w:val="20"/>
          <w:lang w:val="es-MX" w:eastAsia="es-CO"/>
        </w:rPr>
      </w:pPr>
    </w:p>
    <w:p w14:paraId="2AB8C94D" w14:textId="77777777" w:rsidR="00AC377F" w:rsidRPr="00D652BE" w:rsidRDefault="00AC377F" w:rsidP="00AC377F">
      <w:pPr>
        <w:spacing w:after="0" w:line="240" w:lineRule="auto"/>
        <w:ind w:left="709" w:right="709"/>
        <w:jc w:val="both"/>
        <w:rPr>
          <w:rFonts w:ascii="Verdana" w:eastAsia="Times New Roman" w:hAnsi="Verdana" w:cs="Arial"/>
          <w:sz w:val="20"/>
          <w:szCs w:val="20"/>
          <w:lang w:val="es-MX" w:eastAsia="es-CO"/>
        </w:rPr>
      </w:pPr>
      <w:r w:rsidRPr="00D652BE">
        <w:rPr>
          <w:rFonts w:ascii="Verdana" w:eastAsia="Times New Roman" w:hAnsi="Verdana" w:cs="Arial"/>
          <w:sz w:val="20"/>
          <w:szCs w:val="20"/>
          <w:lang w:val="es-MX" w:eastAsia="es-CO"/>
        </w:rPr>
        <w:lastRenderedPageBreak/>
        <w:t>La jurisprudencia de la Corte Constitucional</w:t>
      </w:r>
      <w:r w:rsidRPr="00D652BE">
        <w:rPr>
          <w:rFonts w:ascii="Verdana" w:eastAsia="Times New Roman" w:hAnsi="Verdana" w:cs="Arial"/>
          <w:sz w:val="20"/>
          <w:szCs w:val="20"/>
          <w:vertAlign w:val="superscript"/>
          <w:lang w:val="es-MX" w:eastAsia="es-CO"/>
        </w:rPr>
        <w:footnoteReference w:id="16"/>
      </w:r>
      <w:r w:rsidRPr="00D652BE">
        <w:rPr>
          <w:rFonts w:ascii="Verdana" w:eastAsia="Times New Roman" w:hAnsi="Verdana" w:cs="Arial"/>
          <w:sz w:val="20"/>
          <w:szCs w:val="20"/>
          <w:lang w:val="es-MX" w:eastAsia="es-CO"/>
        </w:rPr>
        <w:t> y del Consejo de Estado</w:t>
      </w:r>
      <w:r w:rsidRPr="00D652BE">
        <w:rPr>
          <w:rFonts w:ascii="Verdana" w:eastAsia="Times New Roman" w:hAnsi="Verdana" w:cs="Arial"/>
          <w:sz w:val="20"/>
          <w:szCs w:val="20"/>
          <w:vertAlign w:val="superscript"/>
          <w:lang w:val="es-MX" w:eastAsia="es-CO"/>
        </w:rPr>
        <w:footnoteReference w:id="17"/>
      </w:r>
      <w:r w:rsidRPr="00D652BE">
        <w:rPr>
          <w:rFonts w:ascii="Verdana" w:eastAsia="Times New Roman" w:hAnsi="Verdana" w:cs="Arial"/>
          <w:sz w:val="20"/>
          <w:szCs w:val="20"/>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D652BE">
        <w:rPr>
          <w:rFonts w:ascii="Verdana" w:eastAsia="Times New Roman" w:hAnsi="Verdana" w:cs="Arial"/>
          <w:sz w:val="20"/>
          <w:szCs w:val="20"/>
          <w:vertAlign w:val="superscript"/>
          <w:lang w:val="es-MX" w:eastAsia="es-CO"/>
        </w:rPr>
        <w:footnoteReference w:id="18"/>
      </w:r>
      <w:r w:rsidRPr="00D652BE">
        <w:rPr>
          <w:rFonts w:ascii="Verdana" w:eastAsia="Times New Roman" w:hAnsi="Verdana" w:cs="Arial"/>
          <w:sz w:val="20"/>
          <w:szCs w:val="20"/>
          <w:lang w:val="es-MX" w:eastAsia="es-CO"/>
        </w:rPr>
        <w:t>.</w:t>
      </w:r>
    </w:p>
    <w:p w14:paraId="0E0F4FDD" w14:textId="77777777" w:rsidR="00AC377F" w:rsidRPr="00D652BE" w:rsidRDefault="00AC377F" w:rsidP="00AC377F">
      <w:pPr>
        <w:spacing w:after="0" w:line="276" w:lineRule="auto"/>
        <w:jc w:val="both"/>
        <w:rPr>
          <w:rFonts w:ascii="Verdana" w:eastAsia="Calibri" w:hAnsi="Verdana" w:cs="Arial"/>
          <w:bCs/>
          <w:sz w:val="20"/>
          <w:szCs w:val="20"/>
          <w:lang w:val="es-ES_tradnl"/>
        </w:rPr>
      </w:pPr>
    </w:p>
    <w:p w14:paraId="7C77904C" w14:textId="77777777" w:rsidR="00AC377F" w:rsidRDefault="00AC377F" w:rsidP="00AC377F">
      <w:pPr>
        <w:spacing w:after="0" w:line="276" w:lineRule="auto"/>
        <w:ind w:firstLine="709"/>
        <w:jc w:val="both"/>
        <w:rPr>
          <w:rFonts w:ascii="Verdana" w:eastAsia="Arial" w:hAnsi="Verdana" w:cs="Arial"/>
          <w:lang w:val="es-ES" w:eastAsia="es-ES" w:bidi="es-ES"/>
        </w:rPr>
      </w:pPr>
      <w:r w:rsidRPr="00E2397D">
        <w:rPr>
          <w:rFonts w:ascii="Verdana" w:eastAsia="Times New Roman" w:hAnsi="Verdana" w:cs="Arial"/>
          <w:lang w:val="es-MX" w:eastAsia="es-CO"/>
        </w:rPr>
        <w:t>De</w:t>
      </w:r>
      <w:r w:rsidRPr="00E2397D">
        <w:rPr>
          <w:rFonts w:ascii="Verdana" w:eastAsia="Arial" w:hAnsi="Verdana" w:cs="Arial"/>
          <w:lang w:val="es-ES" w:eastAsia="es-ES" w:bidi="es-ES"/>
        </w:rPr>
        <w:t xml:space="preserve"> conformidad con lo anterior, la L</w:t>
      </w:r>
      <w:r>
        <w:rPr>
          <w:rFonts w:ascii="Verdana" w:eastAsia="Arial" w:hAnsi="Verdana" w:cs="Arial"/>
          <w:lang w:val="es-ES" w:eastAsia="es-ES" w:bidi="es-ES"/>
        </w:rPr>
        <w:t>ey de Garantías Electorales estableció</w:t>
      </w:r>
      <w:r w:rsidRPr="00E2397D">
        <w:rPr>
          <w:rFonts w:ascii="Verdana" w:eastAsia="Arial" w:hAnsi="Verdana" w:cs="Arial"/>
          <w:lang w:val="es-ES" w:eastAsia="es-ES" w:bidi="es-ES"/>
        </w:rPr>
        <w:t xml:space="preserve">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r>
        <w:rPr>
          <w:rFonts w:ascii="Verdana" w:eastAsia="Arial" w:hAnsi="Verdana" w:cs="Arial"/>
          <w:lang w:val="es-ES" w:eastAsia="es-ES" w:bidi="es-ES"/>
        </w:rPr>
        <w:t>De este modo, se encuentra el artículo 38 de la Ley de Garantías Electorales, cuyo tenor literal dispone:</w:t>
      </w:r>
    </w:p>
    <w:p w14:paraId="11E7AA99" w14:textId="77777777" w:rsidR="00AC377F" w:rsidRDefault="00AC377F" w:rsidP="00AC377F">
      <w:pPr>
        <w:spacing w:after="0" w:line="240" w:lineRule="auto"/>
        <w:ind w:left="709" w:right="709" w:firstLine="709"/>
        <w:jc w:val="both"/>
        <w:rPr>
          <w:rFonts w:ascii="Verdana" w:eastAsia="Arial" w:hAnsi="Verdana" w:cs="Arial"/>
          <w:lang w:val="es-ES" w:eastAsia="es-ES" w:bidi="es-ES"/>
        </w:rPr>
      </w:pPr>
    </w:p>
    <w:p w14:paraId="7F887423" w14:textId="77777777" w:rsidR="00AC377F" w:rsidRPr="00D26657" w:rsidRDefault="00AC377F" w:rsidP="00AC377F">
      <w:pPr>
        <w:spacing w:after="0" w:line="240" w:lineRule="auto"/>
        <w:ind w:left="709" w:right="709"/>
        <w:jc w:val="both"/>
        <w:rPr>
          <w:rFonts w:ascii="Verdana" w:eastAsia="Arial" w:hAnsi="Verdana" w:cs="Arial"/>
          <w:sz w:val="20"/>
          <w:szCs w:val="20"/>
          <w:lang w:eastAsia="es-ES" w:bidi="es-ES"/>
        </w:rPr>
      </w:pPr>
      <w:r w:rsidRPr="00337320">
        <w:rPr>
          <w:rFonts w:ascii="Verdana" w:eastAsia="Arial" w:hAnsi="Verdana" w:cs="Arial"/>
          <w:sz w:val="20"/>
          <w:szCs w:val="20"/>
          <w:lang w:eastAsia="es-ES" w:bidi="es-ES"/>
        </w:rPr>
        <w:t>Artículo 38.</w:t>
      </w:r>
      <w:r w:rsidRPr="00337320">
        <w:rPr>
          <w:rFonts w:ascii="Verdana" w:eastAsia="Arial" w:hAnsi="Verdana" w:cs="Arial"/>
          <w:b/>
          <w:bCs/>
          <w:sz w:val="20"/>
          <w:szCs w:val="20"/>
          <w:lang w:eastAsia="es-ES" w:bidi="es-ES"/>
        </w:rPr>
        <w:t xml:space="preserve"> </w:t>
      </w:r>
      <w:r w:rsidRPr="00337320">
        <w:rPr>
          <w:rFonts w:ascii="Verdana" w:eastAsia="Arial" w:hAnsi="Verdana" w:cs="Arial"/>
          <w:i/>
          <w:iCs/>
          <w:sz w:val="20"/>
          <w:szCs w:val="20"/>
          <w:lang w:eastAsia="es-ES" w:bidi="es-ES"/>
        </w:rPr>
        <w:t>Prohibiciones para los servidores públicos</w:t>
      </w:r>
      <w:r w:rsidRPr="00337320">
        <w:rPr>
          <w:rFonts w:ascii="Verdana" w:eastAsia="Arial" w:hAnsi="Verdana" w:cs="Arial"/>
          <w:sz w:val="20"/>
          <w:szCs w:val="20"/>
          <w:lang w:eastAsia="es-ES" w:bidi="es-ES"/>
        </w:rPr>
        <w:t>. A los empleados del Estado les está prohibido: </w:t>
      </w:r>
    </w:p>
    <w:p w14:paraId="30DC6AA3" w14:textId="77777777" w:rsidR="00AC377F" w:rsidRPr="00D26657" w:rsidRDefault="00AC377F" w:rsidP="00AC377F">
      <w:pPr>
        <w:spacing w:after="0" w:line="240" w:lineRule="auto"/>
        <w:ind w:left="709" w:right="709" w:firstLine="709"/>
        <w:jc w:val="both"/>
        <w:rPr>
          <w:rFonts w:ascii="Verdana" w:eastAsia="Arial" w:hAnsi="Verdana" w:cs="Arial"/>
          <w:sz w:val="20"/>
          <w:szCs w:val="20"/>
          <w:lang w:eastAsia="es-ES" w:bidi="es-ES"/>
        </w:rPr>
      </w:pPr>
      <w:r w:rsidRPr="00D26657">
        <w:rPr>
          <w:rFonts w:ascii="Verdana" w:eastAsia="Arial" w:hAnsi="Verdana" w:cs="Arial"/>
          <w:sz w:val="20"/>
          <w:szCs w:val="20"/>
          <w:lang w:eastAsia="es-ES" w:bidi="es-ES"/>
        </w:rPr>
        <w:t>  </w:t>
      </w:r>
    </w:p>
    <w:p w14:paraId="12F3B5E0" w14:textId="77777777" w:rsidR="00AC377F" w:rsidRPr="00D26657" w:rsidRDefault="00AC377F" w:rsidP="00AC377F">
      <w:pPr>
        <w:spacing w:after="0" w:line="240" w:lineRule="auto"/>
        <w:ind w:left="709" w:right="709"/>
        <w:jc w:val="both"/>
        <w:rPr>
          <w:rFonts w:ascii="Verdana" w:eastAsia="Arial" w:hAnsi="Verdana" w:cs="Arial"/>
          <w:sz w:val="20"/>
          <w:szCs w:val="20"/>
          <w:lang w:eastAsia="es-ES" w:bidi="es-ES"/>
        </w:rPr>
      </w:pPr>
      <w:r w:rsidRPr="00D26657">
        <w:rPr>
          <w:rFonts w:ascii="Verdana" w:eastAsia="Arial" w:hAnsi="Verdana" w:cs="Arial"/>
          <w:sz w:val="20"/>
          <w:szCs w:val="20"/>
          <w:lang w:eastAsia="es-ES" w:bidi="es-ES"/>
        </w:rPr>
        <w:t>1. Acosar, presionar, o determinar, en cualquier forma, a subalternos para que respalden alguna causa, campaña o controversia política. </w:t>
      </w:r>
    </w:p>
    <w:p w14:paraId="2A9510DE" w14:textId="77777777" w:rsidR="00AC377F" w:rsidRPr="00D26657" w:rsidRDefault="00AC377F" w:rsidP="00AC377F">
      <w:pPr>
        <w:spacing w:after="0" w:line="240" w:lineRule="auto"/>
        <w:ind w:left="709" w:right="709"/>
        <w:jc w:val="both"/>
        <w:rPr>
          <w:rFonts w:ascii="Verdana" w:eastAsia="Arial" w:hAnsi="Verdana" w:cs="Arial"/>
          <w:sz w:val="20"/>
          <w:szCs w:val="20"/>
          <w:lang w:eastAsia="es-ES" w:bidi="es-ES"/>
        </w:rPr>
      </w:pPr>
      <w:r w:rsidRPr="00D26657">
        <w:rPr>
          <w:rFonts w:ascii="Verdana" w:eastAsia="Arial" w:hAnsi="Verdana" w:cs="Arial"/>
          <w:sz w:val="20"/>
          <w:szCs w:val="20"/>
          <w:lang w:eastAsia="es-ES" w:bidi="es-ES"/>
        </w:rPr>
        <w:t>2. Difundir propaganda electoral a favor o en contra de cualquier partido, agrupación o movimiento político, a través de publicaciones, estaciones oficiales de televisión y de radio o imprenta pública, a excepción de lo autorizado en la presente ley. </w:t>
      </w:r>
    </w:p>
    <w:p w14:paraId="33B4DADB" w14:textId="77777777" w:rsidR="00AC377F" w:rsidRPr="00D26657" w:rsidRDefault="00AC377F" w:rsidP="00AC377F">
      <w:pPr>
        <w:spacing w:after="0" w:line="240" w:lineRule="auto"/>
        <w:ind w:left="709" w:right="709"/>
        <w:jc w:val="both"/>
        <w:rPr>
          <w:rFonts w:ascii="Verdana" w:eastAsia="Arial" w:hAnsi="Verdana" w:cs="Arial"/>
          <w:sz w:val="20"/>
          <w:szCs w:val="20"/>
          <w:lang w:eastAsia="es-ES" w:bidi="es-ES"/>
        </w:rPr>
      </w:pPr>
      <w:r w:rsidRPr="00D26657">
        <w:rPr>
          <w:rFonts w:ascii="Verdana" w:eastAsia="Arial" w:hAnsi="Verdana" w:cs="Arial"/>
          <w:sz w:val="20"/>
          <w:szCs w:val="20"/>
          <w:lang w:eastAsia="es-ES" w:bidi="es-ES"/>
        </w:rPr>
        <w:t xml:space="preserve">3. Favorecer con promociones, bonificaciones, o ascensos indebidos, a quienes dentro de la entidad a su cargo participan en su misma causa o campaña política, sin perjuicio de los concursos que en condiciones </w:t>
      </w:r>
      <w:r w:rsidRPr="00D26657">
        <w:rPr>
          <w:rFonts w:ascii="Verdana" w:eastAsia="Arial" w:hAnsi="Verdana" w:cs="Arial"/>
          <w:sz w:val="20"/>
          <w:szCs w:val="20"/>
          <w:lang w:eastAsia="es-ES" w:bidi="es-ES"/>
        </w:rPr>
        <w:lastRenderedPageBreak/>
        <w:t>públicas de igualdad e imparcialidad ofrezcan tales posibilidades a los servidores públicos. </w:t>
      </w:r>
    </w:p>
    <w:p w14:paraId="3C3CE4F7" w14:textId="77777777" w:rsidR="00AC377F" w:rsidRPr="00D26657" w:rsidRDefault="00AC377F" w:rsidP="00AC377F">
      <w:pPr>
        <w:spacing w:after="0" w:line="240" w:lineRule="auto"/>
        <w:ind w:left="709" w:right="709"/>
        <w:jc w:val="both"/>
        <w:rPr>
          <w:rFonts w:ascii="Verdana" w:eastAsia="Arial" w:hAnsi="Verdana" w:cs="Arial"/>
          <w:sz w:val="20"/>
          <w:szCs w:val="20"/>
          <w:lang w:eastAsia="es-ES" w:bidi="es-ES"/>
        </w:rPr>
      </w:pPr>
      <w:r w:rsidRPr="00D26657">
        <w:rPr>
          <w:rFonts w:ascii="Verdana" w:eastAsia="Arial" w:hAnsi="Verdana" w:cs="Arial"/>
          <w:sz w:val="20"/>
          <w:szCs w:val="20"/>
          <w:lang w:eastAsia="es-ES" w:bidi="es-ES"/>
        </w:rPr>
        <w:t>4. Ofrecer algún tipo de beneficio directo, particular, inmediato e indebido para los ciudadanos o para las comunidades, mediante obras o actuaciones de la administración pública, con el objeto de influir en la intención de voto. </w:t>
      </w:r>
    </w:p>
    <w:p w14:paraId="0728B6AB" w14:textId="77777777" w:rsidR="00AC377F" w:rsidRPr="00D26657" w:rsidRDefault="00AC377F" w:rsidP="00AC377F">
      <w:pPr>
        <w:spacing w:after="0" w:line="240" w:lineRule="auto"/>
        <w:ind w:left="709" w:right="709"/>
        <w:jc w:val="both"/>
        <w:rPr>
          <w:rFonts w:ascii="Verdana" w:eastAsia="Arial" w:hAnsi="Verdana" w:cs="Arial"/>
          <w:sz w:val="20"/>
          <w:szCs w:val="20"/>
          <w:lang w:eastAsia="es-ES" w:bidi="es-ES"/>
        </w:rPr>
      </w:pPr>
      <w:r w:rsidRPr="00D26657">
        <w:rPr>
          <w:rFonts w:ascii="Verdana" w:eastAsia="Arial" w:hAnsi="Verdana" w:cs="Arial"/>
          <w:sz w:val="20"/>
          <w:szCs w:val="20"/>
          <w:lang w:eastAsia="es-ES" w:bidi="es-ES"/>
        </w:rPr>
        <w:t>5. Aducir razones de "buen servicio" para despedir funcionarios de carrera. </w:t>
      </w:r>
    </w:p>
    <w:p w14:paraId="3FF476EB" w14:textId="77777777" w:rsidR="00AC377F" w:rsidRPr="00D26657" w:rsidRDefault="00AC377F" w:rsidP="00AC377F">
      <w:pPr>
        <w:spacing w:after="0" w:line="240" w:lineRule="auto"/>
        <w:ind w:left="709" w:right="709"/>
        <w:jc w:val="both"/>
        <w:rPr>
          <w:rFonts w:ascii="Verdana" w:eastAsia="Arial" w:hAnsi="Verdana" w:cs="Arial"/>
          <w:sz w:val="20"/>
          <w:szCs w:val="20"/>
          <w:lang w:eastAsia="es-ES" w:bidi="es-ES"/>
        </w:rPr>
      </w:pPr>
      <w:r w:rsidRPr="00D26657">
        <w:rPr>
          <w:rFonts w:ascii="Verdana" w:eastAsia="Arial" w:hAnsi="Verdana" w:cs="Arial"/>
          <w:sz w:val="20"/>
          <w:szCs w:val="20"/>
          <w:lang w:eastAsia="es-ES" w:bidi="es-ES"/>
        </w:rPr>
        <w:t>La infracción de alguna de las anteriores prohibiciones constituye falta gravísima. </w:t>
      </w:r>
    </w:p>
    <w:p w14:paraId="2082E313" w14:textId="77777777" w:rsidR="00AC377F" w:rsidRPr="00D26657" w:rsidRDefault="00AC377F" w:rsidP="00AC377F">
      <w:pPr>
        <w:spacing w:after="0" w:line="240" w:lineRule="auto"/>
        <w:ind w:left="709" w:right="709"/>
        <w:jc w:val="both"/>
        <w:rPr>
          <w:rFonts w:ascii="Verdana" w:eastAsia="Arial" w:hAnsi="Verdana" w:cs="Arial"/>
          <w:sz w:val="20"/>
          <w:szCs w:val="20"/>
          <w:lang w:eastAsia="es-ES" w:bidi="es-ES"/>
        </w:rPr>
      </w:pPr>
      <w:r w:rsidRPr="00D26657">
        <w:rPr>
          <w:rFonts w:ascii="Verdana" w:eastAsia="Arial" w:hAnsi="Verdana" w:cs="Arial"/>
          <w:sz w:val="20"/>
          <w:szCs w:val="20"/>
          <w:lang w:eastAsia="es-ES" w:bidi="es-ES"/>
        </w:rPr>
        <w:t>[…]</w:t>
      </w:r>
    </w:p>
    <w:p w14:paraId="584E113D" w14:textId="77777777" w:rsidR="00AC377F" w:rsidRPr="003565AF" w:rsidRDefault="00AC377F" w:rsidP="00AC377F">
      <w:pPr>
        <w:tabs>
          <w:tab w:val="left" w:pos="0"/>
        </w:tabs>
        <w:spacing w:after="0"/>
        <w:jc w:val="both"/>
        <w:rPr>
          <w:rFonts w:ascii="Verdana" w:eastAsia="Calibri" w:hAnsi="Verdana" w:cs="Arial"/>
          <w:bCs/>
          <w:color w:val="000000" w:themeColor="text1"/>
          <w:lang w:val="es-ES_tradnl"/>
        </w:rPr>
      </w:pPr>
    </w:p>
    <w:p w14:paraId="45F839FC" w14:textId="77777777" w:rsidR="00AC377F" w:rsidRDefault="00AC377F" w:rsidP="00AC377F">
      <w:pPr>
        <w:tabs>
          <w:tab w:val="left" w:pos="0"/>
        </w:tabs>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ab/>
      </w:r>
      <w:r w:rsidRPr="00C96038">
        <w:rPr>
          <w:rFonts w:ascii="Verdana" w:eastAsia="Calibri" w:hAnsi="Verdana" w:cs="Arial"/>
          <w:bCs/>
          <w:color w:val="000000" w:themeColor="text1"/>
          <w:lang w:val="es-ES_tradnl"/>
        </w:rPr>
        <w:t>El artículo 38 establece que los servidores públicos tienen prohibido presionar a sus subalternos para apoyar causas políticas, difundir propaganda electoral usando medios oficiales, otorgar beneficios o ascensos indebidos por afinidad política, ofrecer ventajas particulares a ciudadanos o comunidades para influir en el voto, y despedir funcionarios de carrera alegando “buen servicio”. La violación de cualquiera de estas normas se considera una falta gravísima.</w:t>
      </w:r>
      <w:r>
        <w:rPr>
          <w:rFonts w:ascii="Verdana" w:eastAsia="Calibri" w:hAnsi="Verdana" w:cs="Arial"/>
          <w:bCs/>
          <w:color w:val="000000" w:themeColor="text1"/>
          <w:lang w:val="es-ES_tradnl"/>
        </w:rPr>
        <w:t xml:space="preserve"> </w:t>
      </w:r>
      <w:r w:rsidRPr="003565AF">
        <w:rPr>
          <w:rFonts w:ascii="Verdana" w:eastAsia="Calibri" w:hAnsi="Verdana" w:cs="Arial"/>
          <w:bCs/>
          <w:color w:val="000000" w:themeColor="text1"/>
          <w:lang w:val="es-ES_tradnl"/>
        </w:rPr>
        <w:t>Ahora bien, establecida la prohibición a los empleados públicos de participar en actividades políticas, es necesario analizar si los contratistas</w:t>
      </w:r>
      <w:r>
        <w:rPr>
          <w:rFonts w:ascii="Verdana" w:eastAsia="Calibri" w:hAnsi="Verdana" w:cs="Arial"/>
          <w:bCs/>
          <w:color w:val="000000" w:themeColor="text1"/>
          <w:lang w:val="es-ES_tradnl"/>
        </w:rPr>
        <w:t xml:space="preserve"> se les puede extender mediante interpretación de la Constitución y la Ley</w:t>
      </w:r>
      <w:r w:rsidRPr="003565AF">
        <w:rPr>
          <w:rFonts w:ascii="Verdana" w:eastAsia="Calibri" w:hAnsi="Verdana" w:cs="Arial"/>
          <w:bCs/>
          <w:color w:val="000000" w:themeColor="text1"/>
          <w:lang w:val="es-ES_tradnl"/>
        </w:rPr>
        <w:t xml:space="preserve">. </w:t>
      </w:r>
    </w:p>
    <w:p w14:paraId="5ED556CE" w14:textId="77777777" w:rsidR="00AC377F" w:rsidRDefault="00AC377F" w:rsidP="00AC377F">
      <w:pPr>
        <w:tabs>
          <w:tab w:val="left" w:pos="0"/>
        </w:tabs>
        <w:spacing w:after="0"/>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ab/>
        <w:t xml:space="preserve">Para ello, se detalla que </w:t>
      </w:r>
      <w:r w:rsidRPr="00A23BC2">
        <w:rPr>
          <w:rFonts w:ascii="Verdana" w:eastAsia="Calibri" w:hAnsi="Verdana" w:cs="Arial"/>
          <w:bCs/>
          <w:color w:val="000000" w:themeColor="text1"/>
          <w:lang w:val="es-ES_tradnl"/>
        </w:rPr>
        <w:t>los contratistas de prestación de servicios no son considerados servidores públicos</w:t>
      </w:r>
      <w:r>
        <w:rPr>
          <w:rFonts w:ascii="Verdana" w:eastAsia="Calibri" w:hAnsi="Verdana" w:cs="Arial"/>
          <w:bCs/>
          <w:color w:val="000000" w:themeColor="text1"/>
          <w:lang w:val="es-ES_tradnl"/>
        </w:rPr>
        <w:t xml:space="preserve">, con fundamento </w:t>
      </w:r>
      <w:r w:rsidRPr="00A23BC2">
        <w:rPr>
          <w:rFonts w:ascii="Verdana" w:eastAsia="Calibri" w:hAnsi="Verdana" w:cs="Arial"/>
          <w:bCs/>
          <w:color w:val="000000" w:themeColor="text1"/>
          <w:lang w:val="es-ES_tradnl"/>
        </w:rPr>
        <w:t>en el artículo 123 de la Constitución, que define quiénes integran la categoría de servidores públicos: los miembros de corporaciones públicas, empleados y trabajadores del Estado, así como de sus entidades descentralizadas. Los contratistas</w:t>
      </w:r>
      <w:r>
        <w:rPr>
          <w:rFonts w:ascii="Verdana" w:eastAsia="Calibri" w:hAnsi="Verdana" w:cs="Arial"/>
          <w:bCs/>
          <w:color w:val="000000" w:themeColor="text1"/>
          <w:lang w:val="es-ES_tradnl"/>
        </w:rPr>
        <w:t xml:space="preserve"> de prestación de servicios </w:t>
      </w:r>
      <w:r w:rsidRPr="00A23BC2">
        <w:rPr>
          <w:rFonts w:ascii="Verdana" w:eastAsia="Calibri" w:hAnsi="Verdana" w:cs="Arial"/>
          <w:bCs/>
          <w:color w:val="000000" w:themeColor="text1"/>
          <w:lang w:val="es-ES_tradnl"/>
        </w:rPr>
        <w:t>se vinculan mediante contratos de prestación de servicios, lo que significa que no forman parte de la estructura orgánica del Estado ni están sujetos al régimen laboral propio de los empleados públicos. Su relación es de carácter estrictamente contractual, limitada al cumplimiento de las obligaciones pactadas en el contrato, sin que ello les otorgue la calidad de servidores públicos ni los derechos y deberes que esta condición implica.</w:t>
      </w:r>
      <w:r>
        <w:rPr>
          <w:rFonts w:ascii="Verdana" w:eastAsia="Calibri" w:hAnsi="Verdana" w:cs="Arial"/>
          <w:bCs/>
          <w:color w:val="000000" w:themeColor="text1"/>
          <w:lang w:val="es-ES_tradnl"/>
        </w:rPr>
        <w:t xml:space="preserve"> </w:t>
      </w:r>
      <w:r w:rsidRPr="003565AF">
        <w:rPr>
          <w:rFonts w:ascii="Verdana" w:eastAsia="Calibri" w:hAnsi="Verdana" w:cs="Arial"/>
          <w:bCs/>
          <w:color w:val="000000" w:themeColor="text1"/>
          <w:lang w:val="es-ES_tradnl"/>
        </w:rPr>
        <w:t xml:space="preserve">Sobre el particular, el Consejo de Estado mediante </w:t>
      </w:r>
      <w:r>
        <w:rPr>
          <w:rFonts w:ascii="Verdana" w:eastAsia="Calibri" w:hAnsi="Verdana" w:cs="Arial"/>
          <w:bCs/>
          <w:color w:val="000000" w:themeColor="text1"/>
          <w:lang w:val="es-ES_tradnl"/>
        </w:rPr>
        <w:t>C</w:t>
      </w:r>
      <w:r w:rsidRPr="003565AF">
        <w:rPr>
          <w:rFonts w:ascii="Verdana" w:eastAsia="Calibri" w:hAnsi="Verdana" w:cs="Arial"/>
          <w:bCs/>
          <w:color w:val="000000" w:themeColor="text1"/>
          <w:lang w:val="es-ES_tradnl"/>
        </w:rPr>
        <w:t xml:space="preserve">oncepto de la Sala de Consulta y Servicio Civil </w:t>
      </w:r>
      <w:r>
        <w:rPr>
          <w:rFonts w:ascii="Verdana" w:eastAsia="Calibri" w:hAnsi="Verdana" w:cs="Arial"/>
          <w:bCs/>
          <w:color w:val="000000" w:themeColor="text1"/>
          <w:lang w:val="es-ES_tradnl"/>
        </w:rPr>
        <w:t>expresó</w:t>
      </w:r>
      <w:r w:rsidRPr="003565AF">
        <w:rPr>
          <w:rFonts w:ascii="Verdana" w:eastAsia="Calibri" w:hAnsi="Verdana" w:cs="Arial"/>
          <w:bCs/>
          <w:color w:val="000000" w:themeColor="text1"/>
          <w:lang w:val="es-ES_tradnl"/>
        </w:rPr>
        <w:t>:</w:t>
      </w:r>
    </w:p>
    <w:p w14:paraId="39700A02" w14:textId="77777777" w:rsidR="00AC377F" w:rsidRPr="003565AF" w:rsidRDefault="00AC377F" w:rsidP="00AC377F">
      <w:pPr>
        <w:tabs>
          <w:tab w:val="left" w:pos="0"/>
        </w:tabs>
        <w:spacing w:after="0"/>
        <w:jc w:val="both"/>
        <w:rPr>
          <w:rFonts w:ascii="Verdana" w:eastAsia="Calibri" w:hAnsi="Verdana" w:cs="Arial"/>
          <w:bCs/>
          <w:color w:val="000000" w:themeColor="text1"/>
          <w:lang w:val="es-ES_tradnl"/>
        </w:rPr>
      </w:pPr>
    </w:p>
    <w:p w14:paraId="1A3CBB28" w14:textId="77777777" w:rsidR="00AC377F" w:rsidRPr="00F3383B" w:rsidRDefault="00AC377F" w:rsidP="00AC377F">
      <w:pPr>
        <w:tabs>
          <w:tab w:val="left" w:pos="567"/>
        </w:tabs>
        <w:spacing w:after="0" w:line="240" w:lineRule="auto"/>
        <w:ind w:left="567" w:right="1041"/>
        <w:jc w:val="both"/>
        <w:rPr>
          <w:rFonts w:ascii="Verdana" w:eastAsia="Calibri" w:hAnsi="Verdana" w:cs="Arial"/>
          <w:bCs/>
          <w:color w:val="000000" w:themeColor="text1"/>
          <w:sz w:val="20"/>
          <w:szCs w:val="20"/>
          <w:lang w:val="es-ES_tradnl"/>
        </w:rPr>
      </w:pPr>
      <w:r w:rsidRPr="00F3383B">
        <w:rPr>
          <w:rFonts w:ascii="Verdana" w:eastAsia="Calibri" w:hAnsi="Verdana" w:cs="Arial"/>
          <w:bCs/>
          <w:color w:val="000000" w:themeColor="text1"/>
          <w:sz w:val="20"/>
          <w:szCs w:val="20"/>
          <w:lang w:val="es-ES_tradnl"/>
        </w:rPr>
        <w:t xml:space="preserve">“La vinculación jurídica derivada del contrato de prestación de servicios es diferente de la que emana de la relación laboral de origen contractual con los trabajadores oficiales. En efecto, el de prestación se refiere a actividades relacionadas con la administración y funcionamiento de la entidad; el contratista es autónomo para ejecutar el contrato; no se causan prestaciones sociales y no responde disciplinariamente - </w:t>
      </w:r>
      <w:r w:rsidRPr="00F3383B">
        <w:rPr>
          <w:rFonts w:ascii="Verdana" w:eastAsia="Calibri" w:hAnsi="Verdana" w:cs="Arial"/>
          <w:bCs/>
          <w:color w:val="000000" w:themeColor="text1"/>
          <w:sz w:val="20"/>
          <w:szCs w:val="20"/>
          <w:lang w:val="es-ES_tradnl"/>
        </w:rPr>
        <w:lastRenderedPageBreak/>
        <w:t>Sentencia C -280/96-, mientras que el trabajador oficial, en su orden, labora en la construcción y sostenimiento de obras públicas o está vinculado a una empresa industrial o comercial del Estado; está, por esencia, subordinado a la administración; las prestaciones sociales le son consustanciales y responde disciplinariamente.</w:t>
      </w:r>
    </w:p>
    <w:p w14:paraId="26E4AB80" w14:textId="77777777" w:rsidR="00AC377F" w:rsidRDefault="00AC377F" w:rsidP="00AC377F">
      <w:pPr>
        <w:tabs>
          <w:tab w:val="left" w:pos="284"/>
        </w:tabs>
        <w:spacing w:after="0" w:line="240" w:lineRule="auto"/>
        <w:ind w:left="567" w:right="1183"/>
        <w:jc w:val="both"/>
        <w:rPr>
          <w:rFonts w:ascii="Verdana" w:eastAsia="Calibri" w:hAnsi="Verdana" w:cs="Arial"/>
          <w:bCs/>
          <w:color w:val="000000" w:themeColor="text1"/>
          <w:sz w:val="20"/>
          <w:szCs w:val="20"/>
          <w:lang w:val="es-ES_tradnl"/>
        </w:rPr>
      </w:pPr>
      <w:r>
        <w:rPr>
          <w:rFonts w:ascii="Verdana" w:eastAsia="Calibri" w:hAnsi="Verdana" w:cs="Arial"/>
          <w:bCs/>
          <w:color w:val="000000" w:themeColor="text1"/>
          <w:sz w:val="20"/>
          <w:szCs w:val="20"/>
          <w:lang w:val="es-ES_tradnl"/>
        </w:rPr>
        <w:t>[…]</w:t>
      </w:r>
    </w:p>
    <w:p w14:paraId="2D94094B" w14:textId="77777777" w:rsidR="00AC377F" w:rsidRDefault="00AC377F" w:rsidP="00AC377F">
      <w:pPr>
        <w:tabs>
          <w:tab w:val="left" w:pos="284"/>
        </w:tabs>
        <w:spacing w:after="0" w:line="240" w:lineRule="auto"/>
        <w:ind w:left="567" w:right="1183"/>
        <w:jc w:val="both"/>
        <w:rPr>
          <w:rFonts w:ascii="Verdana" w:eastAsia="Calibri" w:hAnsi="Verdana" w:cs="Arial"/>
          <w:bCs/>
          <w:color w:val="000000" w:themeColor="text1"/>
          <w:sz w:val="20"/>
          <w:szCs w:val="20"/>
          <w:lang w:val="es-ES_tradnl"/>
        </w:rPr>
      </w:pPr>
      <w:r w:rsidRPr="00F3383B">
        <w:rPr>
          <w:rFonts w:ascii="Verdana" w:eastAsia="Calibri" w:hAnsi="Verdana" w:cs="Arial"/>
          <w:bCs/>
          <w:color w:val="000000" w:themeColor="text1"/>
          <w:sz w:val="20"/>
          <w:szCs w:val="20"/>
          <w:lang w:val="es-ES_tradnl"/>
        </w:rPr>
        <w:t xml:space="preserve">De los presupuestos de la definición legal y de los elementos analizados, se concluye que particulares que colaboran con </w:t>
      </w:r>
      <w:r w:rsidRPr="00F3383B">
        <w:rPr>
          <w:rFonts w:ascii="Verdana" w:eastAsia="Calibri" w:hAnsi="Verdana" w:cs="Arial"/>
          <w:b/>
          <w:color w:val="000000" w:themeColor="text1"/>
          <w:sz w:val="20"/>
          <w:szCs w:val="20"/>
          <w:lang w:val="es-ES_tradnl"/>
        </w:rPr>
        <w:t>el Estado mediante un contrato de prestación de servicios o cualquier otro, tipificado en la Ley 80 de 1993 o producto de la autonomía de la voluntad, no están subsumidos en el contexto de la función pública, ni son, por tanto, servidores públicos</w:t>
      </w:r>
      <w:r w:rsidRPr="00F3383B">
        <w:rPr>
          <w:rFonts w:ascii="Verdana" w:eastAsia="Calibri" w:hAnsi="Verdana" w:cs="Arial"/>
          <w:bCs/>
          <w:color w:val="000000" w:themeColor="text1"/>
          <w:sz w:val="20"/>
          <w:szCs w:val="20"/>
          <w:lang w:val="es-ES_tradnl"/>
        </w:rPr>
        <w:t xml:space="preserve"> y, por lo mismo, no reciben "asignación" en los términos establecidos16, lo que hace imposible aplicarles el régimen de estos.”</w:t>
      </w:r>
      <w:r>
        <w:rPr>
          <w:rStyle w:val="Refdenotaalpie"/>
          <w:rFonts w:ascii="Verdana" w:eastAsia="Calibri" w:hAnsi="Verdana" w:cs="Arial"/>
          <w:bCs/>
          <w:color w:val="000000" w:themeColor="text1"/>
          <w:sz w:val="20"/>
          <w:szCs w:val="20"/>
          <w:lang w:val="es-ES_tradnl"/>
        </w:rPr>
        <w:footnoteReference w:id="19"/>
      </w:r>
      <w:r w:rsidRPr="00F3383B">
        <w:rPr>
          <w:rFonts w:ascii="Verdana" w:eastAsia="Calibri" w:hAnsi="Verdana" w:cs="Arial"/>
          <w:bCs/>
          <w:color w:val="000000" w:themeColor="text1"/>
          <w:sz w:val="20"/>
          <w:szCs w:val="20"/>
          <w:lang w:val="es-ES_tradnl"/>
        </w:rPr>
        <w:t xml:space="preserve"> </w:t>
      </w:r>
      <w:r>
        <w:rPr>
          <w:rFonts w:ascii="Verdana" w:eastAsia="Calibri" w:hAnsi="Verdana" w:cs="Arial"/>
          <w:bCs/>
          <w:color w:val="000000" w:themeColor="text1"/>
          <w:sz w:val="20"/>
          <w:szCs w:val="20"/>
          <w:lang w:val="es-ES_tradnl"/>
        </w:rPr>
        <w:t>(énfasis fuera de texto)</w:t>
      </w:r>
    </w:p>
    <w:p w14:paraId="23355A24" w14:textId="77777777" w:rsidR="00AC377F" w:rsidRPr="003565AF" w:rsidRDefault="00AC377F" w:rsidP="00AC377F">
      <w:pPr>
        <w:tabs>
          <w:tab w:val="left" w:pos="0"/>
        </w:tabs>
        <w:spacing w:after="0" w:line="276" w:lineRule="auto"/>
        <w:jc w:val="both"/>
        <w:rPr>
          <w:rFonts w:ascii="Verdana" w:eastAsia="Calibri" w:hAnsi="Verdana" w:cs="Arial"/>
          <w:bCs/>
          <w:color w:val="000000" w:themeColor="text1"/>
          <w:lang w:val="es-ES_tradnl"/>
        </w:rPr>
      </w:pPr>
    </w:p>
    <w:p w14:paraId="50CFCD07" w14:textId="77777777" w:rsidR="00AC377F" w:rsidRDefault="00AC377F" w:rsidP="00AC377F">
      <w:pPr>
        <w:tabs>
          <w:tab w:val="left" w:pos="0"/>
        </w:tabs>
        <w:spacing w:line="276" w:lineRule="auto"/>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ab/>
      </w:r>
      <w:r w:rsidRPr="003565AF">
        <w:rPr>
          <w:rFonts w:ascii="Verdana" w:eastAsia="Calibri" w:hAnsi="Verdana" w:cs="Arial"/>
          <w:bCs/>
          <w:color w:val="000000" w:themeColor="text1"/>
          <w:lang w:val="es-ES_tradnl"/>
        </w:rPr>
        <w:t>De acuerdo con l</w:t>
      </w:r>
      <w:r>
        <w:rPr>
          <w:rFonts w:ascii="Verdana" w:eastAsia="Calibri" w:hAnsi="Verdana" w:cs="Arial"/>
          <w:bCs/>
          <w:color w:val="000000" w:themeColor="text1"/>
          <w:lang w:val="es-ES_tradnl"/>
        </w:rPr>
        <w:t>o expuesto</w:t>
      </w:r>
      <w:r w:rsidRPr="003565AF">
        <w:rPr>
          <w:rFonts w:ascii="Verdana" w:eastAsia="Calibri" w:hAnsi="Verdana" w:cs="Arial"/>
          <w:bCs/>
          <w:color w:val="000000" w:themeColor="text1"/>
          <w:lang w:val="es-ES_tradnl"/>
        </w:rPr>
        <w:t xml:space="preserve">, </w:t>
      </w:r>
      <w:r>
        <w:rPr>
          <w:rFonts w:ascii="Verdana" w:eastAsia="Calibri" w:hAnsi="Verdana" w:cs="Arial"/>
          <w:bCs/>
          <w:color w:val="000000" w:themeColor="text1"/>
          <w:lang w:val="es-ES_tradnl"/>
        </w:rPr>
        <w:t>l</w:t>
      </w:r>
      <w:r w:rsidRPr="00C00CDC">
        <w:rPr>
          <w:rFonts w:ascii="Verdana" w:eastAsia="Calibri" w:hAnsi="Verdana" w:cs="Arial"/>
          <w:bCs/>
          <w:color w:val="000000" w:themeColor="text1"/>
          <w:lang w:val="es-ES_tradnl"/>
        </w:rPr>
        <w:t xml:space="preserve">os contratistas de prestación de servicios no adquieren la calidad de servidores públicos, ya que su vinculación con el Estado se da exclusivamente a través de un contrato </w:t>
      </w:r>
      <w:r>
        <w:rPr>
          <w:rFonts w:ascii="Verdana" w:eastAsia="Calibri" w:hAnsi="Verdana" w:cs="Arial"/>
          <w:bCs/>
          <w:color w:val="000000" w:themeColor="text1"/>
          <w:lang w:val="es-ES_tradnl"/>
        </w:rPr>
        <w:t>estatal de prestación de servicios</w:t>
      </w:r>
      <w:r w:rsidRPr="00C00CDC">
        <w:rPr>
          <w:rFonts w:ascii="Verdana" w:eastAsia="Calibri" w:hAnsi="Verdana" w:cs="Arial"/>
          <w:bCs/>
          <w:color w:val="000000" w:themeColor="text1"/>
          <w:lang w:val="es-ES_tradnl"/>
        </w:rPr>
        <w:t xml:space="preserve">, sin que ello les confiera una investidura pública. Aunque mediante dicho contrato se les encomiende la realización de actividades de interés general o utilidad pública, estas se ejecutan con autonomía técnica y operativa frente a la entidad contratante, lo que los mantiene en la condición de particulares. En consecuencia, el hecho de colaborar con la administración no implica el ejercicio de funciones públicas en sentido estricto, ni los somete al régimen jurídico propio de los servidores públicos. Esta distinción es esencial para delimitar responsabilidades, derechos y deberes, evitando </w:t>
      </w:r>
      <w:r>
        <w:rPr>
          <w:rFonts w:ascii="Verdana" w:eastAsia="Calibri" w:hAnsi="Verdana" w:cs="Arial"/>
          <w:bCs/>
          <w:color w:val="000000" w:themeColor="text1"/>
          <w:lang w:val="es-ES_tradnl"/>
        </w:rPr>
        <w:t xml:space="preserve">interpretaciones erradas </w:t>
      </w:r>
      <w:r w:rsidRPr="00C00CDC">
        <w:rPr>
          <w:rFonts w:ascii="Verdana" w:eastAsia="Calibri" w:hAnsi="Verdana" w:cs="Arial"/>
          <w:bCs/>
          <w:color w:val="000000" w:themeColor="text1"/>
          <w:lang w:val="es-ES_tradnl"/>
        </w:rPr>
        <w:t>entre quienes ejercen autoridad estatal y quienes prestan servicios</w:t>
      </w:r>
      <w:r>
        <w:rPr>
          <w:rFonts w:ascii="Verdana" w:eastAsia="Calibri" w:hAnsi="Verdana" w:cs="Arial"/>
          <w:bCs/>
          <w:color w:val="000000" w:themeColor="text1"/>
          <w:lang w:val="es-ES_tradnl"/>
        </w:rPr>
        <w:t xml:space="preserve"> de apoyo u</w:t>
      </w:r>
      <w:r w:rsidRPr="00C00CDC">
        <w:rPr>
          <w:rFonts w:ascii="Verdana" w:eastAsia="Calibri" w:hAnsi="Verdana" w:cs="Arial"/>
          <w:bCs/>
          <w:color w:val="000000" w:themeColor="text1"/>
          <w:lang w:val="es-ES_tradnl"/>
        </w:rPr>
        <w:t xml:space="preserve"> especializados bajo una relación contractual temporal.</w:t>
      </w:r>
    </w:p>
    <w:p w14:paraId="4EF956FD" w14:textId="77777777" w:rsidR="00AC377F" w:rsidRPr="00661930" w:rsidRDefault="00AC377F" w:rsidP="00AC377F">
      <w:pPr>
        <w:tabs>
          <w:tab w:val="left" w:pos="0"/>
        </w:tabs>
        <w:spacing w:line="276" w:lineRule="auto"/>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ab/>
        <w:t xml:space="preserve">En este contexto, los contratistas de prestación de servicios no les aplicaría la restricción para su participación en política, pues no están dentro de las restricciones constitucionales ni legales. Sin embargo, ello no significa que las entidades públicas les permitan adelantar su actividad política en los horarios ni mucho menos en los espacios y sedes de estas. Para ello, es menester tener en cuenta lo dispuesto en el parágrafo único del artículo 38 de la Ley 996 de 2005, que prohíbe a los gobernadores, alcaldes municipales y/o distritales, secretarios, gerentes y directores de entidades descentralizadas, entre otras </w:t>
      </w:r>
      <w:r>
        <w:rPr>
          <w:rFonts w:ascii="Verdana" w:eastAsia="Calibri" w:hAnsi="Verdana" w:cs="Arial"/>
          <w:bCs/>
          <w:color w:val="000000" w:themeColor="text1"/>
          <w:lang w:val="es-ES_tradnl"/>
        </w:rPr>
        <w:lastRenderedPageBreak/>
        <w:t>cosas, lo siguiente: “</w:t>
      </w:r>
      <w:r w:rsidRPr="00550896">
        <w:rPr>
          <w:rFonts w:ascii="Verdana" w:eastAsia="Calibri" w:hAnsi="Verdana" w:cs="Arial"/>
          <w:bCs/>
        </w:rPr>
        <w:t>No podrán autorizar la utilización de inmuebles o bienes muebles de carácter público para actividades proselitistas, ni para facilitar el alojamiento, ni el transporte de electores de candidatos a cargos de elección popular. Tampoco podrán hacerlo cuando participen voceros de los candidatos</w:t>
      </w:r>
      <w:r>
        <w:rPr>
          <w:rFonts w:ascii="Verdana" w:eastAsia="Calibri" w:hAnsi="Verdana" w:cs="Arial"/>
          <w:bCs/>
        </w:rPr>
        <w:t>”</w:t>
      </w:r>
      <w:r w:rsidRPr="00550896">
        <w:rPr>
          <w:rFonts w:ascii="Verdana" w:eastAsia="Calibri" w:hAnsi="Verdana" w:cs="Arial"/>
          <w:bCs/>
        </w:rPr>
        <w:t>.</w:t>
      </w:r>
    </w:p>
    <w:p w14:paraId="4E8B12C2" w14:textId="77777777" w:rsidR="00AC377F" w:rsidRDefault="00AC377F" w:rsidP="00AC377F">
      <w:pPr>
        <w:tabs>
          <w:tab w:val="left" w:pos="0"/>
        </w:tabs>
        <w:spacing w:line="276" w:lineRule="auto"/>
        <w:jc w:val="both"/>
        <w:rPr>
          <w:rFonts w:ascii="Verdana" w:eastAsia="Calibri" w:hAnsi="Verdana" w:cs="Arial"/>
          <w:bCs/>
        </w:rPr>
      </w:pPr>
      <w:r>
        <w:rPr>
          <w:rFonts w:ascii="Verdana" w:eastAsia="Calibri" w:hAnsi="Verdana" w:cs="Arial"/>
          <w:bCs/>
        </w:rPr>
        <w:tab/>
      </w:r>
      <w:r w:rsidRPr="002D6F7E">
        <w:rPr>
          <w:rFonts w:ascii="Verdana" w:eastAsia="Calibri" w:hAnsi="Verdana" w:cs="Arial"/>
          <w:bCs/>
        </w:rPr>
        <w:t xml:space="preserve">Esta disposición busca proteger la neutralidad y transparencia del uso de bienes públicos frente a procesos electorales. En términos detallados, </w:t>
      </w:r>
      <w:r>
        <w:rPr>
          <w:rFonts w:ascii="Verdana" w:eastAsia="Calibri" w:hAnsi="Verdana" w:cs="Arial"/>
          <w:bCs/>
        </w:rPr>
        <w:t xml:space="preserve">implica </w:t>
      </w:r>
      <w:r w:rsidRPr="002D6F7E">
        <w:rPr>
          <w:rFonts w:ascii="Verdana" w:eastAsia="Calibri" w:hAnsi="Verdana" w:cs="Arial"/>
          <w:bCs/>
        </w:rPr>
        <w:t xml:space="preserve">que </w:t>
      </w:r>
      <w:r>
        <w:rPr>
          <w:rFonts w:ascii="Verdana" w:eastAsia="Calibri" w:hAnsi="Verdana" w:cs="Arial"/>
          <w:bCs/>
        </w:rPr>
        <w:t xml:space="preserve">este tipo de autoridades </w:t>
      </w:r>
      <w:r w:rsidRPr="002D6F7E">
        <w:rPr>
          <w:rFonts w:ascii="Verdana" w:eastAsia="Calibri" w:hAnsi="Verdana" w:cs="Arial"/>
          <w:bCs/>
        </w:rPr>
        <w:t xml:space="preserve">puede permitir que </w:t>
      </w:r>
      <w:r>
        <w:rPr>
          <w:rFonts w:ascii="Verdana" w:eastAsia="Calibri" w:hAnsi="Verdana" w:cs="Arial"/>
          <w:bCs/>
        </w:rPr>
        <w:t xml:space="preserve">bienes </w:t>
      </w:r>
      <w:r w:rsidRPr="002D6F7E">
        <w:rPr>
          <w:rFonts w:ascii="Verdana" w:eastAsia="Calibri" w:hAnsi="Verdana" w:cs="Arial"/>
          <w:bCs/>
        </w:rPr>
        <w:t>inmuebles o muebles del Estado —como edificios oficiales, vehículos institucionales, equipos o recursos públicos— sean utilizados para actividades de carácter proselitista, es decir, para promover candidatos, partidos o campañas políticas. Tampoco se pueden destinar estos bienes para dar alojamiento o transporte a electores, ni para facilitar la participación de voceros de candidatos en actos dentro de instalaciones públicas.</w:t>
      </w:r>
      <w:r>
        <w:rPr>
          <w:rFonts w:ascii="Verdana" w:eastAsia="Calibri" w:hAnsi="Verdana" w:cs="Arial"/>
          <w:bCs/>
        </w:rPr>
        <w:t xml:space="preserve"> </w:t>
      </w:r>
    </w:p>
    <w:p w14:paraId="485B7711" w14:textId="77777777" w:rsidR="00AC377F" w:rsidRDefault="00AC377F" w:rsidP="00AC377F">
      <w:pPr>
        <w:tabs>
          <w:tab w:val="left" w:pos="0"/>
        </w:tabs>
        <w:spacing w:line="276" w:lineRule="auto"/>
        <w:jc w:val="both"/>
        <w:rPr>
          <w:rFonts w:ascii="Verdana" w:eastAsia="Calibri" w:hAnsi="Verdana" w:cs="Arial"/>
          <w:bCs/>
        </w:rPr>
      </w:pPr>
      <w:r>
        <w:rPr>
          <w:rFonts w:ascii="Verdana" w:eastAsia="Calibri" w:hAnsi="Verdana" w:cs="Arial"/>
          <w:bCs/>
        </w:rPr>
        <w:tab/>
        <w:t>En este aspecto, es importante resaltar que la Procuraduría General de la Nación en sus diferentes directivas, en especial, la Directiva 013 del 28 de agosto de 2025 ha establecido una serie de recomendaciones en torno a la participación en actividades y controversias políticas y prohibiciones en relación con los procesos electorales para elegir Congreso de la República, Presidente y Vicepresidente de la República, Período 2026-2030</w:t>
      </w:r>
      <w:r>
        <w:rPr>
          <w:rStyle w:val="Refdenotaalpie"/>
          <w:rFonts w:ascii="Verdana" w:eastAsia="Calibri" w:hAnsi="Verdana" w:cs="Arial"/>
          <w:bCs/>
        </w:rPr>
        <w:footnoteReference w:id="20"/>
      </w:r>
      <w:r>
        <w:rPr>
          <w:rFonts w:ascii="Verdana" w:eastAsia="Calibri" w:hAnsi="Verdana" w:cs="Arial"/>
          <w:bCs/>
        </w:rPr>
        <w:t xml:space="preserve">. En dicha Directiva se </w:t>
      </w:r>
      <w:r>
        <w:rPr>
          <w:rFonts w:ascii="Verdana" w:eastAsia="Calibri" w:hAnsi="Verdana" w:cs="Arial"/>
          <w:bCs/>
        </w:rPr>
        <w:lastRenderedPageBreak/>
        <w:t xml:space="preserve">detalla las normas que deben cumplirse y acatarse por parte de los servidores públicos y los particulares que cumplen funciones públicas frente a restricciones y prohibiciones </w:t>
      </w:r>
      <w:r w:rsidRPr="00A61B2B">
        <w:rPr>
          <w:rFonts w:ascii="Verdana" w:eastAsia="Calibri" w:hAnsi="Verdana" w:cs="Arial"/>
          <w:bCs/>
        </w:rPr>
        <w:t>relativas a la participación en las actividades de los partidos y movimientos políticos y en las controversias políticas, sin perjuicio de ejercer libremente el derecho de afiliación a las agrupaciones políticas y el derecho al sufragio.</w:t>
      </w:r>
      <w:r>
        <w:rPr>
          <w:rFonts w:ascii="Verdana" w:eastAsia="Calibri" w:hAnsi="Verdana" w:cs="Arial"/>
          <w:bCs/>
        </w:rPr>
        <w:t xml:space="preserve"> </w:t>
      </w:r>
    </w:p>
    <w:p w14:paraId="77F391CD" w14:textId="77777777" w:rsidR="00AC377F" w:rsidRPr="00527D3A" w:rsidRDefault="00AC377F" w:rsidP="00AC377F">
      <w:pPr>
        <w:tabs>
          <w:tab w:val="left" w:pos="0"/>
        </w:tabs>
        <w:spacing w:line="276" w:lineRule="auto"/>
        <w:jc w:val="both"/>
        <w:rPr>
          <w:rFonts w:ascii="Verdana" w:eastAsia="Times New Roman" w:hAnsi="Verdana" w:cs="Arial"/>
          <w:color w:val="000000"/>
          <w:lang w:eastAsia="es-ES"/>
        </w:rPr>
      </w:pPr>
      <w:r>
        <w:rPr>
          <w:rFonts w:ascii="Verdana" w:eastAsia="Calibri" w:hAnsi="Verdana" w:cs="Arial"/>
          <w:bCs/>
        </w:rPr>
        <w:tab/>
        <w:t xml:space="preserve">En referencia a esta Directiva, se resalta una de las prohibiciones a todo servidor público, contenida en el Artículo 2°, literal k, que dispone: “k) </w:t>
      </w:r>
      <w:r w:rsidRPr="00D547E3">
        <w:rPr>
          <w:rFonts w:ascii="Verdana" w:eastAsia="Calibri" w:hAnsi="Verdana" w:cs="Arial"/>
          <w:bCs/>
        </w:rPr>
        <w:t>Autorizar la utilización de inmuebles o bienes muebles de carácter público para actividades proselitistas</w:t>
      </w:r>
      <w:r>
        <w:rPr>
          <w:rFonts w:ascii="Verdana" w:eastAsia="Calibri" w:hAnsi="Verdana" w:cs="Arial"/>
          <w:bCs/>
        </w:rPr>
        <w:t xml:space="preserve">”. De tal manera, las entidades y en estricto sentido, los servidores públicos no pueden permitir que los contratistas usen los bienes y recursos públicos que están a su disposición y uso, con el fin de que </w:t>
      </w:r>
      <w:r w:rsidRPr="002D6F7E">
        <w:rPr>
          <w:rFonts w:ascii="Verdana" w:eastAsia="Calibri" w:hAnsi="Verdana" w:cs="Arial"/>
          <w:bCs/>
        </w:rPr>
        <w:t>se desvíen hacia intereses particulares o partidistas, lo cual generaría una ventaja indebida y afectaría la igualdad en la competencia electoral.</w:t>
      </w:r>
      <w:r>
        <w:rPr>
          <w:rFonts w:ascii="Verdana" w:eastAsia="Calibri" w:hAnsi="Verdana" w:cs="Arial"/>
          <w:bCs/>
        </w:rPr>
        <w:t xml:space="preserve"> </w:t>
      </w:r>
      <w:bookmarkEnd w:id="1"/>
    </w:p>
    <w:p w14:paraId="562D6261" w14:textId="77777777" w:rsidR="00AC377F" w:rsidRPr="00DB2A80" w:rsidRDefault="00AC377F" w:rsidP="00AC377F">
      <w:pPr>
        <w:spacing w:after="120" w:line="276" w:lineRule="auto"/>
        <w:ind w:firstLine="708"/>
        <w:jc w:val="both"/>
        <w:rPr>
          <w:rFonts w:ascii="Verdana" w:hAnsi="Verdana"/>
        </w:rPr>
      </w:pPr>
      <w:r w:rsidRPr="00DB2A80">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623F549" w14:textId="77777777" w:rsidR="00AC377F" w:rsidRPr="00DB2A80" w:rsidRDefault="00AC377F" w:rsidP="00AC377F">
      <w:pPr>
        <w:spacing w:after="0" w:line="276" w:lineRule="auto"/>
        <w:ind w:firstLine="708"/>
        <w:jc w:val="both"/>
        <w:rPr>
          <w:rFonts w:ascii="Verdana" w:eastAsia="Calibri" w:hAnsi="Verdana" w:cs="Arial"/>
          <w:bCs/>
          <w:color w:val="000000" w:themeColor="text1"/>
        </w:rPr>
      </w:pPr>
      <w:r w:rsidRPr="00DB2A80">
        <w:rPr>
          <w:rFonts w:ascii="Verdana" w:eastAsia="Calibri" w:hAnsi="Verdana" w:cs="Arial"/>
          <w:bCs/>
          <w:color w:val="000000" w:themeColor="text1"/>
        </w:rPr>
        <w:t xml:space="preserve">Dentro de este marco, </w:t>
      </w:r>
      <w:r>
        <w:rPr>
          <w:rFonts w:ascii="Verdana" w:eastAsia="Calibri" w:hAnsi="Verdana" w:cs="Arial"/>
          <w:bCs/>
          <w:color w:val="000000" w:themeColor="text1"/>
        </w:rPr>
        <w:t xml:space="preserve">el consultante </w:t>
      </w:r>
      <w:r w:rsidRPr="00DB2A80">
        <w:rPr>
          <w:rFonts w:ascii="Verdana" w:eastAsia="Calibri" w:hAnsi="Verdana" w:cs="Arial"/>
          <w:bCs/>
          <w:color w:val="000000" w:themeColor="text1"/>
        </w:rPr>
        <w:t xml:space="preserve">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w:t>
      </w:r>
      <w:r w:rsidRPr="00DB2A80">
        <w:rPr>
          <w:rFonts w:ascii="Verdana" w:eastAsia="Calibri" w:hAnsi="Verdana" w:cs="Arial"/>
          <w:bCs/>
          <w:color w:val="000000" w:themeColor="text1"/>
        </w:rPr>
        <w:lastRenderedPageBreak/>
        <w:t xml:space="preserve">contractual, sin que sea atribución de Colombia Compra Eficiente validar sus actuaciones. </w:t>
      </w:r>
    </w:p>
    <w:p w14:paraId="4C85C763" w14:textId="77777777" w:rsidR="00AC377F" w:rsidRPr="00DB2A80" w:rsidRDefault="00AC377F" w:rsidP="00AC377F">
      <w:pPr>
        <w:spacing w:after="0" w:line="276" w:lineRule="auto"/>
        <w:jc w:val="both"/>
        <w:rPr>
          <w:rFonts w:ascii="Verdana" w:eastAsia="Arial" w:hAnsi="Verdana" w:cs="Arial"/>
        </w:rPr>
      </w:pPr>
    </w:p>
    <w:p w14:paraId="433F00F3" w14:textId="77777777" w:rsidR="00AC377F" w:rsidRPr="0060163E" w:rsidRDefault="00AC377F" w:rsidP="00AC377F">
      <w:pPr>
        <w:spacing w:after="0" w:line="276" w:lineRule="auto"/>
        <w:contextualSpacing/>
        <w:rPr>
          <w:rFonts w:ascii="Verdana" w:eastAsia="Calibri" w:hAnsi="Verdana" w:cs="Times New Roman"/>
          <w:b/>
          <w:bCs/>
          <w:lang w:val="es-ES"/>
        </w:rPr>
      </w:pPr>
      <w:r>
        <w:rPr>
          <w:rFonts w:ascii="Verdana" w:eastAsia="Calibri" w:hAnsi="Verdana" w:cs="Times New Roman"/>
          <w:b/>
          <w:bCs/>
          <w:lang w:val="es-ES"/>
        </w:rPr>
        <w:t xml:space="preserve">IV. </w:t>
      </w:r>
      <w:r w:rsidRPr="0060163E">
        <w:rPr>
          <w:rFonts w:ascii="Verdana" w:eastAsia="Calibri" w:hAnsi="Verdana" w:cs="Times New Roman"/>
          <w:b/>
          <w:bCs/>
          <w:lang w:val="es-ES"/>
        </w:rPr>
        <w:t>Referencias normativas, jurisprudenciales y otras fuentes:</w:t>
      </w:r>
    </w:p>
    <w:p w14:paraId="631437E7" w14:textId="77777777" w:rsidR="00AC377F" w:rsidRPr="0060163E" w:rsidRDefault="00AC377F" w:rsidP="00AC377F">
      <w:pPr>
        <w:widowControl w:val="0"/>
        <w:autoSpaceDE w:val="0"/>
        <w:autoSpaceDN w:val="0"/>
        <w:spacing w:after="0" w:line="276"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C377F" w:rsidRPr="0060163E" w14:paraId="2918EF8E" w14:textId="77777777" w:rsidTr="00C93A5F">
        <w:trPr>
          <w:trHeight w:val="487"/>
          <w:jc w:val="center"/>
        </w:trPr>
        <w:tc>
          <w:tcPr>
            <w:tcW w:w="8647" w:type="dxa"/>
          </w:tcPr>
          <w:p w14:paraId="19B179A7" w14:textId="77777777" w:rsidR="00AC377F" w:rsidRDefault="00AC377F" w:rsidP="00AC377F">
            <w:pPr>
              <w:numPr>
                <w:ilvl w:val="0"/>
                <w:numId w:val="2"/>
              </w:numPr>
              <w:spacing w:before="120" w:after="120" w:line="276" w:lineRule="auto"/>
              <w:ind w:left="640" w:hanging="357"/>
              <w:jc w:val="both"/>
              <w:rPr>
                <w:rFonts w:ascii="Verdana" w:hAnsi="Verdana" w:cs="Arial"/>
                <w:lang w:val="es-ES"/>
              </w:rPr>
            </w:pPr>
            <w:r>
              <w:rPr>
                <w:rFonts w:ascii="Verdana" w:hAnsi="Verdana" w:cs="Arial"/>
                <w:lang w:val="es-ES"/>
              </w:rPr>
              <w:t>Constitución Política, artículos 123, 127 y 219.</w:t>
            </w:r>
          </w:p>
          <w:p w14:paraId="4894C240" w14:textId="77777777" w:rsidR="00AC377F" w:rsidRDefault="00AC377F" w:rsidP="00AC377F">
            <w:pPr>
              <w:numPr>
                <w:ilvl w:val="0"/>
                <w:numId w:val="2"/>
              </w:numPr>
              <w:spacing w:before="120" w:after="120" w:line="276" w:lineRule="auto"/>
              <w:ind w:left="640" w:hanging="357"/>
              <w:jc w:val="both"/>
              <w:rPr>
                <w:rFonts w:ascii="Verdana" w:hAnsi="Verdana" w:cs="Arial"/>
                <w:lang w:val="es-ES"/>
              </w:rPr>
            </w:pPr>
            <w:r w:rsidRPr="000A7D76">
              <w:rPr>
                <w:rFonts w:ascii="Verdana" w:hAnsi="Verdana" w:cs="Arial"/>
                <w:lang w:val="es-ES"/>
              </w:rPr>
              <w:t xml:space="preserve">Ley 80 de 1993, </w:t>
            </w:r>
            <w:r>
              <w:rPr>
                <w:rFonts w:ascii="Verdana" w:hAnsi="Verdana" w:cs="Arial"/>
                <w:lang w:val="es-ES"/>
              </w:rPr>
              <w:t>artículo 32 numeral 3.</w:t>
            </w:r>
          </w:p>
          <w:p w14:paraId="0DECEF23" w14:textId="77777777" w:rsidR="00AC377F" w:rsidRDefault="00AC377F" w:rsidP="00AC377F">
            <w:pPr>
              <w:numPr>
                <w:ilvl w:val="0"/>
                <w:numId w:val="2"/>
              </w:numPr>
              <w:spacing w:before="120" w:after="120" w:line="276" w:lineRule="auto"/>
              <w:ind w:left="640" w:hanging="357"/>
              <w:jc w:val="both"/>
              <w:rPr>
                <w:rFonts w:ascii="Verdana" w:hAnsi="Verdana" w:cs="Arial"/>
                <w:lang w:val="es-ES"/>
              </w:rPr>
            </w:pPr>
            <w:r>
              <w:rPr>
                <w:rFonts w:ascii="Verdana" w:hAnsi="Verdana" w:cs="Arial"/>
                <w:lang w:val="es-ES"/>
              </w:rPr>
              <w:t>Ley 996 de 2005, artículo 38.</w:t>
            </w:r>
          </w:p>
          <w:p w14:paraId="559EDC0B" w14:textId="77777777" w:rsidR="00AC377F" w:rsidRDefault="00AC377F" w:rsidP="00AC377F">
            <w:pPr>
              <w:numPr>
                <w:ilvl w:val="0"/>
                <w:numId w:val="2"/>
              </w:numPr>
              <w:spacing w:before="120" w:after="120" w:line="276" w:lineRule="auto"/>
              <w:ind w:left="640" w:hanging="357"/>
              <w:jc w:val="both"/>
              <w:rPr>
                <w:rFonts w:ascii="Verdana" w:hAnsi="Verdana" w:cs="Arial"/>
                <w:lang w:val="es-ES"/>
              </w:rPr>
            </w:pPr>
            <w:r>
              <w:rPr>
                <w:rFonts w:ascii="Verdana" w:hAnsi="Verdana" w:cs="Arial"/>
                <w:lang w:val="es-ES"/>
              </w:rPr>
              <w:t>Ley 1150 de 2007, artículo 2 numeral 4 literal h).</w:t>
            </w:r>
          </w:p>
          <w:p w14:paraId="4A6C7307" w14:textId="77777777" w:rsidR="00AC377F" w:rsidRDefault="00AC377F" w:rsidP="00AC377F">
            <w:pPr>
              <w:numPr>
                <w:ilvl w:val="0"/>
                <w:numId w:val="2"/>
              </w:numPr>
              <w:spacing w:before="120" w:after="120" w:line="276" w:lineRule="auto"/>
              <w:ind w:left="640" w:hanging="357"/>
              <w:jc w:val="both"/>
              <w:rPr>
                <w:rFonts w:ascii="Verdana" w:hAnsi="Verdana" w:cs="Arial"/>
                <w:lang w:val="es-ES"/>
              </w:rPr>
            </w:pPr>
            <w:r>
              <w:rPr>
                <w:rFonts w:ascii="Verdana" w:hAnsi="Verdana" w:cs="Arial"/>
                <w:lang w:val="es-ES"/>
              </w:rPr>
              <w:t xml:space="preserve">Ley 1864 de 2017. </w:t>
            </w:r>
          </w:p>
          <w:p w14:paraId="3D85B600" w14:textId="77777777" w:rsidR="00AC377F" w:rsidRDefault="00AC377F" w:rsidP="00AC377F">
            <w:pPr>
              <w:numPr>
                <w:ilvl w:val="0"/>
                <w:numId w:val="2"/>
              </w:numPr>
              <w:spacing w:before="120" w:after="120" w:line="276" w:lineRule="auto"/>
              <w:ind w:left="640" w:hanging="357"/>
              <w:jc w:val="both"/>
              <w:rPr>
                <w:rFonts w:ascii="Verdana" w:hAnsi="Verdana" w:cs="Arial"/>
                <w:lang w:val="es-ES"/>
              </w:rPr>
            </w:pPr>
            <w:r>
              <w:rPr>
                <w:rFonts w:ascii="Verdana" w:hAnsi="Verdana" w:cs="Arial"/>
                <w:lang w:val="es-ES"/>
              </w:rPr>
              <w:t xml:space="preserve">Ley 1952 de 2019, artículo 70. </w:t>
            </w:r>
          </w:p>
          <w:p w14:paraId="4DA3EB67" w14:textId="77777777" w:rsidR="00AC377F" w:rsidRPr="006619B4" w:rsidRDefault="00AC377F" w:rsidP="00AC377F">
            <w:pPr>
              <w:numPr>
                <w:ilvl w:val="0"/>
                <w:numId w:val="2"/>
              </w:numPr>
              <w:spacing w:before="120" w:after="120" w:line="276" w:lineRule="auto"/>
              <w:ind w:left="640" w:hanging="357"/>
              <w:jc w:val="both"/>
              <w:rPr>
                <w:rFonts w:ascii="Verdana" w:hAnsi="Verdana" w:cs="Arial"/>
                <w:lang w:val="es-ES"/>
              </w:rPr>
            </w:pPr>
            <w:r>
              <w:rPr>
                <w:rFonts w:ascii="Verdana" w:hAnsi="Verdana" w:cs="Arial"/>
                <w:lang w:val="es-ES"/>
              </w:rPr>
              <w:t>Decreto 1082 de 2015, a</w:t>
            </w:r>
            <w:r w:rsidRPr="00862005">
              <w:rPr>
                <w:rFonts w:ascii="Verdana" w:hAnsi="Verdana" w:cs="Arial"/>
                <w:lang w:val="es-ES"/>
              </w:rPr>
              <w:t>rtículo 2.2.1.2.1.4.9.</w:t>
            </w:r>
          </w:p>
          <w:p w14:paraId="248A9A3F" w14:textId="77777777" w:rsidR="00AC377F" w:rsidRDefault="00AC377F" w:rsidP="00AC377F">
            <w:pPr>
              <w:numPr>
                <w:ilvl w:val="0"/>
                <w:numId w:val="2"/>
              </w:numPr>
              <w:spacing w:before="120" w:after="120" w:line="276" w:lineRule="auto"/>
              <w:ind w:left="640" w:hanging="357"/>
              <w:jc w:val="both"/>
              <w:rPr>
                <w:rFonts w:ascii="Verdana" w:hAnsi="Verdana" w:cs="Arial"/>
                <w:lang w:val="es-ES"/>
              </w:rPr>
            </w:pPr>
            <w:r>
              <w:rPr>
                <w:rFonts w:ascii="Verdana" w:hAnsi="Verdana" w:cs="Arial"/>
                <w:lang w:val="es-ES"/>
              </w:rPr>
              <w:t xml:space="preserve">Directiva 13 del 28 de agosto de 2025 de la Procuraduría General de la Nación. </w:t>
            </w:r>
          </w:p>
          <w:p w14:paraId="744C35D4" w14:textId="77777777" w:rsidR="00AC377F" w:rsidRDefault="00AC377F" w:rsidP="00AC377F">
            <w:pPr>
              <w:numPr>
                <w:ilvl w:val="0"/>
                <w:numId w:val="2"/>
              </w:numPr>
              <w:spacing w:before="120" w:after="120" w:line="276" w:lineRule="auto"/>
              <w:ind w:left="640" w:hanging="357"/>
              <w:jc w:val="both"/>
              <w:rPr>
                <w:rFonts w:ascii="Verdana" w:hAnsi="Verdana" w:cs="Arial"/>
                <w:lang w:val="es-ES"/>
              </w:rPr>
            </w:pPr>
            <w:r w:rsidRPr="00337320">
              <w:rPr>
                <w:rFonts w:ascii="Verdana" w:hAnsi="Verdana" w:cs="Arial"/>
                <w:lang w:val="pt-BR"/>
              </w:rPr>
              <w:t xml:space="preserve">Corte Constitucional. Sentencia C-154 de 1997. </w:t>
            </w:r>
            <w:r w:rsidRPr="00D133D3">
              <w:rPr>
                <w:rFonts w:ascii="Verdana" w:hAnsi="Verdana" w:cs="Arial"/>
                <w:lang w:val="es-ES"/>
              </w:rPr>
              <w:t>M.P. Hernando Herrera Vergara.</w:t>
            </w:r>
          </w:p>
          <w:p w14:paraId="2ABA0924" w14:textId="77777777" w:rsidR="00AC377F" w:rsidRDefault="00AC377F" w:rsidP="00AC377F">
            <w:pPr>
              <w:numPr>
                <w:ilvl w:val="0"/>
                <w:numId w:val="2"/>
              </w:numPr>
              <w:spacing w:before="120" w:after="120" w:line="276" w:lineRule="auto"/>
              <w:ind w:left="640" w:hanging="357"/>
              <w:jc w:val="both"/>
              <w:rPr>
                <w:rFonts w:ascii="Verdana" w:hAnsi="Verdana" w:cs="Arial"/>
                <w:lang w:val="es-ES"/>
              </w:rPr>
            </w:pPr>
            <w:r w:rsidRPr="00337320">
              <w:rPr>
                <w:rFonts w:ascii="Verdana" w:hAnsi="Verdana" w:cs="Arial"/>
                <w:lang w:val="pt-BR"/>
              </w:rPr>
              <w:t xml:space="preserve">Corte Constitucional. Sentencia C-181 de 1997. </w:t>
            </w:r>
            <w:r w:rsidRPr="00D133D3">
              <w:rPr>
                <w:rFonts w:ascii="Verdana" w:hAnsi="Verdana" w:cs="Arial"/>
                <w:lang w:val="es-ES"/>
              </w:rPr>
              <w:t xml:space="preserve">M.P. Fabio Morón Díaz. </w:t>
            </w:r>
          </w:p>
          <w:p w14:paraId="3DFD7F1F" w14:textId="77777777" w:rsidR="00AC377F" w:rsidRPr="00337320" w:rsidRDefault="00AC377F" w:rsidP="00AC377F">
            <w:pPr>
              <w:numPr>
                <w:ilvl w:val="0"/>
                <w:numId w:val="2"/>
              </w:numPr>
              <w:spacing w:before="120" w:after="120" w:line="276" w:lineRule="auto"/>
              <w:ind w:left="640" w:hanging="357"/>
              <w:jc w:val="both"/>
              <w:rPr>
                <w:rFonts w:ascii="Verdana" w:hAnsi="Verdana" w:cs="Arial"/>
                <w:lang w:val="pt-BR"/>
              </w:rPr>
            </w:pPr>
            <w:r w:rsidRPr="00337320">
              <w:rPr>
                <w:rFonts w:ascii="Verdana" w:hAnsi="Verdana" w:cs="Arial"/>
                <w:lang w:val="pt-BR"/>
              </w:rPr>
              <w:t xml:space="preserve">Corte Constitucional. Sentencia C-614 de 2009. M.P. Jorge Ignacio Pretelt Chaljub. </w:t>
            </w:r>
          </w:p>
          <w:p w14:paraId="4102A852" w14:textId="77777777" w:rsidR="00AC377F" w:rsidRPr="00337320" w:rsidRDefault="00AC377F" w:rsidP="00AC377F">
            <w:pPr>
              <w:numPr>
                <w:ilvl w:val="0"/>
                <w:numId w:val="2"/>
              </w:numPr>
              <w:spacing w:before="120" w:after="120" w:line="276" w:lineRule="auto"/>
              <w:ind w:left="640" w:hanging="357"/>
              <w:jc w:val="both"/>
              <w:rPr>
                <w:rFonts w:ascii="Verdana" w:hAnsi="Verdana" w:cs="Arial"/>
                <w:lang w:val="pt-BR"/>
              </w:rPr>
            </w:pPr>
            <w:r w:rsidRPr="00337320">
              <w:rPr>
                <w:rFonts w:ascii="Verdana" w:hAnsi="Verdana" w:cs="Arial"/>
                <w:lang w:val="pt-BR"/>
              </w:rPr>
              <w:t>Corte Constitucional. Sentencia C-1016 de 2012. M.P. Jorge Iván Palacio.</w:t>
            </w:r>
          </w:p>
          <w:p w14:paraId="1E002663" w14:textId="77777777" w:rsidR="00AC377F" w:rsidRDefault="00AC377F" w:rsidP="00AC377F">
            <w:pPr>
              <w:numPr>
                <w:ilvl w:val="0"/>
                <w:numId w:val="2"/>
              </w:numPr>
              <w:spacing w:before="120" w:after="120" w:line="276" w:lineRule="auto"/>
              <w:ind w:left="640" w:hanging="357"/>
              <w:jc w:val="both"/>
              <w:rPr>
                <w:rFonts w:ascii="Verdana" w:hAnsi="Verdana" w:cs="Arial"/>
                <w:lang w:val="es-ES"/>
              </w:rPr>
            </w:pPr>
            <w:r w:rsidRPr="00D133D3">
              <w:rPr>
                <w:rFonts w:ascii="Verdana" w:hAnsi="Verdana" w:cs="Arial"/>
                <w:lang w:val="es-ES"/>
              </w:rPr>
              <w:t>Corte Constitucional, Sentencia C- 1153 de 2005, M.P. Marco Gerardo Monroy Cabra.</w:t>
            </w:r>
          </w:p>
          <w:p w14:paraId="06CD5A37" w14:textId="77777777" w:rsidR="00AC377F" w:rsidRDefault="00AC377F" w:rsidP="00AC377F">
            <w:pPr>
              <w:numPr>
                <w:ilvl w:val="0"/>
                <w:numId w:val="2"/>
              </w:numPr>
              <w:spacing w:before="120" w:after="120" w:line="276" w:lineRule="auto"/>
              <w:ind w:left="640" w:hanging="357"/>
              <w:jc w:val="both"/>
              <w:rPr>
                <w:rFonts w:ascii="Verdana" w:hAnsi="Verdana" w:cs="Arial"/>
                <w:lang w:val="es-ES"/>
              </w:rPr>
            </w:pPr>
            <w:r w:rsidRPr="00D133D3">
              <w:rPr>
                <w:rFonts w:ascii="Verdana" w:hAnsi="Verdana" w:cs="Arial"/>
                <w:lang w:val="es-ES"/>
              </w:rPr>
              <w:t xml:space="preserve">Consejo de Estado, Sala de Consulta y Servicio Civil de fecha 24 de julio de 2013. Rad. 2166. C. P. Álvaro Namén Vargas.  </w:t>
            </w:r>
          </w:p>
          <w:p w14:paraId="0F0AB6F1" w14:textId="77777777" w:rsidR="00AC377F" w:rsidRPr="00D133D3" w:rsidRDefault="00AC377F" w:rsidP="00AC377F">
            <w:pPr>
              <w:numPr>
                <w:ilvl w:val="0"/>
                <w:numId w:val="2"/>
              </w:numPr>
              <w:spacing w:before="120" w:after="120" w:line="276" w:lineRule="auto"/>
              <w:ind w:left="640" w:hanging="357"/>
              <w:jc w:val="both"/>
              <w:rPr>
                <w:rFonts w:ascii="Verdana" w:hAnsi="Verdana" w:cs="Arial"/>
                <w:lang w:val="es-ES"/>
              </w:rPr>
            </w:pPr>
            <w:r w:rsidRPr="00D133D3">
              <w:rPr>
                <w:rFonts w:ascii="Verdana" w:hAnsi="Verdana" w:cs="Arial"/>
                <w:lang w:val="es-ES"/>
              </w:rPr>
              <w:t>Consejo de Estado, Sala de Consulta y Servicio Civil. Concepto del 10 de mayo de 2001. Rad. No 1.344. C.P. Flavio Augusto Rodríguez Arce.</w:t>
            </w:r>
          </w:p>
        </w:tc>
      </w:tr>
    </w:tbl>
    <w:p w14:paraId="3CAAD04F" w14:textId="77777777" w:rsidR="00AC377F" w:rsidRPr="0060163E" w:rsidRDefault="00AC377F" w:rsidP="00AC377F">
      <w:pPr>
        <w:spacing w:after="0" w:line="276" w:lineRule="auto"/>
        <w:ind w:left="360"/>
        <w:rPr>
          <w:rFonts w:ascii="Verdana" w:eastAsia="Calibri" w:hAnsi="Verdana" w:cs="Times New Roman"/>
          <w:b/>
          <w:bCs/>
          <w:lang w:val="es-ES"/>
        </w:rPr>
      </w:pPr>
    </w:p>
    <w:p w14:paraId="0006499C" w14:textId="77777777" w:rsidR="00AC377F" w:rsidRPr="0060163E" w:rsidRDefault="00AC377F" w:rsidP="00AC377F">
      <w:pPr>
        <w:spacing w:after="0" w:line="276" w:lineRule="auto"/>
        <w:rPr>
          <w:rFonts w:ascii="Verdana" w:eastAsia="Calibri" w:hAnsi="Verdana" w:cs="Times New Roman"/>
          <w:b/>
          <w:bCs/>
          <w:lang w:val="es-ES"/>
        </w:rPr>
      </w:pPr>
      <w:r>
        <w:rPr>
          <w:rFonts w:ascii="Verdana" w:eastAsia="Calibri" w:hAnsi="Verdana" w:cs="Times New Roman"/>
          <w:b/>
          <w:bCs/>
          <w:lang w:val="es-ES"/>
        </w:rPr>
        <w:t xml:space="preserve">V. </w:t>
      </w:r>
      <w:r w:rsidRPr="0060163E">
        <w:rPr>
          <w:rFonts w:ascii="Verdana" w:eastAsia="Calibri" w:hAnsi="Verdana" w:cs="Times New Roman"/>
          <w:b/>
          <w:bCs/>
          <w:lang w:val="es-ES"/>
        </w:rPr>
        <w:t>Doctrina de la Agencia Nacional de Contratación Pública:</w:t>
      </w:r>
    </w:p>
    <w:p w14:paraId="0C429029" w14:textId="77777777" w:rsidR="00AC377F" w:rsidRPr="0060163E" w:rsidRDefault="00AC377F" w:rsidP="00AC377F">
      <w:pPr>
        <w:spacing w:after="0" w:line="276" w:lineRule="auto"/>
        <w:rPr>
          <w:rFonts w:ascii="Verdana" w:eastAsia="Calibri" w:hAnsi="Verdana" w:cs="Times New Roman"/>
          <w:lang w:val="es-ES"/>
        </w:rPr>
      </w:pPr>
    </w:p>
    <w:p w14:paraId="70A127FF" w14:textId="77777777" w:rsidR="00AC377F" w:rsidRPr="00913D97" w:rsidRDefault="00AC377F" w:rsidP="00AC377F">
      <w:pPr>
        <w:widowControl w:val="0"/>
        <w:autoSpaceDE w:val="0"/>
        <w:autoSpaceDN w:val="0"/>
        <w:spacing w:after="0" w:line="276" w:lineRule="auto"/>
        <w:jc w:val="both"/>
        <w:rPr>
          <w:rFonts w:ascii="Verdana" w:hAnsi="Verdana" w:cs="Arial"/>
          <w:shd w:val="clear" w:color="auto" w:fill="FFFFFF"/>
          <w:lang w:val="es-ES"/>
        </w:rPr>
      </w:pPr>
      <w:r>
        <w:rPr>
          <w:rStyle w:val="normaltextrun"/>
          <w:rFonts w:ascii="Verdana" w:hAnsi="Verdana" w:cs="Arial"/>
          <w:shd w:val="clear" w:color="auto" w:fill="FFFFFF"/>
          <w:lang w:val="es-ES"/>
        </w:rPr>
        <w:lastRenderedPageBreak/>
        <w:t>E</w:t>
      </w:r>
      <w:r w:rsidRPr="00EA761C">
        <w:rPr>
          <w:rStyle w:val="normaltextrun"/>
          <w:rFonts w:ascii="Verdana" w:hAnsi="Verdana" w:cs="Arial"/>
          <w:shd w:val="clear" w:color="auto" w:fill="FFFFFF"/>
          <w:lang w:val="es-ES"/>
        </w:rPr>
        <w:t>sta Subdirección </w:t>
      </w:r>
      <w:r>
        <w:rPr>
          <w:rStyle w:val="normaltextrun"/>
          <w:rFonts w:ascii="Verdana" w:hAnsi="Verdana" w:cs="Arial"/>
          <w:shd w:val="clear" w:color="auto" w:fill="FFFFFF"/>
          <w:lang w:val="es-ES"/>
        </w:rPr>
        <w:t>se ha pronunciado s</w:t>
      </w:r>
      <w:r w:rsidRPr="00EA761C">
        <w:rPr>
          <w:rStyle w:val="normaltextrun"/>
          <w:rFonts w:ascii="Verdana" w:hAnsi="Verdana" w:cs="Arial"/>
          <w:shd w:val="clear" w:color="auto" w:fill="FFFFFF"/>
          <w:lang w:val="es-ES"/>
        </w:rPr>
        <w:t xml:space="preserve">obre la </w:t>
      </w:r>
      <w:r>
        <w:rPr>
          <w:rStyle w:val="normaltextrun"/>
          <w:rFonts w:ascii="Verdana" w:hAnsi="Verdana" w:cs="Arial"/>
          <w:shd w:val="clear" w:color="auto" w:fill="FFFFFF"/>
          <w:lang w:val="es-ES"/>
        </w:rPr>
        <w:t>participación de los contratistas y funcionarios públicos en política durante los periodos electorales en el siguiente</w:t>
      </w:r>
      <w:r w:rsidRPr="00EA761C">
        <w:rPr>
          <w:rStyle w:val="normaltextrun"/>
          <w:rFonts w:ascii="Verdana" w:hAnsi="Verdana" w:cs="Arial"/>
          <w:shd w:val="clear" w:color="auto" w:fill="FFFFFF"/>
          <w:lang w:val="es-ES"/>
        </w:rPr>
        <w:t xml:space="preserve"> </w:t>
      </w:r>
      <w:r>
        <w:rPr>
          <w:rStyle w:val="normaltextrun"/>
          <w:rFonts w:ascii="Verdana" w:hAnsi="Verdana" w:cs="Arial"/>
          <w:shd w:val="clear" w:color="auto" w:fill="FFFFFF"/>
          <w:lang w:val="es-ES"/>
        </w:rPr>
        <w:t>c</w:t>
      </w:r>
      <w:r w:rsidRPr="00EA761C">
        <w:rPr>
          <w:rStyle w:val="normaltextrun"/>
          <w:rFonts w:ascii="Verdana" w:hAnsi="Verdana" w:cs="Arial"/>
          <w:shd w:val="clear" w:color="auto" w:fill="FFFFFF"/>
          <w:lang w:val="es-ES"/>
        </w:rPr>
        <w:t>oncepto</w:t>
      </w:r>
      <w:r>
        <w:rPr>
          <w:rStyle w:val="normaltextrun"/>
          <w:rFonts w:ascii="Verdana" w:hAnsi="Verdana" w:cs="Arial"/>
          <w:shd w:val="clear" w:color="auto" w:fill="FFFFFF"/>
          <w:lang w:val="es-ES"/>
        </w:rPr>
        <w:t>, C-086 del 3 de marzo de 2026</w:t>
      </w:r>
      <w:r w:rsidRPr="00640340">
        <w:rPr>
          <w:rFonts w:ascii="Verdana" w:hAnsi="Verdana" w:cs="Arial"/>
          <w:shd w:val="clear" w:color="auto" w:fill="FFFFFF"/>
          <w:lang w:val="es-ES"/>
        </w:rPr>
        <w:t xml:space="preserve">. </w:t>
      </w:r>
      <w:r w:rsidRPr="0060163E">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r>
        <w:rPr>
          <w:rFonts w:ascii="Verdana" w:eastAsia="Calibri" w:hAnsi="Verdana" w:cs="Times New Roman"/>
        </w:rPr>
        <w:t xml:space="preserve"> </w:t>
      </w:r>
      <w:hyperlink r:id="rId14" w:history="1">
        <w:r w:rsidRPr="004A645D">
          <w:rPr>
            <w:rFonts w:ascii="Verdana" w:eastAsia="Calibri" w:hAnsi="Verdana" w:cs="Times New Roman"/>
            <w:color w:val="0000FF"/>
            <w:u w:val="single"/>
            <w:lang w:val="es-ES"/>
          </w:rPr>
          <w:t>https://relatoria.colombiacompra.gov.co/busqueda/conceptos</w:t>
        </w:r>
      </w:hyperlink>
      <w:r w:rsidRPr="004A645D">
        <w:rPr>
          <w:rFonts w:ascii="Verdana" w:eastAsia="Calibri" w:hAnsi="Verdana" w:cs="Times New Roman"/>
        </w:rPr>
        <w:t xml:space="preserve">. </w:t>
      </w:r>
    </w:p>
    <w:p w14:paraId="7188447C" w14:textId="77777777" w:rsidR="00AC377F" w:rsidRPr="0060163E" w:rsidRDefault="00AC377F" w:rsidP="00AC377F">
      <w:pPr>
        <w:spacing w:after="0" w:line="276" w:lineRule="auto"/>
        <w:jc w:val="both"/>
        <w:rPr>
          <w:rFonts w:ascii="Verdana" w:hAnsi="Verdana"/>
        </w:rPr>
      </w:pPr>
    </w:p>
    <w:p w14:paraId="13B83193" w14:textId="77777777" w:rsidR="00AC377F" w:rsidRDefault="00AC377F" w:rsidP="00AC377F">
      <w:pPr>
        <w:widowControl w:val="0"/>
        <w:autoSpaceDE w:val="0"/>
        <w:autoSpaceDN w:val="0"/>
        <w:spacing w:after="0" w:line="276" w:lineRule="auto"/>
        <w:jc w:val="both"/>
        <w:rPr>
          <w:rStyle w:val="Hipervnculo"/>
          <w:rFonts w:ascii="Verdana" w:hAnsi="Verdana"/>
        </w:rPr>
      </w:pPr>
      <w:r w:rsidRPr="00BE121F">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BE121F">
        <w:rPr>
          <w:rFonts w:ascii="Verdana" w:hAnsi="Verdana"/>
          <w:b/>
          <w:bCs/>
        </w:rPr>
        <w:t>Guía para la Exigencia y Constitución de Garantías en los Procesos de Contratación</w:t>
      </w:r>
      <w:r w:rsidRPr="00BE121F">
        <w:rPr>
          <w:rFonts w:ascii="Verdana" w:hAnsi="Verdana"/>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w:t>
      </w:r>
      <w:r w:rsidRPr="004A645D">
        <w:rPr>
          <w:rFonts w:ascii="Verdana" w:hAnsi="Verdana"/>
        </w:rPr>
        <w:t>Consúltala aquí: </w:t>
      </w:r>
      <w:hyperlink r:id="rId15" w:tooltip="Dirección URL original: https://www.colombiacompra.gov.co/archivos/manual/guia-de-garantias-en-procesos-de-contratacion. Haga clic o pulse si confía en este vínculo." w:history="1">
        <w:r w:rsidRPr="004A645D">
          <w:rPr>
            <w:rStyle w:val="Hipervnculo"/>
            <w:rFonts w:ascii="Verdana" w:hAnsi="Verdana"/>
          </w:rPr>
          <w:t>https://www.colombiacompra.gov.co/archivos/manual/guia-de-garantias-en-procesos-de-contratacion</w:t>
        </w:r>
      </w:hyperlink>
    </w:p>
    <w:p w14:paraId="1C5296DE" w14:textId="77777777" w:rsidR="00AC377F" w:rsidRPr="004A645D" w:rsidRDefault="00AC377F" w:rsidP="00AC377F">
      <w:pPr>
        <w:widowControl w:val="0"/>
        <w:autoSpaceDE w:val="0"/>
        <w:autoSpaceDN w:val="0"/>
        <w:spacing w:after="0" w:line="276" w:lineRule="auto"/>
        <w:jc w:val="both"/>
        <w:rPr>
          <w:rFonts w:ascii="Verdana" w:hAnsi="Verdana"/>
        </w:rPr>
      </w:pPr>
    </w:p>
    <w:p w14:paraId="27727A8C" w14:textId="77777777" w:rsidR="00AC377F" w:rsidRDefault="00AC377F" w:rsidP="00AC377F">
      <w:pPr>
        <w:widowControl w:val="0"/>
        <w:autoSpaceDE w:val="0"/>
        <w:autoSpaceDN w:val="0"/>
        <w:spacing w:after="0" w:line="276" w:lineRule="auto"/>
        <w:jc w:val="both"/>
        <w:rPr>
          <w:rStyle w:val="Hipervnculo"/>
          <w:rFonts w:ascii="Verdana" w:hAnsi="Verdana"/>
        </w:rPr>
      </w:pPr>
      <w:r w:rsidRPr="00BE121F">
        <w:rPr>
          <w:rFonts w:ascii="Verdana" w:hAnsi="Verdana"/>
        </w:rPr>
        <w:t>De otro lado, te contamos que el Decreto 287 del 19 de marzo de 2026 sustituyó los artículos 2.2.1.2.4.2.6., 2.2.1.2.4.2.7. y 2.2.1.2.4.2.8. del Decreto 1082 de 2015 y estructuró el </w:t>
      </w:r>
      <w:r w:rsidRPr="00BE121F">
        <w:rPr>
          <w:rFonts w:ascii="Verdana" w:hAnsi="Verdana"/>
          <w:b/>
          <w:bCs/>
        </w:rPr>
        <w:t>Sistema Integral de Preferencias en favor de las personas con discapacidad</w:t>
      </w:r>
      <w:r w:rsidRPr="00BE121F">
        <w:rPr>
          <w:rFonts w:ascii="Verdana" w:hAnsi="Verdana"/>
        </w:rPr>
        <w:t>, en cumplimiento del artículo 13 de la Ley Estatutaria 1618 de 2013. Para orientar su aplicación, esta Agencia expidió la </w:t>
      </w:r>
      <w:r w:rsidRPr="00BE121F">
        <w:rPr>
          <w:rFonts w:ascii="Verdana" w:hAnsi="Verdana"/>
          <w:b/>
          <w:bCs/>
        </w:rPr>
        <w:t>Circular Externa 003 del 12 de mayo de 2026, </w:t>
      </w:r>
      <w:r w:rsidRPr="00BE121F">
        <w:rPr>
          <w:rFonts w:ascii="Verdana" w:hAnsi="Verdana"/>
        </w:rPr>
        <w:t xml:space="preserve">en la que precisa quiénes son los beneficiarios, las cinco medidas que integran el sistema y su obligatoriedad según la modalidad de selección, y el régimen de transición aplicable a los procesos en curso. </w:t>
      </w:r>
      <w:r w:rsidRPr="004A645D">
        <w:rPr>
          <w:rFonts w:ascii="Verdana" w:hAnsi="Verdana"/>
        </w:rPr>
        <w:t>Consúltala aquí: </w:t>
      </w:r>
      <w:hyperlink r:id="rId16" w:tooltip="Dirección URL original: https://www.colombiacompra.gov.co/archivos/circular/circular-externa-003-de-2026. Haga clic o pulse si confía en este vínculo." w:history="1">
        <w:r w:rsidRPr="004A645D">
          <w:rPr>
            <w:rStyle w:val="Hipervnculo"/>
            <w:rFonts w:ascii="Verdana" w:hAnsi="Verdana"/>
          </w:rPr>
          <w:t>https://www.colombiacompra.gov.co/archivos/circular/circular-externa-003-de-2026</w:t>
        </w:r>
      </w:hyperlink>
    </w:p>
    <w:p w14:paraId="6DD413AA" w14:textId="77777777" w:rsidR="00AC377F" w:rsidRPr="004A645D" w:rsidRDefault="00AC377F" w:rsidP="00AC377F">
      <w:pPr>
        <w:widowControl w:val="0"/>
        <w:autoSpaceDE w:val="0"/>
        <w:autoSpaceDN w:val="0"/>
        <w:spacing w:after="0" w:line="276" w:lineRule="auto"/>
        <w:jc w:val="both"/>
        <w:rPr>
          <w:rFonts w:ascii="Verdana" w:hAnsi="Verdana"/>
        </w:rPr>
      </w:pPr>
    </w:p>
    <w:p w14:paraId="7C03538B" w14:textId="77777777" w:rsidR="00AC377F" w:rsidRDefault="00AC377F" w:rsidP="00AC377F">
      <w:pPr>
        <w:widowControl w:val="0"/>
        <w:autoSpaceDE w:val="0"/>
        <w:autoSpaceDN w:val="0"/>
        <w:spacing w:after="0" w:line="276" w:lineRule="auto"/>
        <w:jc w:val="both"/>
        <w:rPr>
          <w:rStyle w:val="Hipervnculo"/>
          <w:rFonts w:ascii="Verdana" w:hAnsi="Verdana"/>
        </w:rPr>
      </w:pPr>
      <w:r w:rsidRPr="00BE121F">
        <w:rPr>
          <w:rFonts w:ascii="Verdana" w:hAnsi="Verdana"/>
        </w:rPr>
        <w:t>Recuerda también que la</w:t>
      </w:r>
      <w:r w:rsidRPr="00BE121F">
        <w:rPr>
          <w:rFonts w:ascii="Verdana" w:hAnsi="Verdana"/>
          <w:b/>
          <w:bCs/>
        </w:rPr>
        <w:t> información sobre sanciones e inhabilidades </w:t>
      </w:r>
      <w:r w:rsidRPr="00BE121F">
        <w:rPr>
          <w:rFonts w:ascii="Verdana" w:hAnsi="Verdana"/>
        </w:rPr>
        <w:t>solo cumple su función preventiva si llega oportunamente a los registros públicos. Sobre este deber, esta Agencia expidió la </w:t>
      </w:r>
      <w:r w:rsidRPr="00BE121F">
        <w:rPr>
          <w:rFonts w:ascii="Verdana" w:hAnsi="Verdana"/>
          <w:b/>
          <w:bCs/>
        </w:rPr>
        <w:t xml:space="preserve">Circular Externa 002 del 5 de mayo </w:t>
      </w:r>
      <w:r w:rsidRPr="00BE121F">
        <w:rPr>
          <w:rFonts w:ascii="Verdana" w:hAnsi="Verdana"/>
          <w:b/>
          <w:bCs/>
        </w:rPr>
        <w:lastRenderedPageBreak/>
        <w:t>de 2026,</w:t>
      </w:r>
      <w:r w:rsidRPr="00BE121F">
        <w:rPr>
          <w:rFonts w:ascii="Verdana" w:hAnsi="Verdana"/>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w:t>
      </w:r>
      <w:r w:rsidRPr="004A645D">
        <w:rPr>
          <w:rFonts w:ascii="Verdana" w:hAnsi="Verdana"/>
        </w:rPr>
        <w:t>Consúltala aquí: </w:t>
      </w:r>
      <w:hyperlink r:id="rId17" w:tooltip="Dirección URL original: https://www.colombiacompra.gov.co/archivos/circular/circular-externa-002-de-2026. Haga clic o pulse si confía en este vínculo." w:history="1">
        <w:r w:rsidRPr="004A645D">
          <w:rPr>
            <w:rStyle w:val="Hipervnculo"/>
            <w:rFonts w:ascii="Verdana" w:hAnsi="Verdana"/>
          </w:rPr>
          <w:t>https://www.colombiacompra.gov.co/archivos/circular/circular-externa-002-de-2026</w:t>
        </w:r>
      </w:hyperlink>
    </w:p>
    <w:p w14:paraId="26A90631" w14:textId="77777777" w:rsidR="00AC377F" w:rsidRPr="004A645D" w:rsidRDefault="00AC377F" w:rsidP="00AC377F">
      <w:pPr>
        <w:widowControl w:val="0"/>
        <w:autoSpaceDE w:val="0"/>
        <w:autoSpaceDN w:val="0"/>
        <w:spacing w:after="0" w:line="276" w:lineRule="auto"/>
        <w:jc w:val="both"/>
        <w:rPr>
          <w:rFonts w:ascii="Verdana" w:hAnsi="Verdana"/>
        </w:rPr>
      </w:pPr>
    </w:p>
    <w:p w14:paraId="3D5F41AB" w14:textId="77777777" w:rsidR="00AC377F" w:rsidRDefault="00AC377F" w:rsidP="00AC377F">
      <w:pPr>
        <w:widowControl w:val="0"/>
        <w:autoSpaceDE w:val="0"/>
        <w:autoSpaceDN w:val="0"/>
        <w:spacing w:after="0" w:line="276" w:lineRule="auto"/>
        <w:jc w:val="both"/>
        <w:rPr>
          <w:rStyle w:val="Hipervnculo"/>
          <w:rFonts w:ascii="Verdana" w:hAnsi="Verdana"/>
        </w:rPr>
      </w:pPr>
      <w:r w:rsidRPr="00BE121F">
        <w:rPr>
          <w:rFonts w:ascii="Verdana" w:hAnsi="Verdana"/>
        </w:rPr>
        <w:t>Finalmente, si quieres seguir de cerca la actividad de la Agencia, la tercera edición de 2026 del</w:t>
      </w:r>
      <w:r w:rsidRPr="00BE121F">
        <w:rPr>
          <w:rFonts w:ascii="Verdana" w:hAnsi="Verdana"/>
          <w:b/>
          <w:bCs/>
        </w:rPr>
        <w:t> Radar de la Compra Pública</w:t>
      </w:r>
      <w:r w:rsidRPr="00BE121F">
        <w:rPr>
          <w:rFonts w:ascii="Verdana" w:hAnsi="Verdana"/>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w:t>
      </w:r>
      <w:r w:rsidRPr="004A645D">
        <w:rPr>
          <w:rFonts w:ascii="Verdana" w:hAnsi="Verdana"/>
        </w:rPr>
        <w:t>Descárgalo aquí: </w:t>
      </w:r>
      <w:hyperlink r:id="rId18" w:tooltip="Dirección URL original: https://www.colombiacompra.gov.co/archivos/boletin/boletin-edicion-n-3-de-2026-radar-de-la-compra-publica. Haga clic o pulse si confía en este vínculo." w:history="1">
        <w:r w:rsidRPr="004A645D">
          <w:rPr>
            <w:rStyle w:val="Hipervnculo"/>
            <w:rFonts w:ascii="Verdana" w:hAnsi="Verdana"/>
          </w:rPr>
          <w:t>https://www.colombiacompra.gov.co/archivos/boletin/boletin-edicion-n-3-de-2026-radar-de-la-compra-publica</w:t>
        </w:r>
      </w:hyperlink>
    </w:p>
    <w:p w14:paraId="0A671BFC" w14:textId="77777777" w:rsidR="00AC377F" w:rsidRPr="004A645D" w:rsidRDefault="00AC377F" w:rsidP="00AC377F">
      <w:pPr>
        <w:widowControl w:val="0"/>
        <w:autoSpaceDE w:val="0"/>
        <w:autoSpaceDN w:val="0"/>
        <w:spacing w:after="0" w:line="276" w:lineRule="auto"/>
        <w:jc w:val="both"/>
        <w:rPr>
          <w:rFonts w:ascii="Verdana" w:hAnsi="Verdana"/>
        </w:rPr>
      </w:pPr>
    </w:p>
    <w:p w14:paraId="30A94460" w14:textId="77777777" w:rsidR="00AC377F" w:rsidRPr="00116940" w:rsidRDefault="00AC377F" w:rsidP="00AC377F">
      <w:pPr>
        <w:spacing w:after="0" w:line="276" w:lineRule="auto"/>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68B0E8B2" w14:textId="77777777" w:rsidR="00AC377F" w:rsidRPr="00116940" w:rsidRDefault="00AC377F" w:rsidP="00AC377F">
      <w:pPr>
        <w:spacing w:after="0" w:line="276" w:lineRule="auto"/>
        <w:jc w:val="both"/>
        <w:rPr>
          <w:rFonts w:ascii="Verdana" w:hAnsi="Verdana"/>
        </w:rPr>
      </w:pPr>
    </w:p>
    <w:p w14:paraId="65DBDBFD" w14:textId="77777777" w:rsidR="00AC377F" w:rsidRPr="00116940" w:rsidRDefault="00AC377F" w:rsidP="00AC377F">
      <w:pPr>
        <w:pStyle w:val="Prrafodelista"/>
        <w:numPr>
          <w:ilvl w:val="0"/>
          <w:numId w:val="1"/>
        </w:numPr>
        <w:spacing w:after="0" w:line="276" w:lineRule="auto"/>
        <w:contextualSpacing w:val="0"/>
        <w:jc w:val="both"/>
        <w:rPr>
          <w:rFonts w:ascii="Verdana" w:eastAsia="Verdana" w:hAnsi="Verdana" w:cs="Verdana"/>
          <w:color w:val="156082"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3E936542" w14:textId="77777777" w:rsidR="00AC377F" w:rsidRPr="00116940" w:rsidRDefault="00AC377F" w:rsidP="00AC377F">
      <w:pPr>
        <w:pStyle w:val="Prrafodelista"/>
        <w:numPr>
          <w:ilvl w:val="0"/>
          <w:numId w:val="1"/>
        </w:numPr>
        <w:spacing w:after="0" w:line="276" w:lineRule="auto"/>
        <w:contextualSpacing w:val="0"/>
        <w:rPr>
          <w:rFonts w:ascii="Verdana" w:eastAsia="Verdana" w:hAnsi="Verdana" w:cs="Verdana"/>
          <w:color w:val="156082"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37A0617B" w14:textId="77777777" w:rsidR="00AC377F" w:rsidRPr="00116940" w:rsidRDefault="00AC377F" w:rsidP="00AC377F">
      <w:pPr>
        <w:pStyle w:val="Prrafodelista"/>
        <w:numPr>
          <w:ilvl w:val="0"/>
          <w:numId w:val="1"/>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9">
        <w:r w:rsidRPr="00116940">
          <w:rPr>
            <w:rStyle w:val="Hipervnculo"/>
            <w:rFonts w:ascii="Verdana" w:eastAsia="Verdana" w:hAnsi="Verdana" w:cs="Verdana"/>
            <w:lang w:val="es-MX"/>
          </w:rPr>
          <w:t>ventanilladeradicacion@colombiacompra.gov.co</w:t>
        </w:r>
      </w:hyperlink>
    </w:p>
    <w:p w14:paraId="1EC8709F" w14:textId="77777777" w:rsidR="00AC377F" w:rsidRPr="00116940" w:rsidRDefault="00AC377F" w:rsidP="00AC377F">
      <w:pPr>
        <w:pStyle w:val="Prrafodelista"/>
        <w:numPr>
          <w:ilvl w:val="0"/>
          <w:numId w:val="1"/>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20">
        <w:r w:rsidRPr="00116940">
          <w:rPr>
            <w:rStyle w:val="Hipervnculo"/>
            <w:rFonts w:ascii="Verdana" w:eastAsia="Verdana" w:hAnsi="Verdana" w:cs="Verdana"/>
            <w:lang w:val="es-MX"/>
          </w:rPr>
          <w:t>https://www.colombiacompra.gov.co/pqrsd/informacion-importante-antes-de-formular-una-pqrsd</w:t>
        </w:r>
      </w:hyperlink>
    </w:p>
    <w:p w14:paraId="0A953B70" w14:textId="77777777" w:rsidR="00AC377F" w:rsidRPr="00116940" w:rsidRDefault="00AC377F" w:rsidP="00AC377F">
      <w:pPr>
        <w:spacing w:after="0" w:line="276" w:lineRule="auto"/>
        <w:ind w:left="720"/>
        <w:jc w:val="both"/>
        <w:rPr>
          <w:rFonts w:ascii="Verdana" w:hAnsi="Verdana"/>
        </w:rPr>
      </w:pPr>
    </w:p>
    <w:p w14:paraId="1A15E998" w14:textId="77777777" w:rsidR="00AC377F" w:rsidRPr="00116940" w:rsidRDefault="00AC377F" w:rsidP="00AC377F">
      <w:pPr>
        <w:spacing w:after="0" w:line="276" w:lineRule="auto"/>
        <w:rPr>
          <w:rFonts w:ascii="Verdana" w:hAnsi="Verdana"/>
        </w:rPr>
      </w:pPr>
      <w:r w:rsidRPr="00116940">
        <w:rPr>
          <w:rFonts w:ascii="Verdana" w:hAnsi="Verdana"/>
        </w:rPr>
        <w:t>Evalúa el servicio que ofrece la Agencia por el canal de atención de PQRSD en el siguiente enlace :</w:t>
      </w:r>
      <w:hyperlink r:id="rId21" w:tgtFrame="_blank" w:tooltip="https://forms.office.com/r/pphywvs2sz" w:history="1">
        <w:r w:rsidRPr="004A645D">
          <w:rPr>
            <w:rStyle w:val="Hipervnculo"/>
            <w:rFonts w:ascii="Verdana" w:hAnsi="Verdana"/>
          </w:rPr>
          <w:t>https://forms.office.com/r/pPHyWVs2SZ</w:t>
        </w:r>
      </w:hyperlink>
      <w:r w:rsidRPr="00116940">
        <w:rPr>
          <w:rFonts w:ascii="Verdana" w:hAnsi="Verdana"/>
        </w:rPr>
        <w:t xml:space="preserve"> .¡Ayúdanos a mejorar porque el compromiso es de todos!</w:t>
      </w:r>
    </w:p>
    <w:p w14:paraId="55AF1EA5" w14:textId="77777777" w:rsidR="00AC377F" w:rsidRPr="00116940" w:rsidRDefault="00AC377F" w:rsidP="00AC377F">
      <w:pPr>
        <w:spacing w:after="0" w:line="276" w:lineRule="auto"/>
        <w:rPr>
          <w:rFonts w:ascii="Verdana" w:hAnsi="Verdana"/>
        </w:rPr>
      </w:pPr>
    </w:p>
    <w:p w14:paraId="3A378326" w14:textId="77777777" w:rsidR="00AC377F" w:rsidRPr="00116940" w:rsidRDefault="00AC377F" w:rsidP="00AC377F">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7EAF0F29" w14:textId="77777777" w:rsidR="00AC377F" w:rsidRPr="00116940" w:rsidRDefault="00AC377F" w:rsidP="00AC377F">
      <w:pPr>
        <w:spacing w:after="0" w:line="276" w:lineRule="auto"/>
        <w:jc w:val="both"/>
        <w:rPr>
          <w:rFonts w:ascii="Verdana" w:hAnsi="Verdana"/>
        </w:rPr>
      </w:pPr>
    </w:p>
    <w:p w14:paraId="1CE5873E" w14:textId="77777777" w:rsidR="00AC377F" w:rsidRPr="00116940" w:rsidRDefault="00AC377F" w:rsidP="00AC377F">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2C820601" w14:textId="77777777" w:rsidR="00AC377F" w:rsidRPr="00116940" w:rsidRDefault="00AC377F" w:rsidP="00AC377F">
      <w:pPr>
        <w:spacing w:after="0" w:line="276" w:lineRule="auto"/>
        <w:jc w:val="both"/>
        <w:rPr>
          <w:rFonts w:ascii="Verdana" w:hAnsi="Verdana"/>
        </w:rPr>
      </w:pPr>
      <w:r w:rsidRPr="00116940">
        <w:rPr>
          <w:rFonts w:ascii="Verdana" w:hAnsi="Verdana"/>
        </w:rPr>
        <w:t xml:space="preserve">Facebook: </w:t>
      </w:r>
      <w:r w:rsidRPr="00116940">
        <w:rPr>
          <w:rStyle w:val="Hipervnculo"/>
          <w:rFonts w:ascii="Verdana" w:hAnsi="Verdana"/>
        </w:rPr>
        <w:t>ColombiaCompraEficiente</w:t>
      </w:r>
    </w:p>
    <w:p w14:paraId="132D1BD9" w14:textId="77777777" w:rsidR="00AC377F" w:rsidRPr="00116940" w:rsidRDefault="00AC377F" w:rsidP="00AC377F">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4492123F" w14:textId="77777777" w:rsidR="00AC377F" w:rsidRPr="00116940" w:rsidRDefault="00AC377F" w:rsidP="00AC377F">
      <w:pPr>
        <w:spacing w:after="0" w:line="276" w:lineRule="auto"/>
        <w:jc w:val="both"/>
        <w:rPr>
          <w:rFonts w:ascii="Verdana" w:hAnsi="Verdana"/>
        </w:rPr>
      </w:pPr>
    </w:p>
    <w:p w14:paraId="32D2E07E" w14:textId="77777777" w:rsidR="00AC377F" w:rsidRPr="009037F6" w:rsidRDefault="00AC377F" w:rsidP="00AC377F">
      <w:pPr>
        <w:spacing w:after="0" w:line="27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5EFB00F0" w14:textId="77777777" w:rsidR="00AC377F" w:rsidRPr="00DB2A80" w:rsidRDefault="00AC377F" w:rsidP="00AC377F">
      <w:pPr>
        <w:spacing w:after="0" w:line="276" w:lineRule="auto"/>
        <w:jc w:val="both"/>
        <w:rPr>
          <w:rFonts w:ascii="Verdana" w:eastAsia="Calibri" w:hAnsi="Verdana" w:cs="Times New Roman"/>
        </w:rPr>
      </w:pPr>
    </w:p>
    <w:bookmarkEnd w:id="0"/>
    <w:p w14:paraId="5E5FD5BF" w14:textId="77777777" w:rsidR="00AC377F" w:rsidRPr="00593A5F" w:rsidRDefault="00AC377F" w:rsidP="00AC377F">
      <w:pPr>
        <w:spacing w:after="0" w:line="276"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0AD6C64F" w14:textId="013ADEAE" w:rsidR="002B1DE5" w:rsidRPr="002B1DE5" w:rsidRDefault="002B1DE5" w:rsidP="002B1DE5">
      <w:pPr>
        <w:spacing w:line="276" w:lineRule="auto"/>
        <w:jc w:val="center"/>
        <w:rPr>
          <w:rFonts w:ascii="Verdana" w:hAnsi="Verdana" w:cs="Arial"/>
          <w:color w:val="000000"/>
          <w:lang w:eastAsia="es-CO"/>
        </w:rPr>
      </w:pPr>
      <w:r w:rsidRPr="002B1DE5">
        <w:rPr>
          <w:rFonts w:ascii="Verdana" w:hAnsi="Verdana" w:cs="Arial"/>
          <w:noProof/>
          <w:color w:val="000000"/>
          <w:lang w:eastAsia="es-CO"/>
        </w:rPr>
        <w:drawing>
          <wp:inline distT="0" distB="0" distL="0" distR="0" wp14:anchorId="1EED25FB" wp14:editId="4804F514">
            <wp:extent cx="3771900" cy="1403350"/>
            <wp:effectExtent l="0" t="0" r="0" b="6350"/>
            <wp:docPr id="156369738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1900" cy="1403350"/>
                    </a:xfrm>
                    <a:prstGeom prst="rect">
                      <a:avLst/>
                    </a:prstGeom>
                    <a:noFill/>
                    <a:ln>
                      <a:noFill/>
                    </a:ln>
                  </pic:spPr>
                </pic:pic>
              </a:graphicData>
            </a:graphic>
          </wp:inline>
        </w:drawing>
      </w:r>
    </w:p>
    <w:p w14:paraId="1D97E312" w14:textId="0D186453" w:rsidR="00AC377F" w:rsidRPr="00593A5F" w:rsidRDefault="00AC377F" w:rsidP="00AC377F">
      <w:pPr>
        <w:spacing w:line="276" w:lineRule="auto"/>
        <w:jc w:val="center"/>
        <w:rPr>
          <w:rFonts w:ascii="Verdana" w:hAnsi="Verdana" w:cs="Arial"/>
          <w:color w:val="000000"/>
          <w:lang w:val="es-ES_tradnl"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AC377F" w:rsidRPr="007A0E81" w14:paraId="447E13BE" w14:textId="77777777" w:rsidTr="00C93A5F">
        <w:trPr>
          <w:trHeight w:val="315"/>
        </w:trPr>
        <w:tc>
          <w:tcPr>
            <w:tcW w:w="893" w:type="dxa"/>
            <w:vAlign w:val="center"/>
            <w:hideMark/>
          </w:tcPr>
          <w:p w14:paraId="66EEE57B" w14:textId="77777777" w:rsidR="00AC377F" w:rsidRPr="007A0E81" w:rsidRDefault="00AC377F" w:rsidP="00C93A5F">
            <w:pPr>
              <w:spacing w:line="276" w:lineRule="auto"/>
              <w:rPr>
                <w:rFonts w:ascii="Verdana" w:eastAsia="Times New Roman" w:hAnsi="Verdana" w:cs="Arial"/>
                <w:color w:val="000000"/>
                <w:sz w:val="16"/>
                <w:szCs w:val="16"/>
                <w:lang w:val="es-ES" w:eastAsia="es-ES"/>
              </w:rPr>
            </w:pPr>
            <w:r w:rsidRPr="007A0E81">
              <w:rPr>
                <w:rFonts w:ascii="Verdana" w:eastAsia="Times New Roman" w:hAnsi="Verdana" w:cs="Arial"/>
                <w:color w:val="000000"/>
                <w:sz w:val="16"/>
                <w:szCs w:val="16"/>
                <w:lang w:val="es-ES" w:eastAsia="es-ES"/>
              </w:rPr>
              <w:t>Elaboró:</w:t>
            </w:r>
          </w:p>
        </w:tc>
        <w:tc>
          <w:tcPr>
            <w:tcW w:w="5628" w:type="dxa"/>
            <w:tcBorders>
              <w:top w:val="nil"/>
              <w:left w:val="nil"/>
              <w:bottom w:val="dotted" w:sz="4" w:space="0" w:color="7F7F7F"/>
              <w:right w:val="nil"/>
            </w:tcBorders>
            <w:vAlign w:val="center"/>
            <w:hideMark/>
          </w:tcPr>
          <w:p w14:paraId="75E68582" w14:textId="77777777" w:rsidR="00AC377F" w:rsidRPr="0072692B" w:rsidRDefault="00AC377F" w:rsidP="00C93A5F">
            <w:pPr>
              <w:spacing w:line="276" w:lineRule="auto"/>
              <w:rPr>
                <w:rFonts w:ascii="Verdana" w:eastAsia="Arial" w:hAnsi="Verdana" w:cs="Arial"/>
                <w:color w:val="000000"/>
                <w:sz w:val="16"/>
                <w:szCs w:val="16"/>
              </w:rPr>
            </w:pPr>
            <w:r w:rsidRPr="0072692B">
              <w:rPr>
                <w:rFonts w:ascii="Verdana" w:eastAsia="Times New Roman" w:hAnsi="Verdana" w:cs="Arial"/>
                <w:color w:val="000000"/>
                <w:sz w:val="16"/>
                <w:szCs w:val="16"/>
              </w:rPr>
              <w:t>Natalia Montoya Jiménez</w:t>
            </w:r>
          </w:p>
          <w:p w14:paraId="279CC6A9" w14:textId="77777777" w:rsidR="00AC377F" w:rsidRPr="007A0E81" w:rsidRDefault="00AC377F" w:rsidP="00C93A5F">
            <w:pPr>
              <w:spacing w:line="276" w:lineRule="auto"/>
              <w:rPr>
                <w:rFonts w:ascii="Verdana" w:eastAsia="Arial" w:hAnsi="Verdana" w:cs="Arial"/>
                <w:color w:val="000000"/>
                <w:sz w:val="16"/>
                <w:szCs w:val="16"/>
              </w:rPr>
            </w:pPr>
            <w:r>
              <w:rPr>
                <w:rFonts w:ascii="Verdana" w:eastAsia="Arial" w:hAnsi="Verdana" w:cs="Arial"/>
                <w:color w:val="000000"/>
                <w:sz w:val="16"/>
                <w:szCs w:val="16"/>
              </w:rPr>
              <w:t xml:space="preserve">Gestor T1 15 </w:t>
            </w:r>
            <w:r w:rsidRPr="007A0E81">
              <w:rPr>
                <w:rFonts w:ascii="Verdana" w:eastAsia="Arial" w:hAnsi="Verdana" w:cs="Arial"/>
                <w:color w:val="000000"/>
                <w:sz w:val="16"/>
                <w:szCs w:val="16"/>
              </w:rPr>
              <w:t>de la Subdirección de Gestión Contractual</w:t>
            </w:r>
          </w:p>
        </w:tc>
      </w:tr>
      <w:tr w:rsidR="00AC377F" w:rsidRPr="007A0E81" w14:paraId="56E98DC8" w14:textId="77777777" w:rsidTr="00C93A5F">
        <w:trPr>
          <w:trHeight w:val="330"/>
        </w:trPr>
        <w:tc>
          <w:tcPr>
            <w:tcW w:w="893" w:type="dxa"/>
            <w:vAlign w:val="center"/>
            <w:hideMark/>
          </w:tcPr>
          <w:p w14:paraId="33C82B67" w14:textId="77777777" w:rsidR="00AC377F" w:rsidRPr="007A0E81" w:rsidRDefault="00AC377F" w:rsidP="00C93A5F">
            <w:pPr>
              <w:spacing w:line="276" w:lineRule="auto"/>
              <w:rPr>
                <w:rFonts w:ascii="Verdana" w:eastAsia="Times New Roman" w:hAnsi="Verdana" w:cs="Arial"/>
                <w:color w:val="000000"/>
                <w:sz w:val="16"/>
                <w:szCs w:val="16"/>
                <w:lang w:val="es-ES" w:eastAsia="es-ES"/>
              </w:rPr>
            </w:pPr>
            <w:r w:rsidRPr="007A0E81">
              <w:rPr>
                <w:rFonts w:ascii="Verdana" w:eastAsia="Times New Roman" w:hAnsi="Verdana" w:cs="Arial"/>
                <w:color w:val="000000"/>
                <w:sz w:val="16"/>
                <w:szCs w:val="16"/>
                <w:lang w:val="es-ES" w:eastAsia="es-ES"/>
              </w:rPr>
              <w:t>Revisó:</w:t>
            </w:r>
          </w:p>
        </w:tc>
        <w:tc>
          <w:tcPr>
            <w:tcW w:w="5628" w:type="dxa"/>
            <w:tcBorders>
              <w:top w:val="dotted" w:sz="4" w:space="0" w:color="7F7F7F"/>
              <w:left w:val="nil"/>
              <w:bottom w:val="dotted" w:sz="4" w:space="0" w:color="7F7F7F"/>
              <w:right w:val="nil"/>
            </w:tcBorders>
            <w:vAlign w:val="center"/>
            <w:hideMark/>
          </w:tcPr>
          <w:p w14:paraId="2135DDEB" w14:textId="77777777" w:rsidR="00AC377F" w:rsidRPr="000E3649" w:rsidRDefault="00AC377F" w:rsidP="00C93A5F">
            <w:pPr>
              <w:spacing w:line="276" w:lineRule="auto"/>
              <w:rPr>
                <w:rFonts w:ascii="Verdana" w:eastAsia="Times New Roman" w:hAnsi="Verdana" w:cs="Arial"/>
                <w:color w:val="000000"/>
                <w:sz w:val="16"/>
                <w:szCs w:val="16"/>
              </w:rPr>
            </w:pPr>
            <w:r w:rsidRPr="000E3649">
              <w:rPr>
                <w:rFonts w:ascii="Verdana" w:eastAsia="Times New Roman" w:hAnsi="Verdana" w:cs="Arial"/>
                <w:color w:val="000000"/>
                <w:sz w:val="16"/>
                <w:szCs w:val="16"/>
              </w:rPr>
              <w:t>D</w:t>
            </w:r>
            <w:r w:rsidRPr="000E3649">
              <w:rPr>
                <w:rFonts w:ascii="Verdana" w:eastAsia="Times New Roman" w:hAnsi="Verdana"/>
                <w:color w:val="000000"/>
                <w:sz w:val="16"/>
                <w:szCs w:val="16"/>
              </w:rPr>
              <w:t>iana Lucia Saavedra</w:t>
            </w:r>
            <w:r>
              <w:rPr>
                <w:rFonts w:ascii="Verdana" w:eastAsia="Times New Roman" w:hAnsi="Verdana"/>
                <w:color w:val="000000"/>
                <w:sz w:val="16"/>
                <w:szCs w:val="16"/>
              </w:rPr>
              <w:t xml:space="preserve"> Castañeda</w:t>
            </w:r>
          </w:p>
          <w:p w14:paraId="2A8F4F7F" w14:textId="77777777" w:rsidR="00AC377F" w:rsidRPr="007A0E81" w:rsidRDefault="00AC377F" w:rsidP="00C93A5F">
            <w:pPr>
              <w:spacing w:line="276" w:lineRule="auto"/>
              <w:textAlignment w:val="baseline"/>
              <w:rPr>
                <w:rFonts w:ascii="Verdana" w:eastAsia="Times New Roman" w:hAnsi="Verdana" w:cs="Arial"/>
                <w:color w:val="000000"/>
                <w:sz w:val="16"/>
                <w:szCs w:val="16"/>
              </w:rPr>
            </w:pPr>
            <w:r w:rsidRPr="007A0E81">
              <w:rPr>
                <w:rFonts w:ascii="Verdana" w:eastAsia="Times New Roman" w:hAnsi="Verdana" w:cs="Arial"/>
                <w:color w:val="000000"/>
                <w:sz w:val="16"/>
                <w:szCs w:val="16"/>
              </w:rPr>
              <w:t>Contratista de la Subdirección de Gestión Contractual</w:t>
            </w:r>
          </w:p>
        </w:tc>
      </w:tr>
      <w:tr w:rsidR="00AC377F" w:rsidRPr="007A0E81" w14:paraId="1FE6C161" w14:textId="77777777" w:rsidTr="00C93A5F">
        <w:trPr>
          <w:trHeight w:val="300"/>
        </w:trPr>
        <w:tc>
          <w:tcPr>
            <w:tcW w:w="893" w:type="dxa"/>
            <w:vAlign w:val="center"/>
          </w:tcPr>
          <w:p w14:paraId="58F118E8" w14:textId="77777777" w:rsidR="00AC377F" w:rsidRPr="007A0E81" w:rsidRDefault="00AC377F" w:rsidP="00C93A5F">
            <w:pPr>
              <w:spacing w:line="276" w:lineRule="auto"/>
              <w:rPr>
                <w:rFonts w:ascii="Verdana" w:eastAsia="Times New Roman" w:hAnsi="Verdana" w:cs="Arial"/>
                <w:color w:val="000000"/>
                <w:sz w:val="16"/>
                <w:szCs w:val="16"/>
                <w:lang w:val="es-ES" w:eastAsia="es-ES"/>
              </w:rPr>
            </w:pPr>
            <w:r w:rsidRPr="007A0E81">
              <w:rPr>
                <w:rFonts w:ascii="Verdana" w:eastAsia="Times New Roman" w:hAnsi="Verdana" w:cs="Arial"/>
                <w:color w:val="000000"/>
                <w:sz w:val="16"/>
                <w:szCs w:val="16"/>
                <w:lang w:val="es-ES" w:eastAsia="es-ES"/>
              </w:rPr>
              <w:t>Aprobó:</w:t>
            </w:r>
          </w:p>
        </w:tc>
        <w:tc>
          <w:tcPr>
            <w:tcW w:w="5628" w:type="dxa"/>
            <w:tcBorders>
              <w:top w:val="dotted" w:sz="4" w:space="0" w:color="7F7F7F"/>
              <w:left w:val="nil"/>
              <w:bottom w:val="dotted" w:sz="4" w:space="0" w:color="7F7F7F"/>
              <w:right w:val="nil"/>
            </w:tcBorders>
            <w:vAlign w:val="center"/>
          </w:tcPr>
          <w:p w14:paraId="345561A9" w14:textId="77777777" w:rsidR="00AC377F" w:rsidRPr="0074571F" w:rsidRDefault="00AC377F" w:rsidP="00C93A5F">
            <w:pPr>
              <w:pStyle w:val="Sinespaciado"/>
              <w:rPr>
                <w:rFonts w:ascii="Verdana" w:eastAsia="Times New Roman" w:hAnsi="Verdana" w:cs="Arial"/>
                <w:color w:val="000000"/>
                <w:sz w:val="16"/>
                <w:szCs w:val="16"/>
                <w:lang w:val="es-CO"/>
              </w:rPr>
            </w:pPr>
            <w:r>
              <w:rPr>
                <w:rFonts w:ascii="Verdana" w:eastAsia="Times New Roman" w:hAnsi="Verdana" w:cs="Arial"/>
                <w:color w:val="000000"/>
                <w:sz w:val="16"/>
                <w:szCs w:val="16"/>
                <w:lang w:val="es-CO"/>
              </w:rPr>
              <w:t>Carolina Quintero Gacharná</w:t>
            </w:r>
          </w:p>
          <w:p w14:paraId="4A906104" w14:textId="77777777" w:rsidR="00AC377F" w:rsidRPr="007A0E81" w:rsidRDefault="00AC377F" w:rsidP="00C93A5F">
            <w:pPr>
              <w:spacing w:line="276" w:lineRule="auto"/>
              <w:rPr>
                <w:rFonts w:ascii="Verdana" w:eastAsia="Times New Roman" w:hAnsi="Verdana" w:cs="Arial"/>
                <w:color w:val="000000"/>
                <w:sz w:val="16"/>
                <w:szCs w:val="16"/>
              </w:rPr>
            </w:pPr>
            <w:r w:rsidRPr="0074571F">
              <w:rPr>
                <w:rFonts w:ascii="Verdana" w:eastAsia="Times New Roman" w:hAnsi="Verdana" w:cs="Arial"/>
                <w:color w:val="000000"/>
                <w:sz w:val="16"/>
                <w:szCs w:val="16"/>
              </w:rPr>
              <w:t>Subdirectora de Gestión Contractual</w:t>
            </w:r>
            <w:r w:rsidRPr="00E60303">
              <w:rPr>
                <w:rFonts w:ascii="Verdana" w:hAnsi="Verdana"/>
                <w:sz w:val="14"/>
                <w:szCs w:val="14"/>
                <w:lang w:eastAsia="es-ES"/>
              </w:rPr>
              <w:t> </w:t>
            </w:r>
          </w:p>
        </w:tc>
      </w:tr>
    </w:tbl>
    <w:p w14:paraId="7295616E" w14:textId="7480D280" w:rsidR="00AC377F" w:rsidRPr="00854F08" w:rsidRDefault="00AC377F" w:rsidP="00AC377F"/>
    <w:p w14:paraId="67C7A5D4" w14:textId="77777777" w:rsidR="00AC377F" w:rsidRDefault="00AC377F" w:rsidP="00AC377F"/>
    <w:p w14:paraId="7131B35E" w14:textId="77777777" w:rsidR="00AC377F" w:rsidRDefault="00AC377F" w:rsidP="00AC377F">
      <w:pPr>
        <w:spacing w:after="0" w:line="256" w:lineRule="auto"/>
        <w:jc w:val="both"/>
      </w:pPr>
    </w:p>
    <w:p w14:paraId="1ABB18EF" w14:textId="77777777" w:rsidR="00AC377F" w:rsidRPr="00C154E4" w:rsidRDefault="00AC377F" w:rsidP="00AC377F"/>
    <w:p w14:paraId="4F4C73A0" w14:textId="77777777" w:rsidR="002D6822" w:rsidRDefault="002D6822"/>
    <w:sectPr w:rsidR="002D6822" w:rsidSect="00AC377F">
      <w:headerReference w:type="default" r:id="rId23"/>
      <w:footerReference w:type="default" r:id="rId2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8CB18" w14:textId="77777777" w:rsidR="006F001E" w:rsidRDefault="006F001E" w:rsidP="00AC377F">
      <w:pPr>
        <w:spacing w:after="0" w:line="240" w:lineRule="auto"/>
      </w:pPr>
      <w:r>
        <w:separator/>
      </w:r>
    </w:p>
  </w:endnote>
  <w:endnote w:type="continuationSeparator" w:id="0">
    <w:p w14:paraId="302E7432" w14:textId="77777777" w:rsidR="006F001E" w:rsidRDefault="006F001E" w:rsidP="00AC3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644A" w14:textId="77777777" w:rsidR="00AC377F" w:rsidRDefault="00AC377F">
    <w:pPr>
      <w:pStyle w:val="Piedepgina"/>
    </w:pPr>
  </w:p>
  <w:p w14:paraId="5A7C3908" w14:textId="77777777" w:rsidR="00AC377F" w:rsidRPr="00174B77" w:rsidRDefault="00AC377F"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6AA4D30D" w14:textId="77777777" w:rsidR="00AC377F" w:rsidRDefault="00AC377F"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5041902F" w14:textId="77777777" w:rsidR="00AC377F" w:rsidRPr="00E41027" w:rsidRDefault="00AC377F"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E453B94" w14:textId="77777777" w:rsidR="00AC377F" w:rsidRDefault="00AC377F"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8942D" w14:textId="77777777" w:rsidR="006F001E" w:rsidRDefault="006F001E" w:rsidP="00AC377F">
      <w:pPr>
        <w:spacing w:after="0" w:line="240" w:lineRule="auto"/>
      </w:pPr>
      <w:r>
        <w:separator/>
      </w:r>
    </w:p>
  </w:footnote>
  <w:footnote w:type="continuationSeparator" w:id="0">
    <w:p w14:paraId="62D497BA" w14:textId="77777777" w:rsidR="006F001E" w:rsidRDefault="006F001E" w:rsidP="00AC377F">
      <w:pPr>
        <w:spacing w:after="0" w:line="240" w:lineRule="auto"/>
      </w:pPr>
      <w:r>
        <w:continuationSeparator/>
      </w:r>
    </w:p>
  </w:footnote>
  <w:footnote w:id="1">
    <w:p w14:paraId="23BECDD9"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Style w:val="Refdenotaalpie"/>
          <w:rFonts w:ascii="Verdana" w:hAnsi="Verdana"/>
          <w:sz w:val="16"/>
          <w:szCs w:val="16"/>
        </w:rPr>
        <w:footnoteRef/>
      </w:r>
      <w:r w:rsidRPr="00214997">
        <w:rPr>
          <w:rFonts w:ascii="Verdana" w:hAnsi="Verdana"/>
          <w:sz w:val="16"/>
          <w:szCs w:val="16"/>
        </w:rPr>
        <w:t xml:space="preserve"> </w:t>
      </w:r>
      <w:r w:rsidRPr="00214997">
        <w:rPr>
          <w:rFonts w:ascii="Verdana" w:hAnsi="Verdana" w:cs="Arial"/>
          <w:color w:val="000000"/>
          <w:sz w:val="16"/>
          <w:szCs w:val="16"/>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w:t>
      </w:r>
    </w:p>
    <w:p w14:paraId="69EBBCFF"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Fonts w:ascii="Verdana" w:hAnsi="Verdana" w:cs="Arial"/>
          <w:color w:val="000000"/>
          <w:sz w:val="16"/>
          <w:szCs w:val="16"/>
          <w:lang w:val="es-ES"/>
        </w:rPr>
        <w:t>2. Quien presta el servicio se denomina trabajador, quien lo recibe y remunera, empleador, y la remuneración, cualquiera que sea su forma, salario”.</w:t>
      </w:r>
    </w:p>
  </w:footnote>
  <w:footnote w:id="2">
    <w:p w14:paraId="13BE6133" w14:textId="77777777" w:rsidR="00AC377F" w:rsidRPr="00337320" w:rsidRDefault="00AC377F" w:rsidP="00AC377F">
      <w:pPr>
        <w:pStyle w:val="Textonotapie"/>
        <w:ind w:firstLine="708"/>
        <w:jc w:val="both"/>
        <w:rPr>
          <w:rFonts w:ascii="Verdana" w:hAnsi="Verdana" w:cs="Arial"/>
          <w:color w:val="000000"/>
          <w:sz w:val="16"/>
          <w:szCs w:val="16"/>
          <w:lang w:val="pt-BR"/>
        </w:rPr>
      </w:pPr>
      <w:r w:rsidRPr="00214997">
        <w:rPr>
          <w:rStyle w:val="Refdenotaalpie"/>
          <w:rFonts w:ascii="Verdana" w:hAnsi="Verdana"/>
          <w:sz w:val="16"/>
          <w:szCs w:val="16"/>
        </w:rPr>
        <w:footnoteRef/>
      </w:r>
      <w:r w:rsidRPr="00337320">
        <w:rPr>
          <w:rFonts w:ascii="Verdana" w:hAnsi="Verdana"/>
          <w:sz w:val="16"/>
          <w:szCs w:val="16"/>
          <w:lang w:val="pt-BR"/>
        </w:rPr>
        <w:t xml:space="preserve"> </w:t>
      </w:r>
      <w:r w:rsidRPr="00337320">
        <w:rPr>
          <w:rFonts w:ascii="Verdana" w:hAnsi="Verdana" w:cs="Arial"/>
          <w:color w:val="000000"/>
          <w:sz w:val="16"/>
          <w:szCs w:val="16"/>
          <w:lang w:val="pt-BR"/>
        </w:rPr>
        <w:t>Corte Constitucional. Sentencia C-154 de 1997. M.P. Hernando Herrera Vergara.</w:t>
      </w:r>
    </w:p>
  </w:footnote>
  <w:footnote w:id="3">
    <w:p w14:paraId="09A39DD9" w14:textId="77777777" w:rsidR="00AC377F" w:rsidRPr="00337320" w:rsidRDefault="00AC377F" w:rsidP="00AC377F">
      <w:pPr>
        <w:spacing w:after="0"/>
        <w:ind w:firstLine="708"/>
        <w:jc w:val="both"/>
        <w:rPr>
          <w:rFonts w:ascii="Verdana" w:eastAsia="Arial Nova" w:hAnsi="Verdana" w:cs="Arial"/>
          <w:sz w:val="16"/>
          <w:szCs w:val="16"/>
          <w:lang w:val="pt-BR"/>
        </w:rPr>
      </w:pPr>
      <w:r w:rsidRPr="00214997">
        <w:rPr>
          <w:rStyle w:val="Refdenotaalpie"/>
          <w:rFonts w:ascii="Verdana" w:hAnsi="Verdana" w:cs="Arial"/>
          <w:sz w:val="16"/>
          <w:szCs w:val="16"/>
        </w:rPr>
        <w:footnoteRef/>
      </w:r>
      <w:r w:rsidRPr="00337320">
        <w:rPr>
          <w:rFonts w:ascii="Verdana" w:hAnsi="Verdana" w:cs="Arial"/>
          <w:sz w:val="16"/>
          <w:szCs w:val="16"/>
          <w:lang w:val="pt-BR"/>
        </w:rPr>
        <w:t xml:space="preserve"> </w:t>
      </w:r>
      <w:r w:rsidRPr="00337320">
        <w:rPr>
          <w:rFonts w:ascii="Verdana" w:eastAsia="Arial Nova" w:hAnsi="Verdana" w:cs="Arial"/>
          <w:sz w:val="16"/>
          <w:szCs w:val="16"/>
          <w:lang w:val="pt-BR"/>
        </w:rPr>
        <w:t xml:space="preserve">Corte Constitucional. Sentencia C-614 de 2009. M.P. Jorge Ignacio Pretelt Chaljub. </w:t>
      </w:r>
    </w:p>
  </w:footnote>
  <w:footnote w:id="4">
    <w:p w14:paraId="64EB49C6" w14:textId="77777777" w:rsidR="00AC377F" w:rsidRPr="00214997" w:rsidRDefault="00AC377F" w:rsidP="00AC377F">
      <w:pPr>
        <w:pStyle w:val="Textonotapie"/>
        <w:ind w:firstLine="708"/>
        <w:jc w:val="both"/>
        <w:rPr>
          <w:rFonts w:ascii="Verdana" w:hAnsi="Verdana" w:cs="Arial"/>
          <w:color w:val="000000"/>
          <w:sz w:val="16"/>
          <w:szCs w:val="16"/>
          <w:lang w:val="es-ES"/>
        </w:rPr>
      </w:pPr>
      <w:r w:rsidRPr="00214997">
        <w:rPr>
          <w:rStyle w:val="Refdenotaalpie"/>
          <w:rFonts w:ascii="Verdana" w:hAnsi="Verdana"/>
          <w:sz w:val="16"/>
          <w:szCs w:val="16"/>
        </w:rPr>
        <w:footnoteRef/>
      </w:r>
      <w:r w:rsidRPr="00337320">
        <w:rPr>
          <w:rFonts w:ascii="Verdana" w:hAnsi="Verdana"/>
          <w:sz w:val="16"/>
          <w:szCs w:val="16"/>
          <w:lang w:val="pt-BR"/>
        </w:rPr>
        <w:t xml:space="preserve"> </w:t>
      </w:r>
      <w:r w:rsidRPr="00337320">
        <w:rPr>
          <w:rFonts w:ascii="Verdana" w:hAnsi="Verdana" w:cs="Arial"/>
          <w:color w:val="000000"/>
          <w:sz w:val="16"/>
          <w:szCs w:val="16"/>
          <w:lang w:val="pt-BR"/>
        </w:rPr>
        <w:t xml:space="preserve">Corte Constitucional. Sentencia C-154 de 1997. </w:t>
      </w:r>
      <w:r w:rsidRPr="00214997">
        <w:rPr>
          <w:rFonts w:ascii="Verdana" w:hAnsi="Verdana" w:cs="Arial"/>
          <w:color w:val="000000"/>
          <w:sz w:val="16"/>
          <w:szCs w:val="16"/>
          <w:lang w:val="es-ES"/>
        </w:rPr>
        <w:t>Magistrado Ponente: Hernando Herrera Vergara.</w:t>
      </w:r>
    </w:p>
  </w:footnote>
  <w:footnote w:id="5">
    <w:p w14:paraId="317A16C2"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Style w:val="Refdenotaalpie"/>
          <w:rFonts w:ascii="Verdana" w:hAnsi="Verdana"/>
          <w:sz w:val="16"/>
          <w:szCs w:val="16"/>
        </w:rPr>
        <w:footnoteRef/>
      </w:r>
      <w:r w:rsidRPr="00214997">
        <w:rPr>
          <w:rFonts w:ascii="Verdana" w:hAnsi="Verdana"/>
          <w:sz w:val="16"/>
          <w:szCs w:val="16"/>
        </w:rPr>
        <w:t xml:space="preserve"> </w:t>
      </w:r>
      <w:r w:rsidRPr="00214997">
        <w:rPr>
          <w:rFonts w:ascii="Verdana" w:hAnsi="Verdana" w:cs="Arial"/>
          <w:color w:val="000000"/>
          <w:sz w:val="16"/>
          <w:szCs w:val="16"/>
          <w:lang w:val="es-ES"/>
        </w:rPr>
        <w:t>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footnote>
  <w:footnote w:id="6">
    <w:p w14:paraId="33C7E48C"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Style w:val="Refdenotaalpie"/>
          <w:rFonts w:ascii="Verdana" w:hAnsi="Verdana"/>
          <w:sz w:val="16"/>
          <w:szCs w:val="16"/>
        </w:rPr>
        <w:footnoteRef/>
      </w:r>
      <w:r w:rsidRPr="00214997">
        <w:rPr>
          <w:rFonts w:ascii="Verdana" w:hAnsi="Verdana"/>
          <w:sz w:val="16"/>
          <w:szCs w:val="16"/>
        </w:rPr>
        <w:t xml:space="preserve"> </w:t>
      </w:r>
      <w:r w:rsidRPr="00214997">
        <w:rPr>
          <w:rFonts w:ascii="Verdana" w:hAnsi="Verdana" w:cs="Arial"/>
          <w:color w:val="000000"/>
          <w:sz w:val="16"/>
          <w:szCs w:val="16"/>
          <w:lang w:val="es-ES"/>
        </w:rPr>
        <w:t>Ibíd.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1697A10F"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Fonts w:ascii="Verdana" w:hAnsi="Verdana" w:cs="Arial"/>
          <w:color w:val="000000"/>
          <w:sz w:val="16"/>
          <w:szCs w:val="16"/>
          <w:lang w:val="es-ES"/>
        </w:rPr>
        <w:t>Son también contratos de consultoría los que tienen por objeto la interventoría, asesoría, gerencia de obra o de proyectos, dirección, programación y la ejecución de diseños, planos, anteproyectos y proyectos.</w:t>
      </w:r>
    </w:p>
    <w:p w14:paraId="520A79E4"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Fonts w:ascii="Verdana" w:hAnsi="Verdana" w:cs="Arial"/>
          <w:color w:val="000000"/>
          <w:sz w:val="16"/>
          <w:szCs w:val="16"/>
          <w:lang w:val="es-ES"/>
        </w:rPr>
        <w:t xml:space="preserve">Ninguna orden del interventor de una obra podrá darse verbalmente. Es obligatorio para el interventor entregar por escrito sus órdenes o sugerencias y ellas deben enmarcarse dentro de los términos del respectivo contrato”. </w:t>
      </w:r>
    </w:p>
  </w:footnote>
  <w:footnote w:id="7">
    <w:p w14:paraId="76F2F791"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Style w:val="Refdenotaalpie"/>
          <w:rFonts w:ascii="Verdana" w:hAnsi="Verdana"/>
          <w:sz w:val="16"/>
          <w:szCs w:val="16"/>
        </w:rPr>
        <w:footnoteRef/>
      </w:r>
      <w:r w:rsidRPr="00214997">
        <w:rPr>
          <w:rFonts w:ascii="Verdana" w:hAnsi="Verdana"/>
          <w:sz w:val="16"/>
          <w:szCs w:val="16"/>
        </w:rPr>
        <w:t xml:space="preserve"> </w:t>
      </w:r>
      <w:r w:rsidRPr="00214997">
        <w:rPr>
          <w:rFonts w:ascii="Verdana" w:hAnsi="Verdana" w:cs="Arial"/>
          <w:color w:val="000000"/>
          <w:sz w:val="16"/>
          <w:szCs w:val="16"/>
          <w:lang w:val="es-ES"/>
        </w:rPr>
        <w:t>Así lo prevé el artículo 2.2.1.2.1.4.1. del Decreto 1082 de 2015: “La Entidad Estatal debe señalar en un acto administrativo la justificación para contratar bajo la modalidad de contratación directa, el cual debe contener:</w:t>
      </w:r>
    </w:p>
    <w:p w14:paraId="62106A6A"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Fonts w:ascii="Verdana" w:hAnsi="Verdana" w:cs="Arial"/>
          <w:color w:val="000000"/>
          <w:sz w:val="16"/>
          <w:szCs w:val="16"/>
          <w:lang w:val="es-ES"/>
        </w:rPr>
        <w:t>1. La causal que invoca para contratar directamente.</w:t>
      </w:r>
    </w:p>
    <w:p w14:paraId="2ACF3E59"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Fonts w:ascii="Verdana" w:hAnsi="Verdana" w:cs="Arial"/>
          <w:color w:val="000000"/>
          <w:sz w:val="16"/>
          <w:szCs w:val="16"/>
          <w:lang w:val="es-ES"/>
        </w:rPr>
        <w:t>2. El objeto del contrato.</w:t>
      </w:r>
    </w:p>
    <w:p w14:paraId="6B97AE00"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Fonts w:ascii="Verdana" w:hAnsi="Verdana" w:cs="Arial"/>
          <w:color w:val="000000"/>
          <w:sz w:val="16"/>
          <w:szCs w:val="16"/>
          <w:lang w:val="es-ES"/>
        </w:rPr>
        <w:t>3. El presupuesto para la contratación y las condiciones que exigirá al contratista.</w:t>
      </w:r>
    </w:p>
    <w:p w14:paraId="34FB35C1"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Fonts w:ascii="Verdana" w:hAnsi="Verdana" w:cs="Arial"/>
          <w:color w:val="000000"/>
          <w:sz w:val="16"/>
          <w:szCs w:val="16"/>
          <w:lang w:val="es-ES"/>
        </w:rPr>
        <w:t>4. El lugar en el cual los interesados pueden consultar los estudios y documentos previos.</w:t>
      </w:r>
    </w:p>
    <w:p w14:paraId="2449FB6A"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Fonts w:ascii="Verdana" w:hAnsi="Verdana" w:cs="Arial"/>
          <w:color w:val="000000"/>
          <w:sz w:val="16"/>
          <w:szCs w:val="16"/>
          <w:lang w:val="es-ES"/>
        </w:rPr>
        <w:t>Este acto administrativo no es necesario cuando el contrato a celebrar es de prestación de servicios profesionales y de apoyo a la gestión, y para los contratos de que tratan los literales (a) y (b) del artículo 2.2.1.2.1.4.3 del presente decreto”.</w:t>
      </w:r>
    </w:p>
  </w:footnote>
  <w:footnote w:id="8">
    <w:p w14:paraId="453EE43B"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Style w:val="Refdenotaalpie"/>
          <w:rFonts w:ascii="Verdana" w:hAnsi="Verdana"/>
          <w:sz w:val="16"/>
          <w:szCs w:val="16"/>
        </w:rPr>
        <w:footnoteRef/>
      </w:r>
      <w:r w:rsidRPr="00214997">
        <w:rPr>
          <w:rFonts w:ascii="Verdana" w:hAnsi="Verdana"/>
          <w:sz w:val="16"/>
          <w:szCs w:val="16"/>
        </w:rPr>
        <w:t xml:space="preserve"> </w:t>
      </w:r>
      <w:r w:rsidRPr="00214997">
        <w:rPr>
          <w:rFonts w:ascii="Verdana" w:hAnsi="Verdana" w:cs="Arial"/>
          <w:color w:val="000000"/>
          <w:sz w:val="16"/>
          <w:szCs w:val="16"/>
          <w:lang w:val="es-ES"/>
        </w:rPr>
        <w:t>Esta norma expresa: “</w:t>
      </w:r>
      <w:r w:rsidRPr="00214997">
        <w:rPr>
          <w:rFonts w:ascii="Verdana" w:hAnsi="Verdana" w:cs="Arial"/>
          <w:color w:val="000000"/>
          <w:sz w:val="16"/>
          <w:szCs w:val="16"/>
        </w:rPr>
        <w:t>P</w:t>
      </w:r>
      <w:r w:rsidRPr="00214997">
        <w:rPr>
          <w:rFonts w:ascii="Verdana" w:hAnsi="Verdana" w:cs="Arial"/>
          <w:color w:val="000000"/>
          <w:sz w:val="16"/>
          <w:szCs w:val="16"/>
          <w:lang w:val="es-ES"/>
        </w:rPr>
        <w:t>ara el cumplimiento de los fines de la contratación, las entidades estatales al celebrar un contrato:</w:t>
      </w:r>
    </w:p>
    <w:p w14:paraId="18C6734B"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Fonts w:ascii="Verdana" w:hAnsi="Verdana" w:cs="Arial"/>
          <w:color w:val="000000"/>
          <w:sz w:val="16"/>
          <w:szCs w:val="16"/>
          <w:lang w:val="es-ES"/>
        </w:rPr>
        <w:t>[…]</w:t>
      </w:r>
    </w:p>
    <w:p w14:paraId="1041BF25"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Fonts w:ascii="Verdana" w:hAnsi="Verdana" w:cs="Arial"/>
          <w:color w:val="000000"/>
          <w:sz w:val="16"/>
          <w:szCs w:val="16"/>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454E9913"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Fonts w:ascii="Verdana" w:hAnsi="Verdana" w:cs="Arial"/>
          <w:color w:val="000000"/>
          <w:sz w:val="16"/>
          <w:szCs w:val="16"/>
          <w:lang w:val="es-ES"/>
        </w:rPr>
        <w:t>Las entidades estatales podrán pactar estas cláusulas en los contratos de suministro y de prestación de servicios.</w:t>
      </w:r>
    </w:p>
    <w:p w14:paraId="7353554D"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Fonts w:ascii="Verdana" w:hAnsi="Verdana" w:cs="Arial"/>
          <w:color w:val="000000"/>
          <w:sz w:val="16"/>
          <w:szCs w:val="16"/>
          <w:lang w:val="es-ES"/>
        </w:rPr>
        <w:t>[…]”.</w:t>
      </w:r>
    </w:p>
  </w:footnote>
  <w:footnote w:id="9">
    <w:p w14:paraId="5EFC5E49" w14:textId="77777777" w:rsidR="00AC377F" w:rsidRPr="00214997" w:rsidRDefault="00AC377F" w:rsidP="00AC377F">
      <w:pPr>
        <w:pStyle w:val="Textonotapie"/>
        <w:ind w:firstLine="708"/>
        <w:jc w:val="both"/>
        <w:rPr>
          <w:rFonts w:ascii="Verdana" w:hAnsi="Verdana" w:cs="Arial"/>
          <w:color w:val="000000"/>
          <w:sz w:val="16"/>
          <w:szCs w:val="16"/>
          <w:lang w:val="es-ES"/>
        </w:rPr>
      </w:pPr>
      <w:r w:rsidRPr="00214997">
        <w:rPr>
          <w:rStyle w:val="Refdenotaalpie"/>
          <w:rFonts w:ascii="Verdana" w:hAnsi="Verdana"/>
          <w:sz w:val="16"/>
          <w:szCs w:val="16"/>
        </w:rPr>
        <w:footnoteRef/>
      </w:r>
      <w:r w:rsidRPr="00214997">
        <w:rPr>
          <w:rFonts w:ascii="Verdana" w:hAnsi="Verdana"/>
          <w:sz w:val="16"/>
          <w:szCs w:val="16"/>
        </w:rPr>
        <w:t xml:space="preserve"> </w:t>
      </w:r>
      <w:r w:rsidRPr="00214997">
        <w:rPr>
          <w:rFonts w:ascii="Verdana" w:hAnsi="Verdana" w:cs="Arial"/>
          <w:color w:val="000000"/>
          <w:sz w:val="16"/>
          <w:szCs w:val="16"/>
          <w:lang w:val="es-ES"/>
        </w:rPr>
        <w:t>La norma dispone: “La liquidación a que se refiere el presente artículo no será obligatoria en los contratos de prestación de servicios profesionales y de apoyo a la gestión”.</w:t>
      </w:r>
    </w:p>
  </w:footnote>
  <w:footnote w:id="10">
    <w:p w14:paraId="12BA0557" w14:textId="77777777" w:rsidR="00AC377F" w:rsidRPr="00214997" w:rsidRDefault="00AC377F" w:rsidP="00AC377F">
      <w:pPr>
        <w:pStyle w:val="Textonotapie"/>
        <w:ind w:firstLine="709"/>
        <w:jc w:val="both"/>
        <w:rPr>
          <w:rFonts w:ascii="Verdana" w:hAnsi="Verdana" w:cs="Arial"/>
          <w:color w:val="000000"/>
          <w:sz w:val="16"/>
          <w:szCs w:val="16"/>
        </w:rPr>
      </w:pPr>
      <w:r w:rsidRPr="00214997">
        <w:rPr>
          <w:rStyle w:val="Refdenotaalpie"/>
          <w:rFonts w:ascii="Verdana" w:hAnsi="Verdana"/>
          <w:sz w:val="16"/>
          <w:szCs w:val="16"/>
        </w:rPr>
        <w:footnoteRef/>
      </w:r>
      <w:r w:rsidRPr="00214997">
        <w:rPr>
          <w:rFonts w:ascii="Verdana" w:hAnsi="Verdana"/>
          <w:sz w:val="16"/>
          <w:szCs w:val="16"/>
        </w:rPr>
        <w:t xml:space="preserve"> </w:t>
      </w:r>
      <w:r w:rsidRPr="00214997">
        <w:rPr>
          <w:rFonts w:ascii="Verdana" w:hAnsi="Verdana" w:cs="Arial"/>
          <w:color w:val="000000"/>
          <w:sz w:val="16"/>
          <w:szCs w:val="16"/>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056BA6E3" w14:textId="77777777" w:rsidR="00AC377F" w:rsidRPr="00214997" w:rsidRDefault="00AC377F" w:rsidP="00AC377F">
      <w:pPr>
        <w:pStyle w:val="Textonotapie"/>
        <w:ind w:firstLine="709"/>
        <w:jc w:val="both"/>
        <w:rPr>
          <w:rFonts w:ascii="Verdana" w:hAnsi="Verdana" w:cs="Arial"/>
          <w:color w:val="000000"/>
          <w:sz w:val="16"/>
          <w:szCs w:val="16"/>
        </w:rPr>
      </w:pPr>
      <w:r w:rsidRPr="00214997">
        <w:rPr>
          <w:rFonts w:ascii="Verdana" w:hAnsi="Verdana" w:cs="Arial"/>
          <w:color w:val="000000"/>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0DEE027F" w14:textId="77777777" w:rsidR="00AC377F" w:rsidRPr="00214997" w:rsidRDefault="00AC377F" w:rsidP="00AC377F">
      <w:pPr>
        <w:pStyle w:val="Textonotapie"/>
        <w:ind w:firstLine="709"/>
        <w:jc w:val="both"/>
        <w:rPr>
          <w:rFonts w:ascii="Verdana" w:hAnsi="Verdana" w:cs="Arial"/>
          <w:color w:val="000000"/>
          <w:sz w:val="16"/>
          <w:szCs w:val="16"/>
        </w:rPr>
      </w:pPr>
      <w:r w:rsidRPr="00214997">
        <w:rPr>
          <w:rFonts w:ascii="Verdana" w:hAnsi="Verdana" w:cs="Arial"/>
          <w:color w:val="000000"/>
          <w:sz w:val="16"/>
          <w:szCs w:val="16"/>
        </w:rPr>
        <w:t>[…]”.</w:t>
      </w:r>
    </w:p>
  </w:footnote>
  <w:footnote w:id="11">
    <w:p w14:paraId="7EE2862B" w14:textId="77777777" w:rsidR="00AC377F" w:rsidRPr="00214997" w:rsidRDefault="00AC377F" w:rsidP="00AC377F">
      <w:pPr>
        <w:pStyle w:val="Textonotapie"/>
        <w:ind w:firstLine="709"/>
        <w:jc w:val="both"/>
        <w:rPr>
          <w:rFonts w:ascii="Verdana" w:hAnsi="Verdana" w:cs="Arial"/>
          <w:color w:val="000000"/>
          <w:sz w:val="16"/>
          <w:szCs w:val="16"/>
          <w:lang w:val="es-ES"/>
        </w:rPr>
      </w:pPr>
      <w:r w:rsidRPr="00214997">
        <w:rPr>
          <w:rStyle w:val="Refdenotaalpie"/>
          <w:rFonts w:ascii="Verdana" w:hAnsi="Verdana"/>
          <w:sz w:val="16"/>
          <w:szCs w:val="16"/>
        </w:rPr>
        <w:footnoteRef/>
      </w:r>
      <w:r w:rsidRPr="00214997">
        <w:rPr>
          <w:rFonts w:ascii="Verdana" w:hAnsi="Verdana"/>
          <w:sz w:val="16"/>
          <w:szCs w:val="16"/>
        </w:rPr>
        <w:t xml:space="preserve"> </w:t>
      </w:r>
      <w:r w:rsidRPr="00214997">
        <w:rPr>
          <w:rFonts w:ascii="Verdana" w:hAnsi="Verdana" w:cs="Arial"/>
          <w:color w:val="000000"/>
          <w:sz w:val="16"/>
          <w:szCs w:val="16"/>
          <w:lang w:val="es-ES"/>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footnote>
  <w:footnote w:id="12">
    <w:p w14:paraId="53421D20" w14:textId="77777777" w:rsidR="00AC377F" w:rsidRPr="00214997" w:rsidRDefault="00AC377F" w:rsidP="00AC377F">
      <w:pPr>
        <w:pStyle w:val="Textonotapie"/>
        <w:ind w:firstLine="708"/>
        <w:jc w:val="both"/>
        <w:rPr>
          <w:rFonts w:ascii="Verdana" w:hAnsi="Verdana"/>
          <w:sz w:val="16"/>
          <w:szCs w:val="16"/>
        </w:rPr>
      </w:pPr>
      <w:r w:rsidRPr="00214997">
        <w:rPr>
          <w:rFonts w:ascii="Verdana" w:hAnsi="Verdana"/>
          <w:sz w:val="16"/>
          <w:szCs w:val="16"/>
          <w:vertAlign w:val="superscript"/>
        </w:rPr>
        <w:footnoteRef/>
      </w:r>
      <w:r w:rsidRPr="00337320">
        <w:rPr>
          <w:rFonts w:ascii="Verdana" w:hAnsi="Verdana"/>
          <w:sz w:val="16"/>
          <w:szCs w:val="16"/>
          <w:lang w:val="pt-BR"/>
        </w:rPr>
        <w:t xml:space="preserve"> Corte Constitucional. Sentencia C-181 de 1997. </w:t>
      </w:r>
      <w:r w:rsidRPr="00214997">
        <w:rPr>
          <w:rFonts w:ascii="Verdana" w:hAnsi="Verdana"/>
          <w:sz w:val="16"/>
          <w:szCs w:val="16"/>
        </w:rPr>
        <w:t>M.P. Fabio Morón Díaz. Ver también las Sentencias C-540 de 2001, C-893 de 2003 y C-903 de 2008, entre otras.</w:t>
      </w:r>
    </w:p>
  </w:footnote>
  <w:footnote w:id="13">
    <w:p w14:paraId="2A64380E" w14:textId="77777777" w:rsidR="00AC377F" w:rsidRPr="00214997" w:rsidRDefault="00AC377F" w:rsidP="00AC377F">
      <w:pPr>
        <w:pStyle w:val="Textonotapie"/>
        <w:ind w:firstLine="708"/>
        <w:jc w:val="both"/>
        <w:rPr>
          <w:rFonts w:ascii="Verdana" w:hAnsi="Verdana"/>
          <w:sz w:val="16"/>
          <w:szCs w:val="16"/>
          <w:lang w:val="pt-BR"/>
        </w:rPr>
      </w:pPr>
      <w:r w:rsidRPr="00214997">
        <w:rPr>
          <w:rStyle w:val="Refdenotaalpie"/>
          <w:rFonts w:ascii="Verdana" w:hAnsi="Verdana"/>
          <w:sz w:val="16"/>
          <w:szCs w:val="16"/>
        </w:rPr>
        <w:footnoteRef/>
      </w:r>
      <w:r w:rsidRPr="00214997">
        <w:rPr>
          <w:rFonts w:ascii="Verdana" w:hAnsi="Verdana"/>
          <w:sz w:val="16"/>
          <w:szCs w:val="16"/>
          <w:lang w:val="pt-BR"/>
        </w:rPr>
        <w:t xml:space="preserve"> Corte Constitucional. Sentencia C-1016 de 2012. M.P. Jorge Iván Palacio.</w:t>
      </w:r>
    </w:p>
  </w:footnote>
  <w:footnote w:id="14">
    <w:p w14:paraId="61C74C59" w14:textId="77777777" w:rsidR="00AC377F" w:rsidRPr="00214997" w:rsidRDefault="00AC377F" w:rsidP="00AC377F">
      <w:pPr>
        <w:pStyle w:val="Textonotapie"/>
        <w:ind w:firstLine="709"/>
        <w:jc w:val="both"/>
        <w:rPr>
          <w:rFonts w:ascii="Verdana" w:hAnsi="Verdana" w:cs="Arial"/>
          <w:sz w:val="16"/>
          <w:szCs w:val="16"/>
        </w:rPr>
      </w:pPr>
      <w:r w:rsidRPr="00214997">
        <w:rPr>
          <w:rStyle w:val="Refdenotaalpie"/>
          <w:rFonts w:ascii="Verdana" w:hAnsi="Verdana" w:cs="Arial"/>
          <w:sz w:val="16"/>
          <w:szCs w:val="16"/>
        </w:rPr>
        <w:footnoteRef/>
      </w:r>
      <w:r w:rsidRPr="00214997">
        <w:rPr>
          <w:rFonts w:ascii="Verdana" w:hAnsi="Verdana" w:cs="Arial"/>
          <w:sz w:val="16"/>
          <w:szCs w:val="16"/>
        </w:rPr>
        <w:t xml:space="preserve"> Gaceta del Congreso de la República No. 71 del 2005.</w:t>
      </w:r>
    </w:p>
  </w:footnote>
  <w:footnote w:id="15">
    <w:p w14:paraId="35C8D550" w14:textId="77777777" w:rsidR="00AC377F" w:rsidRPr="00214997" w:rsidRDefault="00AC377F" w:rsidP="00AC377F">
      <w:pPr>
        <w:pStyle w:val="Textonotapie"/>
        <w:ind w:firstLine="709"/>
        <w:jc w:val="both"/>
        <w:rPr>
          <w:rFonts w:ascii="Verdana" w:hAnsi="Verdana" w:cs="Arial"/>
          <w:sz w:val="16"/>
          <w:szCs w:val="16"/>
          <w:lang w:val="pt-BR"/>
        </w:rPr>
      </w:pPr>
      <w:r w:rsidRPr="00214997">
        <w:rPr>
          <w:rStyle w:val="Refdenotaalpie"/>
          <w:rFonts w:ascii="Verdana" w:hAnsi="Verdana" w:cs="Arial"/>
          <w:sz w:val="16"/>
          <w:szCs w:val="16"/>
        </w:rPr>
        <w:footnoteRef/>
      </w:r>
      <w:r w:rsidRPr="00214997">
        <w:rPr>
          <w:rFonts w:ascii="Verdana" w:hAnsi="Verdana" w:cs="Arial"/>
          <w:sz w:val="16"/>
          <w:szCs w:val="16"/>
          <w:lang w:val="pt-BR"/>
        </w:rPr>
        <w:t xml:space="preserve"> Corte Constitucional, Sentencia C- 1153 de 2005, M.P. Marco Gerardo Monroy Cabra.</w:t>
      </w:r>
    </w:p>
  </w:footnote>
  <w:footnote w:id="16">
    <w:p w14:paraId="74AC35E0" w14:textId="77777777" w:rsidR="00AC377F" w:rsidRPr="00214997" w:rsidRDefault="00AC377F" w:rsidP="00AC377F">
      <w:pPr>
        <w:pStyle w:val="Textonotapie"/>
        <w:ind w:firstLine="709"/>
        <w:jc w:val="both"/>
        <w:rPr>
          <w:rFonts w:ascii="Verdana" w:hAnsi="Verdana" w:cs="Arial"/>
          <w:sz w:val="16"/>
          <w:szCs w:val="16"/>
          <w:lang w:val="pt-BR"/>
        </w:rPr>
      </w:pPr>
      <w:r w:rsidRPr="00214997">
        <w:rPr>
          <w:rStyle w:val="Refdenotaalpie"/>
          <w:rFonts w:ascii="Verdana" w:hAnsi="Verdana" w:cs="Arial"/>
          <w:sz w:val="16"/>
          <w:szCs w:val="16"/>
        </w:rPr>
        <w:footnoteRef/>
      </w:r>
      <w:r w:rsidRPr="00214997">
        <w:rPr>
          <w:rFonts w:ascii="Verdana" w:hAnsi="Verdana" w:cs="Arial"/>
          <w:sz w:val="16"/>
          <w:szCs w:val="16"/>
          <w:lang w:val="pt-BR"/>
        </w:rPr>
        <w:t xml:space="preserve"> 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footnote>
  <w:footnote w:id="17">
    <w:p w14:paraId="0D9BCE16" w14:textId="77777777" w:rsidR="00AC377F" w:rsidRPr="00214997" w:rsidRDefault="00AC377F" w:rsidP="00AC377F">
      <w:pPr>
        <w:pStyle w:val="Textonotapie"/>
        <w:ind w:firstLine="709"/>
        <w:jc w:val="both"/>
        <w:rPr>
          <w:rFonts w:ascii="Verdana" w:hAnsi="Verdana" w:cs="Arial"/>
          <w:sz w:val="16"/>
          <w:szCs w:val="16"/>
          <w:lang w:val="es-CO"/>
        </w:rPr>
      </w:pPr>
      <w:r w:rsidRPr="00214997">
        <w:rPr>
          <w:rStyle w:val="Refdenotaalpie"/>
          <w:rFonts w:ascii="Verdana" w:hAnsi="Verdana" w:cs="Arial"/>
          <w:sz w:val="16"/>
          <w:szCs w:val="16"/>
        </w:rPr>
        <w:footnoteRef/>
      </w:r>
      <w:r w:rsidRPr="00214997">
        <w:rPr>
          <w:rFonts w:ascii="Verdana" w:hAnsi="Verdana" w:cs="Arial"/>
          <w:sz w:val="16"/>
          <w:szCs w:val="16"/>
          <w:lang w:val="es-CO"/>
        </w:rPr>
        <w:t xml:space="preserve"> Consejo de Estado,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18">
    <w:p w14:paraId="2D3DD146" w14:textId="77777777" w:rsidR="00AC377F" w:rsidRPr="00214997" w:rsidRDefault="00AC377F" w:rsidP="00AC377F">
      <w:pPr>
        <w:pStyle w:val="Textonotapie"/>
        <w:ind w:firstLine="709"/>
        <w:jc w:val="both"/>
        <w:rPr>
          <w:rFonts w:ascii="Verdana" w:hAnsi="Verdana" w:cs="Arial"/>
          <w:sz w:val="16"/>
          <w:szCs w:val="16"/>
        </w:rPr>
      </w:pPr>
      <w:r w:rsidRPr="00214997">
        <w:rPr>
          <w:rStyle w:val="Refdenotaalpie"/>
          <w:rFonts w:ascii="Verdana" w:hAnsi="Verdana" w:cs="Arial"/>
          <w:sz w:val="16"/>
          <w:szCs w:val="16"/>
        </w:rPr>
        <w:footnoteRef/>
      </w:r>
      <w:r w:rsidRPr="00214997">
        <w:rPr>
          <w:rFonts w:ascii="Verdana" w:hAnsi="Verdana" w:cs="Arial"/>
          <w:sz w:val="16"/>
          <w:szCs w:val="16"/>
        </w:rPr>
        <w:t xml:space="preserve"> Consejo de Estado, Sala de Consulta y Servicio Civil de fecha 24 de julio de 2013. Rad. 2166, C. P. Álvaro Namén Vargas.  </w:t>
      </w:r>
    </w:p>
  </w:footnote>
  <w:footnote w:id="19">
    <w:p w14:paraId="37923582" w14:textId="77777777" w:rsidR="00AC377F" w:rsidRDefault="00AC377F" w:rsidP="00AC377F">
      <w:pPr>
        <w:pStyle w:val="Textonotapie"/>
        <w:ind w:firstLine="708"/>
        <w:jc w:val="both"/>
      </w:pPr>
      <w:r w:rsidRPr="00214997">
        <w:rPr>
          <w:rStyle w:val="Refdenotaalpie"/>
          <w:rFonts w:ascii="Verdana" w:hAnsi="Verdana"/>
          <w:sz w:val="16"/>
          <w:szCs w:val="16"/>
        </w:rPr>
        <w:footnoteRef/>
      </w:r>
      <w:r w:rsidRPr="00214997">
        <w:rPr>
          <w:rFonts w:ascii="Verdana" w:hAnsi="Verdana"/>
          <w:sz w:val="16"/>
          <w:szCs w:val="16"/>
        </w:rPr>
        <w:t xml:space="preserve"> Consejo de Estado, Sala de Consulta y Servicio Civil. Concepto </w:t>
      </w:r>
      <w:r w:rsidRPr="00214997">
        <w:rPr>
          <w:rFonts w:ascii="Verdana" w:hAnsi="Verdana"/>
          <w:bCs/>
          <w:sz w:val="16"/>
          <w:szCs w:val="16"/>
          <w:lang w:val="es-ES_tradnl"/>
        </w:rPr>
        <w:t>del 10 de mayo de 2001. Rad. No 1.344. C.P. Flavio Augusto Rodríguez Arce.</w:t>
      </w:r>
      <w:r>
        <w:rPr>
          <w:bCs/>
          <w:lang w:val="es-ES_tradnl"/>
        </w:rPr>
        <w:t xml:space="preserve"> </w:t>
      </w:r>
    </w:p>
  </w:footnote>
  <w:footnote w:id="20">
    <w:p w14:paraId="7F1B9636" w14:textId="77777777" w:rsidR="00AC377F" w:rsidRPr="00A60836" w:rsidRDefault="00AC377F" w:rsidP="00AC377F">
      <w:pPr>
        <w:pStyle w:val="Textonotapie"/>
        <w:ind w:firstLine="708"/>
        <w:jc w:val="both"/>
        <w:rPr>
          <w:rFonts w:ascii="Verdana" w:hAnsi="Verdana"/>
          <w:sz w:val="16"/>
          <w:szCs w:val="16"/>
          <w:lang w:val="es-CO"/>
        </w:rPr>
      </w:pPr>
      <w:r w:rsidRPr="00A60836">
        <w:rPr>
          <w:rStyle w:val="Refdenotaalpie"/>
          <w:rFonts w:ascii="Verdana" w:hAnsi="Verdana"/>
          <w:sz w:val="16"/>
          <w:szCs w:val="16"/>
        </w:rPr>
        <w:footnoteRef/>
      </w:r>
      <w:r w:rsidRPr="00A60836">
        <w:rPr>
          <w:rFonts w:ascii="Verdana" w:hAnsi="Verdana"/>
          <w:sz w:val="16"/>
          <w:szCs w:val="16"/>
        </w:rPr>
        <w:t xml:space="preserve"> </w:t>
      </w:r>
      <w:r w:rsidRPr="00A60836">
        <w:rPr>
          <w:rFonts w:ascii="Verdana" w:hAnsi="Verdana"/>
          <w:b/>
          <w:bCs/>
          <w:sz w:val="16"/>
          <w:szCs w:val="16"/>
          <w:lang w:val="es-CO"/>
        </w:rPr>
        <w:t>SEGUNDO:</w:t>
      </w:r>
      <w:r w:rsidRPr="00A60836">
        <w:rPr>
          <w:rFonts w:ascii="Verdana" w:hAnsi="Verdana"/>
          <w:sz w:val="16"/>
          <w:szCs w:val="16"/>
          <w:lang w:val="es-CO"/>
        </w:rPr>
        <w:t> Que, ante el vacío normativo al no haberse expedido la ley estatutaria que reglamente el ejercicio de la actividad política por parte de los servidores públicos,</w:t>
      </w:r>
      <w:r>
        <w:rPr>
          <w:rFonts w:ascii="Verdana" w:hAnsi="Verdana"/>
          <w:sz w:val="16"/>
          <w:szCs w:val="16"/>
          <w:lang w:val="es-CO"/>
        </w:rPr>
        <w:t xml:space="preserve"> resulta necesario acudir a la normatividad, jurisprudencia y doctrina citadas en la presente Directiva</w:t>
      </w:r>
      <w:r w:rsidRPr="00A60836">
        <w:rPr>
          <w:rFonts w:ascii="Verdana" w:hAnsi="Verdana"/>
          <w:sz w:val="16"/>
          <w:szCs w:val="16"/>
          <w:lang w:val="es-CO"/>
        </w:rPr>
        <w:t>.</w:t>
      </w:r>
    </w:p>
    <w:p w14:paraId="605E9B96" w14:textId="77777777" w:rsidR="00AC377F" w:rsidRPr="00A60836" w:rsidRDefault="00AC377F" w:rsidP="00AC377F">
      <w:pPr>
        <w:pStyle w:val="Textonotapie"/>
        <w:ind w:firstLine="708"/>
        <w:jc w:val="both"/>
        <w:rPr>
          <w:rFonts w:ascii="Verdana" w:hAnsi="Verdana"/>
          <w:sz w:val="16"/>
          <w:szCs w:val="16"/>
          <w:lang w:val="es-CO"/>
        </w:rPr>
      </w:pPr>
      <w:r w:rsidRPr="00A60836">
        <w:rPr>
          <w:rFonts w:ascii="Verdana" w:hAnsi="Verdana"/>
          <w:sz w:val="16"/>
          <w:szCs w:val="16"/>
          <w:lang w:val="es-CO"/>
        </w:rPr>
        <w:t>Dicho lo anterior, los servidores públicos</w:t>
      </w:r>
      <w:r>
        <w:rPr>
          <w:rFonts w:ascii="Verdana" w:hAnsi="Verdana"/>
          <w:sz w:val="16"/>
          <w:szCs w:val="16"/>
          <w:lang w:val="es-CO"/>
        </w:rPr>
        <w:t>, particulares que cumplen funciones públicas y quienes manejan recursos públicos</w:t>
      </w:r>
      <w:r w:rsidRPr="00A60836">
        <w:rPr>
          <w:rFonts w:ascii="Verdana" w:hAnsi="Verdana"/>
          <w:sz w:val="16"/>
          <w:szCs w:val="16"/>
          <w:lang w:val="es-CO"/>
        </w:rPr>
        <w:t xml:space="preserve"> deben abstenerse de:</w:t>
      </w:r>
    </w:p>
    <w:p w14:paraId="2883C101" w14:textId="77777777" w:rsidR="00AC377F" w:rsidRPr="00A60836" w:rsidRDefault="00AC377F" w:rsidP="00AC377F">
      <w:pPr>
        <w:pStyle w:val="Textonotapie"/>
        <w:ind w:firstLine="708"/>
        <w:jc w:val="both"/>
        <w:rPr>
          <w:rFonts w:ascii="Verdana" w:hAnsi="Verdana"/>
          <w:sz w:val="16"/>
          <w:szCs w:val="16"/>
          <w:lang w:val="es-CO"/>
        </w:rPr>
      </w:pPr>
      <w:r w:rsidRPr="00A60836">
        <w:rPr>
          <w:rFonts w:ascii="Verdana" w:hAnsi="Verdana"/>
          <w:sz w:val="16"/>
          <w:szCs w:val="16"/>
          <w:lang w:val="es-CO"/>
        </w:rPr>
        <w:t>a) Utilizar el cargo para participar en actividades de los partidos o movimientos políticos y en las controversias políticas.</w:t>
      </w:r>
    </w:p>
    <w:p w14:paraId="61901256" w14:textId="77777777" w:rsidR="00AC377F" w:rsidRPr="00A60836" w:rsidRDefault="00AC377F" w:rsidP="00AC377F">
      <w:pPr>
        <w:pStyle w:val="Textonotapie"/>
        <w:ind w:firstLine="708"/>
        <w:jc w:val="both"/>
        <w:rPr>
          <w:rFonts w:ascii="Verdana" w:hAnsi="Verdana"/>
          <w:sz w:val="16"/>
          <w:szCs w:val="16"/>
          <w:lang w:val="es-CO"/>
        </w:rPr>
      </w:pPr>
      <w:r w:rsidRPr="00A60836">
        <w:rPr>
          <w:rFonts w:ascii="Verdana" w:hAnsi="Verdana"/>
          <w:sz w:val="16"/>
          <w:szCs w:val="16"/>
          <w:lang w:val="es-CO"/>
        </w:rPr>
        <w:t>b) Acosar, presionar, o determinar en cualquier forma, a particulares o subalternos a respaldar alguna causa, campaña, controversia política o influir en procesos electorales de carácter político partidista.</w:t>
      </w:r>
    </w:p>
    <w:p w14:paraId="6F1C5850" w14:textId="77777777" w:rsidR="00AC377F" w:rsidRPr="00A60836" w:rsidRDefault="00AC377F" w:rsidP="00AC377F">
      <w:pPr>
        <w:pStyle w:val="Textonotapie"/>
        <w:ind w:firstLine="708"/>
        <w:jc w:val="both"/>
        <w:rPr>
          <w:rFonts w:ascii="Verdana" w:hAnsi="Verdana"/>
          <w:sz w:val="16"/>
          <w:szCs w:val="16"/>
          <w:lang w:val="es-CO"/>
        </w:rPr>
      </w:pPr>
      <w:r w:rsidRPr="00A60836">
        <w:rPr>
          <w:rFonts w:ascii="Verdana" w:hAnsi="Verdana"/>
          <w:sz w:val="16"/>
          <w:szCs w:val="16"/>
          <w:lang w:val="es-CO"/>
        </w:rPr>
        <w:t xml:space="preserve">c) Usar los elementos destinados al servicio 'público para hacer proselitismo o desempeñar en cualquier </w:t>
      </w:r>
      <w:r>
        <w:rPr>
          <w:rFonts w:ascii="Verdana" w:hAnsi="Verdana"/>
          <w:sz w:val="16"/>
          <w:szCs w:val="16"/>
          <w:lang w:val="es-CO"/>
        </w:rPr>
        <w:t>causa, campaña, controversia política o influir en procesos electorales de carácter político partidista.</w:t>
      </w:r>
    </w:p>
    <w:p w14:paraId="2D74E48F" w14:textId="77777777" w:rsidR="00AC377F" w:rsidRPr="00A60836" w:rsidRDefault="00AC377F" w:rsidP="00AC377F">
      <w:pPr>
        <w:pStyle w:val="Textonotapie"/>
        <w:ind w:firstLine="708"/>
        <w:jc w:val="both"/>
        <w:rPr>
          <w:rFonts w:ascii="Verdana" w:hAnsi="Verdana"/>
          <w:sz w:val="16"/>
          <w:szCs w:val="16"/>
          <w:lang w:val="es-CO"/>
        </w:rPr>
      </w:pPr>
      <w:r w:rsidRPr="00A60836">
        <w:rPr>
          <w:rFonts w:ascii="Verdana" w:hAnsi="Verdana"/>
          <w:sz w:val="16"/>
          <w:szCs w:val="16"/>
          <w:lang w:val="es-CO"/>
        </w:rPr>
        <w:t>d) Usar con los mismos fines, información reservada a la cual tenga acceso por razón de su cargo.</w:t>
      </w:r>
    </w:p>
    <w:p w14:paraId="78710036" w14:textId="77777777" w:rsidR="00AC377F" w:rsidRPr="00A60836" w:rsidRDefault="00AC377F" w:rsidP="00AC377F">
      <w:pPr>
        <w:pStyle w:val="Textonotapie"/>
        <w:ind w:firstLine="708"/>
        <w:jc w:val="both"/>
        <w:rPr>
          <w:rFonts w:ascii="Verdana" w:hAnsi="Verdana"/>
          <w:sz w:val="16"/>
          <w:szCs w:val="16"/>
          <w:lang w:val="es-CO"/>
        </w:rPr>
      </w:pPr>
      <w:r w:rsidRPr="00A60836">
        <w:rPr>
          <w:rFonts w:ascii="Verdana" w:hAnsi="Verdana"/>
          <w:sz w:val="16"/>
          <w:szCs w:val="16"/>
          <w:lang w:val="es-CO"/>
        </w:rPr>
        <w:t>e) Exonerarse del cumplimiento de sus deberes constitucionales y legales, con el pretexto de ejercer el derecho de participación en política.</w:t>
      </w:r>
    </w:p>
    <w:p w14:paraId="222215A6" w14:textId="77777777" w:rsidR="00AC377F" w:rsidRPr="00A60836" w:rsidRDefault="00AC377F" w:rsidP="00AC377F">
      <w:pPr>
        <w:pStyle w:val="Textonotapie"/>
        <w:ind w:firstLine="708"/>
        <w:jc w:val="both"/>
        <w:rPr>
          <w:rFonts w:ascii="Verdana" w:hAnsi="Verdana"/>
          <w:sz w:val="16"/>
          <w:szCs w:val="16"/>
          <w:lang w:val="es-CO"/>
        </w:rPr>
      </w:pPr>
      <w:r w:rsidRPr="00A60836">
        <w:rPr>
          <w:rFonts w:ascii="Verdana" w:hAnsi="Verdana"/>
          <w:sz w:val="16"/>
          <w:szCs w:val="16"/>
          <w:lang w:val="es-CO"/>
        </w:rPr>
        <w:t>f) Disponer del tiempo de servicio u horario de trabajo para gestionar actividades de tipo político.</w:t>
      </w:r>
    </w:p>
    <w:p w14:paraId="10A548DD" w14:textId="77777777" w:rsidR="00AC377F" w:rsidRPr="00A60836" w:rsidRDefault="00AC377F" w:rsidP="00AC377F">
      <w:pPr>
        <w:pStyle w:val="Textonotapie"/>
        <w:ind w:firstLine="708"/>
        <w:jc w:val="both"/>
        <w:rPr>
          <w:rFonts w:ascii="Verdana" w:hAnsi="Verdana"/>
          <w:sz w:val="16"/>
          <w:szCs w:val="16"/>
          <w:lang w:val="es-CO"/>
        </w:rPr>
      </w:pPr>
      <w:r w:rsidRPr="00A60836">
        <w:rPr>
          <w:rFonts w:ascii="Verdana" w:hAnsi="Verdana"/>
          <w:sz w:val="16"/>
          <w:szCs w:val="16"/>
          <w:lang w:val="es-CO"/>
        </w:rPr>
        <w:t>g) Realizar contribución al financiamiento de partidos, campaña o causa política, salvo las excepciones previstas para los miembros de las corporaciones públicas.</w:t>
      </w:r>
    </w:p>
    <w:p w14:paraId="2FE90BAC" w14:textId="77777777" w:rsidR="00AC377F" w:rsidRPr="00A60836" w:rsidRDefault="00AC377F" w:rsidP="00AC377F">
      <w:pPr>
        <w:pStyle w:val="Textonotapie"/>
        <w:ind w:firstLine="708"/>
        <w:jc w:val="both"/>
        <w:rPr>
          <w:rFonts w:ascii="Verdana" w:hAnsi="Verdana"/>
          <w:sz w:val="16"/>
          <w:szCs w:val="16"/>
          <w:lang w:val="es-CO"/>
        </w:rPr>
      </w:pPr>
      <w:r w:rsidRPr="00A60836">
        <w:rPr>
          <w:rFonts w:ascii="Verdana" w:hAnsi="Verdana"/>
          <w:sz w:val="16"/>
          <w:szCs w:val="16"/>
          <w:lang w:val="es-CO"/>
        </w:rPr>
        <w:t>h) Difundir propaganda electoral a favor o en contra de cualquier partido, agrupación o movimiento político</w:t>
      </w:r>
      <w:r>
        <w:rPr>
          <w:rFonts w:ascii="Verdana" w:hAnsi="Verdana"/>
          <w:sz w:val="16"/>
          <w:szCs w:val="16"/>
          <w:lang w:val="es-CO"/>
        </w:rPr>
        <w:t>, o candidaturas, a través de cualquier medio.</w:t>
      </w:r>
    </w:p>
    <w:p w14:paraId="1A71809B" w14:textId="77777777" w:rsidR="00AC377F" w:rsidRDefault="00AC377F" w:rsidP="00AC377F">
      <w:pPr>
        <w:pStyle w:val="Textonotapie"/>
        <w:ind w:firstLine="708"/>
        <w:jc w:val="both"/>
        <w:rPr>
          <w:rFonts w:ascii="Verdana" w:hAnsi="Verdana"/>
          <w:sz w:val="16"/>
          <w:szCs w:val="16"/>
          <w:lang w:val="es-CO"/>
        </w:rPr>
      </w:pPr>
      <w:r w:rsidRPr="00A60836">
        <w:rPr>
          <w:rFonts w:ascii="Verdana" w:hAnsi="Verdana"/>
          <w:sz w:val="16"/>
          <w:szCs w:val="16"/>
          <w:lang w:val="es-CO"/>
        </w:rPr>
        <w:t>i)</w:t>
      </w:r>
      <w:r>
        <w:rPr>
          <w:rFonts w:ascii="Verdana" w:hAnsi="Verdana"/>
          <w:sz w:val="16"/>
          <w:szCs w:val="16"/>
          <w:lang w:val="es-CO"/>
        </w:rPr>
        <w:t xml:space="preserve">Intervenir en controversias de tipo político, a través de cualquier medio. </w:t>
      </w:r>
    </w:p>
    <w:p w14:paraId="0F5F79DA" w14:textId="77777777" w:rsidR="00AC377F" w:rsidRPr="00A60836" w:rsidRDefault="00AC377F" w:rsidP="00AC377F">
      <w:pPr>
        <w:pStyle w:val="Textonotapie"/>
        <w:ind w:firstLine="708"/>
        <w:jc w:val="both"/>
        <w:rPr>
          <w:rFonts w:ascii="Verdana" w:hAnsi="Verdana"/>
          <w:sz w:val="16"/>
          <w:szCs w:val="16"/>
          <w:lang w:val="es-CO"/>
        </w:rPr>
      </w:pPr>
      <w:r>
        <w:rPr>
          <w:rFonts w:ascii="Verdana" w:hAnsi="Verdana"/>
          <w:sz w:val="16"/>
          <w:szCs w:val="16"/>
          <w:lang w:val="es-CO"/>
        </w:rPr>
        <w:t xml:space="preserve">j) </w:t>
      </w:r>
      <w:r w:rsidRPr="00A60836">
        <w:rPr>
          <w:rFonts w:ascii="Verdana" w:hAnsi="Verdana"/>
          <w:sz w:val="16"/>
          <w:szCs w:val="16"/>
          <w:lang w:val="es-CO"/>
        </w:rPr>
        <w:t>Ofrecer algún tipo de beneficio directo, particular, inmediato e indebido para los ciudadanos o para las comunidades, mediante obras o actuaciones de la administración pública, con el objeto de influir en la intención de voto.</w:t>
      </w:r>
    </w:p>
    <w:p w14:paraId="5CD254DE" w14:textId="77777777" w:rsidR="00AC377F" w:rsidRPr="00A60836" w:rsidRDefault="00AC377F" w:rsidP="00AC377F">
      <w:pPr>
        <w:pStyle w:val="Textonotapie"/>
        <w:ind w:firstLine="708"/>
        <w:jc w:val="both"/>
        <w:rPr>
          <w:rFonts w:ascii="Verdana" w:hAnsi="Verdana"/>
          <w:sz w:val="16"/>
          <w:szCs w:val="16"/>
          <w:lang w:val="es-CO"/>
        </w:rPr>
      </w:pPr>
      <w:r>
        <w:rPr>
          <w:rFonts w:ascii="Verdana" w:hAnsi="Verdana"/>
          <w:sz w:val="16"/>
          <w:szCs w:val="16"/>
          <w:lang w:val="es-CO"/>
        </w:rPr>
        <w:t>k</w:t>
      </w:r>
      <w:r w:rsidRPr="00A60836">
        <w:rPr>
          <w:rFonts w:ascii="Verdana" w:hAnsi="Verdana"/>
          <w:sz w:val="16"/>
          <w:szCs w:val="16"/>
          <w:lang w:val="es-CO"/>
        </w:rPr>
        <w:t>) Autorizar la utilización de inmuebles o bienes muebles de carácter público para actividades proselitistas.</w:t>
      </w:r>
    </w:p>
    <w:p w14:paraId="0C0EBD17" w14:textId="77777777" w:rsidR="00AC377F" w:rsidRPr="00AF4771" w:rsidRDefault="00AC377F" w:rsidP="00AC377F">
      <w:pPr>
        <w:pStyle w:val="Textonotapie"/>
        <w:ind w:firstLine="708"/>
        <w:jc w:val="both"/>
        <w:rPr>
          <w:rFonts w:ascii="Verdana" w:hAnsi="Verdana"/>
          <w:sz w:val="16"/>
          <w:szCs w:val="16"/>
          <w:lang w:val="es-CO"/>
        </w:rPr>
      </w:pPr>
      <w:r>
        <w:rPr>
          <w:rFonts w:ascii="Verdana" w:hAnsi="Verdana"/>
          <w:sz w:val="16"/>
          <w:szCs w:val="16"/>
          <w:lang w:val="es-CO"/>
        </w:rPr>
        <w:t>l</w:t>
      </w:r>
      <w:r w:rsidRPr="00A60836">
        <w:rPr>
          <w:rFonts w:ascii="Verdana" w:hAnsi="Verdana"/>
          <w:sz w:val="16"/>
          <w:szCs w:val="16"/>
          <w:lang w:val="es-CO"/>
        </w:rPr>
        <w:t>) Destinar recursos públicos para actividades de carácter proselitista, salvo los asignados por el Estado y que hagan parte del Fondo Nacional de Financiación Política.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8D92C" w14:textId="77777777" w:rsidR="00AC377F" w:rsidRDefault="00AC377F"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45A01757" wp14:editId="29AC505B">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52936E2D" wp14:editId="7CF69A3F">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33304134" w14:textId="77777777" w:rsidR="00AC377F" w:rsidRDefault="00AC377F">
    <w:pPr>
      <w:pStyle w:val="Encabezado"/>
    </w:pPr>
  </w:p>
  <w:p w14:paraId="5D424806" w14:textId="77777777" w:rsidR="00AC377F" w:rsidRPr="004A305D" w:rsidRDefault="00AC377F" w:rsidP="00B01B1A">
    <w:pPr>
      <w:spacing w:after="0" w:line="120" w:lineRule="auto"/>
      <w:rPr>
        <w:rFonts w:ascii="Century Gothic" w:eastAsia="Geo" w:hAnsi="Century Gothic" w:cs="Geo"/>
        <w:sz w:val="16"/>
        <w:szCs w:val="16"/>
        <w:lang w:eastAsia="es-CO"/>
      </w:rPr>
    </w:pPr>
  </w:p>
  <w:p w14:paraId="52D1E9BE" w14:textId="77777777" w:rsidR="00AC377F" w:rsidRDefault="00AC377F" w:rsidP="00844AE9">
    <w:pPr>
      <w:spacing w:after="0" w:line="240" w:lineRule="auto"/>
      <w:rPr>
        <w:rFonts w:ascii="Verdana" w:hAnsi="Verdana"/>
        <w:sz w:val="24"/>
        <w:szCs w:val="24"/>
      </w:rPr>
    </w:pPr>
  </w:p>
  <w:p w14:paraId="5A00F683" w14:textId="77777777" w:rsidR="00AC377F" w:rsidRPr="00C925AC" w:rsidRDefault="00AC377F" w:rsidP="00844AE9">
    <w:pPr>
      <w:spacing w:after="0" w:line="240" w:lineRule="auto"/>
      <w:rPr>
        <w:rFonts w:ascii="Verdana" w:hAnsi="Verdana"/>
        <w:sz w:val="24"/>
        <w:szCs w:val="24"/>
      </w:rPr>
    </w:pPr>
  </w:p>
  <w:p w14:paraId="71FDED48" w14:textId="77777777" w:rsidR="00AC377F" w:rsidRPr="00C925AC" w:rsidRDefault="00AC377F"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D239F"/>
    <w:multiLevelType w:val="hybridMultilevel"/>
    <w:tmpl w:val="620CC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num w:numId="1" w16cid:durableId="390349800">
    <w:abstractNumId w:val="1"/>
  </w:num>
  <w:num w:numId="2" w16cid:durableId="514727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77F"/>
    <w:rsid w:val="00177EEE"/>
    <w:rsid w:val="002900E4"/>
    <w:rsid w:val="002B1DE5"/>
    <w:rsid w:val="002D6822"/>
    <w:rsid w:val="00321E4D"/>
    <w:rsid w:val="00573127"/>
    <w:rsid w:val="006F001E"/>
    <w:rsid w:val="007A436C"/>
    <w:rsid w:val="008F478A"/>
    <w:rsid w:val="009B4EF6"/>
    <w:rsid w:val="00AC377F"/>
    <w:rsid w:val="00D3683A"/>
    <w:rsid w:val="00EC33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634C3"/>
  <w15:chartTrackingRefBased/>
  <w15:docId w15:val="{8FEF4EF6-6103-40A2-BFA5-A44B021A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77F"/>
    <w:pPr>
      <w:spacing w:line="259" w:lineRule="auto"/>
    </w:pPr>
    <w:rPr>
      <w:kern w:val="0"/>
      <w:sz w:val="22"/>
      <w:szCs w:val="22"/>
      <w14:ligatures w14:val="none"/>
    </w:rPr>
  </w:style>
  <w:style w:type="paragraph" w:styleId="Ttulo1">
    <w:name w:val="heading 1"/>
    <w:basedOn w:val="Normal"/>
    <w:next w:val="Normal"/>
    <w:link w:val="Ttulo1Car"/>
    <w:uiPriority w:val="9"/>
    <w:qFormat/>
    <w:rsid w:val="00AC3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C3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C377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C377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C377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C377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377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377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377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377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C377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C377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C377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C377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C377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377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377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377F"/>
    <w:rPr>
      <w:rFonts w:eastAsiaTheme="majorEastAsia" w:cstheme="majorBidi"/>
      <w:color w:val="272727" w:themeColor="text1" w:themeTint="D8"/>
    </w:rPr>
  </w:style>
  <w:style w:type="paragraph" w:styleId="Ttulo">
    <w:name w:val="Title"/>
    <w:basedOn w:val="Normal"/>
    <w:next w:val="Normal"/>
    <w:link w:val="TtuloCar"/>
    <w:uiPriority w:val="10"/>
    <w:qFormat/>
    <w:rsid w:val="00AC3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377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377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377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377F"/>
    <w:pPr>
      <w:spacing w:before="160"/>
      <w:jc w:val="center"/>
    </w:pPr>
    <w:rPr>
      <w:i/>
      <w:iCs/>
      <w:color w:val="404040" w:themeColor="text1" w:themeTint="BF"/>
    </w:rPr>
  </w:style>
  <w:style w:type="character" w:customStyle="1" w:styleId="CitaCar">
    <w:name w:val="Cita Car"/>
    <w:basedOn w:val="Fuentedeprrafopredeter"/>
    <w:link w:val="Cita"/>
    <w:uiPriority w:val="29"/>
    <w:rsid w:val="00AC377F"/>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AC377F"/>
    <w:pPr>
      <w:ind w:left="720"/>
      <w:contextualSpacing/>
    </w:pPr>
  </w:style>
  <w:style w:type="character" w:styleId="nfasisintenso">
    <w:name w:val="Intense Emphasis"/>
    <w:basedOn w:val="Fuentedeprrafopredeter"/>
    <w:uiPriority w:val="21"/>
    <w:qFormat/>
    <w:rsid w:val="00AC377F"/>
    <w:rPr>
      <w:i/>
      <w:iCs/>
      <w:color w:val="0F4761" w:themeColor="accent1" w:themeShade="BF"/>
    </w:rPr>
  </w:style>
  <w:style w:type="paragraph" w:styleId="Citadestacada">
    <w:name w:val="Intense Quote"/>
    <w:basedOn w:val="Normal"/>
    <w:next w:val="Normal"/>
    <w:link w:val="CitadestacadaCar"/>
    <w:uiPriority w:val="30"/>
    <w:qFormat/>
    <w:rsid w:val="00AC3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C377F"/>
    <w:rPr>
      <w:i/>
      <w:iCs/>
      <w:color w:val="0F4761" w:themeColor="accent1" w:themeShade="BF"/>
    </w:rPr>
  </w:style>
  <w:style w:type="character" w:styleId="Referenciaintensa">
    <w:name w:val="Intense Reference"/>
    <w:basedOn w:val="Fuentedeprrafopredeter"/>
    <w:uiPriority w:val="32"/>
    <w:qFormat/>
    <w:rsid w:val="00AC377F"/>
    <w:rPr>
      <w:b/>
      <w:bCs/>
      <w:smallCaps/>
      <w:color w:val="0F4761" w:themeColor="accent1" w:themeShade="BF"/>
      <w:spacing w:val="5"/>
    </w:rPr>
  </w:style>
  <w:style w:type="paragraph" w:styleId="Encabezado">
    <w:name w:val="header"/>
    <w:basedOn w:val="Normal"/>
    <w:link w:val="EncabezadoCar"/>
    <w:uiPriority w:val="99"/>
    <w:unhideWhenUsed/>
    <w:rsid w:val="00AC37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377F"/>
    <w:rPr>
      <w:kern w:val="0"/>
      <w:sz w:val="22"/>
      <w:szCs w:val="22"/>
      <w14:ligatures w14:val="none"/>
    </w:rPr>
  </w:style>
  <w:style w:type="paragraph" w:styleId="Piedepgina">
    <w:name w:val="footer"/>
    <w:basedOn w:val="Normal"/>
    <w:link w:val="PiedepginaCar"/>
    <w:uiPriority w:val="99"/>
    <w:unhideWhenUsed/>
    <w:rsid w:val="00AC37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377F"/>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AC377F"/>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AC377F"/>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AC377F"/>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AC377F"/>
    <w:rPr>
      <w:vertAlign w:val="superscript"/>
    </w:rPr>
  </w:style>
  <w:style w:type="character" w:customStyle="1" w:styleId="normaltextrun">
    <w:name w:val="normaltextrun"/>
    <w:basedOn w:val="Fuentedeprrafopredeter"/>
    <w:rsid w:val="00AC377F"/>
  </w:style>
  <w:style w:type="table" w:styleId="Tablaconcuadrcula">
    <w:name w:val="Table Grid"/>
    <w:basedOn w:val="Tablanormal"/>
    <w:uiPriority w:val="39"/>
    <w:qFormat/>
    <w:rsid w:val="00AC377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C377F"/>
    <w:rPr>
      <w:color w:val="0000FF"/>
      <w:u w:val="single"/>
    </w:rPr>
  </w:style>
  <w:style w:type="paragraph" w:customStyle="1" w:styleId="Appelnotedebasde">
    <w:name w:val="Appel note de bas de..."/>
    <w:basedOn w:val="Normal"/>
    <w:link w:val="Refdenotaalpie"/>
    <w:uiPriority w:val="99"/>
    <w:rsid w:val="00AC377F"/>
    <w:pPr>
      <w:spacing w:line="240" w:lineRule="exact"/>
    </w:pPr>
    <w:rPr>
      <w:kern w:val="2"/>
      <w:sz w:val="24"/>
      <w:szCs w:val="24"/>
      <w:vertAlign w:val="superscript"/>
      <w14:ligatures w14:val="standardContextua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C377F"/>
  </w:style>
  <w:style w:type="table" w:customStyle="1" w:styleId="Tablaconcuadrcula11">
    <w:name w:val="Tabla con cuadrícula11"/>
    <w:basedOn w:val="Tablanormal"/>
    <w:next w:val="Tablaconcuadrcula"/>
    <w:uiPriority w:val="39"/>
    <w:qFormat/>
    <w:rsid w:val="00AC377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AC377F"/>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No Indent"/>
    <w:uiPriority w:val="3"/>
    <w:qFormat/>
    <w:rsid w:val="00AC377F"/>
    <w:pPr>
      <w:spacing w:after="0" w:line="240" w:lineRule="auto"/>
    </w:pPr>
    <w:rPr>
      <w:kern w:val="0"/>
      <w:szCs w:val="22"/>
      <w:lang w:val="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ilpisalazar@gmail.com" TargetMode="External"/><Relationship Id="rId18" Type="http://schemas.openxmlformats.org/officeDocument/2006/relationships/hyperlink" Target="https://nam02.safelinks.protection.outlook.com/?url=https%3A%2F%2Fwww.colombiacompra.gov.co%2Farchivos%2Fboletin%2Fboletin-edicion-n-3-de-2026-radar-de-la-compra-publica&amp;data=05%7C02%7Cnatalia.montoya%40colombiacompra.gov.co%7C7128555136e04fa6887d08dee99e1b50%7C7b09041e245149d08cb179d5e3d8c1be%7C0%7C0%7C639205062450108660%7CUnknown%7CTWFpbGZsb3d8eyJFbXB0eU1hcGkiOnRydWUsIlYiOiIwLjAuMDAwMCIsIlAiOiJXaW4zMiIsIkFOIjoiTWFpbCIsIldUIjoyfQ%3D%3D%7C0%7C%7C%7C&amp;sdata=JBPtG%2Bonp%2BY8lDrsLvADikytZuNpMBUEkglaHvtgJUQ%3D&amp;reserve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forms.office.com/r/pPHyWVs2SZ" TargetMode="Externa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hyperlink" Target="https://nam02.safelinks.protection.outlook.com/?url=https%3A%2F%2Fwww.colombiacompra.gov.co%2Farchivos%2Fcircular%2Fcircular-externa-002-de-2026&amp;data=05%7C02%7Cnatalia.montoya%40colombiacompra.gov.co%7C7128555136e04fa6887d08dee99e1b50%7C7b09041e245149d08cb179d5e3d8c1be%7C0%7C0%7C639205062450088410%7CUnknown%7CTWFpbGZsb3d8eyJFbXB0eU1hcGkiOnRydWUsIlYiOiIwLjAuMDAwMCIsIlAiOiJXaW4zMiIsIkFOIjoiTWFpbCIsIldUIjoyfQ%3D%3D%7C0%7C%7C%7C&amp;sdata=t17%2FyzBHZ1WQJYV5XXw0A6fP6%2Fg5R%2FUHx2U6ykKcctg%3D&amp;reserved=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natalia.montoya%40colombiacompra.gov.co%7C7128555136e04fa6887d08dee99e1b50%7C7b09041e245149d08cb179d5e3d8c1be%7C0%7C0%7C639205062450067561%7CUnknown%7CTWFpbGZsb3d8eyJFbXB0eU1hcGkiOnRydWUsIlYiOiIwLjAuMDAwMCIsIlAiOiJXaW4zMiIsIkFOIjoiTWFpbCIsIldUIjoyfQ%3D%3D%7C0%7C%7C%7C&amp;sdata=1KwAou0EiQlV8YOL9Bhd0Pc%2Fq1j%2FK5U%2FZlwtuu9D2pA%3D&amp;reserved=0" TargetMode="External"/><Relationship Id="rId20" Type="http://schemas.openxmlformats.org/officeDocument/2006/relationships/hyperlink" Target="https://www.colombiacompra.gov.co/pqrsd/informacion-importante-antes-de-formular-una-pqrs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lcaldiabogota.gov.co/sisjur/normas/Norma1.jsp?i=6388"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natalia.montoya%40colombiacompra.gov.co%7C7128555136e04fa6887d08dee99e1b50%7C7b09041e245149d08cb179d5e3d8c1be%7C0%7C0%7C639205062450037018%7CUnknown%7CTWFpbGZsb3d8eyJFbXB0eU1hcGkiOnRydWUsIlYiOiIwLjAuMDAwMCIsIlAiOiJXaW4zMiIsIkFOIjoiTWFpbCIsIldUIjoyfQ%3D%3D%7C0%7C%7C%7C&amp;sdata=EAy8r5R98IFHp6RcTtQi8sFe%2BELt0mtEmpdWnOPnlKM%3D&amp;reserved=0" TargetMode="External"/><Relationship Id="rId23" Type="http://schemas.openxmlformats.org/officeDocument/2006/relationships/header" Target="header1.xml"/><Relationship Id="rId10" Type="http://schemas.openxmlformats.org/officeDocument/2006/relationships/hyperlink" Target="https://www.alcaldiabogota.gov.co/sisjur/normas/Norma1.jsp?i=70807" TargetMode="External"/><Relationship Id="rId19" Type="http://schemas.openxmlformats.org/officeDocument/2006/relationships/hyperlink" Target="mailto:ventanilladeradicacion@colombiacompra.gov.c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E81028-704F-45F3-90CC-9F471DCF933C}">
  <ds:schemaRefs>
    <ds:schemaRef ds:uri="http://schemas.microsoft.com/sharepoint/v3/contenttype/forms"/>
  </ds:schemaRefs>
</ds:datastoreItem>
</file>

<file path=customXml/itemProps2.xml><?xml version="1.0" encoding="utf-8"?>
<ds:datastoreItem xmlns:ds="http://schemas.openxmlformats.org/officeDocument/2006/customXml" ds:itemID="{AE313A75-CCA8-47C2-B277-712D54030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95E9D5-F3C7-42A7-9297-022C80CE51E1}">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8942</Words>
  <Characters>49185</Characters>
  <Application>Microsoft Office Word</Application>
  <DocSecurity>0</DocSecurity>
  <Lines>409</Lines>
  <Paragraphs>116</Paragraphs>
  <ScaleCrop>false</ScaleCrop>
  <Company/>
  <LinksUpToDate>false</LinksUpToDate>
  <CharactersWithSpaces>58011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Montoya Jiménez</dc:creator>
  <cp:keywords/>
  <dc:description/>
  <cp:lastModifiedBy>Andreina Cerpa Muñoz</cp:lastModifiedBy>
  <cp:revision>4</cp:revision>
  <dcterms:created xsi:type="dcterms:W3CDTF">2026-08-25T15:02:00Z</dcterms:created>
  <dcterms:modified xsi:type="dcterms:W3CDTF">2026-08-27T15:32:00Z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