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1CA9" w14:textId="77777777" w:rsidR="0060751B" w:rsidRDefault="0060751B" w:rsidP="0060751B">
      <w:pPr>
        <w:spacing w:line="276" w:lineRule="auto"/>
        <w:jc w:val="both"/>
        <w:rPr>
          <w:rFonts w:ascii="Verdana" w:hAnsi="Verdana" w:cs="Arial"/>
          <w:b/>
          <w:bCs/>
          <w:lang w:val="es-ES" w:eastAsia="es-ES"/>
        </w:rPr>
      </w:pPr>
      <w:r w:rsidRPr="0060751B">
        <w:rPr>
          <w:rFonts w:ascii="Verdana" w:hAnsi="Verdana" w:cs="Arial"/>
          <w:b/>
          <w:bCs/>
          <w:lang w:val="es-ES" w:eastAsia="es-ES"/>
        </w:rPr>
        <w:t>MODIFICACIÓN DE LOS CONTRATOS ESTATALES – Carácter excepcional – Límites</w:t>
      </w:r>
    </w:p>
    <w:p w14:paraId="67B13C3E" w14:textId="77777777" w:rsidR="0060751B" w:rsidRPr="0060751B" w:rsidRDefault="0060751B" w:rsidP="0060751B">
      <w:pPr>
        <w:widowControl w:val="0"/>
        <w:autoSpaceDE w:val="0"/>
        <w:autoSpaceDN w:val="0"/>
        <w:spacing w:after="0" w:line="240" w:lineRule="auto"/>
        <w:jc w:val="both"/>
        <w:rPr>
          <w:rFonts w:ascii="Verdana" w:eastAsia="Arial" w:hAnsi="Verdana" w:cs="Arial"/>
          <w:color w:val="000000"/>
          <w:sz w:val="20"/>
          <w:szCs w:val="20"/>
          <w:lang w:val="es-ES" w:eastAsia="es-ES" w:bidi="es-ES"/>
        </w:rPr>
      </w:pPr>
      <w:r w:rsidRPr="0060751B">
        <w:rPr>
          <w:rFonts w:ascii="Verdana" w:eastAsia="Arial" w:hAnsi="Verdana" w:cs="Arial"/>
          <w:color w:val="000000"/>
          <w:sz w:val="20"/>
          <w:szCs w:val="20"/>
          <w:lang w:val="es-ES" w:eastAsia="es-ES" w:bidi="es-ES"/>
        </w:rPr>
        <w:t xml:space="preserve">Según el marco jurídico y los parámetros fijados por el Consejo de Estado y la Corte Constitucional, los cuales comparte esta Agencia, es viable jurídicamente modificar los contratos estatales, pero </w:t>
      </w:r>
      <w:proofErr w:type="gramStart"/>
      <w:r w:rsidRPr="0060751B">
        <w:rPr>
          <w:rFonts w:ascii="Verdana" w:eastAsia="Arial" w:hAnsi="Verdana" w:cs="Arial"/>
          <w:color w:val="000000"/>
          <w:sz w:val="20"/>
          <w:szCs w:val="20"/>
          <w:lang w:val="es-ES" w:eastAsia="es-ES" w:bidi="es-ES"/>
        </w:rPr>
        <w:t>esta medida tienen</w:t>
      </w:r>
      <w:proofErr w:type="gramEnd"/>
      <w:r w:rsidRPr="0060751B">
        <w:rPr>
          <w:rFonts w:ascii="Verdana" w:eastAsia="Arial" w:hAnsi="Verdana" w:cs="Arial"/>
          <w:color w:val="000000"/>
          <w:sz w:val="20"/>
          <w:szCs w:val="20"/>
          <w:lang w:val="es-ES" w:eastAsia="es-ES" w:bidi="es-ES"/>
        </w:rPr>
        <w:t xml:space="preserve"> </w:t>
      </w:r>
      <w:r w:rsidRPr="0060751B">
        <w:rPr>
          <w:rFonts w:ascii="Verdana" w:eastAsia="Arial" w:hAnsi="Verdana" w:cs="Arial"/>
          <w:i/>
          <w:iCs/>
          <w:color w:val="000000"/>
          <w:sz w:val="20"/>
          <w:szCs w:val="20"/>
          <w:lang w:val="es-ES" w:eastAsia="es-ES" w:bidi="es-ES"/>
        </w:rPr>
        <w:t>carácter excepcional</w:t>
      </w:r>
      <w:r w:rsidRPr="0060751B">
        <w:rPr>
          <w:rFonts w:ascii="Verdana" w:eastAsia="Arial" w:hAnsi="Verdana" w:cs="Arial"/>
          <w:color w:val="000000"/>
          <w:sz w:val="20"/>
          <w:szCs w:val="20"/>
          <w:lang w:val="es-ES" w:eastAsia="es-ES" w:bidi="es-ES"/>
        </w:rPr>
        <w:t xml:space="preserve"> y solo procede cuando: se pretenda garantizar el interés público, la entidad haya verificado y cualquiera pueda constatar que la causa de la modificación es real y cierta, y la modificación cumpla con las limitaciones y condiciones que establezca la ley. En otras palabras, la modificación contractual encuentra sustento no solo en circunstancias fácticas propias de la ejecución del contrato, sino además debe cumplir con los principios y fines de la contratación estatal, así como con las condiciones y restricciones legales. En esta medida, las modificaciones se refieren a alteraciones, variaciones, cambios o correcciones en las condiciones y cláusulas del contrato. Estas deben ser suscritas por las partes, sujetándose a lo previsto en la ley, esto es, que se encuentren debidamente justificadas, que no sean el resultado de una indebida planeación y que consten por escrito, de tal manera que de las mismas se predique su existencia, validez y eficacia. </w:t>
      </w:r>
    </w:p>
    <w:p w14:paraId="1F0CC32A" w14:textId="77777777" w:rsidR="001B6251" w:rsidRDefault="001B6251" w:rsidP="0060751B">
      <w:pPr>
        <w:spacing w:line="276" w:lineRule="auto"/>
        <w:jc w:val="both"/>
        <w:rPr>
          <w:rFonts w:ascii="Verdana" w:hAnsi="Verdana" w:cs="Arial"/>
          <w:b/>
          <w:bCs/>
          <w:lang w:val="es-ES" w:eastAsia="es-ES"/>
        </w:rPr>
      </w:pPr>
    </w:p>
    <w:p w14:paraId="689E500B" w14:textId="2AA88BED" w:rsidR="0060751B" w:rsidRDefault="0060751B" w:rsidP="0060751B">
      <w:pPr>
        <w:spacing w:line="276" w:lineRule="auto"/>
        <w:jc w:val="both"/>
        <w:rPr>
          <w:rFonts w:ascii="Verdana" w:hAnsi="Verdana" w:cs="Arial"/>
          <w:b/>
          <w:bCs/>
          <w:lang w:val="es-ES" w:eastAsia="es-ES"/>
        </w:rPr>
      </w:pPr>
      <w:r w:rsidRPr="0060751B">
        <w:rPr>
          <w:rFonts w:ascii="Verdana" w:hAnsi="Verdana" w:cs="Arial"/>
          <w:b/>
          <w:bCs/>
          <w:lang w:val="es-ES" w:eastAsia="es-ES"/>
        </w:rPr>
        <w:t>CONTRATO DE OBRA – Estudios y diseños con posterior ejecución – Precio global – Precios unitarios</w:t>
      </w:r>
    </w:p>
    <w:p w14:paraId="6B972091" w14:textId="77777777" w:rsidR="0060751B" w:rsidRPr="0060751B" w:rsidRDefault="0060751B" w:rsidP="0060751B">
      <w:pPr>
        <w:spacing w:before="120" w:after="120" w:line="240" w:lineRule="auto"/>
        <w:jc w:val="both"/>
        <w:rPr>
          <w:rFonts w:ascii="Verdana" w:hAnsi="Verdana" w:cs="Arial"/>
          <w:color w:val="000000" w:themeColor="text1"/>
          <w:sz w:val="20"/>
          <w:szCs w:val="20"/>
        </w:rPr>
      </w:pPr>
      <w:r w:rsidRPr="0060751B">
        <w:rPr>
          <w:rFonts w:ascii="Verdana" w:hAnsi="Verdana" w:cs="Arial"/>
          <w:color w:val="000000" w:themeColor="text1"/>
          <w:sz w:val="20"/>
          <w:szCs w:val="20"/>
        </w:rPr>
        <w:t>Para este objeto puede acudirse, entre otras, a la modalidad "llave en mano". Cuando el objeto comprende el diseño y la posterior construcción, es usual y adecuado pactar la contraprestación a precio global —o global fijo o suma alzada—, pues se trata de un precio cerrado, cierto e inalterable dentro del cual el contratista asume el riesgo de la variación de las cantidades y de los precios. El esquema de precios unitarios resulta pertinente para los contratos de obra que no incluyen la elaboración de estudios y diseños, en los que el valor inicial es estimativo y el real resulta de multiplicar las cantidades ejecutadas por los precios unitarios. La decisión debe obedecer a un juicioso análisis de oportunidad y conveniencia, en armonía con los principios de la función administrativa y de la gestión fiscal.</w:t>
      </w:r>
    </w:p>
    <w:p w14:paraId="1FC954A9" w14:textId="77777777" w:rsidR="0060751B" w:rsidRPr="0060751B" w:rsidRDefault="0060751B" w:rsidP="0060751B">
      <w:pPr>
        <w:spacing w:after="120" w:line="240" w:lineRule="auto"/>
        <w:jc w:val="both"/>
        <w:rPr>
          <w:rFonts w:ascii="Verdana" w:hAnsi="Verdana" w:cs="Arial"/>
          <w:bCs/>
          <w:sz w:val="20"/>
          <w:szCs w:val="20"/>
          <w:lang w:val="es-ES"/>
        </w:rPr>
      </w:pPr>
      <w:r w:rsidRPr="0060751B">
        <w:rPr>
          <w:rFonts w:ascii="Verdana" w:eastAsia="Century Gothic" w:hAnsi="Verdana" w:cs="Century Gothic"/>
          <w:color w:val="000000" w:themeColor="text1"/>
          <w:sz w:val="20"/>
          <w:szCs w:val="20"/>
          <w:lang w:val="es-ES"/>
        </w:rPr>
        <w:t>Cuando no se establece un valor cerrado o precio global y el precio se estructura a precios unitarios —lo que sugiere la consulta al referirse a valores ajustados por unidad de medida—,</w:t>
      </w:r>
      <w:r w:rsidRPr="0060751B">
        <w:rPr>
          <w:rFonts w:ascii="Verdana" w:hAnsi="Verdana" w:cs="Arial"/>
          <w:bCs/>
          <w:sz w:val="20"/>
          <w:szCs w:val="20"/>
          <w:lang w:val="es-ES"/>
        </w:rPr>
        <w:t xml:space="preserve"> las partes establecen una suma fija por cada unidad de los trabajos que debe ejecutar el contratista, por lo que el precio –a diferencia del ajuste alzado o la suma cerrada– no se determina por la totalidad de la obra, sino por cada parte, unidad o medida. Para la doctrina, “Se trata de un sistema flexible en el precio y en la obra, por cuanto ambos solo van a queda definitivamente determinados al momento de la conclusión de las obras, circunstancia en la que recién podrán conocerse con exactitud la cantidad de unidades ejecutadas por el constructor y, del mismo modo, el precio definitivo a ser pagado por el comitente”</w:t>
      </w:r>
      <w:r w:rsidRPr="0060751B">
        <w:rPr>
          <w:rStyle w:val="Refdenotaalpie"/>
          <w:rFonts w:ascii="Verdana" w:hAnsi="Verdana" w:cs="Arial"/>
          <w:bCs/>
          <w:sz w:val="20"/>
          <w:szCs w:val="20"/>
          <w:lang w:val="es-ES"/>
        </w:rPr>
        <w:footnoteReference w:id="2"/>
      </w:r>
      <w:r w:rsidRPr="0060751B">
        <w:rPr>
          <w:rFonts w:ascii="Verdana" w:hAnsi="Verdana" w:cs="Arial"/>
          <w:bCs/>
          <w:sz w:val="20"/>
          <w:szCs w:val="20"/>
          <w:lang w:val="es-ES"/>
        </w:rPr>
        <w:t xml:space="preserve">. En este caso, también se requiere establecer </w:t>
      </w:r>
      <w:r w:rsidRPr="0060751B">
        <w:rPr>
          <w:rFonts w:ascii="Verdana" w:hAnsi="Verdana" w:cs="Arial"/>
          <w:bCs/>
          <w:sz w:val="20"/>
          <w:szCs w:val="20"/>
          <w:lang w:val="es-ES"/>
        </w:rPr>
        <w:lastRenderedPageBreak/>
        <w:t>un tope máximo para la adelantar las obras, ya que “[…] el precio total depende del conjunto de trabajos ejecutados según el presupuesto, pudiendo por tanto variar por nuevos trabajos adicionales […]”</w:t>
      </w:r>
      <w:r w:rsidRPr="0060751B">
        <w:rPr>
          <w:rStyle w:val="Refdenotaalpie"/>
          <w:rFonts w:ascii="Verdana" w:hAnsi="Verdana" w:cs="Arial"/>
          <w:bCs/>
          <w:sz w:val="20"/>
          <w:szCs w:val="20"/>
          <w:lang w:val="es-ES"/>
        </w:rPr>
        <w:footnoteReference w:id="3"/>
      </w:r>
      <w:r w:rsidRPr="0060751B">
        <w:rPr>
          <w:rFonts w:ascii="Verdana" w:hAnsi="Verdana" w:cs="Arial"/>
          <w:bCs/>
          <w:sz w:val="20"/>
          <w:szCs w:val="20"/>
          <w:lang w:val="es-ES"/>
        </w:rPr>
        <w:t xml:space="preserve">. </w:t>
      </w:r>
    </w:p>
    <w:p w14:paraId="5102983C" w14:textId="213CF852" w:rsidR="0060751B" w:rsidRDefault="0060751B" w:rsidP="00DF099B">
      <w:pPr>
        <w:spacing w:after="120"/>
        <w:jc w:val="both"/>
        <w:rPr>
          <w:rFonts w:ascii="Verdana" w:hAnsi="Verdana" w:cs="Arial"/>
          <w:bCs/>
          <w:sz w:val="20"/>
          <w:szCs w:val="20"/>
          <w:lang w:eastAsia="es-ES_tradnl"/>
        </w:rPr>
      </w:pPr>
      <w:r w:rsidRPr="0060751B">
        <w:rPr>
          <w:rFonts w:ascii="Verdana" w:hAnsi="Verdana" w:cs="Arial"/>
          <w:bCs/>
          <w:sz w:val="20"/>
          <w:szCs w:val="20"/>
          <w:lang w:val="es-ES" w:eastAsia="es-ES_tradnl"/>
        </w:rPr>
        <w:t xml:space="preserve">En esta modalidad de establecimiento del precio, y por la misma naturaleza del contrato que impide definir con certeza su valor real, se establecen unas </w:t>
      </w:r>
      <w:r w:rsidRPr="0060751B">
        <w:rPr>
          <w:rFonts w:ascii="Verdana" w:hAnsi="Verdana" w:cs="Arial"/>
          <w:bCs/>
          <w:i/>
          <w:iCs/>
          <w:sz w:val="20"/>
          <w:szCs w:val="20"/>
          <w:lang w:val="es-ES" w:eastAsia="es-ES_tradnl"/>
        </w:rPr>
        <w:t>estimaciones</w:t>
      </w:r>
      <w:r w:rsidRPr="0060751B">
        <w:rPr>
          <w:rFonts w:ascii="Verdana" w:hAnsi="Verdana" w:cs="Arial"/>
          <w:bCs/>
          <w:sz w:val="20"/>
          <w:szCs w:val="20"/>
          <w:lang w:val="es-ES" w:eastAsia="es-ES_tradnl"/>
        </w:rPr>
        <w:t xml:space="preserve"> de cantidades de obra, </w:t>
      </w:r>
      <w:r w:rsidRPr="0060751B">
        <w:rPr>
          <w:rFonts w:ascii="Verdana" w:hAnsi="Verdana" w:cs="Arial"/>
          <w:bCs/>
          <w:i/>
          <w:iCs/>
          <w:sz w:val="20"/>
          <w:szCs w:val="20"/>
          <w:lang w:val="es-ES" w:eastAsia="es-ES_tradnl"/>
        </w:rPr>
        <w:t>según los estudios y diseños</w:t>
      </w:r>
      <w:r w:rsidRPr="0060751B">
        <w:rPr>
          <w:rFonts w:ascii="Verdana" w:hAnsi="Verdana" w:cs="Arial"/>
          <w:bCs/>
          <w:sz w:val="20"/>
          <w:szCs w:val="20"/>
          <w:lang w:val="es-ES" w:eastAsia="es-ES_tradnl"/>
        </w:rPr>
        <w:t>, los estudios previos y unos precios unitarios de los respectivos ítems de obra</w:t>
      </w:r>
      <w:r w:rsidRPr="0060751B">
        <w:rPr>
          <w:rStyle w:val="Refdenotaalpie"/>
          <w:rFonts w:ascii="Verdana" w:hAnsi="Verdana" w:cs="Arial"/>
          <w:bCs/>
          <w:sz w:val="20"/>
          <w:szCs w:val="20"/>
          <w:lang w:val="es-ES" w:eastAsia="es-ES_tradnl"/>
        </w:rPr>
        <w:footnoteReference w:id="4"/>
      </w:r>
      <w:r w:rsidRPr="0060751B">
        <w:rPr>
          <w:rFonts w:ascii="Verdana" w:hAnsi="Verdana" w:cs="Arial"/>
          <w:bCs/>
          <w:sz w:val="20"/>
          <w:szCs w:val="20"/>
          <w:lang w:val="es-ES" w:eastAsia="es-ES_tradnl"/>
        </w:rPr>
        <w:t xml:space="preserve">. </w:t>
      </w:r>
      <w:r w:rsidRPr="0060751B">
        <w:rPr>
          <w:rFonts w:ascii="Verdana" w:hAnsi="Verdana" w:cs="Arial"/>
          <w:bCs/>
          <w:sz w:val="20"/>
          <w:szCs w:val="20"/>
          <w:lang w:eastAsia="es-ES_tradnl"/>
        </w:rPr>
        <w:t xml:space="preserve">Nótese que estos valores estimados son, precisamente, producto del resultado de los estudios y diseños; por ello el sistema de precios unitarios no es una modalidad frecuente en los contratos de obra «llave en mano», pues su estimación presupone contar con la información derivada de la ejecución previa de esa fase. Cuando la estimación de unidades y cantidades no se apoya en dicha información, surgen riesgos relevantes, porque el propio modelo obliga a ajustar los valores estimados una vez el contratista culmina los estudios y diseños y se </w:t>
      </w:r>
      <w:proofErr w:type="gramStart"/>
      <w:r w:rsidRPr="0060751B">
        <w:rPr>
          <w:rFonts w:ascii="Verdana" w:hAnsi="Verdana" w:cs="Arial"/>
          <w:bCs/>
          <w:sz w:val="20"/>
          <w:szCs w:val="20"/>
          <w:lang w:eastAsia="es-ES_tradnl"/>
        </w:rPr>
        <w:t>dé inicio a</w:t>
      </w:r>
      <w:proofErr w:type="gramEnd"/>
      <w:r w:rsidRPr="0060751B">
        <w:rPr>
          <w:rFonts w:ascii="Verdana" w:hAnsi="Verdana" w:cs="Arial"/>
          <w:bCs/>
          <w:sz w:val="20"/>
          <w:szCs w:val="20"/>
          <w:lang w:eastAsia="es-ES_tradnl"/>
        </w:rPr>
        <w:t xml:space="preserve"> la obra. En cambio, la distinción entre un valor estimado y un valor realmente ejecutado responde al esquema normal del contrato de obra que se adelanta de forma independiente y posterior a los estudios y diseños; de ahí que, pactado a precios unitarios dentro de un contrato «llave en mano», la entidad quede expuesta a estimar antes de los estudios, reajustar después conforme a sus resultados y, aun así, obtener valores que siguen siendo estimativos frente a lo que finalmente se ejecute</w:t>
      </w:r>
      <w:r>
        <w:rPr>
          <w:rFonts w:ascii="Verdana" w:hAnsi="Verdana" w:cs="Arial"/>
          <w:bCs/>
          <w:sz w:val="20"/>
          <w:szCs w:val="20"/>
          <w:lang w:eastAsia="es-ES_tradnl"/>
        </w:rPr>
        <w:t>.</w:t>
      </w:r>
    </w:p>
    <w:p w14:paraId="50AC1577" w14:textId="77777777" w:rsidR="00DF099B" w:rsidRPr="00DF099B" w:rsidRDefault="00DF099B" w:rsidP="00DF099B">
      <w:pPr>
        <w:spacing w:after="0" w:line="240" w:lineRule="auto"/>
        <w:jc w:val="both"/>
        <w:rPr>
          <w:rFonts w:ascii="Verdana" w:hAnsi="Verdana" w:cs="Arial"/>
          <w:bCs/>
          <w:sz w:val="20"/>
          <w:szCs w:val="20"/>
          <w:lang w:val="es-ES" w:eastAsia="es-ES_tradnl"/>
        </w:rPr>
      </w:pPr>
    </w:p>
    <w:p w14:paraId="417542C9" w14:textId="77777777" w:rsidR="0060751B" w:rsidRDefault="0060751B" w:rsidP="0060751B">
      <w:pPr>
        <w:spacing w:line="276" w:lineRule="auto"/>
        <w:jc w:val="both"/>
        <w:rPr>
          <w:rFonts w:ascii="Verdana" w:hAnsi="Verdana" w:cs="Arial"/>
          <w:b/>
          <w:bCs/>
          <w:lang w:val="es-ES" w:eastAsia="es-ES"/>
        </w:rPr>
      </w:pPr>
      <w:r w:rsidRPr="0060751B">
        <w:rPr>
          <w:rFonts w:ascii="Verdana" w:hAnsi="Verdana" w:cs="Arial"/>
          <w:b/>
          <w:bCs/>
          <w:lang w:val="es-ES" w:eastAsia="es-ES"/>
        </w:rPr>
        <w:t xml:space="preserve">PRESUPUESTO OFICIAL – Valor del contrato – Apropiación presupuestal </w:t>
      </w:r>
    </w:p>
    <w:p w14:paraId="50743400" w14:textId="77777777" w:rsidR="0060751B" w:rsidRPr="00DF099B" w:rsidRDefault="0060751B" w:rsidP="00DF099B">
      <w:pPr>
        <w:spacing w:after="120" w:line="240" w:lineRule="auto"/>
        <w:jc w:val="both"/>
        <w:rPr>
          <w:rFonts w:ascii="Verdana" w:eastAsia="Calibri" w:hAnsi="Verdana" w:cs="Arial"/>
          <w:color w:val="000000"/>
          <w:sz w:val="20"/>
          <w:szCs w:val="20"/>
          <w:lang w:val="es-ES" w:eastAsia="es-ES_tradnl"/>
        </w:rPr>
      </w:pPr>
      <w:r w:rsidRPr="00DF099B">
        <w:rPr>
          <w:rFonts w:ascii="Verdana" w:eastAsia="Calibri" w:hAnsi="Verdana" w:cs="Arial"/>
          <w:color w:val="000000"/>
          <w:sz w:val="20"/>
          <w:szCs w:val="20"/>
          <w:lang w:val="es-ES" w:eastAsia="es-ES_tradnl"/>
        </w:rPr>
        <w:t xml:space="preserve">Frente al caso objeto de consulta, </w:t>
      </w:r>
      <w:r w:rsidRPr="00DF099B">
        <w:rPr>
          <w:rFonts w:ascii="Verdana" w:eastAsia="Century Gothic" w:hAnsi="Verdana" w:cs="Century Gothic"/>
          <w:color w:val="000000" w:themeColor="text1"/>
          <w:sz w:val="20"/>
          <w:szCs w:val="20"/>
          <w:lang w:val="es-ES"/>
        </w:rPr>
        <w:t>es importante recordar que una cosa es el presupuesto oficial —la estimación del costo de la necesidad que respalda la apropiación de los recursos— y otra el valor del contrato —lo efectivamente pactado—. Como en el caso el presupuesto oficial de la etapa constructiva se concreta a partir de los estudios y diseños, la entidad debe verificar si ese presupuesto oficial requerido para la etapa constructiva excede el valor apropiado y pactado inicialmente. Si el presupuesto oficial definitivo excede el valor apropiado, la entidad deberá modificar el contrato y apropiar los recursos requeridos; y ese mayor valor, en cuanto supone destinar recursos adicionales a los inicialmente previstos, puede constituir una adición sujeta al límite del parágrafo del artículo 40 de la Ley 80 de 1993. No se trata, pues, necesariamente de un ajuste del valor estimativo, sino de un asunto de a quién correspondía asumir el riesgo y de si su materialización exige una apropiación presupuestal nueva.</w:t>
      </w:r>
    </w:p>
    <w:p w14:paraId="0CB5B282" w14:textId="7E02DFE3" w:rsidR="0060751B" w:rsidRDefault="0060751B" w:rsidP="00DF099B">
      <w:pPr>
        <w:jc w:val="both"/>
        <w:rPr>
          <w:rFonts w:ascii="Verdana" w:eastAsia="Century Gothic" w:hAnsi="Verdana" w:cs="Century Gothic"/>
          <w:color w:val="000000" w:themeColor="text1"/>
          <w:sz w:val="20"/>
          <w:szCs w:val="20"/>
          <w:lang w:val="es-ES"/>
        </w:rPr>
      </w:pPr>
      <w:r w:rsidRPr="00DF099B">
        <w:rPr>
          <w:rFonts w:ascii="Verdana" w:eastAsia="Century Gothic" w:hAnsi="Verdana" w:cs="Century Gothic"/>
          <w:color w:val="000000" w:themeColor="text1"/>
          <w:sz w:val="20"/>
          <w:szCs w:val="20"/>
          <w:lang w:val="es-ES"/>
        </w:rPr>
        <w:t xml:space="preserve">El peticionario sostiene que no se está frente a una adición, sino ante el establecimiento del presupuesto oficial. Sobre el particular debe precisarse que no podía existir una verdadera estimación de los precios de la obra antes de los estudios y diseños, porque estos no existían y el detalle de la obra lo determinaba esa fase; por ello, la entidad </w:t>
      </w:r>
      <w:r w:rsidRPr="00DF099B">
        <w:rPr>
          <w:rFonts w:ascii="Verdana" w:eastAsia="Century Gothic" w:hAnsi="Verdana" w:cs="Century Gothic"/>
          <w:color w:val="000000" w:themeColor="text1"/>
          <w:sz w:val="20"/>
          <w:szCs w:val="20"/>
          <w:lang w:val="es-ES"/>
        </w:rPr>
        <w:lastRenderedPageBreak/>
        <w:t>debe considerar si lo que se incorpora tras el diseño es realmente un presupuesto nuevo y no un simple reajuste de lo estimado, de modo que no pueda tratarse como una mera actualización de una estimación previa. En consecuencia, si se trata de un presupuesto nuevo que implica destinar recursos adicionales a los inicialmente apropiados y pactados, su incorporación no solo requiere de una modificación contractual —cualquiera que sea su denominación: otrosí, adición, modificación—, sino que, además, queda sujeta al límite del parágrafo del artículo 40 de la Ley 80 de 1993, conforme lo ha reiterado esta Agencia</w:t>
      </w:r>
      <w:r w:rsidRPr="00DF099B">
        <w:rPr>
          <w:rStyle w:val="Refdenotaalpie"/>
          <w:rFonts w:ascii="Verdana" w:eastAsia="Century Gothic" w:hAnsi="Verdana" w:cs="Century Gothic"/>
          <w:color w:val="000000" w:themeColor="text1"/>
          <w:sz w:val="20"/>
          <w:szCs w:val="20"/>
          <w:lang w:val="es-ES"/>
        </w:rPr>
        <w:footnoteReference w:id="5"/>
      </w:r>
      <w:r w:rsidRPr="00DF099B">
        <w:rPr>
          <w:rFonts w:ascii="Verdana" w:eastAsia="Century Gothic" w:hAnsi="Verdana" w:cs="Century Gothic"/>
          <w:color w:val="000000" w:themeColor="text1"/>
          <w:sz w:val="20"/>
          <w:szCs w:val="20"/>
          <w:lang w:val="es-ES"/>
        </w:rPr>
        <w:t>.</w:t>
      </w:r>
    </w:p>
    <w:p w14:paraId="0FD49C02" w14:textId="77777777" w:rsidR="00DF099B" w:rsidRPr="00DF099B" w:rsidRDefault="00DF099B" w:rsidP="00DF099B">
      <w:pPr>
        <w:spacing w:after="0" w:line="240" w:lineRule="auto"/>
        <w:jc w:val="both"/>
        <w:rPr>
          <w:rFonts w:ascii="Verdana" w:eastAsia="Calibri" w:hAnsi="Verdana" w:cs="Arial"/>
          <w:color w:val="000000"/>
          <w:sz w:val="20"/>
          <w:szCs w:val="20"/>
          <w:lang w:val="es-ES" w:eastAsia="es-ES_tradnl"/>
        </w:rPr>
      </w:pPr>
    </w:p>
    <w:p w14:paraId="0D0F7A3F" w14:textId="3BEB003F" w:rsidR="0060751B" w:rsidRDefault="0060751B" w:rsidP="0060751B">
      <w:pPr>
        <w:spacing w:line="276" w:lineRule="auto"/>
        <w:jc w:val="both"/>
        <w:rPr>
          <w:rFonts w:ascii="Verdana" w:hAnsi="Verdana" w:cs="Arial"/>
          <w:b/>
          <w:bCs/>
          <w:lang w:val="es-ES" w:eastAsia="es-ES"/>
        </w:rPr>
      </w:pPr>
      <w:r w:rsidRPr="0060751B">
        <w:rPr>
          <w:rFonts w:ascii="Verdana" w:hAnsi="Verdana" w:cs="Arial"/>
          <w:b/>
          <w:bCs/>
          <w:lang w:val="es-ES" w:eastAsia="es-ES"/>
        </w:rPr>
        <w:t>RIESGOS PREVISIBLES – Asignación</w:t>
      </w:r>
    </w:p>
    <w:p w14:paraId="20D09434" w14:textId="77777777" w:rsidR="0060751B" w:rsidRPr="00DF099B" w:rsidRDefault="0060751B" w:rsidP="00DF099B">
      <w:pPr>
        <w:spacing w:before="120" w:after="0" w:line="240" w:lineRule="auto"/>
        <w:jc w:val="both"/>
        <w:rPr>
          <w:rFonts w:ascii="Verdana" w:hAnsi="Verdana" w:cs="Arial"/>
          <w:sz w:val="20"/>
          <w:szCs w:val="20"/>
          <w:lang w:val="es-ES" w:eastAsia="es-ES"/>
        </w:rPr>
      </w:pPr>
      <w:r w:rsidRPr="00DF099B">
        <w:rPr>
          <w:rFonts w:ascii="Verdana" w:eastAsia="Arial" w:hAnsi="Verdana" w:cs="Arial"/>
          <w:sz w:val="20"/>
          <w:szCs w:val="20"/>
          <w:lang w:val="es-ES"/>
        </w:rPr>
        <w:t xml:space="preserve">La asignación del riesgo produce que todo riesgo que afecte la simetría prestacional abre paso a la revisión del contrato y al análisis de su potencial reequilibrio en los términos de la Ley 80 de 1993; no obstante, cuando el riesgo resulte previsible y sea distribuido y asignado a una u otra parte en el contrato, abandona el terreno de la imprevisión y transita hacia un contenido obligacional de quien lo asume y, como deber de conducta convencionalmente pactado (artículo 1495 del Código Civil), se analiza en el campo del cumplimiento contractual (artículo 1613 </w:t>
      </w:r>
      <w:proofErr w:type="spellStart"/>
      <w:r w:rsidRPr="00DF099B">
        <w:rPr>
          <w:rFonts w:ascii="Verdana" w:eastAsia="Arial" w:hAnsi="Verdana" w:cs="Arial"/>
          <w:sz w:val="20"/>
          <w:szCs w:val="20"/>
          <w:lang w:val="es-ES"/>
        </w:rPr>
        <w:t>ibídem</w:t>
      </w:r>
      <w:proofErr w:type="spellEnd"/>
      <w:r w:rsidRPr="00DF099B">
        <w:rPr>
          <w:rFonts w:ascii="Verdana" w:eastAsia="Arial" w:hAnsi="Verdana" w:cs="Arial"/>
          <w:sz w:val="20"/>
          <w:szCs w:val="20"/>
          <w:lang w:val="es-ES"/>
        </w:rPr>
        <w:t>)</w:t>
      </w:r>
      <w:r w:rsidRPr="00DF099B">
        <w:rPr>
          <w:rStyle w:val="Refdenotaalpie"/>
          <w:rFonts w:ascii="Verdana" w:hAnsi="Verdana"/>
          <w:sz w:val="20"/>
          <w:szCs w:val="20"/>
          <w:lang w:val="es-ES"/>
        </w:rPr>
        <w:footnoteReference w:id="6"/>
      </w:r>
      <w:r w:rsidRPr="00DF099B">
        <w:rPr>
          <w:rFonts w:ascii="Verdana" w:eastAsia="Arial" w:hAnsi="Verdana" w:cs="Arial"/>
          <w:sz w:val="20"/>
          <w:szCs w:val="20"/>
          <w:lang w:val="es-ES"/>
        </w:rPr>
        <w:t>. En esa misma providencia, tratándose de un contrato de obra a precios unitarios, la Corporación señaló que la variación de las cantidades de obra es un riesgo inherente a esa modalidad —alea normal del contrato—, de modo que sus efectos, favorables o desfavorables, corresponden al riesgo negocial del contratista</w:t>
      </w:r>
      <w:r w:rsidRPr="00DF099B">
        <w:rPr>
          <w:rStyle w:val="Refdenotaalpie"/>
          <w:rFonts w:ascii="Verdana" w:hAnsi="Verdana"/>
          <w:sz w:val="20"/>
          <w:szCs w:val="20"/>
          <w:lang w:val="es-ES"/>
        </w:rPr>
        <w:footnoteReference w:id="7"/>
      </w:r>
      <w:r w:rsidRPr="00DF099B">
        <w:rPr>
          <w:rFonts w:ascii="Verdana" w:eastAsia="Arial" w:hAnsi="Verdana" w:cs="Arial"/>
          <w:sz w:val="20"/>
          <w:szCs w:val="20"/>
          <w:lang w:val="es-ES"/>
        </w:rPr>
        <w:t>.</w:t>
      </w:r>
    </w:p>
    <w:p w14:paraId="7CD25775" w14:textId="30E002A3" w:rsidR="0060751B" w:rsidRPr="00DF099B" w:rsidRDefault="0060751B" w:rsidP="00DF099B">
      <w:pPr>
        <w:spacing w:before="120" w:after="0" w:line="240" w:lineRule="auto"/>
        <w:jc w:val="both"/>
        <w:rPr>
          <w:rFonts w:ascii="Verdana" w:hAnsi="Verdana" w:cs="Arial"/>
          <w:sz w:val="20"/>
          <w:szCs w:val="20"/>
          <w:lang w:val="es-ES" w:eastAsia="es-ES"/>
        </w:rPr>
      </w:pPr>
      <w:r w:rsidRPr="00DF099B">
        <w:rPr>
          <w:rFonts w:ascii="Verdana" w:eastAsia="Arial" w:hAnsi="Verdana" w:cs="Arial"/>
          <w:sz w:val="20"/>
          <w:szCs w:val="20"/>
          <w:lang w:val="es-ES"/>
        </w:rPr>
        <w:t>Con todo, el propio Consejo de Estado precisó un límite: el riesgo no solo debe evaluarse por su naturaleza, sino también por su magnitud y dimensión, de manera que, si desborda los límites razonables de la previsibilidad, puede dar lugar a un desequilibrio del contrato incluso cuando el riesgo haya sido asignado convencionalmente</w:t>
      </w:r>
      <w:r w:rsidRPr="00DF099B">
        <w:rPr>
          <w:rStyle w:val="Refdenotaalpie"/>
          <w:rFonts w:ascii="Verdana" w:hAnsi="Verdana"/>
          <w:sz w:val="20"/>
          <w:szCs w:val="20"/>
          <w:lang w:val="es-ES"/>
        </w:rPr>
        <w:footnoteReference w:id="8"/>
      </w:r>
      <w:r w:rsidRPr="00DF099B">
        <w:rPr>
          <w:rFonts w:ascii="Verdana" w:eastAsia="Arial" w:hAnsi="Verdana" w:cs="Arial"/>
          <w:sz w:val="20"/>
          <w:szCs w:val="20"/>
          <w:lang w:val="es-ES"/>
        </w:rPr>
        <w:t xml:space="preserve">. […] Debe subrayarse que el equilibrio económico atiende a </w:t>
      </w:r>
      <w:proofErr w:type="gramStart"/>
      <w:r w:rsidRPr="00DF099B">
        <w:rPr>
          <w:rFonts w:ascii="Verdana" w:eastAsia="Arial" w:hAnsi="Verdana" w:cs="Arial"/>
          <w:sz w:val="20"/>
          <w:szCs w:val="20"/>
          <w:lang w:val="es-ES"/>
        </w:rPr>
        <w:t>un alea extraordinaria</w:t>
      </w:r>
      <w:proofErr w:type="gramEnd"/>
      <w:r w:rsidRPr="00DF099B">
        <w:rPr>
          <w:rFonts w:ascii="Verdana" w:eastAsia="Arial" w:hAnsi="Verdana" w:cs="Arial"/>
          <w:sz w:val="20"/>
          <w:szCs w:val="20"/>
          <w:lang w:val="es-ES"/>
        </w:rPr>
        <w:t xml:space="preserve"> (sobreviniente, imprevisible y ajena a las partes) y no al alea normal del negocio ni a los riesgos que fueron previstos y asignados. Por ello, cuando la variación económica pueda gestionarse mediante fórmulas de reajuste o revisión de precios pactadas en el contrato, ese es el mecanismo llamado a operar; y solo cuando tales fórmulas resulten insuficientes frente a una circunstancia que desborde la previsibilidad razonable podrá abrirse paso el análisis del reequilibrio</w:t>
      </w:r>
      <w:r w:rsidRPr="00DF099B">
        <w:rPr>
          <w:rStyle w:val="Refdenotaalpie"/>
          <w:rFonts w:ascii="Verdana" w:hAnsi="Verdana"/>
          <w:sz w:val="20"/>
          <w:szCs w:val="20"/>
          <w:lang w:val="es-ES"/>
        </w:rPr>
        <w:footnoteReference w:id="9"/>
      </w:r>
      <w:r w:rsidRPr="00DF099B">
        <w:rPr>
          <w:rFonts w:ascii="Verdana" w:eastAsia="Arial" w:hAnsi="Verdana" w:cs="Arial"/>
          <w:sz w:val="20"/>
          <w:szCs w:val="20"/>
          <w:lang w:val="es-ES"/>
        </w:rPr>
        <w:t>.</w:t>
      </w:r>
    </w:p>
    <w:p w14:paraId="28E2D34A" w14:textId="77777777" w:rsidR="0060751B" w:rsidRPr="00DF099B" w:rsidRDefault="0060751B" w:rsidP="00DF099B">
      <w:pPr>
        <w:spacing w:line="240" w:lineRule="auto"/>
        <w:jc w:val="both"/>
        <w:rPr>
          <w:rFonts w:ascii="Verdana" w:hAnsi="Verdana" w:cs="Arial"/>
          <w:b/>
          <w:bCs/>
          <w:sz w:val="20"/>
          <w:szCs w:val="20"/>
          <w:lang w:val="es-ES" w:eastAsia="es-ES"/>
        </w:rPr>
      </w:pPr>
    </w:p>
    <w:p w14:paraId="394F8DBC" w14:textId="614C8188" w:rsidR="0060751B" w:rsidRDefault="0060751B" w:rsidP="0060751B">
      <w:pPr>
        <w:spacing w:line="276" w:lineRule="auto"/>
        <w:jc w:val="both"/>
        <w:rPr>
          <w:rFonts w:ascii="Verdana" w:hAnsi="Verdana" w:cs="Arial"/>
          <w:b/>
          <w:bCs/>
          <w:lang w:val="es-ES" w:eastAsia="es-ES"/>
        </w:rPr>
      </w:pPr>
      <w:r w:rsidRPr="0060751B">
        <w:rPr>
          <w:rFonts w:ascii="Verdana" w:hAnsi="Verdana" w:cs="Arial"/>
          <w:b/>
          <w:bCs/>
          <w:lang w:val="es-ES" w:eastAsia="es-ES"/>
        </w:rPr>
        <w:t>EQUILIBRIO ECONÓMICO – Revisión y reajuste de precios</w:t>
      </w:r>
      <w:r>
        <w:rPr>
          <w:rFonts w:ascii="Verdana" w:hAnsi="Verdana" w:cs="Arial"/>
          <w:b/>
          <w:bCs/>
          <w:lang w:val="es-ES" w:eastAsia="es-ES"/>
        </w:rPr>
        <w:t xml:space="preserve"> </w:t>
      </w:r>
      <w:r w:rsidRPr="0060751B">
        <w:rPr>
          <w:rFonts w:ascii="Verdana" w:hAnsi="Verdana" w:cs="Arial"/>
          <w:b/>
          <w:bCs/>
          <w:lang w:val="es-ES" w:eastAsia="es-ES"/>
        </w:rPr>
        <w:t>–</w:t>
      </w:r>
      <w:r>
        <w:rPr>
          <w:rFonts w:ascii="Verdana" w:hAnsi="Verdana" w:cs="Arial"/>
          <w:b/>
          <w:bCs/>
          <w:lang w:val="es-ES" w:eastAsia="es-ES"/>
        </w:rPr>
        <w:t xml:space="preserve"> Límite artículo 40 </w:t>
      </w:r>
      <w:r w:rsidRPr="0060751B">
        <w:rPr>
          <w:rFonts w:ascii="Verdana" w:hAnsi="Verdana" w:cs="Arial"/>
          <w:b/>
          <w:bCs/>
          <w:lang w:val="es-ES" w:eastAsia="es-ES"/>
        </w:rPr>
        <w:t>–</w:t>
      </w:r>
      <w:r>
        <w:rPr>
          <w:rFonts w:ascii="Verdana" w:hAnsi="Verdana" w:cs="Arial"/>
          <w:b/>
          <w:bCs/>
          <w:lang w:val="es-ES" w:eastAsia="es-ES"/>
        </w:rPr>
        <w:t xml:space="preserve"> Ley 80 de 1993</w:t>
      </w:r>
    </w:p>
    <w:p w14:paraId="12D56B2B" w14:textId="77777777" w:rsidR="0060751B" w:rsidRPr="00DF099B" w:rsidRDefault="0060751B" w:rsidP="00DF099B">
      <w:pPr>
        <w:spacing w:before="120" w:after="120" w:line="240" w:lineRule="auto"/>
        <w:jc w:val="both"/>
        <w:rPr>
          <w:rFonts w:ascii="Verdana" w:hAnsi="Verdana" w:cs="Arial"/>
          <w:color w:val="000000" w:themeColor="text1"/>
          <w:sz w:val="20"/>
          <w:szCs w:val="20"/>
          <w:lang/>
        </w:rPr>
      </w:pPr>
      <w:r w:rsidRPr="00DF099B">
        <w:rPr>
          <w:rFonts w:ascii="Verdana" w:hAnsi="Verdana" w:cs="Arial"/>
          <w:color w:val="000000" w:themeColor="text1"/>
          <w:sz w:val="20"/>
          <w:szCs w:val="20"/>
          <w:lang/>
        </w:rPr>
        <w:t xml:space="preserve">El equilibrio económico atiende a un álea extraordinaria —sobreviniente, imprevisible y ajena a las partes— y no al álea normal del negocio ni a los riesgos previstos y asignados. Como la propia entidad tipificó los "mayores valores que pudieran resultar de los estudios y diseños" como riesgo previsible, su materialización se gestiona en el campo del cumplimiento del contrato y de la distribución de riesgos pactada, y no como un desequilibrio económico, salvo que su magnitud y dimensión desborden los límites razonables de la previsibilidad. </w:t>
      </w:r>
    </w:p>
    <w:p w14:paraId="207D0C31" w14:textId="2C645070" w:rsidR="0060751B" w:rsidRPr="00DF099B" w:rsidRDefault="0060751B" w:rsidP="00DF099B">
      <w:pPr>
        <w:widowControl w:val="0"/>
        <w:autoSpaceDE w:val="0"/>
        <w:autoSpaceDN w:val="0"/>
        <w:spacing w:before="120" w:line="240" w:lineRule="auto"/>
        <w:jc w:val="both"/>
        <w:rPr>
          <w:rFonts w:ascii="Verdana" w:hAnsi="Verdana" w:cs="Arial"/>
          <w:color w:val="000000" w:themeColor="text1"/>
          <w:sz w:val="20"/>
          <w:szCs w:val="20"/>
          <w:lang/>
        </w:rPr>
      </w:pPr>
      <w:r w:rsidRPr="00DF099B">
        <w:rPr>
          <w:rFonts w:ascii="Verdana" w:hAnsi="Verdana" w:cs="Arial"/>
          <w:color w:val="000000" w:themeColor="text1"/>
          <w:sz w:val="20"/>
          <w:szCs w:val="20"/>
          <w:lang/>
        </w:rPr>
        <w:t xml:space="preserve">Es importante aclarar que de las adiciones proscritas por el parágrafo del artículo 40 de la Ley 80 de 1993 la jurisprudencia ha excluido las estipulaciones de reajuste de precios y de restablecimiento del equilibrio: el mayor valor que corresponda a la actualización de precios de ítems ya definidos (reajuste) o al restablecimiento por un álea extraordinaria no se computa dentro del 50 %, mientras que el que corresponda a mayores cantidades de obra o a ítems nuevos sí lo consume. </w:t>
      </w:r>
    </w:p>
    <w:p w14:paraId="39E7F602" w14:textId="77777777" w:rsidR="0060751B" w:rsidRPr="0060751B" w:rsidRDefault="0060751B" w:rsidP="0060751B">
      <w:pPr>
        <w:spacing w:line="276" w:lineRule="auto"/>
        <w:jc w:val="both"/>
        <w:rPr>
          <w:rFonts w:ascii="Verdana" w:hAnsi="Verdana" w:cs="Arial"/>
          <w:b/>
          <w:bCs/>
          <w:lang w:val="es-ES" w:eastAsia="es-ES"/>
        </w:rPr>
      </w:pPr>
    </w:p>
    <w:p w14:paraId="5C5EBB98" w14:textId="77777777" w:rsidR="0060751B" w:rsidRDefault="0060751B" w:rsidP="005522C2">
      <w:pPr>
        <w:widowControl w:val="0"/>
        <w:spacing w:after="0" w:line="276" w:lineRule="auto"/>
        <w:jc w:val="both"/>
        <w:rPr>
          <w:rFonts w:ascii="Verdana" w:hAnsi="Verdana"/>
          <w:lang w:val="es-ES"/>
        </w:rPr>
      </w:pPr>
    </w:p>
    <w:p w14:paraId="29D05A49" w14:textId="77777777" w:rsidR="004C6EFC" w:rsidRDefault="004C6EFC" w:rsidP="005522C2">
      <w:pPr>
        <w:widowControl w:val="0"/>
        <w:spacing w:after="0" w:line="276" w:lineRule="auto"/>
        <w:jc w:val="both"/>
        <w:rPr>
          <w:rFonts w:ascii="Verdana" w:hAnsi="Verdana"/>
          <w:lang w:val="es-ES"/>
        </w:rPr>
      </w:pPr>
    </w:p>
    <w:p w14:paraId="461D1A1B" w14:textId="77777777" w:rsidR="004C6EFC" w:rsidRDefault="004C6EFC" w:rsidP="005522C2">
      <w:pPr>
        <w:widowControl w:val="0"/>
        <w:spacing w:after="0" w:line="276" w:lineRule="auto"/>
        <w:jc w:val="both"/>
        <w:rPr>
          <w:rFonts w:ascii="Verdana" w:hAnsi="Verdana"/>
          <w:lang w:val="es-ES"/>
        </w:rPr>
      </w:pPr>
    </w:p>
    <w:p w14:paraId="600D7B97" w14:textId="77777777" w:rsidR="004C6EFC" w:rsidRDefault="004C6EFC" w:rsidP="005522C2">
      <w:pPr>
        <w:widowControl w:val="0"/>
        <w:spacing w:after="0" w:line="276" w:lineRule="auto"/>
        <w:jc w:val="both"/>
        <w:rPr>
          <w:rFonts w:ascii="Verdana" w:hAnsi="Verdana"/>
          <w:lang w:val="es-ES"/>
        </w:rPr>
      </w:pPr>
    </w:p>
    <w:p w14:paraId="5F463AEE" w14:textId="77777777" w:rsidR="004C6EFC" w:rsidRDefault="004C6EFC" w:rsidP="005522C2">
      <w:pPr>
        <w:widowControl w:val="0"/>
        <w:spacing w:after="0" w:line="276" w:lineRule="auto"/>
        <w:jc w:val="both"/>
        <w:rPr>
          <w:rFonts w:ascii="Verdana" w:hAnsi="Verdana"/>
          <w:lang w:val="es-ES"/>
        </w:rPr>
      </w:pPr>
    </w:p>
    <w:p w14:paraId="1C4E87A5" w14:textId="77777777" w:rsidR="004C6EFC" w:rsidRDefault="004C6EFC" w:rsidP="005522C2">
      <w:pPr>
        <w:widowControl w:val="0"/>
        <w:spacing w:after="0" w:line="276" w:lineRule="auto"/>
        <w:jc w:val="both"/>
        <w:rPr>
          <w:rFonts w:ascii="Verdana" w:hAnsi="Verdana"/>
          <w:lang w:val="es-ES"/>
        </w:rPr>
      </w:pPr>
    </w:p>
    <w:p w14:paraId="7552AEB7" w14:textId="77777777" w:rsidR="004C6EFC" w:rsidRDefault="004C6EFC" w:rsidP="005522C2">
      <w:pPr>
        <w:widowControl w:val="0"/>
        <w:spacing w:after="0" w:line="276" w:lineRule="auto"/>
        <w:jc w:val="both"/>
        <w:rPr>
          <w:rFonts w:ascii="Verdana" w:hAnsi="Verdana"/>
          <w:lang w:val="es-ES"/>
        </w:rPr>
      </w:pPr>
    </w:p>
    <w:p w14:paraId="7494F601" w14:textId="77777777" w:rsidR="004C6EFC" w:rsidRDefault="004C6EFC" w:rsidP="005522C2">
      <w:pPr>
        <w:widowControl w:val="0"/>
        <w:spacing w:after="0" w:line="276" w:lineRule="auto"/>
        <w:jc w:val="both"/>
        <w:rPr>
          <w:rFonts w:ascii="Verdana" w:hAnsi="Verdana"/>
          <w:lang w:val="es-ES"/>
        </w:rPr>
      </w:pPr>
    </w:p>
    <w:p w14:paraId="6CA54ADD" w14:textId="77777777" w:rsidR="004C6EFC" w:rsidRDefault="004C6EFC" w:rsidP="005522C2">
      <w:pPr>
        <w:widowControl w:val="0"/>
        <w:spacing w:after="0" w:line="276" w:lineRule="auto"/>
        <w:jc w:val="both"/>
        <w:rPr>
          <w:rFonts w:ascii="Verdana" w:hAnsi="Verdana"/>
          <w:lang w:val="es-ES"/>
        </w:rPr>
      </w:pPr>
    </w:p>
    <w:p w14:paraId="5BF1CD6F" w14:textId="77777777" w:rsidR="004C6EFC" w:rsidRDefault="004C6EFC" w:rsidP="005522C2">
      <w:pPr>
        <w:widowControl w:val="0"/>
        <w:spacing w:after="0" w:line="276" w:lineRule="auto"/>
        <w:jc w:val="both"/>
        <w:rPr>
          <w:rFonts w:ascii="Verdana" w:hAnsi="Verdana"/>
          <w:lang w:val="es-ES"/>
        </w:rPr>
      </w:pPr>
    </w:p>
    <w:p w14:paraId="7DF6B755" w14:textId="77777777" w:rsidR="004C6EFC" w:rsidRDefault="004C6EFC" w:rsidP="005522C2">
      <w:pPr>
        <w:widowControl w:val="0"/>
        <w:spacing w:after="0" w:line="276" w:lineRule="auto"/>
        <w:jc w:val="both"/>
        <w:rPr>
          <w:rFonts w:ascii="Verdana" w:hAnsi="Verdana"/>
          <w:lang w:val="es-ES"/>
        </w:rPr>
      </w:pPr>
    </w:p>
    <w:p w14:paraId="5776CFC3" w14:textId="77777777" w:rsidR="004C6EFC" w:rsidRDefault="004C6EFC" w:rsidP="005522C2">
      <w:pPr>
        <w:widowControl w:val="0"/>
        <w:spacing w:after="0" w:line="276" w:lineRule="auto"/>
        <w:jc w:val="both"/>
        <w:rPr>
          <w:rFonts w:ascii="Verdana" w:hAnsi="Verdana"/>
          <w:lang w:val="es-ES"/>
        </w:rPr>
      </w:pPr>
    </w:p>
    <w:p w14:paraId="0BF1F8FD" w14:textId="77777777" w:rsidR="004C6EFC" w:rsidRDefault="004C6EFC" w:rsidP="005522C2">
      <w:pPr>
        <w:widowControl w:val="0"/>
        <w:spacing w:after="0" w:line="276" w:lineRule="auto"/>
        <w:jc w:val="both"/>
        <w:rPr>
          <w:rFonts w:ascii="Verdana" w:hAnsi="Verdana"/>
          <w:lang w:val="es-ES"/>
        </w:rPr>
      </w:pPr>
    </w:p>
    <w:p w14:paraId="10220323" w14:textId="77777777" w:rsidR="004C6EFC" w:rsidRDefault="004C6EFC" w:rsidP="005522C2">
      <w:pPr>
        <w:widowControl w:val="0"/>
        <w:spacing w:after="0" w:line="276" w:lineRule="auto"/>
        <w:jc w:val="both"/>
        <w:rPr>
          <w:rFonts w:ascii="Verdana" w:hAnsi="Verdana"/>
          <w:lang w:val="es-ES"/>
        </w:rPr>
      </w:pPr>
    </w:p>
    <w:p w14:paraId="1D7EF957" w14:textId="77777777" w:rsidR="004C6EFC" w:rsidRDefault="004C6EFC" w:rsidP="005522C2">
      <w:pPr>
        <w:widowControl w:val="0"/>
        <w:spacing w:after="0" w:line="276" w:lineRule="auto"/>
        <w:jc w:val="both"/>
        <w:rPr>
          <w:rFonts w:ascii="Verdana" w:hAnsi="Verdana"/>
          <w:lang w:val="es-ES"/>
        </w:rPr>
      </w:pPr>
    </w:p>
    <w:p w14:paraId="730F6086" w14:textId="77777777" w:rsidR="004C6EFC" w:rsidRDefault="004C6EFC" w:rsidP="005522C2">
      <w:pPr>
        <w:widowControl w:val="0"/>
        <w:spacing w:after="0" w:line="276" w:lineRule="auto"/>
        <w:jc w:val="both"/>
        <w:rPr>
          <w:rFonts w:ascii="Verdana" w:hAnsi="Verdana"/>
          <w:lang w:val="es-ES"/>
        </w:rPr>
      </w:pPr>
    </w:p>
    <w:p w14:paraId="2C577F4E" w14:textId="77777777" w:rsidR="004C6EFC" w:rsidRDefault="004C6EFC" w:rsidP="005522C2">
      <w:pPr>
        <w:widowControl w:val="0"/>
        <w:spacing w:after="0" w:line="276" w:lineRule="auto"/>
        <w:jc w:val="both"/>
        <w:rPr>
          <w:rFonts w:ascii="Verdana" w:hAnsi="Verdana"/>
          <w:lang w:val="es-ES"/>
        </w:rPr>
      </w:pPr>
    </w:p>
    <w:p w14:paraId="3DB3B9C7" w14:textId="77777777" w:rsidR="004C6EFC" w:rsidRDefault="004C6EFC" w:rsidP="005522C2">
      <w:pPr>
        <w:widowControl w:val="0"/>
        <w:spacing w:after="0" w:line="276" w:lineRule="auto"/>
        <w:jc w:val="both"/>
        <w:rPr>
          <w:rFonts w:ascii="Verdana" w:hAnsi="Verdana"/>
          <w:lang w:val="es-ES"/>
        </w:rPr>
      </w:pPr>
    </w:p>
    <w:p w14:paraId="74D7A909" w14:textId="77777777" w:rsidR="004C6EFC" w:rsidRDefault="004C6EFC" w:rsidP="005522C2">
      <w:pPr>
        <w:widowControl w:val="0"/>
        <w:spacing w:after="0" w:line="276" w:lineRule="auto"/>
        <w:jc w:val="both"/>
        <w:rPr>
          <w:rFonts w:ascii="Verdana" w:hAnsi="Verdana"/>
          <w:lang w:val="es-ES"/>
        </w:rPr>
      </w:pPr>
    </w:p>
    <w:p w14:paraId="1845CC17" w14:textId="77777777" w:rsidR="004C6EFC" w:rsidRDefault="004C6EFC" w:rsidP="005522C2">
      <w:pPr>
        <w:widowControl w:val="0"/>
        <w:spacing w:after="0" w:line="276" w:lineRule="auto"/>
        <w:jc w:val="both"/>
        <w:rPr>
          <w:rFonts w:ascii="Verdana" w:hAnsi="Verdana"/>
          <w:lang w:val="es-ES"/>
        </w:rPr>
      </w:pPr>
    </w:p>
    <w:p w14:paraId="0417307D" w14:textId="107CA154" w:rsidR="005522C2" w:rsidRPr="00F04F3B" w:rsidRDefault="005522C2" w:rsidP="005522C2">
      <w:pPr>
        <w:widowControl w:val="0"/>
        <w:spacing w:after="0" w:line="276" w:lineRule="auto"/>
        <w:jc w:val="both"/>
        <w:rPr>
          <w:rFonts w:ascii="Verdana" w:hAnsi="Verdana"/>
          <w:lang w:val="es-ES"/>
        </w:rPr>
      </w:pPr>
      <w:r w:rsidRPr="00F04F3B">
        <w:rPr>
          <w:rFonts w:ascii="Verdana" w:hAnsi="Verdana"/>
          <w:lang w:val="es-ES"/>
        </w:rPr>
        <w:lastRenderedPageBreak/>
        <w:t xml:space="preserve">Bogotá D.C., </w:t>
      </w:r>
      <w:r w:rsidR="00FD1D80">
        <w:rPr>
          <w:rFonts w:ascii="Verdana" w:hAnsi="Verdana"/>
          <w:lang w:val="es-ES"/>
        </w:rPr>
        <w:t>28 de agosto de 2026</w:t>
      </w:r>
    </w:p>
    <w:p w14:paraId="08ABCDF5" w14:textId="77777777" w:rsidR="005522C2" w:rsidRPr="00F04F3B" w:rsidRDefault="005522C2" w:rsidP="005522C2">
      <w:pPr>
        <w:spacing w:after="0"/>
        <w:rPr>
          <w:rFonts w:ascii="Verdana" w:hAnsi="Verdana"/>
          <w:lang w:val="es-ES"/>
        </w:rPr>
      </w:pPr>
    </w:p>
    <w:p w14:paraId="4208D95D" w14:textId="71B20C57" w:rsidR="005522C2" w:rsidRPr="00F04F3B" w:rsidRDefault="00FD1D80" w:rsidP="005522C2">
      <w:pPr>
        <w:spacing w:after="0" w:line="240" w:lineRule="auto"/>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
        </w:rPr>
        <w:drawing>
          <wp:anchor distT="0" distB="0" distL="114300" distR="114300" simplePos="0" relativeHeight="251660288" behindDoc="0" locked="0" layoutInCell="1" allowOverlap="1" wp14:anchorId="3D71695A" wp14:editId="514ED180">
            <wp:simplePos x="0" y="0"/>
            <wp:positionH relativeFrom="column">
              <wp:posOffset>2879402</wp:posOffset>
            </wp:positionH>
            <wp:positionV relativeFrom="paragraph">
              <wp:posOffset>60121</wp:posOffset>
            </wp:positionV>
            <wp:extent cx="2332355" cy="656590"/>
            <wp:effectExtent l="0" t="0" r="4445" b="3810"/>
            <wp:wrapSquare wrapText="bothSides"/>
            <wp:docPr id="7685364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36441" name="Picture 768536441"/>
                    <pic:cNvPicPr/>
                  </pic:nvPicPr>
                  <pic:blipFill>
                    <a:blip r:embed="rId11">
                      <a:extLst>
                        <a:ext uri="{28A0092B-C50C-407E-A947-70E740481C1C}">
                          <a14:useLocalDpi xmlns:a14="http://schemas.microsoft.com/office/drawing/2010/main" val="0"/>
                        </a:ext>
                      </a:extLst>
                    </a:blip>
                    <a:stretch>
                      <a:fillRect/>
                    </a:stretch>
                  </pic:blipFill>
                  <pic:spPr>
                    <a:xfrm>
                      <a:off x="0" y="0"/>
                      <a:ext cx="2332355" cy="656590"/>
                    </a:xfrm>
                    <a:prstGeom prst="rect">
                      <a:avLst/>
                    </a:prstGeom>
                  </pic:spPr>
                </pic:pic>
              </a:graphicData>
            </a:graphic>
            <wp14:sizeRelH relativeFrom="page">
              <wp14:pctWidth>0</wp14:pctWidth>
            </wp14:sizeRelH>
            <wp14:sizeRelV relativeFrom="page">
              <wp14:pctHeight>0</wp14:pctHeight>
            </wp14:sizeRelV>
          </wp:anchor>
        </w:drawing>
      </w:r>
      <w:r w:rsidR="005522C2" w:rsidRPr="00F04F3B">
        <w:rPr>
          <w:rFonts w:ascii="Verdana" w:eastAsia="Calibri" w:hAnsi="Verdana" w:cs="Arial"/>
          <w:color w:val="000000" w:themeColor="text1"/>
          <w:lang w:val="es-ES" w:eastAsia="es-ES"/>
        </w:rPr>
        <w:t>Señora</w:t>
      </w:r>
    </w:p>
    <w:p w14:paraId="6887A8D0" w14:textId="49A03540" w:rsidR="005522C2" w:rsidRPr="00473105" w:rsidRDefault="005522C2" w:rsidP="005522C2">
      <w:pPr>
        <w:spacing w:after="0" w:line="240" w:lineRule="auto"/>
        <w:rPr>
          <w:rFonts w:ascii="Verdana" w:eastAsia="Calibri" w:hAnsi="Verdana" w:cs="Arial"/>
          <w:b/>
          <w:bCs/>
          <w:color w:val="000000" w:themeColor="text1"/>
          <w:lang w:val="es-ES" w:eastAsia="es-ES"/>
        </w:rPr>
      </w:pPr>
      <w:r w:rsidRPr="00F04F3B">
        <w:rPr>
          <w:rFonts w:ascii="Verdana" w:eastAsia="Calibri" w:hAnsi="Verdana" w:cs="Arial"/>
          <w:b/>
          <w:bCs/>
          <w:color w:val="000000" w:themeColor="text1"/>
          <w:lang w:val="es-ES" w:eastAsia="es-ES"/>
        </w:rPr>
        <w:t xml:space="preserve">Dania Garzón Castellanos </w:t>
      </w:r>
    </w:p>
    <w:p w14:paraId="37642036" w14:textId="2F6FDE5B" w:rsidR="005522C2" w:rsidRPr="00473105" w:rsidRDefault="005522C2" w:rsidP="005522C2">
      <w:pPr>
        <w:spacing w:after="0" w:line="240" w:lineRule="auto"/>
        <w:rPr>
          <w:rFonts w:ascii="Verdana" w:eastAsia="Calibri" w:hAnsi="Verdana" w:cs="Arial"/>
          <w:color w:val="000000" w:themeColor="text1"/>
          <w:lang w:val="es-ES" w:eastAsia="es-ES"/>
        </w:rPr>
      </w:pPr>
      <w:r w:rsidRPr="00473105">
        <w:rPr>
          <w:rFonts w:ascii="Verdana" w:eastAsia="Calibri" w:hAnsi="Verdana" w:cs="Arial"/>
          <w:color w:val="000000" w:themeColor="text1"/>
          <w:lang w:val="es-ES" w:eastAsia="es-ES"/>
        </w:rPr>
        <w:t xml:space="preserve">Profesional Universitaria </w:t>
      </w:r>
    </w:p>
    <w:p w14:paraId="173479A2" w14:textId="77777777" w:rsidR="005522C2" w:rsidRPr="00F04F3B" w:rsidRDefault="005522C2" w:rsidP="005522C2">
      <w:pPr>
        <w:spacing w:after="0" w:line="240" w:lineRule="auto"/>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Administración Municipal</w:t>
      </w:r>
    </w:p>
    <w:p w14:paraId="532AF04D" w14:textId="77777777" w:rsidR="005522C2" w:rsidRPr="00F04F3B" w:rsidRDefault="005522C2" w:rsidP="005522C2">
      <w:pPr>
        <w:spacing w:after="0" w:line="240" w:lineRule="auto"/>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El Carmen de Viboral, Antioquia</w:t>
      </w: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5522C2" w:rsidRPr="00F04F3B" w14:paraId="10269B8F" w14:textId="77777777" w:rsidTr="008C3F6D">
        <w:trPr>
          <w:trHeight w:val="300"/>
        </w:trPr>
        <w:tc>
          <w:tcPr>
            <w:tcW w:w="2410" w:type="dxa"/>
          </w:tcPr>
          <w:p w14:paraId="31519982" w14:textId="77777777" w:rsidR="005522C2" w:rsidRPr="00F04F3B" w:rsidRDefault="005522C2" w:rsidP="008C3F6D">
            <w:pPr>
              <w:ind w:left="-142"/>
              <w:jc w:val="both"/>
              <w:rPr>
                <w:rFonts w:ascii="Verdana" w:eastAsia="Calibri" w:hAnsi="Verdana" w:cs="Arial"/>
                <w:b/>
                <w:bCs/>
                <w:color w:val="000000" w:themeColor="text1"/>
                <w:lang w:val="es-ES" w:eastAsia="es-ES_tradnl"/>
              </w:rPr>
            </w:pPr>
          </w:p>
        </w:tc>
        <w:tc>
          <w:tcPr>
            <w:tcW w:w="6100" w:type="dxa"/>
          </w:tcPr>
          <w:p w14:paraId="227ADA68" w14:textId="77777777" w:rsidR="005522C2" w:rsidRPr="00F04F3B" w:rsidRDefault="005522C2" w:rsidP="008C3F6D">
            <w:pPr>
              <w:ind w:left="3"/>
              <w:jc w:val="both"/>
              <w:rPr>
                <w:rFonts w:ascii="Verdana" w:eastAsia="Calibri" w:hAnsi="Verdana" w:cs="Arial"/>
                <w:b/>
                <w:bCs/>
                <w:color w:val="000000" w:themeColor="text1"/>
                <w:lang w:val="es-ES" w:eastAsia="es-ES"/>
              </w:rPr>
            </w:pPr>
          </w:p>
          <w:p w14:paraId="5E199AE0" w14:textId="5D39F44A" w:rsidR="005522C2" w:rsidRPr="00F04F3B" w:rsidRDefault="005522C2" w:rsidP="008C3F6D">
            <w:pPr>
              <w:ind w:left="3"/>
              <w:jc w:val="both"/>
              <w:rPr>
                <w:rFonts w:ascii="Verdana" w:eastAsia="Calibri" w:hAnsi="Verdana" w:cs="Arial"/>
                <w:b/>
                <w:bCs/>
                <w:color w:val="000000" w:themeColor="text1"/>
                <w:lang w:val="es-ES" w:eastAsia="es-ES"/>
              </w:rPr>
            </w:pPr>
            <w:r w:rsidRPr="00F04F3B">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1120</w:t>
            </w:r>
            <w:r w:rsidRPr="00F04F3B">
              <w:rPr>
                <w:rFonts w:ascii="Verdana" w:eastAsia="Calibri" w:hAnsi="Verdana" w:cs="Arial"/>
                <w:b/>
                <w:bCs/>
                <w:color w:val="000000" w:themeColor="text1"/>
                <w:lang w:val="es-ES" w:eastAsia="es-ES"/>
              </w:rPr>
              <w:t xml:space="preserve"> de 2026</w:t>
            </w:r>
          </w:p>
          <w:p w14:paraId="17576E13" w14:textId="77777777" w:rsidR="005522C2" w:rsidRPr="00F04F3B" w:rsidRDefault="005522C2" w:rsidP="008C3F6D">
            <w:pPr>
              <w:ind w:left="3"/>
              <w:jc w:val="both"/>
              <w:rPr>
                <w:rFonts w:ascii="Verdana" w:eastAsia="Calibri" w:hAnsi="Verdana" w:cs="Arial"/>
                <w:b/>
                <w:bCs/>
                <w:color w:val="000000" w:themeColor="text1"/>
                <w:lang w:val="es-ES" w:eastAsia="es-ES"/>
              </w:rPr>
            </w:pPr>
          </w:p>
        </w:tc>
      </w:tr>
      <w:tr w:rsidR="005522C2" w:rsidRPr="00F04F3B" w14:paraId="15F472E0" w14:textId="77777777" w:rsidTr="008C3F6D">
        <w:trPr>
          <w:trHeight w:val="300"/>
        </w:trPr>
        <w:tc>
          <w:tcPr>
            <w:tcW w:w="2410" w:type="dxa"/>
          </w:tcPr>
          <w:p w14:paraId="342A6975" w14:textId="77777777" w:rsidR="005522C2" w:rsidRPr="00F04F3B" w:rsidRDefault="005522C2" w:rsidP="008C3F6D">
            <w:pPr>
              <w:ind w:left="424" w:firstLine="142"/>
              <w:jc w:val="both"/>
              <w:rPr>
                <w:rFonts w:ascii="Verdana" w:eastAsia="Calibri" w:hAnsi="Verdana" w:cs="Arial"/>
                <w:color w:val="000000" w:themeColor="text1"/>
                <w:lang w:val="es-ES" w:eastAsia="es-ES_tradnl"/>
              </w:rPr>
            </w:pPr>
            <w:r w:rsidRPr="00F04F3B">
              <w:rPr>
                <w:rFonts w:ascii="Verdana" w:eastAsia="Calibri" w:hAnsi="Verdana" w:cs="Arial"/>
                <w:b/>
                <w:color w:val="000000" w:themeColor="text1"/>
                <w:lang w:val="es-ES" w:eastAsia="es-ES_tradnl"/>
              </w:rPr>
              <w:t>Temas:</w:t>
            </w:r>
            <w:r w:rsidRPr="00F04F3B">
              <w:rPr>
                <w:rFonts w:ascii="Verdana" w:eastAsia="Calibri" w:hAnsi="Verdana" w:cs="Arial"/>
                <w:color w:val="000000" w:themeColor="text1"/>
                <w:lang w:val="es-ES" w:eastAsia="es-ES_tradnl"/>
              </w:rPr>
              <w:t xml:space="preserve">                  </w:t>
            </w:r>
          </w:p>
        </w:tc>
        <w:tc>
          <w:tcPr>
            <w:tcW w:w="6100" w:type="dxa"/>
          </w:tcPr>
          <w:p w14:paraId="5A1C834C" w14:textId="77777777" w:rsidR="005522C2" w:rsidRPr="00F04F3B" w:rsidRDefault="005522C2" w:rsidP="008C3F6D">
            <w:pPr>
              <w:spacing w:line="276" w:lineRule="auto"/>
              <w:jc w:val="both"/>
              <w:rPr>
                <w:rFonts w:ascii="Verdana" w:hAnsi="Verdana" w:cs="Arial"/>
                <w:lang w:val="es-ES" w:eastAsia="es-ES"/>
              </w:rPr>
            </w:pPr>
            <w:r w:rsidRPr="00F04F3B">
              <w:rPr>
                <w:rFonts w:ascii="Verdana" w:hAnsi="Verdana" w:cs="Arial"/>
                <w:lang w:val="es-ES" w:eastAsia="es-ES"/>
              </w:rPr>
              <w:t>MODIFICACIÓN DE LOS CONTRATOS ESTATALES – Carácter excepcional – Límites / ADICIÓN – Parágrafo del artículo 40 de la Ley 80 de 1993 / CONTRATO DE OBRA – Estudios y diseños con posterior ejecución – Precio global – Precios unitarios / PRESUPUESTO OFICIAL – Valor del contrato – Apropiación presupuestal / RIESGOS PREVISIBLES – Asignación / EQUILIBRIO ECONÓMICO – Revisión y reajuste de precios</w:t>
            </w:r>
          </w:p>
          <w:p w14:paraId="12E5D3A1" w14:textId="77777777" w:rsidR="005522C2" w:rsidRPr="00F04F3B" w:rsidRDefault="005522C2" w:rsidP="008C3F6D">
            <w:pPr>
              <w:spacing w:line="276" w:lineRule="auto"/>
              <w:jc w:val="both"/>
              <w:rPr>
                <w:rFonts w:ascii="Verdana" w:eastAsia="Calibri" w:hAnsi="Verdana" w:cs="Arial"/>
                <w:color w:val="000000" w:themeColor="text1"/>
                <w:lang w:val="es-ES" w:eastAsia="es-ES"/>
              </w:rPr>
            </w:pPr>
          </w:p>
        </w:tc>
      </w:tr>
      <w:tr w:rsidR="005522C2" w:rsidRPr="00F04F3B" w14:paraId="4D67C486" w14:textId="77777777" w:rsidTr="008C3F6D">
        <w:trPr>
          <w:trHeight w:val="300"/>
        </w:trPr>
        <w:tc>
          <w:tcPr>
            <w:tcW w:w="2410" w:type="dxa"/>
          </w:tcPr>
          <w:p w14:paraId="5DE7B55E" w14:textId="77777777" w:rsidR="005522C2" w:rsidRPr="00F04F3B" w:rsidRDefault="005522C2" w:rsidP="008C3F6D">
            <w:pPr>
              <w:ind w:left="561"/>
              <w:jc w:val="both"/>
              <w:rPr>
                <w:rFonts w:ascii="Verdana" w:eastAsia="Calibri" w:hAnsi="Verdana" w:cs="Arial"/>
                <w:b/>
                <w:color w:val="000000" w:themeColor="text1"/>
                <w:lang w:val="es-ES" w:eastAsia="es-ES_tradnl"/>
              </w:rPr>
            </w:pPr>
            <w:r w:rsidRPr="00F04F3B">
              <w:rPr>
                <w:rFonts w:ascii="Verdana" w:eastAsia="Calibri" w:hAnsi="Verdana" w:cs="Arial"/>
                <w:b/>
                <w:color w:val="000000" w:themeColor="text1"/>
                <w:lang w:val="es-ES" w:eastAsia="es-ES_tradnl"/>
              </w:rPr>
              <w:t xml:space="preserve">Radicación:              </w:t>
            </w:r>
          </w:p>
        </w:tc>
        <w:tc>
          <w:tcPr>
            <w:tcW w:w="6100" w:type="dxa"/>
          </w:tcPr>
          <w:p w14:paraId="1D25C79E" w14:textId="77777777" w:rsidR="005522C2" w:rsidRPr="00F04F3B" w:rsidRDefault="005522C2" w:rsidP="008C3F6D">
            <w:pPr>
              <w:ind w:left="3"/>
              <w:jc w:val="both"/>
              <w:rPr>
                <w:rFonts w:ascii="Verdana" w:hAnsi="Verdana"/>
                <w:bCs/>
                <w:color w:val="000000"/>
                <w:lang w:val="es-ES"/>
              </w:rPr>
            </w:pPr>
            <w:r w:rsidRPr="00F04F3B">
              <w:rPr>
                <w:rFonts w:ascii="Verdana" w:eastAsia="Calibri" w:hAnsi="Verdana" w:cs="Arial"/>
                <w:bCs/>
                <w:color w:val="000000" w:themeColor="text1"/>
                <w:lang w:val="es-ES" w:eastAsia="es-ES"/>
              </w:rPr>
              <w:t>Respuesta a consulta con radicado No.</w:t>
            </w:r>
            <w:r w:rsidRPr="00F04F3B">
              <w:rPr>
                <w:rFonts w:ascii="Verdana" w:hAnsi="Verdana" w:cs="Segoe UI"/>
                <w:bCs/>
                <w:color w:val="242424"/>
                <w:shd w:val="clear" w:color="auto" w:fill="FFFFFF"/>
                <w:lang w:val="es-ES"/>
              </w:rPr>
              <w:t xml:space="preserve"> 1_2026_07_14_009316</w:t>
            </w:r>
            <w:r w:rsidRPr="00F04F3B">
              <w:rPr>
                <w:rFonts w:ascii="Verdana" w:eastAsia="Calibri" w:hAnsi="Verdana" w:cs="Arial"/>
                <w:bCs/>
                <w:color w:val="000000" w:themeColor="text1"/>
                <w:lang w:val="es-ES" w:eastAsia="es-ES"/>
              </w:rPr>
              <w:t xml:space="preserve"> </w:t>
            </w:r>
          </w:p>
        </w:tc>
      </w:tr>
    </w:tbl>
    <w:p w14:paraId="20EB3780" w14:textId="77777777" w:rsidR="005522C2" w:rsidRPr="00F04F3B" w:rsidRDefault="005522C2" w:rsidP="005522C2">
      <w:pPr>
        <w:spacing w:after="0" w:line="276" w:lineRule="auto"/>
        <w:jc w:val="both"/>
        <w:rPr>
          <w:rFonts w:ascii="Verdana" w:eastAsia="Calibri" w:hAnsi="Verdana" w:cs="Arial"/>
          <w:color w:val="000000" w:themeColor="text1"/>
          <w:lang w:val="es-ES" w:eastAsia="es-ES"/>
        </w:rPr>
      </w:pPr>
    </w:p>
    <w:p w14:paraId="7ABCF5C6" w14:textId="77777777" w:rsidR="005522C2" w:rsidRPr="00F04F3B" w:rsidRDefault="005522C2" w:rsidP="005522C2">
      <w:pPr>
        <w:spacing w:after="0" w:line="276" w:lineRule="auto"/>
        <w:jc w:val="both"/>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a</w:t>
      </w:r>
      <w:r w:rsidRPr="00F04F3B">
        <w:rPr>
          <w:rFonts w:ascii="Verdana" w:eastAsia="Calibri" w:hAnsi="Verdana" w:cs="Arial"/>
          <w:color w:val="000000" w:themeColor="text1"/>
          <w:lang w:val="es-ES" w:eastAsia="es-ES"/>
        </w:rPr>
        <w:t xml:space="preserve"> señor</w:t>
      </w:r>
      <w:r>
        <w:rPr>
          <w:rFonts w:ascii="Verdana" w:eastAsia="Calibri" w:hAnsi="Verdana" w:cs="Arial"/>
          <w:color w:val="000000" w:themeColor="text1"/>
          <w:lang w:val="es-ES" w:eastAsia="es-ES"/>
        </w:rPr>
        <w:t>a</w:t>
      </w:r>
      <w:r w:rsidRPr="00F04F3B">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Garzón</w:t>
      </w:r>
      <w:r w:rsidRPr="00F04F3B">
        <w:rPr>
          <w:rFonts w:ascii="Verdana" w:eastAsia="Calibri" w:hAnsi="Verdana" w:cs="Arial"/>
          <w:color w:val="000000" w:themeColor="text1"/>
          <w:lang w:val="es-ES" w:eastAsia="es-ES"/>
        </w:rPr>
        <w:t xml:space="preserve">: </w:t>
      </w:r>
    </w:p>
    <w:p w14:paraId="3E2DA9B0" w14:textId="77777777" w:rsidR="005522C2" w:rsidRPr="00F04F3B" w:rsidRDefault="005522C2" w:rsidP="005522C2">
      <w:pPr>
        <w:tabs>
          <w:tab w:val="left" w:pos="3768"/>
        </w:tabs>
        <w:spacing w:after="0" w:line="276" w:lineRule="auto"/>
        <w:jc w:val="both"/>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ab/>
      </w:r>
    </w:p>
    <w:p w14:paraId="78D3890B" w14:textId="77777777" w:rsidR="005522C2" w:rsidRPr="00F04F3B" w:rsidRDefault="005522C2" w:rsidP="005522C2">
      <w:pPr>
        <w:spacing w:after="0" w:line="276" w:lineRule="auto"/>
        <w:jc w:val="both"/>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En ejercicio de la competencia otorgada por los artículos 3, numeral 5º, y 11, numeral 8º, del Decreto Ley 4170 de 2011,</w:t>
      </w:r>
      <w:r w:rsidRPr="00F04F3B">
        <w:rPr>
          <w:rFonts w:ascii="Verdana" w:eastAsia="Arial MT" w:hAnsi="Verdana" w:cs="Arial MT"/>
          <w:color w:val="000000" w:themeColor="text1"/>
          <w:lang w:val="es-ES" w:eastAsia="es-ES"/>
        </w:rPr>
        <w:t xml:space="preserve"> </w:t>
      </w:r>
      <w:r w:rsidRPr="00F04F3B">
        <w:rPr>
          <w:rFonts w:ascii="Verdana" w:hAnsi="Verdana" w:cs="Arial"/>
          <w:color w:val="000000" w:themeColor="text1"/>
          <w:lang w:val="es-ES"/>
        </w:rPr>
        <w:t xml:space="preserve">así como lo establecido en el artículo 4 de la Resolución 1707 de 2018 expedida por esta Entidad, </w:t>
      </w:r>
      <w:r w:rsidRPr="00F04F3B">
        <w:rPr>
          <w:rFonts w:ascii="Verdana" w:eastAsia="Calibri" w:hAnsi="Verdana" w:cs="Arial"/>
          <w:color w:val="000000" w:themeColor="text1"/>
          <w:lang w:val="es-ES" w:eastAsia="es-ES"/>
        </w:rPr>
        <w:t xml:space="preserve">la Agencia Nacional de Contratación Pública – Colombia Compra Eficiente– responde su solicitud de consulta del 15 </w:t>
      </w:r>
      <w:r>
        <w:rPr>
          <w:rFonts w:ascii="Verdana" w:eastAsia="Calibri" w:hAnsi="Verdana" w:cs="Arial"/>
          <w:color w:val="000000" w:themeColor="text1"/>
          <w:lang w:val="es-ES" w:eastAsia="es-ES"/>
        </w:rPr>
        <w:t xml:space="preserve">de </w:t>
      </w:r>
      <w:r w:rsidRPr="00F04F3B">
        <w:rPr>
          <w:rFonts w:ascii="Verdana" w:eastAsia="Calibri" w:hAnsi="Verdana" w:cs="Arial"/>
          <w:color w:val="000000" w:themeColor="text1"/>
          <w:lang w:val="es-ES" w:eastAsia="es-ES"/>
        </w:rPr>
        <w:t xml:space="preserve">julio de 2026, en la cual manifiesta lo siguiente: </w:t>
      </w:r>
    </w:p>
    <w:p w14:paraId="663D6F78" w14:textId="77777777" w:rsidR="005522C2" w:rsidRPr="00F04F3B" w:rsidRDefault="005522C2" w:rsidP="005522C2">
      <w:pPr>
        <w:tabs>
          <w:tab w:val="left" w:pos="142"/>
          <w:tab w:val="left" w:pos="284"/>
        </w:tabs>
        <w:spacing w:after="0" w:line="276" w:lineRule="auto"/>
        <w:contextualSpacing/>
        <w:jc w:val="both"/>
        <w:rPr>
          <w:rFonts w:ascii="Verdana" w:eastAsia="Century Gothic" w:hAnsi="Verdana" w:cs="Century Gothic"/>
          <w:b/>
          <w:color w:val="000000" w:themeColor="text1"/>
          <w:lang w:val="es-ES"/>
        </w:rPr>
      </w:pPr>
    </w:p>
    <w:p w14:paraId="5DEA2DD3"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w:t>
      </w:r>
    </w:p>
    <w:p w14:paraId="7BECF2AE"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 xml:space="preserve">En los procesos de selección cuyo objeto comprende la elaboración de estudios y diseños y la posterior ejecución de una obra, dada las circunstancias y particularidades del contrato, ¿Como puede incorporarse el presupuesto oficial estimado cuando el mismo contempla valores del proyecto independientes para estudios y diseños, y obras, ajustados (Por unidad de medida / metro cuadrado) y se determina como riesgo </w:t>
      </w:r>
      <w:r w:rsidRPr="00F04F3B">
        <w:rPr>
          <w:rFonts w:ascii="Verdana" w:eastAsia="Calibri" w:hAnsi="Verdana" w:cs="Arial"/>
          <w:i/>
          <w:iCs/>
          <w:sz w:val="20"/>
          <w:szCs w:val="20"/>
          <w:lang w:val="es-ES"/>
        </w:rPr>
        <w:lastRenderedPageBreak/>
        <w:t>previsible: Los mayores valores que pudieran resultar de los estudios y diseños.</w:t>
      </w:r>
    </w:p>
    <w:p w14:paraId="135DA941"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 xml:space="preserve">Asimismo, dentro de las especificaciones </w:t>
      </w:r>
      <w:proofErr w:type="gramStart"/>
      <w:r w:rsidRPr="00F04F3B">
        <w:rPr>
          <w:rFonts w:ascii="Verdana" w:eastAsia="Calibri" w:hAnsi="Verdana" w:cs="Arial"/>
          <w:i/>
          <w:iCs/>
          <w:sz w:val="20"/>
          <w:szCs w:val="20"/>
          <w:lang w:val="es-ES"/>
        </w:rPr>
        <w:t>pre contractuales</w:t>
      </w:r>
      <w:proofErr w:type="gramEnd"/>
      <w:r w:rsidRPr="00F04F3B">
        <w:rPr>
          <w:rFonts w:ascii="Verdana" w:eastAsia="Calibri" w:hAnsi="Verdana" w:cs="Arial"/>
          <w:i/>
          <w:iCs/>
          <w:sz w:val="20"/>
          <w:szCs w:val="20"/>
          <w:lang w:val="es-ES"/>
        </w:rPr>
        <w:t>, se determinó: El consultor elaborará y entregará a la interventoría, las cantidades, especificaciones técnicas de construcción y presupuesto de obra parcial por estudio y diseño y el consolidado general o total del proyecto, con sus respectivos análisis de precios unitarios, para su respectiva aprobación. Así las cosas, el contrato se suscribió en el año 2023. Sin embargo, los estudios y diseños fueron aprobados en el año 2025, por circunstancias ajenas a la voluntad de las partes, vigencia en la cual, también se efectuó el cierre financiero, el cual se actualizo a la vigencia 2026, como consecuencia directa, de la variación económica y presupuestal, siendo evidente que los precios unitarios ofertados en 2023 para ejecutar en 2026 resultan financieramente inviables.</w:t>
      </w:r>
    </w:p>
    <w:p w14:paraId="4C270727"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En ese contexto, respetuosamente solicitamos orientación sobre el alcance de las modificaciones contractuales que pueden efectuarse en este tipo de contratos, a la luz de los principios de planeación, responsabilidad, economía, transparencia y selección objetiva, así como del principio de inmutabilidad relativa del contrato estatal. Con fundamento en lo anterior, se solicita concepto sobre los siguientes aspectos:</w:t>
      </w:r>
    </w:p>
    <w:p w14:paraId="104A4C72"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1. ¿Cuál es el alcance jurídico de las modificaciones contractuales en contratos cuyo objeto comprende la elaboración de estudios y diseños y la posterior ejecución de obra, cuando durante la ejecución se advierte la necesidad de ajustar aspectos económicos (Mayores valores) inicialmente previstos?</w:t>
      </w:r>
    </w:p>
    <w:p w14:paraId="0B32EB72"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2. ¿Es jurídicamente viable incorporar el presupuesto definitivo, producto de la aprobación de estudios y diseños y cierre financiero, siempre que tales ajustes se encuentren debidamente soportados en los estudios y diseños elaborados durante la ejecución y no impliquen un cambio de la finalidad perseguida por el contrato?, ¿Cuál sería la figura jurídica a emplear?, ¿Y qué metodologías, formulas o mecanismos se pueden usar para determinar el presupuesto, si las partes contractualmente no lo acordaron?</w:t>
      </w:r>
    </w:p>
    <w:p w14:paraId="0D636CC3"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3. ¿Cuáles son los límites que deben observar las entidades estatales para garantizar que este tipo de modificaciones no desconozcan el deber de planeación ni los principios que rigen la contratación estatal?</w:t>
      </w:r>
    </w:p>
    <w:p w14:paraId="3A5022EC" w14:textId="77777777" w:rsidR="005522C2" w:rsidRPr="00F04F3B" w:rsidRDefault="005522C2" w:rsidP="005522C2">
      <w:pPr>
        <w:spacing w:line="240" w:lineRule="auto"/>
        <w:ind w:left="709" w:right="709"/>
        <w:jc w:val="both"/>
        <w:rPr>
          <w:rFonts w:ascii="Verdana" w:eastAsia="Calibri" w:hAnsi="Verdana" w:cs="Arial"/>
          <w:i/>
          <w:iCs/>
          <w:sz w:val="20"/>
          <w:szCs w:val="20"/>
          <w:lang w:val="es-ES"/>
        </w:rPr>
      </w:pPr>
      <w:r w:rsidRPr="00F04F3B">
        <w:rPr>
          <w:rFonts w:ascii="Verdana" w:eastAsia="Calibri" w:hAnsi="Verdana" w:cs="Arial"/>
          <w:i/>
          <w:iCs/>
          <w:sz w:val="20"/>
          <w:szCs w:val="20"/>
          <w:lang w:val="es-ES"/>
        </w:rPr>
        <w:t xml:space="preserve">4. ¿Qué tratamiento jurídico debe desarrollarse a modificaciones en contratos estructurados bajo la modalidad de estudios y diseños con posterior ejecución de obra o cual sería la figura jurídica recomendada para incorporar el presupuesto oficial, teniendo en cuenta que no se trata de una adición, sino de establecer el presupuesto oficial cuyo resultado </w:t>
      </w:r>
      <w:r w:rsidRPr="00F04F3B">
        <w:rPr>
          <w:rFonts w:ascii="Verdana" w:eastAsia="Calibri" w:hAnsi="Verdana" w:cs="Arial"/>
          <w:i/>
          <w:iCs/>
          <w:sz w:val="20"/>
          <w:szCs w:val="20"/>
          <w:lang w:val="es-ES"/>
        </w:rPr>
        <w:lastRenderedPageBreak/>
        <w:t>arroja un mayor valor al inicialmente pactado, sin embargo, respeta los límites establecidos en el artículo 40 de la ley 80 de 1993</w:t>
      </w:r>
      <w:r w:rsidRPr="00F04F3B">
        <w:rPr>
          <w:rFonts w:ascii="Verdana" w:eastAsia="Times New Roman" w:hAnsi="Verdana" w:cs="Times New Roman"/>
          <w:i/>
          <w:iCs/>
          <w:sz w:val="20"/>
          <w:szCs w:val="20"/>
          <w:lang w:val="es-ES"/>
        </w:rPr>
        <w:t>?</w:t>
      </w:r>
      <w:r w:rsidRPr="00F04F3B">
        <w:rPr>
          <w:rFonts w:ascii="Verdana" w:eastAsia="Calibri" w:hAnsi="Verdana" w:cs="Arial"/>
          <w:sz w:val="20"/>
          <w:szCs w:val="20"/>
          <w:lang w:val="es-ES"/>
        </w:rPr>
        <w:t>”.</w:t>
      </w:r>
    </w:p>
    <w:p w14:paraId="2F588669" w14:textId="77777777" w:rsidR="005522C2" w:rsidRPr="00F04F3B" w:rsidRDefault="005522C2" w:rsidP="005522C2">
      <w:pPr>
        <w:spacing w:after="0" w:line="276" w:lineRule="auto"/>
        <w:ind w:right="709"/>
        <w:jc w:val="both"/>
        <w:rPr>
          <w:rFonts w:ascii="Verdana" w:eastAsia="Calibri" w:hAnsi="Verdana" w:cs="Arial"/>
          <w:lang w:val="es-ES"/>
        </w:rPr>
      </w:pPr>
    </w:p>
    <w:p w14:paraId="72293957" w14:textId="77777777" w:rsidR="005522C2" w:rsidRPr="00F04F3B" w:rsidRDefault="005522C2" w:rsidP="005522C2">
      <w:pPr>
        <w:spacing w:after="120" w:line="276" w:lineRule="auto"/>
        <w:ind w:firstLine="708"/>
        <w:jc w:val="both"/>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04F3B">
        <w:rPr>
          <w:rFonts w:ascii="Verdana" w:hAnsi="Verdana"/>
          <w:lang w:val="es-ES"/>
        </w:rPr>
        <w:tab/>
      </w:r>
    </w:p>
    <w:p w14:paraId="3289BE96" w14:textId="77777777" w:rsidR="005522C2" w:rsidRPr="00F04F3B" w:rsidRDefault="005522C2" w:rsidP="005522C2">
      <w:pPr>
        <w:spacing w:after="0" w:line="276" w:lineRule="auto"/>
        <w:ind w:firstLine="709"/>
        <w:jc w:val="both"/>
        <w:rPr>
          <w:rFonts w:ascii="Verdana" w:eastAsia="Calibri" w:hAnsi="Verdana" w:cs="Arial"/>
          <w:color w:val="000000" w:themeColor="text1"/>
          <w:lang w:val="es-ES" w:eastAsia="es-ES"/>
        </w:rPr>
      </w:pPr>
      <w:r w:rsidRPr="00F04F3B">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69613D42" w14:textId="77777777" w:rsidR="005522C2" w:rsidRPr="00F04F3B" w:rsidRDefault="005522C2" w:rsidP="005522C2">
      <w:pPr>
        <w:spacing w:after="0" w:line="276" w:lineRule="auto"/>
        <w:jc w:val="both"/>
        <w:rPr>
          <w:rFonts w:ascii="Verdana" w:eastAsia="Calibri" w:hAnsi="Verdana" w:cs="Arial"/>
          <w:color w:val="000000" w:themeColor="text1"/>
          <w:lang w:val="es-ES" w:eastAsia="es-ES"/>
        </w:rPr>
      </w:pPr>
    </w:p>
    <w:p w14:paraId="5277F2BA" w14:textId="77777777" w:rsidR="005522C2" w:rsidRPr="00F04F3B" w:rsidRDefault="005522C2" w:rsidP="005522C2">
      <w:pPr>
        <w:pStyle w:val="Prrafodelista"/>
        <w:numPr>
          <w:ilvl w:val="0"/>
          <w:numId w:val="18"/>
        </w:numPr>
        <w:tabs>
          <w:tab w:val="left" w:pos="142"/>
          <w:tab w:val="left" w:pos="284"/>
        </w:tabs>
        <w:spacing w:after="0" w:line="276" w:lineRule="auto"/>
        <w:jc w:val="both"/>
        <w:rPr>
          <w:rFonts w:ascii="Verdana" w:eastAsia="Century Gothic" w:hAnsi="Verdana" w:cs="Century Gothic"/>
          <w:b/>
          <w:color w:val="000000" w:themeColor="text1"/>
        </w:rPr>
      </w:pPr>
      <w:r w:rsidRPr="00F04F3B">
        <w:rPr>
          <w:rFonts w:ascii="Verdana" w:eastAsia="Century Gothic" w:hAnsi="Verdana" w:cs="Century Gothic"/>
          <w:b/>
          <w:bCs/>
          <w:color w:val="000000" w:themeColor="text1"/>
        </w:rPr>
        <w:t>Problema planteado:</w:t>
      </w:r>
    </w:p>
    <w:p w14:paraId="5EA7BD09" w14:textId="77777777" w:rsidR="005522C2" w:rsidRPr="00F04F3B" w:rsidRDefault="005522C2" w:rsidP="005522C2">
      <w:pPr>
        <w:tabs>
          <w:tab w:val="left" w:pos="426"/>
        </w:tabs>
        <w:spacing w:after="0" w:line="276" w:lineRule="auto"/>
        <w:jc w:val="both"/>
        <w:rPr>
          <w:rFonts w:ascii="Verdana" w:eastAsia="Century Gothic" w:hAnsi="Verdana" w:cs="Century Gothic"/>
          <w:color w:val="000000" w:themeColor="text1"/>
          <w:lang w:val="es-ES"/>
        </w:rPr>
      </w:pPr>
    </w:p>
    <w:p w14:paraId="640BD896" w14:textId="77777777" w:rsidR="005522C2" w:rsidRPr="00F04F3B" w:rsidRDefault="005522C2" w:rsidP="005522C2">
      <w:pPr>
        <w:spacing w:line="276" w:lineRule="auto"/>
        <w:jc w:val="both"/>
        <w:rPr>
          <w:rFonts w:ascii="Verdana" w:eastAsia="Century Gothic" w:hAnsi="Verdana" w:cs="Century Gothic"/>
          <w:color w:val="000000" w:themeColor="text1"/>
          <w:lang w:val="es-ES"/>
        </w:rPr>
      </w:pPr>
      <w:r w:rsidRPr="00F04F3B">
        <w:rPr>
          <w:rFonts w:ascii="Verdana" w:eastAsia="Century Gothic" w:hAnsi="Verdana" w:cs="Century Gothic"/>
          <w:color w:val="000000" w:themeColor="text1"/>
          <w:lang w:val="es-ES"/>
        </w:rPr>
        <w:t xml:space="preserve">De acuerdo con el contenido de su solicitud, esta Agencia resolverá los siguientes problemas jurídicos: i) </w:t>
      </w:r>
      <w:r>
        <w:rPr>
          <w:rFonts w:ascii="Verdana" w:eastAsia="Century Gothic" w:hAnsi="Verdana" w:cs="Century Gothic"/>
          <w:color w:val="000000" w:themeColor="text1"/>
          <w:lang w:val="es-ES"/>
        </w:rPr>
        <w:t xml:space="preserve">¿cuáles son las modalidades que pueden pactar las entidades para pactar el precio en los contratos que incluyen tanto la elaboración de los estudios y diseños, como la ejecución de la obra pública?; </w:t>
      </w:r>
      <w:proofErr w:type="spellStart"/>
      <w:r>
        <w:rPr>
          <w:rFonts w:ascii="Verdana" w:eastAsia="Century Gothic" w:hAnsi="Verdana" w:cs="Century Gothic"/>
          <w:color w:val="000000" w:themeColor="text1"/>
          <w:lang w:val="es-ES"/>
        </w:rPr>
        <w:t>ii</w:t>
      </w:r>
      <w:proofErr w:type="spellEnd"/>
      <w:r>
        <w:rPr>
          <w:rFonts w:ascii="Verdana" w:eastAsia="Century Gothic" w:hAnsi="Verdana" w:cs="Century Gothic"/>
          <w:color w:val="000000" w:themeColor="text1"/>
          <w:lang w:val="es-ES"/>
        </w:rPr>
        <w:t>) ¿q</w:t>
      </w:r>
      <w:r w:rsidRPr="00F04F3B">
        <w:rPr>
          <w:rFonts w:ascii="Verdana" w:eastAsia="Century Gothic" w:hAnsi="Verdana" w:cs="Century Gothic"/>
          <w:color w:val="000000" w:themeColor="text1"/>
          <w:lang w:val="es-ES"/>
        </w:rPr>
        <w:t>ué tratamiento jurídico corresponde a la incorporación del presupuesto oficial cuyo resultado arroja un mayor valor al inicialmente pactado</w:t>
      </w:r>
      <w:r>
        <w:rPr>
          <w:rFonts w:ascii="Verdana" w:eastAsia="Century Gothic" w:hAnsi="Verdana" w:cs="Century Gothic"/>
          <w:color w:val="000000" w:themeColor="text1"/>
          <w:lang w:val="es-ES"/>
        </w:rPr>
        <w:t xml:space="preserve"> en un contrato de obra de llave en mano con precios unitarios</w:t>
      </w:r>
      <w:r w:rsidRPr="00F04F3B">
        <w:rPr>
          <w:rFonts w:ascii="Verdana" w:eastAsia="Century Gothic" w:hAnsi="Verdana" w:cs="Century Gothic"/>
          <w:color w:val="000000" w:themeColor="text1"/>
          <w:lang w:val="es-ES"/>
        </w:rPr>
        <w:t>, de cara al límite del parágrafo del artículo 40 de la Ley 80 de 1993?</w:t>
      </w:r>
      <w:r>
        <w:rPr>
          <w:rFonts w:ascii="Verdana" w:eastAsia="Century Gothic" w:hAnsi="Verdana" w:cs="Century Gothic"/>
          <w:color w:val="000000" w:themeColor="text1"/>
          <w:lang w:val="es-ES"/>
        </w:rPr>
        <w:t xml:space="preserve">; </w:t>
      </w:r>
      <w:proofErr w:type="spellStart"/>
      <w:r w:rsidRPr="00F04F3B">
        <w:rPr>
          <w:rFonts w:ascii="Verdana" w:eastAsia="Century Gothic" w:hAnsi="Verdana" w:cs="Century Gothic"/>
          <w:color w:val="000000" w:themeColor="text1"/>
          <w:lang w:val="es-ES"/>
        </w:rPr>
        <w:t>i</w:t>
      </w:r>
      <w:r>
        <w:rPr>
          <w:rFonts w:ascii="Verdana" w:eastAsia="Century Gothic" w:hAnsi="Verdana" w:cs="Century Gothic"/>
          <w:color w:val="000000" w:themeColor="text1"/>
          <w:lang w:val="es-ES"/>
        </w:rPr>
        <w:t>ii</w:t>
      </w:r>
      <w:proofErr w:type="spellEnd"/>
      <w:r w:rsidRPr="00F04F3B">
        <w:rPr>
          <w:rFonts w:ascii="Verdana" w:eastAsia="Century Gothic" w:hAnsi="Verdana" w:cs="Century Gothic"/>
          <w:color w:val="000000" w:themeColor="text1"/>
          <w:lang w:val="es-ES"/>
        </w:rPr>
        <w:t>)</w:t>
      </w:r>
      <w:r>
        <w:rPr>
          <w:rFonts w:ascii="Verdana" w:eastAsia="Century Gothic" w:hAnsi="Verdana" w:cs="Century Gothic"/>
          <w:color w:val="000000" w:themeColor="text1"/>
          <w:lang w:val="es-ES"/>
        </w:rPr>
        <w:t xml:space="preserve"> ¿cuál es el alcance de los ajustes de precio o el restablecimiento económico del contrato con respecto a este supuesto?; y </w:t>
      </w:r>
      <w:proofErr w:type="spellStart"/>
      <w:r>
        <w:rPr>
          <w:rFonts w:ascii="Verdana" w:eastAsia="Century Gothic" w:hAnsi="Verdana" w:cs="Century Gothic"/>
          <w:color w:val="000000" w:themeColor="text1"/>
          <w:lang w:val="es-ES"/>
        </w:rPr>
        <w:t>iv</w:t>
      </w:r>
      <w:proofErr w:type="spellEnd"/>
      <w:r>
        <w:rPr>
          <w:rFonts w:ascii="Verdana" w:eastAsia="Century Gothic" w:hAnsi="Verdana" w:cs="Century Gothic"/>
          <w:color w:val="000000" w:themeColor="text1"/>
          <w:lang w:val="es-ES"/>
        </w:rPr>
        <w:t>)</w:t>
      </w:r>
      <w:r w:rsidRPr="00F04F3B">
        <w:rPr>
          <w:rFonts w:ascii="Verdana" w:eastAsia="Century Gothic" w:hAnsi="Verdana" w:cs="Century Gothic"/>
          <w:color w:val="000000" w:themeColor="text1"/>
          <w:lang w:val="es-ES"/>
        </w:rPr>
        <w:t xml:space="preserve"> ¿</w:t>
      </w:r>
      <w:r>
        <w:rPr>
          <w:rFonts w:ascii="Verdana" w:eastAsia="Century Gothic" w:hAnsi="Verdana" w:cs="Century Gothic"/>
          <w:color w:val="000000" w:themeColor="text1"/>
          <w:lang w:val="es-ES"/>
        </w:rPr>
        <w:t>c</w:t>
      </w:r>
      <w:r w:rsidRPr="00F04F3B">
        <w:rPr>
          <w:rFonts w:ascii="Verdana" w:eastAsia="Century Gothic" w:hAnsi="Verdana" w:cs="Century Gothic"/>
          <w:color w:val="000000" w:themeColor="text1"/>
          <w:lang w:val="es-ES"/>
        </w:rPr>
        <w:t xml:space="preserve">uáles son los límites que deben observar las entidades estatales para que este tipo de modificaciones no desconozcan el deber de planeación ni los principios que rigen la contratación estatal? </w:t>
      </w:r>
    </w:p>
    <w:p w14:paraId="3580D5EC" w14:textId="77777777" w:rsidR="005522C2" w:rsidRPr="00F04F3B" w:rsidRDefault="005522C2" w:rsidP="005522C2">
      <w:pPr>
        <w:pStyle w:val="Prrafodelista"/>
        <w:numPr>
          <w:ilvl w:val="0"/>
          <w:numId w:val="17"/>
        </w:numPr>
        <w:tabs>
          <w:tab w:val="left" w:pos="142"/>
          <w:tab w:val="left" w:pos="284"/>
        </w:tabs>
        <w:spacing w:after="0" w:line="276" w:lineRule="auto"/>
        <w:ind w:left="709"/>
        <w:jc w:val="both"/>
        <w:rPr>
          <w:rFonts w:ascii="Verdana" w:eastAsia="Century Gothic" w:hAnsi="Verdana" w:cs="Century Gothic"/>
          <w:b/>
          <w:color w:val="000000" w:themeColor="text1"/>
        </w:rPr>
      </w:pPr>
      <w:r w:rsidRPr="00F04F3B">
        <w:rPr>
          <w:rFonts w:ascii="Verdana" w:eastAsia="Century Gothic" w:hAnsi="Verdana" w:cs="Century Gothic"/>
          <w:b/>
          <w:bCs/>
          <w:color w:val="000000" w:themeColor="text1"/>
        </w:rPr>
        <w:lastRenderedPageBreak/>
        <w:t>Respuesta:</w:t>
      </w:r>
    </w:p>
    <w:p w14:paraId="2A9B9A00" w14:textId="77777777" w:rsidR="005522C2" w:rsidRPr="00F04F3B" w:rsidRDefault="005522C2" w:rsidP="005522C2">
      <w:pPr>
        <w:spacing w:after="0" w:line="276" w:lineRule="auto"/>
        <w:jc w:val="both"/>
        <w:rPr>
          <w:rFonts w:ascii="Verdana" w:eastAsia="Calibri" w:hAnsi="Verdana" w:cs="Arial"/>
          <w:b/>
          <w:bCs/>
          <w:color w:val="000000" w:themeColor="text1"/>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522C2" w:rsidRPr="00F04F3B" w14:paraId="70F96CB0" w14:textId="77777777" w:rsidTr="008C3F6D">
        <w:trPr>
          <w:trHeight w:val="300"/>
        </w:trPr>
        <w:tc>
          <w:tcPr>
            <w:tcW w:w="8828" w:type="dxa"/>
          </w:tcPr>
          <w:p w14:paraId="2E6FAE9E" w14:textId="77777777" w:rsidR="005522C2" w:rsidRDefault="005522C2" w:rsidP="008C3F6D">
            <w:pPr>
              <w:spacing w:before="120" w:after="120" w:line="276" w:lineRule="auto"/>
              <w:jc w:val="both"/>
              <w:rPr>
                <w:rFonts w:ascii="Verdana" w:hAnsi="Verdana" w:cs="Arial"/>
                <w:color w:val="000000" w:themeColor="text1"/>
              </w:rPr>
            </w:pPr>
            <w:r w:rsidRPr="000062D5">
              <w:rPr>
                <w:rFonts w:ascii="Verdana" w:hAnsi="Verdana" w:cs="Arial"/>
                <w:b/>
                <w:bCs/>
                <w:color w:val="000000" w:themeColor="text1"/>
                <w:lang w:val="es-ES"/>
              </w:rPr>
              <w:t>i.</w:t>
            </w:r>
            <w:r w:rsidRPr="00F04F3B">
              <w:rPr>
                <w:rFonts w:ascii="Verdana" w:hAnsi="Verdana" w:cs="Arial"/>
                <w:color w:val="000000" w:themeColor="text1"/>
                <w:lang w:val="es-ES"/>
              </w:rPr>
              <w:t xml:space="preserve"> </w:t>
            </w:r>
            <w:r w:rsidRPr="002D473A">
              <w:rPr>
                <w:rFonts w:ascii="Verdana" w:hAnsi="Verdana" w:cs="Arial"/>
                <w:color w:val="000000" w:themeColor="text1"/>
              </w:rPr>
              <w:t xml:space="preserve">El contrato de obra (art. 32.1 de la Ley 80 de 1993) admite que en un mismo proceso se adelanten conjuntamente la elaboración de los estudios y diseños y la construcción, y las entidades gozan de autonomía y discrecionalidad para configurar el precio y el sistema de pago, respetando los límites del ordenamiento. </w:t>
            </w:r>
          </w:p>
          <w:p w14:paraId="0D8ABB38" w14:textId="77777777" w:rsidR="005522C2" w:rsidRDefault="005522C2" w:rsidP="008C3F6D">
            <w:pPr>
              <w:spacing w:before="120" w:after="120" w:line="276" w:lineRule="auto"/>
              <w:ind w:firstLine="741"/>
              <w:jc w:val="both"/>
              <w:rPr>
                <w:rFonts w:ascii="Verdana" w:hAnsi="Verdana" w:cs="Arial"/>
                <w:color w:val="000000" w:themeColor="text1"/>
              </w:rPr>
            </w:pPr>
            <w:r w:rsidRPr="002D473A">
              <w:rPr>
                <w:rFonts w:ascii="Verdana" w:hAnsi="Verdana" w:cs="Arial"/>
                <w:color w:val="000000" w:themeColor="text1"/>
              </w:rPr>
              <w:t>Para este objeto puede acudirse, entre otras, a la modalidad "llave en mano". Cuando el objeto comprende el diseño y la posterior construcción, es usual y adecuado pactar la contraprestación a precio global —o global fijo o suma alzada—, pues se trata de un precio cerrado, cierto e inalterable dentro del cual el contratista asume el riesgo de la variación de las cantidades y de los precios</w:t>
            </w:r>
            <w:r>
              <w:rPr>
                <w:rFonts w:ascii="Verdana" w:hAnsi="Verdana" w:cs="Arial"/>
                <w:color w:val="000000" w:themeColor="text1"/>
              </w:rPr>
              <w:t xml:space="preserve">. </w:t>
            </w:r>
            <w:r w:rsidRPr="002D473A">
              <w:rPr>
                <w:rFonts w:ascii="Verdana" w:hAnsi="Verdana" w:cs="Arial"/>
                <w:color w:val="000000" w:themeColor="text1"/>
              </w:rPr>
              <w:t xml:space="preserve">El esquema de precios unitarios </w:t>
            </w:r>
            <w:r>
              <w:rPr>
                <w:rFonts w:ascii="Verdana" w:hAnsi="Verdana" w:cs="Arial"/>
                <w:color w:val="000000" w:themeColor="text1"/>
              </w:rPr>
              <w:t xml:space="preserve">resulta </w:t>
            </w:r>
            <w:r w:rsidRPr="002D473A">
              <w:rPr>
                <w:rFonts w:ascii="Verdana" w:hAnsi="Verdana" w:cs="Arial"/>
                <w:color w:val="000000" w:themeColor="text1"/>
              </w:rPr>
              <w:t>pertinente para los contratos de obra que no incluyen la elaboración de estudios y diseños, en los que el valor inicial es estimativo y el real resulta de multiplicar las cantidades ejecutadas por los precios unitarios. La decisión debe obedecer a un juicioso análisis de oportunidad y conveniencia, en armonía con los principios de la función administrativa y de la gestión fiscal.</w:t>
            </w:r>
          </w:p>
          <w:p w14:paraId="1E3D0254" w14:textId="77777777" w:rsidR="005522C2" w:rsidRPr="00F04F3B" w:rsidRDefault="005522C2" w:rsidP="008C3F6D">
            <w:pPr>
              <w:spacing w:after="120" w:line="276" w:lineRule="auto"/>
              <w:ind w:firstLine="707"/>
              <w:jc w:val="both"/>
              <w:rPr>
                <w:rFonts w:ascii="Verdana" w:hAnsi="Verdana" w:cs="Arial"/>
                <w:bCs/>
                <w:lang w:val="es-ES"/>
              </w:rPr>
            </w:pPr>
            <w:r w:rsidRPr="00F04F3B">
              <w:rPr>
                <w:rFonts w:ascii="Verdana" w:eastAsia="Century Gothic" w:hAnsi="Verdana" w:cs="Century Gothic"/>
                <w:color w:val="000000" w:themeColor="text1"/>
                <w:lang w:val="es-ES"/>
              </w:rPr>
              <w:t>Cuando no se establece un valor cerrado o precio global y el precio se estructura a precios unitarios —lo que sugiere la consulta al referirse a valores ajustados por unidad de medida—,</w:t>
            </w:r>
            <w:r w:rsidRPr="00F04F3B">
              <w:rPr>
                <w:rFonts w:ascii="Verdana" w:hAnsi="Verdana" w:cs="Arial"/>
                <w:bCs/>
                <w:lang w:val="es-ES"/>
              </w:rPr>
              <w:t xml:space="preserve"> las partes establecen una suma fija por cada unidad de los trabajos que debe ejecutar el contratista, por lo que el precio –a diferencia del ajuste alzado o la suma cerrada– no se determina por la totalidad de la obra, sino por cada parte, unidad o medida. Para la doctrina, “Se trata de un sistema flexible en el precio y en la obra, por cuanto ambos solo van a queda definitivamente determinados al momento de la conclusión de las obras, circunstancia en la que recién podrán conocerse con exactitud la cantidad de unidades ejecutadas por el constructor y, del mismo modo, el precio definitivo a ser pagado por el comitente”</w:t>
            </w:r>
            <w:r w:rsidRPr="00F04F3B">
              <w:rPr>
                <w:rStyle w:val="Refdenotaalpie"/>
                <w:rFonts w:ascii="Verdana" w:hAnsi="Verdana" w:cs="Arial"/>
                <w:bCs/>
                <w:lang w:val="es-ES"/>
              </w:rPr>
              <w:footnoteReference w:id="10"/>
            </w:r>
            <w:r w:rsidRPr="00F04F3B">
              <w:rPr>
                <w:rFonts w:ascii="Verdana" w:hAnsi="Verdana" w:cs="Arial"/>
                <w:bCs/>
                <w:lang w:val="es-ES"/>
              </w:rPr>
              <w:t xml:space="preserve">. En este caso, también se requiere establecer un tope máximo para la adelantar las obras, ya que “[…] </w:t>
            </w:r>
            <w:r w:rsidRPr="00F04F3B">
              <w:rPr>
                <w:rFonts w:ascii="Verdana" w:hAnsi="Verdana" w:cs="Arial"/>
                <w:bCs/>
                <w:lang w:val="es-ES"/>
              </w:rPr>
              <w:lastRenderedPageBreak/>
              <w:t>el precio total depende del conjunto de trabajos ejecutados según el presupuesto, pudiendo por tanto variar por nuevos trabajos adicionales […]”</w:t>
            </w:r>
            <w:r w:rsidRPr="00F04F3B">
              <w:rPr>
                <w:rStyle w:val="Refdenotaalpie"/>
                <w:rFonts w:ascii="Verdana" w:hAnsi="Verdana" w:cs="Arial"/>
                <w:bCs/>
                <w:lang w:val="es-ES"/>
              </w:rPr>
              <w:footnoteReference w:id="11"/>
            </w:r>
            <w:r w:rsidRPr="00F04F3B">
              <w:rPr>
                <w:rFonts w:ascii="Verdana" w:hAnsi="Verdana" w:cs="Arial"/>
                <w:bCs/>
                <w:lang w:val="es-ES"/>
              </w:rPr>
              <w:t xml:space="preserve">. </w:t>
            </w:r>
          </w:p>
          <w:p w14:paraId="258EFFB9" w14:textId="77777777" w:rsidR="005522C2" w:rsidRPr="00522E05" w:rsidRDefault="005522C2" w:rsidP="008C3F6D">
            <w:pPr>
              <w:spacing w:after="120" w:line="276" w:lineRule="auto"/>
              <w:ind w:firstLine="709"/>
              <w:jc w:val="both"/>
              <w:rPr>
                <w:rFonts w:ascii="Verdana" w:hAnsi="Verdana" w:cs="Arial"/>
                <w:bCs/>
                <w:szCs w:val="24"/>
                <w:lang w:val="es-ES" w:eastAsia="es-ES_tradnl"/>
              </w:rPr>
            </w:pPr>
            <w:r w:rsidRPr="00F04F3B">
              <w:rPr>
                <w:rFonts w:ascii="Verdana" w:hAnsi="Verdana" w:cs="Arial"/>
                <w:bCs/>
                <w:szCs w:val="24"/>
                <w:lang w:val="es-ES" w:eastAsia="es-ES_tradnl"/>
              </w:rPr>
              <w:t xml:space="preserve">En esta modalidad de establecimiento del precio, y por la misma naturaleza del contrato que impide definir con certeza su valor real, se establecen unas </w:t>
            </w:r>
            <w:r w:rsidRPr="00F04F3B">
              <w:rPr>
                <w:rFonts w:ascii="Verdana" w:hAnsi="Verdana" w:cs="Arial"/>
                <w:bCs/>
                <w:i/>
                <w:iCs/>
                <w:szCs w:val="24"/>
                <w:lang w:val="es-ES" w:eastAsia="es-ES_tradnl"/>
              </w:rPr>
              <w:t>estimaciones</w:t>
            </w:r>
            <w:r w:rsidRPr="00F04F3B">
              <w:rPr>
                <w:rFonts w:ascii="Verdana" w:hAnsi="Verdana" w:cs="Arial"/>
                <w:bCs/>
                <w:szCs w:val="24"/>
                <w:lang w:val="es-ES" w:eastAsia="es-ES_tradnl"/>
              </w:rPr>
              <w:t xml:space="preserve"> de cantidades de obra, </w:t>
            </w:r>
            <w:r w:rsidRPr="00F04F3B">
              <w:rPr>
                <w:rFonts w:ascii="Verdana" w:hAnsi="Verdana" w:cs="Arial"/>
                <w:bCs/>
                <w:i/>
                <w:iCs/>
                <w:szCs w:val="24"/>
                <w:lang w:val="es-ES" w:eastAsia="es-ES_tradnl"/>
              </w:rPr>
              <w:t>según los estudios y diseños</w:t>
            </w:r>
            <w:r w:rsidRPr="00F04F3B">
              <w:rPr>
                <w:rFonts w:ascii="Verdana" w:hAnsi="Verdana" w:cs="Arial"/>
                <w:bCs/>
                <w:szCs w:val="24"/>
                <w:lang w:val="es-ES" w:eastAsia="es-ES_tradnl"/>
              </w:rPr>
              <w:t>, los estudios previos y unos precios unitarios de los respectivos ítems de obra</w:t>
            </w:r>
            <w:r w:rsidRPr="00F04F3B">
              <w:rPr>
                <w:rStyle w:val="Refdenotaalpie"/>
                <w:rFonts w:ascii="Verdana" w:hAnsi="Verdana" w:cs="Arial"/>
                <w:bCs/>
                <w:szCs w:val="24"/>
                <w:lang w:val="es-ES" w:eastAsia="es-ES_tradnl"/>
              </w:rPr>
              <w:footnoteReference w:id="12"/>
            </w:r>
            <w:r w:rsidRPr="00F04F3B">
              <w:rPr>
                <w:rFonts w:ascii="Verdana" w:hAnsi="Verdana" w:cs="Arial"/>
                <w:bCs/>
                <w:szCs w:val="24"/>
                <w:lang w:val="es-ES" w:eastAsia="es-ES_tradnl"/>
              </w:rPr>
              <w:t xml:space="preserve">. </w:t>
            </w:r>
            <w:r w:rsidRPr="003713B1">
              <w:rPr>
                <w:rFonts w:ascii="Verdana" w:hAnsi="Verdana" w:cs="Arial"/>
                <w:bCs/>
                <w:szCs w:val="24"/>
                <w:lang w:eastAsia="es-ES_tradnl"/>
              </w:rPr>
              <w:t xml:space="preserve">Nótese que estos valores estimados son, precisamente, producto del resultado de los estudios y diseños; por ello el sistema de precios unitarios no es una modalidad frecuente en los contratos de obra «llave en mano», pues su estimación presupone contar con la información derivada de la ejecución previa de esa fase. Cuando la estimación de unidades y cantidades no se apoya en dicha información, surgen riesgos relevantes, porque el propio modelo obliga a ajustar los valores estimados una vez el contratista culmina los estudios y diseños y se </w:t>
            </w:r>
            <w:proofErr w:type="gramStart"/>
            <w:r w:rsidRPr="003713B1">
              <w:rPr>
                <w:rFonts w:ascii="Verdana" w:hAnsi="Verdana" w:cs="Arial"/>
                <w:bCs/>
                <w:szCs w:val="24"/>
                <w:lang w:eastAsia="es-ES_tradnl"/>
              </w:rPr>
              <w:t>dé inicio a</w:t>
            </w:r>
            <w:proofErr w:type="gramEnd"/>
            <w:r w:rsidRPr="003713B1">
              <w:rPr>
                <w:rFonts w:ascii="Verdana" w:hAnsi="Verdana" w:cs="Arial"/>
                <w:bCs/>
                <w:szCs w:val="24"/>
                <w:lang w:eastAsia="es-ES_tradnl"/>
              </w:rPr>
              <w:t xml:space="preserve"> la obra. En cambio, la distinción entre un valor estimado y un valor realmente ejecutado responde al esquema normal del contrato de obra que se adelanta de forma independiente y posterior a los estudios y diseños; de ahí que, pactado a precios unitarios dentro de un contrato «llave en mano», la entidad quede expuesta a estimar antes de los estudios, reajustar después conforme a sus resultados y, aun así, obtener valores que siguen siendo estimativos frente a lo que finalmente se ejecute</w:t>
            </w:r>
          </w:p>
          <w:p w14:paraId="79F52050" w14:textId="77777777" w:rsidR="005522C2" w:rsidRPr="00F04F3B" w:rsidRDefault="005522C2" w:rsidP="008C3F6D">
            <w:pPr>
              <w:spacing w:after="120" w:line="276" w:lineRule="auto"/>
              <w:jc w:val="both"/>
              <w:rPr>
                <w:rFonts w:ascii="Verdana" w:eastAsia="Calibri" w:hAnsi="Verdana" w:cs="Arial"/>
                <w:color w:val="000000"/>
                <w:szCs w:val="24"/>
                <w:lang w:val="es-ES" w:eastAsia="es-ES_tradnl"/>
              </w:rPr>
            </w:pPr>
            <w:r>
              <w:rPr>
                <w:rFonts w:ascii="Verdana" w:hAnsi="Verdana" w:cs="Arial"/>
                <w:b/>
                <w:bCs/>
                <w:color w:val="000000" w:themeColor="text1"/>
                <w:lang/>
              </w:rPr>
              <w:t xml:space="preserve">ii. </w:t>
            </w:r>
            <w:r w:rsidRPr="00F04F3B">
              <w:rPr>
                <w:rFonts w:ascii="Verdana" w:eastAsia="Calibri" w:hAnsi="Verdana" w:cs="Arial"/>
                <w:color w:val="000000"/>
                <w:szCs w:val="24"/>
                <w:lang w:val="es-ES" w:eastAsia="es-ES_tradnl"/>
              </w:rPr>
              <w:t xml:space="preserve">Frente al caso objeto de consulta, </w:t>
            </w:r>
            <w:r w:rsidRPr="00F04F3B">
              <w:rPr>
                <w:rFonts w:ascii="Verdana" w:eastAsia="Century Gothic" w:hAnsi="Verdana" w:cs="Century Gothic"/>
                <w:color w:val="000000" w:themeColor="text1"/>
                <w:lang w:val="es-ES"/>
              </w:rPr>
              <w:t xml:space="preserve">es importante recordar que una cosa es el presupuesto oficial —la estimación del costo de la necesidad que respalda la apropiación de los recursos— y otra el valor del contrato —lo efectivamente pactado—. Como en el caso el presupuesto oficial de la etapa constructiva se concreta a partir de los estudios y diseños, la entidad debe verificar si ese presupuesto oficial requerido para la etapa constructiva excede el valor apropiado y pactado inicialmente. Si el presupuesto oficial definitivo excede el valor apropiado, la entidad deberá modificar el contrato y apropiar los recursos requeridos; y ese mayor valor, en cuanto supone destinar recursos adicionales a los inicialmente previstos, puede constituir una adición sujeta al límite del parágrafo del artículo 40 de la Ley 80 de 1993. No se trata, pues, </w:t>
            </w:r>
            <w:r w:rsidRPr="00F04F3B">
              <w:rPr>
                <w:rFonts w:ascii="Verdana" w:eastAsia="Century Gothic" w:hAnsi="Verdana" w:cs="Century Gothic"/>
                <w:color w:val="000000" w:themeColor="text1"/>
                <w:lang w:val="es-ES"/>
              </w:rPr>
              <w:lastRenderedPageBreak/>
              <w:t>necesariamente de un ajuste del valor estimativo, sino de un asunto de a quién correspondía asumir el riesgo y de si su materialización exige una apropiación presupuestal nueva.</w:t>
            </w:r>
          </w:p>
          <w:p w14:paraId="4BE5A189" w14:textId="77777777" w:rsidR="005522C2" w:rsidRPr="00F04F3B" w:rsidRDefault="005522C2" w:rsidP="008C3F6D">
            <w:pPr>
              <w:spacing w:after="120" w:line="276" w:lineRule="auto"/>
              <w:ind w:firstLine="709"/>
              <w:jc w:val="both"/>
              <w:rPr>
                <w:rFonts w:ascii="Verdana" w:eastAsia="Calibri" w:hAnsi="Verdana" w:cs="Arial"/>
                <w:color w:val="000000"/>
                <w:szCs w:val="24"/>
                <w:lang w:val="es-ES" w:eastAsia="es-ES_tradnl"/>
              </w:rPr>
            </w:pPr>
            <w:r w:rsidRPr="00F04F3B">
              <w:rPr>
                <w:rFonts w:ascii="Verdana" w:eastAsia="Century Gothic" w:hAnsi="Verdana" w:cs="Century Gothic"/>
                <w:color w:val="000000" w:themeColor="text1"/>
                <w:lang w:val="es-ES"/>
              </w:rPr>
              <w:t>El peticionario sostiene que no se está frente a una adición, sino ante el establecimiento del presupuesto oficial. Sobre el particular debe precisarse que no podía existir una verdadera estimación de los precios de la obra antes de los estudios y diseños, porque estos no existían y el detalle de la obra lo determinaba esa fase; por ello, la entidad debe considerar si lo que se incorpora tras el diseño es realmente un presupuesto nuevo y no un simple reajuste de lo estimado, de modo que no pueda tratarse como una mera actualización de una estimación previa. En consecuencia, si se trata de un presupuesto nuevo que implica destinar recursos adicionales a los inicialmente apropiados y pactados, su incorporación no solo requiere de una modificación contractual —cualquiera que sea su denominación: otrosí, adición, modificación—, sino que, además, queda sujeta al límite del parágrafo del artículo 40 de la Ley 80 de 1993, conforme lo ha reiterado esta Agencia</w:t>
            </w:r>
            <w:r w:rsidRPr="00F04F3B">
              <w:rPr>
                <w:rStyle w:val="Refdenotaalpie"/>
                <w:rFonts w:ascii="Verdana" w:eastAsia="Century Gothic" w:hAnsi="Verdana" w:cs="Century Gothic"/>
                <w:color w:val="000000" w:themeColor="text1"/>
                <w:lang w:val="es-ES"/>
              </w:rPr>
              <w:footnoteReference w:id="13"/>
            </w:r>
            <w:r w:rsidRPr="00F04F3B">
              <w:rPr>
                <w:rFonts w:ascii="Verdana" w:eastAsia="Century Gothic" w:hAnsi="Verdana" w:cs="Century Gothic"/>
                <w:color w:val="000000" w:themeColor="text1"/>
                <w:lang w:val="es-ES"/>
              </w:rPr>
              <w:t>.</w:t>
            </w:r>
          </w:p>
          <w:p w14:paraId="4372E401" w14:textId="77777777" w:rsidR="005522C2" w:rsidRDefault="005522C2" w:rsidP="008C3F6D">
            <w:pPr>
              <w:spacing w:before="120" w:after="120" w:line="276" w:lineRule="auto"/>
              <w:jc w:val="both"/>
              <w:rPr>
                <w:rFonts w:ascii="Verdana" w:hAnsi="Verdana" w:cs="Arial"/>
                <w:color w:val="000000" w:themeColor="text1"/>
                <w:lang/>
              </w:rPr>
            </w:pPr>
            <w:r w:rsidRPr="003713B1">
              <w:rPr>
                <w:rFonts w:ascii="Verdana" w:hAnsi="Verdana" w:cs="Arial"/>
                <w:b/>
                <w:bCs/>
                <w:color w:val="000000" w:themeColor="text1"/>
                <w:lang/>
              </w:rPr>
              <w:t>i</w:t>
            </w:r>
            <w:r>
              <w:rPr>
                <w:rFonts w:ascii="Verdana" w:hAnsi="Verdana" w:cs="Arial"/>
                <w:b/>
                <w:bCs/>
                <w:color w:val="000000" w:themeColor="text1"/>
                <w:lang/>
              </w:rPr>
              <w:t>ii.</w:t>
            </w:r>
            <w:r w:rsidRPr="003713B1">
              <w:rPr>
                <w:rFonts w:ascii="Verdana" w:hAnsi="Verdana" w:cs="Arial"/>
                <w:b/>
                <w:bCs/>
                <w:color w:val="000000" w:themeColor="text1"/>
                <w:lang/>
              </w:rPr>
              <w:t xml:space="preserve"> </w:t>
            </w:r>
            <w:r w:rsidRPr="003713B1">
              <w:rPr>
                <w:rFonts w:ascii="Verdana" w:hAnsi="Verdana" w:cs="Arial"/>
                <w:color w:val="000000" w:themeColor="text1"/>
                <w:lang/>
              </w:rPr>
              <w:t xml:space="preserve">El equilibrio económico atiende a un álea extraordinaria —sobreviniente, imprevisible y ajena a las partes— y no al álea normal del negocio ni a los riesgos previstos y asignados. Como la propia entidad tipificó los "mayores valores que pudieran resultar de los estudios y diseños" como riesgo previsible, su materialización se gestiona en el campo del cumplimiento del contrato y de la distribución de riesgos pactada, y no como un desequilibrio económico, salvo que su magnitud y dimensión desborden los límites razonables de la previsibilidad. </w:t>
            </w:r>
          </w:p>
          <w:p w14:paraId="29A1CF09" w14:textId="45FE5C16" w:rsidR="005522C2" w:rsidRDefault="005522C2" w:rsidP="008C3F6D">
            <w:pPr>
              <w:widowControl w:val="0"/>
              <w:autoSpaceDE w:val="0"/>
              <w:autoSpaceDN w:val="0"/>
              <w:spacing w:before="120" w:line="276" w:lineRule="auto"/>
              <w:ind w:firstLine="709"/>
              <w:jc w:val="both"/>
              <w:rPr>
                <w:rFonts w:ascii="Verdana" w:hAnsi="Verdana" w:cs="Arial"/>
                <w:color w:val="000000" w:themeColor="text1"/>
                <w:lang/>
              </w:rPr>
            </w:pPr>
            <w:r>
              <w:rPr>
                <w:rFonts w:ascii="Verdana" w:hAnsi="Verdana" w:cs="Arial"/>
                <w:color w:val="000000" w:themeColor="text1"/>
                <w:lang/>
              </w:rPr>
              <w:t xml:space="preserve">Es importante aclarar que </w:t>
            </w:r>
            <w:r w:rsidRPr="003713B1">
              <w:rPr>
                <w:rFonts w:ascii="Verdana" w:hAnsi="Verdana" w:cs="Arial"/>
                <w:color w:val="000000" w:themeColor="text1"/>
                <w:lang/>
              </w:rPr>
              <w:t xml:space="preserve">de las adiciones proscritas por el </w:t>
            </w:r>
            <w:r>
              <w:rPr>
                <w:rFonts w:ascii="Verdana" w:hAnsi="Verdana" w:cs="Arial"/>
                <w:color w:val="000000" w:themeColor="text1"/>
                <w:lang/>
              </w:rPr>
              <w:t xml:space="preserve">parágrafo del </w:t>
            </w:r>
            <w:r w:rsidRPr="003713B1">
              <w:rPr>
                <w:rFonts w:ascii="Verdana" w:hAnsi="Verdana" w:cs="Arial"/>
                <w:color w:val="000000" w:themeColor="text1"/>
                <w:lang/>
              </w:rPr>
              <w:t>artículo 40</w:t>
            </w:r>
            <w:r w:rsidR="0060751B">
              <w:rPr>
                <w:rFonts w:ascii="Verdana" w:hAnsi="Verdana" w:cs="Arial"/>
                <w:color w:val="000000" w:themeColor="text1"/>
                <w:lang/>
              </w:rPr>
              <w:t xml:space="preserve"> </w:t>
            </w:r>
            <w:r>
              <w:rPr>
                <w:rFonts w:ascii="Verdana" w:hAnsi="Verdana" w:cs="Arial"/>
                <w:color w:val="000000" w:themeColor="text1"/>
                <w:lang/>
              </w:rPr>
              <w:t>de la ley 80 de 1993</w:t>
            </w:r>
            <w:r w:rsidRPr="003713B1">
              <w:rPr>
                <w:rFonts w:ascii="Verdana" w:hAnsi="Verdana" w:cs="Arial"/>
                <w:color w:val="000000" w:themeColor="text1"/>
                <w:lang/>
              </w:rPr>
              <w:t xml:space="preserve"> la jurisprudencia ha excluido las estipulaciones de reajuste de precios y de restablecimiento del equilibrio: el mayor valor que corresponda a la actualización de precios de ítems ya definidos (reajuste) o al restablecimiento por un álea extraordinaria no se computa dentro del 50 %, mientras que el que corresponda a mayores cantidades de obra o a ítems nuevos sí lo consume. </w:t>
            </w:r>
          </w:p>
          <w:p w14:paraId="3F90497C" w14:textId="77777777" w:rsidR="005522C2" w:rsidRPr="003713B1" w:rsidRDefault="005522C2" w:rsidP="008C3F6D">
            <w:pPr>
              <w:widowControl w:val="0"/>
              <w:autoSpaceDE w:val="0"/>
              <w:autoSpaceDN w:val="0"/>
              <w:spacing w:before="120" w:line="276" w:lineRule="auto"/>
              <w:ind w:firstLine="709"/>
              <w:jc w:val="both"/>
              <w:rPr>
                <w:rFonts w:ascii="Verdana" w:eastAsia="Arial" w:hAnsi="Verdana" w:cs="Arial"/>
                <w:color w:val="000000" w:themeColor="text1"/>
                <w:lang w:val="es-ES" w:eastAsia="es-ES" w:bidi="es-ES"/>
              </w:rPr>
            </w:pPr>
            <w:r w:rsidRPr="003713B1">
              <w:rPr>
                <w:rFonts w:ascii="Verdana" w:hAnsi="Verdana" w:cs="Arial"/>
                <w:color w:val="000000" w:themeColor="text1"/>
                <w:lang/>
              </w:rPr>
              <w:t>Esta calificación atiende a la naturaleza sustancial de cada estipulación y no puede emplearse para eludir el tope</w:t>
            </w:r>
            <w:r w:rsidRPr="00F04F3B">
              <w:rPr>
                <w:rFonts w:ascii="Verdana" w:eastAsia="Arial" w:hAnsi="Verdana" w:cs="Arial"/>
                <w:color w:val="000000" w:themeColor="text1"/>
                <w:lang w:val="es-ES" w:eastAsia="es-ES" w:bidi="es-ES"/>
              </w:rPr>
              <w:t xml:space="preserve"> esta calificación no puede convertirse </w:t>
            </w:r>
            <w:r w:rsidRPr="00F04F3B">
              <w:rPr>
                <w:rFonts w:ascii="Verdana" w:eastAsia="Arial" w:hAnsi="Verdana" w:cs="Arial"/>
                <w:color w:val="000000" w:themeColor="text1"/>
                <w:lang w:val="es-ES" w:eastAsia="es-ES" w:bidi="es-ES"/>
              </w:rPr>
              <w:lastRenderedPageBreak/>
              <w:t>en un argumento para eludir el tope: el reajuste presupone precios de prestaciones ya pactadas, y el restablecimiento exige acreditar una afectación grave, sobreviniente, imprevisible y no imputable a la parte afectada, en los términos del artículo 27 de la Ley 80 de 1993; de lo contrario, el incremento constituye una adición y queda sometido al límite del artículo 40, como es el supuesto referido anteriormente en el que producto de los estudios y diseños la entidad cuenta con un presupuesto materialmente nuevo que implica la apropiación de recursos adicionales.</w:t>
            </w:r>
          </w:p>
          <w:p w14:paraId="1D600340" w14:textId="77777777" w:rsidR="005522C2" w:rsidRDefault="005522C2" w:rsidP="008C3F6D">
            <w:pPr>
              <w:spacing w:before="120" w:after="120" w:line="276" w:lineRule="auto"/>
              <w:jc w:val="both"/>
              <w:rPr>
                <w:rFonts w:ascii="Verdana" w:hAnsi="Verdana" w:cs="Arial"/>
                <w:color w:val="000000" w:themeColor="text1"/>
                <w:lang/>
              </w:rPr>
            </w:pPr>
            <w:r>
              <w:rPr>
                <w:rFonts w:ascii="Verdana" w:hAnsi="Verdana" w:cs="Arial"/>
                <w:b/>
                <w:bCs/>
                <w:color w:val="000000" w:themeColor="text1"/>
                <w:lang/>
              </w:rPr>
              <w:t>i</w:t>
            </w:r>
            <w:r w:rsidRPr="003713B1">
              <w:rPr>
                <w:rFonts w:ascii="Verdana" w:hAnsi="Verdana" w:cs="Arial"/>
                <w:b/>
                <w:bCs/>
                <w:color w:val="000000" w:themeColor="text1"/>
                <w:lang/>
              </w:rPr>
              <w:t>v</w:t>
            </w:r>
            <w:r>
              <w:rPr>
                <w:rFonts w:ascii="Verdana" w:hAnsi="Verdana" w:cs="Arial"/>
                <w:b/>
                <w:bCs/>
                <w:color w:val="000000" w:themeColor="text1"/>
                <w:lang/>
              </w:rPr>
              <w:t>.</w:t>
            </w:r>
            <w:r w:rsidRPr="003713B1">
              <w:rPr>
                <w:rFonts w:ascii="Verdana" w:hAnsi="Verdana" w:cs="Arial"/>
                <w:b/>
                <w:bCs/>
                <w:color w:val="000000" w:themeColor="text1"/>
                <w:lang/>
              </w:rPr>
              <w:t xml:space="preserve"> </w:t>
            </w:r>
            <w:r w:rsidRPr="003713B1">
              <w:rPr>
                <w:rFonts w:ascii="Verdana" w:hAnsi="Verdana" w:cs="Arial"/>
                <w:color w:val="000000" w:themeColor="text1"/>
                <w:lang/>
              </w:rPr>
              <w:t>La modificación de los contratos estatales es excepcional y solo procede cuando se pretenda garantizar el interés público, la causa sea real y cierta y se cumplan las condiciones legales; debe constar por escrito, estar debidamente motivada, no alterar la finalidad del contrato ni derivar de una indebida planeación. Las entidades deben respetar el límite cuantitativo del parágrafo del artículo 40 y los límites de orden temporal, formal, material y axiológico decantados por la jurisprudencia, que preservan los principios de planeación, selección objetiva, libre concurrencia, transparencia e igualdad. En particular, la modificación no puede ser un recurso para subsanar errores de una planeación deficiente; por ello, la recurrencia de adiciones o prórrogas puede ser un indicio de fallas de planeación, cuya valoración corresponde al juez del contrato según cada caso.</w:t>
            </w:r>
          </w:p>
          <w:p w14:paraId="076962A1" w14:textId="77777777" w:rsidR="005522C2" w:rsidRPr="00287185" w:rsidRDefault="005522C2" w:rsidP="008C3F6D">
            <w:pPr>
              <w:spacing w:before="120" w:after="120" w:line="276" w:lineRule="auto"/>
              <w:ind w:firstLine="741"/>
              <w:jc w:val="both"/>
              <w:rPr>
                <w:rFonts w:ascii="Verdana" w:hAnsi="Verdana" w:cs="Arial"/>
                <w:color w:val="000000" w:themeColor="text1"/>
                <w:lang/>
              </w:rPr>
            </w:pPr>
            <w:r w:rsidRPr="00F04F3B">
              <w:rPr>
                <w:rFonts w:ascii="Verdana" w:hAnsi="Verdana" w:cs="Arial"/>
                <w:color w:val="000000" w:themeColor="text1"/>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y determinará, bajo su propia responsabilidad los aspectos objeto de consulta, sin que sea atribución de la Agencia Nacional de Contratación Pública – Colombia Compra Eficiente definir, autorizar o validar esa decisión.</w:t>
            </w:r>
          </w:p>
        </w:tc>
      </w:tr>
    </w:tbl>
    <w:p w14:paraId="2BCB909A" w14:textId="77777777" w:rsidR="005522C2" w:rsidRPr="00F04F3B" w:rsidRDefault="005522C2" w:rsidP="005522C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3B7736BE" w14:textId="77777777" w:rsidR="005522C2" w:rsidRPr="00F04F3B" w:rsidRDefault="005522C2" w:rsidP="005522C2">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F04F3B">
        <w:rPr>
          <w:rFonts w:ascii="Verdana" w:eastAsia="Century Gothic" w:hAnsi="Verdana" w:cs="Century Gothic"/>
          <w:b/>
          <w:color w:val="000000" w:themeColor="text1"/>
        </w:rPr>
        <w:t>Razones de la respuesta:</w:t>
      </w:r>
    </w:p>
    <w:p w14:paraId="677BE5D9" w14:textId="77777777" w:rsidR="005522C2" w:rsidRPr="00F04F3B" w:rsidRDefault="005522C2" w:rsidP="005522C2">
      <w:pPr>
        <w:spacing w:after="0" w:line="276" w:lineRule="auto"/>
        <w:jc w:val="both"/>
        <w:rPr>
          <w:rFonts w:ascii="Verdana" w:eastAsia="Calibri" w:hAnsi="Verdana" w:cs="Arial"/>
          <w:color w:val="000000" w:themeColor="text1"/>
          <w:lang w:val="es-ES"/>
        </w:rPr>
      </w:pPr>
    </w:p>
    <w:p w14:paraId="172D92F9" w14:textId="77777777" w:rsidR="005522C2" w:rsidRPr="00F04F3B" w:rsidRDefault="005522C2" w:rsidP="005522C2">
      <w:pPr>
        <w:spacing w:after="0" w:line="276" w:lineRule="auto"/>
        <w:jc w:val="both"/>
        <w:rPr>
          <w:rFonts w:ascii="Verdana" w:eastAsia="Calibri" w:hAnsi="Verdana" w:cs="Arial"/>
          <w:color w:val="000000" w:themeColor="text1"/>
          <w:lang w:val="es-ES"/>
        </w:rPr>
      </w:pPr>
      <w:r w:rsidRPr="00F04F3B">
        <w:rPr>
          <w:rFonts w:ascii="Verdana" w:eastAsia="Calibri" w:hAnsi="Verdana" w:cs="Arial"/>
          <w:color w:val="000000" w:themeColor="text1"/>
          <w:lang w:val="es-ES"/>
        </w:rPr>
        <w:t xml:space="preserve">Lo anterior se sustenta en las siguientes consideraciones: </w:t>
      </w:r>
    </w:p>
    <w:p w14:paraId="4A6C0577" w14:textId="77777777" w:rsidR="005522C2" w:rsidRPr="00F04F3B" w:rsidRDefault="005522C2" w:rsidP="005522C2">
      <w:pPr>
        <w:snapToGrid w:val="0"/>
        <w:spacing w:before="120" w:after="120" w:line="276" w:lineRule="auto"/>
        <w:jc w:val="both"/>
        <w:rPr>
          <w:rFonts w:ascii="Verdana" w:eastAsia="Calibri" w:hAnsi="Verdana" w:cs="Arial"/>
          <w:lang w:val="es-ES"/>
        </w:rPr>
      </w:pPr>
      <w:r w:rsidRPr="00F04F3B">
        <w:rPr>
          <w:rFonts w:ascii="Verdana" w:eastAsia="Verdana" w:hAnsi="Verdana" w:cs="Verdana"/>
          <w:b/>
          <w:bCs/>
          <w:lang w:val="es-ES"/>
        </w:rPr>
        <w:lastRenderedPageBreak/>
        <w:t>i.</w:t>
      </w:r>
      <w:r w:rsidRPr="00F04F3B">
        <w:rPr>
          <w:rFonts w:ascii="Verdana" w:eastAsia="Verdana" w:hAnsi="Verdana" w:cs="Verdana"/>
          <w:lang w:val="es-ES"/>
        </w:rPr>
        <w:t xml:space="preserve"> </w:t>
      </w:r>
      <w:r w:rsidRPr="00F04F3B">
        <w:rPr>
          <w:rFonts w:ascii="Verdana" w:eastAsia="Calibri" w:hAnsi="Verdana" w:cs="Arial"/>
          <w:lang w:val="es-ES"/>
        </w:rPr>
        <w:t>La</w:t>
      </w:r>
      <w:r w:rsidRPr="00F04F3B">
        <w:rPr>
          <w:rFonts w:ascii="Verdana" w:eastAsia="Calibri" w:hAnsi="Verdana" w:cs="Arial"/>
          <w:color w:val="000000"/>
          <w:lang w:val="es-ES" w:eastAsia="es-ES" w:bidi="es-ES"/>
        </w:rPr>
        <w:t xml:space="preserve"> obra pública es una tipología de los contratos estatales, entendidos como los actos jurídicos generadores de obligaciones que son celebrados por alguna de las entidades estatales enlistadas en el artículo 2 de la Ley 80 de 1993.  Lo anterior resulta relevante, en la medida en que este tipo contractual se diferencia de la definición y regulación prevista en el derecho privado para el contrato de confección de obra material.   </w:t>
      </w:r>
    </w:p>
    <w:p w14:paraId="2D1A8A1D" w14:textId="77777777" w:rsidR="005522C2" w:rsidRPr="00F04F3B" w:rsidRDefault="005522C2" w:rsidP="005522C2">
      <w:pPr>
        <w:widowControl w:val="0"/>
        <w:autoSpaceDE w:val="0"/>
        <w:autoSpaceDN w:val="0"/>
        <w:spacing w:before="120" w:after="120" w:line="276" w:lineRule="auto"/>
        <w:ind w:firstLine="709"/>
        <w:jc w:val="both"/>
        <w:rPr>
          <w:rFonts w:ascii="Verdana" w:eastAsia="Calibri" w:hAnsi="Verdana" w:cs="Arial"/>
          <w:color w:val="000000"/>
          <w:lang w:val="es-ES" w:eastAsia="es-ES" w:bidi="es-ES"/>
        </w:rPr>
      </w:pPr>
      <w:bookmarkStart w:id="0" w:name="_Hlk35420344"/>
      <w:r w:rsidRPr="00F04F3B">
        <w:rPr>
          <w:rFonts w:ascii="Verdana" w:eastAsia="Calibri" w:hAnsi="Verdana" w:cs="Arial"/>
          <w:color w:val="000000"/>
          <w:lang w:val="es-ES" w:eastAsia="es-ES" w:bidi="es-ES"/>
        </w:rPr>
        <w:t xml:space="preserve">En </w:t>
      </w:r>
      <w:r w:rsidRPr="00F04F3B">
        <w:rPr>
          <w:rFonts w:ascii="Verdana" w:eastAsia="Calibri" w:hAnsi="Verdana" w:cs="Arial"/>
          <w:i/>
          <w:iCs/>
          <w:color w:val="000000"/>
          <w:lang w:val="es-ES" w:eastAsia="es-ES" w:bidi="es-ES"/>
        </w:rPr>
        <w:t>sentido amplio</w:t>
      </w:r>
      <w:r w:rsidRPr="00F04F3B">
        <w:rPr>
          <w:rFonts w:ascii="Verdana" w:eastAsia="Calibri" w:hAnsi="Verdana" w:cs="Arial"/>
          <w:color w:val="000000"/>
          <w:lang w:val="es-ES" w:eastAsia="es-ES" w:bidi="es-ES"/>
        </w:rPr>
        <w:t xml:space="preserve">, dado que la “obra” es un bien que crea la actividad humana, el hecho de que sea “pública” significa que es todo trabajo material en cuya creación o realización interviene el Estado. No obstante, </w:t>
      </w:r>
      <w:bookmarkStart w:id="1" w:name="_Hlk81428563"/>
      <w:r w:rsidRPr="00F04F3B">
        <w:rPr>
          <w:rFonts w:ascii="Verdana" w:eastAsia="Calibri" w:hAnsi="Verdana" w:cs="Arial"/>
          <w:color w:val="000000"/>
          <w:lang w:val="es-ES" w:eastAsia="es-ES" w:bidi="es-ES"/>
        </w:rPr>
        <w:t xml:space="preserve">el numeral 1 del artículo 32 de la Ley 80 de 1993 opta por un </w:t>
      </w:r>
      <w:r w:rsidRPr="00F04F3B">
        <w:rPr>
          <w:rFonts w:ascii="Verdana" w:eastAsia="Calibri" w:hAnsi="Verdana" w:cs="Arial"/>
          <w:i/>
          <w:iCs/>
          <w:color w:val="000000"/>
          <w:lang w:val="es-ES" w:eastAsia="es-ES" w:bidi="es-ES"/>
        </w:rPr>
        <w:t>sentido restringido</w:t>
      </w:r>
      <w:r w:rsidRPr="00F04F3B">
        <w:rPr>
          <w:rFonts w:ascii="Verdana" w:eastAsia="Calibri" w:hAnsi="Verdana" w:cs="Arial"/>
          <w:color w:val="000000"/>
          <w:lang w:val="es-ES" w:eastAsia="es-ES" w:bidi="es-ES"/>
        </w:rPr>
        <w:t xml:space="preserve">, al disponer que “Son contratos de obra los que celebren las entidades estatales para la </w:t>
      </w:r>
      <w:bookmarkStart w:id="2" w:name="_Hlk171668266"/>
      <w:r w:rsidRPr="00F04F3B">
        <w:rPr>
          <w:rFonts w:ascii="Verdana" w:eastAsia="Calibri" w:hAnsi="Verdana" w:cs="Arial"/>
          <w:color w:val="000000"/>
          <w:lang w:val="es-ES" w:eastAsia="es-ES" w:bidi="es-ES"/>
        </w:rPr>
        <w:t>construcción, mantenimiento, instalación</w:t>
      </w:r>
      <w:bookmarkEnd w:id="2"/>
      <w:r w:rsidRPr="00F04F3B">
        <w:rPr>
          <w:rFonts w:ascii="Verdana" w:eastAsia="Calibri" w:hAnsi="Verdana" w:cs="Arial"/>
          <w:color w:val="000000"/>
          <w:lang w:val="es-ES" w:eastAsia="es-ES" w:bidi="es-ES"/>
        </w:rPr>
        <w:t xml:space="preserve"> y, en general, para la realización de cualquier otro trabajo material sobre bienes inmuebles, </w:t>
      </w:r>
      <w:bookmarkStart w:id="3" w:name="_Hlk171667437"/>
      <w:r w:rsidRPr="00F04F3B">
        <w:rPr>
          <w:rFonts w:ascii="Verdana" w:eastAsia="Calibri" w:hAnsi="Verdana" w:cs="Arial"/>
          <w:color w:val="000000"/>
          <w:lang w:val="es-ES" w:eastAsia="es-ES" w:bidi="es-ES"/>
        </w:rPr>
        <w:t>cualquiera que sea la modalidad de ejecución y pago</w:t>
      </w:r>
      <w:bookmarkEnd w:id="3"/>
      <w:r w:rsidRPr="00F04F3B">
        <w:rPr>
          <w:rFonts w:ascii="Verdana" w:eastAsia="Calibri" w:hAnsi="Verdana" w:cs="Arial"/>
          <w:color w:val="000000"/>
          <w:lang w:val="es-ES" w:eastAsia="es-ES" w:bidi="es-ES"/>
        </w:rPr>
        <w:t>”, de manera que este tipo de contrato no aplica a los trabajos materiales realizados sobre bienes muebles</w:t>
      </w:r>
      <w:r w:rsidRPr="00F04F3B">
        <w:rPr>
          <w:rStyle w:val="Refdenotaalpie"/>
          <w:rFonts w:ascii="Verdana" w:eastAsia="Calibri" w:hAnsi="Verdana" w:cs="Arial"/>
          <w:color w:val="000000"/>
          <w:lang w:val="es-ES" w:eastAsia="es-ES" w:bidi="es-ES"/>
        </w:rPr>
        <w:footnoteReference w:id="14"/>
      </w:r>
      <w:r w:rsidRPr="00F04F3B">
        <w:rPr>
          <w:rFonts w:ascii="Verdana" w:eastAsia="Calibri" w:hAnsi="Verdana" w:cs="Arial"/>
          <w:color w:val="000000"/>
          <w:lang w:val="es-ES" w:eastAsia="es-ES" w:bidi="es-ES"/>
        </w:rPr>
        <w:t xml:space="preserve">. </w:t>
      </w:r>
    </w:p>
    <w:p w14:paraId="6E3132E1" w14:textId="77777777" w:rsidR="005522C2" w:rsidRPr="00F04F3B" w:rsidRDefault="005522C2" w:rsidP="005522C2">
      <w:pPr>
        <w:spacing w:after="0" w:line="276" w:lineRule="auto"/>
        <w:ind w:firstLine="708"/>
        <w:jc w:val="both"/>
        <w:rPr>
          <w:rFonts w:ascii="Verdana" w:eastAsia="Calibri" w:hAnsi="Verdana" w:cs="Arial"/>
          <w:color w:val="000000"/>
          <w:lang w:val="es-ES" w:eastAsia="es-ES" w:bidi="es-ES"/>
        </w:rPr>
      </w:pPr>
      <w:r w:rsidRPr="00F04F3B">
        <w:rPr>
          <w:rFonts w:ascii="Verdana" w:eastAsia="Calibri" w:hAnsi="Verdana" w:cs="Arial"/>
          <w:color w:val="000000"/>
          <w:lang w:val="es-ES" w:eastAsia="es-ES" w:bidi="es-ES"/>
        </w:rPr>
        <w:t>Por lo anterior, el legislador adoptó como criterio para la tipificación del contrato de obra pública que se trate de actividades realizadas sobre bienes inmuebles, admitiendo la ejecución de todo trabajo que tenga por objeto crear, construir, conservar o modificar este tipo de bienes, lo cual incluye trabajos de construcción, instalación, conservación, mantenimiento, reparación y demolición de esos mismos</w:t>
      </w:r>
      <w:bookmarkEnd w:id="0"/>
      <w:bookmarkEnd w:id="1"/>
      <w:r w:rsidRPr="00F04F3B">
        <w:rPr>
          <w:rFonts w:ascii="Verdana" w:eastAsia="Calibri" w:hAnsi="Verdana" w:cs="Arial"/>
          <w:color w:val="000000"/>
          <w:vertAlign w:val="superscript"/>
          <w:lang w:val="es-ES" w:eastAsia="es-ES" w:bidi="es-ES"/>
        </w:rPr>
        <w:footnoteReference w:id="15"/>
      </w:r>
      <w:r w:rsidRPr="00F04F3B">
        <w:rPr>
          <w:rFonts w:ascii="Verdana" w:eastAsia="Calibri" w:hAnsi="Verdana" w:cs="Arial"/>
          <w:color w:val="000000"/>
          <w:lang w:val="es-ES" w:eastAsia="es-ES" w:bidi="es-ES"/>
        </w:rPr>
        <w:t>.</w:t>
      </w:r>
    </w:p>
    <w:p w14:paraId="7079D25A" w14:textId="77777777" w:rsidR="005522C2" w:rsidRPr="00F04F3B" w:rsidRDefault="005522C2" w:rsidP="005522C2">
      <w:pPr>
        <w:spacing w:before="120" w:after="0" w:line="276" w:lineRule="auto"/>
        <w:ind w:firstLine="708"/>
        <w:jc w:val="both"/>
        <w:rPr>
          <w:rFonts w:ascii="Verdana" w:hAnsi="Verdana"/>
          <w:lang w:val="es-ES"/>
        </w:rPr>
      </w:pPr>
      <w:r w:rsidRPr="00F04F3B">
        <w:rPr>
          <w:rFonts w:ascii="Verdana" w:hAnsi="Verdana" w:cs="Arial"/>
          <w:bCs/>
          <w:color w:val="000000" w:themeColor="text1"/>
          <w:lang w:val="es-ES"/>
        </w:rPr>
        <w:t xml:space="preserve">Como parte del deber de planeación, previo al inicio de un proceso de selección para la contratación de una obra pública, la entidad estatal debe contar con “los estudios y diseños que permitan establecer la viabilidad del proyecto y su impacto social, económico y ambiental”, en los términos del numeral 12 del artículo 25 de la Ley 80 de 1993, modificado por el artículo 87 de la Ley 1474 </w:t>
      </w:r>
      <w:r w:rsidRPr="00F04F3B">
        <w:rPr>
          <w:rFonts w:ascii="Verdana" w:hAnsi="Verdana" w:cs="Arial"/>
          <w:bCs/>
          <w:color w:val="000000" w:themeColor="text1"/>
          <w:lang w:val="es-ES"/>
        </w:rPr>
        <w:lastRenderedPageBreak/>
        <w:t>de 2011</w:t>
      </w:r>
      <w:r w:rsidRPr="00F04F3B">
        <w:rPr>
          <w:rStyle w:val="Refdenotaalpie"/>
          <w:rFonts w:ascii="Verdana" w:hAnsi="Verdana" w:cs="Arial"/>
          <w:bCs/>
          <w:color w:val="000000" w:themeColor="text1"/>
          <w:lang w:val="es-ES"/>
        </w:rPr>
        <w:footnoteReference w:id="16"/>
      </w:r>
      <w:r w:rsidRPr="00F04F3B">
        <w:rPr>
          <w:rFonts w:ascii="Verdana" w:hAnsi="Verdana"/>
          <w:lang w:val="es-ES"/>
        </w:rPr>
        <w:t>. De hecho, el numeral 3 del artículo 26 del EGCAP prescribe que las entidades y los servidores públicos responderán cuando hubieren iniciado procedimientos de selección sin haber elaborado los diseños correspondientes</w:t>
      </w:r>
      <w:r w:rsidRPr="00F04F3B">
        <w:rPr>
          <w:rStyle w:val="Refdenotaalpie"/>
          <w:rFonts w:ascii="Verdana" w:hAnsi="Verdana"/>
          <w:lang w:val="es-ES"/>
        </w:rPr>
        <w:footnoteReference w:id="17"/>
      </w:r>
      <w:r w:rsidRPr="00F04F3B">
        <w:rPr>
          <w:rFonts w:ascii="Verdana" w:hAnsi="Verdana"/>
          <w:lang w:val="es-ES"/>
        </w:rPr>
        <w:t xml:space="preserve">. </w:t>
      </w:r>
    </w:p>
    <w:p w14:paraId="0C87C733" w14:textId="77777777" w:rsidR="005522C2" w:rsidRPr="00F04F3B" w:rsidRDefault="005522C2" w:rsidP="005522C2">
      <w:pPr>
        <w:spacing w:before="120" w:after="120" w:line="276" w:lineRule="auto"/>
        <w:ind w:firstLine="708"/>
        <w:jc w:val="both"/>
        <w:rPr>
          <w:rFonts w:ascii="Verdana" w:hAnsi="Verdana" w:cs="Arial"/>
          <w:sz w:val="21"/>
          <w:szCs w:val="21"/>
          <w:lang w:val="es-ES"/>
        </w:rPr>
      </w:pPr>
      <w:r w:rsidRPr="00F04F3B">
        <w:rPr>
          <w:rFonts w:ascii="Verdana" w:hAnsi="Verdana"/>
          <w:lang w:val="es-ES"/>
        </w:rPr>
        <w:t xml:space="preserve">Igualmente, para los procesos de licitación pública, el numeral primero del artículo 30 </w:t>
      </w:r>
      <w:r w:rsidRPr="00F04F3B">
        <w:rPr>
          <w:rFonts w:ascii="Verdana" w:hAnsi="Verdana"/>
          <w:i/>
          <w:iCs/>
          <w:lang w:val="es-ES"/>
        </w:rPr>
        <w:t>ibidem</w:t>
      </w:r>
      <w:r w:rsidRPr="00F04F3B">
        <w:rPr>
          <w:rFonts w:ascii="Verdana" w:hAnsi="Verdana"/>
          <w:lang w:val="es-ES"/>
        </w:rPr>
        <w:t xml:space="preserve"> prescribe que “De conformidad con lo previsto en el numeral 12 del artículo 25 de esta ley, la resolución de apertura debe estar precedida de un estudio realizado por la entidad respectiva en el cual se analice la conveniencia y oportunidad del contrato y su adecuación a los planes de inversión, de adquisición o compras, presupuesto y ley de apropiaciones, según el caso. </w:t>
      </w:r>
      <w:r w:rsidRPr="00F04F3B">
        <w:rPr>
          <w:rFonts w:ascii="Verdana" w:hAnsi="Verdana"/>
          <w:i/>
          <w:iCs/>
          <w:lang w:val="es-ES"/>
        </w:rPr>
        <w:t>Cuando sea necesario, el estudio deberá estar acompañado, además, de los diseños, planos y evaluaciones de prefactibilidad o factibilidad</w:t>
      </w:r>
      <w:r w:rsidRPr="00F04F3B">
        <w:rPr>
          <w:rFonts w:ascii="Verdana" w:hAnsi="Verdana"/>
          <w:lang w:val="es-ES"/>
        </w:rPr>
        <w:t>” (Énfasis fuera de texto).</w:t>
      </w:r>
    </w:p>
    <w:p w14:paraId="4FF1B6C9" w14:textId="77777777" w:rsidR="005522C2" w:rsidRPr="00F04F3B" w:rsidRDefault="005522C2" w:rsidP="005522C2">
      <w:pPr>
        <w:pStyle w:val="Textoindependiente"/>
        <w:spacing w:after="120" w:line="276" w:lineRule="auto"/>
        <w:ind w:firstLine="708"/>
        <w:jc w:val="both"/>
      </w:pPr>
      <w:r w:rsidRPr="00F04F3B">
        <w:t xml:space="preserve">No obstante, </w:t>
      </w:r>
      <w:r w:rsidRPr="00F04F3B">
        <w:rPr>
          <w:bCs/>
          <w:color w:val="000000" w:themeColor="text1"/>
        </w:rPr>
        <w:t xml:space="preserve">el numeral 12 del artículo 25 de la Ley 80 de 1993 </w:t>
      </w:r>
      <w:r w:rsidRPr="00F04F3B">
        <w:t xml:space="preserve">no impide que en un mismo proceso de contratación se adelante de forma conjunta el proceso de construcción de la obra y la elaboración de los estudios y diseños que expliquen con mayor detalle a las obras y estructuras que se requieran, de tal forma que un constructor pueda materializar el proyecto, ya que sólo se requiere que existan unos estudios de viabilidad. Lo anterior se reitera con lo previsto en el artículo 2.2.1.1.2.1.1 del Decreto 1082 de 2015, el cual señala que, dentro de los estudios previos, cuando el objeto de contratación incluye el diseño y construcción, </w:t>
      </w:r>
      <w:r w:rsidRPr="00F04F3B">
        <w:rPr>
          <w:i/>
          <w:iCs/>
        </w:rPr>
        <w:t>se requieren los documentos técnicos del proyecto</w:t>
      </w:r>
      <w:r w:rsidRPr="00F04F3B">
        <w:rPr>
          <w:rStyle w:val="Refdenotaalpie"/>
        </w:rPr>
        <w:footnoteReference w:id="18"/>
      </w:r>
      <w:r w:rsidRPr="00F04F3B">
        <w:t xml:space="preserve">. </w:t>
      </w:r>
    </w:p>
    <w:p w14:paraId="06FE0CE6" w14:textId="77777777" w:rsidR="005522C2" w:rsidRPr="00F04F3B" w:rsidRDefault="005522C2" w:rsidP="005522C2">
      <w:pPr>
        <w:pStyle w:val="Textoindependiente"/>
        <w:spacing w:after="120" w:line="276" w:lineRule="auto"/>
        <w:ind w:firstLine="708"/>
        <w:jc w:val="both"/>
      </w:pPr>
      <w:r w:rsidRPr="00F04F3B">
        <w:lastRenderedPageBreak/>
        <w:t>En este sentido, la norma prevé de forma expresa la posibilidad que en un mismo proceso de contratación se adelante la elaboración de los diseños y la construcción de una obra. En otras palabras, debe quedar claro que la obligación contractual a cargo del contratista de obra de realizar los estudios y diseños para la obra pública constituye una forma en la que se satisface plenamente el deber legal de contar, de manera p</w:t>
      </w:r>
      <w:r w:rsidRPr="00F04F3B">
        <w:rPr>
          <w:bCs/>
          <w:color w:val="000000" w:themeColor="text1"/>
        </w:rPr>
        <w:t>revia a la apertura de un procedimiento de licitación para la contratación de una obra pública, con los estudios y diseños que permitan establecer la viabilidad del proyecto y su impacto social, económico y ambiental</w:t>
      </w:r>
      <w:r w:rsidRPr="00F04F3B">
        <w:rPr>
          <w:rStyle w:val="Refdenotaalpie"/>
          <w:bCs/>
          <w:color w:val="000000" w:themeColor="text1"/>
        </w:rPr>
        <w:footnoteReference w:id="19"/>
      </w:r>
      <w:r w:rsidRPr="00F04F3B">
        <w:rPr>
          <w:bCs/>
          <w:color w:val="000000" w:themeColor="text1"/>
        </w:rPr>
        <w:t>.</w:t>
      </w:r>
    </w:p>
    <w:p w14:paraId="5B4178CB" w14:textId="77777777" w:rsidR="005522C2" w:rsidRPr="00F04F3B" w:rsidRDefault="005522C2" w:rsidP="005522C2">
      <w:pPr>
        <w:pStyle w:val="Textoindependiente"/>
        <w:spacing w:before="120" w:line="276" w:lineRule="auto"/>
        <w:ind w:firstLine="709"/>
        <w:jc w:val="both"/>
      </w:pPr>
      <w:r w:rsidRPr="00F04F3B">
        <w:t>Es importante subrayar que en nuestro ordenamiento jurídico existen distintas fases para la elaboración y contratación de los estudios de viabilidad de un proyecto de construcción. En efecto, el artículo 12 de la Ley 16</w:t>
      </w:r>
      <w:r>
        <w:t>8</w:t>
      </w:r>
      <w:r w:rsidRPr="00F04F3B">
        <w:t xml:space="preserve">2 de 2013 define y clasifica los diversos estudios de ingeniería que se adelantan para la ejecución de los proyectos de infraestructura de transporte en: i) fase I- prefactibilidad, </w:t>
      </w:r>
      <w:proofErr w:type="spellStart"/>
      <w:r w:rsidRPr="00F04F3B">
        <w:t>ii</w:t>
      </w:r>
      <w:proofErr w:type="spellEnd"/>
      <w:r w:rsidRPr="00F04F3B">
        <w:t xml:space="preserve">) fase II- factibilidad y </w:t>
      </w:r>
      <w:proofErr w:type="spellStart"/>
      <w:r w:rsidRPr="00F04F3B">
        <w:t>iii</w:t>
      </w:r>
      <w:proofErr w:type="spellEnd"/>
      <w:r w:rsidRPr="00F04F3B">
        <w:t>) fase III- estudios y diseños</w:t>
      </w:r>
      <w:r w:rsidRPr="00F04F3B">
        <w:rPr>
          <w:spacing w:val="-1"/>
        </w:rPr>
        <w:t xml:space="preserve"> </w:t>
      </w:r>
      <w:r w:rsidRPr="00F04F3B">
        <w:t>definitivos.</w:t>
      </w:r>
    </w:p>
    <w:p w14:paraId="79C3E826" w14:textId="77777777" w:rsidR="005522C2" w:rsidRPr="00F04F3B" w:rsidRDefault="005522C2" w:rsidP="005522C2">
      <w:pPr>
        <w:pStyle w:val="Textoindependiente"/>
        <w:spacing w:before="120" w:after="120" w:line="276" w:lineRule="auto"/>
        <w:ind w:firstLine="709"/>
        <w:jc w:val="both"/>
      </w:pPr>
      <w:r w:rsidRPr="00F04F3B">
        <w:t xml:space="preserve">El estudio de “Fase 1. Prefactibilidad” es en el que se realiza el prediseño aproximado del proyecto, presentando alternativas y realizando la </w:t>
      </w:r>
      <w:r w:rsidRPr="00F04F3B">
        <w:rPr>
          <w:i/>
          <w:iCs/>
        </w:rPr>
        <w:t>evaluación económica preliminar</w:t>
      </w:r>
      <w:r w:rsidRPr="00F04F3B">
        <w:t xml:space="preserve"> recurriendo a costos obtenidos en proyectos con condiciones similares, utilizando modelos de simulación debidamente aprobados por las entidades solicitantes. En el estudio de “Fase 2. Factibilidad” se debe diseñar el proyecto y efectuar la </w:t>
      </w:r>
      <w:r w:rsidRPr="00F04F3B">
        <w:rPr>
          <w:i/>
          <w:iCs/>
        </w:rPr>
        <w:t>evaluación económica final</w:t>
      </w:r>
      <w:r w:rsidRPr="00F04F3B">
        <w:t xml:space="preserve"> y, además, tiene por finalidad establecer si el proyecto es factible para su ejecución, considerando todos los aspectos relacionados con el mismo. Finalmente, en el estudio de “Fase 3. Estudios y diseños definitivos” se deben elaborar los diseños detallados tanto geométricos como de todas las estructuras y obras que se requieran, de tal </w:t>
      </w:r>
      <w:r w:rsidRPr="00F04F3B">
        <w:lastRenderedPageBreak/>
        <w:t>forma que un constructor pueda materializar el proyecto</w:t>
      </w:r>
      <w:r w:rsidRPr="00F04F3B">
        <w:rPr>
          <w:rStyle w:val="Refdenotaalpie"/>
        </w:rPr>
        <w:footnoteReference w:id="20"/>
      </w:r>
      <w:r w:rsidRPr="00F04F3B">
        <w:t>. De acuerdo con las definiciones de los estudios de ingeniería es posible concluir que, para adelantar el proceso de contratación, cuyo objeto consiste en la construcción de una obra pública, se requerirá contar con los estudios de prefactibilidad y estudios de factibilidad, porque a través de estos se verifica la viabilidad del</w:t>
      </w:r>
      <w:r w:rsidRPr="00F04F3B">
        <w:rPr>
          <w:spacing w:val="-9"/>
        </w:rPr>
        <w:t xml:space="preserve"> </w:t>
      </w:r>
      <w:r w:rsidRPr="00F04F3B">
        <w:t>proyecto.</w:t>
      </w:r>
    </w:p>
    <w:p w14:paraId="6BADE2ED" w14:textId="77777777" w:rsidR="005522C2" w:rsidRPr="00F04F3B" w:rsidRDefault="005522C2" w:rsidP="005522C2">
      <w:pPr>
        <w:spacing w:after="120" w:line="276" w:lineRule="auto"/>
        <w:ind w:firstLine="707"/>
        <w:jc w:val="both"/>
        <w:rPr>
          <w:rFonts w:ascii="Verdana" w:hAnsi="Verdana" w:cs="Arial"/>
          <w:bCs/>
          <w:color w:val="000000" w:themeColor="text1"/>
          <w:lang w:val="es-ES"/>
        </w:rPr>
      </w:pPr>
      <w:r w:rsidRPr="00F04F3B">
        <w:rPr>
          <w:rFonts w:ascii="Verdana" w:hAnsi="Verdana" w:cs="Arial"/>
          <w:bCs/>
          <w:color w:val="000000" w:themeColor="text1"/>
          <w:lang w:val="es-ES"/>
        </w:rPr>
        <w:t xml:space="preserve">Otra de las opciones jurídicas previstas en nuestro ordenamiento jurídico para la elaboración de los estudios y diseños se encuentra en la tipología contractual denominada “llave en mano”. En efecto, según la Guía para la contratación de obra pública expedida por esta Agencia, en esta modalidad, el contratista se compromete a realizar todas las labores relacionadas con la obra incluyendo los diseños, estudios de factibilidad, construcción, contratación del </w:t>
      </w:r>
      <w:r w:rsidRPr="00F04F3B">
        <w:rPr>
          <w:rFonts w:ascii="Verdana" w:hAnsi="Verdana" w:cs="Arial"/>
          <w:bCs/>
          <w:color w:val="000000" w:themeColor="text1"/>
          <w:lang w:val="es-ES"/>
        </w:rPr>
        <w:lastRenderedPageBreak/>
        <w:t>personal, instalaciones y suministros y la contraprestación a cargo del contratista es la obra terminada y en funcionamiento</w:t>
      </w:r>
      <w:r w:rsidRPr="00F04F3B">
        <w:rPr>
          <w:rStyle w:val="Refdenotaalpie"/>
          <w:rFonts w:ascii="Verdana" w:hAnsi="Verdana" w:cs="Arial"/>
          <w:bCs/>
          <w:color w:val="000000" w:themeColor="text1"/>
          <w:lang w:val="es-ES"/>
        </w:rPr>
        <w:footnoteReference w:id="21"/>
      </w:r>
      <w:r w:rsidRPr="00F04F3B">
        <w:rPr>
          <w:rFonts w:ascii="Verdana" w:hAnsi="Verdana" w:cs="Arial"/>
          <w:bCs/>
          <w:color w:val="000000" w:themeColor="text1"/>
          <w:lang w:val="es-ES"/>
        </w:rPr>
        <w:t xml:space="preserve">. </w:t>
      </w:r>
    </w:p>
    <w:p w14:paraId="08E7984F" w14:textId="77777777" w:rsidR="005522C2" w:rsidRPr="00F04F3B" w:rsidRDefault="005522C2" w:rsidP="005522C2">
      <w:pPr>
        <w:spacing w:after="120" w:line="276" w:lineRule="auto"/>
        <w:ind w:firstLine="707"/>
        <w:jc w:val="both"/>
        <w:rPr>
          <w:rFonts w:ascii="Verdana" w:hAnsi="Verdana" w:cs="Arial"/>
          <w:lang w:val="es-ES"/>
        </w:rPr>
      </w:pPr>
      <w:r w:rsidRPr="00F04F3B">
        <w:rPr>
          <w:rFonts w:ascii="Verdana" w:hAnsi="Verdana" w:cs="Arial"/>
          <w:lang w:val="es-ES"/>
        </w:rPr>
        <w:t>De este modo, resulta claro que el contrato “llave en mano” es un sistema de contratación para construcción de obras, en el que el contratista se compromete a ejecutar la totalidad de prestaciones, incluyendo estudios previos diseños y la ejecución de la obra en condiciones tales que, al finalizar la labor, permita a la entidad contratante la puesta en marcha en el momento en que se efectúe su</w:t>
      </w:r>
      <w:r w:rsidRPr="00F04F3B">
        <w:rPr>
          <w:rFonts w:ascii="Verdana" w:hAnsi="Verdana" w:cs="Arial"/>
          <w:spacing w:val="-16"/>
          <w:lang w:val="es-ES"/>
        </w:rPr>
        <w:t xml:space="preserve"> </w:t>
      </w:r>
      <w:r w:rsidRPr="00F04F3B">
        <w:rPr>
          <w:rFonts w:ascii="Verdana" w:hAnsi="Verdana" w:cs="Arial"/>
          <w:lang w:val="es-ES"/>
        </w:rPr>
        <w:t>entrega.</w:t>
      </w:r>
    </w:p>
    <w:p w14:paraId="37CACC11" w14:textId="77777777" w:rsidR="005522C2" w:rsidRPr="00F04F3B" w:rsidRDefault="005522C2" w:rsidP="005522C2">
      <w:pPr>
        <w:spacing w:after="120" w:line="276" w:lineRule="auto"/>
        <w:ind w:firstLine="707"/>
        <w:jc w:val="both"/>
        <w:rPr>
          <w:rFonts w:ascii="Verdana" w:hAnsi="Verdana"/>
          <w:lang w:val="es-ES"/>
        </w:rPr>
      </w:pPr>
      <w:r w:rsidRPr="00F04F3B">
        <w:rPr>
          <w:rFonts w:ascii="Verdana" w:hAnsi="Verdana"/>
          <w:lang w:val="es-ES"/>
        </w:rPr>
        <w:t xml:space="preserve">Al momento de estructurar el presupuesto en uno u otro modelo, la entidad deberá considerar las formas de pago, es decir, por precios unitarios o precios globales, y, además, deberá atender las posibles variables que se desprenden de la tipología de contrato de obra pública cuando la ejecución del contrato así lo demande. Las entidades que adelanten la contratación de una obra pública deben estructurar sus presupuestos de acuerdo con las particularidades del proyecto que se pretenda ejecutar. Cuando la entidad opte por un modelo de “llave en mano”, que incluya tanto la elaboración de los estudios y diseños como la obra, deberá considerar cuál de dichas formas de pago mejor se adecua a la naturaleza del proyecto. </w:t>
      </w:r>
    </w:p>
    <w:p w14:paraId="7A0378F2" w14:textId="77777777" w:rsidR="005522C2" w:rsidRPr="00F04F3B" w:rsidRDefault="005522C2" w:rsidP="005522C2">
      <w:pPr>
        <w:spacing w:after="0" w:line="276" w:lineRule="auto"/>
        <w:ind w:firstLine="707"/>
        <w:jc w:val="both"/>
        <w:rPr>
          <w:rFonts w:ascii="Verdana" w:eastAsia="Century Gothic" w:hAnsi="Verdana" w:cs="Century Gothic"/>
          <w:color w:val="000000" w:themeColor="text1"/>
          <w:lang w:val="es-ES"/>
        </w:rPr>
      </w:pPr>
      <w:r w:rsidRPr="00F04F3B">
        <w:rPr>
          <w:rFonts w:ascii="Verdana" w:hAnsi="Verdana"/>
          <w:lang w:val="es-ES"/>
        </w:rPr>
        <w:t xml:space="preserve">Por lo anterior, </w:t>
      </w:r>
      <w:r w:rsidRPr="00F04F3B">
        <w:rPr>
          <w:rFonts w:ascii="Verdana" w:eastAsia="Century Gothic" w:hAnsi="Verdana" w:cs="Century Gothic"/>
          <w:color w:val="000000" w:themeColor="text1"/>
          <w:lang w:val="es-ES"/>
        </w:rPr>
        <w:t xml:space="preserve">cuando el objeto comprende el diseño y la posterior construcción, es usual pactar la contraprestación a </w:t>
      </w:r>
      <w:r w:rsidRPr="00F04F3B">
        <w:rPr>
          <w:rFonts w:ascii="Verdana" w:eastAsia="Century Gothic" w:hAnsi="Verdana" w:cs="Century Gothic"/>
          <w:i/>
          <w:iCs/>
          <w:color w:val="000000" w:themeColor="text1"/>
          <w:lang w:val="es-ES"/>
        </w:rPr>
        <w:t>precio global</w:t>
      </w:r>
      <w:r w:rsidRPr="00F04F3B">
        <w:rPr>
          <w:rFonts w:ascii="Verdana" w:eastAsia="Century Gothic" w:hAnsi="Verdana" w:cs="Century Gothic"/>
          <w:color w:val="000000" w:themeColor="text1"/>
          <w:lang w:val="es-ES"/>
        </w:rPr>
        <w:t xml:space="preserve"> —o a precio global fijo—, también llamados como contratos a "suma alzada" o "precio alzado". Estos se caracterizan porque el contratista, a cambio de las prestaciones a que se compromete, obtiene como remuneración una suma fija, siendo el único responsable de la vinculación de personal, de la elaboración de subcontratos y de la obtención de materiales. El pacto de un precio global fijo implica el acuerdo de un precio cerrado, cierto e inalterable, cuya única remuneración será el objeto contratado. En consecuencia, el contratista asume, dentro de ese precio cerrado, el riesgo asociado a la variación de las cantidades y de los precios, pues el valor se fija de manera integral por el resultado y no por unidades. En esa lógica, los precios más onerosos que los del mercado o el porcentaje asociado a la variación de precios se incorporan dentro del precio alzado. El Consejo de Estado precisó en sentencia del 31 de agosto de 2011 que: </w:t>
      </w:r>
    </w:p>
    <w:p w14:paraId="7243D4C5" w14:textId="77777777" w:rsidR="005522C2" w:rsidRPr="00F04F3B" w:rsidRDefault="005522C2" w:rsidP="005522C2">
      <w:pPr>
        <w:spacing w:after="0" w:line="276" w:lineRule="auto"/>
        <w:ind w:firstLine="707"/>
        <w:jc w:val="both"/>
        <w:rPr>
          <w:rFonts w:ascii="Verdana" w:eastAsia="Century Gothic" w:hAnsi="Verdana" w:cs="Century Gothic"/>
          <w:color w:val="000000" w:themeColor="text1"/>
          <w:lang w:val="es-ES"/>
        </w:rPr>
      </w:pPr>
    </w:p>
    <w:p w14:paraId="2F468952" w14:textId="77777777" w:rsidR="005522C2" w:rsidRPr="00F04F3B" w:rsidRDefault="005522C2" w:rsidP="005522C2">
      <w:pPr>
        <w:spacing w:after="0" w:line="240" w:lineRule="auto"/>
        <w:ind w:left="709" w:right="709"/>
        <w:jc w:val="both"/>
        <w:rPr>
          <w:rFonts w:ascii="Verdana" w:eastAsia="Century Gothic" w:hAnsi="Verdana" w:cs="Century Gothic"/>
          <w:color w:val="000000" w:themeColor="text1"/>
          <w:sz w:val="20"/>
          <w:szCs w:val="20"/>
          <w:lang w:val="es-ES"/>
        </w:rPr>
      </w:pPr>
      <w:r w:rsidRPr="00F04F3B">
        <w:rPr>
          <w:rFonts w:ascii="Verdana" w:eastAsia="Century Gothic" w:hAnsi="Verdana" w:cs="Century Gothic"/>
          <w:color w:val="000000" w:themeColor="text1"/>
          <w:sz w:val="20"/>
          <w:szCs w:val="20"/>
          <w:lang w:val="es-ES"/>
        </w:rPr>
        <w:t xml:space="preserve">El valor pactado es vinculante de manera que el contratista tiene la obligación de ejecutar por ese valor la totalidad de la obra o los productos o ítems así pactados, </w:t>
      </w:r>
      <w:proofErr w:type="gramStart"/>
      <w:r w:rsidRPr="00F04F3B">
        <w:rPr>
          <w:rFonts w:ascii="Verdana" w:eastAsia="Century Gothic" w:hAnsi="Verdana" w:cs="Century Gothic"/>
          <w:color w:val="000000" w:themeColor="text1"/>
          <w:sz w:val="20"/>
          <w:szCs w:val="20"/>
          <w:lang w:val="es-ES"/>
        </w:rPr>
        <w:t>y</w:t>
      </w:r>
      <w:proofErr w:type="gramEnd"/>
      <w:r w:rsidRPr="00F04F3B">
        <w:rPr>
          <w:rFonts w:ascii="Verdana" w:eastAsia="Century Gothic" w:hAnsi="Verdana" w:cs="Century Gothic"/>
          <w:color w:val="000000" w:themeColor="text1"/>
          <w:sz w:val="20"/>
          <w:szCs w:val="20"/>
          <w:lang w:val="es-ES"/>
        </w:rPr>
        <w:t xml:space="preserve"> en consecuencia, asume el riesgo derivado de los mayores o menores costos que la ejecución de las actividades pactadas a precio global puedan implicar. Lo anterior, sin perjuicio de los reconocimientos que deban efectuarse en caso de obras adicionales o extras, no contempladas inicialmente o por hechos no imputables al contratista que desequilibren la ecuación económica del contrato</w:t>
      </w:r>
      <w:r w:rsidRPr="00F04F3B">
        <w:rPr>
          <w:rStyle w:val="Refdenotaalpie"/>
          <w:rFonts w:ascii="Verdana" w:eastAsia="Century Gothic" w:hAnsi="Verdana" w:cs="Century Gothic"/>
          <w:color w:val="000000" w:themeColor="text1"/>
          <w:sz w:val="20"/>
          <w:szCs w:val="20"/>
          <w:lang w:val="es-ES"/>
        </w:rPr>
        <w:footnoteReference w:id="22"/>
      </w:r>
      <w:r w:rsidRPr="00F04F3B">
        <w:rPr>
          <w:rFonts w:ascii="Verdana" w:eastAsia="Century Gothic" w:hAnsi="Verdana" w:cs="Century Gothic"/>
          <w:color w:val="000000" w:themeColor="text1"/>
          <w:sz w:val="20"/>
          <w:szCs w:val="20"/>
          <w:lang w:val="es-ES"/>
        </w:rPr>
        <w:t>.</w:t>
      </w:r>
    </w:p>
    <w:p w14:paraId="400EDD17" w14:textId="77777777" w:rsidR="005522C2" w:rsidRPr="00F04F3B" w:rsidRDefault="005522C2" w:rsidP="005522C2">
      <w:pPr>
        <w:spacing w:after="0" w:line="240" w:lineRule="auto"/>
        <w:ind w:left="709" w:right="709"/>
        <w:jc w:val="both"/>
        <w:rPr>
          <w:rFonts w:ascii="Verdana" w:eastAsia="Century Gothic" w:hAnsi="Verdana" w:cs="Century Gothic"/>
          <w:color w:val="000000" w:themeColor="text1"/>
          <w:sz w:val="20"/>
          <w:szCs w:val="20"/>
          <w:lang w:val="es-ES"/>
        </w:rPr>
      </w:pPr>
    </w:p>
    <w:p w14:paraId="15448E14" w14:textId="77777777" w:rsidR="005522C2" w:rsidRPr="00F04F3B" w:rsidRDefault="005522C2" w:rsidP="005522C2">
      <w:pPr>
        <w:spacing w:after="120" w:line="276" w:lineRule="auto"/>
        <w:ind w:firstLine="707"/>
        <w:jc w:val="both"/>
        <w:rPr>
          <w:rFonts w:ascii="Verdana" w:eastAsia="Century Gothic" w:hAnsi="Verdana" w:cs="Century Gothic"/>
          <w:color w:val="000000" w:themeColor="text1"/>
          <w:lang w:val="es-ES"/>
        </w:rPr>
      </w:pPr>
      <w:r w:rsidRPr="00F04F3B">
        <w:rPr>
          <w:rFonts w:ascii="Verdana" w:eastAsia="Century Gothic" w:hAnsi="Verdana" w:cs="Century Gothic"/>
          <w:color w:val="000000" w:themeColor="text1"/>
          <w:lang w:val="es-ES"/>
        </w:rPr>
        <w:t>Por lo tanto, el contrato de obra bajo la modalidad de llave en mano no se agota en la labor constructiva típica, pues incluye tanto la elaboración de los diseños como la puesta en funcionamiento de la obra contratada, lo que justifica que se establezca una contraprestación a un precio global, único y alzado; razón por la cual no es adecuado establecer precios unitarios o una combinación entre estas dos modalidades. Sobre este punto, la jurisprudencia arbitral se ha pronunciado sobre la invariabilidad de la remuneración al afirmar que: “La obligación global que se deriva de los contratos ‘llave en mano’ para el contratista influye de manera decisiva en la determinación del precio, que no puede ser, más que un precio mayor o alzado”</w:t>
      </w:r>
      <w:r w:rsidRPr="00F04F3B">
        <w:rPr>
          <w:rStyle w:val="Refdenotaalpie"/>
          <w:rFonts w:ascii="Verdana" w:eastAsia="Century Gothic" w:hAnsi="Verdana" w:cs="Century Gothic"/>
          <w:color w:val="000000" w:themeColor="text1"/>
          <w:lang w:val="es-ES"/>
        </w:rPr>
        <w:footnoteReference w:id="23"/>
      </w:r>
      <w:r w:rsidRPr="00F04F3B">
        <w:rPr>
          <w:rFonts w:ascii="Verdana" w:eastAsia="Century Gothic" w:hAnsi="Verdana" w:cs="Century Gothic"/>
          <w:color w:val="000000" w:themeColor="text1"/>
          <w:lang w:val="es-ES"/>
        </w:rPr>
        <w:t>. De esta manera, es inherente al contrato de obra en la modalidad llave en mano que se pacte la remuneración del contratista bajo el esquema de suma alzada, no pudiendo ser de otra forma, dado que el proyecto es una universalidad, por lo que el contratista tiene una responsabilidad global respecto a la totalidad de la ejecución</w:t>
      </w:r>
      <w:r w:rsidRPr="00F04F3B">
        <w:rPr>
          <w:rStyle w:val="Refdenotaalpie"/>
          <w:rFonts w:ascii="Verdana" w:eastAsia="Century Gothic" w:hAnsi="Verdana" w:cs="Century Gothic"/>
          <w:color w:val="000000" w:themeColor="text1"/>
          <w:lang w:val="es-ES"/>
        </w:rPr>
        <w:footnoteReference w:id="24"/>
      </w:r>
      <w:r w:rsidRPr="00F04F3B">
        <w:rPr>
          <w:rFonts w:ascii="Verdana" w:eastAsia="Century Gothic" w:hAnsi="Verdana" w:cs="Century Gothic"/>
          <w:color w:val="000000" w:themeColor="text1"/>
          <w:lang w:val="es-ES"/>
        </w:rPr>
        <w:t>.</w:t>
      </w:r>
    </w:p>
    <w:p w14:paraId="020B5D20" w14:textId="77777777" w:rsidR="005522C2" w:rsidRPr="00F04F3B" w:rsidRDefault="005522C2" w:rsidP="005522C2">
      <w:pPr>
        <w:widowControl w:val="0"/>
        <w:autoSpaceDE w:val="0"/>
        <w:autoSpaceDN w:val="0"/>
        <w:spacing w:after="120" w:line="276" w:lineRule="auto"/>
        <w:ind w:firstLine="709"/>
        <w:jc w:val="both"/>
        <w:rPr>
          <w:rFonts w:ascii="Verdana" w:eastAsia="Verdana" w:hAnsi="Verdana" w:cs="Verdana"/>
          <w:lang w:val="es-ES"/>
        </w:rPr>
      </w:pPr>
      <w:r w:rsidRPr="00F04F3B">
        <w:rPr>
          <w:rFonts w:ascii="Verdana" w:eastAsia="Century Gothic" w:hAnsi="Verdana" w:cs="Century Gothic"/>
          <w:color w:val="000000" w:themeColor="text1"/>
          <w:lang w:val="es-ES"/>
        </w:rPr>
        <w:t xml:space="preserve">En este sentido, </w:t>
      </w:r>
      <w:r w:rsidRPr="00F04F3B">
        <w:rPr>
          <w:rFonts w:ascii="Verdana" w:eastAsia="Calibri" w:hAnsi="Verdana" w:cs="Times New Roman"/>
          <w:color w:val="000000"/>
          <w:lang w:val="es-ES"/>
        </w:rPr>
        <w:t xml:space="preserve">el modelo de negocio de </w:t>
      </w:r>
      <w:r w:rsidRPr="00F04F3B">
        <w:rPr>
          <w:rFonts w:ascii="Verdana" w:eastAsia="Calibri" w:hAnsi="Verdana" w:cs="Times New Roman"/>
          <w:i/>
          <w:iCs/>
          <w:color w:val="000000"/>
          <w:lang w:val="es-ES"/>
        </w:rPr>
        <w:t>“llave en mano”</w:t>
      </w:r>
      <w:r w:rsidRPr="00F04F3B">
        <w:rPr>
          <w:rFonts w:ascii="Verdana" w:eastAsia="Calibri" w:hAnsi="Verdana" w:cs="Times New Roman"/>
          <w:color w:val="000000"/>
          <w:lang w:val="es-ES"/>
        </w:rPr>
        <w:t xml:space="preserve"> es una modalidad de</w:t>
      </w:r>
      <w:r w:rsidRPr="00F04F3B">
        <w:rPr>
          <w:rFonts w:ascii="Verdana" w:eastAsia="Verdana" w:hAnsi="Verdana" w:cs="Verdana"/>
          <w:lang w:val="es-ES"/>
        </w:rPr>
        <w:t>l contrato de obra que no se agota en la labor constructiva típica, pues incluye tanto la elaboración de los diseños como la puesta en funcionamiento de la obra contratada, lo que justifica una contraprestación a precio global y alzado.</w:t>
      </w:r>
      <w:r w:rsidRPr="00F04F3B">
        <w:rPr>
          <w:rFonts w:ascii="Verdana" w:eastAsia="Calibri" w:hAnsi="Verdana" w:cs="Arial"/>
          <w:color w:val="000000"/>
          <w:lang w:val="es-ES" w:eastAsia="es-ES"/>
        </w:rPr>
        <w:t xml:space="preserve"> Estos contratos </w:t>
      </w:r>
      <w:r w:rsidRPr="00F04F3B">
        <w:rPr>
          <w:rFonts w:ascii="Verdana" w:eastAsia="Verdana" w:hAnsi="Verdana" w:cs="Verdana"/>
          <w:lang w:val="es-ES"/>
        </w:rPr>
        <w:t xml:space="preserve">“[...] están concebidos para su utilización en grandes proyectos, en los cuales la certidumbre sobre el precio final y sobre el plazo de terminación de la obra es esencial, en la medida en que suelen ser </w:t>
      </w:r>
      <w:r w:rsidRPr="00F04F3B">
        <w:rPr>
          <w:rFonts w:ascii="Verdana" w:eastAsia="Verdana" w:hAnsi="Verdana" w:cs="Verdana"/>
          <w:lang w:val="es-ES"/>
        </w:rPr>
        <w:lastRenderedPageBreak/>
        <w:t>elementos clave para la obtención de financiación de los proyectos”</w:t>
      </w:r>
      <w:r w:rsidRPr="00F04F3B">
        <w:rPr>
          <w:rFonts w:ascii="Verdana" w:eastAsia="Verdana" w:hAnsi="Verdana" w:cs="Verdana"/>
          <w:vertAlign w:val="superscript"/>
          <w:lang w:val="es-ES"/>
        </w:rPr>
        <w:footnoteReference w:id="25"/>
      </w:r>
      <w:r w:rsidRPr="00F04F3B">
        <w:rPr>
          <w:rFonts w:ascii="Verdana" w:eastAsia="Verdana" w:hAnsi="Verdana" w:cs="Verdana"/>
          <w:lang w:val="es-ES"/>
        </w:rPr>
        <w:t>. Es por esto por lo que este tipo de contratos se caracterizan por atribuir un mayor volumen de riesgos al contratista, por lo que la doctrina recomienda su implementación en situaciones en las que existe suficiente información en cuanto sus costos, de tal manera que pueden ser razonablemente estimados, hasta el punto de comprometer la producción de un resultado</w:t>
      </w:r>
      <w:r w:rsidRPr="00F04F3B">
        <w:rPr>
          <w:rFonts w:ascii="Verdana" w:eastAsia="Verdana" w:hAnsi="Verdana" w:cs="Verdana"/>
          <w:vertAlign w:val="superscript"/>
          <w:lang w:val="es-ES"/>
        </w:rPr>
        <w:footnoteReference w:id="26"/>
      </w:r>
      <w:r w:rsidRPr="00F04F3B">
        <w:rPr>
          <w:rFonts w:ascii="Verdana" w:eastAsia="Verdana" w:hAnsi="Verdana" w:cs="Verdana"/>
          <w:lang w:val="es-ES"/>
        </w:rPr>
        <w:t xml:space="preserve">. Esto en la medida en que, en este tipo de contratos, salvo estipulación en contrario, el contratista acepta total responsabilidad por haber previsto todas las dificultades y costos asociados a la terminación exitosa de la obra. </w:t>
      </w:r>
    </w:p>
    <w:p w14:paraId="09004F86" w14:textId="77777777" w:rsidR="005522C2" w:rsidRPr="00F04F3B" w:rsidRDefault="005522C2" w:rsidP="005522C2">
      <w:pPr>
        <w:widowControl w:val="0"/>
        <w:autoSpaceDE w:val="0"/>
        <w:autoSpaceDN w:val="0"/>
        <w:spacing w:before="120" w:after="120" w:line="276" w:lineRule="auto"/>
        <w:ind w:firstLine="707"/>
        <w:jc w:val="both"/>
        <w:rPr>
          <w:rFonts w:ascii="Verdana" w:eastAsia="Verdana" w:hAnsi="Verdana" w:cs="Verdana"/>
          <w:lang w:val="es-ES"/>
        </w:rPr>
      </w:pPr>
      <w:r w:rsidRPr="00F04F3B">
        <w:rPr>
          <w:rFonts w:ascii="Verdana" w:eastAsia="Verdana" w:hAnsi="Verdana" w:cs="Verdana"/>
          <w:lang w:val="es-ES"/>
        </w:rPr>
        <w:t>En todo caso, dicho contrato implica que el presupuesto corresponde a un valor previamente establecido que aplica como remuneración por todas las gestiones que adelanta el contratista. De tal modo, en dicha modalidad se requiere que el contratista: a) cumpla las obligaciones que hacen parte de cada una de las fases de ejecución del contrato, asumiendo los riesgos asociados a cada una de ellas; b) se haga cargo de verificar todas las interferencias que puedan presentarse entre las diferentes disciplinas a luz de las cuales se elaboran los estudios y diseños para la ejecución del proyecto; c) constituya garantías que amparen todas fases del contrato. Por otro lado, es necesario que la entidad contratante: a) revise la estructuración, con el fin de que la ejecución de este tipo de contratos traiga consigo ventajas como la reducción de tiempos y la optimización de costos; b) revise el término de ejecución de la obra, y determinar la forma de pago más adecuada, conforme al proyecto a desarrollar. Al respecto, es importante su distinción con el modelo de diseño detallado, en el entendido de que la información sobre la que se estima el precio es más limitada, la cual depende del nivel de estudios de prefactibilidad con que se disponga para presentar la invitación a ofertar.</w:t>
      </w:r>
    </w:p>
    <w:p w14:paraId="6BF77250" w14:textId="77777777" w:rsidR="005522C2" w:rsidRPr="00F04F3B" w:rsidRDefault="005522C2" w:rsidP="005522C2">
      <w:pPr>
        <w:widowControl w:val="0"/>
        <w:autoSpaceDE w:val="0"/>
        <w:autoSpaceDN w:val="0"/>
        <w:spacing w:line="276" w:lineRule="auto"/>
        <w:ind w:firstLine="709"/>
        <w:jc w:val="both"/>
        <w:rPr>
          <w:rFonts w:ascii="Verdana" w:eastAsia="Verdana" w:hAnsi="Verdana" w:cs="Verdana"/>
          <w:lang w:val="es-ES"/>
        </w:rPr>
      </w:pPr>
      <w:r w:rsidRPr="00F04F3B">
        <w:rPr>
          <w:rFonts w:ascii="Verdana" w:eastAsia="Verdana" w:hAnsi="Verdana" w:cs="Verdana"/>
          <w:lang w:val="es-ES"/>
        </w:rPr>
        <w:t xml:space="preserve">Ahora bien, la doctrina expresa que para el correcto uso de contratos bajo la modalidad de llave en mano deben analizarse ciertas condiciones básicas: a) definición precisa de alcance, términos de ejecución precisos, el diseño multidisciplinario, entre otros aspectos técnicos de diseño, construcción, funcionamiento y funcionalidad en el pliego de condiciones; b) supervisión técnica especializada; c) el sistema de precios actualizados, ya sea mediante el </w:t>
      </w:r>
      <w:r w:rsidRPr="00F04F3B">
        <w:rPr>
          <w:rFonts w:ascii="Verdana" w:eastAsia="Verdana" w:hAnsi="Verdana" w:cs="Verdana"/>
          <w:lang w:val="es-ES"/>
        </w:rPr>
        <w:lastRenderedPageBreak/>
        <w:t>precio global, que puede complementarse con precios unitarios si no hay una precisión en las cantidades; d</w:t>
      </w:r>
      <w:r w:rsidRPr="00F04F3B">
        <w:rPr>
          <w:rFonts w:ascii="Verdana" w:eastAsia="Calibri" w:hAnsi="Verdana" w:cs="Times New Roman"/>
          <w:lang w:val="es-ES"/>
        </w:rPr>
        <w:t xml:space="preserve">) </w:t>
      </w:r>
      <w:r w:rsidRPr="00F04F3B">
        <w:rPr>
          <w:rFonts w:ascii="Verdana" w:eastAsia="Verdana" w:hAnsi="Verdana" w:cs="Verdana"/>
          <w:lang w:val="es-ES"/>
        </w:rPr>
        <w:t xml:space="preserve">la posibilidad de aumentar plazos de ejecución debe ser muy limitada, pero en todo caso deben estar definidos y con sanciones por incumplimiento, así como evaluar el plazo exigido, considerando posibles soluciones técnicas; e) la responsabilidad por la entrega de información básica o prediseños deben estar identificadas y asignadas por las partes; f) la necesidad de establecer los riesgos y garantías necesarias, así como las licencias de construcción y operación que se requiere; g) el deber de considerar un término adecuado post entrega, en la que el contratista garantice el debido cumplimiento de la obra; y h) la obligación de analizar el ahorro de tiempo y capacidad de supervisión para justificar el modelo llave en mano frente a métodos tradicionales. </w:t>
      </w:r>
    </w:p>
    <w:p w14:paraId="0EE96576" w14:textId="77777777" w:rsidR="005522C2" w:rsidRPr="00F04F3B" w:rsidRDefault="005522C2" w:rsidP="005522C2">
      <w:pPr>
        <w:widowControl w:val="0"/>
        <w:autoSpaceDE w:val="0"/>
        <w:autoSpaceDN w:val="0"/>
        <w:spacing w:line="276" w:lineRule="auto"/>
        <w:ind w:firstLine="709"/>
        <w:jc w:val="both"/>
        <w:rPr>
          <w:rFonts w:ascii="Verdana" w:hAnsi="Verdana" w:cs="Arial"/>
          <w:bCs/>
          <w:color w:val="000000" w:themeColor="text1"/>
          <w:lang w:val="es-ES"/>
        </w:rPr>
      </w:pPr>
      <w:r w:rsidRPr="00F04F3B">
        <w:rPr>
          <w:rFonts w:ascii="Verdana" w:hAnsi="Verdana" w:cs="Arial"/>
          <w:lang w:val="es-ES"/>
        </w:rPr>
        <w:t xml:space="preserve">En cualquier supuesto, las Entidades Estatales gozan de autonomía y discrecionalidad para configurar el precio y para establecer el sistema de pago más apropiado para satisfacer los fines de la contratación, respetando los límites previstos en el ordenamiento. En efecto, </w:t>
      </w:r>
      <w:r w:rsidRPr="00F04F3B">
        <w:rPr>
          <w:rFonts w:ascii="Verdana" w:hAnsi="Verdana" w:cs="Arial"/>
          <w:bCs/>
          <w:color w:val="000000" w:themeColor="text1"/>
          <w:lang w:val="es-ES"/>
        </w:rPr>
        <w:t>cuando la Entidad Estatal opte por un esquema de precios unitarios en un proyecto “llave en mano”, frente al cual resulta generalmente más adecuado el modelo de precio global, debe tener en cuenta los riesgos que ello supone frente a la estimación del presupuesto y la posible necesidad de adiciones contractuales y reajustes posteriores.</w:t>
      </w:r>
    </w:p>
    <w:p w14:paraId="2AE6148B" w14:textId="77777777" w:rsidR="005522C2" w:rsidRPr="00F04F3B" w:rsidRDefault="005522C2" w:rsidP="005522C2">
      <w:pPr>
        <w:widowControl w:val="0"/>
        <w:autoSpaceDE w:val="0"/>
        <w:autoSpaceDN w:val="0"/>
        <w:spacing w:line="276" w:lineRule="auto"/>
        <w:ind w:firstLine="709"/>
        <w:jc w:val="both"/>
        <w:rPr>
          <w:rFonts w:ascii="Verdana" w:eastAsia="Verdana" w:hAnsi="Verdana" w:cs="Verdana"/>
          <w:lang w:val="es-ES"/>
        </w:rPr>
      </w:pPr>
      <w:r w:rsidRPr="00F04F3B">
        <w:rPr>
          <w:rFonts w:ascii="Verdana" w:hAnsi="Verdana" w:cs="Arial"/>
          <w:lang w:val="es-ES"/>
        </w:rPr>
        <w:t>Las entidades pueden establecer en el pliego de condiciones o en su documento equivalente, así como en el contrato, el sistema de precios unitarios; considerando que es un esquema más pertinente para los contratos de tracto sucesivo, como lo son, por ejemplo, los contratos de suministro y ejecución de la obra. La metodología de delimitación de sus variables –ítems y porcentajes– debe obedecer a un juicioso análisis de oportunidad y conveniencia, que consulte las reglas de la experiencia, así como los aspectos particulares de cada negocio, y que se armonice con la garantía de los principios de la función administrativa y de la gestión fiscal, dentro de los cuales se halla el principio de economía, el cual exige la optimización de los recursos públicos.</w:t>
      </w:r>
      <w:r w:rsidRPr="00F04F3B">
        <w:rPr>
          <w:rFonts w:ascii="Verdana" w:eastAsia="Verdana" w:hAnsi="Verdana" w:cs="Verdana"/>
          <w:lang w:val="es-ES"/>
        </w:rPr>
        <w:t xml:space="preserve"> </w:t>
      </w:r>
      <w:r w:rsidRPr="00F04F3B">
        <w:rPr>
          <w:rFonts w:ascii="Verdana" w:hAnsi="Verdana" w:cs="Arial"/>
          <w:bCs/>
          <w:color w:val="000000" w:themeColor="text1"/>
          <w:lang w:val="es-ES"/>
        </w:rPr>
        <w:t xml:space="preserve">De acuerdo con el </w:t>
      </w:r>
      <w:r w:rsidRPr="00F04F3B">
        <w:rPr>
          <w:rFonts w:ascii="Verdana" w:hAnsi="Verdana"/>
          <w:lang w:val="es-ES"/>
        </w:rPr>
        <w:t xml:space="preserve">artículo 2.2.1.1.2.1.1. del Decreto 1082 de 2015 la entidad debe incluir en los estudios y documentos previos “el valor estimado del contrato y la justificación </w:t>
      </w:r>
      <w:proofErr w:type="gramStart"/>
      <w:r w:rsidRPr="00F04F3B">
        <w:rPr>
          <w:rFonts w:ascii="Verdana" w:hAnsi="Verdana"/>
          <w:lang w:val="es-ES"/>
        </w:rPr>
        <w:t>del mismo</w:t>
      </w:r>
      <w:proofErr w:type="gramEnd"/>
      <w:r w:rsidRPr="00F04F3B">
        <w:rPr>
          <w:rFonts w:ascii="Verdana" w:hAnsi="Verdana"/>
          <w:lang w:val="es-ES"/>
        </w:rPr>
        <w:t xml:space="preserve">. Cuando el valor del contrato esté determinado por precios unitarios, la Entidad Estatal debe incluir la forma como los calculó y soportar sus cálculos de presupuesto en la estimación de aquellos”. </w:t>
      </w:r>
    </w:p>
    <w:p w14:paraId="57AEE692" w14:textId="77777777" w:rsidR="005522C2" w:rsidRPr="00F04F3B" w:rsidRDefault="005522C2" w:rsidP="005522C2">
      <w:pPr>
        <w:spacing w:after="120" w:line="276" w:lineRule="auto"/>
        <w:ind w:firstLine="707"/>
        <w:jc w:val="both"/>
        <w:rPr>
          <w:rFonts w:ascii="Verdana" w:hAnsi="Verdana"/>
          <w:lang w:val="es-ES"/>
        </w:rPr>
      </w:pPr>
      <w:r w:rsidRPr="00F04F3B">
        <w:rPr>
          <w:rFonts w:ascii="Verdana" w:hAnsi="Verdana"/>
          <w:lang w:val="es-ES"/>
        </w:rPr>
        <w:lastRenderedPageBreak/>
        <w:t xml:space="preserve">Es decir, al estructurar el procedimiento de contratación se debe justificar la manera como definió el valor o presupuesto oficial, para lo cual debe señalar, por ejemplo, si el valor del proceso de contratación se obtuvo del análisis de precios históricos del bien o servicio a adquirir, cotizaciones, actualización de valores de contratos anteriores, estudio de mercado, precios unitarios o cualquier otro mecanismo. Así mismo, tratándose de precios unitarios, la entidad debe señalar la forma como los calculó y el soporte de la estimación de </w:t>
      </w:r>
      <w:proofErr w:type="gramStart"/>
      <w:r w:rsidRPr="00F04F3B">
        <w:rPr>
          <w:rFonts w:ascii="Verdana" w:hAnsi="Verdana"/>
          <w:lang w:val="es-ES"/>
        </w:rPr>
        <w:t>los mismos</w:t>
      </w:r>
      <w:proofErr w:type="gramEnd"/>
      <w:r w:rsidRPr="00F04F3B">
        <w:rPr>
          <w:rFonts w:ascii="Verdana" w:hAnsi="Verdana"/>
          <w:lang w:val="es-ES"/>
        </w:rPr>
        <w:t>, en este caso la entidad debe publicar, si esta fue la metodología utilizada, los análisis de precios unitarios o las cotizaciones, de manera que los interesados en el procedimiento de contratación puedan conocer y entender cómo se obtuvo el presupuesto oficial. Ello permitirá que los eventuales proponentes</w:t>
      </w:r>
      <w:r w:rsidRPr="00F04F3B">
        <w:rPr>
          <w:rFonts w:ascii="Verdana" w:hAnsi="Verdana"/>
          <w:spacing w:val="20"/>
          <w:lang w:val="es-ES"/>
        </w:rPr>
        <w:t xml:space="preserve"> </w:t>
      </w:r>
      <w:r w:rsidRPr="00F04F3B">
        <w:rPr>
          <w:rFonts w:ascii="Verdana" w:hAnsi="Verdana"/>
          <w:lang w:val="es-ES"/>
        </w:rPr>
        <w:t>puedan</w:t>
      </w:r>
      <w:r w:rsidRPr="00F04F3B">
        <w:rPr>
          <w:rFonts w:ascii="Verdana" w:hAnsi="Verdana"/>
          <w:spacing w:val="21"/>
          <w:lang w:val="es-ES"/>
        </w:rPr>
        <w:t xml:space="preserve"> </w:t>
      </w:r>
      <w:r w:rsidRPr="00F04F3B">
        <w:rPr>
          <w:rFonts w:ascii="Verdana" w:hAnsi="Verdana"/>
          <w:lang w:val="es-ES"/>
        </w:rPr>
        <w:t>realizar</w:t>
      </w:r>
      <w:r w:rsidRPr="00F04F3B">
        <w:rPr>
          <w:rFonts w:ascii="Verdana" w:hAnsi="Verdana"/>
          <w:spacing w:val="21"/>
          <w:lang w:val="es-ES"/>
        </w:rPr>
        <w:t xml:space="preserve"> </w:t>
      </w:r>
      <w:r w:rsidRPr="00F04F3B">
        <w:rPr>
          <w:rFonts w:ascii="Verdana" w:hAnsi="Verdana"/>
          <w:lang w:val="es-ES"/>
        </w:rPr>
        <w:t>las</w:t>
      </w:r>
      <w:r w:rsidRPr="00F04F3B">
        <w:rPr>
          <w:rFonts w:ascii="Verdana" w:hAnsi="Verdana"/>
          <w:spacing w:val="21"/>
          <w:lang w:val="es-ES"/>
        </w:rPr>
        <w:t xml:space="preserve"> </w:t>
      </w:r>
      <w:r w:rsidRPr="00F04F3B">
        <w:rPr>
          <w:rFonts w:ascii="Verdana" w:hAnsi="Verdana"/>
          <w:lang w:val="es-ES"/>
        </w:rPr>
        <w:t>estimaciones</w:t>
      </w:r>
      <w:r w:rsidRPr="00F04F3B">
        <w:rPr>
          <w:rFonts w:ascii="Verdana" w:hAnsi="Verdana"/>
          <w:spacing w:val="21"/>
          <w:lang w:val="es-ES"/>
        </w:rPr>
        <w:t xml:space="preserve"> </w:t>
      </w:r>
      <w:r w:rsidRPr="00F04F3B">
        <w:rPr>
          <w:rFonts w:ascii="Verdana" w:hAnsi="Verdana"/>
          <w:lang w:val="es-ES"/>
        </w:rPr>
        <w:t>correspondientes,</w:t>
      </w:r>
      <w:r w:rsidRPr="00F04F3B">
        <w:rPr>
          <w:rFonts w:ascii="Verdana" w:hAnsi="Verdana"/>
          <w:spacing w:val="20"/>
          <w:lang w:val="es-ES"/>
        </w:rPr>
        <w:t xml:space="preserve"> </w:t>
      </w:r>
      <w:r w:rsidRPr="00F04F3B">
        <w:rPr>
          <w:rFonts w:ascii="Verdana" w:hAnsi="Verdana"/>
          <w:lang w:val="es-ES"/>
        </w:rPr>
        <w:t>bien</w:t>
      </w:r>
      <w:r w:rsidRPr="00F04F3B">
        <w:rPr>
          <w:rFonts w:ascii="Verdana" w:hAnsi="Verdana"/>
          <w:spacing w:val="21"/>
          <w:lang w:val="es-ES"/>
        </w:rPr>
        <w:t xml:space="preserve"> </w:t>
      </w:r>
      <w:r w:rsidRPr="00F04F3B">
        <w:rPr>
          <w:rFonts w:ascii="Verdana" w:hAnsi="Verdana"/>
          <w:lang w:val="es-ES"/>
        </w:rPr>
        <w:t>sea</w:t>
      </w:r>
      <w:r w:rsidRPr="00F04F3B">
        <w:rPr>
          <w:rFonts w:ascii="Verdana" w:hAnsi="Verdana"/>
          <w:spacing w:val="21"/>
          <w:lang w:val="es-ES"/>
        </w:rPr>
        <w:t xml:space="preserve"> </w:t>
      </w:r>
      <w:r w:rsidRPr="00F04F3B">
        <w:rPr>
          <w:rFonts w:ascii="Verdana" w:hAnsi="Verdana"/>
          <w:lang w:val="es-ES"/>
        </w:rPr>
        <w:t>para</w:t>
      </w:r>
      <w:r w:rsidRPr="00F04F3B">
        <w:rPr>
          <w:rFonts w:ascii="Verdana" w:hAnsi="Verdana"/>
          <w:spacing w:val="20"/>
          <w:lang w:val="es-ES"/>
        </w:rPr>
        <w:t xml:space="preserve"> </w:t>
      </w:r>
      <w:r w:rsidRPr="00F04F3B">
        <w:rPr>
          <w:rFonts w:ascii="Verdana" w:hAnsi="Verdana"/>
          <w:lang w:val="es-ES"/>
        </w:rPr>
        <w:t>presentar observaciones al procedimiento de contratación, por considerar que el presupuesto no es suficiente para cubrir el costo de los bienes o servicios a adquirir, o para decidir si se presenta oferta al procedimiento de selección.</w:t>
      </w:r>
    </w:p>
    <w:p w14:paraId="6BD05337" w14:textId="77777777" w:rsidR="005522C2" w:rsidRPr="00F04F3B" w:rsidRDefault="005522C2" w:rsidP="005522C2">
      <w:pPr>
        <w:spacing w:after="120" w:line="276" w:lineRule="auto"/>
        <w:ind w:firstLine="707"/>
        <w:jc w:val="both"/>
        <w:rPr>
          <w:rFonts w:ascii="Verdana" w:hAnsi="Verdana" w:cs="Arial"/>
          <w:bCs/>
          <w:lang w:val="es-ES"/>
        </w:rPr>
      </w:pPr>
      <w:r w:rsidRPr="00F04F3B">
        <w:rPr>
          <w:rFonts w:ascii="Verdana" w:eastAsia="Century Gothic" w:hAnsi="Verdana" w:cs="Century Gothic"/>
          <w:color w:val="000000" w:themeColor="text1"/>
          <w:lang w:val="es-ES"/>
        </w:rPr>
        <w:t>Cuando no se establece un valor cerrado o precio global y el precio se estructura a precios unitarios —lo que sugiere la consulta al referirse a valores ajustados por unidad de medida—,</w:t>
      </w:r>
      <w:r w:rsidRPr="00F04F3B">
        <w:rPr>
          <w:rFonts w:ascii="Verdana" w:hAnsi="Verdana" w:cs="Arial"/>
          <w:bCs/>
          <w:lang w:val="es-ES"/>
        </w:rPr>
        <w:t xml:space="preserve"> las partes establecen una suma fija por cada unidad de los trabajos que debe ejecutar el contratista, por lo que el precio –a diferencia del ajuste alzado o la suma cerrada– no se determina por la totalidad de la obra, sino por cada parte, unidad o medida. Para la doctrina, “Se trata de un sistema flexible en el precio y en la obra, por cuanto ambos solo van a queda definitivamente determinados al momento de la conclusión de las obras, circunstancia en la que recién podrán conocerse con exactitud la cantidad de unidades ejecutadas por el constructor y, del mismo modo, el precio definitivo a ser pagado por el comitente”</w:t>
      </w:r>
      <w:r w:rsidRPr="00F04F3B">
        <w:rPr>
          <w:rStyle w:val="Refdenotaalpie"/>
          <w:rFonts w:ascii="Verdana" w:hAnsi="Verdana" w:cs="Arial"/>
          <w:bCs/>
          <w:lang w:val="es-ES"/>
        </w:rPr>
        <w:footnoteReference w:id="27"/>
      </w:r>
      <w:r w:rsidRPr="00F04F3B">
        <w:rPr>
          <w:rFonts w:ascii="Verdana" w:hAnsi="Verdana" w:cs="Arial"/>
          <w:bCs/>
          <w:lang w:val="es-ES"/>
        </w:rPr>
        <w:t>. En este caso, también se requiere establecer un tope máximo para la adelantar las obras, ya que “[…] el precio total depende del conjunto de trabajos ejecutados según el presupuesto, pudiendo por tanto variar por nuevos trabajos adicionales […]”</w:t>
      </w:r>
      <w:r w:rsidRPr="00F04F3B">
        <w:rPr>
          <w:rStyle w:val="Refdenotaalpie"/>
          <w:rFonts w:ascii="Verdana" w:hAnsi="Verdana" w:cs="Arial"/>
          <w:bCs/>
          <w:lang w:val="es-ES"/>
        </w:rPr>
        <w:footnoteReference w:id="28"/>
      </w:r>
      <w:r w:rsidRPr="00F04F3B">
        <w:rPr>
          <w:rFonts w:ascii="Verdana" w:hAnsi="Verdana" w:cs="Arial"/>
          <w:bCs/>
          <w:lang w:val="es-ES"/>
        </w:rPr>
        <w:t xml:space="preserve">. </w:t>
      </w:r>
    </w:p>
    <w:p w14:paraId="32155F90" w14:textId="77777777" w:rsidR="005522C2" w:rsidRPr="00F04F3B" w:rsidRDefault="005522C2" w:rsidP="005522C2">
      <w:pPr>
        <w:spacing w:after="120" w:line="276" w:lineRule="auto"/>
        <w:ind w:firstLine="709"/>
        <w:jc w:val="both"/>
        <w:rPr>
          <w:rFonts w:ascii="Verdana" w:hAnsi="Verdana" w:cs="Arial"/>
          <w:bCs/>
          <w:szCs w:val="24"/>
          <w:lang w:val="es-ES" w:eastAsia="es-ES_tradnl"/>
        </w:rPr>
      </w:pPr>
      <w:r w:rsidRPr="00F04F3B">
        <w:rPr>
          <w:rFonts w:ascii="Verdana" w:hAnsi="Verdana" w:cs="Arial"/>
          <w:bCs/>
          <w:szCs w:val="24"/>
          <w:lang w:val="es-ES" w:eastAsia="es-ES_tradnl"/>
        </w:rPr>
        <w:t xml:space="preserve">En esta modalidad de establecimiento del precio, y por la misma naturaleza del contrato que impide definir con certeza su valor real, se establecen unas </w:t>
      </w:r>
      <w:r w:rsidRPr="00F04F3B">
        <w:rPr>
          <w:rFonts w:ascii="Verdana" w:hAnsi="Verdana" w:cs="Arial"/>
          <w:bCs/>
          <w:i/>
          <w:iCs/>
          <w:szCs w:val="24"/>
          <w:lang w:val="es-ES" w:eastAsia="es-ES_tradnl"/>
        </w:rPr>
        <w:t>estimaciones</w:t>
      </w:r>
      <w:r w:rsidRPr="00F04F3B">
        <w:rPr>
          <w:rFonts w:ascii="Verdana" w:hAnsi="Verdana" w:cs="Arial"/>
          <w:bCs/>
          <w:szCs w:val="24"/>
          <w:lang w:val="es-ES" w:eastAsia="es-ES_tradnl"/>
        </w:rPr>
        <w:t xml:space="preserve"> de cantidades de obra, </w:t>
      </w:r>
      <w:r w:rsidRPr="00F04F3B">
        <w:rPr>
          <w:rFonts w:ascii="Verdana" w:hAnsi="Verdana" w:cs="Arial"/>
          <w:bCs/>
          <w:i/>
          <w:iCs/>
          <w:szCs w:val="24"/>
          <w:lang w:val="es-ES" w:eastAsia="es-ES_tradnl"/>
        </w:rPr>
        <w:t xml:space="preserve">según los estudios y </w:t>
      </w:r>
      <w:r w:rsidRPr="00F04F3B">
        <w:rPr>
          <w:rFonts w:ascii="Verdana" w:hAnsi="Verdana" w:cs="Arial"/>
          <w:bCs/>
          <w:i/>
          <w:iCs/>
          <w:szCs w:val="24"/>
          <w:lang w:val="es-ES" w:eastAsia="es-ES_tradnl"/>
        </w:rPr>
        <w:lastRenderedPageBreak/>
        <w:t>diseños</w:t>
      </w:r>
      <w:r w:rsidRPr="00F04F3B">
        <w:rPr>
          <w:rFonts w:ascii="Verdana" w:hAnsi="Verdana" w:cs="Arial"/>
          <w:bCs/>
          <w:szCs w:val="24"/>
          <w:lang w:val="es-ES" w:eastAsia="es-ES_tradnl"/>
        </w:rPr>
        <w:t>, los estudios previos y unos precios unitarios de los respectivos ítems de obra</w:t>
      </w:r>
      <w:r w:rsidRPr="00F04F3B">
        <w:rPr>
          <w:rStyle w:val="Refdenotaalpie"/>
          <w:rFonts w:ascii="Verdana" w:hAnsi="Verdana" w:cs="Arial"/>
          <w:bCs/>
          <w:szCs w:val="24"/>
          <w:lang w:val="es-ES" w:eastAsia="es-ES_tradnl"/>
        </w:rPr>
        <w:footnoteReference w:id="29"/>
      </w:r>
      <w:r w:rsidRPr="00F04F3B">
        <w:rPr>
          <w:rFonts w:ascii="Verdana" w:hAnsi="Verdana" w:cs="Arial"/>
          <w:bCs/>
          <w:szCs w:val="24"/>
          <w:lang w:val="es-ES" w:eastAsia="es-ES_tradnl"/>
        </w:rPr>
        <w:t xml:space="preserve">. </w:t>
      </w:r>
      <w:r w:rsidRPr="003713B1">
        <w:rPr>
          <w:rFonts w:ascii="Verdana" w:hAnsi="Verdana" w:cs="Arial"/>
          <w:bCs/>
          <w:szCs w:val="24"/>
          <w:lang w:eastAsia="es-ES_tradnl"/>
        </w:rPr>
        <w:t xml:space="preserve">Nótese que estos valores estimados son, precisamente, producto del resultado de los estudios y diseños; por ello el sistema de precios unitarios no es una modalidad frecuente en los contratos de obra «llave en mano», pues su estimación presupone contar con la información derivada de la ejecución previa de esa fase. Cuando la estimación de unidades y cantidades no se apoya en dicha información, surgen riesgos relevantes, porque el propio modelo obliga a ajustar los valores estimados una vez el contratista culmina los estudios y diseños y se </w:t>
      </w:r>
      <w:proofErr w:type="gramStart"/>
      <w:r w:rsidRPr="003713B1">
        <w:rPr>
          <w:rFonts w:ascii="Verdana" w:hAnsi="Verdana" w:cs="Arial"/>
          <w:bCs/>
          <w:szCs w:val="24"/>
          <w:lang w:eastAsia="es-ES_tradnl"/>
        </w:rPr>
        <w:t>dé inicio a</w:t>
      </w:r>
      <w:proofErr w:type="gramEnd"/>
      <w:r w:rsidRPr="003713B1">
        <w:rPr>
          <w:rFonts w:ascii="Verdana" w:hAnsi="Verdana" w:cs="Arial"/>
          <w:bCs/>
          <w:szCs w:val="24"/>
          <w:lang w:eastAsia="es-ES_tradnl"/>
        </w:rPr>
        <w:t xml:space="preserve"> la obra. En cambio, la distinción entre un valor estimado y un valor realmente ejecutado responde al esquema normal del contrato de obra que se adelanta de forma independiente y posterior a los estudios y diseños; de ahí que, pactado a precios unitarios dentro de un contrato «llave en mano», la entidad quede expuesta a estimar antes de los estudios, reajustar después conforme a sus resultados y, aun así, obtener valores que siguen siendo estimativos frente a lo que finalmente se ejecute</w:t>
      </w:r>
    </w:p>
    <w:p w14:paraId="78FFF771" w14:textId="77777777" w:rsidR="005522C2" w:rsidRPr="00F04F3B" w:rsidRDefault="005522C2" w:rsidP="005522C2">
      <w:pPr>
        <w:spacing w:after="120" w:line="276" w:lineRule="auto"/>
        <w:ind w:firstLine="709"/>
        <w:jc w:val="both"/>
        <w:rPr>
          <w:rFonts w:ascii="Verdana" w:hAnsi="Verdana"/>
          <w:lang w:val="es-ES"/>
        </w:rPr>
      </w:pPr>
      <w:r w:rsidRPr="00F04F3B">
        <w:rPr>
          <w:rFonts w:ascii="Verdana" w:hAnsi="Verdana" w:cs="Arial"/>
          <w:bCs/>
          <w:szCs w:val="24"/>
          <w:lang w:val="es-ES" w:eastAsia="es-ES_tradnl"/>
        </w:rPr>
        <w:t xml:space="preserve"> </w:t>
      </w:r>
      <w:r w:rsidRPr="00F04F3B">
        <w:rPr>
          <w:rFonts w:ascii="Verdana" w:hAnsi="Verdana"/>
          <w:lang w:val="es-ES"/>
        </w:rPr>
        <w:t>La jurisprudencia de la Sección Tercera del Consejo de Estado ha explicado que, en los contratos pactados mediante precios unitarios, ante la imposibilidad de establecer con exactitud los montos totales que resultarán de realizar la obra contratada (no propiamente los que resultarán de la realización de los estudios y diseños), la entidad, tanto en los pliegos de condiciones o documento equivalente, como en el contrato, aproxima un cálculo estimado de la cantidad o unidades de obra que se requerirá ejecutar. Esto, con el propósito de que el proponente establezca en su propuesta unos valores unitarios respecto de cada unidad de obra prevista por el ente contratante</w:t>
      </w:r>
      <w:r w:rsidRPr="00F04F3B">
        <w:rPr>
          <w:rStyle w:val="Refdenotaalpie"/>
          <w:rFonts w:ascii="Verdana" w:hAnsi="Verdana"/>
          <w:lang w:val="es-ES"/>
        </w:rPr>
        <w:footnoteReference w:id="30"/>
      </w:r>
      <w:r w:rsidRPr="00F04F3B">
        <w:rPr>
          <w:rFonts w:ascii="Verdana" w:hAnsi="Verdana"/>
          <w:lang w:val="es-ES"/>
        </w:rPr>
        <w:t xml:space="preserve">. El contrato cuyo precio es pactado a precios unitarios implica individualizar el valor de cada uno de los ítems requeridos para llevar a cabo la obra o el proyecto. Así mismo, el precio se deriva de apreciar todos los componentes necesarios para la ejecución de la unidad de medida del ítem correspondiente (metro lineal, metro cúbico, metro </w:t>
      </w:r>
      <w:r w:rsidRPr="00F04F3B">
        <w:rPr>
          <w:rFonts w:ascii="Verdana" w:hAnsi="Verdana"/>
          <w:lang w:val="es-ES"/>
        </w:rPr>
        <w:lastRenderedPageBreak/>
        <w:t>cuadrado, entre otros). Por lo mismo, el precio será el resultado de multiplicar la cantidad finalmente ejecutada por el valor unitario respectivo</w:t>
      </w:r>
      <w:r w:rsidRPr="00F04F3B">
        <w:rPr>
          <w:rStyle w:val="Refdenotaalpie"/>
          <w:rFonts w:ascii="Verdana" w:hAnsi="Verdana"/>
          <w:lang w:val="es-ES"/>
        </w:rPr>
        <w:footnoteReference w:id="31"/>
      </w:r>
      <w:r w:rsidRPr="00F04F3B">
        <w:rPr>
          <w:rFonts w:ascii="Verdana" w:hAnsi="Verdana"/>
          <w:lang w:val="es-ES"/>
        </w:rPr>
        <w:t>.</w:t>
      </w:r>
    </w:p>
    <w:p w14:paraId="0EC4ABFB" w14:textId="77777777" w:rsidR="005522C2" w:rsidRPr="00F04F3B" w:rsidRDefault="005522C2" w:rsidP="005522C2">
      <w:pPr>
        <w:spacing w:after="120" w:line="276" w:lineRule="auto"/>
        <w:ind w:firstLine="709"/>
        <w:jc w:val="both"/>
        <w:rPr>
          <w:rFonts w:ascii="Verdana" w:hAnsi="Verdana" w:cs="Arial"/>
          <w:szCs w:val="24"/>
          <w:lang w:val="es-ES" w:eastAsia="es-ES_tradnl"/>
        </w:rPr>
      </w:pPr>
      <w:r w:rsidRPr="00F04F3B">
        <w:rPr>
          <w:rFonts w:ascii="Verdana" w:hAnsi="Verdana" w:cs="Arial"/>
          <w:bCs/>
          <w:szCs w:val="24"/>
          <w:lang w:val="es-ES" w:eastAsia="es-ES_tradnl"/>
        </w:rPr>
        <w:t xml:space="preserve">Otro aspecto importante a tener en cuenta respecto de los contratos cuyo precio se estructura a partir del sistema de precios unitarios es que, ha hecho parte de la práctica de los negocios que el contratante le solicite </w:t>
      </w:r>
      <w:r w:rsidRPr="00F04F3B">
        <w:rPr>
          <w:rFonts w:ascii="Verdana" w:hAnsi="Verdana" w:cs="Arial"/>
          <w:lang w:val="es-ES" w:eastAsia="es-ES"/>
        </w:rPr>
        <w:t xml:space="preserve">al potencial contratista que separe en su propuesta los </w:t>
      </w:r>
      <w:r w:rsidRPr="00F04F3B">
        <w:rPr>
          <w:rFonts w:ascii="Verdana" w:hAnsi="Verdana" w:cs="Arial"/>
          <w:i/>
          <w:iCs/>
          <w:lang w:val="es-ES" w:eastAsia="es-ES"/>
        </w:rPr>
        <w:t>costos directos</w:t>
      </w:r>
      <w:r w:rsidRPr="00F04F3B">
        <w:rPr>
          <w:rFonts w:ascii="Verdana" w:hAnsi="Verdana" w:cs="Arial"/>
          <w:lang w:val="es-ES" w:eastAsia="es-ES"/>
        </w:rPr>
        <w:t xml:space="preserve"> –es decir, los que están directamente implicados en la ejecución del objeto–, de los </w:t>
      </w:r>
      <w:r w:rsidRPr="00F04F3B">
        <w:rPr>
          <w:rFonts w:ascii="Verdana" w:hAnsi="Verdana" w:cs="Arial"/>
          <w:i/>
          <w:iCs/>
          <w:lang w:val="es-ES" w:eastAsia="es-ES"/>
        </w:rPr>
        <w:t>costos indirectos</w:t>
      </w:r>
      <w:r w:rsidRPr="00F04F3B">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dirigen a salvaguardar su ganancia–, tal podría llegar a ser el caso de los gastos en los que se incurra por concepto de representación la estructura plural. </w:t>
      </w:r>
      <w:r w:rsidRPr="00F04F3B">
        <w:rPr>
          <w:rFonts w:ascii="Verdana" w:hAnsi="Verdana" w:cs="Arial"/>
          <w:bCs/>
          <w:szCs w:val="24"/>
          <w:lang w:val="es-ES" w:eastAsia="es-ES_tradnl"/>
        </w:rPr>
        <w:t xml:space="preserve">En tal sentido, mientras que los costos directos se evidencian en el análisis de precios unitarios –APU–, como la sumatoria de los valores de los </w:t>
      </w:r>
      <w:r w:rsidRPr="00F04F3B">
        <w:rPr>
          <w:rFonts w:ascii="Verdana" w:hAnsi="Verdana" w:cs="Arial"/>
          <w:bCs/>
          <w:i/>
          <w:iCs/>
          <w:szCs w:val="24"/>
          <w:lang w:val="es-ES" w:eastAsia="es-ES_tradnl"/>
        </w:rPr>
        <w:t>ítems</w:t>
      </w:r>
      <w:r w:rsidRPr="00F04F3B">
        <w:rPr>
          <w:rFonts w:ascii="Verdana" w:hAnsi="Verdana" w:cs="Arial"/>
          <w:bCs/>
          <w:szCs w:val="24"/>
          <w:lang w:val="es-ES" w:eastAsia="es-ES_tradnl"/>
        </w:rPr>
        <w:t xml:space="preserve"> según su unidad de medida, los costos indirectos se suelen abreviar en las variables que integran el acrónimo AIU –Administración, Imprevistos y Utilidad–, que se calcula como un porcentaje aplicado a los costos indirectos</w:t>
      </w:r>
      <w:r w:rsidRPr="00F04F3B">
        <w:rPr>
          <w:rFonts w:ascii="Verdana" w:hAnsi="Verdana" w:cs="Arial"/>
          <w:szCs w:val="24"/>
          <w:vertAlign w:val="superscript"/>
          <w:lang w:val="es-ES" w:eastAsia="es-ES_tradnl"/>
        </w:rPr>
        <w:footnoteReference w:id="32"/>
      </w:r>
      <w:r w:rsidRPr="00F04F3B">
        <w:rPr>
          <w:rFonts w:ascii="Verdana" w:hAnsi="Verdana" w:cs="Arial"/>
          <w:szCs w:val="24"/>
          <w:lang w:val="es-ES" w:eastAsia="es-ES_tradnl"/>
        </w:rPr>
        <w:t>.</w:t>
      </w:r>
    </w:p>
    <w:p w14:paraId="2A066E76" w14:textId="77777777" w:rsidR="005522C2" w:rsidRPr="00F04F3B" w:rsidRDefault="005522C2" w:rsidP="005522C2">
      <w:pPr>
        <w:spacing w:after="120" w:line="276" w:lineRule="auto"/>
        <w:ind w:firstLine="709"/>
        <w:jc w:val="both"/>
        <w:rPr>
          <w:rFonts w:ascii="Verdana" w:hAnsi="Verdana" w:cs="Arial"/>
          <w:bCs/>
          <w:szCs w:val="24"/>
          <w:lang w:val="es-ES" w:eastAsia="es-ES_tradnl"/>
        </w:rPr>
      </w:pPr>
      <w:r w:rsidRPr="00F04F3B">
        <w:rPr>
          <w:rFonts w:ascii="Verdana" w:hAnsi="Verdana" w:cs="Arial"/>
          <w:bCs/>
          <w:szCs w:val="24"/>
          <w:lang w:val="es-ES" w:eastAsia="es-ES_tradnl"/>
        </w:rPr>
        <w:t xml:space="preserve">La jurisprudencia ha señalado que “[…] en la conformación de dichos precios unitarios, se tienen en cuenta todos los gastos que se requieren para realizar la unidad de medida respectiva –el metro lineal, el metro cúbico, el metro cuadrado, etc.-. Y lo que comúnmente se denomina análisis de precios unitarios, corresponde a la descomposición de </w:t>
      </w:r>
      <w:proofErr w:type="gramStart"/>
      <w:r w:rsidRPr="00F04F3B">
        <w:rPr>
          <w:rFonts w:ascii="Verdana" w:hAnsi="Verdana" w:cs="Arial"/>
          <w:bCs/>
          <w:szCs w:val="24"/>
          <w:lang w:val="es-ES" w:eastAsia="es-ES_tradnl"/>
        </w:rPr>
        <w:t>los mismos</w:t>
      </w:r>
      <w:proofErr w:type="gramEnd"/>
      <w:r w:rsidRPr="00F04F3B">
        <w:rPr>
          <w:rFonts w:ascii="Verdana" w:hAnsi="Verdana" w:cs="Arial"/>
          <w:bCs/>
          <w:szCs w:val="24"/>
          <w:lang w:val="es-ES" w:eastAsia="es-ES_tradnl"/>
        </w:rPr>
        <w:t xml:space="preserve"> para determinar los costos que los conforman: la maquinaria que se utilizará, calculando el valor por el tiempo que se requiera; la mano de obra, teniendo en cuenta el costo hora-hombre, y cuántas personas se requieren para la ejecución de esa unidad de medida; la cantidad de los materiales necesarios, etc.”</w:t>
      </w:r>
      <w:r w:rsidRPr="00F04F3B">
        <w:rPr>
          <w:rStyle w:val="Refdenotaalpie"/>
          <w:rFonts w:ascii="Verdana" w:hAnsi="Verdana" w:cs="Arial"/>
          <w:bCs/>
          <w:szCs w:val="24"/>
          <w:lang w:val="es-ES" w:eastAsia="es-ES_tradnl"/>
        </w:rPr>
        <w:footnoteReference w:id="33"/>
      </w:r>
      <w:r w:rsidRPr="00F04F3B">
        <w:rPr>
          <w:rFonts w:ascii="Verdana" w:hAnsi="Verdana" w:cs="Arial"/>
          <w:bCs/>
          <w:szCs w:val="24"/>
          <w:lang w:val="es-ES" w:eastAsia="es-ES_tradnl"/>
        </w:rPr>
        <w:t xml:space="preserve">. </w:t>
      </w:r>
    </w:p>
    <w:p w14:paraId="53C87A22" w14:textId="77777777" w:rsidR="005522C2" w:rsidRPr="00F04F3B" w:rsidRDefault="005522C2" w:rsidP="005522C2">
      <w:pPr>
        <w:spacing w:after="120" w:line="276" w:lineRule="auto"/>
        <w:ind w:firstLine="709"/>
        <w:jc w:val="both"/>
        <w:rPr>
          <w:rFonts w:ascii="Verdana" w:hAnsi="Verdana" w:cs="Arial"/>
          <w:bCs/>
          <w:szCs w:val="24"/>
          <w:lang w:val="es-ES" w:eastAsia="es-ES_tradnl"/>
        </w:rPr>
      </w:pPr>
      <w:r w:rsidRPr="00F04F3B">
        <w:rPr>
          <w:rFonts w:ascii="Verdana" w:hAnsi="Verdana" w:cs="Arial"/>
          <w:bCs/>
          <w:szCs w:val="24"/>
          <w:lang w:val="es-ES" w:eastAsia="es-ES_tradnl"/>
        </w:rPr>
        <w:t xml:space="preserve">En efecto, la Sección Tercera del Consejo ha precisado en varias oportunidades que los contratos en los cuales el pago es pactado mediante </w:t>
      </w:r>
      <w:r w:rsidRPr="00F04F3B">
        <w:rPr>
          <w:rFonts w:ascii="Verdana" w:hAnsi="Verdana" w:cs="Arial"/>
          <w:bCs/>
          <w:szCs w:val="24"/>
          <w:lang w:val="es-ES" w:eastAsia="es-ES_tradnl"/>
        </w:rPr>
        <w:lastRenderedPageBreak/>
        <w:t>precios unitarios se caracterizan porque las partes acuerdan el valor de las distintas unidades o cantidades de obra, de modo que el “costo directo total del contrato, será el resultado de multiplicar los precios unitarios por las cantidades de obra ejecutadas y de sumar todos los ítems necesarios para dicha ejecución"</w:t>
      </w:r>
      <w:r w:rsidRPr="00F04F3B">
        <w:rPr>
          <w:rStyle w:val="Refdenotaalpie"/>
          <w:rFonts w:ascii="Verdana" w:hAnsi="Verdana" w:cs="Arial"/>
          <w:bCs/>
          <w:szCs w:val="24"/>
          <w:lang w:val="es-ES" w:eastAsia="es-ES_tradnl"/>
        </w:rPr>
        <w:footnoteReference w:id="34"/>
      </w:r>
      <w:r w:rsidRPr="00F04F3B">
        <w:rPr>
          <w:rFonts w:ascii="Verdana" w:hAnsi="Verdana" w:cs="Arial"/>
          <w:bCs/>
          <w:szCs w:val="24"/>
          <w:lang w:val="es-ES" w:eastAsia="es-ES_tradnl"/>
        </w:rPr>
        <w:t>. En el análisis de los precios unitarios, se tienen en cuenta todos los gastos que se requieren para realizar cada unidad o ítem pactado, para lo cual el proponente descompone los mismos y determina los costos que los conforman</w:t>
      </w:r>
      <w:r w:rsidRPr="00F04F3B">
        <w:rPr>
          <w:rStyle w:val="Refdenotaalpie"/>
          <w:rFonts w:ascii="Verdana" w:hAnsi="Verdana" w:cs="Arial"/>
          <w:bCs/>
          <w:szCs w:val="24"/>
          <w:lang w:val="es-ES" w:eastAsia="es-ES_tradnl"/>
        </w:rPr>
        <w:footnoteReference w:id="35"/>
      </w:r>
      <w:r w:rsidRPr="00F04F3B">
        <w:rPr>
          <w:rFonts w:ascii="Verdana" w:hAnsi="Verdana" w:cs="Arial"/>
          <w:bCs/>
          <w:szCs w:val="24"/>
          <w:lang w:val="es-ES" w:eastAsia="es-ES_tradnl"/>
        </w:rPr>
        <w:t xml:space="preserve">. Con este fin, se elabora un listado de cada unidad técnica (ítems) de los elementos, la mano de obra, la maquinaria, equipos y actividades requeridas, especificando, por ejemplo, el número de elementos, metros cúbicos, metros cuadrados, metros lineales, hora-hombre u hora de equipo, para determinar cuánto cuesta cada una de las unidades, cuya sumatoria constituirá el valor total del </w:t>
      </w:r>
      <w:r w:rsidRPr="00F04F3B">
        <w:rPr>
          <w:rFonts w:ascii="Verdana" w:hAnsi="Verdana" w:cs="Arial"/>
          <w:bCs/>
          <w:i/>
          <w:iCs/>
          <w:szCs w:val="24"/>
          <w:lang w:val="es-ES" w:eastAsia="es-ES_tradnl"/>
        </w:rPr>
        <w:t>costo directo</w:t>
      </w:r>
      <w:r w:rsidRPr="00F04F3B">
        <w:rPr>
          <w:rFonts w:ascii="Verdana" w:hAnsi="Verdana" w:cs="Arial"/>
          <w:bCs/>
          <w:szCs w:val="24"/>
          <w:lang w:val="es-ES" w:eastAsia="es-ES_tradnl"/>
        </w:rPr>
        <w:t xml:space="preserve"> de la obra</w:t>
      </w:r>
      <w:r w:rsidRPr="00F04F3B">
        <w:rPr>
          <w:rStyle w:val="Refdenotaalpie"/>
          <w:rFonts w:ascii="Verdana" w:hAnsi="Verdana" w:cs="Arial"/>
          <w:bCs/>
          <w:szCs w:val="24"/>
          <w:lang w:val="es-ES" w:eastAsia="es-ES_tradnl"/>
        </w:rPr>
        <w:footnoteReference w:id="36"/>
      </w:r>
      <w:r w:rsidRPr="00F04F3B">
        <w:rPr>
          <w:rFonts w:ascii="Verdana" w:hAnsi="Verdana" w:cs="Arial"/>
          <w:bCs/>
          <w:szCs w:val="24"/>
          <w:lang w:val="es-ES" w:eastAsia="es-ES_tradnl"/>
        </w:rPr>
        <w:t xml:space="preserve">. </w:t>
      </w:r>
    </w:p>
    <w:p w14:paraId="4D025F50" w14:textId="77777777" w:rsidR="005522C2" w:rsidRPr="00F04F3B" w:rsidRDefault="005522C2" w:rsidP="005522C2">
      <w:pPr>
        <w:spacing w:after="120" w:line="276" w:lineRule="auto"/>
        <w:ind w:firstLine="709"/>
        <w:jc w:val="both"/>
        <w:rPr>
          <w:rFonts w:ascii="Verdana" w:hAnsi="Verdana" w:cs="Arial"/>
          <w:bCs/>
          <w:szCs w:val="24"/>
          <w:lang w:val="es-ES" w:eastAsia="es-ES_tradnl"/>
        </w:rPr>
      </w:pPr>
      <w:r w:rsidRPr="00F04F3B">
        <w:rPr>
          <w:rFonts w:ascii="Verdana" w:hAnsi="Verdana" w:cs="Arial"/>
          <w:bCs/>
          <w:szCs w:val="24"/>
          <w:lang w:val="es-ES" w:eastAsia="es-ES_tradnl"/>
        </w:rPr>
        <w:t xml:space="preserve">Ahora bien, en ejercicio de la autonomía de la voluntad, las partes pueden decidir pactar o no el AIU. En los casos en que opten por requerirlo, las entidades pueden solicitar, por ejemplo, que los proponentes establezcan de forma independiente al valor total de los costos directos, un porcentaje fijo que, según con sus conocimientos, experiencia, y la naturaleza del negocio jurídico, represente el valor por concepto de administración, imprevistos y utilidad.  Bajo este modelo, el valor total de los costos directos, obtenido como resultado de la sumatoria de todos los ítems multiplicados por su valor unitario, se multiplica por el porcentaje de AIU fijado por el contratista en su oferta, el cual representa los </w:t>
      </w:r>
      <w:r w:rsidRPr="00F04F3B">
        <w:rPr>
          <w:rFonts w:ascii="Verdana" w:hAnsi="Verdana" w:cs="Arial"/>
          <w:bCs/>
          <w:i/>
          <w:iCs/>
          <w:szCs w:val="24"/>
          <w:lang w:val="es-ES" w:eastAsia="es-ES_tradnl"/>
        </w:rPr>
        <w:t>costos indirectos</w:t>
      </w:r>
      <w:r w:rsidRPr="00F04F3B">
        <w:rPr>
          <w:rFonts w:ascii="Verdana" w:hAnsi="Verdana" w:cs="Arial"/>
          <w:bCs/>
          <w:szCs w:val="24"/>
          <w:lang w:val="es-ES" w:eastAsia="es-ES_tradnl"/>
        </w:rPr>
        <w:t xml:space="preserve"> en los que incurrirá durante la ejecución del contrato. De cualquier modo, las partes pueden fijar la metodología y las exigencias relacionadas con el cálculo del AIU en otra forma que convengan, “entendiendo que los elementos que lo componen se encuentran incorporados en los precios y en el valor del contrato”</w:t>
      </w:r>
      <w:r w:rsidRPr="00F04F3B">
        <w:rPr>
          <w:rStyle w:val="Refdenotaalpie"/>
          <w:rFonts w:ascii="Verdana" w:hAnsi="Verdana" w:cs="Arial"/>
          <w:bCs/>
          <w:szCs w:val="24"/>
          <w:lang w:val="es-ES" w:eastAsia="es-ES_tradnl"/>
        </w:rPr>
        <w:footnoteReference w:id="37"/>
      </w:r>
      <w:r w:rsidRPr="00F04F3B">
        <w:rPr>
          <w:rFonts w:ascii="Verdana" w:hAnsi="Verdana" w:cs="Arial"/>
          <w:bCs/>
          <w:szCs w:val="24"/>
          <w:lang w:val="es-ES" w:eastAsia="es-ES_tradnl"/>
        </w:rPr>
        <w:t>.</w:t>
      </w:r>
    </w:p>
    <w:p w14:paraId="6F0F6EA7" w14:textId="77777777" w:rsidR="005522C2" w:rsidRPr="00F04F3B" w:rsidRDefault="005522C2" w:rsidP="005522C2">
      <w:pPr>
        <w:spacing w:after="120" w:line="276" w:lineRule="auto"/>
        <w:ind w:firstLine="709"/>
        <w:jc w:val="both"/>
        <w:rPr>
          <w:rFonts w:ascii="Verdana" w:hAnsi="Verdana" w:cs="Arial"/>
          <w:bCs/>
          <w:szCs w:val="24"/>
          <w:lang w:val="es-ES" w:eastAsia="es-ES_tradnl"/>
        </w:rPr>
      </w:pPr>
      <w:r w:rsidRPr="00F04F3B">
        <w:rPr>
          <w:rFonts w:ascii="Verdana" w:hAnsi="Verdana" w:cs="Arial"/>
          <w:bCs/>
          <w:szCs w:val="24"/>
          <w:lang w:val="es-ES" w:eastAsia="es-ES_tradnl"/>
        </w:rPr>
        <w:t xml:space="preserve">Así pues, ni el sistema de precios unitarios –como metodología de estipulación del valor contractual–, ni el concepto de AIU, ni la forma de calcularlo –es decir, su porcentaje–, son aspectos regulados en el conjunto de </w:t>
      </w:r>
      <w:r w:rsidRPr="00F04F3B">
        <w:rPr>
          <w:rFonts w:ascii="Verdana" w:hAnsi="Verdana" w:cs="Arial"/>
          <w:bCs/>
          <w:szCs w:val="24"/>
          <w:lang w:val="es-ES" w:eastAsia="es-ES_tradnl"/>
        </w:rPr>
        <w:lastRenderedPageBreak/>
        <w:t>las disposiciones legales y reglamentarias que integran la normativa contractual del Estado: “La justificación de esta manera de cotizar el precio procede, incluso, de la formación universitaria que reciben los ingenieros, a quienes les enseñan esta metodología para elaborar las ofertas. En fin, lo que se quiere indicar con estos comentarios es que la necesidad de presentar una propuesta desglosando en forma intensa su precio no procede de la ley, ni del reglamento, sino de la costumbre, […]”</w:t>
      </w:r>
      <w:r w:rsidRPr="00F04F3B">
        <w:rPr>
          <w:rFonts w:ascii="Verdana" w:hAnsi="Verdana" w:cs="Arial"/>
          <w:bCs/>
          <w:szCs w:val="24"/>
          <w:vertAlign w:val="superscript"/>
          <w:lang w:val="es-ES" w:eastAsia="es-ES_tradnl"/>
        </w:rPr>
        <w:footnoteReference w:id="38"/>
      </w:r>
      <w:r w:rsidRPr="00F04F3B">
        <w:rPr>
          <w:rFonts w:ascii="Verdana" w:hAnsi="Verdana" w:cs="Arial"/>
          <w:bCs/>
          <w:szCs w:val="24"/>
          <w:lang w:val="es-ES" w:eastAsia="es-ES_tradnl"/>
        </w:rPr>
        <w:t>. De otro lado, quien define el valor de cada componente del</w:t>
      </w:r>
      <w:r w:rsidRPr="00F04F3B">
        <w:rPr>
          <w:rFonts w:ascii="Verdana" w:hAnsi="Verdana" w:cs="Arial"/>
          <w:bCs/>
          <w:i/>
          <w:iCs/>
          <w:szCs w:val="24"/>
          <w:lang w:val="es-ES" w:eastAsia="es-ES_tradnl"/>
        </w:rPr>
        <w:t xml:space="preserve"> </w:t>
      </w:r>
      <w:r w:rsidRPr="00F04F3B">
        <w:rPr>
          <w:rFonts w:ascii="Verdana" w:hAnsi="Verdana" w:cs="Arial"/>
          <w:bCs/>
          <w:szCs w:val="24"/>
          <w:lang w:val="es-ES" w:eastAsia="es-ES_tradnl"/>
        </w:rPr>
        <w:t>AIU es el proponente, pues goza de libertad empresarial para hacerlo en la elaboración de su oferta</w:t>
      </w:r>
      <w:r w:rsidRPr="00F04F3B">
        <w:rPr>
          <w:rFonts w:ascii="Verdana" w:hAnsi="Verdana" w:cs="Arial"/>
          <w:bCs/>
          <w:szCs w:val="24"/>
          <w:vertAlign w:val="superscript"/>
          <w:lang w:val="es-ES" w:eastAsia="es-ES_tradnl"/>
        </w:rPr>
        <w:footnoteReference w:id="39"/>
      </w:r>
      <w:r w:rsidRPr="00F04F3B">
        <w:rPr>
          <w:rFonts w:ascii="Verdana" w:hAnsi="Verdana" w:cs="Arial"/>
          <w:bCs/>
          <w:szCs w:val="24"/>
          <w:lang w:val="es-ES" w:eastAsia="es-ES_tradnl"/>
        </w:rPr>
        <w:t>.</w:t>
      </w:r>
    </w:p>
    <w:p w14:paraId="3E1500C4" w14:textId="77777777" w:rsidR="005522C2" w:rsidRPr="00F04F3B" w:rsidRDefault="005522C2" w:rsidP="005522C2">
      <w:pPr>
        <w:spacing w:after="120" w:line="276" w:lineRule="auto"/>
        <w:ind w:firstLine="709"/>
        <w:jc w:val="both"/>
        <w:rPr>
          <w:rFonts w:ascii="Verdana" w:hAnsi="Verdana" w:cs="Arial"/>
          <w:lang w:val="es-ES" w:eastAsia="es-ES"/>
        </w:rPr>
      </w:pPr>
      <w:r w:rsidRPr="00F04F3B">
        <w:rPr>
          <w:rFonts w:ascii="Verdana" w:hAnsi="Verdana" w:cs="Arial"/>
          <w:lang w:val="es-ES" w:eastAsia="es-ES"/>
        </w:rPr>
        <w:t xml:space="preserve">De esta manera, usualmente en los contratos cuyo valor se estructura bajo el sistema de precios unitarios y con el desglose del AIU, el precio se paga con base en el valor de los costos directos incrementados por el porcentaje del AIU, forma de pago que pueden incluir las entidades estatales en virtud de la autonomía de la voluntad a la cual se refieren los artículos 13, 32 y 40 del EGCAP. Lo usual, que se advierte en la práctica de las entidades estatales, es que acuden al AIU con la finalidad de establecer un precio más estable, de manera que el valor del contrato consistirá en lo que resulte de afectar los costos directos por el porcentaje, </w:t>
      </w:r>
      <w:r w:rsidRPr="00F04F3B">
        <w:rPr>
          <w:rFonts w:ascii="Verdana" w:hAnsi="Verdana" w:cs="Arial"/>
          <w:i/>
          <w:iCs/>
          <w:lang w:val="es-ES" w:eastAsia="es-ES"/>
        </w:rPr>
        <w:t>en principio, invariable</w:t>
      </w:r>
      <w:r w:rsidRPr="00F04F3B">
        <w:rPr>
          <w:rFonts w:ascii="Verdana" w:hAnsi="Verdana" w:cs="Arial"/>
          <w:lang w:val="es-ES" w:eastAsia="es-ES"/>
        </w:rPr>
        <w:t xml:space="preserve"> del AIU, de manera que al valor de los costos directos se le sume el AIU.</w:t>
      </w:r>
    </w:p>
    <w:p w14:paraId="46CB4209" w14:textId="77777777" w:rsidR="005522C2" w:rsidRPr="00F04F3B" w:rsidRDefault="005522C2" w:rsidP="005522C2">
      <w:pPr>
        <w:spacing w:after="120" w:line="276" w:lineRule="auto"/>
        <w:ind w:firstLine="708"/>
        <w:jc w:val="both"/>
        <w:rPr>
          <w:rFonts w:ascii="Verdana" w:hAnsi="Verdana" w:cs="Arial"/>
          <w:lang w:val="es-ES" w:eastAsia="es-ES"/>
        </w:rPr>
      </w:pPr>
      <w:r w:rsidRPr="00F04F3B">
        <w:rPr>
          <w:rFonts w:ascii="Verdana" w:hAnsi="Verdana" w:cs="Arial"/>
          <w:lang w:val="es-ES" w:eastAsia="es-ES"/>
        </w:rPr>
        <w:t xml:space="preserve">Así las cosas, las partes asumen los riesgos inherentes a esta forma de pactar el precio, entendiendo aceptados los aleas normales que se presenten en la ejecución del contrato, de manera que, aunque el contratista incurra en mayores costos de los ítems incluidos en la </w:t>
      </w:r>
      <w:r w:rsidRPr="00F04F3B">
        <w:rPr>
          <w:rFonts w:ascii="Verdana" w:hAnsi="Verdana" w:cs="Arial"/>
          <w:i/>
          <w:iCs/>
          <w:lang w:val="es-ES" w:eastAsia="es-ES"/>
        </w:rPr>
        <w:t>Administración</w:t>
      </w:r>
      <w:r w:rsidRPr="00F04F3B">
        <w:rPr>
          <w:rFonts w:ascii="Verdana" w:hAnsi="Verdana" w:cs="Arial"/>
          <w:lang w:val="es-ES" w:eastAsia="es-ES"/>
        </w:rPr>
        <w:t xml:space="preserve"> al presentar su oferta, o que estos disminuyan, aparezcan algunos nuevos o desaparezcan algunos de ellos, el valor se mantenga invariable. De este modo, las partes optan por darle estabilidad al negocio, asumiendo cada una de ellas lo que le favorezca o desfavorezca, lo que evita, además, incurrir en costos de transacción relacionados con la necesidad de acreditar y verificar cada costo o gasto específico asociado a la </w:t>
      </w:r>
      <w:r w:rsidRPr="00F04F3B">
        <w:rPr>
          <w:rFonts w:ascii="Verdana" w:hAnsi="Verdana" w:cs="Arial"/>
          <w:i/>
          <w:iCs/>
          <w:lang w:val="es-ES" w:eastAsia="es-ES"/>
        </w:rPr>
        <w:t>Administración</w:t>
      </w:r>
      <w:r w:rsidRPr="00F04F3B">
        <w:rPr>
          <w:rFonts w:ascii="Verdana" w:hAnsi="Verdana" w:cs="Arial"/>
          <w:lang w:val="es-ES" w:eastAsia="es-ES"/>
        </w:rPr>
        <w:t>, lo que generaría más gastos tanto para la entidad como para el contratista.</w:t>
      </w:r>
    </w:p>
    <w:p w14:paraId="7EB11D25" w14:textId="77777777" w:rsidR="005522C2" w:rsidRPr="00F04F3B" w:rsidRDefault="005522C2" w:rsidP="005522C2">
      <w:pPr>
        <w:spacing w:after="120" w:line="276" w:lineRule="auto"/>
        <w:jc w:val="both"/>
        <w:rPr>
          <w:rFonts w:ascii="Verdana" w:hAnsi="Verdana" w:cs="Arial"/>
          <w:bCs/>
          <w:szCs w:val="24"/>
          <w:lang w:val="es-ES" w:eastAsia="es-ES_tradnl"/>
        </w:rPr>
      </w:pPr>
      <w:r w:rsidRPr="00F04F3B">
        <w:rPr>
          <w:rFonts w:ascii="Verdana" w:hAnsi="Verdana" w:cs="Arial"/>
          <w:bCs/>
          <w:szCs w:val="24"/>
          <w:lang w:val="es-ES" w:eastAsia="es-ES_tradnl"/>
        </w:rPr>
        <w:tab/>
        <w:t xml:space="preserve">En este sentido, cuando las entidades estatales incluyen esta forma de desglosar el precio, en los últimos términos indicados, al realizar el estudio de </w:t>
      </w:r>
      <w:r w:rsidRPr="00F04F3B">
        <w:rPr>
          <w:rFonts w:ascii="Verdana" w:hAnsi="Verdana" w:cs="Arial"/>
          <w:bCs/>
          <w:szCs w:val="24"/>
          <w:lang w:val="es-ES" w:eastAsia="es-ES_tradnl"/>
        </w:rPr>
        <w:lastRenderedPageBreak/>
        <w:t xml:space="preserve">mercado elaboran un presupuesto estimado del valor de la ejecución del contrato. Dicho presupuesto estimado incluye los costos genéricos </w:t>
      </w:r>
      <w:r w:rsidRPr="00F04F3B">
        <w:rPr>
          <w:rFonts w:ascii="Verdana" w:hAnsi="Verdana" w:cs="Arial"/>
          <w:bCs/>
          <w:i/>
          <w:iCs/>
          <w:szCs w:val="24"/>
          <w:lang w:val="es-ES" w:eastAsia="es-ES_tradnl"/>
        </w:rPr>
        <w:t xml:space="preserve">indirectos </w:t>
      </w:r>
      <w:r w:rsidRPr="00F04F3B">
        <w:rPr>
          <w:rFonts w:ascii="Verdana" w:hAnsi="Verdana" w:cs="Arial"/>
          <w:bCs/>
          <w:szCs w:val="24"/>
          <w:lang w:val="es-ES" w:eastAsia="es-ES_tradnl"/>
        </w:rPr>
        <w:t xml:space="preserve">en que incurren los contratistas, entre ellos, los de la </w:t>
      </w:r>
      <w:r w:rsidRPr="00F04F3B">
        <w:rPr>
          <w:rFonts w:ascii="Verdana" w:hAnsi="Verdana" w:cs="Arial"/>
          <w:bCs/>
          <w:i/>
          <w:iCs/>
          <w:szCs w:val="24"/>
          <w:lang w:val="es-ES" w:eastAsia="es-ES_tradnl"/>
        </w:rPr>
        <w:t>Administración</w:t>
      </w:r>
      <w:r w:rsidRPr="00F04F3B">
        <w:rPr>
          <w:rFonts w:ascii="Verdana" w:hAnsi="Verdana" w:cs="Arial"/>
          <w:bCs/>
          <w:szCs w:val="24"/>
          <w:lang w:val="es-ES" w:eastAsia="es-ES_tradnl"/>
        </w:rPr>
        <w:t>, para efectos de definir el porcentaje con el que calculan el presupuesto, pese a que el monto de estos componentes varía ostensiblemente de un proponente a otro, pues su valor real depende de circunstancias particulares de los oferentes</w:t>
      </w:r>
      <w:r w:rsidRPr="00F04F3B">
        <w:rPr>
          <w:rFonts w:ascii="Verdana" w:hAnsi="Verdana" w:cs="Arial"/>
          <w:bCs/>
          <w:szCs w:val="24"/>
          <w:vertAlign w:val="superscript"/>
          <w:lang w:val="es-ES" w:eastAsia="es-ES_tradnl"/>
        </w:rPr>
        <w:footnoteReference w:id="40"/>
      </w:r>
      <w:r w:rsidRPr="00F04F3B">
        <w:rPr>
          <w:rFonts w:ascii="Verdana" w:hAnsi="Verdana" w:cs="Arial"/>
          <w:bCs/>
          <w:szCs w:val="24"/>
          <w:lang w:val="es-ES" w:eastAsia="es-ES_tradnl"/>
        </w:rPr>
        <w:t xml:space="preserve">. </w:t>
      </w:r>
    </w:p>
    <w:p w14:paraId="6BB81863" w14:textId="77777777" w:rsidR="005522C2" w:rsidRPr="00F04F3B" w:rsidRDefault="005522C2" w:rsidP="005522C2">
      <w:pPr>
        <w:spacing w:after="120" w:line="276" w:lineRule="auto"/>
        <w:ind w:firstLine="709"/>
        <w:jc w:val="both"/>
        <w:rPr>
          <w:rFonts w:ascii="Verdana" w:hAnsi="Verdana" w:cs="Arial"/>
          <w:lang w:val="es-ES" w:eastAsia="es-ES"/>
        </w:rPr>
      </w:pPr>
      <w:r w:rsidRPr="00F04F3B">
        <w:rPr>
          <w:rFonts w:ascii="Verdana" w:hAnsi="Verdana" w:cs="Arial"/>
          <w:lang w:val="es-ES" w:eastAsia="es-ES"/>
        </w:rPr>
        <w:t xml:space="preserve">De manera que las entidades calculan un valor estimado que, a su vez, sirve de guía para que los proponentes formulen sus ofertas, pero bajo la premisa de que pagarán un </w:t>
      </w:r>
      <w:r w:rsidRPr="00F04F3B">
        <w:rPr>
          <w:rFonts w:ascii="Verdana" w:hAnsi="Verdana" w:cs="Arial"/>
          <w:i/>
          <w:iCs/>
          <w:lang w:val="es-ES" w:eastAsia="es-ES"/>
        </w:rPr>
        <w:t>porcentaje fijo</w:t>
      </w:r>
      <w:r w:rsidRPr="00F04F3B">
        <w:rPr>
          <w:rFonts w:ascii="Verdana" w:hAnsi="Verdana" w:cs="Arial"/>
          <w:lang w:val="es-ES" w:eastAsia="es-ES"/>
        </w:rPr>
        <w:t xml:space="preserve"> incluido por los interesados en sus propuestas, dado lo variable que resulta este valor, y lo complejo y gravoso de realizar un seguimiento minucioso a los costos en que incurren los contratistas por este componente en particular. Además, que estos podrían ser mayores a los inicialmente pactados con el contratista, de manera que la fijación de un porcentaje fijo y estable también puede resultar favorable a la entidad estatal, pues su contraparte no le podrá exigir un monto superior, bajo el argumento de que incurrió en costos o gastos adicionales asociados al componente </w:t>
      </w:r>
      <w:r w:rsidRPr="00F04F3B">
        <w:rPr>
          <w:rFonts w:ascii="Verdana" w:hAnsi="Verdana" w:cs="Arial"/>
          <w:i/>
          <w:iCs/>
          <w:lang w:val="es-ES" w:eastAsia="es-ES"/>
        </w:rPr>
        <w:t>Administración</w:t>
      </w:r>
      <w:r w:rsidRPr="00F04F3B">
        <w:rPr>
          <w:rFonts w:ascii="Verdana" w:hAnsi="Verdana" w:cs="Arial"/>
          <w:vertAlign w:val="superscript"/>
          <w:lang w:val="es-ES" w:eastAsia="es-ES"/>
        </w:rPr>
        <w:footnoteReference w:id="41"/>
      </w:r>
      <w:r w:rsidRPr="00F04F3B">
        <w:rPr>
          <w:rFonts w:ascii="Verdana" w:hAnsi="Verdana" w:cs="Arial"/>
          <w:lang w:val="es-ES" w:eastAsia="es-ES"/>
        </w:rPr>
        <w:t>.</w:t>
      </w:r>
    </w:p>
    <w:p w14:paraId="108C893A" w14:textId="77777777" w:rsidR="005522C2" w:rsidRPr="00F04F3B" w:rsidRDefault="005522C2" w:rsidP="005522C2">
      <w:pPr>
        <w:spacing w:after="120" w:line="276" w:lineRule="auto"/>
        <w:ind w:firstLine="709"/>
        <w:jc w:val="both"/>
        <w:rPr>
          <w:rFonts w:ascii="Verdana" w:hAnsi="Verdana" w:cs="Arial"/>
          <w:lang w:val="es-ES" w:eastAsia="es-ES"/>
        </w:rPr>
      </w:pPr>
      <w:r w:rsidRPr="00F04F3B">
        <w:rPr>
          <w:rFonts w:ascii="Verdana" w:hAnsi="Verdana" w:cs="Arial"/>
          <w:lang w:val="es-ES" w:eastAsia="es-ES"/>
        </w:rPr>
        <w:t>Del recuento anterior se concluye que las entidades cuentan con discrecionalidad para establecer en el pliego de condiciones o en su documento equivalente, así como en el contrato, el sistema de precios unitarios y la figura del AIU. De este modo, teniendo en cuenta que ni el concepto de AIU, ni la forma de calcularlo, son aspectos que cuenten con una regulación normativa en materia contractual del Estado, la determinación de los componentes del AIU dependerá del análisis particular que realice la entidad en relación con el presupuesto estimado del valor de la ejecución del contrato que, a su vez, sirve de guía para que los proponentes formulen sus ofertas.</w:t>
      </w:r>
    </w:p>
    <w:p w14:paraId="7A7921E6" w14:textId="77777777" w:rsidR="005522C2" w:rsidRPr="00F04F3B" w:rsidRDefault="005522C2" w:rsidP="005522C2">
      <w:pPr>
        <w:spacing w:after="0" w:line="276" w:lineRule="auto"/>
        <w:ind w:firstLine="709"/>
        <w:jc w:val="both"/>
        <w:rPr>
          <w:rFonts w:ascii="Verdana" w:hAnsi="Verdana" w:cs="Arial"/>
          <w:lang w:val="es-ES" w:eastAsia="es-ES"/>
        </w:rPr>
      </w:pPr>
      <w:r w:rsidRPr="00F04F3B">
        <w:rPr>
          <w:rFonts w:ascii="Verdana" w:hAnsi="Verdana" w:cs="Arial"/>
          <w:lang w:val="es-ES" w:eastAsia="es-ES"/>
        </w:rPr>
        <w:lastRenderedPageBreak/>
        <w:t xml:space="preserve">En consecuencia, las entidades gozan de autonomía para configurar el precio y para establecer el sistema de pago más apropiado para satisfacer los fines de la contratación, respetando los límites previstos en el ordenamiento. En tal perspectiva, cuentan con discrecionalidad para establecer en el pliego de condiciones o en su documento equivalente, así como en el contrato, el sistema de precios unitarios y la figura del AIU; modelo que, como se indicó, es más pertinente para los contratos de tracto sucesivo, como el de obra que no incluye la ejecución de los estudios y diseños. En cualquier caso, la decisión de adoptar el esquema de precios unitarios debe obedecer a un juicioso análisis de oportunidad y conveniencia, que consulte las reglas de la experiencia, así como los aspectos particulares de cada negocio. Lo anterior en armonía con la garantía de los principios de la función administrativa y de la gestión fiscal, dentro de los cuales se halla el principio de economía, postulado que exige la optimización de los recursos públicos. </w:t>
      </w:r>
    </w:p>
    <w:p w14:paraId="14167EBA" w14:textId="77777777" w:rsidR="005522C2" w:rsidRPr="00F04F3B" w:rsidRDefault="005522C2" w:rsidP="005522C2">
      <w:pPr>
        <w:spacing w:before="120" w:after="0" w:line="276" w:lineRule="auto"/>
        <w:ind w:firstLine="709"/>
        <w:jc w:val="both"/>
        <w:rPr>
          <w:rFonts w:ascii="Verdana" w:hAnsi="Verdana" w:cs="Arial"/>
          <w:lang w:val="es-ES" w:eastAsia="es-ES"/>
        </w:rPr>
      </w:pPr>
      <w:r w:rsidRPr="00035A5C">
        <w:rPr>
          <w:rFonts w:ascii="Verdana" w:hAnsi="Verdana" w:cs="Arial"/>
          <w:lang w:eastAsia="es-ES"/>
        </w:rPr>
        <w:t xml:space="preserve">Como el esquema de precios responde a la autonomía de la voluntad, en el caso objeto de consulta la entidad deberá atender a la manera en que pactó la metodología —por ejemplo, si incluyó el AIU bajo la premisa de un porcentaje fijo—. Resulta especialmente relevante que la consulta señale que los documentos del proceso contemplaron como riesgo previsible </w:t>
      </w:r>
      <w:r>
        <w:rPr>
          <w:rFonts w:ascii="Verdana" w:hAnsi="Verdana" w:cs="Arial"/>
          <w:lang w:eastAsia="es-ES"/>
        </w:rPr>
        <w:t>“</w:t>
      </w:r>
      <w:r w:rsidRPr="00035A5C">
        <w:rPr>
          <w:rFonts w:ascii="Verdana" w:hAnsi="Verdana" w:cs="Arial"/>
          <w:lang w:eastAsia="es-ES"/>
        </w:rPr>
        <w:t>los mayores valores que pudieran resultar de los estudios y diseños</w:t>
      </w:r>
      <w:r>
        <w:rPr>
          <w:rFonts w:ascii="Verdana" w:hAnsi="Verdana" w:cs="Arial"/>
          <w:lang w:eastAsia="es-ES"/>
        </w:rPr>
        <w:t>”</w:t>
      </w:r>
      <w:r w:rsidRPr="00035A5C">
        <w:rPr>
          <w:rFonts w:ascii="Verdana" w:hAnsi="Verdana" w:cs="Arial"/>
          <w:lang w:eastAsia="es-ES"/>
        </w:rPr>
        <w:t>; por ello, es necesario determinar a quién se asignó ese riesgo. Si se pactó que lo asumiría el contratista, se entiende que aceptó el alea normal de las variaciones derivadas de los estudios y diseños y deberá cubrir los mayores costos de los ítems estimados, aunque le resulten desfavorables; si lo asumió la entidad, será esta quien deba soportar las variaciones o incrementos</w:t>
      </w:r>
      <w:r w:rsidRPr="00F04F3B">
        <w:rPr>
          <w:rFonts w:ascii="Verdana" w:hAnsi="Verdana" w:cs="Arial"/>
          <w:lang w:val="es-ES" w:eastAsia="es-ES"/>
        </w:rPr>
        <w:t>.</w:t>
      </w:r>
    </w:p>
    <w:p w14:paraId="3E0856F3" w14:textId="77777777" w:rsidR="005522C2" w:rsidRDefault="005522C2" w:rsidP="005522C2">
      <w:pPr>
        <w:spacing w:before="120" w:after="0" w:line="276" w:lineRule="auto"/>
        <w:ind w:firstLine="709"/>
        <w:jc w:val="both"/>
        <w:rPr>
          <w:rFonts w:ascii="Verdana" w:hAnsi="Verdana" w:cs="Arial"/>
          <w:lang w:val="es-ES" w:eastAsia="es-ES"/>
        </w:rPr>
      </w:pPr>
      <w:r w:rsidRPr="00F04F3B">
        <w:rPr>
          <w:rFonts w:ascii="Verdana" w:hAnsi="Verdana" w:cs="Arial"/>
          <w:lang w:val="es-ES" w:eastAsia="es-ES"/>
        </w:rPr>
        <w:t xml:space="preserve">Al respecto, </w:t>
      </w:r>
      <w:r>
        <w:rPr>
          <w:rFonts w:ascii="Verdana" w:eastAsia="Arial" w:hAnsi="Verdana" w:cs="Arial"/>
          <w:lang w:val="es-ES"/>
        </w:rPr>
        <w:t>e</w:t>
      </w:r>
      <w:r w:rsidRPr="00F04F3B">
        <w:rPr>
          <w:rFonts w:ascii="Verdana" w:eastAsia="Arial" w:hAnsi="Verdana" w:cs="Arial"/>
          <w:lang w:val="es-ES"/>
        </w:rPr>
        <w:t xml:space="preserve">l artículo 4 de la Ley 1150 de 2007 obliga a las </w:t>
      </w:r>
      <w:r>
        <w:rPr>
          <w:rFonts w:ascii="Verdana" w:eastAsia="Arial" w:hAnsi="Verdana" w:cs="Arial"/>
          <w:lang w:val="es-ES"/>
        </w:rPr>
        <w:t>E</w:t>
      </w:r>
      <w:r w:rsidRPr="00F04F3B">
        <w:rPr>
          <w:rFonts w:ascii="Verdana" w:eastAsia="Arial" w:hAnsi="Verdana" w:cs="Arial"/>
          <w:lang w:val="es-ES"/>
        </w:rPr>
        <w:t xml:space="preserve">ntidades </w:t>
      </w:r>
      <w:r>
        <w:rPr>
          <w:rFonts w:ascii="Verdana" w:eastAsia="Arial" w:hAnsi="Verdana" w:cs="Arial"/>
          <w:lang w:val="es-ES"/>
        </w:rPr>
        <w:t>E</w:t>
      </w:r>
      <w:r w:rsidRPr="00F04F3B">
        <w:rPr>
          <w:rFonts w:ascii="Verdana" w:eastAsia="Arial" w:hAnsi="Verdana" w:cs="Arial"/>
          <w:lang w:val="es-ES"/>
        </w:rPr>
        <w:t>statales a estimar, tipificar y asignar los riesgos previsibles involucrados en la contratación dentro de los pliegos de condiciones o sus equivalentes, propósito que apunta a que, durante la planeación, las entidades estimen de forma anticipada las posibles eventualidades que puedan generarse durante la ejecución del contrato</w:t>
      </w:r>
      <w:r w:rsidRPr="00F04F3B">
        <w:rPr>
          <w:rStyle w:val="Refdenotaalpie"/>
          <w:rFonts w:ascii="Verdana" w:hAnsi="Verdana"/>
          <w:lang w:val="es-ES"/>
        </w:rPr>
        <w:footnoteReference w:id="42"/>
      </w:r>
      <w:r w:rsidRPr="00F04F3B">
        <w:rPr>
          <w:rFonts w:ascii="Verdana" w:eastAsia="Arial" w:hAnsi="Verdana" w:cs="Arial"/>
          <w:lang w:val="es-ES"/>
        </w:rPr>
        <w:t xml:space="preserve">. </w:t>
      </w:r>
    </w:p>
    <w:p w14:paraId="60FC76A7" w14:textId="77777777" w:rsidR="005522C2" w:rsidRDefault="005522C2" w:rsidP="005522C2">
      <w:pPr>
        <w:spacing w:before="120" w:after="0" w:line="276" w:lineRule="auto"/>
        <w:ind w:firstLine="709"/>
        <w:jc w:val="both"/>
        <w:rPr>
          <w:rFonts w:ascii="Verdana" w:hAnsi="Verdana" w:cs="Arial"/>
          <w:lang w:val="es-ES" w:eastAsia="es-ES"/>
        </w:rPr>
      </w:pPr>
      <w:r w:rsidRPr="00F04F3B">
        <w:rPr>
          <w:rFonts w:ascii="Verdana" w:eastAsia="Arial" w:hAnsi="Verdana" w:cs="Arial"/>
          <w:lang w:val="es-ES"/>
        </w:rPr>
        <w:lastRenderedPageBreak/>
        <w:t xml:space="preserve">La asignación del riesgo produce </w:t>
      </w:r>
      <w:r>
        <w:rPr>
          <w:rFonts w:ascii="Verdana" w:eastAsia="Arial" w:hAnsi="Verdana" w:cs="Arial"/>
          <w:lang w:val="es-ES"/>
        </w:rPr>
        <w:t xml:space="preserve">que </w:t>
      </w:r>
      <w:r w:rsidRPr="00F04F3B">
        <w:rPr>
          <w:rFonts w:ascii="Verdana" w:eastAsia="Arial" w:hAnsi="Verdana" w:cs="Arial"/>
          <w:lang w:val="es-ES"/>
        </w:rPr>
        <w:t xml:space="preserve">todo riesgo que afecte la simetría prestacional abre paso a la revisión del contrato y al análisis de su potencial reequilibrio en los términos de la Ley 80 de 1993; no obstante, cuando el riesgo resulte previsible y sea distribuido y asignado a una u otra parte en el contrato, abandona el terreno de la imprevisión y transita hacia un contenido obligacional de quien lo asume y, como deber de conducta convencionalmente pactado (artículo 1495 del Código Civil), se analiza en el campo del cumplimiento contractual (artículo 1613 </w:t>
      </w:r>
      <w:proofErr w:type="spellStart"/>
      <w:r w:rsidRPr="00F04F3B">
        <w:rPr>
          <w:rFonts w:ascii="Verdana" w:eastAsia="Arial" w:hAnsi="Verdana" w:cs="Arial"/>
          <w:lang w:val="es-ES"/>
        </w:rPr>
        <w:t>ibídem</w:t>
      </w:r>
      <w:proofErr w:type="spellEnd"/>
      <w:r w:rsidRPr="00F04F3B">
        <w:rPr>
          <w:rFonts w:ascii="Verdana" w:eastAsia="Arial" w:hAnsi="Verdana" w:cs="Arial"/>
          <w:lang w:val="es-ES"/>
        </w:rPr>
        <w:t>)</w:t>
      </w:r>
      <w:r w:rsidRPr="00F04F3B">
        <w:rPr>
          <w:rStyle w:val="Refdenotaalpie"/>
          <w:rFonts w:ascii="Verdana" w:hAnsi="Verdana"/>
          <w:lang w:val="es-ES"/>
        </w:rPr>
        <w:footnoteReference w:id="43"/>
      </w:r>
      <w:r w:rsidRPr="00F04F3B">
        <w:rPr>
          <w:rFonts w:ascii="Verdana" w:eastAsia="Arial" w:hAnsi="Verdana" w:cs="Arial"/>
          <w:lang w:val="es-ES"/>
        </w:rPr>
        <w:t>. En esa misma providencia, tratándose de un contrato de obra a precios unitarios, la Corporación señaló que la variación de las cantidades de obra es un riesgo inherente a esa modalidad —alea normal del contrato—, de modo que sus efectos, favorables o desfavorables, corresponden al riesgo negocial del contratista</w:t>
      </w:r>
      <w:r w:rsidRPr="00F04F3B">
        <w:rPr>
          <w:rStyle w:val="Refdenotaalpie"/>
          <w:rFonts w:ascii="Verdana" w:hAnsi="Verdana"/>
          <w:lang w:val="es-ES"/>
        </w:rPr>
        <w:footnoteReference w:id="44"/>
      </w:r>
      <w:r w:rsidRPr="00F04F3B">
        <w:rPr>
          <w:rFonts w:ascii="Verdana" w:eastAsia="Arial" w:hAnsi="Verdana" w:cs="Arial"/>
          <w:lang w:val="es-ES"/>
        </w:rPr>
        <w:t>.</w:t>
      </w:r>
    </w:p>
    <w:p w14:paraId="5060BE5B" w14:textId="77777777" w:rsidR="005522C2" w:rsidRPr="00F04F3B" w:rsidRDefault="005522C2" w:rsidP="005522C2">
      <w:pPr>
        <w:spacing w:before="120" w:after="0" w:line="276" w:lineRule="auto"/>
        <w:ind w:firstLine="709"/>
        <w:jc w:val="both"/>
        <w:rPr>
          <w:rFonts w:ascii="Verdana" w:hAnsi="Verdana" w:cs="Arial"/>
          <w:lang w:val="es-ES" w:eastAsia="es-ES"/>
        </w:rPr>
      </w:pPr>
      <w:r w:rsidRPr="00F04F3B">
        <w:rPr>
          <w:rFonts w:ascii="Verdana" w:eastAsia="Arial" w:hAnsi="Verdana" w:cs="Arial"/>
          <w:lang w:val="es-ES"/>
        </w:rPr>
        <w:t>Con todo, el propio Consejo de Estado precisó un límite: el riesgo no solo debe evaluarse por su naturaleza, sino también por su magnitud y dimensión, de manera que, si desborda los límites razonables de la previsibilidad, puede dar lugar a un desequilibrio del contrato incluso cuando el riesgo haya sido asignado convencionalmente</w:t>
      </w:r>
      <w:r w:rsidRPr="00F04F3B">
        <w:rPr>
          <w:rStyle w:val="Refdenotaalpie"/>
          <w:rFonts w:ascii="Verdana" w:hAnsi="Verdana"/>
          <w:lang w:val="es-ES"/>
        </w:rPr>
        <w:footnoteReference w:id="45"/>
      </w:r>
      <w:r w:rsidRPr="00F04F3B">
        <w:rPr>
          <w:rFonts w:ascii="Verdana" w:eastAsia="Arial" w:hAnsi="Verdana" w:cs="Arial"/>
          <w:lang w:val="es-ES"/>
        </w:rPr>
        <w:t xml:space="preserve">. Sobre este tema se profundiza más adelante en este concepto. Debe subrayarse que el equilibrio económico atiende a </w:t>
      </w:r>
      <w:proofErr w:type="gramStart"/>
      <w:r w:rsidRPr="00F04F3B">
        <w:rPr>
          <w:rFonts w:ascii="Verdana" w:eastAsia="Arial" w:hAnsi="Verdana" w:cs="Arial"/>
          <w:lang w:val="es-ES"/>
        </w:rPr>
        <w:t>un alea extraordinaria</w:t>
      </w:r>
      <w:proofErr w:type="gramEnd"/>
      <w:r w:rsidRPr="00F04F3B">
        <w:rPr>
          <w:rFonts w:ascii="Verdana" w:eastAsia="Arial" w:hAnsi="Verdana" w:cs="Arial"/>
          <w:lang w:val="es-ES"/>
        </w:rPr>
        <w:t xml:space="preserve"> (sobreviniente, imprevisible y ajena a las partes) y no al alea normal del negocio ni a los riesgos que fueron previstos y asignados. Por ello, cuando la variación económica pueda gestionarse mediante fórmulas de reajuste o revisión de precios pactadas en el contrato, ese es el mecanismo llamado a operar; y solo cuando tales fórmulas resulten insuficientes frente a una circunstancia que desborde la previsibilidad razonable podrá abrirse paso el análisis del reequilibrio</w:t>
      </w:r>
      <w:r w:rsidRPr="00F04F3B">
        <w:rPr>
          <w:rStyle w:val="Refdenotaalpie"/>
          <w:rFonts w:ascii="Verdana" w:hAnsi="Verdana"/>
          <w:lang w:val="es-ES"/>
        </w:rPr>
        <w:footnoteReference w:id="46"/>
      </w:r>
      <w:r w:rsidRPr="00F04F3B">
        <w:rPr>
          <w:rFonts w:ascii="Verdana" w:eastAsia="Arial" w:hAnsi="Verdana" w:cs="Arial"/>
          <w:lang w:val="es-ES"/>
        </w:rPr>
        <w:t>.</w:t>
      </w:r>
    </w:p>
    <w:p w14:paraId="2A739329" w14:textId="77777777" w:rsidR="005522C2" w:rsidRPr="00F04F3B" w:rsidRDefault="005522C2" w:rsidP="005522C2">
      <w:pPr>
        <w:spacing w:after="0" w:line="276" w:lineRule="auto"/>
        <w:jc w:val="both"/>
        <w:rPr>
          <w:rFonts w:ascii="Verdana" w:hAnsi="Verdana" w:cs="Arial"/>
          <w:lang w:val="es-ES" w:eastAsia="es-ES"/>
        </w:rPr>
      </w:pPr>
    </w:p>
    <w:p w14:paraId="2EE1472A" w14:textId="77777777" w:rsidR="005522C2" w:rsidRPr="00F04F3B" w:rsidRDefault="005522C2" w:rsidP="005522C2">
      <w:pPr>
        <w:widowControl w:val="0"/>
        <w:autoSpaceDE w:val="0"/>
        <w:autoSpaceDN w:val="0"/>
        <w:spacing w:line="276" w:lineRule="auto"/>
        <w:jc w:val="both"/>
        <w:rPr>
          <w:rFonts w:ascii="Verdana" w:eastAsia="Arial" w:hAnsi="Verdana" w:cs="Arial"/>
          <w:color w:val="000000"/>
          <w:lang w:val="es-ES" w:eastAsia="es-ES" w:bidi="es-ES"/>
        </w:rPr>
      </w:pPr>
      <w:proofErr w:type="spellStart"/>
      <w:r w:rsidRPr="00F04F3B">
        <w:rPr>
          <w:rFonts w:ascii="Verdana" w:eastAsia="Century Gothic" w:hAnsi="Verdana" w:cs="Century Gothic"/>
          <w:b/>
          <w:bCs/>
          <w:color w:val="000000" w:themeColor="text1"/>
          <w:lang w:val="es-ES"/>
        </w:rPr>
        <w:t>ii</w:t>
      </w:r>
      <w:proofErr w:type="spellEnd"/>
      <w:r w:rsidRPr="00F04F3B">
        <w:rPr>
          <w:rFonts w:ascii="Verdana" w:eastAsia="Century Gothic" w:hAnsi="Verdana" w:cs="Century Gothic"/>
          <w:b/>
          <w:bCs/>
          <w:color w:val="000000" w:themeColor="text1"/>
          <w:lang w:val="es-ES"/>
        </w:rPr>
        <w:t>.</w:t>
      </w:r>
      <w:r w:rsidRPr="00F04F3B">
        <w:rPr>
          <w:rFonts w:ascii="Verdana" w:eastAsia="Century Gothic" w:hAnsi="Verdana" w:cs="Century Gothic"/>
          <w:color w:val="000000" w:themeColor="text1"/>
          <w:lang w:val="es-ES"/>
        </w:rPr>
        <w:t xml:space="preserve"> </w:t>
      </w:r>
      <w:r w:rsidRPr="00F04F3B">
        <w:rPr>
          <w:rFonts w:ascii="Verdana" w:eastAsia="Arial" w:hAnsi="Verdana" w:cs="Arial"/>
          <w:color w:val="000000"/>
          <w:lang w:val="es-ES" w:eastAsia="es-ES" w:bidi="es-ES"/>
        </w:rPr>
        <w:t xml:space="preserve">Los contratos estatales pueden ser objeto de situaciones que impliquen la necesidad de adicionar el valor inicialmente pactado, conforme lo prescribe el </w:t>
      </w:r>
      <w:r w:rsidRPr="00F04F3B">
        <w:rPr>
          <w:rFonts w:ascii="Verdana" w:eastAsia="Arial" w:hAnsi="Verdana" w:cs="Arial"/>
          <w:color w:val="000000"/>
          <w:lang w:val="es-ES" w:eastAsia="es-ES" w:bidi="es-ES"/>
        </w:rPr>
        <w:lastRenderedPageBreak/>
        <w:t xml:space="preserve">artículo 40 de la Ley 80 de 1993, pudiendo incluirse las modalidades, condiciones y, en general las cláusulas o estipulaciones que las partes consideren necesarias para el cabal cumplimiento del objeto contractual. En este contexto, las adiciones constituyen una manifestación de la modificación de los contratos estatales. </w:t>
      </w:r>
    </w:p>
    <w:p w14:paraId="1373E3BD" w14:textId="77777777" w:rsidR="005522C2" w:rsidRPr="00F04F3B" w:rsidRDefault="005522C2" w:rsidP="005522C2">
      <w:pPr>
        <w:spacing w:after="120" w:line="276" w:lineRule="auto"/>
        <w:ind w:firstLine="708"/>
        <w:jc w:val="both"/>
        <w:rPr>
          <w:rFonts w:ascii="Verdana" w:eastAsia="Calibri" w:hAnsi="Verdana" w:cs="Arial"/>
          <w:color w:val="000000"/>
          <w:szCs w:val="24"/>
          <w:lang w:val="es-ES" w:eastAsia="es-ES_tradnl"/>
        </w:rPr>
      </w:pPr>
      <w:r w:rsidRPr="00F04F3B">
        <w:rPr>
          <w:rFonts w:ascii="Verdana" w:eastAsia="Calibri" w:hAnsi="Verdana" w:cs="Arial"/>
          <w:color w:val="000000"/>
          <w:szCs w:val="24"/>
          <w:lang w:val="es-ES" w:eastAsia="es-ES_tradnl"/>
        </w:rPr>
        <w:t xml:space="preserve">La ejecución de los contratos estatales está sujeta a los cambios propios del paso del tiempo. Así, durante la etapa de planeación, las entidades públicas estiman y determinan las prestaciones que demanda la satisfacción del interés colectivo. No obstante, durante la ejecución del contrato, las partes pueden identificar alguna de las siguientes situaciones: i) la necesidad de mayores cantidades de bienes o actividades inicialmente previstos, a lo que se le conoce como “mayores cantidades de obra”, “obras adicionales” o adición de “ítems contractuales”; y </w:t>
      </w:r>
      <w:proofErr w:type="spellStart"/>
      <w:r w:rsidRPr="00F04F3B">
        <w:rPr>
          <w:rFonts w:ascii="Verdana" w:eastAsia="Calibri" w:hAnsi="Verdana" w:cs="Arial"/>
          <w:color w:val="000000"/>
          <w:szCs w:val="24"/>
          <w:lang w:val="es-ES" w:eastAsia="es-ES_tradnl"/>
        </w:rPr>
        <w:t>ii</w:t>
      </w:r>
      <w:proofErr w:type="spellEnd"/>
      <w:r w:rsidRPr="00F04F3B">
        <w:rPr>
          <w:rFonts w:ascii="Verdana" w:eastAsia="Calibri" w:hAnsi="Verdana" w:cs="Arial"/>
          <w:color w:val="000000"/>
          <w:szCs w:val="24"/>
          <w:lang w:val="es-ES" w:eastAsia="es-ES_tradnl"/>
        </w:rPr>
        <w:t xml:space="preserve">) la necesidad de ampliar las prestaciones contractuales, mediante la ejecución de nuevos ítems o actividades, no incluidos en el contrato inicial, para lo que en la práctica las entidades ejecutan “obras extra” o “amplían el alcance” del contrato mediante la celebración de un “contrato adicional”. No obstante, estos términos –algunos de ellos usualmente empleados en contratos de obra– son nociones doctrinarias que se utilizan en la práctica por las entidades estatales, que actualmente no tienen un fundamento particular en el ordenamiento jurídico, el cual no le asigna efectos específicos a cada uno de ellos. </w:t>
      </w:r>
    </w:p>
    <w:p w14:paraId="5FF47617" w14:textId="77777777" w:rsidR="005522C2" w:rsidRPr="00F04F3B" w:rsidRDefault="005522C2" w:rsidP="005522C2">
      <w:pPr>
        <w:spacing w:after="120" w:line="276" w:lineRule="auto"/>
        <w:ind w:firstLine="709"/>
        <w:jc w:val="both"/>
        <w:rPr>
          <w:rFonts w:ascii="Verdana" w:eastAsia="Calibri" w:hAnsi="Verdana" w:cs="Arial"/>
          <w:color w:val="000000"/>
          <w:szCs w:val="24"/>
          <w:lang w:val="es-ES" w:eastAsia="es-ES_tradnl"/>
        </w:rPr>
      </w:pPr>
      <w:r w:rsidRPr="00F04F3B">
        <w:rPr>
          <w:rFonts w:ascii="Verdana" w:eastAsia="Calibri" w:hAnsi="Verdana" w:cs="Arial"/>
          <w:color w:val="000000"/>
          <w:szCs w:val="24"/>
          <w:lang w:val="es-ES" w:eastAsia="es-ES_tradnl"/>
        </w:rPr>
        <w:t>Lo importante es que, frente a cualquier incremento del valor inicial del contrato,</w:t>
      </w:r>
      <w:r w:rsidRPr="00F04F3B">
        <w:rPr>
          <w:rFonts w:ascii="Verdana" w:eastAsia="Calibri" w:hAnsi="Verdana" w:cs="Arial"/>
          <w:i/>
          <w:iCs/>
          <w:color w:val="000000"/>
          <w:szCs w:val="24"/>
          <w:lang w:val="es-ES" w:eastAsia="es-ES_tradnl"/>
        </w:rPr>
        <w:t xml:space="preserve"> </w:t>
      </w:r>
      <w:r w:rsidRPr="00F04F3B">
        <w:rPr>
          <w:rFonts w:ascii="Verdana" w:eastAsia="Calibri" w:hAnsi="Verdana" w:cs="Arial"/>
          <w:color w:val="000000"/>
          <w:szCs w:val="24"/>
          <w:lang w:val="es-ES" w:eastAsia="es-ES_tradnl"/>
        </w:rPr>
        <w:t>por cualquiera de los dos supuestos señalados previamente, e independiente del nombre que se le dé al acuerdo -otrosí, adición, modificación o cualquier denominación-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 que aplica a los contratos estatales, cuyos destinatarios son entidades sujetas al EGCAP</w:t>
      </w:r>
      <w:r w:rsidRPr="00F04F3B">
        <w:rPr>
          <w:rFonts w:ascii="Verdana" w:eastAsia="Calibri" w:hAnsi="Verdana" w:cs="Arial"/>
          <w:color w:val="000000"/>
          <w:szCs w:val="24"/>
          <w:vertAlign w:val="superscript"/>
          <w:lang w:val="es-ES" w:eastAsia="es-ES_tradnl"/>
        </w:rPr>
        <w:footnoteReference w:id="47"/>
      </w:r>
      <w:r w:rsidRPr="00F04F3B">
        <w:rPr>
          <w:rFonts w:ascii="Verdana" w:eastAsia="Calibri" w:hAnsi="Verdana" w:cs="Arial"/>
          <w:color w:val="000000"/>
          <w:szCs w:val="24"/>
          <w:lang w:val="es-ES" w:eastAsia="es-ES_tradnl"/>
        </w:rPr>
        <w:t>.</w:t>
      </w:r>
    </w:p>
    <w:p w14:paraId="4063458B" w14:textId="77777777" w:rsidR="005522C2" w:rsidRPr="00F04F3B" w:rsidRDefault="005522C2" w:rsidP="005522C2">
      <w:pPr>
        <w:spacing w:after="120" w:line="276" w:lineRule="auto"/>
        <w:ind w:firstLine="709"/>
        <w:jc w:val="both"/>
        <w:rPr>
          <w:rFonts w:ascii="Verdana" w:eastAsia="Calibri" w:hAnsi="Verdana" w:cs="Arial"/>
          <w:color w:val="000000"/>
          <w:szCs w:val="24"/>
          <w:lang w:val="es-ES" w:eastAsia="es-ES_tradnl"/>
        </w:rPr>
      </w:pPr>
      <w:r w:rsidRPr="00F04F3B">
        <w:rPr>
          <w:rFonts w:ascii="Verdana" w:eastAsia="Calibri" w:hAnsi="Verdana" w:cs="Arial"/>
          <w:color w:val="000000"/>
          <w:szCs w:val="24"/>
          <w:lang w:val="es-ES" w:eastAsia="es-ES_tradnl"/>
        </w:rPr>
        <w:lastRenderedPageBreak/>
        <w:t xml:space="preserve">Frente al caso objeto de consulta, </w:t>
      </w:r>
      <w:r w:rsidRPr="00F04F3B">
        <w:rPr>
          <w:rFonts w:ascii="Verdana" w:eastAsia="Century Gothic" w:hAnsi="Verdana" w:cs="Century Gothic"/>
          <w:color w:val="000000" w:themeColor="text1"/>
          <w:lang w:val="es-ES"/>
        </w:rPr>
        <w:t>es importante recordar que una cosa es el presupuesto oficial —la estimación del costo de la necesidad que respalda la apropiación de los recursos— y otra el valor del contrato —lo efectivamente pactado—. Como en el caso el presupuesto oficial de la etapa constructiva se concreta a partir de los estudios y diseños, la entidad debe verificar si ese presupuesto oficial requerido para la etapa constructiva excede el valor apropiado y pactado inicialmente. Si el presupuesto oficial definitivo excede el valor apropiado, la entidad deberá modificar el contrato y apropiar los recursos requeridos; y ese mayor valor, en cuanto supone destinar recursos adicionales a los inicialmente previstos, puede constituir una adición sujeta al límite del parágrafo del artículo 40 de la Ley 80 de 1993. No se trata</w:t>
      </w:r>
      <w:r>
        <w:rPr>
          <w:rFonts w:ascii="Verdana" w:eastAsia="Century Gothic" w:hAnsi="Verdana" w:cs="Century Gothic"/>
          <w:color w:val="000000" w:themeColor="text1"/>
          <w:lang w:val="es-ES"/>
        </w:rPr>
        <w:t xml:space="preserve"> </w:t>
      </w:r>
      <w:r w:rsidRPr="00F04F3B">
        <w:rPr>
          <w:rFonts w:ascii="Verdana" w:eastAsia="Century Gothic" w:hAnsi="Verdana" w:cs="Century Gothic"/>
          <w:color w:val="000000" w:themeColor="text1"/>
          <w:lang w:val="es-ES"/>
        </w:rPr>
        <w:t>necesariamente de un ajuste del valor estimativo, sino de un asunto de a quién correspondía asumir el riesgo y de si su materialización exige una apropiación presupuestal nueva.</w:t>
      </w:r>
    </w:p>
    <w:p w14:paraId="3B6FC2A2" w14:textId="77777777" w:rsidR="005522C2" w:rsidRPr="00F04F3B" w:rsidRDefault="005522C2" w:rsidP="005522C2">
      <w:pPr>
        <w:spacing w:after="120" w:line="276" w:lineRule="auto"/>
        <w:ind w:firstLine="709"/>
        <w:jc w:val="both"/>
        <w:rPr>
          <w:rFonts w:ascii="Verdana" w:eastAsia="Calibri" w:hAnsi="Verdana" w:cs="Arial"/>
          <w:color w:val="000000"/>
          <w:szCs w:val="24"/>
          <w:lang w:val="es-ES" w:eastAsia="es-ES_tradnl"/>
        </w:rPr>
      </w:pPr>
      <w:r w:rsidRPr="00F04F3B">
        <w:rPr>
          <w:rFonts w:ascii="Verdana" w:eastAsia="Century Gothic" w:hAnsi="Verdana" w:cs="Century Gothic"/>
          <w:color w:val="000000" w:themeColor="text1"/>
          <w:lang w:val="es-ES"/>
        </w:rPr>
        <w:t xml:space="preserve">El peticionario sostiene que no se está frente a una adición, sino ante el establecimiento del presupuesto oficial. Sobre el particular debe precisarse que no podía existir una verdadera estimación de los precios de la obra antes de los estudios y diseños, porque estos no existían y el detalle de la obra lo determinaba esa fase; por ello, la entidad debe considerar si lo que se incorpora tras </w:t>
      </w:r>
      <w:r>
        <w:rPr>
          <w:rFonts w:ascii="Verdana" w:eastAsia="Century Gothic" w:hAnsi="Verdana" w:cs="Century Gothic"/>
          <w:color w:val="000000" w:themeColor="text1"/>
          <w:lang w:val="es-ES"/>
        </w:rPr>
        <w:t>los estudios y</w:t>
      </w:r>
      <w:r w:rsidRPr="00F04F3B">
        <w:rPr>
          <w:rFonts w:ascii="Verdana" w:eastAsia="Century Gothic" w:hAnsi="Verdana" w:cs="Century Gothic"/>
          <w:color w:val="000000" w:themeColor="text1"/>
          <w:lang w:val="es-ES"/>
        </w:rPr>
        <w:t xml:space="preserve"> diseño</w:t>
      </w:r>
      <w:r>
        <w:rPr>
          <w:rFonts w:ascii="Verdana" w:eastAsia="Century Gothic" w:hAnsi="Verdana" w:cs="Century Gothic"/>
          <w:color w:val="000000" w:themeColor="text1"/>
          <w:lang w:val="es-ES"/>
        </w:rPr>
        <w:t>s</w:t>
      </w:r>
      <w:r w:rsidRPr="00F04F3B">
        <w:rPr>
          <w:rFonts w:ascii="Verdana" w:eastAsia="Century Gothic" w:hAnsi="Verdana" w:cs="Century Gothic"/>
          <w:color w:val="000000" w:themeColor="text1"/>
          <w:lang w:val="es-ES"/>
        </w:rPr>
        <w:t xml:space="preserve"> es realmente un presupuesto nuevo y no un simple reajuste de lo estimado, de modo que no pueda tratarse como una mera actualización de una estimación previa. En consecuencia, si se trata de un presupuesto nuevo que implica destinar recursos adicionales a los inicialmente apropiados y pactados, su incorporación no solo requiere de una modificación contractual —cualquiera que sea su denominación: otrosí, adición, modificación—, sino que, además, queda sujeta al límite del parágrafo del artículo 40 de la Ley 80 de 1993, conforme lo ha reiterado esta Agencia</w:t>
      </w:r>
      <w:r w:rsidRPr="00F04F3B">
        <w:rPr>
          <w:rStyle w:val="Refdenotaalpie"/>
          <w:rFonts w:ascii="Verdana" w:eastAsia="Century Gothic" w:hAnsi="Verdana" w:cs="Century Gothic"/>
          <w:color w:val="000000" w:themeColor="text1"/>
          <w:lang w:val="es-ES"/>
        </w:rPr>
        <w:footnoteReference w:id="48"/>
      </w:r>
      <w:r w:rsidRPr="00F04F3B">
        <w:rPr>
          <w:rFonts w:ascii="Verdana" w:eastAsia="Century Gothic" w:hAnsi="Verdana" w:cs="Century Gothic"/>
          <w:color w:val="000000" w:themeColor="text1"/>
          <w:lang w:val="es-ES"/>
        </w:rPr>
        <w:t>.</w:t>
      </w:r>
    </w:p>
    <w:p w14:paraId="498A9239" w14:textId="77777777" w:rsidR="005522C2" w:rsidRPr="00F04F3B" w:rsidRDefault="005522C2" w:rsidP="005522C2">
      <w:pPr>
        <w:spacing w:after="120" w:line="276" w:lineRule="auto"/>
        <w:ind w:firstLine="709"/>
        <w:jc w:val="both"/>
        <w:rPr>
          <w:rFonts w:ascii="Verdana" w:eastAsia="Calibri" w:hAnsi="Verdana" w:cs="Arial"/>
          <w:color w:val="000000"/>
          <w:szCs w:val="24"/>
          <w:lang w:val="es-ES" w:eastAsia="es-ES_tradnl"/>
        </w:rPr>
      </w:pPr>
      <w:r w:rsidRPr="00F04F3B">
        <w:rPr>
          <w:rFonts w:ascii="Verdana" w:eastAsia="Calibri" w:hAnsi="Verdana" w:cs="Arial"/>
          <w:color w:val="000000"/>
          <w:szCs w:val="24"/>
          <w:lang w:val="es-ES" w:eastAsia="es-ES_tradnl"/>
        </w:rPr>
        <w:t xml:space="preserve">Debe tenerse en cuenta que el límite debe establecerse en salarios mínimos para que el cálculo del tope sea preciso; de manera que para adicionar un contrato debe dividirse el valor inicial por el salario mínimo vigente al momento de la suscripción del contrato, y luego dividirlo por dos (2); el resultado obtenido constituirá el número de SMLMV por los cuales podrá adicionarse el contrato. En este sentido, para evitar equivocaciones, lo ideal es que cada vez </w:t>
      </w:r>
      <w:r w:rsidRPr="00F04F3B">
        <w:rPr>
          <w:rFonts w:ascii="Verdana" w:eastAsia="Calibri" w:hAnsi="Verdana" w:cs="Arial"/>
          <w:color w:val="000000"/>
          <w:szCs w:val="24"/>
          <w:lang w:val="es-ES" w:eastAsia="es-ES_tradnl"/>
        </w:rPr>
        <w:lastRenderedPageBreak/>
        <w:t xml:space="preserve">que se efectúe una adición, se estime su valor en salarios mínimos, que se calcularán con base en el vigente al momento de la adición, de manera que se descuenten estos de los salarios mínimos que restan por adicionar, ya que las modificaciones podrían hacerse en diferentes años, porque si el contrato se ejecuta sin existir variación en el valor del salario mínimo la operación sería la misma si se toma el monto en pesos. </w:t>
      </w:r>
    </w:p>
    <w:p w14:paraId="64187896" w14:textId="77777777" w:rsidR="005522C2" w:rsidRPr="00F04F3B" w:rsidRDefault="005522C2" w:rsidP="005522C2">
      <w:pPr>
        <w:spacing w:after="120" w:line="276" w:lineRule="auto"/>
        <w:ind w:firstLine="708"/>
        <w:jc w:val="both"/>
        <w:rPr>
          <w:rFonts w:ascii="Verdana" w:eastAsia="Calibri" w:hAnsi="Verdana" w:cs="Arial"/>
          <w:color w:val="000000"/>
          <w:szCs w:val="24"/>
          <w:lang w:val="es-ES" w:eastAsia="es-ES_tradnl"/>
        </w:rPr>
      </w:pPr>
      <w:r w:rsidRPr="00F04F3B">
        <w:rPr>
          <w:rFonts w:ascii="Verdana" w:eastAsia="Calibri" w:hAnsi="Verdana" w:cs="Arial"/>
          <w:color w:val="000000"/>
          <w:szCs w:val="24"/>
          <w:lang w:val="es-ES" w:eastAsia="es-ES_tradnl"/>
        </w:rPr>
        <w:t xml:space="preserve">El razonamiento anterior se fundamenta en la forma como la Ley 80 de 1993 estableció el tope para las adiciones, acudiendo a una forma de actualización del valor, de acuerdo con los incrementos que tenga el salario mínimo, lo que resulta especialmente relevante en contratos de larga duración. De esta manera, el inciso segundo del parágrafo del artículo 40 de la Ley 80 de 1993 establece que los contratos estatales no podrán adicionarse en más del cincuenta por ciento (50%) de su valor inicial, y valga la redundancia, el valor inicial es el contemplado en el contrato originario y cualquier alteración a ese valor constituirá, técnicamente, una adición, independientemente de cuál sea su causa. </w:t>
      </w:r>
    </w:p>
    <w:p w14:paraId="19D6F134" w14:textId="77777777" w:rsidR="005522C2" w:rsidRDefault="005522C2" w:rsidP="005522C2">
      <w:pPr>
        <w:spacing w:after="0" w:line="276" w:lineRule="auto"/>
        <w:ind w:firstLine="708"/>
        <w:jc w:val="both"/>
        <w:rPr>
          <w:rFonts w:ascii="Verdana" w:hAnsi="Verdana"/>
          <w:lang w:val="es-ES"/>
        </w:rPr>
      </w:pPr>
      <w:r w:rsidRPr="00F04F3B">
        <w:rPr>
          <w:rFonts w:ascii="Verdana" w:hAnsi="Verdana"/>
          <w:lang w:val="es-ES"/>
        </w:rPr>
        <w:t xml:space="preserve">Conforme con lo anterior, las </w:t>
      </w:r>
      <w:r>
        <w:rPr>
          <w:rFonts w:ascii="Verdana" w:hAnsi="Verdana"/>
          <w:lang w:val="es-ES"/>
        </w:rPr>
        <w:t>E</w:t>
      </w:r>
      <w:r w:rsidRPr="00F04F3B">
        <w:rPr>
          <w:rFonts w:ascii="Verdana" w:hAnsi="Verdana"/>
          <w:lang w:val="es-ES"/>
        </w:rPr>
        <w:t xml:space="preserve">ntidades </w:t>
      </w:r>
      <w:r>
        <w:rPr>
          <w:rFonts w:ascii="Verdana" w:hAnsi="Verdana"/>
          <w:lang w:val="es-ES"/>
        </w:rPr>
        <w:t>E</w:t>
      </w:r>
      <w:r w:rsidRPr="00F04F3B">
        <w:rPr>
          <w:rFonts w:ascii="Verdana" w:hAnsi="Verdana"/>
          <w:lang w:val="es-ES"/>
        </w:rPr>
        <w:t>statales que pretendan modificar sus contratos deberán respetar los límites cuantitativos señalados en el parágrafo del artículo 40 de la Ley 80 de 1993, así como aquellos de orden temporal, formal, material y axiológico que han sido determinados principalmente por la jurisprudencia del Consejo de Estado. Estos límites constituyen en su conjunto un marco jurídico para que las modificaciones de los contratos estatales preserven principios de origen legal como el de planeación, selección objetiva, libertad de concurrencia, transparencia, igualdad, entre otros</w:t>
      </w:r>
      <w:r w:rsidRPr="00F04F3B">
        <w:rPr>
          <w:rStyle w:val="Refdenotaalpie"/>
          <w:rFonts w:ascii="Verdana" w:hAnsi="Verdana"/>
          <w:lang w:val="es-ES"/>
        </w:rPr>
        <w:footnoteReference w:id="49"/>
      </w:r>
      <w:r w:rsidRPr="00F04F3B">
        <w:rPr>
          <w:rFonts w:ascii="Verdana" w:hAnsi="Verdana"/>
          <w:lang w:val="es-ES"/>
        </w:rPr>
        <w:t>.</w:t>
      </w:r>
    </w:p>
    <w:p w14:paraId="65F02224" w14:textId="77777777" w:rsidR="005522C2" w:rsidRPr="00F04F3B" w:rsidRDefault="005522C2" w:rsidP="005522C2">
      <w:pPr>
        <w:spacing w:before="120" w:after="0" w:line="276" w:lineRule="auto"/>
        <w:ind w:firstLine="708"/>
        <w:jc w:val="both"/>
        <w:rPr>
          <w:rFonts w:ascii="Verdana" w:hAnsi="Verdana"/>
          <w:lang w:val="es-ES"/>
        </w:rPr>
      </w:pPr>
      <w:r>
        <w:rPr>
          <w:rFonts w:ascii="Verdana" w:eastAsia="Arial" w:hAnsi="Verdana" w:cs="Arial"/>
          <w:lang w:val="es-ES"/>
        </w:rPr>
        <w:t>En suma, e</w:t>
      </w:r>
      <w:r w:rsidRPr="00F04F3B">
        <w:rPr>
          <w:rFonts w:ascii="Verdana" w:eastAsia="Arial" w:hAnsi="Verdana" w:cs="Arial"/>
          <w:lang w:val="es-ES"/>
        </w:rPr>
        <w:t>sta Agencia precisa que la denominación que se emplee no altera el régimen aplicable</w:t>
      </w:r>
      <w:r>
        <w:rPr>
          <w:rFonts w:ascii="Verdana" w:eastAsia="Arial" w:hAnsi="Verdana" w:cs="Arial"/>
          <w:lang w:val="es-ES"/>
        </w:rPr>
        <w:t>. En el caso objeto de consulta,</w:t>
      </w:r>
      <w:r w:rsidRPr="00F04F3B">
        <w:rPr>
          <w:rFonts w:ascii="Verdana" w:eastAsia="Arial" w:hAnsi="Verdana" w:cs="Arial"/>
          <w:lang w:val="es-ES"/>
        </w:rPr>
        <w:t xml:space="preserve"> </w:t>
      </w:r>
      <w:r w:rsidRPr="00E31C7A">
        <w:rPr>
          <w:rFonts w:ascii="Verdana" w:eastAsia="Arial" w:hAnsi="Verdana" w:cs="Arial"/>
        </w:rPr>
        <w:t xml:space="preserve">si el presupuesto definitivo se traduce realmente en un nuevo presupuesto que modifica el valor inicial apropiado, ese incremento —cualquiera que sea la denominación del acuerdo: establecimiento del presupuesto oficial, otrosí, modificación o adición— queda sujeto al límite del parágrafo del artículo 40 de la Ley 80 de 1993, esto es, no podrá superar el cincuenta por ciento (50 %) del valor inicial, expresado </w:t>
      </w:r>
      <w:r w:rsidRPr="00E31C7A">
        <w:rPr>
          <w:rFonts w:ascii="Verdana" w:eastAsia="Arial" w:hAnsi="Verdana" w:cs="Arial"/>
        </w:rPr>
        <w:lastRenderedPageBreak/>
        <w:t xml:space="preserve">en salarios mínimos legales mensuales. En esa medida, no es exacto afirmar que, por tratarse de la </w:t>
      </w:r>
      <w:r>
        <w:rPr>
          <w:rFonts w:ascii="Verdana" w:eastAsia="Arial" w:hAnsi="Verdana" w:cs="Arial"/>
        </w:rPr>
        <w:t>“</w:t>
      </w:r>
      <w:r w:rsidRPr="00E31C7A">
        <w:rPr>
          <w:rFonts w:ascii="Verdana" w:eastAsia="Arial" w:hAnsi="Verdana" w:cs="Arial"/>
        </w:rPr>
        <w:t>determinación del presupuesto oficial</w:t>
      </w:r>
      <w:r>
        <w:rPr>
          <w:rFonts w:ascii="Verdana" w:eastAsia="Arial" w:hAnsi="Verdana" w:cs="Arial"/>
        </w:rPr>
        <w:t>”</w:t>
      </w:r>
      <w:r w:rsidRPr="00E31C7A">
        <w:rPr>
          <w:rFonts w:ascii="Verdana" w:eastAsia="Arial" w:hAnsi="Verdana" w:cs="Arial"/>
        </w:rPr>
        <w:t>, el mayor valor se sustraiga del límite legal."</w:t>
      </w:r>
    </w:p>
    <w:p w14:paraId="485ABF81" w14:textId="77777777" w:rsidR="005522C2" w:rsidRPr="00F04F3B" w:rsidRDefault="005522C2" w:rsidP="005522C2">
      <w:pPr>
        <w:spacing w:after="0" w:line="276" w:lineRule="auto"/>
        <w:ind w:firstLine="708"/>
        <w:jc w:val="both"/>
        <w:rPr>
          <w:rFonts w:ascii="Verdana" w:eastAsia="Calibri" w:hAnsi="Verdana" w:cs="Arial"/>
          <w:color w:val="000000"/>
          <w:szCs w:val="24"/>
          <w:lang w:val="es-ES" w:eastAsia="es-ES_tradnl"/>
        </w:rPr>
      </w:pPr>
    </w:p>
    <w:p w14:paraId="5C719E70" w14:textId="77777777" w:rsidR="005522C2" w:rsidRPr="00F04F3B" w:rsidRDefault="005522C2" w:rsidP="005522C2">
      <w:pPr>
        <w:spacing w:line="276" w:lineRule="auto"/>
        <w:jc w:val="both"/>
        <w:rPr>
          <w:rFonts w:ascii="Verdana" w:eastAsia="Century Gothic" w:hAnsi="Verdana" w:cs="Century Gothic"/>
          <w:color w:val="000000" w:themeColor="text1"/>
          <w:lang w:val="es-ES"/>
        </w:rPr>
      </w:pPr>
      <w:proofErr w:type="spellStart"/>
      <w:r w:rsidRPr="00F04F3B">
        <w:rPr>
          <w:rFonts w:ascii="Verdana" w:hAnsi="Verdana"/>
          <w:b/>
          <w:bCs/>
          <w:lang w:val="es-ES"/>
        </w:rPr>
        <w:t>iii</w:t>
      </w:r>
      <w:proofErr w:type="spellEnd"/>
      <w:r w:rsidRPr="00F04F3B">
        <w:rPr>
          <w:rFonts w:ascii="Verdana" w:hAnsi="Verdana"/>
          <w:b/>
          <w:bCs/>
          <w:lang w:val="es-ES"/>
        </w:rPr>
        <w:t>.</w:t>
      </w:r>
      <w:r w:rsidRPr="00F04F3B">
        <w:rPr>
          <w:rFonts w:ascii="Verdana" w:hAnsi="Verdana"/>
          <w:lang w:val="es-ES"/>
        </w:rPr>
        <w:t xml:space="preserve"> Como se dijo anteriormente, </w:t>
      </w:r>
      <w:r w:rsidRPr="00F04F3B">
        <w:rPr>
          <w:rFonts w:ascii="Verdana" w:eastAsia="Century Gothic" w:hAnsi="Verdana" w:cs="Century Gothic"/>
          <w:color w:val="000000" w:themeColor="text1"/>
          <w:lang w:val="es-ES"/>
        </w:rPr>
        <w:t>si la entidad debe ejecutar la obra con un presupuesto oficial mayor al apropiado, deberá modificar el contrato y sujetarse al límite del artículo 40 de la Ley 80 de 1993. Este supuesto, se distingue y aplica sin perjuicio de la revisión o el reajuste de precios que corresponda cuando la ecuación económica se vea afectada por causas sobrevinientes, imprevisibles y no imputables a la parte afectada, en los términos del artículo 27 de la Ley 80 de 1993.</w:t>
      </w:r>
    </w:p>
    <w:p w14:paraId="0DD82215"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Por remisión de los artículos 13, 32 y 40 del EGCAP al derecho privado, el contrato es ley para las partes conforme al artículo 1602 del Código Civil. Sin embargo, aunque la </w:t>
      </w:r>
      <w:r w:rsidRPr="00F04F3B">
        <w:rPr>
          <w:rFonts w:ascii="Verdana" w:eastAsia="Arial" w:hAnsi="Verdana" w:cs="Arial"/>
          <w:i/>
          <w:iCs/>
          <w:color w:val="000000" w:themeColor="text1"/>
          <w:lang w:val="es-ES" w:eastAsia="es-ES" w:bidi="es-ES"/>
        </w:rPr>
        <w:t>regla general</w:t>
      </w:r>
      <w:r w:rsidRPr="00F04F3B">
        <w:rPr>
          <w:rFonts w:ascii="Verdana" w:eastAsia="Arial" w:hAnsi="Verdana" w:cs="Arial"/>
          <w:color w:val="000000" w:themeColor="text1"/>
          <w:lang w:val="es-ES" w:eastAsia="es-ES" w:bidi="es-ES"/>
        </w:rPr>
        <w:t xml:space="preserve"> es el cumplimiento de los precios pactados, </w:t>
      </w:r>
      <w:r w:rsidRPr="00F04F3B">
        <w:rPr>
          <w:rFonts w:ascii="Verdana" w:eastAsia="Arial" w:hAnsi="Verdana" w:cs="Arial"/>
          <w:i/>
          <w:iCs/>
          <w:color w:val="000000" w:themeColor="text1"/>
          <w:lang w:val="es-ES" w:eastAsia="es-ES" w:bidi="es-ES"/>
        </w:rPr>
        <w:t>de forma excepcional</w:t>
      </w:r>
      <w:r w:rsidRPr="00F04F3B">
        <w:rPr>
          <w:rFonts w:ascii="Verdana" w:eastAsia="Arial" w:hAnsi="Verdana" w:cs="Arial"/>
          <w:color w:val="000000" w:themeColor="text1"/>
          <w:lang w:val="es-ES" w:eastAsia="es-ES" w:bidi="es-ES"/>
        </w:rPr>
        <w:t xml:space="preserve"> pueden surgir circunstancias imprevistas que hagan la ejecución excesivamente gravosa, por lo que se han creado mecanismos para mantener la equidad y el equilibrio entre las obligaciones. De esta manera, los contratos estatales deben pactarse sobre la base de la interdependencia entre las prestaciones, esto es, que exista reciprocidad entre los derechos y las obligaciones de las entidades y los particulares, de tal forma que estas sean equivalentes y se mantengan durante la ejecución contractual. Esto se fundamenta en el principio del equilibrio financiero del contrato previsto en el artículo 27 de la Ley 80 de 1993 que prescribe lo siguiente: </w:t>
      </w:r>
    </w:p>
    <w:p w14:paraId="37A0289E" w14:textId="77777777" w:rsidR="005522C2" w:rsidRPr="00F04F3B" w:rsidRDefault="005522C2" w:rsidP="005522C2">
      <w:pPr>
        <w:widowControl w:val="0"/>
        <w:autoSpaceDE w:val="0"/>
        <w:autoSpaceDN w:val="0"/>
        <w:spacing w:after="0" w:line="276" w:lineRule="auto"/>
        <w:ind w:left="709" w:right="709"/>
        <w:jc w:val="both"/>
        <w:rPr>
          <w:rFonts w:ascii="Verdana" w:eastAsia="Arial" w:hAnsi="Verdana" w:cs="Arial"/>
          <w:color w:val="000000" w:themeColor="text1"/>
          <w:lang w:val="es-ES" w:eastAsia="es-ES" w:bidi="es-ES"/>
        </w:rPr>
      </w:pPr>
    </w:p>
    <w:p w14:paraId="1642F697"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color w:val="000000" w:themeColor="text1"/>
          <w:sz w:val="20"/>
          <w:szCs w:val="20"/>
          <w:lang w:val="es-ES" w:eastAsia="es-ES" w:bidi="es-ES"/>
        </w:rPr>
      </w:pPr>
      <w:r w:rsidRPr="00F04F3B">
        <w:rPr>
          <w:rFonts w:ascii="Verdana" w:eastAsia="Arial" w:hAnsi="Verdana" w:cs="Arial"/>
          <w:color w:val="000000" w:themeColor="text1"/>
          <w:sz w:val="20"/>
          <w:szCs w:val="20"/>
          <w:lang w:val="es-ES" w:eastAsia="es-ES" w:bidi="es-ES"/>
        </w:rPr>
        <w:t>“En los contratos estatales se mantendrá la igualdad o equivalencia entre derechos y obligaciones surgidos al momento de proponer o de contratar, según el caso. Si dicha igualdad o equivalencia se rompe por causas no imputables a quien resulte afectado, las partes adoptarán en el menor tiempo posible las medidas necesarias para su restablecimiento. Para tales efectos, las partes suscribirán los acuerdos y pactos necesarios sobre cuantía, condiciones y forma de pago de gastos adicionales, reconocimiento de costos financieros e intereses, si a ello hubiere lugar, ajustando la cancelación a las disponibilidades de la apropiación de que trata el numeral 14 del artículo </w:t>
      </w:r>
      <w:hyperlink r:id="rId12" w:anchor="25" w:history="1">
        <w:r w:rsidRPr="00F04F3B">
          <w:rPr>
            <w:rFonts w:ascii="Verdana" w:hAnsi="Verdana" w:cs="Arial"/>
            <w:sz w:val="20"/>
            <w:szCs w:val="20"/>
            <w:lang w:val="es-ES" w:eastAsia="es-ES" w:bidi="es-ES"/>
          </w:rPr>
          <w:t>25</w:t>
        </w:r>
      </w:hyperlink>
      <w:r w:rsidRPr="00F04F3B">
        <w:rPr>
          <w:rFonts w:ascii="Verdana" w:eastAsia="Arial" w:hAnsi="Verdana" w:cs="Arial"/>
          <w:color w:val="000000" w:themeColor="text1"/>
          <w:sz w:val="20"/>
          <w:szCs w:val="20"/>
          <w:lang w:val="es-ES" w:eastAsia="es-ES" w:bidi="es-ES"/>
        </w:rPr>
        <w:t>. En todo caso, las entidades deberán adoptar las medidas necesarias que aseguren la efectividad de estos pagos y reconocimientos al contratista en la misma o en la siguiente vigencia de que se trate”.</w:t>
      </w:r>
    </w:p>
    <w:p w14:paraId="21FAB362" w14:textId="77777777" w:rsidR="005522C2" w:rsidRPr="00F04F3B" w:rsidRDefault="005522C2" w:rsidP="005522C2">
      <w:pPr>
        <w:widowControl w:val="0"/>
        <w:autoSpaceDE w:val="0"/>
        <w:autoSpaceDN w:val="0"/>
        <w:spacing w:after="0" w:line="276" w:lineRule="auto"/>
        <w:ind w:left="709" w:right="709"/>
        <w:jc w:val="both"/>
        <w:rPr>
          <w:rFonts w:ascii="Verdana" w:eastAsia="Arial" w:hAnsi="Verdana" w:cs="Arial"/>
          <w:color w:val="000000" w:themeColor="text1"/>
          <w:lang w:val="es-ES" w:eastAsia="es-ES" w:bidi="es-ES"/>
        </w:rPr>
      </w:pPr>
    </w:p>
    <w:p w14:paraId="29C076BE" w14:textId="77777777" w:rsidR="005522C2" w:rsidRPr="00F04F3B" w:rsidRDefault="005522C2" w:rsidP="005522C2">
      <w:pPr>
        <w:autoSpaceDE w:val="0"/>
        <w:autoSpaceDN w:val="0"/>
        <w:adjustRightInd w:val="0"/>
        <w:spacing w:after="0" w:line="276" w:lineRule="auto"/>
        <w:ind w:firstLine="709"/>
        <w:jc w:val="both"/>
        <w:rPr>
          <w:rFonts w:ascii="Verdana" w:hAnsi="Verdana" w:cs="Arial"/>
          <w:lang w:val="es-ES"/>
        </w:rPr>
      </w:pPr>
      <w:r w:rsidRPr="00F04F3B">
        <w:rPr>
          <w:rFonts w:ascii="Verdana" w:eastAsia="Arial" w:hAnsi="Verdana" w:cs="Arial"/>
          <w:color w:val="000000" w:themeColor="text1"/>
          <w:lang w:val="es-ES" w:eastAsia="es-ES" w:bidi="es-ES"/>
        </w:rPr>
        <w:lastRenderedPageBreak/>
        <w:t>Sobre el principio del equilibrio financiero del contrato, el Consejo de Estado ha señalado que consiste “en garantizar el mantenimiento de la igualdad o equivalencia entre derechos y obligaciones surgidos al momento de proponer o de contratar, según el caso, de manera que si se rompe por causas sobrevinientes, imprevisibles y no imputables a quien resulte afectado, las partes adoptarán las medidas necesarias para su restablecimiento, so pena de incurrir en una responsabilidad contractual tendiente a restituir tal equilibrio”</w:t>
      </w:r>
      <w:r w:rsidRPr="00F04F3B">
        <w:rPr>
          <w:rStyle w:val="Refdenotaalpie"/>
          <w:rFonts w:ascii="Verdana" w:eastAsia="Arial" w:hAnsi="Verdana" w:cs="Arial"/>
          <w:color w:val="000000" w:themeColor="text1"/>
          <w:lang w:val="es-ES" w:eastAsia="es-ES" w:bidi="es-ES"/>
        </w:rPr>
        <w:footnoteReference w:id="50"/>
      </w:r>
      <w:r w:rsidRPr="00F04F3B">
        <w:rPr>
          <w:rFonts w:ascii="Verdana" w:eastAsia="Arial" w:hAnsi="Verdana" w:cs="Arial"/>
          <w:color w:val="000000" w:themeColor="text1"/>
          <w:lang w:val="es-ES" w:eastAsia="es-ES" w:bidi="es-ES"/>
        </w:rPr>
        <w:t>. En concordancia, la doctrina ha indicado que con este</w:t>
      </w:r>
      <w:r w:rsidRPr="00F04F3B">
        <w:rPr>
          <w:rFonts w:ascii="Verdana" w:hAnsi="Verdana" w:cs="Arial"/>
          <w:lang w:val="es-ES"/>
        </w:rPr>
        <w:t xml:space="preserve"> principio, también denominado </w:t>
      </w:r>
      <w:r w:rsidRPr="00F04F3B">
        <w:rPr>
          <w:rFonts w:ascii="Verdana" w:eastAsia="Arial" w:hAnsi="Verdana" w:cs="Arial"/>
          <w:color w:val="000000" w:themeColor="text1"/>
          <w:lang w:val="es-ES" w:eastAsia="es-ES" w:bidi="es-ES"/>
        </w:rPr>
        <w:t>“</w:t>
      </w:r>
      <w:r w:rsidRPr="00F04F3B">
        <w:rPr>
          <w:rFonts w:ascii="Verdana" w:hAnsi="Verdana" w:cs="Arial"/>
          <w:lang w:val="es-ES"/>
        </w:rPr>
        <w:t>el de la honesta equivalencia de prestaciones</w:t>
      </w:r>
      <w:r w:rsidRPr="00F04F3B">
        <w:rPr>
          <w:rFonts w:ascii="Verdana" w:eastAsia="Arial" w:hAnsi="Verdana" w:cs="Arial"/>
          <w:color w:val="000000" w:themeColor="text1"/>
          <w:lang w:val="es-ES" w:eastAsia="es-ES" w:bidi="es-ES"/>
        </w:rPr>
        <w:t>”</w:t>
      </w:r>
      <w:r w:rsidRPr="00F04F3B">
        <w:rPr>
          <w:rFonts w:ascii="Verdana" w:hAnsi="Verdana" w:cs="Arial"/>
          <w:lang w:val="es-ES"/>
        </w:rPr>
        <w:t xml:space="preserve">, se privilegia el carácter conmutativo o sinalagmático que, por regla general, tiene el contrato estatal, </w:t>
      </w:r>
      <w:r w:rsidRPr="00F04F3B">
        <w:rPr>
          <w:rFonts w:ascii="Verdana" w:eastAsia="Arial" w:hAnsi="Verdana" w:cs="Arial"/>
          <w:color w:val="000000" w:themeColor="text1"/>
          <w:lang w:val="es-ES" w:eastAsia="es-ES" w:bidi="es-ES"/>
        </w:rPr>
        <w:t>“</w:t>
      </w:r>
      <w:r w:rsidRPr="00F04F3B">
        <w:rPr>
          <w:rFonts w:ascii="Verdana" w:hAnsi="Verdana" w:cs="Arial"/>
          <w:lang w:val="es-ES"/>
        </w:rPr>
        <w:t>lo que significa que las prestaciones (derechos y obligaciones) asumidas por una parte contractual se entienden como equivalentes a las de la otra parte y obliga a la adopción de medidas tendientes a garantizar que esa igualdad existente en términos económicos al tiempo de su celebración se conserve y permanezca intacta durante su ejecución, y a que se restablezca esa equivalencia en caso de su ruptura por circunstancias o causas sobrevinientes, imprevisibles e imputables o no a ellas</w:t>
      </w:r>
      <w:r w:rsidRPr="00F04F3B">
        <w:rPr>
          <w:rFonts w:ascii="Verdana" w:eastAsia="Arial" w:hAnsi="Verdana" w:cs="Arial"/>
          <w:color w:val="000000" w:themeColor="text1"/>
          <w:lang w:val="es-ES" w:eastAsia="es-ES" w:bidi="es-ES"/>
        </w:rPr>
        <w:t>”</w:t>
      </w:r>
      <w:r w:rsidRPr="00F04F3B">
        <w:rPr>
          <w:rStyle w:val="Refdenotaalpie"/>
          <w:rFonts w:ascii="Verdana" w:eastAsia="Arial" w:hAnsi="Verdana" w:cs="Arial"/>
          <w:color w:val="000000" w:themeColor="text1"/>
          <w:lang w:val="es-ES" w:eastAsia="es-ES" w:bidi="es-ES"/>
        </w:rPr>
        <w:footnoteReference w:id="51"/>
      </w:r>
      <w:r w:rsidRPr="00F04F3B">
        <w:rPr>
          <w:rFonts w:ascii="Verdana" w:hAnsi="Verdana" w:cs="Arial"/>
          <w:lang w:val="es-ES"/>
        </w:rPr>
        <w:t xml:space="preserve">.  </w:t>
      </w:r>
    </w:p>
    <w:p w14:paraId="57981D15"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Conforme a lo anterior el equilibrio financiero del contrato se constituye en un principio medular de la contratación estatal que busca, precisamente, mantener las mismas condiciones existente al tiempo de su celebración, de tal suerte que las prestaciones de las partes permanezcan hasta su terminación. De este modo, si la equivalencia entre las prestaciones se quebranta por causas no imputables a quien resulte afectado es necesario adoptar las medidas correspondientes para restablecer la ecuación contractual.</w:t>
      </w:r>
    </w:p>
    <w:p w14:paraId="01A0821A"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Además de lo previsto en el artículo 27 de la Ley 80 de 1993, la obligación de mantener el equilibrio económico del contrato se encuentra establecida en diferentes disposiciones de dicha Ley. En efecto, el numeral 3 del artículo 4 </w:t>
      </w:r>
      <w:r w:rsidRPr="00F04F3B">
        <w:rPr>
          <w:rFonts w:ascii="Verdana" w:eastAsia="Arial" w:hAnsi="Verdana" w:cs="Arial"/>
          <w:i/>
          <w:iCs/>
          <w:color w:val="000000" w:themeColor="text1"/>
          <w:lang w:val="es-ES" w:eastAsia="es-ES" w:bidi="es-ES"/>
        </w:rPr>
        <w:t>ibidem</w:t>
      </w:r>
      <w:r w:rsidRPr="00F04F3B">
        <w:rPr>
          <w:rFonts w:ascii="Verdana" w:eastAsia="Arial" w:hAnsi="Verdana" w:cs="Arial"/>
          <w:color w:val="000000" w:themeColor="text1"/>
          <w:lang w:val="es-ES" w:eastAsia="es-ES" w:bidi="es-ES"/>
        </w:rPr>
        <w:t xml:space="preserve"> señala que las entidades estatales solicitarán la actualización o la revisión de los precios cuando se produzcan fenómenos que alteren en su contra </w:t>
      </w:r>
      <w:r w:rsidRPr="00F04F3B">
        <w:rPr>
          <w:rFonts w:ascii="Verdana" w:eastAsia="Arial" w:hAnsi="Verdana" w:cs="Arial"/>
          <w:i/>
          <w:iCs/>
          <w:color w:val="000000" w:themeColor="text1"/>
          <w:lang w:val="es-ES" w:eastAsia="es-ES" w:bidi="es-ES"/>
        </w:rPr>
        <w:t>el equilibrio económico o financiero</w:t>
      </w:r>
      <w:r w:rsidRPr="00F04F3B">
        <w:rPr>
          <w:rFonts w:ascii="Verdana" w:eastAsia="Arial" w:hAnsi="Verdana" w:cs="Arial"/>
          <w:color w:val="000000" w:themeColor="text1"/>
          <w:lang w:val="es-ES" w:eastAsia="es-ES" w:bidi="es-ES"/>
        </w:rPr>
        <w:t xml:space="preserve"> del contrato. Asimismo, el numeral 8 del </w:t>
      </w:r>
      <w:r w:rsidRPr="00F04F3B">
        <w:rPr>
          <w:rFonts w:ascii="Verdana" w:eastAsia="Arial" w:hAnsi="Verdana" w:cs="Arial"/>
          <w:color w:val="000000" w:themeColor="text1"/>
          <w:lang w:val="es-ES" w:eastAsia="es-ES" w:bidi="es-ES"/>
        </w:rPr>
        <w:lastRenderedPageBreak/>
        <w:t>artículo en comento señala que las entidades deberán adoptar las medidas necesarias para mantener durante el desarrollo y ejecución del contrato las condiciones técnicas, económicas y financieras existentes al momento de proponer en los casos en que se hubiere realizado licitación o concurso, o de contratar en los casos de contratación directa, para lo cual se emplearán los mecanismos de revisión y reajuste de precios. De acuerdo con la jurisprudencia:</w:t>
      </w:r>
    </w:p>
    <w:p w14:paraId="05ABE043" w14:textId="77777777" w:rsidR="005522C2" w:rsidRPr="00F04F3B" w:rsidRDefault="005522C2" w:rsidP="005522C2">
      <w:pPr>
        <w:widowControl w:val="0"/>
        <w:autoSpaceDE w:val="0"/>
        <w:autoSpaceDN w:val="0"/>
        <w:spacing w:after="0" w:line="276" w:lineRule="auto"/>
        <w:ind w:firstLine="709"/>
        <w:jc w:val="both"/>
        <w:rPr>
          <w:rFonts w:ascii="Verdana" w:eastAsia="Arial" w:hAnsi="Verdana" w:cs="Arial"/>
          <w:color w:val="000000" w:themeColor="text1"/>
          <w:lang w:val="es-ES" w:eastAsia="es-ES" w:bidi="es-ES"/>
        </w:rPr>
      </w:pPr>
    </w:p>
    <w:p w14:paraId="2DC72264"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color w:val="000000" w:themeColor="text1"/>
          <w:sz w:val="20"/>
          <w:szCs w:val="20"/>
          <w:lang w:val="es-ES" w:eastAsia="es-ES" w:bidi="es-ES"/>
        </w:rPr>
      </w:pPr>
      <w:r w:rsidRPr="00F04F3B">
        <w:rPr>
          <w:rFonts w:ascii="Verdana" w:eastAsia="Arial" w:hAnsi="Verdana" w:cs="Arial"/>
          <w:color w:val="000000" w:themeColor="text1"/>
          <w:sz w:val="20"/>
          <w:szCs w:val="20"/>
          <w:lang w:val="es-ES" w:eastAsia="es-ES" w:bidi="es-ES"/>
        </w:rPr>
        <w:t>“[…] la cláusula de estabilización o ajuste de precios resulta ser una medida preventiva frente a una situación previsible que puede afectar el resultado económico final del contrato en contra de cualquiera de las partes, y que se resuelve mediante la inclusión de la respectiva estipulación, normalmente expresada en una fórmula matemática concebida en función de los factores que inciden en los costos de ejecución del contrato. Por tanto, es un mecanismo que tiende a preservar la naturaleza conmutativa de los contratos y a garantizar que la equivalencia inicialmente acordada entre las prestaciones recíprocas se mantenga a lo largo de la ejecución del negocio jurídico, en tal forma que la remuneración recibida finalmente por el contratista corresponda a la que contempló al momento de presentar su propuesta y celebrar el contrato.</w:t>
      </w:r>
    </w:p>
    <w:p w14:paraId="4B7F1035" w14:textId="77777777" w:rsidR="005522C2" w:rsidRPr="00F04F3B" w:rsidRDefault="005522C2" w:rsidP="005522C2">
      <w:pPr>
        <w:widowControl w:val="0"/>
        <w:autoSpaceDE w:val="0"/>
        <w:autoSpaceDN w:val="0"/>
        <w:spacing w:before="120" w:after="0" w:line="240" w:lineRule="auto"/>
        <w:ind w:left="709" w:right="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sz w:val="20"/>
          <w:szCs w:val="20"/>
          <w:lang w:val="es-ES" w:eastAsia="es-ES" w:bidi="es-ES"/>
        </w:rPr>
        <w:t>De igual modo, paralelamente con la actualización de precios la Ley 80 de 1993 también contempla la figura de la revisión de precios, la cual opera cuando sobrevengan hechos económicos que hagan ineficaz o insuficiente la fórmula de reajuste o cuando las partes no han pactado un sistema de ajuste o actualización de los precios y estos sufren alteración como resultado de los fenómenos económicos mencionados, como la inflación o el alza de precios, eventos estos en los cuales puede solicitarse al juez la corrección de la cláusula de ajuste pactada y la revisión de los precios”</w:t>
      </w:r>
      <w:r w:rsidRPr="00F04F3B">
        <w:rPr>
          <w:rStyle w:val="Refdenotaalpie"/>
          <w:rFonts w:ascii="Verdana" w:eastAsia="Arial" w:hAnsi="Verdana" w:cs="Arial"/>
          <w:color w:val="000000" w:themeColor="text1"/>
          <w:sz w:val="20"/>
          <w:szCs w:val="20"/>
          <w:lang w:val="es-ES" w:eastAsia="es-ES" w:bidi="es-ES"/>
        </w:rPr>
        <w:footnoteReference w:id="52"/>
      </w:r>
      <w:r w:rsidRPr="00F04F3B">
        <w:rPr>
          <w:rFonts w:ascii="Verdana" w:eastAsia="Arial" w:hAnsi="Verdana" w:cs="Arial"/>
          <w:color w:val="000000" w:themeColor="text1"/>
          <w:sz w:val="20"/>
          <w:szCs w:val="20"/>
          <w:lang w:val="es-ES" w:eastAsia="es-ES" w:bidi="es-ES"/>
        </w:rPr>
        <w:t>.</w:t>
      </w:r>
    </w:p>
    <w:p w14:paraId="649D8C71" w14:textId="77777777" w:rsidR="005522C2" w:rsidRPr="00F04F3B" w:rsidRDefault="005522C2" w:rsidP="005522C2">
      <w:pPr>
        <w:widowControl w:val="0"/>
        <w:autoSpaceDE w:val="0"/>
        <w:autoSpaceDN w:val="0"/>
        <w:spacing w:after="0" w:line="276" w:lineRule="auto"/>
        <w:ind w:firstLine="709"/>
        <w:jc w:val="both"/>
        <w:rPr>
          <w:rFonts w:ascii="Verdana" w:eastAsia="Arial" w:hAnsi="Verdana" w:cs="Arial"/>
          <w:color w:val="000000" w:themeColor="text1"/>
          <w:lang w:val="es-ES" w:eastAsia="es-ES" w:bidi="es-ES"/>
        </w:rPr>
      </w:pPr>
    </w:p>
    <w:p w14:paraId="0B21C2A4" w14:textId="77777777" w:rsidR="005522C2" w:rsidRDefault="005522C2" w:rsidP="005522C2">
      <w:pPr>
        <w:widowControl w:val="0"/>
        <w:autoSpaceDE w:val="0"/>
        <w:autoSpaceDN w:val="0"/>
        <w:spacing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Por su parte, el numeral 1 del artículo 5 de la Ley 80 de 1993 indica que el contratista tiene derecho a recibir oportunamente la remuneración pactada y a que el valor intrínseco de la misma no se altere o modifique durante la vigencia del contrato. En consecuencia, tendrán derecho, previa solicitud, a que la administración les restablezca </w:t>
      </w:r>
      <w:r w:rsidRPr="00F04F3B">
        <w:rPr>
          <w:rFonts w:ascii="Verdana" w:eastAsia="Arial" w:hAnsi="Verdana" w:cs="Arial"/>
          <w:i/>
          <w:iCs/>
          <w:color w:val="000000" w:themeColor="text1"/>
          <w:lang w:val="es-ES" w:eastAsia="es-ES" w:bidi="es-ES"/>
        </w:rPr>
        <w:t>el equilibrio de la ecuación económica</w:t>
      </w:r>
      <w:r w:rsidRPr="00F04F3B">
        <w:rPr>
          <w:rFonts w:ascii="Verdana" w:eastAsia="Arial" w:hAnsi="Verdana" w:cs="Arial"/>
          <w:color w:val="000000" w:themeColor="text1"/>
          <w:lang w:val="es-ES" w:eastAsia="es-ES" w:bidi="es-ES"/>
        </w:rPr>
        <w:t xml:space="preserve"> del contrato por la ocurrencia de situaciones </w:t>
      </w:r>
      <w:r w:rsidRPr="00F04F3B">
        <w:rPr>
          <w:rFonts w:ascii="Verdana" w:eastAsia="Arial" w:hAnsi="Verdana" w:cs="Arial"/>
          <w:color w:val="000000" w:themeColor="text1"/>
          <w:u w:val="single"/>
          <w:lang w:val="es-ES" w:eastAsia="es-ES" w:bidi="es-ES"/>
        </w:rPr>
        <w:t>imprevistas</w:t>
      </w:r>
      <w:r w:rsidRPr="00F04F3B">
        <w:rPr>
          <w:rFonts w:ascii="Verdana" w:eastAsia="Arial" w:hAnsi="Verdana" w:cs="Arial"/>
          <w:color w:val="000000" w:themeColor="text1"/>
          <w:lang w:val="es-ES" w:eastAsia="es-ES" w:bidi="es-ES"/>
        </w:rPr>
        <w:t xml:space="preserve"> que no sean imputables a los contratistas. Si dicho equilibrio se rompe por incumplimiento de la entidad estatal contratante, tendrá que restablecerse la ecuación surgida al momento del nacimiento del contrato. </w:t>
      </w:r>
    </w:p>
    <w:p w14:paraId="2934BD29"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lastRenderedPageBreak/>
        <w:t>Según se advierte, el Estatuto General de Contratación de la Administración Pública establece la necesidad de mantener durante la ejecución del contrato el equilibrio o equivalencia de las prestaciones de las partes surgidas al momento de contratar, para lo cual determina deberes y derechos para las entidades estatales y los contratistas en pro de su conservación. Dentro de estas obligaciones se prevé el deber de la entidad de adoptar las medidas correspondientes de manera que se pueda precaver las diferencias que se lleguen a presentar como consecuencia de la vulneración del principio del equilibrio económico del contrato y evitar una mayor onerosidad.</w:t>
      </w:r>
    </w:p>
    <w:p w14:paraId="67498E7B" w14:textId="77777777" w:rsidR="005522C2" w:rsidRPr="00F04F3B" w:rsidRDefault="005522C2" w:rsidP="005522C2">
      <w:pPr>
        <w:widowControl w:val="0"/>
        <w:autoSpaceDE w:val="0"/>
        <w:autoSpaceDN w:val="0"/>
        <w:spacing w:before="120" w:after="0" w:line="276" w:lineRule="auto"/>
        <w:ind w:firstLine="708"/>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En relación con las causas por las cuales puede verse afectado el equilibrio económico del contrato y su procedencia el Consejo de Estado ha desarrollado ampliamente la materia. En tal sentido, ha manifestado reiteradamente que el desequilibrio económico del contrato se puede presentar por diferentes situaciones: </w:t>
      </w:r>
    </w:p>
    <w:p w14:paraId="0BEBF48E" w14:textId="77777777" w:rsidR="005522C2" w:rsidRPr="00F04F3B" w:rsidRDefault="005522C2" w:rsidP="005522C2">
      <w:pPr>
        <w:widowControl w:val="0"/>
        <w:autoSpaceDE w:val="0"/>
        <w:autoSpaceDN w:val="0"/>
        <w:spacing w:after="0" w:line="276" w:lineRule="auto"/>
        <w:ind w:left="709" w:right="709"/>
        <w:jc w:val="both"/>
        <w:rPr>
          <w:rFonts w:ascii="Verdana" w:eastAsia="Arial" w:hAnsi="Verdana" w:cs="Arial"/>
          <w:color w:val="000000" w:themeColor="text1"/>
          <w:lang w:val="es-ES" w:eastAsia="es-ES" w:bidi="es-ES"/>
        </w:rPr>
      </w:pPr>
    </w:p>
    <w:p w14:paraId="7611A654" w14:textId="77777777" w:rsidR="005522C2" w:rsidRPr="00F04F3B" w:rsidRDefault="005522C2" w:rsidP="005522C2">
      <w:pPr>
        <w:widowControl w:val="0"/>
        <w:autoSpaceDE w:val="0"/>
        <w:autoSpaceDN w:val="0"/>
        <w:spacing w:after="120" w:line="240" w:lineRule="auto"/>
        <w:ind w:left="709" w:right="709"/>
        <w:jc w:val="both"/>
        <w:rPr>
          <w:rFonts w:ascii="Verdana" w:eastAsia="Arial" w:hAnsi="Verdana" w:cs="Arial"/>
          <w:color w:val="000000" w:themeColor="text1"/>
          <w:sz w:val="20"/>
          <w:szCs w:val="20"/>
          <w:lang w:val="es-ES" w:eastAsia="es-ES" w:bidi="es-ES"/>
        </w:rPr>
      </w:pPr>
      <w:r w:rsidRPr="00F04F3B">
        <w:rPr>
          <w:rFonts w:ascii="Verdana" w:eastAsia="Arial" w:hAnsi="Verdana" w:cs="Arial"/>
          <w:color w:val="000000" w:themeColor="text1"/>
          <w:sz w:val="20"/>
          <w:szCs w:val="20"/>
          <w:lang w:val="es-ES" w:eastAsia="es-ES" w:bidi="es-ES"/>
        </w:rPr>
        <w:t xml:space="preserve">“a) Actos o hechos de la entidad administrativa contratante, como cuando no cumple con las obligaciones derivadas del contrato o introduce modificaciones al mismo -ius variandi-, sean éstas abusivas o no. </w:t>
      </w:r>
    </w:p>
    <w:p w14:paraId="1E26CDF1" w14:textId="77777777" w:rsidR="005522C2" w:rsidRPr="00F04F3B" w:rsidRDefault="005522C2" w:rsidP="005522C2">
      <w:pPr>
        <w:widowControl w:val="0"/>
        <w:autoSpaceDE w:val="0"/>
        <w:autoSpaceDN w:val="0"/>
        <w:spacing w:after="120" w:line="240" w:lineRule="auto"/>
        <w:ind w:left="709" w:right="709"/>
        <w:jc w:val="both"/>
        <w:rPr>
          <w:rFonts w:ascii="Verdana" w:eastAsia="Arial" w:hAnsi="Verdana" w:cs="Arial"/>
          <w:color w:val="000000" w:themeColor="text1"/>
          <w:sz w:val="20"/>
          <w:szCs w:val="20"/>
          <w:lang w:val="es-ES" w:eastAsia="es-ES" w:bidi="es-ES"/>
        </w:rPr>
      </w:pPr>
      <w:r w:rsidRPr="00F04F3B">
        <w:rPr>
          <w:rFonts w:ascii="Verdana" w:eastAsia="Arial" w:hAnsi="Verdana" w:cs="Arial"/>
          <w:color w:val="000000" w:themeColor="text1"/>
          <w:sz w:val="20"/>
          <w:szCs w:val="20"/>
          <w:lang w:val="es-ES" w:eastAsia="es-ES" w:bidi="es-ES"/>
        </w:rPr>
        <w:t xml:space="preserve">b) Actos generales de la administración como Estado, o ‘teoría del hecho del príncipe’, como cuando en ejercicio de sus potestades constitucionales y legales, cuya voluntad se manifiesta mediante leyes o actos administrativos de carácter general, afecta negativamente el contrato. </w:t>
      </w:r>
    </w:p>
    <w:p w14:paraId="51B75FE8" w14:textId="77777777" w:rsidR="005522C2" w:rsidRPr="00F04F3B" w:rsidRDefault="005522C2" w:rsidP="005522C2">
      <w:pPr>
        <w:widowControl w:val="0"/>
        <w:autoSpaceDE w:val="0"/>
        <w:autoSpaceDN w:val="0"/>
        <w:spacing w:after="120" w:line="240" w:lineRule="auto"/>
        <w:ind w:left="709" w:right="709"/>
        <w:jc w:val="both"/>
        <w:rPr>
          <w:rFonts w:ascii="Verdana" w:eastAsia="Arial" w:hAnsi="Verdana" w:cs="Arial"/>
          <w:color w:val="000000" w:themeColor="text1"/>
          <w:sz w:val="20"/>
          <w:szCs w:val="20"/>
          <w:lang w:val="es-ES" w:eastAsia="es-ES" w:bidi="es-ES"/>
        </w:rPr>
      </w:pPr>
      <w:r w:rsidRPr="00F04F3B">
        <w:rPr>
          <w:rFonts w:ascii="Verdana" w:eastAsia="Arial" w:hAnsi="Verdana" w:cs="Arial"/>
          <w:color w:val="000000" w:themeColor="text1"/>
          <w:sz w:val="20"/>
          <w:szCs w:val="20"/>
          <w:lang w:val="es-ES" w:eastAsia="es-ES" w:bidi="es-ES"/>
        </w:rPr>
        <w:t xml:space="preserve">c) Factores exógenos a las partes del negocio, o ‘teoría de la imprevisión’, o ‘sujeciones materiales imprevistas’, que involucran circunstancias no imputables al Estado y externas al </w:t>
      </w:r>
      <w:proofErr w:type="gramStart"/>
      <w:r w:rsidRPr="00F04F3B">
        <w:rPr>
          <w:rFonts w:ascii="Verdana" w:eastAsia="Arial" w:hAnsi="Verdana" w:cs="Arial"/>
          <w:color w:val="000000" w:themeColor="text1"/>
          <w:sz w:val="20"/>
          <w:szCs w:val="20"/>
          <w:lang w:val="es-ES" w:eastAsia="es-ES" w:bidi="es-ES"/>
        </w:rPr>
        <w:t>contrato</w:t>
      </w:r>
      <w:proofErr w:type="gramEnd"/>
      <w:r w:rsidRPr="00F04F3B">
        <w:rPr>
          <w:rFonts w:ascii="Verdana" w:eastAsia="Arial" w:hAnsi="Verdana" w:cs="Arial"/>
          <w:color w:val="000000" w:themeColor="text1"/>
          <w:sz w:val="20"/>
          <w:szCs w:val="20"/>
          <w:lang w:val="es-ES" w:eastAsia="es-ES" w:bidi="es-ES"/>
        </w:rPr>
        <w:t xml:space="preserve"> pero con incidencia en él.</w:t>
      </w:r>
    </w:p>
    <w:p w14:paraId="02E71A75"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color w:val="000000" w:themeColor="text1"/>
          <w:sz w:val="21"/>
          <w:szCs w:val="21"/>
          <w:lang w:val="es-ES" w:eastAsia="es-ES" w:bidi="es-ES"/>
        </w:rPr>
      </w:pPr>
      <w:r w:rsidRPr="00F04F3B">
        <w:rPr>
          <w:rFonts w:ascii="Verdana" w:eastAsia="Arial" w:hAnsi="Verdana" w:cs="Arial"/>
          <w:color w:val="000000" w:themeColor="text1"/>
          <w:sz w:val="20"/>
          <w:szCs w:val="20"/>
          <w:lang w:val="es-ES" w:eastAsia="es-ES" w:bidi="es-ES"/>
        </w:rPr>
        <w:t>En todos estos eventos surge la obligación de la administración contratante de auxiliar al contratista colaborador asumiendo mediante una compensación -llevarlo hasta el punto de no pérdida- o nace el deber de indemnizarlo integralmente, según el caso y si se cumplen los requisitos señalados para cada figura”</w:t>
      </w:r>
      <w:r w:rsidRPr="00F04F3B">
        <w:rPr>
          <w:rStyle w:val="Refdenotaalpie"/>
          <w:rFonts w:ascii="Verdana" w:eastAsia="Arial" w:hAnsi="Verdana" w:cs="Arial"/>
          <w:color w:val="000000" w:themeColor="text1"/>
          <w:sz w:val="20"/>
          <w:szCs w:val="20"/>
          <w:lang w:val="es-ES" w:eastAsia="es-ES" w:bidi="es-ES"/>
        </w:rPr>
        <w:footnoteReference w:id="53"/>
      </w:r>
      <w:r w:rsidRPr="00F04F3B">
        <w:rPr>
          <w:rFonts w:ascii="Verdana" w:eastAsia="Arial" w:hAnsi="Verdana" w:cs="Arial"/>
          <w:color w:val="000000" w:themeColor="text1"/>
          <w:sz w:val="20"/>
          <w:szCs w:val="20"/>
          <w:lang w:val="es-ES" w:eastAsia="es-ES" w:bidi="es-ES"/>
        </w:rPr>
        <w:t>.</w:t>
      </w:r>
    </w:p>
    <w:p w14:paraId="76EE9F71" w14:textId="77777777" w:rsidR="005522C2" w:rsidRPr="00F04F3B" w:rsidRDefault="005522C2" w:rsidP="005522C2">
      <w:pPr>
        <w:widowControl w:val="0"/>
        <w:autoSpaceDE w:val="0"/>
        <w:autoSpaceDN w:val="0"/>
        <w:spacing w:after="0" w:line="276" w:lineRule="auto"/>
        <w:ind w:left="709" w:right="709"/>
        <w:jc w:val="both"/>
        <w:rPr>
          <w:rFonts w:ascii="Verdana" w:eastAsia="Arial" w:hAnsi="Verdana" w:cs="Arial"/>
          <w:color w:val="000000" w:themeColor="text1"/>
          <w:lang w:val="es-ES" w:eastAsia="es-ES" w:bidi="es-ES"/>
        </w:rPr>
      </w:pPr>
    </w:p>
    <w:p w14:paraId="3B67A0F3" w14:textId="77777777" w:rsidR="005522C2" w:rsidRPr="00F04F3B" w:rsidRDefault="005522C2" w:rsidP="005522C2">
      <w:pPr>
        <w:widowControl w:val="0"/>
        <w:autoSpaceDE w:val="0"/>
        <w:autoSpaceDN w:val="0"/>
        <w:spacing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En lo que atañe a la procedencia del restablecimiento del equilibrio financiero del contrato cuando este se vulnera, la jurisprudencia ha señalado que para estos efectos es imperativo la prueba del menoscabo, demostrar que </w:t>
      </w:r>
      <w:r w:rsidRPr="00F04F3B">
        <w:rPr>
          <w:rFonts w:ascii="Verdana" w:eastAsia="Arial" w:hAnsi="Verdana" w:cs="Arial"/>
          <w:color w:val="000000" w:themeColor="text1"/>
          <w:lang w:val="es-ES" w:eastAsia="es-ES" w:bidi="es-ES"/>
        </w:rPr>
        <w:lastRenderedPageBreak/>
        <w:t>este es grave y que además no corresponde a un riesgo propio de la actividad que deba ser asumido por una de las partes contractuales</w:t>
      </w:r>
      <w:r w:rsidRPr="00F04F3B">
        <w:rPr>
          <w:rStyle w:val="Refdenotaalpie"/>
          <w:rFonts w:ascii="Verdana" w:eastAsia="Arial" w:hAnsi="Verdana" w:cs="Arial"/>
          <w:color w:val="000000" w:themeColor="text1"/>
          <w:lang w:val="es-ES" w:eastAsia="es-ES" w:bidi="es-ES"/>
        </w:rPr>
        <w:footnoteReference w:id="54"/>
      </w:r>
      <w:r w:rsidRPr="00F04F3B">
        <w:rPr>
          <w:rFonts w:ascii="Verdana" w:eastAsia="Arial" w:hAnsi="Verdana" w:cs="Arial"/>
          <w:color w:val="000000" w:themeColor="text1"/>
          <w:lang w:val="es-ES" w:eastAsia="es-ES" w:bidi="es-ES"/>
        </w:rPr>
        <w:t xml:space="preserve">. </w:t>
      </w:r>
    </w:p>
    <w:p w14:paraId="11964E3E"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Bajo estas consideraciones y más allá de las distintas posturas que se han generado al interior del Consejo de Estado en torno a la oportunidad de la reclamación del restablecimiento del equilibrio económico del contrato, lo relevante de lo expuesto, para efectos de la consulta, es que este restablecimiento podrá realizarlo directamente la Administración durante la ejecución del contrato adoptando las medidas necesarias que aseguren la efectividad de los pagos y reconocimientos al contratista que haya lugar. Estas medidas podrán materializarse a través de los distintos acuerdos que suscriban las partes como prórrogas, adiciones, otrosíes o cualquier acuerdo modificatorio que se considere necesarios para solventar el desequilibrio del contrato de acuerdo con las particularidades de cada caso. Igualmente, podrá efectuarse dicho reconocimiento por parte del juez mediante el ejercicio de la acción judicial correspondiente. </w:t>
      </w:r>
    </w:p>
    <w:p w14:paraId="4E444A55"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Ello encuentra sustento legal en los artículos 4.8, 5.1 y 27 de la Ley 80 de 1993, que, como se explicó, imponen el deber a la entidad de adoptar las medidas necesarias para mantener durante el desarrollo y ejecución del contrato las condiciones técnicas, económicas y financieras existentes al momento de su celebración y restablecer la ecuación financiera del contrato cuando a ello haya lugar. Para estos efectos, le corresponde a la entidad realizar un análisis detallado del asunto, revisar su procedencia, verificar las circunstancias fácticas y jurídicas que fundamente dicho restablecimiento y las limitaciones legales sobre el particular, de manera que mediante los acuerdos que se celebren se autorregulen los intereses de las partes.</w:t>
      </w:r>
    </w:p>
    <w:p w14:paraId="2CE4865B"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Aunado a lo expuesto, la jurisprudencia resalta que la posibilidad de modificar los contratos estatales es una especial forma de hacer prevalecer la finalidad de este, en particular en aquellos contratos de largo plazo, como el de obra, en los que es difícil prever todas las contingencias que puedan afectar su ejecución. De esta manera, la Administración podrá variar, dadas ciertas condiciones, algunos aspectos del contrato cuando sea necesario para el cumplimiento del objeto y de los fines generales del Estado, por lo que</w:t>
      </w:r>
      <w:r w:rsidRPr="00F04F3B">
        <w:rPr>
          <w:rFonts w:ascii="Verdana" w:eastAsia="Arial" w:hAnsi="Verdana" w:cs="Arial"/>
          <w:lang w:val="es-ES" w:eastAsia="es-ES" w:bidi="es-ES"/>
        </w:rPr>
        <w:t xml:space="preserve"> es </w:t>
      </w:r>
      <w:r w:rsidRPr="00F04F3B">
        <w:rPr>
          <w:rFonts w:ascii="Verdana" w:eastAsia="Arial" w:hAnsi="Verdana" w:cs="Arial"/>
          <w:color w:val="000000" w:themeColor="text1"/>
          <w:lang w:val="es-ES" w:eastAsia="es-ES" w:bidi="es-ES"/>
        </w:rPr>
        <w:lastRenderedPageBreak/>
        <w:t>“</w:t>
      </w:r>
      <w:r w:rsidRPr="00F04F3B">
        <w:rPr>
          <w:rFonts w:ascii="Verdana" w:eastAsia="Arial" w:hAnsi="Verdana" w:cs="Arial"/>
          <w:lang w:val="es-ES" w:eastAsia="es-ES" w:bidi="es-ES"/>
        </w:rPr>
        <w:t>preciso entonces el diseño de reglas que permitan la adaptación y la resolución pacífica de las controversias para evitar el fracaso</w:t>
      </w:r>
      <w:r w:rsidRPr="00F04F3B">
        <w:rPr>
          <w:rFonts w:ascii="Verdana" w:eastAsia="Arial" w:hAnsi="Verdana" w:cs="Arial"/>
          <w:color w:val="000000" w:themeColor="text1"/>
          <w:lang w:val="es-ES" w:eastAsia="es-ES" w:bidi="es-ES"/>
        </w:rPr>
        <w:t>”</w:t>
      </w:r>
      <w:r w:rsidRPr="00F04F3B">
        <w:rPr>
          <w:rStyle w:val="Refdenotaalpie"/>
          <w:rFonts w:ascii="Verdana" w:eastAsia="Arial" w:hAnsi="Verdana" w:cs="Arial"/>
          <w:color w:val="000000" w:themeColor="text1"/>
          <w:lang w:val="es-ES" w:eastAsia="es-ES" w:bidi="es-ES"/>
        </w:rPr>
        <w:footnoteReference w:id="55"/>
      </w:r>
      <w:r w:rsidRPr="00F04F3B">
        <w:rPr>
          <w:rFonts w:ascii="Verdana" w:eastAsia="Arial" w:hAnsi="Verdana" w:cs="Arial"/>
          <w:lang w:val="es-ES" w:eastAsia="es-ES" w:bidi="es-ES"/>
        </w:rPr>
        <w:t>.</w:t>
      </w:r>
      <w:r w:rsidRPr="00F04F3B">
        <w:rPr>
          <w:rFonts w:ascii="Verdana" w:eastAsia="Arial" w:hAnsi="Verdana" w:cs="Arial"/>
          <w:sz w:val="21"/>
          <w:szCs w:val="21"/>
          <w:lang w:val="es-ES" w:eastAsia="es-ES" w:bidi="es-ES"/>
        </w:rPr>
        <w:t xml:space="preserve"> </w:t>
      </w:r>
    </w:p>
    <w:p w14:paraId="560324FA"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En armonía con lo anterior, la doctrina ha señalado que “durante la vigencia del contrato, esto es, el periodo que comprende el interregno que va desde el perfeccionamiento del contrato (acuerdo sobre el objeto y la contraprestación elevado a escrito al tenor del art. 41 </w:t>
      </w:r>
      <w:proofErr w:type="spellStart"/>
      <w:r w:rsidRPr="00F04F3B">
        <w:rPr>
          <w:rFonts w:ascii="Verdana" w:eastAsia="Arial" w:hAnsi="Verdana" w:cs="Arial"/>
          <w:color w:val="000000" w:themeColor="text1"/>
          <w:lang w:val="es-ES" w:eastAsia="es-ES" w:bidi="es-ES"/>
        </w:rPr>
        <w:t>inc</w:t>
      </w:r>
      <w:proofErr w:type="spellEnd"/>
      <w:r w:rsidRPr="00F04F3B">
        <w:rPr>
          <w:rFonts w:ascii="Verdana" w:eastAsia="Arial" w:hAnsi="Verdana" w:cs="Arial"/>
          <w:color w:val="000000" w:themeColor="text1"/>
          <w:lang w:val="es-ES" w:eastAsia="es-ES" w:bidi="es-ES"/>
        </w:rPr>
        <w:t xml:space="preserve"> 1° de la Ley 80 de 1993) hasta su liquidación, los contratantes tienen la potestad de pactar lo que consideren necesario a efectos de reequilibrar la ecuación contractual, por ejemplo, pueden ajustar la cuantía, las condiciones de ejecución, las formas de pago, los costos financieros y los interés, en el evento en que los haya”</w:t>
      </w:r>
      <w:r w:rsidRPr="00F04F3B">
        <w:rPr>
          <w:rStyle w:val="Refdenotaalpie"/>
          <w:rFonts w:ascii="Verdana" w:eastAsia="Arial" w:hAnsi="Verdana" w:cs="Arial"/>
          <w:color w:val="000000" w:themeColor="text1"/>
          <w:lang w:val="es-ES" w:eastAsia="es-ES" w:bidi="es-ES"/>
        </w:rPr>
        <w:footnoteReference w:id="56"/>
      </w:r>
      <w:r w:rsidRPr="00F04F3B">
        <w:rPr>
          <w:rFonts w:ascii="Verdana" w:eastAsia="Arial" w:hAnsi="Verdana" w:cs="Arial"/>
          <w:color w:val="000000" w:themeColor="text1"/>
          <w:lang w:val="es-ES" w:eastAsia="es-ES" w:bidi="es-ES"/>
        </w:rPr>
        <w:t xml:space="preserve">. </w:t>
      </w:r>
    </w:p>
    <w:p w14:paraId="51AE7571" w14:textId="77777777" w:rsidR="005522C2" w:rsidRDefault="005522C2" w:rsidP="005522C2">
      <w:pPr>
        <w:widowControl w:val="0"/>
        <w:autoSpaceDE w:val="0"/>
        <w:autoSpaceDN w:val="0"/>
        <w:spacing w:before="120" w:after="12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Así la cosas, con fundamento en el EGCAP, en la jurisprudencia y en la doctrina puede concluirse que cuando se presenten situaciones que generen el desequilibrio económico del contrato, previa revisión de su procedencia, conforme el análisis del caso concreto, la entidad deberá adoptar las medidas correspondientes para su restablecimiento, si a ello hay lugar, para lo cual tiene la potestad de suscribir los acuerdos necesarios sobre cuantía, condiciones, forma de pago, etc. </w:t>
      </w:r>
    </w:p>
    <w:p w14:paraId="2CDC5C19" w14:textId="77777777" w:rsidR="005522C2" w:rsidRPr="00F04F3B" w:rsidRDefault="005522C2" w:rsidP="005522C2">
      <w:pPr>
        <w:widowControl w:val="0"/>
        <w:autoSpaceDE w:val="0"/>
        <w:autoSpaceDN w:val="0"/>
        <w:spacing w:before="120" w:after="12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Frente al caso objeto de consulta, es relevante considerar que la entidad misma señaló que los posibles ajustes derivados de la ejecución de los estudios y diseños fueron contemplados como un riesgo previsible. </w:t>
      </w:r>
      <w:r>
        <w:rPr>
          <w:rFonts w:ascii="Verdana" w:eastAsia="Arial" w:hAnsi="Verdana" w:cs="Arial"/>
          <w:color w:val="000000" w:themeColor="text1"/>
          <w:lang w:val="es-ES" w:eastAsia="es-ES" w:bidi="es-ES"/>
        </w:rPr>
        <w:t xml:space="preserve">Frente a </w:t>
      </w:r>
      <w:r>
        <w:rPr>
          <w:rFonts w:ascii="Verdana" w:eastAsia="Arial" w:hAnsi="Verdana" w:cs="Arial"/>
          <w:lang w:val="es-ES"/>
        </w:rPr>
        <w:t>l</w:t>
      </w:r>
      <w:r w:rsidRPr="00F04F3B">
        <w:rPr>
          <w:rFonts w:ascii="Verdana" w:eastAsia="Arial" w:hAnsi="Verdana" w:cs="Arial"/>
          <w:lang w:val="es-ES"/>
        </w:rPr>
        <w:t>a materialización de un riesgo previsible que la propia entidad tipificó y asignó —</w:t>
      </w:r>
      <w:r>
        <w:rPr>
          <w:rFonts w:ascii="Verdana" w:eastAsia="Arial" w:hAnsi="Verdana" w:cs="Arial"/>
          <w:lang w:val="es-ES"/>
        </w:rPr>
        <w:t>l</w:t>
      </w:r>
      <w:r w:rsidRPr="00F04F3B">
        <w:rPr>
          <w:rFonts w:ascii="Verdana" w:eastAsia="Arial" w:hAnsi="Verdana" w:cs="Arial"/>
          <w:lang w:val="es-ES"/>
        </w:rPr>
        <w:t>os mayores valores que pudieran resultar de los estudios y diseños—</w:t>
      </w:r>
      <w:proofErr w:type="gramStart"/>
      <w:r>
        <w:rPr>
          <w:rFonts w:ascii="Verdana" w:eastAsia="Arial" w:hAnsi="Verdana" w:cs="Arial"/>
          <w:lang w:val="es-ES"/>
        </w:rPr>
        <w:t xml:space="preserve">, </w:t>
      </w:r>
      <w:r w:rsidRPr="00F04F3B">
        <w:rPr>
          <w:rFonts w:ascii="Verdana" w:eastAsia="Arial" w:hAnsi="Verdana" w:cs="Arial"/>
          <w:lang w:val="es-ES"/>
        </w:rPr>
        <w:t xml:space="preserve"> </w:t>
      </w:r>
      <w:r>
        <w:rPr>
          <w:rFonts w:ascii="Verdana" w:eastAsia="Arial" w:hAnsi="Verdana" w:cs="Arial"/>
          <w:lang w:val="es-ES"/>
        </w:rPr>
        <w:t>el</w:t>
      </w:r>
      <w:proofErr w:type="gramEnd"/>
      <w:r>
        <w:rPr>
          <w:rFonts w:ascii="Verdana" w:eastAsia="Arial" w:hAnsi="Verdana" w:cs="Arial"/>
          <w:lang w:val="es-ES"/>
        </w:rPr>
        <w:t xml:space="preserve"> </w:t>
      </w:r>
      <w:r w:rsidRPr="00F04F3B">
        <w:rPr>
          <w:rFonts w:ascii="Verdana" w:eastAsia="Arial" w:hAnsi="Verdana" w:cs="Arial"/>
          <w:lang w:val="es-ES"/>
        </w:rPr>
        <w:t xml:space="preserve">mayor valor se gestiona en el campo del cumplimiento del contrato y de la distribución de riesgos pactada, y no como un desequilibrio económico, salvo que su magnitud y dimensión desborden los límites razonables de la previsibilidad. </w:t>
      </w:r>
    </w:p>
    <w:p w14:paraId="1CC60214" w14:textId="77777777" w:rsidR="005522C2" w:rsidRPr="00F04F3B" w:rsidRDefault="005522C2" w:rsidP="005522C2">
      <w:pPr>
        <w:widowControl w:val="0"/>
        <w:autoSpaceDE w:val="0"/>
        <w:autoSpaceDN w:val="0"/>
        <w:spacing w:before="120" w:after="120" w:line="276" w:lineRule="auto"/>
        <w:ind w:firstLine="709"/>
        <w:jc w:val="both"/>
        <w:rPr>
          <w:rFonts w:ascii="Verdana" w:eastAsia="Century Gothic" w:hAnsi="Verdana" w:cs="Century Gothic"/>
          <w:color w:val="000000" w:themeColor="text1"/>
          <w:lang w:val="es-ES"/>
        </w:rPr>
      </w:pPr>
      <w:r w:rsidRPr="00F04F3B">
        <w:rPr>
          <w:rFonts w:ascii="Verdana" w:eastAsia="Century Gothic" w:hAnsi="Verdana" w:cs="Century Gothic"/>
          <w:color w:val="000000" w:themeColor="text1"/>
          <w:lang w:val="es-ES"/>
        </w:rPr>
        <w:t xml:space="preserve">Ahora bien, la jurisprudencia del Consejo de Estado ha precisado que, aunque el parágrafo del artículo 40 comporta una prohibición de adicionar en precio los contratos, de las adiciones proscritas se han excluido las estipulaciones dirigidas a reajustar los precios pactados y aquellas con las que se busca </w:t>
      </w:r>
      <w:r w:rsidRPr="00F04F3B">
        <w:rPr>
          <w:rFonts w:ascii="Verdana" w:eastAsia="Century Gothic" w:hAnsi="Verdana" w:cs="Century Gothic"/>
          <w:color w:val="000000" w:themeColor="text1"/>
          <w:lang w:val="es-ES"/>
        </w:rPr>
        <w:lastRenderedPageBreak/>
        <w:t>restablecer el equilibrio económico del contrato</w:t>
      </w:r>
      <w:r w:rsidRPr="00F04F3B">
        <w:rPr>
          <w:rStyle w:val="Refdenotaalpie"/>
          <w:rFonts w:ascii="Verdana" w:eastAsia="Century Gothic" w:hAnsi="Verdana" w:cs="Century Gothic"/>
          <w:color w:val="000000" w:themeColor="text1"/>
          <w:lang w:val="es-ES"/>
        </w:rPr>
        <w:footnoteReference w:id="57"/>
      </w:r>
      <w:r w:rsidRPr="00F04F3B">
        <w:rPr>
          <w:rFonts w:ascii="Verdana" w:eastAsia="Century Gothic" w:hAnsi="Verdana" w:cs="Century Gothic"/>
          <w:color w:val="000000" w:themeColor="text1"/>
          <w:lang w:val="es-ES"/>
        </w:rPr>
        <w:t>. Esto se debe a que la adición supone agregar obligaciones al contrato —mayores cantidades o ítems nuevos— y por ello incrementa su valor; en cambio, el reajuste actualiza el precio de prestaciones ya pactadas para conservar su valor intrínseco, y el restablecimiento restaura la ecuación económica rota, en cumplimiento de los deberes que el Estatuto impone a la entidad contratante. Esta exclusión, sin embargo, atiende a la naturaleza sustancial de cada estipulación y no a su denominación, de modo que las mayores cantidades de obra o los ítems nuevos que incrementen el valor sí se computan dentro del 50 %.</w:t>
      </w:r>
    </w:p>
    <w:p w14:paraId="734A6851" w14:textId="77777777" w:rsidR="005522C2" w:rsidRPr="00F04F3B" w:rsidRDefault="005522C2" w:rsidP="005522C2">
      <w:pPr>
        <w:widowControl w:val="0"/>
        <w:autoSpaceDE w:val="0"/>
        <w:autoSpaceDN w:val="0"/>
        <w:spacing w:before="120" w:after="12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Por lo anterior, </w:t>
      </w:r>
      <w:r>
        <w:rPr>
          <w:rFonts w:ascii="Verdana" w:eastAsia="Arial" w:hAnsi="Verdana" w:cs="Arial"/>
          <w:color w:val="000000" w:themeColor="text1"/>
          <w:lang w:val="es-ES" w:eastAsia="es-ES" w:bidi="es-ES"/>
        </w:rPr>
        <w:t xml:space="preserve">el </w:t>
      </w:r>
      <w:r w:rsidRPr="00F04F3B">
        <w:rPr>
          <w:rFonts w:ascii="Verdana" w:eastAsia="Arial" w:hAnsi="Verdana" w:cs="Arial"/>
          <w:color w:val="000000" w:themeColor="text1"/>
          <w:lang w:val="es-ES" w:eastAsia="es-ES" w:bidi="es-ES"/>
        </w:rPr>
        <w:t>aumento de</w:t>
      </w:r>
      <w:r>
        <w:rPr>
          <w:rFonts w:ascii="Verdana" w:eastAsia="Arial" w:hAnsi="Verdana" w:cs="Arial"/>
          <w:color w:val="000000" w:themeColor="text1"/>
          <w:lang w:val="es-ES" w:eastAsia="es-ES" w:bidi="es-ES"/>
        </w:rPr>
        <w:t>l</w:t>
      </w:r>
      <w:r w:rsidRPr="00F04F3B">
        <w:rPr>
          <w:rFonts w:ascii="Verdana" w:eastAsia="Arial" w:hAnsi="Verdana" w:cs="Arial"/>
          <w:color w:val="000000" w:themeColor="text1"/>
          <w:lang w:val="es-ES" w:eastAsia="es-ES" w:bidi="es-ES"/>
        </w:rPr>
        <w:t xml:space="preserve"> valor derivado del restablecimiento del equilibrio no queda sujeto al tope del 50 %, mientras que sí rige plenamente cuando se trata de la celebración de una adición contractual. Frente a esta última, el límite opera frente a cualquier incremento del valor inicial del contrato, que es lo que implica una adición, e independientemente del nombre que se le dé al acuerdo. De este modo, el tope recae sobre lo que jurídicamente constituye una adición —la ampliación del contenido prestacional—, no sobre el reajuste ni sobre el restablecimiento</w:t>
      </w:r>
    </w:p>
    <w:p w14:paraId="0890EE54" w14:textId="77777777" w:rsidR="005522C2" w:rsidRDefault="005522C2" w:rsidP="005522C2">
      <w:pPr>
        <w:widowControl w:val="0"/>
        <w:autoSpaceDE w:val="0"/>
        <w:autoSpaceDN w:val="0"/>
        <w:spacing w:before="120" w:after="0" w:line="276" w:lineRule="auto"/>
        <w:ind w:firstLine="709"/>
        <w:jc w:val="both"/>
        <w:rPr>
          <w:rFonts w:ascii="Verdana" w:eastAsia="Arial" w:hAnsi="Verdana" w:cs="Arial"/>
          <w:color w:val="000000" w:themeColor="text1"/>
          <w:lang w:val="es-ES" w:eastAsia="es-ES" w:bidi="es-ES"/>
        </w:rPr>
      </w:pPr>
      <w:r w:rsidRPr="00F04F3B">
        <w:rPr>
          <w:rFonts w:ascii="Verdana" w:eastAsia="Arial" w:hAnsi="Verdana" w:cs="Arial"/>
          <w:color w:val="000000" w:themeColor="text1"/>
          <w:lang w:val="es-ES" w:eastAsia="es-ES" w:bidi="es-ES"/>
        </w:rPr>
        <w:t xml:space="preserve">En consecuencia, el mayor valor que corresponda a la actualización de precios de ítems ya definidos (reajuste) o al restablecimiento del equilibrio por </w:t>
      </w:r>
      <w:proofErr w:type="gramStart"/>
      <w:r w:rsidRPr="00F04F3B">
        <w:rPr>
          <w:rFonts w:ascii="Verdana" w:eastAsia="Arial" w:hAnsi="Verdana" w:cs="Arial"/>
          <w:color w:val="000000" w:themeColor="text1"/>
          <w:lang w:val="es-ES" w:eastAsia="es-ES" w:bidi="es-ES"/>
        </w:rPr>
        <w:t xml:space="preserve">un </w:t>
      </w:r>
      <w:r>
        <w:rPr>
          <w:rFonts w:ascii="Verdana" w:eastAsia="Arial" w:hAnsi="Verdana" w:cs="Arial"/>
          <w:color w:val="000000" w:themeColor="text1"/>
          <w:lang w:val="es-ES" w:eastAsia="es-ES" w:bidi="es-ES"/>
        </w:rPr>
        <w:t>a</w:t>
      </w:r>
      <w:r w:rsidRPr="00F04F3B">
        <w:rPr>
          <w:rFonts w:ascii="Verdana" w:eastAsia="Arial" w:hAnsi="Verdana" w:cs="Arial"/>
          <w:color w:val="000000" w:themeColor="text1"/>
          <w:lang w:val="es-ES" w:eastAsia="es-ES" w:bidi="es-ES"/>
        </w:rPr>
        <w:t>lea extraordinaria</w:t>
      </w:r>
      <w:proofErr w:type="gramEnd"/>
      <w:r w:rsidRPr="00F04F3B">
        <w:rPr>
          <w:rFonts w:ascii="Verdana" w:eastAsia="Arial" w:hAnsi="Verdana" w:cs="Arial"/>
          <w:color w:val="000000" w:themeColor="text1"/>
          <w:lang w:val="es-ES" w:eastAsia="es-ES" w:bidi="es-ES"/>
        </w:rPr>
        <w:t xml:space="preserve"> no se computa dentro del cincuenta por ciento (50 %); en cambio, el que corresponda a mayores cantidades de obra o a la ejecución de ítems nuevos sí lo consume. Con todo, esta calificación no puede convertirse en un argumento para eludir el tope: el reajuste presupone precios de prestaciones ya pactadas, y el restablecimiento exige acreditar una afectación grave, sobreviniente, imprevisible y no imputable a la parte afectada, en los términos del artículo 27 de la Ley 80 de 1993; de lo contrario, el incremento constituye una adición y queda sometido al límite del artículo 40, como es el supuesto referido anteriormente en el que producto de los estudios y diseños la entidad cuenta con un presupuesto materialmente nuevo que implica la apropiación de recursos adicionales.</w:t>
      </w:r>
    </w:p>
    <w:p w14:paraId="3B13CC94" w14:textId="77777777" w:rsidR="005522C2" w:rsidRPr="00F04F3B" w:rsidRDefault="005522C2" w:rsidP="005522C2">
      <w:pPr>
        <w:widowControl w:val="0"/>
        <w:autoSpaceDE w:val="0"/>
        <w:autoSpaceDN w:val="0"/>
        <w:spacing w:after="0" w:line="276" w:lineRule="auto"/>
        <w:ind w:firstLine="709"/>
        <w:jc w:val="both"/>
        <w:rPr>
          <w:rFonts w:ascii="Verdana" w:eastAsia="Arial" w:hAnsi="Verdana" w:cs="Arial"/>
          <w:color w:val="000000" w:themeColor="text1"/>
          <w:lang w:val="es-ES" w:eastAsia="es-ES" w:bidi="es-ES"/>
        </w:rPr>
      </w:pPr>
    </w:p>
    <w:p w14:paraId="019C2F39" w14:textId="77777777" w:rsidR="005522C2" w:rsidRPr="00F04F3B" w:rsidRDefault="005522C2" w:rsidP="005522C2">
      <w:pPr>
        <w:tabs>
          <w:tab w:val="left" w:pos="284"/>
        </w:tabs>
        <w:spacing w:line="276" w:lineRule="auto"/>
        <w:jc w:val="both"/>
        <w:rPr>
          <w:rFonts w:ascii="Verdana" w:eastAsia="Calibri" w:hAnsi="Verdana" w:cs="Arial"/>
          <w:color w:val="000000"/>
          <w:lang w:val="es-ES"/>
        </w:rPr>
      </w:pPr>
      <w:proofErr w:type="spellStart"/>
      <w:r w:rsidRPr="00F04F3B">
        <w:rPr>
          <w:rFonts w:ascii="Verdana" w:eastAsia="Arial" w:hAnsi="Verdana" w:cs="Arial"/>
          <w:b/>
          <w:bCs/>
          <w:lang w:val="es-ES"/>
        </w:rPr>
        <w:lastRenderedPageBreak/>
        <w:t>i</w:t>
      </w:r>
      <w:r>
        <w:rPr>
          <w:rFonts w:ascii="Verdana" w:eastAsia="Arial" w:hAnsi="Verdana" w:cs="Arial"/>
          <w:b/>
          <w:bCs/>
          <w:lang w:val="es-ES"/>
        </w:rPr>
        <w:t>v</w:t>
      </w:r>
      <w:proofErr w:type="spellEnd"/>
      <w:r w:rsidRPr="00F04F3B">
        <w:rPr>
          <w:rFonts w:ascii="Verdana" w:eastAsia="Arial" w:hAnsi="Verdana" w:cs="Arial"/>
          <w:b/>
          <w:bCs/>
          <w:lang w:val="es-ES"/>
        </w:rPr>
        <w:t>.</w:t>
      </w:r>
      <w:r w:rsidRPr="00F04F3B">
        <w:rPr>
          <w:rFonts w:ascii="Verdana" w:eastAsia="Arial" w:hAnsi="Verdana" w:cs="Arial"/>
          <w:lang w:val="es-ES"/>
        </w:rPr>
        <w:t xml:space="preserve"> </w:t>
      </w:r>
      <w:r w:rsidRPr="00F04F3B">
        <w:rPr>
          <w:rFonts w:ascii="Verdana" w:eastAsia="Calibri" w:hAnsi="Verdana" w:cs="Arial"/>
          <w:bCs/>
          <w:color w:val="000000" w:themeColor="text1"/>
          <w:lang w:val="es-ES"/>
        </w:rPr>
        <w:t xml:space="preserve">Es importante aclarar que </w:t>
      </w:r>
      <w:r w:rsidRPr="00F04F3B">
        <w:rPr>
          <w:rFonts w:ascii="Verdana" w:eastAsia="Calibri" w:hAnsi="Verdana" w:cs="Arial"/>
          <w:color w:val="000000"/>
          <w:lang w:val="es-ES"/>
        </w:rPr>
        <w:t xml:space="preserve">el </w:t>
      </w:r>
      <w:r w:rsidRPr="00F04F3B">
        <w:rPr>
          <w:rFonts w:ascii="Verdana" w:eastAsia="Calibri" w:hAnsi="Verdana" w:cs="Arial"/>
          <w:color w:val="000000" w:themeColor="text1"/>
          <w:lang w:val="es-ES"/>
        </w:rPr>
        <w:t xml:space="preserve">EGCAP </w:t>
      </w:r>
      <w:r w:rsidRPr="00F04F3B">
        <w:rPr>
          <w:rFonts w:ascii="Verdana" w:eastAsia="Calibri" w:hAnsi="Verdana" w:cs="Arial"/>
          <w:color w:val="000000"/>
          <w:lang w:val="es-ES"/>
        </w:rPr>
        <w:t>no establece una regulación expresa sobre la posibilidad de modificar los contratos celebrados por las Entidades Estatales, salvo la potestad exorbitante de modificación unilateral y la regulación que fija los porcentajes límite para adicionar los valores inicialmente pactados, como es el caso del artículo 40 de la Ley 80 de 1993</w:t>
      </w:r>
      <w:r w:rsidRPr="00F04F3B">
        <w:rPr>
          <w:rFonts w:ascii="Verdana" w:eastAsia="Calibri" w:hAnsi="Verdana" w:cs="Arial"/>
          <w:color w:val="000000"/>
          <w:vertAlign w:val="superscript"/>
          <w:lang w:val="es-ES"/>
        </w:rPr>
        <w:footnoteReference w:id="58"/>
      </w:r>
      <w:r w:rsidRPr="00F04F3B">
        <w:rPr>
          <w:rFonts w:ascii="Verdana" w:eastAsia="Calibri" w:hAnsi="Verdana" w:cs="Arial"/>
          <w:color w:val="000000"/>
          <w:lang w:val="es-ES"/>
        </w:rPr>
        <w:t xml:space="preserve">. </w:t>
      </w:r>
    </w:p>
    <w:p w14:paraId="5FCC4EEF" w14:textId="77777777" w:rsidR="005522C2" w:rsidRPr="00F04F3B" w:rsidRDefault="005522C2" w:rsidP="005522C2">
      <w:pPr>
        <w:tabs>
          <w:tab w:val="left" w:pos="284"/>
        </w:tabs>
        <w:spacing w:line="276" w:lineRule="auto"/>
        <w:ind w:firstLine="284"/>
        <w:jc w:val="both"/>
        <w:rPr>
          <w:rFonts w:ascii="Verdana" w:eastAsia="Calibri" w:hAnsi="Verdana" w:cs="Arial"/>
          <w:color w:val="000000"/>
          <w:lang w:val="es-ES"/>
        </w:rPr>
      </w:pPr>
      <w:r w:rsidRPr="00F04F3B">
        <w:rPr>
          <w:rFonts w:ascii="Verdana" w:eastAsia="Calibri" w:hAnsi="Verdana" w:cs="Arial"/>
          <w:color w:val="000000"/>
          <w:lang w:val="es-ES"/>
        </w:rPr>
        <w:tab/>
        <w:t>En principio, los contratos deben ejecutarse en las condiciones pactadas inicialmente, pues estas fueron estipuladas luego de que la entidad estatal surtiera todos los procedimientos previstos para la selección de su contratista y definiera los aspectos, técnicos, legales y financieros propios de cada caso, con observancia de los principios de planeación, transparencia, economía y responsabilidad, así como los demás principios de la función administrativa aplicables al proceso de gestión contractual.</w:t>
      </w:r>
    </w:p>
    <w:p w14:paraId="3BFD0DA1" w14:textId="77777777" w:rsidR="005522C2" w:rsidRPr="00F04F3B" w:rsidRDefault="005522C2" w:rsidP="005522C2">
      <w:pPr>
        <w:tabs>
          <w:tab w:val="left" w:pos="284"/>
        </w:tabs>
        <w:spacing w:line="276" w:lineRule="auto"/>
        <w:ind w:firstLine="709"/>
        <w:jc w:val="both"/>
        <w:rPr>
          <w:rFonts w:ascii="Verdana" w:eastAsia="Calibri" w:hAnsi="Verdana" w:cs="Arial"/>
          <w:color w:val="000000"/>
          <w:lang w:val="es-ES"/>
        </w:rPr>
      </w:pPr>
      <w:r w:rsidRPr="00F04F3B">
        <w:rPr>
          <w:rFonts w:ascii="Verdana" w:eastAsia="Calibri" w:hAnsi="Verdana" w:cs="Arial"/>
          <w:color w:val="000000"/>
          <w:lang w:val="es-ES"/>
        </w:rPr>
        <w:t>No obstante, no existe restricción expresa para modificar los contratos estatales y es posible que determinados supuestos las entidades evidencien la necesidad de cambiar las estipulaciones establecidas en un comienzo. En este contexto, la jurisprudencia ha fijado pautas generales conforme a las cuales la Administración Pública debe evaluar si es procedente modificar los contratos que ha celebrado según las particularidades de cada caso. Al respecto, la Corte Constitucional, mediante sentencia C–300 de 2012</w:t>
      </w:r>
      <w:r w:rsidRPr="00F04F3B">
        <w:rPr>
          <w:rFonts w:ascii="Verdana" w:eastAsia="Calibri" w:hAnsi="Verdana" w:cs="Arial"/>
          <w:color w:val="000000"/>
          <w:vertAlign w:val="superscript"/>
          <w:lang w:val="es-ES"/>
        </w:rPr>
        <w:footnoteReference w:id="59"/>
      </w:r>
      <w:r w:rsidRPr="00F04F3B">
        <w:rPr>
          <w:rFonts w:ascii="Verdana" w:eastAsia="Calibri" w:hAnsi="Verdana" w:cs="Arial"/>
          <w:color w:val="000000"/>
          <w:lang w:val="es-ES"/>
        </w:rPr>
        <w:t>, se refirió a la posibilidad de modificar los contratos estatales así:</w:t>
      </w:r>
    </w:p>
    <w:p w14:paraId="7600A084" w14:textId="77777777" w:rsidR="005522C2" w:rsidRPr="00F04F3B" w:rsidRDefault="005522C2" w:rsidP="005522C2">
      <w:pPr>
        <w:tabs>
          <w:tab w:val="left" w:pos="284"/>
        </w:tabs>
        <w:snapToGrid w:val="0"/>
        <w:spacing w:after="0" w:line="240" w:lineRule="auto"/>
        <w:ind w:left="709" w:right="709"/>
        <w:jc w:val="both"/>
        <w:rPr>
          <w:rFonts w:ascii="Verdana" w:eastAsia="Calibri" w:hAnsi="Verdana" w:cs="Arial"/>
          <w:bCs/>
          <w:color w:val="000000"/>
          <w:sz w:val="20"/>
          <w:szCs w:val="20"/>
          <w:lang w:val="es-ES"/>
        </w:rPr>
      </w:pPr>
      <w:r w:rsidRPr="00F04F3B">
        <w:rPr>
          <w:rFonts w:ascii="Verdana" w:eastAsia="Calibri" w:hAnsi="Verdana" w:cs="Arial"/>
          <w:color w:val="000000"/>
          <w:sz w:val="20"/>
          <w:szCs w:val="20"/>
          <w:lang w:val="es-ES"/>
        </w:rPr>
        <w:t>“</w:t>
      </w:r>
      <w:r w:rsidRPr="00F04F3B">
        <w:rPr>
          <w:rFonts w:ascii="Verdana" w:eastAsia="Calibri" w:hAnsi="Verdana" w:cs="Arial"/>
          <w:bCs/>
          <w:color w:val="000000"/>
          <w:sz w:val="20"/>
          <w:szCs w:val="20"/>
          <w:lang w:val="es-ES"/>
        </w:rPr>
        <w:t xml:space="preserve">Por regla general, </w:t>
      </w:r>
      <w:r w:rsidRPr="00F04F3B">
        <w:rPr>
          <w:rFonts w:ascii="Verdana" w:eastAsia="Calibri" w:hAnsi="Verdana" w:cs="Arial"/>
          <w:b/>
          <w:bCs/>
          <w:color w:val="000000"/>
          <w:sz w:val="20"/>
          <w:szCs w:val="20"/>
          <w:lang w:val="es-ES"/>
        </w:rPr>
        <w:t>los contratos estatales pueden ser modificados cuando sea necesario para lograr su finalidad y en aras de la realización de los fines del Estado</w:t>
      </w:r>
      <w:r w:rsidRPr="00F04F3B">
        <w:rPr>
          <w:rFonts w:ascii="Verdana" w:eastAsia="Calibri" w:hAnsi="Verdana" w:cs="Arial"/>
          <w:bCs/>
          <w:color w:val="000000"/>
          <w:sz w:val="20"/>
          <w:szCs w:val="20"/>
          <w:lang w:val="es-ES"/>
        </w:rPr>
        <w:t>, a los cuales sirve el contrato.</w:t>
      </w:r>
      <w:r w:rsidRPr="00F04F3B">
        <w:rPr>
          <w:rFonts w:ascii="Verdana" w:eastAsia="Calibri" w:hAnsi="Verdana" w:cs="Arial"/>
          <w:bCs/>
          <w:color w:val="000000"/>
          <w:sz w:val="20"/>
          <w:szCs w:val="20"/>
          <w:vertAlign w:val="superscript"/>
          <w:lang w:val="es-ES"/>
        </w:rPr>
        <w:footnoteReference w:id="60"/>
      </w:r>
      <w:r w:rsidRPr="00F04F3B">
        <w:rPr>
          <w:rFonts w:ascii="Verdana" w:eastAsia="Calibri" w:hAnsi="Verdana" w:cs="Arial"/>
          <w:bCs/>
          <w:color w:val="000000"/>
          <w:sz w:val="20"/>
          <w:szCs w:val="20"/>
          <w:lang w:val="es-ES"/>
        </w:rPr>
        <w:t xml:space="preserve"> Así lo prevén por ejemplo los artículos 14 y 16 de la ley 80, los cuales facultan a la entidades contratantes a modificar los contratos de común acuerdo o de forma unilateral, para “(…) evitar la paralización o la afectación grave de los servicios públicos a su cargo y asegurar la inmediata, continua y adecuada prestación”, entre otros. En el mismo sentido, en la </w:t>
      </w:r>
      <w:r w:rsidRPr="00F04F3B">
        <w:rPr>
          <w:rFonts w:ascii="Verdana" w:eastAsia="Calibri" w:hAnsi="Verdana" w:cs="Arial"/>
          <w:b/>
          <w:bCs/>
          <w:color w:val="000000"/>
          <w:sz w:val="20"/>
          <w:szCs w:val="20"/>
          <w:lang w:val="es-ES"/>
        </w:rPr>
        <w:t>sentencia C-949 de 2001</w:t>
      </w:r>
      <w:r w:rsidRPr="00F04F3B">
        <w:rPr>
          <w:rFonts w:ascii="Verdana" w:eastAsia="Calibri" w:hAnsi="Verdana" w:cs="Arial"/>
          <w:bCs/>
          <w:color w:val="000000"/>
          <w:sz w:val="20"/>
          <w:szCs w:val="20"/>
          <w:vertAlign w:val="superscript"/>
          <w:lang w:val="es-ES"/>
        </w:rPr>
        <w:footnoteReference w:id="61"/>
      </w:r>
      <w:r w:rsidRPr="00F04F3B">
        <w:rPr>
          <w:rFonts w:ascii="Verdana" w:eastAsia="Calibri" w:hAnsi="Verdana" w:cs="Arial"/>
          <w:bCs/>
          <w:color w:val="000000"/>
          <w:sz w:val="20"/>
          <w:szCs w:val="20"/>
          <w:lang w:val="es-ES"/>
        </w:rPr>
        <w:t xml:space="preserve">, la Corte Constitucional señaló que las prórrogas de los </w:t>
      </w:r>
      <w:r w:rsidRPr="00F04F3B">
        <w:rPr>
          <w:rFonts w:ascii="Verdana" w:eastAsia="Calibri" w:hAnsi="Verdana" w:cs="Arial"/>
          <w:bCs/>
          <w:color w:val="000000"/>
          <w:sz w:val="20"/>
          <w:szCs w:val="20"/>
          <w:lang w:val="es-ES"/>
        </w:rPr>
        <w:lastRenderedPageBreak/>
        <w:t>contratos –como especie de modificación- pueden ser un instrumento útil para lograr los fines propios de la contratación estatal</w:t>
      </w:r>
      <w:r w:rsidRPr="00F04F3B">
        <w:rPr>
          <w:rFonts w:ascii="Verdana" w:eastAsia="Calibri" w:hAnsi="Verdana" w:cs="Arial"/>
          <w:bCs/>
          <w:color w:val="000000"/>
          <w:sz w:val="20"/>
          <w:szCs w:val="20"/>
          <w:vertAlign w:val="superscript"/>
          <w:lang w:val="es-ES"/>
        </w:rPr>
        <w:footnoteReference w:id="62"/>
      </w:r>
      <w:r w:rsidRPr="00F04F3B">
        <w:rPr>
          <w:rFonts w:ascii="Verdana" w:eastAsia="Calibri" w:hAnsi="Verdana" w:cs="Arial"/>
          <w:bCs/>
          <w:color w:val="000000"/>
          <w:sz w:val="20"/>
          <w:szCs w:val="20"/>
          <w:lang w:val="es-ES"/>
        </w:rPr>
        <w:t xml:space="preserve">. </w:t>
      </w:r>
    </w:p>
    <w:p w14:paraId="111AEFA7" w14:textId="77777777" w:rsidR="005522C2" w:rsidRPr="00F04F3B" w:rsidRDefault="005522C2" w:rsidP="005522C2">
      <w:pPr>
        <w:tabs>
          <w:tab w:val="left" w:pos="284"/>
        </w:tabs>
        <w:snapToGrid w:val="0"/>
        <w:spacing w:after="0" w:line="240" w:lineRule="auto"/>
        <w:ind w:left="709" w:right="709"/>
        <w:jc w:val="both"/>
        <w:rPr>
          <w:rFonts w:ascii="Verdana" w:eastAsia="Calibri" w:hAnsi="Verdana" w:cs="Arial"/>
          <w:bCs/>
          <w:color w:val="000000"/>
          <w:sz w:val="20"/>
          <w:szCs w:val="20"/>
          <w:lang w:val="es-ES"/>
        </w:rPr>
      </w:pPr>
    </w:p>
    <w:p w14:paraId="51688B58" w14:textId="77777777" w:rsidR="005522C2" w:rsidRPr="00F04F3B" w:rsidRDefault="005522C2" w:rsidP="005522C2">
      <w:pPr>
        <w:tabs>
          <w:tab w:val="left" w:pos="284"/>
        </w:tabs>
        <w:snapToGrid w:val="0"/>
        <w:spacing w:after="0" w:line="240" w:lineRule="auto"/>
        <w:ind w:left="709" w:right="709"/>
        <w:jc w:val="both"/>
        <w:rPr>
          <w:rFonts w:ascii="Verdana" w:eastAsia="Calibri" w:hAnsi="Verdana" w:cs="Arial"/>
          <w:bCs/>
          <w:color w:val="000000"/>
          <w:sz w:val="20"/>
          <w:szCs w:val="20"/>
          <w:lang w:val="es-ES"/>
        </w:rPr>
      </w:pPr>
      <w:r w:rsidRPr="00F04F3B">
        <w:rPr>
          <w:rFonts w:ascii="Verdana" w:eastAsia="Calibri" w:hAnsi="Verdana" w:cs="Arial"/>
          <w:bCs/>
          <w:color w:val="000000"/>
          <w:sz w:val="20"/>
          <w:szCs w:val="20"/>
          <w:lang w:val="es-ES"/>
        </w:rPr>
        <w:t>(…)</w:t>
      </w:r>
    </w:p>
    <w:p w14:paraId="32B69938" w14:textId="77777777" w:rsidR="005522C2" w:rsidRPr="00F04F3B" w:rsidRDefault="005522C2" w:rsidP="005522C2">
      <w:pPr>
        <w:tabs>
          <w:tab w:val="left" w:pos="284"/>
        </w:tabs>
        <w:spacing w:after="0" w:line="240" w:lineRule="auto"/>
        <w:ind w:left="709" w:right="709"/>
        <w:jc w:val="both"/>
        <w:rPr>
          <w:rFonts w:ascii="Verdana" w:eastAsia="Calibri" w:hAnsi="Verdana" w:cs="Arial"/>
          <w:bCs/>
          <w:color w:val="000000"/>
          <w:sz w:val="20"/>
          <w:szCs w:val="20"/>
          <w:lang w:val="es-ES"/>
        </w:rPr>
      </w:pPr>
    </w:p>
    <w:p w14:paraId="2220C28D" w14:textId="77777777" w:rsidR="005522C2" w:rsidRPr="00F04F3B" w:rsidRDefault="005522C2" w:rsidP="005522C2">
      <w:pPr>
        <w:tabs>
          <w:tab w:val="left" w:pos="284"/>
        </w:tabs>
        <w:spacing w:after="0" w:line="240" w:lineRule="auto"/>
        <w:ind w:left="709" w:right="709"/>
        <w:jc w:val="both"/>
        <w:rPr>
          <w:rFonts w:ascii="Verdana" w:eastAsia="Calibri" w:hAnsi="Verdana" w:cs="Arial"/>
          <w:bCs/>
          <w:color w:val="000000"/>
          <w:sz w:val="20"/>
          <w:szCs w:val="20"/>
          <w:lang w:val="es-ES"/>
        </w:rPr>
      </w:pPr>
      <w:r w:rsidRPr="00F04F3B">
        <w:rPr>
          <w:rFonts w:ascii="Verdana" w:eastAsia="Calibri" w:hAnsi="Verdana" w:cs="Arial"/>
          <w:bCs/>
          <w:color w:val="000000"/>
          <w:sz w:val="20"/>
          <w:szCs w:val="20"/>
          <w:lang w:val="es-ES"/>
        </w:rPr>
        <w:t xml:space="preserve">La modificación de los contratos estatales es especialmente importante en aquellos por naturaleza </w:t>
      </w:r>
      <w:r w:rsidRPr="00F04F3B">
        <w:rPr>
          <w:rFonts w:ascii="Verdana" w:eastAsia="Calibri" w:hAnsi="Verdana" w:cs="Arial"/>
          <w:b/>
          <w:color w:val="000000"/>
          <w:sz w:val="20"/>
          <w:szCs w:val="20"/>
          <w:lang w:val="es-ES"/>
        </w:rPr>
        <w:t>incompletos</w:t>
      </w:r>
      <w:r w:rsidRPr="00F04F3B">
        <w:rPr>
          <w:rFonts w:ascii="Verdana" w:eastAsia="Calibri" w:hAnsi="Verdana" w:cs="Arial"/>
          <w:bCs/>
          <w:color w:val="000000"/>
          <w:sz w:val="20"/>
          <w:szCs w:val="20"/>
          <w:lang w:val="es-ES"/>
        </w:rPr>
        <w:t xml:space="preserve">, es decir, </w:t>
      </w:r>
      <w:r w:rsidRPr="00F04F3B">
        <w:rPr>
          <w:rFonts w:ascii="Verdana" w:eastAsia="Calibri" w:hAnsi="Verdana" w:cs="Arial"/>
          <w:b/>
          <w:color w:val="000000"/>
          <w:sz w:val="20"/>
          <w:szCs w:val="20"/>
          <w:lang w:val="es-ES"/>
        </w:rPr>
        <w:t xml:space="preserve">(i) </w:t>
      </w:r>
      <w:r w:rsidRPr="00F04F3B">
        <w:rPr>
          <w:rFonts w:ascii="Verdana" w:eastAsia="Calibri" w:hAnsi="Verdana" w:cs="Arial"/>
          <w:bCs/>
          <w:color w:val="000000"/>
          <w:sz w:val="20"/>
          <w:szCs w:val="20"/>
          <w:lang w:val="es-ES"/>
        </w:rPr>
        <w:t xml:space="preserve">los afectados por asimetrías de información que impiden la previsión de todas las contingencias que pueden afectar su ejecución, y </w:t>
      </w:r>
      <w:r w:rsidRPr="00F04F3B">
        <w:rPr>
          <w:rFonts w:ascii="Verdana" w:eastAsia="Calibri" w:hAnsi="Verdana" w:cs="Arial"/>
          <w:b/>
          <w:color w:val="000000"/>
          <w:sz w:val="20"/>
          <w:szCs w:val="20"/>
          <w:lang w:val="es-ES"/>
        </w:rPr>
        <w:t>(</w:t>
      </w:r>
      <w:proofErr w:type="spellStart"/>
      <w:r w:rsidRPr="00F04F3B">
        <w:rPr>
          <w:rFonts w:ascii="Verdana" w:eastAsia="Calibri" w:hAnsi="Verdana" w:cs="Arial"/>
          <w:b/>
          <w:color w:val="000000"/>
          <w:sz w:val="20"/>
          <w:szCs w:val="20"/>
          <w:lang w:val="es-ES"/>
        </w:rPr>
        <w:t>ii</w:t>
      </w:r>
      <w:proofErr w:type="spellEnd"/>
      <w:r w:rsidRPr="00F04F3B">
        <w:rPr>
          <w:rFonts w:ascii="Verdana" w:eastAsia="Calibri" w:hAnsi="Verdana" w:cs="Arial"/>
          <w:b/>
          <w:color w:val="000000"/>
          <w:sz w:val="20"/>
          <w:szCs w:val="20"/>
          <w:lang w:val="es-ES"/>
        </w:rPr>
        <w:t xml:space="preserve">) </w:t>
      </w:r>
      <w:r w:rsidRPr="00F04F3B">
        <w:rPr>
          <w:rFonts w:ascii="Verdana" w:eastAsia="Calibri" w:hAnsi="Verdana" w:cs="Arial"/>
          <w:bCs/>
          <w:color w:val="000000"/>
          <w:sz w:val="20"/>
          <w:szCs w:val="20"/>
          <w:lang w:val="es-ES"/>
        </w:rPr>
        <w:t xml:space="preserve">en el marco de los cuales, por esa misma razón, es difícil prever </w:t>
      </w:r>
      <w:r w:rsidRPr="00F04F3B">
        <w:rPr>
          <w:rFonts w:ascii="Verdana" w:eastAsia="Calibri" w:hAnsi="Verdana" w:cs="Arial"/>
          <w:bCs/>
          <w:i/>
          <w:iCs/>
          <w:color w:val="000000"/>
          <w:sz w:val="20"/>
          <w:szCs w:val="20"/>
          <w:lang w:val="es-ES"/>
        </w:rPr>
        <w:t xml:space="preserve">ex ante </w:t>
      </w:r>
      <w:r w:rsidRPr="00F04F3B">
        <w:rPr>
          <w:rFonts w:ascii="Verdana" w:eastAsia="Calibri" w:hAnsi="Verdana" w:cs="Arial"/>
          <w:bCs/>
          <w:color w:val="000000"/>
          <w:sz w:val="20"/>
          <w:szCs w:val="20"/>
          <w:lang w:val="es-ES"/>
        </w:rPr>
        <w:t>los remedios necesarios para afrontar tales contingencias, como ocurre por lo general con los contratos de largo plazo.</w:t>
      </w:r>
      <w:r w:rsidRPr="00F04F3B">
        <w:rPr>
          <w:rFonts w:ascii="Verdana" w:eastAsia="Calibri" w:hAnsi="Verdana" w:cs="Arial"/>
          <w:bCs/>
          <w:color w:val="000000"/>
          <w:sz w:val="20"/>
          <w:szCs w:val="20"/>
          <w:vertAlign w:val="superscript"/>
          <w:lang w:val="es-ES"/>
        </w:rPr>
        <w:footnoteReference w:id="63"/>
      </w:r>
      <w:r w:rsidRPr="00F04F3B">
        <w:rPr>
          <w:rFonts w:ascii="Verdana" w:eastAsia="Calibri" w:hAnsi="Verdana" w:cs="Arial"/>
          <w:bCs/>
          <w:color w:val="000000"/>
          <w:sz w:val="20"/>
          <w:szCs w:val="20"/>
          <w:lang w:val="es-ES"/>
        </w:rPr>
        <w:t xml:space="preserve"> En efecto, con el paso del tiempo, pueden surgir nuevas exigencias sociales, tecnológicas, culturales, etc. sobre la forma cómo el Estado debe cumplir sus fines y sobre cómo se deben prestar los servicios públicos, o simplemente pueden aparecer circunstancias extraordinarias e imprevisibles al momento del diseño del negocio, para las que tampoco era posible, en dicho momento, prever un remedio adecuado y específico. En este tipo de contratos es preciso entonces el diseño de reglas que permitan la adaptación y la resolución pacífica de las controversias para evitar el fracaso” (énfasis dentro del texto).</w:t>
      </w:r>
    </w:p>
    <w:p w14:paraId="5DD46074" w14:textId="77777777" w:rsidR="005522C2" w:rsidRPr="00F04F3B" w:rsidRDefault="005522C2" w:rsidP="005522C2">
      <w:pPr>
        <w:tabs>
          <w:tab w:val="left" w:pos="284"/>
        </w:tabs>
        <w:spacing w:after="0" w:line="240" w:lineRule="auto"/>
        <w:ind w:left="1049" w:right="709"/>
        <w:jc w:val="both"/>
        <w:rPr>
          <w:rFonts w:ascii="Verdana" w:eastAsia="Arial MT" w:hAnsi="Verdana" w:cs="Arial"/>
          <w:color w:val="000000"/>
          <w:lang w:val="es-ES"/>
        </w:rPr>
      </w:pPr>
    </w:p>
    <w:p w14:paraId="37853C0D" w14:textId="77777777" w:rsidR="005522C2" w:rsidRPr="00F04F3B" w:rsidRDefault="005522C2" w:rsidP="005522C2">
      <w:pPr>
        <w:widowControl w:val="0"/>
        <w:autoSpaceDE w:val="0"/>
        <w:autoSpaceDN w:val="0"/>
        <w:spacing w:after="0" w:line="276" w:lineRule="auto"/>
        <w:ind w:right="-2" w:firstLine="709"/>
        <w:jc w:val="both"/>
        <w:rPr>
          <w:rFonts w:ascii="Verdana" w:eastAsia="Calibri" w:hAnsi="Verdana" w:cs="Arial"/>
          <w:color w:val="000000"/>
          <w:lang w:val="es-ES"/>
        </w:rPr>
      </w:pPr>
      <w:r w:rsidRPr="00F04F3B">
        <w:rPr>
          <w:rFonts w:ascii="Verdana" w:eastAsia="Calibri" w:hAnsi="Verdana" w:cs="Arial"/>
          <w:color w:val="000000"/>
          <w:lang w:val="es-ES"/>
        </w:rPr>
        <w:t>A su turno, el Consejo de Estado</w:t>
      </w:r>
      <w:r w:rsidRPr="00F04F3B">
        <w:rPr>
          <w:rFonts w:ascii="Verdana" w:eastAsia="Calibri" w:hAnsi="Verdana" w:cs="Arial"/>
          <w:color w:val="000000"/>
          <w:vertAlign w:val="superscript"/>
          <w:lang w:val="es-ES"/>
        </w:rPr>
        <w:footnoteReference w:id="64"/>
      </w:r>
      <w:r w:rsidRPr="00F04F3B">
        <w:rPr>
          <w:rFonts w:ascii="Verdana" w:eastAsia="Calibri" w:hAnsi="Verdana" w:cs="Arial"/>
          <w:color w:val="000000"/>
          <w:lang w:val="es-ES"/>
        </w:rPr>
        <w:t xml:space="preserve"> ha resaltado que la necesidad de modificar los contratos estatales persigue el cumplimiento de ciertos fines. De esta manera, aunque los contratos se puedan modificar por acuerdo de la </w:t>
      </w:r>
      <w:r w:rsidRPr="00F04F3B">
        <w:rPr>
          <w:rFonts w:ascii="Verdana" w:eastAsia="Calibri" w:hAnsi="Verdana" w:cs="Arial"/>
          <w:color w:val="000000"/>
          <w:lang w:val="es-ES"/>
        </w:rPr>
        <w:lastRenderedPageBreak/>
        <w:t xml:space="preserve">voluntad de las partes, este no puede ser el único fundamento. Señala entonces que las modificaciones deben obedecer a </w:t>
      </w:r>
      <w:r w:rsidRPr="00F04F3B">
        <w:rPr>
          <w:rFonts w:ascii="Verdana" w:eastAsia="Calibri" w:hAnsi="Verdana" w:cs="Arial"/>
          <w:i/>
          <w:iCs/>
          <w:color w:val="000000"/>
          <w:lang w:val="es-ES"/>
        </w:rPr>
        <w:t>causas reales y ciertas</w:t>
      </w:r>
      <w:r w:rsidRPr="00F04F3B">
        <w:rPr>
          <w:rFonts w:ascii="Verdana" w:eastAsia="Calibri" w:hAnsi="Verdana" w:cs="Arial"/>
          <w:color w:val="000000"/>
          <w:lang w:val="es-ES"/>
        </w:rPr>
        <w:t xml:space="preserve"> derivadas de la ley:</w:t>
      </w:r>
    </w:p>
    <w:p w14:paraId="0D5D8682" w14:textId="77777777" w:rsidR="005522C2" w:rsidRPr="00F04F3B" w:rsidRDefault="005522C2" w:rsidP="005522C2">
      <w:pPr>
        <w:widowControl w:val="0"/>
        <w:autoSpaceDE w:val="0"/>
        <w:autoSpaceDN w:val="0"/>
        <w:spacing w:after="0" w:line="240" w:lineRule="auto"/>
        <w:ind w:firstLine="709"/>
        <w:jc w:val="both"/>
        <w:rPr>
          <w:rFonts w:ascii="Verdana" w:eastAsia="Calibri" w:hAnsi="Verdana" w:cs="Arial"/>
          <w:color w:val="000000"/>
          <w:lang w:val="es-ES"/>
        </w:rPr>
      </w:pPr>
    </w:p>
    <w:p w14:paraId="57FDDD27"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 xml:space="preserve">“(…) la posibilidad de modificar los contratos estatales es una especial forma de hacer prevalecer la finalidad del contrato sobre los restantes elementos </w:t>
      </w:r>
      <w:proofErr w:type="gramStart"/>
      <w:r w:rsidRPr="00F04F3B">
        <w:rPr>
          <w:rFonts w:ascii="Verdana" w:eastAsia="Calibri" w:hAnsi="Verdana" w:cs="Arial"/>
          <w:color w:val="000000"/>
          <w:sz w:val="20"/>
          <w:szCs w:val="20"/>
          <w:lang w:val="es-ES"/>
        </w:rPr>
        <w:t>del mismo</w:t>
      </w:r>
      <w:proofErr w:type="gramEnd"/>
      <w:r w:rsidRPr="00F04F3B">
        <w:rPr>
          <w:rFonts w:ascii="Verdana" w:eastAsia="Calibri" w:hAnsi="Verdana" w:cs="Arial"/>
          <w:color w:val="000000"/>
          <w:sz w:val="20"/>
          <w:szCs w:val="20"/>
          <w:lang w:val="es-ES"/>
        </w:rPr>
        <w:t>. Por mutabilidad del contrato estatal se entiende el derecho que tiene la administración de variar, dadas ciertas condiciones, las obligaciones a cargo del contratista particular, cuando sea necesario para el cumplimiento del objeto y de los fines generales del Estado.</w:t>
      </w:r>
    </w:p>
    <w:p w14:paraId="4119F649"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w:t>
      </w:r>
    </w:p>
    <w:p w14:paraId="1C0A358C"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La ley permite una cierta discrecionalidad en la toma de las decisiones de modificar los contratos, pues es muy difícil regular detalladamente el tema, en especial ante la infinidad de situaciones que pueden presentarse durante la ejecución. Por esto utiliza locuciones relativamente amplias, a las que debe someterse la administración (…) Nótese que, sin embargo, en ellas van inmersas las ideas de una causa cierta y unos fines públicos que hay que salvaguardar.</w:t>
      </w:r>
    </w:p>
    <w:p w14:paraId="4EB50C55"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 xml:space="preserve">Puede adicionarse una razón a las expuestas para justificar que </w:t>
      </w:r>
      <w:r w:rsidRPr="00F04F3B">
        <w:rPr>
          <w:rFonts w:ascii="Verdana" w:eastAsia="Calibri" w:hAnsi="Verdana" w:cs="Arial"/>
          <w:i/>
          <w:iCs/>
          <w:color w:val="000000"/>
          <w:sz w:val="20"/>
          <w:szCs w:val="20"/>
          <w:u w:val="single"/>
          <w:lang w:val="es-ES"/>
        </w:rPr>
        <w:t>la simple voluntad de las partes no es causa de modificación de los contratos estatales, la cual consiste en el respeto por el principio de igualdad de los oferentes</w:t>
      </w:r>
      <w:r w:rsidRPr="00F04F3B">
        <w:rPr>
          <w:rFonts w:ascii="Verdana" w:eastAsia="Calibri" w:hAnsi="Verdana" w:cs="Arial"/>
          <w:color w:val="000000"/>
          <w:sz w:val="20"/>
          <w:szCs w:val="20"/>
          <w:lang w:val="es-ES"/>
        </w:rPr>
        <w:t xml:space="preserve">. Si se acepta que los contratos pueden modificarse por el simple común acuerdo, fácilmente se podría licitar determinado objeto con el fin de adjudicárselo a cierta persona, a sabiendas de que se cambiarán las obligaciones, una vez celebrado. </w:t>
      </w:r>
    </w:p>
    <w:p w14:paraId="12A6F5DE"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 xml:space="preserve">De lo expuesto, y a manera de solución al interrogante planteado, surgen estas dos ideas que han servido de hilo conductor al análisis que aquí se hace: el mutuo acuerdo es una forma de modificación del contrato estatal, la más usada en la práctica y preferida por la legislación vigente; advirtiendo, y esta es la segunda idea, que </w:t>
      </w:r>
      <w:r w:rsidRPr="00F04F3B">
        <w:rPr>
          <w:rFonts w:ascii="Verdana" w:eastAsia="Calibri" w:hAnsi="Verdana" w:cs="Arial"/>
          <w:i/>
          <w:iCs/>
          <w:color w:val="000000"/>
          <w:sz w:val="20"/>
          <w:szCs w:val="20"/>
          <w:u w:val="single"/>
          <w:lang w:val="es-ES"/>
        </w:rPr>
        <w:t>toda modificación debe tener una causa real y cierta, contemplada en la ley, diferente de la mera voluntad de los contratantes</w:t>
      </w:r>
      <w:r w:rsidRPr="00F04F3B">
        <w:rPr>
          <w:rFonts w:ascii="Verdana" w:eastAsia="Calibri" w:hAnsi="Verdana" w:cs="Arial"/>
          <w:color w:val="000000"/>
          <w:sz w:val="20"/>
          <w:szCs w:val="20"/>
          <w:lang w:val="es-ES"/>
        </w:rPr>
        <w:t>”.</w:t>
      </w:r>
    </w:p>
    <w:p w14:paraId="2A330916" w14:textId="77777777" w:rsidR="005522C2" w:rsidRPr="00F04F3B" w:rsidRDefault="005522C2" w:rsidP="005522C2">
      <w:pPr>
        <w:tabs>
          <w:tab w:val="left" w:pos="284"/>
        </w:tabs>
        <w:spacing w:after="0" w:line="276" w:lineRule="auto"/>
        <w:ind w:left="709" w:right="709"/>
        <w:jc w:val="both"/>
        <w:rPr>
          <w:rFonts w:ascii="Verdana" w:eastAsia="Calibri" w:hAnsi="Verdana" w:cs="Arial"/>
          <w:color w:val="000000"/>
          <w:lang w:val="es-ES"/>
        </w:rPr>
      </w:pPr>
    </w:p>
    <w:p w14:paraId="02F056C1" w14:textId="77777777" w:rsidR="005522C2" w:rsidRPr="00F04F3B" w:rsidRDefault="005522C2" w:rsidP="005522C2">
      <w:pPr>
        <w:widowControl w:val="0"/>
        <w:autoSpaceDE w:val="0"/>
        <w:autoSpaceDN w:val="0"/>
        <w:spacing w:line="276" w:lineRule="auto"/>
        <w:ind w:firstLine="709"/>
        <w:jc w:val="both"/>
        <w:rPr>
          <w:rFonts w:ascii="Verdana" w:eastAsia="Arial" w:hAnsi="Verdana" w:cs="Arial"/>
          <w:color w:val="000000"/>
          <w:lang w:val="es-ES" w:eastAsia="es-ES" w:bidi="es-ES"/>
        </w:rPr>
      </w:pPr>
      <w:r w:rsidRPr="00F04F3B">
        <w:rPr>
          <w:rFonts w:ascii="Verdana" w:eastAsia="Arial" w:hAnsi="Verdana" w:cs="Arial"/>
          <w:color w:val="000000"/>
          <w:lang w:val="es-ES" w:eastAsia="es-ES" w:bidi="es-ES"/>
        </w:rPr>
        <w:t xml:space="preserve">En el mismo sentido, en el Concepto 2263 del 17 de marzo del 2016, la Sala de Consulta y Servicio Civil del Consejo de Estado precisó que la regla general es la </w:t>
      </w:r>
      <w:r w:rsidRPr="00F04F3B">
        <w:rPr>
          <w:rFonts w:ascii="Verdana" w:eastAsia="Arial" w:hAnsi="Verdana" w:cs="Arial"/>
          <w:i/>
          <w:iCs/>
          <w:color w:val="000000"/>
          <w:lang w:val="es-ES" w:eastAsia="es-ES" w:bidi="es-ES"/>
        </w:rPr>
        <w:t>no modificación</w:t>
      </w:r>
      <w:r w:rsidRPr="00F04F3B">
        <w:rPr>
          <w:rFonts w:ascii="Verdana" w:eastAsia="Arial" w:hAnsi="Verdana" w:cs="Arial"/>
          <w:color w:val="000000"/>
          <w:lang w:val="es-ES" w:eastAsia="es-ES" w:bidi="es-ES"/>
        </w:rPr>
        <w:t xml:space="preserve"> del contrato, y la vía excepcional su modificación, sometida a los siguientes límites legales:</w:t>
      </w:r>
    </w:p>
    <w:p w14:paraId="593CE1B5"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 xml:space="preserve">“1. La necesidad de preservar los principios de igualdad, transparencia y libertad de concurrencia, durante la fase de ejecución del contrato. </w:t>
      </w:r>
    </w:p>
    <w:p w14:paraId="0FABD46C"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 xml:space="preserve">Este límite encuentra sustento en el hecho de que, para celebrar contratos estatales las entidades públicas eligen, dentro de un “régimen de concurrencia y de igualdad, las mejores condiciones de costo, calidad e idoneidad de la prestación requerida”, lo que supone que la selección </w:t>
      </w:r>
      <w:r w:rsidRPr="00F04F3B">
        <w:rPr>
          <w:rFonts w:ascii="Verdana" w:eastAsia="Calibri" w:hAnsi="Verdana" w:cs="Arial"/>
          <w:color w:val="000000"/>
          <w:sz w:val="20"/>
          <w:szCs w:val="20"/>
          <w:lang w:val="es-ES"/>
        </w:rPr>
        <w:lastRenderedPageBreak/>
        <w:t>objetiva de la oferta más favorable, se dirige a salvaguardar el interés público y, por lo tanto, celebrado el contrato en esas condiciones,  su eventual modificación debe asegurar que lo adjudicado, y posteriormente alterado, consulte la mejor opción para el servicio público.</w:t>
      </w:r>
    </w:p>
    <w:p w14:paraId="4E00DA6C"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Así, según lo expuesto en el concepto en cuestión “la aplicación de los principios de transparencia, de libertad de concurrencia y de igualdad, consagrados en el Estatuto Contractual, y las reglas sustanciales del pliego de condiciones, que permitieron elegir la mejor oferta, previo cumplimiento de los requisitos habilitantes y de ponderación, deben ser de estricta observancia por la Administración y por el contratista, y sus efectos trascienden y se aplican durante la ejecución del contrato y en su liquidación, como garantía de inalterabilidad de lo pactado y de acatamiento a la legalidad de las reglas aplicadas en la actuación previa.</w:t>
      </w:r>
    </w:p>
    <w:p w14:paraId="11C83B00"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p>
    <w:p w14:paraId="498C39B4"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 xml:space="preserve">2.Límites de orden temporal, entre los que están comprendidos: i) la vigencia del contrato, pues no podría modificarse un contrato cuyo plazo ha culminado y </w:t>
      </w:r>
      <w:proofErr w:type="spellStart"/>
      <w:r w:rsidRPr="00F04F3B">
        <w:rPr>
          <w:rFonts w:ascii="Verdana" w:eastAsia="Calibri" w:hAnsi="Verdana" w:cs="Arial"/>
          <w:color w:val="000000"/>
          <w:sz w:val="20"/>
          <w:szCs w:val="20"/>
          <w:lang w:val="es-ES"/>
        </w:rPr>
        <w:t>ii</w:t>
      </w:r>
      <w:proofErr w:type="spellEnd"/>
      <w:r w:rsidRPr="00F04F3B">
        <w:rPr>
          <w:rFonts w:ascii="Verdana" w:eastAsia="Calibri" w:hAnsi="Verdana" w:cs="Arial"/>
          <w:color w:val="000000"/>
          <w:sz w:val="20"/>
          <w:szCs w:val="20"/>
          <w:lang w:val="es-ES"/>
        </w:rPr>
        <w:t>) la prohibición de consagrar prórrogas automáticas, sucesivas o indefinidas, en tanto resultan contrarias al derecho esencial de la libertad de competencia.</w:t>
      </w:r>
    </w:p>
    <w:p w14:paraId="238E8BE7"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p>
    <w:p w14:paraId="2E99EAC5"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3. Límites de orden formal, que comprenden: i) La solemnidad del contrato de modificación, derivada del carácter solemne del contrato estatal, que exige que la modificación de los contratos conste por escrito</w:t>
      </w:r>
      <w:r w:rsidRPr="00F04F3B">
        <w:rPr>
          <w:rFonts w:ascii="Verdana" w:eastAsia="Calibri" w:hAnsi="Verdana" w:cs="Arial"/>
          <w:color w:val="000000"/>
          <w:sz w:val="20"/>
          <w:szCs w:val="20"/>
          <w:vertAlign w:val="superscript"/>
          <w:lang w:val="es-ES"/>
        </w:rPr>
        <w:footnoteReference w:id="65"/>
      </w:r>
      <w:r w:rsidRPr="00F04F3B">
        <w:rPr>
          <w:rFonts w:ascii="Verdana" w:eastAsia="Calibri" w:hAnsi="Verdana" w:cs="Arial"/>
          <w:color w:val="000000"/>
          <w:sz w:val="20"/>
          <w:szCs w:val="20"/>
          <w:lang w:val="es-ES"/>
        </w:rPr>
        <w:t xml:space="preserve">; </w:t>
      </w:r>
      <w:proofErr w:type="spellStart"/>
      <w:r w:rsidRPr="00F04F3B">
        <w:rPr>
          <w:rFonts w:ascii="Verdana" w:eastAsia="Calibri" w:hAnsi="Verdana" w:cs="Arial"/>
          <w:color w:val="000000"/>
          <w:sz w:val="20"/>
          <w:szCs w:val="20"/>
          <w:lang w:val="es-ES"/>
        </w:rPr>
        <w:t>ii</w:t>
      </w:r>
      <w:proofErr w:type="spellEnd"/>
      <w:r w:rsidRPr="00F04F3B">
        <w:rPr>
          <w:rFonts w:ascii="Verdana" w:eastAsia="Calibri" w:hAnsi="Verdana" w:cs="Arial"/>
          <w:color w:val="000000"/>
          <w:sz w:val="20"/>
          <w:szCs w:val="20"/>
          <w:lang w:val="es-ES"/>
        </w:rPr>
        <w:t>) la motivación y justificación de la modificación, la cual constituye un elemento esencial que permite determinar la juridicidad y la necesidad de una modificación determinada; así como su racionalidad y la proporcionalidad de su contenido.</w:t>
      </w:r>
    </w:p>
    <w:p w14:paraId="61D056D7"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p>
    <w:p w14:paraId="10A056B1"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sz w:val="20"/>
          <w:szCs w:val="20"/>
          <w:lang w:val="es-ES"/>
        </w:rPr>
      </w:pPr>
      <w:r w:rsidRPr="00F04F3B">
        <w:rPr>
          <w:rFonts w:ascii="Verdana" w:eastAsia="Calibri" w:hAnsi="Verdana" w:cs="Arial"/>
          <w:color w:val="000000"/>
          <w:sz w:val="20"/>
          <w:szCs w:val="20"/>
          <w:lang w:val="es-ES"/>
        </w:rPr>
        <w:t>4. Límites de orden material, que corresponden a: i) la prohibición de modificar las condiciones sustanciales del contrato, que se presentará en los casos en que se incluyan elementos que, “habiendo figurado en el procedimiento inicial, hubiera permitido la participación de otros interesados aparte de los inicialmente admitidos, o seleccionar una oferta distinta de la inicialmente seleccionada”.</w:t>
      </w:r>
    </w:p>
    <w:p w14:paraId="722A7CF2" w14:textId="77777777" w:rsidR="005522C2" w:rsidRPr="00F04F3B" w:rsidRDefault="005522C2" w:rsidP="005522C2">
      <w:pPr>
        <w:tabs>
          <w:tab w:val="left" w:pos="284"/>
        </w:tabs>
        <w:spacing w:after="0" w:line="240" w:lineRule="auto"/>
        <w:ind w:left="709" w:right="709"/>
        <w:jc w:val="both"/>
        <w:rPr>
          <w:rFonts w:ascii="Verdana" w:eastAsia="Calibri" w:hAnsi="Verdana" w:cs="Arial"/>
          <w:color w:val="000000"/>
          <w:lang w:val="es-ES"/>
        </w:rPr>
      </w:pPr>
    </w:p>
    <w:p w14:paraId="6308360A" w14:textId="77777777" w:rsidR="005522C2" w:rsidRPr="00F04F3B" w:rsidRDefault="005522C2" w:rsidP="005522C2">
      <w:pPr>
        <w:widowControl w:val="0"/>
        <w:autoSpaceDE w:val="0"/>
        <w:autoSpaceDN w:val="0"/>
        <w:ind w:right="102" w:firstLine="709"/>
        <w:jc w:val="both"/>
        <w:rPr>
          <w:rFonts w:ascii="Verdana" w:eastAsia="Arial" w:hAnsi="Verdana" w:cs="Arial"/>
          <w:color w:val="000000"/>
          <w:lang w:val="es-ES" w:eastAsia="es-ES" w:bidi="es-ES"/>
        </w:rPr>
      </w:pPr>
      <w:r w:rsidRPr="00F04F3B">
        <w:rPr>
          <w:rFonts w:ascii="Verdana" w:eastAsia="Arial" w:hAnsi="Verdana" w:cs="Arial"/>
          <w:color w:val="000000"/>
          <w:lang w:val="es-ES" w:eastAsia="es-ES" w:bidi="es-ES"/>
        </w:rPr>
        <w:t>Sobre el alcance de dicha prohibición, la Sala de Consulta y Servicio Civil expresó lo siguiente</w:t>
      </w:r>
      <w:r w:rsidRPr="00F04F3B">
        <w:rPr>
          <w:rFonts w:ascii="Verdana" w:eastAsia="Arial" w:hAnsi="Verdana" w:cs="Arial"/>
          <w:color w:val="000000"/>
          <w:vertAlign w:val="superscript"/>
          <w:lang w:val="es-ES" w:eastAsia="es-ES" w:bidi="es-ES"/>
        </w:rPr>
        <w:footnoteReference w:id="66"/>
      </w:r>
      <w:r w:rsidRPr="00F04F3B">
        <w:rPr>
          <w:rFonts w:ascii="Verdana" w:eastAsia="Arial" w:hAnsi="Verdana" w:cs="Arial"/>
          <w:color w:val="000000"/>
          <w:lang w:val="es-ES" w:eastAsia="es-ES" w:bidi="es-ES"/>
        </w:rPr>
        <w:t>:</w:t>
      </w:r>
    </w:p>
    <w:p w14:paraId="4D0E0DA6"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lastRenderedPageBreak/>
        <w:t>“Así, frente a circunstancias excepcionales la Administración podría usar su poder de modificación unilateral o realizar las modificaciones de mutuo acuerdo, con el cumplimiento de los requisitos de ley. Se trataría de la excepción a la regla general de intangibilidad del contrato. La doctrina y algunos pronunciamientos de la Sección Tercera del Consejo de Estado aportan los elementos necesarios que permiten orientar a la Administración sobre esta vía excepcional y sus requisitos:</w:t>
      </w:r>
    </w:p>
    <w:p w14:paraId="2F2E885A"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 No podría aceptarse un poder ilimitado o absoluto de modificación, aun frente a circunstancias excepcionales. Por ello la modificación no podrá afectar el núcleo esencial del objeto, o la naturaleza global del contrato. Con independencia de las razones y circunstancias imprevisibles que puedan presentarse, no es posible que el contrato mute o se transforme en un contrato sustancialmente distinto. Si se sustituyen las obras, los suministros o los servicios pactados por otros diferentes, o se modifica el tipo de contratación, o el núcleo esencial del objeto, se presentaría una novación del negocio jurídico y su objeto.</w:t>
      </w:r>
    </w:p>
    <w:p w14:paraId="27319F84"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w:t>
      </w:r>
    </w:p>
    <w:p w14:paraId="35C154FC"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 xml:space="preserve">-Las causas que justificarían la modificación del contrato deben obedecer al acaecimiento de situaciones o circunstancias imposibles de prever, con una diligencia debida, que hagan imperiosa o necesaria la modificación de algunas estipulaciones del contrato, como única manera de conjurarlas. Debe tratarse de la existencia de circunstancias surgidas de un riesgo imprevisible, no necesariamente de una situación no prevista, que pueda razonablemente considerarse en un futuro mediato o que debieron ser previstas en la etapa de planeación del contrato. Ello supone la existencia de circunstancias posteriores, externas a las partes y no agravadas por su acción u omisión, puestas de manifiesto o imposibles de advertir en la etapa precontractual, que, además, muestren la imposibilidad de cumplir lo pactado inicialmente, o su falta de idoneidad. Estas circunstancias pueden obedecer a razones de tipo geológico, medioambiental o de otra índole, que no pudieron ser razonablemente previstas. </w:t>
      </w:r>
    </w:p>
    <w:p w14:paraId="54E60CB4"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 xml:space="preserve">(…) </w:t>
      </w:r>
    </w:p>
    <w:p w14:paraId="18824855"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-La existencia de una necesidad de servicio público que justifique la modificación, hasta el punto de conjurar la nueva necesidad. La acreditación de estas circunstancias estará a cargo de la entidad estatal, justificada en los estudios previos y en la debida motivación del contrato modificatorio.</w:t>
      </w:r>
    </w:p>
    <w:p w14:paraId="591DB0C8"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 xml:space="preserve">-El cumplimiento del límite cuantitativo consagrado en la ley para los contratos adicionales. </w:t>
      </w:r>
    </w:p>
    <w:p w14:paraId="6313C292"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w:t>
      </w:r>
    </w:p>
    <w:p w14:paraId="081C33AF" w14:textId="77777777" w:rsidR="005522C2" w:rsidRPr="00F04F3B" w:rsidRDefault="005522C2" w:rsidP="005522C2">
      <w:pPr>
        <w:widowControl w:val="0"/>
        <w:autoSpaceDE w:val="0"/>
        <w:autoSpaceDN w:val="0"/>
        <w:spacing w:after="0" w:line="240" w:lineRule="auto"/>
        <w:ind w:left="709" w:right="709"/>
        <w:jc w:val="both"/>
        <w:rPr>
          <w:rFonts w:ascii="Verdana" w:eastAsia="Arial" w:hAnsi="Verdana" w:cs="Arial"/>
          <w:bCs/>
          <w:iCs/>
          <w:color w:val="000000"/>
          <w:sz w:val="20"/>
          <w:szCs w:val="20"/>
          <w:lang w:val="es-ES" w:eastAsia="es-ES" w:bidi="es-ES"/>
        </w:rPr>
      </w:pPr>
      <w:r w:rsidRPr="00F04F3B">
        <w:rPr>
          <w:rFonts w:ascii="Verdana" w:eastAsia="Arial" w:hAnsi="Verdana" w:cs="Arial"/>
          <w:bCs/>
          <w:iCs/>
          <w:color w:val="000000"/>
          <w:sz w:val="20"/>
          <w:szCs w:val="20"/>
          <w:lang w:val="es-ES" w:eastAsia="es-ES" w:bidi="es-ES"/>
        </w:rPr>
        <w:t xml:space="preserve">-Debe tratarse de prestaciones necesarias e inseparables técnica o económicamente del contrato inicial, que no permitan su uso o aprovechamiento independiente. La modificación de las condiciones de la prestación o del contrato debe presuponer que no pueda ser materia de un nuevo proceso de selección, o de su contratación con un tercero, en razón a que, por su naturaleza, resulte inseparable técnica o </w:t>
      </w:r>
      <w:r w:rsidRPr="00F04F3B">
        <w:rPr>
          <w:rFonts w:ascii="Verdana" w:eastAsia="Arial" w:hAnsi="Verdana" w:cs="Arial"/>
          <w:bCs/>
          <w:iCs/>
          <w:color w:val="000000"/>
          <w:sz w:val="20"/>
          <w:szCs w:val="20"/>
          <w:lang w:val="es-ES" w:eastAsia="es-ES" w:bidi="es-ES"/>
        </w:rPr>
        <w:lastRenderedPageBreak/>
        <w:t>económicamente de la prestación pactada en el contrato inicial”.</w:t>
      </w:r>
    </w:p>
    <w:p w14:paraId="3CF76F7B" w14:textId="77777777" w:rsidR="005522C2" w:rsidRPr="00F04F3B" w:rsidRDefault="005522C2" w:rsidP="005522C2">
      <w:pPr>
        <w:widowControl w:val="0"/>
        <w:autoSpaceDE w:val="0"/>
        <w:autoSpaceDN w:val="0"/>
        <w:spacing w:after="0" w:line="276" w:lineRule="auto"/>
        <w:ind w:right="49" w:firstLine="708"/>
        <w:jc w:val="both"/>
        <w:rPr>
          <w:rFonts w:ascii="Verdana" w:eastAsia="Arial" w:hAnsi="Verdana" w:cs="Arial"/>
          <w:lang w:val="es-ES" w:eastAsia="es-ES" w:bidi="es-ES"/>
        </w:rPr>
      </w:pPr>
    </w:p>
    <w:p w14:paraId="7B7C9048" w14:textId="77777777" w:rsidR="005522C2" w:rsidRPr="00F04F3B" w:rsidRDefault="005522C2" w:rsidP="005522C2">
      <w:pPr>
        <w:widowControl w:val="0"/>
        <w:autoSpaceDE w:val="0"/>
        <w:autoSpaceDN w:val="0"/>
        <w:spacing w:line="276" w:lineRule="auto"/>
        <w:ind w:right="51" w:firstLine="709"/>
        <w:jc w:val="both"/>
        <w:rPr>
          <w:rFonts w:ascii="Verdana" w:eastAsia="Arial" w:hAnsi="Verdana" w:cs="Arial"/>
          <w:lang w:val="es-ES" w:eastAsia="es-ES" w:bidi="es-ES"/>
        </w:rPr>
      </w:pPr>
      <w:r w:rsidRPr="00F04F3B">
        <w:rPr>
          <w:rFonts w:ascii="Verdana" w:eastAsia="Arial" w:hAnsi="Verdana" w:cs="Arial"/>
          <w:lang w:val="es-ES" w:eastAsia="es-ES" w:bidi="es-ES"/>
        </w:rPr>
        <w:t>En efecto, aunque no existe un desarrollo legal o reglamentario sobre las reglas aplicables a la modificación del contrato estatal, los aportes de la jurisprudencia y de la doctrina han permitido estructurar los límites y requisitos de orden temporal, formal, material y axiológico para que sea procedente. Estos límites deben ser respetados por la entidad contratante para preservar los principios de origen legal, como el de planeación, selección objetiva, libre concurrencia, transparencia, igualdad, entre otros</w:t>
      </w:r>
      <w:r w:rsidRPr="00F04F3B">
        <w:rPr>
          <w:rFonts w:ascii="Verdana" w:eastAsia="Arial" w:hAnsi="Verdana" w:cs="Arial"/>
          <w:vertAlign w:val="superscript"/>
          <w:lang w:val="es-ES" w:eastAsia="es-ES" w:bidi="es-ES"/>
        </w:rPr>
        <w:footnoteReference w:id="67"/>
      </w:r>
      <w:r w:rsidRPr="00F04F3B">
        <w:rPr>
          <w:rFonts w:ascii="Verdana" w:eastAsia="Arial" w:hAnsi="Verdana" w:cs="Arial"/>
          <w:lang w:val="es-ES" w:eastAsia="es-ES" w:bidi="es-ES"/>
        </w:rPr>
        <w:t xml:space="preserve">. </w:t>
      </w:r>
    </w:p>
    <w:p w14:paraId="74B808BF" w14:textId="77777777" w:rsidR="005522C2" w:rsidRPr="00F04F3B" w:rsidRDefault="005522C2" w:rsidP="005522C2">
      <w:pPr>
        <w:widowControl w:val="0"/>
        <w:autoSpaceDE w:val="0"/>
        <w:autoSpaceDN w:val="0"/>
        <w:spacing w:after="0" w:line="276" w:lineRule="auto"/>
        <w:ind w:firstLine="709"/>
        <w:jc w:val="both"/>
        <w:rPr>
          <w:rFonts w:ascii="Verdana" w:eastAsia="Arial" w:hAnsi="Verdana" w:cs="Arial"/>
          <w:color w:val="000000"/>
          <w:lang w:val="es-ES" w:eastAsia="es-ES" w:bidi="es-ES"/>
        </w:rPr>
      </w:pPr>
      <w:r w:rsidRPr="00F04F3B">
        <w:rPr>
          <w:rFonts w:ascii="Verdana" w:eastAsia="Arial" w:hAnsi="Verdana" w:cs="Arial"/>
          <w:color w:val="000000"/>
          <w:lang w:val="es-ES" w:eastAsia="es-ES" w:bidi="es-ES"/>
        </w:rPr>
        <w:t xml:space="preserve">Según el marco jurídico y los parámetros fijados por el Consejo de Estado y la Corte Constitucional, los cuales comparte esta Agencia, es viable jurídicamente modificar los contratos estatales, pero </w:t>
      </w:r>
      <w:proofErr w:type="gramStart"/>
      <w:r w:rsidRPr="00F04F3B">
        <w:rPr>
          <w:rFonts w:ascii="Verdana" w:eastAsia="Arial" w:hAnsi="Verdana" w:cs="Arial"/>
          <w:color w:val="000000"/>
          <w:lang w:val="es-ES" w:eastAsia="es-ES" w:bidi="es-ES"/>
        </w:rPr>
        <w:t>esta medida tienen</w:t>
      </w:r>
      <w:proofErr w:type="gramEnd"/>
      <w:r w:rsidRPr="00F04F3B">
        <w:rPr>
          <w:rFonts w:ascii="Verdana" w:eastAsia="Arial" w:hAnsi="Verdana" w:cs="Arial"/>
          <w:color w:val="000000"/>
          <w:lang w:val="es-ES" w:eastAsia="es-ES" w:bidi="es-ES"/>
        </w:rPr>
        <w:t xml:space="preserve"> </w:t>
      </w:r>
      <w:r w:rsidRPr="00F04F3B">
        <w:rPr>
          <w:rFonts w:ascii="Verdana" w:eastAsia="Arial" w:hAnsi="Verdana" w:cs="Arial"/>
          <w:i/>
          <w:iCs/>
          <w:color w:val="000000"/>
          <w:lang w:val="es-ES" w:eastAsia="es-ES" w:bidi="es-ES"/>
        </w:rPr>
        <w:t>carácter excepcional</w:t>
      </w:r>
      <w:r w:rsidRPr="00F04F3B">
        <w:rPr>
          <w:rFonts w:ascii="Verdana" w:eastAsia="Arial" w:hAnsi="Verdana" w:cs="Arial"/>
          <w:color w:val="000000"/>
          <w:lang w:val="es-ES" w:eastAsia="es-ES" w:bidi="es-ES"/>
        </w:rPr>
        <w:t xml:space="preserve"> y solo procede cuando: se pretenda garantizar el interés público, la entidad haya verificado y cualquiera pueda constatar que la causa de la modificación es real y cierta, y la modificación cumpla con las limitaciones y condiciones que establezca la ley. En otras palabras, la modificación contractual encuentra sustento no solo en circunstancias fácticas propias de la ejecución del contrato, sino además debe cumplir con los principios y fines de la contratación estatal, así como con las condiciones y restricciones legales. En esta medida, las modificaciones se refieren a alteraciones, variaciones, cambios o correcciones en las condiciones y cláusulas del contrato. Estas deben ser suscritas por las partes, sujetándose a lo previsto en la ley, esto es, que se encuentren debidamente justificadas, que no sean el resultado de una indebida planeación y que consten por escrito, de tal manera que de las mismas se predique su existencia, validez y eficacia. </w:t>
      </w:r>
    </w:p>
    <w:p w14:paraId="53348B7C" w14:textId="77777777" w:rsidR="005522C2" w:rsidRPr="00F04F3B" w:rsidRDefault="005522C2" w:rsidP="005522C2">
      <w:pPr>
        <w:widowControl w:val="0"/>
        <w:autoSpaceDE w:val="0"/>
        <w:autoSpaceDN w:val="0"/>
        <w:spacing w:before="120" w:after="0" w:line="276" w:lineRule="auto"/>
        <w:ind w:firstLine="709"/>
        <w:jc w:val="both"/>
        <w:rPr>
          <w:rFonts w:ascii="Verdana" w:eastAsia="Calibri" w:hAnsi="Verdana" w:cs="Arial"/>
          <w:b/>
          <w:bCs/>
          <w:lang w:val="es-ES"/>
        </w:rPr>
      </w:pPr>
      <w:r w:rsidRPr="00F04F3B">
        <w:rPr>
          <w:rFonts w:ascii="Verdana" w:eastAsia="Arial" w:hAnsi="Verdana" w:cs="Arial"/>
          <w:lang w:val="es-ES"/>
        </w:rPr>
        <w:t xml:space="preserve">En los contratos que comprenden estudios y diseños con posterior ejecución de obra, la advertencia de mayores valores durante la ejecución puede dar lugar a una modificación bilateral siempre que: i) obedezca a una causa real y cierta, verificable por cualquiera; </w:t>
      </w:r>
      <w:proofErr w:type="spellStart"/>
      <w:r w:rsidRPr="00F04F3B">
        <w:rPr>
          <w:rFonts w:ascii="Verdana" w:eastAsia="Arial" w:hAnsi="Verdana" w:cs="Arial"/>
          <w:lang w:val="es-ES"/>
        </w:rPr>
        <w:t>ii</w:t>
      </w:r>
      <w:proofErr w:type="spellEnd"/>
      <w:r w:rsidRPr="00F04F3B">
        <w:rPr>
          <w:rFonts w:ascii="Verdana" w:eastAsia="Arial" w:hAnsi="Verdana" w:cs="Arial"/>
          <w:lang w:val="es-ES"/>
        </w:rPr>
        <w:t xml:space="preserve">) esté orientada a garantizar el interés público y la ejecución del objeto; </w:t>
      </w:r>
      <w:proofErr w:type="spellStart"/>
      <w:r w:rsidRPr="00F04F3B">
        <w:rPr>
          <w:rFonts w:ascii="Verdana" w:eastAsia="Arial" w:hAnsi="Verdana" w:cs="Arial"/>
          <w:lang w:val="es-ES"/>
        </w:rPr>
        <w:t>iii</w:t>
      </w:r>
      <w:proofErr w:type="spellEnd"/>
      <w:r w:rsidRPr="00F04F3B">
        <w:rPr>
          <w:rFonts w:ascii="Verdana" w:eastAsia="Arial" w:hAnsi="Verdana" w:cs="Arial"/>
          <w:lang w:val="es-ES"/>
        </w:rPr>
        <w:t xml:space="preserve">) no derive de una indebida planeación; </w:t>
      </w:r>
      <w:proofErr w:type="spellStart"/>
      <w:r w:rsidRPr="00F04F3B">
        <w:rPr>
          <w:rFonts w:ascii="Verdana" w:eastAsia="Arial" w:hAnsi="Verdana" w:cs="Arial"/>
          <w:lang w:val="es-ES"/>
        </w:rPr>
        <w:t>iv</w:t>
      </w:r>
      <w:proofErr w:type="spellEnd"/>
      <w:r w:rsidRPr="00F04F3B">
        <w:rPr>
          <w:rFonts w:ascii="Verdana" w:eastAsia="Arial" w:hAnsi="Verdana" w:cs="Arial"/>
          <w:lang w:val="es-ES"/>
        </w:rPr>
        <w:t>) no altere la finalidad perseguida por el contrato; y v) conste por escrito y esté debidamente justificada. El alcance de la modificación es</w:t>
      </w:r>
      <w:r w:rsidRPr="00F04F3B">
        <w:rPr>
          <w:rFonts w:ascii="Verdana" w:eastAsia="Calibri" w:hAnsi="Verdana" w:cs="Arial"/>
          <w:lang w:val="es-ES"/>
        </w:rPr>
        <w:t xml:space="preserve"> excepcional, no dependen exclusivamente de la voluntad de las partes y tampoco podrán ser un </w:t>
      </w:r>
      <w:r w:rsidRPr="00F04F3B">
        <w:rPr>
          <w:rFonts w:ascii="Verdana" w:eastAsia="Calibri" w:hAnsi="Verdana" w:cs="Arial"/>
          <w:lang w:val="es-ES"/>
        </w:rPr>
        <w:lastRenderedPageBreak/>
        <w:t>recurso para subsanar o enmendar errores derivados de una planeación deficiente por parte de la entidad estatal. Lo anterior es importante porque las fallas en el deber de planeación pueden traducirse en modificaciones contractuales durante la ejecución del contrato que de otra manera no ocurrirían.</w:t>
      </w:r>
    </w:p>
    <w:p w14:paraId="21D7F6E1" w14:textId="77777777" w:rsidR="005522C2" w:rsidRPr="00F04F3B" w:rsidRDefault="005522C2" w:rsidP="005522C2">
      <w:pPr>
        <w:widowControl w:val="0"/>
        <w:autoSpaceDE w:val="0"/>
        <w:autoSpaceDN w:val="0"/>
        <w:spacing w:before="120" w:after="0" w:line="276" w:lineRule="auto"/>
        <w:ind w:firstLine="709"/>
        <w:jc w:val="both"/>
        <w:rPr>
          <w:rFonts w:ascii="Verdana" w:eastAsia="Arial" w:hAnsi="Verdana" w:cs="Arial"/>
          <w:color w:val="000000"/>
          <w:lang w:val="es-ES" w:eastAsia="es-ES" w:bidi="es-ES"/>
        </w:rPr>
      </w:pPr>
      <w:r w:rsidRPr="00F04F3B">
        <w:rPr>
          <w:rFonts w:ascii="Verdana" w:eastAsia="Calibri" w:hAnsi="Verdana" w:cs="Arial"/>
          <w:lang w:val="es-ES"/>
        </w:rPr>
        <w:t>En general,</w:t>
      </w:r>
      <w:r w:rsidRPr="00F04F3B">
        <w:rPr>
          <w:rFonts w:ascii="Verdana" w:eastAsia="Calibri" w:hAnsi="Verdana" w:cs="Arial"/>
          <w:b/>
          <w:bCs/>
          <w:lang w:val="es-ES"/>
        </w:rPr>
        <w:t xml:space="preserve"> </w:t>
      </w:r>
      <w:r w:rsidRPr="00F04F3B">
        <w:rPr>
          <w:rFonts w:ascii="Verdana" w:eastAsia="Calibri" w:hAnsi="Verdana" w:cs="Arial"/>
          <w:lang w:val="es-ES"/>
        </w:rPr>
        <w:t>en el marco de los contratos de obra, el deber de planeación implica que, de manera previa a asumir los compromisos contractuales. la entidad realice estudios y análisis serios y completos que le permitan determinar:</w:t>
      </w:r>
      <w:r>
        <w:rPr>
          <w:rFonts w:ascii="Verdana" w:eastAsia="Calibri" w:hAnsi="Verdana" w:cs="Arial"/>
          <w:b/>
          <w:bCs/>
          <w:lang w:val="es-ES"/>
        </w:rPr>
        <w:t xml:space="preserve"> </w:t>
      </w:r>
      <w:r w:rsidRPr="00F04F3B">
        <w:rPr>
          <w:rFonts w:ascii="Verdana" w:eastAsia="Calibri" w:hAnsi="Verdana" w:cs="Arial"/>
          <w:lang w:val="es-ES"/>
        </w:rPr>
        <w:t>(i) necesidad de la celebración del respectivo contrato; (</w:t>
      </w:r>
      <w:proofErr w:type="spellStart"/>
      <w:r w:rsidRPr="00F04F3B">
        <w:rPr>
          <w:rFonts w:ascii="Verdana" w:eastAsia="Calibri" w:hAnsi="Verdana" w:cs="Arial"/>
          <w:lang w:val="es-ES"/>
        </w:rPr>
        <w:t>ii</w:t>
      </w:r>
      <w:proofErr w:type="spellEnd"/>
      <w:r w:rsidRPr="00F04F3B">
        <w:rPr>
          <w:rFonts w:ascii="Verdana" w:eastAsia="Calibri" w:hAnsi="Verdana" w:cs="Arial"/>
          <w:lang w:val="es-ES"/>
        </w:rPr>
        <w:t>) las opciones o modalidades existentes y las razones que las justifiquen; (</w:t>
      </w:r>
      <w:proofErr w:type="spellStart"/>
      <w:r w:rsidRPr="00F04F3B">
        <w:rPr>
          <w:rFonts w:ascii="Verdana" w:eastAsia="Calibri" w:hAnsi="Verdana" w:cs="Arial"/>
          <w:lang w:val="es-ES"/>
        </w:rPr>
        <w:t>iii</w:t>
      </w:r>
      <w:proofErr w:type="spellEnd"/>
      <w:r w:rsidRPr="00F04F3B">
        <w:rPr>
          <w:rFonts w:ascii="Verdana" w:eastAsia="Calibri" w:hAnsi="Verdana" w:cs="Arial"/>
          <w:lang w:val="es-ES"/>
        </w:rPr>
        <w:t>) las calidades, especificaciones, cantidades y demás características que puedan o deban reunir los bienes, las obras, los servicios, cuya contratación, adquisición o disposición se haya determinado necesaria, lo cual deberá incluir los diseños, planos y análisis técnicos; (</w:t>
      </w:r>
      <w:proofErr w:type="spellStart"/>
      <w:r w:rsidRPr="00F04F3B">
        <w:rPr>
          <w:rFonts w:ascii="Verdana" w:eastAsia="Calibri" w:hAnsi="Verdana" w:cs="Arial"/>
          <w:lang w:val="es-ES"/>
        </w:rPr>
        <w:t>iv</w:t>
      </w:r>
      <w:proofErr w:type="spellEnd"/>
      <w:r w:rsidRPr="00F04F3B">
        <w:rPr>
          <w:rFonts w:ascii="Verdana" w:eastAsia="Calibri" w:hAnsi="Verdana" w:cs="Arial"/>
          <w:lang w:val="es-ES"/>
        </w:rPr>
        <w:t>) los costos, valores y alternativas que podría demandar la celebración y ejecución, consultando las especificaciones, cantidades de los bienes, obras y servicios, así como la modalidad u opciones escogidas; (v) la disponibilidad de recursos presupuestales o la capacidad financiera de la entidad para asumir las obligaciones de pago que se deriven de la celebración; (vi) la existencia y la disponibilidad en el mercado de proveedores o constructores profesionales que estén en condiciones de atender los requerimientos y satisfacer las necesidades de la entidad contratante; (</w:t>
      </w:r>
      <w:proofErr w:type="spellStart"/>
      <w:r w:rsidRPr="00F04F3B">
        <w:rPr>
          <w:rFonts w:ascii="Verdana" w:eastAsia="Calibri" w:hAnsi="Verdana" w:cs="Arial"/>
          <w:lang w:val="es-ES"/>
        </w:rPr>
        <w:t>vii</w:t>
      </w:r>
      <w:proofErr w:type="spellEnd"/>
      <w:r w:rsidRPr="00F04F3B">
        <w:rPr>
          <w:rFonts w:ascii="Verdana" w:eastAsia="Calibri" w:hAnsi="Verdana" w:cs="Arial"/>
          <w:lang w:val="es-ES"/>
        </w:rPr>
        <w:t>) los procedimientos, trámites y requisitos que deban reunirse u obtenerse para llevar a cabo la selección del respectivo contratista y la consiguiente celebración del contrato</w:t>
      </w:r>
      <w:r w:rsidRPr="00F04F3B">
        <w:rPr>
          <w:rStyle w:val="Refdenotaalpie"/>
          <w:rFonts w:ascii="Verdana" w:eastAsia="Calibri" w:hAnsi="Verdana" w:cs="Arial"/>
          <w:lang w:val="es-ES"/>
        </w:rPr>
        <w:footnoteReference w:id="68"/>
      </w:r>
      <w:r w:rsidRPr="00F04F3B">
        <w:rPr>
          <w:rFonts w:ascii="Verdana" w:eastAsia="Calibri" w:hAnsi="Verdana" w:cs="Arial"/>
          <w:lang w:val="es-ES"/>
        </w:rPr>
        <w:t xml:space="preserve">. </w:t>
      </w:r>
    </w:p>
    <w:p w14:paraId="7526DF9D" w14:textId="77777777" w:rsidR="005522C2" w:rsidRPr="00F04F3B" w:rsidRDefault="005522C2" w:rsidP="005522C2">
      <w:pPr>
        <w:spacing w:before="120" w:after="0" w:line="276" w:lineRule="auto"/>
        <w:ind w:firstLine="708"/>
        <w:jc w:val="both"/>
        <w:rPr>
          <w:rFonts w:ascii="Verdana" w:eastAsia="Calibri" w:hAnsi="Verdana" w:cs="Arial"/>
          <w:lang w:val="es-ES"/>
        </w:rPr>
      </w:pPr>
      <w:r w:rsidRPr="00F04F3B">
        <w:rPr>
          <w:rFonts w:ascii="Verdana" w:eastAsia="Calibri" w:hAnsi="Verdana" w:cs="Arial"/>
          <w:lang w:val="es-ES"/>
        </w:rPr>
        <w:t>Por lo anterior, la jurisprudencia del Consejo de Estado analizó en su momento el Decreto-ley 222 de 1983 y resaltó que el contenido de los pliegos de condiciones, de manera expresa impuso a las entidades públicas el deber de acatar el principio de planeación, “concretamente, en los contratos de obra pública, al ordenar la elaboración previa de los planos, proyectos, presupuestos y demás aspectos necesarios para la identificación del contrato a celebrar”</w:t>
      </w:r>
      <w:r w:rsidRPr="00F04F3B">
        <w:rPr>
          <w:rStyle w:val="Refdenotaalpie"/>
          <w:rFonts w:ascii="Verdana" w:eastAsia="Calibri" w:hAnsi="Verdana" w:cs="Arial"/>
          <w:lang w:val="es-ES"/>
        </w:rPr>
        <w:footnoteReference w:id="69"/>
      </w:r>
    </w:p>
    <w:p w14:paraId="6F5D8DFB" w14:textId="77777777" w:rsidR="005522C2" w:rsidRPr="00F04F3B" w:rsidRDefault="005522C2" w:rsidP="005522C2">
      <w:pPr>
        <w:spacing w:before="120" w:after="0" w:line="276" w:lineRule="auto"/>
        <w:ind w:firstLine="708"/>
        <w:jc w:val="both"/>
        <w:rPr>
          <w:rFonts w:ascii="Verdana" w:eastAsia="Calibri" w:hAnsi="Verdana" w:cs="Arial"/>
          <w:lang w:val="es-ES"/>
        </w:rPr>
      </w:pPr>
      <w:r w:rsidRPr="00F04F3B">
        <w:rPr>
          <w:rFonts w:ascii="Verdana" w:eastAsia="Calibri" w:hAnsi="Verdana" w:cs="Arial"/>
          <w:lang w:val="es-ES"/>
        </w:rPr>
        <w:t xml:space="preserve">De la ejecución de este principio emergen entonces “los deberes, la diligencia, el cuidado, la eficiencia y la responsabilidad con los cuales ha de </w:t>
      </w:r>
      <w:r w:rsidRPr="00F04F3B">
        <w:rPr>
          <w:rFonts w:ascii="Verdana" w:eastAsia="Calibri" w:hAnsi="Verdana" w:cs="Arial"/>
          <w:lang w:val="es-ES"/>
        </w:rPr>
        <w:lastRenderedPageBreak/>
        <w:t xml:space="preserve">conducir sus actuaciones todo administrador público a quien se le confía el manejo de dineros y recursos”, con miras al cumplimiento de los fines estatales y la satisfacción del interés general. En consecuencia, la falta de planeación por parte de la entidad incide tanto en la etapa de formación del contrato, </w:t>
      </w:r>
      <w:proofErr w:type="gramStart"/>
      <w:r w:rsidRPr="00F04F3B">
        <w:rPr>
          <w:rFonts w:ascii="Verdana" w:eastAsia="Calibri" w:hAnsi="Verdana" w:cs="Arial"/>
          <w:lang w:val="es-ES"/>
        </w:rPr>
        <w:t>como  en</w:t>
      </w:r>
      <w:proofErr w:type="gramEnd"/>
      <w:r w:rsidRPr="00F04F3B">
        <w:rPr>
          <w:rFonts w:ascii="Verdana" w:eastAsia="Calibri" w:hAnsi="Verdana" w:cs="Arial"/>
          <w:lang w:val="es-ES"/>
        </w:rPr>
        <w:t xml:space="preserve"> la etapa de ejecución, momento en el cual las omisiones que se deriven de la falta de estudios y diseños definitivos pueden generar serias consecuencias y llevar a modificar aspectos como las cantidades de obra y las condiciones técnicas inicialmente pactadas. Esto impacta también el incremento de los costos del proyecto e incluso puede ocasionar la paralización de las obras o la imposibilidad de ejecutarlas</w:t>
      </w:r>
      <w:r w:rsidRPr="00F04F3B">
        <w:rPr>
          <w:rStyle w:val="Refdenotaalpie"/>
          <w:rFonts w:ascii="Verdana" w:eastAsia="Calibri" w:hAnsi="Verdana" w:cs="Arial"/>
          <w:lang w:val="es-ES"/>
        </w:rPr>
        <w:footnoteReference w:id="70"/>
      </w:r>
      <w:r w:rsidRPr="00F04F3B">
        <w:rPr>
          <w:rFonts w:ascii="Verdana" w:eastAsia="Calibri" w:hAnsi="Verdana" w:cs="Arial"/>
          <w:lang w:val="es-ES"/>
        </w:rPr>
        <w:t>.</w:t>
      </w:r>
    </w:p>
    <w:p w14:paraId="731CD170" w14:textId="77777777" w:rsidR="005522C2" w:rsidRPr="00F04F3B" w:rsidRDefault="005522C2" w:rsidP="005522C2">
      <w:pPr>
        <w:spacing w:before="120" w:after="0" w:line="276" w:lineRule="auto"/>
        <w:ind w:firstLine="708"/>
        <w:jc w:val="both"/>
        <w:rPr>
          <w:rFonts w:ascii="Verdana" w:eastAsia="Calibri" w:hAnsi="Verdana" w:cs="Arial"/>
          <w:lang w:val="es-ES"/>
        </w:rPr>
      </w:pPr>
      <w:r w:rsidRPr="00F04F3B">
        <w:rPr>
          <w:rFonts w:ascii="Verdana" w:eastAsia="Calibri" w:hAnsi="Verdana" w:cs="Arial"/>
          <w:lang w:val="es-ES"/>
        </w:rPr>
        <w:t xml:space="preserve">En consecuencia, la recurrencia o necesidad de adiciones o prórrogas durante la ejecución de contratos de obra pública puede ser un </w:t>
      </w:r>
      <w:r w:rsidRPr="00F04F3B">
        <w:rPr>
          <w:rFonts w:ascii="Verdana" w:eastAsia="Calibri" w:hAnsi="Verdana" w:cs="Arial"/>
          <w:i/>
          <w:iCs/>
          <w:lang w:val="es-ES"/>
        </w:rPr>
        <w:t>indicio</w:t>
      </w:r>
      <w:r w:rsidRPr="00F04F3B">
        <w:rPr>
          <w:rFonts w:ascii="Verdana" w:eastAsia="Calibri" w:hAnsi="Verdana" w:cs="Arial"/>
          <w:lang w:val="es-ES"/>
        </w:rPr>
        <w:t xml:space="preserve"> de fallas en la planeación que obedezcan, por ejemplo, a deficiencias en los estudios y diseños, en el presupuesto o en la gestión de riesgos, entre otros aspectos que eran previsibles al momento de estructurar las condiciones del contrato. En cualquier caso, esta relación debe ser determinada y analizada por el juez del contrato, según las particularidades de cada caso concreto. </w:t>
      </w:r>
    </w:p>
    <w:p w14:paraId="339BAE40" w14:textId="77777777" w:rsidR="005522C2" w:rsidRPr="00F04F3B" w:rsidRDefault="005522C2" w:rsidP="005522C2">
      <w:pPr>
        <w:spacing w:before="120" w:after="0" w:line="276" w:lineRule="auto"/>
        <w:ind w:firstLine="708"/>
        <w:jc w:val="both"/>
        <w:rPr>
          <w:rFonts w:ascii="Verdana" w:eastAsia="Calibri" w:hAnsi="Verdana" w:cs="Arial"/>
          <w:lang w:val="es-ES"/>
        </w:rPr>
      </w:pPr>
      <w:r w:rsidRPr="00F04F3B">
        <w:rPr>
          <w:rFonts w:ascii="Verdana" w:eastAsia="Verdana" w:hAnsi="Verdana" w:cs="Verdana"/>
          <w:lang w:val="es-ES"/>
        </w:rPr>
        <w:t>Dentro de este marco, al tratarse de un análisis que debe realizarse frente a cada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Estatal establecerá la forma de adelantar su gestión contractual, sin que sea atribución de la Agencia Nacional de Contratación Pública – Colombia Compra Eficiente definir, autorizar o validar esa decisión.</w:t>
      </w:r>
    </w:p>
    <w:p w14:paraId="76788AC3" w14:textId="77777777" w:rsidR="005522C2" w:rsidRPr="00F04F3B" w:rsidRDefault="005522C2" w:rsidP="005522C2">
      <w:pPr>
        <w:spacing w:after="0" w:line="276" w:lineRule="auto"/>
        <w:jc w:val="both"/>
        <w:rPr>
          <w:rFonts w:ascii="Verdana" w:eastAsia="Times New Roman" w:hAnsi="Verdana" w:cs="Arial"/>
          <w:color w:val="000000" w:themeColor="text1"/>
          <w:lang w:val="es-ES"/>
        </w:rPr>
      </w:pPr>
    </w:p>
    <w:p w14:paraId="09705FEB" w14:textId="77777777" w:rsidR="005522C2" w:rsidRPr="00F04F3B" w:rsidRDefault="005522C2" w:rsidP="005522C2">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F04F3B">
        <w:rPr>
          <w:rFonts w:ascii="Verdana" w:eastAsia="Century Gothic" w:hAnsi="Verdana" w:cs="Century Gothic"/>
          <w:b/>
          <w:color w:val="000000" w:themeColor="text1"/>
        </w:rPr>
        <w:t>Referencias normativas, jurisprudenciales y otras fuentes:</w:t>
      </w:r>
    </w:p>
    <w:p w14:paraId="371C5E43" w14:textId="77777777" w:rsidR="005522C2" w:rsidRPr="00F04F3B" w:rsidRDefault="005522C2" w:rsidP="005522C2">
      <w:pPr>
        <w:widowControl w:val="0"/>
        <w:autoSpaceDE w:val="0"/>
        <w:autoSpaceDN w:val="0"/>
        <w:spacing w:after="0" w:line="276" w:lineRule="auto"/>
        <w:jc w:val="both"/>
        <w:rPr>
          <w:rFonts w:ascii="Verdana" w:hAnsi="Verdana" w:cs="Arial"/>
          <w:color w:val="000000" w:themeColor="tex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522C2" w:rsidRPr="00F04F3B" w14:paraId="378FC970" w14:textId="77777777" w:rsidTr="008C3F6D">
        <w:trPr>
          <w:trHeight w:val="297"/>
        </w:trPr>
        <w:tc>
          <w:tcPr>
            <w:tcW w:w="8647" w:type="dxa"/>
          </w:tcPr>
          <w:p w14:paraId="56590A67"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Código Civil, artículos 656, 658, 1495, 1602 y 1613.</w:t>
            </w:r>
          </w:p>
          <w:p w14:paraId="30F0F7FF"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Ley 80 de 1993, artículos 2, 4 (numerales 3 y 8), 5 (numeral 1), 13, 14, 16, 25 (numerales 12 y 14), 26 (numeral 3), 27, 30 (numeral 1), 32 (numeral 1), 40 (parágrafo), 41 y 60.</w:t>
            </w:r>
          </w:p>
          <w:p w14:paraId="2766BEAA"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lastRenderedPageBreak/>
              <w:t>Ley 1150 de 2007, artículo 4.</w:t>
            </w:r>
          </w:p>
          <w:p w14:paraId="2BAD4F1C"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Ley 1437 de 2011 (CPACA), artículo 28.</w:t>
            </w:r>
          </w:p>
          <w:p w14:paraId="32C0A65C"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Ley 1474 de 2011, artículos 85 y 87.</w:t>
            </w:r>
          </w:p>
          <w:p w14:paraId="23BAF250"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Ley 1682 de 2013, artículo 12.</w:t>
            </w:r>
          </w:p>
          <w:p w14:paraId="55EEA733"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Decreto-Ley 222 de 1983.</w:t>
            </w:r>
          </w:p>
          <w:p w14:paraId="3F913BF3"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Decreto 1510 de 2013, artículo 20.</w:t>
            </w:r>
          </w:p>
          <w:p w14:paraId="41B5ACBF"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Decreto 1082 de 2015, artículos 2.2.1.1.1.3.1 y 2.2.1.1.2.1.1.</w:t>
            </w:r>
          </w:p>
          <w:p w14:paraId="71B1028F" w14:textId="77777777" w:rsidR="005522C2"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lang w:val="es-ES"/>
              </w:rPr>
              <w:t>Documento CONPES 3714 de 2011.</w:t>
            </w:r>
          </w:p>
          <w:p w14:paraId="2EBC2CB9" w14:textId="77777777" w:rsidR="005522C2" w:rsidRDefault="005522C2" w:rsidP="008C3F6D">
            <w:pPr>
              <w:widowControl w:val="0"/>
              <w:numPr>
                <w:ilvl w:val="0"/>
                <w:numId w:val="16"/>
              </w:numPr>
              <w:autoSpaceDE w:val="0"/>
              <w:autoSpaceDN w:val="0"/>
              <w:spacing w:after="120"/>
              <w:jc w:val="both"/>
              <w:rPr>
                <w:rFonts w:ascii="Verdana" w:hAnsi="Verdana" w:cs="Arial"/>
                <w:lang/>
              </w:rPr>
            </w:pPr>
            <w:r w:rsidRPr="00CA06FB">
              <w:rPr>
                <w:rFonts w:ascii="Verdana" w:hAnsi="Verdana" w:cs="Arial"/>
              </w:rPr>
              <w:t>Consejo de Estado, Sala de Consulta y Servicio Civil</w:t>
            </w:r>
            <w:r>
              <w:rPr>
                <w:rFonts w:ascii="Times New Roman" w:eastAsia="Times New Roman" w:hAnsi="Symbol" w:cs="Times New Roman"/>
                <w:sz w:val="24"/>
                <w:szCs w:val="24"/>
                <w:lang/>
              </w:rPr>
              <w:t xml:space="preserve">. </w:t>
            </w:r>
            <w:r w:rsidRPr="00CA06FB">
              <w:rPr>
                <w:rFonts w:ascii="Verdana" w:hAnsi="Verdana" w:cs="Arial"/>
                <w:lang/>
              </w:rPr>
              <w:t xml:space="preserve">Concepto del 12 de marzo de 2009, Rad. 1942, C.P. Gustavo Aponte Santos. </w:t>
            </w:r>
          </w:p>
          <w:p w14:paraId="040C89F4"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rPr>
            </w:pPr>
            <w:r w:rsidRPr="00CA06FB">
              <w:rPr>
                <w:rFonts w:ascii="Verdana" w:hAnsi="Verdana" w:cs="Arial"/>
              </w:rPr>
              <w:t>Consejo de Estado, Sala de Consulta y Servicio Civil</w:t>
            </w:r>
            <w:r>
              <w:rPr>
                <w:rFonts w:ascii="Times New Roman" w:eastAsia="Times New Roman" w:hAnsi="Symbol" w:cs="Times New Roman"/>
                <w:sz w:val="24"/>
                <w:szCs w:val="24"/>
                <w:lang/>
              </w:rPr>
              <w:t xml:space="preserve">. </w:t>
            </w:r>
            <w:r w:rsidRPr="00CA06FB">
              <w:rPr>
                <w:rFonts w:ascii="Verdana" w:hAnsi="Verdana" w:cs="Arial"/>
                <w:lang/>
              </w:rPr>
              <w:t xml:space="preserve">Concepto del 13 de agosto de 2009, Rad. 11001-03-06-000-2009-00033-00 (1952), C.P. Enrique José Arboleda Perdomo. </w:t>
            </w:r>
          </w:p>
          <w:p w14:paraId="701519D3"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rPr>
            </w:pPr>
            <w:r w:rsidRPr="00CA06FB">
              <w:rPr>
                <w:rFonts w:ascii="Verdana" w:hAnsi="Verdana" w:cs="Arial"/>
              </w:rPr>
              <w:t>Consejo de Estado, Sala de Consulta y Servicio Civil</w:t>
            </w:r>
            <w:r>
              <w:rPr>
                <w:rFonts w:ascii="Times New Roman" w:eastAsia="Times New Roman" w:hAnsi="Symbol" w:cs="Times New Roman"/>
                <w:sz w:val="24"/>
                <w:szCs w:val="24"/>
                <w:lang/>
              </w:rPr>
              <w:t xml:space="preserve">. </w:t>
            </w:r>
            <w:r w:rsidRPr="00CA06FB">
              <w:rPr>
                <w:rFonts w:ascii="Verdana" w:hAnsi="Verdana" w:cs="Arial"/>
                <w:lang/>
              </w:rPr>
              <w:t xml:space="preserve">Concepto 2263 del 17 de marzo de 2016. </w:t>
            </w:r>
          </w:p>
          <w:p w14:paraId="748C98BA"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rPr>
            </w:pPr>
            <w:r w:rsidRPr="00CA06FB">
              <w:rPr>
                <w:rFonts w:ascii="Verdana" w:hAnsi="Verdana" w:cs="Arial"/>
              </w:rPr>
              <w:t>Consejo de Estado, Sala de Consulta y Servicio Civil</w:t>
            </w:r>
            <w:r>
              <w:rPr>
                <w:rFonts w:ascii="Times New Roman" w:eastAsia="Times New Roman" w:hAnsi="Symbol" w:cs="Times New Roman"/>
                <w:sz w:val="24"/>
                <w:szCs w:val="24"/>
                <w:lang/>
              </w:rPr>
              <w:t xml:space="preserve">. </w:t>
            </w:r>
            <w:r w:rsidRPr="00CA06FB">
              <w:rPr>
                <w:rFonts w:ascii="Verdana" w:hAnsi="Verdana" w:cs="Arial"/>
                <w:lang/>
              </w:rPr>
              <w:t xml:space="preserve">Concepto del 6 de junio de 2018, Rad. 2369, C.P. Óscar Darío Amaya Navas. </w:t>
            </w:r>
          </w:p>
          <w:p w14:paraId="50CC191F" w14:textId="77777777" w:rsidR="005522C2" w:rsidRPr="00CA06FB"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rPr>
              <w:t>Consejo de Estado, Sala de Consulta y Servicio Civil</w:t>
            </w:r>
            <w:r>
              <w:rPr>
                <w:rFonts w:ascii="Times New Roman" w:eastAsia="Times New Roman" w:hAnsi="Symbol" w:cs="Times New Roman"/>
                <w:sz w:val="24"/>
                <w:szCs w:val="24"/>
                <w:lang/>
              </w:rPr>
              <w:t xml:space="preserve">. </w:t>
            </w:r>
            <w:r w:rsidRPr="00CA06FB">
              <w:rPr>
                <w:rFonts w:ascii="Verdana" w:hAnsi="Verdana" w:cs="Arial"/>
                <w:lang/>
              </w:rPr>
              <w:t>Concepto del 5 de septiembre de 2018, Exp. 2386, C.P. Édgar González López.</w:t>
            </w:r>
          </w:p>
          <w:p w14:paraId="40EC9659"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Sentencia del 9 de mayo de 1996, Exp. 10.151, reiterada en sentencias del 29 de abril y 21 de julio de 1999, Exp. 14.885 y 14.943, C.P. Daniel Suárez Hernández.</w:t>
            </w:r>
          </w:p>
          <w:p w14:paraId="4F50B73D"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Sentencia del 29 de agosto de 2007, Rad. 25000-23-26-000-1994-09845-01 (14854), C.P. Mauricio Fajardo Gómez.</w:t>
            </w:r>
          </w:p>
          <w:p w14:paraId="66927001"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Sentencia del 31 de agosto de 2011, Exp. 18.080, C.P. Ruth Stella Correa Palacio (reiterada en sentencia del 8 de febrero de 2012, Exp. 20344).</w:t>
            </w:r>
          </w:p>
          <w:p w14:paraId="1ADFD632"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B, sentencia del 14 de octubre de 2011, Exp. 20811, C.P. Ruth Stella Correa Palacio.</w:t>
            </w:r>
          </w:p>
          <w:p w14:paraId="1828EAFF"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B, sentencia del 29 de febrero de 2012, Exp. 16371, C.P. Danilo Rojas Betancourth.</w:t>
            </w:r>
          </w:p>
          <w:p w14:paraId="74CC0044"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 xml:space="preserve">Sentencia del 12 de mayo de </w:t>
            </w:r>
            <w:r w:rsidRPr="00CA06FB">
              <w:rPr>
                <w:rFonts w:ascii="Verdana" w:hAnsi="Verdana" w:cs="Arial"/>
              </w:rPr>
              <w:lastRenderedPageBreak/>
              <w:t>2012, Rad. 18446, M.P. Mauricio Fajardo Gómez.</w:t>
            </w:r>
          </w:p>
          <w:p w14:paraId="5133236B"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Sentencia del 28 de junio de 2012, Rad. 21990, C.P. Ruth Stella Correa Palacio.</w:t>
            </w:r>
          </w:p>
          <w:p w14:paraId="31E29D4F"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Sentencia del 14 de marzo de 2013, Rad. 20.524.</w:t>
            </w:r>
          </w:p>
          <w:p w14:paraId="5DB9A694"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A, sentencia del 29 de julio de 2015, Rad. 68001-23-31-000-2002-02796-01 (41.008), C.P. Hernán Andrade Rincón (E).</w:t>
            </w:r>
          </w:p>
          <w:p w14:paraId="36387586"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Sentencia del 29 de enero de 2018, Exp. 52.666, C.P. Jaime Orlando Santofimio Gamboa.</w:t>
            </w:r>
          </w:p>
          <w:p w14:paraId="2F0175E4"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C, sentencia del 20 de abril de 2022, Exp. 56508, C.P. Nicolás Yepes Corrales.</w:t>
            </w:r>
          </w:p>
          <w:p w14:paraId="661467FE"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A, sentencia del 28 de febrero de 2022, Rad. 65483, C.P. Nicolás Yepes Corrales.</w:t>
            </w:r>
          </w:p>
          <w:p w14:paraId="37E67602"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C, sentencia del 19 de septiembre de 2022, Rad. 25000-23-36-000-2013-00211-01 (54714), C.P. Jaime Enrique Rodríguez Navas.</w:t>
            </w:r>
          </w:p>
          <w:p w14:paraId="1F49F26F" w14:textId="77777777" w:rsidR="005522C2" w:rsidRPr="00CA06FB" w:rsidRDefault="005522C2" w:rsidP="008C3F6D">
            <w:pPr>
              <w:widowControl w:val="0"/>
              <w:numPr>
                <w:ilvl w:val="0"/>
                <w:numId w:val="16"/>
              </w:numPr>
              <w:autoSpaceDE w:val="0"/>
              <w:autoSpaceDN w:val="0"/>
              <w:spacing w:after="120"/>
              <w:jc w:val="both"/>
              <w:rPr>
                <w:rFonts w:ascii="Verdana" w:hAnsi="Verdana" w:cs="Arial"/>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A, sentencia del 22 de agosto de 2023, Rad. 85001-23-33-000-2015-00211-01 (58.634), C.P. María Adriana Marín.</w:t>
            </w:r>
          </w:p>
          <w:p w14:paraId="72E65FA4" w14:textId="77777777" w:rsidR="005522C2" w:rsidRPr="008176E0" w:rsidRDefault="005522C2" w:rsidP="008C3F6D">
            <w:pPr>
              <w:widowControl w:val="0"/>
              <w:numPr>
                <w:ilvl w:val="0"/>
                <w:numId w:val="16"/>
              </w:numPr>
              <w:autoSpaceDE w:val="0"/>
              <w:autoSpaceDN w:val="0"/>
              <w:spacing w:after="120"/>
              <w:jc w:val="both"/>
              <w:rPr>
                <w:rFonts w:ascii="Verdana" w:hAnsi="Verdana" w:cs="Arial"/>
                <w:lang w:val="es-ES"/>
              </w:rPr>
            </w:pPr>
            <w:r w:rsidRPr="00CA06FB">
              <w:rPr>
                <w:rFonts w:ascii="Verdana" w:hAnsi="Verdana" w:cs="Arial"/>
              </w:rPr>
              <w:t>Consejo de Estado, Sección Tercera</w:t>
            </w:r>
            <w:r>
              <w:rPr>
                <w:rFonts w:ascii="Verdana" w:hAnsi="Verdana" w:cs="Arial"/>
              </w:rPr>
              <w:t>.</w:t>
            </w:r>
            <w:r>
              <w:t xml:space="preserve"> </w:t>
            </w:r>
            <w:r w:rsidRPr="00CA06FB">
              <w:rPr>
                <w:rFonts w:ascii="Verdana" w:hAnsi="Verdana" w:cs="Arial"/>
              </w:rPr>
              <w:t>Subsección A, sentencia del 21 de febrero de 2025, Exp. 66479 (Rad. 66001-23-33-000-2012-00032-03), C.P. María Adriana Marín.</w:t>
            </w:r>
          </w:p>
          <w:p w14:paraId="0AF0162F" w14:textId="77777777" w:rsidR="005522C2" w:rsidRPr="00F04F3B" w:rsidRDefault="005522C2" w:rsidP="008C3F6D">
            <w:pPr>
              <w:widowControl w:val="0"/>
              <w:numPr>
                <w:ilvl w:val="0"/>
                <w:numId w:val="16"/>
              </w:numPr>
              <w:autoSpaceDE w:val="0"/>
              <w:autoSpaceDN w:val="0"/>
              <w:spacing w:after="120"/>
              <w:jc w:val="both"/>
              <w:rPr>
                <w:rFonts w:ascii="Verdana" w:hAnsi="Verdana" w:cs="Arial"/>
                <w:lang w:val="es-ES"/>
              </w:rPr>
            </w:pPr>
            <w:r w:rsidRPr="008176E0">
              <w:rPr>
                <w:rFonts w:ascii="Verdana" w:hAnsi="Verdana" w:cs="Arial"/>
              </w:rPr>
              <w:t>Cámara de Comercio de Bogotá, Laudo TA-CCB-20040531 del 31 de mayo de 2004, Concesión Santa Marta Paraguachón vs. Instituto Nacional de Vías.</w:t>
            </w:r>
          </w:p>
        </w:tc>
      </w:tr>
    </w:tbl>
    <w:p w14:paraId="222FA8A7" w14:textId="77777777" w:rsidR="005522C2" w:rsidRPr="00F04F3B" w:rsidRDefault="005522C2" w:rsidP="005522C2">
      <w:pPr>
        <w:widowControl w:val="0"/>
        <w:autoSpaceDE w:val="0"/>
        <w:autoSpaceDN w:val="0"/>
        <w:spacing w:after="0" w:line="276" w:lineRule="auto"/>
        <w:jc w:val="both"/>
        <w:rPr>
          <w:rFonts w:ascii="Verdana" w:hAnsi="Verdana" w:cs="Arial"/>
          <w:color w:val="000000" w:themeColor="text1"/>
          <w:lang w:val="es-ES"/>
        </w:rPr>
      </w:pPr>
    </w:p>
    <w:p w14:paraId="1965D5C7" w14:textId="77777777" w:rsidR="005522C2" w:rsidRPr="00F04F3B" w:rsidRDefault="005522C2" w:rsidP="005522C2">
      <w:pPr>
        <w:pStyle w:val="Prrafodelista"/>
        <w:numPr>
          <w:ilvl w:val="0"/>
          <w:numId w:val="17"/>
        </w:numPr>
        <w:tabs>
          <w:tab w:val="left" w:pos="142"/>
          <w:tab w:val="left" w:pos="284"/>
        </w:tabs>
        <w:spacing w:after="0" w:line="276" w:lineRule="auto"/>
        <w:jc w:val="both"/>
        <w:rPr>
          <w:rFonts w:ascii="Verdana" w:eastAsia="Century Gothic" w:hAnsi="Verdana" w:cs="Century Gothic"/>
          <w:b/>
          <w:color w:val="000000" w:themeColor="text1"/>
        </w:rPr>
      </w:pPr>
      <w:r w:rsidRPr="00F04F3B">
        <w:rPr>
          <w:rFonts w:ascii="Verdana" w:eastAsia="Century Gothic" w:hAnsi="Verdana" w:cs="Century Gothic"/>
          <w:b/>
          <w:color w:val="000000" w:themeColor="text1"/>
        </w:rPr>
        <w:t>Doctrina de la Agencia Nacional de Contratación Pública:</w:t>
      </w:r>
    </w:p>
    <w:p w14:paraId="72C6F53A" w14:textId="77777777" w:rsidR="005522C2" w:rsidRPr="00F04F3B" w:rsidRDefault="005522C2" w:rsidP="005522C2">
      <w:pPr>
        <w:widowControl w:val="0"/>
        <w:autoSpaceDE w:val="0"/>
        <w:autoSpaceDN w:val="0"/>
        <w:spacing w:after="0" w:line="276" w:lineRule="auto"/>
        <w:jc w:val="both"/>
        <w:rPr>
          <w:rFonts w:ascii="Verdana" w:hAnsi="Verdana" w:cs="Arial"/>
          <w:color w:val="000000" w:themeColor="text1"/>
          <w:lang w:val="es-ES"/>
        </w:rPr>
      </w:pPr>
    </w:p>
    <w:p w14:paraId="55BAAC47" w14:textId="77777777" w:rsidR="005522C2" w:rsidRPr="00F04F3B" w:rsidRDefault="005522C2" w:rsidP="005522C2">
      <w:pPr>
        <w:spacing w:after="0" w:line="276" w:lineRule="auto"/>
        <w:jc w:val="both"/>
        <w:rPr>
          <w:rFonts w:ascii="Verdana" w:eastAsia="Arial" w:hAnsi="Verdana" w:cs="Arial"/>
          <w:lang w:val="es-ES"/>
        </w:rPr>
      </w:pPr>
      <w:r w:rsidRPr="00F04F3B">
        <w:rPr>
          <w:rFonts w:ascii="Verdana" w:eastAsia="Calibri" w:hAnsi="Verdana" w:cs="Arial"/>
          <w:lang w:val="es-ES"/>
        </w:rPr>
        <w:t xml:space="preserve">La Agencia Nacional de Contratación Pública – Colombia Compra Eficiente se ha pronunciado sobre </w:t>
      </w:r>
      <w:r w:rsidRPr="00F04F3B">
        <w:rPr>
          <w:rFonts w:ascii="Verdana" w:eastAsia="Calibri" w:hAnsi="Verdana" w:cs="Arial"/>
          <w:shd w:val="clear" w:color="auto" w:fill="FFFFFF"/>
          <w:lang w:val="es-ES"/>
        </w:rPr>
        <w:t xml:space="preserve">los contratos de obra pública contratos bajo la modalidad de llave en mano en los conceptos </w:t>
      </w:r>
      <w:r w:rsidRPr="00F04F3B">
        <w:rPr>
          <w:rFonts w:ascii="Verdana" w:eastAsia="Calibri" w:hAnsi="Verdana" w:cs="Times New Roman"/>
          <w:lang w:val="es-ES"/>
        </w:rPr>
        <w:t>C–489 del 08 de mayo de 2026</w:t>
      </w:r>
      <w:r w:rsidRPr="00F04F3B">
        <w:rPr>
          <w:rFonts w:ascii="Verdana" w:eastAsia="Calibri" w:hAnsi="Verdana" w:cs="Arial"/>
          <w:shd w:val="clear" w:color="auto" w:fill="FFFFFF"/>
          <w:lang w:val="es-ES"/>
        </w:rPr>
        <w:t>, C-151 del 17 de julio de 2024, C-352 del 5 de septiembre de 2024, C-915 del 15 de julio de 2025, C-1162 del 1 de octubre de 2025, C-1520 del 28 de noviembre de 2025, entre otros.</w:t>
      </w:r>
    </w:p>
    <w:p w14:paraId="75700385" w14:textId="77777777" w:rsidR="005522C2" w:rsidRPr="00F04F3B" w:rsidRDefault="005522C2" w:rsidP="005522C2">
      <w:pPr>
        <w:spacing w:after="0" w:line="276" w:lineRule="auto"/>
        <w:jc w:val="both"/>
        <w:rPr>
          <w:rFonts w:ascii="Verdana" w:eastAsia="Arial" w:hAnsi="Verdana" w:cs="Arial"/>
          <w:lang w:val="es-ES"/>
        </w:rPr>
      </w:pPr>
    </w:p>
    <w:p w14:paraId="6543FC73" w14:textId="77777777" w:rsidR="005522C2" w:rsidRPr="00F04F3B" w:rsidRDefault="005522C2" w:rsidP="005522C2">
      <w:pPr>
        <w:spacing w:after="0" w:line="276" w:lineRule="auto"/>
        <w:jc w:val="both"/>
        <w:rPr>
          <w:rFonts w:ascii="Verdana" w:hAnsi="Verdana" w:cs="Arial"/>
          <w:color w:val="000000" w:themeColor="text1"/>
          <w:shd w:val="clear" w:color="auto" w:fill="FFFFFF"/>
          <w:lang w:val="es-ES"/>
        </w:rPr>
      </w:pPr>
      <w:r w:rsidRPr="00F04F3B">
        <w:rPr>
          <w:rFonts w:ascii="Verdana" w:eastAsia="Arial" w:hAnsi="Verdana" w:cs="Arial"/>
          <w:lang w:val="es-ES"/>
        </w:rPr>
        <w:t xml:space="preserve">Sobre </w:t>
      </w:r>
      <w:r w:rsidRPr="00F04F3B">
        <w:rPr>
          <w:rFonts w:ascii="Verdana" w:eastAsia="Calibri" w:hAnsi="Verdana" w:cs="Arial"/>
          <w:shd w:val="clear" w:color="auto" w:fill="FFFFFF"/>
          <w:lang w:val="es-ES"/>
        </w:rPr>
        <w:t xml:space="preserve">el equilibrio económico del contrato estatal en los Conceptos C-938 del 27 de diciembre de 2022, C-774 del 20 de noviembre de 2024, C-565 del 10 de junio de 2025, C-1029 del 31 de julio de 2025, C-1035 del 8 de septiembre de 2025 y C-1429 del 21 de octubre de 2025, C-080 del 30 de enero de 2026. </w:t>
      </w:r>
      <w:r w:rsidRPr="00F04F3B">
        <w:rPr>
          <w:rFonts w:ascii="Verdana" w:eastAsia="Arial" w:hAnsi="Verdana" w:cs="Arial"/>
          <w:lang w:val="es-ES"/>
        </w:rPr>
        <w:t>Estos y</w:t>
      </w:r>
      <w:r w:rsidRPr="00F04F3B">
        <w:rPr>
          <w:rFonts w:ascii="Verdana" w:hAnsi="Verdana" w:cs="Arial"/>
          <w:shd w:val="clear" w:color="auto" w:fill="FFFFFF"/>
          <w:lang w:val="es-ES"/>
        </w:rPr>
        <w:t xml:space="preserve"> </w:t>
      </w:r>
      <w:r w:rsidRPr="00F04F3B">
        <w:rPr>
          <w:rFonts w:ascii="Verdana" w:hAnsi="Verdana"/>
          <w:lang w:val="es-ES"/>
        </w:rPr>
        <w:t>otros conceptos se encuentran disponibles para consulta en el Sistema de relatoría de la Agencia, al cual se puede acceder a través del siguiente enlace:</w:t>
      </w:r>
      <w:r w:rsidRPr="00F04F3B">
        <w:rPr>
          <w:rFonts w:ascii="Verdana" w:hAnsi="Verdana" w:cs="Arial"/>
          <w:shd w:val="clear" w:color="auto" w:fill="FFFFFF"/>
          <w:lang w:val="es-ES"/>
        </w:rPr>
        <w:t xml:space="preserve"> </w:t>
      </w:r>
      <w:hyperlink r:id="rId13" w:history="1">
        <w:r w:rsidRPr="00F04F3B">
          <w:rPr>
            <w:rStyle w:val="Hipervnculo"/>
            <w:rFonts w:ascii="Verdana" w:hAnsi="Verdana"/>
            <w:lang w:val="es-ES"/>
          </w:rPr>
          <w:t>https://relatoria.colombiacompra.gov.co/busqueda/conceptos</w:t>
        </w:r>
      </w:hyperlink>
      <w:r w:rsidRPr="00F04F3B">
        <w:rPr>
          <w:rFonts w:ascii="Verdana" w:hAnsi="Verdana" w:cs="Arial"/>
          <w:shd w:val="clear" w:color="auto" w:fill="FFFFFF"/>
          <w:lang w:val="es-ES"/>
        </w:rPr>
        <w:t>.</w:t>
      </w:r>
      <w:r w:rsidRPr="00F04F3B">
        <w:rPr>
          <w:rFonts w:ascii="Verdana" w:hAnsi="Verdana" w:cs="Arial"/>
          <w:color w:val="FF0000"/>
          <w:shd w:val="clear" w:color="auto" w:fill="FFFFFF"/>
          <w:lang w:val="es-ES"/>
        </w:rPr>
        <w:t xml:space="preserve"> </w:t>
      </w:r>
      <w:r w:rsidRPr="00F04F3B">
        <w:rPr>
          <w:rFonts w:ascii="Verdana" w:hAnsi="Verdana" w:cs="Arial"/>
          <w:color w:val="000000" w:themeColor="text1"/>
          <w:shd w:val="clear" w:color="auto" w:fill="FFFFFF"/>
          <w:lang w:val="es-ES"/>
        </w:rPr>
        <w:t>  </w:t>
      </w:r>
    </w:p>
    <w:p w14:paraId="7C38C0C8" w14:textId="77777777" w:rsidR="005522C2" w:rsidRPr="00F04F3B" w:rsidRDefault="005522C2" w:rsidP="005522C2">
      <w:pPr>
        <w:spacing w:after="0" w:line="276" w:lineRule="auto"/>
        <w:jc w:val="both"/>
        <w:rPr>
          <w:rFonts w:ascii="Verdana" w:eastAsia="Calibri" w:hAnsi="Verdana" w:cs="Times New Roman"/>
          <w:b/>
          <w:bCs/>
          <w:lang w:val="es-ES"/>
        </w:rPr>
      </w:pPr>
    </w:p>
    <w:p w14:paraId="2848C646"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Las garantías no son un requisito formal: son el instrumento con el que se protege el patrimonio público frente a los riesgos del contrato. Por ello, la Agencia Nacional de Contratación Pública –Colombia Compra Eficiente</w:t>
      </w:r>
      <w:proofErr w:type="gramStart"/>
      <w:r w:rsidRPr="00F04F3B">
        <w:rPr>
          <w:rFonts w:ascii="Verdana" w:hAnsi="Verdana"/>
          <w:lang w:val="es-ES"/>
        </w:rPr>
        <w:t>–  invita</w:t>
      </w:r>
      <w:proofErr w:type="gramEnd"/>
      <w:r w:rsidRPr="00F04F3B">
        <w:rPr>
          <w:rFonts w:ascii="Verdana" w:hAnsi="Verdana"/>
          <w:lang w:val="es-ES"/>
        </w:rPr>
        <w:t xml:space="preserve"> a consultar la nueva versión de la </w:t>
      </w:r>
      <w:r w:rsidRPr="00F04F3B">
        <w:rPr>
          <w:rFonts w:ascii="Verdana" w:hAnsi="Verdana"/>
          <w:b/>
          <w:bCs/>
          <w:lang w:val="es-ES"/>
        </w:rPr>
        <w:t>Guía para la Exigencia y Constitución de Garantías en los Procesos de Contratación</w:t>
      </w:r>
      <w:r w:rsidRPr="00F04F3B">
        <w:rPr>
          <w:rFonts w:ascii="Verdana" w:hAnsi="Verdana"/>
          <w:lang w:val="es-ES"/>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4">
        <w:r w:rsidRPr="00F04F3B">
          <w:rPr>
            <w:rStyle w:val="Hipervnculo"/>
            <w:rFonts w:ascii="Verdana" w:hAnsi="Verdana"/>
            <w:lang w:val="es-ES"/>
          </w:rPr>
          <w:t>https://www.colombiacompra.gov.co/archivos/manual/guia-de-garantias-en-procesos-de-contratacion</w:t>
        </w:r>
      </w:hyperlink>
    </w:p>
    <w:p w14:paraId="0AEB2A99" w14:textId="77777777" w:rsidR="005522C2" w:rsidRPr="00F04F3B" w:rsidRDefault="005522C2" w:rsidP="005522C2">
      <w:pPr>
        <w:spacing w:after="0" w:line="276" w:lineRule="auto"/>
        <w:jc w:val="both"/>
        <w:rPr>
          <w:rFonts w:ascii="Verdana" w:hAnsi="Verdana"/>
          <w:lang w:val="es-ES"/>
        </w:rPr>
      </w:pPr>
    </w:p>
    <w:p w14:paraId="7ACDE7C6"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De otro lado, te contamos que el Decreto 287 del 19 de marzo de 2026 sustituyó los artículos 2.2.1.2.4.2.6., 2.2.1.2.4.2.7. y 2.2.1.2.4.2.8. del Decreto 1082 de 2015 y estructuró el </w:t>
      </w:r>
      <w:r w:rsidRPr="00F04F3B">
        <w:rPr>
          <w:rFonts w:ascii="Verdana" w:hAnsi="Verdana"/>
          <w:b/>
          <w:bCs/>
          <w:lang w:val="es-ES"/>
        </w:rPr>
        <w:t>Sistema Integral de Preferencias en favor de las personas con discapacidad</w:t>
      </w:r>
      <w:r w:rsidRPr="00F04F3B">
        <w:rPr>
          <w:rFonts w:ascii="Verdana" w:hAnsi="Verdana"/>
          <w:lang w:val="es-ES"/>
        </w:rPr>
        <w:t>, en cumplimiento del artículo 13 de la Ley Estatutaria 1618 de 2013. Para orientar su aplicación, esta Agencia expidió la </w:t>
      </w:r>
      <w:r w:rsidRPr="00F04F3B">
        <w:rPr>
          <w:rFonts w:ascii="Verdana" w:hAnsi="Verdana"/>
          <w:b/>
          <w:bCs/>
          <w:lang w:val="es-ES"/>
        </w:rPr>
        <w:t>Circular Externa 003 del 12 de mayo de 2026, </w:t>
      </w:r>
      <w:r w:rsidRPr="00F04F3B">
        <w:rPr>
          <w:rFonts w:ascii="Verdana" w:hAnsi="Verdana"/>
          <w:lang w:val="es-ES"/>
        </w:rPr>
        <w:t>en la que precisa quiénes son los beneficiarios, las cinco medidas que integran el sistema y su obligatoriedad según la modalidad de selección, y el régimen de transición aplicable a los procesos en curso. Consúltela aquí: </w:t>
      </w:r>
      <w:hyperlink r:id="rId15">
        <w:r w:rsidRPr="00F04F3B">
          <w:rPr>
            <w:rStyle w:val="Hipervnculo"/>
            <w:rFonts w:ascii="Verdana" w:hAnsi="Verdana"/>
            <w:lang w:val="es-ES"/>
          </w:rPr>
          <w:t>https://www.colombiacompra.gov.co/archivos/circular/circular-externa-003-de-2026</w:t>
        </w:r>
      </w:hyperlink>
    </w:p>
    <w:p w14:paraId="48419FF9" w14:textId="77777777" w:rsidR="005522C2" w:rsidRPr="00F04F3B" w:rsidRDefault="005522C2" w:rsidP="005522C2">
      <w:pPr>
        <w:spacing w:after="0" w:line="276" w:lineRule="auto"/>
        <w:jc w:val="both"/>
        <w:rPr>
          <w:rFonts w:ascii="Verdana" w:hAnsi="Verdana"/>
          <w:lang w:val="es-ES"/>
        </w:rPr>
      </w:pPr>
    </w:p>
    <w:p w14:paraId="18A2F5D7"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Recuerde también que la</w:t>
      </w:r>
      <w:r w:rsidRPr="00F04F3B">
        <w:rPr>
          <w:rFonts w:ascii="Verdana" w:hAnsi="Verdana"/>
          <w:b/>
          <w:bCs/>
          <w:lang w:val="es-ES"/>
        </w:rPr>
        <w:t> información sobre sanciones e inhabilidades </w:t>
      </w:r>
      <w:r w:rsidRPr="00F04F3B">
        <w:rPr>
          <w:rFonts w:ascii="Verdana" w:hAnsi="Verdana"/>
          <w:lang w:val="es-ES"/>
        </w:rPr>
        <w:t>solo cumple su función preventiva si llega oportunamente a los registros públicos. Sobre este deber, esta Agencia expidió la </w:t>
      </w:r>
      <w:r w:rsidRPr="00F04F3B">
        <w:rPr>
          <w:rFonts w:ascii="Verdana" w:hAnsi="Verdana"/>
          <w:b/>
          <w:bCs/>
          <w:lang w:val="es-ES"/>
        </w:rPr>
        <w:t xml:space="preserve">Circular Externa 002 del 5 de mayo </w:t>
      </w:r>
      <w:r w:rsidRPr="00F04F3B">
        <w:rPr>
          <w:rFonts w:ascii="Verdana" w:hAnsi="Verdana"/>
          <w:b/>
          <w:bCs/>
          <w:lang w:val="es-ES"/>
        </w:rPr>
        <w:lastRenderedPageBreak/>
        <w:t>de 2026,</w:t>
      </w:r>
      <w:r w:rsidRPr="00F04F3B">
        <w:rPr>
          <w:rFonts w:ascii="Verdana" w:hAnsi="Verdana"/>
          <w:lang w:val="es-ES"/>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Consúltela aquí: </w:t>
      </w:r>
      <w:hyperlink r:id="rId16">
        <w:r w:rsidRPr="00F04F3B">
          <w:rPr>
            <w:rStyle w:val="Hipervnculo"/>
            <w:rFonts w:ascii="Verdana" w:hAnsi="Verdana"/>
            <w:lang w:val="es-ES"/>
          </w:rPr>
          <w:t>https://www.colombiacompra.gov.co/archivos/circular/circular-externa-002-de-2026</w:t>
        </w:r>
      </w:hyperlink>
    </w:p>
    <w:p w14:paraId="3EBDFF8A" w14:textId="77777777" w:rsidR="005522C2" w:rsidRPr="00F04F3B" w:rsidRDefault="005522C2" w:rsidP="005522C2">
      <w:pPr>
        <w:spacing w:after="0" w:line="276" w:lineRule="auto"/>
        <w:jc w:val="both"/>
        <w:rPr>
          <w:rFonts w:ascii="Verdana" w:hAnsi="Verdana"/>
          <w:lang w:val="es-ES"/>
        </w:rPr>
      </w:pPr>
    </w:p>
    <w:p w14:paraId="1A012115"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Finalmente, si quiere seguir de cerca la actividad de la Agencia, la tercera edición de 2026 del</w:t>
      </w:r>
      <w:r w:rsidRPr="00F04F3B">
        <w:rPr>
          <w:rFonts w:ascii="Verdana" w:hAnsi="Verdana"/>
          <w:b/>
          <w:bCs/>
          <w:lang w:val="es-ES"/>
        </w:rPr>
        <w:t> Radar de la Compra Pública</w:t>
      </w:r>
      <w:r w:rsidRPr="00F04F3B">
        <w:rPr>
          <w:rFonts w:ascii="Verdana" w:hAnsi="Verdana"/>
          <w:lang w:val="es-ES"/>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7">
        <w:r w:rsidRPr="00F04F3B">
          <w:rPr>
            <w:rStyle w:val="Hipervnculo"/>
            <w:rFonts w:ascii="Verdana" w:hAnsi="Verdana"/>
            <w:lang w:val="es-ES"/>
          </w:rPr>
          <w:t>https://www.colombiacompra.gov.co/archivos/boletin/boletin-edicion-n-3-de-2026-radar-de-la-compra-publica</w:t>
        </w:r>
      </w:hyperlink>
    </w:p>
    <w:p w14:paraId="385EF533" w14:textId="77777777" w:rsidR="005522C2" w:rsidRPr="00F04F3B" w:rsidRDefault="005522C2" w:rsidP="005522C2">
      <w:pPr>
        <w:spacing w:line="276" w:lineRule="auto"/>
        <w:jc w:val="both"/>
        <w:rPr>
          <w:rFonts w:ascii="Verdana" w:hAnsi="Verdana"/>
          <w:lang w:val="es-ES"/>
        </w:rPr>
      </w:pPr>
    </w:p>
    <w:p w14:paraId="2DF185D0"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 xml:space="preserve">Por último, le invitamos a seguirnos en las redes sociales en las cuales se difunde información institucional: </w:t>
      </w:r>
    </w:p>
    <w:p w14:paraId="25A73FB3" w14:textId="77777777" w:rsidR="005522C2" w:rsidRPr="00F04F3B" w:rsidRDefault="005522C2" w:rsidP="005522C2">
      <w:pPr>
        <w:spacing w:after="0" w:line="276" w:lineRule="auto"/>
        <w:jc w:val="both"/>
        <w:rPr>
          <w:rFonts w:ascii="Verdana" w:hAnsi="Verdana"/>
          <w:lang w:val="es-ES"/>
        </w:rPr>
      </w:pPr>
    </w:p>
    <w:p w14:paraId="1C438647"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 xml:space="preserve">Twitter: </w:t>
      </w:r>
      <w:r w:rsidRPr="00F04F3B">
        <w:rPr>
          <w:rStyle w:val="Hipervnculo"/>
          <w:rFonts w:ascii="Verdana" w:hAnsi="Verdana" w:cs="Arial"/>
          <w:shd w:val="clear" w:color="auto" w:fill="FFFFFF"/>
          <w:lang w:val="es-ES"/>
        </w:rPr>
        <w:t>@colombiacompra</w:t>
      </w:r>
      <w:r w:rsidRPr="00F04F3B">
        <w:rPr>
          <w:rFonts w:ascii="Verdana" w:hAnsi="Verdana"/>
          <w:color w:val="4472C4" w:themeColor="accent1"/>
          <w:lang w:val="es-ES"/>
        </w:rPr>
        <w:t xml:space="preserve"> </w:t>
      </w:r>
    </w:p>
    <w:p w14:paraId="658319DF"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 xml:space="preserve">Facebook: </w:t>
      </w:r>
      <w:proofErr w:type="spellStart"/>
      <w:r w:rsidRPr="00F04F3B">
        <w:rPr>
          <w:rStyle w:val="Hipervnculo"/>
          <w:rFonts w:ascii="Verdana" w:hAnsi="Verdana" w:cs="Arial"/>
          <w:shd w:val="clear" w:color="auto" w:fill="FFFFFF"/>
          <w:lang w:val="es-ES"/>
        </w:rPr>
        <w:t>ColombiaCompraEficiente</w:t>
      </w:r>
      <w:proofErr w:type="spellEnd"/>
    </w:p>
    <w:p w14:paraId="7184762C" w14:textId="77777777" w:rsidR="005522C2" w:rsidRPr="00F04F3B" w:rsidRDefault="005522C2" w:rsidP="005522C2">
      <w:pPr>
        <w:spacing w:after="0" w:line="276" w:lineRule="auto"/>
        <w:jc w:val="both"/>
        <w:rPr>
          <w:rFonts w:ascii="Verdana" w:hAnsi="Verdana"/>
          <w:lang w:val="es-ES"/>
        </w:rPr>
      </w:pPr>
      <w:r w:rsidRPr="00F04F3B">
        <w:rPr>
          <w:rFonts w:ascii="Verdana" w:hAnsi="Verdana"/>
          <w:lang w:val="es-ES"/>
        </w:rPr>
        <w:t xml:space="preserve">LinkedIn: </w:t>
      </w:r>
      <w:r w:rsidRPr="00F04F3B">
        <w:rPr>
          <w:rStyle w:val="Hipervnculo"/>
          <w:rFonts w:ascii="Verdana" w:hAnsi="Verdana" w:cs="Arial"/>
          <w:shd w:val="clear" w:color="auto" w:fill="FFFFFF"/>
          <w:lang w:val="es-ES"/>
        </w:rPr>
        <w:t xml:space="preserve">Agencia Nacional de Contratación Pública - Colombia Compra Eficiente </w:t>
      </w:r>
      <w:r w:rsidRPr="00F04F3B">
        <w:rPr>
          <w:rFonts w:ascii="Verdana" w:hAnsi="Verdana"/>
          <w:lang w:val="es-ES"/>
        </w:rPr>
        <w:t xml:space="preserve">Instagram: </w:t>
      </w:r>
      <w:r w:rsidRPr="00F04F3B">
        <w:rPr>
          <w:rStyle w:val="Hipervnculo"/>
          <w:rFonts w:ascii="Verdana" w:hAnsi="Verdana" w:cs="Arial"/>
          <w:shd w:val="clear" w:color="auto" w:fill="FFFFFF"/>
          <w:lang w:val="es-ES"/>
        </w:rPr>
        <w:t>@colombiacompraeficiente_cce</w:t>
      </w:r>
    </w:p>
    <w:p w14:paraId="01B660FC" w14:textId="77777777" w:rsidR="005522C2" w:rsidRPr="00F04F3B" w:rsidRDefault="005522C2" w:rsidP="005522C2">
      <w:pPr>
        <w:widowControl w:val="0"/>
        <w:autoSpaceDE w:val="0"/>
        <w:autoSpaceDN w:val="0"/>
        <w:spacing w:after="0" w:line="276" w:lineRule="auto"/>
        <w:jc w:val="both"/>
        <w:rPr>
          <w:rFonts w:ascii="Verdana" w:hAnsi="Verdana" w:cs="Arial"/>
          <w:lang w:val="es-ES"/>
        </w:rPr>
      </w:pPr>
    </w:p>
    <w:p w14:paraId="4CB365B5" w14:textId="77777777" w:rsidR="005522C2" w:rsidRPr="00F04F3B" w:rsidRDefault="005522C2" w:rsidP="005522C2">
      <w:pPr>
        <w:widowControl w:val="0"/>
        <w:autoSpaceDE w:val="0"/>
        <w:autoSpaceDN w:val="0"/>
        <w:spacing w:after="0" w:line="276" w:lineRule="auto"/>
        <w:jc w:val="both"/>
        <w:rPr>
          <w:rFonts w:ascii="Verdana" w:hAnsi="Verdana" w:cs="Arial"/>
          <w:lang w:val="es-ES"/>
        </w:rPr>
      </w:pPr>
      <w:r w:rsidRPr="00F04F3B">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951B982" w14:textId="77777777" w:rsidR="005522C2" w:rsidRPr="00F04F3B" w:rsidRDefault="005522C2" w:rsidP="005522C2">
      <w:pPr>
        <w:widowControl w:val="0"/>
        <w:autoSpaceDE w:val="0"/>
        <w:autoSpaceDN w:val="0"/>
        <w:spacing w:after="0" w:line="276" w:lineRule="auto"/>
        <w:jc w:val="both"/>
        <w:rPr>
          <w:rFonts w:ascii="Verdana" w:hAnsi="Verdana" w:cs="Arial"/>
          <w:lang w:val="es-ES"/>
        </w:rPr>
      </w:pPr>
    </w:p>
    <w:p w14:paraId="6F467828" w14:textId="77777777" w:rsidR="005522C2" w:rsidRPr="00F04F3B" w:rsidRDefault="005522C2" w:rsidP="005522C2">
      <w:pPr>
        <w:spacing w:after="0" w:line="276" w:lineRule="auto"/>
        <w:rPr>
          <w:rFonts w:ascii="Verdana" w:hAnsi="Verdana" w:cs="Arial"/>
          <w:color w:val="000000" w:themeColor="text1"/>
          <w:lang w:val="es-ES" w:eastAsia="es-CO"/>
        </w:rPr>
      </w:pPr>
      <w:r w:rsidRPr="00F04F3B">
        <w:rPr>
          <w:rFonts w:ascii="Verdana" w:eastAsia="Times New Roman" w:hAnsi="Verdana" w:cs="Arial"/>
          <w:color w:val="000000" w:themeColor="text1"/>
          <w:lang w:val="es-ES" w:eastAsia="es-CO"/>
        </w:rPr>
        <w:t>Atentamente,</w:t>
      </w:r>
      <w:r w:rsidRPr="00F04F3B">
        <w:rPr>
          <w:rFonts w:ascii="Verdana" w:hAnsi="Verdana" w:cs="Arial"/>
          <w:color w:val="000000" w:themeColor="text1"/>
          <w:lang w:val="es-ES" w:eastAsia="es-CO"/>
        </w:rPr>
        <w:t xml:space="preserve"> </w:t>
      </w:r>
    </w:p>
    <w:p w14:paraId="7D7C7EC1" w14:textId="77777777" w:rsidR="005522C2" w:rsidRPr="00F04F3B" w:rsidRDefault="005522C2" w:rsidP="005522C2">
      <w:pPr>
        <w:spacing w:after="0" w:line="276" w:lineRule="auto"/>
        <w:rPr>
          <w:rFonts w:ascii="Verdana" w:hAnsi="Verdana" w:cs="Arial"/>
          <w:color w:val="000000" w:themeColor="text1"/>
          <w:lang w:val="es-ES" w:eastAsia="es-CO"/>
        </w:rPr>
      </w:pPr>
    </w:p>
    <w:p w14:paraId="2C17A56E" w14:textId="48C46392" w:rsidR="005522C2" w:rsidRPr="00F04F3B" w:rsidRDefault="00FD1D80" w:rsidP="005522C2">
      <w:pPr>
        <w:spacing w:line="276" w:lineRule="auto"/>
        <w:jc w:val="center"/>
        <w:rPr>
          <w:rFonts w:ascii="Verdana" w:hAnsi="Verdana" w:cs="Arial"/>
          <w:color w:val="000000" w:themeColor="text1"/>
          <w:lang w:val="es-ES" w:eastAsia="es-CO"/>
        </w:rPr>
      </w:pPr>
      <w:r w:rsidRPr="00F21F0B">
        <w:rPr>
          <w:rFonts w:ascii="Century Gothic" w:hAnsi="Century Gothic"/>
          <w:noProof/>
        </w:rPr>
        <w:lastRenderedPageBreak/>
        <w:drawing>
          <wp:anchor distT="0" distB="0" distL="114300" distR="114300" simplePos="0" relativeHeight="251659264" behindDoc="0" locked="0" layoutInCell="1" allowOverlap="1" wp14:anchorId="312CBB52" wp14:editId="062CBA0D">
            <wp:simplePos x="0" y="0"/>
            <wp:positionH relativeFrom="column">
              <wp:posOffset>875503</wp:posOffset>
            </wp:positionH>
            <wp:positionV relativeFrom="paragraph">
              <wp:posOffset>0</wp:posOffset>
            </wp:positionV>
            <wp:extent cx="3771900" cy="1402080"/>
            <wp:effectExtent l="0" t="0" r="0" b="0"/>
            <wp:wrapSquare wrapText="bothSides"/>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522C2" w:rsidRPr="00F04F3B" w14:paraId="424716A3" w14:textId="77777777" w:rsidTr="008C3F6D">
        <w:trPr>
          <w:trHeight w:val="315"/>
        </w:trPr>
        <w:tc>
          <w:tcPr>
            <w:tcW w:w="893" w:type="dxa"/>
            <w:vAlign w:val="center"/>
            <w:hideMark/>
          </w:tcPr>
          <w:p w14:paraId="2232356B" w14:textId="77777777" w:rsidR="005522C2" w:rsidRPr="00F04F3B" w:rsidRDefault="005522C2" w:rsidP="008C3F6D">
            <w:pPr>
              <w:contextualSpacing/>
              <w:rPr>
                <w:rFonts w:ascii="Verdana" w:hAnsi="Verdana" w:cs="Arial"/>
                <w:sz w:val="16"/>
                <w:szCs w:val="16"/>
                <w:lang w:val="es-ES" w:eastAsia="es-ES"/>
              </w:rPr>
            </w:pPr>
            <w:r w:rsidRPr="00F04F3B">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B381625" w14:textId="77777777" w:rsidR="005522C2" w:rsidRPr="00F04F3B" w:rsidRDefault="005522C2" w:rsidP="008C3F6D">
            <w:pPr>
              <w:contextualSpacing/>
              <w:rPr>
                <w:rFonts w:ascii="Verdana" w:eastAsia="Arial" w:hAnsi="Verdana" w:cs="Arial"/>
                <w:color w:val="000000" w:themeColor="text1"/>
                <w:sz w:val="16"/>
                <w:szCs w:val="16"/>
                <w:lang w:val="es-ES"/>
              </w:rPr>
            </w:pPr>
            <w:r w:rsidRPr="00F04F3B">
              <w:rPr>
                <w:rFonts w:ascii="Verdana" w:eastAsia="Arial" w:hAnsi="Verdana" w:cs="Arial"/>
                <w:color w:val="000000" w:themeColor="text1"/>
                <w:sz w:val="16"/>
                <w:szCs w:val="16"/>
                <w:lang w:val="es-ES"/>
              </w:rPr>
              <w:t>Anamaría Bonilla Prieto</w:t>
            </w:r>
          </w:p>
          <w:p w14:paraId="31B68633" w14:textId="77777777" w:rsidR="005522C2" w:rsidRPr="00F04F3B" w:rsidRDefault="005522C2" w:rsidP="008C3F6D">
            <w:pPr>
              <w:contextualSpacing/>
              <w:rPr>
                <w:rFonts w:ascii="Verdana" w:eastAsia="Arial" w:hAnsi="Verdana" w:cs="Arial"/>
                <w:sz w:val="16"/>
                <w:szCs w:val="16"/>
                <w:lang w:val="es-ES"/>
              </w:rPr>
            </w:pPr>
            <w:r w:rsidRPr="00F04F3B">
              <w:rPr>
                <w:rStyle w:val="normaltextrun"/>
                <w:rFonts w:ascii="Verdana" w:eastAsia="Arial" w:hAnsi="Verdana" w:cs="Arial"/>
                <w:color w:val="000000" w:themeColor="text1"/>
                <w:sz w:val="16"/>
                <w:szCs w:val="16"/>
                <w:lang w:val="es-ES"/>
              </w:rPr>
              <w:t xml:space="preserve">Contratista de la Subdirección </w:t>
            </w:r>
            <w:r w:rsidRPr="00F04F3B">
              <w:rPr>
                <w:rStyle w:val="normaltextrun"/>
                <w:rFonts w:ascii="Verdana" w:eastAsia="Arial" w:hAnsi="Verdana" w:cs="Arial"/>
                <w:sz w:val="16"/>
                <w:szCs w:val="16"/>
                <w:lang w:val="es-ES"/>
              </w:rPr>
              <w:t>de Gestión Contractual</w:t>
            </w:r>
          </w:p>
        </w:tc>
      </w:tr>
      <w:tr w:rsidR="005522C2" w:rsidRPr="00F04F3B" w14:paraId="67D56094" w14:textId="77777777" w:rsidTr="008C3F6D">
        <w:trPr>
          <w:trHeight w:val="330"/>
        </w:trPr>
        <w:tc>
          <w:tcPr>
            <w:tcW w:w="893" w:type="dxa"/>
            <w:vAlign w:val="center"/>
            <w:hideMark/>
          </w:tcPr>
          <w:p w14:paraId="3C3C4953" w14:textId="77777777" w:rsidR="005522C2" w:rsidRPr="00F04F3B" w:rsidRDefault="005522C2" w:rsidP="008C3F6D">
            <w:pPr>
              <w:contextualSpacing/>
              <w:rPr>
                <w:rFonts w:ascii="Verdana" w:hAnsi="Verdana" w:cs="Arial"/>
                <w:sz w:val="16"/>
                <w:szCs w:val="16"/>
                <w:lang w:val="es-ES" w:eastAsia="es-ES"/>
              </w:rPr>
            </w:pPr>
            <w:r w:rsidRPr="00F04F3B">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FD5D462" w14:textId="77777777" w:rsidR="005522C2" w:rsidRPr="00F04F3B" w:rsidRDefault="005522C2" w:rsidP="008C3F6D">
            <w:pPr>
              <w:spacing w:line="276" w:lineRule="auto"/>
              <w:contextualSpacing/>
              <w:textAlignment w:val="baseline"/>
              <w:rPr>
                <w:rStyle w:val="normaltextrun"/>
                <w:rFonts w:ascii="Verdana" w:eastAsia="Arial" w:hAnsi="Verdana"/>
                <w:color w:val="000000" w:themeColor="text1"/>
                <w:sz w:val="16"/>
                <w:szCs w:val="16"/>
                <w:lang w:val="es-ES"/>
              </w:rPr>
            </w:pPr>
            <w:r w:rsidRPr="00F04F3B">
              <w:rPr>
                <w:rStyle w:val="normaltextrun"/>
                <w:rFonts w:ascii="Verdana" w:eastAsia="Arial" w:hAnsi="Verdana"/>
                <w:color w:val="000000" w:themeColor="text1"/>
                <w:sz w:val="16"/>
                <w:szCs w:val="16"/>
                <w:lang w:val="es-ES"/>
              </w:rPr>
              <w:t>Alejandro Sarmiento Cantillo</w:t>
            </w:r>
          </w:p>
          <w:p w14:paraId="7941AEA1" w14:textId="77777777" w:rsidR="005522C2" w:rsidRPr="00F04F3B" w:rsidRDefault="005522C2" w:rsidP="008C3F6D">
            <w:pPr>
              <w:pStyle w:val="paragraph"/>
              <w:spacing w:before="0" w:beforeAutospacing="0" w:after="0" w:afterAutospacing="0"/>
              <w:contextualSpacing/>
              <w:textAlignment w:val="baseline"/>
              <w:rPr>
                <w:rFonts w:ascii="Verdana" w:hAnsi="Verdana" w:cs="Segoe UI"/>
                <w:sz w:val="16"/>
                <w:szCs w:val="16"/>
                <w:lang w:val="es-ES"/>
              </w:rPr>
            </w:pPr>
            <w:r w:rsidRPr="00F04F3B">
              <w:rPr>
                <w:rStyle w:val="normaltextrun"/>
                <w:rFonts w:ascii="Verdana" w:eastAsia="Arial" w:hAnsi="Verdana"/>
                <w:color w:val="000000" w:themeColor="text1"/>
                <w:sz w:val="16"/>
                <w:szCs w:val="16"/>
                <w:lang w:val="es-ES" w:eastAsia="en-US"/>
              </w:rPr>
              <w:t xml:space="preserve">Gestor T1 – 15 </w:t>
            </w:r>
            <w:r w:rsidRPr="00F04F3B">
              <w:rPr>
                <w:rStyle w:val="normaltextrun"/>
                <w:rFonts w:ascii="Verdana" w:eastAsia="Arial" w:hAnsi="Verdana" w:cs="Arial"/>
                <w:color w:val="000000" w:themeColor="text1"/>
                <w:sz w:val="16"/>
                <w:szCs w:val="16"/>
                <w:lang w:val="es-ES" w:eastAsia="en-US"/>
              </w:rPr>
              <w:t>de la Subdirección de Gestión Contractual</w:t>
            </w:r>
            <w:r w:rsidRPr="00F04F3B">
              <w:rPr>
                <w:rStyle w:val="eop"/>
                <w:rFonts w:ascii="Verdana" w:hAnsi="Verdana" w:cs="Arial"/>
                <w:sz w:val="16"/>
                <w:szCs w:val="16"/>
                <w:lang w:val="es-ES"/>
              </w:rPr>
              <w:t> </w:t>
            </w:r>
          </w:p>
        </w:tc>
      </w:tr>
      <w:tr w:rsidR="005522C2" w:rsidRPr="00F04F3B" w14:paraId="704268DA" w14:textId="77777777" w:rsidTr="008C3F6D">
        <w:trPr>
          <w:trHeight w:val="300"/>
        </w:trPr>
        <w:tc>
          <w:tcPr>
            <w:tcW w:w="893" w:type="dxa"/>
            <w:vAlign w:val="center"/>
          </w:tcPr>
          <w:p w14:paraId="7FE704F9" w14:textId="77777777" w:rsidR="005522C2" w:rsidRPr="00F04F3B" w:rsidRDefault="005522C2" w:rsidP="008C3F6D">
            <w:pPr>
              <w:contextualSpacing/>
              <w:rPr>
                <w:rFonts w:ascii="Verdana" w:hAnsi="Verdana" w:cs="Arial"/>
                <w:sz w:val="16"/>
                <w:szCs w:val="16"/>
                <w:lang w:val="es-ES" w:eastAsia="es-ES"/>
              </w:rPr>
            </w:pPr>
            <w:r w:rsidRPr="00F04F3B">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5CB6C449" w14:textId="77777777" w:rsidR="005522C2" w:rsidRPr="00F04F3B" w:rsidRDefault="005522C2" w:rsidP="008C3F6D">
            <w:pPr>
              <w:contextualSpacing/>
              <w:rPr>
                <w:rFonts w:ascii="Verdana" w:eastAsia="Calibri" w:hAnsi="Verdana" w:cs="Arial"/>
                <w:sz w:val="16"/>
                <w:szCs w:val="16"/>
                <w:lang w:val="es-ES" w:eastAsia="es-ES"/>
              </w:rPr>
            </w:pPr>
            <w:r w:rsidRPr="00F04F3B">
              <w:rPr>
                <w:rFonts w:ascii="Verdana" w:eastAsia="Calibri" w:hAnsi="Verdana" w:cs="Arial"/>
                <w:sz w:val="16"/>
                <w:szCs w:val="16"/>
                <w:lang w:val="es-ES" w:eastAsia="es-ES"/>
              </w:rPr>
              <w:t>Carolina Quintero Gacharná</w:t>
            </w:r>
          </w:p>
          <w:p w14:paraId="6A94F9DC" w14:textId="77777777" w:rsidR="005522C2" w:rsidRPr="00F04F3B" w:rsidRDefault="005522C2" w:rsidP="008C3F6D">
            <w:pPr>
              <w:contextualSpacing/>
              <w:rPr>
                <w:rFonts w:ascii="Verdana" w:eastAsia="Calibri" w:hAnsi="Verdana" w:cs="Arial"/>
                <w:sz w:val="16"/>
                <w:szCs w:val="16"/>
                <w:lang w:val="es-ES" w:eastAsia="es-ES"/>
              </w:rPr>
            </w:pPr>
            <w:r w:rsidRPr="00F04F3B">
              <w:rPr>
                <w:rFonts w:ascii="Verdana" w:eastAsia="Calibri" w:hAnsi="Verdana" w:cs="Arial"/>
                <w:sz w:val="16"/>
                <w:szCs w:val="16"/>
                <w:lang w:val="es-ES" w:eastAsia="es-ES"/>
              </w:rPr>
              <w:t>Subdirectora de Gestión Contractual ANCP – CCE</w:t>
            </w:r>
          </w:p>
        </w:tc>
      </w:tr>
    </w:tbl>
    <w:p w14:paraId="3EBD5DAB" w14:textId="75B9E198" w:rsidR="005522C2" w:rsidRPr="00F04F3B" w:rsidRDefault="005522C2" w:rsidP="005522C2">
      <w:pPr>
        <w:spacing w:after="0" w:line="276" w:lineRule="auto"/>
        <w:jc w:val="center"/>
        <w:rPr>
          <w:rFonts w:ascii="Verdana" w:hAnsi="Verdana"/>
          <w:lang w:val="es-ES"/>
        </w:rPr>
      </w:pPr>
    </w:p>
    <w:p w14:paraId="01BF474F" w14:textId="77777777" w:rsidR="005522C2" w:rsidRPr="00F04F3B" w:rsidRDefault="005522C2" w:rsidP="005522C2">
      <w:pPr>
        <w:spacing w:after="0" w:line="240" w:lineRule="auto"/>
        <w:textAlignment w:val="baseline"/>
        <w:rPr>
          <w:rFonts w:ascii="Verdana" w:eastAsia="Times New Roman" w:hAnsi="Verdana" w:cs="Segoe UI"/>
          <w:b/>
          <w:bCs/>
          <w:color w:val="46589C"/>
          <w:lang w:val="es-ES" w:eastAsia="es-CO"/>
        </w:rPr>
      </w:pPr>
    </w:p>
    <w:p w14:paraId="221F618A" w14:textId="77777777" w:rsidR="005522C2" w:rsidRPr="00F04F3B" w:rsidRDefault="005522C2" w:rsidP="005522C2">
      <w:pPr>
        <w:rPr>
          <w:rFonts w:ascii="Verdana" w:hAnsi="Verdana"/>
          <w:lang w:val="es-ES"/>
        </w:rPr>
      </w:pPr>
    </w:p>
    <w:p w14:paraId="0F293BF4" w14:textId="6A8EE8F0" w:rsidR="00127233" w:rsidRPr="005522C2" w:rsidRDefault="00127233" w:rsidP="005522C2"/>
    <w:sectPr w:rsidR="00127233" w:rsidRPr="005522C2"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FF5D5" w14:textId="77777777" w:rsidR="00106B93" w:rsidRDefault="00106B93" w:rsidP="004A1847">
      <w:pPr>
        <w:spacing w:after="0" w:line="240" w:lineRule="auto"/>
      </w:pPr>
      <w:r>
        <w:separator/>
      </w:r>
    </w:p>
  </w:endnote>
  <w:endnote w:type="continuationSeparator" w:id="0">
    <w:p w14:paraId="55579E45" w14:textId="77777777" w:rsidR="00106B93" w:rsidRDefault="00106B93" w:rsidP="004A1847">
      <w:pPr>
        <w:spacing w:after="0" w:line="240" w:lineRule="auto"/>
      </w:pPr>
      <w:r>
        <w:continuationSeparator/>
      </w:r>
    </w:p>
  </w:endnote>
  <w:endnote w:type="continuationNotice" w:id="1">
    <w:p w14:paraId="75FF4188" w14:textId="77777777" w:rsidR="00106B93" w:rsidRDefault="00106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orbe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20801" w14:textId="77777777" w:rsidR="00106B93" w:rsidRDefault="00106B93" w:rsidP="004A1847">
      <w:pPr>
        <w:spacing w:after="0" w:line="240" w:lineRule="auto"/>
      </w:pPr>
      <w:r>
        <w:separator/>
      </w:r>
    </w:p>
  </w:footnote>
  <w:footnote w:type="continuationSeparator" w:id="0">
    <w:p w14:paraId="779FB0B7" w14:textId="77777777" w:rsidR="00106B93" w:rsidRDefault="00106B93" w:rsidP="004A1847">
      <w:pPr>
        <w:spacing w:after="0" w:line="240" w:lineRule="auto"/>
      </w:pPr>
      <w:r>
        <w:continuationSeparator/>
      </w:r>
    </w:p>
  </w:footnote>
  <w:footnote w:type="continuationNotice" w:id="1">
    <w:p w14:paraId="1AADF1A2" w14:textId="77777777" w:rsidR="00106B93" w:rsidRDefault="00106B93">
      <w:pPr>
        <w:spacing w:after="0" w:line="240" w:lineRule="auto"/>
      </w:pPr>
    </w:p>
  </w:footnote>
  <w:footnote w:id="2">
    <w:p w14:paraId="650FAF9B" w14:textId="77777777" w:rsidR="0060751B" w:rsidRPr="00161C2E" w:rsidRDefault="0060751B" w:rsidP="0060751B">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PODETTI, Humberto. El contrato de construcción. Buenos Aires: Astrea, 2004. Pp. 254-255.</w:t>
      </w:r>
    </w:p>
  </w:footnote>
  <w:footnote w:id="3">
    <w:p w14:paraId="25D0C92B" w14:textId="77777777" w:rsidR="0060751B" w:rsidRPr="00161C2E" w:rsidRDefault="0060751B" w:rsidP="0060751B">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PLANIOL, Marcel &amp; RIPERT, Jeorge. Tratado práctico de derecho civil francés. Tomo XI. La Habana: Cultural SA, 1940. p. 163. </w:t>
      </w:r>
    </w:p>
  </w:footnote>
  <w:footnote w:id="4">
    <w:p w14:paraId="55C233C3" w14:textId="77777777" w:rsidR="0060751B" w:rsidRPr="00161C2E" w:rsidRDefault="0060751B" w:rsidP="0060751B">
      <w:pPr>
        <w:pStyle w:val="Textonotapie"/>
        <w:snapToGrid w:val="0"/>
        <w:spacing w:before="120" w:after="120"/>
        <w:ind w:firstLine="708"/>
        <w:jc w:val="both"/>
        <w:rPr>
          <w:rFonts w:ascii="Verdana" w:hAnsi="Verdana"/>
          <w:sz w:val="16"/>
          <w:szCs w:val="16"/>
          <w:lang w:val="es-CO"/>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 xml:space="preserve">CONSEJO DE ESTADO. Sala de Consulta y Servicio Civil. </w:t>
      </w:r>
      <w:proofErr w:type="gramStart"/>
      <w:r w:rsidRPr="00161C2E">
        <w:rPr>
          <w:rFonts w:ascii="Verdana" w:hAnsi="Verdana"/>
          <w:sz w:val="16"/>
          <w:szCs w:val="16"/>
          <w:lang w:val="es-CO"/>
        </w:rPr>
        <w:t>C..P</w:t>
      </w:r>
      <w:proofErr w:type="gramEnd"/>
      <w:r w:rsidRPr="00161C2E">
        <w:rPr>
          <w:rFonts w:ascii="Verdana" w:hAnsi="Verdana"/>
          <w:sz w:val="16"/>
          <w:szCs w:val="16"/>
          <w:lang w:val="es-CO"/>
        </w:rPr>
        <w:t xml:space="preserve">: Édgar González López. Sentencia del 5 de septiembre de 2018. Expediente: 2386. </w:t>
      </w:r>
    </w:p>
  </w:footnote>
  <w:footnote w:id="5">
    <w:p w14:paraId="184FD70C" w14:textId="77777777" w:rsidR="0060751B" w:rsidRPr="00161C2E" w:rsidRDefault="0060751B" w:rsidP="0060751B">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ES"/>
        </w:rPr>
        <w:t xml:space="preserve">Por ejemplo, en los conceptos </w:t>
      </w:r>
      <w:r w:rsidRPr="00161C2E">
        <w:rPr>
          <w:rFonts w:ascii="Verdana" w:eastAsia="Century Gothic" w:hAnsi="Verdana" w:cs="Century Gothic"/>
          <w:color w:val="000000" w:themeColor="text1"/>
          <w:sz w:val="16"/>
          <w:szCs w:val="16"/>
          <w:lang w:val="es-ES"/>
        </w:rPr>
        <w:t>C-308 de 2025 y C-1733 de 2026.</w:t>
      </w:r>
    </w:p>
  </w:footnote>
  <w:footnote w:id="6">
    <w:p w14:paraId="2C720D6B" w14:textId="77777777" w:rsidR="0060751B" w:rsidRPr="00161C2E" w:rsidRDefault="0060751B" w:rsidP="0060751B">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 xml:space="preserve">Consejo de Estado, Sala de lo Contencioso Administrativo, Sección Tercera, Subsección A, sentencia del 21 de febrero de 2025, </w:t>
      </w:r>
      <w:proofErr w:type="spellStart"/>
      <w:r w:rsidRPr="00161C2E">
        <w:rPr>
          <w:rFonts w:ascii="Verdana" w:eastAsia="Arial" w:hAnsi="Verdana" w:cs="Arial"/>
          <w:sz w:val="16"/>
          <w:szCs w:val="16"/>
        </w:rPr>
        <w:t>Exp</w:t>
      </w:r>
      <w:proofErr w:type="spellEnd"/>
      <w:r w:rsidRPr="00161C2E">
        <w:rPr>
          <w:rFonts w:ascii="Verdana" w:eastAsia="Arial" w:hAnsi="Verdana" w:cs="Arial"/>
          <w:sz w:val="16"/>
          <w:szCs w:val="16"/>
        </w:rPr>
        <w:t>. 66479 (Rad. 66001-23-33-000-2012-00032-03), C.P. María Adriana Marín. Consultada en la Relatoría ANCP-CCE: https://relatoria.colombiacompra.gov.co/providencias/66001233300020120003203-de-2025/</w:t>
      </w:r>
    </w:p>
  </w:footnote>
  <w:footnote w:id="7">
    <w:p w14:paraId="2E797EF0" w14:textId="77777777" w:rsidR="0060751B" w:rsidRPr="00161C2E" w:rsidRDefault="0060751B" w:rsidP="0060751B">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 xml:space="preserve">Consejo de Estado, sentencia del 21 de febrero de 2025, </w:t>
      </w:r>
      <w:proofErr w:type="spellStart"/>
      <w:r w:rsidRPr="00161C2E">
        <w:rPr>
          <w:rFonts w:ascii="Verdana" w:eastAsia="Arial" w:hAnsi="Verdana" w:cs="Arial"/>
          <w:sz w:val="16"/>
          <w:szCs w:val="16"/>
        </w:rPr>
        <w:t>Exp</w:t>
      </w:r>
      <w:proofErr w:type="spellEnd"/>
      <w:r w:rsidRPr="00161C2E">
        <w:rPr>
          <w:rFonts w:ascii="Verdana" w:eastAsia="Arial" w:hAnsi="Verdana" w:cs="Arial"/>
          <w:sz w:val="16"/>
          <w:szCs w:val="16"/>
        </w:rPr>
        <w:t>. 66479.</w:t>
      </w:r>
    </w:p>
  </w:footnote>
  <w:footnote w:id="8">
    <w:p w14:paraId="06079874" w14:textId="77777777" w:rsidR="0060751B" w:rsidRPr="00161C2E" w:rsidRDefault="0060751B" w:rsidP="0060751B">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Pr>
          <w:rFonts w:ascii="Verdana" w:eastAsia="Arial" w:hAnsi="Verdana" w:cs="Arial"/>
          <w:sz w:val="16"/>
          <w:szCs w:val="16"/>
        </w:rPr>
        <w:t>Ibidem.</w:t>
      </w:r>
    </w:p>
  </w:footnote>
  <w:footnote w:id="9">
    <w:p w14:paraId="6C7056C1" w14:textId="77777777" w:rsidR="0060751B" w:rsidRPr="00161C2E" w:rsidRDefault="0060751B" w:rsidP="0060751B">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 xml:space="preserve">Consejo de Estado, sentencia del 21 de febrero de 2025, </w:t>
      </w:r>
      <w:proofErr w:type="spellStart"/>
      <w:r w:rsidRPr="00161C2E">
        <w:rPr>
          <w:rFonts w:ascii="Verdana" w:eastAsia="Arial" w:hAnsi="Verdana" w:cs="Arial"/>
          <w:sz w:val="16"/>
          <w:szCs w:val="16"/>
        </w:rPr>
        <w:t>Exp</w:t>
      </w:r>
      <w:proofErr w:type="spellEnd"/>
      <w:r w:rsidRPr="00161C2E">
        <w:rPr>
          <w:rFonts w:ascii="Verdana" w:eastAsia="Arial" w:hAnsi="Verdana" w:cs="Arial"/>
          <w:sz w:val="16"/>
          <w:szCs w:val="16"/>
        </w:rPr>
        <w:t>. 66479, cit. (descriptor «SISTEMA DE PAGO POR PRECIOS UNITARIOS O UNIDADES DE OBRA – Ocurrencia de riesgos – Reajuste pactado»).</w:t>
      </w:r>
    </w:p>
  </w:footnote>
  <w:footnote w:id="10">
    <w:p w14:paraId="28C4A4DB"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PODETTI, Humberto. El contrato de construcción. Buenos Aires: Astrea, 2004. Pp. 254-255.</w:t>
      </w:r>
    </w:p>
  </w:footnote>
  <w:footnote w:id="11">
    <w:p w14:paraId="1AF52626"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PLANIOL, Marcel &amp; RIPERT, Jeorge. Tratado práctico de derecho civil francés. Tomo XI. La Habana: Cultural SA, 1940. p. 163. </w:t>
      </w:r>
    </w:p>
  </w:footnote>
  <w:footnote w:id="12">
    <w:p w14:paraId="49C5494F" w14:textId="77777777" w:rsidR="005522C2" w:rsidRPr="00161C2E" w:rsidRDefault="005522C2" w:rsidP="005522C2">
      <w:pPr>
        <w:pStyle w:val="Textonotapie"/>
        <w:snapToGrid w:val="0"/>
        <w:spacing w:before="120" w:after="120"/>
        <w:ind w:firstLine="708"/>
        <w:jc w:val="both"/>
        <w:rPr>
          <w:rFonts w:ascii="Verdana" w:hAnsi="Verdana"/>
          <w:sz w:val="16"/>
          <w:szCs w:val="16"/>
          <w:lang w:val="es-CO"/>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 xml:space="preserve">CONSEJO DE ESTADO. Sala de Consulta y Servicio Civil. </w:t>
      </w:r>
      <w:proofErr w:type="gramStart"/>
      <w:r w:rsidRPr="00161C2E">
        <w:rPr>
          <w:rFonts w:ascii="Verdana" w:hAnsi="Verdana"/>
          <w:sz w:val="16"/>
          <w:szCs w:val="16"/>
          <w:lang w:val="es-CO"/>
        </w:rPr>
        <w:t>C..P</w:t>
      </w:r>
      <w:proofErr w:type="gramEnd"/>
      <w:r w:rsidRPr="00161C2E">
        <w:rPr>
          <w:rFonts w:ascii="Verdana" w:hAnsi="Verdana"/>
          <w:sz w:val="16"/>
          <w:szCs w:val="16"/>
          <w:lang w:val="es-CO"/>
        </w:rPr>
        <w:t xml:space="preserve">: Édgar González López. Sentencia del 5 de septiembre de 2018. Expediente: 2386. </w:t>
      </w:r>
    </w:p>
  </w:footnote>
  <w:footnote w:id="13">
    <w:p w14:paraId="309A3CCF"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ES"/>
        </w:rPr>
        <w:t xml:space="preserve">Por ejemplo, en los conceptos </w:t>
      </w:r>
      <w:r w:rsidRPr="00161C2E">
        <w:rPr>
          <w:rFonts w:ascii="Verdana" w:eastAsia="Century Gothic" w:hAnsi="Verdana" w:cs="Century Gothic"/>
          <w:color w:val="000000" w:themeColor="text1"/>
          <w:sz w:val="16"/>
          <w:szCs w:val="16"/>
          <w:lang w:val="es-ES"/>
        </w:rPr>
        <w:t>C-308 de 2025 y C-1733 de 2026.</w:t>
      </w:r>
    </w:p>
  </w:footnote>
  <w:footnote w:id="14">
    <w:p w14:paraId="281B9443" w14:textId="77777777" w:rsidR="005522C2" w:rsidRPr="00161C2E" w:rsidRDefault="005522C2" w:rsidP="005522C2">
      <w:pPr>
        <w:pStyle w:val="Textonotapie"/>
        <w:snapToGrid w:val="0"/>
        <w:spacing w:before="120" w:after="120"/>
        <w:ind w:firstLine="708"/>
        <w:jc w:val="both"/>
        <w:rPr>
          <w:rFonts w:ascii="Verdana" w:hAnsi="Verdana" w:cs="Arial"/>
          <w:sz w:val="16"/>
          <w:szCs w:val="16"/>
          <w:lang w:val="es-ES_tradnl"/>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sz w:val="16"/>
          <w:szCs w:val="16"/>
          <w:lang w:val="es-ES_tradnl"/>
        </w:rPr>
        <w:t xml:space="preserve">Respecto a la referencia a los bienes inmuebles, debe considerarse la definición de los artículos 656 y 658 del Código Civil, que incluye en esa categoría tanto a los inmuebles por adhesión como por destinación. De esta manera, la referencia contenida en el numeral 1 del artículo 32 la Ley 80 de 1993 a inmuebles debe entenderse que se extiende a los inmuebles anteriormente mencionados, razón por la cual la tipicidad del contrato de obra incluye cualquier clase de trabajo sobre inmuebles por adhesión o por destinación. </w:t>
      </w:r>
    </w:p>
  </w:footnote>
  <w:footnote w:id="15">
    <w:p w14:paraId="4513979F" w14:textId="77777777" w:rsidR="005522C2" w:rsidRPr="00161C2E" w:rsidRDefault="005522C2" w:rsidP="005522C2">
      <w:pPr>
        <w:pStyle w:val="Textonotapie"/>
        <w:snapToGrid w:val="0"/>
        <w:spacing w:before="120" w:after="120"/>
        <w:ind w:firstLine="709"/>
        <w:jc w:val="both"/>
        <w:rPr>
          <w:rFonts w:ascii="Verdana" w:hAnsi="Verdana" w:cs="Arial"/>
          <w:color w:val="000000"/>
          <w:sz w:val="16"/>
          <w:szCs w:val="16"/>
        </w:rPr>
      </w:pPr>
      <w:r w:rsidRPr="00161C2E">
        <w:rPr>
          <w:rStyle w:val="Refdenotaalpie"/>
          <w:rFonts w:ascii="Verdana" w:hAnsi="Verdana" w:cs="Arial"/>
          <w:color w:val="000000"/>
          <w:sz w:val="16"/>
          <w:szCs w:val="16"/>
        </w:rPr>
        <w:footnoteRef/>
      </w:r>
      <w:r w:rsidRPr="00161C2E">
        <w:rPr>
          <w:rFonts w:ascii="Verdana" w:hAnsi="Verdana" w:cs="Arial"/>
          <w:color w:val="000000"/>
          <w:sz w:val="16"/>
          <w:szCs w:val="16"/>
        </w:rPr>
        <w:t xml:space="preserve"> OSPINA MENA, Jesús Marino. Régimen de la Contratación Estatal. Un salto a la contratación liquida. Bogotá: Dike, 2020. p. 168.</w:t>
      </w:r>
    </w:p>
  </w:footnote>
  <w:footnote w:id="16">
    <w:p w14:paraId="1BAC7AF7"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De acuerdo con la norma citada: “Artículo 87. Maduración de proyectos. El numeral 12 del artículo 25 de la Ley 80 de 1993 quedará así:</w:t>
      </w:r>
    </w:p>
    <w:p w14:paraId="42F62528"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Fonts w:ascii="Verdana" w:hAnsi="Verdana"/>
          <w:sz w:val="16"/>
          <w:szCs w:val="16"/>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77FC37AF"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Fonts w:ascii="Verdana" w:hAnsi="Verdana"/>
          <w:sz w:val="16"/>
          <w:szCs w:val="16"/>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footnote>
  <w:footnote w:id="17">
    <w:p w14:paraId="21F131B5"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El artículo 26.3 de la Ley 80 de 1993 dispone que “Las entidades y los servidores públicos, responderán cuando hubieren abierto licitaciones o concursos sin haber elaborado previamente los correspondientes pliegos de condiciones, diseños, estudios, planos y evaluaciones que fueren necesarios, o cuando los pliegos de condiciones hayan sido elaborados en forma incompleta, ambigua o confusa que conduzcan a interpretaciones o decisiones de carácter subjetivo por parte de aquellos”.</w:t>
      </w:r>
    </w:p>
  </w:footnote>
  <w:footnote w:id="18">
    <w:p w14:paraId="3D0CAD6B" w14:textId="77777777" w:rsidR="005522C2" w:rsidRPr="00161C2E" w:rsidRDefault="005522C2" w:rsidP="005522C2">
      <w:pPr>
        <w:snapToGrid w:val="0"/>
        <w:spacing w:before="120" w:after="120" w:line="240" w:lineRule="auto"/>
        <w:ind w:firstLine="709"/>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Decreto 1082 de 2015: “Artículo 2.2.1.1.2.1.1</w:t>
      </w:r>
      <w:r w:rsidRPr="00161C2E">
        <w:rPr>
          <w:rFonts w:ascii="Verdana" w:hAnsi="Verdana" w:cs="Arial"/>
          <w:b/>
          <w:sz w:val="16"/>
          <w:szCs w:val="16"/>
        </w:rPr>
        <w:t xml:space="preserve">. </w:t>
      </w:r>
      <w:r w:rsidRPr="00161C2E">
        <w:rPr>
          <w:rFonts w:ascii="Verdana" w:hAnsi="Verdana" w:cs="Arial"/>
          <w:sz w:val="16"/>
          <w:szCs w:val="16"/>
        </w:rPr>
        <w:t>Estudios y documentos previos</w:t>
      </w:r>
      <w:r w:rsidRPr="00161C2E">
        <w:rPr>
          <w:rFonts w:ascii="Verdana" w:hAnsi="Verdana" w:cs="Arial"/>
          <w:b/>
          <w:i/>
          <w:sz w:val="16"/>
          <w:szCs w:val="16"/>
        </w:rPr>
        <w:t xml:space="preserve">. </w:t>
      </w:r>
      <w:r w:rsidRPr="00161C2E">
        <w:rPr>
          <w:rFonts w:ascii="Verdana" w:hAnsi="Verdana" w:cs="Arial"/>
          <w:sz w:val="16"/>
          <w:szCs w:val="16"/>
        </w:rPr>
        <w:t xml:space="preserve">Los estudios y documentos previos son el soporte para elaborar el proyecto de pliegos, los pliegos de condiciones, y el contrato. Deben permanecer a disposición del público durante el desarrollo del Proceso de Contratación y contener los siguientes elementos, además de los indicados para cada modalidad de selección: “[…] 2. </w:t>
      </w:r>
      <w:proofErr w:type="gramStart"/>
      <w:r w:rsidRPr="00161C2E">
        <w:rPr>
          <w:rFonts w:ascii="Verdana" w:hAnsi="Verdana" w:cs="Arial"/>
          <w:sz w:val="16"/>
          <w:szCs w:val="16"/>
        </w:rPr>
        <w:t>El objeto a contratar</w:t>
      </w:r>
      <w:proofErr w:type="gramEnd"/>
      <w:r w:rsidRPr="00161C2E">
        <w:rPr>
          <w:rFonts w:ascii="Verdana" w:hAnsi="Verdana" w:cs="Arial"/>
          <w:sz w:val="16"/>
          <w:szCs w:val="16"/>
        </w:rPr>
        <w:t>, con sus especificaciones, las autorizaciones, permisos y licencias requeridos para su ejecución, y cuando el contrato incluye diseño y construcción, los documentos técnicos para el desarrollo del proyecto [...]”.</w:t>
      </w:r>
    </w:p>
  </w:footnote>
  <w:footnote w:id="19">
    <w:p w14:paraId="2A65B259"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Al respecto, la doctrina considera que “[…] resulta legalmente posible que se contrate en un mismo proceso el diseño de la obra y su ejecución, en la medida que los estudios previos realizados por la entidad soporten esa necesidad, lo que resulta consistente con la frase final del numeral 2° del artículo 20 del Decreto 1510 de 2013, al disponer que cuando el objeto a contratar comprenda el diseño y construcción de la obra, deberán publicarse los documentos técnicos para el desarrollo del proyecto […]” (Cfr. SUÁREZ BELTRÁN, Gonzalo. Estudios de derecho público contractual: Bogotá: Legis, 2014. p. 6).  </w:t>
      </w:r>
    </w:p>
  </w:footnote>
  <w:footnote w:id="20">
    <w:p w14:paraId="1A77B6F5"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Ley 1682 de 2013: “Artículo 12. En lo que se refiere a la infraestructura de transporte terrestre, aeronáutica, aeroportuaria y acuática, se tendrán en cuenta las siguientes definiciones:</w:t>
      </w:r>
    </w:p>
    <w:p w14:paraId="7DB29870"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Fonts w:ascii="Verdana" w:hAnsi="Verdana" w:cs="Arial"/>
          <w:sz w:val="16"/>
          <w:szCs w:val="16"/>
        </w:rPr>
        <w:t>Estudios de Ingeniería. Sin perjuicio de lo previsto en la Ley</w:t>
      </w:r>
      <w:hyperlink r:id="rId1" w:anchor="Inicio">
        <w:r w:rsidRPr="00161C2E">
          <w:rPr>
            <w:rFonts w:ascii="Verdana" w:hAnsi="Verdana" w:cs="Arial"/>
            <w:sz w:val="16"/>
            <w:szCs w:val="16"/>
          </w:rPr>
          <w:t xml:space="preserve"> 1508 </w:t>
        </w:r>
      </w:hyperlink>
      <w:r w:rsidRPr="00161C2E">
        <w:rPr>
          <w:rFonts w:ascii="Verdana" w:hAnsi="Verdana" w:cs="Arial"/>
          <w:sz w:val="16"/>
          <w:szCs w:val="16"/>
        </w:rPr>
        <w:t>de 2012 y sus decretos reglamentarios, las siguientes definiciones deben tenerse en cuenta en la preparación de los diversos estudios de ingeniería que se adelanten para la ejecución de los proyectos de</w:t>
      </w:r>
      <w:r w:rsidRPr="00161C2E">
        <w:rPr>
          <w:rFonts w:ascii="Verdana" w:hAnsi="Verdana" w:cs="Arial"/>
          <w:spacing w:val="-10"/>
          <w:sz w:val="16"/>
          <w:szCs w:val="16"/>
        </w:rPr>
        <w:t xml:space="preserve"> </w:t>
      </w:r>
      <w:r w:rsidRPr="00161C2E">
        <w:rPr>
          <w:rFonts w:ascii="Verdana" w:hAnsi="Verdana" w:cs="Arial"/>
          <w:sz w:val="16"/>
          <w:szCs w:val="16"/>
        </w:rPr>
        <w:t>infraestructura:</w:t>
      </w:r>
    </w:p>
    <w:p w14:paraId="478EECCF"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Fonts w:ascii="Verdana" w:hAnsi="Verdana" w:cs="Arial"/>
          <w:sz w:val="16"/>
          <w:szCs w:val="16"/>
        </w:rPr>
        <w:t>Fase 1. Prefactibilidad. Es la fase en la cual se debe realizar el prediseño aproximado del proyecto, presentando alternativas y realizar la evaluación económica preliminar recurriendo a costos obtenidos en proyectos con condiciones similares, utilizando modelos de simulación debidamente aprobados por las entidades solicitantes. En esta fase se debe consultar la herramienta o base de datos que determine el Ministerio de Ambiente y Desarrollo Sostenible para tal fin, dentro de la Ventanilla Integral de Trámites Ambientales en Línea (Vital). El objetivo de la fase 1 es surtir el proceso para establecer la alternativa de trazado que a este nivel satisface en mayor medida los requisitos técnicos y financieros.</w:t>
      </w:r>
    </w:p>
    <w:p w14:paraId="511F9F3C"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Fonts w:ascii="Verdana" w:hAnsi="Verdana" w:cs="Arial"/>
          <w:sz w:val="16"/>
          <w:szCs w:val="16"/>
        </w:rPr>
        <w:t>Fase 2. Factibilidad. Es la fase en la cual se debe diseñar el proyecto y efectuar la evaluación económica final, mediante la simulación con el modelo aprobado por las entidades contratantes. Tiene por finalidad establecer si el proyecto es factible para su ejecución, considerando todos los aspectos relacionados con el mismo.</w:t>
      </w:r>
    </w:p>
    <w:p w14:paraId="452C9910"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Fonts w:ascii="Verdana" w:hAnsi="Verdana" w:cs="Arial"/>
          <w:sz w:val="16"/>
          <w:szCs w:val="16"/>
        </w:rPr>
        <w:t>En esta fase se identifican las redes, infraestructuras y activos existentes, las comunidades étnicas y el patrimonio urbano, arquitectónico, cultural y arqueológico que puedan impactar el proyecto, así como títulos mineros en procesos de adjudicación, otorgados, existentes y en explotación.</w:t>
      </w:r>
    </w:p>
    <w:p w14:paraId="5AF8D39A"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Fonts w:ascii="Verdana" w:hAnsi="Verdana" w:cs="Arial"/>
          <w:sz w:val="16"/>
          <w:szCs w:val="16"/>
        </w:rPr>
        <w:t>Desarrollados los estudios de factibilidad del proyecto, podrá la entidad pública o el responsable del diseño si ya fue adjudicado el proyecto, continuar con la elaboración de los diseños definitivos.</w:t>
      </w:r>
    </w:p>
    <w:p w14:paraId="16DA9E27" w14:textId="77777777" w:rsidR="005522C2" w:rsidRPr="00161C2E" w:rsidRDefault="005522C2" w:rsidP="005522C2">
      <w:pPr>
        <w:snapToGrid w:val="0"/>
        <w:spacing w:before="120" w:after="120" w:line="240" w:lineRule="auto"/>
        <w:ind w:firstLine="709"/>
        <w:jc w:val="both"/>
        <w:rPr>
          <w:rFonts w:ascii="Verdana" w:hAnsi="Verdana"/>
          <w:sz w:val="16"/>
          <w:szCs w:val="16"/>
        </w:rPr>
      </w:pPr>
      <w:r w:rsidRPr="00161C2E">
        <w:rPr>
          <w:rFonts w:ascii="Verdana" w:hAnsi="Verdana" w:cs="Arial"/>
          <w:sz w:val="16"/>
          <w:szCs w:val="16"/>
        </w:rPr>
        <w:t>Finalizada esta fase de factibilidad, la entidad pública o el contratista, si ya fue adjudicado el proyecto de infraestructura de transporte, adelantará el estudio de impacto ambiental, el cual será sometido a aprobación de la autoridad ambiental quien otorgará la licencia</w:t>
      </w:r>
      <w:r w:rsidRPr="00161C2E">
        <w:rPr>
          <w:rFonts w:ascii="Verdana" w:hAnsi="Verdana" w:cs="Arial"/>
          <w:spacing w:val="-6"/>
          <w:sz w:val="16"/>
          <w:szCs w:val="16"/>
        </w:rPr>
        <w:t xml:space="preserve"> </w:t>
      </w:r>
      <w:r w:rsidRPr="00161C2E">
        <w:rPr>
          <w:rFonts w:ascii="Verdana" w:hAnsi="Verdana" w:cs="Arial"/>
          <w:sz w:val="16"/>
          <w:szCs w:val="16"/>
        </w:rPr>
        <w:t>respectiva.</w:t>
      </w:r>
    </w:p>
    <w:p w14:paraId="5BF20486" w14:textId="77777777" w:rsidR="005522C2" w:rsidRPr="00161C2E" w:rsidRDefault="005522C2" w:rsidP="005522C2">
      <w:pPr>
        <w:snapToGrid w:val="0"/>
        <w:spacing w:before="120" w:after="120" w:line="240" w:lineRule="auto"/>
        <w:ind w:firstLine="708"/>
        <w:jc w:val="both"/>
        <w:rPr>
          <w:rFonts w:ascii="Verdana" w:hAnsi="Verdana" w:cs="Arial"/>
          <w:sz w:val="16"/>
          <w:szCs w:val="16"/>
        </w:rPr>
      </w:pPr>
      <w:r w:rsidRPr="00161C2E">
        <w:rPr>
          <w:rFonts w:ascii="Verdana" w:hAnsi="Verdana" w:cs="Arial"/>
          <w:sz w:val="16"/>
          <w:szCs w:val="16"/>
        </w:rPr>
        <w:t xml:space="preserve">Fase 3. Estudios y diseños definitivos. Es la fase en la cual se deben elaborar los diseños detallados tanto geométricos como de todas las estructuras y obras que se requieran, de tal forma que un constructor pueda materializar el proyecto. El objetivo de esta fase es materializar en campo el proyecto definitivo y diseñar todos sus componentes de tal manera que se pueda </w:t>
      </w:r>
      <w:proofErr w:type="gramStart"/>
      <w:r w:rsidRPr="00161C2E">
        <w:rPr>
          <w:rFonts w:ascii="Verdana" w:hAnsi="Verdana" w:cs="Arial"/>
          <w:sz w:val="16"/>
          <w:szCs w:val="16"/>
        </w:rPr>
        <w:t>dar inicio a</w:t>
      </w:r>
      <w:proofErr w:type="gramEnd"/>
      <w:r w:rsidRPr="00161C2E">
        <w:rPr>
          <w:rFonts w:ascii="Verdana" w:hAnsi="Verdana" w:cs="Arial"/>
          <w:sz w:val="16"/>
          <w:szCs w:val="16"/>
        </w:rPr>
        <w:t xml:space="preserve"> su construcción”.</w:t>
      </w:r>
    </w:p>
  </w:footnote>
  <w:footnote w:id="21">
    <w:p w14:paraId="6EA47805"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cs="Arial"/>
          <w:sz w:val="16"/>
          <w:szCs w:val="16"/>
          <w:lang w:val="es-ES"/>
        </w:rPr>
        <w:t xml:space="preserve">Guía para la contratación de obra pública, expedida por Colombia Compra Eficiente. </w:t>
      </w:r>
      <w:proofErr w:type="spellStart"/>
      <w:r w:rsidRPr="00161C2E">
        <w:rPr>
          <w:rFonts w:ascii="Verdana" w:hAnsi="Verdana" w:cs="Arial"/>
          <w:sz w:val="16"/>
          <w:szCs w:val="16"/>
          <w:lang w:val="es-ES"/>
        </w:rPr>
        <w:t>Pág</w:t>
      </w:r>
      <w:proofErr w:type="spellEnd"/>
      <w:r w:rsidRPr="00161C2E">
        <w:rPr>
          <w:rFonts w:ascii="Verdana" w:hAnsi="Verdana" w:cs="Arial"/>
          <w:sz w:val="16"/>
          <w:szCs w:val="16"/>
          <w:lang w:val="es-ES"/>
        </w:rPr>
        <w:t xml:space="preserve"> 13. Disponible en:</w:t>
      </w:r>
      <w:r w:rsidRPr="00161C2E">
        <w:rPr>
          <w:rFonts w:ascii="Verdana" w:hAnsi="Verdana"/>
          <w:sz w:val="16"/>
          <w:szCs w:val="16"/>
        </w:rPr>
        <w:t xml:space="preserve"> </w:t>
      </w:r>
      <w:r w:rsidRPr="00161C2E">
        <w:rPr>
          <w:rFonts w:ascii="Verdana" w:hAnsi="Verdana" w:cs="Arial"/>
          <w:sz w:val="16"/>
          <w:szCs w:val="16"/>
          <w:lang w:val="es-ES"/>
        </w:rPr>
        <w:t>https://www.colombiacompra.gov.co/wp-content/uploads/2024/08/Guia-para-la-Contratacion-de-Obra-Publica-2026-JulioVs3-OriginalFirmado.pdf</w:t>
      </w:r>
    </w:p>
  </w:footnote>
  <w:footnote w:id="22">
    <w:p w14:paraId="369D54DF" w14:textId="77777777" w:rsidR="005522C2" w:rsidRPr="00161C2E" w:rsidRDefault="005522C2" w:rsidP="005522C2">
      <w:pPr>
        <w:pStyle w:val="Textonotapie"/>
        <w:snapToGrid w:val="0"/>
        <w:spacing w:before="120" w:after="120"/>
        <w:ind w:firstLine="709"/>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 xml:space="preserve">Sección Tercera de la Sala de lo Contencioso Administrativo del Consejo de Estado. C.P. Dra. Ruth Stella Correa. Expediente No. 18.080 – sentencia del 31 de </w:t>
      </w:r>
      <w:proofErr w:type="spellStart"/>
      <w:r w:rsidRPr="00161C2E">
        <w:rPr>
          <w:rFonts w:ascii="Verdana" w:hAnsi="Verdana"/>
          <w:sz w:val="16"/>
          <w:szCs w:val="16"/>
          <w:lang w:val="es-CO"/>
        </w:rPr>
        <w:t>gosto</w:t>
      </w:r>
      <w:proofErr w:type="spellEnd"/>
      <w:r w:rsidRPr="00161C2E">
        <w:rPr>
          <w:rFonts w:ascii="Verdana" w:hAnsi="Verdana"/>
          <w:sz w:val="16"/>
          <w:szCs w:val="16"/>
          <w:lang w:val="es-CO"/>
        </w:rPr>
        <w:t xml:space="preserve"> de 2011</w:t>
      </w:r>
    </w:p>
  </w:footnote>
  <w:footnote w:id="23">
    <w:p w14:paraId="4CCDCEFF" w14:textId="77777777" w:rsidR="005522C2" w:rsidRPr="00161C2E" w:rsidRDefault="005522C2" w:rsidP="005522C2">
      <w:pPr>
        <w:pStyle w:val="Textonotapie"/>
        <w:snapToGrid w:val="0"/>
        <w:spacing w:before="120" w:after="120"/>
        <w:ind w:firstLine="709"/>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CÁMARA DE COMERCIO DE BOGOTÁ. Laudo TA-CCB-20040531 del 31 de mayo de 2004. Concesión Santa Marta Paraguachón vs. Instituto Nacional de Vías. Consultado el 4 de mayo de 2023 en la página https://bibliotecadigital.ccb.org.co/bitstream/handle/11520/21630/738_V_Concesion_Santa_Marta_Paraguachon_VS_Invias_2004_05_31.pdf?sequenc e=1&amp;isAllowed=y.</w:t>
      </w:r>
    </w:p>
  </w:footnote>
  <w:footnote w:id="24">
    <w:p w14:paraId="0E8ADA44" w14:textId="77777777" w:rsidR="005522C2" w:rsidRPr="00161C2E" w:rsidRDefault="005522C2" w:rsidP="005522C2">
      <w:pPr>
        <w:pStyle w:val="Textonotapie"/>
        <w:snapToGrid w:val="0"/>
        <w:spacing w:before="120" w:after="120"/>
        <w:ind w:firstLine="709"/>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ES"/>
        </w:rPr>
        <w:t>Así lo dispuso esta Agencia en el concepto C-</w:t>
      </w:r>
      <w:r w:rsidRPr="00161C2E">
        <w:rPr>
          <w:rFonts w:ascii="Verdana" w:hAnsi="Verdana"/>
          <w:sz w:val="16"/>
          <w:szCs w:val="16"/>
        </w:rPr>
        <w:t xml:space="preserve"> </w:t>
      </w:r>
      <w:r w:rsidRPr="00161C2E">
        <w:rPr>
          <w:rFonts w:ascii="Verdana" w:hAnsi="Verdana"/>
          <w:sz w:val="16"/>
          <w:szCs w:val="16"/>
          <w:lang w:val="es-ES"/>
        </w:rPr>
        <w:t>431 de 2023</w:t>
      </w:r>
    </w:p>
  </w:footnote>
  <w:footnote w:id="25">
    <w:p w14:paraId="7FE41D12" w14:textId="77777777" w:rsidR="005522C2" w:rsidRPr="00161C2E" w:rsidRDefault="005522C2" w:rsidP="005522C2">
      <w:pPr>
        <w:pStyle w:val="Textonotapie"/>
        <w:snapToGrid w:val="0"/>
        <w:spacing w:before="120" w:after="120"/>
        <w:ind w:firstLine="709"/>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CABARCAS GÓMEZ, Freddy M., Condiciones imprevistas en los contratos de construcción de infraestructura, Universidad Externado de Colombia, 2018, pp. 523.</w:t>
      </w:r>
    </w:p>
  </w:footnote>
  <w:footnote w:id="26">
    <w:p w14:paraId="6D3C287B" w14:textId="77777777" w:rsidR="005522C2" w:rsidRPr="00161C2E" w:rsidRDefault="005522C2" w:rsidP="005522C2">
      <w:pPr>
        <w:pStyle w:val="Textonotapie"/>
        <w:snapToGrid w:val="0"/>
        <w:spacing w:before="120" w:after="120"/>
        <w:ind w:firstLine="709"/>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Ibídem, pp. 103-104</w:t>
      </w:r>
    </w:p>
  </w:footnote>
  <w:footnote w:id="27">
    <w:p w14:paraId="37E9FB15"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PODETTI, Humberto. El contrato de construcción. Buenos Aires: Astrea, 2004. Pp. 254-255.</w:t>
      </w:r>
    </w:p>
  </w:footnote>
  <w:footnote w:id="28">
    <w:p w14:paraId="26522CF9"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PLANIOL, Marcel &amp; RIPERT, Jeorge. Tratado práctico de derecho civil francés. Tomo XI. La Habana: Cultural SA, 1940. p. 163. </w:t>
      </w:r>
    </w:p>
  </w:footnote>
  <w:footnote w:id="29">
    <w:p w14:paraId="399405DA" w14:textId="77777777" w:rsidR="005522C2" w:rsidRPr="00161C2E" w:rsidRDefault="005522C2" w:rsidP="005522C2">
      <w:pPr>
        <w:pStyle w:val="Textonotapie"/>
        <w:snapToGrid w:val="0"/>
        <w:spacing w:before="120" w:after="120"/>
        <w:ind w:firstLine="708"/>
        <w:jc w:val="both"/>
        <w:rPr>
          <w:rFonts w:ascii="Verdana" w:hAnsi="Verdana"/>
          <w:sz w:val="16"/>
          <w:szCs w:val="16"/>
          <w:lang w:val="es-CO"/>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 xml:space="preserve">CONSEJO DE ESTADO. Sala de Consulta y Servicio Civil. </w:t>
      </w:r>
      <w:proofErr w:type="gramStart"/>
      <w:r w:rsidRPr="00161C2E">
        <w:rPr>
          <w:rFonts w:ascii="Verdana" w:hAnsi="Verdana"/>
          <w:sz w:val="16"/>
          <w:szCs w:val="16"/>
          <w:lang w:val="es-CO"/>
        </w:rPr>
        <w:t>C..P</w:t>
      </w:r>
      <w:proofErr w:type="gramEnd"/>
      <w:r w:rsidRPr="00161C2E">
        <w:rPr>
          <w:rFonts w:ascii="Verdana" w:hAnsi="Verdana"/>
          <w:sz w:val="16"/>
          <w:szCs w:val="16"/>
          <w:lang w:val="es-CO"/>
        </w:rPr>
        <w:t xml:space="preserve">: Édgar González López. Sentencia del 5 de septiembre de 2018. Expediente: 2386. </w:t>
      </w:r>
    </w:p>
  </w:footnote>
  <w:footnote w:id="30">
    <w:p w14:paraId="7EB15B47"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CONSEJO DE ESTADO. Sala de lo Contencioso Administrativo. Sección Tercera. Subsección A. C.P.: Hernán Andrade Rincón (E). Sentencia del 29 de julio de 2015. Radicación número: 68001-23-31-000-2002-02796-01 (41.008).</w:t>
      </w:r>
    </w:p>
  </w:footnote>
  <w:footnote w:id="31">
    <w:p w14:paraId="75079FE3"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CONSEJO DE ESTADO. Sala de lo Contencioso Administrativo. Sección Tercera Subsección A. C.P.: María Adriana Marín. Sentencia del 22 de agosto de 2023. Radicación número: 85001-23-33-000-2015-00211-01 (58.634). </w:t>
      </w:r>
    </w:p>
  </w:footnote>
  <w:footnote w:id="32">
    <w:p w14:paraId="408DB349" w14:textId="77777777" w:rsidR="005522C2" w:rsidRPr="00161C2E" w:rsidRDefault="005522C2" w:rsidP="005522C2">
      <w:pPr>
        <w:pStyle w:val="Textonotapie"/>
        <w:snapToGrid w:val="0"/>
        <w:spacing w:before="120" w:after="120"/>
        <w:ind w:firstLine="709"/>
        <w:jc w:val="both"/>
        <w:rPr>
          <w:rFonts w:ascii="Verdana" w:hAnsi="Verdana" w:cs="Arial"/>
          <w:color w:val="000000" w:themeColor="text1"/>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color w:val="000000" w:themeColor="text1"/>
          <w:sz w:val="16"/>
          <w:szCs w:val="16"/>
        </w:rPr>
        <w:t xml:space="preserve">CONSEJO DE ESTADO. </w:t>
      </w:r>
      <w:r w:rsidRPr="00161C2E">
        <w:rPr>
          <w:rFonts w:ascii="Verdana" w:hAnsi="Verdana"/>
          <w:sz w:val="16"/>
          <w:szCs w:val="16"/>
        </w:rPr>
        <w:t xml:space="preserve">Sala de lo Contencioso Administrativo. </w:t>
      </w:r>
      <w:r w:rsidRPr="00161C2E">
        <w:rPr>
          <w:rFonts w:ascii="Verdana" w:hAnsi="Verdana" w:cs="Arial"/>
          <w:color w:val="000000" w:themeColor="text1"/>
          <w:sz w:val="16"/>
          <w:szCs w:val="16"/>
        </w:rPr>
        <w:t xml:space="preserve">Sección Tercera. Subsección B. </w:t>
      </w:r>
      <w:r w:rsidRPr="00161C2E">
        <w:rPr>
          <w:rFonts w:ascii="Verdana" w:hAnsi="Verdana"/>
          <w:sz w:val="16"/>
          <w:szCs w:val="16"/>
          <w:lang w:val="es-CO"/>
        </w:rPr>
        <w:t xml:space="preserve">C.P: </w:t>
      </w:r>
      <w:r w:rsidRPr="00161C2E">
        <w:rPr>
          <w:rFonts w:ascii="Verdana" w:hAnsi="Verdana" w:cs="Arial"/>
          <w:color w:val="000000" w:themeColor="text1"/>
          <w:sz w:val="16"/>
          <w:szCs w:val="16"/>
        </w:rPr>
        <w:t>Ruth Stella Correa Palacio. Sentencia del 14 de octubre de 2011. Expediente: 20811.</w:t>
      </w:r>
    </w:p>
  </w:footnote>
  <w:footnote w:id="33">
    <w:p w14:paraId="1723E00C"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eastAsia="Calibri" w:hAnsi="Verdana" w:cs="Arial"/>
          <w:sz w:val="16"/>
          <w:szCs w:val="16"/>
          <w:lang w:val="es-ES_tradnl" w:eastAsia="es-ES_tradnl"/>
        </w:rPr>
        <w:t>CONSEJO DE ESTADO. Sección Tercera. Subsección B. Sentencia del 29 de febrero de 2012. Exp. 16371, C.P. Danilo Rojas Betancourth.</w:t>
      </w:r>
    </w:p>
  </w:footnote>
  <w:footnote w:id="34">
    <w:p w14:paraId="5656EEBF"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Consejo de Estado. Sección Tercera. Sentencia del 29 de febrero de 2012. Rad:16371</w:t>
      </w:r>
    </w:p>
  </w:footnote>
  <w:footnote w:id="35">
    <w:p w14:paraId="6011ECAD"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ES"/>
        </w:rPr>
        <w:t>Ídem.</w:t>
      </w:r>
    </w:p>
  </w:footnote>
  <w:footnote w:id="36">
    <w:p w14:paraId="2AB19A24"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Consejo de Estado. Sección Tercera. Sentencia del 14 de marzo de 2013. Rad:20.524.</w:t>
      </w:r>
    </w:p>
  </w:footnote>
  <w:footnote w:id="37">
    <w:p w14:paraId="7A732321"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Consejo de Estado. Sección Tercera. Sentencia del veintiocho (28) de febrero de dos mil veintidós (2022). C.P. Nicolás Yepes Corrales. Rad. 65483.</w:t>
      </w:r>
    </w:p>
  </w:footnote>
  <w:footnote w:id="38">
    <w:p w14:paraId="2E1790D7" w14:textId="77777777" w:rsidR="005522C2" w:rsidRPr="00161C2E" w:rsidRDefault="005522C2" w:rsidP="005522C2">
      <w:pPr>
        <w:pStyle w:val="Textonotapie"/>
        <w:snapToGrid w:val="0"/>
        <w:spacing w:before="120" w:after="120"/>
        <w:ind w:firstLine="709"/>
        <w:jc w:val="both"/>
        <w:rPr>
          <w:rFonts w:ascii="Verdana" w:eastAsia="Calibri" w:hAnsi="Verdana" w:cs="Arial"/>
          <w:sz w:val="16"/>
          <w:szCs w:val="16"/>
          <w:lang w:val="es-ES_tradnl" w:eastAsia="es-ES_tradnl"/>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eastAsia="Calibri" w:hAnsi="Verdana" w:cs="Arial"/>
          <w:sz w:val="16"/>
          <w:szCs w:val="16"/>
          <w:lang w:val="es-ES_tradnl" w:eastAsia="es-ES_tradnl"/>
        </w:rPr>
        <w:t xml:space="preserve">MARÍN, </w:t>
      </w:r>
      <w:proofErr w:type="spellStart"/>
      <w:r w:rsidRPr="00161C2E">
        <w:rPr>
          <w:rFonts w:ascii="Verdana" w:eastAsia="Calibri" w:hAnsi="Verdana" w:cs="Arial"/>
          <w:sz w:val="16"/>
          <w:szCs w:val="16"/>
          <w:lang w:val="es-ES_tradnl" w:eastAsia="es-ES_tradnl"/>
        </w:rPr>
        <w:t>Op</w:t>
      </w:r>
      <w:proofErr w:type="spellEnd"/>
      <w:r w:rsidRPr="00161C2E">
        <w:rPr>
          <w:rFonts w:ascii="Verdana" w:eastAsia="Calibri" w:hAnsi="Verdana" w:cs="Arial"/>
          <w:sz w:val="16"/>
          <w:szCs w:val="16"/>
          <w:lang w:val="es-ES_tradnl" w:eastAsia="es-ES_tradnl"/>
        </w:rPr>
        <w:t>. Cit., pp. 64-65.</w:t>
      </w:r>
    </w:p>
  </w:footnote>
  <w:footnote w:id="39">
    <w:p w14:paraId="591C58A7" w14:textId="77777777" w:rsidR="005522C2" w:rsidRPr="00161C2E" w:rsidRDefault="005522C2" w:rsidP="005522C2">
      <w:pPr>
        <w:pStyle w:val="Textonotapie"/>
        <w:snapToGrid w:val="0"/>
        <w:spacing w:before="120" w:after="120"/>
        <w:ind w:firstLine="709"/>
        <w:jc w:val="both"/>
        <w:rPr>
          <w:rFonts w:ascii="Verdana" w:hAnsi="Verdana" w:cs="Arial"/>
          <w:sz w:val="16"/>
          <w:szCs w:val="16"/>
          <w:lang w:val="es-ES"/>
        </w:rPr>
      </w:pPr>
      <w:r w:rsidRPr="00161C2E">
        <w:rPr>
          <w:rStyle w:val="Refdenotaalpie"/>
          <w:rFonts w:ascii="Verdana" w:hAnsi="Verdana" w:cs="Arial"/>
          <w:sz w:val="16"/>
          <w:szCs w:val="16"/>
        </w:rPr>
        <w:footnoteRef/>
      </w:r>
      <w:r w:rsidRPr="00161C2E">
        <w:rPr>
          <w:rFonts w:ascii="Verdana" w:hAnsi="Verdana" w:cs="Arial"/>
          <w:sz w:val="16"/>
          <w:szCs w:val="16"/>
        </w:rPr>
        <w:t xml:space="preserve"> </w:t>
      </w:r>
      <w:proofErr w:type="spellStart"/>
      <w:r w:rsidRPr="00161C2E">
        <w:rPr>
          <w:rFonts w:ascii="Verdana" w:eastAsia="Calibri" w:hAnsi="Verdana" w:cs="Arial"/>
          <w:sz w:val="16"/>
          <w:szCs w:val="16"/>
          <w:lang w:val="es-ES_tradnl" w:eastAsia="es-ES_tradnl"/>
        </w:rPr>
        <w:t>Ibíd</w:t>
      </w:r>
      <w:proofErr w:type="spellEnd"/>
      <w:r w:rsidRPr="00161C2E">
        <w:rPr>
          <w:rFonts w:ascii="Verdana" w:eastAsia="Calibri" w:hAnsi="Verdana" w:cs="Arial"/>
          <w:sz w:val="16"/>
          <w:szCs w:val="16"/>
          <w:lang w:val="es-ES_tradnl" w:eastAsia="es-ES_tradnl"/>
        </w:rPr>
        <w:t>., p. 66.</w:t>
      </w:r>
    </w:p>
  </w:footnote>
  <w:footnote w:id="40">
    <w:p w14:paraId="2F81E2A0" w14:textId="77777777" w:rsidR="005522C2" w:rsidRPr="00161C2E" w:rsidRDefault="005522C2" w:rsidP="005522C2">
      <w:pPr>
        <w:pStyle w:val="Textonotapie"/>
        <w:snapToGrid w:val="0"/>
        <w:spacing w:before="120" w:after="120"/>
        <w:ind w:firstLine="708"/>
        <w:jc w:val="both"/>
        <w:rPr>
          <w:rFonts w:ascii="Verdana" w:hAnsi="Verdana" w:cs="Arial"/>
          <w:bCs/>
          <w:sz w:val="16"/>
          <w:szCs w:val="16"/>
          <w:lang w:val="es-ES_tradnl"/>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eastAsia="Calibri" w:hAnsi="Verdana" w:cs="Arial"/>
          <w:sz w:val="16"/>
          <w:szCs w:val="16"/>
          <w:lang w:val="es-ES_tradnl" w:eastAsia="es-ES_tradnl"/>
        </w:rPr>
        <w:t>“Que el porcentaje sea superior o inferior, o que para una empresa sea mayor o menor que para otra, depende de muchas razones, por ejemplo: del personal que se requiera en la obra –unas empresas emplean más o menos que otras–; de la magnitud del trabajo; de las cargas administrativas que cada empresa tienen –pensionados, convenciones colectivas y otros; del tamaño de la misma –mientras más grande es la A tiende a ser mayor; del costo de los campamentos; del transporte del personal; del sitio de las obras –si la empresa tiene un domicilio en el lugar del trabajo su A tiende a ser menor, y si se encuentra en otra ciudad tiende a subir, por ejemplo porque el salario de los ingenieros se incrementa por los viáticos–”. (</w:t>
      </w:r>
      <w:proofErr w:type="spellStart"/>
      <w:r w:rsidRPr="00161C2E">
        <w:rPr>
          <w:rFonts w:ascii="Verdana" w:eastAsia="Calibri" w:hAnsi="Verdana" w:cs="Arial"/>
          <w:sz w:val="16"/>
          <w:szCs w:val="16"/>
          <w:lang w:val="es-ES_tradnl" w:eastAsia="es-ES_tradnl"/>
        </w:rPr>
        <w:t>Ibíd</w:t>
      </w:r>
      <w:proofErr w:type="spellEnd"/>
      <w:r w:rsidRPr="00161C2E">
        <w:rPr>
          <w:rFonts w:ascii="Verdana" w:eastAsia="Calibri" w:hAnsi="Verdana" w:cs="Arial"/>
          <w:sz w:val="16"/>
          <w:szCs w:val="16"/>
          <w:lang w:val="es-ES_tradnl" w:eastAsia="es-ES_tradnl"/>
        </w:rPr>
        <w:t>, p. 76).</w:t>
      </w:r>
    </w:p>
  </w:footnote>
  <w:footnote w:id="41">
    <w:p w14:paraId="24DFD371"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eastAsia="Calibri" w:hAnsi="Verdana" w:cs="Arial"/>
          <w:sz w:val="16"/>
          <w:szCs w:val="16"/>
          <w:lang w:val="es-ES_tradnl" w:eastAsia="es-ES_tradnl"/>
        </w:rPr>
        <w:t>Lo anterior, sin perjuicio de las fórmulas de reajuste que se establezcan en el contrato y lo establecido en el artículo 27 de la Ley 80 de 1993. En tal sentido, en los casos de desequilibrio económico, porque los costos indirectos en los que incurre el contratista exceden el alea normal, es decir, le causan una afectación grave de su economía, podría exigirle a la entidad que le pague más de lo que se estipuló en la A o en la I, siendo esta una circunstancia extraordinaria.</w:t>
      </w:r>
    </w:p>
  </w:footnote>
  <w:footnote w:id="42">
    <w:p w14:paraId="39BF5C2F"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Ley 1150 de 2007, artículo 4. ANCP-CCE, Conceptos C-1348 de 2025 y C-288 de 2024, cit. En el mismo sentido, el CONPES 3714 de 2011 definió lineamientos para el entendimiento del concepto de «riesgo previsible» en los procesos de selección sometidos al EGCAP.</w:t>
      </w:r>
    </w:p>
  </w:footnote>
  <w:footnote w:id="43">
    <w:p w14:paraId="7D405182"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Consejo de Estado, Sala de lo Contencioso Administrativo, Sección Tercera, Subsección A, sentencia del 21 de febrero de 2025, Exp. 66479 (Rad. 66001-23-33-000-2012-00032-03), C.P. María Adriana Marín. Consultada en la Relatoría ANCP-CCE: https://relatoria.colombiacompra.gov.co/providencias/66001233300020120003203-de-2025/</w:t>
      </w:r>
    </w:p>
  </w:footnote>
  <w:footnote w:id="44">
    <w:p w14:paraId="2783F1A6"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Consejo de Estado, sentencia del 21 de febrero de 2025, Exp. 66479.</w:t>
      </w:r>
    </w:p>
  </w:footnote>
  <w:footnote w:id="45">
    <w:p w14:paraId="0BDA25E1"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Pr>
          <w:rFonts w:ascii="Verdana" w:eastAsia="Arial" w:hAnsi="Verdana" w:cs="Arial"/>
          <w:sz w:val="16"/>
          <w:szCs w:val="16"/>
        </w:rPr>
        <w:t>Ibidem.</w:t>
      </w:r>
    </w:p>
  </w:footnote>
  <w:footnote w:id="46">
    <w:p w14:paraId="4AEBE189"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eastAsia="Arial" w:hAnsi="Verdana" w:cs="Arial"/>
          <w:sz w:val="16"/>
          <w:szCs w:val="16"/>
        </w:rPr>
        <w:t>Consejo de Estado, sentencia del 21 de febrero de 2025, Exp. 66479, cit. (descriptor «SISTEMA DE PAGO POR PRECIOS UNITARIOS O UNIDADES DE OBRA – Ocurrencia de riesgos – Reajuste pactado»).</w:t>
      </w:r>
    </w:p>
  </w:footnote>
  <w:footnote w:id="47">
    <w:p w14:paraId="56381278" w14:textId="77777777" w:rsidR="005522C2" w:rsidRPr="00F04F3B" w:rsidRDefault="005522C2" w:rsidP="005522C2">
      <w:pPr>
        <w:pStyle w:val="Textonotapie"/>
        <w:snapToGrid w:val="0"/>
        <w:spacing w:before="120" w:after="120"/>
        <w:ind w:firstLine="708"/>
        <w:jc w:val="both"/>
        <w:rPr>
          <w:rFonts w:ascii="Verdana" w:hAnsi="Verdana" w:cs="Arial"/>
          <w:color w:val="000000"/>
          <w:sz w:val="16"/>
          <w:szCs w:val="16"/>
        </w:rPr>
      </w:pPr>
      <w:r w:rsidRPr="00161C2E">
        <w:rPr>
          <w:rStyle w:val="Refdenotaalpie"/>
          <w:rFonts w:ascii="Verdana" w:hAnsi="Verdana" w:cs="Arial"/>
          <w:color w:val="000000"/>
          <w:sz w:val="16"/>
          <w:szCs w:val="16"/>
        </w:rPr>
        <w:footnoteRef/>
      </w:r>
      <w:r w:rsidRPr="00161C2E">
        <w:rPr>
          <w:rFonts w:ascii="Verdana" w:hAnsi="Verdana" w:cs="Arial"/>
          <w:color w:val="000000"/>
          <w:sz w:val="16"/>
          <w:szCs w:val="16"/>
        </w:rPr>
        <w:t xml:space="preserve"> Lo anterior, sin perjuicio de lo prescrito por la Ley 1474 de 2011, que en su artículo 85, en relación con los contratos de interventoría, excepciona la aplicación de la restricción analizada, de manera que podrán adicionarse sin importar su monto: «Artículo 85. Continuidad de la interventoría. Los contratos de interventoría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p>
  </w:footnote>
  <w:footnote w:id="48">
    <w:p w14:paraId="40296D4B"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ES"/>
        </w:rPr>
        <w:t xml:space="preserve">Por ejemplo, en los conceptos </w:t>
      </w:r>
      <w:r w:rsidRPr="00161C2E">
        <w:rPr>
          <w:rFonts w:ascii="Verdana" w:eastAsia="Century Gothic" w:hAnsi="Verdana" w:cs="Century Gothic"/>
          <w:color w:val="000000" w:themeColor="text1"/>
          <w:sz w:val="16"/>
          <w:szCs w:val="16"/>
          <w:lang w:val="es-ES"/>
        </w:rPr>
        <w:t>C-308 de 2025 y C-1733 de 2026.</w:t>
      </w:r>
    </w:p>
  </w:footnote>
  <w:footnote w:id="49">
    <w:p w14:paraId="1052BF13"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eastAsia="Arial" w:hAnsi="Verdana" w:cs="Arial"/>
          <w:color w:val="000000"/>
          <w:sz w:val="16"/>
          <w:szCs w:val="16"/>
          <w:lang w:val="es-ES" w:eastAsia="es-ES" w:bidi="es-ES"/>
        </w:rPr>
        <w:t xml:space="preserve">Concepto 2263 del 17 de marzo del 2016, la Sala de Consulta y Servicio Civil del Consejo de Estado que precisó que la regla general es la </w:t>
      </w:r>
      <w:r w:rsidRPr="00161C2E">
        <w:rPr>
          <w:rFonts w:ascii="Verdana" w:eastAsia="Arial" w:hAnsi="Verdana" w:cs="Arial"/>
          <w:i/>
          <w:iCs/>
          <w:color w:val="000000"/>
          <w:sz w:val="16"/>
          <w:szCs w:val="16"/>
          <w:lang w:val="es-ES" w:eastAsia="es-ES" w:bidi="es-ES"/>
        </w:rPr>
        <w:t>no modificación</w:t>
      </w:r>
      <w:r w:rsidRPr="00161C2E">
        <w:rPr>
          <w:rFonts w:ascii="Verdana" w:eastAsia="Arial" w:hAnsi="Verdana" w:cs="Arial"/>
          <w:color w:val="000000"/>
          <w:sz w:val="16"/>
          <w:szCs w:val="16"/>
          <w:lang w:val="es-ES" w:eastAsia="es-ES" w:bidi="es-ES"/>
        </w:rPr>
        <w:t xml:space="preserve"> del contrato, y la vía excepcional su modificación, sometida límites de orden temporal, formal, material y axiológico.</w:t>
      </w:r>
    </w:p>
  </w:footnote>
  <w:footnote w:id="50">
    <w:p w14:paraId="5178F3CC" w14:textId="77777777" w:rsidR="005522C2" w:rsidRPr="00161C2E" w:rsidRDefault="005522C2" w:rsidP="005522C2">
      <w:pPr>
        <w:pStyle w:val="Textonotapie"/>
        <w:snapToGrid w:val="0"/>
        <w:spacing w:before="120" w:after="120"/>
        <w:ind w:firstLine="709"/>
        <w:jc w:val="both"/>
        <w:rPr>
          <w:rFonts w:ascii="Verdana" w:hAnsi="Verdana" w:cs="Arial"/>
          <w:color w:val="000000" w:themeColor="text1"/>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color w:val="000000" w:themeColor="text1"/>
          <w:sz w:val="16"/>
          <w:szCs w:val="16"/>
        </w:rPr>
        <w:t xml:space="preserve">Consejo de Estado. Sentencia del 28 de junio de 2012. Rad. Nro. 21990. C.P: Ruth Stella Correa Palacio. </w:t>
      </w:r>
    </w:p>
  </w:footnote>
  <w:footnote w:id="51">
    <w:p w14:paraId="282DC648" w14:textId="77777777" w:rsidR="005522C2" w:rsidRPr="00161C2E" w:rsidRDefault="005522C2" w:rsidP="005522C2">
      <w:pPr>
        <w:pStyle w:val="Textonotapie"/>
        <w:snapToGrid w:val="0"/>
        <w:spacing w:before="120" w:after="120"/>
        <w:ind w:firstLine="709"/>
        <w:jc w:val="both"/>
        <w:rPr>
          <w:rFonts w:ascii="Verdana" w:hAnsi="Verdana" w:cs="Arial"/>
          <w:iCs/>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iCs/>
          <w:sz w:val="16"/>
          <w:szCs w:val="16"/>
          <w:lang w:val="es-CO"/>
        </w:rPr>
        <w:t xml:space="preserve">IBAÑEZ NAJAR, Jorge Enrique. </w:t>
      </w:r>
      <w:r w:rsidRPr="00161C2E">
        <w:rPr>
          <w:rFonts w:ascii="Verdana" w:hAnsi="Verdana" w:cs="Arial"/>
          <w:iCs/>
          <w:sz w:val="16"/>
          <w:szCs w:val="16"/>
        </w:rPr>
        <w:t xml:space="preserve">La conmutatividad del contrato estatal y su equilibrio económico y financiero. La obligación de conservarlo, su ruptura y la obligación de restablecerlo según la ley </w:t>
      </w:r>
      <w:r w:rsidRPr="00161C2E">
        <w:rPr>
          <w:rFonts w:ascii="Verdana" w:hAnsi="Verdana" w:cs="Arial"/>
          <w:iCs/>
          <w:sz w:val="16"/>
          <w:szCs w:val="16"/>
          <w:lang w:val="es-CO"/>
        </w:rPr>
        <w:t>y la jurisprudencia. En: PALACIO JARAMILLO, María Teresa (editora académica). Contratos Estatales. Tomo II. 2022. Bogotá: Universidad del Rosario. P. 630</w:t>
      </w:r>
    </w:p>
  </w:footnote>
  <w:footnote w:id="52">
    <w:p w14:paraId="7F1C8494" w14:textId="77777777" w:rsidR="005522C2" w:rsidRPr="00161C2E" w:rsidRDefault="005522C2" w:rsidP="005522C2">
      <w:pPr>
        <w:pStyle w:val="Textonotapie"/>
        <w:snapToGrid w:val="0"/>
        <w:spacing w:before="120" w:after="120"/>
        <w:ind w:firstLine="708"/>
        <w:jc w:val="both"/>
        <w:rPr>
          <w:rFonts w:ascii="Verdana" w:hAnsi="Verdana"/>
          <w:sz w:val="16"/>
          <w:szCs w:val="16"/>
          <w:lang w:val="es-CO"/>
        </w:rPr>
      </w:pPr>
      <w:r w:rsidRPr="00161C2E">
        <w:rPr>
          <w:rStyle w:val="Refdenotaalpie"/>
          <w:rFonts w:ascii="Verdana" w:hAnsi="Verdana"/>
          <w:sz w:val="16"/>
          <w:szCs w:val="16"/>
        </w:rPr>
        <w:footnoteRef/>
      </w:r>
      <w:r w:rsidRPr="00161C2E">
        <w:rPr>
          <w:rFonts w:ascii="Verdana" w:hAnsi="Verdana"/>
          <w:sz w:val="16"/>
          <w:szCs w:val="16"/>
        </w:rPr>
        <w:t xml:space="preserve"> CONSEJO DE ESTADO. Sección Tercera. Subsección C. Sentencia del 20 de abril de 2022. Exp. 56508. C.P. Nicolás Yepes Corrales.</w:t>
      </w:r>
    </w:p>
  </w:footnote>
  <w:footnote w:id="53">
    <w:p w14:paraId="04172C76" w14:textId="77777777" w:rsidR="005522C2" w:rsidRPr="00161C2E" w:rsidRDefault="005522C2" w:rsidP="005522C2">
      <w:pPr>
        <w:pStyle w:val="Textonotapie"/>
        <w:snapToGrid w:val="0"/>
        <w:spacing w:before="120" w:after="120"/>
        <w:ind w:firstLine="709"/>
        <w:jc w:val="both"/>
        <w:rPr>
          <w:rFonts w:ascii="Verdana" w:hAnsi="Verdana" w:cs="Arial"/>
          <w:sz w:val="16"/>
          <w:szCs w:val="16"/>
          <w:lang w:val="es-CO"/>
        </w:rPr>
      </w:pPr>
      <w:r w:rsidRPr="00161C2E">
        <w:rPr>
          <w:rStyle w:val="Refdenotaalpie"/>
          <w:rFonts w:ascii="Verdana" w:hAnsi="Verdana" w:cs="Arial"/>
          <w:sz w:val="16"/>
          <w:szCs w:val="16"/>
        </w:rPr>
        <w:footnoteRef/>
      </w:r>
      <w:r w:rsidRPr="00161C2E">
        <w:rPr>
          <w:rFonts w:ascii="Verdana" w:hAnsi="Verdana" w:cs="Arial"/>
          <w:sz w:val="16"/>
          <w:szCs w:val="16"/>
        </w:rPr>
        <w:t xml:space="preserve">  Consejo de Estado. Sección Tercera. Sentencia del 31 de agosto de 2011. Exp. 18.080. CP.: Ruth Stella Correa Palacio. Reiterada en </w:t>
      </w:r>
      <w:r w:rsidRPr="00161C2E">
        <w:rPr>
          <w:rFonts w:ascii="Verdana" w:hAnsi="Verdana" w:cs="Arial"/>
          <w:sz w:val="16"/>
          <w:szCs w:val="16"/>
          <w:lang w:val="es-CO"/>
        </w:rPr>
        <w:t xml:space="preserve">Sentencia del 8 de febrero de 2012. Exp. 20344. </w:t>
      </w:r>
      <w:r w:rsidRPr="00161C2E">
        <w:rPr>
          <w:rFonts w:ascii="Verdana" w:hAnsi="Verdana" w:cs="Arial"/>
          <w:sz w:val="16"/>
          <w:szCs w:val="16"/>
        </w:rPr>
        <w:t>También ver: Consejo de Estado, Sección Tercera, sentencia de 9 de mayo de 1996, exp. 10.151, reiterada en sentencias de 29 de abril y 21 de julio de 1999, exp. 14.885 y exp. 14.943, C.P. Daniel Suárez Hernández.</w:t>
      </w:r>
    </w:p>
  </w:footnote>
  <w:footnote w:id="54">
    <w:p w14:paraId="081166BD" w14:textId="77777777" w:rsidR="005522C2" w:rsidRPr="00161C2E" w:rsidRDefault="005522C2" w:rsidP="005522C2">
      <w:pPr>
        <w:pStyle w:val="Textonotapie"/>
        <w:snapToGrid w:val="0"/>
        <w:spacing w:before="120" w:after="120"/>
        <w:ind w:firstLine="708"/>
        <w:jc w:val="both"/>
        <w:rPr>
          <w:rFonts w:ascii="Verdana" w:hAnsi="Verdana" w:cs="Arial"/>
          <w:sz w:val="16"/>
          <w:szCs w:val="16"/>
          <w:lang w:val="es-CO"/>
        </w:rPr>
      </w:pPr>
      <w:r w:rsidRPr="00161C2E">
        <w:rPr>
          <w:rStyle w:val="Refdenotaalpie"/>
          <w:rFonts w:ascii="Verdana" w:hAnsi="Verdana" w:cs="Arial"/>
          <w:sz w:val="16"/>
          <w:szCs w:val="16"/>
        </w:rPr>
        <w:footnoteRef/>
      </w:r>
      <w:r w:rsidRPr="00161C2E">
        <w:rPr>
          <w:rFonts w:ascii="Verdana" w:hAnsi="Verdana" w:cs="Arial"/>
          <w:sz w:val="16"/>
          <w:szCs w:val="16"/>
        </w:rPr>
        <w:t xml:space="preserve"> Consejo de Estado. Sección Tercera. Sentencia del 29 de enero de 2018. Exp. 52.666 CP.: Jaime Orlando Santofimio Gamboa.</w:t>
      </w:r>
    </w:p>
  </w:footnote>
  <w:footnote w:id="55">
    <w:p w14:paraId="1E9F1929" w14:textId="77777777" w:rsidR="005522C2" w:rsidRPr="00161C2E" w:rsidRDefault="005522C2" w:rsidP="005522C2">
      <w:pPr>
        <w:pStyle w:val="Textonotapie"/>
        <w:snapToGrid w:val="0"/>
        <w:spacing w:before="120" w:after="120"/>
        <w:ind w:firstLine="709"/>
        <w:jc w:val="both"/>
        <w:rPr>
          <w:rFonts w:ascii="Verdana" w:hAnsi="Verdana" w:cs="Arial"/>
          <w:sz w:val="16"/>
          <w:szCs w:val="16"/>
          <w:lang w:bidi="es-ES"/>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sz w:val="16"/>
          <w:szCs w:val="16"/>
          <w:lang w:bidi="es-ES"/>
        </w:rPr>
        <w:t xml:space="preserve">Corte Constitucional. Sentencia C-416 de 2012. </w:t>
      </w:r>
    </w:p>
  </w:footnote>
  <w:footnote w:id="56">
    <w:p w14:paraId="5894EBB8" w14:textId="77777777" w:rsidR="005522C2" w:rsidRPr="00161C2E" w:rsidRDefault="005522C2" w:rsidP="005522C2">
      <w:pPr>
        <w:pStyle w:val="Textonotapie"/>
        <w:snapToGrid w:val="0"/>
        <w:spacing w:before="120" w:after="120"/>
        <w:ind w:firstLine="709"/>
        <w:jc w:val="both"/>
        <w:rPr>
          <w:rFonts w:ascii="Verdana" w:hAnsi="Verdana" w:cs="Arial"/>
          <w:sz w:val="16"/>
          <w:szCs w:val="16"/>
          <w:lang w:val="es-CO"/>
        </w:rPr>
      </w:pPr>
      <w:r w:rsidRPr="00161C2E">
        <w:rPr>
          <w:rStyle w:val="Refdenotaalpie"/>
          <w:rFonts w:ascii="Verdana" w:hAnsi="Verdana" w:cs="Arial"/>
          <w:sz w:val="16"/>
          <w:szCs w:val="16"/>
        </w:rPr>
        <w:footnoteRef/>
      </w:r>
      <w:r w:rsidRPr="00161C2E">
        <w:rPr>
          <w:rFonts w:ascii="Verdana" w:hAnsi="Verdana" w:cs="Arial"/>
          <w:sz w:val="16"/>
          <w:szCs w:val="16"/>
        </w:rPr>
        <w:t xml:space="preserve"> EXPÓSITO VÉLEZ, Juan Carlos. </w:t>
      </w:r>
      <w:r w:rsidRPr="00161C2E">
        <w:rPr>
          <w:rFonts w:ascii="Verdana" w:hAnsi="Verdana" w:cs="Arial"/>
          <w:sz w:val="16"/>
          <w:szCs w:val="16"/>
          <w:lang w:val="es-CO"/>
        </w:rPr>
        <w:t xml:space="preserve">Formas, formalidades y contenido del contrato estatal. Serie de derecho administrativo Nro. 34. Universidad Externado de Colombia. 2020. </w:t>
      </w:r>
    </w:p>
  </w:footnote>
  <w:footnote w:id="57">
    <w:p w14:paraId="6423EA07"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CONSEJO DE ESTADO. Sala de lo Contencioso Administrativo. Sección Tercera. Subsección C. C.P.: Jaime Enrique Rodríguez Navas. Sentencia del 19 de septiembre de 2022. Radicación número: 25000-23-36-000-2013-00211-01 (54714).</w:t>
      </w:r>
    </w:p>
  </w:footnote>
  <w:footnote w:id="58">
    <w:p w14:paraId="50D5F5DE" w14:textId="77777777" w:rsidR="005522C2" w:rsidRPr="00161C2E" w:rsidRDefault="005522C2" w:rsidP="005522C2">
      <w:pPr>
        <w:pStyle w:val="Textonotapie"/>
        <w:snapToGrid w:val="0"/>
        <w:spacing w:before="120" w:after="120"/>
        <w:ind w:firstLine="708"/>
        <w:jc w:val="both"/>
        <w:rPr>
          <w:rFonts w:ascii="Verdana" w:hAnsi="Verdana" w:cs="Arial"/>
          <w:sz w:val="16"/>
          <w:szCs w:val="16"/>
          <w:lang w:val="es-CO"/>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sz w:val="16"/>
          <w:szCs w:val="16"/>
          <w:lang w:val="es-CO"/>
        </w:rPr>
        <w:t>El artículo 40 de la Ley 80 de 1993 dispone que los contratos no podrán adicionarse en más del 50% de su valor inicial, expresado en SMLMV.</w:t>
      </w:r>
    </w:p>
  </w:footnote>
  <w:footnote w:id="59">
    <w:p w14:paraId="3B4631FF" w14:textId="77777777" w:rsidR="005522C2" w:rsidRPr="00161C2E" w:rsidRDefault="005522C2" w:rsidP="005522C2">
      <w:pPr>
        <w:pStyle w:val="Textonotapie"/>
        <w:snapToGrid w:val="0"/>
        <w:spacing w:before="120" w:after="120"/>
        <w:ind w:firstLine="708"/>
        <w:jc w:val="both"/>
        <w:rPr>
          <w:rFonts w:ascii="Verdana" w:hAnsi="Verdana"/>
          <w:sz w:val="16"/>
          <w:szCs w:val="16"/>
          <w:lang w:val="pt-BR"/>
        </w:rPr>
      </w:pPr>
      <w:r w:rsidRPr="00161C2E">
        <w:rPr>
          <w:rStyle w:val="Refdenotaalpie"/>
          <w:rFonts w:ascii="Verdana" w:hAnsi="Verdana"/>
          <w:sz w:val="16"/>
          <w:szCs w:val="16"/>
        </w:rPr>
        <w:footnoteRef/>
      </w:r>
      <w:r w:rsidRPr="00161C2E">
        <w:rPr>
          <w:rFonts w:ascii="Verdana" w:hAnsi="Verdana"/>
          <w:sz w:val="16"/>
          <w:szCs w:val="16"/>
          <w:lang w:val="pt-BR"/>
        </w:rPr>
        <w:t xml:space="preserve"> Corte Constitucional. Sentencia C-300 de 2012. M.P: Jorge Ignacio Pretelt Chaljub.</w:t>
      </w:r>
    </w:p>
  </w:footnote>
  <w:footnote w:id="60">
    <w:p w14:paraId="0EF8D024"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Sobre la naturaleza instrumental del contrato para alcanzar los fines propios del estado social de derecho, ver la sentencia C-932 de 2007, M.P: Marco Gerardo Monroy Cabra.</w:t>
      </w:r>
    </w:p>
  </w:footnote>
  <w:footnote w:id="61">
    <w:p w14:paraId="7A55BA02"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M.P: Clara Inés Vargas Hernández.</w:t>
      </w:r>
    </w:p>
  </w:footnote>
  <w:footnote w:id="62">
    <w:p w14:paraId="45CDE320"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Ver también la sentencia C-068 de 2009, M.P: Mauricio González Cuervo</w:t>
      </w:r>
      <w:r w:rsidRPr="00161C2E">
        <w:rPr>
          <w:rFonts w:ascii="Verdana" w:hAnsi="Verdana"/>
          <w:b/>
          <w:sz w:val="16"/>
          <w:szCs w:val="16"/>
        </w:rPr>
        <w:t xml:space="preserve">, </w:t>
      </w:r>
      <w:r w:rsidRPr="00161C2E">
        <w:rPr>
          <w:rFonts w:ascii="Verdana" w:hAnsi="Verdana"/>
          <w:sz w:val="16"/>
          <w:szCs w:val="16"/>
        </w:rPr>
        <w:t>sobre la constitucional</w:t>
      </w:r>
      <w:r w:rsidRPr="00161C2E">
        <w:rPr>
          <w:rFonts w:ascii="Verdana" w:hAnsi="Verdana"/>
          <w:b/>
          <w:sz w:val="16"/>
          <w:szCs w:val="16"/>
        </w:rPr>
        <w:t xml:space="preserve"> </w:t>
      </w:r>
      <w:r w:rsidRPr="00161C2E">
        <w:rPr>
          <w:rFonts w:ascii="Verdana" w:hAnsi="Verdana"/>
          <w:sz w:val="16"/>
          <w:szCs w:val="16"/>
          <w:lang w:val="es-CO"/>
        </w:rPr>
        <w:t>de la posibilidad de prorrogar los contratos de concesión portuaria (artículo 8º de la ley 1º de 1991).</w:t>
      </w:r>
    </w:p>
  </w:footnote>
  <w:footnote w:id="63">
    <w:p w14:paraId="068F1AF8" w14:textId="77777777" w:rsidR="005522C2" w:rsidRPr="00161C2E" w:rsidRDefault="005522C2" w:rsidP="005522C2">
      <w:pPr>
        <w:pStyle w:val="Textonotapie"/>
        <w:snapToGrid w:val="0"/>
        <w:spacing w:before="120" w:after="120"/>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Esta clasificación es tomada de la literatura del análisis económico del derecho. </w:t>
      </w:r>
      <w:r w:rsidRPr="00161C2E">
        <w:rPr>
          <w:rFonts w:ascii="Verdana" w:hAnsi="Verdana"/>
          <w:sz w:val="16"/>
          <w:szCs w:val="16"/>
          <w:lang w:val="en-US"/>
        </w:rPr>
        <w:t>Ver WILLIAMSON, Oliver E. “Transaction-Cost Economics: The Governance of Contractual Relations”. En: Journal of Law and Economics, Vol. 22, No. 2 (</w:t>
      </w:r>
      <w:proofErr w:type="gramStart"/>
      <w:r w:rsidRPr="00161C2E">
        <w:rPr>
          <w:rFonts w:ascii="Verdana" w:hAnsi="Verdana"/>
          <w:sz w:val="16"/>
          <w:szCs w:val="16"/>
          <w:lang w:val="en-US"/>
        </w:rPr>
        <w:t>Oct,</w:t>
      </w:r>
      <w:proofErr w:type="gramEnd"/>
      <w:r w:rsidRPr="00161C2E">
        <w:rPr>
          <w:rFonts w:ascii="Verdana" w:hAnsi="Verdana"/>
          <w:sz w:val="16"/>
          <w:szCs w:val="16"/>
          <w:lang w:val="en-US"/>
        </w:rPr>
        <w:t xml:space="preserve"> 1979), pp. 233-261. SHAVELL, Steven. “Foundations of Economic Analysis of Law”. Harvard University Press, 2004. </w:t>
      </w:r>
      <w:r w:rsidRPr="00161C2E">
        <w:rPr>
          <w:rFonts w:ascii="Verdana" w:hAnsi="Verdana"/>
          <w:sz w:val="16"/>
          <w:szCs w:val="16"/>
        </w:rPr>
        <w:t>Dentro de esta literatura, también se señalan como causas de los contratos incompletos, (i) los altos costos de estructuración del contrato, esto es, las altas inversiones que deben realizar las partes para prever las contingencias y diseñar remedios; cuando tales costos exceden los beneficios esperados por las partes, estas últimas pueden optar por celebrar contratos incompletos y dejar por fuera, por ejemplo, previsiones o cláusulas relacionadas con contingencias de baja probabilidad. (ii) Los altos costos de hacer cumplir ciertas cláusulas, y (iii) la dificultad posterior de probar en sede judicial la ocurrencia de ciertas contingencias o variables, entre otras. Vale la pena mencionar que por estas razones la mayoría de los contratos tienden a ser incompletos.</w:t>
      </w:r>
    </w:p>
  </w:footnote>
  <w:footnote w:id="64">
    <w:p w14:paraId="3B0A557D" w14:textId="77777777" w:rsidR="005522C2" w:rsidRPr="00161C2E" w:rsidRDefault="005522C2" w:rsidP="005522C2">
      <w:pPr>
        <w:pStyle w:val="Textonotapie"/>
        <w:snapToGrid w:val="0"/>
        <w:spacing w:before="120" w:after="120"/>
        <w:ind w:firstLine="708"/>
        <w:jc w:val="both"/>
        <w:rPr>
          <w:rFonts w:ascii="Verdana" w:hAnsi="Verdana" w:cs="Arial"/>
          <w:sz w:val="16"/>
          <w:szCs w:val="16"/>
        </w:rPr>
      </w:pPr>
      <w:r w:rsidRPr="00161C2E">
        <w:rPr>
          <w:rStyle w:val="Refdenotaalpie"/>
          <w:rFonts w:ascii="Verdana" w:hAnsi="Verdana" w:cs="Arial"/>
          <w:sz w:val="16"/>
          <w:szCs w:val="16"/>
        </w:rPr>
        <w:footnoteRef/>
      </w:r>
      <w:r w:rsidRPr="00161C2E">
        <w:rPr>
          <w:rFonts w:ascii="Verdana" w:hAnsi="Verdana" w:cs="Arial"/>
          <w:sz w:val="16"/>
          <w:szCs w:val="16"/>
        </w:rPr>
        <w:t xml:space="preserve"> </w:t>
      </w:r>
      <w:r w:rsidRPr="00161C2E">
        <w:rPr>
          <w:rFonts w:ascii="Verdana" w:hAnsi="Verdana" w:cs="Arial"/>
          <w:i/>
          <w:sz w:val="16"/>
          <w:szCs w:val="16"/>
        </w:rPr>
        <w:t xml:space="preserve">Cfr. </w:t>
      </w:r>
      <w:r w:rsidRPr="00161C2E">
        <w:rPr>
          <w:rFonts w:ascii="Verdana" w:hAnsi="Verdana" w:cs="Arial"/>
          <w:sz w:val="16"/>
          <w:szCs w:val="16"/>
        </w:rPr>
        <w:t>Consejo de Estado. Sala de Consulta y Servicio Civil. Concepto del 13 de agosto de 2009. Radicado: 11001-03-06-000-2009-00033-00 (</w:t>
      </w:r>
      <w:r w:rsidRPr="00161C2E">
        <w:rPr>
          <w:rFonts w:ascii="Verdana" w:hAnsi="Verdana" w:cs="Arial"/>
          <w:bCs/>
          <w:sz w:val="16"/>
          <w:szCs w:val="16"/>
        </w:rPr>
        <w:t>1952), C.P. Enrique José Arboleda Perdomo. En este concepto la Sala de Consulta se ocupó, entre otras preguntas, de la siguiente formulada por el Ministerio de Transporte: “</w:t>
      </w:r>
      <w:r w:rsidRPr="00161C2E">
        <w:rPr>
          <w:rFonts w:ascii="Verdana" w:hAnsi="Verdana" w:cs="Arial"/>
          <w:bCs/>
          <w:iCs/>
          <w:sz w:val="16"/>
          <w:szCs w:val="16"/>
          <w:lang w:val="es-ES_tradnl"/>
        </w:rPr>
        <w:t>1. ¿Bajo el supuesto lo que en un contrato de concesión existan razones de conveniencia que permitan una mejora del objeto contratado y una mejor prestación del servicio público encomendado a la entidad estatal contratante, es posible, por fuera de lo dispuesto en el artículo 16 de la Ley 80 de 1993 y en caso de que las partes hubieran pactado una modificación de común acuerdo desde la licitación, acudir a tal previsión y modificar el contrato, teniendo en cuenta, además, que con la modificación se busca un efectivo cumplimiento de los fines estatales y una eficiente prestación de los servicios públicos?”.</w:t>
      </w:r>
    </w:p>
  </w:footnote>
  <w:footnote w:id="65">
    <w:p w14:paraId="167E7B7F" w14:textId="77777777" w:rsidR="005522C2" w:rsidRPr="00161C2E" w:rsidRDefault="005522C2" w:rsidP="005522C2">
      <w:pPr>
        <w:pStyle w:val="Textonotapie"/>
        <w:snapToGrid w:val="0"/>
        <w:spacing w:before="120" w:after="120"/>
        <w:ind w:firstLine="708"/>
        <w:jc w:val="both"/>
        <w:rPr>
          <w:rFonts w:ascii="Verdana" w:hAnsi="Verdana" w:cs="Arial"/>
          <w:bCs/>
          <w:iCs/>
          <w:sz w:val="16"/>
          <w:szCs w:val="16"/>
          <w:lang w:val="es-ES_tradnl"/>
        </w:rPr>
      </w:pPr>
      <w:r w:rsidRPr="00161C2E">
        <w:rPr>
          <w:rStyle w:val="Refdenotaalpie"/>
          <w:rFonts w:ascii="Verdana" w:hAnsi="Verdana" w:cs="Arial"/>
          <w:sz w:val="16"/>
          <w:szCs w:val="16"/>
        </w:rPr>
        <w:footnoteRef/>
      </w:r>
      <w:r w:rsidRPr="00161C2E">
        <w:rPr>
          <w:rFonts w:ascii="Verdana" w:hAnsi="Verdana" w:cs="Arial"/>
          <w:sz w:val="16"/>
          <w:szCs w:val="16"/>
        </w:rPr>
        <w:t xml:space="preserve"> Los acuerdos de voluntades que no cumplan con esta formalidad se consideran inexistentes, por lo tanto, tal como lo ha planteado el Consejo de Estado en el Concepto 2263 del 17 de marzo del 201</w:t>
      </w:r>
      <w:r>
        <w:rPr>
          <w:rFonts w:ascii="Verdana" w:hAnsi="Verdana" w:cs="Arial"/>
          <w:sz w:val="16"/>
          <w:szCs w:val="16"/>
        </w:rPr>
        <w:t>6</w:t>
      </w:r>
      <w:r w:rsidRPr="00161C2E">
        <w:rPr>
          <w:rFonts w:ascii="Verdana" w:hAnsi="Verdana" w:cs="Arial"/>
          <w:sz w:val="16"/>
          <w:szCs w:val="16"/>
        </w:rPr>
        <w:t>, “las eventuales reclamaciones contractuales que pueda presentar un particular sobre prestaciones realizadas, sin la previa modificación del mismo, están llamadas al fracaso, pues la Administración no puede reconocer situaciones de hecho u obligaciones dinerarias con cargo a un contrato que estipula obligaciones distintas</w:t>
      </w:r>
      <w:r w:rsidRPr="00161C2E">
        <w:rPr>
          <w:rFonts w:ascii="Verdana" w:hAnsi="Verdana" w:cs="Arial"/>
          <w:bCs/>
          <w:iCs/>
          <w:sz w:val="16"/>
          <w:szCs w:val="16"/>
          <w:lang w:val="es-ES_tradnl"/>
        </w:rPr>
        <w:t>”.</w:t>
      </w:r>
    </w:p>
    <w:p w14:paraId="0D547DDF" w14:textId="77777777" w:rsidR="005522C2" w:rsidRPr="00161C2E" w:rsidRDefault="005522C2" w:rsidP="005522C2">
      <w:pPr>
        <w:pStyle w:val="Textonotapie"/>
        <w:snapToGrid w:val="0"/>
        <w:spacing w:before="120" w:after="120"/>
        <w:ind w:firstLine="708"/>
        <w:jc w:val="both"/>
        <w:rPr>
          <w:rFonts w:ascii="Verdana" w:hAnsi="Verdana" w:cs="Arial"/>
          <w:sz w:val="16"/>
          <w:szCs w:val="16"/>
          <w:lang w:val="es-CO"/>
        </w:rPr>
      </w:pPr>
    </w:p>
  </w:footnote>
  <w:footnote w:id="66">
    <w:p w14:paraId="7D6D9978" w14:textId="77777777" w:rsidR="005522C2" w:rsidRPr="00161C2E" w:rsidRDefault="005522C2" w:rsidP="005522C2">
      <w:pPr>
        <w:pStyle w:val="Textonotapie"/>
        <w:snapToGrid w:val="0"/>
        <w:spacing w:before="120" w:after="120"/>
        <w:ind w:firstLine="708"/>
        <w:jc w:val="both"/>
        <w:rPr>
          <w:rFonts w:ascii="Verdana" w:hAnsi="Verdana" w:cs="Arial"/>
          <w:sz w:val="16"/>
          <w:szCs w:val="16"/>
          <w:lang w:val="es-CO"/>
        </w:rPr>
      </w:pPr>
      <w:r w:rsidRPr="00161C2E">
        <w:rPr>
          <w:rStyle w:val="Refdenotaalpie"/>
          <w:rFonts w:ascii="Verdana" w:hAnsi="Verdana" w:cs="Arial"/>
          <w:sz w:val="16"/>
          <w:szCs w:val="16"/>
        </w:rPr>
        <w:footnoteRef/>
      </w:r>
      <w:r w:rsidRPr="00161C2E">
        <w:rPr>
          <w:rFonts w:ascii="Verdana" w:hAnsi="Verdana" w:cs="Arial"/>
          <w:sz w:val="16"/>
          <w:szCs w:val="16"/>
        </w:rPr>
        <w:t xml:space="preserve"> Ibídem.</w:t>
      </w:r>
    </w:p>
  </w:footnote>
  <w:footnote w:id="67">
    <w:p w14:paraId="70A5790B" w14:textId="77777777" w:rsidR="005522C2" w:rsidRPr="00161C2E" w:rsidRDefault="005522C2" w:rsidP="005522C2">
      <w:pPr>
        <w:snapToGrid w:val="0"/>
        <w:spacing w:before="120" w:after="120" w:line="240" w:lineRule="auto"/>
        <w:ind w:firstLine="708"/>
        <w:jc w:val="both"/>
        <w:rPr>
          <w:rFonts w:ascii="Verdana" w:hAnsi="Verdana"/>
          <w:sz w:val="16"/>
          <w:szCs w:val="16"/>
        </w:rPr>
      </w:pPr>
      <w:r w:rsidRPr="00161C2E">
        <w:rPr>
          <w:rStyle w:val="Refdenotaalpie"/>
          <w:rFonts w:ascii="Verdana" w:hAnsi="Verdana"/>
          <w:sz w:val="16"/>
          <w:szCs w:val="16"/>
        </w:rPr>
        <w:footnoteRef/>
      </w:r>
      <w:r w:rsidRPr="00161C2E">
        <w:rPr>
          <w:rFonts w:ascii="Verdana" w:hAnsi="Verdana"/>
          <w:sz w:val="16"/>
          <w:szCs w:val="16"/>
        </w:rPr>
        <w:t xml:space="preserve"> Consejo de Estado. Sala de Consulta y Servicio Civil.</w:t>
      </w:r>
      <w:r w:rsidRPr="00161C2E">
        <w:rPr>
          <w:rFonts w:ascii="Verdana" w:hAnsi="Verdana"/>
          <w:i/>
          <w:iCs/>
          <w:sz w:val="16"/>
          <w:szCs w:val="16"/>
        </w:rPr>
        <w:t xml:space="preserve"> </w:t>
      </w:r>
      <w:r w:rsidRPr="00161C2E">
        <w:rPr>
          <w:rFonts w:ascii="Verdana" w:hAnsi="Verdana"/>
          <w:sz w:val="16"/>
          <w:szCs w:val="16"/>
        </w:rPr>
        <w:t>Concepto del 06 de junio 2018. Radicado: 2369. C.P: Óscar Darío Amaya Navas.</w:t>
      </w:r>
    </w:p>
  </w:footnote>
  <w:footnote w:id="68">
    <w:p w14:paraId="17217CEE"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w:t>
      </w:r>
      <w:r w:rsidRPr="00161C2E">
        <w:rPr>
          <w:rFonts w:ascii="Verdana" w:hAnsi="Verdana"/>
          <w:sz w:val="16"/>
          <w:szCs w:val="16"/>
          <w:lang w:val="es-CO"/>
        </w:rPr>
        <w:t>Consejo de Estado, Sección Tercera. Sentencia del 12 de mayo de 2012. Rad No. 18446. M.P. Mauricio Fajardo Gómez.</w:t>
      </w:r>
    </w:p>
  </w:footnote>
  <w:footnote w:id="69">
    <w:p w14:paraId="7AC27985"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 C</w:t>
      </w:r>
      <w:proofErr w:type="spellStart"/>
      <w:r w:rsidRPr="00161C2E">
        <w:rPr>
          <w:rFonts w:ascii="Verdana" w:hAnsi="Verdana"/>
          <w:sz w:val="16"/>
          <w:szCs w:val="16"/>
          <w:lang w:val="es-CO"/>
        </w:rPr>
        <w:t>onsejo</w:t>
      </w:r>
      <w:proofErr w:type="spellEnd"/>
      <w:r w:rsidRPr="00161C2E">
        <w:rPr>
          <w:rFonts w:ascii="Verdana" w:hAnsi="Verdana"/>
          <w:sz w:val="16"/>
          <w:szCs w:val="16"/>
          <w:lang w:val="es-CO"/>
        </w:rPr>
        <w:t xml:space="preserve"> de Estado. Sección Tercera. Sentencia de 29 de agosto de 2007. Rad: 25000- 23-26-000-1994-09845-01(14854). Consejero Ponente: Mauricio Fajardo Gómez.</w:t>
      </w:r>
    </w:p>
  </w:footnote>
  <w:footnote w:id="70">
    <w:p w14:paraId="11BCD2F6" w14:textId="77777777" w:rsidR="005522C2" w:rsidRPr="00161C2E" w:rsidRDefault="005522C2" w:rsidP="005522C2">
      <w:pPr>
        <w:pStyle w:val="Textonotapie"/>
        <w:snapToGrid w:val="0"/>
        <w:spacing w:before="120" w:after="120"/>
        <w:ind w:firstLine="708"/>
        <w:jc w:val="both"/>
        <w:rPr>
          <w:rFonts w:ascii="Verdana" w:hAnsi="Verdana"/>
          <w:sz w:val="16"/>
          <w:szCs w:val="16"/>
          <w:lang w:val="es-ES"/>
        </w:rPr>
      </w:pPr>
      <w:r w:rsidRPr="00161C2E">
        <w:rPr>
          <w:rStyle w:val="Refdenotaalpie"/>
          <w:rFonts w:ascii="Verdana" w:hAnsi="Verdana"/>
          <w:sz w:val="16"/>
          <w:szCs w:val="16"/>
        </w:rPr>
        <w:footnoteRef/>
      </w:r>
      <w:r w:rsidRPr="00161C2E">
        <w:rPr>
          <w:rFonts w:ascii="Verdana" w:hAnsi="Verdana"/>
          <w:sz w:val="16"/>
          <w:szCs w:val="16"/>
        </w:rPr>
        <w:t xml:space="preserve">Citado en Benavides, Jose Luis. </w:t>
      </w:r>
      <w:r w:rsidRPr="00161C2E">
        <w:rPr>
          <w:rFonts w:ascii="Verdana" w:hAnsi="Verdana"/>
          <w:sz w:val="16"/>
          <w:szCs w:val="16"/>
          <w:lang w:val="es-CO"/>
        </w:rPr>
        <w:t>Identificación de las nulidades en los contratos estatales en Colombia. Universidad Externado de Colombia. Revista Digital de Derecho Administrativo.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39675BC"/>
    <w:multiLevelType w:val="hybridMultilevel"/>
    <w:tmpl w:val="B5DC7236"/>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E5CCA"/>
    <w:multiLevelType w:val="hybridMultilevel"/>
    <w:tmpl w:val="6F56A0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1"/>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0"/>
  </w:num>
  <w:num w:numId="13" w16cid:durableId="1512908409">
    <w:abstractNumId w:val="3"/>
  </w:num>
  <w:num w:numId="14" w16cid:durableId="895897244">
    <w:abstractNumId w:val="15"/>
  </w:num>
  <w:num w:numId="15" w16cid:durableId="390349800">
    <w:abstractNumId w:val="11"/>
  </w:num>
  <w:num w:numId="16" w16cid:durableId="153255849">
    <w:abstractNumId w:val="10"/>
  </w:num>
  <w:num w:numId="17" w16cid:durableId="410347328">
    <w:abstractNumId w:val="2"/>
  </w:num>
  <w:num w:numId="18" w16cid:durableId="1657416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06B93"/>
    <w:rsid w:val="00116940"/>
    <w:rsid w:val="00125105"/>
    <w:rsid w:val="00127233"/>
    <w:rsid w:val="0015699B"/>
    <w:rsid w:val="00166220"/>
    <w:rsid w:val="001762A0"/>
    <w:rsid w:val="001A33BF"/>
    <w:rsid w:val="001B6251"/>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77E98"/>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C6EFC"/>
    <w:rsid w:val="004F21C4"/>
    <w:rsid w:val="004F685F"/>
    <w:rsid w:val="005522C2"/>
    <w:rsid w:val="005566E8"/>
    <w:rsid w:val="00574867"/>
    <w:rsid w:val="00591460"/>
    <w:rsid w:val="005A65E0"/>
    <w:rsid w:val="005C3777"/>
    <w:rsid w:val="005C5741"/>
    <w:rsid w:val="005C5CDC"/>
    <w:rsid w:val="005D476C"/>
    <w:rsid w:val="0060751B"/>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34265"/>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47C90"/>
    <w:rsid w:val="00B72CD3"/>
    <w:rsid w:val="00B72FFF"/>
    <w:rsid w:val="00BC3D36"/>
    <w:rsid w:val="00BD10E3"/>
    <w:rsid w:val="00BD54A6"/>
    <w:rsid w:val="00BD7F72"/>
    <w:rsid w:val="00BF7425"/>
    <w:rsid w:val="00C04FB3"/>
    <w:rsid w:val="00C11D8B"/>
    <w:rsid w:val="00C15139"/>
    <w:rsid w:val="00C330EB"/>
    <w:rsid w:val="00C50D69"/>
    <w:rsid w:val="00C5365C"/>
    <w:rsid w:val="00C754BE"/>
    <w:rsid w:val="00C76B1C"/>
    <w:rsid w:val="00C85381"/>
    <w:rsid w:val="00C925AC"/>
    <w:rsid w:val="00CB3B40"/>
    <w:rsid w:val="00CB6357"/>
    <w:rsid w:val="00CC1B26"/>
    <w:rsid w:val="00CE00B8"/>
    <w:rsid w:val="00D361FD"/>
    <w:rsid w:val="00D423A2"/>
    <w:rsid w:val="00D44E26"/>
    <w:rsid w:val="00D520D8"/>
    <w:rsid w:val="00D63AC2"/>
    <w:rsid w:val="00D7383B"/>
    <w:rsid w:val="00D7788A"/>
    <w:rsid w:val="00DA231B"/>
    <w:rsid w:val="00DC39FC"/>
    <w:rsid w:val="00DF099B"/>
    <w:rsid w:val="00DF5254"/>
    <w:rsid w:val="00E01404"/>
    <w:rsid w:val="00E02524"/>
    <w:rsid w:val="00E16408"/>
    <w:rsid w:val="00E20894"/>
    <w:rsid w:val="00E245AB"/>
    <w:rsid w:val="00E2764C"/>
    <w:rsid w:val="00E27F2E"/>
    <w:rsid w:val="00E410A6"/>
    <w:rsid w:val="00E50AFE"/>
    <w:rsid w:val="00E56B83"/>
    <w:rsid w:val="00E75C92"/>
    <w:rsid w:val="00E771DC"/>
    <w:rsid w:val="00E8772A"/>
    <w:rsid w:val="00E90F6B"/>
    <w:rsid w:val="00E92C27"/>
    <w:rsid w:val="00EA0E3D"/>
    <w:rsid w:val="00EC38A7"/>
    <w:rsid w:val="00EE1AA8"/>
    <w:rsid w:val="00F23FEA"/>
    <w:rsid w:val="00F31EDC"/>
    <w:rsid w:val="00F462B3"/>
    <w:rsid w:val="00F47DB8"/>
    <w:rsid w:val="00F54D0D"/>
    <w:rsid w:val="00F5664F"/>
    <w:rsid w:val="00F666C4"/>
    <w:rsid w:val="00F76AFC"/>
    <w:rsid w:val="00FA26FC"/>
    <w:rsid w:val="00FA47C0"/>
    <w:rsid w:val="00FB5DD1"/>
    <w:rsid w:val="00FC2B5D"/>
    <w:rsid w:val="00FD1D80"/>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5522C2"/>
    <w:pPr>
      <w:spacing w:after="0"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5522C2"/>
    <w:rPr>
      <w:rFonts w:ascii="Geomanist Light" w:hAnsi="Geomanist Light"/>
      <w:lang w:val="es-ES"/>
    </w:rPr>
  </w:style>
  <w:style w:type="paragraph" w:styleId="Textoindependiente">
    <w:name w:val="Body Text"/>
    <w:basedOn w:val="Normal"/>
    <w:link w:val="TextoindependienteCar"/>
    <w:uiPriority w:val="1"/>
    <w:qFormat/>
    <w:rsid w:val="005522C2"/>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1"/>
    <w:rsid w:val="005522C2"/>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ecretariasenado.gov.co/senado/basedoc/ley_0080_1993.html" TargetMode="External"/><Relationship Id="rId17" Type="http://schemas.openxmlformats.org/officeDocument/2006/relationships/hyperlink" Target="https://nam02.safelinks.protection.outlook.com/?url=https%3A%2F%2Fwww.colombiacompra.gov.co%2Farchivos%2Fboletin%2Fboletin-edicion-n-3-de-2026-radar-de-la-compra-publica&amp;data=05%7C02%7Cana.bonilla%40colombiacompra.gov.co%7C7128555136e04fa6887d08dee99e1b50%7C7b09041e245149d08cb179d5e3d8c1be%7C0%7C0%7C639205062446582480%7CUnknown%7CTWFpbGZsb3d8eyJFbXB0eU1hcGkiOnRydWUsIlYiOiIwLjAuMDAwMCIsIlAiOiJXaW4zMiIsIkFOIjoiTWFpbCIsIldUIjoyfQ%3D%3D%7C0%7C%7C%7C&amp;sdata=3E87%2BXiPgcuKzNjb08X5RRG2n9%2BDsc2%2F5ZN9FROB4E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ana.bonilla%40colombiacompra.gov.co%7C7128555136e04fa6887d08dee99e1b50%7C7b09041e245149d08cb179d5e3d8c1be%7C0%7C0%7C639205062446570577%7CUnknown%7CTWFpbGZsb3d8eyJFbXB0eU1hcGkiOnRydWUsIlYiOiIwLjAuMDAwMCIsIlAiOiJXaW4zMiIsIkFOIjoiTWFpbCIsIldUIjoyfQ%3D%3D%7C0%7C%7C%7C&amp;sdata=6oYBTCkdsvDccXezxO3daP3zceLkDc7blme%2Fm%2BpFFV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ana.bonilla%40colombiacompra.gov.co%7C7128555136e04fa6887d08dee99e1b50%7C7b09041e245149d08cb179d5e3d8c1be%7C0%7C0%7C639205062446555980%7CUnknown%7CTWFpbGZsb3d8eyJFbXB0eU1hcGkiOnRydWUsIlYiOiIwLjAuMDAwMCIsIlAiOiJXaW4zMiIsIkFOIjoiTWFpbCIsIldUIjoyfQ%3D%3D%7C0%7C%7C%7C&amp;sdata=z9tH46pz12Y%2F%2FZUje8KdKmYbKJBPtpJQlVjKii38yCI%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ana.bonilla%40colombiacompra.gov.co%7C7128555136e04fa6887d08dee99e1b50%7C7b09041e245149d08cb179d5e3d8c1be%7C0%7C0%7C639205062446530248%7CUnknown%7CTWFpbGZsb3d8eyJFbXB0eU1hcGkiOnRydWUsIlYiOiIwLjAuMDAwMCIsIlAiOiJXaW4zMiIsIkFOIjoiTWFpbCIsIldUIjoyfQ%3D%3D%7C0%7C%7C%7C&amp;sdata=oQgit%2FAMaGzdnE2GcsPlQcBfwpAYw24fEB6r%2BBBZutg%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1508_2012.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6000C6-B698-9D40-800B-399D82F7C1E2}">
  <ds:schemaRefs>
    <ds:schemaRef ds:uri="http://schemas.openxmlformats.org/officeDocument/2006/bibliography"/>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60E0F8D6-02A2-460A-866C-B1DD98B62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50</Pages>
  <Words>16928</Words>
  <Characters>93105</Characters>
  <Application>Microsoft Office Word</Application>
  <DocSecurity>0</DocSecurity>
  <Lines>775</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2026-08-30T01:04:00Z</dcterms:created>
  <dcterms:modified xsi:type="dcterms:W3CDTF">2026-08-31T16:18:00Z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