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56A8CC" w14:textId="77777777" w:rsidR="00FA4857" w:rsidRPr="004A0841" w:rsidRDefault="00FA4857" w:rsidP="00FA4857">
      <w:pPr>
        <w:spacing w:after="0" w:line="240" w:lineRule="auto"/>
        <w:jc w:val="both"/>
        <w:rPr>
          <w:rFonts w:ascii="Verdana" w:hAnsi="Verdana" w:cs="Arial"/>
          <w:b/>
          <w:bCs/>
          <w:color w:val="000000"/>
          <w:lang w:val="es-ES"/>
        </w:rPr>
      </w:pPr>
      <w:r w:rsidRPr="004A0841">
        <w:rPr>
          <w:rFonts w:ascii="Verdana" w:hAnsi="Verdana" w:cs="Arial"/>
          <w:b/>
          <w:bCs/>
          <w:color w:val="000000"/>
          <w:lang w:val="es-ES"/>
        </w:rPr>
        <w:t>LIQUIDACIÓN BILATERAL – Naturaleza negocial – Autonomía de la voluntad</w:t>
      </w:r>
    </w:p>
    <w:p w14:paraId="20964B44" w14:textId="77777777" w:rsidR="00FA4857" w:rsidRDefault="00FA4857" w:rsidP="00FA4857">
      <w:pPr>
        <w:spacing w:after="0" w:line="240" w:lineRule="auto"/>
        <w:jc w:val="both"/>
        <w:rPr>
          <w:rFonts w:ascii="Verdana" w:hAnsi="Verdana" w:cs="Arial"/>
          <w:b/>
          <w:bCs/>
          <w:color w:val="000000"/>
          <w:lang w:val="es-ES"/>
        </w:rPr>
      </w:pPr>
    </w:p>
    <w:p w14:paraId="40D2292C" w14:textId="77777777" w:rsidR="00FA4857" w:rsidRPr="004A0841" w:rsidRDefault="00FA4857" w:rsidP="00FA4857">
      <w:pPr>
        <w:spacing w:after="0" w:line="240" w:lineRule="auto"/>
        <w:jc w:val="both"/>
        <w:rPr>
          <w:rFonts w:ascii="Verdana" w:hAnsi="Verdana" w:cs="Arial"/>
          <w:bCs/>
          <w:color w:val="000000"/>
          <w:sz w:val="20"/>
          <w:lang w:val="es-ES"/>
        </w:rPr>
      </w:pPr>
      <w:r>
        <w:rPr>
          <w:rFonts w:ascii="Verdana" w:hAnsi="Verdana" w:cs="Arial"/>
          <w:bCs/>
          <w:color w:val="000000"/>
          <w:sz w:val="20"/>
          <w:lang w:val="es-ES"/>
        </w:rPr>
        <w:t>La liquidación bilateral es un acuerdo en el que las partes del contrato estatal, en ejercicio de la autonomía de la voluntad, regulan la finalización de su relación y disponen de los intereses que emanan de ella. Tiene efectos de título ejecutivo y transaccionales, puesto que las declaraciones y expresiones incorporadas en la correspondiente acta son reconocidas y protegidas por el ordenamiento jurídico, siempre que no sean contrarias a la Constitución Política, la ley, el orden público, la moral y las buenas costumbres, y los principios y finalidades del Estatuto General de Contratación de la Administración Pública y de la buena administración. De esa naturaleza negocial se sigue que el acuerdo pueda ser total o parcial, y que las divergencias no superadas puedan quedar consignadas en el acta.</w:t>
      </w:r>
    </w:p>
    <w:p w14:paraId="59826309" w14:textId="77777777" w:rsidR="00FA4857" w:rsidRDefault="00FA4857" w:rsidP="00FA4857">
      <w:pPr>
        <w:spacing w:after="0" w:line="240" w:lineRule="auto"/>
        <w:jc w:val="both"/>
        <w:rPr>
          <w:rFonts w:ascii="Verdana" w:hAnsi="Verdana" w:cs="Arial"/>
          <w:b/>
          <w:bCs/>
          <w:color w:val="000000"/>
          <w:lang w:val="es-ES"/>
        </w:rPr>
      </w:pPr>
    </w:p>
    <w:p w14:paraId="7A1E393E" w14:textId="77777777" w:rsidR="00FA4857" w:rsidRPr="004A0841" w:rsidRDefault="00FA4857" w:rsidP="00FA4857">
      <w:pPr>
        <w:spacing w:after="0" w:line="240" w:lineRule="auto"/>
        <w:jc w:val="both"/>
        <w:rPr>
          <w:rFonts w:ascii="Verdana" w:hAnsi="Verdana" w:cs="Arial"/>
          <w:b/>
          <w:bCs/>
          <w:color w:val="000000"/>
          <w:lang w:val="es-ES"/>
        </w:rPr>
      </w:pPr>
      <w:r w:rsidRPr="004A0841">
        <w:rPr>
          <w:rFonts w:ascii="Verdana" w:hAnsi="Verdana" w:cs="Arial"/>
          <w:b/>
          <w:bCs/>
          <w:color w:val="000000"/>
          <w:lang w:val="es-ES"/>
        </w:rPr>
        <w:t>SALVEDADES – Efecto preclusivo – Carácter bilateral</w:t>
      </w:r>
    </w:p>
    <w:p w14:paraId="7486EBB8" w14:textId="77777777" w:rsidR="00FA4857" w:rsidRDefault="00FA4857" w:rsidP="00FA4857">
      <w:pPr>
        <w:spacing w:after="0" w:line="240" w:lineRule="auto"/>
        <w:jc w:val="both"/>
        <w:rPr>
          <w:rFonts w:ascii="Verdana" w:hAnsi="Verdana" w:cs="Arial"/>
          <w:b/>
          <w:bCs/>
          <w:color w:val="000000"/>
          <w:lang w:val="es-ES"/>
        </w:rPr>
      </w:pPr>
    </w:p>
    <w:p w14:paraId="770DD6C5" w14:textId="77777777" w:rsidR="00FA4857" w:rsidRPr="004A0841" w:rsidRDefault="00FA4857" w:rsidP="00FA4857">
      <w:pPr>
        <w:spacing w:after="0" w:line="240" w:lineRule="auto"/>
        <w:jc w:val="both"/>
        <w:rPr>
          <w:rFonts w:ascii="Verdana" w:hAnsi="Verdana" w:cs="Arial"/>
          <w:bCs/>
          <w:color w:val="000000"/>
          <w:sz w:val="20"/>
          <w:lang w:val="es-ES"/>
        </w:rPr>
      </w:pPr>
      <w:r>
        <w:rPr>
          <w:rFonts w:ascii="Verdana" w:hAnsi="Verdana" w:cs="Arial"/>
          <w:bCs/>
          <w:color w:val="000000"/>
          <w:sz w:val="20"/>
          <w:lang w:val="es-ES"/>
        </w:rPr>
        <w:t>Si al momento de suscribir la liquidación no se dejan consignadas salvedades expresas, se entenderá que las partes han llegado a un acuerdo integral sobre la finalización del contrato y sus efectos, quedando imposibilitadas para reclamar posteriormente por vía jurisdiccional sobre aspectos que fueron objeto de dicho acuerdo o que no fueron oportunamente controvertidos. El efecto que produce la inclusión de salvedades en el acta de liquidación bilateral consiste, correlativamente, en restringir los asuntos respecto de los cuales tanto el contratista como la entidad estatal pueden reclamar posteriormente por vía judicial. El efecto preclusivo es, por tanto, bilateral, y de ello se sigue que la carga de consignar la inconformidad también lo sea.</w:t>
      </w:r>
    </w:p>
    <w:p w14:paraId="68F5372E" w14:textId="77777777" w:rsidR="00FA4857" w:rsidRDefault="00FA4857" w:rsidP="00FA4857">
      <w:pPr>
        <w:spacing w:after="0" w:line="240" w:lineRule="auto"/>
        <w:jc w:val="both"/>
        <w:rPr>
          <w:rFonts w:ascii="Verdana" w:hAnsi="Verdana" w:cs="Arial"/>
          <w:b/>
          <w:bCs/>
          <w:color w:val="000000"/>
          <w:lang w:val="es-ES"/>
        </w:rPr>
      </w:pPr>
    </w:p>
    <w:p w14:paraId="2252C40B" w14:textId="77777777" w:rsidR="00FA4857" w:rsidRPr="004A0841" w:rsidRDefault="00FA4857" w:rsidP="00FA4857">
      <w:pPr>
        <w:spacing w:after="0" w:line="240" w:lineRule="auto"/>
        <w:jc w:val="both"/>
        <w:rPr>
          <w:rFonts w:ascii="Verdana" w:hAnsi="Verdana" w:cs="Arial"/>
          <w:b/>
          <w:bCs/>
          <w:color w:val="000000"/>
          <w:lang w:val="es-ES"/>
        </w:rPr>
      </w:pPr>
      <w:r w:rsidRPr="004A0841">
        <w:rPr>
          <w:rFonts w:ascii="Verdana" w:hAnsi="Verdana" w:cs="Arial"/>
          <w:b/>
          <w:bCs/>
          <w:color w:val="000000"/>
          <w:lang w:val="es-ES"/>
        </w:rPr>
        <w:t>SALVEDADES – Derecho del contratista – Artículo 11 de la Ley 1150 de 2007 – Alcance de la mención</w:t>
      </w:r>
    </w:p>
    <w:p w14:paraId="5C3795CA" w14:textId="77777777" w:rsidR="00FA4857" w:rsidRDefault="00FA4857" w:rsidP="00FA4857">
      <w:pPr>
        <w:spacing w:after="0" w:line="240" w:lineRule="auto"/>
        <w:jc w:val="both"/>
        <w:rPr>
          <w:rFonts w:ascii="Verdana" w:hAnsi="Verdana" w:cs="Arial"/>
          <w:b/>
          <w:bCs/>
          <w:color w:val="000000"/>
          <w:lang w:val="es-ES"/>
        </w:rPr>
      </w:pPr>
    </w:p>
    <w:p w14:paraId="5B7A3E46" w14:textId="77777777" w:rsidR="00FA4857" w:rsidRPr="004A0841" w:rsidRDefault="00FA4857" w:rsidP="00FA4857">
      <w:pPr>
        <w:spacing w:after="0" w:line="240" w:lineRule="auto"/>
        <w:jc w:val="both"/>
        <w:rPr>
          <w:rFonts w:ascii="Verdana" w:hAnsi="Verdana" w:cs="Arial"/>
          <w:bCs/>
          <w:color w:val="000000"/>
          <w:sz w:val="20"/>
          <w:lang w:val="es-ES"/>
        </w:rPr>
      </w:pPr>
      <w:r>
        <w:rPr>
          <w:rFonts w:ascii="Verdana" w:hAnsi="Verdana" w:cs="Arial"/>
          <w:bCs/>
          <w:color w:val="000000"/>
          <w:sz w:val="20"/>
          <w:lang w:val="es-ES"/>
        </w:rPr>
        <w:t>El inciso final del artículo 11 de la Ley 1150 de 2007 dispone que “[l]os contratistas tendrán derecho a efectuar salvedades a la liquidación por mutuo acuerdo, y en este evento la liquidación unilateral sólo procederá en relación con los aspectos que no hayan sido objeto de acuerdo”. La mención expresa al contratista se explica porque para él la salvedad es la única vía de preservar su reclamación, al carecer de potestades unilaterales; pero de esa mención no se deriva una prohibición dirigida a la entidad estatal, comoquiera que las restricciones a las competencias y a la autonomía negocial requieren norma expresa que las establezca, y ninguna disposición impide a la entidad consignar en el acta los asuntos sobre los cuales no hubo acuerdo.</w:t>
      </w:r>
    </w:p>
    <w:p w14:paraId="7BB3DFBD" w14:textId="77777777" w:rsidR="00FA4857" w:rsidRDefault="00FA4857" w:rsidP="00FA4857">
      <w:pPr>
        <w:spacing w:after="0" w:line="240" w:lineRule="auto"/>
        <w:jc w:val="both"/>
        <w:rPr>
          <w:rFonts w:ascii="Verdana" w:hAnsi="Verdana" w:cs="Arial"/>
          <w:b/>
          <w:bCs/>
          <w:color w:val="000000"/>
          <w:lang w:val="es-ES"/>
        </w:rPr>
      </w:pPr>
    </w:p>
    <w:p w14:paraId="3E9B4D79" w14:textId="77777777" w:rsidR="00FA4857" w:rsidRPr="004A0841" w:rsidRDefault="00FA4857" w:rsidP="00FA4857">
      <w:pPr>
        <w:spacing w:after="0" w:line="240" w:lineRule="auto"/>
        <w:jc w:val="both"/>
        <w:rPr>
          <w:rFonts w:ascii="Verdana" w:hAnsi="Verdana" w:cs="Arial"/>
          <w:b/>
          <w:bCs/>
          <w:color w:val="000000"/>
          <w:lang w:val="es-ES"/>
        </w:rPr>
      </w:pPr>
      <w:r w:rsidRPr="004A0841">
        <w:rPr>
          <w:rFonts w:ascii="Verdana" w:hAnsi="Verdana" w:cs="Arial"/>
          <w:b/>
          <w:bCs/>
          <w:color w:val="000000"/>
          <w:lang w:val="es-ES"/>
        </w:rPr>
        <w:t>SALVEDADES Y CONSTANCIAS DE LA ENTIDAD – Procedencia – Recomendación institucional</w:t>
      </w:r>
    </w:p>
    <w:p w14:paraId="66F7DF84" w14:textId="77777777" w:rsidR="00FA4857" w:rsidRDefault="00FA4857" w:rsidP="00FA4857">
      <w:pPr>
        <w:spacing w:after="0" w:line="240" w:lineRule="auto"/>
        <w:jc w:val="both"/>
        <w:rPr>
          <w:rFonts w:ascii="Verdana" w:hAnsi="Verdana" w:cs="Arial"/>
          <w:b/>
          <w:bCs/>
          <w:color w:val="000000"/>
          <w:lang w:val="es-ES"/>
        </w:rPr>
      </w:pPr>
    </w:p>
    <w:p w14:paraId="4E46AC82" w14:textId="77777777" w:rsidR="00FA4857" w:rsidRPr="004A0841" w:rsidRDefault="00FA4857" w:rsidP="00FA4857">
      <w:pPr>
        <w:spacing w:after="0" w:line="240" w:lineRule="auto"/>
        <w:jc w:val="both"/>
        <w:rPr>
          <w:rFonts w:ascii="Verdana" w:hAnsi="Verdana" w:cs="Arial"/>
          <w:bCs/>
          <w:color w:val="000000"/>
          <w:sz w:val="20"/>
          <w:lang w:val="es-ES"/>
        </w:rPr>
      </w:pPr>
      <w:r>
        <w:rPr>
          <w:rFonts w:ascii="Verdana" w:hAnsi="Verdana" w:cs="Arial"/>
          <w:bCs/>
          <w:color w:val="000000"/>
          <w:sz w:val="20"/>
          <w:lang w:val="es-ES"/>
        </w:rPr>
        <w:t xml:space="preserve">Además de resultar viable, la consignación de manifestaciones de la entidad en el acta se encuentra expresamente recomendada por esta Agencia. La Guía para la liquidación </w:t>
      </w:r>
      <w:r>
        <w:rPr>
          <w:rFonts w:ascii="Verdana" w:hAnsi="Verdana" w:cs="Arial"/>
          <w:bCs/>
          <w:color w:val="000000"/>
          <w:sz w:val="20"/>
          <w:lang w:val="es-ES"/>
        </w:rPr>
        <w:lastRenderedPageBreak/>
        <w:t>de los Procesos de Contratación señala que la inclusión de salvedades en el acta de liquidación no implica el reconocimiento por parte de la entidad estatal de los derechos o las situaciones a las que se refieren tales salvedades, sino que ellas reflejan los asuntos respecto de los cuales las partes no llegaron a un acuerdo, y recomienda que la entidad estatal incluya una manifestación en este sentido en las actas de liquidación en las cuales el contratista efectúe salvedades.</w:t>
      </w:r>
    </w:p>
    <w:p w14:paraId="0854E41A" w14:textId="77777777" w:rsidR="00FA4857" w:rsidRDefault="00FA4857" w:rsidP="00FA4857">
      <w:pPr>
        <w:spacing w:after="0" w:line="240" w:lineRule="auto"/>
        <w:jc w:val="both"/>
        <w:rPr>
          <w:rFonts w:ascii="Verdana" w:hAnsi="Verdana" w:cs="Arial"/>
          <w:b/>
          <w:bCs/>
          <w:color w:val="000000"/>
          <w:lang w:val="es-ES"/>
        </w:rPr>
      </w:pPr>
    </w:p>
    <w:p w14:paraId="3BBF6A00" w14:textId="77777777" w:rsidR="00FA4857" w:rsidRPr="004A0841" w:rsidRDefault="00FA4857" w:rsidP="00FA4857">
      <w:pPr>
        <w:spacing w:after="0" w:line="240" w:lineRule="auto"/>
        <w:jc w:val="both"/>
        <w:rPr>
          <w:rFonts w:ascii="Verdana" w:hAnsi="Verdana" w:cs="Arial"/>
          <w:b/>
          <w:bCs/>
          <w:color w:val="000000"/>
          <w:lang w:val="es-ES"/>
        </w:rPr>
      </w:pPr>
      <w:r w:rsidRPr="004A0841">
        <w:rPr>
          <w:rFonts w:ascii="Verdana" w:hAnsi="Verdana" w:cs="Arial"/>
          <w:b/>
          <w:bCs/>
          <w:color w:val="000000"/>
          <w:lang w:val="es-ES"/>
        </w:rPr>
        <w:t>SALVEDADES – Requisitos – Concreción y especificidad</w:t>
      </w:r>
    </w:p>
    <w:p w14:paraId="39525073" w14:textId="77777777" w:rsidR="00FA4857" w:rsidRDefault="00FA4857" w:rsidP="00FA4857">
      <w:pPr>
        <w:spacing w:after="0" w:line="240" w:lineRule="auto"/>
        <w:jc w:val="both"/>
        <w:rPr>
          <w:rFonts w:ascii="Verdana" w:hAnsi="Verdana" w:cs="Arial"/>
          <w:b/>
          <w:bCs/>
          <w:color w:val="000000"/>
          <w:lang w:val="es-ES"/>
        </w:rPr>
      </w:pPr>
    </w:p>
    <w:p w14:paraId="25E52C70" w14:textId="77777777" w:rsidR="00FA4857" w:rsidRPr="004A0841" w:rsidRDefault="00FA4857" w:rsidP="00FA4857">
      <w:pPr>
        <w:spacing w:after="0" w:line="240" w:lineRule="auto"/>
        <w:jc w:val="both"/>
        <w:rPr>
          <w:rFonts w:ascii="Verdana" w:hAnsi="Verdana" w:cs="Arial"/>
          <w:bCs/>
          <w:color w:val="000000"/>
          <w:sz w:val="20"/>
          <w:lang w:val="es-ES"/>
        </w:rPr>
      </w:pPr>
      <w:r>
        <w:rPr>
          <w:rFonts w:ascii="Verdana" w:hAnsi="Verdana" w:cs="Arial"/>
          <w:bCs/>
          <w:color w:val="000000"/>
          <w:sz w:val="20"/>
          <w:lang w:val="es-ES"/>
        </w:rPr>
        <w:t>Las salvedades que se hagan en el momento de la liquidación bilateral deben ser concretas y específicas, es decir, deben versar sobre puntos determinados de la liquidación que no se comparten; por lo tanto, la salvedad no puede ser genérica, vaga e indeterminada. La jurisprudencia del Consejo de Estado no acepta fórmulas generales y abstractas, pues ello implicaría desconocer la finalidad de la liquidación, que es el ajuste de cuentas del contrato. Esta exigencia se predica de cualquiera de las partes que consigne la manifestación, de suerte que lo determinante no es la denominación que se le dé —salvedad, constancia u objeción— sino que identifique con precisión el asunto controvertido, su fundamento y, cuando sea posible, su cuantificación.</w:t>
      </w:r>
    </w:p>
    <w:p w14:paraId="63E6844D" w14:textId="77777777" w:rsidR="00FA4857" w:rsidRDefault="00FA4857" w:rsidP="00FA4857">
      <w:pPr>
        <w:spacing w:after="0" w:line="240" w:lineRule="auto"/>
        <w:jc w:val="both"/>
        <w:rPr>
          <w:rFonts w:ascii="Verdana" w:hAnsi="Verdana" w:cs="Arial"/>
          <w:b/>
          <w:bCs/>
          <w:color w:val="000000"/>
          <w:lang w:val="es-ES"/>
        </w:rPr>
      </w:pPr>
    </w:p>
    <w:p w14:paraId="1D6E5FFB" w14:textId="77777777" w:rsidR="00FA4857" w:rsidRPr="004A0841" w:rsidRDefault="00FA4857" w:rsidP="00FA4857">
      <w:pPr>
        <w:spacing w:after="0" w:line="240" w:lineRule="auto"/>
        <w:jc w:val="both"/>
        <w:rPr>
          <w:rFonts w:ascii="Verdana" w:hAnsi="Verdana" w:cs="Arial"/>
          <w:b/>
          <w:bCs/>
          <w:color w:val="000000"/>
          <w:lang w:val="es-ES"/>
        </w:rPr>
      </w:pPr>
      <w:r w:rsidRPr="004A0841">
        <w:rPr>
          <w:rFonts w:ascii="Verdana" w:hAnsi="Verdana" w:cs="Arial"/>
          <w:b/>
          <w:bCs/>
          <w:color w:val="000000"/>
          <w:lang w:val="es-ES"/>
        </w:rPr>
        <w:t>LIQUIDACIÓN UNILATERAL PARCIAL – Deber posterior de la entidad</w:t>
      </w:r>
    </w:p>
    <w:p w14:paraId="2E64EA24" w14:textId="77777777" w:rsidR="00FA4857" w:rsidRDefault="00FA4857" w:rsidP="00FA4857">
      <w:pPr>
        <w:spacing w:after="0" w:line="240" w:lineRule="auto"/>
        <w:jc w:val="both"/>
        <w:rPr>
          <w:rFonts w:ascii="Verdana" w:hAnsi="Verdana" w:cs="Arial"/>
          <w:b/>
          <w:bCs/>
          <w:color w:val="000000"/>
          <w:lang w:val="es-ES"/>
        </w:rPr>
      </w:pPr>
    </w:p>
    <w:p w14:paraId="70772544" w14:textId="77777777" w:rsidR="00FA4857" w:rsidRPr="004A0841" w:rsidRDefault="00FA4857" w:rsidP="00FA4857">
      <w:pPr>
        <w:spacing w:after="0" w:line="240" w:lineRule="auto"/>
        <w:jc w:val="both"/>
        <w:rPr>
          <w:rFonts w:ascii="Verdana" w:hAnsi="Verdana" w:cs="Arial"/>
          <w:bCs/>
          <w:color w:val="000000"/>
          <w:sz w:val="20"/>
          <w:lang w:val="es-ES"/>
        </w:rPr>
      </w:pPr>
      <w:r>
        <w:rPr>
          <w:rFonts w:ascii="Verdana" w:hAnsi="Verdana" w:cs="Arial"/>
          <w:bCs/>
          <w:color w:val="000000"/>
          <w:sz w:val="20"/>
          <w:lang w:val="es-ES"/>
        </w:rPr>
        <w:t>Ante las salvedades es válido que se posibilite la liquidación unilateral parcial por parte de la Administración, es decir, en aquellos aspectos donde se dejaron los desacuerdos la entidad debe completar la liquidación del contrato. Así lo dispone el inciso final del artículo 11 de la Ley 1150 de 2007 al prever que, en el evento de salvedades, la liquidación unilateral solo procederá en relación con los aspectos que no hayan sido objeto de acuerdo. Previamente, las diferencias que motivaron las salvedades pueden resolverse mediante mecanismos de arreglo directo; si ello no ocurre, la entidad conserva la facultad de liquidar unilateralmente esos puntos, dentro de los plazos legales y siempre que el contratista no haya acudido a la jurisdicción.</w:t>
      </w:r>
    </w:p>
    <w:p w14:paraId="25DD98C4" w14:textId="77777777" w:rsidR="00FA4857" w:rsidRDefault="00FA4857" w:rsidP="00FA4857">
      <w:pPr>
        <w:spacing w:after="0" w:line="240" w:lineRule="auto"/>
        <w:jc w:val="both"/>
        <w:rPr>
          <w:rFonts w:ascii="Verdana" w:hAnsi="Verdana" w:cs="Arial"/>
          <w:b/>
          <w:bCs/>
          <w:color w:val="000000"/>
          <w:lang w:val="es-ES"/>
        </w:rPr>
      </w:pPr>
    </w:p>
    <w:p w14:paraId="413A62CE" w14:textId="77777777" w:rsidR="00FA4857" w:rsidRPr="004A0841" w:rsidRDefault="00FA4857" w:rsidP="00FA4857">
      <w:pPr>
        <w:spacing w:after="0" w:line="240" w:lineRule="auto"/>
        <w:jc w:val="both"/>
        <w:rPr>
          <w:rFonts w:ascii="Verdana" w:hAnsi="Verdana" w:cs="Arial"/>
          <w:b/>
          <w:bCs/>
          <w:color w:val="000000"/>
          <w:lang w:val="es-ES"/>
        </w:rPr>
      </w:pPr>
      <w:r w:rsidRPr="004A0841">
        <w:rPr>
          <w:rFonts w:ascii="Verdana" w:hAnsi="Verdana" w:cs="Arial"/>
          <w:b/>
          <w:bCs/>
          <w:color w:val="000000"/>
          <w:lang w:val="es-ES"/>
        </w:rPr>
        <w:t>LIQUIDACIÓN UNILATERAL – Función – Carácter subsidiario – Plazos preclusivos</w:t>
      </w:r>
    </w:p>
    <w:p w14:paraId="77ED5D3D" w14:textId="77777777" w:rsidR="00FA4857" w:rsidRDefault="00FA4857" w:rsidP="00FA4857">
      <w:pPr>
        <w:spacing w:after="0" w:line="240" w:lineRule="auto"/>
        <w:jc w:val="both"/>
        <w:rPr>
          <w:rFonts w:ascii="Verdana" w:hAnsi="Verdana" w:cs="Arial"/>
          <w:b/>
          <w:bCs/>
          <w:color w:val="000000"/>
          <w:lang w:val="es-ES"/>
        </w:rPr>
      </w:pPr>
    </w:p>
    <w:p w14:paraId="681ED648" w14:textId="77777777" w:rsidR="00FA4857" w:rsidRPr="004A0841" w:rsidRDefault="00FA4857" w:rsidP="00FA4857">
      <w:pPr>
        <w:spacing w:after="0" w:line="240" w:lineRule="auto"/>
        <w:jc w:val="both"/>
        <w:rPr>
          <w:rFonts w:ascii="Verdana" w:hAnsi="Verdana" w:cs="Arial"/>
          <w:bCs/>
          <w:color w:val="000000"/>
          <w:sz w:val="20"/>
          <w:lang w:val="es-ES"/>
        </w:rPr>
      </w:pPr>
      <w:r>
        <w:rPr>
          <w:rFonts w:ascii="Verdana" w:hAnsi="Verdana" w:cs="Arial"/>
          <w:bCs/>
          <w:color w:val="000000"/>
          <w:sz w:val="20"/>
          <w:lang w:val="es-ES"/>
        </w:rPr>
        <w:t>El procedimiento de liquidación unilateral es subsidiario de la liquidación bilateral y procede cuando el contratista no se ha presentado al trámite pese a haber sido convocado o notificado, o cuando, intentada la liquidación de común acuerdo, las partes no llegan a un acuerdo. La admisión de salvedades no desnaturaliza esa figura ni permite eludirla: por expresa disposición legal, la liquidación unilateral subsiste respecto de los aspectos no acordados, con lo cual ambas modalidades se articulan en lugar de excluirse. A ello se añade que los plazos para llevar a cabo la liquidación son preclusivos, por lo cual, si no tiene lugar en ellos, la entidad estatal pierde la competencia para liquidar el contrato.</w:t>
      </w:r>
    </w:p>
    <w:p w14:paraId="43A46A49" w14:textId="77777777" w:rsidR="00BE0957" w:rsidRDefault="00BE0957" w:rsidP="00FA4857">
      <w:pPr>
        <w:spacing w:after="0" w:line="240" w:lineRule="auto"/>
        <w:jc w:val="both"/>
        <w:rPr>
          <w:rFonts w:ascii="Verdana" w:hAnsi="Verdana" w:cs="Arial"/>
          <w:b/>
          <w:bCs/>
          <w:color w:val="000000"/>
          <w:lang w:val="es-ES"/>
        </w:rPr>
      </w:pPr>
    </w:p>
    <w:p w14:paraId="123CA504" w14:textId="122C2C19" w:rsidR="00FA4857" w:rsidRDefault="00FA4857" w:rsidP="00FA4857">
      <w:pPr>
        <w:spacing w:after="0" w:line="240" w:lineRule="auto"/>
        <w:jc w:val="both"/>
        <w:rPr>
          <w:rFonts w:ascii="Verdana" w:eastAsia="Verdana" w:hAnsi="Verdana" w:cs="Verdana"/>
        </w:rPr>
      </w:pPr>
      <w:r w:rsidRPr="00BF7921">
        <w:rPr>
          <w:rFonts w:ascii="Verdana" w:eastAsia="Geomanist Light" w:hAnsi="Verdana" w:cs="Arial"/>
          <w:color w:val="000000" w:themeColor="text1"/>
          <w:lang w:val="es-MX"/>
        </w:rPr>
        <w:lastRenderedPageBreak/>
        <w:t xml:space="preserve">Bogotá D.C., </w:t>
      </w:r>
      <w:r w:rsidR="00864EA3">
        <w:rPr>
          <w:rFonts w:ascii="Verdana" w:eastAsia="Geomanist Light" w:hAnsi="Verdana" w:cs="Arial"/>
          <w:color w:val="000000" w:themeColor="text1"/>
          <w:lang w:val="es-MX"/>
        </w:rPr>
        <w:t xml:space="preserve">26 de agosto de 2026 </w:t>
      </w:r>
    </w:p>
    <w:p w14:paraId="3B934D97" w14:textId="77777777" w:rsidR="00FA4857" w:rsidRDefault="00FA4857" w:rsidP="00FA4857">
      <w:pPr>
        <w:spacing w:after="0" w:line="240" w:lineRule="auto"/>
        <w:rPr>
          <w:rFonts w:ascii="Verdana" w:hAnsi="Verdana"/>
        </w:rPr>
      </w:pPr>
    </w:p>
    <w:p w14:paraId="1D146A1B" w14:textId="36384B06" w:rsidR="00FA4857" w:rsidRPr="002B4BE9" w:rsidRDefault="00FA4857" w:rsidP="00FA4857">
      <w:pPr>
        <w:spacing w:after="0" w:line="240" w:lineRule="auto"/>
        <w:jc w:val="right"/>
        <w:rPr>
          <w:rFonts w:ascii="Verdana" w:hAnsi="Verdana"/>
        </w:rPr>
      </w:pPr>
      <w:r w:rsidRPr="00FA4857">
        <w:rPr>
          <w:rFonts w:ascii="Verdana" w:hAnsi="Verdana"/>
          <w:noProof/>
        </w:rPr>
        <w:drawing>
          <wp:anchor distT="0" distB="0" distL="114300" distR="114300" simplePos="0" relativeHeight="251658240" behindDoc="0" locked="0" layoutInCell="1" allowOverlap="1" wp14:anchorId="28A30038" wp14:editId="6DD21D29">
            <wp:simplePos x="0" y="0"/>
            <wp:positionH relativeFrom="margin">
              <wp:align>right</wp:align>
            </wp:positionH>
            <wp:positionV relativeFrom="paragraph">
              <wp:posOffset>65405</wp:posOffset>
            </wp:positionV>
            <wp:extent cx="2512060" cy="946150"/>
            <wp:effectExtent l="0" t="0" r="2540" b="6350"/>
            <wp:wrapSquare wrapText="bothSides"/>
            <wp:docPr id="43504520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045208" name=""/>
                    <pic:cNvPicPr/>
                  </pic:nvPicPr>
                  <pic:blipFill>
                    <a:blip r:embed="rId10">
                      <a:extLst>
                        <a:ext uri="{28A0092B-C50C-407E-A947-70E740481C1C}">
                          <a14:useLocalDpi xmlns:a14="http://schemas.microsoft.com/office/drawing/2010/main" val="0"/>
                        </a:ext>
                      </a:extLst>
                    </a:blip>
                    <a:stretch>
                      <a:fillRect/>
                    </a:stretch>
                  </pic:blipFill>
                  <pic:spPr>
                    <a:xfrm>
                      <a:off x="0" y="0"/>
                      <a:ext cx="2516361" cy="947826"/>
                    </a:xfrm>
                    <a:prstGeom prst="rect">
                      <a:avLst/>
                    </a:prstGeom>
                  </pic:spPr>
                </pic:pic>
              </a:graphicData>
            </a:graphic>
            <wp14:sizeRelH relativeFrom="margin">
              <wp14:pctWidth>0</wp14:pctWidth>
            </wp14:sizeRelH>
            <wp14:sizeRelV relativeFrom="margin">
              <wp14:pctHeight>0</wp14:pctHeight>
            </wp14:sizeRelV>
          </wp:anchor>
        </w:drawing>
      </w:r>
    </w:p>
    <w:p w14:paraId="333755E4" w14:textId="77777777" w:rsidR="00FA4857" w:rsidRPr="00524422" w:rsidRDefault="00FA4857" w:rsidP="00FA4857">
      <w:pPr>
        <w:spacing w:after="0" w:line="240" w:lineRule="auto"/>
        <w:rPr>
          <w:rFonts w:ascii="Verdana" w:eastAsia="Calibri" w:hAnsi="Verdana" w:cs="Times New Roman"/>
          <w:lang w:val="es-MX"/>
        </w:rPr>
      </w:pPr>
      <w:r w:rsidRPr="00524422">
        <w:rPr>
          <w:rFonts w:ascii="Verdana" w:eastAsia="Calibri" w:hAnsi="Verdana" w:cs="Times New Roman"/>
          <w:lang w:val="es-MX"/>
        </w:rPr>
        <w:t>Señor</w:t>
      </w:r>
    </w:p>
    <w:p w14:paraId="6CE6DBA0" w14:textId="77777777" w:rsidR="00FA4857" w:rsidRPr="00524422" w:rsidRDefault="00FA4857" w:rsidP="00FA4857">
      <w:pPr>
        <w:spacing w:after="0" w:line="240" w:lineRule="auto"/>
        <w:rPr>
          <w:rFonts w:ascii="Verdana" w:eastAsia="Calibri" w:hAnsi="Verdana" w:cs="Times New Roman"/>
          <w:b/>
        </w:rPr>
      </w:pPr>
      <w:r>
        <w:rPr>
          <w:rFonts w:ascii="Verdana" w:eastAsia="Calibri" w:hAnsi="Verdana" w:cs="Times New Roman"/>
          <w:b/>
        </w:rPr>
        <w:t>Ciudadano anónimo</w:t>
      </w:r>
    </w:p>
    <w:p w14:paraId="6F84741F" w14:textId="77777777" w:rsidR="00FA4857" w:rsidRPr="00524422" w:rsidRDefault="00FA4857" w:rsidP="00FA4857">
      <w:pPr>
        <w:spacing w:after="0" w:line="240" w:lineRule="auto"/>
        <w:rPr>
          <w:rFonts w:ascii="Verdana" w:hAnsi="Verdana"/>
        </w:rPr>
      </w:pPr>
      <w:r>
        <w:rPr>
          <w:rFonts w:ascii="Verdana" w:hAnsi="Verdana"/>
        </w:rPr>
        <w:t>duquejuanchi@gmail.com</w:t>
      </w:r>
    </w:p>
    <w:p w14:paraId="4767B1C9" w14:textId="77777777" w:rsidR="00FA4857" w:rsidRPr="00524422" w:rsidRDefault="00FA4857" w:rsidP="00FA4857">
      <w:pPr>
        <w:spacing w:after="0" w:line="240" w:lineRule="auto"/>
        <w:rPr>
          <w:rFonts w:ascii="Verdana" w:eastAsia="Calibri" w:hAnsi="Verdana" w:cs="Times New Roman"/>
          <w:bCs/>
        </w:rPr>
      </w:pPr>
      <w:r>
        <w:rPr>
          <w:rFonts w:ascii="Verdana" w:eastAsia="Calibri" w:hAnsi="Verdana" w:cs="Times New Roman"/>
          <w:bCs/>
        </w:rPr>
        <w:t>Ciudad</w:t>
      </w:r>
    </w:p>
    <w:p w14:paraId="701C54D7" w14:textId="77777777" w:rsidR="00FA4857" w:rsidRPr="002B4BE9" w:rsidRDefault="00FA4857" w:rsidP="00FA4857">
      <w:pPr>
        <w:spacing w:after="0" w:line="240" w:lineRule="auto"/>
        <w:rPr>
          <w:rFonts w:ascii="Verdana" w:eastAsia="Calibri" w:hAnsi="Verdana" w:cs="Times New Roman"/>
        </w:rPr>
      </w:pPr>
    </w:p>
    <w:p w14:paraId="09EFC0BB" w14:textId="77777777" w:rsidR="00FA4857" w:rsidRPr="002B4BE9" w:rsidRDefault="00FA4857" w:rsidP="00FA4857">
      <w:pPr>
        <w:spacing w:after="0" w:line="240" w:lineRule="auto"/>
        <w:rPr>
          <w:rFonts w:ascii="Verdana" w:eastAsia="Calibri" w:hAnsi="Verdana" w:cs="Times New Roman"/>
        </w:rPr>
      </w:pPr>
    </w:p>
    <w:p w14:paraId="4DC18CBE" w14:textId="77777777" w:rsidR="00FA4857" w:rsidRPr="002B4BE9" w:rsidRDefault="00FA4857" w:rsidP="00FA4857">
      <w:pPr>
        <w:spacing w:after="0" w:line="240" w:lineRule="auto"/>
        <w:rPr>
          <w:rFonts w:ascii="Verdana" w:eastAsia="Calibri" w:hAnsi="Verdana" w:cs="Times New Roman"/>
          <w:b/>
          <w:bCs/>
          <w:lang w:val="es-ES"/>
        </w:rPr>
      </w:pPr>
      <w:r w:rsidRPr="002B4BE9">
        <w:rPr>
          <w:rFonts w:ascii="Verdana" w:eastAsia="Calibri" w:hAnsi="Verdana" w:cs="Times New Roman"/>
          <w:b/>
          <w:bCs/>
          <w:lang w:val="es-ES"/>
        </w:rPr>
        <w:t xml:space="preserve">                                    Concepto </w:t>
      </w:r>
      <w:r w:rsidRPr="00C924D5">
        <w:rPr>
          <w:rFonts w:ascii="Verdana" w:eastAsia="Calibri" w:hAnsi="Verdana" w:cs="Times New Roman"/>
          <w:b/>
          <w:bCs/>
          <w:lang w:val="es-ES"/>
        </w:rPr>
        <w:t>C-1121</w:t>
      </w:r>
      <w:r w:rsidRPr="002B4BE9">
        <w:rPr>
          <w:rFonts w:ascii="Verdana" w:eastAsia="Calibri" w:hAnsi="Verdana" w:cs="Times New Roman"/>
          <w:b/>
          <w:bCs/>
          <w:lang w:val="es-ES"/>
        </w:rPr>
        <w:t xml:space="preserve"> de 2026</w:t>
      </w:r>
    </w:p>
    <w:p w14:paraId="15412174" w14:textId="77777777" w:rsidR="00FA4857" w:rsidRPr="002B4BE9" w:rsidRDefault="00FA4857" w:rsidP="00FA4857">
      <w:pPr>
        <w:spacing w:after="0" w:line="240" w:lineRule="auto"/>
        <w:rPr>
          <w:rFonts w:ascii="Verdana" w:eastAsia="Calibri" w:hAnsi="Verdana" w:cs="Times New Roman"/>
          <w:lang w:val="es-ES_tradnl"/>
        </w:rPr>
      </w:pPr>
    </w:p>
    <w:tbl>
      <w:tblPr>
        <w:tblStyle w:val="Tablaconcuadrcula11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FA4857" w:rsidRPr="002B4BE9" w14:paraId="40D3DB5A" w14:textId="77777777" w:rsidTr="004E4B4B">
        <w:trPr>
          <w:trHeight w:val="645"/>
        </w:trPr>
        <w:tc>
          <w:tcPr>
            <w:tcW w:w="2685" w:type="dxa"/>
            <w:hideMark/>
          </w:tcPr>
          <w:p w14:paraId="7EAD1D1A" w14:textId="77777777" w:rsidR="00FA4857" w:rsidRPr="00403388" w:rsidRDefault="00FA4857" w:rsidP="004E4B4B">
            <w:pPr>
              <w:rPr>
                <w:rFonts w:ascii="Verdana" w:hAnsi="Verdana"/>
                <w:b/>
                <w:bCs/>
                <w:lang w:val="es-ES_tradnl"/>
              </w:rPr>
            </w:pPr>
            <w:r w:rsidRPr="00403388">
              <w:rPr>
                <w:rFonts w:ascii="Verdana" w:hAnsi="Verdana"/>
                <w:b/>
                <w:bCs/>
                <w:lang w:val="es-ES_tradnl"/>
              </w:rPr>
              <w:t xml:space="preserve">Temas:                  </w:t>
            </w:r>
          </w:p>
        </w:tc>
        <w:tc>
          <w:tcPr>
            <w:tcW w:w="6241" w:type="dxa"/>
            <w:hideMark/>
          </w:tcPr>
          <w:p w14:paraId="524276F7" w14:textId="77777777" w:rsidR="00FA4857" w:rsidRDefault="00FA4857" w:rsidP="004E4B4B">
            <w:pPr>
              <w:spacing w:line="276" w:lineRule="auto"/>
              <w:jc w:val="both"/>
              <w:rPr>
                <w:rFonts w:ascii="Verdana" w:hAnsi="Verdana" w:cs="Arial"/>
                <w:bCs/>
                <w:color w:val="000000"/>
                <w:lang w:val="es-ES"/>
              </w:rPr>
            </w:pPr>
            <w:r w:rsidRPr="001B49B3">
              <w:rPr>
                <w:rFonts w:ascii="Verdana" w:hAnsi="Verdana" w:cs="Arial"/>
                <w:bCs/>
                <w:color w:val="000000"/>
                <w:lang w:val="es-ES"/>
              </w:rPr>
              <w:t>LIQUIDACIÓN BILATERAL – Naturaleza negocial – Autonomía de la voluntad / SALVEDADES – Efecto preclusivo – Carácter bilateral / SALVEDADES – Derecho del contratista – Artículo 11 de la Ley 1150 de 2007 – Alcance de la mención / SALVEDADES Y CONSTANCIAS DE LA ENTIDAD – Procedencia – Recomendación institucional / SALVEDADES – Requisitos – Concreción y especificidad / LIQUIDACIÓN UNILATERAL PARCIAL – Deber posterior de la entidad / LIQUIDACIÓN UNILATERAL – Función – Carácter subsidiario – Plazos preclusivos</w:t>
            </w:r>
          </w:p>
          <w:p w14:paraId="5ADAB99F" w14:textId="77777777" w:rsidR="00FA4857" w:rsidRPr="00403388" w:rsidRDefault="00FA4857" w:rsidP="004E4B4B">
            <w:pPr>
              <w:spacing w:line="276" w:lineRule="auto"/>
              <w:jc w:val="both"/>
              <w:rPr>
                <w:rFonts w:ascii="Verdana" w:hAnsi="Verdana" w:cs="Arial"/>
                <w:lang w:val="es-ES" w:eastAsia="es-ES"/>
              </w:rPr>
            </w:pPr>
          </w:p>
        </w:tc>
        <w:tc>
          <w:tcPr>
            <w:tcW w:w="6237" w:type="dxa"/>
          </w:tcPr>
          <w:p w14:paraId="140FE514" w14:textId="77777777" w:rsidR="00FA4857" w:rsidRPr="002B4BE9" w:rsidRDefault="00FA4857" w:rsidP="004E4B4B">
            <w:pPr>
              <w:rPr>
                <w:rFonts w:ascii="Verdana" w:hAnsi="Verdana"/>
                <w:lang w:val="es-ES"/>
              </w:rPr>
            </w:pPr>
          </w:p>
        </w:tc>
      </w:tr>
      <w:tr w:rsidR="00FA4857" w:rsidRPr="002B4BE9" w14:paraId="04BDD69C" w14:textId="77777777" w:rsidTr="004E4B4B">
        <w:tc>
          <w:tcPr>
            <w:tcW w:w="2685" w:type="dxa"/>
          </w:tcPr>
          <w:p w14:paraId="1A92D02F" w14:textId="77777777" w:rsidR="00FA4857" w:rsidRPr="002B4BE9" w:rsidRDefault="00FA4857" w:rsidP="004E4B4B">
            <w:pPr>
              <w:rPr>
                <w:rFonts w:ascii="Verdana" w:hAnsi="Verdana"/>
                <w:b/>
                <w:bCs/>
                <w:lang w:val="es-ES_tradnl"/>
              </w:rPr>
            </w:pPr>
          </w:p>
          <w:p w14:paraId="0D494F4D" w14:textId="77777777" w:rsidR="00FA4857" w:rsidRPr="00995618" w:rsidRDefault="00FA4857" w:rsidP="004E4B4B">
            <w:pPr>
              <w:rPr>
                <w:rFonts w:ascii="Verdana" w:hAnsi="Verdana"/>
                <w:b/>
                <w:bCs/>
                <w:lang w:val="es-ES_tradnl"/>
              </w:rPr>
            </w:pPr>
            <w:r w:rsidRPr="002B4BE9">
              <w:rPr>
                <w:rFonts w:ascii="Verdana" w:hAnsi="Verdana"/>
                <w:b/>
                <w:bCs/>
                <w:lang w:val="es-ES_tradnl"/>
              </w:rPr>
              <w:t xml:space="preserve">Radicación:               </w:t>
            </w:r>
          </w:p>
        </w:tc>
        <w:tc>
          <w:tcPr>
            <w:tcW w:w="6241" w:type="dxa"/>
          </w:tcPr>
          <w:p w14:paraId="5074079A" w14:textId="77777777" w:rsidR="00FA4857" w:rsidRDefault="00FA4857" w:rsidP="004E4B4B">
            <w:pPr>
              <w:spacing w:line="276" w:lineRule="auto"/>
              <w:jc w:val="both"/>
              <w:rPr>
                <w:rFonts w:ascii="Verdana" w:hAnsi="Verdana"/>
                <w:lang w:val="es-ES_tradnl"/>
              </w:rPr>
            </w:pPr>
          </w:p>
          <w:p w14:paraId="0E54757E" w14:textId="77777777" w:rsidR="00FA4857" w:rsidRDefault="00FA4857" w:rsidP="004E4B4B">
            <w:pPr>
              <w:spacing w:line="276" w:lineRule="auto"/>
              <w:jc w:val="both"/>
              <w:rPr>
                <w:rFonts w:ascii="Verdana" w:hAnsi="Verdana"/>
                <w:lang w:val="es-ES_tradnl"/>
              </w:rPr>
            </w:pPr>
            <w:r w:rsidRPr="002B4BE9">
              <w:rPr>
                <w:rFonts w:ascii="Verdana" w:hAnsi="Verdana"/>
                <w:lang w:val="es-ES_tradnl"/>
              </w:rPr>
              <w:t>Respuesta a consulta con radicado 1_2026_07_14_009266</w:t>
            </w:r>
          </w:p>
          <w:p w14:paraId="592C0E61" w14:textId="77777777" w:rsidR="00FA4857" w:rsidRPr="002B4BE9" w:rsidRDefault="00FA4857" w:rsidP="004E4B4B">
            <w:pPr>
              <w:spacing w:line="276" w:lineRule="auto"/>
              <w:jc w:val="both"/>
              <w:rPr>
                <w:rFonts w:ascii="Verdana" w:hAnsi="Verdana"/>
                <w:lang w:val="es-ES_tradnl"/>
              </w:rPr>
            </w:pPr>
          </w:p>
        </w:tc>
        <w:tc>
          <w:tcPr>
            <w:tcW w:w="6237" w:type="dxa"/>
          </w:tcPr>
          <w:p w14:paraId="0A309481" w14:textId="77777777" w:rsidR="00FA4857" w:rsidRPr="002B4BE9" w:rsidRDefault="00FA4857" w:rsidP="004E4B4B">
            <w:pPr>
              <w:rPr>
                <w:rFonts w:ascii="Verdana" w:hAnsi="Verdana"/>
              </w:rPr>
            </w:pPr>
          </w:p>
        </w:tc>
      </w:tr>
    </w:tbl>
    <w:p w14:paraId="01DEC590" w14:textId="77777777" w:rsidR="00FA4857" w:rsidRPr="009037F6" w:rsidRDefault="00FA4857" w:rsidP="00FA4857">
      <w:pPr>
        <w:spacing w:after="0" w:line="256" w:lineRule="auto"/>
        <w:rPr>
          <w:rFonts w:ascii="Verdana" w:eastAsia="Calibri" w:hAnsi="Verdana" w:cs="Times New Roman"/>
          <w:lang w:val="es-ES"/>
        </w:rPr>
      </w:pPr>
      <w:r>
        <w:rPr>
          <w:rFonts w:ascii="Verdana" w:eastAsia="Calibri" w:hAnsi="Verdana" w:cs="Times New Roman"/>
          <w:lang w:val="es-ES"/>
        </w:rPr>
        <w:t>Estimado señor Duque:</w:t>
      </w:r>
    </w:p>
    <w:p w14:paraId="5A4DE334" w14:textId="77777777" w:rsidR="00FA4857" w:rsidRPr="009037F6" w:rsidRDefault="00FA4857" w:rsidP="00FA4857">
      <w:pPr>
        <w:spacing w:after="0" w:line="276" w:lineRule="auto"/>
        <w:rPr>
          <w:rFonts w:ascii="Verdana" w:eastAsia="Calibri" w:hAnsi="Verdana" w:cs="Times New Roman"/>
          <w:lang w:val="es-ES"/>
        </w:rPr>
      </w:pPr>
    </w:p>
    <w:p w14:paraId="79121D14" w14:textId="77777777" w:rsidR="00FA4857" w:rsidRDefault="00FA4857" w:rsidP="00FA4857">
      <w:pPr>
        <w:spacing w:after="120" w:line="276" w:lineRule="auto"/>
        <w:jc w:val="both"/>
        <w:rPr>
          <w:rFonts w:ascii="Verdana" w:eastAsia="Calibri" w:hAnsi="Verdana" w:cs="Times New Roman"/>
          <w:bCs/>
          <w:lang w:val="es-ES" w:bidi="es-ES"/>
        </w:rPr>
      </w:pPr>
      <w:r w:rsidRPr="009037F6">
        <w:rPr>
          <w:rFonts w:ascii="Verdana" w:eastAsia="Calibri" w:hAnsi="Verdana" w:cs="Times New Roman"/>
          <w:bCs/>
          <w:lang w:bidi="es-ES"/>
        </w:rPr>
        <w:t xml:space="preserve">La Agencia Nacional de Contratación Pública – Colombia Compra Eficiente –, en ejercicio de las competencias otorgadas por los Decretos 4170 de 2011 y 1822 de 2019 y de conformidad con las modalidades del derecho de petición contempladas en la Ley 1755 de 2015, así como lo establecido en la Resolución </w:t>
      </w:r>
      <w:proofErr w:type="spellStart"/>
      <w:r w:rsidRPr="009037F6">
        <w:rPr>
          <w:rFonts w:ascii="Verdana" w:eastAsia="Calibri" w:hAnsi="Verdana" w:cs="Times New Roman"/>
          <w:bCs/>
          <w:lang w:bidi="es-ES"/>
        </w:rPr>
        <w:t>N°</w:t>
      </w:r>
      <w:proofErr w:type="spellEnd"/>
      <w:r w:rsidRPr="009037F6">
        <w:rPr>
          <w:rFonts w:ascii="Verdana" w:eastAsia="Calibri" w:hAnsi="Verdana" w:cs="Times New Roman"/>
          <w:bCs/>
          <w:lang w:bidi="es-ES"/>
        </w:rPr>
        <w:t xml:space="preserve"> 469 del 2025 expedida por esta Agencia, responde su solicitud de consulta del 14 de julio de 2026, mediante la cual, previa exposición de un extenso planteamiento sobre la liquidación contractual, formula los siguientes interrogantes:</w:t>
      </w:r>
    </w:p>
    <w:p w14:paraId="46F27B48" w14:textId="77777777" w:rsidR="00FA4857" w:rsidRDefault="00FA4857" w:rsidP="00FA4857">
      <w:pPr>
        <w:tabs>
          <w:tab w:val="left" w:pos="709"/>
        </w:tabs>
        <w:spacing w:after="120" w:line="240" w:lineRule="auto"/>
        <w:ind w:left="709" w:right="709"/>
        <w:jc w:val="both"/>
        <w:rPr>
          <w:rFonts w:ascii="Verdana" w:hAnsi="Verdana" w:cs="Arial"/>
          <w:sz w:val="21"/>
          <w:szCs w:val="21"/>
          <w:lang w:val="es-ES" w:eastAsia="es-ES"/>
        </w:rPr>
      </w:pPr>
      <w:r w:rsidRPr="00294ADE">
        <w:rPr>
          <w:rFonts w:ascii="Verdana" w:hAnsi="Verdana" w:cs="Arial"/>
          <w:sz w:val="21"/>
          <w:szCs w:val="21"/>
          <w:lang w:val="es-ES" w:eastAsia="es-ES"/>
        </w:rPr>
        <w:lastRenderedPageBreak/>
        <w:t>“¿Es jurídicamente viable que una entidad estatal formule salvedades al acta de liquidación bilateral respecto de asuntos no acordados con el contratista, cuando la falta de acuerdo es precisamente el supuesto que habilita la liquidación unilateral y la minuta de los documentos tipo solo prevé expresamente la salvedad del contratista?</w:t>
      </w:r>
    </w:p>
    <w:p w14:paraId="5F704C1A" w14:textId="77777777" w:rsidR="00FA4857" w:rsidRPr="00294ADE" w:rsidRDefault="00FA4857" w:rsidP="00FA4857">
      <w:pPr>
        <w:tabs>
          <w:tab w:val="left" w:pos="709"/>
        </w:tabs>
        <w:spacing w:after="120" w:line="240" w:lineRule="auto"/>
        <w:ind w:left="709" w:right="709"/>
        <w:jc w:val="both"/>
        <w:rPr>
          <w:rFonts w:ascii="Verdana" w:hAnsi="Verdana" w:cs="Arial"/>
          <w:sz w:val="21"/>
          <w:szCs w:val="21"/>
          <w:lang w:val="es-ES" w:eastAsia="es-ES"/>
        </w:rPr>
      </w:pPr>
      <w:r w:rsidRPr="005648EC">
        <w:rPr>
          <w:rFonts w:ascii="Verdana" w:hAnsi="Verdana" w:cs="Arial"/>
          <w:sz w:val="21"/>
          <w:szCs w:val="21"/>
          <w:lang w:val="es-ES" w:eastAsia="es-ES"/>
        </w:rPr>
        <w:t>¿De resultar afirmativa la respuesta, cuál es el deber posterior de la entidad sobre los puntos sobre los que estableció su salvedad, deberá hacer una liquidación posterior sobre estos puntos sobre los que estableció la salvedad?</w:t>
      </w:r>
    </w:p>
    <w:p w14:paraId="72245E34" w14:textId="77777777" w:rsidR="00FA4857" w:rsidRPr="00294ADE" w:rsidRDefault="00FA4857" w:rsidP="00FA4857">
      <w:pPr>
        <w:tabs>
          <w:tab w:val="left" w:pos="709"/>
        </w:tabs>
        <w:spacing w:after="120" w:line="240" w:lineRule="auto"/>
        <w:ind w:left="709" w:right="709"/>
        <w:jc w:val="both"/>
        <w:rPr>
          <w:rFonts w:ascii="Verdana" w:hAnsi="Verdana" w:cs="Arial"/>
          <w:sz w:val="21"/>
          <w:szCs w:val="21"/>
          <w:lang w:val="es-ES" w:eastAsia="es-ES"/>
        </w:rPr>
      </w:pPr>
      <w:r w:rsidRPr="005648EC">
        <w:rPr>
          <w:rFonts w:ascii="Verdana" w:hAnsi="Verdana" w:cs="Arial"/>
          <w:sz w:val="21"/>
          <w:szCs w:val="21"/>
          <w:lang w:val="es-ES" w:eastAsia="es-ES"/>
        </w:rPr>
        <w:t>¿Qué función conserva la liquidación unilateral si se admite que la entidad puede suscribir el acta bilateral y dejar salvedades sobre los asuntos no acordados?</w:t>
      </w:r>
    </w:p>
    <w:p w14:paraId="783EEC25" w14:textId="77777777" w:rsidR="00FA4857" w:rsidRPr="00294ADE" w:rsidRDefault="00FA4857" w:rsidP="00FA4857">
      <w:pPr>
        <w:tabs>
          <w:tab w:val="left" w:pos="709"/>
        </w:tabs>
        <w:spacing w:after="120" w:line="240" w:lineRule="auto"/>
        <w:ind w:left="709" w:right="709"/>
        <w:jc w:val="both"/>
        <w:rPr>
          <w:rFonts w:ascii="Verdana" w:hAnsi="Verdana" w:cs="Arial"/>
          <w:sz w:val="21"/>
          <w:szCs w:val="21"/>
          <w:lang w:val="es-ES" w:eastAsia="es-ES"/>
        </w:rPr>
      </w:pPr>
      <w:r w:rsidRPr="005648EC">
        <w:rPr>
          <w:rFonts w:ascii="Verdana" w:hAnsi="Verdana" w:cs="Arial"/>
          <w:sz w:val="21"/>
          <w:szCs w:val="21"/>
          <w:lang w:val="es-ES" w:eastAsia="es-ES"/>
        </w:rPr>
        <w:t>¿En los contratos que son derivados de los pliegos tipo la Entidad puede dejar salvedades en los términos como lo harían los contratistas a sus actas de liquidación?</w:t>
      </w:r>
    </w:p>
    <w:p w14:paraId="20F64001" w14:textId="77777777" w:rsidR="00FA4857" w:rsidRPr="00294ADE" w:rsidRDefault="00FA4857" w:rsidP="00FA4857">
      <w:pPr>
        <w:tabs>
          <w:tab w:val="left" w:pos="709"/>
        </w:tabs>
        <w:spacing w:after="120" w:line="240" w:lineRule="auto"/>
        <w:ind w:left="709" w:right="709"/>
        <w:jc w:val="both"/>
        <w:rPr>
          <w:rFonts w:ascii="Verdana" w:hAnsi="Verdana" w:cs="Arial"/>
          <w:sz w:val="21"/>
          <w:szCs w:val="21"/>
          <w:lang w:val="es-ES" w:eastAsia="es-ES"/>
        </w:rPr>
      </w:pPr>
      <w:r w:rsidRPr="005648EC">
        <w:rPr>
          <w:rFonts w:ascii="Verdana" w:hAnsi="Verdana" w:cs="Arial"/>
          <w:sz w:val="21"/>
          <w:szCs w:val="21"/>
          <w:lang w:val="es-ES" w:eastAsia="es-ES"/>
        </w:rPr>
        <w:t>Es viable que la entidad deje constancias sobre puntos de discusión en el contenido del acta de liquidación y no propiamente como una salvedad en los términos que se le permite al contratista”.</w:t>
      </w:r>
    </w:p>
    <w:p w14:paraId="220223E2" w14:textId="77777777" w:rsidR="00FA4857" w:rsidRPr="009037F6" w:rsidRDefault="00FA4857" w:rsidP="00FA4857">
      <w:pPr>
        <w:spacing w:after="120" w:line="276" w:lineRule="auto"/>
        <w:ind w:firstLine="709"/>
        <w:jc w:val="both"/>
        <w:rPr>
          <w:rFonts w:ascii="Verdana" w:eastAsia="Calibri" w:hAnsi="Verdana" w:cs="Times New Roman"/>
          <w:lang w:val="es-ES"/>
        </w:rPr>
      </w:pPr>
      <w:r w:rsidRPr="009037F6">
        <w:rPr>
          <w:rFonts w:ascii="Verdana" w:eastAsia="Calibri" w:hAnsi="Verdana" w:cs="Times New Roman"/>
          <w:lang w:val="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47274D73" w14:textId="77777777" w:rsidR="00FA4857" w:rsidRPr="009037F6" w:rsidRDefault="00FA4857" w:rsidP="00FA4857">
      <w:pPr>
        <w:spacing w:after="0" w:line="276" w:lineRule="auto"/>
        <w:ind w:firstLine="708"/>
        <w:jc w:val="both"/>
        <w:rPr>
          <w:rFonts w:ascii="Verdana" w:eastAsia="Calibri" w:hAnsi="Verdana" w:cs="Times New Roman"/>
          <w:lang w:val="es-ES"/>
        </w:rPr>
      </w:pPr>
      <w:r w:rsidRPr="009037F6">
        <w:rPr>
          <w:rFonts w:ascii="Verdana" w:eastAsia="Calibri" w:hAnsi="Verdana" w:cs="Times New Roman"/>
          <w:lang w:val="es-ES"/>
        </w:rPr>
        <w:t xml:space="preserve">Conforme lo expuesto, en aras de satisfacer el derecho fundamental de petición se resolverá su consulta dentro de los límites de la referida competencia consultiva, esto es, haciendo abstracción de las circunstancias particulares y </w:t>
      </w:r>
      <w:r w:rsidRPr="009037F6">
        <w:rPr>
          <w:rFonts w:ascii="Verdana" w:eastAsia="Calibri" w:hAnsi="Verdana" w:cs="Times New Roman"/>
          <w:lang w:val="es-ES"/>
        </w:rPr>
        <w:lastRenderedPageBreak/>
        <w:t xml:space="preserve">concretas mencionadas en su petición, pero haciendo unas consideraciones sobre las normas generales relacionadas con </w:t>
      </w:r>
      <w:r>
        <w:rPr>
          <w:rFonts w:ascii="Verdana" w:eastAsia="Calibri" w:hAnsi="Verdana" w:cs="Times New Roman"/>
          <w:lang w:val="es-ES"/>
        </w:rPr>
        <w:t xml:space="preserve">el problema jurídico de su consulta. </w:t>
      </w:r>
    </w:p>
    <w:p w14:paraId="49D2FF08" w14:textId="77777777" w:rsidR="00FA4857" w:rsidRPr="009037F6" w:rsidRDefault="00FA4857" w:rsidP="00FA4857">
      <w:pPr>
        <w:spacing w:after="0" w:line="276" w:lineRule="auto"/>
        <w:rPr>
          <w:rFonts w:ascii="Verdana" w:eastAsia="Calibri" w:hAnsi="Verdana" w:cs="Times New Roman"/>
          <w:lang w:val="es-ES"/>
        </w:rPr>
      </w:pPr>
    </w:p>
    <w:p w14:paraId="3E8EAFF8" w14:textId="77777777" w:rsidR="00FA4857" w:rsidRPr="009037F6" w:rsidRDefault="00FA4857" w:rsidP="00FA4857">
      <w:pPr>
        <w:numPr>
          <w:ilvl w:val="0"/>
          <w:numId w:val="2"/>
        </w:numPr>
        <w:spacing w:after="0" w:line="276" w:lineRule="auto"/>
        <w:rPr>
          <w:rFonts w:ascii="Verdana" w:eastAsia="Calibri" w:hAnsi="Verdana" w:cs="Times New Roman"/>
          <w:b/>
          <w:bCs/>
          <w:lang w:val="es-ES"/>
        </w:rPr>
      </w:pPr>
      <w:r w:rsidRPr="009037F6">
        <w:rPr>
          <w:rFonts w:ascii="Verdana" w:eastAsia="Calibri" w:hAnsi="Verdana" w:cs="Times New Roman"/>
          <w:b/>
          <w:bCs/>
          <w:lang w:val="es-ES"/>
        </w:rPr>
        <w:t>Problemas planteados:</w:t>
      </w:r>
    </w:p>
    <w:p w14:paraId="0301A3AD" w14:textId="77777777" w:rsidR="00FA4857" w:rsidRPr="009037F6" w:rsidRDefault="00FA4857" w:rsidP="00FA4857">
      <w:pPr>
        <w:spacing w:after="0" w:line="276" w:lineRule="auto"/>
        <w:rPr>
          <w:rFonts w:ascii="Verdana" w:eastAsia="Calibri" w:hAnsi="Verdana" w:cs="Times New Roman"/>
        </w:rPr>
      </w:pPr>
    </w:p>
    <w:p w14:paraId="70F0CA82" w14:textId="77777777" w:rsidR="00FA4857" w:rsidRPr="00D1210B" w:rsidRDefault="00FA4857" w:rsidP="00FA4857">
      <w:pPr>
        <w:spacing w:after="0" w:line="276" w:lineRule="auto"/>
        <w:jc w:val="both"/>
        <w:rPr>
          <w:rFonts w:ascii="Verdana" w:eastAsia="Calibri" w:hAnsi="Verdana" w:cs="Times New Roman"/>
        </w:rPr>
      </w:pPr>
      <w:r w:rsidRPr="009037F6">
        <w:rPr>
          <w:rFonts w:ascii="Verdana" w:eastAsia="Calibri" w:hAnsi="Verdana" w:cs="Times New Roman"/>
        </w:rPr>
        <w:t xml:space="preserve">De acuerdo con el contenido de su solicitud, los cinco interrogantes formulados se sintetizan en los siguientes dos problemas jurídicos, que la Agencia procede a resolver: i) ¿Es jurídicamente viable que la entidad estatal consigne en el acta de liquidación bilateral salvedades o constancias sobre los asuntos respecto de los cuales no hubo acuerdo con el contratista?, y </w:t>
      </w:r>
      <w:proofErr w:type="spellStart"/>
      <w:r w:rsidRPr="009037F6">
        <w:rPr>
          <w:rFonts w:ascii="Verdana" w:eastAsia="Calibri" w:hAnsi="Verdana" w:cs="Times New Roman"/>
        </w:rPr>
        <w:t>ii</w:t>
      </w:r>
      <w:proofErr w:type="spellEnd"/>
      <w:r w:rsidRPr="009037F6">
        <w:rPr>
          <w:rFonts w:ascii="Verdana" w:eastAsia="Calibri" w:hAnsi="Verdana" w:cs="Times New Roman"/>
        </w:rPr>
        <w:t>) ¿Qué efectos produce esa consignación, qué deberes surgen para la entidad respecto de los puntos no acordados y qué función conserva la liquidación unilateral?</w:t>
      </w:r>
    </w:p>
    <w:p w14:paraId="6095D2F1" w14:textId="77777777" w:rsidR="00FA4857" w:rsidRPr="00E27EDD" w:rsidRDefault="00FA4857" w:rsidP="00FA4857">
      <w:pPr>
        <w:spacing w:after="0" w:line="276" w:lineRule="auto"/>
        <w:jc w:val="both"/>
        <w:rPr>
          <w:rFonts w:ascii="Verdana" w:eastAsia="Calibri" w:hAnsi="Verdana" w:cs="Times New Roman"/>
          <w:i/>
          <w:iCs/>
        </w:rPr>
      </w:pPr>
    </w:p>
    <w:p w14:paraId="6ECA3FBD" w14:textId="77777777" w:rsidR="00FA4857" w:rsidRPr="009037F6" w:rsidRDefault="00FA4857" w:rsidP="00FA4857">
      <w:pPr>
        <w:numPr>
          <w:ilvl w:val="0"/>
          <w:numId w:val="2"/>
        </w:numPr>
        <w:spacing w:after="0" w:line="276" w:lineRule="auto"/>
        <w:rPr>
          <w:rFonts w:ascii="Verdana" w:eastAsia="Calibri" w:hAnsi="Verdana" w:cs="Times New Roman"/>
          <w:b/>
          <w:bCs/>
          <w:lang w:val="es-ES"/>
        </w:rPr>
      </w:pPr>
      <w:r w:rsidRPr="009037F6">
        <w:rPr>
          <w:rFonts w:ascii="Verdana" w:eastAsia="Calibri" w:hAnsi="Verdana" w:cs="Times New Roman"/>
          <w:b/>
          <w:bCs/>
          <w:lang w:val="es-ES"/>
        </w:rPr>
        <w:t>Respuestas:</w:t>
      </w:r>
    </w:p>
    <w:p w14:paraId="5FFC2DD8" w14:textId="77777777" w:rsidR="00FA4857" w:rsidRPr="009037F6" w:rsidRDefault="00FA4857" w:rsidP="00FA4857">
      <w:pPr>
        <w:spacing w:after="0" w:line="276" w:lineRule="auto"/>
        <w:rPr>
          <w:rFonts w:ascii="Verdana" w:eastAsia="Calibri" w:hAnsi="Verdana" w:cs="Times New Roman"/>
          <w:b/>
          <w:bCs/>
          <w:lang w:val="es-ES"/>
        </w:rPr>
      </w:pPr>
    </w:p>
    <w:tbl>
      <w:tblPr>
        <w:tblStyle w:val="Tablaconcuadrcula11"/>
        <w:tblW w:w="8784"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784"/>
      </w:tblGrid>
      <w:tr w:rsidR="00FA4857" w:rsidRPr="009037F6" w14:paraId="3AA062B8" w14:textId="77777777" w:rsidTr="004E4B4B">
        <w:trPr>
          <w:trHeight w:val="345"/>
          <w:jc w:val="center"/>
        </w:trPr>
        <w:tc>
          <w:tcPr>
            <w:tcW w:w="8784" w:type="dxa"/>
            <w:tcBorders>
              <w:bottom w:val="single" w:sz="4" w:space="0" w:color="auto"/>
            </w:tcBorders>
          </w:tcPr>
          <w:p w14:paraId="68779ECB" w14:textId="77777777" w:rsidR="00FA4857" w:rsidRPr="004F3256" w:rsidRDefault="00FA4857" w:rsidP="004E4B4B">
            <w:pPr>
              <w:spacing w:after="120" w:line="276" w:lineRule="auto"/>
              <w:jc w:val="both"/>
              <w:rPr>
                <w:rFonts w:ascii="Verdana" w:hAnsi="Verdana" w:cs="Arial"/>
                <w:lang w:val="es-ES" w:eastAsia="es-ES"/>
              </w:rPr>
            </w:pPr>
            <w:r w:rsidRPr="004F3256">
              <w:rPr>
                <w:rFonts w:ascii="Verdana" w:eastAsia="Times New Roman" w:hAnsi="Verdana" w:cs="Arial"/>
                <w:color w:val="000000" w:themeColor="text1"/>
                <w:lang w:val="es-ES" w:eastAsia="es-ES"/>
              </w:rPr>
              <w:t>i) La liquidación bilateral es un acuerdo en el que las partes del contrato estatal, en ejercicio de la autonomía de la voluntad, regulan la finalización de su relación y disponen de los intereses que emanan de ella. De esa naturaleza negocial se sigue que el acuerdo pueda ser total o parcial y que las divergencias no superadas queden consignadas en el acta. A ello se suma que el artículo 60 de la Ley 80 de 1993 prevé que en el acta consten los acuerdos, conciliaciones y transacciones a que llegaren las partes “para poner fin a las divergencias presentadas”, enunciado que presupone la existencia de divergencias que pueden o no superarse.</w:t>
            </w:r>
          </w:p>
          <w:p w14:paraId="5013BE17" w14:textId="77777777" w:rsidR="00FA4857" w:rsidRPr="004F3256" w:rsidRDefault="00FA4857" w:rsidP="004E4B4B">
            <w:pPr>
              <w:spacing w:after="120" w:line="276" w:lineRule="auto"/>
              <w:ind w:firstLine="595"/>
              <w:jc w:val="both"/>
              <w:rPr>
                <w:rFonts w:ascii="Verdana" w:hAnsi="Verdana" w:cs="Arial"/>
                <w:lang w:val="es-ES" w:eastAsia="es-ES"/>
              </w:rPr>
            </w:pPr>
            <w:r w:rsidRPr="004F3256">
              <w:rPr>
                <w:rFonts w:ascii="Verdana" w:eastAsia="Times New Roman" w:hAnsi="Verdana" w:cs="Arial"/>
                <w:color w:val="000000" w:themeColor="text1"/>
                <w:lang w:val="es-ES" w:eastAsia="es-ES"/>
              </w:rPr>
              <w:t xml:space="preserve">Es cierto que el inciso final del artículo 11 de la Ley 1150 de 2007 menciona expresamente el derecho de los contratistas a efectuar salvedades, </w:t>
            </w:r>
            <w:r>
              <w:rPr>
                <w:rFonts w:ascii="Verdana" w:eastAsia="Times New Roman" w:hAnsi="Verdana" w:cs="Arial"/>
                <w:color w:val="000000" w:themeColor="text1"/>
                <w:lang w:val="es-ES" w:eastAsia="es-ES"/>
              </w:rPr>
              <w:t>l</w:t>
            </w:r>
            <w:r w:rsidRPr="004F3256">
              <w:rPr>
                <w:rFonts w:ascii="Verdana" w:eastAsia="Times New Roman" w:hAnsi="Verdana" w:cs="Arial"/>
                <w:color w:val="000000" w:themeColor="text1"/>
                <w:lang w:val="es-ES" w:eastAsia="es-ES"/>
              </w:rPr>
              <w:t>a norma se refiere al contratista porque para él la salvedad es la única vía de preservar su reclamación, al carecer de potestades unilaterales; en cambio, ninguna disposición impide a la entidad consignar en el acta los asuntos sobre los cuales no hubo acuerdo, y las restricciones a las competencias y a la autonomía negocial requieren norma expresa que las establezca.</w:t>
            </w:r>
          </w:p>
          <w:p w14:paraId="20706B39" w14:textId="77777777" w:rsidR="00FA4857" w:rsidRPr="004F3256" w:rsidRDefault="00FA4857" w:rsidP="004E4B4B">
            <w:pPr>
              <w:spacing w:after="120" w:line="276" w:lineRule="auto"/>
              <w:ind w:firstLine="595"/>
              <w:jc w:val="both"/>
              <w:rPr>
                <w:rFonts w:ascii="Verdana" w:hAnsi="Verdana" w:cs="Arial"/>
                <w:lang w:val="es-ES" w:eastAsia="es-ES"/>
              </w:rPr>
            </w:pPr>
            <w:r w:rsidRPr="004F3256">
              <w:rPr>
                <w:rFonts w:ascii="Verdana" w:eastAsia="Times New Roman" w:hAnsi="Verdana" w:cs="Arial"/>
                <w:color w:val="000000" w:themeColor="text1"/>
                <w:lang w:val="es-ES" w:eastAsia="es-ES"/>
              </w:rPr>
              <w:t xml:space="preserve">El argumento decisivo, sin embargo, es otro: el efecto preclusivo de la liquidación sin salvedades es bilateral. Si al momento de suscribir la liquidación no se dejan consignadas salvedades expresas, se entenderá que las partes han llegado a un acuerdo integral, quedando imposibilitadas para </w:t>
            </w:r>
            <w:r w:rsidRPr="004F3256">
              <w:rPr>
                <w:rFonts w:ascii="Verdana" w:eastAsia="Times New Roman" w:hAnsi="Verdana" w:cs="Arial"/>
                <w:color w:val="000000" w:themeColor="text1"/>
                <w:lang w:val="es-ES" w:eastAsia="es-ES"/>
              </w:rPr>
              <w:lastRenderedPageBreak/>
              <w:t>reclamar posteriormente por vía jurisdiccional. Correlativamente, esta Agencia ha precisado que el efecto de incluir salvedades en el acta consiste en restringir los asuntos respecto de los cuales tanto el contratista como la entidad estatal pueden reclamar posteriormente por vía judicial. Resultaría contradictorio someter a la entidad al efecto preclusivo y negarle al mismo tiempo el instrumento con el que puede evitarlo.</w:t>
            </w:r>
          </w:p>
          <w:p w14:paraId="13CE2EA5" w14:textId="77777777" w:rsidR="00FA4857" w:rsidRPr="004F3256" w:rsidRDefault="00FA4857" w:rsidP="004E4B4B">
            <w:pPr>
              <w:spacing w:after="120" w:line="276" w:lineRule="auto"/>
              <w:ind w:firstLine="595"/>
              <w:jc w:val="both"/>
              <w:rPr>
                <w:rFonts w:ascii="Verdana" w:hAnsi="Verdana" w:cs="Arial"/>
                <w:lang w:val="es-ES" w:eastAsia="es-ES"/>
              </w:rPr>
            </w:pPr>
            <w:r w:rsidRPr="004F3256">
              <w:rPr>
                <w:rFonts w:ascii="Verdana" w:eastAsia="Times New Roman" w:hAnsi="Verdana" w:cs="Arial"/>
                <w:color w:val="000000" w:themeColor="text1"/>
                <w:lang w:val="es-ES" w:eastAsia="es-ES"/>
              </w:rPr>
              <w:t xml:space="preserve">En cuanto a las constancias, </w:t>
            </w:r>
            <w:r>
              <w:rPr>
                <w:rFonts w:ascii="Verdana" w:eastAsia="Times New Roman" w:hAnsi="Verdana" w:cs="Arial"/>
                <w:color w:val="000000" w:themeColor="text1"/>
                <w:lang w:val="es-ES" w:eastAsia="es-ES"/>
              </w:rPr>
              <w:t>l</w:t>
            </w:r>
            <w:r w:rsidRPr="004F3256">
              <w:rPr>
                <w:rFonts w:ascii="Verdana" w:eastAsia="Times New Roman" w:hAnsi="Verdana" w:cs="Arial"/>
                <w:color w:val="000000" w:themeColor="text1"/>
                <w:lang w:val="es-ES" w:eastAsia="es-ES"/>
              </w:rPr>
              <w:t>a Guía para la liquidación de los Procesos de Contratación</w:t>
            </w:r>
            <w:r>
              <w:rPr>
                <w:rStyle w:val="Refdenotaalpie"/>
                <w:rFonts w:ascii="Verdana" w:eastAsia="Times New Roman" w:hAnsi="Verdana" w:cs="Arial"/>
                <w:color w:val="000000" w:themeColor="text1"/>
                <w:lang w:val="es-ES" w:eastAsia="es-ES"/>
              </w:rPr>
              <w:footnoteReference w:id="1"/>
            </w:r>
            <w:r w:rsidRPr="004F3256">
              <w:rPr>
                <w:rFonts w:ascii="Verdana" w:eastAsia="Times New Roman" w:hAnsi="Verdana" w:cs="Arial"/>
                <w:color w:val="000000" w:themeColor="text1"/>
                <w:lang w:val="es-ES" w:eastAsia="es-ES"/>
              </w:rPr>
              <w:t xml:space="preserve"> señala que la inclusión de salvedades en el acta no implica el reconocimiento por parte de la entidad estatal de los derechos o las situaciones a las que se refieren, sino que ellas reflejan los asuntos respecto de los cuales las partes no llegaron a un acuerdo, y recomienda expresamente que la entidad incluya una manifestación en ese sentido en las actas en las que el contratista efectúe salvedades. Lo determinante no es la denominación que se emplee —salvedad, constancia u objeción— sino que la manifestación sea concreta y específica, esto es, que verse sobre puntos determinados de la liquidación que no se comparten, sin que sean admisibles fórmulas genéricas, vagas o indeterminadas.</w:t>
            </w:r>
          </w:p>
          <w:p w14:paraId="67E0279C" w14:textId="77777777" w:rsidR="00FA4857" w:rsidRPr="004F3256" w:rsidRDefault="00FA4857" w:rsidP="004E4B4B">
            <w:pPr>
              <w:spacing w:after="120" w:line="276" w:lineRule="auto"/>
              <w:jc w:val="both"/>
              <w:rPr>
                <w:rFonts w:ascii="Verdana" w:hAnsi="Verdana" w:cs="Arial"/>
                <w:lang w:val="es-ES" w:eastAsia="es-ES"/>
              </w:rPr>
            </w:pPr>
            <w:proofErr w:type="spellStart"/>
            <w:r w:rsidRPr="004F3256">
              <w:rPr>
                <w:rFonts w:ascii="Verdana" w:eastAsia="Times New Roman" w:hAnsi="Verdana" w:cs="Arial"/>
                <w:color w:val="000000" w:themeColor="text1"/>
                <w:lang w:val="es-ES" w:eastAsia="es-ES"/>
              </w:rPr>
              <w:t>ii</w:t>
            </w:r>
            <w:proofErr w:type="spellEnd"/>
            <w:r w:rsidRPr="004F3256">
              <w:rPr>
                <w:rFonts w:ascii="Verdana" w:eastAsia="Times New Roman" w:hAnsi="Verdana" w:cs="Arial"/>
                <w:color w:val="000000" w:themeColor="text1"/>
                <w:lang w:val="es-ES" w:eastAsia="es-ES"/>
              </w:rPr>
              <w:t>) La consignación de salvedades no cierra el asunto ni</w:t>
            </w:r>
            <w:r>
              <w:rPr>
                <w:rFonts w:ascii="Verdana" w:eastAsia="Times New Roman" w:hAnsi="Verdana" w:cs="Arial"/>
                <w:color w:val="000000" w:themeColor="text1"/>
                <w:lang w:val="es-ES" w:eastAsia="es-ES"/>
              </w:rPr>
              <w:t xml:space="preserve"> </w:t>
            </w:r>
            <w:r w:rsidRPr="004F3256">
              <w:rPr>
                <w:rFonts w:ascii="Verdana" w:eastAsia="Times New Roman" w:hAnsi="Verdana" w:cs="Arial"/>
                <w:color w:val="000000" w:themeColor="text1"/>
                <w:lang w:val="es-ES" w:eastAsia="es-ES"/>
              </w:rPr>
              <w:t>difiere indefinidamente su definición: genera para la entidad el deber de completar la liquidación sobre los puntos no acordados. El inciso final del artículo 11 de la Ley 1150 de 2007 dispone que, en el evento de salvedades, “la liquidación unilateral sólo procederá en relación con los aspectos que no hayan sido objeto de acuerdo”, y esta Subdirección ha precisado que ante las salvedades es válido que se posibilite la liquidación unilateral parcial por parte de la Administración, es decir, que en aquellos aspectos donde se dejaron los desacuerdos la entidad debe completar la liquidación del contrato. Con anterioridad a ello, las diferencias que motivaron las salvedades pueden resolverse mediante mecanismos de arreglo directo, como la transacción, la conciliación o la amigable composición.</w:t>
            </w:r>
          </w:p>
          <w:p w14:paraId="1D5C8A4E" w14:textId="77777777" w:rsidR="00FA4857" w:rsidRPr="004F3256" w:rsidRDefault="00FA4857" w:rsidP="004E4B4B">
            <w:pPr>
              <w:spacing w:after="120" w:line="276" w:lineRule="auto"/>
              <w:ind w:firstLine="595"/>
              <w:jc w:val="both"/>
              <w:rPr>
                <w:rFonts w:ascii="Verdana" w:hAnsi="Verdana" w:cs="Arial"/>
                <w:lang w:val="es-ES" w:eastAsia="es-ES"/>
              </w:rPr>
            </w:pPr>
            <w:r w:rsidRPr="004F3256">
              <w:rPr>
                <w:rFonts w:ascii="Verdana" w:eastAsia="Times New Roman" w:hAnsi="Verdana" w:cs="Arial"/>
                <w:color w:val="000000" w:themeColor="text1"/>
                <w:lang w:val="es-ES" w:eastAsia="es-ES"/>
              </w:rPr>
              <w:t xml:space="preserve">De lo anterior se desprende la respuesta al interrogante sobre la función que conserva la liquidación unilateral, que es la premisa central del </w:t>
            </w:r>
            <w:r w:rsidRPr="004F3256">
              <w:rPr>
                <w:rFonts w:ascii="Verdana" w:eastAsia="Times New Roman" w:hAnsi="Verdana" w:cs="Arial"/>
                <w:color w:val="000000" w:themeColor="text1"/>
                <w:lang w:val="es-ES" w:eastAsia="es-ES"/>
              </w:rPr>
              <w:lastRenderedPageBreak/>
              <w:t>planteamiento de la consulta. Esa función permanece intacta y opera en tres escenarios: cuando el contratista no comparece al trámite pese a haber sido convocado o notificado; cuando, intentada la liquidación de común acuerdo, las partes no llegan a acuerdo alguno; y cuando, habiéndose alcanzado un acuerdo parcial, subsisten aspectos objeto de salvedad, caso en el cual procede de manera parcial. Lejos de excluirse, ambas modalidades se articulan por expresa disposición legal: es el propio inciso final del artículo 11 el que prevé su coexistencia. La preocupación de que la salvedad desplace la liquidación unilateral queda así desvirtuada por el texto de la norma que regula precisamente esa hipótesis.</w:t>
            </w:r>
          </w:p>
          <w:p w14:paraId="023284C4" w14:textId="77777777" w:rsidR="00FA4857" w:rsidRPr="004F3256" w:rsidRDefault="00FA4857" w:rsidP="004E4B4B">
            <w:pPr>
              <w:spacing w:after="120" w:line="276" w:lineRule="auto"/>
              <w:ind w:firstLine="595"/>
              <w:jc w:val="both"/>
              <w:rPr>
                <w:rFonts w:ascii="Verdana" w:hAnsi="Verdana" w:cs="Arial"/>
                <w:lang w:val="es-ES" w:eastAsia="es-ES"/>
              </w:rPr>
            </w:pPr>
            <w:r w:rsidRPr="004F3256">
              <w:rPr>
                <w:rFonts w:ascii="Verdana" w:eastAsia="Times New Roman" w:hAnsi="Verdana" w:cs="Arial"/>
                <w:color w:val="000000" w:themeColor="text1"/>
                <w:lang w:val="es-ES" w:eastAsia="es-ES"/>
              </w:rPr>
              <w:t>Tampoco resulta viable emplear la salvedad para diferir decisiones que debieron adoptarse al liquidar, porque los plazos para llevar a cabo la liquidación son preclusivos: si esta no tiene lugar dentro de ellos, la entidad estatal pierde la competencia para liquidar el contrato. La liquidación unilateral parcial debe producirse, por tanto, dentro de los términos del artículo 11 de la Ley 1150 de 2007, y no procede si el contratista ya acudió a la jurisdicción solicitando la liquidación judicial.</w:t>
            </w:r>
          </w:p>
          <w:p w14:paraId="671C100B" w14:textId="77777777" w:rsidR="00FA4857" w:rsidRPr="004F3256" w:rsidRDefault="00FA4857" w:rsidP="004E4B4B">
            <w:pPr>
              <w:spacing w:after="120" w:line="276" w:lineRule="auto"/>
              <w:ind w:firstLine="595"/>
              <w:jc w:val="both"/>
              <w:rPr>
                <w:rFonts w:ascii="Verdana" w:hAnsi="Verdana" w:cs="Arial"/>
                <w:lang w:val="es-ES" w:eastAsia="es-ES"/>
              </w:rPr>
            </w:pPr>
            <w:r w:rsidRPr="004F3256">
              <w:rPr>
                <w:rFonts w:ascii="Verdana" w:eastAsia="Times New Roman" w:hAnsi="Verdana" w:cs="Arial"/>
                <w:color w:val="000000" w:themeColor="text1"/>
                <w:lang w:val="es-ES" w:eastAsia="es-ES"/>
              </w:rPr>
              <w:t>Finalmente, en cuanto a los contratos derivados de Documentos Tipo, la regla de inalterabilidad del artículo 1 de la Ley 2022 de 2020 recae sobre los documentos tipo adoptados por esta Agencia, e impide que las entidades modifiquen su contenido. Esa regla no se ve comprometida cuando la entidad consigna una salvedad o una constancia en el acta de liquidación, pues dicha acta es un documento posterior, propio de la etapa de liquidación, cuyo contenido concretan las partes conforme a la ley. La circunstancia de que la minuta reproduzca el derecho de salvedad que el artículo 11 reconoce al contratista no comporta, según se explicó, una prohibición para la entidad.</w:t>
            </w:r>
          </w:p>
        </w:tc>
      </w:tr>
    </w:tbl>
    <w:p w14:paraId="35F80CD4" w14:textId="77777777" w:rsidR="00FA4857" w:rsidRPr="00B57A1B" w:rsidRDefault="00FA4857" w:rsidP="00FA4857">
      <w:pPr>
        <w:spacing w:after="0" w:line="276" w:lineRule="auto"/>
        <w:jc w:val="both"/>
        <w:rPr>
          <w:rFonts w:ascii="Verdana" w:eastAsia="Calibri" w:hAnsi="Verdana" w:cs="Arial"/>
          <w:bCs/>
          <w:color w:val="000000" w:themeColor="text1"/>
        </w:rPr>
      </w:pPr>
    </w:p>
    <w:p w14:paraId="0810EEA5" w14:textId="77777777" w:rsidR="00FA4857" w:rsidRPr="00B57A1B" w:rsidRDefault="00FA4857" w:rsidP="00FA4857">
      <w:pPr>
        <w:numPr>
          <w:ilvl w:val="0"/>
          <w:numId w:val="2"/>
        </w:numPr>
        <w:tabs>
          <w:tab w:val="left" w:pos="2268"/>
        </w:tabs>
        <w:spacing w:after="0" w:line="276" w:lineRule="auto"/>
        <w:rPr>
          <w:rFonts w:ascii="Verdana" w:eastAsia="Calibri" w:hAnsi="Verdana" w:cs="Times New Roman"/>
          <w:b/>
          <w:bCs/>
          <w:lang w:val="es-ES"/>
        </w:rPr>
      </w:pPr>
      <w:r w:rsidRPr="00B57A1B">
        <w:rPr>
          <w:rFonts w:ascii="Verdana" w:eastAsia="Calibri" w:hAnsi="Verdana" w:cs="Times New Roman"/>
          <w:b/>
          <w:bCs/>
          <w:lang w:val="es-ES"/>
        </w:rPr>
        <w:t>Razones de las respuestas:</w:t>
      </w:r>
    </w:p>
    <w:p w14:paraId="0C9FEA50" w14:textId="77777777" w:rsidR="00FA4857" w:rsidRPr="003C0ED7" w:rsidRDefault="00FA4857" w:rsidP="00FA4857">
      <w:pPr>
        <w:spacing w:after="0" w:line="276" w:lineRule="auto"/>
        <w:jc w:val="both"/>
        <w:rPr>
          <w:rFonts w:ascii="Verdana" w:eastAsia="Calibri" w:hAnsi="Verdana" w:cs="Arial"/>
          <w:lang w:val="es-ES"/>
        </w:rPr>
      </w:pPr>
    </w:p>
    <w:p w14:paraId="6DECC5A4" w14:textId="77777777" w:rsidR="00FA4857" w:rsidRPr="00A0389A" w:rsidRDefault="00FA4857" w:rsidP="00FA4857">
      <w:pPr>
        <w:spacing w:after="0" w:line="276" w:lineRule="auto"/>
        <w:jc w:val="both"/>
        <w:rPr>
          <w:rFonts w:ascii="Verdana" w:eastAsia="Calibri" w:hAnsi="Verdana" w:cs="Arial"/>
          <w:lang w:val="es-ES"/>
        </w:rPr>
      </w:pPr>
      <w:r w:rsidRPr="00A0389A">
        <w:rPr>
          <w:rFonts w:ascii="Verdana" w:eastAsia="Calibri" w:hAnsi="Verdana" w:cs="Arial"/>
          <w:lang w:val="es-ES"/>
        </w:rPr>
        <w:t>Lo anterior se sustenta en las siguientes consideraciones:</w:t>
      </w:r>
    </w:p>
    <w:p w14:paraId="2F6728D4" w14:textId="77777777" w:rsidR="00FA4857" w:rsidRDefault="00FA4857" w:rsidP="00FA4857">
      <w:pPr>
        <w:spacing w:after="0" w:line="240" w:lineRule="auto"/>
        <w:jc w:val="both"/>
        <w:rPr>
          <w:rFonts w:ascii="Verdana" w:hAnsi="Verdana" w:cs="Arial"/>
          <w:b/>
          <w:bCs/>
          <w:color w:val="000000"/>
          <w:lang w:val="es-ES"/>
        </w:rPr>
      </w:pPr>
    </w:p>
    <w:p w14:paraId="2396176C" w14:textId="77777777" w:rsidR="00FA4857" w:rsidRDefault="00FA4857" w:rsidP="00FA4857">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 xml:space="preserve">i) La liquidación es el ajuste de cuentas donde las partes hacen un balance económico, técnico y jurídico del cumplimiento de las obligaciones que tienen a su cargo. Así lo manifestó el Consejo de Estado en la sentencia del 20 de octubre de 2014, en la que consideró, por un lado, que liquidar supone un ajuste en </w:t>
      </w:r>
      <w:r>
        <w:rPr>
          <w:rFonts w:ascii="Verdana" w:hAnsi="Verdana" w:cs="Arial"/>
          <w:bCs/>
          <w:szCs w:val="24"/>
          <w:lang w:val="es-ES_tradnl" w:eastAsia="es-ES_tradnl"/>
        </w:rPr>
        <w:lastRenderedPageBreak/>
        <w:t>relación con las cuentas y el estado de cumplimiento del contrato estatal y, por el otro, que la liquidación debe incluir el análisis de las condiciones de calidad y oportunidad en la entrega de los bienes, obras o servicios, así como el balance económico y el comportamiento financiero del negocio.</w:t>
      </w:r>
    </w:p>
    <w:p w14:paraId="500D4BDF" w14:textId="77777777" w:rsidR="00FA4857" w:rsidRPr="00A0389A" w:rsidRDefault="00FA4857" w:rsidP="00FA4857">
      <w:pPr>
        <w:spacing w:after="0" w:line="276" w:lineRule="auto"/>
        <w:jc w:val="both"/>
        <w:rPr>
          <w:rFonts w:ascii="Verdana" w:hAnsi="Verdana" w:cs="Arial"/>
          <w:bCs/>
          <w:szCs w:val="24"/>
          <w:lang w:val="es-ES_tradnl" w:eastAsia="es-ES_tradnl"/>
        </w:rPr>
      </w:pPr>
    </w:p>
    <w:p w14:paraId="29248859" w14:textId="77777777" w:rsidR="00FA4857" w:rsidRDefault="00FA4857" w:rsidP="00FA4857">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En términos institucionales, esta Agencia ha definido la liquidación como el procedimiento a través del cual, una vez concluido el contrato, las partes cruzan cuentas respecto de sus obligaciones, con el objetivo de determinar si pueden declararse a paz y salvo mutuo o si existen obligaciones por cumplir y la forma en que deben ser cumplidas. De ahí que la liquidación solo proceda con posterioridad a la terminación de la ejecución del contrato.</w:t>
      </w:r>
    </w:p>
    <w:p w14:paraId="798F8C1B" w14:textId="77777777" w:rsidR="00FA4857" w:rsidRPr="00A0389A" w:rsidRDefault="00FA4857" w:rsidP="00FA4857">
      <w:pPr>
        <w:spacing w:after="0" w:line="276" w:lineRule="auto"/>
        <w:ind w:firstLine="567"/>
        <w:jc w:val="both"/>
        <w:rPr>
          <w:rFonts w:ascii="Verdana" w:hAnsi="Verdana" w:cs="Arial"/>
          <w:bCs/>
          <w:szCs w:val="24"/>
          <w:lang w:val="es-ES_tradnl" w:eastAsia="es-ES_tradnl"/>
        </w:rPr>
      </w:pPr>
    </w:p>
    <w:p w14:paraId="12FED67B" w14:textId="77777777" w:rsidR="00FA4857" w:rsidRDefault="00FA4857" w:rsidP="00FA4857">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Las disposiciones legales que regulan la etapa de liquidación de los contratos estatales son el artículo 60 de la Ley 80 de 1993, modificado por el artículo 217 del Decreto 019 de 2012, y el artículo 11 de la Ley 1150 de 2007. El primero de estos artículos se refiere al alcance sustantivo de la liquidación y a los contratos en que procede, mientras que el segundo contiene reglas procedimentales para su realización, entre ellas las relativas a los plazos y a las salvedades.</w:t>
      </w:r>
    </w:p>
    <w:p w14:paraId="5576EB19" w14:textId="77777777" w:rsidR="00FA4857" w:rsidRPr="00A0389A" w:rsidRDefault="00FA4857" w:rsidP="00FA4857">
      <w:pPr>
        <w:spacing w:after="0" w:line="276" w:lineRule="auto"/>
        <w:ind w:firstLine="567"/>
        <w:jc w:val="both"/>
        <w:rPr>
          <w:rFonts w:ascii="Verdana" w:hAnsi="Verdana" w:cs="Arial"/>
          <w:bCs/>
          <w:szCs w:val="24"/>
          <w:lang w:val="es-ES_tradnl" w:eastAsia="es-ES_tradnl"/>
        </w:rPr>
      </w:pPr>
    </w:p>
    <w:p w14:paraId="4E2603AF" w14:textId="77777777" w:rsidR="00FA4857" w:rsidRPr="00B921FA" w:rsidRDefault="00FA4857" w:rsidP="00FA4857">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Interesa destacar desde ya un enunciado del artículo 60 que resulta central para la consulta: en el acta de liquidación “constarán los acuerdos, conciliaciones y transacciones a que llegaren las partes para poner fin a las divergencias presentadas y poder declararse a paz y salvo”. La disposición parte, pues, del supuesto de que en la etapa de liquidación pueden existir divergencias, y concibe el acta como el escenario natural para intentar superarlas. Nada en su texto sugiere que las divergencias no superadas deban permanecer ocultas o que su constancia esté reservada a una sola de las partes.</w:t>
      </w:r>
    </w:p>
    <w:p w14:paraId="2368361B" w14:textId="77777777" w:rsidR="00FA4857" w:rsidRDefault="00FA4857" w:rsidP="00FA4857">
      <w:pPr>
        <w:spacing w:after="0" w:line="276" w:lineRule="auto"/>
        <w:jc w:val="both"/>
        <w:rPr>
          <w:rFonts w:ascii="Verdana" w:hAnsi="Verdana" w:cs="Arial"/>
          <w:bCs/>
          <w:szCs w:val="24"/>
          <w:lang w:val="es-ES_tradnl" w:eastAsia="es-ES_tradnl"/>
        </w:rPr>
      </w:pPr>
      <w:proofErr w:type="spellStart"/>
      <w:r>
        <w:rPr>
          <w:rFonts w:ascii="Verdana" w:hAnsi="Verdana" w:cs="Arial"/>
          <w:bCs/>
          <w:szCs w:val="24"/>
          <w:lang w:val="es-ES_tradnl" w:eastAsia="es-ES_tradnl"/>
        </w:rPr>
        <w:t>ii</w:t>
      </w:r>
      <w:proofErr w:type="spellEnd"/>
      <w:r>
        <w:rPr>
          <w:rFonts w:ascii="Verdana" w:hAnsi="Verdana" w:cs="Arial"/>
          <w:bCs/>
          <w:szCs w:val="24"/>
          <w:lang w:val="es-ES_tradnl" w:eastAsia="es-ES_tradnl"/>
        </w:rPr>
        <w:t>) La liquidación de los contratos puede llevarse a cabo de tres maneras: bilateral, unilateral o judicial. Conviene precisar el ámbito de cada una, porque la consulta plantea justamente un problema de articulación entre las dos primeras.</w:t>
      </w:r>
    </w:p>
    <w:p w14:paraId="6FF06201" w14:textId="77777777" w:rsidR="00FA4857" w:rsidRPr="00A0389A" w:rsidRDefault="00FA4857" w:rsidP="00FA4857">
      <w:pPr>
        <w:spacing w:after="0" w:line="276" w:lineRule="auto"/>
        <w:jc w:val="both"/>
        <w:rPr>
          <w:rFonts w:ascii="Verdana" w:hAnsi="Verdana" w:cs="Arial"/>
          <w:bCs/>
          <w:szCs w:val="24"/>
          <w:lang w:val="es-ES_tradnl" w:eastAsia="es-ES_tradnl"/>
        </w:rPr>
      </w:pPr>
    </w:p>
    <w:p w14:paraId="73ECA30A" w14:textId="77777777" w:rsidR="00FA4857" w:rsidRDefault="00FA4857" w:rsidP="00FA4857">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 xml:space="preserve">El procedimiento de la liquidación de mutuo acuerdo inicia con la finalización de la etapa de ejecución del contrato y puede terminar de tres formas: i) con la suscripción del acta de liquidación total o que contenga </w:t>
      </w:r>
      <w:r>
        <w:rPr>
          <w:rFonts w:ascii="Verdana" w:hAnsi="Verdana" w:cs="Arial"/>
          <w:bCs/>
          <w:szCs w:val="24"/>
          <w:lang w:val="es-ES_tradnl" w:eastAsia="es-ES_tradnl"/>
        </w:rPr>
        <w:lastRenderedPageBreak/>
        <w:t xml:space="preserve">salvedades; </w:t>
      </w:r>
      <w:proofErr w:type="spellStart"/>
      <w:r>
        <w:rPr>
          <w:rFonts w:ascii="Verdana" w:hAnsi="Verdana" w:cs="Arial"/>
          <w:bCs/>
          <w:szCs w:val="24"/>
          <w:lang w:val="es-ES_tradnl" w:eastAsia="es-ES_tradnl"/>
        </w:rPr>
        <w:t>ii</w:t>
      </w:r>
      <w:proofErr w:type="spellEnd"/>
      <w:r>
        <w:rPr>
          <w:rFonts w:ascii="Verdana" w:hAnsi="Verdana" w:cs="Arial"/>
          <w:bCs/>
          <w:szCs w:val="24"/>
          <w:lang w:val="es-ES_tradnl" w:eastAsia="es-ES_tradnl"/>
        </w:rPr>
        <w:t xml:space="preserve">) con el documento donde conste que no fue posible llegar a un acuerdo acerca del contenido; o </w:t>
      </w:r>
      <w:proofErr w:type="spellStart"/>
      <w:r>
        <w:rPr>
          <w:rFonts w:ascii="Verdana" w:hAnsi="Verdana" w:cs="Arial"/>
          <w:bCs/>
          <w:szCs w:val="24"/>
          <w:lang w:val="es-ES_tradnl" w:eastAsia="es-ES_tradnl"/>
        </w:rPr>
        <w:t>iii</w:t>
      </w:r>
      <w:proofErr w:type="spellEnd"/>
      <w:r>
        <w:rPr>
          <w:rFonts w:ascii="Verdana" w:hAnsi="Verdana" w:cs="Arial"/>
          <w:bCs/>
          <w:szCs w:val="24"/>
          <w:lang w:val="es-ES_tradnl" w:eastAsia="es-ES_tradnl"/>
        </w:rPr>
        <w:t>) con el documento donde conste que el contratista no se presentó tras la convocatoria o notificación. Esta enunciación —contenida en la Guía para la liquidación de los Procesos de Contratación de esta Agencia— es de la mayor importancia, porque muestra que el acta de liquidación con salvedades es un desenlace expresamente contemplado y distinto del supuesto de ausencia de acuerdo.</w:t>
      </w:r>
    </w:p>
    <w:p w14:paraId="5837BF60" w14:textId="77777777" w:rsidR="00FA4857" w:rsidRPr="00A0389A" w:rsidRDefault="00FA4857" w:rsidP="00FA4857">
      <w:pPr>
        <w:spacing w:after="0" w:line="276" w:lineRule="auto"/>
        <w:jc w:val="both"/>
        <w:rPr>
          <w:rFonts w:ascii="Verdana" w:hAnsi="Verdana" w:cs="Arial"/>
          <w:bCs/>
          <w:szCs w:val="24"/>
          <w:lang w:val="es-ES_tradnl" w:eastAsia="es-ES_tradnl"/>
        </w:rPr>
      </w:pPr>
    </w:p>
    <w:p w14:paraId="6DB5B2BE" w14:textId="77777777" w:rsidR="00FA4857" w:rsidRPr="00A0389A" w:rsidRDefault="00FA4857" w:rsidP="00FA4857">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 xml:space="preserve">Por su parte, el procedimiento de la liquidación unilateral es subsidiario de la liquidación bilateral e inicia i) con el documento donde conste que no fue posible llegar a un acuerdo acerca del contenido del acta de liquidación bilateral, o </w:t>
      </w:r>
      <w:proofErr w:type="spellStart"/>
      <w:r>
        <w:rPr>
          <w:rFonts w:ascii="Verdana" w:hAnsi="Verdana" w:cs="Arial"/>
          <w:bCs/>
          <w:szCs w:val="24"/>
          <w:lang w:val="es-ES_tradnl" w:eastAsia="es-ES_tradnl"/>
        </w:rPr>
        <w:t>ii</w:t>
      </w:r>
      <w:proofErr w:type="spellEnd"/>
      <w:r>
        <w:rPr>
          <w:rFonts w:ascii="Verdana" w:hAnsi="Verdana" w:cs="Arial"/>
          <w:bCs/>
          <w:szCs w:val="24"/>
          <w:lang w:val="es-ES_tradnl" w:eastAsia="es-ES_tradnl"/>
        </w:rPr>
        <w:t>) con el documento donde conste que el contratista no se presentó tras la convocatoria o notificación; y termina con la ejecutoria del acto administrativo que liquida unilateralmente el contrato. Su carácter subsidiario constituye una manifestación de la garantía del debido proceso, pues la Administración solo puede definir unilateralmente el balance después de haber intentado el acuerdo.</w:t>
      </w:r>
    </w:p>
    <w:p w14:paraId="6E97204D" w14:textId="77777777" w:rsidR="00FA4857" w:rsidRDefault="00FA4857" w:rsidP="00FA4857">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 xml:space="preserve">En cuanto a la liquidación judicial, corresponde al juez llevarla a cabo siempre y cuando i) no se haya producido una liquidación previa bilateral o unilateral, o </w:t>
      </w:r>
      <w:proofErr w:type="spellStart"/>
      <w:r>
        <w:rPr>
          <w:rFonts w:ascii="Verdana" w:hAnsi="Verdana" w:cs="Arial"/>
          <w:bCs/>
          <w:szCs w:val="24"/>
          <w:lang w:val="es-ES_tradnl" w:eastAsia="es-ES_tradnl"/>
        </w:rPr>
        <w:t>ii</w:t>
      </w:r>
      <w:proofErr w:type="spellEnd"/>
      <w:r>
        <w:rPr>
          <w:rFonts w:ascii="Verdana" w:hAnsi="Verdana" w:cs="Arial"/>
          <w:bCs/>
          <w:szCs w:val="24"/>
          <w:lang w:val="es-ES_tradnl" w:eastAsia="es-ES_tradnl"/>
        </w:rPr>
        <w:t>) respecto de puntos no liquidados. Esta segunda hipótesis confirma que el ordenamiento admite la existencia de puntos que quedan sin liquidar en el acta bilateral y que deben definirse posteriormente, sea por la Administración, sea por el juez.</w:t>
      </w:r>
    </w:p>
    <w:p w14:paraId="36BF1EC9" w14:textId="77777777" w:rsidR="00FA4857" w:rsidRPr="00A0389A" w:rsidRDefault="00FA4857" w:rsidP="00FA4857">
      <w:pPr>
        <w:spacing w:after="0" w:line="276" w:lineRule="auto"/>
        <w:jc w:val="both"/>
        <w:rPr>
          <w:rFonts w:ascii="Verdana" w:hAnsi="Verdana" w:cs="Arial"/>
          <w:bCs/>
          <w:szCs w:val="24"/>
          <w:lang w:val="es-ES_tradnl" w:eastAsia="es-ES_tradnl"/>
        </w:rPr>
      </w:pPr>
    </w:p>
    <w:p w14:paraId="5D0CE5C0" w14:textId="77777777" w:rsidR="00FA4857" w:rsidRPr="00A0389A" w:rsidRDefault="00FA4857" w:rsidP="00FA4857">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Debe subrayarse, finalmente, que los plazos para llevar a cabo la liquidación son preclusivos, por lo cual, si esta no tiene lugar en ellos, la entidad estatal pierde la competencia para liquidar el contrato. El trámite de liquidación que se realice por fuera de los términos legales es ilegal por falta de competencia. Este dato será determinante al examinar el riesgo, señalado en la consulta, de que la salvedad se utilice para diferir decisiones.</w:t>
      </w:r>
    </w:p>
    <w:p w14:paraId="52D6E3B2" w14:textId="77777777" w:rsidR="00FA4857" w:rsidRDefault="00FA4857" w:rsidP="00FA4857">
      <w:pPr>
        <w:spacing w:after="0" w:line="240" w:lineRule="auto"/>
        <w:jc w:val="both"/>
        <w:rPr>
          <w:rFonts w:ascii="Verdana" w:hAnsi="Verdana" w:cs="Arial"/>
          <w:b/>
          <w:bCs/>
          <w:color w:val="000000"/>
          <w:lang w:val="es-ES"/>
        </w:rPr>
      </w:pPr>
    </w:p>
    <w:p w14:paraId="18EA018D" w14:textId="77777777" w:rsidR="00FA4857" w:rsidRDefault="00FA4857" w:rsidP="00FA4857">
      <w:pPr>
        <w:spacing w:after="0" w:line="276" w:lineRule="auto"/>
        <w:jc w:val="both"/>
        <w:rPr>
          <w:rFonts w:ascii="Verdana" w:hAnsi="Verdana" w:cs="Arial"/>
          <w:bCs/>
          <w:szCs w:val="24"/>
          <w:lang w:val="es-ES_tradnl" w:eastAsia="es-ES_tradnl"/>
        </w:rPr>
      </w:pPr>
      <w:proofErr w:type="spellStart"/>
      <w:r>
        <w:rPr>
          <w:rFonts w:ascii="Verdana" w:hAnsi="Verdana" w:cs="Arial"/>
          <w:bCs/>
          <w:szCs w:val="24"/>
          <w:lang w:val="es-ES_tradnl" w:eastAsia="es-ES_tradnl"/>
        </w:rPr>
        <w:t>iii</w:t>
      </w:r>
      <w:proofErr w:type="spellEnd"/>
      <w:r>
        <w:rPr>
          <w:rFonts w:ascii="Verdana" w:hAnsi="Verdana" w:cs="Arial"/>
          <w:bCs/>
          <w:szCs w:val="24"/>
          <w:lang w:val="es-ES_tradnl" w:eastAsia="es-ES_tradnl"/>
        </w:rPr>
        <w:t xml:space="preserve">) La liquidación bilateral es un acuerdo en el que las partes del contrato estatal, en ejercicio de la autonomía de la voluntad, regulan la finalización de su relación y disponen de los intereses que emanan de ella. Asimismo, tiene efectos de título ejecutivo y transaccionales, puesto que las declaraciones y expresiones incorporadas en la correspondiente acta son reconocidas y protegidas por el ordenamiento jurídico, siempre y cuando no sean contrarias a la Constitución </w:t>
      </w:r>
      <w:r>
        <w:rPr>
          <w:rFonts w:ascii="Verdana" w:hAnsi="Verdana" w:cs="Arial"/>
          <w:bCs/>
          <w:szCs w:val="24"/>
          <w:lang w:val="es-ES_tradnl" w:eastAsia="es-ES_tradnl"/>
        </w:rPr>
        <w:lastRenderedPageBreak/>
        <w:t>Política, la ley, el orden público, la moral y las buenas costumbres, y los principios y finalidades del Estatuto General de Contratación de la Administración Pública y de la buena administración.</w:t>
      </w:r>
    </w:p>
    <w:p w14:paraId="644A488D" w14:textId="77777777" w:rsidR="00FA4857" w:rsidRPr="00A0389A" w:rsidRDefault="00FA4857" w:rsidP="00FA4857">
      <w:pPr>
        <w:spacing w:after="0" w:line="276" w:lineRule="auto"/>
        <w:jc w:val="both"/>
        <w:rPr>
          <w:rFonts w:ascii="Verdana" w:hAnsi="Verdana" w:cs="Arial"/>
          <w:bCs/>
          <w:szCs w:val="24"/>
          <w:lang w:val="es-ES_tradnl" w:eastAsia="es-ES_tradnl"/>
        </w:rPr>
      </w:pPr>
    </w:p>
    <w:p w14:paraId="10CE2A42" w14:textId="77777777" w:rsidR="00FA4857" w:rsidRDefault="00FA4857" w:rsidP="00FA4857">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En términos de la jurisprudencia, la liquidación bilateral supone un acuerdo de las voluntades entre la entidad estatal contratante y el contratista en relación con el balance final del contrato, y el acta correspondiente es un negocio jurídico, definitivo y obligatorio para las partes. Como tal, constituye una expresión de la voluntad de las partes que goza de presunción de legalidad y es vinculante para ellas, por lo que solo puede ser invalidada por algún vicio del consentimiento —error, fuerza o dolo—.</w:t>
      </w:r>
    </w:p>
    <w:p w14:paraId="5037E212" w14:textId="77777777" w:rsidR="00FA4857" w:rsidRPr="00A0389A" w:rsidRDefault="00FA4857" w:rsidP="00FA4857">
      <w:pPr>
        <w:spacing w:after="0" w:line="276" w:lineRule="auto"/>
        <w:jc w:val="both"/>
        <w:rPr>
          <w:rFonts w:ascii="Verdana" w:hAnsi="Verdana" w:cs="Arial"/>
          <w:bCs/>
          <w:szCs w:val="24"/>
          <w:lang w:val="es-ES_tradnl" w:eastAsia="es-ES_tradnl"/>
        </w:rPr>
      </w:pPr>
    </w:p>
    <w:p w14:paraId="0AE899F2" w14:textId="77777777" w:rsidR="00FA4857" w:rsidRPr="00A0389A" w:rsidRDefault="00FA4857" w:rsidP="00FA4857">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De esa naturaleza negocial se derivan dos consecuencias relevantes para la consulta. La primera es que el contenido del acta lo determinan las partes dentro de los límites del ordenamiento, de modo que nada impide que el acuerdo sea parcial: que se convenga sobre unos puntos y se deje constancia de que sobre otros no hubo consenso. La segunda es que, siendo un negocio jurídico bilateral, ambas partes concurren en igualdad de condiciones a la formación de su contenido, sin que la entidad quede reducida a la disyuntiva de aceptar íntegramente el proyecto que le presente el contratista o rechazarlo en bloque.</w:t>
      </w:r>
    </w:p>
    <w:p w14:paraId="18667E62" w14:textId="77777777" w:rsidR="00FA4857" w:rsidRPr="00A0389A" w:rsidRDefault="00FA4857" w:rsidP="00FA4857">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A lo anterior se añade que la liquidación bilateral puede considerarse como una forma alternativa de resolver los conflictos o controversias que surjan a partir de la determinación de las prestaciones comunes a que las partes contractuales puedan o no tener derecho luego de haberse ejecutado el contrato, esto es, como una manera de evitar futuros litigios frente a los mismos asuntos. Esa función pacificadora se cumple mejor cuando se reconoce lo acordado y se delimita con precisión lo que permanece en disputa, que cuando se fuerza a las partes a una decisión de todo o nada.</w:t>
      </w:r>
    </w:p>
    <w:p w14:paraId="2F0B222F" w14:textId="77777777" w:rsidR="00FA4857" w:rsidRDefault="00FA4857" w:rsidP="00FA4857">
      <w:pPr>
        <w:spacing w:after="0" w:line="240" w:lineRule="auto"/>
        <w:jc w:val="both"/>
        <w:rPr>
          <w:rFonts w:ascii="Verdana" w:hAnsi="Verdana" w:cs="Arial"/>
          <w:b/>
          <w:bCs/>
          <w:color w:val="000000"/>
          <w:lang w:val="es-ES"/>
        </w:rPr>
      </w:pPr>
    </w:p>
    <w:p w14:paraId="592B41D6" w14:textId="77777777" w:rsidR="00FA4857" w:rsidRDefault="00FA4857" w:rsidP="00FA4857">
      <w:pPr>
        <w:spacing w:after="0" w:line="276" w:lineRule="auto"/>
        <w:jc w:val="both"/>
        <w:rPr>
          <w:rFonts w:ascii="Verdana" w:hAnsi="Verdana" w:cs="Arial"/>
          <w:bCs/>
          <w:szCs w:val="24"/>
          <w:lang w:val="es-ES_tradnl" w:eastAsia="es-ES_tradnl"/>
        </w:rPr>
      </w:pPr>
      <w:proofErr w:type="spellStart"/>
      <w:r>
        <w:rPr>
          <w:rFonts w:ascii="Verdana" w:hAnsi="Verdana" w:cs="Arial"/>
          <w:bCs/>
          <w:szCs w:val="24"/>
          <w:lang w:val="es-ES_tradnl" w:eastAsia="es-ES_tradnl"/>
        </w:rPr>
        <w:t>iv</w:t>
      </w:r>
      <w:proofErr w:type="spellEnd"/>
      <w:r>
        <w:rPr>
          <w:rFonts w:ascii="Verdana" w:hAnsi="Verdana" w:cs="Arial"/>
          <w:bCs/>
          <w:szCs w:val="24"/>
          <w:lang w:val="es-ES_tradnl" w:eastAsia="es-ES_tradnl"/>
        </w:rPr>
        <w:t>) Corresponde ahora examinar la figura de las salvedades, que constituye el eje de la consulta. Su función consiste en preservar la posibilidad de discutir posteriormente aquello sobre lo cual no hubo acuerdo, sustrayendo esos puntos del efecto de cierre que produce la liquidación.</w:t>
      </w:r>
    </w:p>
    <w:p w14:paraId="6B8983A2" w14:textId="77777777" w:rsidR="00FA4857" w:rsidRPr="00A0389A" w:rsidRDefault="00FA4857" w:rsidP="00FA4857">
      <w:pPr>
        <w:spacing w:after="0" w:line="276" w:lineRule="auto"/>
        <w:jc w:val="both"/>
        <w:rPr>
          <w:rFonts w:ascii="Verdana" w:hAnsi="Verdana" w:cs="Arial"/>
          <w:bCs/>
          <w:szCs w:val="24"/>
          <w:lang w:val="es-ES_tradnl" w:eastAsia="es-ES_tradnl"/>
        </w:rPr>
      </w:pPr>
    </w:p>
    <w:p w14:paraId="158BD657" w14:textId="77777777" w:rsidR="00FA4857" w:rsidRDefault="00FA4857" w:rsidP="00FA4857">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 xml:space="preserve">En efecto, si al momento de suscribir la liquidación no se dejan consignadas salvedades expresas, se entenderá que las partes han llegado a un acuerdo </w:t>
      </w:r>
      <w:r>
        <w:rPr>
          <w:rFonts w:ascii="Verdana" w:hAnsi="Verdana" w:cs="Arial"/>
          <w:bCs/>
          <w:szCs w:val="24"/>
          <w:lang w:val="es-ES_tradnl" w:eastAsia="es-ES_tradnl"/>
        </w:rPr>
        <w:lastRenderedPageBreak/>
        <w:t>integral sobre la finalización del contrato y sus efectos, quedando imposibilitadas para reclamar posteriormente por vía jurisdiccional sobre aspectos que fueron objeto de dicho acuerdo o que no fueron oportunamente controvertidos. Esta interpretación ha sido reiterada por la jurisprudencia del Consejo de Estado, la cual ha sostenido que la ausencia de manifestaciones de inconformidad en el acta de liquidación impide a las partes, por regla general, acudir posteriormente a la jurisdicción para reclamar derechos u obligaciones que no quedaron consignados en el acta.</w:t>
      </w:r>
    </w:p>
    <w:p w14:paraId="30AA7E14" w14:textId="77777777" w:rsidR="00FA4857" w:rsidRPr="00A0389A" w:rsidRDefault="00FA4857" w:rsidP="00FA4857">
      <w:pPr>
        <w:spacing w:after="0" w:line="276" w:lineRule="auto"/>
        <w:jc w:val="both"/>
        <w:rPr>
          <w:rFonts w:ascii="Verdana" w:hAnsi="Verdana" w:cs="Arial"/>
          <w:bCs/>
          <w:szCs w:val="24"/>
          <w:lang w:val="es-ES_tradnl" w:eastAsia="es-ES_tradnl"/>
        </w:rPr>
      </w:pPr>
    </w:p>
    <w:p w14:paraId="17B3A121" w14:textId="77777777" w:rsidR="00FA4857" w:rsidRDefault="00FA4857" w:rsidP="00FA4857">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Adviértase la formulación empleada tanto por la doctrina de esta Subdirección como por la jurisprudencia: el efecto preclusivo se predica de “las partes”, en plural, y no exclusivamente del contratista. En el mismo sentido, la Guía para la liquidación de los Procesos de Contratación precisa que el efecto que produce la inclusión de salvedades en el acta de liquidación bilateral consiste en restringir los asuntos respecto de los cuales tanto el contratista como la entidad estatal pueden reclamar posteriormente por vía judicial.</w:t>
      </w:r>
    </w:p>
    <w:p w14:paraId="61393CFD" w14:textId="77777777" w:rsidR="00FA4857" w:rsidRPr="00A0389A" w:rsidRDefault="00FA4857" w:rsidP="00FA4857">
      <w:pPr>
        <w:spacing w:after="0" w:line="276" w:lineRule="auto"/>
        <w:ind w:firstLine="567"/>
        <w:jc w:val="both"/>
        <w:rPr>
          <w:rFonts w:ascii="Verdana" w:hAnsi="Verdana" w:cs="Arial"/>
          <w:bCs/>
          <w:szCs w:val="24"/>
          <w:lang w:val="es-ES_tradnl" w:eastAsia="es-ES_tradnl"/>
        </w:rPr>
      </w:pPr>
    </w:p>
    <w:p w14:paraId="6BE5931E" w14:textId="77777777" w:rsidR="00FA4857" w:rsidRPr="00A0389A" w:rsidRDefault="00FA4857" w:rsidP="00FA4857">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 xml:space="preserve">Este es, a juicio de esta Subdirección, el argumento decisivo para responder el primer problema jurídico. Si el efecto de cierre alcanza a ambas partes, la carga de manifestar oportunamente la inconformidad también debe alcanzarlas a ambas. Negar a la entidad la posibilidad de consignar salvedades, manteniendo al mismo tiempo el efecto preclusivo respecto de ella, produciría un resultado incoherente: la Administración quedaría privada de reclamar judicialmente aquello que no aceptó, sin haber dispuesto del instrumento previsto por el ordenamiento para conservar esa posibilidad. Un entendimiento semejante no protege el interés </w:t>
      </w:r>
      <w:proofErr w:type="gramStart"/>
      <w:r>
        <w:rPr>
          <w:rFonts w:ascii="Verdana" w:hAnsi="Verdana" w:cs="Arial"/>
          <w:bCs/>
          <w:szCs w:val="24"/>
          <w:lang w:val="es-ES_tradnl" w:eastAsia="es-ES_tradnl"/>
        </w:rPr>
        <w:t>general</w:t>
      </w:r>
      <w:proofErr w:type="gramEnd"/>
      <w:r>
        <w:rPr>
          <w:rFonts w:ascii="Verdana" w:hAnsi="Verdana" w:cs="Arial"/>
          <w:bCs/>
          <w:szCs w:val="24"/>
          <w:lang w:val="es-ES_tradnl" w:eastAsia="es-ES_tradnl"/>
        </w:rPr>
        <w:t xml:space="preserve"> sino que lo desprotege.</w:t>
      </w:r>
    </w:p>
    <w:p w14:paraId="6149E49A" w14:textId="77777777" w:rsidR="00FA4857" w:rsidRPr="00A0389A" w:rsidRDefault="00FA4857" w:rsidP="00FA4857">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En cuanto a los efectos que produce el acta según contenga o no salvedades, esta Agencia ha sistematizado que la liquidación de los contratos, en especial la bilateral, es una instancia de solución de controversias entre las partes: cuando no hay salvedades, porque elimina la posibilidad de demandas posteriores; y cuando las hay, porque reduce el ámbito de controversias judiciales a las mismas, excluyendo el debate relacionado con los acuerdos contenidos en el acta. La salvedad, por tanto, no frustra la finalidad de la liquidación: la delimita.</w:t>
      </w:r>
    </w:p>
    <w:p w14:paraId="6AD3C7C7" w14:textId="77777777" w:rsidR="00FA4857" w:rsidRDefault="00FA4857" w:rsidP="00FA4857">
      <w:pPr>
        <w:spacing w:after="0" w:line="240" w:lineRule="auto"/>
        <w:jc w:val="both"/>
        <w:rPr>
          <w:rFonts w:ascii="Verdana" w:hAnsi="Verdana" w:cs="Arial"/>
          <w:b/>
          <w:bCs/>
          <w:color w:val="000000"/>
          <w:lang w:val="es-ES"/>
        </w:rPr>
      </w:pPr>
    </w:p>
    <w:p w14:paraId="59A40358" w14:textId="77777777" w:rsidR="00FA4857" w:rsidRPr="00A0389A" w:rsidRDefault="00FA4857" w:rsidP="00FA4857">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lastRenderedPageBreak/>
        <w:t>v) La consulta observa, con razón, que el ordenamiento menciona expresamente al contratista al regular las salvedades, y que la minuta de los Documentos Tipo replica esa previsión. El inciso final del artículo 11 de la Ley 1150 de 2007 dispone:</w:t>
      </w:r>
    </w:p>
    <w:p w14:paraId="04212FF2" w14:textId="77777777" w:rsidR="00FA4857" w:rsidRPr="00A0389A" w:rsidRDefault="00FA4857" w:rsidP="00FA4857">
      <w:pPr>
        <w:tabs>
          <w:tab w:val="left" w:pos="709"/>
        </w:tabs>
        <w:spacing w:after="120" w:line="240" w:lineRule="auto"/>
        <w:ind w:left="709" w:right="709"/>
        <w:jc w:val="both"/>
        <w:rPr>
          <w:rFonts w:ascii="Verdana" w:hAnsi="Verdana" w:cs="Arial"/>
          <w:sz w:val="21"/>
          <w:szCs w:val="21"/>
          <w:lang w:val="es-ES_tradnl" w:eastAsia="es-ES_tradnl"/>
        </w:rPr>
      </w:pPr>
      <w:r w:rsidRPr="00A0389A">
        <w:rPr>
          <w:rFonts w:ascii="Verdana" w:hAnsi="Verdana" w:cs="Arial"/>
          <w:sz w:val="21"/>
          <w:szCs w:val="21"/>
          <w:lang w:val="es-ES_tradnl" w:eastAsia="es-ES_tradnl"/>
        </w:rPr>
        <w:t>“Los contratistas tendrán derecho a efectuar salvedades a la liquidación por mutuo acuerdo, y en este evento la liquidación unilateral sólo procederá en relación con los aspectos que no hayan sido objeto de acuerdo”.</w:t>
      </w:r>
    </w:p>
    <w:p w14:paraId="08391CC0" w14:textId="77777777" w:rsidR="00FA4857" w:rsidRDefault="00FA4857" w:rsidP="00FA4857">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De esa mención expresa la consulta infiere que la posibilidad no estaría abierta a la entidad. La inferencia, sin embargo, no es concluyente, y conviene explicar por qué. En primer lugar, la razón de la mención se explica por la posición jurídica del contratista. Para él, la salvedad es la única vía de preservar su reclamación, comoquiera que carece de potestades unilaterales: como lo señala la Guía de esta Agencia, la posibilidad de liquidar unilateralmente el contrato solo corresponde a la entidad estatal y no al contratista. El legislador consideró necesario reconocerle expresamente ese derecho, precisamente porque sin él quedaría inerme frente a un acta que no comparte. La entidad, en cambio, dispone además de la potestad de liquidación unilateral, de modo que no requería un reconocimiento equivalente.</w:t>
      </w:r>
    </w:p>
    <w:p w14:paraId="1210B051" w14:textId="77777777" w:rsidR="00FA4857" w:rsidRPr="00A0389A" w:rsidRDefault="00FA4857" w:rsidP="00FA4857">
      <w:pPr>
        <w:spacing w:after="0" w:line="276" w:lineRule="auto"/>
        <w:jc w:val="both"/>
        <w:rPr>
          <w:rFonts w:ascii="Verdana" w:hAnsi="Verdana" w:cs="Arial"/>
          <w:bCs/>
          <w:szCs w:val="24"/>
          <w:lang w:val="es-ES_tradnl" w:eastAsia="es-ES_tradnl"/>
        </w:rPr>
      </w:pPr>
    </w:p>
    <w:p w14:paraId="2548E09B" w14:textId="77777777" w:rsidR="00FA4857" w:rsidRPr="00A0389A" w:rsidRDefault="00FA4857" w:rsidP="00FA4857">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En segundo lugar, de una mención expresa no se sigue una prohibición implícita. Las restricciones a las competencias de las autoridades y a la autonomía negocial de las partes requieren norma expresa que las establezca; el silencio del legislador respecto de una hipótesis no equivale a su proscripción, salvo que del sistema se desprenda con claridad esa consecuencia, lo que aquí no ocurre. Por el contrario, como se expuso, el sistema apunta en sentido opuesto, pues somete a la entidad al mismo efecto preclusivo.</w:t>
      </w:r>
    </w:p>
    <w:p w14:paraId="77DD513A" w14:textId="77777777" w:rsidR="00FA4857" w:rsidRPr="00A0389A" w:rsidRDefault="00FA4857" w:rsidP="00FA4857">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En tercer lugar, la norma citada no regula únicamente el derecho del contratista: en su segunda parte establece la consecuencia procedimental de las salvedades, esto es, que la liquidación unilateral solo procederá respecto de los aspectos no acordados. Esa consecuencia se predica del acta con salvedades como tal, con independencia de cuál de las partes las haya consignado, y constituye —como se verá— la clave para resolver la preocupación de la consulta sobre la función de la liquidación unilateral.</w:t>
      </w:r>
    </w:p>
    <w:p w14:paraId="008223BF" w14:textId="77777777" w:rsidR="00FA4857" w:rsidRDefault="00FA4857" w:rsidP="00FA4857">
      <w:pPr>
        <w:spacing w:after="0" w:line="240" w:lineRule="auto"/>
        <w:jc w:val="both"/>
        <w:rPr>
          <w:rFonts w:ascii="Verdana" w:hAnsi="Verdana" w:cs="Arial"/>
          <w:b/>
          <w:bCs/>
          <w:color w:val="000000"/>
          <w:lang w:val="es-ES"/>
        </w:rPr>
      </w:pPr>
    </w:p>
    <w:p w14:paraId="1BA20BAA" w14:textId="77777777" w:rsidR="00FA4857" w:rsidRDefault="00FA4857" w:rsidP="00FA4857">
      <w:pPr>
        <w:spacing w:after="0" w:line="240" w:lineRule="auto"/>
        <w:jc w:val="both"/>
        <w:rPr>
          <w:rFonts w:ascii="Verdana" w:hAnsi="Verdana" w:cs="Arial"/>
          <w:b/>
          <w:bCs/>
          <w:color w:val="000000"/>
          <w:lang w:val="es-ES"/>
        </w:rPr>
      </w:pPr>
    </w:p>
    <w:p w14:paraId="32A631DB" w14:textId="77777777" w:rsidR="00FA4857" w:rsidRDefault="00FA4857" w:rsidP="00FA4857">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lastRenderedPageBreak/>
        <w:t>vi) La consulta pregunta, por último, si la entidad puede dejar constancias sobre puntos de discusión en el contenido del acta, sin que constituyan propiamente salvedades en los términos que se permiten al contratista. La respuesta es afirmativa y cuenta con un respaldo institucional expreso.</w:t>
      </w:r>
    </w:p>
    <w:p w14:paraId="2CD36D46" w14:textId="77777777" w:rsidR="00FA4857" w:rsidRPr="00A0389A" w:rsidRDefault="00FA4857" w:rsidP="00FA4857">
      <w:pPr>
        <w:spacing w:after="0" w:line="276" w:lineRule="auto"/>
        <w:ind w:firstLine="567"/>
        <w:jc w:val="both"/>
        <w:rPr>
          <w:rFonts w:ascii="Verdana" w:hAnsi="Verdana" w:cs="Arial"/>
          <w:bCs/>
          <w:szCs w:val="24"/>
          <w:lang w:val="es-ES_tradnl" w:eastAsia="es-ES_tradnl"/>
        </w:rPr>
      </w:pPr>
    </w:p>
    <w:p w14:paraId="4613D5EE" w14:textId="77777777" w:rsidR="00FA4857" w:rsidRDefault="00FA4857" w:rsidP="00FA4857">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La Guía para la liquidación de los Procesos de Contratación de esta Agencia señala que la inclusión de salvedades en el acta de liquidación no implica el reconocimiento por parte de la entidad estatal de los derechos o las situaciones a las que se refieren tales salvedades, sino que ellas reflejan los asuntos respecto de los cuales las partes no llegaron a un acuerdo; y añade que Colombia Compra Eficiente recomienda que la entidad estatal incluya una manifestación en este sentido en las actas de liquidación en las cuales el contratista efectúe salvedades.</w:t>
      </w:r>
    </w:p>
    <w:p w14:paraId="0202F633" w14:textId="77777777" w:rsidR="00FA4857" w:rsidRPr="00A0389A" w:rsidRDefault="00FA4857" w:rsidP="00FA4857">
      <w:pPr>
        <w:spacing w:after="0" w:line="276" w:lineRule="auto"/>
        <w:jc w:val="both"/>
        <w:rPr>
          <w:rFonts w:ascii="Verdana" w:hAnsi="Verdana" w:cs="Arial"/>
          <w:bCs/>
          <w:szCs w:val="24"/>
          <w:lang w:val="es-ES_tradnl" w:eastAsia="es-ES_tradnl"/>
        </w:rPr>
      </w:pPr>
    </w:p>
    <w:p w14:paraId="46ABBF85" w14:textId="77777777" w:rsidR="00FA4857" w:rsidRDefault="00FA4857" w:rsidP="00FA4857">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Se trata, pues, de una constancia de la entidad expresamente recomendada por esta Agencia, cuya función es precisar el alcance de la suscripción del acta: dejar sentado que la firma no comporta aquiescencia respecto de las pretensiones consignadas por el contratista. Si tal manifestación es no solo viable sino aconsejable, con mayor razón lo será la constancia mediante la cual la entidad identifique los puntos del balance que no comparte.</w:t>
      </w:r>
    </w:p>
    <w:p w14:paraId="45DF259D" w14:textId="77777777" w:rsidR="00FA4857" w:rsidRPr="00A0389A" w:rsidRDefault="00FA4857" w:rsidP="00FA4857">
      <w:pPr>
        <w:spacing w:after="0" w:line="276" w:lineRule="auto"/>
        <w:jc w:val="both"/>
        <w:rPr>
          <w:rFonts w:ascii="Verdana" w:hAnsi="Verdana" w:cs="Arial"/>
          <w:bCs/>
          <w:szCs w:val="24"/>
          <w:lang w:val="es-ES_tradnl" w:eastAsia="es-ES_tradnl"/>
        </w:rPr>
      </w:pPr>
    </w:p>
    <w:p w14:paraId="1CB2CFC7" w14:textId="77777777" w:rsidR="00FA4857" w:rsidRPr="00A0389A" w:rsidRDefault="00FA4857" w:rsidP="00FA4857">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 xml:space="preserve">Ahora bien, la distinción entre “salvedad” y “constancia” no debe sobrevalorarse. Lo determinante no es la denominación que se emplee sino el contenido de la manifestación y su aptitud para cumplir la función que le es propia. Una constancia que se limite a expresar una inconformidad genérica no preservará nada; una manifestación que identifique con precisión el asunto controvertido, su fundamento fáctico y jurídico y, cuando sea posible, su cuantificación, cumplirá la función de la </w:t>
      </w:r>
      <w:proofErr w:type="gramStart"/>
      <w:r>
        <w:rPr>
          <w:rFonts w:ascii="Verdana" w:hAnsi="Verdana" w:cs="Arial"/>
          <w:bCs/>
          <w:szCs w:val="24"/>
          <w:lang w:val="es-ES_tradnl" w:eastAsia="es-ES_tradnl"/>
        </w:rPr>
        <w:t>salvedad</w:t>
      </w:r>
      <w:proofErr w:type="gramEnd"/>
      <w:r>
        <w:rPr>
          <w:rFonts w:ascii="Verdana" w:hAnsi="Verdana" w:cs="Arial"/>
          <w:bCs/>
          <w:szCs w:val="24"/>
          <w:lang w:val="es-ES_tradnl" w:eastAsia="es-ES_tradnl"/>
        </w:rPr>
        <w:t xml:space="preserve"> aunque se rotule de otro modo.</w:t>
      </w:r>
    </w:p>
    <w:p w14:paraId="12D9D3AC" w14:textId="77777777" w:rsidR="00FA4857" w:rsidRPr="00A0389A" w:rsidRDefault="00FA4857" w:rsidP="00FA4857">
      <w:pPr>
        <w:spacing w:after="0" w:line="276" w:lineRule="auto"/>
        <w:jc w:val="both"/>
        <w:rPr>
          <w:rFonts w:ascii="Verdana" w:hAnsi="Verdana" w:cs="Arial"/>
          <w:bCs/>
          <w:szCs w:val="24"/>
          <w:lang w:val="es-ES_tradnl" w:eastAsia="es-ES_tradnl"/>
        </w:rPr>
      </w:pPr>
      <w:r>
        <w:rPr>
          <w:rFonts w:ascii="Verdana" w:hAnsi="Verdana" w:cs="Arial"/>
          <w:bCs/>
          <w:szCs w:val="24"/>
          <w:lang w:val="es-ES_tradnl" w:eastAsia="es-ES_tradnl"/>
        </w:rPr>
        <w:t>Y es que las salvedades que se hagan en el momento de la liquidación bilateral deben ser concretas y específicas, es decir, deben versar sobre puntos determinados de la liquidación que no se comparten; por lo tanto, la salvedad no puede ser genérica, vaga e indeterminada. En el mismo sentido, dentro de la jurisprudencia del Consejo de Estado no se aceptan fórmulas generales y abstractas, pues ello implicaría desconocer la finalidad de la liquidación, que es el ajuste de cuentas del contrato. Esta exigencia se predica de cualquiera de las partes.</w:t>
      </w:r>
    </w:p>
    <w:p w14:paraId="499A20CF" w14:textId="77777777" w:rsidR="00FA4857" w:rsidRDefault="00FA4857" w:rsidP="00FA4857">
      <w:pPr>
        <w:spacing w:after="0" w:line="240" w:lineRule="auto"/>
        <w:jc w:val="both"/>
        <w:rPr>
          <w:rFonts w:ascii="Verdana" w:hAnsi="Verdana" w:cs="Arial"/>
          <w:b/>
          <w:bCs/>
          <w:color w:val="000000"/>
          <w:lang w:val="es-ES"/>
        </w:rPr>
      </w:pPr>
    </w:p>
    <w:p w14:paraId="38E98F4C" w14:textId="77777777" w:rsidR="00FA4857" w:rsidRDefault="00FA4857" w:rsidP="00FA4857">
      <w:pPr>
        <w:spacing w:after="0" w:line="276" w:lineRule="auto"/>
        <w:ind w:firstLine="567"/>
        <w:jc w:val="both"/>
        <w:rPr>
          <w:rFonts w:ascii="Verdana" w:hAnsi="Verdana" w:cs="Arial"/>
          <w:bCs/>
          <w:szCs w:val="24"/>
          <w:lang w:val="es-ES_tradnl" w:eastAsia="es-ES_tradnl"/>
        </w:rPr>
      </w:pPr>
      <w:proofErr w:type="spellStart"/>
      <w:r>
        <w:rPr>
          <w:rFonts w:ascii="Verdana" w:hAnsi="Verdana" w:cs="Arial"/>
          <w:bCs/>
          <w:szCs w:val="24"/>
          <w:lang w:val="es-ES_tradnl" w:eastAsia="es-ES_tradnl"/>
        </w:rPr>
        <w:t>vii</w:t>
      </w:r>
      <w:proofErr w:type="spellEnd"/>
      <w:r>
        <w:rPr>
          <w:rFonts w:ascii="Verdana" w:hAnsi="Verdana" w:cs="Arial"/>
          <w:bCs/>
          <w:szCs w:val="24"/>
          <w:lang w:val="es-ES_tradnl" w:eastAsia="es-ES_tradnl"/>
        </w:rPr>
        <w:t>) Corresponde ahora resolver el segundo problema jurídico, comenzando por el deber que surge para la entidad respecto de los puntos objeto de salvedad. La consulta acierta al advertir que no sería admisible que el acta se suscribiera dejando abiertos asuntos sustanciales sin que existiera claridad sobre su definición posterior.</w:t>
      </w:r>
    </w:p>
    <w:p w14:paraId="732B383D" w14:textId="77777777" w:rsidR="00FA4857" w:rsidRPr="00A0389A" w:rsidRDefault="00FA4857" w:rsidP="00FA4857">
      <w:pPr>
        <w:spacing w:after="0" w:line="276" w:lineRule="auto"/>
        <w:ind w:firstLine="567"/>
        <w:jc w:val="both"/>
        <w:rPr>
          <w:rFonts w:ascii="Verdana" w:hAnsi="Verdana" w:cs="Arial"/>
          <w:bCs/>
          <w:szCs w:val="24"/>
          <w:lang w:val="es-ES_tradnl" w:eastAsia="es-ES_tradnl"/>
        </w:rPr>
      </w:pPr>
    </w:p>
    <w:p w14:paraId="5C196FFF" w14:textId="77777777" w:rsidR="00FA4857" w:rsidRDefault="00FA4857" w:rsidP="00FA4857">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La respuesta la ofrece el propio inciso final del artículo 11 de la Ley 1150 de 2007, ya transcrito, al disponer que en el evento de salvedades “la liquidación unilateral sólo procederá en relación con los aspectos que no hayan sido objeto de acuerdo”. La norma no se limita a admitir la subsistencia de puntos no acordados: define el instrumento con el que han de resolverse y delimita su alcance objetivo. En desarrollo de ese enunciado, esta Subdirección ha precisado que es válido que, ante las salvedades, se posibilite la liquidación unilateral parcial por parte de la Administración, es decir, que en aquellos aspectos donde se dejaron los desacuerdos la entidad debe completar la liquidación del contrato. La formulación es significativa: no se trata de una mera facultad discrecional sino de un deber de completar el balance contractual, que es la finalidad misma de la etapa de liquidación.</w:t>
      </w:r>
    </w:p>
    <w:p w14:paraId="56EA82CB" w14:textId="77777777" w:rsidR="00FA4857" w:rsidRPr="00A0389A" w:rsidRDefault="00FA4857" w:rsidP="00FA4857">
      <w:pPr>
        <w:spacing w:after="0" w:line="276" w:lineRule="auto"/>
        <w:ind w:firstLine="567"/>
        <w:jc w:val="both"/>
        <w:rPr>
          <w:rFonts w:ascii="Verdana" w:hAnsi="Verdana" w:cs="Arial"/>
          <w:bCs/>
          <w:szCs w:val="24"/>
          <w:lang w:val="es-ES_tradnl" w:eastAsia="es-ES_tradnl"/>
        </w:rPr>
      </w:pPr>
    </w:p>
    <w:p w14:paraId="7DA89AEE" w14:textId="77777777" w:rsidR="00FA4857" w:rsidRDefault="00FA4857" w:rsidP="00FA4857">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 xml:space="preserve">Antes de acudir a esa vía, las partes pueden intentar resolver las diferencias mediante mecanismos de arreglo directo. Esta Subdirección ha señalado que es posible que dentro del acta de liquidación se hayan consignado salvedades como manifestación de diferencias u objeciones, las cuales pueden adelantarse posteriormente mediante el principio de arreglo directo entre la entidad y el contratista a través de distintos mecanismos autocompositivos —entre ellos el arreglo directo propiamente dicho, la transacción y la conciliación—, sin perjuicio de fórmulas </w:t>
      </w:r>
      <w:proofErr w:type="spellStart"/>
      <w:r>
        <w:rPr>
          <w:rFonts w:ascii="Verdana" w:hAnsi="Verdana" w:cs="Arial"/>
          <w:bCs/>
          <w:szCs w:val="24"/>
          <w:lang w:val="es-ES_tradnl" w:eastAsia="es-ES_tradnl"/>
        </w:rPr>
        <w:t>heterocompositivas</w:t>
      </w:r>
      <w:proofErr w:type="spellEnd"/>
      <w:r>
        <w:rPr>
          <w:rFonts w:ascii="Verdana" w:hAnsi="Verdana" w:cs="Arial"/>
          <w:bCs/>
          <w:szCs w:val="24"/>
          <w:lang w:val="es-ES_tradnl" w:eastAsia="es-ES_tradnl"/>
        </w:rPr>
        <w:t xml:space="preserve"> como la amigable composición, con sujeción a los principios del debido proceso, legalidad, eficacia y celeridad, y a las normas generales del procedimiento administrativo de la Ley 1437 de 2011 en cuanto resulten aplicables.</w:t>
      </w:r>
    </w:p>
    <w:p w14:paraId="484C9FF6" w14:textId="77777777" w:rsidR="00FA4857" w:rsidRPr="00A0389A" w:rsidRDefault="00FA4857" w:rsidP="00FA4857">
      <w:pPr>
        <w:spacing w:after="0" w:line="276" w:lineRule="auto"/>
        <w:ind w:firstLine="567"/>
        <w:jc w:val="both"/>
        <w:rPr>
          <w:rFonts w:ascii="Verdana" w:hAnsi="Verdana" w:cs="Arial"/>
          <w:bCs/>
          <w:szCs w:val="24"/>
          <w:lang w:val="es-ES_tradnl" w:eastAsia="es-ES_tradnl"/>
        </w:rPr>
      </w:pPr>
    </w:p>
    <w:p w14:paraId="3EA171D1" w14:textId="77777777" w:rsidR="00FA4857" w:rsidRPr="00A0389A" w:rsidRDefault="00FA4857" w:rsidP="00FA4857">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 xml:space="preserve">Si no se llega a un acuerdo bilateral mediante los diferentes mecanismos de arreglo directo para resolver las diferencias que implicaron que se consignaran salvedades en la liquidación inicial, la entidad estatal tiene la facultad de proceder con una liquidación unilateral dentro de un plazo específico, </w:t>
      </w:r>
      <w:r>
        <w:rPr>
          <w:rFonts w:ascii="Verdana" w:hAnsi="Verdana" w:cs="Arial"/>
          <w:bCs/>
          <w:szCs w:val="24"/>
          <w:lang w:val="es-ES_tradnl" w:eastAsia="es-ES_tradnl"/>
        </w:rPr>
        <w:lastRenderedPageBreak/>
        <w:t>aunque esta solo puede realizarse si el contratista no ha solicitado la liquidación judicial del contrato. Si transcurrido el plazo el contratista no ha acudido a la jurisdicción, la entidad puede liquidar unilateralmente; y si no lo hace, el asunto pasa a la jurisdicción para que sea resuelto judicialmente a solicitud del interesado.</w:t>
      </w:r>
    </w:p>
    <w:p w14:paraId="52982369" w14:textId="77777777" w:rsidR="00FA4857" w:rsidRDefault="00FA4857" w:rsidP="00FA4857">
      <w:pPr>
        <w:spacing w:after="0" w:line="240" w:lineRule="auto"/>
        <w:jc w:val="both"/>
        <w:rPr>
          <w:rFonts w:ascii="Verdana" w:hAnsi="Verdana" w:cs="Arial"/>
          <w:b/>
          <w:bCs/>
          <w:color w:val="000000"/>
          <w:lang w:val="es-ES"/>
        </w:rPr>
      </w:pPr>
    </w:p>
    <w:p w14:paraId="31934DBC" w14:textId="77777777" w:rsidR="00FA4857" w:rsidRPr="004A0841" w:rsidRDefault="00FA4857" w:rsidP="00FA4857">
      <w:pPr>
        <w:spacing w:after="0" w:line="240" w:lineRule="auto"/>
        <w:jc w:val="both"/>
        <w:rPr>
          <w:rFonts w:ascii="Verdana" w:hAnsi="Verdana" w:cs="Arial"/>
          <w:b/>
          <w:bCs/>
          <w:color w:val="000000"/>
          <w:lang w:val="es-ES"/>
        </w:rPr>
      </w:pPr>
      <w:r w:rsidRPr="004A0841">
        <w:rPr>
          <w:rFonts w:ascii="Verdana" w:hAnsi="Verdana" w:cs="Arial"/>
          <w:b/>
          <w:bCs/>
          <w:color w:val="000000"/>
          <w:lang w:val="es-ES"/>
        </w:rPr>
        <w:t>8. La función que conserva la liquidación unilateral</w:t>
      </w:r>
    </w:p>
    <w:p w14:paraId="7B19EFEC" w14:textId="77777777" w:rsidR="00FA4857" w:rsidRDefault="00FA4857" w:rsidP="00FA4857">
      <w:pPr>
        <w:spacing w:after="0" w:line="240" w:lineRule="auto"/>
        <w:jc w:val="both"/>
        <w:rPr>
          <w:rFonts w:ascii="Verdana" w:hAnsi="Verdana" w:cs="Arial"/>
          <w:b/>
          <w:bCs/>
          <w:color w:val="000000"/>
          <w:lang w:val="es-ES"/>
        </w:rPr>
      </w:pPr>
    </w:p>
    <w:p w14:paraId="2D162DA4" w14:textId="77777777" w:rsidR="00FA4857" w:rsidRPr="00A0389A" w:rsidRDefault="00FA4857" w:rsidP="00FA4857">
      <w:pPr>
        <w:spacing w:after="0" w:line="276" w:lineRule="auto"/>
        <w:jc w:val="both"/>
        <w:rPr>
          <w:rFonts w:ascii="Verdana" w:hAnsi="Verdana" w:cs="Arial"/>
          <w:bCs/>
          <w:szCs w:val="24"/>
          <w:lang w:val="es-ES_tradnl" w:eastAsia="es-ES_tradnl"/>
        </w:rPr>
      </w:pPr>
      <w:proofErr w:type="spellStart"/>
      <w:r>
        <w:rPr>
          <w:rFonts w:ascii="Verdana" w:hAnsi="Verdana" w:cs="Arial"/>
          <w:bCs/>
          <w:szCs w:val="24"/>
          <w:lang w:val="es-ES_tradnl" w:eastAsia="es-ES_tradnl"/>
        </w:rPr>
        <w:t>viii</w:t>
      </w:r>
      <w:proofErr w:type="spellEnd"/>
      <w:r>
        <w:rPr>
          <w:rFonts w:ascii="Verdana" w:hAnsi="Verdana" w:cs="Arial"/>
          <w:bCs/>
          <w:szCs w:val="24"/>
          <w:lang w:val="es-ES_tradnl" w:eastAsia="es-ES_tradnl"/>
        </w:rPr>
        <w:t>) La consulta plantea que, si se admite la salvedad de la entidad, la liquidación unilateral perdería su razón de ser, pues bastaría suscribir el acta y exceptuar mediante salvedades los puntos controvertidos. La liquidación unilateral conserva plenamente su función, y opera en tres escenarios claramente diferenciados. El primero, cuando el contratista no se ha presentado al trámite de liquidación por mutuo acuerdo pese a haber sido convocado o notificado. El segundo, cuando, intentada la liquidación de común acuerdo, las partes no llegan a acuerdo alguno, evento en el cual la Administración define íntegramente el balance. Y el tercero, cuando existe acuerdo parcial y subsisten aspectos objeto de salvedad, caso en el cual la liquidación unilateral procede de manera parcial, circunscrita a esos aspectos.</w:t>
      </w:r>
    </w:p>
    <w:p w14:paraId="46E1BEA0" w14:textId="77777777" w:rsidR="00FA4857" w:rsidRDefault="00FA4857" w:rsidP="00FA4857">
      <w:pPr>
        <w:spacing w:after="0" w:line="276" w:lineRule="auto"/>
        <w:jc w:val="both"/>
        <w:rPr>
          <w:rFonts w:ascii="Verdana" w:hAnsi="Verdana" w:cs="Arial"/>
          <w:bCs/>
          <w:szCs w:val="24"/>
          <w:lang w:val="es-ES_tradnl" w:eastAsia="es-ES_tradnl"/>
        </w:rPr>
      </w:pPr>
    </w:p>
    <w:p w14:paraId="5D5AD5FE" w14:textId="77777777" w:rsidR="00FA4857" w:rsidRPr="00A0389A" w:rsidRDefault="00FA4857" w:rsidP="00FA4857">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Lo determinante es que esta tercera hipótesis no es una construcción interpretativa sino una previsión legal expresa. El inciso final del artículo 11 de la Ley 1150 de 2007 contempla justamente el supuesto de un acta bilateral con salvedades y dispone que en tal evento la liquidación unilateral procede respecto de lo no acordado. Es decir, el legislador previó y reguló precisamente la situación que la consulta teme: no hay superposición ni elusión, sino articulación normativamente ordenada entre ambas modalidades.</w:t>
      </w:r>
    </w:p>
    <w:p w14:paraId="00D05143" w14:textId="77777777" w:rsidR="00FA4857" w:rsidRDefault="00FA4857" w:rsidP="00FA4857">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Tampoco se produce la indefinición sobre el cierre contractual que la consulta advierte. El contrato queda liquidado respecto de los puntos acordados —con los efectos de título ejecutivo y de cierre que se explicaron— y permanece pendiente de definición únicamente respecto de los puntos objeto de salvedad, que se resolverán por arreglo directo, por liquidación unilateral parcial o judicialmente. El acta con salvedades es, en la sistemática de la Guía de esta Agencia, un desenlace propio del trámite de liquidación bilateral, susceptible de ser demandado en lo que fue objeto de reserva.</w:t>
      </w:r>
    </w:p>
    <w:p w14:paraId="52CA1E9A" w14:textId="77777777" w:rsidR="00FA4857" w:rsidRPr="00A0389A" w:rsidRDefault="00FA4857" w:rsidP="00FA4857">
      <w:pPr>
        <w:spacing w:after="0" w:line="276" w:lineRule="auto"/>
        <w:jc w:val="both"/>
        <w:rPr>
          <w:rFonts w:ascii="Verdana" w:hAnsi="Verdana" w:cs="Arial"/>
          <w:bCs/>
          <w:szCs w:val="24"/>
          <w:lang w:val="es-ES_tradnl" w:eastAsia="es-ES_tradnl"/>
        </w:rPr>
      </w:pPr>
    </w:p>
    <w:p w14:paraId="2F04DAAE" w14:textId="77777777" w:rsidR="00FA4857" w:rsidRPr="00A0389A" w:rsidRDefault="00FA4857" w:rsidP="00FA4857">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lastRenderedPageBreak/>
        <w:t>Finalmente, en cuanto al riesgo de que la salvedad se emplee para diferir decisiones que debieron adoptarse al liquidar, el ordenamiento ofrece un correctivo eficaz: los plazos para llevar a cabo la liquidación son preclusivos, por lo cual, si esta no tiene lugar en ellos, la entidad estatal pierde la competencia para liquidar el contrato, y el trámite realizado por fuera de los términos legales es ilegal por falta de competencia. La entidad que difiera indebidamente la definición de los puntos controvertidos no obtiene con ello una ventaja: arriesga perder la competencia para definirlos y expone a sus servidores a las responsabilidades que correspondan.</w:t>
      </w:r>
    </w:p>
    <w:p w14:paraId="68461741" w14:textId="77777777" w:rsidR="00FA4857" w:rsidRDefault="00FA4857" w:rsidP="00FA4857">
      <w:pPr>
        <w:spacing w:after="0" w:line="240" w:lineRule="auto"/>
        <w:jc w:val="both"/>
        <w:rPr>
          <w:rFonts w:ascii="Verdana" w:hAnsi="Verdana" w:cs="Arial"/>
          <w:b/>
          <w:bCs/>
          <w:color w:val="000000"/>
          <w:lang w:val="es-ES"/>
        </w:rPr>
      </w:pPr>
    </w:p>
    <w:p w14:paraId="63F714D8" w14:textId="77777777" w:rsidR="00FA4857" w:rsidRPr="004A0841" w:rsidRDefault="00FA4857" w:rsidP="00FA4857">
      <w:pPr>
        <w:spacing w:after="0" w:line="240" w:lineRule="auto"/>
        <w:jc w:val="both"/>
        <w:rPr>
          <w:rFonts w:ascii="Verdana" w:hAnsi="Verdana" w:cs="Arial"/>
          <w:b/>
          <w:bCs/>
          <w:color w:val="000000"/>
          <w:lang w:val="es-ES"/>
        </w:rPr>
      </w:pPr>
      <w:r w:rsidRPr="004A0841">
        <w:rPr>
          <w:rFonts w:ascii="Verdana" w:hAnsi="Verdana" w:cs="Arial"/>
          <w:b/>
          <w:bCs/>
          <w:color w:val="000000"/>
          <w:lang w:val="es-ES"/>
        </w:rPr>
        <w:t>9. Los Documentos Tipo y la regla de inalterabilidad</w:t>
      </w:r>
    </w:p>
    <w:p w14:paraId="18E78274" w14:textId="77777777" w:rsidR="00FA4857" w:rsidRDefault="00FA4857" w:rsidP="00FA4857">
      <w:pPr>
        <w:spacing w:after="0" w:line="240" w:lineRule="auto"/>
        <w:jc w:val="both"/>
        <w:rPr>
          <w:rFonts w:ascii="Verdana" w:hAnsi="Verdana" w:cs="Arial"/>
          <w:b/>
          <w:bCs/>
          <w:color w:val="000000"/>
          <w:lang w:val="es-ES"/>
        </w:rPr>
      </w:pPr>
    </w:p>
    <w:p w14:paraId="048469C5" w14:textId="77777777" w:rsidR="00FA4857" w:rsidRPr="00A0389A" w:rsidRDefault="00FA4857" w:rsidP="00FA4857">
      <w:pPr>
        <w:spacing w:after="0" w:line="276" w:lineRule="auto"/>
        <w:jc w:val="both"/>
        <w:rPr>
          <w:rFonts w:ascii="Verdana" w:hAnsi="Verdana" w:cs="Arial"/>
          <w:bCs/>
          <w:szCs w:val="24"/>
          <w:lang w:val="es-ES_tradnl" w:eastAsia="es-ES_tradnl"/>
        </w:rPr>
      </w:pPr>
      <w:proofErr w:type="spellStart"/>
      <w:r>
        <w:rPr>
          <w:rFonts w:ascii="Verdana" w:hAnsi="Verdana" w:cs="Arial"/>
          <w:bCs/>
          <w:szCs w:val="24"/>
          <w:lang w:val="es-ES_tradnl" w:eastAsia="es-ES_tradnl"/>
        </w:rPr>
        <w:t>ix</w:t>
      </w:r>
      <w:proofErr w:type="spellEnd"/>
      <w:r>
        <w:rPr>
          <w:rFonts w:ascii="Verdana" w:hAnsi="Verdana" w:cs="Arial"/>
          <w:bCs/>
          <w:szCs w:val="24"/>
          <w:lang w:val="es-ES_tradnl" w:eastAsia="es-ES_tradnl"/>
        </w:rPr>
        <w:t>) Resta examinar el interrogante relativo a los contratos derivados de pliegos tipo. Conforme al artículo 1 de la Ley 2022 de 2020 —que modificó el artículo 4 de la Ley 1882 de 2018—, la Agencia Nacional de Contratación Pública – Colombia Compra Eficiente adopta documentos tipo que son de obligatorio cumplimiento en la actividad contractual de las entidades sometidas al Estatuto General de Contratación de la Administración Pública, regla de la que se deriva su inalterabilidad.</w:t>
      </w:r>
    </w:p>
    <w:p w14:paraId="66DA64EF" w14:textId="77777777" w:rsidR="00FA4857" w:rsidRPr="00A0389A" w:rsidRDefault="00FA4857" w:rsidP="00FA4857">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Esa regla, sin embargo, no resulta comprometida por la consignación de una salvedad o de una constancia en el acta de liquidación. La inalterabilidad recae sobre los documentos tipo adoptados —el pliego de condiciones y sus anexos, entre ellos la minuta— e impide que las entidades modifiquen su contenido al estructurar el proceso de selección y el contrato. El acta de liquidación, en cambio, es un documento posterior, propio de una etapa distinta y ulterior, cuyo contenido concretan las partes conforme a lo dispuesto en los artículos 60 de la Ley 80 de 1993 y 11 de la Ley 1150 de 2007.</w:t>
      </w:r>
    </w:p>
    <w:p w14:paraId="635F11C5" w14:textId="77777777" w:rsidR="00FA4857" w:rsidRDefault="00FA4857" w:rsidP="00FA4857">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t>Por consiguiente, la circunstancia de que la minuta reproduzca el derecho de salvedad que el artículo 11 reconoce al contratista no comporta una prohibición dirigida a la entidad. La minuta recoge una previsión legal; no agota la regulación de la etapa de liquidación ni podría restringir facultades que se derivan de la ley y de la naturaleza negocial del acta. Cuestión distinta sería que una entidad pretendiera modificar el clausulado del contrato derivado de Documentos Tipo, hipótesis que sí resultaría contraria a la regla de inalterabilidad y que no es la que aquí se examina.</w:t>
      </w:r>
    </w:p>
    <w:p w14:paraId="51399073" w14:textId="77777777" w:rsidR="00FA4857" w:rsidRPr="00A0389A" w:rsidRDefault="00FA4857" w:rsidP="00FA4857">
      <w:pPr>
        <w:spacing w:after="0" w:line="276" w:lineRule="auto"/>
        <w:jc w:val="both"/>
        <w:rPr>
          <w:rFonts w:ascii="Verdana" w:hAnsi="Verdana" w:cs="Arial"/>
          <w:bCs/>
          <w:szCs w:val="24"/>
          <w:lang w:val="es-ES_tradnl" w:eastAsia="es-ES_tradnl"/>
        </w:rPr>
      </w:pPr>
    </w:p>
    <w:p w14:paraId="28677C79" w14:textId="77777777" w:rsidR="00FA4857" w:rsidRDefault="00FA4857" w:rsidP="00FA4857">
      <w:pPr>
        <w:spacing w:after="0" w:line="276" w:lineRule="auto"/>
        <w:ind w:firstLine="567"/>
        <w:jc w:val="both"/>
        <w:rPr>
          <w:rFonts w:ascii="Verdana" w:hAnsi="Verdana" w:cs="Arial"/>
          <w:bCs/>
          <w:szCs w:val="24"/>
          <w:lang w:val="es-ES_tradnl" w:eastAsia="es-ES_tradnl"/>
        </w:rPr>
      </w:pPr>
      <w:r>
        <w:rPr>
          <w:rFonts w:ascii="Verdana" w:hAnsi="Verdana" w:cs="Arial"/>
          <w:bCs/>
          <w:szCs w:val="24"/>
          <w:lang w:val="es-ES_tradnl" w:eastAsia="es-ES_tradnl"/>
        </w:rPr>
        <w:lastRenderedPageBreak/>
        <w:t>Dentro de este marco, la entidad pública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251EE8A1" w14:textId="77777777" w:rsidR="00FA4857" w:rsidRPr="00A0389A" w:rsidRDefault="00FA4857" w:rsidP="00FA4857">
      <w:pPr>
        <w:spacing w:after="0" w:line="276" w:lineRule="auto"/>
        <w:jc w:val="both"/>
        <w:rPr>
          <w:rFonts w:ascii="Verdana" w:hAnsi="Verdana" w:cs="Arial"/>
          <w:bCs/>
          <w:szCs w:val="24"/>
          <w:lang w:val="es-ES_tradnl" w:eastAsia="es-ES_tradnl"/>
        </w:rPr>
      </w:pPr>
    </w:p>
    <w:p w14:paraId="2DCF2495" w14:textId="77777777" w:rsidR="00FA4857" w:rsidRPr="009037F6" w:rsidRDefault="00FA4857" w:rsidP="00FA4857">
      <w:pPr>
        <w:numPr>
          <w:ilvl w:val="0"/>
          <w:numId w:val="2"/>
        </w:numPr>
        <w:tabs>
          <w:tab w:val="left" w:pos="142"/>
          <w:tab w:val="left" w:pos="284"/>
        </w:tabs>
        <w:spacing w:after="0" w:line="276" w:lineRule="auto"/>
        <w:contextualSpacing/>
        <w:jc w:val="both"/>
        <w:rPr>
          <w:rFonts w:ascii="Verdana" w:eastAsia="Century Gothic" w:hAnsi="Verdana" w:cs="Century Gothic"/>
          <w:b/>
          <w:bCs/>
          <w:lang w:val="es-ES"/>
        </w:rPr>
      </w:pPr>
      <w:r w:rsidRPr="009037F6">
        <w:rPr>
          <w:rFonts w:ascii="Verdana" w:eastAsia="Century Gothic" w:hAnsi="Verdana" w:cs="Century Gothic"/>
          <w:b/>
          <w:bCs/>
          <w:lang w:val="es-ES"/>
        </w:rPr>
        <w:t xml:space="preserve">Referencias normativas, jurisprudenciales y otras fuentes </w:t>
      </w:r>
    </w:p>
    <w:p w14:paraId="7EBB3587" w14:textId="77777777" w:rsidR="00FA4857" w:rsidRPr="009037F6" w:rsidRDefault="00FA4857" w:rsidP="00FA4857">
      <w:pPr>
        <w:widowControl w:val="0"/>
        <w:autoSpaceDE w:val="0"/>
        <w:autoSpaceDN w:val="0"/>
        <w:spacing w:after="0" w:line="276" w:lineRule="auto"/>
        <w:jc w:val="both"/>
        <w:rPr>
          <w:rFonts w:ascii="Verdana" w:hAnsi="Verdana" w:cs="Arial"/>
        </w:rPr>
      </w:pPr>
    </w:p>
    <w:tbl>
      <w:tblPr>
        <w:tblStyle w:val="Tablaconcuadrcula11"/>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FA4857" w:rsidRPr="009037F6" w14:paraId="4221F07A" w14:textId="77777777" w:rsidTr="004E4B4B">
        <w:trPr>
          <w:trHeight w:val="487"/>
          <w:jc w:val="center"/>
        </w:trPr>
        <w:tc>
          <w:tcPr>
            <w:tcW w:w="8647" w:type="dxa"/>
          </w:tcPr>
          <w:p w14:paraId="6F016E3B" w14:textId="77777777" w:rsidR="00FA4857" w:rsidRDefault="00FA4857" w:rsidP="004E4B4B">
            <w:pPr>
              <w:widowControl w:val="0"/>
              <w:numPr>
                <w:ilvl w:val="0"/>
                <w:numId w:val="3"/>
              </w:numPr>
              <w:autoSpaceDE w:val="0"/>
              <w:autoSpaceDN w:val="0"/>
              <w:spacing w:before="120" w:after="120" w:line="276" w:lineRule="auto"/>
              <w:ind w:left="714" w:hanging="357"/>
              <w:jc w:val="both"/>
              <w:rPr>
                <w:rFonts w:ascii="Verdana" w:eastAsia="Arial MT" w:hAnsi="Verdana" w:cs="Arial"/>
                <w:lang w:val="es-ES" w:eastAsia="es-ES" w:bidi="es-ES"/>
              </w:rPr>
            </w:pPr>
            <w:r>
              <w:rPr>
                <w:rFonts w:ascii="Verdana" w:eastAsia="Arial MT" w:hAnsi="Verdana" w:cs="Arial"/>
                <w:lang w:val="es-ES" w:eastAsia="es-ES" w:bidi="es-ES"/>
              </w:rPr>
              <w:t>Constitución Política, artículo 209.</w:t>
            </w:r>
          </w:p>
          <w:p w14:paraId="24EEC6BF" w14:textId="77777777" w:rsidR="00FA4857" w:rsidRDefault="00FA4857" w:rsidP="004E4B4B">
            <w:pPr>
              <w:widowControl w:val="0"/>
              <w:numPr>
                <w:ilvl w:val="0"/>
                <w:numId w:val="3"/>
              </w:numPr>
              <w:autoSpaceDE w:val="0"/>
              <w:autoSpaceDN w:val="0"/>
              <w:spacing w:before="120" w:after="120" w:line="276" w:lineRule="auto"/>
              <w:ind w:left="714" w:hanging="357"/>
              <w:jc w:val="both"/>
              <w:rPr>
                <w:rFonts w:ascii="Verdana" w:eastAsia="Arial MT" w:hAnsi="Verdana" w:cs="Arial"/>
                <w:lang w:val="es-ES" w:eastAsia="es-ES" w:bidi="es-ES"/>
              </w:rPr>
            </w:pPr>
            <w:r>
              <w:rPr>
                <w:rFonts w:ascii="Verdana" w:eastAsia="Arial MT" w:hAnsi="Verdana" w:cs="Arial"/>
                <w:lang w:val="es-ES" w:eastAsia="es-ES" w:bidi="es-ES"/>
              </w:rPr>
              <w:t>Ley 80 de 1993, artículos 13, 32, 40, 44, 45 y 60 —este último modificado por el artículo 217 del Decreto Ley 019 de 2012—.</w:t>
            </w:r>
          </w:p>
          <w:p w14:paraId="774B43DB" w14:textId="77777777" w:rsidR="00FA4857" w:rsidRDefault="00FA4857" w:rsidP="004E4B4B">
            <w:pPr>
              <w:widowControl w:val="0"/>
              <w:numPr>
                <w:ilvl w:val="0"/>
                <w:numId w:val="3"/>
              </w:numPr>
              <w:autoSpaceDE w:val="0"/>
              <w:autoSpaceDN w:val="0"/>
              <w:spacing w:before="120" w:after="120" w:line="276" w:lineRule="auto"/>
              <w:ind w:left="714" w:hanging="357"/>
              <w:jc w:val="both"/>
              <w:rPr>
                <w:rFonts w:ascii="Verdana" w:eastAsia="Arial MT" w:hAnsi="Verdana" w:cs="Arial"/>
                <w:lang w:val="es-ES" w:eastAsia="es-ES" w:bidi="es-ES"/>
              </w:rPr>
            </w:pPr>
            <w:r>
              <w:rPr>
                <w:rFonts w:ascii="Verdana" w:eastAsia="Arial MT" w:hAnsi="Verdana" w:cs="Arial"/>
                <w:lang w:val="es-ES" w:eastAsia="es-ES" w:bidi="es-ES"/>
              </w:rPr>
              <w:t>Ley 1150 de 2007, artículo 11.</w:t>
            </w:r>
          </w:p>
          <w:p w14:paraId="1D772AC9" w14:textId="77777777" w:rsidR="00FA4857" w:rsidRDefault="00FA4857" w:rsidP="004E4B4B">
            <w:pPr>
              <w:widowControl w:val="0"/>
              <w:numPr>
                <w:ilvl w:val="0"/>
                <w:numId w:val="3"/>
              </w:numPr>
              <w:autoSpaceDE w:val="0"/>
              <w:autoSpaceDN w:val="0"/>
              <w:spacing w:before="120" w:after="120" w:line="276" w:lineRule="auto"/>
              <w:ind w:left="714" w:hanging="357"/>
              <w:jc w:val="both"/>
              <w:rPr>
                <w:rFonts w:ascii="Verdana" w:eastAsia="Arial MT" w:hAnsi="Verdana" w:cs="Arial"/>
                <w:lang w:val="es-ES" w:eastAsia="es-ES" w:bidi="es-ES"/>
              </w:rPr>
            </w:pPr>
            <w:r>
              <w:rPr>
                <w:rFonts w:ascii="Verdana" w:eastAsia="Arial MT" w:hAnsi="Verdana" w:cs="Arial"/>
                <w:lang w:val="es-ES" w:eastAsia="es-ES" w:bidi="es-ES"/>
              </w:rPr>
              <w:t>Ley 1437 de 2011, artículos 3, 99 (numeral 3), 141 y 297 (numeral 3).</w:t>
            </w:r>
          </w:p>
          <w:p w14:paraId="7FB12F04" w14:textId="77777777" w:rsidR="00FA4857" w:rsidRDefault="00FA4857" w:rsidP="004E4B4B">
            <w:pPr>
              <w:widowControl w:val="0"/>
              <w:numPr>
                <w:ilvl w:val="0"/>
                <w:numId w:val="3"/>
              </w:numPr>
              <w:autoSpaceDE w:val="0"/>
              <w:autoSpaceDN w:val="0"/>
              <w:spacing w:before="120" w:after="120" w:line="276" w:lineRule="auto"/>
              <w:ind w:left="714" w:hanging="357"/>
              <w:jc w:val="both"/>
              <w:rPr>
                <w:rFonts w:ascii="Verdana" w:eastAsia="Arial MT" w:hAnsi="Verdana" w:cs="Arial"/>
                <w:lang w:val="es-ES" w:eastAsia="es-ES" w:bidi="es-ES"/>
              </w:rPr>
            </w:pPr>
            <w:r>
              <w:rPr>
                <w:rFonts w:ascii="Verdana" w:eastAsia="Arial MT" w:hAnsi="Verdana" w:cs="Arial"/>
                <w:lang w:val="es-ES" w:eastAsia="es-ES" w:bidi="es-ES"/>
              </w:rPr>
              <w:t>Ley 1563 de 2012, artículo 59.</w:t>
            </w:r>
          </w:p>
          <w:p w14:paraId="4B65B007" w14:textId="77777777" w:rsidR="00FA4857" w:rsidRDefault="00FA4857" w:rsidP="004E4B4B">
            <w:pPr>
              <w:widowControl w:val="0"/>
              <w:numPr>
                <w:ilvl w:val="0"/>
                <w:numId w:val="3"/>
              </w:numPr>
              <w:autoSpaceDE w:val="0"/>
              <w:autoSpaceDN w:val="0"/>
              <w:spacing w:before="120" w:after="120" w:line="276" w:lineRule="auto"/>
              <w:ind w:left="714" w:hanging="357"/>
              <w:jc w:val="both"/>
              <w:rPr>
                <w:rFonts w:ascii="Verdana" w:eastAsia="Arial MT" w:hAnsi="Verdana" w:cs="Arial"/>
                <w:lang w:val="es-ES" w:eastAsia="es-ES" w:bidi="es-ES"/>
              </w:rPr>
            </w:pPr>
            <w:r>
              <w:rPr>
                <w:rFonts w:ascii="Verdana" w:eastAsia="Arial MT" w:hAnsi="Verdana" w:cs="Arial"/>
                <w:lang w:val="es-ES" w:eastAsia="es-ES" w:bidi="es-ES"/>
              </w:rPr>
              <w:t>Ley 1755 de 2015.</w:t>
            </w:r>
          </w:p>
          <w:p w14:paraId="171ED4E3" w14:textId="77777777" w:rsidR="00FA4857" w:rsidRDefault="00FA4857" w:rsidP="004E4B4B">
            <w:pPr>
              <w:widowControl w:val="0"/>
              <w:numPr>
                <w:ilvl w:val="0"/>
                <w:numId w:val="3"/>
              </w:numPr>
              <w:autoSpaceDE w:val="0"/>
              <w:autoSpaceDN w:val="0"/>
              <w:spacing w:before="120" w:after="120" w:line="276" w:lineRule="auto"/>
              <w:ind w:left="714" w:hanging="357"/>
              <w:jc w:val="both"/>
              <w:rPr>
                <w:rFonts w:ascii="Verdana" w:eastAsia="Arial MT" w:hAnsi="Verdana" w:cs="Arial"/>
                <w:lang w:val="es-ES" w:eastAsia="es-ES" w:bidi="es-ES"/>
              </w:rPr>
            </w:pPr>
            <w:r>
              <w:rPr>
                <w:rFonts w:ascii="Verdana" w:eastAsia="Arial MT" w:hAnsi="Verdana" w:cs="Arial"/>
                <w:lang w:val="es-ES" w:eastAsia="es-ES" w:bidi="es-ES"/>
              </w:rPr>
              <w:t>Ley 1882 de 2018, artículo 4, modificado por el artículo 1 de la Ley 2022 de 2020.</w:t>
            </w:r>
          </w:p>
          <w:p w14:paraId="14D9C1DD" w14:textId="77777777" w:rsidR="00FA4857" w:rsidRDefault="00FA4857" w:rsidP="004E4B4B">
            <w:pPr>
              <w:widowControl w:val="0"/>
              <w:numPr>
                <w:ilvl w:val="0"/>
                <w:numId w:val="3"/>
              </w:numPr>
              <w:autoSpaceDE w:val="0"/>
              <w:autoSpaceDN w:val="0"/>
              <w:spacing w:before="120" w:after="120" w:line="276" w:lineRule="auto"/>
              <w:ind w:left="714" w:hanging="357"/>
              <w:jc w:val="both"/>
              <w:rPr>
                <w:rFonts w:ascii="Verdana" w:eastAsia="Arial MT" w:hAnsi="Verdana" w:cs="Arial"/>
                <w:lang w:val="es-ES" w:eastAsia="es-ES" w:bidi="es-ES"/>
              </w:rPr>
            </w:pPr>
            <w:r>
              <w:rPr>
                <w:rFonts w:ascii="Verdana" w:eastAsia="Arial MT" w:hAnsi="Verdana" w:cs="Arial"/>
                <w:lang w:val="es-ES" w:eastAsia="es-ES" w:bidi="es-ES"/>
              </w:rPr>
              <w:t>Decreto Ley 019 de 2012, artículo 217.</w:t>
            </w:r>
          </w:p>
          <w:p w14:paraId="00EEF403" w14:textId="77777777" w:rsidR="00FA4857" w:rsidRDefault="00FA4857" w:rsidP="004E4B4B">
            <w:pPr>
              <w:widowControl w:val="0"/>
              <w:numPr>
                <w:ilvl w:val="0"/>
                <w:numId w:val="3"/>
              </w:numPr>
              <w:autoSpaceDE w:val="0"/>
              <w:autoSpaceDN w:val="0"/>
              <w:spacing w:before="120" w:after="120" w:line="276" w:lineRule="auto"/>
              <w:ind w:left="714" w:hanging="357"/>
              <w:jc w:val="both"/>
              <w:rPr>
                <w:rFonts w:ascii="Verdana" w:eastAsia="Arial MT" w:hAnsi="Verdana" w:cs="Arial"/>
                <w:lang w:val="es-ES" w:eastAsia="es-ES" w:bidi="es-ES"/>
              </w:rPr>
            </w:pPr>
            <w:r>
              <w:rPr>
                <w:rFonts w:ascii="Verdana" w:eastAsia="Arial MT" w:hAnsi="Verdana" w:cs="Arial"/>
                <w:lang w:val="es-ES" w:eastAsia="es-ES" w:bidi="es-ES"/>
              </w:rPr>
              <w:t>Decreto Ley 4170 de 2011, artículos 3 (numeral 5) y 11 (numeral 8).</w:t>
            </w:r>
          </w:p>
          <w:p w14:paraId="6A13B775" w14:textId="77777777" w:rsidR="00FA4857" w:rsidRDefault="00FA4857" w:rsidP="004E4B4B">
            <w:pPr>
              <w:widowControl w:val="0"/>
              <w:numPr>
                <w:ilvl w:val="0"/>
                <w:numId w:val="3"/>
              </w:numPr>
              <w:autoSpaceDE w:val="0"/>
              <w:autoSpaceDN w:val="0"/>
              <w:spacing w:before="120" w:after="120" w:line="276" w:lineRule="auto"/>
              <w:ind w:left="714" w:hanging="357"/>
              <w:jc w:val="both"/>
              <w:rPr>
                <w:rFonts w:ascii="Verdana" w:eastAsia="Arial MT" w:hAnsi="Verdana" w:cs="Arial"/>
                <w:lang w:val="es-ES" w:eastAsia="es-ES" w:bidi="es-ES"/>
              </w:rPr>
            </w:pPr>
            <w:r>
              <w:rPr>
                <w:rFonts w:ascii="Verdana" w:eastAsia="Arial MT" w:hAnsi="Verdana" w:cs="Arial"/>
                <w:lang w:val="es-ES" w:eastAsia="es-ES" w:bidi="es-ES"/>
              </w:rPr>
              <w:t>Decreto 1082 de 2015, artículo 2.2.1.1.1.3.1.</w:t>
            </w:r>
          </w:p>
          <w:p w14:paraId="1171EF54" w14:textId="77777777" w:rsidR="00FA4857" w:rsidRDefault="00FA4857" w:rsidP="004E4B4B">
            <w:pPr>
              <w:widowControl w:val="0"/>
              <w:numPr>
                <w:ilvl w:val="0"/>
                <w:numId w:val="3"/>
              </w:numPr>
              <w:autoSpaceDE w:val="0"/>
              <w:autoSpaceDN w:val="0"/>
              <w:spacing w:before="120" w:after="120" w:line="276" w:lineRule="auto"/>
              <w:ind w:left="714" w:hanging="357"/>
              <w:jc w:val="both"/>
              <w:rPr>
                <w:rFonts w:ascii="Verdana" w:eastAsia="Arial MT" w:hAnsi="Verdana" w:cs="Arial"/>
                <w:lang w:val="es-ES" w:eastAsia="es-ES" w:bidi="es-ES"/>
              </w:rPr>
            </w:pPr>
            <w:r>
              <w:rPr>
                <w:rFonts w:ascii="Verdana" w:eastAsia="Arial MT" w:hAnsi="Verdana" w:cs="Arial"/>
                <w:lang w:val="es-ES" w:eastAsia="es-ES" w:bidi="es-ES"/>
              </w:rPr>
              <w:t>CONSEJO DE ESTADO. Sala de Consulta y Servicio Civil. Concepto 1453 del 6 de agosto de 2003. C.P. Augusto Trejos Jaramillo.</w:t>
            </w:r>
          </w:p>
          <w:p w14:paraId="5AF73711" w14:textId="77777777" w:rsidR="00FA4857" w:rsidRDefault="00FA4857" w:rsidP="004E4B4B">
            <w:pPr>
              <w:widowControl w:val="0"/>
              <w:numPr>
                <w:ilvl w:val="0"/>
                <w:numId w:val="3"/>
              </w:numPr>
              <w:autoSpaceDE w:val="0"/>
              <w:autoSpaceDN w:val="0"/>
              <w:spacing w:before="120" w:after="120" w:line="276" w:lineRule="auto"/>
              <w:ind w:left="714" w:hanging="357"/>
              <w:jc w:val="both"/>
              <w:rPr>
                <w:rFonts w:ascii="Verdana" w:eastAsia="Arial MT" w:hAnsi="Verdana" w:cs="Arial"/>
                <w:lang w:val="es-ES" w:eastAsia="es-ES" w:bidi="es-ES"/>
              </w:rPr>
            </w:pPr>
            <w:r>
              <w:rPr>
                <w:rFonts w:ascii="Verdana" w:eastAsia="Arial MT" w:hAnsi="Verdana" w:cs="Arial"/>
                <w:lang w:val="es-ES" w:eastAsia="es-ES" w:bidi="es-ES"/>
              </w:rPr>
              <w:t xml:space="preserve">CONSEJO DE ESTADO. Sección Tercera. Sentencia del 29 de febrero de 2012. </w:t>
            </w:r>
            <w:proofErr w:type="spellStart"/>
            <w:r>
              <w:rPr>
                <w:rFonts w:ascii="Verdana" w:eastAsia="Arial MT" w:hAnsi="Verdana" w:cs="Arial"/>
                <w:lang w:val="es-ES" w:eastAsia="es-ES" w:bidi="es-ES"/>
              </w:rPr>
              <w:t>Exp</w:t>
            </w:r>
            <w:proofErr w:type="spellEnd"/>
            <w:r>
              <w:rPr>
                <w:rFonts w:ascii="Verdana" w:eastAsia="Arial MT" w:hAnsi="Verdana" w:cs="Arial"/>
                <w:lang w:val="es-ES" w:eastAsia="es-ES" w:bidi="es-ES"/>
              </w:rPr>
              <w:t>. 16371. C.P. Danilo Rojas Betancourth.</w:t>
            </w:r>
          </w:p>
          <w:p w14:paraId="590860F0" w14:textId="77777777" w:rsidR="00FA4857" w:rsidRDefault="00FA4857" w:rsidP="004E4B4B">
            <w:pPr>
              <w:widowControl w:val="0"/>
              <w:numPr>
                <w:ilvl w:val="0"/>
                <w:numId w:val="3"/>
              </w:numPr>
              <w:autoSpaceDE w:val="0"/>
              <w:autoSpaceDN w:val="0"/>
              <w:spacing w:before="120" w:after="120" w:line="276" w:lineRule="auto"/>
              <w:ind w:left="714" w:hanging="357"/>
              <w:jc w:val="both"/>
              <w:rPr>
                <w:rFonts w:ascii="Verdana" w:eastAsia="Arial MT" w:hAnsi="Verdana" w:cs="Arial"/>
                <w:lang w:val="es-ES" w:eastAsia="es-ES" w:bidi="es-ES"/>
              </w:rPr>
            </w:pPr>
            <w:r>
              <w:rPr>
                <w:rFonts w:ascii="Verdana" w:eastAsia="Arial MT" w:hAnsi="Verdana" w:cs="Arial"/>
                <w:lang w:val="es-ES" w:eastAsia="es-ES" w:bidi="es-ES"/>
              </w:rPr>
              <w:t xml:space="preserve">CONSEJO DE ESTADO. Sección Tercera. Sentencia del 24 de julio de </w:t>
            </w:r>
            <w:r>
              <w:rPr>
                <w:rFonts w:ascii="Verdana" w:eastAsia="Arial MT" w:hAnsi="Verdana" w:cs="Arial"/>
                <w:lang w:val="es-ES" w:eastAsia="es-ES" w:bidi="es-ES"/>
              </w:rPr>
              <w:lastRenderedPageBreak/>
              <w:t>2013. C.P. Hernán Andrade Rincón.</w:t>
            </w:r>
          </w:p>
          <w:p w14:paraId="317BC841" w14:textId="77777777" w:rsidR="00FA4857" w:rsidRDefault="00FA4857" w:rsidP="004E4B4B">
            <w:pPr>
              <w:widowControl w:val="0"/>
              <w:numPr>
                <w:ilvl w:val="0"/>
                <w:numId w:val="3"/>
              </w:numPr>
              <w:autoSpaceDE w:val="0"/>
              <w:autoSpaceDN w:val="0"/>
              <w:spacing w:before="120" w:after="120" w:line="276" w:lineRule="auto"/>
              <w:ind w:left="714" w:hanging="357"/>
              <w:jc w:val="both"/>
              <w:rPr>
                <w:rFonts w:ascii="Verdana" w:eastAsia="Arial MT" w:hAnsi="Verdana" w:cs="Arial"/>
                <w:lang w:val="es-ES" w:eastAsia="es-ES" w:bidi="es-ES"/>
              </w:rPr>
            </w:pPr>
            <w:r>
              <w:rPr>
                <w:rFonts w:ascii="Verdana" w:eastAsia="Arial MT" w:hAnsi="Verdana" w:cs="Arial"/>
                <w:lang w:val="es-ES" w:eastAsia="es-ES" w:bidi="es-ES"/>
              </w:rPr>
              <w:t>CONSEJO DE ESTADO. Sección Tercera. Sentencia del 20 de octubre de 2014.</w:t>
            </w:r>
          </w:p>
          <w:p w14:paraId="74BE431F" w14:textId="77777777" w:rsidR="00FA4857" w:rsidRDefault="00FA4857" w:rsidP="004E4B4B">
            <w:pPr>
              <w:widowControl w:val="0"/>
              <w:numPr>
                <w:ilvl w:val="0"/>
                <w:numId w:val="3"/>
              </w:numPr>
              <w:autoSpaceDE w:val="0"/>
              <w:autoSpaceDN w:val="0"/>
              <w:spacing w:before="120" w:after="120" w:line="276" w:lineRule="auto"/>
              <w:ind w:left="714" w:hanging="357"/>
              <w:jc w:val="both"/>
              <w:rPr>
                <w:rFonts w:ascii="Verdana" w:eastAsia="Arial MT" w:hAnsi="Verdana" w:cs="Arial"/>
                <w:lang w:val="es-ES" w:eastAsia="es-ES" w:bidi="es-ES"/>
              </w:rPr>
            </w:pPr>
            <w:r>
              <w:rPr>
                <w:rFonts w:ascii="Verdana" w:eastAsia="Arial MT" w:hAnsi="Verdana" w:cs="Arial"/>
                <w:lang w:val="es-ES" w:eastAsia="es-ES" w:bidi="es-ES"/>
              </w:rPr>
              <w:t>AGENCIA NACIONAL DE CONTRATACIÓN PÚBLICA – COLOMBIA COMPRA EFICIENTE. Guía para la liquidación de los Procesos de Contratación, G-LPC-01.</w:t>
            </w:r>
          </w:p>
        </w:tc>
      </w:tr>
    </w:tbl>
    <w:p w14:paraId="2B1347AC" w14:textId="77777777" w:rsidR="00FA4857" w:rsidRPr="009037F6" w:rsidRDefault="00FA4857" w:rsidP="00FA4857">
      <w:pPr>
        <w:widowControl w:val="0"/>
        <w:autoSpaceDE w:val="0"/>
        <w:autoSpaceDN w:val="0"/>
        <w:spacing w:after="0" w:line="276" w:lineRule="auto"/>
        <w:jc w:val="both"/>
        <w:rPr>
          <w:rFonts w:ascii="Verdana" w:hAnsi="Verdana" w:cs="Arial"/>
        </w:rPr>
      </w:pPr>
    </w:p>
    <w:p w14:paraId="1DB152AD" w14:textId="77777777" w:rsidR="00FA4857" w:rsidRPr="009037F6" w:rsidRDefault="00FA4857" w:rsidP="00FA4857">
      <w:pPr>
        <w:numPr>
          <w:ilvl w:val="0"/>
          <w:numId w:val="2"/>
        </w:numPr>
        <w:tabs>
          <w:tab w:val="left" w:pos="142"/>
          <w:tab w:val="left" w:pos="284"/>
        </w:tabs>
        <w:spacing w:after="0" w:line="276" w:lineRule="auto"/>
        <w:contextualSpacing/>
        <w:jc w:val="both"/>
        <w:rPr>
          <w:rFonts w:ascii="Verdana" w:eastAsia="Century Gothic" w:hAnsi="Verdana" w:cs="Century Gothic"/>
          <w:b/>
          <w:bCs/>
          <w:lang w:val="es-ES"/>
        </w:rPr>
      </w:pPr>
      <w:r w:rsidRPr="009037F6">
        <w:rPr>
          <w:rFonts w:ascii="Verdana" w:eastAsia="Century Gothic" w:hAnsi="Verdana" w:cs="Century Gothic"/>
          <w:b/>
          <w:bCs/>
          <w:lang w:val="es-ES"/>
        </w:rPr>
        <w:t>Doctrina de la Agencia Nacional de Contratación Pública:</w:t>
      </w:r>
    </w:p>
    <w:p w14:paraId="36BD6B60" w14:textId="77777777" w:rsidR="00FA4857" w:rsidRPr="009037F6" w:rsidRDefault="00FA4857" w:rsidP="00FA4857">
      <w:pPr>
        <w:widowControl w:val="0"/>
        <w:autoSpaceDE w:val="0"/>
        <w:autoSpaceDN w:val="0"/>
        <w:spacing w:after="0" w:line="276" w:lineRule="auto"/>
        <w:jc w:val="both"/>
        <w:rPr>
          <w:rFonts w:ascii="Verdana" w:hAnsi="Verdana" w:cs="Arial"/>
        </w:rPr>
      </w:pPr>
    </w:p>
    <w:p w14:paraId="1BCD0204" w14:textId="77777777" w:rsidR="00FA4857" w:rsidRDefault="00FA4857" w:rsidP="00FA4857">
      <w:pPr>
        <w:widowControl w:val="0"/>
        <w:autoSpaceDE w:val="0"/>
        <w:autoSpaceDN w:val="0"/>
        <w:spacing w:after="0" w:line="276" w:lineRule="auto"/>
        <w:jc w:val="both"/>
        <w:rPr>
          <w:rStyle w:val="normaltextrun"/>
          <w:rFonts w:ascii="Verdana" w:hAnsi="Verdana" w:cs="Arial"/>
          <w:shd w:val="clear" w:color="auto" w:fill="FFFFFF"/>
        </w:rPr>
      </w:pPr>
      <w:r>
        <w:rPr>
          <w:rFonts w:ascii="Verdana" w:hAnsi="Verdana" w:cs="Arial"/>
          <w:shd w:val="clear" w:color="auto" w:fill="FFFFFF"/>
        </w:rPr>
        <w:t>Esta Subdirección se ha pronunciado sobre la liquidación del contrato estatal, su naturaleza, oportunidad y modalidades, así como sobre las salvedades y sus efectos, entre otros, en los Conceptos C-968 de 2024, C-889 del 15 de agosto de 2025, C-903 del 19 de agosto de 2025, C-907 de 2025, C-1205 del 9 de septiembre de 2025, C-1243 de 2025, C-1254 de 2025 y C-605 de 2025. En particular, sobre la liquidación unilateral parcial respecto de los aspectos objeto de salvedad y sobre los mecanismos de arreglo directo aplicables a esas diferencias, se destaca el Concepto C-889 de 2025.</w:t>
      </w:r>
    </w:p>
    <w:p w14:paraId="22D31983" w14:textId="77777777" w:rsidR="00FA4857" w:rsidRDefault="00FA4857" w:rsidP="00FA4857">
      <w:pPr>
        <w:widowControl w:val="0"/>
        <w:autoSpaceDE w:val="0"/>
        <w:autoSpaceDN w:val="0"/>
        <w:spacing w:after="0" w:line="276" w:lineRule="auto"/>
        <w:jc w:val="both"/>
        <w:rPr>
          <w:rStyle w:val="normaltextrun"/>
          <w:rFonts w:ascii="Verdana" w:hAnsi="Verdana" w:cs="Arial"/>
          <w:shd w:val="clear" w:color="auto" w:fill="FFFFFF"/>
        </w:rPr>
      </w:pPr>
    </w:p>
    <w:p w14:paraId="17868A10" w14:textId="77777777" w:rsidR="00FA4857" w:rsidRPr="00AD7D5F" w:rsidRDefault="00FA4857" w:rsidP="00FA4857">
      <w:pPr>
        <w:widowControl w:val="0"/>
        <w:autoSpaceDE w:val="0"/>
        <w:autoSpaceDN w:val="0"/>
        <w:spacing w:after="0" w:line="276" w:lineRule="auto"/>
        <w:jc w:val="both"/>
        <w:rPr>
          <w:rFonts w:ascii="Verdana" w:eastAsia="Calibri" w:hAnsi="Verdana" w:cs="Arial"/>
          <w:lang w:val="es-ES"/>
        </w:rPr>
      </w:pPr>
      <w:r>
        <w:rPr>
          <w:rStyle w:val="normaltextrun"/>
          <w:rFonts w:ascii="Verdana" w:hAnsi="Verdana" w:cs="Arial"/>
          <w:shd w:val="clear" w:color="auto" w:fill="FFFFFF"/>
        </w:rPr>
        <w:t>Asimismo, esta Agencia expidió la Guía para la liquidación de los Procesos de Contratación (G-LPC-01), que desarrolla el procedimiento de las liquidaciones bilateral, unilateral y judicial, el contenido del acta, el régimen de las salvedades y los efectos de la liquidación. Estos y otros documentos y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1F6B48A1" w14:textId="77777777" w:rsidR="00FA4857" w:rsidRPr="009037F6" w:rsidRDefault="00FA4857" w:rsidP="00FA4857">
      <w:pPr>
        <w:spacing w:after="0" w:line="256" w:lineRule="auto"/>
        <w:jc w:val="both"/>
        <w:rPr>
          <w:rFonts w:ascii="Verdana" w:eastAsia="Calibri" w:hAnsi="Verdana" w:cs="Times New Roman"/>
        </w:rPr>
      </w:pPr>
      <w:hyperlink r:id="rId11" w:history="1">
        <w:r w:rsidRPr="009037F6">
          <w:rPr>
            <w:rFonts w:ascii="Verdana" w:eastAsia="Calibri" w:hAnsi="Verdana" w:cs="Times New Roman"/>
            <w:color w:val="0000FF"/>
            <w:u w:val="single"/>
            <w:lang w:val="es-ES"/>
          </w:rPr>
          <w:t>https://relatoria.colombiacompra.gov.co/busqueda/conceptos</w:t>
        </w:r>
      </w:hyperlink>
    </w:p>
    <w:p w14:paraId="71CE0088" w14:textId="77777777" w:rsidR="00FA4857" w:rsidRPr="009037F6" w:rsidRDefault="00FA4857" w:rsidP="00FA4857">
      <w:pPr>
        <w:spacing w:after="0"/>
        <w:jc w:val="both"/>
        <w:rPr>
          <w:rFonts w:ascii="Verdana" w:hAnsi="Verdana"/>
        </w:rPr>
      </w:pPr>
    </w:p>
    <w:p w14:paraId="06F75C84" w14:textId="77777777" w:rsidR="00FA4857" w:rsidRDefault="00FA4857" w:rsidP="00FA4857">
      <w:pPr>
        <w:spacing w:after="0"/>
        <w:jc w:val="both"/>
      </w:pPr>
      <w:r w:rsidRPr="009A385A">
        <w:rPr>
          <w:rFonts w:ascii="Verdana" w:hAnsi="Verdana"/>
        </w:rPr>
        <w:t xml:space="preserve">La sostenibilidad no es una opción, es una </w:t>
      </w:r>
      <w:r>
        <w:rPr>
          <w:rFonts w:ascii="Verdana" w:hAnsi="Verdana"/>
        </w:rPr>
        <w:t>obligación</w:t>
      </w:r>
      <w:r w:rsidRPr="009A385A">
        <w:rPr>
          <w:rFonts w:ascii="Verdana" w:hAnsi="Verdana"/>
        </w:rPr>
        <w:t xml:space="preserve">. Por ello, la Agencia Nacional de Contratación Pública –Colombia Compra Eficiente– te invita a realizar el </w:t>
      </w:r>
      <w:r w:rsidRPr="009A385A">
        <w:rPr>
          <w:rFonts w:ascii="Verdana" w:hAnsi="Verdana"/>
          <w:b/>
          <w:bCs/>
        </w:rPr>
        <w:t>Curso de Contratación Pública Sostenible y Socialmente Responsable</w:t>
      </w:r>
      <w:r w:rsidRPr="009A385A">
        <w:rPr>
          <w:rFonts w:ascii="Verdana" w:hAnsi="Verdana"/>
        </w:rPr>
        <w:t xml:space="preserve">, una herramienta clave para fortalecer las capacidades de todos los </w:t>
      </w:r>
      <w:r>
        <w:rPr>
          <w:rFonts w:ascii="Verdana" w:hAnsi="Verdana"/>
        </w:rPr>
        <w:t xml:space="preserve">compradores públicos, proveedores, servidores públicos v para </w:t>
      </w:r>
      <w:r w:rsidRPr="009A385A">
        <w:rPr>
          <w:rFonts w:ascii="Verdana" w:hAnsi="Verdana"/>
        </w:rPr>
        <w:t>generar mayor valor público. Accede al curso</w:t>
      </w:r>
      <w:r>
        <w:rPr>
          <w:rFonts w:ascii="Verdana" w:hAnsi="Verdana"/>
        </w:rPr>
        <w:t xml:space="preserve"> y aprende como implementar criterios </w:t>
      </w:r>
      <w:r>
        <w:rPr>
          <w:rFonts w:ascii="Verdana" w:hAnsi="Verdana"/>
        </w:rPr>
        <w:lastRenderedPageBreak/>
        <w:t>sociales y ambientales en las diferentes etapas del proceso de contratación</w:t>
      </w:r>
      <w:r w:rsidRPr="009A385A">
        <w:rPr>
          <w:rFonts w:ascii="Verdana" w:hAnsi="Verdana"/>
        </w:rPr>
        <w:t>:</w:t>
      </w:r>
      <w:r w:rsidRPr="009A385A">
        <w:rPr>
          <w:rFonts w:ascii="Verdana" w:hAnsi="Verdana"/>
        </w:rPr>
        <w:br/>
      </w:r>
      <w:hyperlink r:id="rId12" w:tgtFrame="_new" w:history="1">
        <w:r w:rsidRPr="009A385A">
          <w:rPr>
            <w:rStyle w:val="Hipervnculo"/>
            <w:rFonts w:ascii="Verdana" w:hAnsi="Verdana"/>
          </w:rPr>
          <w:t>https://formacionvirtual.colombiacompra.gov.co/mod/page/view.php?id=3718</w:t>
        </w:r>
      </w:hyperlink>
    </w:p>
    <w:p w14:paraId="5AA4F836" w14:textId="77777777" w:rsidR="00FA4857" w:rsidRPr="009A385A" w:rsidRDefault="00FA4857" w:rsidP="00FA4857">
      <w:pPr>
        <w:spacing w:after="0"/>
        <w:jc w:val="both"/>
        <w:rPr>
          <w:rFonts w:ascii="Verdana" w:hAnsi="Verdana"/>
        </w:rPr>
      </w:pPr>
    </w:p>
    <w:p w14:paraId="05D31BAB" w14:textId="77777777" w:rsidR="00FA4857" w:rsidRDefault="00FA4857" w:rsidP="00FA4857">
      <w:pPr>
        <w:spacing w:after="0"/>
        <w:jc w:val="both"/>
      </w:pPr>
      <w:r>
        <w:rPr>
          <w:rFonts w:ascii="Verdana" w:hAnsi="Verdana"/>
        </w:rPr>
        <w:t>De otro lado, te contamos que</w:t>
      </w:r>
      <w:r w:rsidRPr="00B36954">
        <w:rPr>
          <w:rFonts w:ascii="Verdana" w:hAnsi="Verdana"/>
        </w:rPr>
        <w:t xml:space="preserve"> </w:t>
      </w:r>
      <w:r>
        <w:rPr>
          <w:rFonts w:ascii="Verdana" w:hAnsi="Verdana"/>
        </w:rPr>
        <w:t>esta</w:t>
      </w:r>
      <w:r w:rsidRPr="00B36954">
        <w:rPr>
          <w:rFonts w:ascii="Verdana" w:hAnsi="Verdana"/>
        </w:rPr>
        <w:t xml:space="preserve"> Agencia </w:t>
      </w:r>
      <w:r>
        <w:rPr>
          <w:rFonts w:ascii="Verdana" w:hAnsi="Verdana"/>
        </w:rPr>
        <w:t xml:space="preserve">ha </w:t>
      </w:r>
      <w:r w:rsidRPr="00635F16">
        <w:rPr>
          <w:rFonts w:ascii="Verdana" w:hAnsi="Verdana"/>
        </w:rPr>
        <w:t xml:space="preserve">da un paso decisivo en la estandarización y modernización del </w:t>
      </w:r>
      <w:r w:rsidRPr="009A385A">
        <w:rPr>
          <w:rFonts w:ascii="Verdana" w:hAnsi="Verdana"/>
          <w:b/>
          <w:bCs/>
        </w:rPr>
        <w:t>sector  social</w:t>
      </w:r>
      <w:r w:rsidRPr="00635F16">
        <w:rPr>
          <w:rFonts w:ascii="Verdana" w:hAnsi="Verdana"/>
        </w:rPr>
        <w:t xml:space="preserve"> con la expedición de las </w:t>
      </w:r>
      <w:r w:rsidRPr="009A385A">
        <w:rPr>
          <w:rFonts w:ascii="Verdana" w:hAnsi="Verdana"/>
          <w:b/>
          <w:bCs/>
        </w:rPr>
        <w:t>Resoluciones 539, 540, 541, 952 y 953 de 2025</w:t>
      </w:r>
      <w:r w:rsidRPr="00635F16">
        <w:rPr>
          <w:rFonts w:ascii="Verdana" w:hAnsi="Verdana"/>
        </w:rPr>
        <w:t xml:space="preserve">, </w:t>
      </w:r>
      <w:r w:rsidRPr="009A385A">
        <w:rPr>
          <w:rFonts w:ascii="Verdana" w:hAnsi="Verdana"/>
          <w:b/>
          <w:bCs/>
        </w:rPr>
        <w:t>mediante las cuales adopt</w:t>
      </w:r>
      <w:r>
        <w:rPr>
          <w:rFonts w:ascii="Verdana" w:hAnsi="Verdana"/>
          <w:b/>
          <w:bCs/>
        </w:rPr>
        <w:t>ó</w:t>
      </w:r>
      <w:r w:rsidRPr="009A385A">
        <w:rPr>
          <w:rFonts w:ascii="Verdana" w:hAnsi="Verdana"/>
          <w:b/>
          <w:bCs/>
        </w:rPr>
        <w:t xml:space="preserve"> Documentos Tipo</w:t>
      </w:r>
      <w:r w:rsidRPr="00635F16">
        <w:rPr>
          <w:rFonts w:ascii="Verdana" w:hAnsi="Verdana"/>
        </w:rPr>
        <w:t xml:space="preserve"> para</w:t>
      </w:r>
      <w:r>
        <w:rPr>
          <w:rFonts w:ascii="Verdana" w:hAnsi="Verdana"/>
        </w:rPr>
        <w:t xml:space="preserve"> las modalidades de selección </w:t>
      </w:r>
      <w:r w:rsidRPr="007D7084">
        <w:rPr>
          <w:rFonts w:ascii="Verdana" w:hAnsi="Verdana"/>
        </w:rPr>
        <w:t>de</w:t>
      </w:r>
      <w:r w:rsidRPr="009A385A">
        <w:rPr>
          <w:rFonts w:ascii="Verdana" w:hAnsi="Verdana"/>
          <w:b/>
          <w:bCs/>
        </w:rPr>
        <w:t xml:space="preserve"> licitación pública (versión 2), selección abreviada de menor cuantía, mínima cuantía, consultoría e interventoría</w:t>
      </w:r>
      <w:r w:rsidRPr="00635F16">
        <w:rPr>
          <w:rFonts w:ascii="Verdana" w:hAnsi="Verdana"/>
        </w:rPr>
        <w:t>, promoviendo procesos más transparentes, eficientes  competitivos</w:t>
      </w:r>
      <w:r>
        <w:rPr>
          <w:rFonts w:ascii="Verdana" w:hAnsi="Verdana"/>
        </w:rPr>
        <w:t xml:space="preserve"> y sostenibles</w:t>
      </w:r>
      <w:r w:rsidRPr="00635F16">
        <w:rPr>
          <w:rFonts w:ascii="Verdana" w:hAnsi="Verdana"/>
        </w:rPr>
        <w:t xml:space="preserve"> en sectores estratégicos como educación, salud, cultura, recreación</w:t>
      </w:r>
      <w:r>
        <w:rPr>
          <w:rFonts w:ascii="Verdana" w:hAnsi="Verdana"/>
        </w:rPr>
        <w:t xml:space="preserve">, </w:t>
      </w:r>
      <w:r w:rsidRPr="00635F16">
        <w:rPr>
          <w:rFonts w:ascii="Verdana" w:hAnsi="Verdana"/>
        </w:rPr>
        <w:t xml:space="preserve">deporte, institucional y vivienda. Consulta y descarga los documentos aquí: </w:t>
      </w:r>
      <w:hyperlink r:id="rId13" w:tgtFrame="_new" w:history="1">
        <w:r w:rsidRPr="00635F16">
          <w:rPr>
            <w:rStyle w:val="Hipervnculo"/>
            <w:rFonts w:ascii="Verdana" w:hAnsi="Verdana"/>
          </w:rPr>
          <w:t>https://www.colombiacompra.gov.co/normativa-y-relatoria/documentos-tipo</w:t>
        </w:r>
      </w:hyperlink>
    </w:p>
    <w:p w14:paraId="0ED91FC1" w14:textId="77777777" w:rsidR="00FA4857" w:rsidRDefault="00FA4857" w:rsidP="00FA4857">
      <w:pPr>
        <w:spacing w:after="0"/>
        <w:jc w:val="both"/>
        <w:rPr>
          <w:rFonts w:ascii="Verdana" w:hAnsi="Verdana"/>
        </w:rPr>
      </w:pPr>
    </w:p>
    <w:p w14:paraId="3AA3DE2B" w14:textId="77777777" w:rsidR="00FA4857" w:rsidRPr="008E1CD7" w:rsidRDefault="00FA4857" w:rsidP="00FA4857">
      <w:pPr>
        <w:spacing w:after="0"/>
        <w:jc w:val="both"/>
        <w:rPr>
          <w:rFonts w:ascii="Verdana" w:hAnsi="Verdana"/>
        </w:rPr>
      </w:pPr>
      <w:r>
        <w:rPr>
          <w:rFonts w:ascii="Verdana" w:hAnsi="Verdana"/>
        </w:rPr>
        <w:t>Si quieres conocer más sobre la aplicación de Documentos Tipo</w:t>
      </w:r>
      <w:r w:rsidRPr="009A385A">
        <w:rPr>
          <w:rFonts w:ascii="Verdana" w:hAnsi="Verdana"/>
        </w:rPr>
        <w:t xml:space="preserve"> </w:t>
      </w:r>
      <w:r>
        <w:rPr>
          <w:rFonts w:ascii="Verdana" w:hAnsi="Verdana"/>
        </w:rPr>
        <w:t xml:space="preserve">puedes </w:t>
      </w:r>
      <w:r w:rsidRPr="00797327">
        <w:rPr>
          <w:rFonts w:ascii="Verdana" w:hAnsi="Verdana"/>
        </w:rPr>
        <w:t>consulta</w:t>
      </w:r>
      <w:r>
        <w:rPr>
          <w:rFonts w:ascii="Verdana" w:hAnsi="Verdana"/>
        </w:rPr>
        <w:t>r</w:t>
      </w:r>
      <w:r w:rsidRPr="009A385A">
        <w:rPr>
          <w:rFonts w:ascii="Verdana" w:hAnsi="Verdana"/>
        </w:rPr>
        <w:t xml:space="preserve"> la</w:t>
      </w:r>
      <w:r w:rsidRPr="00797327">
        <w:rPr>
          <w:rFonts w:ascii="Verdana" w:hAnsi="Verdana"/>
        </w:rPr>
        <w:t xml:space="preserve"> última versión de la</w:t>
      </w:r>
      <w:r w:rsidRPr="009A385A">
        <w:rPr>
          <w:rFonts w:ascii="Verdana" w:hAnsi="Verdana"/>
        </w:rPr>
        <w:t xml:space="preserve"> </w:t>
      </w:r>
      <w:r w:rsidRPr="009A385A">
        <w:rPr>
          <w:rFonts w:ascii="Verdana" w:hAnsi="Verdana"/>
          <w:b/>
          <w:bCs/>
        </w:rPr>
        <w:t>Guía para la comprensión e implementación de los Documentos Tipo de obra pública de infraestructura de transporte</w:t>
      </w:r>
      <w:r w:rsidRPr="00797327">
        <w:rPr>
          <w:rFonts w:ascii="Verdana" w:hAnsi="Verdana"/>
        </w:rPr>
        <w:t xml:space="preserve">. En </w:t>
      </w:r>
      <w:r>
        <w:rPr>
          <w:rFonts w:ascii="Verdana" w:hAnsi="Verdana"/>
        </w:rPr>
        <w:t xml:space="preserve">esta </w:t>
      </w:r>
      <w:r w:rsidRPr="00797327">
        <w:rPr>
          <w:rFonts w:ascii="Verdana" w:hAnsi="Verdana"/>
        </w:rPr>
        <w:t>actualización</w:t>
      </w:r>
      <w:r>
        <w:rPr>
          <w:rFonts w:ascii="Verdana" w:hAnsi="Verdana"/>
        </w:rPr>
        <w:t xml:space="preserve"> </w:t>
      </w:r>
      <w:r w:rsidRPr="00797327">
        <w:rPr>
          <w:rFonts w:ascii="Verdana" w:hAnsi="Verdana"/>
        </w:rPr>
        <w:t>se incorporaron orientaciones prácticas dirigidas a entidades públicas, proveedores, organismos de control y demás interesados, con el propósito de facilitar la adecuada implementación de est</w:t>
      </w:r>
      <w:r>
        <w:rPr>
          <w:rFonts w:ascii="Verdana" w:hAnsi="Verdana"/>
        </w:rPr>
        <w:t>os</w:t>
      </w:r>
      <w:r w:rsidRPr="00797327">
        <w:rPr>
          <w:rFonts w:ascii="Verdana" w:hAnsi="Verdana"/>
        </w:rPr>
        <w:t xml:space="preserve"> instrumento</w:t>
      </w:r>
      <w:r>
        <w:rPr>
          <w:rFonts w:ascii="Verdana" w:hAnsi="Verdana"/>
        </w:rPr>
        <w:t>s</w:t>
      </w:r>
      <w:r w:rsidRPr="00797327">
        <w:rPr>
          <w:rFonts w:ascii="Verdana" w:hAnsi="Verdana"/>
        </w:rPr>
        <w:t xml:space="preserve"> en los procesos contractuales.</w:t>
      </w:r>
      <w:r w:rsidRPr="009A385A">
        <w:rPr>
          <w:rFonts w:ascii="Verdana" w:hAnsi="Verdana"/>
        </w:rPr>
        <w:t xml:space="preserve"> </w:t>
      </w:r>
      <w:r w:rsidRPr="00797327">
        <w:rPr>
          <w:rFonts w:ascii="Verdana" w:hAnsi="Verdana"/>
        </w:rPr>
        <w:t>Además se incluye</w:t>
      </w:r>
      <w:r>
        <w:rPr>
          <w:rFonts w:ascii="Verdana" w:hAnsi="Verdana"/>
        </w:rPr>
        <w:t>ron</w:t>
      </w:r>
      <w:r w:rsidRPr="00797327">
        <w:rPr>
          <w:rFonts w:ascii="Verdana" w:hAnsi="Verdana"/>
        </w:rPr>
        <w:t xml:space="preserve"> lineamientos que orientan la implementación de los criterios ambientales y sociales incluidos en los documentos tipo: </w:t>
      </w:r>
      <w:r w:rsidRPr="009A385A">
        <w:rPr>
          <w:rFonts w:ascii="Verdana" w:hAnsi="Verdana"/>
        </w:rPr>
        <w:t>Consulta la guía aquí:</w:t>
      </w:r>
      <w:r w:rsidRPr="009A385A">
        <w:rPr>
          <w:rFonts w:ascii="Verdana" w:hAnsi="Verdana"/>
        </w:rPr>
        <w:br/>
      </w:r>
      <w:hyperlink r:id="rId14" w:tgtFrame="_new" w:history="1">
        <w:r w:rsidRPr="009A385A">
          <w:rPr>
            <w:rStyle w:val="Hipervnculo"/>
            <w:rFonts w:ascii="Verdana" w:hAnsi="Verdana"/>
          </w:rPr>
          <w:t>https://www.colombiacompra.gov.co/archivos/manual/guia-para-la-comprension-e-implementacion-de-los-documentos-tipo-de-obra-publica-de-infraestructura-de-transporte-bajo-las-diferentes-modalidades-de-contratacion-vigentes</w:t>
        </w:r>
      </w:hyperlink>
    </w:p>
    <w:p w14:paraId="3B8EF428" w14:textId="77777777" w:rsidR="00FA4857" w:rsidRDefault="00FA4857" w:rsidP="00FA4857">
      <w:pPr>
        <w:shd w:val="clear" w:color="auto" w:fill="FFFFFF"/>
        <w:spacing w:after="0" w:line="276" w:lineRule="auto"/>
        <w:jc w:val="both"/>
        <w:rPr>
          <w:rFonts w:ascii="Verdana" w:hAnsi="Verdana"/>
          <w:color w:val="000000"/>
          <w:u w:val="single"/>
        </w:rPr>
      </w:pPr>
    </w:p>
    <w:p w14:paraId="763988E1" w14:textId="77777777" w:rsidR="00FA4857" w:rsidRPr="0038088D" w:rsidRDefault="00FA4857" w:rsidP="00FA4857">
      <w:pPr>
        <w:spacing w:after="0"/>
        <w:jc w:val="both"/>
        <w:rPr>
          <w:rFonts w:ascii="Verdana" w:hAnsi="Verdana"/>
        </w:rPr>
      </w:pPr>
      <w:r>
        <w:rPr>
          <w:rFonts w:ascii="Verdana" w:hAnsi="Verdana"/>
        </w:rPr>
        <w:t>A</w:t>
      </w:r>
      <w:r w:rsidRPr="00E02524">
        <w:rPr>
          <w:rFonts w:ascii="Verdana" w:hAnsi="Verdana"/>
        </w:rPr>
        <w:t xml:space="preserve">provechamos la oportunidad de manifestar la entera disposición de la </w:t>
      </w:r>
      <w:r w:rsidRPr="00116940">
        <w:rPr>
          <w:rFonts w:ascii="Verdana" w:hAnsi="Verdana"/>
        </w:rPr>
        <w:t xml:space="preserve">Agencia Nacional de Contratación Pública –Colombia Compra Eficiente– para atender las peticiones o solicitudes, así como para brindar el apoyo que se requiera en el marco de nuestras funciones a través de nuestros diferentes canales de </w:t>
      </w:r>
      <w:r w:rsidRPr="0038088D">
        <w:rPr>
          <w:rFonts w:ascii="Verdana" w:hAnsi="Verdana"/>
        </w:rPr>
        <w:t xml:space="preserve">atención: </w:t>
      </w:r>
    </w:p>
    <w:p w14:paraId="18452497" w14:textId="77777777" w:rsidR="00FA4857" w:rsidRPr="0038088D" w:rsidRDefault="00FA4857" w:rsidP="00FA4857">
      <w:pPr>
        <w:spacing w:after="0"/>
        <w:jc w:val="both"/>
        <w:rPr>
          <w:rFonts w:ascii="Verdana" w:hAnsi="Verdana"/>
        </w:rPr>
      </w:pPr>
    </w:p>
    <w:p w14:paraId="2F996A48" w14:textId="77777777" w:rsidR="00FA4857" w:rsidRPr="0038088D" w:rsidRDefault="00FA4857" w:rsidP="00FA4857">
      <w:pPr>
        <w:pStyle w:val="Prrafodelista"/>
        <w:numPr>
          <w:ilvl w:val="0"/>
          <w:numId w:val="1"/>
        </w:numPr>
        <w:spacing w:after="0" w:line="240" w:lineRule="auto"/>
        <w:jc w:val="both"/>
        <w:rPr>
          <w:rFonts w:ascii="Verdana" w:eastAsia="Verdana" w:hAnsi="Verdana" w:cs="Verdana"/>
          <w:color w:val="156082" w:themeColor="accent1"/>
          <w:u w:val="single"/>
        </w:rPr>
      </w:pPr>
      <w:r w:rsidRPr="0038088D">
        <w:rPr>
          <w:rFonts w:ascii="Verdana" w:eastAsia="Verdana" w:hAnsi="Verdana" w:cs="Verdana"/>
        </w:rPr>
        <w:t xml:space="preserve">Línea nacional gratuita o servicio a la ciudadanía (Mesa de servicio): </w:t>
      </w:r>
      <w:r w:rsidRPr="0038088D">
        <w:rPr>
          <w:rStyle w:val="Hipervnculo"/>
          <w:rFonts w:ascii="Verdana" w:hAnsi="Verdana"/>
        </w:rPr>
        <w:t>01800 0520808</w:t>
      </w:r>
    </w:p>
    <w:p w14:paraId="2B8F1331" w14:textId="77777777" w:rsidR="00FA4857" w:rsidRPr="0038088D" w:rsidRDefault="00FA4857" w:rsidP="00FA4857">
      <w:pPr>
        <w:pStyle w:val="Prrafodelista"/>
        <w:numPr>
          <w:ilvl w:val="0"/>
          <w:numId w:val="1"/>
        </w:numPr>
        <w:spacing w:after="0"/>
        <w:rPr>
          <w:rFonts w:ascii="Verdana" w:eastAsia="Verdana" w:hAnsi="Verdana" w:cs="Verdana"/>
          <w:color w:val="156082" w:themeColor="accent1"/>
          <w:u w:val="single"/>
        </w:rPr>
      </w:pPr>
      <w:r w:rsidRPr="0038088D">
        <w:rPr>
          <w:rFonts w:ascii="Verdana" w:eastAsia="Verdana" w:hAnsi="Verdana" w:cs="Verdana"/>
        </w:rPr>
        <w:t>Línea en Bogotá (Mesa de servicio):</w:t>
      </w:r>
      <w:r w:rsidRPr="0038088D">
        <w:rPr>
          <w:rStyle w:val="Hipervnculo"/>
          <w:rFonts w:ascii="Verdana" w:hAnsi="Verdana"/>
        </w:rPr>
        <w:t>+57 601 7456788</w:t>
      </w:r>
    </w:p>
    <w:p w14:paraId="2ADFF9C5" w14:textId="77777777" w:rsidR="00FA4857" w:rsidRPr="0038088D" w:rsidRDefault="00FA4857" w:rsidP="00FA4857">
      <w:pPr>
        <w:pStyle w:val="Prrafodelista"/>
        <w:numPr>
          <w:ilvl w:val="0"/>
          <w:numId w:val="1"/>
        </w:numPr>
        <w:spacing w:after="0"/>
        <w:rPr>
          <w:rFonts w:ascii="Verdana" w:eastAsia="Verdana" w:hAnsi="Verdana" w:cs="Verdana"/>
          <w:color w:val="0000FF"/>
          <w:u w:val="single"/>
        </w:rPr>
      </w:pPr>
      <w:r w:rsidRPr="0038088D">
        <w:rPr>
          <w:rFonts w:ascii="Verdana" w:eastAsia="Verdana" w:hAnsi="Verdana" w:cs="Verdana"/>
        </w:rPr>
        <w:lastRenderedPageBreak/>
        <w:t xml:space="preserve">Correo de radicación de correspondencia: </w:t>
      </w:r>
      <w:hyperlink r:id="rId15">
        <w:r w:rsidRPr="0038088D">
          <w:rPr>
            <w:rStyle w:val="Hipervnculo"/>
            <w:rFonts w:ascii="Verdana" w:eastAsia="Verdana" w:hAnsi="Verdana" w:cs="Verdana"/>
          </w:rPr>
          <w:t>ventanilladeradicacion@colombiacompra.gov.co</w:t>
        </w:r>
      </w:hyperlink>
    </w:p>
    <w:p w14:paraId="6D7DD288" w14:textId="77777777" w:rsidR="00FA4857" w:rsidRPr="0038088D" w:rsidRDefault="00FA4857" w:rsidP="00FA4857">
      <w:pPr>
        <w:pStyle w:val="Prrafodelista"/>
        <w:numPr>
          <w:ilvl w:val="0"/>
          <w:numId w:val="1"/>
        </w:numPr>
        <w:spacing w:after="0"/>
        <w:rPr>
          <w:rFonts w:ascii="Verdana" w:eastAsia="Verdana" w:hAnsi="Verdana" w:cs="Verdana"/>
          <w:color w:val="0000FF"/>
          <w:u w:val="single"/>
        </w:rPr>
      </w:pPr>
      <w:r w:rsidRPr="0038088D">
        <w:rPr>
          <w:rFonts w:ascii="Verdana" w:eastAsia="Verdana" w:hAnsi="Verdana" w:cs="Verdana"/>
        </w:rPr>
        <w:t>Formulario web para</w:t>
      </w:r>
      <w:r w:rsidRPr="0038088D">
        <w:rPr>
          <w:rFonts w:ascii="Verdana" w:eastAsia="Verdana" w:hAnsi="Verdana" w:cs="Verdana"/>
          <w:lang w:val="es"/>
        </w:rPr>
        <w:t xml:space="preserve"> PQRSD: </w:t>
      </w:r>
      <w:hyperlink r:id="rId16">
        <w:r w:rsidRPr="0038088D">
          <w:rPr>
            <w:rStyle w:val="Hipervnculo"/>
            <w:rFonts w:ascii="Verdana" w:eastAsia="Verdana" w:hAnsi="Verdana" w:cs="Verdana"/>
          </w:rPr>
          <w:t>https://www.colombiacompra.gov.co/pqrsd/informacion-importante-antes-de-formular-una-pqrsd</w:t>
        </w:r>
      </w:hyperlink>
    </w:p>
    <w:p w14:paraId="0F028EB1" w14:textId="77777777" w:rsidR="00FA4857" w:rsidRPr="0038088D" w:rsidRDefault="00FA4857" w:rsidP="00FA4857">
      <w:pPr>
        <w:spacing w:after="0" w:line="240" w:lineRule="auto"/>
        <w:ind w:left="720"/>
        <w:jc w:val="both"/>
        <w:rPr>
          <w:rFonts w:ascii="Verdana" w:hAnsi="Verdana"/>
        </w:rPr>
      </w:pPr>
    </w:p>
    <w:p w14:paraId="7028C356" w14:textId="77777777" w:rsidR="00FA4857" w:rsidRPr="0038088D" w:rsidRDefault="00FA4857" w:rsidP="00FA4857">
      <w:pPr>
        <w:spacing w:after="0" w:line="240" w:lineRule="auto"/>
        <w:rPr>
          <w:rFonts w:ascii="Verdana" w:hAnsi="Verdana"/>
        </w:rPr>
      </w:pPr>
      <w:r w:rsidRPr="0038088D">
        <w:rPr>
          <w:rFonts w:ascii="Verdana" w:hAnsi="Verdana"/>
        </w:rPr>
        <w:t>Evalúa el servicio que ofrece la Agencia por el canal de atención de PQRSD en el siguiente enlace :</w:t>
      </w:r>
      <w:hyperlink r:id="rId17" w:tgtFrame="_blank" w:tooltip="https://forms.office.com/r/pphywvs2sz" w:history="1">
        <w:r w:rsidRPr="0038088D">
          <w:rPr>
            <w:rStyle w:val="Hipervnculo"/>
            <w:rFonts w:ascii="Verdana" w:hAnsi="Verdana"/>
          </w:rPr>
          <w:t>https://forms.office.com/r/pPHyWVs2SZ</w:t>
        </w:r>
      </w:hyperlink>
      <w:r w:rsidRPr="0038088D">
        <w:rPr>
          <w:rFonts w:ascii="Verdana" w:hAnsi="Verdana"/>
        </w:rPr>
        <w:t xml:space="preserve"> .¡Ayúdanos a mejorar porque el compromiso es de todos!</w:t>
      </w:r>
    </w:p>
    <w:p w14:paraId="66DAAC6E" w14:textId="77777777" w:rsidR="00FA4857" w:rsidRPr="0038088D" w:rsidRDefault="00FA4857" w:rsidP="00FA4857">
      <w:pPr>
        <w:spacing w:after="0" w:line="240" w:lineRule="auto"/>
        <w:rPr>
          <w:rFonts w:ascii="Verdana" w:hAnsi="Verdana"/>
        </w:rPr>
      </w:pPr>
    </w:p>
    <w:p w14:paraId="6E15F144" w14:textId="77777777" w:rsidR="00FA4857" w:rsidRPr="0038088D" w:rsidRDefault="00FA4857" w:rsidP="00FA4857">
      <w:pPr>
        <w:spacing w:after="0" w:line="240" w:lineRule="auto"/>
        <w:jc w:val="both"/>
        <w:rPr>
          <w:rFonts w:ascii="Verdana" w:hAnsi="Verdana"/>
        </w:rPr>
      </w:pPr>
      <w:r w:rsidRPr="0038088D">
        <w:rPr>
          <w:rFonts w:ascii="Verdana" w:hAnsi="Verdana"/>
        </w:rPr>
        <w:t xml:space="preserve">Por último, lo invitamos a seguirnos en las redes sociales en las cuales se difunde información institucional: </w:t>
      </w:r>
    </w:p>
    <w:p w14:paraId="5AD5C0D4" w14:textId="77777777" w:rsidR="00FA4857" w:rsidRPr="00116940" w:rsidRDefault="00FA4857" w:rsidP="00FA4857">
      <w:pPr>
        <w:spacing w:after="0" w:line="240" w:lineRule="auto"/>
        <w:jc w:val="both"/>
        <w:rPr>
          <w:rFonts w:ascii="Verdana" w:hAnsi="Verdana"/>
        </w:rPr>
      </w:pPr>
    </w:p>
    <w:p w14:paraId="555359E9" w14:textId="77777777" w:rsidR="00FA4857" w:rsidRPr="00116940" w:rsidRDefault="00FA4857" w:rsidP="00FA4857">
      <w:pPr>
        <w:spacing w:after="0" w:line="240" w:lineRule="auto"/>
        <w:jc w:val="both"/>
        <w:rPr>
          <w:rFonts w:ascii="Verdana" w:hAnsi="Verdana"/>
        </w:rPr>
      </w:pPr>
      <w:r w:rsidRPr="00116940">
        <w:rPr>
          <w:rFonts w:ascii="Verdana" w:hAnsi="Verdana"/>
        </w:rPr>
        <w:t xml:space="preserve">Twitter: </w:t>
      </w:r>
      <w:r w:rsidRPr="00116940">
        <w:rPr>
          <w:rStyle w:val="Hipervnculo"/>
          <w:rFonts w:ascii="Verdana" w:hAnsi="Verdana"/>
        </w:rPr>
        <w:t>@colombiacompra</w:t>
      </w:r>
      <w:r w:rsidRPr="00116940">
        <w:rPr>
          <w:rFonts w:ascii="Verdana" w:hAnsi="Verdana"/>
        </w:rPr>
        <w:t xml:space="preserve"> </w:t>
      </w:r>
    </w:p>
    <w:p w14:paraId="79AD11C3" w14:textId="77777777" w:rsidR="00FA4857" w:rsidRPr="00116940" w:rsidRDefault="00FA4857" w:rsidP="00FA4857">
      <w:pPr>
        <w:spacing w:after="0" w:line="240" w:lineRule="auto"/>
        <w:jc w:val="both"/>
        <w:rPr>
          <w:rFonts w:ascii="Verdana" w:hAnsi="Verdana"/>
        </w:rPr>
      </w:pPr>
      <w:r w:rsidRPr="00116940">
        <w:rPr>
          <w:rFonts w:ascii="Verdana" w:hAnsi="Verdana"/>
        </w:rPr>
        <w:t xml:space="preserve">Facebook: </w:t>
      </w:r>
      <w:proofErr w:type="spellStart"/>
      <w:r w:rsidRPr="00116940">
        <w:rPr>
          <w:rStyle w:val="Hipervnculo"/>
          <w:rFonts w:ascii="Verdana" w:hAnsi="Verdana"/>
        </w:rPr>
        <w:t>ColombiaCompraEficiente</w:t>
      </w:r>
      <w:proofErr w:type="spellEnd"/>
    </w:p>
    <w:p w14:paraId="7F8F6909" w14:textId="77777777" w:rsidR="00FA4857" w:rsidRPr="00E22E6E" w:rsidRDefault="00FA4857" w:rsidP="00FA4857">
      <w:pPr>
        <w:spacing w:after="0" w:line="240" w:lineRule="auto"/>
        <w:jc w:val="both"/>
        <w:rPr>
          <w:rFonts w:ascii="Verdana" w:hAnsi="Verdana"/>
        </w:rPr>
      </w:pPr>
      <w:r w:rsidRPr="00116940">
        <w:rPr>
          <w:rFonts w:ascii="Verdana" w:hAnsi="Verdana"/>
        </w:rPr>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3BBD8092" w14:textId="77777777" w:rsidR="00FA4857" w:rsidRPr="009C4035" w:rsidRDefault="00FA4857" w:rsidP="00FA4857">
      <w:pPr>
        <w:shd w:val="clear" w:color="auto" w:fill="FFFFFF"/>
        <w:spacing w:after="0" w:line="276" w:lineRule="auto"/>
        <w:jc w:val="both"/>
        <w:rPr>
          <w:rFonts w:ascii="Verdana" w:hAnsi="Verdana" w:cs="Arial"/>
          <w:color w:val="FF0000"/>
          <w:shd w:val="clear" w:color="auto" w:fill="FFFFFF"/>
          <w:lang w:val="es-ES_tradnl"/>
        </w:rPr>
      </w:pPr>
      <w:r w:rsidRPr="004A73EC">
        <w:rPr>
          <w:rFonts w:ascii="Verdana" w:hAnsi="Verdana" w:cs="Arial"/>
          <w:color w:val="000000" w:themeColor="text1"/>
          <w:shd w:val="clear" w:color="auto" w:fill="FFFFFF"/>
          <w:lang w:val="es-ES_tradnl"/>
        </w:rPr>
        <w:t xml:space="preserve"> </w:t>
      </w:r>
      <w:r w:rsidRPr="004A73EC">
        <w:rPr>
          <w:rStyle w:val="normaltextrun"/>
          <w:rFonts w:ascii="Verdana" w:hAnsi="Verdana" w:cs="Arial"/>
          <w:color w:val="FF0000"/>
          <w:shd w:val="clear" w:color="auto" w:fill="FFFFFF"/>
          <w:lang w:val="es-ES_tradnl"/>
        </w:rPr>
        <w:t xml:space="preserve">        </w:t>
      </w:r>
    </w:p>
    <w:p w14:paraId="6FFA3614" w14:textId="77777777" w:rsidR="00FA4857" w:rsidRPr="00593A5F" w:rsidRDefault="00FA4857" w:rsidP="00FA4857">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r>
        <w:rPr>
          <w:rFonts w:ascii="Verdana" w:hAnsi="Verdana" w:cs="Arial"/>
          <w:lang w:val="es-ES_tradnl"/>
        </w:rPr>
        <w:t xml:space="preserve"> </w:t>
      </w:r>
    </w:p>
    <w:p w14:paraId="6CF9A3AF" w14:textId="77777777" w:rsidR="00FA4857" w:rsidRDefault="00FA4857" w:rsidP="00FA4857">
      <w:pPr>
        <w:widowControl w:val="0"/>
        <w:autoSpaceDE w:val="0"/>
        <w:autoSpaceDN w:val="0"/>
        <w:spacing w:after="0" w:line="276" w:lineRule="auto"/>
        <w:jc w:val="both"/>
        <w:rPr>
          <w:rFonts w:ascii="Verdana" w:hAnsi="Verdana" w:cs="Arial"/>
        </w:rPr>
      </w:pPr>
    </w:p>
    <w:p w14:paraId="40096B88" w14:textId="77777777" w:rsidR="00FA4857" w:rsidRPr="008D539F" w:rsidRDefault="00FA4857" w:rsidP="00FA4857">
      <w:pPr>
        <w:spacing w:after="0" w:line="276" w:lineRule="auto"/>
        <w:rPr>
          <w:rFonts w:ascii="Verdana" w:eastAsia="Calibri" w:hAnsi="Verdana" w:cs="Arial"/>
          <w:lang w:val="es-ES" w:eastAsia="es-CO"/>
        </w:rPr>
      </w:pPr>
      <w:r w:rsidRPr="008D539F">
        <w:rPr>
          <w:rFonts w:ascii="Verdana" w:eastAsia="Times New Roman" w:hAnsi="Verdana" w:cs="Arial"/>
          <w:lang w:val="es-ES" w:eastAsia="es-CO"/>
        </w:rPr>
        <w:t>Atentamente,</w:t>
      </w:r>
      <w:r w:rsidRPr="008D539F">
        <w:rPr>
          <w:rFonts w:ascii="Verdana" w:eastAsia="Calibri" w:hAnsi="Verdana" w:cs="Arial"/>
          <w:lang w:val="es-ES" w:eastAsia="es-CO"/>
        </w:rPr>
        <w:t xml:space="preserve"> </w:t>
      </w:r>
    </w:p>
    <w:p w14:paraId="446F1D18" w14:textId="77777777" w:rsidR="00FA4857" w:rsidRPr="008D539F" w:rsidRDefault="00FA4857" w:rsidP="00FA4857">
      <w:pPr>
        <w:spacing w:after="0" w:line="276" w:lineRule="auto"/>
        <w:rPr>
          <w:rFonts w:ascii="Verdana" w:eastAsia="Calibri" w:hAnsi="Verdana" w:cs="Times New Roman"/>
          <w:noProof/>
          <w:color w:val="E97132" w:themeColor="accent2"/>
        </w:rPr>
      </w:pPr>
    </w:p>
    <w:p w14:paraId="75BBEFA4" w14:textId="77777777" w:rsidR="00FA4857" w:rsidRPr="008D539F" w:rsidRDefault="00FA4857" w:rsidP="00FA4857">
      <w:pPr>
        <w:spacing w:after="0" w:line="276" w:lineRule="auto"/>
        <w:jc w:val="both"/>
        <w:rPr>
          <w:rFonts w:ascii="Verdana" w:eastAsia="Times New Roman" w:hAnsi="Verdana" w:cs="Segoe UI"/>
          <w:lang w:eastAsia="es-CO"/>
        </w:rPr>
      </w:pPr>
    </w:p>
    <w:p w14:paraId="45E5632F" w14:textId="77777777" w:rsidR="00FA4857" w:rsidRPr="008D539F" w:rsidRDefault="00FA4857" w:rsidP="00FA4857">
      <w:pPr>
        <w:autoSpaceDE w:val="0"/>
        <w:autoSpaceDN w:val="0"/>
        <w:adjustRightInd w:val="0"/>
        <w:spacing w:after="0" w:line="276" w:lineRule="auto"/>
        <w:rPr>
          <w:rFonts w:ascii="Verdana" w:eastAsia="Calibri" w:hAnsi="Verdana" w:cs="Arial"/>
          <w:noProof/>
          <w:sz w:val="20"/>
          <w:szCs w:val="20"/>
        </w:rPr>
      </w:pPr>
    </w:p>
    <w:p w14:paraId="0C1ADE9D" w14:textId="77777777" w:rsidR="00FA4857" w:rsidRPr="008D539F" w:rsidRDefault="00FA4857" w:rsidP="00FA4857">
      <w:pPr>
        <w:autoSpaceDE w:val="0"/>
        <w:autoSpaceDN w:val="0"/>
        <w:adjustRightInd w:val="0"/>
        <w:spacing w:after="0" w:line="276" w:lineRule="auto"/>
        <w:jc w:val="center"/>
        <w:rPr>
          <w:rFonts w:ascii="Verdana" w:eastAsia="Calibri" w:hAnsi="Verdana" w:cs="Arial"/>
          <w:noProof/>
          <w:sz w:val="20"/>
          <w:szCs w:val="20"/>
        </w:rPr>
      </w:pPr>
    </w:p>
    <w:p w14:paraId="7DDAED05" w14:textId="25E8E10D" w:rsidR="00FA4857" w:rsidRPr="008D539F" w:rsidRDefault="00864EA3" w:rsidP="00FA4857">
      <w:pPr>
        <w:spacing w:after="0" w:line="254" w:lineRule="auto"/>
        <w:jc w:val="center"/>
        <w:rPr>
          <w:rFonts w:ascii="Verdana" w:eastAsia="Times New Roman" w:hAnsi="Verdana" w:cs="Arial"/>
          <w:lang w:eastAsia="es-ES"/>
        </w:rPr>
      </w:pPr>
      <w:r w:rsidRPr="002C3AD6">
        <w:rPr>
          <w:rFonts w:ascii="Century Gothic" w:hAnsi="Century Gothic"/>
          <w:noProof/>
        </w:rPr>
        <w:drawing>
          <wp:inline distT="0" distB="0" distL="0" distR="0" wp14:anchorId="720E8570" wp14:editId="32221219">
            <wp:extent cx="2000923" cy="742767"/>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8"/>
                    <a:stretch>
                      <a:fillRect/>
                    </a:stretch>
                  </pic:blipFill>
                  <pic:spPr>
                    <a:xfrm>
                      <a:off x="0" y="0"/>
                      <a:ext cx="2014525" cy="747816"/>
                    </a:xfrm>
                    <a:prstGeom prst="rect">
                      <a:avLst/>
                    </a:prstGeom>
                  </pic:spPr>
                </pic:pic>
              </a:graphicData>
            </a:graphic>
          </wp:inline>
        </w:drawing>
      </w:r>
    </w:p>
    <w:p w14:paraId="52C3DDAA" w14:textId="77777777" w:rsidR="00FA4857" w:rsidRPr="008D539F" w:rsidRDefault="00FA4857" w:rsidP="00FA4857">
      <w:pPr>
        <w:spacing w:after="0" w:line="240" w:lineRule="auto"/>
        <w:jc w:val="center"/>
        <w:rPr>
          <w:rFonts w:ascii="Verdana" w:eastAsia="Times New Roman" w:hAnsi="Verdana" w:cs="Arial"/>
          <w:lang w:eastAsia="es-ES"/>
        </w:rPr>
      </w:pPr>
    </w:p>
    <w:tbl>
      <w:tblPr>
        <w:tblW w:w="6570" w:type="dxa"/>
        <w:tblInd w:w="14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733"/>
        <w:gridCol w:w="5837"/>
      </w:tblGrid>
      <w:tr w:rsidR="00FA4857" w:rsidRPr="008D539F" w14:paraId="37E9F7DC" w14:textId="77777777" w:rsidTr="004E4B4B">
        <w:trPr>
          <w:trHeight w:val="322"/>
        </w:trPr>
        <w:tc>
          <w:tcPr>
            <w:tcW w:w="733" w:type="dxa"/>
            <w:tcBorders>
              <w:top w:val="nil"/>
              <w:left w:val="nil"/>
              <w:bottom w:val="nil"/>
              <w:right w:val="nil"/>
            </w:tcBorders>
            <w:vAlign w:val="center"/>
            <w:hideMark/>
          </w:tcPr>
          <w:p w14:paraId="3F1B9E8C" w14:textId="77777777" w:rsidR="00FA4857" w:rsidRPr="008D539F" w:rsidRDefault="00FA4857" w:rsidP="004E4B4B">
            <w:pPr>
              <w:spacing w:after="0" w:line="240" w:lineRule="auto"/>
              <w:textAlignment w:val="baseline"/>
              <w:rPr>
                <w:rFonts w:ascii="Verdana" w:eastAsia="Times New Roman" w:hAnsi="Verdana" w:cs="Times New Roman"/>
                <w:sz w:val="16"/>
                <w:szCs w:val="16"/>
                <w:lang w:eastAsia="es-CO"/>
              </w:rPr>
            </w:pPr>
            <w:r w:rsidRPr="008D539F">
              <w:rPr>
                <w:rFonts w:ascii="Verdana" w:eastAsia="Times New Roman" w:hAnsi="Verdana" w:cs="Times New Roman"/>
                <w:sz w:val="16"/>
                <w:szCs w:val="16"/>
                <w:lang w:val="es-MX" w:eastAsia="es-CO"/>
              </w:rPr>
              <w:t>Elaboró:         </w:t>
            </w:r>
            <w:r w:rsidRPr="008D539F">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219E27E5" w14:textId="77777777" w:rsidR="00FA4857" w:rsidRDefault="00FA4857" w:rsidP="004E4B4B">
            <w:pPr>
              <w:spacing w:after="0" w:line="254" w:lineRule="auto"/>
              <w:rPr>
                <w:rFonts w:ascii="Verdana" w:eastAsia="Times New Roman" w:hAnsi="Verdana" w:cs="Arial"/>
                <w:sz w:val="16"/>
                <w:szCs w:val="16"/>
                <w:lang w:val="es-ES_tradnl" w:eastAsia="es-ES"/>
              </w:rPr>
            </w:pPr>
            <w:r>
              <w:rPr>
                <w:rFonts w:ascii="Verdana" w:eastAsia="Times New Roman" w:hAnsi="Verdana" w:cs="Arial"/>
                <w:sz w:val="16"/>
                <w:szCs w:val="16"/>
                <w:lang w:val="es-ES_tradnl" w:eastAsia="es-ES"/>
              </w:rPr>
              <w:t>Camilo J Martínez M</w:t>
            </w:r>
          </w:p>
          <w:p w14:paraId="4B6D3729" w14:textId="77777777" w:rsidR="00FA4857" w:rsidRPr="008D539F" w:rsidRDefault="00FA4857" w:rsidP="004E4B4B">
            <w:pPr>
              <w:spacing w:after="0" w:line="254" w:lineRule="auto"/>
              <w:rPr>
                <w:rFonts w:ascii="Verdana" w:eastAsia="Times New Roman" w:hAnsi="Verdana" w:cs="Arial"/>
                <w:sz w:val="16"/>
                <w:szCs w:val="16"/>
                <w:lang w:val="es-ES_tradnl" w:eastAsia="es-ES"/>
              </w:rPr>
            </w:pPr>
            <w:r w:rsidRPr="008D539F">
              <w:rPr>
                <w:rFonts w:ascii="Verdana" w:eastAsia="Times New Roman" w:hAnsi="Verdana" w:cs="Arial"/>
                <w:sz w:val="16"/>
                <w:szCs w:val="16"/>
                <w:lang w:val="es-ES_tradnl" w:eastAsia="es-ES"/>
              </w:rPr>
              <w:t>Contratista de la Subdirección de Gestión Contractual</w:t>
            </w:r>
          </w:p>
        </w:tc>
      </w:tr>
      <w:tr w:rsidR="00FA4857" w:rsidRPr="008D539F" w14:paraId="799ECCF4" w14:textId="77777777" w:rsidTr="004E4B4B">
        <w:trPr>
          <w:trHeight w:val="322"/>
        </w:trPr>
        <w:tc>
          <w:tcPr>
            <w:tcW w:w="733" w:type="dxa"/>
            <w:tcBorders>
              <w:top w:val="nil"/>
              <w:left w:val="nil"/>
              <w:bottom w:val="nil"/>
              <w:right w:val="nil"/>
            </w:tcBorders>
            <w:vAlign w:val="center"/>
            <w:hideMark/>
          </w:tcPr>
          <w:p w14:paraId="25D69634" w14:textId="77777777" w:rsidR="00FA4857" w:rsidRPr="008D539F" w:rsidRDefault="00FA4857" w:rsidP="004E4B4B">
            <w:pPr>
              <w:spacing w:after="0" w:line="240" w:lineRule="auto"/>
              <w:textAlignment w:val="baseline"/>
              <w:rPr>
                <w:rFonts w:ascii="Verdana" w:eastAsia="Times New Roman" w:hAnsi="Verdana" w:cs="Times New Roman"/>
                <w:sz w:val="16"/>
                <w:szCs w:val="16"/>
                <w:lang w:eastAsia="es-CO"/>
              </w:rPr>
            </w:pPr>
            <w:r w:rsidRPr="008D539F">
              <w:rPr>
                <w:rFonts w:ascii="Verdana" w:eastAsia="Times New Roman" w:hAnsi="Verdana" w:cs="Times New Roman"/>
                <w:sz w:val="16"/>
                <w:szCs w:val="16"/>
                <w:lang w:val="es-MX" w:eastAsia="es-CO"/>
              </w:rPr>
              <w:t>Revisó:</w:t>
            </w:r>
            <w:r w:rsidRPr="008D539F">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344D1638" w14:textId="77777777" w:rsidR="00FA4857" w:rsidRDefault="00FA4857" w:rsidP="004E4B4B">
            <w:pPr>
              <w:spacing w:after="0" w:line="240" w:lineRule="auto"/>
              <w:textAlignment w:val="baseline"/>
              <w:rPr>
                <w:rFonts w:ascii="Verdana" w:eastAsia="Times New Roman" w:hAnsi="Verdana" w:cs="Times New Roman"/>
                <w:sz w:val="16"/>
                <w:szCs w:val="16"/>
                <w:lang w:eastAsia="es-CO"/>
              </w:rPr>
            </w:pPr>
            <w:r>
              <w:rPr>
                <w:rFonts w:ascii="Verdana" w:eastAsia="Times New Roman" w:hAnsi="Verdana" w:cs="Times New Roman"/>
                <w:sz w:val="16"/>
                <w:szCs w:val="16"/>
                <w:lang w:eastAsia="es-CO"/>
              </w:rPr>
              <w:t xml:space="preserve">Diana Saavedra </w:t>
            </w:r>
          </w:p>
          <w:p w14:paraId="0C5A2735" w14:textId="77777777" w:rsidR="00FA4857" w:rsidRPr="008D539F" w:rsidRDefault="00FA4857" w:rsidP="004E4B4B">
            <w:pPr>
              <w:spacing w:after="0" w:line="240" w:lineRule="auto"/>
              <w:textAlignment w:val="baseline"/>
              <w:rPr>
                <w:rFonts w:ascii="Verdana" w:eastAsia="Times New Roman" w:hAnsi="Verdana" w:cs="Times New Roman"/>
                <w:sz w:val="16"/>
                <w:szCs w:val="16"/>
                <w:lang w:eastAsia="es-CO"/>
              </w:rPr>
            </w:pPr>
            <w:r>
              <w:rPr>
                <w:rFonts w:ascii="Verdana" w:eastAsia="Times New Roman" w:hAnsi="Verdana" w:cs="Times New Roman"/>
                <w:sz w:val="16"/>
                <w:szCs w:val="16"/>
                <w:lang w:eastAsia="es-CO"/>
              </w:rPr>
              <w:t>Contratista de la Subdirección de Gestión Contractual</w:t>
            </w:r>
          </w:p>
        </w:tc>
      </w:tr>
      <w:tr w:rsidR="00FA4857" w:rsidRPr="008D539F" w14:paraId="26776C9B" w14:textId="77777777" w:rsidTr="004E4B4B">
        <w:trPr>
          <w:trHeight w:val="307"/>
        </w:trPr>
        <w:tc>
          <w:tcPr>
            <w:tcW w:w="733" w:type="dxa"/>
            <w:tcBorders>
              <w:top w:val="nil"/>
              <w:left w:val="nil"/>
              <w:bottom w:val="nil"/>
              <w:right w:val="nil"/>
            </w:tcBorders>
            <w:vAlign w:val="center"/>
            <w:hideMark/>
          </w:tcPr>
          <w:p w14:paraId="5C29AF64" w14:textId="77777777" w:rsidR="00FA4857" w:rsidRPr="008D539F" w:rsidRDefault="00FA4857" w:rsidP="004E4B4B">
            <w:pPr>
              <w:spacing w:after="0" w:line="240" w:lineRule="auto"/>
              <w:textAlignment w:val="baseline"/>
              <w:rPr>
                <w:rFonts w:ascii="Verdana" w:eastAsia="Times New Roman" w:hAnsi="Verdana" w:cs="Times New Roman"/>
                <w:sz w:val="16"/>
                <w:szCs w:val="16"/>
                <w:lang w:eastAsia="es-CO"/>
              </w:rPr>
            </w:pPr>
            <w:r w:rsidRPr="008D539F">
              <w:rPr>
                <w:rFonts w:ascii="Verdana" w:eastAsia="Times New Roman" w:hAnsi="Verdana" w:cs="Times New Roman"/>
                <w:sz w:val="16"/>
                <w:szCs w:val="16"/>
                <w:lang w:val="es-MX" w:eastAsia="es-CO"/>
              </w:rPr>
              <w:t>Aprobó:</w:t>
            </w:r>
            <w:r w:rsidRPr="008D539F">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463A67D2" w14:textId="77777777" w:rsidR="00FA4857" w:rsidRPr="008D539F" w:rsidRDefault="00FA4857" w:rsidP="004E4B4B">
            <w:pPr>
              <w:spacing w:after="0" w:line="254" w:lineRule="auto"/>
              <w:rPr>
                <w:rFonts w:ascii="Verdana" w:eastAsia="Times New Roman" w:hAnsi="Verdana" w:cs="Arial"/>
                <w:sz w:val="16"/>
                <w:szCs w:val="16"/>
                <w:lang w:eastAsia="es-ES"/>
              </w:rPr>
            </w:pPr>
            <w:r w:rsidRPr="008D539F">
              <w:rPr>
                <w:rFonts w:ascii="Verdana" w:eastAsia="Times New Roman" w:hAnsi="Verdana" w:cs="Arial"/>
                <w:sz w:val="16"/>
                <w:szCs w:val="16"/>
                <w:lang w:eastAsia="es-ES"/>
              </w:rPr>
              <w:t>Carolina Quintero Gacharná</w:t>
            </w:r>
          </w:p>
          <w:p w14:paraId="49ADAA9F" w14:textId="77777777" w:rsidR="00FA4857" w:rsidRPr="008D539F" w:rsidRDefault="00FA4857" w:rsidP="004E4B4B">
            <w:pPr>
              <w:spacing w:after="0" w:line="254" w:lineRule="auto"/>
              <w:rPr>
                <w:rFonts w:ascii="Verdana" w:eastAsia="Times New Roman" w:hAnsi="Verdana" w:cs="Arial"/>
                <w:sz w:val="16"/>
                <w:szCs w:val="16"/>
                <w:lang w:eastAsia="es-ES"/>
              </w:rPr>
            </w:pPr>
            <w:r w:rsidRPr="008D539F">
              <w:rPr>
                <w:rFonts w:ascii="Verdana" w:eastAsia="Times New Roman" w:hAnsi="Verdana" w:cs="Arial"/>
                <w:sz w:val="16"/>
                <w:szCs w:val="16"/>
                <w:lang w:eastAsia="es-ES"/>
              </w:rPr>
              <w:t>Subdirectora de Gestión Contractual ANCP – CCE</w:t>
            </w:r>
          </w:p>
        </w:tc>
      </w:tr>
    </w:tbl>
    <w:p w14:paraId="4E8E3DCA" w14:textId="77777777" w:rsidR="00FA4857" w:rsidRPr="008D539F" w:rsidRDefault="00FA4857" w:rsidP="00FA4857">
      <w:pPr>
        <w:autoSpaceDE w:val="0"/>
        <w:autoSpaceDN w:val="0"/>
        <w:adjustRightInd w:val="0"/>
        <w:spacing w:after="0" w:line="276" w:lineRule="auto"/>
        <w:jc w:val="center"/>
        <w:rPr>
          <w:rFonts w:ascii="Verdana" w:eastAsia="Calibri" w:hAnsi="Verdana" w:cs="Arial"/>
        </w:rPr>
      </w:pPr>
    </w:p>
    <w:p w14:paraId="41E55329" w14:textId="481AAF1A" w:rsidR="00FA4857" w:rsidRPr="00593A5F" w:rsidRDefault="00FA4857" w:rsidP="00FA4857">
      <w:pPr>
        <w:widowControl w:val="0"/>
        <w:autoSpaceDE w:val="0"/>
        <w:autoSpaceDN w:val="0"/>
        <w:spacing w:after="0" w:line="276" w:lineRule="auto"/>
        <w:jc w:val="both"/>
        <w:rPr>
          <w:rFonts w:ascii="Verdana" w:hAnsi="Verdana" w:cs="Arial"/>
        </w:rPr>
      </w:pPr>
    </w:p>
    <w:p w14:paraId="04BF8396" w14:textId="77777777" w:rsidR="00307A3F" w:rsidRDefault="00307A3F"/>
    <w:sectPr w:rsidR="00307A3F" w:rsidSect="00FA4857">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5C4712" w14:textId="77777777" w:rsidR="00EB035D" w:rsidRDefault="00EB035D" w:rsidP="00FA4857">
      <w:pPr>
        <w:spacing w:after="0" w:line="240" w:lineRule="auto"/>
      </w:pPr>
      <w:r>
        <w:separator/>
      </w:r>
    </w:p>
  </w:endnote>
  <w:endnote w:type="continuationSeparator" w:id="0">
    <w:p w14:paraId="5EFCECA7" w14:textId="77777777" w:rsidR="00EB035D" w:rsidRDefault="00EB035D" w:rsidP="00FA48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eomanist Light">
    <w:altName w:val="Calibri"/>
    <w:charset w:val="00"/>
    <w:family w:val="modern"/>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05E0D" w14:textId="77777777" w:rsidR="00FA4857" w:rsidRDefault="00FA4857">
    <w:pPr>
      <w:pStyle w:val="Piedepgina"/>
    </w:pPr>
  </w:p>
  <w:p w14:paraId="5D44C3BB" w14:textId="77777777" w:rsidR="00FA4857" w:rsidRPr="00174B77" w:rsidRDefault="00FA4857"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sidRPr="00751DE8">
      <w:rPr>
        <w:rFonts w:ascii="Verdana" w:eastAsiaTheme="minorEastAsia" w:hAnsi="Verdana"/>
        <w:b/>
        <w:bCs/>
        <w:noProof/>
        <w:sz w:val="16"/>
        <w:szCs w:val="16"/>
      </w:rPr>
      <w:t>19</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3215C0D1" w14:textId="77777777" w:rsidR="00FA4857" w:rsidRDefault="00FA4857"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792E147" w14:textId="77777777" w:rsidR="00FA4857" w:rsidRPr="00E41027" w:rsidRDefault="00FA4857" w:rsidP="00D520D8">
    <w:pPr>
      <w:spacing w:after="0"/>
      <w:jc w:val="both"/>
      <w:rPr>
        <w:rFonts w:ascii="Verdana" w:hAnsi="Verdana"/>
        <w:sz w:val="18"/>
        <w:szCs w:val="18"/>
      </w:rPr>
    </w:pPr>
    <w:r w:rsidRPr="00E41027">
      <w:rPr>
        <w:rFonts w:ascii="Verdana" w:hAnsi="Verdana"/>
        <w:sz w:val="18"/>
        <w:szCs w:val="18"/>
      </w:rPr>
      <w:t>Mesa de servicio: (+57) 601 7456788</w:t>
    </w:r>
  </w:p>
  <w:p w14:paraId="28D921FB" w14:textId="77777777" w:rsidR="00FA4857" w:rsidRDefault="00FA4857">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3</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38DD1B" w14:textId="77777777" w:rsidR="00EB035D" w:rsidRDefault="00EB035D" w:rsidP="00FA4857">
      <w:pPr>
        <w:spacing w:after="0" w:line="240" w:lineRule="auto"/>
      </w:pPr>
      <w:r>
        <w:separator/>
      </w:r>
    </w:p>
  </w:footnote>
  <w:footnote w:type="continuationSeparator" w:id="0">
    <w:p w14:paraId="7435068D" w14:textId="77777777" w:rsidR="00EB035D" w:rsidRDefault="00EB035D" w:rsidP="00FA4857">
      <w:pPr>
        <w:spacing w:after="0" w:line="240" w:lineRule="auto"/>
      </w:pPr>
      <w:r>
        <w:continuationSeparator/>
      </w:r>
    </w:p>
  </w:footnote>
  <w:footnote w:id="1">
    <w:p w14:paraId="19B9D61E" w14:textId="77777777" w:rsidR="00FA4857" w:rsidRPr="0020159D" w:rsidRDefault="00FA4857" w:rsidP="00FA4857">
      <w:pPr>
        <w:pStyle w:val="Textonotapie"/>
        <w:jc w:val="both"/>
        <w:rPr>
          <w:lang w:val="es-ES_tradnl"/>
        </w:rPr>
      </w:pPr>
      <w:r>
        <w:rPr>
          <w:rStyle w:val="Refdenotaalpie"/>
        </w:rPr>
        <w:footnoteRef/>
      </w:r>
      <w:r>
        <w:t xml:space="preserve"> </w:t>
      </w:r>
      <w:r w:rsidRPr="0020159D">
        <w:t>Agencia Nacional de Contratación Pública</w:t>
      </w:r>
      <w:r>
        <w:t xml:space="preserve"> - </w:t>
      </w:r>
      <w:r w:rsidRPr="0020159D">
        <w:t>Colombia Compra Eficiente</w:t>
      </w:r>
      <w:r>
        <w:t xml:space="preserve">. </w:t>
      </w:r>
      <w:r w:rsidRPr="0020159D">
        <w:t>Guía para la liquidación de los Procesos de Contratación</w:t>
      </w:r>
      <w:r>
        <w:t xml:space="preserve">. Consultado en: </w:t>
      </w:r>
      <w:hyperlink r:id="rId1" w:history="1">
        <w:r w:rsidRPr="00A20574">
          <w:rPr>
            <w:rStyle w:val="Hipervnculo"/>
          </w:rPr>
          <w:t>https://www.colombiacompra.gov.co/wp-content/uploads/2024/08/2016-Guia-para-la-liquidacion-contratos-estatales-G-LPC-01.pdf</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94FDC" w14:textId="77777777" w:rsidR="00FA4857" w:rsidRDefault="00FA4857" w:rsidP="00844AE9">
    <w:pPr>
      <w:pStyle w:val="Encabezado"/>
      <w:spacing w:line="120" w:lineRule="auto"/>
    </w:pPr>
    <w:r>
      <w:rPr>
        <w:rFonts w:ascii="Geomanist Bold" w:hAnsi="Geomanist Bold"/>
        <w:b/>
        <w:bCs/>
        <w:noProof/>
        <w:color w:val="002060"/>
        <w:sz w:val="24"/>
        <w:szCs w:val="24"/>
        <w:lang w:val="en-US"/>
      </w:rPr>
      <w:drawing>
        <wp:anchor distT="0" distB="0" distL="114300" distR="114300" simplePos="0" relativeHeight="251660288" behindDoc="1" locked="0" layoutInCell="1" allowOverlap="1" wp14:anchorId="6C999073" wp14:editId="5A477F9D">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lang w:val="en-US"/>
      </w:rPr>
      <w:drawing>
        <wp:anchor distT="0" distB="0" distL="114300" distR="114300" simplePos="0" relativeHeight="251659264" behindDoc="0" locked="0" layoutInCell="1" allowOverlap="1" wp14:anchorId="03F7A333" wp14:editId="4E3C83FD">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3BF956C1" w14:textId="77777777" w:rsidR="00FA4857" w:rsidRDefault="00FA4857">
    <w:pPr>
      <w:pStyle w:val="Encabezado"/>
    </w:pPr>
  </w:p>
  <w:p w14:paraId="67820DEA" w14:textId="77777777" w:rsidR="00FA4857" w:rsidRPr="004A305D" w:rsidRDefault="00FA4857" w:rsidP="00B01B1A">
    <w:pPr>
      <w:spacing w:after="0" w:line="120" w:lineRule="auto"/>
      <w:rPr>
        <w:rFonts w:ascii="Century Gothic" w:eastAsia="Geo" w:hAnsi="Century Gothic" w:cs="Geo"/>
        <w:sz w:val="16"/>
        <w:szCs w:val="16"/>
        <w:lang w:eastAsia="es-CO"/>
      </w:rPr>
    </w:pPr>
  </w:p>
  <w:p w14:paraId="035CC81E" w14:textId="77777777" w:rsidR="00FA4857" w:rsidRDefault="00FA4857" w:rsidP="00844AE9">
    <w:pPr>
      <w:spacing w:after="0" w:line="240" w:lineRule="auto"/>
      <w:rPr>
        <w:rFonts w:ascii="Verdana" w:hAnsi="Verdana"/>
        <w:sz w:val="24"/>
        <w:szCs w:val="24"/>
      </w:rPr>
    </w:pPr>
  </w:p>
  <w:p w14:paraId="1975CEEA" w14:textId="77777777" w:rsidR="00FA4857" w:rsidRPr="00C925AC" w:rsidRDefault="00FA4857" w:rsidP="00844AE9">
    <w:pPr>
      <w:spacing w:after="0" w:line="240" w:lineRule="auto"/>
      <w:rPr>
        <w:rFonts w:ascii="Verdana" w:hAnsi="Verdana"/>
        <w:sz w:val="24"/>
        <w:szCs w:val="24"/>
      </w:rPr>
    </w:pPr>
  </w:p>
  <w:p w14:paraId="578F9A55" w14:textId="77777777" w:rsidR="00FA4857" w:rsidRPr="00C925AC" w:rsidRDefault="00FA4857" w:rsidP="000D5DA7">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5425A2"/>
    <w:multiLevelType w:val="hybridMultilevel"/>
    <w:tmpl w:val="B6BAAA9E"/>
    <w:lvl w:ilvl="0" w:tplc="080A000F">
      <w:start w:val="1"/>
      <w:numFmt w:val="decimal"/>
      <w:lvlText w:val="%1."/>
      <w:lvlJc w:val="left"/>
      <w:pPr>
        <w:ind w:left="720" w:hanging="36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num w:numId="1" w16cid:durableId="368184482">
    <w:abstractNumId w:val="2"/>
  </w:num>
  <w:num w:numId="2" w16cid:durableId="986013926">
    <w:abstractNumId w:val="0"/>
  </w:num>
  <w:num w:numId="3" w16cid:durableId="1732335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4857"/>
    <w:rsid w:val="000D25A4"/>
    <w:rsid w:val="00307A3F"/>
    <w:rsid w:val="00864EA3"/>
    <w:rsid w:val="00937813"/>
    <w:rsid w:val="009B1E69"/>
    <w:rsid w:val="00BC7D9B"/>
    <w:rsid w:val="00BE0957"/>
    <w:rsid w:val="00C74027"/>
    <w:rsid w:val="00D82DD1"/>
    <w:rsid w:val="00E90C30"/>
    <w:rsid w:val="00EB035D"/>
    <w:rsid w:val="00FA4857"/>
    <w:rsid w:val="00FA6C6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714BF4"/>
  <w15:chartTrackingRefBased/>
  <w15:docId w15:val="{4DD7827E-ED25-284A-80E4-BA3F16147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4857"/>
    <w:pPr>
      <w:spacing w:line="259" w:lineRule="auto"/>
    </w:pPr>
    <w:rPr>
      <w:kern w:val="0"/>
      <w:sz w:val="22"/>
      <w:szCs w:val="22"/>
      <w14:ligatures w14:val="none"/>
    </w:rPr>
  </w:style>
  <w:style w:type="paragraph" w:styleId="Ttulo1">
    <w:name w:val="heading 1"/>
    <w:basedOn w:val="Normal"/>
    <w:next w:val="Normal"/>
    <w:link w:val="Ttulo1Car"/>
    <w:uiPriority w:val="9"/>
    <w:qFormat/>
    <w:rsid w:val="00FA48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FA48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FA485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FA485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FA485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FA485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A485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A485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A485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A485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FA485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FA485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A485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A485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A485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A485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A485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A4857"/>
    <w:rPr>
      <w:rFonts w:eastAsiaTheme="majorEastAsia" w:cstheme="majorBidi"/>
      <w:color w:val="272727" w:themeColor="text1" w:themeTint="D8"/>
    </w:rPr>
  </w:style>
  <w:style w:type="paragraph" w:styleId="Ttulo">
    <w:name w:val="Title"/>
    <w:basedOn w:val="Normal"/>
    <w:next w:val="Normal"/>
    <w:link w:val="TtuloCar"/>
    <w:uiPriority w:val="10"/>
    <w:qFormat/>
    <w:rsid w:val="00FA48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A485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A485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A485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A4857"/>
    <w:pPr>
      <w:spacing w:before="160"/>
      <w:jc w:val="center"/>
    </w:pPr>
    <w:rPr>
      <w:i/>
      <w:iCs/>
      <w:color w:val="404040" w:themeColor="text1" w:themeTint="BF"/>
    </w:rPr>
  </w:style>
  <w:style w:type="character" w:customStyle="1" w:styleId="CitaCar">
    <w:name w:val="Cita Car"/>
    <w:basedOn w:val="Fuentedeprrafopredeter"/>
    <w:link w:val="Cita"/>
    <w:uiPriority w:val="29"/>
    <w:rsid w:val="00FA4857"/>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FA4857"/>
    <w:pPr>
      <w:ind w:left="720"/>
      <w:contextualSpacing/>
    </w:pPr>
  </w:style>
  <w:style w:type="character" w:styleId="nfasisintenso">
    <w:name w:val="Intense Emphasis"/>
    <w:basedOn w:val="Fuentedeprrafopredeter"/>
    <w:uiPriority w:val="21"/>
    <w:qFormat/>
    <w:rsid w:val="00FA4857"/>
    <w:rPr>
      <w:i/>
      <w:iCs/>
      <w:color w:val="0F4761" w:themeColor="accent1" w:themeShade="BF"/>
    </w:rPr>
  </w:style>
  <w:style w:type="paragraph" w:styleId="Citadestacada">
    <w:name w:val="Intense Quote"/>
    <w:basedOn w:val="Normal"/>
    <w:next w:val="Normal"/>
    <w:link w:val="CitadestacadaCar"/>
    <w:uiPriority w:val="30"/>
    <w:qFormat/>
    <w:rsid w:val="00FA48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FA4857"/>
    <w:rPr>
      <w:i/>
      <w:iCs/>
      <w:color w:val="0F4761" w:themeColor="accent1" w:themeShade="BF"/>
    </w:rPr>
  </w:style>
  <w:style w:type="character" w:styleId="Referenciaintensa">
    <w:name w:val="Intense Reference"/>
    <w:basedOn w:val="Fuentedeprrafopredeter"/>
    <w:uiPriority w:val="32"/>
    <w:qFormat/>
    <w:rsid w:val="00FA4857"/>
    <w:rPr>
      <w:b/>
      <w:bCs/>
      <w:smallCaps/>
      <w:color w:val="0F4761" w:themeColor="accent1" w:themeShade="BF"/>
      <w:spacing w:val="5"/>
    </w:rPr>
  </w:style>
  <w:style w:type="paragraph" w:styleId="Encabezado">
    <w:name w:val="header"/>
    <w:basedOn w:val="Normal"/>
    <w:link w:val="EncabezadoCar"/>
    <w:uiPriority w:val="99"/>
    <w:unhideWhenUsed/>
    <w:rsid w:val="00FA485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A4857"/>
    <w:rPr>
      <w:kern w:val="0"/>
      <w:sz w:val="22"/>
      <w:szCs w:val="22"/>
      <w14:ligatures w14:val="none"/>
    </w:rPr>
  </w:style>
  <w:style w:type="paragraph" w:styleId="Piedepgina">
    <w:name w:val="footer"/>
    <w:basedOn w:val="Normal"/>
    <w:link w:val="PiedepginaCar"/>
    <w:uiPriority w:val="99"/>
    <w:unhideWhenUsed/>
    <w:rsid w:val="00FA485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A4857"/>
    <w:rPr>
      <w:kern w:val="0"/>
      <w:sz w:val="22"/>
      <w:szCs w:val="22"/>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FA4857"/>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FA4857"/>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FA4857"/>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FA4857"/>
    <w:rPr>
      <w:vertAlign w:val="superscript"/>
    </w:rPr>
  </w:style>
  <w:style w:type="character" w:customStyle="1" w:styleId="normaltextrun">
    <w:name w:val="normaltextrun"/>
    <w:basedOn w:val="Fuentedeprrafopredeter"/>
    <w:rsid w:val="00FA4857"/>
  </w:style>
  <w:style w:type="character" w:styleId="Hipervnculo">
    <w:name w:val="Hyperlink"/>
    <w:basedOn w:val="Fuentedeprrafopredeter"/>
    <w:uiPriority w:val="99"/>
    <w:unhideWhenUsed/>
    <w:rsid w:val="00FA4857"/>
    <w:rPr>
      <w:color w:val="0000FF"/>
      <w:u w:val="single"/>
    </w:rPr>
  </w:style>
  <w:style w:type="paragraph" w:customStyle="1" w:styleId="Appelnotedebasde">
    <w:name w:val="Appel note de bas de..."/>
    <w:basedOn w:val="Normal"/>
    <w:link w:val="Refdenotaalpie"/>
    <w:uiPriority w:val="99"/>
    <w:rsid w:val="00FA4857"/>
    <w:pPr>
      <w:spacing w:line="240" w:lineRule="exact"/>
    </w:pPr>
    <w:rPr>
      <w:kern w:val="2"/>
      <w:sz w:val="24"/>
      <w:szCs w:val="24"/>
      <w:vertAlign w:val="superscript"/>
      <w14:ligatures w14:val="standardContextua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FA4857"/>
  </w:style>
  <w:style w:type="table" w:customStyle="1" w:styleId="Tablaconcuadrcula11">
    <w:name w:val="Tabla con cuadrícula11"/>
    <w:basedOn w:val="Tablanormal"/>
    <w:next w:val="Tablaconcuadrcula"/>
    <w:uiPriority w:val="59"/>
    <w:qFormat/>
    <w:rsid w:val="00FA4857"/>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
    <w:name w:val="Tabla con cuadrícula111"/>
    <w:basedOn w:val="Tablanormal"/>
    <w:next w:val="Tablaconcuadrcula"/>
    <w:uiPriority w:val="39"/>
    <w:qFormat/>
    <w:rsid w:val="00FA4857"/>
    <w:pPr>
      <w:spacing w:after="0" w:line="240" w:lineRule="auto"/>
    </w:pPr>
    <w:rPr>
      <w:rFonts w:ascii="Calibri" w:eastAsia="Calibri" w:hAnsi="Calibri" w:cs="Times New Roman"/>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FA48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normativa-y-relatoria/documentos-tipo" TargetMode="External"/><Relationship Id="rId18"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formacionvirtual.colombiacompra.gov.co/mod/page/view.php?id=3718" TargetMode="External"/><Relationship Id="rId17" Type="http://schemas.openxmlformats.org/officeDocument/2006/relationships/hyperlink" Target="https://forms.office.com/r/pPHyWVs2SZ" TargetMode="External"/><Relationship Id="rId2" Type="http://schemas.openxmlformats.org/officeDocument/2006/relationships/customXml" Target="../customXml/item2.xml"/><Relationship Id="rId16" Type="http://schemas.openxmlformats.org/officeDocument/2006/relationships/hyperlink" Target="https://www.colombiacompra.gov.co/pqrsd/informacion-importante-antes-de-formular-una-pqrsd"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latoria.colombiacompra.gov.co/busqueda/conceptos" TargetMode="External"/><Relationship Id="rId5" Type="http://schemas.openxmlformats.org/officeDocument/2006/relationships/styles" Target="styles.xml"/><Relationship Id="rId15" Type="http://schemas.openxmlformats.org/officeDocument/2006/relationships/hyperlink" Target="mailto:ventanilladeradicacion@colombiacompra.gov.co" TargetMode="External"/><Relationship Id="rId10" Type="http://schemas.openxmlformats.org/officeDocument/2006/relationships/image" Target="media/image1.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wp-content/uploads/2024/08/2016-Guia-para-la-liquidacion-contratos-estatales-G-LPC-01.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2B4B879-626C-4DA7-AFCD-E754690296C1}">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68FC8DCD-1284-46A6-A7F9-7F28A68F0D1E}">
  <ds:schemaRefs>
    <ds:schemaRef ds:uri="http://schemas.microsoft.com/sharepoint/v3/contenttype/forms"/>
  </ds:schemaRefs>
</ds:datastoreItem>
</file>

<file path=customXml/itemProps3.xml><?xml version="1.0" encoding="utf-8"?>
<ds:datastoreItem xmlns:ds="http://schemas.openxmlformats.org/officeDocument/2006/customXml" ds:itemID="{8C2900C8-25CB-4361-A6C6-2FAD2A90F5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21</Pages>
  <Words>6935</Words>
  <Characters>38145</Characters>
  <Application>Microsoft Office Word</Application>
  <DocSecurity>0</DocSecurity>
  <Lines>317</Lines>
  <Paragraphs>89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Camilo José Martínez Martínez</dc:creator>
  <cp:keywords/>
  <dc:description/>
  <cp:lastModifiedBy>Sergio Andrés Rivera Cano</cp:lastModifiedBy>
  <cp:revision>3</cp:revision>
  <dcterms:created xsi:type="dcterms:W3CDTF">2026-08-28T21:49:00Z</dcterms:created>
  <dcterms:modified xsi:type="dcterms:W3CDTF">2026-08-31T17:00:00Z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