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3334C" w14:textId="77777777" w:rsidR="00180E1F" w:rsidRPr="009F5364" w:rsidRDefault="00180E1F" w:rsidP="00180E1F">
      <w:pPr>
        <w:spacing w:after="0"/>
        <w:rPr>
          <w:rFonts w:ascii="Verdana" w:eastAsia="Aptos" w:hAnsi="Verdana" w:cs="Times New Roman"/>
        </w:rPr>
      </w:pPr>
      <w:bookmarkStart w:id="0" w:name="_Hlk143780582"/>
      <w:r w:rsidRPr="009F5364">
        <w:rPr>
          <w:rFonts w:ascii="Verdana" w:eastAsia="Aptos" w:hAnsi="Verdana" w:cs="Times New Roman"/>
          <w:b/>
          <w:bCs/>
          <w:color w:val="000000"/>
        </w:rPr>
        <w:t xml:space="preserve">DOCUMENTOS TIPO – Fundamento normativo – Obligatoriedad </w:t>
      </w:r>
    </w:p>
    <w:p w14:paraId="6153AFC4" w14:textId="77777777" w:rsidR="00180E1F" w:rsidRPr="008816F7" w:rsidRDefault="00180E1F" w:rsidP="00180E1F">
      <w:pPr>
        <w:spacing w:after="0" w:line="276" w:lineRule="auto"/>
        <w:jc w:val="both"/>
        <w:rPr>
          <w:rFonts w:ascii="Verdana" w:eastAsia="Calibri" w:hAnsi="Verdana" w:cs="Arial"/>
          <w:b/>
          <w:bCs/>
          <w:lang w:val="es-ES_tradnl"/>
        </w:rPr>
      </w:pPr>
    </w:p>
    <w:p w14:paraId="628AE524" w14:textId="77777777" w:rsidR="00180E1F" w:rsidRPr="008816F7" w:rsidRDefault="00180E1F" w:rsidP="00180E1F">
      <w:pPr>
        <w:spacing w:after="0" w:line="240" w:lineRule="auto"/>
        <w:jc w:val="both"/>
        <w:rPr>
          <w:rFonts w:ascii="Verdana" w:eastAsia="Aptos" w:hAnsi="Verdana" w:cs="Arial"/>
          <w:sz w:val="20"/>
          <w:szCs w:val="20"/>
          <w:lang w:val="es-ES"/>
        </w:rPr>
      </w:pPr>
      <w:r w:rsidRPr="008816F7">
        <w:rPr>
          <w:rFonts w:ascii="Verdana" w:eastAsia="Aptos" w:hAnsi="Verdana" w:cs="Arial"/>
          <w:sz w:val="20"/>
          <w:szCs w:val="20"/>
          <w:lang w:val="es-ES"/>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05858859" w14:textId="77777777" w:rsidR="00180E1F" w:rsidRPr="008816F7" w:rsidRDefault="00180E1F" w:rsidP="00180E1F">
      <w:pPr>
        <w:spacing w:after="0" w:line="276" w:lineRule="auto"/>
        <w:jc w:val="both"/>
        <w:rPr>
          <w:rFonts w:ascii="Verdana" w:eastAsia="Calibri" w:hAnsi="Verdana" w:cs="Arial"/>
          <w:b/>
          <w:bCs/>
          <w:lang w:val="es-ES_tradnl"/>
        </w:rPr>
      </w:pPr>
    </w:p>
    <w:p w14:paraId="6ECC71E1" w14:textId="77777777" w:rsidR="00180E1F" w:rsidRPr="008816F7" w:rsidRDefault="00180E1F" w:rsidP="00180E1F">
      <w:pPr>
        <w:spacing w:after="0" w:line="276" w:lineRule="auto"/>
        <w:jc w:val="both"/>
        <w:rPr>
          <w:rFonts w:ascii="Verdana" w:eastAsia="Aptos" w:hAnsi="Verdana" w:cs="Times New Roman"/>
          <w:lang w:val="es-ES"/>
        </w:rPr>
      </w:pPr>
      <w:r w:rsidRPr="008816F7">
        <w:rPr>
          <w:rFonts w:ascii="Verdana" w:eastAsia="Calibri" w:hAnsi="Verdana" w:cs="Arial"/>
          <w:b/>
          <w:bCs/>
          <w:lang w:val="es-ES_tradnl"/>
        </w:rPr>
        <w:t>DOCUMENTOS TIPO – Infraestructura social – Vigentes</w:t>
      </w:r>
    </w:p>
    <w:p w14:paraId="3439C3BE" w14:textId="77777777" w:rsidR="00180E1F" w:rsidRPr="008816F7" w:rsidRDefault="00180E1F" w:rsidP="00180E1F">
      <w:pPr>
        <w:spacing w:after="0" w:line="276" w:lineRule="auto"/>
        <w:jc w:val="both"/>
        <w:rPr>
          <w:rFonts w:ascii="Verdana" w:eastAsia="Calibri" w:hAnsi="Verdana" w:cs="Arial"/>
          <w:b/>
          <w:bCs/>
          <w:highlight w:val="yellow"/>
          <w:lang w:val="es-ES_tradnl"/>
        </w:rPr>
      </w:pPr>
    </w:p>
    <w:p w14:paraId="2717255E" w14:textId="77777777" w:rsidR="00180E1F" w:rsidRPr="008816F7" w:rsidRDefault="00180E1F" w:rsidP="00180E1F">
      <w:pPr>
        <w:spacing w:after="0" w:line="240" w:lineRule="auto"/>
        <w:jc w:val="both"/>
        <w:rPr>
          <w:rFonts w:ascii="Verdana" w:eastAsia="Aptos" w:hAnsi="Verdana" w:cs="Times New Roman"/>
          <w:sz w:val="20"/>
          <w:szCs w:val="20"/>
        </w:rPr>
      </w:pPr>
      <w:r w:rsidRPr="008816F7">
        <w:rPr>
          <w:rFonts w:ascii="Verdana" w:eastAsia="Aptos" w:hAnsi="Verdana" w:cs="Times New Roman"/>
          <w:sz w:val="20"/>
          <w:szCs w:val="20"/>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p>
    <w:p w14:paraId="3E015CB8" w14:textId="77777777" w:rsidR="00180E1F" w:rsidRPr="008816F7" w:rsidRDefault="00180E1F" w:rsidP="00180E1F">
      <w:pPr>
        <w:spacing w:after="0" w:line="276" w:lineRule="auto"/>
        <w:jc w:val="both"/>
        <w:rPr>
          <w:rFonts w:ascii="Verdana" w:eastAsia="Calibri" w:hAnsi="Verdana" w:cs="Arial"/>
          <w:b/>
          <w:bCs/>
          <w:highlight w:val="yellow"/>
          <w:lang w:val="es-ES_tradnl"/>
        </w:rPr>
      </w:pPr>
    </w:p>
    <w:p w14:paraId="554EC2F4" w14:textId="77777777" w:rsidR="00180E1F" w:rsidRPr="008816F7" w:rsidRDefault="00180E1F" w:rsidP="00180E1F">
      <w:pPr>
        <w:tabs>
          <w:tab w:val="left" w:pos="0"/>
        </w:tabs>
        <w:spacing w:after="0" w:line="240" w:lineRule="auto"/>
        <w:ind w:left="11"/>
        <w:jc w:val="both"/>
        <w:rPr>
          <w:rFonts w:ascii="Verdana" w:eastAsia="Arial" w:hAnsi="Verdana" w:cs="Arial"/>
          <w:b/>
          <w:lang w:val="es-ES"/>
        </w:rPr>
      </w:pPr>
      <w:r w:rsidRPr="008816F7">
        <w:rPr>
          <w:rFonts w:ascii="Verdana" w:eastAsia="Arial" w:hAnsi="Verdana" w:cs="Arial"/>
          <w:b/>
          <w:lang w:val="es-ES"/>
        </w:rPr>
        <w:t>EXPERIENCIA ADICIONAL − Bienes obras y servicios adicionales a la obra pública – Infraestructura de social</w:t>
      </w:r>
    </w:p>
    <w:p w14:paraId="4999E8C0" w14:textId="77777777" w:rsidR="00180E1F" w:rsidRPr="008816F7" w:rsidRDefault="00180E1F" w:rsidP="00180E1F">
      <w:pPr>
        <w:spacing w:after="0" w:line="276" w:lineRule="auto"/>
        <w:jc w:val="both"/>
        <w:rPr>
          <w:rFonts w:ascii="Verdana" w:eastAsia="Aptos" w:hAnsi="Verdana" w:cs="Times New Roman"/>
        </w:rPr>
      </w:pPr>
    </w:p>
    <w:p w14:paraId="3082ECFC" w14:textId="77777777" w:rsidR="00180E1F" w:rsidRPr="00A70255" w:rsidRDefault="00180E1F" w:rsidP="00180E1F">
      <w:pPr>
        <w:spacing w:after="0" w:line="240" w:lineRule="auto"/>
        <w:jc w:val="both"/>
        <w:rPr>
          <w:rFonts w:ascii="Verdana" w:eastAsia="Aptos" w:hAnsi="Verdana" w:cs="Times New Roman"/>
          <w:sz w:val="20"/>
          <w:szCs w:val="20"/>
        </w:rPr>
      </w:pPr>
      <w:r w:rsidRPr="00A70255">
        <w:rPr>
          <w:rFonts w:ascii="Verdana" w:eastAsia="Calibri" w:hAnsi="Verdana" w:cs="Arial"/>
          <w:sz w:val="20"/>
          <w:szCs w:val="20"/>
        </w:rPr>
        <w:t xml:space="preserve">Cuando la entidad requiere bienes, obras o servicios adicionales a la obra pública de infraestructura social, debe aplicar el artículo 4 de la Resolución No. 540 del 21 de agosto de </w:t>
      </w:r>
      <w:r w:rsidRPr="00A70255">
        <w:rPr>
          <w:rFonts w:ascii="Verdana" w:eastAsia="Aptos" w:hAnsi="Verdana" w:cs="Times New Roman"/>
          <w:sz w:val="20"/>
          <w:szCs w:val="20"/>
        </w:rPr>
        <w:t>2025–para el caso de los documentos tipo de selección abreviada de menor cuantía de infraestructura social–.</w:t>
      </w:r>
    </w:p>
    <w:p w14:paraId="29CA5438" w14:textId="77777777" w:rsidR="00180E1F" w:rsidRPr="008816F7" w:rsidRDefault="00180E1F" w:rsidP="00180E1F">
      <w:pPr>
        <w:spacing w:after="0" w:line="240" w:lineRule="auto"/>
        <w:jc w:val="both"/>
        <w:rPr>
          <w:rFonts w:ascii="Verdana" w:eastAsia="Aptos" w:hAnsi="Verdana" w:cs="Times New Roman"/>
          <w:sz w:val="20"/>
          <w:szCs w:val="20"/>
        </w:rPr>
      </w:pPr>
    </w:p>
    <w:p w14:paraId="520DA58F" w14:textId="77777777" w:rsidR="00180E1F" w:rsidRPr="008816F7" w:rsidRDefault="00180E1F" w:rsidP="00180E1F">
      <w:pPr>
        <w:spacing w:after="0" w:line="240" w:lineRule="auto"/>
        <w:jc w:val="both"/>
        <w:rPr>
          <w:rFonts w:ascii="Verdana" w:eastAsia="Aptos" w:hAnsi="Verdana" w:cs="Times New Roman"/>
          <w:sz w:val="20"/>
          <w:szCs w:val="20"/>
        </w:rPr>
      </w:pPr>
      <w:r w:rsidRPr="008816F7">
        <w:rPr>
          <w:rFonts w:ascii="Verdana" w:eastAsia="Aptos" w:hAnsi="Verdana" w:cs="Times New Roman"/>
          <w:sz w:val="20"/>
          <w:szCs w:val="20"/>
        </w:rPr>
        <w:t xml:space="preserve">Para ello, se deben seguir los siguientes parámetros: i) demostrar en los estudios previos que han verificado las condiciones de mercado para la adquisición de los bienes o servicios adicionales al componente de obra pública, de tal forma que la experiencia adicional garantiza la pluralidad de oferentes, </w:t>
      </w:r>
      <w:proofErr w:type="spellStart"/>
      <w:r w:rsidRPr="008816F7">
        <w:rPr>
          <w:rFonts w:ascii="Verdana" w:eastAsia="Aptos" w:hAnsi="Verdana" w:cs="Times New Roman"/>
          <w:sz w:val="20"/>
          <w:szCs w:val="20"/>
        </w:rPr>
        <w:t>ii</w:t>
      </w:r>
      <w:proofErr w:type="spellEnd"/>
      <w:r w:rsidRPr="008816F7">
        <w:rPr>
          <w:rFonts w:ascii="Verdana" w:eastAsia="Aptos" w:hAnsi="Verdana" w:cs="Times New Roman"/>
          <w:sz w:val="20"/>
          <w:szCs w:val="20"/>
        </w:rPr>
        <w:t xml:space="preserve">) conservar los requisitos exigidos en los documentos tipo, </w:t>
      </w:r>
      <w:proofErr w:type="spellStart"/>
      <w:r w:rsidRPr="008816F7">
        <w:rPr>
          <w:rFonts w:ascii="Verdana" w:eastAsia="Aptos" w:hAnsi="Verdana" w:cs="Times New Roman"/>
          <w:sz w:val="20"/>
          <w:szCs w:val="20"/>
        </w:rPr>
        <w:t>iii</w:t>
      </w:r>
      <w:proofErr w:type="spellEnd"/>
      <w:r w:rsidRPr="008816F7">
        <w:rPr>
          <w:rFonts w:ascii="Verdana" w:eastAsia="Aptos" w:hAnsi="Verdana" w:cs="Times New Roman"/>
          <w:sz w:val="20"/>
          <w:szCs w:val="20"/>
        </w:rPr>
        <w:t xml:space="preserve">) abstenerse de pedir experiencia exclusiva con entidades de cualquier naturaleza, experiencia previa en un territorio específico, limitada en el tiempo o que incluya volúmenes o cantidades de obra específica, </w:t>
      </w:r>
      <w:proofErr w:type="spellStart"/>
      <w:r w:rsidRPr="008816F7">
        <w:rPr>
          <w:rFonts w:ascii="Verdana" w:eastAsia="Aptos" w:hAnsi="Verdana" w:cs="Times New Roman"/>
          <w:sz w:val="20"/>
          <w:szCs w:val="20"/>
        </w:rPr>
        <w:t>iv</w:t>
      </w:r>
      <w:proofErr w:type="spellEnd"/>
      <w:r w:rsidRPr="008816F7">
        <w:rPr>
          <w:rFonts w:ascii="Verdana" w:eastAsia="Aptos" w:hAnsi="Verdana" w:cs="Times New Roman"/>
          <w:sz w:val="20"/>
          <w:szCs w:val="20"/>
        </w:rPr>
        <w:t>) clasificar la experiencia requerida solo hasta el tercer nivel del clasificador de bienes y servicios e incluir exclusivamente los códigos que estén relacionados directamente con el objeto a contratar.</w:t>
      </w:r>
    </w:p>
    <w:p w14:paraId="70954825" w14:textId="77777777" w:rsidR="00180E1F" w:rsidRDefault="00180E1F" w:rsidP="00180E1F">
      <w:pPr>
        <w:spacing w:after="0" w:line="276" w:lineRule="auto"/>
        <w:jc w:val="both"/>
        <w:rPr>
          <w:rFonts w:ascii="Verdana" w:eastAsia="Calibri" w:hAnsi="Verdana" w:cs="Arial"/>
          <w:b/>
          <w:bCs/>
          <w:highlight w:val="yellow"/>
          <w:lang w:val="es-ES_tradnl"/>
        </w:rPr>
      </w:pPr>
    </w:p>
    <w:p w14:paraId="29FDB48B" w14:textId="77777777" w:rsidR="00180E1F" w:rsidRDefault="00180E1F" w:rsidP="00180E1F">
      <w:pPr>
        <w:spacing w:after="0" w:line="276" w:lineRule="auto"/>
        <w:jc w:val="both"/>
        <w:rPr>
          <w:rFonts w:ascii="Verdana" w:eastAsia="Calibri" w:hAnsi="Verdana" w:cs="Arial"/>
          <w:b/>
          <w:bCs/>
          <w:highlight w:val="yellow"/>
          <w:lang w:val="es-ES_tradnl"/>
        </w:rPr>
      </w:pPr>
    </w:p>
    <w:p w14:paraId="05041124" w14:textId="77777777" w:rsidR="00180E1F" w:rsidRDefault="00180E1F" w:rsidP="00180E1F">
      <w:pPr>
        <w:spacing w:after="0" w:line="276" w:lineRule="auto"/>
        <w:jc w:val="both"/>
        <w:rPr>
          <w:rFonts w:ascii="Verdana" w:eastAsia="Calibri" w:hAnsi="Verdana" w:cs="Arial"/>
          <w:b/>
          <w:bCs/>
          <w:highlight w:val="yellow"/>
          <w:lang w:val="es-ES_tradnl"/>
        </w:rPr>
      </w:pPr>
    </w:p>
    <w:p w14:paraId="081240FD" w14:textId="77777777" w:rsidR="00180E1F" w:rsidRPr="008816F7" w:rsidRDefault="00180E1F" w:rsidP="00180E1F">
      <w:pPr>
        <w:spacing w:after="0" w:line="276" w:lineRule="auto"/>
        <w:jc w:val="both"/>
        <w:rPr>
          <w:rFonts w:ascii="Verdana" w:eastAsia="Calibri" w:hAnsi="Verdana" w:cs="Arial"/>
          <w:b/>
          <w:bCs/>
          <w:highlight w:val="yellow"/>
          <w:lang w:val="es-ES_tradnl"/>
        </w:rPr>
      </w:pPr>
    </w:p>
    <w:p w14:paraId="3F53D226" w14:textId="77777777" w:rsidR="00180E1F" w:rsidRPr="008816F7" w:rsidRDefault="00180E1F" w:rsidP="00180E1F">
      <w:pPr>
        <w:autoSpaceDE w:val="0"/>
        <w:autoSpaceDN w:val="0"/>
        <w:adjustRightInd w:val="0"/>
        <w:spacing w:after="0"/>
        <w:jc w:val="both"/>
        <w:rPr>
          <w:rFonts w:ascii="Verdana" w:eastAsia="Times New Roman" w:hAnsi="Verdana" w:cs="Arial"/>
          <w:sz w:val="20"/>
          <w:szCs w:val="20"/>
          <w:shd w:val="clear" w:color="auto" w:fill="FFFFFF"/>
          <w:lang w:val="es-ES_tradnl" w:eastAsia="es-ES_tradnl"/>
        </w:rPr>
      </w:pPr>
    </w:p>
    <w:p w14:paraId="0DB1C40A" w14:textId="77777777" w:rsidR="00180E1F" w:rsidRDefault="00180E1F" w:rsidP="00180E1F">
      <w:pPr>
        <w:autoSpaceDE w:val="0"/>
        <w:autoSpaceDN w:val="0"/>
        <w:adjustRightInd w:val="0"/>
        <w:spacing w:after="0"/>
        <w:jc w:val="both"/>
        <w:rPr>
          <w:rFonts w:ascii="Verdana" w:eastAsia="Times New Roman" w:hAnsi="Verdana" w:cs="Arial"/>
          <w:sz w:val="20"/>
          <w:szCs w:val="20"/>
          <w:shd w:val="clear" w:color="auto" w:fill="FFFFFF"/>
          <w:lang w:val="es-ES_tradnl" w:eastAsia="es-ES_tradnl"/>
        </w:rPr>
      </w:pPr>
    </w:p>
    <w:p w14:paraId="156204BD" w14:textId="77777777" w:rsidR="00145F5C" w:rsidRPr="008816F7" w:rsidRDefault="00145F5C" w:rsidP="00180E1F">
      <w:pPr>
        <w:autoSpaceDE w:val="0"/>
        <w:autoSpaceDN w:val="0"/>
        <w:adjustRightInd w:val="0"/>
        <w:spacing w:after="0"/>
        <w:jc w:val="both"/>
        <w:rPr>
          <w:rFonts w:ascii="Verdana" w:eastAsia="Times New Roman" w:hAnsi="Verdana" w:cs="Arial"/>
          <w:sz w:val="20"/>
          <w:szCs w:val="20"/>
          <w:shd w:val="clear" w:color="auto" w:fill="FFFFFF"/>
          <w:lang w:val="es-ES_tradnl" w:eastAsia="es-ES_tradnl"/>
        </w:rPr>
      </w:pPr>
    </w:p>
    <w:p w14:paraId="77BA6B00" w14:textId="77777777" w:rsidR="00180E1F" w:rsidRPr="008816F7" w:rsidRDefault="00180E1F" w:rsidP="00180E1F">
      <w:pPr>
        <w:autoSpaceDE w:val="0"/>
        <w:autoSpaceDN w:val="0"/>
        <w:adjustRightInd w:val="0"/>
        <w:spacing w:after="0"/>
        <w:jc w:val="both"/>
        <w:rPr>
          <w:rFonts w:ascii="Verdana" w:eastAsia="Times New Roman" w:hAnsi="Verdana" w:cs="Arial"/>
          <w:sz w:val="20"/>
          <w:szCs w:val="20"/>
          <w:shd w:val="clear" w:color="auto" w:fill="FFFFFF"/>
          <w:lang w:val="es-ES_tradnl" w:eastAsia="es-ES_tradnl"/>
        </w:rPr>
      </w:pPr>
    </w:p>
    <w:p w14:paraId="2D48E973" w14:textId="77777777" w:rsidR="00CF6F85" w:rsidRDefault="00CF6F85" w:rsidP="00180E1F">
      <w:pPr>
        <w:spacing w:after="0" w:line="240" w:lineRule="auto"/>
        <w:rPr>
          <w:rFonts w:ascii="Verdana" w:eastAsia="Verdana" w:hAnsi="Verdana" w:cs="Verdana"/>
        </w:rPr>
      </w:pPr>
    </w:p>
    <w:p w14:paraId="7FAF236D" w14:textId="67FB4312" w:rsidR="00457EA5" w:rsidRDefault="00180E1F" w:rsidP="00180E1F">
      <w:pPr>
        <w:spacing w:after="0" w:line="240" w:lineRule="auto"/>
        <w:rPr>
          <w:rFonts w:ascii="Verdana" w:eastAsia="Verdana" w:hAnsi="Verdana" w:cs="Verdana"/>
        </w:rPr>
      </w:pPr>
      <w:r w:rsidRPr="30821638">
        <w:rPr>
          <w:rFonts w:ascii="Verdana" w:eastAsia="Verdana" w:hAnsi="Verdana" w:cs="Verdana"/>
        </w:rPr>
        <w:t>Bogotá D.C.,</w:t>
      </w:r>
      <w:r w:rsidR="00457EA5">
        <w:rPr>
          <w:rFonts w:ascii="Verdana" w:eastAsia="Verdana" w:hAnsi="Verdana" w:cs="Verdana"/>
        </w:rPr>
        <w:t xml:space="preserve"> 25 de agosto 2026</w:t>
      </w:r>
    </w:p>
    <w:p w14:paraId="7666CD46" w14:textId="167AF883" w:rsidR="00457EA5" w:rsidRDefault="00457EA5" w:rsidP="00180E1F">
      <w:pPr>
        <w:spacing w:after="0" w:line="240" w:lineRule="auto"/>
        <w:rPr>
          <w:rFonts w:ascii="Verdana" w:eastAsia="Verdana" w:hAnsi="Verdana" w:cs="Verdana"/>
        </w:rPr>
      </w:pPr>
    </w:p>
    <w:p w14:paraId="27FE75D5" w14:textId="3A36552B" w:rsidR="00CF6F85" w:rsidRDefault="009122F3" w:rsidP="00180E1F">
      <w:pPr>
        <w:spacing w:after="0" w:line="276" w:lineRule="auto"/>
        <w:rPr>
          <w:rFonts w:ascii="Verdana" w:eastAsia="Calibri" w:hAnsi="Verdana" w:cs="Times New Roman"/>
          <w:lang w:val="es-MX"/>
        </w:rPr>
      </w:pPr>
      <w:r w:rsidRPr="00457EA5">
        <w:rPr>
          <w:noProof/>
        </w:rPr>
        <w:drawing>
          <wp:anchor distT="0" distB="0" distL="114300" distR="114300" simplePos="0" relativeHeight="251658240" behindDoc="0" locked="0" layoutInCell="1" allowOverlap="1" wp14:anchorId="7B366812" wp14:editId="26E7D7D4">
            <wp:simplePos x="0" y="0"/>
            <wp:positionH relativeFrom="column">
              <wp:posOffset>3268980</wp:posOffset>
            </wp:positionH>
            <wp:positionV relativeFrom="paragraph">
              <wp:posOffset>8890</wp:posOffset>
            </wp:positionV>
            <wp:extent cx="2350135" cy="842645"/>
            <wp:effectExtent l="0" t="0" r="0" b="0"/>
            <wp:wrapSquare wrapText="bothSides"/>
            <wp:docPr id="21166650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66505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50135" cy="842645"/>
                    </a:xfrm>
                    <a:prstGeom prst="rect">
                      <a:avLst/>
                    </a:prstGeom>
                  </pic:spPr>
                </pic:pic>
              </a:graphicData>
            </a:graphic>
            <wp14:sizeRelH relativeFrom="page">
              <wp14:pctWidth>0</wp14:pctWidth>
            </wp14:sizeRelH>
            <wp14:sizeRelV relativeFrom="page">
              <wp14:pctHeight>0</wp14:pctHeight>
            </wp14:sizeRelV>
          </wp:anchor>
        </w:drawing>
      </w:r>
    </w:p>
    <w:p w14:paraId="44F369B1" w14:textId="7BF2ADB2" w:rsidR="00180E1F" w:rsidRPr="008816F7" w:rsidRDefault="00180E1F" w:rsidP="00180E1F">
      <w:pPr>
        <w:spacing w:after="0" w:line="276" w:lineRule="auto"/>
        <w:rPr>
          <w:rFonts w:ascii="Verdana" w:eastAsia="Calibri" w:hAnsi="Verdana" w:cs="Times New Roman"/>
          <w:lang w:val="es-MX"/>
        </w:rPr>
      </w:pPr>
      <w:r w:rsidRPr="008816F7">
        <w:rPr>
          <w:rFonts w:ascii="Verdana" w:eastAsia="Calibri" w:hAnsi="Verdana" w:cs="Times New Roman"/>
          <w:lang w:val="es-MX"/>
        </w:rPr>
        <w:t>Señora</w:t>
      </w:r>
    </w:p>
    <w:p w14:paraId="492A7FBF" w14:textId="77777777" w:rsidR="00180E1F" w:rsidRPr="008816F7" w:rsidRDefault="00180E1F" w:rsidP="00180E1F">
      <w:pPr>
        <w:spacing w:after="0" w:line="276" w:lineRule="auto"/>
        <w:rPr>
          <w:rFonts w:ascii="Verdana" w:eastAsia="Calibri" w:hAnsi="Verdana" w:cs="Times New Roman"/>
          <w:b/>
          <w:bCs/>
        </w:rPr>
      </w:pPr>
      <w:r w:rsidRPr="008816F7">
        <w:rPr>
          <w:rFonts w:ascii="Verdana" w:hAnsi="Verdana"/>
          <w:b/>
          <w:bCs/>
        </w:rPr>
        <w:t>Cleopatra S</w:t>
      </w:r>
      <w:r>
        <w:rPr>
          <w:rFonts w:ascii="Verdana" w:hAnsi="Verdana"/>
          <w:b/>
          <w:bCs/>
        </w:rPr>
        <w:t>á</w:t>
      </w:r>
      <w:r w:rsidRPr="008816F7">
        <w:rPr>
          <w:rFonts w:ascii="Verdana" w:hAnsi="Verdana"/>
          <w:b/>
          <w:bCs/>
        </w:rPr>
        <w:t>nchez Charria</w:t>
      </w:r>
    </w:p>
    <w:p w14:paraId="7E73910F" w14:textId="77777777" w:rsidR="00180E1F" w:rsidRPr="008816F7" w:rsidRDefault="00180E1F" w:rsidP="00180E1F">
      <w:pPr>
        <w:spacing w:after="0" w:line="276" w:lineRule="auto"/>
        <w:rPr>
          <w:rFonts w:ascii="Verdana" w:eastAsia="Calibri" w:hAnsi="Verdana" w:cs="Times New Roman"/>
        </w:rPr>
      </w:pPr>
      <w:r w:rsidRPr="008816F7">
        <w:rPr>
          <w:rFonts w:ascii="Verdana" w:eastAsia="Calibri" w:hAnsi="Verdana" w:cs="Times New Roman"/>
        </w:rPr>
        <w:t>Palmira, Valle del Cauca</w:t>
      </w:r>
    </w:p>
    <w:p w14:paraId="3290E203" w14:textId="77777777" w:rsidR="00180E1F" w:rsidRPr="008816F7" w:rsidRDefault="00180E1F" w:rsidP="00180E1F">
      <w:pPr>
        <w:spacing w:after="0" w:line="240" w:lineRule="auto"/>
        <w:rPr>
          <w:rFonts w:ascii="Verdana" w:eastAsia="Calibri" w:hAnsi="Verdana" w:cs="Times New Roman"/>
        </w:rPr>
      </w:pPr>
    </w:p>
    <w:p w14:paraId="7B3B66C7" w14:textId="0ADE42F8" w:rsidR="00180E1F" w:rsidRDefault="00180E1F" w:rsidP="00180E1F">
      <w:pPr>
        <w:spacing w:after="0" w:line="240" w:lineRule="auto"/>
        <w:rPr>
          <w:rFonts w:ascii="Verdana" w:eastAsia="Calibri" w:hAnsi="Verdana" w:cs="Times New Roman"/>
          <w:b/>
          <w:bCs/>
          <w:lang w:val="es-ES"/>
        </w:rPr>
      </w:pPr>
      <w:r w:rsidRPr="008816F7">
        <w:rPr>
          <w:rFonts w:ascii="Verdana" w:eastAsia="Calibri" w:hAnsi="Verdana" w:cs="Times New Roman"/>
          <w:b/>
          <w:bCs/>
          <w:lang w:val="es-ES"/>
        </w:rPr>
        <w:t xml:space="preserve">                                    Concepto C</w:t>
      </w:r>
      <w:r w:rsidR="009122F3">
        <w:rPr>
          <w:rFonts w:ascii="Verdana" w:eastAsia="Calibri" w:hAnsi="Verdana" w:cs="Times New Roman"/>
          <w:b/>
          <w:bCs/>
          <w:lang w:val="es-ES"/>
        </w:rPr>
        <w:t>-</w:t>
      </w:r>
      <w:r>
        <w:rPr>
          <w:rFonts w:ascii="Verdana" w:eastAsia="Calibri" w:hAnsi="Verdana" w:cs="Times New Roman"/>
          <w:b/>
          <w:bCs/>
          <w:lang w:val="es-ES"/>
        </w:rPr>
        <w:t>1122</w:t>
      </w:r>
      <w:r w:rsidRPr="008816F7">
        <w:rPr>
          <w:rFonts w:ascii="Verdana" w:eastAsia="Calibri" w:hAnsi="Verdana" w:cs="Times New Roman"/>
          <w:b/>
          <w:bCs/>
          <w:lang w:val="es-ES"/>
        </w:rPr>
        <w:t xml:space="preserve"> de 2026</w:t>
      </w:r>
    </w:p>
    <w:p w14:paraId="512DA58C" w14:textId="77777777" w:rsidR="00CF6F85" w:rsidRPr="008816F7" w:rsidRDefault="00CF6F85" w:rsidP="00180E1F">
      <w:pPr>
        <w:spacing w:after="0" w:line="240" w:lineRule="auto"/>
        <w:rPr>
          <w:rFonts w:ascii="Verdana" w:eastAsia="Calibri" w:hAnsi="Verdana" w:cs="Times New Roman"/>
          <w:b/>
          <w:bCs/>
          <w:lang w:val="es-ES"/>
        </w:rPr>
      </w:pPr>
    </w:p>
    <w:p w14:paraId="30E2CA65" w14:textId="77777777" w:rsidR="00180E1F" w:rsidRPr="008816F7" w:rsidRDefault="00180E1F" w:rsidP="00180E1F">
      <w:pPr>
        <w:spacing w:after="0" w:line="256"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180E1F" w:rsidRPr="008816F7" w14:paraId="65E88187" w14:textId="77777777" w:rsidTr="00670B64">
        <w:trPr>
          <w:trHeight w:val="884"/>
        </w:trPr>
        <w:tc>
          <w:tcPr>
            <w:tcW w:w="2685" w:type="dxa"/>
            <w:hideMark/>
          </w:tcPr>
          <w:p w14:paraId="077B3FF7" w14:textId="77777777" w:rsidR="00180E1F" w:rsidRPr="008816F7" w:rsidRDefault="00180E1F" w:rsidP="00670B64">
            <w:pPr>
              <w:rPr>
                <w:rFonts w:ascii="Verdana" w:hAnsi="Verdana"/>
                <w:b/>
                <w:bCs/>
                <w:lang w:val="es-ES_tradnl"/>
              </w:rPr>
            </w:pPr>
            <w:r w:rsidRPr="008816F7">
              <w:rPr>
                <w:rFonts w:ascii="Verdana" w:hAnsi="Verdana"/>
                <w:b/>
                <w:bCs/>
                <w:lang w:val="es-ES_tradnl"/>
              </w:rPr>
              <w:t xml:space="preserve">Temas:                   </w:t>
            </w:r>
          </w:p>
        </w:tc>
        <w:tc>
          <w:tcPr>
            <w:tcW w:w="6241" w:type="dxa"/>
            <w:hideMark/>
          </w:tcPr>
          <w:p w14:paraId="1E518DD8" w14:textId="77777777" w:rsidR="00180E1F" w:rsidRPr="009122F3" w:rsidRDefault="00180E1F" w:rsidP="00670B64">
            <w:pPr>
              <w:jc w:val="both"/>
              <w:rPr>
                <w:rFonts w:ascii="Verdana" w:hAnsi="Verdana" w:cs="Arial"/>
                <w:lang w:val="es-ES_tradnl"/>
              </w:rPr>
            </w:pPr>
            <w:r w:rsidRPr="009122F3">
              <w:rPr>
                <w:rFonts w:ascii="Verdana" w:eastAsia="Aptos" w:hAnsi="Verdana"/>
                <w:color w:val="000000"/>
              </w:rPr>
              <w:t xml:space="preserve">DOCUMENTOS TIPO – Fundamento normativo – Obligatoriedad / </w:t>
            </w:r>
            <w:r w:rsidRPr="009122F3">
              <w:rPr>
                <w:rFonts w:ascii="Verdana" w:hAnsi="Verdana" w:cs="Arial"/>
                <w:lang w:val="es-ES_tradnl"/>
              </w:rPr>
              <w:t>DOCUMENTOS TIPO – Infraestructura social – Vigentes</w:t>
            </w:r>
            <w:r w:rsidRPr="009122F3">
              <w:rPr>
                <w:rFonts w:ascii="Verdana" w:eastAsia="Aptos" w:hAnsi="Verdana"/>
                <w:lang w:val="es-ES"/>
              </w:rPr>
              <w:t xml:space="preserve"> / </w:t>
            </w:r>
            <w:r w:rsidRPr="009122F3">
              <w:rPr>
                <w:rFonts w:ascii="Verdana" w:eastAsia="Arial" w:hAnsi="Verdana" w:cs="Arial"/>
                <w:lang w:val="es-ES"/>
              </w:rPr>
              <w:t xml:space="preserve">EXPERIENCIA ADICIONAL − Bienes obras y servicios adicionales a la obra pública </w:t>
            </w:r>
          </w:p>
        </w:tc>
        <w:tc>
          <w:tcPr>
            <w:tcW w:w="6237" w:type="dxa"/>
          </w:tcPr>
          <w:p w14:paraId="39BB6A44" w14:textId="77777777" w:rsidR="00180E1F" w:rsidRPr="008816F7" w:rsidRDefault="00180E1F" w:rsidP="00670B64">
            <w:pPr>
              <w:spacing w:line="256" w:lineRule="auto"/>
              <w:rPr>
                <w:rFonts w:ascii="Verdana" w:hAnsi="Verdana"/>
              </w:rPr>
            </w:pPr>
          </w:p>
        </w:tc>
      </w:tr>
      <w:tr w:rsidR="00180E1F" w:rsidRPr="008816F7" w14:paraId="67E52DFB" w14:textId="77777777" w:rsidTr="00670B64">
        <w:tc>
          <w:tcPr>
            <w:tcW w:w="2685" w:type="dxa"/>
          </w:tcPr>
          <w:p w14:paraId="23BDF52E" w14:textId="77777777" w:rsidR="00180E1F" w:rsidRPr="008816F7" w:rsidRDefault="00180E1F" w:rsidP="00670B64">
            <w:pPr>
              <w:spacing w:line="256" w:lineRule="auto"/>
              <w:rPr>
                <w:rFonts w:ascii="Verdana" w:hAnsi="Verdana"/>
              </w:rPr>
            </w:pPr>
          </w:p>
          <w:p w14:paraId="4973B715" w14:textId="77777777" w:rsidR="00180E1F" w:rsidRPr="008816F7" w:rsidRDefault="00180E1F" w:rsidP="00670B64">
            <w:pPr>
              <w:spacing w:line="256" w:lineRule="auto"/>
              <w:rPr>
                <w:rFonts w:ascii="Verdana" w:hAnsi="Verdana"/>
                <w:b/>
                <w:bCs/>
                <w:lang w:val="es-ES_tradnl"/>
              </w:rPr>
            </w:pPr>
            <w:r w:rsidRPr="008816F7">
              <w:rPr>
                <w:rFonts w:ascii="Verdana" w:hAnsi="Verdana"/>
                <w:b/>
                <w:bCs/>
                <w:lang w:val="es-ES_tradnl"/>
              </w:rPr>
              <w:t xml:space="preserve">Radicación:               </w:t>
            </w:r>
          </w:p>
        </w:tc>
        <w:tc>
          <w:tcPr>
            <w:tcW w:w="6241" w:type="dxa"/>
          </w:tcPr>
          <w:p w14:paraId="77438481" w14:textId="77777777" w:rsidR="00180E1F" w:rsidRPr="008816F7" w:rsidRDefault="00180E1F" w:rsidP="00670B64">
            <w:pPr>
              <w:spacing w:line="257" w:lineRule="auto"/>
              <w:rPr>
                <w:rFonts w:ascii="Verdana" w:hAnsi="Verdana"/>
                <w:lang w:val="es-ES_tradnl"/>
              </w:rPr>
            </w:pPr>
          </w:p>
          <w:p w14:paraId="743F4DEF" w14:textId="77777777" w:rsidR="00180E1F" w:rsidRPr="008816F7" w:rsidRDefault="00180E1F" w:rsidP="00670B64">
            <w:pPr>
              <w:spacing w:line="257" w:lineRule="auto"/>
              <w:jc w:val="both"/>
              <w:rPr>
                <w:rFonts w:ascii="Verdana" w:hAnsi="Verdana"/>
              </w:rPr>
            </w:pPr>
            <w:r w:rsidRPr="008816F7">
              <w:rPr>
                <w:rFonts w:ascii="Verdana" w:hAnsi="Verdana"/>
                <w:lang w:val="es-ES_tradnl"/>
              </w:rPr>
              <w:t>Respuesta a consulta</w:t>
            </w:r>
            <w:r>
              <w:rPr>
                <w:rFonts w:ascii="Verdana" w:hAnsi="Verdana"/>
                <w:lang w:val="es-ES_tradnl"/>
              </w:rPr>
              <w:t>s</w:t>
            </w:r>
            <w:r w:rsidRPr="008816F7">
              <w:rPr>
                <w:rFonts w:ascii="Verdana" w:hAnsi="Verdana"/>
                <w:lang w:val="es-ES_tradnl"/>
              </w:rPr>
              <w:t xml:space="preserve"> con radicado</w:t>
            </w:r>
            <w:r>
              <w:rPr>
                <w:rFonts w:ascii="Verdana" w:hAnsi="Verdana"/>
                <w:lang w:val="es-ES_tradnl"/>
              </w:rPr>
              <w:t>s</w:t>
            </w:r>
            <w:r w:rsidRPr="008816F7">
              <w:rPr>
                <w:rFonts w:ascii="Verdana" w:hAnsi="Verdana"/>
                <w:lang w:val="es-ES_tradnl"/>
              </w:rPr>
              <w:t xml:space="preserve"> No</w:t>
            </w:r>
            <w:r>
              <w:rPr>
                <w:rFonts w:ascii="Verdana" w:hAnsi="Verdana"/>
                <w:lang w:val="es-ES_tradnl"/>
              </w:rPr>
              <w:t>s</w:t>
            </w:r>
            <w:r w:rsidRPr="008816F7">
              <w:rPr>
                <w:rFonts w:ascii="Verdana" w:hAnsi="Verdana"/>
                <w:lang w:val="es-ES_tradnl"/>
              </w:rPr>
              <w:t>. 1_2026_07_14_009318</w:t>
            </w:r>
            <w:r>
              <w:rPr>
                <w:rFonts w:ascii="Verdana" w:hAnsi="Verdana"/>
                <w:lang w:val="es-ES_tradnl"/>
              </w:rPr>
              <w:t xml:space="preserve"> y </w:t>
            </w:r>
            <w:r w:rsidRPr="008816F7">
              <w:rPr>
                <w:rFonts w:ascii="Verdana" w:hAnsi="Verdana"/>
                <w:lang w:val="es-ES_tradnl"/>
              </w:rPr>
              <w:t>1_2026_07_14_00931</w:t>
            </w:r>
            <w:r>
              <w:rPr>
                <w:rFonts w:ascii="Verdana" w:hAnsi="Verdana"/>
                <w:lang w:val="es-ES_tradnl"/>
              </w:rPr>
              <w:t>9</w:t>
            </w:r>
          </w:p>
          <w:p w14:paraId="3B9DBA71" w14:textId="77777777" w:rsidR="00180E1F" w:rsidRPr="008816F7" w:rsidRDefault="00180E1F" w:rsidP="00670B64">
            <w:pPr>
              <w:spacing w:line="257" w:lineRule="auto"/>
              <w:jc w:val="both"/>
              <w:rPr>
                <w:rFonts w:ascii="Verdana" w:hAnsi="Verdana"/>
                <w:lang w:val="es-ES_tradnl"/>
              </w:rPr>
            </w:pPr>
          </w:p>
        </w:tc>
        <w:tc>
          <w:tcPr>
            <w:tcW w:w="6237" w:type="dxa"/>
          </w:tcPr>
          <w:p w14:paraId="2D065B31" w14:textId="77777777" w:rsidR="00180E1F" w:rsidRPr="008816F7" w:rsidRDefault="00180E1F" w:rsidP="00670B64">
            <w:pPr>
              <w:spacing w:line="256" w:lineRule="auto"/>
              <w:rPr>
                <w:rFonts w:ascii="Verdana" w:hAnsi="Verdana"/>
                <w:lang w:val="es-ES_tradnl"/>
              </w:rPr>
            </w:pPr>
          </w:p>
        </w:tc>
      </w:tr>
    </w:tbl>
    <w:p w14:paraId="5E21E573" w14:textId="77777777" w:rsidR="00180E1F" w:rsidRPr="008816F7" w:rsidRDefault="00180E1F" w:rsidP="00180E1F">
      <w:pPr>
        <w:spacing w:after="0" w:line="256" w:lineRule="auto"/>
        <w:rPr>
          <w:rFonts w:ascii="Verdana" w:eastAsia="Calibri" w:hAnsi="Verdana" w:cs="Times New Roman"/>
          <w:lang w:val="es-ES"/>
        </w:rPr>
      </w:pPr>
      <w:r w:rsidRPr="008816F7">
        <w:rPr>
          <w:rFonts w:ascii="Verdana" w:eastAsia="Calibri" w:hAnsi="Verdana" w:cs="Times New Roman"/>
          <w:lang w:val="es-ES"/>
        </w:rPr>
        <w:t>Estimada señora</w:t>
      </w:r>
      <w:r>
        <w:rPr>
          <w:rFonts w:ascii="Verdana" w:eastAsia="Calibri" w:hAnsi="Verdana" w:cs="Times New Roman"/>
          <w:bCs/>
          <w:lang w:val="es-ES"/>
        </w:rPr>
        <w:t xml:space="preserve"> </w:t>
      </w:r>
      <w:r w:rsidRPr="008816F7">
        <w:rPr>
          <w:rFonts w:ascii="Verdana" w:hAnsi="Verdana"/>
        </w:rPr>
        <w:t>Sánchez Charria</w:t>
      </w:r>
      <w:r>
        <w:rPr>
          <w:rFonts w:ascii="Verdana" w:hAnsi="Verdana"/>
        </w:rPr>
        <w:t>:</w:t>
      </w:r>
      <w:r w:rsidRPr="008816F7">
        <w:rPr>
          <w:rFonts w:ascii="Verdana" w:eastAsia="Calibri" w:hAnsi="Verdana" w:cs="Times New Roman"/>
          <w:lang w:val="es-ES"/>
        </w:rPr>
        <w:t xml:space="preserve"> </w:t>
      </w:r>
    </w:p>
    <w:p w14:paraId="556C62DD" w14:textId="77777777" w:rsidR="00180E1F" w:rsidRPr="008816F7" w:rsidRDefault="00180E1F" w:rsidP="00180E1F">
      <w:pPr>
        <w:spacing w:after="0" w:line="256" w:lineRule="auto"/>
        <w:rPr>
          <w:rFonts w:ascii="Verdana" w:eastAsia="Calibri" w:hAnsi="Verdana" w:cs="Times New Roman"/>
          <w:lang w:val="es-ES"/>
        </w:rPr>
      </w:pPr>
    </w:p>
    <w:p w14:paraId="3A199C51" w14:textId="77777777" w:rsidR="00180E1F" w:rsidRPr="008816F7" w:rsidRDefault="00180E1F" w:rsidP="00180E1F">
      <w:pPr>
        <w:spacing w:after="0" w:line="276" w:lineRule="auto"/>
        <w:jc w:val="both"/>
        <w:rPr>
          <w:rFonts w:ascii="Verdana" w:eastAsia="Calibri" w:hAnsi="Verdana" w:cs="Times New Roman"/>
          <w:bCs/>
          <w:lang w:val="es-ES" w:bidi="es-ES"/>
        </w:rPr>
      </w:pPr>
      <w:r w:rsidRPr="008816F7">
        <w:rPr>
          <w:rFonts w:ascii="Verdana" w:eastAsia="Calibri" w:hAnsi="Verdana" w:cs="Times New Roman"/>
          <w:bCs/>
          <w:lang w:val="es-ES" w:bidi="es-ES"/>
        </w:rPr>
        <w:t xml:space="preserve">En ejercicio de la competencia otorgada por los artículos 3, numeral 5º, y 11, numeral 8º, del Decreto Ley 4170 de 2011, </w:t>
      </w:r>
      <w:r w:rsidRPr="008816F7">
        <w:rPr>
          <w:rFonts w:ascii="Verdana" w:eastAsia="Calibri" w:hAnsi="Verdana" w:cs="Times New Roman"/>
          <w:bCs/>
        </w:rPr>
        <w:t xml:space="preserve">así como lo establecido por la Resolución 469 de 2025 expedida por esta Entidad, </w:t>
      </w:r>
      <w:r w:rsidRPr="008816F7">
        <w:rPr>
          <w:rFonts w:ascii="Verdana" w:eastAsia="Calibri" w:hAnsi="Verdana" w:cs="Times New Roman"/>
          <w:bCs/>
          <w:lang w:val="es-ES" w:bidi="es-ES"/>
        </w:rPr>
        <w:t>la Agencia Nacional de Contratación Pública – Colombia Compra Eficiente– responde la</w:t>
      </w:r>
      <w:r>
        <w:rPr>
          <w:rFonts w:ascii="Verdana" w:eastAsia="Calibri" w:hAnsi="Verdana" w:cs="Times New Roman"/>
          <w:bCs/>
          <w:lang w:val="es-ES" w:bidi="es-ES"/>
        </w:rPr>
        <w:t>s</w:t>
      </w:r>
      <w:r w:rsidRPr="008816F7">
        <w:rPr>
          <w:rFonts w:ascii="Verdana" w:eastAsia="Calibri" w:hAnsi="Verdana" w:cs="Times New Roman"/>
          <w:bCs/>
          <w:lang w:val="es-ES" w:bidi="es-ES"/>
        </w:rPr>
        <w:t xml:space="preserve"> solicitud</w:t>
      </w:r>
      <w:r>
        <w:rPr>
          <w:rFonts w:ascii="Verdana" w:eastAsia="Calibri" w:hAnsi="Verdana" w:cs="Times New Roman"/>
          <w:bCs/>
          <w:lang w:val="es-ES" w:bidi="es-ES"/>
        </w:rPr>
        <w:t>es</w:t>
      </w:r>
      <w:r w:rsidRPr="008816F7">
        <w:rPr>
          <w:rFonts w:ascii="Verdana" w:eastAsia="Calibri" w:hAnsi="Verdana" w:cs="Times New Roman"/>
          <w:bCs/>
          <w:lang w:val="es-ES" w:bidi="es-ES"/>
        </w:rPr>
        <w:t xml:space="preserve"> del </w:t>
      </w:r>
      <w:r>
        <w:rPr>
          <w:rFonts w:ascii="Verdana" w:eastAsia="Calibri" w:hAnsi="Verdana" w:cs="Times New Roman"/>
          <w:bCs/>
          <w:lang w:val="es-ES" w:bidi="es-ES"/>
        </w:rPr>
        <w:t>14</w:t>
      </w:r>
      <w:r w:rsidRPr="008816F7">
        <w:rPr>
          <w:rFonts w:ascii="Verdana" w:eastAsia="Calibri" w:hAnsi="Verdana" w:cs="Times New Roman"/>
          <w:bCs/>
          <w:lang w:val="es-ES" w:bidi="es-ES"/>
        </w:rPr>
        <w:t xml:space="preserve"> de ju</w:t>
      </w:r>
      <w:r>
        <w:rPr>
          <w:rFonts w:ascii="Verdana" w:eastAsia="Calibri" w:hAnsi="Verdana" w:cs="Times New Roman"/>
          <w:bCs/>
          <w:lang w:val="es-ES" w:bidi="es-ES"/>
        </w:rPr>
        <w:t>l</w:t>
      </w:r>
      <w:r w:rsidRPr="008816F7">
        <w:rPr>
          <w:rFonts w:ascii="Verdana" w:eastAsia="Calibri" w:hAnsi="Verdana" w:cs="Times New Roman"/>
          <w:bCs/>
          <w:lang w:val="es-ES" w:bidi="es-ES"/>
        </w:rPr>
        <w:t>io de 2026, en la</w:t>
      </w:r>
      <w:r>
        <w:rPr>
          <w:rFonts w:ascii="Verdana" w:eastAsia="Calibri" w:hAnsi="Verdana" w:cs="Times New Roman"/>
          <w:bCs/>
          <w:lang w:val="es-ES" w:bidi="es-ES"/>
        </w:rPr>
        <w:t>s</w:t>
      </w:r>
      <w:r w:rsidRPr="008816F7">
        <w:rPr>
          <w:rFonts w:ascii="Verdana" w:eastAsia="Calibri" w:hAnsi="Verdana" w:cs="Times New Roman"/>
          <w:bCs/>
          <w:lang w:val="es-ES" w:bidi="es-ES"/>
        </w:rPr>
        <w:t xml:space="preserve"> cual</w:t>
      </w:r>
      <w:r>
        <w:rPr>
          <w:rFonts w:ascii="Verdana" w:eastAsia="Calibri" w:hAnsi="Verdana" w:cs="Times New Roman"/>
          <w:bCs/>
          <w:lang w:val="es-ES" w:bidi="es-ES"/>
        </w:rPr>
        <w:t>es</w:t>
      </w:r>
      <w:r w:rsidRPr="008816F7">
        <w:rPr>
          <w:rFonts w:ascii="Verdana" w:eastAsia="Calibri" w:hAnsi="Verdana" w:cs="Times New Roman"/>
          <w:bCs/>
          <w:lang w:val="es-ES" w:bidi="es-ES"/>
        </w:rPr>
        <w:t xml:space="preserve"> manifiesta lo siguiente:</w:t>
      </w:r>
    </w:p>
    <w:p w14:paraId="038E95B6" w14:textId="77777777" w:rsidR="00180E1F" w:rsidRPr="008816F7" w:rsidRDefault="00180E1F" w:rsidP="00180E1F">
      <w:pPr>
        <w:spacing w:after="0" w:line="276" w:lineRule="auto"/>
        <w:jc w:val="both"/>
        <w:rPr>
          <w:rFonts w:ascii="Verdana" w:eastAsia="Calibri" w:hAnsi="Verdana" w:cs="Times New Roman"/>
          <w:bCs/>
          <w:lang w:val="es-ES" w:bidi="es-ES"/>
        </w:rPr>
      </w:pPr>
    </w:p>
    <w:p w14:paraId="10122922" w14:textId="77777777" w:rsidR="00180E1F" w:rsidRPr="008816F7" w:rsidRDefault="00180E1F" w:rsidP="00180E1F">
      <w:pPr>
        <w:snapToGrid w:val="0"/>
        <w:spacing w:after="120" w:line="240" w:lineRule="auto"/>
        <w:ind w:left="709" w:right="709"/>
        <w:jc w:val="both"/>
        <w:rPr>
          <w:rFonts w:ascii="Verdana" w:hAnsi="Verdana"/>
          <w:sz w:val="20"/>
          <w:szCs w:val="20"/>
        </w:rPr>
      </w:pPr>
      <w:r w:rsidRPr="008816F7">
        <w:rPr>
          <w:rFonts w:ascii="Verdana" w:eastAsia="Calibri" w:hAnsi="Verdana" w:cs="Times New Roman"/>
          <w:iCs/>
          <w:sz w:val="20"/>
          <w:szCs w:val="20"/>
        </w:rPr>
        <w:t>“</w:t>
      </w:r>
      <w:r w:rsidRPr="008816F7">
        <w:rPr>
          <w:rFonts w:ascii="Verdana" w:hAnsi="Verdana"/>
          <w:sz w:val="20"/>
          <w:szCs w:val="20"/>
        </w:rPr>
        <w:t>En ejercicio del derecho de petición en su modalidad de consulta, amparado en el artículo 28 del Código de Procedimiento Administrativo y de lo Contencioso Administrativo (CPACA) y en cumplimiento de sus funciones como ente rector de la contratación estatal en Colombia, me permito elevar ante su despacho la siguiente solicitud de concepto técnico-jurídico. Lo anterior, con el propósito de unificar criterios aplicables a la estructuración de procesos de selección por parte de las entidades estatales de orden público.</w:t>
      </w:r>
    </w:p>
    <w:p w14:paraId="23C0B1CE" w14:textId="77777777" w:rsidR="00180E1F" w:rsidRPr="008816F7" w:rsidRDefault="00180E1F" w:rsidP="00180E1F">
      <w:pPr>
        <w:snapToGrid w:val="0"/>
        <w:spacing w:after="120" w:line="240" w:lineRule="auto"/>
        <w:ind w:left="709" w:right="709"/>
        <w:jc w:val="both"/>
        <w:rPr>
          <w:rFonts w:ascii="Verdana" w:hAnsi="Verdana"/>
          <w:sz w:val="20"/>
          <w:szCs w:val="20"/>
        </w:rPr>
      </w:pPr>
      <w:r w:rsidRPr="008816F7">
        <w:rPr>
          <w:rFonts w:ascii="Verdana" w:hAnsi="Verdana"/>
          <w:sz w:val="20"/>
          <w:szCs w:val="20"/>
        </w:rPr>
        <w:t xml:space="preserve">El numeral 3.5.1 del Documento Base de los Pliegos Tipo de Infraestructura Social y el artículo 4 de la Resolución 540 de 2025 regulan la incorporación de experiencia para evaluar la idoneidad de los proponentes frente a obras, bienes o servicios adicionales al objeto principal de la infraestructura social. </w:t>
      </w:r>
    </w:p>
    <w:p w14:paraId="3271E502" w14:textId="77777777" w:rsidR="00180E1F" w:rsidRPr="008816F7" w:rsidRDefault="00180E1F" w:rsidP="00180E1F">
      <w:pPr>
        <w:snapToGrid w:val="0"/>
        <w:spacing w:after="120" w:line="240" w:lineRule="auto"/>
        <w:ind w:left="709" w:right="709"/>
        <w:jc w:val="both"/>
        <w:rPr>
          <w:rFonts w:ascii="Verdana" w:hAnsi="Verdana"/>
          <w:sz w:val="20"/>
          <w:szCs w:val="20"/>
        </w:rPr>
      </w:pPr>
      <w:r w:rsidRPr="008816F7">
        <w:rPr>
          <w:rFonts w:ascii="Verdana" w:hAnsi="Verdana"/>
          <w:sz w:val="20"/>
          <w:szCs w:val="20"/>
        </w:rPr>
        <w:lastRenderedPageBreak/>
        <w:t xml:space="preserve">Específicamente, el Parágrafo 4° de dicha disposición señala textualmente: </w:t>
      </w:r>
    </w:p>
    <w:p w14:paraId="566B47E8" w14:textId="77777777" w:rsidR="00180E1F" w:rsidRPr="008816F7" w:rsidRDefault="00180E1F" w:rsidP="00180E1F">
      <w:pPr>
        <w:snapToGrid w:val="0"/>
        <w:spacing w:after="120" w:line="240" w:lineRule="auto"/>
        <w:ind w:left="709" w:right="709"/>
        <w:jc w:val="both"/>
        <w:rPr>
          <w:rFonts w:ascii="Verdana" w:hAnsi="Verdana"/>
          <w:sz w:val="20"/>
          <w:szCs w:val="20"/>
        </w:rPr>
      </w:pPr>
      <w:r w:rsidRPr="008816F7">
        <w:rPr>
          <w:rFonts w:ascii="Verdana" w:hAnsi="Verdana"/>
          <w:sz w:val="20"/>
          <w:szCs w:val="20"/>
        </w:rPr>
        <w:t xml:space="preserve">Cuando el objeto contractual incluya obras, bienes o servicios adicionales a la obra pública de infraestructura social y de manera excepcional se requiere incluir experiencia adicional para evaluar la idoneidad respecto de dichos bienes o servicios, la Entidad verificará si estos están incorporados en otros Documentos Tipo. En este caso, la Entidad observará las reglas de combinación de experiencia definidas en el literal A) de este numeral y, por tanto, la Entidad no podrá definir requisitos de experiencia distintos a los determinados por esta Agencia. En todo caso, si el objeto contractual contempla obras, bienes o servicios adicionales que no están regulados en los Documentos Tipo, la Entidad aplicará los parámetros del artículo 4 de la Resolución 540 de 2025. "En caso de que la entidad considere pertinente incorporar experiencia relacionada con obras, bienes o servicios adicionales a la obra pública, podrá reemplazar como máximo una (1) de las actividades secundarias. [...] En todo caso, deberá tenerse en cuenta que la entidad no podrá solicitar más de tres actividades en total, incluyendo la actividad principal. Por lo tanto, además de la actividad principal, deberá determinar si exige dos actividades secundarias o una actividad secundaria y una adicional." </w:t>
      </w:r>
    </w:p>
    <w:p w14:paraId="6CB26260" w14:textId="77777777" w:rsidR="00180E1F" w:rsidRPr="008816F7" w:rsidRDefault="00180E1F" w:rsidP="00180E1F">
      <w:pPr>
        <w:snapToGrid w:val="0"/>
        <w:spacing w:after="120" w:line="240" w:lineRule="auto"/>
        <w:ind w:left="709" w:right="709"/>
        <w:jc w:val="both"/>
        <w:rPr>
          <w:rFonts w:ascii="Verdana" w:hAnsi="Verdana"/>
          <w:sz w:val="20"/>
          <w:szCs w:val="20"/>
        </w:rPr>
      </w:pPr>
      <w:r w:rsidRPr="008816F7">
        <w:rPr>
          <w:rFonts w:ascii="Verdana" w:hAnsi="Verdana"/>
          <w:sz w:val="20"/>
          <w:szCs w:val="20"/>
        </w:rPr>
        <w:t xml:space="preserve">De la lectura de esta disposición, se desprende una limitación cuantitativa estricta que obliga a las entidades estatales a "sacrificar" una de las actividades secundarias si se requiere evaluar una actividad adicional. Esto genera un vacío técnico cuando, por la complejidad del proyecto, la entidad requiere verificar la idoneidad del proponente en dos actividades secundarias cruciales y, simultáneamente, en un componente o servicio adicional que no puede ser omitido sin poner en riesgo la planeación contractual. Preguntas concretas para concepto: </w:t>
      </w:r>
    </w:p>
    <w:p w14:paraId="1274E793" w14:textId="77777777" w:rsidR="00180E1F" w:rsidRPr="008816F7" w:rsidRDefault="00180E1F" w:rsidP="00180E1F">
      <w:pPr>
        <w:snapToGrid w:val="0"/>
        <w:spacing w:after="120" w:line="240" w:lineRule="auto"/>
        <w:ind w:left="709" w:right="709"/>
        <w:jc w:val="both"/>
        <w:rPr>
          <w:rFonts w:ascii="Verdana" w:hAnsi="Verdana"/>
          <w:sz w:val="20"/>
          <w:szCs w:val="20"/>
        </w:rPr>
      </w:pPr>
      <w:r w:rsidRPr="008816F7">
        <w:rPr>
          <w:rFonts w:ascii="Verdana" w:hAnsi="Verdana"/>
          <w:sz w:val="20"/>
          <w:szCs w:val="20"/>
        </w:rPr>
        <w:t xml:space="preserve">1. ¿Existe alguna excepción técnica o jurídica bajo la Resolución 540 de 2025 que permita a la Entidad Estatal exigir simultáneamente la Actividad Principal, dos (2) Actividades Secundarias y una (1) Actividad Adicional, o el límite de tres (3) actividades en total es absoluto? </w:t>
      </w:r>
    </w:p>
    <w:p w14:paraId="29E4BF0E" w14:textId="77777777" w:rsidR="00180E1F" w:rsidRDefault="00180E1F" w:rsidP="00180E1F">
      <w:pPr>
        <w:snapToGrid w:val="0"/>
        <w:spacing w:after="120" w:line="240" w:lineRule="auto"/>
        <w:ind w:left="709" w:right="709"/>
        <w:jc w:val="both"/>
        <w:rPr>
          <w:rFonts w:ascii="Verdana" w:hAnsi="Verdana"/>
          <w:sz w:val="20"/>
          <w:szCs w:val="20"/>
        </w:rPr>
      </w:pPr>
      <w:r w:rsidRPr="008816F7">
        <w:rPr>
          <w:rFonts w:ascii="Verdana" w:hAnsi="Verdana"/>
          <w:sz w:val="20"/>
          <w:szCs w:val="20"/>
        </w:rPr>
        <w:t xml:space="preserve">2. En caso de que el límite de tres (3) actividades sea absoluto, ¿cómo debe proceder la Entidad Estatal si la naturaleza del proyecto exige técnica y necesariamente la acreditación de la experiencia en dos componentes secundarios distintos y, a su vez, en un servicio adicional especializado, sin que sea viable "reemplazar" o prescindir de ninguno de ellos? </w:t>
      </w:r>
    </w:p>
    <w:p w14:paraId="47824EF5" w14:textId="77777777" w:rsidR="00180E1F" w:rsidRPr="008816F7" w:rsidRDefault="00180E1F" w:rsidP="00180E1F">
      <w:pPr>
        <w:snapToGrid w:val="0"/>
        <w:spacing w:after="0" w:line="240" w:lineRule="auto"/>
        <w:ind w:left="709" w:right="709"/>
        <w:jc w:val="both"/>
        <w:rPr>
          <w:rFonts w:ascii="Verdana" w:hAnsi="Verdana"/>
          <w:sz w:val="20"/>
          <w:szCs w:val="20"/>
        </w:rPr>
      </w:pPr>
      <w:r w:rsidRPr="008816F7">
        <w:rPr>
          <w:rFonts w:ascii="Verdana" w:hAnsi="Verdana"/>
          <w:sz w:val="20"/>
          <w:szCs w:val="20"/>
        </w:rPr>
        <w:t>3. ¿La limitación de "reemplazar como máximo una (1) de las actividades secundarias" (según el Parágrafo 4°) implica que, si la entidad opta por exigir una actividad adicional, pierde la facultad</w:t>
      </w:r>
      <w:r w:rsidRPr="008816F7">
        <w:rPr>
          <w:rFonts w:ascii="Verdana" w:eastAsia="Calibri" w:hAnsi="Verdana" w:cs="Times New Roman"/>
          <w:iCs/>
          <w:sz w:val="20"/>
          <w:szCs w:val="20"/>
        </w:rPr>
        <w:t xml:space="preserve">”. </w:t>
      </w:r>
    </w:p>
    <w:p w14:paraId="6D1BE2CB" w14:textId="77777777" w:rsidR="00180E1F" w:rsidRPr="008816F7" w:rsidRDefault="00180E1F" w:rsidP="00180E1F">
      <w:pPr>
        <w:spacing w:after="0" w:line="276" w:lineRule="auto"/>
        <w:jc w:val="both"/>
        <w:rPr>
          <w:rFonts w:ascii="Verdana" w:eastAsia="Calibri" w:hAnsi="Verdana" w:cs="Times New Roman"/>
          <w:i/>
          <w:iCs/>
          <w:lang w:val="es-ES"/>
        </w:rPr>
      </w:pPr>
    </w:p>
    <w:p w14:paraId="61D8851F" w14:textId="77777777" w:rsidR="00180E1F" w:rsidRPr="008816F7" w:rsidRDefault="00180E1F" w:rsidP="00180E1F">
      <w:pPr>
        <w:spacing w:after="120" w:line="276" w:lineRule="auto"/>
        <w:ind w:firstLine="709"/>
        <w:jc w:val="both"/>
        <w:rPr>
          <w:rFonts w:ascii="Verdana" w:eastAsia="Calibri" w:hAnsi="Verdana" w:cs="Times New Roman"/>
          <w:lang w:val="es-ES"/>
        </w:rPr>
      </w:pPr>
      <w:r w:rsidRPr="008816F7">
        <w:rPr>
          <w:rFonts w:ascii="Verdana" w:eastAsia="Calibri" w:hAnsi="Verdana" w:cs="Times New Roman"/>
          <w:lang w:val="es-ES"/>
        </w:rPr>
        <w:t xml:space="preserve">De manera preliminar, resulta necesario acotar que esta entidad solo tiene competencia para responder consultas sobre la aplicación de normas de carácter </w:t>
      </w:r>
      <w:r w:rsidRPr="008816F7">
        <w:rPr>
          <w:rFonts w:ascii="Verdana" w:eastAsia="Calibri" w:hAnsi="Verdana" w:cs="Times New Roman"/>
          <w:lang w:val="es-ES"/>
        </w:rPr>
        <w:lastRenderedPageBreak/>
        <w:t>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4A77EE5F" w14:textId="77777777" w:rsidR="00180E1F" w:rsidRPr="008816F7" w:rsidRDefault="00180E1F" w:rsidP="00180E1F">
      <w:pPr>
        <w:spacing w:after="0" w:line="276" w:lineRule="auto"/>
        <w:ind w:firstLine="708"/>
        <w:jc w:val="both"/>
        <w:rPr>
          <w:rFonts w:ascii="Verdana" w:eastAsia="Calibri" w:hAnsi="Verdana" w:cs="Times New Roman"/>
          <w:lang w:val="es-ES"/>
        </w:rPr>
      </w:pPr>
      <w:r w:rsidRPr="008816F7">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760092DE" w14:textId="77777777" w:rsidR="00180E1F" w:rsidRPr="008816F7" w:rsidRDefault="00180E1F" w:rsidP="00180E1F">
      <w:pPr>
        <w:spacing w:after="0" w:line="256" w:lineRule="auto"/>
        <w:rPr>
          <w:rFonts w:ascii="Verdana" w:eastAsia="Calibri" w:hAnsi="Verdana" w:cs="Times New Roman"/>
          <w:lang w:val="es-ES"/>
        </w:rPr>
      </w:pPr>
    </w:p>
    <w:p w14:paraId="0F0F3F1E" w14:textId="77777777" w:rsidR="00180E1F" w:rsidRPr="008816F7" w:rsidRDefault="00180E1F" w:rsidP="00180E1F">
      <w:pPr>
        <w:spacing w:after="0" w:line="256" w:lineRule="auto"/>
        <w:rPr>
          <w:rFonts w:ascii="Verdana" w:eastAsia="Calibri" w:hAnsi="Verdana" w:cs="Times New Roman"/>
          <w:b/>
          <w:bCs/>
          <w:lang w:val="es-ES"/>
        </w:rPr>
      </w:pPr>
      <w:r w:rsidRPr="008816F7">
        <w:rPr>
          <w:rFonts w:ascii="Verdana" w:eastAsia="Calibri" w:hAnsi="Verdana" w:cs="Times New Roman"/>
          <w:b/>
          <w:bCs/>
          <w:lang w:val="es-ES"/>
        </w:rPr>
        <w:t>1. Problema planteado:</w:t>
      </w:r>
    </w:p>
    <w:p w14:paraId="56F52E19" w14:textId="77777777" w:rsidR="00180E1F" w:rsidRPr="008816F7" w:rsidRDefault="00180E1F" w:rsidP="00180E1F">
      <w:pPr>
        <w:spacing w:after="0" w:line="256" w:lineRule="auto"/>
        <w:rPr>
          <w:rFonts w:ascii="Verdana" w:eastAsia="Calibri" w:hAnsi="Verdana" w:cs="Times New Roman"/>
        </w:rPr>
      </w:pPr>
    </w:p>
    <w:p w14:paraId="16F66ADF" w14:textId="77777777" w:rsidR="00180E1F" w:rsidRPr="00FF5906" w:rsidRDefault="00180E1F" w:rsidP="00180E1F">
      <w:pPr>
        <w:spacing w:after="0" w:line="276" w:lineRule="auto"/>
        <w:jc w:val="both"/>
        <w:rPr>
          <w:rFonts w:ascii="Verdana" w:hAnsi="Verdana"/>
        </w:rPr>
      </w:pPr>
      <w:r w:rsidRPr="00FF5906">
        <w:rPr>
          <w:rFonts w:ascii="Verdana" w:eastAsia="Calibri" w:hAnsi="Verdana" w:cs="Times New Roman"/>
        </w:rPr>
        <w:t xml:space="preserve">De acuerdo con el contenido de su solicitud, en relación con los documentos tipo de selección abreviada de menor cuantía de obra pública de infraestructura social, esta Agencia procede a resolver los siguientes problemas que condensan las inquietudes de la solicitante: i) ¿Cuál es el procedimiento que debe seguir una Entidad </w:t>
      </w:r>
      <w:r w:rsidRPr="00FF5906">
        <w:rPr>
          <w:rFonts w:ascii="Verdana" w:eastAsia="Calibri" w:hAnsi="Verdana" w:cs="Arial"/>
        </w:rPr>
        <w:t xml:space="preserve">cuando requiere </w:t>
      </w:r>
      <w:r w:rsidRPr="00FF5906">
        <w:rPr>
          <w:rFonts w:ascii="Verdana" w:hAnsi="Verdana"/>
        </w:rPr>
        <w:t xml:space="preserve">obras, bienes o servicios adicionales a la obra pública de infraestructura social?, </w:t>
      </w:r>
      <w:proofErr w:type="spellStart"/>
      <w:r w:rsidRPr="00FF5906">
        <w:rPr>
          <w:rFonts w:ascii="Verdana" w:hAnsi="Verdana"/>
        </w:rPr>
        <w:t>ii</w:t>
      </w:r>
      <w:proofErr w:type="spellEnd"/>
      <w:r w:rsidRPr="00FF5906">
        <w:rPr>
          <w:rFonts w:ascii="Verdana" w:hAnsi="Verdana"/>
        </w:rPr>
        <w:t>) ¿ Existe alguna excepción que permita a la Entidad exigir simultáneamente la Actividad Principal, dos (2) Actividades Secundarias y una (1) Actividad Adicional?</w:t>
      </w:r>
      <w:r>
        <w:rPr>
          <w:rFonts w:ascii="Verdana" w:hAnsi="Verdana"/>
        </w:rPr>
        <w:t xml:space="preserve"> y</w:t>
      </w:r>
      <w:r w:rsidRPr="00FF5906">
        <w:rPr>
          <w:rFonts w:ascii="Verdana" w:hAnsi="Verdana"/>
        </w:rPr>
        <w:t xml:space="preserve"> </w:t>
      </w:r>
      <w:proofErr w:type="spellStart"/>
      <w:r w:rsidRPr="00FF5906">
        <w:rPr>
          <w:rFonts w:ascii="Verdana" w:hAnsi="Verdana"/>
        </w:rPr>
        <w:t>iii</w:t>
      </w:r>
      <w:proofErr w:type="spellEnd"/>
      <w:r w:rsidRPr="00FF5906">
        <w:rPr>
          <w:rFonts w:ascii="Verdana" w:hAnsi="Verdana"/>
        </w:rPr>
        <w:t>) ¿</w:t>
      </w:r>
      <w:r>
        <w:rPr>
          <w:rFonts w:ascii="Verdana" w:hAnsi="Verdana"/>
        </w:rPr>
        <w:t>C</w:t>
      </w:r>
      <w:r w:rsidRPr="00FF5906">
        <w:rPr>
          <w:rFonts w:ascii="Verdana" w:hAnsi="Verdana"/>
        </w:rPr>
        <w:t>ómo debe proceder la Entidad Estatal si la naturaleza del proyecto exige técnica</w:t>
      </w:r>
      <w:r>
        <w:rPr>
          <w:rFonts w:ascii="Verdana" w:hAnsi="Verdana"/>
        </w:rPr>
        <w:t xml:space="preserve">mente </w:t>
      </w:r>
      <w:r w:rsidRPr="00FF5906">
        <w:rPr>
          <w:rFonts w:ascii="Verdana" w:hAnsi="Verdana"/>
        </w:rPr>
        <w:t>la acreditación de la experiencia en dos componentes secundarios distintos y, a su vez, en un servicio adicional especializado, sin que sea viable "reemplazar" o prescindir de ninguno de ellos?</w:t>
      </w:r>
    </w:p>
    <w:p w14:paraId="066EB52C" w14:textId="77777777" w:rsidR="00180E1F" w:rsidRPr="008816F7" w:rsidRDefault="00180E1F" w:rsidP="00180E1F">
      <w:pPr>
        <w:spacing w:after="0" w:line="276" w:lineRule="auto"/>
        <w:jc w:val="both"/>
        <w:rPr>
          <w:rFonts w:ascii="Verdana" w:eastAsia="Calibri" w:hAnsi="Verdana" w:cs="Times New Roman"/>
        </w:rPr>
      </w:pPr>
    </w:p>
    <w:p w14:paraId="60290963" w14:textId="77777777" w:rsidR="00180E1F" w:rsidRPr="008816F7" w:rsidRDefault="00180E1F" w:rsidP="00180E1F">
      <w:pPr>
        <w:spacing w:after="0" w:line="256" w:lineRule="auto"/>
        <w:contextualSpacing/>
        <w:rPr>
          <w:rFonts w:ascii="Verdana" w:eastAsia="Calibri" w:hAnsi="Verdana" w:cs="Times New Roman"/>
          <w:b/>
          <w:bCs/>
          <w:lang w:val="es-ES"/>
        </w:rPr>
      </w:pPr>
      <w:r w:rsidRPr="008816F7">
        <w:rPr>
          <w:rFonts w:ascii="Verdana" w:eastAsia="Calibri" w:hAnsi="Verdana" w:cs="Times New Roman"/>
          <w:b/>
          <w:bCs/>
          <w:lang w:val="es-ES"/>
        </w:rPr>
        <w:t>2. Respuesta:</w:t>
      </w:r>
    </w:p>
    <w:p w14:paraId="215A01D8" w14:textId="77777777" w:rsidR="00180E1F" w:rsidRPr="008816F7" w:rsidRDefault="00180E1F" w:rsidP="00180E1F">
      <w:pPr>
        <w:spacing w:after="0" w:line="276"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180E1F" w:rsidRPr="008816F7" w14:paraId="4BD0D1A7" w14:textId="77777777" w:rsidTr="00670B64">
        <w:trPr>
          <w:trHeight w:val="870"/>
          <w:jc w:val="center"/>
        </w:trPr>
        <w:tc>
          <w:tcPr>
            <w:tcW w:w="8784" w:type="dxa"/>
            <w:tcBorders>
              <w:bottom w:val="single" w:sz="4" w:space="0" w:color="auto"/>
            </w:tcBorders>
          </w:tcPr>
          <w:p w14:paraId="15057E02" w14:textId="77777777" w:rsidR="00180E1F" w:rsidRPr="008816F7" w:rsidRDefault="00180E1F" w:rsidP="00670B64">
            <w:pPr>
              <w:spacing w:after="120" w:line="276" w:lineRule="auto"/>
              <w:jc w:val="both"/>
              <w:rPr>
                <w:rFonts w:ascii="Verdana" w:eastAsia="Aptos" w:hAnsi="Verdana" w:cs="Times New Roman"/>
              </w:rPr>
            </w:pPr>
            <w:r>
              <w:rPr>
                <w:rFonts w:ascii="Verdana" w:eastAsia="Calibri" w:hAnsi="Verdana" w:cs="Arial"/>
              </w:rPr>
              <w:lastRenderedPageBreak/>
              <w:t xml:space="preserve">i. </w:t>
            </w:r>
            <w:r w:rsidRPr="008816F7">
              <w:rPr>
                <w:rFonts w:ascii="Verdana" w:eastAsia="Calibri" w:hAnsi="Verdana" w:cs="Arial"/>
              </w:rPr>
              <w:t>Cuando la entidad requiere bienes</w:t>
            </w:r>
            <w:r>
              <w:rPr>
                <w:rFonts w:ascii="Verdana" w:eastAsia="Calibri" w:hAnsi="Verdana" w:cs="Arial"/>
              </w:rPr>
              <w:t>, obras o</w:t>
            </w:r>
            <w:r w:rsidRPr="008816F7">
              <w:rPr>
                <w:rFonts w:ascii="Verdana" w:eastAsia="Calibri" w:hAnsi="Verdana" w:cs="Arial"/>
              </w:rPr>
              <w:t xml:space="preserve"> servicios </w:t>
            </w:r>
            <w:r>
              <w:rPr>
                <w:rFonts w:ascii="Verdana" w:eastAsia="Calibri" w:hAnsi="Verdana" w:cs="Arial"/>
              </w:rPr>
              <w:t xml:space="preserve">adicionales a la obra pública de infraestructura social, </w:t>
            </w:r>
            <w:r w:rsidRPr="008816F7">
              <w:rPr>
                <w:rFonts w:ascii="Verdana" w:eastAsia="Calibri" w:hAnsi="Verdana" w:cs="Arial"/>
              </w:rPr>
              <w:t>debe aplicar el artículo 4 de la Resolución No. 5</w:t>
            </w:r>
            <w:r>
              <w:rPr>
                <w:rFonts w:ascii="Verdana" w:eastAsia="Calibri" w:hAnsi="Verdana" w:cs="Arial"/>
              </w:rPr>
              <w:t>40</w:t>
            </w:r>
            <w:r w:rsidRPr="008816F7">
              <w:rPr>
                <w:rFonts w:ascii="Verdana" w:eastAsia="Calibri" w:hAnsi="Verdana" w:cs="Arial"/>
              </w:rPr>
              <w:t xml:space="preserve"> del 21 de agosto de </w:t>
            </w:r>
            <w:r w:rsidRPr="008816F7">
              <w:rPr>
                <w:rFonts w:ascii="Verdana" w:eastAsia="Aptos" w:hAnsi="Verdana" w:cs="Times New Roman"/>
              </w:rPr>
              <w:t>2025</w:t>
            </w:r>
            <w:r>
              <w:rPr>
                <w:rFonts w:ascii="Verdana" w:eastAsia="Aptos" w:hAnsi="Verdana" w:cs="Times New Roman"/>
              </w:rPr>
              <w:t xml:space="preserve"> –para el caso de los documentos tipo de selección abreviada de menor cuantía de infraestructura social–</w:t>
            </w:r>
            <w:r w:rsidRPr="008816F7">
              <w:rPr>
                <w:rFonts w:ascii="Verdana" w:eastAsia="Aptos" w:hAnsi="Verdana" w:cs="Times New Roman"/>
              </w:rPr>
              <w:t xml:space="preserve">. Para ello, se deben seguir los siguientes parámetros: i) demostrar en los estudios previos que han verificado las condiciones de mercado para la adquisición de las obras, bienes o servicios adicionales al componente de obra pública, de tal forma que la experiencia adicional garantiza la pluralidad de oferentes, </w:t>
            </w:r>
            <w:proofErr w:type="spellStart"/>
            <w:r w:rsidRPr="008816F7">
              <w:rPr>
                <w:rFonts w:ascii="Verdana" w:eastAsia="Aptos" w:hAnsi="Verdana" w:cs="Times New Roman"/>
              </w:rPr>
              <w:t>ii</w:t>
            </w:r>
            <w:proofErr w:type="spellEnd"/>
            <w:r w:rsidRPr="008816F7">
              <w:rPr>
                <w:rFonts w:ascii="Verdana" w:eastAsia="Aptos" w:hAnsi="Verdana" w:cs="Times New Roman"/>
              </w:rPr>
              <w:t xml:space="preserve">) conservar los requisitos exigidos en los documentos tipo, </w:t>
            </w:r>
            <w:proofErr w:type="spellStart"/>
            <w:r w:rsidRPr="008816F7">
              <w:rPr>
                <w:rFonts w:ascii="Verdana" w:eastAsia="Aptos" w:hAnsi="Verdana" w:cs="Times New Roman"/>
              </w:rPr>
              <w:t>iii</w:t>
            </w:r>
            <w:proofErr w:type="spellEnd"/>
            <w:r w:rsidRPr="008816F7">
              <w:rPr>
                <w:rFonts w:ascii="Verdana" w:eastAsia="Aptos" w:hAnsi="Verdana" w:cs="Times New Roman"/>
              </w:rPr>
              <w:t xml:space="preserve">) abstenerse de pedir experiencia exclusiva con entidades de cualquier naturaleza, experiencia previa en un territorio específico, limitada en el tiempo o que incluya volúmenes o cantidades de obra específica, </w:t>
            </w:r>
            <w:proofErr w:type="spellStart"/>
            <w:r w:rsidRPr="008816F7">
              <w:rPr>
                <w:rFonts w:ascii="Verdana" w:eastAsia="Aptos" w:hAnsi="Verdana" w:cs="Times New Roman"/>
              </w:rPr>
              <w:t>iv</w:t>
            </w:r>
            <w:proofErr w:type="spellEnd"/>
            <w:r w:rsidRPr="008816F7">
              <w:rPr>
                <w:rFonts w:ascii="Verdana" w:eastAsia="Aptos" w:hAnsi="Verdana" w:cs="Times New Roman"/>
              </w:rPr>
              <w:t xml:space="preserve">) clasificar la experiencia requerida solo hasta el tercer nivel del clasificador de bienes y servicios e incluir exclusivamente los códigos que estén relacionados directamente con el objeto a contratar. </w:t>
            </w:r>
          </w:p>
          <w:p w14:paraId="0EBFD198" w14:textId="77777777" w:rsidR="00180E1F" w:rsidRPr="008816F7" w:rsidRDefault="00180E1F" w:rsidP="00670B64">
            <w:pPr>
              <w:widowControl w:val="0"/>
              <w:autoSpaceDE w:val="0"/>
              <w:autoSpaceDN w:val="0"/>
              <w:spacing w:after="120" w:line="276" w:lineRule="auto"/>
              <w:ind w:firstLine="708"/>
              <w:jc w:val="both"/>
              <w:rPr>
                <w:rFonts w:ascii="Verdana" w:eastAsia="Calibri" w:hAnsi="Verdana" w:cs="Times New Roman"/>
              </w:rPr>
            </w:pPr>
            <w:r w:rsidRPr="008816F7">
              <w:rPr>
                <w:rFonts w:ascii="Verdana" w:eastAsia="Aptos" w:hAnsi="Verdana" w:cs="Times New Roman"/>
              </w:rPr>
              <w:t>La entidad que opte por solicitar experiencia adicional en desarrollo de esta norma debe evidenciar en los documentos del proceso que agotó estos parámetros. Para ello, debe justificar en los estudios y documentos previos, como parte del deber de análisis y planeación, que ha verificado que la experiencia adicional relacionada con las obras, bienes o servicios no afecta significativamente la pluralidad de oferentes. Es decir, la entidad debe revisar que al solicitar esta experiencia existen suficientes potenciales proponentes que puedan acreditar estas condiciones.</w:t>
            </w:r>
          </w:p>
          <w:p w14:paraId="6FD876E7" w14:textId="77777777" w:rsidR="00180E1F" w:rsidRPr="008816F7" w:rsidRDefault="00180E1F" w:rsidP="00670B64">
            <w:pPr>
              <w:widowControl w:val="0"/>
              <w:autoSpaceDE w:val="0"/>
              <w:autoSpaceDN w:val="0"/>
              <w:spacing w:after="120" w:line="276" w:lineRule="auto"/>
              <w:ind w:firstLine="708"/>
              <w:jc w:val="both"/>
              <w:rPr>
                <w:rFonts w:ascii="Verdana" w:eastAsia="Calibri" w:hAnsi="Verdana" w:cs="Times New Roman"/>
                <w:lang w:val="es-ES"/>
              </w:rPr>
            </w:pPr>
            <w:r w:rsidRPr="008816F7">
              <w:rPr>
                <w:rFonts w:ascii="Verdana" w:eastAsia="Aptos" w:hAnsi="Verdana" w:cs="Times New Roman"/>
              </w:rPr>
              <w:t>En segundo lugar, la solicitud de esta experiencia no permite que la entidad modifique los requisitos habilitantes y de ponderación de la propuesta, por lo cual se deben mantener los establecidos en los documentos tipo.</w:t>
            </w:r>
          </w:p>
          <w:p w14:paraId="5E566F15" w14:textId="77777777" w:rsidR="00180E1F" w:rsidRPr="008816F7" w:rsidRDefault="00180E1F" w:rsidP="00670B64">
            <w:pPr>
              <w:widowControl w:val="0"/>
              <w:autoSpaceDE w:val="0"/>
              <w:autoSpaceDN w:val="0"/>
              <w:spacing w:after="120" w:line="276" w:lineRule="auto"/>
              <w:ind w:firstLine="708"/>
              <w:jc w:val="both"/>
              <w:rPr>
                <w:rFonts w:ascii="Verdana" w:eastAsia="Calibri" w:hAnsi="Verdana" w:cs="Times New Roman"/>
              </w:rPr>
            </w:pPr>
            <w:r w:rsidRPr="008816F7">
              <w:rPr>
                <w:rFonts w:ascii="Verdana" w:eastAsia="Aptos" w:hAnsi="Verdana" w:cs="Times New Roman"/>
              </w:rPr>
              <w:t>En tercer lugar, la experiencia adicional solicitada debe relacionarse con las obras, bienes y servicios sobre los cuales la entidad requiere que se demuestre idoneidad por parte de los proponentes. Esta experiencia no puede estar limitada o referida a que se haya adquirido en un territorio o con alguna entidad determinada, ni establecer limitantes temporales o la acreditación de volúmenes o cantidades. Este parámetro va encaminado a determinar si la experiencia solicitada es acorde, adecuada y proporcional a la necesidad identificada por la entidad, por lo cual no puede desbordar los límites racionales ni solicitar experiencias de imposible cumplimiento.</w:t>
            </w:r>
          </w:p>
          <w:p w14:paraId="34F05983" w14:textId="77777777" w:rsidR="00180E1F" w:rsidRPr="008816F7" w:rsidRDefault="00180E1F" w:rsidP="00670B64">
            <w:pPr>
              <w:widowControl w:val="0"/>
              <w:autoSpaceDE w:val="0"/>
              <w:autoSpaceDN w:val="0"/>
              <w:spacing w:after="120" w:line="276" w:lineRule="auto"/>
              <w:ind w:firstLine="708"/>
              <w:jc w:val="both"/>
              <w:rPr>
                <w:rFonts w:ascii="Verdana" w:eastAsia="Calibri" w:hAnsi="Verdana" w:cs="Times New Roman"/>
                <w:lang w:val="es-ES"/>
              </w:rPr>
            </w:pPr>
            <w:r w:rsidRPr="008816F7">
              <w:rPr>
                <w:rFonts w:ascii="Verdana" w:eastAsia="Aptos" w:hAnsi="Verdana" w:cs="Times New Roman"/>
              </w:rPr>
              <w:lastRenderedPageBreak/>
              <w:t>Por último, la experiencia requerida debe clasificarse hasta el tercer nivel del clasificador de bienes y servicios. Por lo tanto, la entidad no puede requerir que se acredite el “producto” de este clasificador.</w:t>
            </w:r>
          </w:p>
          <w:p w14:paraId="03A6CB1D" w14:textId="4734654C" w:rsidR="00180E1F" w:rsidRPr="008816F7" w:rsidRDefault="00180E1F" w:rsidP="00670B64">
            <w:pPr>
              <w:widowControl w:val="0"/>
              <w:autoSpaceDE w:val="0"/>
              <w:autoSpaceDN w:val="0"/>
              <w:spacing w:after="120" w:line="276" w:lineRule="auto"/>
              <w:ind w:firstLine="708"/>
              <w:jc w:val="both"/>
              <w:rPr>
                <w:rFonts w:ascii="Verdana" w:eastAsia="Aptos" w:hAnsi="Verdana" w:cs="Times New Roman"/>
              </w:rPr>
            </w:pPr>
            <w:r w:rsidRPr="008816F7">
              <w:rPr>
                <w:rFonts w:ascii="Verdana" w:eastAsia="Aptos" w:hAnsi="Verdana" w:cs="Times New Roman"/>
              </w:rPr>
              <w:t>La posibilidad de solicitar experiencia adicional solo ocurre cuando el objeto contractual incluye obras, bienes o servicios adicionales a la obra pública de infraestructura social. Esto implica que</w:t>
            </w:r>
            <w:r>
              <w:rPr>
                <w:rFonts w:ascii="Verdana" w:eastAsia="Aptos" w:hAnsi="Verdana" w:cs="Times New Roman"/>
              </w:rPr>
              <w:t>,</w:t>
            </w:r>
            <w:r w:rsidRPr="008816F7">
              <w:rPr>
                <w:rFonts w:ascii="Verdana" w:eastAsia="Aptos" w:hAnsi="Verdana" w:cs="Times New Roman"/>
              </w:rPr>
              <w:t xml:space="preserve"> la actividad que se requiere no está incluida en la matriz de experiencia de los documentos tipo de infraestructura social aplicable ni en las matrices de experiencia de los demás sectores expedidos por la agencia, pero está relacionada con el contrato a ejecutar.</w:t>
            </w:r>
          </w:p>
          <w:p w14:paraId="30CAC6D1" w14:textId="77777777" w:rsidR="00180E1F" w:rsidRDefault="00180E1F" w:rsidP="00670B64">
            <w:pPr>
              <w:widowControl w:val="0"/>
              <w:autoSpaceDE w:val="0"/>
              <w:autoSpaceDN w:val="0"/>
              <w:spacing w:after="120" w:line="276" w:lineRule="auto"/>
              <w:ind w:firstLine="708"/>
              <w:jc w:val="both"/>
              <w:rPr>
                <w:rFonts w:ascii="Verdana" w:eastAsia="Aptos" w:hAnsi="Verdana" w:cs="Times New Roman"/>
                <w:lang w:val="es-ES"/>
              </w:rPr>
            </w:pPr>
            <w:r w:rsidRPr="008816F7">
              <w:rPr>
                <w:rFonts w:ascii="Verdana" w:eastAsia="Aptos" w:hAnsi="Verdana" w:cs="Times New Roman"/>
                <w:lang w:val="es-ES"/>
              </w:rPr>
              <w:t xml:space="preserve">De otro lado, </w:t>
            </w:r>
            <w:r w:rsidRPr="008816F7">
              <w:rPr>
                <w:rFonts w:ascii="Verdana" w:eastAsia="Aptos" w:hAnsi="Verdana" w:cs="Times New Roman"/>
              </w:rPr>
              <w:t>debe resaltarse que, la actividad sobre la cual se solicite experiencia a través de la aplicación del artículo 4 de la Resolución No. 5</w:t>
            </w:r>
            <w:r>
              <w:rPr>
                <w:rFonts w:ascii="Verdana" w:eastAsia="Aptos" w:hAnsi="Verdana" w:cs="Times New Roman"/>
              </w:rPr>
              <w:t>40</w:t>
            </w:r>
            <w:r w:rsidRPr="008816F7">
              <w:rPr>
                <w:rFonts w:ascii="Verdana" w:eastAsia="Aptos" w:hAnsi="Verdana" w:cs="Times New Roman"/>
              </w:rPr>
              <w:t xml:space="preserve"> de 2025</w:t>
            </w:r>
            <w:r>
              <w:rPr>
                <w:rFonts w:ascii="Verdana" w:eastAsia="Aptos" w:hAnsi="Verdana" w:cs="Times New Roman"/>
              </w:rPr>
              <w:t xml:space="preserve">, </w:t>
            </w:r>
            <w:r w:rsidRPr="008816F7">
              <w:rPr>
                <w:rFonts w:ascii="Verdana" w:eastAsia="Aptos" w:hAnsi="Verdana" w:cs="Times New Roman"/>
                <w:lang w:val="es-ES"/>
              </w:rPr>
              <w:t>debe reemplazar solamente una de las actividades secundarias, que se desc</w:t>
            </w:r>
            <w:r>
              <w:rPr>
                <w:rFonts w:ascii="Verdana" w:eastAsia="Aptos" w:hAnsi="Verdana" w:cs="Times New Roman"/>
                <w:lang w:val="es-ES"/>
              </w:rPr>
              <w:t>riben</w:t>
            </w:r>
            <w:r w:rsidRPr="008816F7">
              <w:rPr>
                <w:rFonts w:ascii="Verdana" w:eastAsia="Aptos" w:hAnsi="Verdana" w:cs="Times New Roman"/>
                <w:lang w:val="es-ES"/>
              </w:rPr>
              <w:t xml:space="preserve"> en las reglas de combinación de experiencia relacionadas en el numeral 3.5.1. del documento base, en este contexto, debe conservarse los requisitos establecidos en los documentos tipo.</w:t>
            </w:r>
          </w:p>
          <w:p w14:paraId="6E3A0B00" w14:textId="77777777" w:rsidR="00180E1F" w:rsidRPr="00FF5906" w:rsidRDefault="00180E1F" w:rsidP="00670B64">
            <w:pPr>
              <w:widowControl w:val="0"/>
              <w:autoSpaceDE w:val="0"/>
              <w:autoSpaceDN w:val="0"/>
              <w:spacing w:after="120" w:line="276" w:lineRule="auto"/>
              <w:ind w:firstLine="708"/>
              <w:jc w:val="both"/>
              <w:rPr>
                <w:rFonts w:ascii="Verdana" w:eastAsia="Calibri" w:hAnsi="Verdana" w:cs="Times New Roman"/>
              </w:rPr>
            </w:pPr>
            <w:r w:rsidRPr="008816F7">
              <w:rPr>
                <w:rFonts w:ascii="Verdana" w:eastAsia="Aptos" w:hAnsi="Verdana" w:cs="Times New Roman"/>
              </w:rPr>
              <w:t xml:space="preserve">Para solicitar experiencia frente a obras, bienes o servicios adicionales que no se encuentren contemplados en la “Matriz – Experiencia”, el documento base, de los documentos tipo de </w:t>
            </w:r>
            <w:r>
              <w:rPr>
                <w:rFonts w:ascii="Verdana" w:eastAsia="Aptos" w:hAnsi="Verdana" w:cs="Times New Roman"/>
              </w:rPr>
              <w:t xml:space="preserve">selección abreviada de menor cuantía </w:t>
            </w:r>
            <w:r w:rsidRPr="008816F7">
              <w:rPr>
                <w:rFonts w:ascii="Verdana" w:eastAsia="Aptos" w:hAnsi="Verdana" w:cs="Times New Roman"/>
              </w:rPr>
              <w:t>de infraestructura social, en los literales M)</w:t>
            </w:r>
            <w:r>
              <w:rPr>
                <w:rFonts w:ascii="Verdana" w:eastAsia="Aptos" w:hAnsi="Verdana" w:cs="Times New Roman"/>
              </w:rPr>
              <w:t xml:space="preserve"> y</w:t>
            </w:r>
            <w:r w:rsidRPr="008816F7">
              <w:rPr>
                <w:rFonts w:ascii="Verdana" w:eastAsia="Aptos" w:hAnsi="Verdana" w:cs="Times New Roman"/>
              </w:rPr>
              <w:t xml:space="preserve"> N) del numeral “3.5.1. CARACTERÍSTICAS DE LOS CONTRATOS PRESENTADOS PARA ACREDITAR LA EXPERIENCIA EXIGIDA”, señala los requisitos que debe seguir la Entidad para incluir obras, bienes o servicio adicionales a la obra pública de infraestructura social. </w:t>
            </w:r>
          </w:p>
          <w:p w14:paraId="43C4FF5A" w14:textId="77777777" w:rsidR="00180E1F" w:rsidRPr="00C56BE1" w:rsidRDefault="00180E1F" w:rsidP="00670B64">
            <w:pPr>
              <w:widowControl w:val="0"/>
              <w:autoSpaceDE w:val="0"/>
              <w:autoSpaceDN w:val="0"/>
              <w:spacing w:after="120" w:line="276" w:lineRule="auto"/>
              <w:ind w:firstLine="708"/>
              <w:jc w:val="both"/>
              <w:rPr>
                <w:rFonts w:ascii="Verdana" w:eastAsia="Arial" w:hAnsi="Verdana" w:cs="Arial"/>
                <w:lang w:val="es-ES"/>
              </w:rPr>
            </w:pPr>
            <w:r w:rsidRPr="008816F7">
              <w:rPr>
                <w:rFonts w:ascii="Verdana" w:eastAsia="Arial" w:hAnsi="Verdana" w:cs="Arial"/>
                <w:lang w:val="es-ES"/>
              </w:rPr>
              <w:t>De</w:t>
            </w:r>
            <w:r w:rsidRPr="008816F7">
              <w:rPr>
                <w:rFonts w:ascii="Verdana" w:eastAsia="Arial" w:hAnsi="Verdana" w:cs="Arial"/>
                <w:spacing w:val="-12"/>
                <w:lang w:val="es-ES"/>
              </w:rPr>
              <w:t xml:space="preserve"> </w:t>
            </w:r>
            <w:r w:rsidRPr="008816F7">
              <w:rPr>
                <w:rFonts w:ascii="Verdana" w:eastAsia="Arial" w:hAnsi="Verdana" w:cs="Arial"/>
                <w:lang w:val="es-ES"/>
              </w:rPr>
              <w:t>esta</w:t>
            </w:r>
            <w:r w:rsidRPr="008816F7">
              <w:rPr>
                <w:rFonts w:ascii="Verdana" w:eastAsia="Arial" w:hAnsi="Verdana" w:cs="Arial"/>
                <w:spacing w:val="-12"/>
                <w:lang w:val="es-ES"/>
              </w:rPr>
              <w:t xml:space="preserve"> </w:t>
            </w:r>
            <w:r w:rsidRPr="008816F7">
              <w:rPr>
                <w:rFonts w:ascii="Verdana" w:eastAsia="Arial" w:hAnsi="Verdana" w:cs="Arial"/>
                <w:lang w:val="es-ES"/>
              </w:rPr>
              <w:t>manera,</w:t>
            </w:r>
            <w:r w:rsidRPr="008816F7">
              <w:rPr>
                <w:rFonts w:ascii="Verdana" w:eastAsia="Arial" w:hAnsi="Verdana" w:cs="Arial"/>
                <w:spacing w:val="-11"/>
                <w:lang w:val="es-ES"/>
              </w:rPr>
              <w:t xml:space="preserve"> </w:t>
            </w:r>
            <w:r w:rsidRPr="008816F7">
              <w:rPr>
                <w:rFonts w:ascii="Verdana" w:eastAsia="Arial" w:hAnsi="Verdana" w:cs="Arial"/>
                <w:lang w:val="es-ES"/>
              </w:rPr>
              <w:t>la</w:t>
            </w:r>
            <w:r w:rsidRPr="008816F7">
              <w:rPr>
                <w:rFonts w:ascii="Verdana" w:eastAsia="Arial" w:hAnsi="Verdana" w:cs="Arial"/>
                <w:spacing w:val="-12"/>
                <w:lang w:val="es-ES"/>
              </w:rPr>
              <w:t xml:space="preserve"> </w:t>
            </w:r>
            <w:r w:rsidRPr="008816F7">
              <w:rPr>
                <w:rFonts w:ascii="Verdana" w:eastAsia="Arial" w:hAnsi="Verdana" w:cs="Arial"/>
                <w:lang w:val="es-ES"/>
              </w:rPr>
              <w:t>regla</w:t>
            </w:r>
            <w:r w:rsidRPr="008816F7">
              <w:rPr>
                <w:rFonts w:ascii="Verdana" w:eastAsia="Arial" w:hAnsi="Verdana" w:cs="Arial"/>
                <w:spacing w:val="-12"/>
                <w:lang w:val="es-ES"/>
              </w:rPr>
              <w:t xml:space="preserve"> </w:t>
            </w:r>
            <w:r w:rsidRPr="008816F7">
              <w:rPr>
                <w:rFonts w:ascii="Verdana" w:eastAsia="Arial" w:hAnsi="Verdana" w:cs="Arial"/>
                <w:lang w:val="es-ES"/>
              </w:rPr>
              <w:t>general</w:t>
            </w:r>
            <w:r w:rsidRPr="008816F7">
              <w:rPr>
                <w:rFonts w:ascii="Verdana" w:eastAsia="Arial" w:hAnsi="Verdana" w:cs="Arial"/>
                <w:spacing w:val="-11"/>
                <w:lang w:val="es-ES"/>
              </w:rPr>
              <w:t xml:space="preserve"> </w:t>
            </w:r>
            <w:r w:rsidRPr="008816F7">
              <w:rPr>
                <w:rFonts w:ascii="Verdana" w:eastAsia="Arial" w:hAnsi="Verdana" w:cs="Arial"/>
                <w:lang w:val="es-ES"/>
              </w:rPr>
              <w:t>frente</w:t>
            </w:r>
            <w:r w:rsidRPr="008816F7">
              <w:rPr>
                <w:rFonts w:ascii="Verdana" w:eastAsia="Arial" w:hAnsi="Verdana" w:cs="Arial"/>
                <w:spacing w:val="-11"/>
                <w:lang w:val="es-ES"/>
              </w:rPr>
              <w:t xml:space="preserve"> </w:t>
            </w:r>
            <w:r w:rsidRPr="008816F7">
              <w:rPr>
                <w:rFonts w:ascii="Verdana" w:eastAsia="Arial" w:hAnsi="Verdana" w:cs="Arial"/>
                <w:lang w:val="es-ES"/>
              </w:rPr>
              <w:t>a</w:t>
            </w:r>
            <w:r w:rsidRPr="008816F7">
              <w:rPr>
                <w:rFonts w:ascii="Verdana" w:eastAsia="Arial" w:hAnsi="Verdana" w:cs="Arial"/>
                <w:spacing w:val="-12"/>
                <w:lang w:val="es-ES"/>
              </w:rPr>
              <w:t xml:space="preserve"> </w:t>
            </w:r>
            <w:r w:rsidRPr="008816F7">
              <w:rPr>
                <w:rFonts w:ascii="Verdana" w:eastAsia="Arial" w:hAnsi="Verdana" w:cs="Arial"/>
                <w:lang w:val="es-ES"/>
              </w:rPr>
              <w:t>la</w:t>
            </w:r>
            <w:r w:rsidRPr="008816F7">
              <w:rPr>
                <w:rFonts w:ascii="Verdana" w:eastAsia="Arial" w:hAnsi="Verdana" w:cs="Arial"/>
                <w:spacing w:val="-12"/>
                <w:lang w:val="es-ES"/>
              </w:rPr>
              <w:t xml:space="preserve"> </w:t>
            </w:r>
            <w:r w:rsidRPr="008816F7">
              <w:rPr>
                <w:rFonts w:ascii="Verdana" w:eastAsia="Arial" w:hAnsi="Verdana" w:cs="Arial"/>
                <w:lang w:val="es-ES"/>
              </w:rPr>
              <w:t>aplicación</w:t>
            </w:r>
            <w:r w:rsidRPr="008816F7">
              <w:rPr>
                <w:rFonts w:ascii="Verdana" w:eastAsia="Arial" w:hAnsi="Verdana" w:cs="Arial"/>
                <w:spacing w:val="-11"/>
                <w:lang w:val="es-ES"/>
              </w:rPr>
              <w:t xml:space="preserve"> </w:t>
            </w:r>
            <w:r w:rsidRPr="008816F7">
              <w:rPr>
                <w:rFonts w:ascii="Verdana" w:eastAsia="Arial" w:hAnsi="Verdana" w:cs="Arial"/>
                <w:lang w:val="es-ES"/>
              </w:rPr>
              <w:t>del</w:t>
            </w:r>
            <w:r w:rsidRPr="008816F7">
              <w:rPr>
                <w:rFonts w:ascii="Verdana" w:eastAsia="Arial" w:hAnsi="Verdana" w:cs="Arial"/>
                <w:spacing w:val="-12"/>
                <w:lang w:val="es-ES"/>
              </w:rPr>
              <w:t xml:space="preserve"> </w:t>
            </w:r>
            <w:r w:rsidRPr="008816F7">
              <w:rPr>
                <w:rFonts w:ascii="Verdana" w:eastAsia="Arial" w:hAnsi="Verdana" w:cs="Arial"/>
                <w:lang w:val="es-ES"/>
              </w:rPr>
              <w:t>documento</w:t>
            </w:r>
            <w:r w:rsidRPr="008816F7">
              <w:rPr>
                <w:rFonts w:ascii="Verdana" w:eastAsia="Arial" w:hAnsi="Verdana" w:cs="Arial"/>
                <w:spacing w:val="-12"/>
                <w:lang w:val="es-ES"/>
              </w:rPr>
              <w:t xml:space="preserve"> </w:t>
            </w:r>
            <w:r w:rsidRPr="008816F7">
              <w:rPr>
                <w:rFonts w:ascii="Verdana" w:eastAsia="Arial" w:hAnsi="Verdana" w:cs="Arial"/>
                <w:lang w:val="es-ES"/>
              </w:rPr>
              <w:t>base</w:t>
            </w:r>
            <w:r w:rsidRPr="008816F7">
              <w:rPr>
                <w:rFonts w:ascii="Verdana" w:eastAsia="Arial" w:hAnsi="Verdana" w:cs="Arial"/>
                <w:spacing w:val="-11"/>
                <w:lang w:val="es-ES"/>
              </w:rPr>
              <w:t xml:space="preserve"> </w:t>
            </w:r>
            <w:r w:rsidRPr="008816F7">
              <w:rPr>
                <w:rFonts w:ascii="Verdana" w:eastAsia="Arial" w:hAnsi="Verdana" w:cs="Arial"/>
                <w:lang w:val="es-ES"/>
              </w:rPr>
              <w:t>es</w:t>
            </w:r>
            <w:r w:rsidRPr="008816F7">
              <w:rPr>
                <w:rFonts w:ascii="Verdana" w:eastAsia="Arial" w:hAnsi="Verdana" w:cs="Arial"/>
                <w:spacing w:val="-12"/>
                <w:lang w:val="es-ES"/>
              </w:rPr>
              <w:t xml:space="preserve"> </w:t>
            </w:r>
            <w:r w:rsidRPr="008816F7">
              <w:rPr>
                <w:rFonts w:ascii="Verdana" w:eastAsia="Arial" w:hAnsi="Verdana" w:cs="Arial"/>
                <w:lang w:val="es-ES"/>
              </w:rPr>
              <w:t>su inalterabilidad. Por lo tanto, no se podrán incluir o modificar dentro de los documentos del proceso las condiciones habilitantes, los factores técnicos y económicos de escogencia y los sistemas de ponderación señalados en los documentos tipo, sin perjuicio de lo dispuesto en el artículo</w:t>
            </w:r>
            <w:r w:rsidRPr="008816F7">
              <w:rPr>
                <w:rFonts w:ascii="Verdana" w:eastAsia="Arial" w:hAnsi="Verdana" w:cs="Arial"/>
                <w:spacing w:val="-15"/>
                <w:lang w:val="es-ES"/>
              </w:rPr>
              <w:t xml:space="preserve"> </w:t>
            </w:r>
            <w:r w:rsidRPr="008816F7">
              <w:rPr>
                <w:rFonts w:ascii="Verdana" w:eastAsia="Arial" w:hAnsi="Verdana" w:cs="Arial"/>
                <w:lang w:val="es-ES"/>
              </w:rPr>
              <w:t>4</w:t>
            </w:r>
            <w:r w:rsidRPr="008816F7">
              <w:rPr>
                <w:rFonts w:ascii="Verdana" w:eastAsia="Arial" w:hAnsi="Verdana" w:cs="Arial"/>
                <w:spacing w:val="-14"/>
                <w:lang w:val="es-ES"/>
              </w:rPr>
              <w:t xml:space="preserve"> </w:t>
            </w:r>
            <w:r w:rsidRPr="008816F7">
              <w:rPr>
                <w:rFonts w:ascii="Verdana" w:eastAsia="Arial" w:hAnsi="Verdana" w:cs="Arial"/>
                <w:lang w:val="es-ES"/>
              </w:rPr>
              <w:t>de</w:t>
            </w:r>
            <w:r w:rsidRPr="008816F7">
              <w:rPr>
                <w:rFonts w:ascii="Verdana" w:eastAsia="Arial" w:hAnsi="Verdana" w:cs="Arial"/>
                <w:spacing w:val="-14"/>
                <w:lang w:val="es-ES"/>
              </w:rPr>
              <w:t xml:space="preserve"> </w:t>
            </w:r>
            <w:r w:rsidRPr="008816F7">
              <w:rPr>
                <w:rFonts w:ascii="Verdana" w:eastAsia="Arial" w:hAnsi="Verdana" w:cs="Arial"/>
                <w:lang w:val="es-ES"/>
              </w:rPr>
              <w:t>la</w:t>
            </w:r>
            <w:r w:rsidRPr="008816F7">
              <w:rPr>
                <w:rFonts w:ascii="Verdana" w:eastAsia="Arial" w:hAnsi="Verdana" w:cs="Arial"/>
                <w:spacing w:val="-14"/>
                <w:lang w:val="es-ES"/>
              </w:rPr>
              <w:t xml:space="preserve"> </w:t>
            </w:r>
            <w:r w:rsidRPr="008816F7">
              <w:rPr>
                <w:rFonts w:ascii="Verdana" w:eastAsia="Arial" w:hAnsi="Verdana" w:cs="Arial"/>
                <w:lang w:val="es-ES"/>
              </w:rPr>
              <w:t>Resolución</w:t>
            </w:r>
            <w:r w:rsidRPr="008816F7">
              <w:rPr>
                <w:rFonts w:ascii="Verdana" w:eastAsia="Arial" w:hAnsi="Verdana" w:cs="Arial"/>
                <w:spacing w:val="-13"/>
                <w:lang w:val="es-ES"/>
              </w:rPr>
              <w:t xml:space="preserve"> No. </w:t>
            </w:r>
            <w:r w:rsidRPr="008816F7">
              <w:rPr>
                <w:rFonts w:ascii="Verdana" w:eastAsia="Arial" w:hAnsi="Verdana" w:cs="Arial"/>
                <w:lang w:val="es-ES"/>
              </w:rPr>
              <w:t>5</w:t>
            </w:r>
            <w:r>
              <w:rPr>
                <w:rFonts w:ascii="Verdana" w:eastAsia="Arial" w:hAnsi="Verdana" w:cs="Arial"/>
                <w:lang w:val="es-ES"/>
              </w:rPr>
              <w:t>40</w:t>
            </w:r>
            <w:r w:rsidRPr="008816F7">
              <w:rPr>
                <w:rFonts w:ascii="Verdana" w:eastAsia="Arial" w:hAnsi="Verdana" w:cs="Arial"/>
                <w:spacing w:val="-14"/>
                <w:lang w:val="es-ES"/>
              </w:rPr>
              <w:t xml:space="preserve"> </w:t>
            </w:r>
            <w:r w:rsidRPr="008816F7">
              <w:rPr>
                <w:rFonts w:ascii="Verdana" w:eastAsia="Arial" w:hAnsi="Verdana" w:cs="Arial"/>
                <w:lang w:val="es-ES"/>
              </w:rPr>
              <w:t>de</w:t>
            </w:r>
            <w:r w:rsidRPr="008816F7">
              <w:rPr>
                <w:rFonts w:ascii="Verdana" w:eastAsia="Arial" w:hAnsi="Verdana" w:cs="Arial"/>
                <w:spacing w:val="-14"/>
                <w:lang w:val="es-ES"/>
              </w:rPr>
              <w:t xml:space="preserve"> </w:t>
            </w:r>
            <w:r w:rsidRPr="008816F7">
              <w:rPr>
                <w:rFonts w:ascii="Verdana" w:eastAsia="Arial" w:hAnsi="Verdana" w:cs="Arial"/>
                <w:lang w:val="es-ES"/>
              </w:rPr>
              <w:t>2025.</w:t>
            </w:r>
            <w:r w:rsidRPr="008816F7">
              <w:rPr>
                <w:rFonts w:ascii="Verdana" w:eastAsia="Arial" w:hAnsi="Verdana" w:cs="Arial"/>
                <w:spacing w:val="-14"/>
                <w:lang w:val="es-ES"/>
              </w:rPr>
              <w:t xml:space="preserve"> </w:t>
            </w:r>
            <w:r w:rsidRPr="008816F7">
              <w:rPr>
                <w:rFonts w:ascii="Verdana" w:eastAsia="Arial" w:hAnsi="Verdana" w:cs="Arial"/>
                <w:lang w:val="es-ES"/>
              </w:rPr>
              <w:t>Por</w:t>
            </w:r>
            <w:r w:rsidRPr="008816F7">
              <w:rPr>
                <w:rFonts w:ascii="Verdana" w:eastAsia="Arial" w:hAnsi="Verdana" w:cs="Arial"/>
                <w:spacing w:val="-13"/>
                <w:lang w:val="es-ES"/>
              </w:rPr>
              <w:t xml:space="preserve"> </w:t>
            </w:r>
            <w:r w:rsidRPr="008816F7">
              <w:rPr>
                <w:rFonts w:ascii="Verdana" w:eastAsia="Arial" w:hAnsi="Verdana" w:cs="Arial"/>
                <w:lang w:val="es-ES"/>
              </w:rPr>
              <w:t>tanto,</w:t>
            </w:r>
            <w:r w:rsidRPr="008816F7">
              <w:rPr>
                <w:rFonts w:ascii="Verdana" w:eastAsia="Arial" w:hAnsi="Verdana" w:cs="Arial"/>
                <w:spacing w:val="-13"/>
                <w:lang w:val="es-ES"/>
              </w:rPr>
              <w:t xml:space="preserve"> </w:t>
            </w:r>
            <w:r w:rsidRPr="008816F7">
              <w:rPr>
                <w:rFonts w:ascii="Verdana" w:eastAsia="Arial" w:hAnsi="Verdana" w:cs="Arial"/>
                <w:lang w:val="es-ES"/>
              </w:rPr>
              <w:t>si</w:t>
            </w:r>
            <w:r w:rsidRPr="008816F7">
              <w:rPr>
                <w:rFonts w:ascii="Verdana" w:eastAsia="Arial" w:hAnsi="Verdana" w:cs="Arial"/>
                <w:spacing w:val="-14"/>
                <w:lang w:val="es-ES"/>
              </w:rPr>
              <w:t xml:space="preserve"> </w:t>
            </w:r>
            <w:r w:rsidRPr="008816F7">
              <w:rPr>
                <w:rFonts w:ascii="Verdana" w:eastAsia="Arial" w:hAnsi="Verdana" w:cs="Arial"/>
                <w:lang w:val="es-ES"/>
              </w:rPr>
              <w:t>el</w:t>
            </w:r>
            <w:r w:rsidRPr="008816F7">
              <w:rPr>
                <w:rFonts w:ascii="Verdana" w:eastAsia="Arial" w:hAnsi="Verdana" w:cs="Arial"/>
                <w:spacing w:val="-15"/>
                <w:lang w:val="es-ES"/>
              </w:rPr>
              <w:t xml:space="preserve"> </w:t>
            </w:r>
            <w:r w:rsidRPr="008816F7">
              <w:rPr>
                <w:rFonts w:ascii="Verdana" w:eastAsia="Arial" w:hAnsi="Verdana" w:cs="Arial"/>
                <w:lang w:val="es-ES"/>
              </w:rPr>
              <w:t>objeto</w:t>
            </w:r>
            <w:r w:rsidRPr="008816F7">
              <w:rPr>
                <w:rFonts w:ascii="Verdana" w:eastAsia="Arial" w:hAnsi="Verdana" w:cs="Arial"/>
                <w:spacing w:val="-14"/>
                <w:lang w:val="es-ES"/>
              </w:rPr>
              <w:t xml:space="preserve"> </w:t>
            </w:r>
            <w:r w:rsidRPr="008816F7">
              <w:rPr>
                <w:rFonts w:ascii="Verdana" w:eastAsia="Arial" w:hAnsi="Verdana" w:cs="Arial"/>
                <w:lang w:val="es-ES"/>
              </w:rPr>
              <w:t>contractual</w:t>
            </w:r>
            <w:r w:rsidRPr="008816F7">
              <w:rPr>
                <w:rFonts w:ascii="Verdana" w:eastAsia="Arial" w:hAnsi="Verdana" w:cs="Arial"/>
                <w:spacing w:val="-14"/>
                <w:lang w:val="es-ES"/>
              </w:rPr>
              <w:t xml:space="preserve"> </w:t>
            </w:r>
            <w:r w:rsidRPr="008816F7">
              <w:rPr>
                <w:rFonts w:ascii="Verdana" w:eastAsia="Arial" w:hAnsi="Verdana" w:cs="Arial"/>
                <w:lang w:val="es-ES"/>
              </w:rPr>
              <w:t>incluye</w:t>
            </w:r>
            <w:r w:rsidRPr="008816F7">
              <w:rPr>
                <w:rFonts w:ascii="Verdana" w:eastAsia="Arial" w:hAnsi="Verdana" w:cs="Arial"/>
                <w:spacing w:val="-14"/>
                <w:lang w:val="es-ES"/>
              </w:rPr>
              <w:t xml:space="preserve"> obras, </w:t>
            </w:r>
            <w:r w:rsidRPr="008816F7">
              <w:rPr>
                <w:rFonts w:ascii="Verdana" w:eastAsia="Arial" w:hAnsi="Verdana" w:cs="Arial"/>
                <w:lang w:val="es-ES"/>
              </w:rPr>
              <w:t>bienes o</w:t>
            </w:r>
            <w:r w:rsidRPr="008816F7">
              <w:rPr>
                <w:rFonts w:ascii="Verdana" w:eastAsia="Arial" w:hAnsi="Verdana" w:cs="Arial"/>
                <w:spacing w:val="-16"/>
                <w:lang w:val="es-ES"/>
              </w:rPr>
              <w:t xml:space="preserve"> </w:t>
            </w:r>
            <w:r w:rsidRPr="00C56BE1">
              <w:rPr>
                <w:rFonts w:ascii="Verdana" w:eastAsia="Arial" w:hAnsi="Verdana" w:cs="Arial"/>
                <w:lang w:val="es-ES"/>
              </w:rPr>
              <w:t>servicios</w:t>
            </w:r>
            <w:r w:rsidRPr="00C56BE1">
              <w:rPr>
                <w:rFonts w:ascii="Verdana" w:eastAsia="Arial" w:hAnsi="Verdana" w:cs="Arial"/>
                <w:spacing w:val="-15"/>
                <w:lang w:val="es-ES"/>
              </w:rPr>
              <w:t xml:space="preserve"> </w:t>
            </w:r>
            <w:r w:rsidRPr="00C56BE1">
              <w:rPr>
                <w:rFonts w:ascii="Verdana" w:eastAsia="Arial" w:hAnsi="Verdana" w:cs="Arial"/>
                <w:lang w:val="es-ES"/>
              </w:rPr>
              <w:t>ajenos</w:t>
            </w:r>
            <w:r w:rsidRPr="00C56BE1">
              <w:rPr>
                <w:rFonts w:ascii="Verdana" w:eastAsia="Arial" w:hAnsi="Verdana" w:cs="Arial"/>
                <w:spacing w:val="-15"/>
                <w:lang w:val="es-ES"/>
              </w:rPr>
              <w:t xml:space="preserve"> </w:t>
            </w:r>
            <w:r w:rsidRPr="00C56BE1">
              <w:rPr>
                <w:rFonts w:ascii="Verdana" w:eastAsia="Arial" w:hAnsi="Verdana" w:cs="Arial"/>
                <w:lang w:val="es-ES"/>
              </w:rPr>
              <w:t>a</w:t>
            </w:r>
            <w:r w:rsidRPr="00C56BE1">
              <w:rPr>
                <w:rFonts w:ascii="Verdana" w:eastAsia="Arial" w:hAnsi="Verdana" w:cs="Arial"/>
                <w:spacing w:val="-15"/>
                <w:lang w:val="es-ES"/>
              </w:rPr>
              <w:t xml:space="preserve"> </w:t>
            </w:r>
            <w:r w:rsidRPr="00C56BE1">
              <w:rPr>
                <w:rFonts w:ascii="Verdana" w:eastAsia="Arial" w:hAnsi="Verdana" w:cs="Arial"/>
                <w:lang w:val="es-ES"/>
              </w:rPr>
              <w:t>la</w:t>
            </w:r>
            <w:r w:rsidRPr="00C56BE1">
              <w:rPr>
                <w:rFonts w:ascii="Verdana" w:eastAsia="Arial" w:hAnsi="Verdana" w:cs="Arial"/>
                <w:spacing w:val="-15"/>
                <w:lang w:val="es-ES"/>
              </w:rPr>
              <w:t xml:space="preserve"> </w:t>
            </w:r>
            <w:r w:rsidRPr="00C56BE1">
              <w:rPr>
                <w:rFonts w:ascii="Verdana" w:eastAsia="Arial" w:hAnsi="Verdana" w:cs="Arial"/>
                <w:lang w:val="es-ES"/>
              </w:rPr>
              <w:t>obra</w:t>
            </w:r>
            <w:r w:rsidRPr="00C56BE1">
              <w:rPr>
                <w:rFonts w:ascii="Verdana" w:eastAsia="Arial" w:hAnsi="Verdana" w:cs="Arial"/>
                <w:spacing w:val="-15"/>
                <w:lang w:val="es-ES"/>
              </w:rPr>
              <w:t xml:space="preserve"> </w:t>
            </w:r>
            <w:r w:rsidRPr="00C56BE1">
              <w:rPr>
                <w:rFonts w:ascii="Verdana" w:eastAsia="Arial" w:hAnsi="Verdana" w:cs="Arial"/>
                <w:lang w:val="es-ES"/>
              </w:rPr>
              <w:t>pública</w:t>
            </w:r>
            <w:r w:rsidRPr="00C56BE1">
              <w:rPr>
                <w:rFonts w:ascii="Verdana" w:eastAsia="Arial" w:hAnsi="Verdana" w:cs="Arial"/>
                <w:spacing w:val="-16"/>
                <w:lang w:val="es-ES"/>
              </w:rPr>
              <w:t xml:space="preserve"> </w:t>
            </w:r>
            <w:r w:rsidRPr="00C56BE1">
              <w:rPr>
                <w:rFonts w:ascii="Verdana" w:eastAsia="Arial" w:hAnsi="Verdana" w:cs="Arial"/>
                <w:lang w:val="es-ES"/>
              </w:rPr>
              <w:t>de</w:t>
            </w:r>
            <w:r w:rsidRPr="00C56BE1">
              <w:rPr>
                <w:rFonts w:ascii="Verdana" w:eastAsia="Arial" w:hAnsi="Verdana" w:cs="Arial"/>
                <w:spacing w:val="-15"/>
                <w:lang w:val="es-ES"/>
              </w:rPr>
              <w:t xml:space="preserve"> </w:t>
            </w:r>
            <w:r w:rsidRPr="00C56BE1">
              <w:rPr>
                <w:rFonts w:ascii="Verdana" w:eastAsia="Arial" w:hAnsi="Verdana" w:cs="Arial"/>
                <w:lang w:val="es-ES"/>
              </w:rPr>
              <w:t>infraestructura social,</w:t>
            </w:r>
            <w:r w:rsidRPr="00C56BE1">
              <w:rPr>
                <w:rFonts w:ascii="Verdana" w:eastAsia="Arial" w:hAnsi="Verdana" w:cs="Arial"/>
                <w:spacing w:val="-14"/>
                <w:lang w:val="es-ES"/>
              </w:rPr>
              <w:t xml:space="preserve"> </w:t>
            </w:r>
            <w:r w:rsidRPr="00C56BE1">
              <w:rPr>
                <w:rFonts w:ascii="Verdana" w:eastAsia="Arial" w:hAnsi="Verdana" w:cs="Arial"/>
                <w:lang w:val="es-ES"/>
              </w:rPr>
              <w:t>de</w:t>
            </w:r>
            <w:r w:rsidRPr="00C56BE1">
              <w:rPr>
                <w:rFonts w:ascii="Verdana" w:eastAsia="Arial" w:hAnsi="Verdana" w:cs="Arial"/>
                <w:spacing w:val="-16"/>
                <w:lang w:val="es-ES"/>
              </w:rPr>
              <w:t xml:space="preserve"> </w:t>
            </w:r>
            <w:r w:rsidRPr="00C56BE1">
              <w:rPr>
                <w:rFonts w:ascii="Verdana" w:eastAsia="Arial" w:hAnsi="Verdana" w:cs="Arial"/>
                <w:lang w:val="es-ES"/>
              </w:rPr>
              <w:t>allí</w:t>
            </w:r>
            <w:r w:rsidRPr="00C56BE1">
              <w:rPr>
                <w:rFonts w:ascii="Verdana" w:eastAsia="Arial" w:hAnsi="Verdana" w:cs="Arial"/>
                <w:spacing w:val="-15"/>
                <w:lang w:val="es-ES"/>
              </w:rPr>
              <w:t xml:space="preserve"> </w:t>
            </w:r>
            <w:r w:rsidRPr="00C56BE1">
              <w:rPr>
                <w:rFonts w:ascii="Verdana" w:eastAsia="Arial" w:hAnsi="Verdana" w:cs="Arial"/>
                <w:lang w:val="es-ES"/>
              </w:rPr>
              <w:t>solo</w:t>
            </w:r>
            <w:r w:rsidRPr="00C56BE1">
              <w:rPr>
                <w:rFonts w:ascii="Verdana" w:eastAsia="Arial" w:hAnsi="Verdana" w:cs="Arial"/>
                <w:spacing w:val="-15"/>
                <w:lang w:val="es-ES"/>
              </w:rPr>
              <w:t xml:space="preserve"> </w:t>
            </w:r>
            <w:r w:rsidRPr="00C56BE1">
              <w:rPr>
                <w:rFonts w:ascii="Verdana" w:eastAsia="Arial" w:hAnsi="Verdana" w:cs="Arial"/>
                <w:lang w:val="es-ES"/>
              </w:rPr>
              <w:t>se</w:t>
            </w:r>
            <w:r w:rsidRPr="00C56BE1">
              <w:rPr>
                <w:rFonts w:ascii="Verdana" w:eastAsia="Arial" w:hAnsi="Verdana" w:cs="Arial"/>
                <w:spacing w:val="-15"/>
                <w:lang w:val="es-ES"/>
              </w:rPr>
              <w:t xml:space="preserve"> </w:t>
            </w:r>
            <w:r w:rsidRPr="00C56BE1">
              <w:rPr>
                <w:rFonts w:ascii="Verdana" w:eastAsia="Arial" w:hAnsi="Verdana" w:cs="Arial"/>
                <w:lang w:val="es-ES"/>
              </w:rPr>
              <w:t>deriva que podrá incluirse la experiencia adicional que se considere conveniente, atendiendo a las reglas explicadas con</w:t>
            </w:r>
            <w:r w:rsidRPr="00C56BE1">
              <w:rPr>
                <w:rFonts w:ascii="Verdana" w:eastAsia="Arial" w:hAnsi="Verdana" w:cs="Arial"/>
                <w:spacing w:val="-7"/>
                <w:lang w:val="es-ES"/>
              </w:rPr>
              <w:t xml:space="preserve"> </w:t>
            </w:r>
            <w:r w:rsidRPr="00C56BE1">
              <w:rPr>
                <w:rFonts w:ascii="Verdana" w:eastAsia="Arial" w:hAnsi="Verdana" w:cs="Arial"/>
                <w:lang w:val="es-ES"/>
              </w:rPr>
              <w:t>anterioridad.</w:t>
            </w:r>
          </w:p>
          <w:p w14:paraId="7784FF60" w14:textId="77777777" w:rsidR="00180E1F" w:rsidRDefault="00180E1F" w:rsidP="00670B64">
            <w:pPr>
              <w:widowControl w:val="0"/>
              <w:autoSpaceDE w:val="0"/>
              <w:autoSpaceDN w:val="0"/>
              <w:spacing w:before="120" w:after="120" w:line="276" w:lineRule="auto"/>
              <w:ind w:firstLine="708"/>
              <w:jc w:val="both"/>
              <w:rPr>
                <w:rFonts w:ascii="Verdana" w:eastAsia="Arial" w:hAnsi="Verdana" w:cs="Arial"/>
                <w:lang w:val="es-ES"/>
              </w:rPr>
            </w:pPr>
            <w:r w:rsidRPr="00954B5E">
              <w:rPr>
                <w:rFonts w:ascii="Verdana" w:eastAsia="Arial" w:hAnsi="Verdana" w:cs="Arial"/>
                <w:lang w:val="es-ES"/>
              </w:rPr>
              <w:t xml:space="preserve">En este sentido, cuando se pretenda ejecutar una de las actividades </w:t>
            </w:r>
            <w:r w:rsidRPr="00954B5E">
              <w:rPr>
                <w:rFonts w:ascii="Verdana" w:eastAsia="Arial" w:hAnsi="Verdana" w:cs="Arial"/>
                <w:lang w:val="es-ES"/>
              </w:rPr>
              <w:lastRenderedPageBreak/>
              <w:t>establecidas en la “Matriz – Experiencia” de los documentos tipo adoptados en el sector social y adicionalmente se requiera contratar otro tipo de obras, bienes y servicios adicionales a la obra pública de infraestructura social, los documentos tipo adoptados son obligatorios.</w:t>
            </w:r>
          </w:p>
          <w:p w14:paraId="4446045B" w14:textId="77777777" w:rsidR="00180E1F" w:rsidRDefault="00180E1F" w:rsidP="72E9B2C5">
            <w:pPr>
              <w:spacing w:before="120" w:after="120" w:line="276" w:lineRule="auto"/>
              <w:ind w:firstLine="708"/>
              <w:jc w:val="both"/>
              <w:rPr>
                <w:rFonts w:ascii="Verdana" w:eastAsia="Arial" w:hAnsi="Verdana" w:cs="Arial"/>
              </w:rPr>
            </w:pPr>
            <w:proofErr w:type="spellStart"/>
            <w:r>
              <w:rPr>
                <w:rFonts w:ascii="Verdana" w:hAnsi="Verdana"/>
              </w:rPr>
              <w:t>i</w:t>
            </w:r>
            <w:r w:rsidRPr="72E9B2C5">
              <w:rPr>
                <w:rFonts w:eastAsiaTheme="minorEastAsia"/>
              </w:rPr>
              <w:t>i</w:t>
            </w:r>
            <w:proofErr w:type="spellEnd"/>
            <w:r w:rsidRPr="72E9B2C5">
              <w:rPr>
                <w:rFonts w:eastAsiaTheme="minorEastAsia"/>
              </w:rPr>
              <w:t xml:space="preserve"> y </w:t>
            </w:r>
            <w:proofErr w:type="spellStart"/>
            <w:r w:rsidRPr="72E9B2C5">
              <w:rPr>
                <w:rFonts w:eastAsiaTheme="minorEastAsia"/>
              </w:rPr>
              <w:t>iii</w:t>
            </w:r>
            <w:proofErr w:type="spellEnd"/>
            <w:r w:rsidRPr="72E9B2C5">
              <w:rPr>
                <w:rFonts w:eastAsiaTheme="minorEastAsia"/>
              </w:rPr>
              <w:t>. Los problemas jurídicos dos (2) y tres (3), por unidad de materia, se responderán de forma conjunta en los siguientes términos:</w:t>
            </w:r>
          </w:p>
          <w:p w14:paraId="4D21E1E9" w14:textId="77777777" w:rsidR="00180E1F" w:rsidRDefault="00180E1F" w:rsidP="72E9B2C5">
            <w:pPr>
              <w:spacing w:before="120" w:after="120" w:line="276" w:lineRule="auto"/>
              <w:ind w:firstLine="708"/>
              <w:jc w:val="both"/>
              <w:rPr>
                <w:rFonts w:ascii="Verdana" w:eastAsia="Arial" w:hAnsi="Verdana" w:cs="Arial"/>
              </w:rPr>
            </w:pPr>
            <w:r w:rsidRPr="72E9B2C5">
              <w:rPr>
                <w:rFonts w:ascii="Verdana" w:eastAsia="Arial" w:hAnsi="Verdana" w:cs="Arial"/>
              </w:rPr>
              <w:t>El Parágrafo 4° del artículo 4 de la Resolución 540 de 2025, fija el límite cuantitativo de actividades que la Entidad Estatal puede exigir dentro de un mismo proceso de selección, cuando se requieren bienes, obras o servicios adicionales a la obra pública de infraestructura social.</w:t>
            </w:r>
          </w:p>
          <w:p w14:paraId="27E49318" w14:textId="77777777" w:rsidR="00180E1F" w:rsidRPr="00954B5E" w:rsidRDefault="00180E1F" w:rsidP="72E9B2C5">
            <w:pPr>
              <w:spacing w:before="120" w:after="120" w:line="276" w:lineRule="auto"/>
              <w:ind w:firstLine="708"/>
              <w:jc w:val="both"/>
              <w:rPr>
                <w:rFonts w:ascii="Verdana" w:eastAsia="Arial" w:hAnsi="Verdana" w:cs="Arial"/>
              </w:rPr>
            </w:pPr>
            <w:r w:rsidRPr="72E9B2C5">
              <w:rPr>
                <w:rFonts w:ascii="Verdana" w:eastAsia="Arial" w:hAnsi="Verdana" w:cs="Arial"/>
              </w:rPr>
              <w:t>Es así como, la disposición señala de manera expresa que “(…) la entidad no podrá solicitar más de tres actividades en total, incluyendo la actividad principal”, precisando que, además de esta, la entidad únicamente podrá determinar si exige “(…) dos actividades secundarias o una actividad secundaria y una adicional”. En este sentido, el uso de la conjunción disyuntiva “o” excluye la posibilidad de acumular ambas exigencias, de manera que el límite de tres (3) actividades opera como absoluto, sin que la disposición prevea alguna excepción en función de la complejidad técnica del proyecto.</w:t>
            </w:r>
          </w:p>
          <w:p w14:paraId="06EBC555" w14:textId="77777777" w:rsidR="00180E1F" w:rsidRDefault="00180E1F" w:rsidP="00670B64">
            <w:pPr>
              <w:pStyle w:val="font-claude-response-body"/>
              <w:spacing w:before="120" w:beforeAutospacing="0" w:after="120" w:afterAutospacing="0" w:line="276" w:lineRule="auto"/>
              <w:ind w:firstLine="708"/>
              <w:jc w:val="both"/>
              <w:rPr>
                <w:rFonts w:ascii="Verdana" w:hAnsi="Verdana"/>
                <w:sz w:val="22"/>
                <w:szCs w:val="22"/>
              </w:rPr>
            </w:pPr>
            <w:r w:rsidRPr="72E9B2C5">
              <w:rPr>
                <w:rFonts w:ascii="Verdana" w:hAnsi="Verdana"/>
                <w:sz w:val="22"/>
                <w:szCs w:val="22"/>
              </w:rPr>
              <w:t xml:space="preserve">Lo anterior no impide, sin embargo, que la Entidad acuda a otras reglas del mismo artículo cuando el objeto contractual lo permita. Así, el Parágrafo 1° dispone que, </w:t>
            </w:r>
            <w:r w:rsidRPr="72E9B2C5">
              <w:rPr>
                <w:rFonts w:ascii="Verdana" w:hAnsi="Verdana"/>
                <w:i/>
                <w:sz w:val="22"/>
                <w:szCs w:val="22"/>
              </w:rPr>
              <w:t>“(…) en los casos que el objeto contractual incluya actividades abarcadas por otros documentos tipo, la Entidad Estatal aplicará las reglas de combinación de experiencia previstas en el numeral 3.5.1 del documento base”,</w:t>
            </w:r>
            <w:r w:rsidRPr="72E9B2C5">
              <w:rPr>
                <w:rFonts w:ascii="Verdana" w:hAnsi="Verdana"/>
                <w:sz w:val="22"/>
                <w:szCs w:val="22"/>
              </w:rPr>
              <w:t xml:space="preserve"> de modo que, en aquellos componentes que se encuentren contemplados en otra matriz de experiencia vigente deberán tramitarse bajo el régimen general de combinación de experiencia, y no bajo el régimen de experiencia adicional del artículo 4 de la Resolución 540 de 2025. Adicionalmente, el Parágrafo 2° define las </w:t>
            </w:r>
            <w:r w:rsidRPr="72E9B2C5">
              <w:rPr>
                <w:rFonts w:ascii="Verdana" w:hAnsi="Verdana"/>
                <w:i/>
                <w:sz w:val="22"/>
                <w:szCs w:val="22"/>
              </w:rPr>
              <w:t xml:space="preserve">“(…) obras, bienes o servicios adicionales (…)” </w:t>
            </w:r>
            <w:r w:rsidRPr="72E9B2C5">
              <w:rPr>
                <w:rFonts w:ascii="Verdana" w:hAnsi="Verdana"/>
                <w:sz w:val="22"/>
                <w:szCs w:val="22"/>
              </w:rPr>
              <w:t xml:space="preserve">como aquellas actividades que </w:t>
            </w:r>
            <w:r w:rsidRPr="72E9B2C5">
              <w:rPr>
                <w:rFonts w:ascii="Verdana" w:hAnsi="Verdana"/>
                <w:i/>
                <w:sz w:val="22"/>
                <w:szCs w:val="22"/>
              </w:rPr>
              <w:t>“(…) no están incluidas en la matriz de experiencia de los documentos tipo de infraestructura social aplicable o de otras matrices de experiencia de documentos tipo adoptados por esta Agencia”</w:t>
            </w:r>
            <w:r w:rsidRPr="72E9B2C5">
              <w:rPr>
                <w:rFonts w:ascii="Verdana" w:hAnsi="Verdana"/>
                <w:sz w:val="22"/>
                <w:szCs w:val="22"/>
              </w:rPr>
              <w:t xml:space="preserve">, de donde se sigue que la posibilidad de exigir experiencia adicional únicamente resulta procedente cuando la actividad no se encuentra en ninguna matriz de los documentos tipo vigentes. Al margen de estos </w:t>
            </w:r>
            <w:r w:rsidRPr="72E9B2C5">
              <w:rPr>
                <w:rFonts w:ascii="Verdana" w:hAnsi="Verdana"/>
                <w:sz w:val="22"/>
                <w:szCs w:val="22"/>
              </w:rPr>
              <w:lastRenderedPageBreak/>
              <w:t>supuestos, ni el artículo 4 ni el numeral 3.5.1 del documento base contemplan una alternativa que permita exigir de manera simultánea tres actividades distintas de la principal.</w:t>
            </w:r>
          </w:p>
          <w:p w14:paraId="1DFDF78B" w14:textId="77777777" w:rsidR="00180E1F" w:rsidRDefault="00180E1F" w:rsidP="00670B64">
            <w:pPr>
              <w:pStyle w:val="font-claude-response-body"/>
              <w:spacing w:before="120" w:beforeAutospacing="0" w:after="120" w:afterAutospacing="0" w:line="276" w:lineRule="auto"/>
              <w:ind w:firstLine="708"/>
              <w:jc w:val="both"/>
              <w:rPr>
                <w:rFonts w:ascii="Verdana" w:hAnsi="Verdana"/>
                <w:sz w:val="22"/>
                <w:szCs w:val="22"/>
              </w:rPr>
            </w:pPr>
            <w:r w:rsidRPr="72E9B2C5">
              <w:rPr>
                <w:rFonts w:ascii="Verdana" w:hAnsi="Verdana"/>
                <w:sz w:val="22"/>
                <w:szCs w:val="22"/>
              </w:rPr>
              <w:t xml:space="preserve">En cuanto a los efectos de optar por la incorporación de experiencia adicional, debe destacarse que el Parágrafo 4° emplea el verbo “reemplazar”, lo que denota sustitución y no adición de la cuota de actividades secundarias. Así lo confirma la propia disposición al señalar que </w:t>
            </w:r>
            <w:r w:rsidRPr="72E9B2C5">
              <w:rPr>
                <w:rFonts w:ascii="Verdana" w:hAnsi="Verdana"/>
                <w:i/>
                <w:sz w:val="22"/>
                <w:szCs w:val="22"/>
              </w:rPr>
              <w:t xml:space="preserve">“(…) en ningún caso deberá entenderse que la inclusión de una actividad adicional equivale al procedimiento establecido para la combinación de experiencia. Para este último caso, se deberá aplicar lo establecido en el numeral 1 del literal A del numeral 3.5.1 del documento base”. </w:t>
            </w:r>
            <w:r w:rsidRPr="72E9B2C5">
              <w:rPr>
                <w:rFonts w:ascii="Verdana" w:hAnsi="Verdana"/>
                <w:sz w:val="22"/>
                <w:szCs w:val="22"/>
              </w:rPr>
              <w:t>De esta forma, una vez la Entidad opta por incorporar la actividad adicional en reemplazo de una de las dos actividades secundarias, no le es posible acudir posteriormente al régimen de combinación de experiencia del numeral 3.5.1, literal A, para exigir o evaluar esa segunda actividad secundaria como si se tratara de una tercera actividad independiente.</w:t>
            </w:r>
          </w:p>
          <w:p w14:paraId="330E42AC" w14:textId="77777777" w:rsidR="00180E1F" w:rsidRPr="00DF4496" w:rsidRDefault="00180E1F" w:rsidP="00670B64">
            <w:pPr>
              <w:pStyle w:val="font-claude-response-body"/>
              <w:spacing w:before="120" w:beforeAutospacing="0" w:after="120" w:afterAutospacing="0" w:line="276" w:lineRule="auto"/>
              <w:ind w:firstLine="708"/>
              <w:jc w:val="both"/>
              <w:rPr>
                <w:rFonts w:ascii="Verdana" w:hAnsi="Verdana"/>
                <w:sz w:val="22"/>
                <w:szCs w:val="22"/>
              </w:rPr>
            </w:pPr>
            <w:r w:rsidRPr="72E9B2C5">
              <w:rPr>
                <w:rFonts w:ascii="Verdana" w:hAnsi="Verdana"/>
                <w:sz w:val="22"/>
                <w:szCs w:val="22"/>
              </w:rPr>
              <w:t>En los términos señalados con anterioridad, la Entidad que adelanta el proceso de selección con los documentos tipo de selección abreviada de menor cuantía de obra pública de infraestructura social debe aplicar las reglas para solicitar experiencia en relación con las obras, bienes o servicios adicionales a la obra pública, considerando que sobre estos recae la regla de inalterabilidad que se predica de los documentos tipo señalados y que se explica en el punto i. del considerando de este concepto.</w:t>
            </w:r>
          </w:p>
          <w:p w14:paraId="45209CA5" w14:textId="77777777" w:rsidR="00180E1F" w:rsidRPr="008816F7" w:rsidRDefault="00180E1F" w:rsidP="72E9B2C5">
            <w:pPr>
              <w:spacing w:before="120" w:after="120" w:line="276" w:lineRule="auto"/>
              <w:ind w:firstLine="708"/>
              <w:jc w:val="both"/>
              <w:rPr>
                <w:rFonts w:ascii="Verdana" w:eastAsia="Arial" w:hAnsi="Verdana" w:cs="Arial"/>
              </w:rPr>
            </w:pPr>
            <w:r w:rsidRPr="72E9B2C5">
              <w:rPr>
                <w:rFonts w:ascii="Verdana" w:eastAsia="Arial" w:hAnsi="Verdana" w:cs="Arial"/>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F264FD2" w14:textId="77777777" w:rsidR="00180E1F" w:rsidRPr="00DF4496" w:rsidRDefault="00180E1F" w:rsidP="00670B64">
            <w:pPr>
              <w:spacing w:line="276" w:lineRule="auto"/>
              <w:ind w:firstLine="708"/>
              <w:jc w:val="both"/>
              <w:rPr>
                <w:rFonts w:ascii="Verdana" w:eastAsia="Calibri" w:hAnsi="Verdana" w:cs="Arial"/>
                <w:bCs/>
                <w:color w:val="000000"/>
              </w:rPr>
            </w:pPr>
            <w:r w:rsidRPr="72E9B2C5">
              <w:rPr>
                <w:rFonts w:ascii="Verdana" w:eastAsia="Calibri" w:hAnsi="Verdana" w:cs="Arial"/>
                <w:color w:val="000000" w:themeColor="text1"/>
              </w:rPr>
              <w:t xml:space="preserve">Dentro de este marco, la entidad contratante definirá en cada caso concreto lo relacionado con el tema objeto de consulta. Al tratarse de un </w:t>
            </w:r>
            <w:r w:rsidRPr="72E9B2C5">
              <w:rPr>
                <w:rFonts w:ascii="Verdana" w:eastAsia="Calibri" w:hAnsi="Verdana" w:cs="Arial"/>
                <w:color w:val="000000" w:themeColor="text1"/>
              </w:rPr>
              <w:lastRenderedPageBreak/>
              <w:t xml:space="preserve">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tc>
      </w:tr>
    </w:tbl>
    <w:p w14:paraId="2507CD82" w14:textId="77777777" w:rsidR="00180E1F" w:rsidRPr="008816F7" w:rsidRDefault="00180E1F" w:rsidP="00180E1F">
      <w:pPr>
        <w:spacing w:after="0" w:line="276" w:lineRule="auto"/>
        <w:jc w:val="both"/>
        <w:rPr>
          <w:rFonts w:ascii="Verdana" w:eastAsia="Calibri" w:hAnsi="Verdana" w:cs="Arial"/>
          <w:bCs/>
          <w:color w:val="000000"/>
        </w:rPr>
      </w:pPr>
    </w:p>
    <w:p w14:paraId="3763C5E6" w14:textId="77777777" w:rsidR="00180E1F" w:rsidRPr="008816F7" w:rsidRDefault="00180E1F" w:rsidP="00180E1F">
      <w:pPr>
        <w:spacing w:after="0" w:line="256" w:lineRule="auto"/>
        <w:rPr>
          <w:rFonts w:ascii="Verdana" w:eastAsia="Calibri" w:hAnsi="Verdana" w:cs="Times New Roman"/>
          <w:b/>
          <w:bCs/>
          <w:lang w:val="es-ES"/>
        </w:rPr>
      </w:pPr>
      <w:r w:rsidRPr="008816F7">
        <w:rPr>
          <w:rFonts w:ascii="Verdana" w:eastAsia="Calibri" w:hAnsi="Verdana" w:cs="Times New Roman"/>
          <w:b/>
          <w:bCs/>
          <w:lang w:val="es-ES"/>
        </w:rPr>
        <w:t>3. Razones de la respuesta:</w:t>
      </w:r>
    </w:p>
    <w:p w14:paraId="09ABE1F3" w14:textId="77777777" w:rsidR="00180E1F" w:rsidRPr="008816F7" w:rsidRDefault="00180E1F" w:rsidP="00180E1F">
      <w:pPr>
        <w:spacing w:after="0" w:line="256" w:lineRule="auto"/>
        <w:rPr>
          <w:rFonts w:ascii="Verdana" w:eastAsia="Calibri" w:hAnsi="Verdana" w:cs="Times New Roman"/>
          <w:b/>
          <w:bCs/>
          <w:lang w:val="es-ES"/>
        </w:rPr>
      </w:pPr>
    </w:p>
    <w:p w14:paraId="2207CF24" w14:textId="77777777" w:rsidR="00180E1F" w:rsidRPr="008816F7" w:rsidRDefault="00180E1F" w:rsidP="00180E1F">
      <w:pPr>
        <w:spacing w:after="0" w:line="276" w:lineRule="auto"/>
        <w:jc w:val="both"/>
        <w:rPr>
          <w:rFonts w:ascii="Verdana" w:eastAsia="Calibri" w:hAnsi="Verdana" w:cs="Arial"/>
          <w:lang w:val="es-ES"/>
        </w:rPr>
      </w:pPr>
      <w:r w:rsidRPr="008816F7">
        <w:rPr>
          <w:rFonts w:ascii="Verdana" w:eastAsia="Calibri" w:hAnsi="Verdana" w:cs="Arial"/>
          <w:lang w:val="es-ES"/>
        </w:rPr>
        <w:t xml:space="preserve">Lo anterior se sustenta en las siguientes consideraciones: </w:t>
      </w:r>
    </w:p>
    <w:p w14:paraId="20A263D5" w14:textId="77777777" w:rsidR="00180E1F" w:rsidRPr="008816F7" w:rsidRDefault="00180E1F" w:rsidP="00180E1F">
      <w:pPr>
        <w:spacing w:after="0" w:line="276" w:lineRule="auto"/>
        <w:jc w:val="both"/>
        <w:rPr>
          <w:rFonts w:ascii="Verdana" w:eastAsia="Times New Roman" w:hAnsi="Verdana" w:cs="Arial"/>
          <w:color w:val="000000"/>
          <w:lang w:eastAsia="es-CO"/>
        </w:rPr>
      </w:pPr>
    </w:p>
    <w:p w14:paraId="10DCAE5C" w14:textId="77777777" w:rsidR="00180E1F" w:rsidRPr="008816F7" w:rsidRDefault="00180E1F" w:rsidP="00180E1F">
      <w:pPr>
        <w:spacing w:after="120" w:line="276" w:lineRule="auto"/>
        <w:jc w:val="both"/>
        <w:rPr>
          <w:rFonts w:ascii="Verdana" w:eastAsia="Verdana" w:hAnsi="Verdana" w:cs="Verdana"/>
          <w:lang w:val="es-ES"/>
        </w:rPr>
      </w:pPr>
      <w:r w:rsidRPr="008816F7">
        <w:rPr>
          <w:rFonts w:ascii="Verdana" w:eastAsia="Calibri" w:hAnsi="Verdana" w:cs="Arial"/>
          <w:lang w:val="es-ES"/>
        </w:rPr>
        <w:t xml:space="preserve">i. </w:t>
      </w:r>
      <w:r w:rsidRPr="008816F7">
        <w:rPr>
          <w:rFonts w:ascii="Verdana" w:eastAsia="Calibri" w:hAnsi="Verdana" w:cs="Times New Roman"/>
          <w:lang w:val="es-ES"/>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7D19B9F0" w14:textId="77777777" w:rsidR="00180E1F" w:rsidRPr="008816F7" w:rsidRDefault="00180E1F" w:rsidP="00180E1F">
      <w:pPr>
        <w:widowControl w:val="0"/>
        <w:autoSpaceDE w:val="0"/>
        <w:autoSpaceDN w:val="0"/>
        <w:spacing w:after="120" w:line="276" w:lineRule="auto"/>
        <w:ind w:firstLine="708"/>
        <w:jc w:val="both"/>
        <w:rPr>
          <w:rFonts w:ascii="Verdana" w:eastAsia="Calibri" w:hAnsi="Verdana" w:cs="Times New Roman"/>
          <w:lang w:val="es-ES"/>
        </w:rPr>
      </w:pPr>
      <w:r w:rsidRPr="008816F7">
        <w:rPr>
          <w:rFonts w:ascii="Verdana" w:eastAsia="Calibri" w:hAnsi="Verdana" w:cs="Times New Roman"/>
          <w:lang w:val="es-ES"/>
        </w:rPr>
        <w:t>Con sustento en esta competencia, esta Agencia expidió diversos grupos de documentos tipo aplicables principalmente a la contratación de obras públicas de infraestructura de transporte, agua potable,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5EFF2711" w14:textId="77777777" w:rsidR="00180E1F" w:rsidRPr="008816F7" w:rsidRDefault="00180E1F" w:rsidP="00180E1F">
      <w:pPr>
        <w:spacing w:after="120" w:line="276" w:lineRule="auto"/>
        <w:ind w:firstLine="708"/>
        <w:jc w:val="both"/>
        <w:rPr>
          <w:rFonts w:ascii="Verdana" w:eastAsia="Times New Roman" w:hAnsi="Verdana" w:cs="Times New Roman"/>
          <w:color w:val="000000"/>
          <w:lang w:eastAsia="es-CO"/>
        </w:rPr>
      </w:pPr>
      <w:r w:rsidRPr="008816F7">
        <w:rPr>
          <w:rFonts w:ascii="Verdana" w:eastAsia="Aptos" w:hAnsi="Verdana" w:cs="Arial"/>
        </w:rPr>
        <w:t xml:space="preserve">En el sector social, </w:t>
      </w:r>
      <w:r w:rsidRPr="008816F7">
        <w:rPr>
          <w:rFonts w:ascii="Verdana" w:eastAsia="Calibri" w:hAnsi="Verdana" w:cs="Arial"/>
          <w:lang w:val="es-MX"/>
        </w:rPr>
        <w:t xml:space="preserve">la Agencia Nacional de Contratación Pública – Colombia Compra </w:t>
      </w:r>
      <w:r w:rsidRPr="008816F7">
        <w:rPr>
          <w:rFonts w:ascii="Verdana" w:eastAsia="Calibri" w:hAnsi="Verdana" w:cs="Arial"/>
        </w:rPr>
        <w:t xml:space="preserve">Eficiente </w:t>
      </w:r>
      <w:r w:rsidRPr="008816F7">
        <w:rPr>
          <w:rFonts w:ascii="Verdana" w:eastAsia="Times New Roman" w:hAnsi="Verdana" w:cs="Times New Roman"/>
          <w:color w:val="000000"/>
          <w:lang w:eastAsia="es-CO"/>
        </w:rPr>
        <w:t>en el segundo semestre del año 2025 adoptó las siguientes Resoluciones para contratar obra pública y concurso de méritos:</w:t>
      </w:r>
    </w:p>
    <w:p w14:paraId="7D8AB32E" w14:textId="77777777" w:rsidR="00180E1F" w:rsidRPr="008816F7" w:rsidRDefault="00180E1F" w:rsidP="00180E1F">
      <w:pPr>
        <w:spacing w:after="120" w:line="276" w:lineRule="auto"/>
        <w:ind w:firstLine="708"/>
        <w:jc w:val="both"/>
        <w:rPr>
          <w:rFonts w:ascii="Verdana" w:eastAsia="Times New Roman" w:hAnsi="Verdana" w:cs="Times New Roman"/>
          <w:color w:val="000000"/>
          <w:lang w:eastAsia="es-CO"/>
        </w:rPr>
      </w:pPr>
      <w:r w:rsidRPr="008816F7">
        <w:rPr>
          <w:rFonts w:ascii="Verdana" w:eastAsia="Times New Roman" w:hAnsi="Verdana" w:cs="Times New Roman"/>
          <w:color w:val="000000"/>
          <w:lang w:eastAsia="es-CO"/>
        </w:rPr>
        <w:t xml:space="preserve">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w:t>
      </w:r>
      <w:r w:rsidRPr="008816F7">
        <w:rPr>
          <w:rFonts w:ascii="Verdana" w:eastAsia="Times New Roman" w:hAnsi="Verdana" w:cs="Times New Roman"/>
          <w:color w:val="000000"/>
          <w:lang w:eastAsia="es-CO"/>
        </w:rPr>
        <w:lastRenderedPageBreak/>
        <w:t>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4D08DD27" w14:textId="77777777" w:rsidR="00180E1F" w:rsidRPr="008816F7" w:rsidRDefault="00180E1F" w:rsidP="00180E1F">
      <w:pPr>
        <w:spacing w:after="120" w:line="276" w:lineRule="auto"/>
        <w:ind w:firstLine="708"/>
        <w:jc w:val="both"/>
        <w:rPr>
          <w:rFonts w:ascii="Verdana" w:eastAsia="Times New Roman" w:hAnsi="Verdana" w:cs="Times New Roman"/>
          <w:color w:val="000000"/>
          <w:lang w:eastAsia="es-CO"/>
        </w:rPr>
      </w:pPr>
      <w:r w:rsidRPr="008816F7">
        <w:rPr>
          <w:rFonts w:ascii="Verdana" w:eastAsia="Times New Roman" w:hAnsi="Verdana" w:cs="Times New Roman"/>
          <w:color w:val="000000"/>
          <w:lang w:eastAsia="es-CO"/>
        </w:rPr>
        <w:t xml:space="preserve"> </w:t>
      </w:r>
      <w:proofErr w:type="spellStart"/>
      <w:r w:rsidRPr="008816F7">
        <w:rPr>
          <w:rFonts w:ascii="Verdana" w:eastAsia="Times New Roman" w:hAnsi="Verdana" w:cs="Times New Roman"/>
          <w:color w:val="000000"/>
          <w:lang w:eastAsia="es-CO"/>
        </w:rPr>
        <w:t>ii</w:t>
      </w:r>
      <w:proofErr w:type="spellEnd"/>
      <w:r w:rsidRPr="008816F7">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6818FB28" w14:textId="77777777" w:rsidR="00180E1F" w:rsidRPr="008816F7" w:rsidRDefault="00180E1F" w:rsidP="00180E1F">
      <w:pPr>
        <w:spacing w:after="120" w:line="276" w:lineRule="auto"/>
        <w:ind w:firstLine="708"/>
        <w:jc w:val="both"/>
        <w:rPr>
          <w:rFonts w:ascii="Verdana" w:eastAsia="Times New Roman" w:hAnsi="Verdana" w:cs="Times New Roman"/>
          <w:color w:val="000000"/>
          <w:lang w:eastAsia="es-CO"/>
        </w:rPr>
      </w:pPr>
      <w:proofErr w:type="spellStart"/>
      <w:r w:rsidRPr="008816F7">
        <w:rPr>
          <w:rFonts w:ascii="Verdana" w:eastAsia="Times New Roman" w:hAnsi="Verdana" w:cs="Times New Roman"/>
          <w:color w:val="000000"/>
          <w:lang w:eastAsia="es-CO"/>
        </w:rPr>
        <w:t>iii</w:t>
      </w:r>
      <w:proofErr w:type="spellEnd"/>
      <w:r w:rsidRPr="008816F7">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21680D24" w14:textId="77777777" w:rsidR="00180E1F" w:rsidRPr="008816F7" w:rsidRDefault="00180E1F" w:rsidP="00180E1F">
      <w:pPr>
        <w:spacing w:after="120" w:line="276" w:lineRule="auto"/>
        <w:ind w:firstLine="708"/>
        <w:jc w:val="both"/>
        <w:rPr>
          <w:rFonts w:ascii="Verdana" w:eastAsia="Times New Roman" w:hAnsi="Verdana" w:cs="Times New Roman"/>
          <w:color w:val="000000"/>
          <w:lang w:eastAsia="es-CO"/>
        </w:rPr>
      </w:pPr>
      <w:proofErr w:type="spellStart"/>
      <w:r w:rsidRPr="008816F7">
        <w:rPr>
          <w:rFonts w:ascii="Verdana" w:eastAsia="Times New Roman" w:hAnsi="Verdana" w:cs="Times New Roman"/>
          <w:color w:val="000000"/>
          <w:lang w:eastAsia="es-CO"/>
        </w:rPr>
        <w:t>iv</w:t>
      </w:r>
      <w:proofErr w:type="spellEnd"/>
      <w:r w:rsidRPr="008816F7">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2FCCEF3A" w14:textId="77777777" w:rsidR="00180E1F" w:rsidRPr="008816F7" w:rsidRDefault="00180E1F" w:rsidP="00180E1F">
      <w:pPr>
        <w:spacing w:after="120" w:line="276" w:lineRule="auto"/>
        <w:ind w:firstLine="708"/>
        <w:jc w:val="both"/>
        <w:rPr>
          <w:rFonts w:ascii="Verdana" w:eastAsia="Times New Roman" w:hAnsi="Verdana" w:cs="Times New Roman"/>
          <w:color w:val="000000"/>
          <w:lang w:eastAsia="es-CO"/>
        </w:rPr>
      </w:pPr>
      <w:r w:rsidRPr="008816F7">
        <w:rPr>
          <w:rFonts w:ascii="Verdana" w:eastAsia="Times New Roman" w:hAnsi="Verdana" w:cs="Times New Roman"/>
          <w:color w:val="000000"/>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8816F7">
        <w:rPr>
          <w:rFonts w:ascii="Verdana" w:eastAsia="Aptos" w:hAnsi="Verdana" w:cs="Times New Roman"/>
        </w:rPr>
        <w:t xml:space="preserve"> </w:t>
      </w:r>
    </w:p>
    <w:p w14:paraId="6402530B" w14:textId="77777777" w:rsidR="00180E1F" w:rsidRPr="008816F7" w:rsidRDefault="00180E1F" w:rsidP="00180E1F">
      <w:pPr>
        <w:spacing w:after="120" w:line="276" w:lineRule="auto"/>
        <w:ind w:firstLine="708"/>
        <w:jc w:val="both"/>
        <w:textAlignment w:val="baseline"/>
        <w:rPr>
          <w:rFonts w:ascii="Verdana" w:eastAsia="Calibri" w:hAnsi="Verdana" w:cs="Arial"/>
        </w:rPr>
      </w:pPr>
      <w:r w:rsidRPr="008816F7">
        <w:rPr>
          <w:rFonts w:ascii="Verdana" w:eastAsia="Aptos" w:hAnsi="Verdana" w:cs="Times New Roman"/>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w:t>
      </w:r>
      <w:r w:rsidRPr="008816F7">
        <w:rPr>
          <w:rFonts w:ascii="Verdana" w:eastAsia="Aptos" w:hAnsi="Verdana" w:cs="Times New Roman"/>
        </w:rPr>
        <w:lastRenderedPageBreak/>
        <w:t>consultoría enmarcados dentro de los sectores educativo, salud, cultura, recreación y deporte, institucional y vivienda, en los procesos de selección cuyo aviso de convocatoria se publique a partir del 16 de febrero de 2026</w:t>
      </w:r>
      <w:r w:rsidRPr="008816F7">
        <w:rPr>
          <w:rFonts w:ascii="Verdana" w:eastAsia="Calibri" w:hAnsi="Verdana" w:cs="Arial"/>
          <w:vertAlign w:val="superscript"/>
        </w:rPr>
        <w:footnoteReference w:id="2"/>
      </w:r>
      <w:r w:rsidRPr="008816F7">
        <w:rPr>
          <w:rFonts w:ascii="Verdana" w:eastAsia="Calibri" w:hAnsi="Verdana" w:cs="Arial"/>
        </w:rPr>
        <w:t>.</w:t>
      </w:r>
    </w:p>
    <w:p w14:paraId="4838B812" w14:textId="77777777" w:rsidR="00180E1F" w:rsidRPr="008816F7" w:rsidRDefault="00180E1F" w:rsidP="00180E1F">
      <w:pPr>
        <w:widowControl w:val="0"/>
        <w:autoSpaceDE w:val="0"/>
        <w:autoSpaceDN w:val="0"/>
        <w:spacing w:after="120" w:line="276" w:lineRule="auto"/>
        <w:ind w:firstLine="708"/>
        <w:jc w:val="both"/>
        <w:rPr>
          <w:rFonts w:ascii="Verdana" w:eastAsia="Calibri" w:hAnsi="Verdana" w:cs="Arial"/>
        </w:rPr>
      </w:pPr>
      <w:r w:rsidRPr="008816F7">
        <w:rPr>
          <w:rFonts w:ascii="Verdana" w:eastAsia="Calibri" w:hAnsi="Verdana" w:cs="Arial"/>
        </w:rPr>
        <w:t xml:space="preserve">De acuerdo con el artículo tercero de las Resoluciones 539, 540, 541, </w:t>
      </w:r>
      <w:r w:rsidRPr="008816F7">
        <w:rPr>
          <w:rFonts w:ascii="Verdana" w:eastAsia="Aptos" w:hAnsi="Verdana" w:cs="Times New Roman"/>
        </w:rPr>
        <w:t xml:space="preserve">952 y 953 de 2025, </w:t>
      </w:r>
      <w:r w:rsidRPr="008816F7">
        <w:rPr>
          <w:rFonts w:ascii="Verdana" w:eastAsia="Calibri" w:hAnsi="Verdana" w:cs="Arial"/>
        </w:rPr>
        <w:t>los Documentos Tipo que estas adoptan 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w:t>
      </w:r>
    </w:p>
    <w:p w14:paraId="42FA53AB" w14:textId="77777777" w:rsidR="00180E1F" w:rsidRPr="008816F7" w:rsidRDefault="00180E1F" w:rsidP="00180E1F">
      <w:pPr>
        <w:widowControl w:val="0"/>
        <w:autoSpaceDE w:val="0"/>
        <w:autoSpaceDN w:val="0"/>
        <w:spacing w:after="120" w:line="276" w:lineRule="auto"/>
        <w:ind w:firstLine="708"/>
        <w:jc w:val="both"/>
        <w:rPr>
          <w:rFonts w:ascii="Verdana" w:eastAsia="Calibri" w:hAnsi="Verdana" w:cs="Arial"/>
        </w:rPr>
      </w:pPr>
      <w:r w:rsidRPr="008816F7">
        <w:rPr>
          <w:rFonts w:ascii="Verdana" w:eastAsia="Calibri" w:hAnsi="Verdana" w:cs="Arial"/>
        </w:rPr>
        <w:t xml:space="preserve">En consecuencia, los obligados a su aplicación, al adelantar sus procedimientos de selección, solo podrán modificarlos en los aspectos que los </w:t>
      </w:r>
      <w:r w:rsidRPr="008816F7">
        <w:rPr>
          <w:rFonts w:ascii="Verdana" w:eastAsia="Calibri" w:hAnsi="Verdana" w:cs="Arial"/>
        </w:rPr>
        <w:lastRenderedPageBreak/>
        <w:t xml:space="preserve">Documentos Tipo lo permitan. </w:t>
      </w:r>
      <w:r w:rsidRPr="008816F7">
        <w:rPr>
          <w:rFonts w:ascii="Verdana" w:eastAsia="Calibri" w:hAnsi="Verdana" w:cs="Times New Roman"/>
          <w:lang w:val="es-ES"/>
        </w:rPr>
        <w:t xml:space="preserve">Esto corresponde a aquellos aspectos que se encuentran entre corchetes y resaltados en gris </w:t>
      </w:r>
      <w:r w:rsidRPr="008816F7">
        <w:rPr>
          <w:rFonts w:ascii="Verdana" w:eastAsia="Calibri" w:hAnsi="Verdana" w:cs="Times New Roman"/>
          <w:shd w:val="clear" w:color="auto" w:fill="E8E8E8"/>
          <w:lang w:val="es-ES"/>
        </w:rPr>
        <w:t>–[texto]–,</w:t>
      </w:r>
      <w:r w:rsidRPr="008816F7">
        <w:rPr>
          <w:rFonts w:ascii="Verdana" w:eastAsia="Calibri" w:hAnsi="Verdana" w:cs="Times New Roman"/>
          <w:lang w:val="es-ES"/>
        </w:rPr>
        <w:t xml:space="preserve"> para lo cual deberán observarse las instrucciones contenidas en los mismos para su diligenciamiento.</w:t>
      </w:r>
    </w:p>
    <w:p w14:paraId="1868ABC1" w14:textId="77777777" w:rsidR="00180E1F" w:rsidRPr="008816F7" w:rsidRDefault="00180E1F" w:rsidP="00180E1F">
      <w:pPr>
        <w:widowControl w:val="0"/>
        <w:autoSpaceDE w:val="0"/>
        <w:autoSpaceDN w:val="0"/>
        <w:spacing w:after="120" w:line="276" w:lineRule="auto"/>
        <w:ind w:firstLine="708"/>
        <w:jc w:val="both"/>
        <w:rPr>
          <w:rFonts w:ascii="Verdana" w:eastAsia="Calibri" w:hAnsi="Verdana" w:cs="Times New Roman"/>
          <w:lang w:val="es-ES"/>
        </w:rPr>
      </w:pPr>
      <w:r w:rsidRPr="008816F7">
        <w:rPr>
          <w:rFonts w:ascii="Verdana" w:eastAsia="Calibri" w:hAnsi="Verdana" w:cs="Times New Roman"/>
          <w:lang w:val="es-ES"/>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0291BC6C" w14:textId="77777777" w:rsidR="00180E1F" w:rsidRPr="008816F7" w:rsidRDefault="00180E1F" w:rsidP="00180E1F">
      <w:pPr>
        <w:widowControl w:val="0"/>
        <w:autoSpaceDE w:val="0"/>
        <w:autoSpaceDN w:val="0"/>
        <w:spacing w:after="120" w:line="276" w:lineRule="auto"/>
        <w:ind w:firstLine="708"/>
        <w:jc w:val="both"/>
        <w:rPr>
          <w:rFonts w:ascii="Verdana" w:eastAsia="Calibri" w:hAnsi="Verdana" w:cs="Times New Roman"/>
          <w:lang w:val="es-ES"/>
        </w:rPr>
      </w:pPr>
      <w:r w:rsidRPr="008816F7">
        <w:rPr>
          <w:rFonts w:ascii="Verdana" w:eastAsia="Calibri" w:hAnsi="Verdana" w:cs="Times New Roman"/>
          <w:lang w:val="es-ES"/>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2BF61C48" w14:textId="77777777" w:rsidR="00180E1F" w:rsidRPr="008816F7" w:rsidRDefault="00180E1F" w:rsidP="00180E1F">
      <w:pPr>
        <w:widowControl w:val="0"/>
        <w:autoSpaceDE w:val="0"/>
        <w:autoSpaceDN w:val="0"/>
        <w:spacing w:after="120" w:line="276" w:lineRule="auto"/>
        <w:ind w:firstLine="708"/>
        <w:jc w:val="both"/>
        <w:rPr>
          <w:rFonts w:ascii="Verdana" w:eastAsia="Calibri" w:hAnsi="Verdana" w:cs="Times New Roman"/>
          <w:lang w:val="es-ES"/>
        </w:rPr>
      </w:pPr>
      <w:r w:rsidRPr="008816F7">
        <w:rPr>
          <w:rFonts w:ascii="Verdana" w:eastAsia="Calibri" w:hAnsi="Verdana" w:cs="Times New Roman"/>
          <w:lang w:val="es-ES"/>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1BA7AD9C" w14:textId="77777777" w:rsidR="00180E1F" w:rsidRPr="008816F7" w:rsidRDefault="00180E1F" w:rsidP="00180E1F">
      <w:pPr>
        <w:widowControl w:val="0"/>
        <w:autoSpaceDE w:val="0"/>
        <w:autoSpaceDN w:val="0"/>
        <w:spacing w:after="120" w:line="276" w:lineRule="auto"/>
        <w:ind w:firstLine="708"/>
        <w:jc w:val="both"/>
        <w:rPr>
          <w:rFonts w:ascii="Verdana" w:eastAsia="Calibri" w:hAnsi="Verdana" w:cs="Times New Roman"/>
          <w:lang w:val="es-ES"/>
        </w:rPr>
      </w:pPr>
      <w:r w:rsidRPr="008816F7">
        <w:rPr>
          <w:rFonts w:ascii="Verdana" w:eastAsia="Calibri" w:hAnsi="Verdana" w:cs="Times New Roman"/>
          <w:lang w:val="es-ES"/>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0ABBEDAD" w14:textId="77777777" w:rsidR="00180E1F" w:rsidRPr="008816F7" w:rsidRDefault="00180E1F" w:rsidP="00180E1F">
      <w:pPr>
        <w:widowControl w:val="0"/>
        <w:autoSpaceDE w:val="0"/>
        <w:autoSpaceDN w:val="0"/>
        <w:spacing w:after="0" w:line="276" w:lineRule="auto"/>
        <w:ind w:firstLine="708"/>
        <w:jc w:val="both"/>
        <w:rPr>
          <w:rFonts w:ascii="Verdana" w:eastAsia="Calibri" w:hAnsi="Verdana" w:cs="Times New Roman"/>
          <w:lang w:val="es-ES"/>
        </w:rPr>
      </w:pPr>
      <w:r w:rsidRPr="008816F7">
        <w:rPr>
          <w:rFonts w:ascii="Verdana" w:eastAsia="Calibri" w:hAnsi="Verdana" w:cs="Times New Roman"/>
          <w:lang w:val="es-ES"/>
        </w:rPr>
        <w:t xml:space="preserve">De esta manera, para saber a qué actividades deben aplicarse los Documentos Tipo de obra pública de infraestructura social expedidos por esta Agencia, la entidad debe verificar que estos apliquen para la modalidad de selección en la que debe celebrarse el proceso, subsumiendo el objeto a </w:t>
      </w:r>
      <w:r w:rsidRPr="008816F7">
        <w:rPr>
          <w:rFonts w:ascii="Verdana" w:eastAsia="Calibri" w:hAnsi="Verdana" w:cs="Times New Roman"/>
          <w:lang w:val="es-ES"/>
        </w:rPr>
        <w:lastRenderedPageBreak/>
        <w:t>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6699BB92" w14:textId="77777777" w:rsidR="00180E1F" w:rsidRPr="008816F7" w:rsidRDefault="00180E1F" w:rsidP="00180E1F">
      <w:pPr>
        <w:spacing w:after="0" w:line="276" w:lineRule="auto"/>
        <w:jc w:val="both"/>
        <w:rPr>
          <w:rFonts w:ascii="Verdana" w:eastAsia="Calibri" w:hAnsi="Verdana" w:cs="Arial"/>
        </w:rPr>
      </w:pPr>
    </w:p>
    <w:p w14:paraId="32BDB2F2" w14:textId="77777777" w:rsidR="00180E1F" w:rsidRPr="00FF5906" w:rsidRDefault="00180E1F" w:rsidP="00180E1F">
      <w:pPr>
        <w:spacing w:after="0" w:line="276" w:lineRule="auto"/>
        <w:jc w:val="both"/>
        <w:rPr>
          <w:rFonts w:ascii="Verdana" w:eastAsia="Aptos" w:hAnsi="Verdana" w:cs="Times New Roman"/>
        </w:rPr>
      </w:pPr>
      <w:proofErr w:type="spellStart"/>
      <w:r w:rsidRPr="008816F7">
        <w:rPr>
          <w:rFonts w:ascii="Verdana" w:eastAsia="Calibri" w:hAnsi="Verdana" w:cs="Arial"/>
        </w:rPr>
        <w:t>ii</w:t>
      </w:r>
      <w:proofErr w:type="spellEnd"/>
      <w:r w:rsidRPr="008816F7">
        <w:rPr>
          <w:rFonts w:ascii="Verdana" w:eastAsia="Calibri" w:hAnsi="Verdana" w:cs="Arial"/>
        </w:rPr>
        <w:t xml:space="preserve">. </w:t>
      </w:r>
      <w:r w:rsidRPr="00FF5906">
        <w:rPr>
          <w:rFonts w:ascii="Verdana" w:eastAsia="Calibri" w:hAnsi="Verdana" w:cs="Arial"/>
        </w:rPr>
        <w:t xml:space="preserve">Cuando la entidad requiere bienes, obras o servicios adicionales a la obra pública de infraestructura social, debe aplicar el artículo 4 de la Resolución No. 540 del 21 de agosto de </w:t>
      </w:r>
      <w:r w:rsidRPr="00FF5906">
        <w:rPr>
          <w:rFonts w:ascii="Verdana" w:eastAsia="Aptos" w:hAnsi="Verdana" w:cs="Times New Roman"/>
        </w:rPr>
        <w:t>2025–para el caso de los documentos tipo de selección abreviada de menor cuantía de infraestructura social–. Al respecto, el mencionado artículo dispone lo siguiente:</w:t>
      </w:r>
    </w:p>
    <w:p w14:paraId="3286BEC3" w14:textId="77777777" w:rsidR="00180E1F" w:rsidRDefault="00180E1F" w:rsidP="00180E1F">
      <w:pPr>
        <w:spacing w:after="0" w:line="276" w:lineRule="auto"/>
        <w:jc w:val="both"/>
        <w:rPr>
          <w:rFonts w:ascii="Verdana" w:eastAsia="Aptos" w:hAnsi="Verdana" w:cs="Times New Roman"/>
        </w:rPr>
      </w:pPr>
    </w:p>
    <w:p w14:paraId="7651184D" w14:textId="77777777" w:rsidR="00180E1F" w:rsidRPr="00C56BE1" w:rsidRDefault="00180E1F" w:rsidP="00180E1F">
      <w:pPr>
        <w:pStyle w:val="Textonotapie"/>
        <w:spacing w:after="120"/>
        <w:ind w:left="709" w:right="709"/>
        <w:jc w:val="both"/>
        <w:rPr>
          <w:rFonts w:ascii="Verdana" w:hAnsi="Verdana"/>
          <w:sz w:val="21"/>
          <w:szCs w:val="21"/>
        </w:rPr>
      </w:pPr>
      <w:r w:rsidRPr="00C56BE1">
        <w:rPr>
          <w:rFonts w:ascii="Verdana" w:hAnsi="Verdana"/>
          <w:sz w:val="21"/>
          <w:szCs w:val="21"/>
        </w:rPr>
        <w:t xml:space="preserve">“Artículo 4. Obras, bienes o servicios adicionales a la obra pública de infraestructura social. Cuando el objeto contractual incluya obras, bienes o servicios adicionales a la de obra pública de infraestructura social, la entidad estatal deberá aplicar los documentos tipo. Si de manera excepcional requiere incluir experiencia adicional para evaluar la idoneidad respecto de los bienes o servicios adicionales a la obra pública de infraestructura social, deberá seguir los siguientes parámetros: </w:t>
      </w:r>
    </w:p>
    <w:p w14:paraId="201E3D88" w14:textId="77777777" w:rsidR="00180E1F" w:rsidRPr="00C56BE1" w:rsidRDefault="00180E1F" w:rsidP="00180E1F">
      <w:pPr>
        <w:pStyle w:val="Textonotapie"/>
        <w:spacing w:after="120"/>
        <w:ind w:left="709" w:right="709"/>
        <w:jc w:val="both"/>
        <w:rPr>
          <w:rFonts w:ascii="Verdana" w:hAnsi="Verdana"/>
          <w:sz w:val="21"/>
          <w:szCs w:val="21"/>
        </w:rPr>
      </w:pPr>
      <w:r w:rsidRPr="00C56BE1">
        <w:rPr>
          <w:rFonts w:ascii="Verdana" w:hAnsi="Verdana"/>
          <w:sz w:val="21"/>
          <w:szCs w:val="21"/>
        </w:rPr>
        <w:t>1. Demostrar en los estudios previos que ha verificado las condiciones de mercado para la adquisición de las obras, bienes o servicios adicionales al componente de obra pública, de tal manera que la experiencia adicional que se exija para tales bienes o servicios procure la pluralidad de oferentes y no limite la concurrencia al proceso de contratación.</w:t>
      </w:r>
    </w:p>
    <w:p w14:paraId="432B521D" w14:textId="77777777" w:rsidR="00180E1F" w:rsidRPr="00C56BE1" w:rsidRDefault="00180E1F" w:rsidP="00180E1F">
      <w:pPr>
        <w:pStyle w:val="Textonotapie"/>
        <w:spacing w:after="120"/>
        <w:ind w:left="709" w:right="709"/>
        <w:jc w:val="both"/>
        <w:rPr>
          <w:rFonts w:ascii="Verdana" w:hAnsi="Verdana"/>
          <w:sz w:val="21"/>
          <w:szCs w:val="21"/>
        </w:rPr>
      </w:pPr>
      <w:r w:rsidRPr="00C56BE1">
        <w:rPr>
          <w:rFonts w:ascii="Verdana" w:hAnsi="Verdana"/>
          <w:sz w:val="21"/>
          <w:szCs w:val="21"/>
        </w:rPr>
        <w:t>Para tal efecto, la entidad realizará el estudio previo y el análisis del sector en los términos de los artículos 2.2.1.1.1.6.1 у 2.2.1.1.1.6.2 del Decreto 1082 de 2015, o la norma que los adicione, complemente o sustituya.</w:t>
      </w:r>
    </w:p>
    <w:p w14:paraId="6FF9F5DA" w14:textId="77777777" w:rsidR="00180E1F" w:rsidRPr="00C56BE1" w:rsidRDefault="00180E1F" w:rsidP="00180E1F">
      <w:pPr>
        <w:pStyle w:val="Textonotapie"/>
        <w:spacing w:after="120"/>
        <w:ind w:right="709" w:firstLine="708"/>
        <w:jc w:val="both"/>
        <w:rPr>
          <w:rFonts w:ascii="Verdana" w:hAnsi="Verdana"/>
          <w:sz w:val="21"/>
          <w:szCs w:val="21"/>
        </w:rPr>
      </w:pPr>
      <w:r w:rsidRPr="00C56BE1">
        <w:rPr>
          <w:rFonts w:ascii="Verdana" w:hAnsi="Verdana"/>
          <w:sz w:val="21"/>
          <w:szCs w:val="21"/>
        </w:rPr>
        <w:t>2. Conservar los requisitos exigidos en los documentos tipо.</w:t>
      </w:r>
    </w:p>
    <w:p w14:paraId="6359ABCC" w14:textId="77777777" w:rsidR="00180E1F" w:rsidRPr="00C56BE1" w:rsidRDefault="00180E1F" w:rsidP="00180E1F">
      <w:pPr>
        <w:pStyle w:val="Textonotapie"/>
        <w:spacing w:after="120"/>
        <w:ind w:left="709" w:right="709"/>
        <w:jc w:val="both"/>
        <w:rPr>
          <w:rFonts w:ascii="Verdana" w:hAnsi="Verdana"/>
          <w:sz w:val="21"/>
          <w:szCs w:val="21"/>
        </w:rPr>
      </w:pPr>
      <w:r w:rsidRPr="00C56BE1">
        <w:rPr>
          <w:rFonts w:ascii="Verdana" w:hAnsi="Verdana"/>
          <w:sz w:val="21"/>
          <w:szCs w:val="21"/>
        </w:rPr>
        <w:t>3. Abstenerse de pedir experiencia exclusiva con entidades estatales, experiencia previa en un territorio específico, limitada en el tiempo o que incluya volúmenes o cantidades de obra específica.</w:t>
      </w:r>
    </w:p>
    <w:p w14:paraId="022097D7" w14:textId="77777777" w:rsidR="00180E1F" w:rsidRPr="00C56BE1" w:rsidRDefault="00180E1F" w:rsidP="00180E1F">
      <w:pPr>
        <w:pStyle w:val="Textonotapie"/>
        <w:spacing w:after="120"/>
        <w:ind w:left="709" w:right="709"/>
        <w:jc w:val="both"/>
        <w:rPr>
          <w:rFonts w:ascii="Verdana" w:hAnsi="Verdana"/>
          <w:sz w:val="21"/>
          <w:szCs w:val="21"/>
        </w:rPr>
      </w:pPr>
      <w:r w:rsidRPr="00C56BE1">
        <w:rPr>
          <w:rFonts w:ascii="Verdana" w:hAnsi="Verdana"/>
          <w:sz w:val="21"/>
          <w:szCs w:val="21"/>
        </w:rPr>
        <w:t>4. Clasificar la experiencia requerida solo hasta el tercer nivel del Clasificador de Bienes y Servicios e incluir exclusivamente los códigos que estén relacionados directamente con el objeto a contratar.</w:t>
      </w:r>
    </w:p>
    <w:p w14:paraId="376DC7B5" w14:textId="77777777" w:rsidR="00180E1F" w:rsidRPr="00C56BE1" w:rsidRDefault="00180E1F" w:rsidP="00180E1F">
      <w:pPr>
        <w:pStyle w:val="Textonotapie"/>
        <w:spacing w:after="120"/>
        <w:ind w:left="709" w:right="709"/>
        <w:jc w:val="both"/>
        <w:rPr>
          <w:rFonts w:ascii="Verdana" w:hAnsi="Verdana"/>
          <w:sz w:val="21"/>
          <w:szCs w:val="21"/>
        </w:rPr>
      </w:pPr>
      <w:r w:rsidRPr="00C56BE1">
        <w:rPr>
          <w:rFonts w:ascii="Verdana" w:hAnsi="Verdana"/>
          <w:sz w:val="21"/>
          <w:szCs w:val="21"/>
        </w:rPr>
        <w:lastRenderedPageBreak/>
        <w:t>Parágrafo 1°. En los casos que el objeto contractual incluya actividades abarcadas por otros documentos tipo, la Entidad Estatal aplicará las reglas de combinación de experiencia previstas en el numeral 3.5.1 del documento base.</w:t>
      </w:r>
    </w:p>
    <w:p w14:paraId="099331DE" w14:textId="77777777" w:rsidR="00180E1F" w:rsidRPr="00C56BE1" w:rsidRDefault="00180E1F" w:rsidP="00180E1F">
      <w:pPr>
        <w:pStyle w:val="Textonotapie"/>
        <w:spacing w:after="120"/>
        <w:ind w:left="709" w:right="709"/>
        <w:jc w:val="both"/>
        <w:rPr>
          <w:rFonts w:ascii="Verdana" w:hAnsi="Verdana"/>
          <w:sz w:val="21"/>
          <w:szCs w:val="21"/>
        </w:rPr>
      </w:pPr>
      <w:r w:rsidRPr="00C56BE1">
        <w:rPr>
          <w:rFonts w:ascii="Verdana" w:hAnsi="Verdana"/>
          <w:sz w:val="21"/>
          <w:szCs w:val="21"/>
        </w:rPr>
        <w:t xml:space="preserve">Parágrafo 2°. Para los efectos de este artículo se entiende por "obras, bienes o servicios adicionales" aquellas actividades que no están incluidas en la matriz de experiencia de los documentos tipo de infraestructura social aplicable o de otras matrices de experiencia de documentos tipo adoptados por esta Agencia que se encuentren vigentes, pero que están relacionadas con el contrato a ejecutar. </w:t>
      </w:r>
    </w:p>
    <w:p w14:paraId="6EECC439" w14:textId="77777777" w:rsidR="00180E1F" w:rsidRPr="00C56BE1" w:rsidRDefault="00180E1F" w:rsidP="00180E1F">
      <w:pPr>
        <w:pStyle w:val="Textonotapie"/>
        <w:spacing w:after="120"/>
        <w:ind w:left="709" w:right="709"/>
        <w:jc w:val="both"/>
        <w:rPr>
          <w:rFonts w:ascii="Verdana" w:hAnsi="Verdana"/>
          <w:sz w:val="21"/>
          <w:szCs w:val="21"/>
        </w:rPr>
      </w:pPr>
      <w:r w:rsidRPr="00C56BE1">
        <w:rPr>
          <w:rFonts w:ascii="Verdana" w:hAnsi="Verdana"/>
          <w:sz w:val="21"/>
          <w:szCs w:val="21"/>
        </w:rPr>
        <w:t xml:space="preserve">Parágrafo 3°. Para la aplicación de este artículo, se entiende por experiencia adicional aquella que no está definida en la matriz de experiencia de infraestructura social aplicable o de otras matrices de experiencia de documentos tipo adoptados por esta Agencia que se encuentren vigentes, pero que la Entidad Estatal considera necesaria para garantizar la idoneidad del contratista para la ejecución del proyecto, puesto que está relacionada con el objeto a ejecutar. </w:t>
      </w:r>
    </w:p>
    <w:p w14:paraId="0C30AFDA" w14:textId="77777777" w:rsidR="00180E1F" w:rsidRPr="00C56BE1" w:rsidRDefault="00180E1F" w:rsidP="00180E1F">
      <w:pPr>
        <w:pStyle w:val="Textonotapie"/>
        <w:spacing w:after="120"/>
        <w:ind w:left="709" w:right="709"/>
        <w:jc w:val="both"/>
        <w:rPr>
          <w:rFonts w:ascii="Verdana" w:hAnsi="Verdana"/>
          <w:sz w:val="21"/>
          <w:szCs w:val="21"/>
        </w:rPr>
      </w:pPr>
      <w:r w:rsidRPr="00C56BE1">
        <w:rPr>
          <w:rFonts w:ascii="Verdana" w:hAnsi="Verdana"/>
          <w:sz w:val="21"/>
          <w:szCs w:val="21"/>
        </w:rPr>
        <w:t xml:space="preserve">Parágrafo 4°. En caso de que la entidad considere pertinente incorporar experiencia relacionada con obras, bienes o servicios adicionales a la obra pública, podrá reemplazar como máximo una (1) de las actividades secundarias. Para esta incorporación, deberán observarse las mismas reglas establecidas para las actividades secundarias contenidas en el numeral 3.5.1 del Documento Base. En todo caso, deberá tenerse en cuenta que la entidad no podrá solicitar más de tres actividades en total, incluyendo la actividad principal. Por lo tanto, además de la actividad principal, deberá determinar si exige dos actividades secundarias o una actividad secundaria y una adicional. </w:t>
      </w:r>
    </w:p>
    <w:p w14:paraId="42D6FC50" w14:textId="77777777" w:rsidR="00180E1F" w:rsidRPr="00C56BE1" w:rsidRDefault="00180E1F" w:rsidP="00180E1F">
      <w:pPr>
        <w:pStyle w:val="Textonotapie"/>
        <w:ind w:left="709" w:right="709"/>
        <w:jc w:val="both"/>
        <w:rPr>
          <w:rFonts w:ascii="Verdana" w:hAnsi="Verdana"/>
          <w:sz w:val="21"/>
          <w:szCs w:val="21"/>
          <w:lang w:val="es-CO"/>
        </w:rPr>
      </w:pPr>
      <w:r w:rsidRPr="00C56BE1">
        <w:rPr>
          <w:rFonts w:ascii="Verdana" w:hAnsi="Verdana"/>
          <w:sz w:val="21"/>
          <w:szCs w:val="21"/>
        </w:rPr>
        <w:t>En ningún caso deberá entenderse que la inclusión de una actividad adicional equivale al procedimiento establecido para la combinación de experiencia. Para este último caso, se deberá aplicar lo establecido en el numeral 1 del literal A del numeral 3.5.1 del documento base”.</w:t>
      </w:r>
    </w:p>
    <w:p w14:paraId="4C9A52CB" w14:textId="77777777" w:rsidR="00180E1F" w:rsidRPr="00DF4496" w:rsidRDefault="00180E1F" w:rsidP="00180E1F">
      <w:pPr>
        <w:spacing w:after="0" w:line="276" w:lineRule="auto"/>
        <w:jc w:val="both"/>
        <w:rPr>
          <w:rFonts w:ascii="Verdana" w:eastAsia="Aptos" w:hAnsi="Verdana" w:cs="Times New Roman"/>
        </w:rPr>
      </w:pPr>
    </w:p>
    <w:p w14:paraId="57670565" w14:textId="77777777" w:rsidR="00180E1F" w:rsidRPr="00DF4496" w:rsidRDefault="00180E1F" w:rsidP="00180E1F">
      <w:pPr>
        <w:widowControl w:val="0"/>
        <w:spacing w:after="120" w:line="276" w:lineRule="auto"/>
        <w:ind w:firstLine="708"/>
        <w:jc w:val="both"/>
        <w:rPr>
          <w:rFonts w:ascii="Verdana" w:eastAsia="Aptos" w:hAnsi="Verdana" w:cs="Times New Roman"/>
        </w:rPr>
      </w:pPr>
      <w:r w:rsidRPr="00DF4496">
        <w:rPr>
          <w:rFonts w:ascii="Verdana" w:hAnsi="Verdana"/>
        </w:rPr>
        <w:t>La norma señalada dispone los eventos en los que el objeto contractual incluye obras, bienes o servicios adicionales a la obra pública de infraestructura social. En este caso, la entidad puede incluir experiencia adicional para evaluar la idoneidad respecto de las obras, bienes o servicios ajenos a la obra pública de infraestructura social.</w:t>
      </w:r>
      <w:r w:rsidRPr="00DF4496">
        <w:rPr>
          <w:rFonts w:ascii="Verdana" w:eastAsia="Aptos" w:hAnsi="Verdana" w:cs="Times New Roman"/>
        </w:rPr>
        <w:t xml:space="preserve"> </w:t>
      </w:r>
    </w:p>
    <w:p w14:paraId="2646D0C1" w14:textId="77777777" w:rsidR="00180E1F" w:rsidRPr="008816F7" w:rsidRDefault="00180E1F" w:rsidP="00180E1F">
      <w:pPr>
        <w:widowControl w:val="0"/>
        <w:spacing w:after="120" w:line="276" w:lineRule="auto"/>
        <w:ind w:firstLine="708"/>
        <w:jc w:val="both"/>
        <w:rPr>
          <w:rFonts w:ascii="Verdana" w:eastAsia="Aptos" w:hAnsi="Verdana" w:cs="Times New Roman"/>
        </w:rPr>
      </w:pPr>
      <w:r w:rsidRPr="008816F7">
        <w:rPr>
          <w:rFonts w:ascii="Verdana" w:eastAsia="Aptos" w:hAnsi="Verdana" w:cs="Times New Roman"/>
        </w:rPr>
        <w:t xml:space="preserve">Para ello, se deben seguir los siguientes parámetros: i) demostrar en los estudios previos que han verificado las condiciones de mercado para la adquisición de las obras, bienes o servicios adicionales al componente de obra </w:t>
      </w:r>
      <w:r w:rsidRPr="008816F7">
        <w:rPr>
          <w:rFonts w:ascii="Verdana" w:eastAsia="Aptos" w:hAnsi="Verdana" w:cs="Times New Roman"/>
        </w:rPr>
        <w:lastRenderedPageBreak/>
        <w:t xml:space="preserve">pública, de tal forma que la experiencia adicional garantiza la pluralidad de oferentes, </w:t>
      </w:r>
      <w:proofErr w:type="spellStart"/>
      <w:r w:rsidRPr="008816F7">
        <w:rPr>
          <w:rFonts w:ascii="Verdana" w:eastAsia="Aptos" w:hAnsi="Verdana" w:cs="Times New Roman"/>
        </w:rPr>
        <w:t>ii</w:t>
      </w:r>
      <w:proofErr w:type="spellEnd"/>
      <w:r w:rsidRPr="008816F7">
        <w:rPr>
          <w:rFonts w:ascii="Verdana" w:eastAsia="Aptos" w:hAnsi="Verdana" w:cs="Times New Roman"/>
        </w:rPr>
        <w:t xml:space="preserve">) conservar los requisitos exigidos en los documentos tipo, </w:t>
      </w:r>
      <w:proofErr w:type="spellStart"/>
      <w:r w:rsidRPr="008816F7">
        <w:rPr>
          <w:rFonts w:ascii="Verdana" w:eastAsia="Aptos" w:hAnsi="Verdana" w:cs="Times New Roman"/>
        </w:rPr>
        <w:t>iii</w:t>
      </w:r>
      <w:proofErr w:type="spellEnd"/>
      <w:r w:rsidRPr="008816F7">
        <w:rPr>
          <w:rFonts w:ascii="Verdana" w:eastAsia="Aptos" w:hAnsi="Verdana" w:cs="Times New Roman"/>
        </w:rPr>
        <w:t xml:space="preserve">) abstenerse de pedir experiencia exclusiva con entidades de cualquier naturaleza, experiencia previa en un territorio específico, limitada en el tiempo o que incluya volúmenes o cantidades de obra específica, </w:t>
      </w:r>
      <w:proofErr w:type="spellStart"/>
      <w:r w:rsidRPr="008816F7">
        <w:rPr>
          <w:rFonts w:ascii="Verdana" w:eastAsia="Aptos" w:hAnsi="Verdana" w:cs="Times New Roman"/>
        </w:rPr>
        <w:t>iv</w:t>
      </w:r>
      <w:proofErr w:type="spellEnd"/>
      <w:r w:rsidRPr="008816F7">
        <w:rPr>
          <w:rFonts w:ascii="Verdana" w:eastAsia="Aptos" w:hAnsi="Verdana" w:cs="Times New Roman"/>
        </w:rPr>
        <w:t xml:space="preserve">) clasificar la experiencia requerida solo hasta el tercer nivel del clasificador de bienes y servicios e incluir exclusivamente los códigos que estén relacionados directamente con el objeto a contratar. </w:t>
      </w:r>
    </w:p>
    <w:p w14:paraId="05C34685" w14:textId="77777777" w:rsidR="00180E1F" w:rsidRPr="008816F7" w:rsidRDefault="00180E1F" w:rsidP="00180E1F">
      <w:pPr>
        <w:widowControl w:val="0"/>
        <w:autoSpaceDE w:val="0"/>
        <w:autoSpaceDN w:val="0"/>
        <w:spacing w:after="120" w:line="276" w:lineRule="auto"/>
        <w:ind w:firstLine="708"/>
        <w:jc w:val="both"/>
        <w:rPr>
          <w:rFonts w:ascii="Verdana" w:eastAsia="Calibri" w:hAnsi="Verdana" w:cs="Times New Roman"/>
        </w:rPr>
      </w:pPr>
      <w:r w:rsidRPr="008816F7">
        <w:rPr>
          <w:rFonts w:ascii="Verdana" w:eastAsia="Aptos" w:hAnsi="Verdana" w:cs="Times New Roman"/>
        </w:rPr>
        <w:t>La entidad que opte por solicitar experiencia adicional en desarrollo de esta norma debe evidenciar en los documentos del proceso que agotó estos parámetros. Para ello, debe justificar en los estudios y documentos previos, como parte del deber de análisis y planeación, que ha verificado que la experiencia adicional relacionada con las obras, bienes o servicios no afecta significativamente la pluralidad de oferentes. Es decir, la entidad debe revisar que al solicitar esta experiencia existen suficientes potenciales proponentes que puedan acreditar estas condiciones.</w:t>
      </w:r>
    </w:p>
    <w:p w14:paraId="2F751DF4" w14:textId="77777777" w:rsidR="00180E1F" w:rsidRPr="008816F7" w:rsidRDefault="00180E1F" w:rsidP="00180E1F">
      <w:pPr>
        <w:widowControl w:val="0"/>
        <w:autoSpaceDE w:val="0"/>
        <w:autoSpaceDN w:val="0"/>
        <w:spacing w:after="120" w:line="276" w:lineRule="auto"/>
        <w:ind w:firstLine="708"/>
        <w:jc w:val="both"/>
        <w:rPr>
          <w:rFonts w:ascii="Verdana" w:eastAsia="Calibri" w:hAnsi="Verdana" w:cs="Times New Roman"/>
          <w:lang w:val="es-ES"/>
        </w:rPr>
      </w:pPr>
      <w:r w:rsidRPr="008816F7">
        <w:rPr>
          <w:rFonts w:ascii="Verdana" w:eastAsia="Aptos" w:hAnsi="Verdana" w:cs="Times New Roman"/>
        </w:rPr>
        <w:t>En segundo lugar, la solicitud de esta experiencia no permite que la entidad modifique los requisitos habilitantes y de ponderación de la propuesta, por lo cual se deben mantener los establecidos en los documentos tipo.</w:t>
      </w:r>
    </w:p>
    <w:p w14:paraId="3B0AF7FA" w14:textId="77777777" w:rsidR="00180E1F" w:rsidRPr="008816F7" w:rsidRDefault="00180E1F" w:rsidP="00180E1F">
      <w:pPr>
        <w:widowControl w:val="0"/>
        <w:autoSpaceDE w:val="0"/>
        <w:autoSpaceDN w:val="0"/>
        <w:spacing w:after="120" w:line="276" w:lineRule="auto"/>
        <w:ind w:firstLine="708"/>
        <w:jc w:val="both"/>
        <w:rPr>
          <w:rFonts w:ascii="Verdana" w:eastAsia="Calibri" w:hAnsi="Verdana" w:cs="Times New Roman"/>
        </w:rPr>
      </w:pPr>
      <w:r w:rsidRPr="008816F7">
        <w:rPr>
          <w:rFonts w:ascii="Verdana" w:eastAsia="Aptos" w:hAnsi="Verdana" w:cs="Times New Roman"/>
        </w:rPr>
        <w:t>En tercer lugar, la experiencia adicional solicitada debe relacionarse con las obras, bienes y servicios sobre los cuales la entidad requiere que se demuestre idoneidad por parte de los proponentes. Esta experiencia no puede estar limitada o referida a que se haya adquirido en un territorio o con alguna entidad determinada, ni establecer limitantes temporales o la acreditación de volúmenes o cantidades. Este parámetro va encaminado a determinar si la experiencia solicitada es acorde, adecuada y proporcional a la necesidad identificada por la entidad, por lo cual no puede desbordar los límites racionales ni solicitar experiencias de imposible cumplimiento.</w:t>
      </w:r>
    </w:p>
    <w:p w14:paraId="2ED7FF99" w14:textId="77777777" w:rsidR="00180E1F" w:rsidRPr="008816F7" w:rsidRDefault="00180E1F" w:rsidP="00180E1F">
      <w:pPr>
        <w:widowControl w:val="0"/>
        <w:autoSpaceDE w:val="0"/>
        <w:autoSpaceDN w:val="0"/>
        <w:spacing w:after="120" w:line="276" w:lineRule="auto"/>
        <w:ind w:firstLine="708"/>
        <w:jc w:val="both"/>
        <w:rPr>
          <w:rFonts w:ascii="Verdana" w:eastAsia="Calibri" w:hAnsi="Verdana" w:cs="Times New Roman"/>
          <w:lang w:val="es-ES"/>
        </w:rPr>
      </w:pPr>
      <w:r w:rsidRPr="008816F7">
        <w:rPr>
          <w:rFonts w:ascii="Verdana" w:eastAsia="Aptos" w:hAnsi="Verdana" w:cs="Times New Roman"/>
        </w:rPr>
        <w:t>Por último, la experiencia requerida debe clasificarse hasta el tercer nivel del clasificador de bienes y servicios. Por lo tanto, la entidad no puede requerir que se acredite el “producto” de este clasificador.</w:t>
      </w:r>
    </w:p>
    <w:p w14:paraId="2F7558E4" w14:textId="77777777" w:rsidR="00180E1F" w:rsidRPr="008816F7" w:rsidRDefault="00180E1F" w:rsidP="00180E1F">
      <w:pPr>
        <w:widowControl w:val="0"/>
        <w:autoSpaceDE w:val="0"/>
        <w:autoSpaceDN w:val="0"/>
        <w:spacing w:after="120" w:line="276" w:lineRule="auto"/>
        <w:ind w:firstLine="708"/>
        <w:jc w:val="both"/>
        <w:rPr>
          <w:rFonts w:ascii="Verdana" w:eastAsia="Aptos" w:hAnsi="Verdana" w:cs="Times New Roman"/>
        </w:rPr>
      </w:pPr>
      <w:r w:rsidRPr="008816F7">
        <w:rPr>
          <w:rFonts w:ascii="Verdana" w:eastAsia="Aptos" w:hAnsi="Verdana" w:cs="Times New Roman"/>
        </w:rPr>
        <w:t>La posibilidad de solicitar experiencia adicional solo ocurre cuando el objeto contractual incluye obras, bienes o servicios adicionales a la obra pública de infraestructura social. Esto implica que</w:t>
      </w:r>
      <w:r>
        <w:rPr>
          <w:rFonts w:ascii="Verdana" w:eastAsia="Aptos" w:hAnsi="Verdana" w:cs="Times New Roman"/>
        </w:rPr>
        <w:t>,</w:t>
      </w:r>
      <w:r w:rsidRPr="008816F7">
        <w:rPr>
          <w:rFonts w:ascii="Verdana" w:eastAsia="Aptos" w:hAnsi="Verdana" w:cs="Times New Roman"/>
        </w:rPr>
        <w:t xml:space="preserve"> la actividad que se requiere, no está </w:t>
      </w:r>
      <w:r w:rsidRPr="008816F7">
        <w:rPr>
          <w:rFonts w:ascii="Verdana" w:eastAsia="Aptos" w:hAnsi="Verdana" w:cs="Times New Roman"/>
        </w:rPr>
        <w:lastRenderedPageBreak/>
        <w:t>incluida en la matriz de experiencia de los documentos tipo de infraestructura social aplicable ni en las matrices de experiencia de los demás sectores expedidos por la agencia, pero está relacionada con el contrato a ejecutar.</w:t>
      </w:r>
    </w:p>
    <w:p w14:paraId="43DFE12B" w14:textId="77777777" w:rsidR="00180E1F" w:rsidRDefault="00180E1F" w:rsidP="00180E1F">
      <w:pPr>
        <w:widowControl w:val="0"/>
        <w:autoSpaceDE w:val="0"/>
        <w:autoSpaceDN w:val="0"/>
        <w:spacing w:after="120" w:line="276" w:lineRule="auto"/>
        <w:ind w:firstLine="708"/>
        <w:jc w:val="both"/>
        <w:rPr>
          <w:rFonts w:ascii="Verdana" w:eastAsia="Aptos" w:hAnsi="Verdana" w:cs="Times New Roman"/>
          <w:lang w:val="es-ES"/>
        </w:rPr>
      </w:pPr>
      <w:r w:rsidRPr="008816F7">
        <w:rPr>
          <w:rFonts w:ascii="Verdana" w:eastAsia="Aptos" w:hAnsi="Verdana" w:cs="Times New Roman"/>
          <w:lang w:val="es-ES"/>
        </w:rPr>
        <w:t xml:space="preserve">De otro lado, </w:t>
      </w:r>
      <w:r w:rsidRPr="008816F7">
        <w:rPr>
          <w:rFonts w:ascii="Verdana" w:eastAsia="Aptos" w:hAnsi="Verdana" w:cs="Times New Roman"/>
        </w:rPr>
        <w:t>debe resaltarse que, la actividad sobre la cual se solicite experiencia a través de la aplicación del artículo 4 de la Resolución No. 5</w:t>
      </w:r>
      <w:r>
        <w:rPr>
          <w:rFonts w:ascii="Verdana" w:eastAsia="Aptos" w:hAnsi="Verdana" w:cs="Times New Roman"/>
        </w:rPr>
        <w:t>40</w:t>
      </w:r>
      <w:r w:rsidRPr="008816F7">
        <w:rPr>
          <w:rFonts w:ascii="Verdana" w:eastAsia="Aptos" w:hAnsi="Verdana" w:cs="Times New Roman"/>
        </w:rPr>
        <w:t xml:space="preserve"> de 2025</w:t>
      </w:r>
      <w:r>
        <w:rPr>
          <w:rFonts w:ascii="Verdana" w:eastAsia="Aptos" w:hAnsi="Verdana" w:cs="Times New Roman"/>
        </w:rPr>
        <w:t xml:space="preserve">, </w:t>
      </w:r>
      <w:r w:rsidRPr="008816F7">
        <w:rPr>
          <w:rFonts w:ascii="Verdana" w:eastAsia="Aptos" w:hAnsi="Verdana" w:cs="Times New Roman"/>
          <w:lang w:val="es-ES"/>
        </w:rPr>
        <w:t>debe reemplazar solamente una de las actividades secundarias, que se desc</w:t>
      </w:r>
      <w:r>
        <w:rPr>
          <w:rFonts w:ascii="Verdana" w:eastAsia="Aptos" w:hAnsi="Verdana" w:cs="Times New Roman"/>
          <w:lang w:val="es-ES"/>
        </w:rPr>
        <w:t>riben</w:t>
      </w:r>
      <w:r w:rsidRPr="008816F7">
        <w:rPr>
          <w:rFonts w:ascii="Verdana" w:eastAsia="Aptos" w:hAnsi="Verdana" w:cs="Times New Roman"/>
          <w:lang w:val="es-ES"/>
        </w:rPr>
        <w:t xml:space="preserve"> en las reglas de combinación de experiencia relacionadas en el numeral 3.5.1. del documento base, en este contexto, debe conservarse los requisitos establecidos en los documentos tipo.</w:t>
      </w:r>
    </w:p>
    <w:p w14:paraId="7ECE0D41" w14:textId="77777777" w:rsidR="00180E1F" w:rsidRPr="008816F7" w:rsidRDefault="00180E1F" w:rsidP="00180E1F">
      <w:pPr>
        <w:widowControl w:val="0"/>
        <w:autoSpaceDE w:val="0"/>
        <w:autoSpaceDN w:val="0"/>
        <w:spacing w:after="0" w:line="276" w:lineRule="auto"/>
        <w:ind w:firstLine="708"/>
        <w:jc w:val="both"/>
        <w:rPr>
          <w:rFonts w:ascii="Verdana" w:eastAsia="Calibri" w:hAnsi="Verdana" w:cs="Times New Roman"/>
          <w:lang w:val="es-ES"/>
        </w:rPr>
      </w:pPr>
      <w:r w:rsidRPr="008816F7">
        <w:rPr>
          <w:rFonts w:ascii="Verdana" w:eastAsia="Aptos" w:hAnsi="Verdana" w:cs="Times New Roman"/>
        </w:rPr>
        <w:t xml:space="preserve">Para solicitar experiencia frente a obras, bienes o servicios adicionales que no se encuentren contemplados en la “Matriz – Experiencia”, el documento base, de los documentos tipo de </w:t>
      </w:r>
      <w:r>
        <w:rPr>
          <w:rFonts w:ascii="Verdana" w:eastAsia="Aptos" w:hAnsi="Verdana" w:cs="Times New Roman"/>
        </w:rPr>
        <w:t xml:space="preserve">selección abreviada de menor cuantía </w:t>
      </w:r>
      <w:r w:rsidRPr="008816F7">
        <w:rPr>
          <w:rFonts w:ascii="Verdana" w:eastAsia="Aptos" w:hAnsi="Verdana" w:cs="Times New Roman"/>
        </w:rPr>
        <w:t>de infraestructura social, en los literales M)</w:t>
      </w:r>
      <w:r>
        <w:rPr>
          <w:rFonts w:ascii="Verdana" w:eastAsia="Aptos" w:hAnsi="Verdana" w:cs="Times New Roman"/>
        </w:rPr>
        <w:t xml:space="preserve"> y</w:t>
      </w:r>
      <w:r w:rsidRPr="008816F7">
        <w:rPr>
          <w:rFonts w:ascii="Verdana" w:eastAsia="Aptos" w:hAnsi="Verdana" w:cs="Times New Roman"/>
        </w:rPr>
        <w:t xml:space="preserve"> N) del numeral “3.5.1. CARACTERÍSTICAS DE LOS CONTRATOS PRESENTADOS PARA ACREDITAR LA EXPERIENCIA EXIGIDA”, señala los requisitos que debe seguir la Entidad para incluir obras, bienes o servicio adicionales a la obra pública de infraestructura social. Al respecto el documento </w:t>
      </w:r>
      <w:r>
        <w:rPr>
          <w:rFonts w:ascii="Verdana" w:eastAsia="Aptos" w:hAnsi="Verdana" w:cs="Times New Roman"/>
        </w:rPr>
        <w:t xml:space="preserve">indica </w:t>
      </w:r>
      <w:r w:rsidRPr="008816F7">
        <w:rPr>
          <w:rFonts w:ascii="Verdana" w:eastAsia="Aptos" w:hAnsi="Verdana" w:cs="Times New Roman"/>
        </w:rPr>
        <w:t>lo siguiente:</w:t>
      </w:r>
    </w:p>
    <w:p w14:paraId="41DF6043" w14:textId="77777777" w:rsidR="00180E1F" w:rsidRPr="008816F7" w:rsidRDefault="00180E1F" w:rsidP="00180E1F">
      <w:pPr>
        <w:spacing w:after="0"/>
        <w:ind w:left="720"/>
        <w:contextualSpacing/>
        <w:rPr>
          <w:rFonts w:ascii="Verdana" w:eastAsia="Aptos" w:hAnsi="Verdana" w:cs="Times New Roman"/>
        </w:rPr>
      </w:pPr>
    </w:p>
    <w:p w14:paraId="317CC887" w14:textId="77777777" w:rsidR="00180E1F" w:rsidRPr="008816F7" w:rsidRDefault="00180E1F" w:rsidP="00180E1F">
      <w:pPr>
        <w:spacing w:after="120" w:line="240" w:lineRule="auto"/>
        <w:ind w:left="709" w:right="709"/>
        <w:jc w:val="both"/>
        <w:rPr>
          <w:rFonts w:ascii="Verdana" w:eastAsia="Arial" w:hAnsi="Verdana" w:cs="Arial"/>
          <w:sz w:val="21"/>
          <w:szCs w:val="21"/>
          <w:lang w:val="es-MX"/>
        </w:rPr>
      </w:pPr>
      <w:r w:rsidRPr="008816F7">
        <w:rPr>
          <w:rFonts w:ascii="Verdana" w:eastAsia="Arial" w:hAnsi="Verdana" w:cs="Arial"/>
          <w:sz w:val="21"/>
          <w:szCs w:val="21"/>
          <w:lang w:val="es-MX"/>
        </w:rPr>
        <w:t xml:space="preserve">M. </w:t>
      </w:r>
      <w:r w:rsidRPr="008816F7">
        <w:rPr>
          <w:rFonts w:ascii="Verdana" w:eastAsia="Arial" w:hAnsi="Verdana" w:cs="Arial"/>
          <w:sz w:val="21"/>
          <w:szCs w:val="21"/>
          <w:highlight w:val="lightGray"/>
          <w:lang w:val="es-MX"/>
        </w:rPr>
        <w:t>[Cuando el objeto contractual incluya obras, bienes o servicios adicionales a la obra pública de infraestructura social</w:t>
      </w:r>
      <w:r w:rsidRPr="00423ECA">
        <w:rPr>
          <w:rFonts w:ascii="Verdana" w:eastAsia="Arial" w:hAnsi="Verdana" w:cs="Arial"/>
          <w:sz w:val="21"/>
          <w:szCs w:val="21"/>
          <w:highlight w:val="lightGray"/>
          <w:lang w:val="es-MX"/>
        </w:rPr>
        <w:t xml:space="preserve"> </w:t>
      </w:r>
      <w:r w:rsidRPr="008816F7">
        <w:rPr>
          <w:rFonts w:ascii="Verdana" w:eastAsia="Arial" w:hAnsi="Verdana" w:cs="Arial"/>
          <w:sz w:val="21"/>
          <w:szCs w:val="21"/>
          <w:highlight w:val="lightGray"/>
          <w:lang w:val="es-MX"/>
        </w:rPr>
        <w:t xml:space="preserve">y de manera excepcional se requiere incluir experiencia adicional para evaluar la idoneidad respecto de dichas obras, bienes o servicios, la Entidad </w:t>
      </w:r>
      <w:r w:rsidRPr="008816F7">
        <w:rPr>
          <w:rFonts w:ascii="Verdana" w:eastAsia="Arial" w:hAnsi="Verdana" w:cs="Arial"/>
          <w:sz w:val="21"/>
          <w:szCs w:val="21"/>
          <w:highlight w:val="lightGray"/>
        </w:rPr>
        <w:t>verificará si estos están incorporados en otros Documentos Tipo. En este caso, la Entidad observará las reglas de combinación de experiencia definidas en el literal A) de este numeral y, por tanto, la Entidad no podrá definir requisitos de experiencia distintos a los determinados por esta Agencia.</w:t>
      </w:r>
      <w:r w:rsidRPr="008816F7">
        <w:rPr>
          <w:rFonts w:ascii="Verdana" w:eastAsia="Arial" w:hAnsi="Verdana" w:cs="Arial"/>
          <w:sz w:val="21"/>
          <w:szCs w:val="21"/>
          <w:highlight w:val="lightGray"/>
          <w:lang w:val="es-MX"/>
        </w:rPr>
        <w:t xml:space="preserve"> En todo caso, si el objeto contractual contempla bienes o servicios ajenos que no están regulados en los Documentos Tipo, la Entidad aplicará los parámetros del artículo 4 de la Resolución 5</w:t>
      </w:r>
      <w:r>
        <w:rPr>
          <w:rFonts w:ascii="Verdana" w:eastAsia="Arial" w:hAnsi="Verdana" w:cs="Arial"/>
          <w:sz w:val="21"/>
          <w:szCs w:val="21"/>
          <w:highlight w:val="lightGray"/>
          <w:lang w:val="es-MX"/>
        </w:rPr>
        <w:t>40</w:t>
      </w:r>
      <w:r w:rsidRPr="008816F7">
        <w:rPr>
          <w:rFonts w:ascii="Verdana" w:eastAsia="Arial" w:hAnsi="Verdana" w:cs="Arial"/>
          <w:sz w:val="21"/>
          <w:szCs w:val="21"/>
          <w:highlight w:val="lightGray"/>
          <w:lang w:val="es-MX"/>
        </w:rPr>
        <w:t xml:space="preserve"> de 2025.</w:t>
      </w:r>
    </w:p>
    <w:p w14:paraId="1B25A2E2" w14:textId="77777777" w:rsidR="00180E1F" w:rsidRDefault="00180E1F" w:rsidP="00180E1F">
      <w:pPr>
        <w:spacing w:after="120" w:line="240" w:lineRule="auto"/>
        <w:ind w:left="709" w:right="709"/>
        <w:jc w:val="both"/>
        <w:rPr>
          <w:rFonts w:ascii="Verdana" w:eastAsia="Calibri" w:hAnsi="Verdana" w:cs="Times New Roman"/>
          <w:sz w:val="21"/>
          <w:szCs w:val="21"/>
        </w:rPr>
      </w:pPr>
      <w:r w:rsidRPr="008816F7">
        <w:rPr>
          <w:rFonts w:ascii="Verdana" w:eastAsia="Calibri" w:hAnsi="Verdana" w:cs="Times New Roman"/>
          <w:b/>
          <w:bCs/>
          <w:sz w:val="21"/>
          <w:szCs w:val="21"/>
        </w:rPr>
        <w:t>Nota 12:</w:t>
      </w:r>
      <w:r w:rsidRPr="008816F7">
        <w:rPr>
          <w:rFonts w:ascii="Verdana" w:eastAsia="Calibri" w:hAnsi="Verdana" w:cs="Times New Roman"/>
          <w:sz w:val="21"/>
          <w:szCs w:val="21"/>
        </w:rPr>
        <w:t xml:space="preserve"> En caso de que la entidad considere pertinente incorporar experiencia relacionada con obras, bienes o servicios adicionales a la obra pública, podrá reemplazar como máximo una (1) de las actividades secundarias. </w:t>
      </w:r>
    </w:p>
    <w:p w14:paraId="0DE688A7" w14:textId="77777777" w:rsidR="00180E1F" w:rsidRPr="008816F7" w:rsidRDefault="00180E1F" w:rsidP="00180E1F">
      <w:pPr>
        <w:spacing w:after="120" w:line="240" w:lineRule="auto"/>
        <w:ind w:left="709" w:right="709"/>
        <w:jc w:val="both"/>
        <w:rPr>
          <w:rFonts w:ascii="Verdana" w:eastAsia="Calibri" w:hAnsi="Verdana" w:cs="Times New Roman"/>
          <w:sz w:val="21"/>
          <w:szCs w:val="21"/>
        </w:rPr>
      </w:pPr>
      <w:r w:rsidRPr="008816F7">
        <w:rPr>
          <w:rFonts w:ascii="Verdana" w:eastAsia="Calibri" w:hAnsi="Verdana" w:cs="Times New Roman"/>
          <w:sz w:val="21"/>
          <w:szCs w:val="21"/>
        </w:rPr>
        <w:t xml:space="preserve">Para esta incorporación, deberán observarse las mismas reglas establecidas para las actividades secundarias en el presente numeral del documento base. En todo caso, deberá tenerse en cuenta que la entidad no podrá solicitar más de tres actividades en total, incluyendo </w:t>
      </w:r>
      <w:r w:rsidRPr="008816F7">
        <w:rPr>
          <w:rFonts w:ascii="Verdana" w:eastAsia="Calibri" w:hAnsi="Verdana" w:cs="Times New Roman"/>
          <w:sz w:val="21"/>
          <w:szCs w:val="21"/>
        </w:rPr>
        <w:lastRenderedPageBreak/>
        <w:t>la actividad principal. Por lo tanto, además de la actividad principal, deberá determinar si exige dos actividades secundarias o una actividad secundaria y una adicional.</w:t>
      </w:r>
    </w:p>
    <w:p w14:paraId="60152C42" w14:textId="77777777" w:rsidR="00180E1F" w:rsidRPr="008816F7" w:rsidRDefault="00180E1F" w:rsidP="00180E1F">
      <w:pPr>
        <w:snapToGrid w:val="0"/>
        <w:spacing w:after="120" w:line="240" w:lineRule="auto"/>
        <w:ind w:left="709" w:right="709"/>
        <w:jc w:val="both"/>
        <w:rPr>
          <w:rFonts w:ascii="Verdana" w:eastAsia="Calibri" w:hAnsi="Verdana" w:cs="Times New Roman"/>
          <w:sz w:val="21"/>
          <w:szCs w:val="21"/>
        </w:rPr>
      </w:pPr>
      <w:r w:rsidRPr="008816F7">
        <w:rPr>
          <w:rFonts w:ascii="Verdana" w:eastAsia="Calibri" w:hAnsi="Verdana" w:cs="Times New Roman"/>
          <w:sz w:val="21"/>
          <w:szCs w:val="21"/>
        </w:rPr>
        <w:t>En ningún caso deberá entenderse que la inclusión de una actividad adicional equivale al procedimiento establecido para la combinación de experiencia. Para este último caso, se deberá aplicar lo establecido en el numeral 1 del literal A del presente numeral</w:t>
      </w:r>
      <w:r w:rsidRPr="008816F7">
        <w:rPr>
          <w:rFonts w:ascii="Verdana" w:eastAsia="Calibri" w:hAnsi="Verdana" w:cs="Times New Roman"/>
          <w:sz w:val="21"/>
          <w:szCs w:val="21"/>
          <w:vertAlign w:val="superscript"/>
        </w:rPr>
        <w:footnoteReference w:id="3"/>
      </w:r>
      <w:r w:rsidRPr="008816F7">
        <w:rPr>
          <w:rFonts w:ascii="Verdana" w:eastAsia="Calibri" w:hAnsi="Verdana" w:cs="Times New Roman"/>
          <w:sz w:val="21"/>
          <w:szCs w:val="21"/>
        </w:rPr>
        <w:t>.</w:t>
      </w:r>
    </w:p>
    <w:p w14:paraId="274FC5A8" w14:textId="77777777" w:rsidR="00180E1F" w:rsidRPr="008816F7" w:rsidRDefault="00180E1F" w:rsidP="00180E1F">
      <w:pPr>
        <w:snapToGrid w:val="0"/>
        <w:spacing w:after="120" w:line="240" w:lineRule="auto"/>
        <w:ind w:left="709" w:right="709"/>
        <w:jc w:val="both"/>
        <w:rPr>
          <w:rFonts w:ascii="Verdana" w:eastAsia="Calibri" w:hAnsi="Verdana" w:cs="Times New Roman"/>
          <w:sz w:val="21"/>
          <w:szCs w:val="21"/>
          <w:highlight w:val="lightGray"/>
          <w:lang w:val="es-MX"/>
        </w:rPr>
      </w:pPr>
      <w:r>
        <w:rPr>
          <w:rFonts w:ascii="Verdana" w:eastAsia="Calibri" w:hAnsi="Verdana" w:cs="Times New Roman"/>
          <w:sz w:val="21"/>
          <w:szCs w:val="21"/>
          <w:highlight w:val="lightGray"/>
          <w:lang w:val="es-MX"/>
        </w:rPr>
        <w:t>[</w:t>
      </w:r>
      <w:r w:rsidRPr="008816F7">
        <w:rPr>
          <w:rFonts w:ascii="Verdana" w:eastAsia="Calibri" w:hAnsi="Verdana" w:cs="Times New Roman"/>
          <w:sz w:val="21"/>
          <w:szCs w:val="21"/>
          <w:highlight w:val="lightGray"/>
          <w:lang w:val="es-MX"/>
        </w:rPr>
        <w:t xml:space="preserve">Conforme con esta disposición, la </w:t>
      </w:r>
      <w:r w:rsidRPr="008816F7" w:rsidDel="162B8239">
        <w:rPr>
          <w:rFonts w:ascii="Verdana" w:eastAsia="Calibri" w:hAnsi="Verdana" w:cs="Times New Roman"/>
          <w:sz w:val="21"/>
          <w:szCs w:val="21"/>
          <w:highlight w:val="lightGray"/>
          <w:lang w:val="es-MX"/>
        </w:rPr>
        <w:t>E</w:t>
      </w:r>
      <w:r w:rsidRPr="008816F7">
        <w:rPr>
          <w:rFonts w:ascii="Verdana" w:eastAsia="Calibri" w:hAnsi="Verdana" w:cs="Times New Roman"/>
          <w:sz w:val="21"/>
          <w:szCs w:val="21"/>
          <w:highlight w:val="lightGray"/>
          <w:lang w:val="es-MX"/>
        </w:rPr>
        <w:t>ntidad no puede requerir experiencia adicional que incluya volúmenes o cantidades de obra específica expresada en SMMLV.</w:t>
      </w:r>
    </w:p>
    <w:p w14:paraId="3A5E842A" w14:textId="77777777" w:rsidR="00180E1F" w:rsidRPr="008816F7" w:rsidRDefault="00180E1F" w:rsidP="00180E1F">
      <w:pPr>
        <w:snapToGrid w:val="0"/>
        <w:spacing w:after="120" w:line="240" w:lineRule="auto"/>
        <w:ind w:left="709" w:right="709"/>
        <w:jc w:val="both"/>
        <w:rPr>
          <w:rFonts w:ascii="Verdana" w:eastAsia="Calibri" w:hAnsi="Verdana" w:cs="Times New Roman"/>
          <w:sz w:val="21"/>
          <w:szCs w:val="21"/>
          <w:lang w:val="es-MX"/>
        </w:rPr>
      </w:pPr>
      <w:r w:rsidRPr="008816F7">
        <w:rPr>
          <w:rFonts w:ascii="Verdana" w:eastAsia="Calibri" w:hAnsi="Verdana" w:cs="Times New Roman"/>
          <w:sz w:val="21"/>
          <w:szCs w:val="21"/>
          <w:highlight w:val="lightGray"/>
          <w:lang w:val="es-MX"/>
        </w:rPr>
        <w:t>En el escenario en el cual la Entidad requiera y considere adecuado y proporcional exigir experiencia relacionada con esta, según su etapa previa de planeación, deberá exigirla como un bien o servicio adicional a la obra pública de infraestructura social, según las actividades a contratar de la Matriz 1 - Experiencia aplicable</w:t>
      </w:r>
      <w:r w:rsidRPr="008816F7">
        <w:rPr>
          <w:rFonts w:ascii="Verdana" w:eastAsia="Calibri" w:hAnsi="Verdana" w:cs="Times New Roman"/>
          <w:sz w:val="21"/>
          <w:szCs w:val="21"/>
          <w:lang w:val="es-MX"/>
        </w:rPr>
        <w:t>]</w:t>
      </w:r>
    </w:p>
    <w:p w14:paraId="570119B2" w14:textId="77777777" w:rsidR="00180E1F" w:rsidRPr="008816F7" w:rsidRDefault="00180E1F" w:rsidP="00180E1F">
      <w:pPr>
        <w:spacing w:after="120" w:line="240" w:lineRule="auto"/>
        <w:ind w:left="709" w:right="709"/>
        <w:jc w:val="both"/>
        <w:rPr>
          <w:rFonts w:ascii="Verdana" w:eastAsia="Calibri" w:hAnsi="Verdana" w:cs="Times New Roman"/>
          <w:sz w:val="21"/>
          <w:szCs w:val="21"/>
        </w:rPr>
      </w:pPr>
      <w:r>
        <w:rPr>
          <w:rFonts w:ascii="Verdana" w:eastAsia="Calibri" w:hAnsi="Verdana" w:cs="Times New Roman"/>
          <w:sz w:val="21"/>
          <w:szCs w:val="21"/>
          <w:lang w:val="es-MX"/>
        </w:rPr>
        <w:t>N.</w:t>
      </w:r>
      <w:r w:rsidRPr="008816F7">
        <w:rPr>
          <w:rFonts w:ascii="Verdana" w:eastAsia="Calibri" w:hAnsi="Verdana" w:cs="Times New Roman"/>
          <w:sz w:val="21"/>
          <w:szCs w:val="21"/>
        </w:rPr>
        <w:t xml:space="preserve"> </w:t>
      </w:r>
      <w:r w:rsidRPr="008816F7">
        <w:rPr>
          <w:rFonts w:ascii="Verdana" w:eastAsia="Calibri" w:hAnsi="Verdana" w:cs="Times New Roman"/>
          <w:sz w:val="21"/>
          <w:szCs w:val="21"/>
          <w:highlight w:val="lightGray"/>
        </w:rPr>
        <w:t>[La Entidad no puede establecer requisitos de experiencia general o específica, adicionales a los establecidos en la Matriz 1 - Experiencia aplicable en el proyecto de infraestructura social bien sea de salud, educación, institucional, vivienda, cultura, recreación y deporte, relacionados con el cumplimiento de Planes de Manejo Ambiental, Planes de Manejo de Tránsito o el Plan de Adaptación de la Guía Ambiental, porque estas actividades no son ajenas a la obra pública de infraestructura social. Por esto, cuando el objeto contractual incluya obras, bienes y/o servicios adicionales a la obra pública de infraestructura social la Entidad deberá incluir el presente literal con el siguiente texto, que en caso contrario deberá eliminarse]</w:t>
      </w:r>
    </w:p>
    <w:p w14:paraId="6043A4B8" w14:textId="77777777" w:rsidR="00180E1F" w:rsidRPr="00423ECA" w:rsidRDefault="00180E1F" w:rsidP="00180E1F">
      <w:pPr>
        <w:spacing w:after="120" w:line="240" w:lineRule="auto"/>
        <w:ind w:left="709" w:right="709"/>
        <w:jc w:val="both"/>
        <w:rPr>
          <w:rFonts w:ascii="Verdana" w:eastAsia="Calibri" w:hAnsi="Verdana" w:cs="Times New Roman"/>
          <w:sz w:val="21"/>
          <w:szCs w:val="21"/>
        </w:rPr>
      </w:pPr>
      <w:r w:rsidRPr="00423ECA">
        <w:rPr>
          <w:rFonts w:ascii="Verdana" w:eastAsia="Calibri" w:hAnsi="Verdana" w:cs="Times New Roman"/>
          <w:sz w:val="21"/>
          <w:szCs w:val="21"/>
        </w:rPr>
        <w:t xml:space="preserve">Nota 13: Lo anterior sin perjuicio de la obligación que tienen las Entidades de cumplir con unos requisitos mínimos frente a las “obras ajenas a la infraestructura Social”, los cuales deben ser claramente </w:t>
      </w:r>
      <w:r w:rsidRPr="00423ECA">
        <w:rPr>
          <w:rFonts w:ascii="Verdana" w:eastAsia="Calibri" w:hAnsi="Verdana" w:cs="Times New Roman"/>
          <w:sz w:val="21"/>
          <w:szCs w:val="21"/>
        </w:rPr>
        <w:lastRenderedPageBreak/>
        <w:t xml:space="preserve">consignados en los estudios previos, en caso que se considere su pertinencia y con fundamento en aspectos de conveniencia técnicos y económicos suficientes que determinen que la experiencia incluida en documentos tipo existentes es insuficiente de cara a la complejidad o grado de especialidad que comporta el objeto a contratar. </w:t>
      </w:r>
    </w:p>
    <w:p w14:paraId="1E1305A1" w14:textId="77777777" w:rsidR="00180E1F" w:rsidRPr="00423ECA" w:rsidRDefault="00180E1F" w:rsidP="00180E1F">
      <w:pPr>
        <w:spacing w:after="0" w:line="240" w:lineRule="auto"/>
        <w:ind w:left="709" w:right="709"/>
        <w:jc w:val="both"/>
        <w:rPr>
          <w:rFonts w:ascii="Verdana" w:eastAsia="Calibri" w:hAnsi="Verdana" w:cs="Times New Roman"/>
          <w:sz w:val="21"/>
          <w:szCs w:val="21"/>
        </w:rPr>
      </w:pPr>
      <w:r w:rsidRPr="00423ECA">
        <w:rPr>
          <w:rFonts w:ascii="Verdana" w:eastAsia="Calibri" w:hAnsi="Verdana" w:cs="Times New Roman"/>
          <w:sz w:val="21"/>
          <w:szCs w:val="21"/>
        </w:rPr>
        <w:t>La Entidad debe demostrar que la experiencia adicional, “obra ajena a la infraestructura Social”, no se encuentra incluida en las matrices de los sectores adoptados por la Agencia y adicionalmente, que esta experiencia requerida responde a las condiciones de mercado, específicamente a las características del proceso de selección a contratar, las cuales deberían estar consignadas en el respectivo estudio de sector y con la consideración de usar los Documentos Tipo.</w:t>
      </w:r>
    </w:p>
    <w:p w14:paraId="5ACBC2B6" w14:textId="77777777" w:rsidR="00180E1F" w:rsidRPr="008816F7" w:rsidRDefault="00180E1F" w:rsidP="00180E1F">
      <w:pPr>
        <w:spacing w:after="0" w:line="240" w:lineRule="auto"/>
        <w:ind w:left="709" w:right="709"/>
        <w:jc w:val="both"/>
        <w:rPr>
          <w:rFonts w:ascii="Verdana" w:eastAsia="Calibri" w:hAnsi="Verdana" w:cs="Times New Roman"/>
          <w:sz w:val="21"/>
          <w:szCs w:val="21"/>
          <w:highlight w:val="lightGray"/>
        </w:rPr>
      </w:pPr>
    </w:p>
    <w:p w14:paraId="55F9960F" w14:textId="77777777" w:rsidR="00180E1F" w:rsidRPr="00C56BE1" w:rsidRDefault="00180E1F" w:rsidP="00180E1F">
      <w:pPr>
        <w:widowControl w:val="0"/>
        <w:autoSpaceDE w:val="0"/>
        <w:autoSpaceDN w:val="0"/>
        <w:spacing w:after="0" w:line="276" w:lineRule="auto"/>
        <w:ind w:firstLine="708"/>
        <w:jc w:val="both"/>
        <w:rPr>
          <w:rFonts w:ascii="Verdana" w:eastAsia="Arial" w:hAnsi="Verdana" w:cs="Arial"/>
          <w:lang w:val="es-ES"/>
        </w:rPr>
      </w:pPr>
      <w:r w:rsidRPr="008816F7">
        <w:rPr>
          <w:rFonts w:ascii="Verdana" w:eastAsia="Arial" w:hAnsi="Verdana" w:cs="Arial"/>
          <w:lang w:val="es-ES"/>
        </w:rPr>
        <w:t>De</w:t>
      </w:r>
      <w:r w:rsidRPr="008816F7">
        <w:rPr>
          <w:rFonts w:ascii="Verdana" w:eastAsia="Arial" w:hAnsi="Verdana" w:cs="Arial"/>
          <w:spacing w:val="-12"/>
          <w:lang w:val="es-ES"/>
        </w:rPr>
        <w:t xml:space="preserve"> </w:t>
      </w:r>
      <w:r w:rsidRPr="008816F7">
        <w:rPr>
          <w:rFonts w:ascii="Verdana" w:eastAsia="Arial" w:hAnsi="Verdana" w:cs="Arial"/>
          <w:lang w:val="es-ES"/>
        </w:rPr>
        <w:t>esta</w:t>
      </w:r>
      <w:r w:rsidRPr="008816F7">
        <w:rPr>
          <w:rFonts w:ascii="Verdana" w:eastAsia="Arial" w:hAnsi="Verdana" w:cs="Arial"/>
          <w:spacing w:val="-12"/>
          <w:lang w:val="es-ES"/>
        </w:rPr>
        <w:t xml:space="preserve"> </w:t>
      </w:r>
      <w:r w:rsidRPr="008816F7">
        <w:rPr>
          <w:rFonts w:ascii="Verdana" w:eastAsia="Arial" w:hAnsi="Verdana" w:cs="Arial"/>
          <w:lang w:val="es-ES"/>
        </w:rPr>
        <w:t>manera,</w:t>
      </w:r>
      <w:r w:rsidRPr="008816F7">
        <w:rPr>
          <w:rFonts w:ascii="Verdana" w:eastAsia="Arial" w:hAnsi="Verdana" w:cs="Arial"/>
          <w:spacing w:val="-11"/>
          <w:lang w:val="es-ES"/>
        </w:rPr>
        <w:t xml:space="preserve"> </w:t>
      </w:r>
      <w:bookmarkStart w:id="1" w:name="_Hlk100312268"/>
      <w:r w:rsidRPr="008816F7">
        <w:rPr>
          <w:rFonts w:ascii="Verdana" w:eastAsia="Arial" w:hAnsi="Verdana" w:cs="Arial"/>
          <w:lang w:val="es-ES"/>
        </w:rPr>
        <w:t>la</w:t>
      </w:r>
      <w:r w:rsidRPr="008816F7">
        <w:rPr>
          <w:rFonts w:ascii="Verdana" w:eastAsia="Arial" w:hAnsi="Verdana" w:cs="Arial"/>
          <w:spacing w:val="-12"/>
          <w:lang w:val="es-ES"/>
        </w:rPr>
        <w:t xml:space="preserve"> </w:t>
      </w:r>
      <w:r w:rsidRPr="008816F7">
        <w:rPr>
          <w:rFonts w:ascii="Verdana" w:eastAsia="Arial" w:hAnsi="Verdana" w:cs="Arial"/>
          <w:lang w:val="es-ES"/>
        </w:rPr>
        <w:t>regla</w:t>
      </w:r>
      <w:r w:rsidRPr="008816F7">
        <w:rPr>
          <w:rFonts w:ascii="Verdana" w:eastAsia="Arial" w:hAnsi="Verdana" w:cs="Arial"/>
          <w:spacing w:val="-12"/>
          <w:lang w:val="es-ES"/>
        </w:rPr>
        <w:t xml:space="preserve"> </w:t>
      </w:r>
      <w:r w:rsidRPr="008816F7">
        <w:rPr>
          <w:rFonts w:ascii="Verdana" w:eastAsia="Arial" w:hAnsi="Verdana" w:cs="Arial"/>
          <w:lang w:val="es-ES"/>
        </w:rPr>
        <w:t>general</w:t>
      </w:r>
      <w:r w:rsidRPr="008816F7">
        <w:rPr>
          <w:rFonts w:ascii="Verdana" w:eastAsia="Arial" w:hAnsi="Verdana" w:cs="Arial"/>
          <w:spacing w:val="-11"/>
          <w:lang w:val="es-ES"/>
        </w:rPr>
        <w:t xml:space="preserve"> </w:t>
      </w:r>
      <w:r w:rsidRPr="008816F7">
        <w:rPr>
          <w:rFonts w:ascii="Verdana" w:eastAsia="Arial" w:hAnsi="Verdana" w:cs="Arial"/>
          <w:lang w:val="es-ES"/>
        </w:rPr>
        <w:t>frente</w:t>
      </w:r>
      <w:r w:rsidRPr="008816F7">
        <w:rPr>
          <w:rFonts w:ascii="Verdana" w:eastAsia="Arial" w:hAnsi="Verdana" w:cs="Arial"/>
          <w:spacing w:val="-11"/>
          <w:lang w:val="es-ES"/>
        </w:rPr>
        <w:t xml:space="preserve"> </w:t>
      </w:r>
      <w:r w:rsidRPr="008816F7">
        <w:rPr>
          <w:rFonts w:ascii="Verdana" w:eastAsia="Arial" w:hAnsi="Verdana" w:cs="Arial"/>
          <w:lang w:val="es-ES"/>
        </w:rPr>
        <w:t>a</w:t>
      </w:r>
      <w:r w:rsidRPr="008816F7">
        <w:rPr>
          <w:rFonts w:ascii="Verdana" w:eastAsia="Arial" w:hAnsi="Verdana" w:cs="Arial"/>
          <w:spacing w:val="-12"/>
          <w:lang w:val="es-ES"/>
        </w:rPr>
        <w:t xml:space="preserve"> </w:t>
      </w:r>
      <w:r w:rsidRPr="008816F7">
        <w:rPr>
          <w:rFonts w:ascii="Verdana" w:eastAsia="Arial" w:hAnsi="Verdana" w:cs="Arial"/>
          <w:lang w:val="es-ES"/>
        </w:rPr>
        <w:t>la</w:t>
      </w:r>
      <w:r w:rsidRPr="008816F7">
        <w:rPr>
          <w:rFonts w:ascii="Verdana" w:eastAsia="Arial" w:hAnsi="Verdana" w:cs="Arial"/>
          <w:spacing w:val="-12"/>
          <w:lang w:val="es-ES"/>
        </w:rPr>
        <w:t xml:space="preserve"> </w:t>
      </w:r>
      <w:r w:rsidRPr="008816F7">
        <w:rPr>
          <w:rFonts w:ascii="Verdana" w:eastAsia="Arial" w:hAnsi="Verdana" w:cs="Arial"/>
          <w:lang w:val="es-ES"/>
        </w:rPr>
        <w:t>aplicación</w:t>
      </w:r>
      <w:r w:rsidRPr="008816F7">
        <w:rPr>
          <w:rFonts w:ascii="Verdana" w:eastAsia="Arial" w:hAnsi="Verdana" w:cs="Arial"/>
          <w:spacing w:val="-11"/>
          <w:lang w:val="es-ES"/>
        </w:rPr>
        <w:t xml:space="preserve"> </w:t>
      </w:r>
      <w:r w:rsidRPr="008816F7">
        <w:rPr>
          <w:rFonts w:ascii="Verdana" w:eastAsia="Arial" w:hAnsi="Verdana" w:cs="Arial"/>
          <w:lang w:val="es-ES"/>
        </w:rPr>
        <w:t>del</w:t>
      </w:r>
      <w:r w:rsidRPr="008816F7">
        <w:rPr>
          <w:rFonts w:ascii="Verdana" w:eastAsia="Arial" w:hAnsi="Verdana" w:cs="Arial"/>
          <w:spacing w:val="-12"/>
          <w:lang w:val="es-ES"/>
        </w:rPr>
        <w:t xml:space="preserve"> </w:t>
      </w:r>
      <w:r w:rsidRPr="008816F7">
        <w:rPr>
          <w:rFonts w:ascii="Verdana" w:eastAsia="Arial" w:hAnsi="Verdana" w:cs="Arial"/>
          <w:lang w:val="es-ES"/>
        </w:rPr>
        <w:t>documento</w:t>
      </w:r>
      <w:r w:rsidRPr="008816F7">
        <w:rPr>
          <w:rFonts w:ascii="Verdana" w:eastAsia="Arial" w:hAnsi="Verdana" w:cs="Arial"/>
          <w:spacing w:val="-12"/>
          <w:lang w:val="es-ES"/>
        </w:rPr>
        <w:t xml:space="preserve"> </w:t>
      </w:r>
      <w:r w:rsidRPr="008816F7">
        <w:rPr>
          <w:rFonts w:ascii="Verdana" w:eastAsia="Arial" w:hAnsi="Verdana" w:cs="Arial"/>
          <w:lang w:val="es-ES"/>
        </w:rPr>
        <w:t>base</w:t>
      </w:r>
      <w:r w:rsidRPr="008816F7">
        <w:rPr>
          <w:rFonts w:ascii="Verdana" w:eastAsia="Arial" w:hAnsi="Verdana" w:cs="Arial"/>
          <w:spacing w:val="-11"/>
          <w:lang w:val="es-ES"/>
        </w:rPr>
        <w:t xml:space="preserve"> </w:t>
      </w:r>
      <w:r w:rsidRPr="008816F7">
        <w:rPr>
          <w:rFonts w:ascii="Verdana" w:eastAsia="Arial" w:hAnsi="Verdana" w:cs="Arial"/>
          <w:lang w:val="es-ES"/>
        </w:rPr>
        <w:t>es</w:t>
      </w:r>
      <w:r w:rsidRPr="008816F7">
        <w:rPr>
          <w:rFonts w:ascii="Verdana" w:eastAsia="Arial" w:hAnsi="Verdana" w:cs="Arial"/>
          <w:spacing w:val="-12"/>
          <w:lang w:val="es-ES"/>
        </w:rPr>
        <w:t xml:space="preserve"> </w:t>
      </w:r>
      <w:r w:rsidRPr="008816F7">
        <w:rPr>
          <w:rFonts w:ascii="Verdana" w:eastAsia="Arial" w:hAnsi="Verdana" w:cs="Arial"/>
          <w:lang w:val="es-ES"/>
        </w:rPr>
        <w:t>su inalterabilidad. Por lo tanto, no se podrán incluir o modificar dentro de los documentos del proceso las condiciones habilitantes, los factores técnicos y económicos de escogencia y los sistemas de ponderación señalados en los documentos tipo, sin perjuicio de lo dispuesto en el artículo</w:t>
      </w:r>
      <w:r w:rsidRPr="008816F7">
        <w:rPr>
          <w:rFonts w:ascii="Verdana" w:eastAsia="Arial" w:hAnsi="Verdana" w:cs="Arial"/>
          <w:spacing w:val="-15"/>
          <w:lang w:val="es-ES"/>
        </w:rPr>
        <w:t xml:space="preserve"> </w:t>
      </w:r>
      <w:r w:rsidRPr="008816F7">
        <w:rPr>
          <w:rFonts w:ascii="Verdana" w:eastAsia="Arial" w:hAnsi="Verdana" w:cs="Arial"/>
          <w:lang w:val="es-ES"/>
        </w:rPr>
        <w:t>4</w:t>
      </w:r>
      <w:r w:rsidRPr="008816F7">
        <w:rPr>
          <w:rFonts w:ascii="Verdana" w:eastAsia="Arial" w:hAnsi="Verdana" w:cs="Arial"/>
          <w:spacing w:val="-14"/>
          <w:lang w:val="es-ES"/>
        </w:rPr>
        <w:t xml:space="preserve"> </w:t>
      </w:r>
      <w:r w:rsidRPr="008816F7">
        <w:rPr>
          <w:rFonts w:ascii="Verdana" w:eastAsia="Arial" w:hAnsi="Verdana" w:cs="Arial"/>
          <w:lang w:val="es-ES"/>
        </w:rPr>
        <w:t>de</w:t>
      </w:r>
      <w:r w:rsidRPr="008816F7">
        <w:rPr>
          <w:rFonts w:ascii="Verdana" w:eastAsia="Arial" w:hAnsi="Verdana" w:cs="Arial"/>
          <w:spacing w:val="-14"/>
          <w:lang w:val="es-ES"/>
        </w:rPr>
        <w:t xml:space="preserve"> </w:t>
      </w:r>
      <w:r w:rsidRPr="008816F7">
        <w:rPr>
          <w:rFonts w:ascii="Verdana" w:eastAsia="Arial" w:hAnsi="Verdana" w:cs="Arial"/>
          <w:lang w:val="es-ES"/>
        </w:rPr>
        <w:t>la</w:t>
      </w:r>
      <w:r w:rsidRPr="008816F7">
        <w:rPr>
          <w:rFonts w:ascii="Verdana" w:eastAsia="Arial" w:hAnsi="Verdana" w:cs="Arial"/>
          <w:spacing w:val="-14"/>
          <w:lang w:val="es-ES"/>
        </w:rPr>
        <w:t xml:space="preserve"> </w:t>
      </w:r>
      <w:r w:rsidRPr="008816F7">
        <w:rPr>
          <w:rFonts w:ascii="Verdana" w:eastAsia="Arial" w:hAnsi="Verdana" w:cs="Arial"/>
          <w:lang w:val="es-ES"/>
        </w:rPr>
        <w:t>Resolución</w:t>
      </w:r>
      <w:r w:rsidRPr="008816F7">
        <w:rPr>
          <w:rFonts w:ascii="Verdana" w:eastAsia="Arial" w:hAnsi="Verdana" w:cs="Arial"/>
          <w:spacing w:val="-13"/>
          <w:lang w:val="es-ES"/>
        </w:rPr>
        <w:t xml:space="preserve"> No. </w:t>
      </w:r>
      <w:r w:rsidRPr="008816F7">
        <w:rPr>
          <w:rFonts w:ascii="Verdana" w:eastAsia="Arial" w:hAnsi="Verdana" w:cs="Arial"/>
          <w:lang w:val="es-ES"/>
        </w:rPr>
        <w:t>5</w:t>
      </w:r>
      <w:r>
        <w:rPr>
          <w:rFonts w:ascii="Verdana" w:eastAsia="Arial" w:hAnsi="Verdana" w:cs="Arial"/>
          <w:lang w:val="es-ES"/>
        </w:rPr>
        <w:t>40</w:t>
      </w:r>
      <w:r w:rsidRPr="008816F7">
        <w:rPr>
          <w:rFonts w:ascii="Verdana" w:eastAsia="Arial" w:hAnsi="Verdana" w:cs="Arial"/>
          <w:spacing w:val="-14"/>
          <w:lang w:val="es-ES"/>
        </w:rPr>
        <w:t xml:space="preserve"> </w:t>
      </w:r>
      <w:r w:rsidRPr="008816F7">
        <w:rPr>
          <w:rFonts w:ascii="Verdana" w:eastAsia="Arial" w:hAnsi="Verdana" w:cs="Arial"/>
          <w:lang w:val="es-ES"/>
        </w:rPr>
        <w:t>de</w:t>
      </w:r>
      <w:r w:rsidRPr="008816F7">
        <w:rPr>
          <w:rFonts w:ascii="Verdana" w:eastAsia="Arial" w:hAnsi="Verdana" w:cs="Arial"/>
          <w:spacing w:val="-14"/>
          <w:lang w:val="es-ES"/>
        </w:rPr>
        <w:t xml:space="preserve"> </w:t>
      </w:r>
      <w:r w:rsidRPr="008816F7">
        <w:rPr>
          <w:rFonts w:ascii="Verdana" w:eastAsia="Arial" w:hAnsi="Verdana" w:cs="Arial"/>
          <w:lang w:val="es-ES"/>
        </w:rPr>
        <w:t>2025.</w:t>
      </w:r>
      <w:r w:rsidRPr="008816F7">
        <w:rPr>
          <w:rFonts w:ascii="Verdana" w:eastAsia="Arial" w:hAnsi="Verdana" w:cs="Arial"/>
          <w:spacing w:val="-14"/>
          <w:lang w:val="es-ES"/>
        </w:rPr>
        <w:t xml:space="preserve"> </w:t>
      </w:r>
      <w:r w:rsidRPr="008816F7">
        <w:rPr>
          <w:rFonts w:ascii="Verdana" w:eastAsia="Arial" w:hAnsi="Verdana" w:cs="Arial"/>
          <w:lang w:val="es-ES"/>
        </w:rPr>
        <w:t>Por</w:t>
      </w:r>
      <w:r w:rsidRPr="008816F7">
        <w:rPr>
          <w:rFonts w:ascii="Verdana" w:eastAsia="Arial" w:hAnsi="Verdana" w:cs="Arial"/>
          <w:spacing w:val="-13"/>
          <w:lang w:val="es-ES"/>
        </w:rPr>
        <w:t xml:space="preserve"> </w:t>
      </w:r>
      <w:r w:rsidRPr="008816F7">
        <w:rPr>
          <w:rFonts w:ascii="Verdana" w:eastAsia="Arial" w:hAnsi="Verdana" w:cs="Arial"/>
          <w:lang w:val="es-ES"/>
        </w:rPr>
        <w:t>tanto,</w:t>
      </w:r>
      <w:r w:rsidRPr="008816F7">
        <w:rPr>
          <w:rFonts w:ascii="Verdana" w:eastAsia="Arial" w:hAnsi="Verdana" w:cs="Arial"/>
          <w:spacing w:val="-13"/>
          <w:lang w:val="es-ES"/>
        </w:rPr>
        <w:t xml:space="preserve"> </w:t>
      </w:r>
      <w:r w:rsidRPr="008816F7">
        <w:rPr>
          <w:rFonts w:ascii="Verdana" w:eastAsia="Arial" w:hAnsi="Verdana" w:cs="Arial"/>
          <w:lang w:val="es-ES"/>
        </w:rPr>
        <w:t>si</w:t>
      </w:r>
      <w:r w:rsidRPr="008816F7">
        <w:rPr>
          <w:rFonts w:ascii="Verdana" w:eastAsia="Arial" w:hAnsi="Verdana" w:cs="Arial"/>
          <w:spacing w:val="-14"/>
          <w:lang w:val="es-ES"/>
        </w:rPr>
        <w:t xml:space="preserve"> </w:t>
      </w:r>
      <w:r w:rsidRPr="008816F7">
        <w:rPr>
          <w:rFonts w:ascii="Verdana" w:eastAsia="Arial" w:hAnsi="Verdana" w:cs="Arial"/>
          <w:lang w:val="es-ES"/>
        </w:rPr>
        <w:t>el</w:t>
      </w:r>
      <w:r w:rsidRPr="008816F7">
        <w:rPr>
          <w:rFonts w:ascii="Verdana" w:eastAsia="Arial" w:hAnsi="Verdana" w:cs="Arial"/>
          <w:spacing w:val="-15"/>
          <w:lang w:val="es-ES"/>
        </w:rPr>
        <w:t xml:space="preserve"> </w:t>
      </w:r>
      <w:r w:rsidRPr="008816F7">
        <w:rPr>
          <w:rFonts w:ascii="Verdana" w:eastAsia="Arial" w:hAnsi="Verdana" w:cs="Arial"/>
          <w:lang w:val="es-ES"/>
        </w:rPr>
        <w:t>objeto</w:t>
      </w:r>
      <w:r w:rsidRPr="008816F7">
        <w:rPr>
          <w:rFonts w:ascii="Verdana" w:eastAsia="Arial" w:hAnsi="Verdana" w:cs="Arial"/>
          <w:spacing w:val="-14"/>
          <w:lang w:val="es-ES"/>
        </w:rPr>
        <w:t xml:space="preserve"> </w:t>
      </w:r>
      <w:r w:rsidRPr="008816F7">
        <w:rPr>
          <w:rFonts w:ascii="Verdana" w:eastAsia="Arial" w:hAnsi="Verdana" w:cs="Arial"/>
          <w:lang w:val="es-ES"/>
        </w:rPr>
        <w:t>contractual</w:t>
      </w:r>
      <w:r w:rsidRPr="008816F7">
        <w:rPr>
          <w:rFonts w:ascii="Verdana" w:eastAsia="Arial" w:hAnsi="Verdana" w:cs="Arial"/>
          <w:spacing w:val="-14"/>
          <w:lang w:val="es-ES"/>
        </w:rPr>
        <w:t xml:space="preserve"> </w:t>
      </w:r>
      <w:r w:rsidRPr="008816F7">
        <w:rPr>
          <w:rFonts w:ascii="Verdana" w:eastAsia="Arial" w:hAnsi="Verdana" w:cs="Arial"/>
          <w:lang w:val="es-ES"/>
        </w:rPr>
        <w:t>incluye</w:t>
      </w:r>
      <w:r w:rsidRPr="008816F7">
        <w:rPr>
          <w:rFonts w:ascii="Verdana" w:eastAsia="Arial" w:hAnsi="Verdana" w:cs="Arial"/>
          <w:spacing w:val="-14"/>
          <w:lang w:val="es-ES"/>
        </w:rPr>
        <w:t xml:space="preserve"> obras, </w:t>
      </w:r>
      <w:r w:rsidRPr="008816F7">
        <w:rPr>
          <w:rFonts w:ascii="Verdana" w:eastAsia="Arial" w:hAnsi="Verdana" w:cs="Arial"/>
          <w:lang w:val="es-ES"/>
        </w:rPr>
        <w:t>bienes o</w:t>
      </w:r>
      <w:r w:rsidRPr="008816F7">
        <w:rPr>
          <w:rFonts w:ascii="Verdana" w:eastAsia="Arial" w:hAnsi="Verdana" w:cs="Arial"/>
          <w:spacing w:val="-16"/>
          <w:lang w:val="es-ES"/>
        </w:rPr>
        <w:t xml:space="preserve"> </w:t>
      </w:r>
      <w:r w:rsidRPr="00C56BE1">
        <w:rPr>
          <w:rFonts w:ascii="Verdana" w:eastAsia="Arial" w:hAnsi="Verdana" w:cs="Arial"/>
          <w:lang w:val="es-ES"/>
        </w:rPr>
        <w:t>servicios</w:t>
      </w:r>
      <w:r w:rsidRPr="00C56BE1">
        <w:rPr>
          <w:rFonts w:ascii="Verdana" w:eastAsia="Arial" w:hAnsi="Verdana" w:cs="Arial"/>
          <w:spacing w:val="-15"/>
          <w:lang w:val="es-ES"/>
        </w:rPr>
        <w:t xml:space="preserve"> </w:t>
      </w:r>
      <w:r w:rsidRPr="00C56BE1">
        <w:rPr>
          <w:rFonts w:ascii="Verdana" w:eastAsia="Arial" w:hAnsi="Verdana" w:cs="Arial"/>
          <w:lang w:val="es-ES"/>
        </w:rPr>
        <w:t>ajenos</w:t>
      </w:r>
      <w:r w:rsidRPr="00C56BE1">
        <w:rPr>
          <w:rFonts w:ascii="Verdana" w:eastAsia="Arial" w:hAnsi="Verdana" w:cs="Arial"/>
          <w:spacing w:val="-15"/>
          <w:lang w:val="es-ES"/>
        </w:rPr>
        <w:t xml:space="preserve"> </w:t>
      </w:r>
      <w:r w:rsidRPr="00C56BE1">
        <w:rPr>
          <w:rFonts w:ascii="Verdana" w:eastAsia="Arial" w:hAnsi="Verdana" w:cs="Arial"/>
          <w:lang w:val="es-ES"/>
        </w:rPr>
        <w:t>a</w:t>
      </w:r>
      <w:r w:rsidRPr="00C56BE1">
        <w:rPr>
          <w:rFonts w:ascii="Verdana" w:eastAsia="Arial" w:hAnsi="Verdana" w:cs="Arial"/>
          <w:spacing w:val="-15"/>
          <w:lang w:val="es-ES"/>
        </w:rPr>
        <w:t xml:space="preserve"> </w:t>
      </w:r>
      <w:r w:rsidRPr="00C56BE1">
        <w:rPr>
          <w:rFonts w:ascii="Verdana" w:eastAsia="Arial" w:hAnsi="Verdana" w:cs="Arial"/>
          <w:lang w:val="es-ES"/>
        </w:rPr>
        <w:t>la</w:t>
      </w:r>
      <w:r w:rsidRPr="00C56BE1">
        <w:rPr>
          <w:rFonts w:ascii="Verdana" w:eastAsia="Arial" w:hAnsi="Verdana" w:cs="Arial"/>
          <w:spacing w:val="-15"/>
          <w:lang w:val="es-ES"/>
        </w:rPr>
        <w:t xml:space="preserve"> </w:t>
      </w:r>
      <w:r w:rsidRPr="00C56BE1">
        <w:rPr>
          <w:rFonts w:ascii="Verdana" w:eastAsia="Arial" w:hAnsi="Verdana" w:cs="Arial"/>
          <w:lang w:val="es-ES"/>
        </w:rPr>
        <w:t>obra</w:t>
      </w:r>
      <w:r w:rsidRPr="00C56BE1">
        <w:rPr>
          <w:rFonts w:ascii="Verdana" w:eastAsia="Arial" w:hAnsi="Verdana" w:cs="Arial"/>
          <w:spacing w:val="-15"/>
          <w:lang w:val="es-ES"/>
        </w:rPr>
        <w:t xml:space="preserve"> </w:t>
      </w:r>
      <w:r w:rsidRPr="00C56BE1">
        <w:rPr>
          <w:rFonts w:ascii="Verdana" w:eastAsia="Arial" w:hAnsi="Verdana" w:cs="Arial"/>
          <w:lang w:val="es-ES"/>
        </w:rPr>
        <w:t>pública</w:t>
      </w:r>
      <w:r w:rsidRPr="00C56BE1">
        <w:rPr>
          <w:rFonts w:ascii="Verdana" w:eastAsia="Arial" w:hAnsi="Verdana" w:cs="Arial"/>
          <w:spacing w:val="-16"/>
          <w:lang w:val="es-ES"/>
        </w:rPr>
        <w:t xml:space="preserve"> </w:t>
      </w:r>
      <w:r w:rsidRPr="00C56BE1">
        <w:rPr>
          <w:rFonts w:ascii="Verdana" w:eastAsia="Arial" w:hAnsi="Verdana" w:cs="Arial"/>
          <w:lang w:val="es-ES"/>
        </w:rPr>
        <w:t>de</w:t>
      </w:r>
      <w:r w:rsidRPr="00C56BE1">
        <w:rPr>
          <w:rFonts w:ascii="Verdana" w:eastAsia="Arial" w:hAnsi="Verdana" w:cs="Arial"/>
          <w:spacing w:val="-15"/>
          <w:lang w:val="es-ES"/>
        </w:rPr>
        <w:t xml:space="preserve"> </w:t>
      </w:r>
      <w:r w:rsidRPr="00C56BE1">
        <w:rPr>
          <w:rFonts w:ascii="Verdana" w:eastAsia="Arial" w:hAnsi="Verdana" w:cs="Arial"/>
          <w:lang w:val="es-ES"/>
        </w:rPr>
        <w:t>infraestructura social,</w:t>
      </w:r>
      <w:r w:rsidRPr="00C56BE1">
        <w:rPr>
          <w:rFonts w:ascii="Verdana" w:eastAsia="Arial" w:hAnsi="Verdana" w:cs="Arial"/>
          <w:spacing w:val="-14"/>
          <w:lang w:val="es-ES"/>
        </w:rPr>
        <w:t xml:space="preserve"> </w:t>
      </w:r>
      <w:r w:rsidRPr="00C56BE1">
        <w:rPr>
          <w:rFonts w:ascii="Verdana" w:eastAsia="Arial" w:hAnsi="Verdana" w:cs="Arial"/>
          <w:lang w:val="es-ES"/>
        </w:rPr>
        <w:t>de</w:t>
      </w:r>
      <w:r w:rsidRPr="00C56BE1">
        <w:rPr>
          <w:rFonts w:ascii="Verdana" w:eastAsia="Arial" w:hAnsi="Verdana" w:cs="Arial"/>
          <w:spacing w:val="-16"/>
          <w:lang w:val="es-ES"/>
        </w:rPr>
        <w:t xml:space="preserve"> </w:t>
      </w:r>
      <w:r w:rsidRPr="00C56BE1">
        <w:rPr>
          <w:rFonts w:ascii="Verdana" w:eastAsia="Arial" w:hAnsi="Verdana" w:cs="Arial"/>
          <w:lang w:val="es-ES"/>
        </w:rPr>
        <w:t>allí</w:t>
      </w:r>
      <w:r w:rsidRPr="00C56BE1">
        <w:rPr>
          <w:rFonts w:ascii="Verdana" w:eastAsia="Arial" w:hAnsi="Verdana" w:cs="Arial"/>
          <w:spacing w:val="-15"/>
          <w:lang w:val="es-ES"/>
        </w:rPr>
        <w:t xml:space="preserve"> </w:t>
      </w:r>
      <w:r w:rsidRPr="00C56BE1">
        <w:rPr>
          <w:rFonts w:ascii="Verdana" w:eastAsia="Arial" w:hAnsi="Verdana" w:cs="Arial"/>
          <w:lang w:val="es-ES"/>
        </w:rPr>
        <w:t>solo</w:t>
      </w:r>
      <w:r w:rsidRPr="00C56BE1">
        <w:rPr>
          <w:rFonts w:ascii="Verdana" w:eastAsia="Arial" w:hAnsi="Verdana" w:cs="Arial"/>
          <w:spacing w:val="-15"/>
          <w:lang w:val="es-ES"/>
        </w:rPr>
        <w:t xml:space="preserve"> </w:t>
      </w:r>
      <w:r w:rsidRPr="00C56BE1">
        <w:rPr>
          <w:rFonts w:ascii="Verdana" w:eastAsia="Arial" w:hAnsi="Verdana" w:cs="Arial"/>
          <w:lang w:val="es-ES"/>
        </w:rPr>
        <w:t>se</w:t>
      </w:r>
      <w:r w:rsidRPr="00C56BE1">
        <w:rPr>
          <w:rFonts w:ascii="Verdana" w:eastAsia="Arial" w:hAnsi="Verdana" w:cs="Arial"/>
          <w:spacing w:val="-15"/>
          <w:lang w:val="es-ES"/>
        </w:rPr>
        <w:t xml:space="preserve"> </w:t>
      </w:r>
      <w:r w:rsidRPr="00C56BE1">
        <w:rPr>
          <w:rFonts w:ascii="Verdana" w:eastAsia="Arial" w:hAnsi="Verdana" w:cs="Arial"/>
          <w:lang w:val="es-ES"/>
        </w:rPr>
        <w:t>deriva que podrá incluirse la experiencia adicional que se considere conveniente, atendiendo a las reglas explicadas con</w:t>
      </w:r>
      <w:r w:rsidRPr="00C56BE1">
        <w:rPr>
          <w:rFonts w:ascii="Verdana" w:eastAsia="Arial" w:hAnsi="Verdana" w:cs="Arial"/>
          <w:spacing w:val="-7"/>
          <w:lang w:val="es-ES"/>
        </w:rPr>
        <w:t xml:space="preserve"> </w:t>
      </w:r>
      <w:r w:rsidRPr="00C56BE1">
        <w:rPr>
          <w:rFonts w:ascii="Verdana" w:eastAsia="Arial" w:hAnsi="Verdana" w:cs="Arial"/>
          <w:lang w:val="es-ES"/>
        </w:rPr>
        <w:t>anterioridad.</w:t>
      </w:r>
      <w:bookmarkEnd w:id="1"/>
    </w:p>
    <w:p w14:paraId="62FEA466" w14:textId="77777777" w:rsidR="00180E1F" w:rsidRPr="00954B5E" w:rsidRDefault="00180E1F" w:rsidP="00180E1F">
      <w:pPr>
        <w:widowControl w:val="0"/>
        <w:autoSpaceDE w:val="0"/>
        <w:autoSpaceDN w:val="0"/>
        <w:spacing w:before="120" w:after="120" w:line="276" w:lineRule="auto"/>
        <w:ind w:firstLine="708"/>
        <w:jc w:val="both"/>
        <w:rPr>
          <w:rFonts w:ascii="Verdana" w:eastAsia="Arial" w:hAnsi="Verdana" w:cs="Arial"/>
          <w:lang w:val="es-ES"/>
        </w:rPr>
      </w:pPr>
      <w:r w:rsidRPr="00954B5E">
        <w:rPr>
          <w:rFonts w:ascii="Verdana" w:eastAsia="Arial" w:hAnsi="Verdana" w:cs="Arial"/>
          <w:lang w:val="es-ES"/>
        </w:rPr>
        <w:t>En este sentido, cuando se pretenda ejecutar una de las actividades establecidas en la “Matriz – Experiencia” de los documentos tipo adoptados en el sector social y adicionalmente se requiera contratar otro tipo de obras, bienes y servicios adicionales a la obra pública de infraestructura social, los documentos tipo adoptados son obligatorios.</w:t>
      </w:r>
    </w:p>
    <w:p w14:paraId="5DF5CCEC" w14:textId="77777777" w:rsidR="00180E1F" w:rsidRDefault="00180E1F" w:rsidP="00180E1F">
      <w:pPr>
        <w:pStyle w:val="font-claude-response-body"/>
        <w:spacing w:before="120" w:beforeAutospacing="0" w:after="120" w:afterAutospacing="0" w:line="276" w:lineRule="auto"/>
        <w:ind w:firstLine="708"/>
        <w:jc w:val="both"/>
        <w:rPr>
          <w:rFonts w:ascii="Verdana" w:hAnsi="Verdana"/>
          <w:sz w:val="22"/>
          <w:szCs w:val="22"/>
        </w:rPr>
      </w:pPr>
      <w:r w:rsidRPr="007F4A5E">
        <w:rPr>
          <w:rFonts w:ascii="Verdana" w:hAnsi="Verdana"/>
          <w:sz w:val="22"/>
          <w:szCs w:val="22"/>
        </w:rPr>
        <w:t xml:space="preserve">Precisado lo anterior en relación con la posibilidad que tiene la Entidad Estatal que adelanta un proceso de selección con los documentos tipo de selección abreviada de menor cuantía de obra pública de infraestructura social de solicitar experiencia adicional para las obras, bienes o servicios ajenos a la obra pública de infraestructura social, ahora, resulta pertinente </w:t>
      </w:r>
      <w:r>
        <w:rPr>
          <w:rFonts w:ascii="Verdana" w:hAnsi="Verdana"/>
          <w:sz w:val="22"/>
          <w:szCs w:val="22"/>
        </w:rPr>
        <w:t xml:space="preserve">analizar particularmente, </w:t>
      </w:r>
      <w:r w:rsidRPr="007F4A5E">
        <w:rPr>
          <w:rFonts w:ascii="Verdana" w:hAnsi="Verdana"/>
          <w:sz w:val="22"/>
          <w:szCs w:val="22"/>
        </w:rPr>
        <w:t xml:space="preserve">el alcance </w:t>
      </w:r>
      <w:r>
        <w:rPr>
          <w:rFonts w:ascii="Verdana" w:hAnsi="Verdana"/>
          <w:sz w:val="22"/>
          <w:szCs w:val="22"/>
        </w:rPr>
        <w:t xml:space="preserve">del </w:t>
      </w:r>
      <w:r w:rsidRPr="007F4A5E">
        <w:rPr>
          <w:rFonts w:ascii="Verdana" w:hAnsi="Verdana"/>
          <w:sz w:val="22"/>
          <w:szCs w:val="22"/>
        </w:rPr>
        <w:t>Parágrafo 4°</w:t>
      </w:r>
      <w:r>
        <w:rPr>
          <w:rFonts w:ascii="Verdana" w:hAnsi="Verdana"/>
          <w:sz w:val="22"/>
          <w:szCs w:val="22"/>
        </w:rPr>
        <w:t xml:space="preserve"> del artículo 4 de la Resolución 540 de 2025</w:t>
      </w:r>
      <w:r w:rsidRPr="007F4A5E">
        <w:rPr>
          <w:rFonts w:ascii="Verdana" w:hAnsi="Verdana"/>
          <w:sz w:val="22"/>
          <w:szCs w:val="22"/>
        </w:rPr>
        <w:t xml:space="preserve">, </w:t>
      </w:r>
      <w:r>
        <w:rPr>
          <w:rFonts w:ascii="Verdana" w:hAnsi="Verdana"/>
          <w:sz w:val="22"/>
          <w:szCs w:val="22"/>
        </w:rPr>
        <w:t xml:space="preserve">considerando que este </w:t>
      </w:r>
      <w:r w:rsidRPr="007F4A5E">
        <w:rPr>
          <w:rFonts w:ascii="Verdana" w:hAnsi="Verdana"/>
          <w:sz w:val="22"/>
          <w:szCs w:val="22"/>
        </w:rPr>
        <w:t>fija el límite cuantitativo de actividades que la Entidad Estatal puede exigir</w:t>
      </w:r>
      <w:r w:rsidRPr="00954B5E">
        <w:rPr>
          <w:rFonts w:ascii="Verdana" w:hAnsi="Verdana"/>
          <w:sz w:val="22"/>
          <w:szCs w:val="22"/>
        </w:rPr>
        <w:t xml:space="preserve"> dentro de un mismo proceso de</w:t>
      </w:r>
      <w:r>
        <w:rPr>
          <w:rFonts w:ascii="Verdana" w:hAnsi="Verdana"/>
          <w:sz w:val="22"/>
          <w:szCs w:val="22"/>
        </w:rPr>
        <w:t xml:space="preserve"> selección, cuando se requieren </w:t>
      </w:r>
      <w:r w:rsidRPr="008816F7">
        <w:rPr>
          <w:rFonts w:ascii="Verdana" w:eastAsia="Aptos" w:hAnsi="Verdana"/>
          <w:sz w:val="22"/>
          <w:szCs w:val="22"/>
        </w:rPr>
        <w:t>obras, bienes o servicios adicionales a la obra pública de infraestructura social</w:t>
      </w:r>
      <w:r>
        <w:rPr>
          <w:rFonts w:ascii="Verdana" w:eastAsia="Aptos" w:hAnsi="Verdana"/>
          <w:sz w:val="22"/>
          <w:szCs w:val="22"/>
        </w:rPr>
        <w:t xml:space="preserve">. </w:t>
      </w:r>
    </w:p>
    <w:p w14:paraId="39C35AD8" w14:textId="77777777" w:rsidR="00180E1F" w:rsidRPr="00954B5E" w:rsidRDefault="00180E1F" w:rsidP="00180E1F">
      <w:pPr>
        <w:pStyle w:val="font-claude-response-body"/>
        <w:spacing w:before="120" w:beforeAutospacing="0" w:after="120" w:afterAutospacing="0" w:line="276" w:lineRule="auto"/>
        <w:ind w:firstLine="708"/>
        <w:jc w:val="both"/>
        <w:rPr>
          <w:rFonts w:ascii="Verdana" w:hAnsi="Verdana"/>
          <w:sz w:val="22"/>
          <w:szCs w:val="22"/>
        </w:rPr>
      </w:pPr>
      <w:r>
        <w:rPr>
          <w:rFonts w:ascii="Verdana" w:hAnsi="Verdana"/>
          <w:sz w:val="22"/>
          <w:szCs w:val="22"/>
        </w:rPr>
        <w:lastRenderedPageBreak/>
        <w:t>Es así como, l</w:t>
      </w:r>
      <w:r w:rsidRPr="00954B5E">
        <w:rPr>
          <w:rFonts w:ascii="Verdana" w:hAnsi="Verdana"/>
          <w:sz w:val="22"/>
          <w:szCs w:val="22"/>
        </w:rPr>
        <w:t xml:space="preserve">a disposición señala de manera expresa que </w:t>
      </w:r>
      <w:r>
        <w:rPr>
          <w:rFonts w:ascii="Verdana" w:hAnsi="Verdana"/>
          <w:sz w:val="22"/>
          <w:szCs w:val="22"/>
        </w:rPr>
        <w:t>“(</w:t>
      </w:r>
      <w:r w:rsidRPr="00954B5E">
        <w:rPr>
          <w:rFonts w:ascii="Verdana" w:hAnsi="Verdana"/>
          <w:sz w:val="22"/>
          <w:szCs w:val="22"/>
        </w:rPr>
        <w:t>…</w:t>
      </w:r>
      <w:r>
        <w:rPr>
          <w:rFonts w:ascii="Verdana" w:hAnsi="Verdana"/>
          <w:sz w:val="22"/>
          <w:szCs w:val="22"/>
        </w:rPr>
        <w:t>)</w:t>
      </w:r>
      <w:r w:rsidRPr="00954B5E">
        <w:rPr>
          <w:rFonts w:ascii="Verdana" w:hAnsi="Verdana"/>
          <w:sz w:val="22"/>
          <w:szCs w:val="22"/>
        </w:rPr>
        <w:t xml:space="preserve"> la entidad no podrá solicitar más de tres actividades en total, incluyendo la actividad principal</w:t>
      </w:r>
      <w:r>
        <w:rPr>
          <w:rFonts w:ascii="Verdana" w:hAnsi="Verdana"/>
          <w:sz w:val="22"/>
          <w:szCs w:val="22"/>
        </w:rPr>
        <w:t>”</w:t>
      </w:r>
      <w:r w:rsidRPr="00954B5E">
        <w:rPr>
          <w:rFonts w:ascii="Verdana" w:hAnsi="Verdana"/>
          <w:sz w:val="22"/>
          <w:szCs w:val="22"/>
        </w:rPr>
        <w:t xml:space="preserve">, precisando que, además de esta, la entidad únicamente podrá determinar si exige </w:t>
      </w:r>
      <w:r>
        <w:rPr>
          <w:rFonts w:ascii="Verdana" w:hAnsi="Verdana"/>
          <w:sz w:val="22"/>
          <w:szCs w:val="22"/>
        </w:rPr>
        <w:t>“(</w:t>
      </w:r>
      <w:r w:rsidRPr="00954B5E">
        <w:rPr>
          <w:rFonts w:ascii="Verdana" w:hAnsi="Verdana"/>
          <w:sz w:val="22"/>
          <w:szCs w:val="22"/>
        </w:rPr>
        <w:t>…</w:t>
      </w:r>
      <w:r>
        <w:rPr>
          <w:rFonts w:ascii="Verdana" w:hAnsi="Verdana"/>
          <w:sz w:val="22"/>
          <w:szCs w:val="22"/>
        </w:rPr>
        <w:t>)</w:t>
      </w:r>
      <w:r w:rsidRPr="00954B5E">
        <w:rPr>
          <w:rFonts w:ascii="Verdana" w:hAnsi="Verdana"/>
          <w:sz w:val="22"/>
          <w:szCs w:val="22"/>
        </w:rPr>
        <w:t xml:space="preserve"> dos actividades secundarias o una actividad secundaria y una adicional</w:t>
      </w:r>
      <w:r>
        <w:rPr>
          <w:rFonts w:ascii="Verdana" w:hAnsi="Verdana"/>
          <w:sz w:val="22"/>
          <w:szCs w:val="22"/>
        </w:rPr>
        <w:t>”</w:t>
      </w:r>
      <w:r w:rsidRPr="00954B5E">
        <w:rPr>
          <w:rFonts w:ascii="Verdana" w:hAnsi="Verdana"/>
          <w:sz w:val="22"/>
          <w:szCs w:val="22"/>
        </w:rPr>
        <w:t xml:space="preserve">. </w:t>
      </w:r>
      <w:r>
        <w:rPr>
          <w:rFonts w:ascii="Verdana" w:hAnsi="Verdana"/>
          <w:sz w:val="22"/>
          <w:szCs w:val="22"/>
        </w:rPr>
        <w:t>En este sentido, e</w:t>
      </w:r>
      <w:r w:rsidRPr="00954B5E">
        <w:rPr>
          <w:rFonts w:ascii="Verdana" w:hAnsi="Verdana"/>
          <w:sz w:val="22"/>
          <w:szCs w:val="22"/>
        </w:rPr>
        <w:t xml:space="preserve">l uso de la conjunción disyuntiva </w:t>
      </w:r>
      <w:r>
        <w:rPr>
          <w:rFonts w:ascii="Verdana" w:hAnsi="Verdana"/>
          <w:sz w:val="22"/>
          <w:szCs w:val="22"/>
        </w:rPr>
        <w:t>“</w:t>
      </w:r>
      <w:r w:rsidRPr="00954B5E">
        <w:rPr>
          <w:rFonts w:ascii="Verdana" w:hAnsi="Verdana"/>
          <w:sz w:val="22"/>
          <w:szCs w:val="22"/>
        </w:rPr>
        <w:t>o</w:t>
      </w:r>
      <w:r>
        <w:rPr>
          <w:rFonts w:ascii="Verdana" w:hAnsi="Verdana"/>
          <w:sz w:val="22"/>
          <w:szCs w:val="22"/>
        </w:rPr>
        <w:t>”</w:t>
      </w:r>
      <w:r w:rsidRPr="00954B5E">
        <w:rPr>
          <w:rFonts w:ascii="Verdana" w:hAnsi="Verdana"/>
          <w:sz w:val="22"/>
          <w:szCs w:val="22"/>
        </w:rPr>
        <w:t xml:space="preserve"> excluye la posibilidad de acumular ambas exigencias, de manera que el </w:t>
      </w:r>
      <w:r>
        <w:rPr>
          <w:rFonts w:ascii="Verdana" w:hAnsi="Verdana"/>
          <w:sz w:val="22"/>
          <w:szCs w:val="22"/>
        </w:rPr>
        <w:t>límite</w:t>
      </w:r>
      <w:r w:rsidRPr="00954B5E">
        <w:rPr>
          <w:rFonts w:ascii="Verdana" w:hAnsi="Verdana"/>
          <w:sz w:val="22"/>
          <w:szCs w:val="22"/>
        </w:rPr>
        <w:t xml:space="preserve"> de tres </w:t>
      </w:r>
      <w:r>
        <w:rPr>
          <w:rFonts w:ascii="Verdana" w:hAnsi="Verdana"/>
          <w:sz w:val="22"/>
          <w:szCs w:val="22"/>
        </w:rPr>
        <w:t xml:space="preserve">(3) </w:t>
      </w:r>
      <w:r w:rsidRPr="00954B5E">
        <w:rPr>
          <w:rFonts w:ascii="Verdana" w:hAnsi="Verdana"/>
          <w:sz w:val="22"/>
          <w:szCs w:val="22"/>
        </w:rPr>
        <w:t xml:space="preserve">actividades opera como absoluto, sin que la </w:t>
      </w:r>
      <w:r>
        <w:rPr>
          <w:rFonts w:ascii="Verdana" w:hAnsi="Verdana"/>
          <w:sz w:val="22"/>
          <w:szCs w:val="22"/>
        </w:rPr>
        <w:t xml:space="preserve">disposición </w:t>
      </w:r>
      <w:r w:rsidRPr="00954B5E">
        <w:rPr>
          <w:rFonts w:ascii="Verdana" w:hAnsi="Verdana"/>
          <w:sz w:val="22"/>
          <w:szCs w:val="22"/>
        </w:rPr>
        <w:t xml:space="preserve">prevea alguna </w:t>
      </w:r>
      <w:r>
        <w:rPr>
          <w:rFonts w:ascii="Verdana" w:hAnsi="Verdana"/>
          <w:sz w:val="22"/>
          <w:szCs w:val="22"/>
        </w:rPr>
        <w:t xml:space="preserve">excepción </w:t>
      </w:r>
      <w:r w:rsidRPr="00954B5E">
        <w:rPr>
          <w:rFonts w:ascii="Verdana" w:hAnsi="Verdana"/>
          <w:sz w:val="22"/>
          <w:szCs w:val="22"/>
        </w:rPr>
        <w:t>en función de la complejidad técnica del proyecto.</w:t>
      </w:r>
    </w:p>
    <w:p w14:paraId="1680D388" w14:textId="77777777" w:rsidR="00180E1F" w:rsidRPr="00954B5E" w:rsidRDefault="00180E1F" w:rsidP="00180E1F">
      <w:pPr>
        <w:pStyle w:val="font-claude-response-body"/>
        <w:spacing w:before="120" w:beforeAutospacing="0" w:after="120" w:afterAutospacing="0" w:line="276" w:lineRule="auto"/>
        <w:ind w:firstLine="708"/>
        <w:jc w:val="both"/>
        <w:rPr>
          <w:rFonts w:ascii="Verdana" w:hAnsi="Verdana"/>
          <w:sz w:val="22"/>
          <w:szCs w:val="22"/>
        </w:rPr>
      </w:pPr>
      <w:r w:rsidRPr="00954B5E">
        <w:rPr>
          <w:rFonts w:ascii="Verdana" w:hAnsi="Verdana"/>
          <w:sz w:val="22"/>
          <w:szCs w:val="22"/>
        </w:rPr>
        <w:t xml:space="preserve">Lo anterior no impide, sin embargo, que la Entidad acuda a otras reglas del mismo artículo cuando el objeto contractual lo permita. Así, el Parágrafo 1° dispone que, </w:t>
      </w:r>
      <w:r>
        <w:rPr>
          <w:rFonts w:ascii="Verdana" w:hAnsi="Verdana"/>
          <w:sz w:val="22"/>
          <w:szCs w:val="22"/>
        </w:rPr>
        <w:t>“(</w:t>
      </w:r>
      <w:r w:rsidRPr="00954B5E">
        <w:rPr>
          <w:rFonts w:ascii="Verdana" w:hAnsi="Verdana"/>
          <w:sz w:val="22"/>
          <w:szCs w:val="22"/>
        </w:rPr>
        <w:t>…</w:t>
      </w:r>
      <w:r>
        <w:rPr>
          <w:rFonts w:ascii="Verdana" w:hAnsi="Verdana"/>
          <w:sz w:val="22"/>
          <w:szCs w:val="22"/>
        </w:rPr>
        <w:t>)</w:t>
      </w:r>
      <w:r w:rsidRPr="00954B5E">
        <w:rPr>
          <w:rFonts w:ascii="Verdana" w:hAnsi="Verdana"/>
          <w:sz w:val="22"/>
          <w:szCs w:val="22"/>
        </w:rPr>
        <w:t xml:space="preserve"> en los casos que el objeto contractual incluya actividades abarcadas por otros documentos tipo, la Entidad Estatal aplicará las reglas de combinación de experiencia previstas en el numeral 3.5.1 del documento base</w:t>
      </w:r>
      <w:r>
        <w:rPr>
          <w:rFonts w:ascii="Verdana" w:hAnsi="Verdana"/>
          <w:sz w:val="22"/>
          <w:szCs w:val="22"/>
        </w:rPr>
        <w:t>”</w:t>
      </w:r>
      <w:r w:rsidRPr="00954B5E">
        <w:rPr>
          <w:rFonts w:ascii="Verdana" w:hAnsi="Verdana"/>
          <w:sz w:val="22"/>
          <w:szCs w:val="22"/>
        </w:rPr>
        <w:t>, de modo que</w:t>
      </w:r>
      <w:r>
        <w:rPr>
          <w:rFonts w:ascii="Verdana" w:hAnsi="Verdana"/>
          <w:sz w:val="22"/>
          <w:szCs w:val="22"/>
        </w:rPr>
        <w:t>, en</w:t>
      </w:r>
      <w:r w:rsidRPr="00954B5E">
        <w:rPr>
          <w:rFonts w:ascii="Verdana" w:hAnsi="Verdana"/>
          <w:sz w:val="22"/>
          <w:szCs w:val="22"/>
        </w:rPr>
        <w:t xml:space="preserve"> aquellos componentes que se encuentren contemplados en otra matriz de experiencia vigente deberán tramitarse bajo el régimen general de combinación de experiencia, y no bajo el régimen de experiencia adicional del artículo 4</w:t>
      </w:r>
      <w:r>
        <w:rPr>
          <w:rFonts w:ascii="Verdana" w:hAnsi="Verdana"/>
          <w:sz w:val="22"/>
          <w:szCs w:val="22"/>
        </w:rPr>
        <w:t xml:space="preserve"> de la Resolución 540 de 2025</w:t>
      </w:r>
      <w:r w:rsidRPr="00954B5E">
        <w:rPr>
          <w:rFonts w:ascii="Verdana" w:hAnsi="Verdana"/>
          <w:sz w:val="22"/>
          <w:szCs w:val="22"/>
        </w:rPr>
        <w:t xml:space="preserve">. </w:t>
      </w:r>
      <w:r>
        <w:rPr>
          <w:rFonts w:ascii="Verdana" w:hAnsi="Verdana"/>
          <w:sz w:val="22"/>
          <w:szCs w:val="22"/>
        </w:rPr>
        <w:t>Adicionalmente</w:t>
      </w:r>
      <w:r w:rsidRPr="00954B5E">
        <w:rPr>
          <w:rFonts w:ascii="Verdana" w:hAnsi="Verdana"/>
          <w:sz w:val="22"/>
          <w:szCs w:val="22"/>
        </w:rPr>
        <w:t xml:space="preserve">, el Parágrafo 2° define las </w:t>
      </w:r>
      <w:r>
        <w:rPr>
          <w:rFonts w:ascii="Verdana" w:hAnsi="Verdana"/>
          <w:sz w:val="22"/>
          <w:szCs w:val="22"/>
        </w:rPr>
        <w:t xml:space="preserve">“(…) </w:t>
      </w:r>
      <w:r w:rsidRPr="00954B5E">
        <w:rPr>
          <w:rFonts w:ascii="Verdana" w:hAnsi="Verdana"/>
          <w:sz w:val="22"/>
          <w:szCs w:val="22"/>
        </w:rPr>
        <w:t>obras, bienes o servicios adicionales</w:t>
      </w:r>
      <w:r>
        <w:rPr>
          <w:rFonts w:ascii="Verdana" w:hAnsi="Verdana"/>
          <w:sz w:val="22"/>
          <w:szCs w:val="22"/>
        </w:rPr>
        <w:t xml:space="preserve"> (…)”</w:t>
      </w:r>
      <w:r w:rsidRPr="00954B5E">
        <w:rPr>
          <w:rFonts w:ascii="Verdana" w:hAnsi="Verdana"/>
          <w:sz w:val="22"/>
          <w:szCs w:val="22"/>
        </w:rPr>
        <w:t xml:space="preserve"> como aquellas actividades que </w:t>
      </w:r>
      <w:r>
        <w:rPr>
          <w:rFonts w:ascii="Verdana" w:hAnsi="Verdana"/>
          <w:sz w:val="22"/>
          <w:szCs w:val="22"/>
        </w:rPr>
        <w:t xml:space="preserve">“(…) </w:t>
      </w:r>
      <w:r w:rsidRPr="00954B5E">
        <w:rPr>
          <w:rFonts w:ascii="Verdana" w:hAnsi="Verdana"/>
          <w:sz w:val="22"/>
          <w:szCs w:val="22"/>
        </w:rPr>
        <w:t>no están incluidas en la matriz de experiencia de los documentos tipo de infraestructura social aplicable o de otras matrices de experiencia de documentos tipo adoptados por esta Agencia</w:t>
      </w:r>
      <w:r>
        <w:rPr>
          <w:rFonts w:ascii="Verdana" w:hAnsi="Verdana"/>
          <w:sz w:val="22"/>
          <w:szCs w:val="22"/>
        </w:rPr>
        <w:t>”</w:t>
      </w:r>
      <w:r w:rsidRPr="00954B5E">
        <w:rPr>
          <w:rFonts w:ascii="Verdana" w:hAnsi="Verdana"/>
          <w:sz w:val="22"/>
          <w:szCs w:val="22"/>
        </w:rPr>
        <w:t xml:space="preserve">, de donde se sigue que </w:t>
      </w:r>
      <w:r>
        <w:rPr>
          <w:rFonts w:ascii="Verdana" w:hAnsi="Verdana"/>
          <w:sz w:val="22"/>
          <w:szCs w:val="22"/>
        </w:rPr>
        <w:t xml:space="preserve">la posibilidad de exigir </w:t>
      </w:r>
      <w:r w:rsidRPr="00954B5E">
        <w:rPr>
          <w:rFonts w:ascii="Verdana" w:hAnsi="Verdana"/>
          <w:sz w:val="22"/>
          <w:szCs w:val="22"/>
        </w:rPr>
        <w:t xml:space="preserve">experiencia adicional únicamente resulta procedente cuando la actividad no </w:t>
      </w:r>
      <w:r>
        <w:rPr>
          <w:rFonts w:ascii="Verdana" w:hAnsi="Verdana"/>
          <w:sz w:val="22"/>
          <w:szCs w:val="22"/>
        </w:rPr>
        <w:t xml:space="preserve">se </w:t>
      </w:r>
      <w:r w:rsidRPr="00954B5E">
        <w:rPr>
          <w:rFonts w:ascii="Verdana" w:hAnsi="Verdana"/>
          <w:sz w:val="22"/>
          <w:szCs w:val="22"/>
        </w:rPr>
        <w:t xml:space="preserve">encuentra en ninguna matriz </w:t>
      </w:r>
      <w:r>
        <w:rPr>
          <w:rFonts w:ascii="Verdana" w:hAnsi="Verdana"/>
          <w:sz w:val="22"/>
          <w:szCs w:val="22"/>
        </w:rPr>
        <w:t xml:space="preserve">de los documentos tipo </w:t>
      </w:r>
      <w:r w:rsidRPr="00954B5E">
        <w:rPr>
          <w:rFonts w:ascii="Verdana" w:hAnsi="Verdana"/>
          <w:sz w:val="22"/>
          <w:szCs w:val="22"/>
        </w:rPr>
        <w:t>vigente</w:t>
      </w:r>
      <w:r>
        <w:rPr>
          <w:rFonts w:ascii="Verdana" w:hAnsi="Verdana"/>
          <w:sz w:val="22"/>
          <w:szCs w:val="22"/>
        </w:rPr>
        <w:t>s</w:t>
      </w:r>
      <w:r w:rsidRPr="00954B5E">
        <w:rPr>
          <w:rFonts w:ascii="Verdana" w:hAnsi="Verdana"/>
          <w:sz w:val="22"/>
          <w:szCs w:val="22"/>
        </w:rPr>
        <w:t>. Al margen de estos supuestos, ni el artículo 4 ni el numeral 3.5.1 del documento base contemplan una alternativa que permita exigir de manera simultánea tres actividades distintas de la principal.</w:t>
      </w:r>
    </w:p>
    <w:p w14:paraId="673FD1AF" w14:textId="77777777" w:rsidR="00180E1F" w:rsidRPr="00954B5E" w:rsidRDefault="00180E1F" w:rsidP="00180E1F">
      <w:pPr>
        <w:pStyle w:val="font-claude-response-body"/>
        <w:spacing w:before="0" w:beforeAutospacing="0" w:after="0" w:afterAutospacing="0" w:line="276" w:lineRule="auto"/>
        <w:ind w:firstLine="708"/>
        <w:jc w:val="both"/>
        <w:rPr>
          <w:rFonts w:ascii="Verdana" w:hAnsi="Verdana"/>
          <w:sz w:val="22"/>
          <w:szCs w:val="22"/>
        </w:rPr>
      </w:pPr>
      <w:r w:rsidRPr="00954B5E">
        <w:rPr>
          <w:rFonts w:ascii="Verdana" w:hAnsi="Verdana"/>
          <w:sz w:val="22"/>
          <w:szCs w:val="22"/>
        </w:rPr>
        <w:t xml:space="preserve">Finalmente, en cuanto a los efectos de optar por la incorporación de experiencia adicional, debe destacarse que el Parágrafo 4° emplea el verbo </w:t>
      </w:r>
      <w:r>
        <w:rPr>
          <w:rFonts w:ascii="Verdana" w:hAnsi="Verdana"/>
          <w:sz w:val="22"/>
          <w:szCs w:val="22"/>
        </w:rPr>
        <w:t>“</w:t>
      </w:r>
      <w:r w:rsidRPr="00954B5E">
        <w:rPr>
          <w:rFonts w:ascii="Verdana" w:hAnsi="Verdana"/>
          <w:sz w:val="22"/>
          <w:szCs w:val="22"/>
        </w:rPr>
        <w:t>reemplazar</w:t>
      </w:r>
      <w:r>
        <w:rPr>
          <w:rFonts w:ascii="Verdana" w:hAnsi="Verdana"/>
          <w:sz w:val="22"/>
          <w:szCs w:val="22"/>
        </w:rPr>
        <w:t>”</w:t>
      </w:r>
      <w:r w:rsidRPr="00954B5E">
        <w:rPr>
          <w:rFonts w:ascii="Verdana" w:hAnsi="Verdana"/>
          <w:sz w:val="22"/>
          <w:szCs w:val="22"/>
        </w:rPr>
        <w:t xml:space="preserve">, lo que denota sustitución y no adición de la cuota de actividades secundarias. Así lo confirma la propia disposición al señalar que </w:t>
      </w:r>
      <w:r>
        <w:rPr>
          <w:rFonts w:ascii="Verdana" w:hAnsi="Verdana"/>
          <w:sz w:val="22"/>
          <w:szCs w:val="22"/>
        </w:rPr>
        <w:t>“(</w:t>
      </w:r>
      <w:r w:rsidRPr="00954B5E">
        <w:rPr>
          <w:rFonts w:ascii="Verdana" w:hAnsi="Verdana"/>
          <w:sz w:val="22"/>
          <w:szCs w:val="22"/>
        </w:rPr>
        <w:t>…</w:t>
      </w:r>
      <w:r>
        <w:rPr>
          <w:rFonts w:ascii="Verdana" w:hAnsi="Verdana"/>
          <w:sz w:val="22"/>
          <w:szCs w:val="22"/>
        </w:rPr>
        <w:t>)</w:t>
      </w:r>
      <w:r w:rsidRPr="00954B5E">
        <w:rPr>
          <w:rFonts w:ascii="Verdana" w:hAnsi="Verdana"/>
          <w:sz w:val="22"/>
          <w:szCs w:val="22"/>
        </w:rPr>
        <w:t xml:space="preserve"> en ningún caso deberá entenderse que la inclusión de una actividad adicional equivale al procedimiento establecido para la combinación de experiencia. Para este último caso, se deberá aplicar lo establecido en el numeral 1 del literal A del numeral 3.5.1 del documento base</w:t>
      </w:r>
      <w:r>
        <w:rPr>
          <w:rFonts w:ascii="Verdana" w:hAnsi="Verdana"/>
          <w:sz w:val="22"/>
          <w:szCs w:val="22"/>
        </w:rPr>
        <w:t>”. De esta forma</w:t>
      </w:r>
      <w:r w:rsidRPr="00954B5E">
        <w:rPr>
          <w:rFonts w:ascii="Verdana" w:hAnsi="Verdana"/>
          <w:sz w:val="22"/>
          <w:szCs w:val="22"/>
        </w:rPr>
        <w:t xml:space="preserve">, una vez la Entidad opta por incorporar la actividad adicional en reemplazo de una de las dos actividades secundarias, no le es posible acudir posteriormente al régimen de combinación </w:t>
      </w:r>
      <w:r w:rsidRPr="00954B5E">
        <w:rPr>
          <w:rFonts w:ascii="Verdana" w:hAnsi="Verdana"/>
          <w:sz w:val="22"/>
          <w:szCs w:val="22"/>
        </w:rPr>
        <w:lastRenderedPageBreak/>
        <w:t>de experiencia del numeral 3.5.1, literal A, para exigir o evaluar esa segunda actividad secundaria como si se tratara de una tercera actividad independiente.</w:t>
      </w:r>
    </w:p>
    <w:p w14:paraId="165C1924" w14:textId="77777777" w:rsidR="00180E1F" w:rsidRPr="00954B5E" w:rsidRDefault="00180E1F" w:rsidP="00180E1F">
      <w:pPr>
        <w:pStyle w:val="font-claude-response-body"/>
        <w:spacing w:before="0" w:beforeAutospacing="0" w:after="0" w:afterAutospacing="0" w:line="276" w:lineRule="auto"/>
        <w:ind w:firstLine="708"/>
        <w:jc w:val="both"/>
        <w:rPr>
          <w:rFonts w:ascii="Verdana" w:hAnsi="Verdana"/>
          <w:sz w:val="22"/>
          <w:szCs w:val="22"/>
        </w:rPr>
      </w:pPr>
    </w:p>
    <w:p w14:paraId="663D4980" w14:textId="77777777" w:rsidR="00180E1F" w:rsidRPr="008816F7" w:rsidRDefault="00180E1F" w:rsidP="00180E1F">
      <w:pPr>
        <w:spacing w:after="120" w:line="276" w:lineRule="auto"/>
        <w:jc w:val="both"/>
        <w:rPr>
          <w:rFonts w:ascii="Verdana" w:eastAsia="Calibri" w:hAnsi="Verdana" w:cs="Times New Roman"/>
        </w:rPr>
      </w:pPr>
      <w:proofErr w:type="spellStart"/>
      <w:r>
        <w:rPr>
          <w:rFonts w:ascii="Verdana" w:eastAsia="Calibri" w:hAnsi="Verdana" w:cs="Times New Roman"/>
        </w:rPr>
        <w:t>iii</w:t>
      </w:r>
      <w:proofErr w:type="spellEnd"/>
      <w:r w:rsidRPr="008816F7">
        <w:rPr>
          <w:rFonts w:ascii="Verdana" w:eastAsia="Calibri" w:hAnsi="Verdana" w:cs="Times New Roman"/>
        </w:rPr>
        <w:t xml:space="preserve">. </w:t>
      </w:r>
      <w:r w:rsidRPr="008816F7">
        <w:rPr>
          <w:rFonts w:ascii="Verdana" w:eastAsia="Calibri" w:hAnsi="Verdana" w:cs="Arial"/>
          <w:bCs/>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839A205" w14:textId="77777777" w:rsidR="00180E1F" w:rsidRPr="008816F7" w:rsidRDefault="00180E1F" w:rsidP="00180E1F">
      <w:pPr>
        <w:spacing w:after="0" w:line="276" w:lineRule="auto"/>
        <w:ind w:firstLine="708"/>
        <w:jc w:val="both"/>
        <w:rPr>
          <w:rFonts w:ascii="Verdana" w:eastAsia="Calibri" w:hAnsi="Verdana" w:cs="Arial"/>
          <w:bCs/>
          <w:color w:val="000000"/>
        </w:rPr>
      </w:pPr>
      <w:r w:rsidRPr="008816F7">
        <w:rPr>
          <w:rFonts w:ascii="Verdana" w:eastAsia="Calibri" w:hAnsi="Verdana" w:cs="Arial"/>
          <w:bCs/>
          <w:color w:val="000000"/>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36097096" w14:textId="77777777" w:rsidR="00180E1F" w:rsidRPr="008816F7" w:rsidRDefault="00180E1F" w:rsidP="00180E1F">
      <w:pPr>
        <w:spacing w:after="0" w:line="276" w:lineRule="auto"/>
        <w:jc w:val="both"/>
        <w:rPr>
          <w:rFonts w:ascii="Verdana" w:eastAsia="Calibri" w:hAnsi="Verdana" w:cs="Times New Roman"/>
        </w:rPr>
      </w:pPr>
    </w:p>
    <w:p w14:paraId="2330EB02" w14:textId="77777777" w:rsidR="00180E1F" w:rsidRPr="008816F7" w:rsidRDefault="00180E1F" w:rsidP="00180E1F">
      <w:pPr>
        <w:numPr>
          <w:ilvl w:val="0"/>
          <w:numId w:val="17"/>
        </w:numPr>
        <w:spacing w:after="0" w:line="256" w:lineRule="auto"/>
        <w:contextualSpacing/>
        <w:rPr>
          <w:rFonts w:ascii="Verdana" w:eastAsia="Calibri" w:hAnsi="Verdana" w:cs="Times New Roman"/>
          <w:b/>
          <w:bCs/>
          <w:lang w:val="es-ES"/>
        </w:rPr>
      </w:pPr>
      <w:r w:rsidRPr="008816F7">
        <w:rPr>
          <w:rFonts w:ascii="Verdana" w:eastAsia="Calibri" w:hAnsi="Verdana" w:cs="Times New Roman"/>
          <w:b/>
          <w:bCs/>
          <w:lang w:val="es-ES"/>
        </w:rPr>
        <w:t>Referencias normativas, jurisprudenciales y doctrinales</w:t>
      </w:r>
    </w:p>
    <w:p w14:paraId="26B46E44" w14:textId="77777777" w:rsidR="00180E1F" w:rsidRPr="008816F7" w:rsidRDefault="00180E1F" w:rsidP="00180E1F">
      <w:pPr>
        <w:spacing w:after="0" w:line="256" w:lineRule="auto"/>
        <w:ind w:left="1080"/>
        <w:rPr>
          <w:rFonts w:ascii="Verdana" w:eastAsia="Calibri" w:hAnsi="Verdana" w:cs="Times New Roman"/>
          <w:b/>
          <w:bCs/>
          <w:lang w:val="es-E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80E1F" w:rsidRPr="008816F7" w14:paraId="69E4D057" w14:textId="77777777" w:rsidTr="00670B64">
        <w:trPr>
          <w:trHeight w:val="870"/>
          <w:jc w:val="center"/>
        </w:trPr>
        <w:tc>
          <w:tcPr>
            <w:tcW w:w="8647" w:type="dxa"/>
          </w:tcPr>
          <w:p w14:paraId="72F6E591" w14:textId="77777777" w:rsidR="00180E1F" w:rsidRPr="008816F7" w:rsidRDefault="00180E1F" w:rsidP="00670B64">
            <w:pPr>
              <w:widowControl w:val="0"/>
              <w:autoSpaceDE w:val="0"/>
              <w:autoSpaceDN w:val="0"/>
              <w:jc w:val="both"/>
              <w:rPr>
                <w:rFonts w:ascii="Verdana" w:eastAsia="Calibri" w:hAnsi="Verdana" w:cs="Arial"/>
              </w:rPr>
            </w:pPr>
          </w:p>
          <w:p w14:paraId="04D1D4BB" w14:textId="77777777" w:rsidR="00180E1F" w:rsidRPr="008816F7" w:rsidRDefault="00180E1F" w:rsidP="00180E1F">
            <w:pPr>
              <w:widowControl w:val="0"/>
              <w:numPr>
                <w:ilvl w:val="0"/>
                <w:numId w:val="16"/>
              </w:numPr>
              <w:autoSpaceDE w:val="0"/>
              <w:autoSpaceDN w:val="0"/>
              <w:spacing w:line="276" w:lineRule="auto"/>
              <w:jc w:val="both"/>
              <w:rPr>
                <w:rFonts w:ascii="Verdana" w:eastAsia="Calibri" w:hAnsi="Verdana" w:cs="Arial"/>
                <w:lang w:val="es-ES_tradnl" w:eastAsia="es-MX"/>
              </w:rPr>
            </w:pPr>
            <w:r w:rsidRPr="008816F7">
              <w:rPr>
                <w:rFonts w:ascii="Verdana" w:eastAsia="Calibri" w:hAnsi="Verdana" w:cs="Arial"/>
                <w:lang w:val="es-ES_tradnl" w:eastAsia="es-MX"/>
              </w:rPr>
              <w:t xml:space="preserve">Ley 2022 de 2020, artículo 1. </w:t>
            </w:r>
          </w:p>
          <w:p w14:paraId="00DAB060" w14:textId="77777777" w:rsidR="00180E1F" w:rsidRPr="008816F7" w:rsidRDefault="00180E1F" w:rsidP="00180E1F">
            <w:pPr>
              <w:widowControl w:val="0"/>
              <w:numPr>
                <w:ilvl w:val="0"/>
                <w:numId w:val="16"/>
              </w:numPr>
              <w:autoSpaceDE w:val="0"/>
              <w:autoSpaceDN w:val="0"/>
              <w:spacing w:line="276" w:lineRule="auto"/>
              <w:jc w:val="both"/>
              <w:rPr>
                <w:rFonts w:ascii="Verdana" w:eastAsia="Calibri" w:hAnsi="Verdana" w:cs="Arial"/>
                <w:lang w:eastAsia="es-MX"/>
              </w:rPr>
            </w:pPr>
            <w:r w:rsidRPr="008816F7">
              <w:rPr>
                <w:rFonts w:ascii="Verdana" w:eastAsia="Calibri" w:hAnsi="Verdana" w:cs="Arial"/>
                <w:lang w:eastAsia="es-MX"/>
              </w:rPr>
              <w:t>Ley 1150 de 2007, artículo 2.</w:t>
            </w:r>
          </w:p>
          <w:p w14:paraId="60AD0D51" w14:textId="77777777" w:rsidR="00180E1F" w:rsidRPr="008816F7" w:rsidRDefault="00180E1F" w:rsidP="00180E1F">
            <w:pPr>
              <w:widowControl w:val="0"/>
              <w:numPr>
                <w:ilvl w:val="0"/>
                <w:numId w:val="16"/>
              </w:numPr>
              <w:autoSpaceDE w:val="0"/>
              <w:autoSpaceDN w:val="0"/>
              <w:spacing w:line="276" w:lineRule="auto"/>
              <w:contextualSpacing/>
              <w:jc w:val="both"/>
              <w:rPr>
                <w:rFonts w:ascii="Verdana" w:eastAsia="Calibri" w:hAnsi="Verdana" w:cs="Arial"/>
                <w:lang w:eastAsia="es-MX"/>
              </w:rPr>
            </w:pPr>
            <w:r w:rsidRPr="008816F7">
              <w:rPr>
                <w:rFonts w:ascii="Verdana" w:eastAsia="Calibri" w:hAnsi="Verdana" w:cs="Arial"/>
                <w:lang w:val="es-ES_tradnl" w:eastAsia="es-MX"/>
              </w:rPr>
              <w:t xml:space="preserve">Documentos Tipo. Disponibles en: </w:t>
            </w:r>
            <w:hyperlink r:id="rId11" w:history="1">
              <w:r w:rsidRPr="008816F7">
                <w:rPr>
                  <w:rFonts w:ascii="Verdana" w:eastAsia="Calibri" w:hAnsi="Verdana" w:cs="Arial"/>
                  <w:color w:val="0000FF"/>
                  <w:u w:val="single"/>
                  <w:lang w:val="es-ES_tradnl" w:eastAsia="es-MX"/>
                </w:rPr>
                <w:t>https://www.colombiacompra.gov.co/documentos-tipo/documentos-tipo</w:t>
              </w:r>
            </w:hyperlink>
            <w:r w:rsidRPr="008816F7">
              <w:rPr>
                <w:rFonts w:ascii="Verdana" w:eastAsia="Calibri" w:hAnsi="Verdana" w:cs="Arial"/>
                <w:lang w:val="es-ES_tradnl" w:eastAsia="es-MX"/>
              </w:rPr>
              <w:t>.</w:t>
            </w:r>
          </w:p>
        </w:tc>
      </w:tr>
    </w:tbl>
    <w:p w14:paraId="0A197ED6" w14:textId="77777777" w:rsidR="00180E1F" w:rsidRPr="008816F7" w:rsidRDefault="00180E1F" w:rsidP="00180E1F">
      <w:pPr>
        <w:spacing w:line="276" w:lineRule="auto"/>
        <w:ind w:right="709"/>
        <w:contextualSpacing/>
        <w:jc w:val="both"/>
        <w:rPr>
          <w:rFonts w:ascii="Verdana" w:eastAsia="Calibri" w:hAnsi="Verdana" w:cs="Arial"/>
          <w:color w:val="000000"/>
          <w:lang w:val="es-ES_tradnl"/>
        </w:rPr>
      </w:pPr>
    </w:p>
    <w:p w14:paraId="0F239A6F" w14:textId="77777777" w:rsidR="00180E1F" w:rsidRPr="008816F7" w:rsidRDefault="00180E1F" w:rsidP="00180E1F">
      <w:pPr>
        <w:numPr>
          <w:ilvl w:val="0"/>
          <w:numId w:val="17"/>
        </w:numPr>
        <w:spacing w:after="0" w:line="256" w:lineRule="auto"/>
        <w:contextualSpacing/>
        <w:rPr>
          <w:rFonts w:ascii="Verdana" w:eastAsia="Calibri" w:hAnsi="Verdana" w:cs="Times New Roman"/>
          <w:b/>
          <w:bCs/>
          <w:lang w:val="es-ES"/>
        </w:rPr>
      </w:pPr>
      <w:r w:rsidRPr="008816F7">
        <w:rPr>
          <w:rFonts w:ascii="Verdana" w:eastAsia="Calibri" w:hAnsi="Verdana" w:cs="Times New Roman"/>
          <w:b/>
          <w:bCs/>
          <w:lang w:val="es-ES"/>
        </w:rPr>
        <w:t>Doctrina de la Agencia Nacional de Contratación Pública:</w:t>
      </w:r>
    </w:p>
    <w:p w14:paraId="63E83AC3" w14:textId="77777777" w:rsidR="00180E1F" w:rsidRPr="008816F7" w:rsidRDefault="00180E1F" w:rsidP="00180E1F">
      <w:pPr>
        <w:spacing w:after="0" w:line="256" w:lineRule="auto"/>
        <w:rPr>
          <w:rFonts w:ascii="Verdana" w:eastAsia="Calibri" w:hAnsi="Verdana" w:cs="Times New Roman"/>
          <w:lang w:val="es-ES"/>
        </w:rPr>
      </w:pPr>
    </w:p>
    <w:p w14:paraId="5F232BA5" w14:textId="77777777" w:rsidR="00180E1F" w:rsidRDefault="00180E1F" w:rsidP="00180E1F">
      <w:pPr>
        <w:widowControl w:val="0"/>
        <w:autoSpaceDE w:val="0"/>
        <w:autoSpaceDN w:val="0"/>
        <w:spacing w:after="0" w:line="276" w:lineRule="auto"/>
        <w:jc w:val="both"/>
        <w:rPr>
          <w:rFonts w:ascii="Verdana" w:eastAsia="Aptos" w:hAnsi="Verdana" w:cs="Arial"/>
          <w:shd w:val="clear" w:color="auto" w:fill="FFFFFF"/>
          <w:lang w:val="es-ES"/>
        </w:rPr>
      </w:pPr>
      <w:r w:rsidRPr="003E1528">
        <w:rPr>
          <w:rFonts w:ascii="Verdana" w:eastAsia="Calibri" w:hAnsi="Verdana" w:cs="Arial"/>
          <w:shd w:val="clear" w:color="auto" w:fill="FFFFFF"/>
          <w:lang w:val="es-ES_tradnl"/>
        </w:rPr>
        <w:t>La Agencia Nacional de Contratación Pública – Colombia Compra Eficiente se</w:t>
      </w:r>
      <w:r w:rsidRPr="003E1528">
        <w:rPr>
          <w:rFonts w:ascii="Verdana" w:eastAsia="Aptos" w:hAnsi="Verdana" w:cs="Times New Roman"/>
        </w:rPr>
        <w:t xml:space="preserve"> </w:t>
      </w:r>
      <w:r w:rsidRPr="003E1528">
        <w:rPr>
          <w:rFonts w:ascii="Verdana" w:eastAsia="Calibri" w:hAnsi="Verdana" w:cs="Arial"/>
          <w:shd w:val="clear" w:color="auto" w:fill="FFFFFF"/>
          <w:lang w:val="es-ES_tradnl"/>
        </w:rPr>
        <w:t>pronunció</w:t>
      </w:r>
      <w:r w:rsidRPr="003E1528">
        <w:rPr>
          <w:rFonts w:ascii="Verdana" w:eastAsia="Aptos" w:hAnsi="Verdana" w:cs="Times New Roman"/>
          <w:lang w:val="es-ES_tradnl"/>
        </w:rPr>
        <w:t xml:space="preserve"> </w:t>
      </w:r>
      <w:r w:rsidRPr="003E1528">
        <w:rPr>
          <w:rFonts w:ascii="Verdana" w:eastAsia="Calibri" w:hAnsi="Verdana" w:cs="Arial"/>
          <w:shd w:val="clear" w:color="auto" w:fill="FFFFFF"/>
          <w:lang w:val="es-ES"/>
        </w:rPr>
        <w:t>sobre</w:t>
      </w:r>
      <w:r w:rsidRPr="003E1528">
        <w:rPr>
          <w:rFonts w:ascii="Verdana" w:eastAsia="Aptos" w:hAnsi="Verdana" w:cs="Arial"/>
          <w:shd w:val="clear" w:color="auto" w:fill="FFFFFF"/>
          <w:lang w:val="es-ES"/>
        </w:rPr>
        <w:t xml:space="preserve"> los bienes obras, o servicios adicionales en los documentos tipo </w:t>
      </w:r>
      <w:r w:rsidRPr="003E1528">
        <w:rPr>
          <w:rFonts w:ascii="Verdana" w:eastAsia="Aptos" w:hAnsi="Verdana" w:cs="Arial"/>
          <w:shd w:val="clear" w:color="auto" w:fill="FFFFFF"/>
          <w:lang w:val="es-ES"/>
        </w:rPr>
        <w:lastRenderedPageBreak/>
        <w:t>de infraestructura social,</w:t>
      </w:r>
      <w:r>
        <w:rPr>
          <w:rFonts w:ascii="Verdana" w:eastAsia="Aptos" w:hAnsi="Verdana" w:cs="Arial"/>
          <w:shd w:val="clear" w:color="auto" w:fill="FFFFFF"/>
          <w:lang w:val="es-ES"/>
        </w:rPr>
        <w:t xml:space="preserve"> en</w:t>
      </w:r>
      <w:r w:rsidRPr="003E1528">
        <w:rPr>
          <w:rFonts w:ascii="Verdana" w:eastAsia="Aptos" w:hAnsi="Verdana" w:cs="Arial"/>
          <w:shd w:val="clear" w:color="auto" w:fill="FFFFFF"/>
          <w:lang w:val="es-ES"/>
        </w:rPr>
        <w:t xml:space="preserve"> los siguientes concepto</w:t>
      </w:r>
      <w:r>
        <w:rPr>
          <w:rFonts w:ascii="Verdana" w:eastAsia="Aptos" w:hAnsi="Verdana" w:cs="Arial"/>
          <w:shd w:val="clear" w:color="auto" w:fill="FFFFFF"/>
          <w:lang w:val="es-ES"/>
        </w:rPr>
        <w:t xml:space="preserve"> C-182 del 19 de marzo de 2026, C-186 del 16 de marzo de 2026, C-258 del 19 de marzo de 2026, C-452 del 4 de mayo de 2026 y C-996 del 4 de agosto de 2026, entre otros.</w:t>
      </w:r>
    </w:p>
    <w:p w14:paraId="634E4CDB" w14:textId="77777777" w:rsidR="00180E1F" w:rsidRDefault="00180E1F" w:rsidP="00180E1F">
      <w:pPr>
        <w:widowControl w:val="0"/>
        <w:autoSpaceDE w:val="0"/>
        <w:autoSpaceDN w:val="0"/>
        <w:spacing w:after="0" w:line="276" w:lineRule="auto"/>
        <w:jc w:val="both"/>
        <w:rPr>
          <w:rFonts w:ascii="Verdana" w:eastAsia="Aptos" w:hAnsi="Verdana" w:cs="Arial"/>
          <w:shd w:val="clear" w:color="auto" w:fill="FFFFFF"/>
          <w:lang w:val="es-ES"/>
        </w:rPr>
      </w:pPr>
    </w:p>
    <w:p w14:paraId="4DE74752" w14:textId="77777777" w:rsidR="00180E1F" w:rsidRPr="008816F7" w:rsidRDefault="00180E1F" w:rsidP="00180E1F">
      <w:pPr>
        <w:widowControl w:val="0"/>
        <w:autoSpaceDE w:val="0"/>
        <w:autoSpaceDN w:val="0"/>
        <w:spacing w:after="0" w:line="276" w:lineRule="auto"/>
        <w:jc w:val="both"/>
        <w:rPr>
          <w:rFonts w:ascii="Verdana" w:eastAsia="Calibri" w:hAnsi="Verdana" w:cs="Arial"/>
          <w:shd w:val="clear" w:color="auto" w:fill="FFFFFF"/>
          <w:lang w:val="es-ES"/>
        </w:rPr>
      </w:pPr>
      <w:r w:rsidRPr="003E1528">
        <w:rPr>
          <w:rFonts w:ascii="Verdana" w:eastAsia="Calibri" w:hAnsi="Verdana" w:cs="Times New Roman"/>
        </w:rPr>
        <w:t>Estos y otros conceptos se encuentran disponibles para consulta</w:t>
      </w:r>
      <w:r w:rsidRPr="008816F7">
        <w:rPr>
          <w:rFonts w:ascii="Verdana" w:eastAsia="Calibri" w:hAnsi="Verdana" w:cs="Times New Roman"/>
        </w:rPr>
        <w:t xml:space="preserve">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3CA805DB" w14:textId="77777777" w:rsidR="00180E1F" w:rsidRPr="008816F7" w:rsidRDefault="00180E1F" w:rsidP="00180E1F">
      <w:pPr>
        <w:spacing w:after="0" w:line="256" w:lineRule="auto"/>
        <w:jc w:val="both"/>
        <w:rPr>
          <w:rFonts w:ascii="Verdana" w:eastAsia="Calibri" w:hAnsi="Verdana" w:cs="Times New Roman"/>
        </w:rPr>
      </w:pPr>
      <w:hyperlink r:id="rId12" w:history="1">
        <w:r w:rsidRPr="008816F7">
          <w:rPr>
            <w:rFonts w:ascii="Verdana" w:eastAsia="Calibri" w:hAnsi="Verdana" w:cs="Times New Roman"/>
            <w:color w:val="0000FF"/>
            <w:u w:val="single"/>
            <w:lang w:val="es-ES"/>
          </w:rPr>
          <w:t>https://relatoria.colombiacompra.gov.co/busqueda/conceptos</w:t>
        </w:r>
      </w:hyperlink>
      <w:r w:rsidRPr="008816F7">
        <w:rPr>
          <w:rFonts w:ascii="Verdana" w:eastAsia="Calibri" w:hAnsi="Verdana" w:cs="Times New Roman"/>
        </w:rPr>
        <w:t xml:space="preserve">. </w:t>
      </w:r>
    </w:p>
    <w:p w14:paraId="14F58012" w14:textId="77777777" w:rsidR="00180E1F" w:rsidRPr="008816F7" w:rsidRDefault="00180E1F" w:rsidP="00180E1F">
      <w:pPr>
        <w:spacing w:after="0" w:line="256" w:lineRule="auto"/>
        <w:jc w:val="both"/>
        <w:rPr>
          <w:rFonts w:ascii="Verdana" w:eastAsia="Calibri" w:hAnsi="Verdana" w:cs="Times New Roman"/>
          <w:lang w:val="es-ES_tradnl"/>
        </w:rPr>
      </w:pPr>
    </w:p>
    <w:p w14:paraId="293F0064" w14:textId="77777777" w:rsidR="00180E1F" w:rsidRPr="008816F7" w:rsidRDefault="00180E1F" w:rsidP="00180E1F">
      <w:pPr>
        <w:spacing w:after="0" w:line="276" w:lineRule="auto"/>
        <w:jc w:val="both"/>
        <w:rPr>
          <w:rFonts w:ascii="Calibri" w:eastAsia="Calibri" w:hAnsi="Calibri" w:cs="Times New Roman"/>
        </w:rPr>
      </w:pPr>
      <w:r w:rsidRPr="008816F7">
        <w:rPr>
          <w:rFonts w:ascii="Verdana" w:eastAsia="Calibri" w:hAnsi="Verdana" w:cs="Times New Roman"/>
          <w:color w:val="000000"/>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8816F7">
        <w:rPr>
          <w:rFonts w:ascii="Verdana" w:eastAsia="Calibri" w:hAnsi="Verdana" w:cs="Times New Roman"/>
          <w:b/>
          <w:bCs/>
          <w:color w:val="000000"/>
        </w:rPr>
        <w:t>Guía para la Exigencia y Constitución de Garantías en los Procesos de Contratación</w:t>
      </w:r>
      <w:r w:rsidRPr="008816F7">
        <w:rPr>
          <w:rFonts w:ascii="Verdana" w:eastAsia="Calibri" w:hAnsi="Verdana" w:cs="Times New Roman"/>
          <w:color w:val="000000"/>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8816F7">
          <w:rPr>
            <w:rFonts w:ascii="Verdana" w:eastAsia="Calibri" w:hAnsi="Verdana" w:cs="Times New Roman"/>
            <w:color w:val="0078D7"/>
            <w:u w:val="single"/>
          </w:rPr>
          <w:t>https://www.colombiacompra.gov.co/archivos/manual/guia-de-garantias-en-procesos-de-contratacion</w:t>
        </w:r>
      </w:hyperlink>
    </w:p>
    <w:p w14:paraId="70FECB99" w14:textId="77777777" w:rsidR="00180E1F" w:rsidRPr="008816F7" w:rsidRDefault="00180E1F" w:rsidP="00180E1F">
      <w:pPr>
        <w:spacing w:after="0" w:line="276" w:lineRule="auto"/>
        <w:jc w:val="both"/>
        <w:rPr>
          <w:rFonts w:ascii="Calibri" w:eastAsia="Calibri" w:hAnsi="Calibri" w:cs="Times New Roman"/>
        </w:rPr>
      </w:pPr>
    </w:p>
    <w:p w14:paraId="79D5B386" w14:textId="77777777" w:rsidR="00180E1F" w:rsidRPr="008816F7" w:rsidRDefault="00180E1F" w:rsidP="00180E1F">
      <w:pPr>
        <w:spacing w:after="0" w:line="276" w:lineRule="auto"/>
        <w:jc w:val="both"/>
        <w:rPr>
          <w:rFonts w:ascii="Verdana" w:eastAsia="Calibri" w:hAnsi="Verdana" w:cs="Times New Roman"/>
        </w:rPr>
      </w:pPr>
      <w:r w:rsidRPr="008816F7">
        <w:rPr>
          <w:rFonts w:ascii="Verdana" w:eastAsia="Calibri" w:hAnsi="Verdana" w:cs="Times New Roman"/>
          <w:color w:val="000000"/>
        </w:rPr>
        <w:t>De otro lado, te contamos que el Decreto 287 del 19 de marzo de 2026 sustituyó los artículos 2.2.1.2.4.2.6., 2.2.1.2.4.2.7. y 2.2.1.2.4.2.8. del Decreto 1082 de 2015 y estructuró el </w:t>
      </w:r>
      <w:r w:rsidRPr="008816F7">
        <w:rPr>
          <w:rFonts w:ascii="Verdana" w:eastAsia="Calibri" w:hAnsi="Verdana" w:cs="Times New Roman"/>
          <w:b/>
          <w:bCs/>
          <w:color w:val="000000"/>
        </w:rPr>
        <w:t>Sistema Integral de Preferencias en favor de las personas con discapacidad</w:t>
      </w:r>
      <w:r w:rsidRPr="008816F7">
        <w:rPr>
          <w:rFonts w:ascii="Verdana" w:eastAsia="Calibri" w:hAnsi="Verdana" w:cs="Times New Roman"/>
          <w:color w:val="000000"/>
        </w:rPr>
        <w:t>, en cumplimiento del artículo 13 de la Ley Estatutaria 1618 de 2013. Para orientar su aplicación, esta Agencia expidió la </w:t>
      </w:r>
      <w:r w:rsidRPr="008816F7">
        <w:rPr>
          <w:rFonts w:ascii="Verdana" w:eastAsia="Calibri" w:hAnsi="Verdana" w:cs="Times New Roman"/>
          <w:b/>
          <w:bCs/>
          <w:color w:val="000000"/>
        </w:rPr>
        <w:t>Circular Externa 003 del 12 de mayo de 2026, </w:t>
      </w:r>
      <w:r w:rsidRPr="008816F7">
        <w:rPr>
          <w:rFonts w:ascii="Verdana" w:eastAsia="Calibri" w:hAnsi="Verdana" w:cs="Times New Roman"/>
          <w:color w:val="000000"/>
        </w:rPr>
        <w:t>en la que precisa quiénes son los beneficiarios, las cinco medidas que integran el sistema y su 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8816F7">
          <w:rPr>
            <w:rFonts w:ascii="Verdana" w:eastAsia="Calibri" w:hAnsi="Verdana" w:cs="Times New Roman"/>
            <w:color w:val="0078D7"/>
            <w:u w:val="single"/>
          </w:rPr>
          <w:t>https://www.colombiacompra.gov.co/archivos/circular/circular-externa-003-de-2026</w:t>
        </w:r>
      </w:hyperlink>
    </w:p>
    <w:p w14:paraId="16552121" w14:textId="77777777" w:rsidR="00180E1F" w:rsidRPr="008816F7" w:rsidRDefault="00180E1F" w:rsidP="00180E1F">
      <w:pPr>
        <w:spacing w:after="0" w:line="276" w:lineRule="auto"/>
        <w:jc w:val="both"/>
        <w:rPr>
          <w:rFonts w:ascii="Verdana" w:eastAsia="Calibri" w:hAnsi="Verdana" w:cs="Times New Roman"/>
          <w:color w:val="000000"/>
        </w:rPr>
      </w:pPr>
    </w:p>
    <w:p w14:paraId="5AE4B5CB" w14:textId="77777777" w:rsidR="00180E1F" w:rsidRPr="008816F7" w:rsidRDefault="00180E1F" w:rsidP="00180E1F">
      <w:pPr>
        <w:spacing w:after="0" w:line="276" w:lineRule="auto"/>
        <w:jc w:val="both"/>
        <w:rPr>
          <w:rFonts w:ascii="Verdana" w:eastAsia="Calibri" w:hAnsi="Verdana" w:cs="Times New Roman"/>
        </w:rPr>
      </w:pPr>
      <w:r w:rsidRPr="008816F7">
        <w:rPr>
          <w:rFonts w:ascii="Verdana" w:eastAsia="Calibri" w:hAnsi="Verdana" w:cs="Times New Roman"/>
          <w:color w:val="000000"/>
        </w:rPr>
        <w:lastRenderedPageBreak/>
        <w:t>Recuerda también que la</w:t>
      </w:r>
      <w:r w:rsidRPr="008816F7">
        <w:rPr>
          <w:rFonts w:ascii="Verdana" w:eastAsia="Calibri" w:hAnsi="Verdana" w:cs="Times New Roman"/>
          <w:b/>
          <w:bCs/>
          <w:color w:val="000000"/>
        </w:rPr>
        <w:t> información sobre sanciones e inhabilidades </w:t>
      </w:r>
      <w:r w:rsidRPr="008816F7">
        <w:rPr>
          <w:rFonts w:ascii="Verdana" w:eastAsia="Calibri" w:hAnsi="Verdana" w:cs="Times New Roman"/>
          <w:color w:val="000000"/>
        </w:rPr>
        <w:t>solo cumple su función preventiva si llega oportunamente a los registros públicos. Sobre este deber, esta Agencia expidió la </w:t>
      </w:r>
      <w:r w:rsidRPr="008816F7">
        <w:rPr>
          <w:rFonts w:ascii="Verdana" w:eastAsia="Calibri" w:hAnsi="Verdana" w:cs="Times New Roman"/>
          <w:b/>
          <w:bCs/>
          <w:color w:val="000000"/>
        </w:rPr>
        <w:t>Circular Externa 002 del 5 de mayo de 2026,</w:t>
      </w:r>
      <w:r w:rsidRPr="008816F7">
        <w:rPr>
          <w:rFonts w:ascii="Verdana" w:eastAsia="Calibri" w:hAnsi="Verdana" w:cs="Times New Roman"/>
          <w:color w:val="000000"/>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8816F7">
          <w:rPr>
            <w:rFonts w:ascii="Verdana" w:eastAsia="Calibri" w:hAnsi="Verdana" w:cs="Times New Roman"/>
            <w:color w:val="0078D7"/>
            <w:u w:val="single"/>
          </w:rPr>
          <w:t>https://www.colombiacompra.gov.co/archivos/circular/circular-externa-002-de-2026</w:t>
        </w:r>
      </w:hyperlink>
    </w:p>
    <w:p w14:paraId="131F1F8A" w14:textId="77777777" w:rsidR="00180E1F" w:rsidRPr="008816F7" w:rsidRDefault="00180E1F" w:rsidP="00180E1F">
      <w:pPr>
        <w:spacing w:after="0" w:line="276" w:lineRule="auto"/>
        <w:jc w:val="both"/>
        <w:rPr>
          <w:rFonts w:ascii="Verdana" w:eastAsia="Calibri" w:hAnsi="Verdana" w:cs="Times New Roman"/>
          <w:color w:val="000000"/>
        </w:rPr>
      </w:pPr>
    </w:p>
    <w:p w14:paraId="2C09AF1A" w14:textId="77777777" w:rsidR="00180E1F" w:rsidRPr="008816F7" w:rsidRDefault="00180E1F" w:rsidP="00180E1F">
      <w:pPr>
        <w:spacing w:after="0" w:line="276" w:lineRule="auto"/>
        <w:jc w:val="both"/>
        <w:rPr>
          <w:rFonts w:ascii="Verdana" w:eastAsia="Calibri" w:hAnsi="Verdana" w:cs="Times New Roman"/>
          <w:color w:val="000000"/>
        </w:rPr>
      </w:pPr>
      <w:r w:rsidRPr="008816F7">
        <w:rPr>
          <w:rFonts w:ascii="Verdana" w:eastAsia="Calibri" w:hAnsi="Verdana" w:cs="Times New Roman"/>
          <w:color w:val="000000"/>
        </w:rPr>
        <w:t>Finalmente, si quieres seguir de cerca la actividad de la Agencia, la tercera edición de 2026 del</w:t>
      </w:r>
      <w:r w:rsidRPr="008816F7">
        <w:rPr>
          <w:rFonts w:ascii="Verdana" w:eastAsia="Calibri" w:hAnsi="Verdana" w:cs="Times New Roman"/>
          <w:b/>
          <w:bCs/>
          <w:color w:val="000000"/>
        </w:rPr>
        <w:t> Radar de la Compra Pública</w:t>
      </w:r>
      <w:r w:rsidRPr="008816F7">
        <w:rPr>
          <w:rFonts w:ascii="Verdana" w:eastAsia="Calibri" w:hAnsi="Verdana" w:cs="Times New Roman"/>
          <w:color w:val="000000"/>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8816F7">
          <w:rPr>
            <w:rFonts w:ascii="Verdana" w:eastAsia="Calibri" w:hAnsi="Verdana" w:cs="Times New Roman"/>
            <w:color w:val="0078D7"/>
            <w:u w:val="single"/>
          </w:rPr>
          <w:t>https://www.colombiacompra.gov.co/archivos/boletin/boletin-edicion-n-3-de-2026-radar-de-la-compra-publica</w:t>
        </w:r>
      </w:hyperlink>
      <w:r w:rsidRPr="008816F7">
        <w:rPr>
          <w:rFonts w:ascii="Verdana" w:eastAsia="Calibri" w:hAnsi="Verdana" w:cs="Times New Roman"/>
          <w:color w:val="000000"/>
        </w:rPr>
        <w:t>"</w:t>
      </w:r>
    </w:p>
    <w:p w14:paraId="0A8F343E" w14:textId="77777777" w:rsidR="00180E1F" w:rsidRPr="008816F7" w:rsidRDefault="00180E1F" w:rsidP="00180E1F">
      <w:pPr>
        <w:spacing w:after="0"/>
        <w:jc w:val="both"/>
        <w:rPr>
          <w:rFonts w:ascii="Verdana" w:eastAsia="Aptos" w:hAnsi="Verdana" w:cs="Times New Roman"/>
          <w:color w:val="212121"/>
          <w:lang w:eastAsia="es-MX"/>
        </w:rPr>
      </w:pPr>
    </w:p>
    <w:p w14:paraId="32D3E00D" w14:textId="77777777" w:rsidR="00180E1F" w:rsidRPr="008816F7" w:rsidRDefault="00180E1F" w:rsidP="00180E1F">
      <w:pPr>
        <w:spacing w:after="0" w:line="240" w:lineRule="auto"/>
        <w:jc w:val="both"/>
        <w:rPr>
          <w:rFonts w:ascii="Verdana" w:eastAsia="Calibri" w:hAnsi="Verdana" w:cs="Times New Roman"/>
          <w:lang w:eastAsia="es-MX"/>
        </w:rPr>
      </w:pPr>
      <w:r w:rsidRPr="008816F7">
        <w:rPr>
          <w:rFonts w:ascii="Verdana" w:eastAsia="Aptos" w:hAnsi="Verdana" w:cs="Times New Roman"/>
          <w:lang w:eastAsia="es-MX"/>
        </w:rPr>
        <w:t xml:space="preserve">Por último, lo invitamos a seguirnos en las redes sociales en las cuales se difunde información institucional: </w:t>
      </w:r>
    </w:p>
    <w:p w14:paraId="05472F0A" w14:textId="77777777" w:rsidR="00180E1F" w:rsidRPr="008816F7" w:rsidRDefault="00180E1F" w:rsidP="00180E1F">
      <w:pPr>
        <w:spacing w:after="0" w:line="240" w:lineRule="auto"/>
        <w:jc w:val="both"/>
        <w:rPr>
          <w:rFonts w:ascii="Verdana" w:eastAsia="Aptos" w:hAnsi="Verdana" w:cs="Times New Roman"/>
          <w:lang w:eastAsia="es-MX"/>
        </w:rPr>
      </w:pPr>
    </w:p>
    <w:p w14:paraId="16E43DB8" w14:textId="77777777" w:rsidR="00180E1F" w:rsidRPr="008816F7" w:rsidRDefault="00180E1F" w:rsidP="00180E1F">
      <w:pPr>
        <w:spacing w:after="0" w:line="240" w:lineRule="auto"/>
        <w:jc w:val="both"/>
        <w:rPr>
          <w:rFonts w:ascii="Verdana" w:eastAsia="Aptos" w:hAnsi="Verdana" w:cs="Times New Roman"/>
          <w:lang w:eastAsia="es-MX"/>
        </w:rPr>
      </w:pPr>
      <w:r w:rsidRPr="008816F7">
        <w:rPr>
          <w:rFonts w:ascii="Verdana" w:eastAsia="Aptos" w:hAnsi="Verdana" w:cs="Times New Roman"/>
          <w:lang w:eastAsia="es-MX"/>
        </w:rPr>
        <w:t xml:space="preserve">Twitter: </w:t>
      </w:r>
      <w:r w:rsidRPr="008816F7">
        <w:rPr>
          <w:rFonts w:ascii="Verdana" w:eastAsia="Calibri" w:hAnsi="Verdana" w:cs="Times New Roman"/>
          <w:color w:val="156082"/>
          <w:u w:val="single"/>
          <w:lang w:eastAsia="es-MX"/>
        </w:rPr>
        <w:t>@colombiacompra</w:t>
      </w:r>
      <w:r w:rsidRPr="008816F7">
        <w:rPr>
          <w:rFonts w:ascii="Verdana" w:eastAsia="Calibri" w:hAnsi="Verdana" w:cs="Times New Roman"/>
          <w:color w:val="156082"/>
          <w:lang w:eastAsia="es-MX"/>
        </w:rPr>
        <w:t xml:space="preserve"> </w:t>
      </w:r>
    </w:p>
    <w:p w14:paraId="4D208054" w14:textId="77777777" w:rsidR="00180E1F" w:rsidRPr="008816F7" w:rsidRDefault="00180E1F" w:rsidP="00180E1F">
      <w:pPr>
        <w:spacing w:after="0" w:line="240" w:lineRule="auto"/>
        <w:jc w:val="both"/>
        <w:rPr>
          <w:rFonts w:ascii="Verdana" w:eastAsia="Aptos" w:hAnsi="Verdana" w:cs="Times New Roman"/>
          <w:lang w:eastAsia="es-MX"/>
        </w:rPr>
      </w:pPr>
      <w:r w:rsidRPr="008816F7">
        <w:rPr>
          <w:rFonts w:ascii="Verdana" w:eastAsia="Aptos" w:hAnsi="Verdana" w:cs="Times New Roman"/>
          <w:lang w:eastAsia="es-MX"/>
        </w:rPr>
        <w:t xml:space="preserve">Facebook: </w:t>
      </w:r>
      <w:proofErr w:type="spellStart"/>
      <w:r w:rsidRPr="008816F7">
        <w:rPr>
          <w:rFonts w:ascii="Verdana" w:eastAsia="Calibri" w:hAnsi="Verdana" w:cs="Times New Roman"/>
          <w:color w:val="156082"/>
          <w:u w:val="single"/>
          <w:lang w:eastAsia="es-MX"/>
        </w:rPr>
        <w:t>ColombiaCompraEficiente</w:t>
      </w:r>
      <w:proofErr w:type="spellEnd"/>
    </w:p>
    <w:p w14:paraId="72E7F11A" w14:textId="77777777" w:rsidR="00180E1F" w:rsidRPr="008816F7" w:rsidRDefault="00180E1F" w:rsidP="00180E1F">
      <w:pPr>
        <w:spacing w:after="0" w:line="240" w:lineRule="auto"/>
        <w:jc w:val="both"/>
        <w:rPr>
          <w:rFonts w:ascii="Verdana" w:eastAsia="Aptos" w:hAnsi="Verdana" w:cs="Times New Roman"/>
          <w:lang w:eastAsia="es-MX"/>
        </w:rPr>
      </w:pPr>
      <w:r w:rsidRPr="008816F7">
        <w:rPr>
          <w:rFonts w:ascii="Verdana" w:eastAsia="Aptos" w:hAnsi="Verdana" w:cs="Times New Roman"/>
          <w:lang w:eastAsia="es-MX"/>
        </w:rPr>
        <w:t xml:space="preserve">LinkedIn: </w:t>
      </w:r>
      <w:r w:rsidRPr="008816F7">
        <w:rPr>
          <w:rFonts w:ascii="Verdana" w:eastAsia="Calibri" w:hAnsi="Verdana" w:cs="Times New Roman"/>
          <w:color w:val="156082"/>
          <w:u w:val="single"/>
          <w:lang w:eastAsia="es-MX"/>
        </w:rPr>
        <w:t>Agencia Nacional de Contratación Pública - Colombia Compra Eficiente</w:t>
      </w:r>
      <w:r w:rsidRPr="008816F7">
        <w:rPr>
          <w:rFonts w:ascii="Verdana" w:eastAsia="Calibri" w:hAnsi="Verdana" w:cs="Times New Roman"/>
          <w:color w:val="156082"/>
          <w:lang w:eastAsia="es-MX"/>
        </w:rPr>
        <w:t xml:space="preserve"> </w:t>
      </w:r>
      <w:r w:rsidRPr="008816F7">
        <w:rPr>
          <w:rFonts w:ascii="Verdana" w:eastAsia="Aptos" w:hAnsi="Verdana" w:cs="Times New Roman"/>
          <w:lang w:eastAsia="es-MX"/>
        </w:rPr>
        <w:t xml:space="preserve">Instagram: </w:t>
      </w:r>
      <w:r w:rsidRPr="008816F7">
        <w:rPr>
          <w:rFonts w:ascii="Verdana" w:eastAsia="Calibri" w:hAnsi="Verdana" w:cs="Times New Roman"/>
          <w:color w:val="156082"/>
          <w:u w:val="single"/>
          <w:lang w:eastAsia="es-MX"/>
        </w:rPr>
        <w:t>@colombiacompraeficiente_cce</w:t>
      </w:r>
    </w:p>
    <w:p w14:paraId="47196370" w14:textId="77777777" w:rsidR="00180E1F" w:rsidRPr="008816F7" w:rsidRDefault="00180E1F" w:rsidP="00180E1F">
      <w:pPr>
        <w:spacing w:after="0" w:line="276" w:lineRule="auto"/>
        <w:jc w:val="both"/>
        <w:rPr>
          <w:rFonts w:ascii="Verdana" w:eastAsia="Aptos" w:hAnsi="Verdana" w:cs="Times New Roman"/>
          <w:lang w:eastAsia="es-MX"/>
        </w:rPr>
      </w:pPr>
    </w:p>
    <w:p w14:paraId="3408963B" w14:textId="77777777" w:rsidR="00180E1F" w:rsidRPr="008816F7" w:rsidRDefault="00180E1F" w:rsidP="00180E1F">
      <w:pPr>
        <w:spacing w:after="0" w:line="276" w:lineRule="auto"/>
        <w:jc w:val="both"/>
        <w:rPr>
          <w:rFonts w:ascii="Verdana" w:eastAsia="Calibri" w:hAnsi="Verdana" w:cs="Times New Roman"/>
          <w:bCs/>
          <w:lang w:val="es-ES_tradnl" w:eastAsia="es-MX"/>
        </w:rPr>
      </w:pPr>
      <w:r w:rsidRPr="008816F7">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8782768" w14:textId="77777777" w:rsidR="00180E1F" w:rsidRPr="008816F7" w:rsidRDefault="00180E1F" w:rsidP="00180E1F">
      <w:pPr>
        <w:spacing w:after="0" w:line="276" w:lineRule="auto"/>
        <w:jc w:val="both"/>
        <w:rPr>
          <w:rFonts w:ascii="Verdana" w:eastAsia="Calibri" w:hAnsi="Verdana" w:cs="Times New Roman"/>
          <w:lang w:eastAsia="es-MX"/>
        </w:rPr>
      </w:pPr>
    </w:p>
    <w:p w14:paraId="448C8FAE" w14:textId="77777777" w:rsidR="00180E1F" w:rsidRPr="008816F7" w:rsidRDefault="00180E1F" w:rsidP="00180E1F">
      <w:pPr>
        <w:spacing w:after="0" w:line="276" w:lineRule="auto"/>
        <w:jc w:val="both"/>
        <w:rPr>
          <w:rFonts w:ascii="Verdana" w:eastAsia="Calibri" w:hAnsi="Verdana" w:cs="Times New Roman"/>
          <w:lang w:eastAsia="es-MX"/>
        </w:rPr>
      </w:pPr>
      <w:r w:rsidRPr="008816F7">
        <w:rPr>
          <w:rFonts w:ascii="Verdana" w:eastAsia="Calibri" w:hAnsi="Verdana" w:cs="Times New Roman"/>
          <w:lang w:eastAsia="es-MX"/>
        </w:rPr>
        <w:t>Atentamente,</w:t>
      </w:r>
    </w:p>
    <w:p w14:paraId="5F70EA50" w14:textId="77777777" w:rsidR="00180E1F" w:rsidRPr="008816F7" w:rsidRDefault="00180E1F" w:rsidP="00180E1F">
      <w:pPr>
        <w:spacing w:after="0" w:line="240" w:lineRule="auto"/>
        <w:jc w:val="both"/>
        <w:textAlignment w:val="baseline"/>
        <w:rPr>
          <w:rFonts w:ascii="Verdana" w:eastAsia="Verdana" w:hAnsi="Verdana" w:cs="Verdana"/>
          <w:lang w:eastAsia="es-CO"/>
        </w:rPr>
      </w:pPr>
    </w:p>
    <w:p w14:paraId="093FBB1B" w14:textId="50B31B9F" w:rsidR="00180E1F" w:rsidRPr="002D7CFF" w:rsidRDefault="002D7CFF" w:rsidP="002D7CFF">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lastRenderedPageBreak/>
        <w:drawing>
          <wp:inline distT="0" distB="0" distL="0" distR="0" wp14:anchorId="1A9DE8AB" wp14:editId="36F3B8AB">
            <wp:extent cx="2907846" cy="1248355"/>
            <wp:effectExtent l="0" t="0" r="635"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954373" cy="1268329"/>
                    </a:xfrm>
                    <a:prstGeom prst="rect">
                      <a:avLst/>
                    </a:prstGeom>
                  </pic:spPr>
                </pic:pic>
              </a:graphicData>
            </a:graphic>
          </wp:inline>
        </w:drawing>
      </w:r>
    </w:p>
    <w:p w14:paraId="6CF9AFA1" w14:textId="77777777" w:rsidR="00180E1F" w:rsidRPr="001F1875" w:rsidRDefault="00180E1F" w:rsidP="00180E1F">
      <w:pPr>
        <w:tabs>
          <w:tab w:val="left" w:pos="1320"/>
        </w:tabs>
        <w:spacing w:after="0"/>
        <w:jc w:val="center"/>
        <w:rPr>
          <w:rFonts w:ascii="Verdana" w:eastAsia="Calibri" w:hAnsi="Verdana" w:cs="Times New Roman"/>
          <w:lang w:eastAsia="es-MX"/>
        </w:rPr>
      </w:pPr>
    </w:p>
    <w:tbl>
      <w:tblPr>
        <w:tblStyle w:val="Tablaconcuadrcula2"/>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180E1F" w:rsidRPr="001F1875" w14:paraId="4A3A1BF0" w14:textId="77777777" w:rsidTr="00670B64">
        <w:trPr>
          <w:trHeight w:val="323"/>
        </w:trPr>
        <w:tc>
          <w:tcPr>
            <w:tcW w:w="1041" w:type="dxa"/>
            <w:vAlign w:val="center"/>
            <w:hideMark/>
          </w:tcPr>
          <w:p w14:paraId="41D3B5DD" w14:textId="77777777" w:rsidR="00180E1F" w:rsidRPr="001F1875" w:rsidRDefault="00180E1F" w:rsidP="00670B64">
            <w:pPr>
              <w:rPr>
                <w:rFonts w:ascii="Verdana" w:eastAsia="Calibri" w:hAnsi="Verdana" w:cs="Arial"/>
                <w:sz w:val="16"/>
                <w:szCs w:val="16"/>
                <w:lang w:val="es-ES_tradnl" w:eastAsia="es-ES"/>
              </w:rPr>
            </w:pPr>
            <w:r w:rsidRPr="001F1875">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71F4BB38" w14:textId="77777777" w:rsidR="00180E1F" w:rsidRPr="001F1875" w:rsidRDefault="00180E1F" w:rsidP="00670B64">
            <w:pPr>
              <w:rPr>
                <w:rFonts w:ascii="Verdana" w:eastAsia="Arial" w:hAnsi="Verdana" w:cs="Arial"/>
                <w:sz w:val="16"/>
                <w:szCs w:val="16"/>
                <w:lang w:val="es-ES" w:eastAsia="es-MX"/>
              </w:rPr>
            </w:pPr>
            <w:r w:rsidRPr="001F1875">
              <w:rPr>
                <w:rFonts w:ascii="Verdana" w:eastAsia="Arial" w:hAnsi="Verdana" w:cs="Arial"/>
                <w:sz w:val="16"/>
                <w:szCs w:val="16"/>
                <w:lang w:val="es-ES" w:eastAsia="es-MX"/>
              </w:rPr>
              <w:t xml:space="preserve">Carlos Mario Castrillón Endo </w:t>
            </w:r>
          </w:p>
          <w:p w14:paraId="54BF4EAD" w14:textId="77777777" w:rsidR="00180E1F" w:rsidRPr="001F1875" w:rsidRDefault="00180E1F" w:rsidP="00670B64">
            <w:pPr>
              <w:rPr>
                <w:rFonts w:ascii="Verdana" w:eastAsia="Arial" w:hAnsi="Verdana" w:cs="Arial"/>
                <w:sz w:val="16"/>
                <w:szCs w:val="16"/>
                <w:lang w:val="es-ES_tradnl" w:eastAsia="es-MX"/>
              </w:rPr>
            </w:pPr>
            <w:r w:rsidRPr="001F1875">
              <w:rPr>
                <w:rFonts w:ascii="Verdana" w:eastAsia="Arial" w:hAnsi="Verdana" w:cs="Arial"/>
                <w:sz w:val="16"/>
                <w:szCs w:val="16"/>
                <w:lang w:val="es-ES_tradnl" w:eastAsia="es-MX"/>
              </w:rPr>
              <w:t>Contratista de la Subdirección de Gestión Contractual</w:t>
            </w:r>
          </w:p>
        </w:tc>
      </w:tr>
      <w:tr w:rsidR="00180E1F" w:rsidRPr="001F1875" w14:paraId="7B7233C2" w14:textId="77777777" w:rsidTr="00670B64">
        <w:trPr>
          <w:trHeight w:val="338"/>
        </w:trPr>
        <w:tc>
          <w:tcPr>
            <w:tcW w:w="1041" w:type="dxa"/>
            <w:vAlign w:val="center"/>
            <w:hideMark/>
          </w:tcPr>
          <w:p w14:paraId="324E9EE7" w14:textId="77777777" w:rsidR="00180E1F" w:rsidRPr="001F1875" w:rsidRDefault="00180E1F" w:rsidP="00670B64">
            <w:pPr>
              <w:rPr>
                <w:rFonts w:ascii="Verdana" w:eastAsia="Calibri" w:hAnsi="Verdana" w:cs="Arial"/>
                <w:sz w:val="16"/>
                <w:szCs w:val="16"/>
                <w:lang w:val="es-ES_tradnl" w:eastAsia="es-ES"/>
              </w:rPr>
            </w:pPr>
            <w:r w:rsidRPr="001F1875">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0D32E028" w14:textId="77777777" w:rsidR="00180E1F" w:rsidRPr="001F1875" w:rsidRDefault="00180E1F" w:rsidP="00670B64">
            <w:pPr>
              <w:rPr>
                <w:rFonts w:ascii="Verdana" w:eastAsia="Arial" w:hAnsi="Verdana" w:cs="Arial"/>
                <w:sz w:val="16"/>
                <w:szCs w:val="16"/>
                <w:lang w:val="es-ES" w:eastAsia="es-MX"/>
              </w:rPr>
            </w:pPr>
            <w:r>
              <w:rPr>
                <w:rFonts w:ascii="Verdana" w:eastAsia="Arial" w:hAnsi="Verdana" w:cs="Arial"/>
                <w:sz w:val="16"/>
                <w:szCs w:val="16"/>
                <w:lang w:val="es-ES" w:eastAsia="es-MX"/>
              </w:rPr>
              <w:t>Alexandra Rodríguez Motta</w:t>
            </w:r>
          </w:p>
          <w:p w14:paraId="73CE2902" w14:textId="77777777" w:rsidR="00180E1F" w:rsidRPr="001F1875" w:rsidRDefault="00180E1F" w:rsidP="00670B64">
            <w:pPr>
              <w:rPr>
                <w:rFonts w:ascii="Verdana" w:eastAsia="Arial" w:hAnsi="Verdana" w:cs="Arial"/>
                <w:sz w:val="16"/>
                <w:szCs w:val="16"/>
                <w:lang w:val="es-ES_tradnl" w:eastAsia="es-MX"/>
              </w:rPr>
            </w:pPr>
            <w:r w:rsidRPr="001F1875">
              <w:rPr>
                <w:rFonts w:ascii="Verdana" w:eastAsia="Arial" w:hAnsi="Verdana" w:cs="Arial"/>
                <w:sz w:val="16"/>
                <w:szCs w:val="16"/>
                <w:lang w:val="es-ES_tradnl" w:eastAsia="es-MX"/>
              </w:rPr>
              <w:t>Contratista de la Subdirección de Gestión Contractual</w:t>
            </w:r>
          </w:p>
          <w:p w14:paraId="470820B2" w14:textId="77777777" w:rsidR="00180E1F" w:rsidRDefault="00180E1F" w:rsidP="00670B64">
            <w:pPr>
              <w:rPr>
                <w:rFonts w:ascii="Verdana" w:eastAsia="Arial" w:hAnsi="Verdana" w:cs="Arial"/>
                <w:sz w:val="16"/>
                <w:szCs w:val="16"/>
                <w:lang w:val="es-ES_tradnl" w:eastAsia="es-MX"/>
              </w:rPr>
            </w:pPr>
            <w:r>
              <w:rPr>
                <w:rFonts w:ascii="Verdana" w:eastAsia="Arial" w:hAnsi="Verdana" w:cs="Arial"/>
                <w:sz w:val="16"/>
                <w:szCs w:val="16"/>
                <w:lang w:val="es-ES_tradnl" w:eastAsia="es-MX"/>
              </w:rPr>
              <w:t xml:space="preserve">Juan David Cárdenas Cabeza </w:t>
            </w:r>
            <w:r w:rsidRPr="001F1875" w:rsidDel="00065657">
              <w:rPr>
                <w:rFonts w:ascii="Verdana" w:eastAsia="Arial" w:hAnsi="Verdana" w:cs="Arial"/>
                <w:sz w:val="16"/>
                <w:szCs w:val="16"/>
                <w:lang w:val="es-ES_tradnl" w:eastAsia="es-MX"/>
              </w:rPr>
              <w:t xml:space="preserve"> </w:t>
            </w:r>
          </w:p>
          <w:p w14:paraId="1DDB26F4" w14:textId="77777777" w:rsidR="00180E1F" w:rsidRPr="001F1875" w:rsidRDefault="00180E1F" w:rsidP="00670B64">
            <w:pPr>
              <w:rPr>
                <w:rFonts w:ascii="Verdana" w:eastAsia="Arial" w:hAnsi="Verdana" w:cs="Arial"/>
                <w:sz w:val="16"/>
                <w:szCs w:val="16"/>
                <w:lang w:val="es-ES_tradnl" w:eastAsia="es-MX"/>
              </w:rPr>
            </w:pPr>
            <w:r w:rsidRPr="001F1875">
              <w:rPr>
                <w:rFonts w:ascii="Verdana" w:eastAsia="Arial" w:hAnsi="Verdana" w:cs="Arial"/>
                <w:sz w:val="16"/>
                <w:szCs w:val="16"/>
                <w:lang w:val="es-ES_tradnl" w:eastAsia="es-MX"/>
              </w:rPr>
              <w:t>Contratista de la Subdirección de Gestión Contractual</w:t>
            </w:r>
          </w:p>
        </w:tc>
      </w:tr>
      <w:tr w:rsidR="00180E1F" w:rsidRPr="001F1875" w14:paraId="7EDF51C2" w14:textId="77777777" w:rsidTr="00670B64">
        <w:trPr>
          <w:trHeight w:val="308"/>
        </w:trPr>
        <w:tc>
          <w:tcPr>
            <w:tcW w:w="1041" w:type="dxa"/>
            <w:vAlign w:val="center"/>
          </w:tcPr>
          <w:p w14:paraId="67388080" w14:textId="77777777" w:rsidR="00180E1F" w:rsidRPr="001F1875" w:rsidRDefault="00180E1F" w:rsidP="00670B64">
            <w:pPr>
              <w:rPr>
                <w:rFonts w:ascii="Verdana" w:eastAsia="Calibri" w:hAnsi="Verdana" w:cs="Arial"/>
                <w:sz w:val="16"/>
                <w:szCs w:val="16"/>
                <w:lang w:val="es-ES_tradnl" w:eastAsia="es-ES"/>
              </w:rPr>
            </w:pPr>
            <w:r w:rsidRPr="001F1875">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7DA6A568" w14:textId="77777777" w:rsidR="00180E1F" w:rsidRPr="001F1875" w:rsidRDefault="00180E1F" w:rsidP="00670B64">
            <w:pPr>
              <w:rPr>
                <w:rFonts w:ascii="Verdana" w:eastAsia="Calibri" w:hAnsi="Verdana" w:cs="Arial"/>
                <w:sz w:val="16"/>
                <w:szCs w:val="16"/>
                <w:lang w:val="es-ES" w:eastAsia="es-ES"/>
              </w:rPr>
            </w:pPr>
            <w:r w:rsidRPr="001F1875">
              <w:rPr>
                <w:rFonts w:ascii="Verdana" w:eastAsia="Calibri" w:hAnsi="Verdana" w:cs="Arial"/>
                <w:sz w:val="16"/>
                <w:szCs w:val="16"/>
                <w:lang w:val="es-ES" w:eastAsia="es-ES"/>
              </w:rPr>
              <w:t>Carolina Quintero Gacharná</w:t>
            </w:r>
          </w:p>
          <w:p w14:paraId="7D249118" w14:textId="77777777" w:rsidR="00180E1F" w:rsidRPr="001F1875" w:rsidRDefault="00180E1F" w:rsidP="00670B64">
            <w:pPr>
              <w:rPr>
                <w:rFonts w:ascii="Verdana" w:eastAsia="Calibri" w:hAnsi="Verdana" w:cs="Arial"/>
                <w:sz w:val="16"/>
                <w:szCs w:val="16"/>
                <w:lang w:val="es-ES_tradnl" w:eastAsia="es-ES"/>
              </w:rPr>
            </w:pPr>
            <w:r w:rsidRPr="001F1875">
              <w:rPr>
                <w:rFonts w:ascii="Verdana" w:eastAsia="Calibri" w:hAnsi="Verdana" w:cs="Arial"/>
                <w:sz w:val="16"/>
                <w:szCs w:val="16"/>
                <w:lang w:val="es-ES_tradnl" w:eastAsia="es-ES"/>
              </w:rPr>
              <w:t>Subdirectora de Gestión Contractual ANCP – CCE</w:t>
            </w:r>
          </w:p>
        </w:tc>
      </w:tr>
    </w:tbl>
    <w:p w14:paraId="58506C0C" w14:textId="77777777" w:rsidR="00180E1F" w:rsidRPr="001F1875" w:rsidRDefault="00180E1F" w:rsidP="00180E1F">
      <w:pPr>
        <w:spacing w:after="0" w:line="240" w:lineRule="auto"/>
        <w:jc w:val="both"/>
        <w:rPr>
          <w:rFonts w:ascii="Verdana" w:eastAsia="Verdana" w:hAnsi="Verdana" w:cs="Verdana"/>
          <w:b/>
          <w:bCs/>
        </w:rPr>
      </w:pPr>
    </w:p>
    <w:p w14:paraId="204DE9D8" w14:textId="77777777" w:rsidR="00180E1F" w:rsidRPr="000E2B93" w:rsidRDefault="00180E1F" w:rsidP="00180E1F">
      <w:pPr>
        <w:spacing w:after="0" w:line="240" w:lineRule="auto"/>
        <w:jc w:val="both"/>
        <w:textAlignment w:val="baseline"/>
        <w:rPr>
          <w:rFonts w:ascii="Verdana" w:eastAsia="Verdana" w:hAnsi="Verdana" w:cs="Verdana"/>
          <w:lang w:eastAsia="es-CO"/>
        </w:rPr>
      </w:pPr>
    </w:p>
    <w:p w14:paraId="6810C301" w14:textId="1866DCA9" w:rsidR="00180E1F" w:rsidRPr="000E2B93" w:rsidRDefault="00180E1F" w:rsidP="00180E1F">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6615FEC3" w14:textId="77777777" w:rsidR="00180E1F" w:rsidRPr="0015699B" w:rsidRDefault="00180E1F" w:rsidP="00180E1F">
      <w:pPr>
        <w:spacing w:after="0" w:line="240" w:lineRule="auto"/>
        <w:textAlignment w:val="baseline"/>
        <w:rPr>
          <w:rFonts w:ascii="Verdana" w:eastAsia="Verdana" w:hAnsi="Verdana" w:cs="Verdana"/>
          <w:lang w:eastAsia="es-CO"/>
        </w:rPr>
      </w:pPr>
    </w:p>
    <w:p w14:paraId="74DB7347" w14:textId="77777777" w:rsidR="00180E1F" w:rsidRDefault="00180E1F" w:rsidP="00180E1F"/>
    <w:p w14:paraId="1468C46D" w14:textId="3AE25C29" w:rsidR="00C15139" w:rsidRPr="0024624F" w:rsidRDefault="00C15139" w:rsidP="30821638">
      <w:pPr>
        <w:spacing w:after="0"/>
        <w:rPr>
          <w:rFonts w:ascii="Verdana" w:eastAsia="Verdana" w:hAnsi="Verdana" w:cs="Verdana"/>
        </w:rPr>
      </w:pPr>
      <w:r>
        <w:br/>
      </w:r>
      <w:r>
        <w:tab/>
      </w:r>
    </w:p>
    <w:bookmarkEnd w:id="0"/>
    <w:p w14:paraId="0F293BF4" w14:textId="1C58D4F6" w:rsidR="00127233" w:rsidRPr="0015699B" w:rsidRDefault="00127233" w:rsidP="009C59C6">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7D0C7" w14:textId="77777777" w:rsidR="003E04AC" w:rsidRDefault="003E04AC" w:rsidP="004A1847">
      <w:pPr>
        <w:spacing w:after="0" w:line="240" w:lineRule="auto"/>
      </w:pPr>
      <w:r>
        <w:separator/>
      </w:r>
    </w:p>
  </w:endnote>
  <w:endnote w:type="continuationSeparator" w:id="0">
    <w:p w14:paraId="351022D4" w14:textId="77777777" w:rsidR="003E04AC" w:rsidRDefault="003E04AC" w:rsidP="004A1847">
      <w:pPr>
        <w:spacing w:after="0" w:line="240" w:lineRule="auto"/>
      </w:pPr>
      <w:r>
        <w:continuationSeparator/>
      </w:r>
    </w:p>
  </w:endnote>
  <w:endnote w:type="continuationNotice" w:id="1">
    <w:p w14:paraId="0870F432" w14:textId="77777777" w:rsidR="003E04AC" w:rsidRDefault="003E04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8ADF" w14:textId="77777777" w:rsidR="002D7CFF" w:rsidRDefault="002D7CFF">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6FE1D" w14:textId="77777777" w:rsidR="003E04AC" w:rsidRDefault="003E04AC" w:rsidP="004A1847">
      <w:pPr>
        <w:spacing w:after="0" w:line="240" w:lineRule="auto"/>
      </w:pPr>
      <w:r>
        <w:separator/>
      </w:r>
    </w:p>
  </w:footnote>
  <w:footnote w:type="continuationSeparator" w:id="0">
    <w:p w14:paraId="064BC878" w14:textId="77777777" w:rsidR="003E04AC" w:rsidRDefault="003E04AC" w:rsidP="004A1847">
      <w:pPr>
        <w:spacing w:after="0" w:line="240" w:lineRule="auto"/>
      </w:pPr>
      <w:r>
        <w:continuationSeparator/>
      </w:r>
    </w:p>
  </w:footnote>
  <w:footnote w:type="continuationNotice" w:id="1">
    <w:p w14:paraId="1F70FE0D" w14:textId="77777777" w:rsidR="003E04AC" w:rsidRDefault="003E04AC">
      <w:pPr>
        <w:spacing w:after="0" w:line="240" w:lineRule="auto"/>
      </w:pPr>
    </w:p>
  </w:footnote>
  <w:footnote w:id="2">
    <w:p w14:paraId="7EEC0514" w14:textId="77777777" w:rsidR="00180E1F" w:rsidRPr="00C26207" w:rsidRDefault="00180E1F" w:rsidP="00180E1F">
      <w:pPr>
        <w:pStyle w:val="Textonotapie"/>
        <w:ind w:firstLine="708"/>
        <w:jc w:val="both"/>
        <w:rPr>
          <w:rFonts w:ascii="Verdana" w:hAnsi="Verdana"/>
          <w:sz w:val="19"/>
          <w:szCs w:val="19"/>
        </w:rPr>
      </w:pPr>
      <w:r w:rsidRPr="00C26207">
        <w:rPr>
          <w:rStyle w:val="Refdenotaalpie"/>
          <w:rFonts w:ascii="Verdana" w:hAnsi="Verdana"/>
          <w:sz w:val="19"/>
          <w:szCs w:val="19"/>
        </w:rPr>
        <w:footnoteRef/>
      </w:r>
      <w:r w:rsidRPr="00C26207">
        <w:rPr>
          <w:rFonts w:ascii="Verdana" w:hAnsi="Verdana"/>
          <w:sz w:val="19"/>
          <w:szCs w:val="19"/>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3F8BD7BC" w14:textId="77777777" w:rsidR="00180E1F" w:rsidRPr="00C26207" w:rsidRDefault="00180E1F" w:rsidP="00180E1F">
      <w:pPr>
        <w:pStyle w:val="Textonotapie"/>
        <w:ind w:firstLine="708"/>
        <w:jc w:val="both"/>
        <w:rPr>
          <w:rFonts w:ascii="Verdana" w:hAnsi="Verdana"/>
          <w:sz w:val="19"/>
          <w:szCs w:val="19"/>
        </w:rPr>
      </w:pPr>
    </w:p>
    <w:p w14:paraId="72E030B8" w14:textId="77777777" w:rsidR="00180E1F" w:rsidRPr="00C26207" w:rsidRDefault="00180E1F" w:rsidP="00180E1F">
      <w:pPr>
        <w:pStyle w:val="Textonotapie"/>
        <w:ind w:firstLine="708"/>
        <w:jc w:val="both"/>
        <w:rPr>
          <w:rFonts w:ascii="Verdana" w:hAnsi="Verdana"/>
          <w:sz w:val="19"/>
          <w:szCs w:val="19"/>
        </w:rPr>
      </w:pPr>
      <w:r w:rsidRPr="00C26207">
        <w:rPr>
          <w:rFonts w:ascii="Verdana" w:hAnsi="Verdana"/>
          <w:sz w:val="19"/>
          <w:szCs w:val="19"/>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1DB9F27D" w14:textId="77777777" w:rsidR="00180E1F" w:rsidRPr="00C26207" w:rsidRDefault="00180E1F" w:rsidP="00180E1F">
      <w:pPr>
        <w:pStyle w:val="Textonotapie"/>
        <w:ind w:firstLine="708"/>
        <w:jc w:val="both"/>
        <w:rPr>
          <w:rFonts w:ascii="Verdana" w:hAnsi="Verdana"/>
          <w:sz w:val="19"/>
          <w:szCs w:val="19"/>
        </w:rPr>
      </w:pPr>
    </w:p>
    <w:p w14:paraId="0198719E" w14:textId="77777777" w:rsidR="00180E1F" w:rsidRPr="00C26207" w:rsidRDefault="00180E1F" w:rsidP="00180E1F">
      <w:pPr>
        <w:pStyle w:val="Textonotapie"/>
        <w:ind w:firstLine="708"/>
        <w:jc w:val="both"/>
        <w:rPr>
          <w:rFonts w:ascii="Verdana" w:hAnsi="Verdana"/>
          <w:sz w:val="19"/>
          <w:szCs w:val="19"/>
        </w:rPr>
      </w:pPr>
      <w:r w:rsidRPr="00C26207">
        <w:rPr>
          <w:rFonts w:ascii="Verdana" w:hAnsi="Verdana"/>
          <w:sz w:val="19"/>
          <w:szCs w:val="19"/>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504B6375" w14:textId="77777777" w:rsidR="00180E1F" w:rsidRPr="00C26207" w:rsidRDefault="00180E1F" w:rsidP="00180E1F">
      <w:pPr>
        <w:pStyle w:val="Textonotapie"/>
        <w:ind w:firstLine="708"/>
        <w:jc w:val="both"/>
        <w:rPr>
          <w:rFonts w:ascii="Verdana" w:hAnsi="Verdana"/>
          <w:sz w:val="19"/>
          <w:szCs w:val="19"/>
        </w:rPr>
      </w:pPr>
    </w:p>
    <w:p w14:paraId="77336E05" w14:textId="77777777" w:rsidR="00180E1F" w:rsidRPr="00C26207" w:rsidRDefault="00180E1F" w:rsidP="00180E1F">
      <w:pPr>
        <w:pStyle w:val="Textonotapie"/>
        <w:ind w:firstLine="708"/>
        <w:jc w:val="both"/>
        <w:rPr>
          <w:rFonts w:ascii="Verdana" w:hAnsi="Verdana"/>
          <w:sz w:val="19"/>
          <w:szCs w:val="19"/>
        </w:rPr>
      </w:pPr>
      <w:r w:rsidRPr="00C26207">
        <w:rPr>
          <w:rFonts w:ascii="Verdana" w:hAnsi="Verdana"/>
          <w:sz w:val="19"/>
          <w:szCs w:val="19"/>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0B10BE6A" w14:textId="77777777" w:rsidR="00180E1F" w:rsidRPr="00C26207" w:rsidRDefault="00180E1F" w:rsidP="00180E1F">
      <w:pPr>
        <w:pStyle w:val="Textonotapie"/>
        <w:ind w:firstLine="708"/>
        <w:jc w:val="both"/>
        <w:rPr>
          <w:rFonts w:ascii="Verdana" w:hAnsi="Verdana"/>
          <w:sz w:val="19"/>
          <w:szCs w:val="19"/>
        </w:rPr>
      </w:pPr>
    </w:p>
    <w:p w14:paraId="1C65A115" w14:textId="77777777" w:rsidR="00180E1F" w:rsidRPr="00C26207" w:rsidRDefault="00180E1F" w:rsidP="00180E1F">
      <w:pPr>
        <w:pStyle w:val="Textonotapie"/>
        <w:ind w:firstLine="708"/>
        <w:jc w:val="both"/>
        <w:rPr>
          <w:rFonts w:ascii="Verdana" w:hAnsi="Verdana"/>
          <w:sz w:val="19"/>
          <w:szCs w:val="19"/>
        </w:rPr>
      </w:pPr>
      <w:r w:rsidRPr="00C26207">
        <w:rPr>
          <w:rFonts w:ascii="Verdana" w:hAnsi="Verdana"/>
          <w:sz w:val="19"/>
          <w:szCs w:val="19"/>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 w:id="3">
    <w:p w14:paraId="01E15B6E" w14:textId="77777777" w:rsidR="00180E1F" w:rsidRPr="00C26207" w:rsidRDefault="00180E1F" w:rsidP="00180E1F">
      <w:pPr>
        <w:pStyle w:val="Textonotapie"/>
        <w:ind w:firstLine="708"/>
        <w:jc w:val="both"/>
        <w:rPr>
          <w:rFonts w:ascii="Verdana" w:hAnsi="Verdana"/>
          <w:sz w:val="19"/>
          <w:szCs w:val="19"/>
          <w:lang w:val="es-ES_tradnl"/>
        </w:rPr>
      </w:pPr>
      <w:r w:rsidRPr="00C26207">
        <w:rPr>
          <w:rStyle w:val="Refdenotaalpie"/>
          <w:rFonts w:ascii="Verdana" w:hAnsi="Verdana"/>
          <w:sz w:val="19"/>
          <w:szCs w:val="19"/>
        </w:rPr>
        <w:footnoteRef/>
      </w:r>
      <w:r w:rsidRPr="00C26207">
        <w:rPr>
          <w:rFonts w:ascii="Verdana" w:hAnsi="Verdana"/>
          <w:sz w:val="19"/>
          <w:szCs w:val="19"/>
        </w:rPr>
        <w:t xml:space="preserve"> Esta nota 12 se establece en los mimos términos en el parágrafo 4 del artículo 4 de la Resolución 5</w:t>
      </w:r>
      <w:r>
        <w:rPr>
          <w:rFonts w:ascii="Verdana" w:hAnsi="Verdana"/>
          <w:sz w:val="19"/>
          <w:szCs w:val="19"/>
        </w:rPr>
        <w:t>40</w:t>
      </w:r>
      <w:r w:rsidRPr="00C26207">
        <w:rPr>
          <w:rFonts w:ascii="Verdana" w:hAnsi="Verdana"/>
          <w:sz w:val="19"/>
          <w:szCs w:val="19"/>
        </w:rPr>
        <w:t xml:space="preserve"> de 2025. Concretamente se indica: “Parágrafo 4°. En caso de que la entidad considere pertinente incorporar experiencia relacionada con obras, bienes o servicios adicionales a la obra pública, podrá reemplazar como máximo una (1) de las actividades secundarias. Para esta incorporación, deberán observarse las mismas reglas establecidas para las actividades secundarias contenidas en el numeral 3.5.1 del Documento Base. En todo caso, deberá tenerse en cuenta que la entidad no podrá solicitar más de tres actividades en total, incluyendo la actividad principal. Por lo tanto, además de la actividad principal, deberá determinar si exige dos actividades secundarias o una actividad secundaria y una adicional. En ningún caso deberá entenderse que la inclusión de una actividad adicional equivale al procedimiento establecido para la combinación de experiencia. Para este último caso, se deberá aplicar lo establecido en el numeral 1 del literal A del numeral 3.5.1 del documento base.”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AB45B17"/>
    <w:multiLevelType w:val="hybridMultilevel"/>
    <w:tmpl w:val="ACFE3600"/>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4"/>
  </w:num>
  <w:num w:numId="8" w16cid:durableId="152644682">
    <w:abstractNumId w:val="12"/>
  </w:num>
  <w:num w:numId="9" w16cid:durableId="1317221377">
    <w:abstractNumId w:val="6"/>
  </w:num>
  <w:num w:numId="10" w16cid:durableId="1471245386">
    <w:abstractNumId w:val="11"/>
  </w:num>
  <w:num w:numId="11" w16cid:durableId="289172385">
    <w:abstractNumId w:val="7"/>
  </w:num>
  <w:num w:numId="12" w16cid:durableId="1470781324">
    <w:abstractNumId w:val="0"/>
  </w:num>
  <w:num w:numId="13" w16cid:durableId="1512908409">
    <w:abstractNumId w:val="2"/>
  </w:num>
  <w:num w:numId="14" w16cid:durableId="895897244">
    <w:abstractNumId w:val="14"/>
  </w:num>
  <w:num w:numId="15" w16cid:durableId="390349800">
    <w:abstractNumId w:val="9"/>
  </w:num>
  <w:num w:numId="16" w16cid:durableId="814104812">
    <w:abstractNumId w:val="8"/>
  </w:num>
  <w:num w:numId="17" w16cid:durableId="187046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45F5C"/>
    <w:rsid w:val="0015699B"/>
    <w:rsid w:val="00180E1F"/>
    <w:rsid w:val="001A33BF"/>
    <w:rsid w:val="001E4177"/>
    <w:rsid w:val="001F0B24"/>
    <w:rsid w:val="001F7DC6"/>
    <w:rsid w:val="0022400B"/>
    <w:rsid w:val="002421BB"/>
    <w:rsid w:val="00247D00"/>
    <w:rsid w:val="0025796E"/>
    <w:rsid w:val="002707A2"/>
    <w:rsid w:val="002951A0"/>
    <w:rsid w:val="002962BC"/>
    <w:rsid w:val="002A093D"/>
    <w:rsid w:val="002A0DD0"/>
    <w:rsid w:val="002A2B62"/>
    <w:rsid w:val="002A49AC"/>
    <w:rsid w:val="002A64FD"/>
    <w:rsid w:val="002C7A84"/>
    <w:rsid w:val="002D7CFF"/>
    <w:rsid w:val="002E2BF8"/>
    <w:rsid w:val="002E4FD9"/>
    <w:rsid w:val="0030657A"/>
    <w:rsid w:val="00322A85"/>
    <w:rsid w:val="00324168"/>
    <w:rsid w:val="00330834"/>
    <w:rsid w:val="003448F4"/>
    <w:rsid w:val="00374F5E"/>
    <w:rsid w:val="00377E3E"/>
    <w:rsid w:val="003A779E"/>
    <w:rsid w:val="003D0F4D"/>
    <w:rsid w:val="003D5B0D"/>
    <w:rsid w:val="003E0499"/>
    <w:rsid w:val="003E04AC"/>
    <w:rsid w:val="003E4F80"/>
    <w:rsid w:val="003E6439"/>
    <w:rsid w:val="003F3941"/>
    <w:rsid w:val="00406575"/>
    <w:rsid w:val="00414C74"/>
    <w:rsid w:val="0042722E"/>
    <w:rsid w:val="0044528D"/>
    <w:rsid w:val="00457EA5"/>
    <w:rsid w:val="00466E39"/>
    <w:rsid w:val="004A1847"/>
    <w:rsid w:val="004A305D"/>
    <w:rsid w:val="004F21C4"/>
    <w:rsid w:val="004F685F"/>
    <w:rsid w:val="00530152"/>
    <w:rsid w:val="005566E8"/>
    <w:rsid w:val="00574867"/>
    <w:rsid w:val="00591460"/>
    <w:rsid w:val="00596007"/>
    <w:rsid w:val="005A65E0"/>
    <w:rsid w:val="005C3777"/>
    <w:rsid w:val="005C5CDC"/>
    <w:rsid w:val="005D476C"/>
    <w:rsid w:val="006200BF"/>
    <w:rsid w:val="006219F8"/>
    <w:rsid w:val="006302F7"/>
    <w:rsid w:val="00636D38"/>
    <w:rsid w:val="00646B9F"/>
    <w:rsid w:val="00665D70"/>
    <w:rsid w:val="006900D9"/>
    <w:rsid w:val="006E73C0"/>
    <w:rsid w:val="00706C16"/>
    <w:rsid w:val="007340C3"/>
    <w:rsid w:val="0075235A"/>
    <w:rsid w:val="0075560D"/>
    <w:rsid w:val="00755E9F"/>
    <w:rsid w:val="00756841"/>
    <w:rsid w:val="007649AB"/>
    <w:rsid w:val="00771D0C"/>
    <w:rsid w:val="007833AC"/>
    <w:rsid w:val="00784808"/>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122F3"/>
    <w:rsid w:val="00923EEF"/>
    <w:rsid w:val="009419F9"/>
    <w:rsid w:val="0095685E"/>
    <w:rsid w:val="00961B09"/>
    <w:rsid w:val="00965334"/>
    <w:rsid w:val="0097093E"/>
    <w:rsid w:val="009A0DFA"/>
    <w:rsid w:val="009A1C6F"/>
    <w:rsid w:val="009B2D26"/>
    <w:rsid w:val="009C59C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CF6F85"/>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EE33B4"/>
    <w:rsid w:val="00F23FEA"/>
    <w:rsid w:val="00F31EDC"/>
    <w:rsid w:val="00F462B3"/>
    <w:rsid w:val="00F5664F"/>
    <w:rsid w:val="00F666C4"/>
    <w:rsid w:val="00F76AFC"/>
    <w:rsid w:val="00FA47C0"/>
    <w:rsid w:val="00FB5DD1"/>
    <w:rsid w:val="00FC2B5D"/>
    <w:rsid w:val="00FD10C6"/>
    <w:rsid w:val="00FF1449"/>
    <w:rsid w:val="00FF7963"/>
    <w:rsid w:val="071B8F93"/>
    <w:rsid w:val="07C73DD1"/>
    <w:rsid w:val="09908A09"/>
    <w:rsid w:val="0C8D67CF"/>
    <w:rsid w:val="0E0AF0F4"/>
    <w:rsid w:val="0EFE6349"/>
    <w:rsid w:val="0FF4CCA8"/>
    <w:rsid w:val="13CFC91B"/>
    <w:rsid w:val="19A2EC2C"/>
    <w:rsid w:val="21779BE6"/>
    <w:rsid w:val="2859CA1B"/>
    <w:rsid w:val="2C4D2425"/>
    <w:rsid w:val="2E435F48"/>
    <w:rsid w:val="2EE1E026"/>
    <w:rsid w:val="2F44F38F"/>
    <w:rsid w:val="30821638"/>
    <w:rsid w:val="32A4F9CF"/>
    <w:rsid w:val="33A1FF93"/>
    <w:rsid w:val="356CEDFD"/>
    <w:rsid w:val="3C591AFD"/>
    <w:rsid w:val="42183F0A"/>
    <w:rsid w:val="545B112A"/>
    <w:rsid w:val="5A9928B2"/>
    <w:rsid w:val="5BEB1497"/>
    <w:rsid w:val="69614A15"/>
    <w:rsid w:val="72E9B2C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180E1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rsid w:val="00180E1F"/>
    <w:pPr>
      <w:spacing w:line="240" w:lineRule="exact"/>
    </w:pPr>
    <w:rPr>
      <w:vertAlign w:val="superscript"/>
    </w:rPr>
  </w:style>
  <w:style w:type="paragraph" w:customStyle="1" w:styleId="font-claude-response-body">
    <w:name w:val="font-claude-response-body"/>
    <w:basedOn w:val="Normal"/>
    <w:rsid w:val="00180E1F"/>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2">
    <w:name w:val="Tabla con cuadrícula2"/>
    <w:basedOn w:val="Tablanormal"/>
    <w:next w:val="Tablaconcuadrcula"/>
    <w:uiPriority w:val="39"/>
    <w:qFormat/>
    <w:rsid w:val="00180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3A90C4B1-BEF1-414E-9610-249757EEA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23</Pages>
  <Words>8248</Words>
  <Characters>45367</Characters>
  <Application>Microsoft Office Word</Application>
  <DocSecurity>0</DocSecurity>
  <Lines>378</Lines>
  <Paragraphs>107</Paragraphs>
  <ScaleCrop>false</ScaleCrop>
  <Company/>
  <LinksUpToDate>false</LinksUpToDate>
  <CharactersWithSpaces>53508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8</cp:revision>
  <cp:lastPrinted>2023-01-10T21:18:00Z</cp:lastPrinted>
  <dcterms:created xsi:type="dcterms:W3CDTF">2026-08-25T15:02:00Z</dcterms:created>
  <dcterms:modified xsi:type="dcterms:W3CDTF">2026-08-26T14:46:00Z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