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CDBC7" w14:textId="4C2FC545" w:rsidR="00357D00" w:rsidRPr="00FA5316" w:rsidRDefault="00357D00" w:rsidP="00357D00">
      <w:pPr>
        <w:spacing w:before="100" w:beforeAutospacing="1" w:after="100" w:afterAutospacing="1"/>
        <w:jc w:val="both"/>
        <w:outlineLvl w:val="2"/>
        <w:rPr>
          <w:rFonts w:ascii="Verdana" w:hAnsi="Verdana"/>
          <w:b/>
          <w:bCs/>
          <w:lang w:eastAsia="es-MX"/>
        </w:rPr>
      </w:pPr>
      <w:bookmarkStart w:id="0" w:name="_Hlk143780582"/>
      <w:r w:rsidRPr="00FA5316">
        <w:rPr>
          <w:rFonts w:ascii="Verdana" w:hAnsi="Verdana"/>
          <w:b/>
          <w:bCs/>
          <w:lang w:eastAsia="es-MX"/>
        </w:rPr>
        <w:t xml:space="preserve">CONTRATO DE PRESTACIÓN DE SERVICIOS – Concepto – Características </w:t>
      </w:r>
      <w:r w:rsidR="007A34AC">
        <w:rPr>
          <w:rFonts w:ascii="Verdana" w:hAnsi="Verdana"/>
          <w:b/>
          <w:bCs/>
          <w:lang w:eastAsia="es-MX"/>
        </w:rPr>
        <w:t>generales</w:t>
      </w:r>
    </w:p>
    <w:p w14:paraId="5323B23C" w14:textId="77777777" w:rsidR="00BD7DEB" w:rsidRDefault="00BD7DEB" w:rsidP="00BD7DEB">
      <w:pPr>
        <w:rPr>
          <w:rFonts w:ascii="Verdana" w:hAnsi="Verdana"/>
        </w:rPr>
      </w:pPr>
      <w:r>
        <w:rPr>
          <w:rFonts w:ascii="Verdana" w:hAnsi="Verdana"/>
        </w:rPr>
        <w:t>[…</w:t>
      </w:r>
      <w:r w:rsidRPr="00CD08E0">
        <w:rPr>
          <w:rFonts w:ascii="Verdana" w:hAnsi="Verdana"/>
        </w:rPr>
        <w:t>]</w:t>
      </w:r>
    </w:p>
    <w:p w14:paraId="1C00903A" w14:textId="2FF4301A" w:rsidR="001D0816" w:rsidRDefault="001D0816" w:rsidP="00BD7DEB">
      <w:pPr>
        <w:tabs>
          <w:tab w:val="left" w:pos="0"/>
        </w:tabs>
        <w:spacing w:after="120" w:line="240" w:lineRule="auto"/>
        <w:jc w:val="both"/>
        <w:rPr>
          <w:rFonts w:ascii="Verdana" w:eastAsia="Calibri" w:hAnsi="Verdana" w:cs="Arial"/>
          <w:sz w:val="20"/>
          <w:szCs w:val="20"/>
          <w:lang w:val="es-ES_tradnl"/>
        </w:rPr>
      </w:pPr>
      <w:r w:rsidRPr="001D0816">
        <w:rPr>
          <w:rFonts w:ascii="Verdana" w:eastAsia="Calibri" w:hAnsi="Verdana" w:cs="Arial"/>
          <w:sz w:val="20"/>
          <w:szCs w:val="20"/>
          <w:lang w:val="es-MX"/>
        </w:rPr>
        <w:t>El contrato de prestación de servicios es un contrato estatal típico, regulado en el numeral 3 del artículo 32 de la Ley 80 de 1993. Este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1D0816">
        <w:rPr>
          <w:rFonts w:ascii="Verdana" w:eastAsia="Calibri" w:hAnsi="Verdana" w:cs="Arial"/>
          <w:sz w:val="20"/>
          <w:szCs w:val="20"/>
          <w:lang w:val="es-ES_tradnl"/>
        </w:rPr>
        <w:t xml:space="preserve"> </w:t>
      </w:r>
    </w:p>
    <w:p w14:paraId="514A7444" w14:textId="77777777" w:rsidR="00CD08E0" w:rsidRDefault="00CD08E0" w:rsidP="00BD7DEB">
      <w:pPr>
        <w:spacing w:line="240" w:lineRule="auto"/>
        <w:rPr>
          <w:rFonts w:ascii="Verdana" w:hAnsi="Verdana"/>
        </w:rPr>
      </w:pPr>
      <w:r>
        <w:rPr>
          <w:rFonts w:ascii="Verdana" w:hAnsi="Verdana"/>
        </w:rPr>
        <w:t>[…</w:t>
      </w:r>
      <w:r w:rsidRPr="00CD08E0">
        <w:rPr>
          <w:rFonts w:ascii="Verdana" w:hAnsi="Verdana"/>
        </w:rPr>
        <w:t>]</w:t>
      </w:r>
    </w:p>
    <w:p w14:paraId="1BD77206" w14:textId="0AC3C860" w:rsidR="001D0816" w:rsidRDefault="00D13433" w:rsidP="00BD7DEB">
      <w:pPr>
        <w:tabs>
          <w:tab w:val="left" w:pos="0"/>
        </w:tabs>
        <w:spacing w:after="120" w:line="240" w:lineRule="auto"/>
        <w:jc w:val="both"/>
        <w:rPr>
          <w:rFonts w:ascii="Verdana" w:eastAsia="Calibri" w:hAnsi="Verdana" w:cs="Arial"/>
          <w:sz w:val="20"/>
          <w:szCs w:val="20"/>
          <w:lang w:val="es-ES_tradnl"/>
        </w:rPr>
      </w:pPr>
      <w:r w:rsidRPr="00D13433">
        <w:rPr>
          <w:rFonts w:ascii="Verdana" w:eastAsia="Calibri" w:hAnsi="Verdana" w:cs="Arial"/>
          <w:sz w:val="20"/>
          <w:szCs w:val="20"/>
          <w:lang w:val="es-ES_tradnl"/>
        </w:rPr>
        <w:t>Ahora bien,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son elementos constitutivos del vínculo laboral. iv) Debe ser temporal. v) Hacen parte del género denominado contratos de prestación de servicios, dentro del cual también se ubican, como especies: los contratos de prestación de servicios profesionales,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241AAE14" w14:textId="77777777" w:rsidR="00F61C71" w:rsidRPr="001D0816" w:rsidRDefault="00F61C71" w:rsidP="001D0816">
      <w:pPr>
        <w:tabs>
          <w:tab w:val="left" w:pos="0"/>
        </w:tabs>
        <w:spacing w:after="120" w:line="276" w:lineRule="auto"/>
        <w:jc w:val="both"/>
        <w:rPr>
          <w:rFonts w:ascii="Verdana" w:eastAsia="Calibri" w:hAnsi="Verdana" w:cs="Arial"/>
          <w:sz w:val="20"/>
          <w:szCs w:val="20"/>
          <w:lang w:val="es-ES_tradnl"/>
        </w:rPr>
      </w:pPr>
    </w:p>
    <w:p w14:paraId="361F8ABF" w14:textId="164A218A" w:rsidR="007A34AC" w:rsidRPr="001D0816" w:rsidRDefault="00840AC5" w:rsidP="00840AC5">
      <w:pPr>
        <w:jc w:val="both"/>
        <w:rPr>
          <w:rFonts w:ascii="Verdana" w:eastAsia="Calibri" w:hAnsi="Verdana" w:cs="Arial"/>
          <w:b/>
          <w:bCs/>
          <w:color w:val="000000" w:themeColor="text1"/>
          <w:lang w:val="es-ES" w:eastAsia="es-ES"/>
        </w:rPr>
      </w:pPr>
      <w:r w:rsidRPr="001D0816">
        <w:rPr>
          <w:rFonts w:ascii="Verdana" w:eastAsia="Calibri" w:hAnsi="Verdana" w:cs="Arial"/>
          <w:b/>
          <w:bCs/>
          <w:color w:val="000000" w:themeColor="text1"/>
          <w:lang w:val="es-ES" w:eastAsia="es-ES"/>
        </w:rPr>
        <w:t xml:space="preserve">CONTRATO DE PRESTACIÓN DE SERVICIOS ― Documentos Contractuales </w:t>
      </w:r>
    </w:p>
    <w:p w14:paraId="4CC69BA9" w14:textId="77777777" w:rsidR="00CD08E0" w:rsidRDefault="00CD08E0" w:rsidP="00BD7DEB">
      <w:pPr>
        <w:spacing w:line="240" w:lineRule="auto"/>
        <w:rPr>
          <w:rFonts w:ascii="Verdana" w:hAnsi="Verdana"/>
        </w:rPr>
      </w:pPr>
      <w:r>
        <w:rPr>
          <w:rFonts w:ascii="Verdana" w:hAnsi="Verdana"/>
        </w:rPr>
        <w:t>[…</w:t>
      </w:r>
      <w:r w:rsidRPr="00CD08E0">
        <w:rPr>
          <w:rFonts w:ascii="Verdana" w:hAnsi="Verdana"/>
        </w:rPr>
        <w:t>]</w:t>
      </w:r>
    </w:p>
    <w:p w14:paraId="352792D3" w14:textId="77777777" w:rsidR="00CD08E0" w:rsidRDefault="00F61C71" w:rsidP="00BD7DEB">
      <w:pPr>
        <w:spacing w:line="240" w:lineRule="auto"/>
        <w:jc w:val="both"/>
        <w:rPr>
          <w:rFonts w:ascii="Verdana" w:hAnsi="Verdana"/>
        </w:rPr>
      </w:pPr>
      <w:r w:rsidRPr="00F61C71">
        <w:rPr>
          <w:rFonts w:ascii="Verdana" w:eastAsia="Calibri" w:hAnsi="Verdana" w:cs="Arial"/>
          <w:color w:val="000000" w:themeColor="text1"/>
          <w:sz w:val="20"/>
          <w:szCs w:val="20"/>
          <w:lang w:val="es-ES" w:eastAsia="es-ES"/>
        </w:rPr>
        <w:t xml:space="preserve">La “Guía para la Incorporación de Lineamientos de Integridad en la Contratación de prestación de Servicios”, expedida por la Agencia de Contratación Pública – Colombia Compra Eficiente, señala en sus Anexos 2 y 3 algunos de los documentos necesarios </w:t>
      </w:r>
      <w:r w:rsidRPr="00F61C71">
        <w:rPr>
          <w:rFonts w:ascii="Verdana" w:eastAsia="Calibri" w:hAnsi="Verdana" w:cs="Arial"/>
          <w:color w:val="000000" w:themeColor="text1"/>
          <w:sz w:val="20"/>
          <w:szCs w:val="20"/>
          <w:lang w:val="es-ES" w:eastAsia="es-ES"/>
        </w:rPr>
        <w:lastRenderedPageBreak/>
        <w:t xml:space="preserve">para la suscripción de contratos de prestación de servicios por parte de personas naturales y personas jurídicas, respectivamente. Tratándose de personas naturales, a las que se refiere en su consulta, la Entidad Estatal debe verificar la idoneidad del futuro contratista mediante la presentación de la hoja de vida en formato SIGEP, o en el formato que resulte aplicable, así como a través de los documentos que acrediten su formación </w:t>
      </w:r>
      <w:r w:rsidR="00BA266E" w:rsidRPr="00F61C71">
        <w:rPr>
          <w:rFonts w:ascii="Verdana" w:eastAsia="Calibri" w:hAnsi="Verdana" w:cs="Arial"/>
          <w:color w:val="000000" w:themeColor="text1"/>
          <w:sz w:val="20"/>
          <w:szCs w:val="20"/>
          <w:lang w:val="es-ES" w:eastAsia="es-ES"/>
        </w:rPr>
        <w:t>académica.</w:t>
      </w:r>
      <w:r w:rsidR="00BA266E">
        <w:rPr>
          <w:rFonts w:ascii="Verdana" w:eastAsia="Calibri" w:hAnsi="Verdana" w:cs="Arial"/>
          <w:color w:val="000000" w:themeColor="text1"/>
          <w:sz w:val="20"/>
          <w:szCs w:val="20"/>
          <w:lang w:val="es-ES" w:eastAsia="es-ES"/>
        </w:rPr>
        <w:t xml:space="preserve"> </w:t>
      </w:r>
      <w:r w:rsidR="00CD08E0">
        <w:rPr>
          <w:rFonts w:ascii="Verdana" w:hAnsi="Verdana"/>
        </w:rPr>
        <w:t>[…</w:t>
      </w:r>
      <w:r w:rsidR="00CD08E0" w:rsidRPr="00CD08E0">
        <w:rPr>
          <w:rFonts w:ascii="Verdana" w:hAnsi="Verdana"/>
        </w:rPr>
        <w:t>]</w:t>
      </w:r>
    </w:p>
    <w:p w14:paraId="62ACEC57" w14:textId="77777777" w:rsidR="00CD08E0" w:rsidRDefault="00CD08E0" w:rsidP="00840AC5">
      <w:pPr>
        <w:jc w:val="both"/>
        <w:rPr>
          <w:rFonts w:ascii="Verdana" w:eastAsia="Calibri" w:hAnsi="Verdana" w:cs="Arial"/>
          <w:b/>
          <w:bCs/>
          <w:color w:val="000000" w:themeColor="text1"/>
          <w:lang w:val="es-ES" w:eastAsia="es-ES"/>
        </w:rPr>
      </w:pPr>
    </w:p>
    <w:p w14:paraId="75516A85" w14:textId="5B0B7C50" w:rsidR="00840AC5" w:rsidRPr="00F61C71" w:rsidRDefault="00840AC5" w:rsidP="00840AC5">
      <w:pPr>
        <w:jc w:val="both"/>
        <w:rPr>
          <w:rFonts w:ascii="Verdana" w:eastAsia="Calibri" w:hAnsi="Verdana" w:cs="Arial"/>
          <w:b/>
          <w:bCs/>
          <w:color w:val="000000" w:themeColor="text1"/>
          <w:lang w:val="es-ES" w:eastAsia="es-ES"/>
        </w:rPr>
      </w:pPr>
      <w:r w:rsidRPr="00F61C71">
        <w:rPr>
          <w:rFonts w:ascii="Verdana" w:eastAsia="Calibri" w:hAnsi="Verdana" w:cs="Arial"/>
          <w:b/>
          <w:bCs/>
          <w:color w:val="000000" w:themeColor="text1"/>
          <w:lang w:val="es-ES" w:eastAsia="es-ES"/>
        </w:rPr>
        <w:t>CONTRATO DE PRESTACIÓN DE SERVICIOS ― Documentos Contractuales ― Vigencia – Necesidad de actualización</w:t>
      </w:r>
    </w:p>
    <w:p w14:paraId="6B27D351" w14:textId="77777777" w:rsidR="00CD08E0" w:rsidRDefault="00CD08E0" w:rsidP="00BD7DEB">
      <w:pPr>
        <w:spacing w:line="240" w:lineRule="auto"/>
        <w:rPr>
          <w:rFonts w:ascii="Verdana" w:hAnsi="Verdana"/>
        </w:rPr>
      </w:pPr>
      <w:r>
        <w:rPr>
          <w:rFonts w:ascii="Verdana" w:hAnsi="Verdana"/>
        </w:rPr>
        <w:t>[…</w:t>
      </w:r>
      <w:r w:rsidRPr="00CD08E0">
        <w:rPr>
          <w:rFonts w:ascii="Verdana" w:hAnsi="Verdana"/>
        </w:rPr>
        <w:t>]</w:t>
      </w:r>
    </w:p>
    <w:p w14:paraId="12AD644E" w14:textId="7E1F3BCD" w:rsidR="00BA266E" w:rsidRPr="00BA266E" w:rsidRDefault="00BA266E" w:rsidP="00BD7DEB">
      <w:pPr>
        <w:spacing w:after="120" w:line="240" w:lineRule="auto"/>
        <w:jc w:val="both"/>
        <w:rPr>
          <w:rFonts w:ascii="Verdana" w:hAnsi="Verdana"/>
          <w:sz w:val="20"/>
          <w:szCs w:val="20"/>
          <w:lang w:eastAsia="es-MX"/>
        </w:rPr>
      </w:pPr>
      <w:r w:rsidRPr="00BA266E">
        <w:rPr>
          <w:rFonts w:ascii="Verdana" w:hAnsi="Verdana"/>
          <w:sz w:val="20"/>
          <w:szCs w:val="20"/>
          <w:lang w:eastAsia="es-MX"/>
        </w:rPr>
        <w:t xml:space="preserve">Frente al alcance de la facultad de las Entidades Estatales para solicitar la actualización de documentos a los contratistas por prestación de servicios en contratos de corta duración y celebrados de manera recurrente, y los criterios para determinar la periodicidad con que dichos documentos deben renovarse debe indicarse que no existe un norma general que establezca la obligación de actualizar todos los documentos en una periodicidad determinada, sino que esta corresponderá a la naturaleza del documento, de su vigencia y de las necesidades de verificación definidas por la Entidad contratante. </w:t>
      </w:r>
    </w:p>
    <w:p w14:paraId="117D46B5" w14:textId="77777777" w:rsidR="00CD08E0" w:rsidRDefault="00BA266E" w:rsidP="00BD7DEB">
      <w:pPr>
        <w:spacing w:line="240" w:lineRule="auto"/>
        <w:jc w:val="both"/>
        <w:rPr>
          <w:rFonts w:ascii="Verdana" w:hAnsi="Verdana"/>
        </w:rPr>
      </w:pPr>
      <w:r w:rsidRPr="00BA266E">
        <w:rPr>
          <w:rFonts w:ascii="Verdana" w:hAnsi="Verdana"/>
          <w:sz w:val="20"/>
          <w:szCs w:val="20"/>
          <w:lang w:eastAsia="es-MX"/>
        </w:rPr>
        <w:t xml:space="preserve">Por lo tanto, cuando una Entidad celebra contratos de prestación de servicios con una misma persona de forma recurrente, pude solicitar nuevamente aquellos documentos cuya información pueda variar con el tiempo o cuya actualización sea necesaria, porque las condiciones que pretende acreditarse con los mismos pueden cambiar en el corto plazo. Tal es el caso de las certificaciones bancarias, de la afiliación al Sistema de Seguridad Social o de los documentos relacionados con obligaciones tributarias, cuando la Entidad considere necesario verificar que la información se encuentra vigente al momento de suscribir el contrato. </w:t>
      </w:r>
      <w:r w:rsidR="00CD08E0">
        <w:rPr>
          <w:rFonts w:ascii="Verdana" w:hAnsi="Verdana"/>
        </w:rPr>
        <w:t>[…</w:t>
      </w:r>
      <w:r w:rsidR="00CD08E0" w:rsidRPr="00CD08E0">
        <w:rPr>
          <w:rFonts w:ascii="Verdana" w:hAnsi="Verdana"/>
        </w:rPr>
        <w:t>]</w:t>
      </w:r>
    </w:p>
    <w:p w14:paraId="20EDCEAB" w14:textId="0E0E5098" w:rsidR="00BA266E" w:rsidRPr="00BA266E" w:rsidRDefault="00BA266E" w:rsidP="00BA266E">
      <w:pPr>
        <w:spacing w:after="120" w:line="276" w:lineRule="auto"/>
        <w:jc w:val="both"/>
        <w:rPr>
          <w:rFonts w:ascii="Verdana" w:hAnsi="Verdana"/>
          <w:sz w:val="20"/>
          <w:szCs w:val="20"/>
          <w:lang w:eastAsia="es-MX"/>
        </w:rPr>
      </w:pPr>
    </w:p>
    <w:p w14:paraId="1F15F061" w14:textId="176AF79A" w:rsidR="00357D00" w:rsidRDefault="00357D00" w:rsidP="00357D00">
      <w:pPr>
        <w:rPr>
          <w:rFonts w:ascii="Verdana" w:hAnsi="Verdana"/>
        </w:rPr>
      </w:pPr>
    </w:p>
    <w:p w14:paraId="27B38884" w14:textId="77777777" w:rsidR="00357D00" w:rsidRDefault="00357D00" w:rsidP="00357D00">
      <w:pPr>
        <w:rPr>
          <w:rFonts w:ascii="Verdana" w:hAnsi="Verdana"/>
        </w:rPr>
      </w:pPr>
    </w:p>
    <w:p w14:paraId="2D88EA2D" w14:textId="77777777" w:rsidR="00357D00" w:rsidRDefault="00357D00" w:rsidP="00357D00">
      <w:pPr>
        <w:rPr>
          <w:rFonts w:ascii="Verdana" w:hAnsi="Verdana"/>
        </w:rPr>
      </w:pPr>
    </w:p>
    <w:p w14:paraId="788C78FE" w14:textId="77777777" w:rsidR="00357D00" w:rsidRDefault="00357D00" w:rsidP="00357D00">
      <w:pPr>
        <w:rPr>
          <w:rFonts w:ascii="Verdana" w:hAnsi="Verdana"/>
        </w:rPr>
      </w:pPr>
    </w:p>
    <w:p w14:paraId="400A8E67" w14:textId="77777777" w:rsidR="00357D00" w:rsidRDefault="00357D00" w:rsidP="00357D00">
      <w:pPr>
        <w:rPr>
          <w:rFonts w:ascii="Verdana" w:hAnsi="Verdana"/>
        </w:rPr>
      </w:pPr>
    </w:p>
    <w:p w14:paraId="7005CF12" w14:textId="77777777" w:rsidR="00357D00" w:rsidRDefault="00357D00" w:rsidP="00357D00">
      <w:pPr>
        <w:rPr>
          <w:rFonts w:ascii="Verdana" w:hAnsi="Verdana"/>
        </w:rPr>
      </w:pPr>
    </w:p>
    <w:p w14:paraId="29E5D496" w14:textId="77777777" w:rsidR="00357D00" w:rsidRDefault="00357D00" w:rsidP="00357D00">
      <w:pPr>
        <w:rPr>
          <w:rFonts w:ascii="Verdana" w:hAnsi="Verdana"/>
        </w:rPr>
      </w:pPr>
    </w:p>
    <w:p w14:paraId="71193975" w14:textId="77777777" w:rsidR="00357D00" w:rsidRDefault="00357D00" w:rsidP="00357D00">
      <w:pPr>
        <w:rPr>
          <w:rFonts w:ascii="Verdana" w:hAnsi="Verdana"/>
        </w:rPr>
      </w:pPr>
    </w:p>
    <w:p w14:paraId="6FBE3BD5" w14:textId="2A678243" w:rsidR="00357D00" w:rsidRPr="002A3130" w:rsidRDefault="00357D00" w:rsidP="00357D00">
      <w:pPr>
        <w:spacing w:after="0" w:line="240" w:lineRule="auto"/>
        <w:rPr>
          <w:rFonts w:ascii="Verdana" w:hAnsi="Verdana"/>
        </w:rPr>
      </w:pPr>
      <w:r w:rsidRPr="002A3130">
        <w:rPr>
          <w:rFonts w:ascii="Verdana" w:hAnsi="Verdana"/>
        </w:rPr>
        <w:lastRenderedPageBreak/>
        <w:t>Bogotá</w:t>
      </w:r>
      <w:r w:rsidRPr="002A3130">
        <w:rPr>
          <w:rFonts w:ascii="Verdana" w:hAnsi="Verdana"/>
          <w:spacing w:val="-12"/>
        </w:rPr>
        <w:t xml:space="preserve"> </w:t>
      </w:r>
      <w:r w:rsidRPr="002A3130">
        <w:rPr>
          <w:rFonts w:ascii="Verdana" w:hAnsi="Verdana"/>
        </w:rPr>
        <w:t>D.C.,</w:t>
      </w:r>
      <w:r w:rsidRPr="002A3130">
        <w:rPr>
          <w:rFonts w:ascii="Verdana" w:hAnsi="Verdana"/>
          <w:spacing w:val="-9"/>
        </w:rPr>
        <w:t xml:space="preserve"> </w:t>
      </w:r>
      <w:r w:rsidR="00840AC5">
        <w:rPr>
          <w:rFonts w:ascii="Verdana" w:hAnsi="Verdana"/>
        </w:rPr>
        <w:t>25 agosto 2026</w:t>
      </w:r>
    </w:p>
    <w:p w14:paraId="700A3DCE" w14:textId="0DA24F90" w:rsidR="00357D00" w:rsidRPr="002A3130" w:rsidRDefault="00840AC5" w:rsidP="00357D00">
      <w:pPr>
        <w:spacing w:after="0" w:line="240" w:lineRule="auto"/>
        <w:rPr>
          <w:rFonts w:ascii="Verdana" w:hAnsi="Verdana"/>
        </w:rPr>
      </w:pPr>
      <w:r w:rsidRPr="00840AC5">
        <w:rPr>
          <w:rFonts w:ascii="Verdana" w:eastAsia="Calibri" w:hAnsi="Verdana" w:cs="Arial"/>
          <w:noProof/>
          <w:lang w:val="es-ES" w:eastAsia="es-ES"/>
        </w:rPr>
        <w:drawing>
          <wp:anchor distT="0" distB="0" distL="114300" distR="114300" simplePos="0" relativeHeight="251658240" behindDoc="1" locked="0" layoutInCell="1" allowOverlap="1" wp14:anchorId="3D780199" wp14:editId="0378BF01">
            <wp:simplePos x="0" y="0"/>
            <wp:positionH relativeFrom="column">
              <wp:posOffset>3340238</wp:posOffset>
            </wp:positionH>
            <wp:positionV relativeFrom="paragraph">
              <wp:posOffset>93593</wp:posOffset>
            </wp:positionV>
            <wp:extent cx="2615565" cy="723265"/>
            <wp:effectExtent l="0" t="0" r="0" b="635"/>
            <wp:wrapTight wrapText="bothSides">
              <wp:wrapPolygon edited="0">
                <wp:start x="0" y="0"/>
                <wp:lineTo x="0" y="21050"/>
                <wp:lineTo x="21395" y="21050"/>
                <wp:lineTo x="21395" y="0"/>
                <wp:lineTo x="0" y="0"/>
              </wp:wrapPolygon>
            </wp:wrapTight>
            <wp:docPr id="3572569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5565" cy="723265"/>
                    </a:xfrm>
                    <a:prstGeom prst="rect">
                      <a:avLst/>
                    </a:prstGeom>
                    <a:noFill/>
                    <a:ln>
                      <a:noFill/>
                    </a:ln>
                  </pic:spPr>
                </pic:pic>
              </a:graphicData>
            </a:graphic>
          </wp:anchor>
        </w:drawing>
      </w:r>
      <w:r w:rsidR="00357D00" w:rsidRPr="002A3130">
        <w:rPr>
          <w:rFonts w:ascii="Verdana" w:hAnsi="Verdana"/>
        </w:rPr>
        <w:tab/>
      </w:r>
    </w:p>
    <w:p w14:paraId="53F20989" w14:textId="77777777" w:rsidR="00357D00" w:rsidRPr="002A3130" w:rsidRDefault="00357D00" w:rsidP="00357D00">
      <w:pPr>
        <w:spacing w:after="0" w:line="240" w:lineRule="auto"/>
        <w:jc w:val="both"/>
        <w:rPr>
          <w:rFonts w:ascii="Verdana" w:eastAsia="Calibri" w:hAnsi="Verdana" w:cs="Arial"/>
          <w:lang w:val="es-ES" w:eastAsia="es-ES"/>
        </w:rPr>
      </w:pPr>
      <w:r w:rsidRPr="002A3130">
        <w:rPr>
          <w:rFonts w:ascii="Verdana" w:eastAsia="Calibri" w:hAnsi="Verdana" w:cs="Arial"/>
          <w:lang w:val="es-ES" w:eastAsia="es-ES"/>
        </w:rPr>
        <w:t>Señor</w:t>
      </w:r>
    </w:p>
    <w:p w14:paraId="0764B6CC" w14:textId="3DF0B04A" w:rsidR="00357D00" w:rsidRPr="002A3130" w:rsidRDefault="00357D00" w:rsidP="00357D00">
      <w:pPr>
        <w:spacing w:after="0" w:line="240" w:lineRule="auto"/>
        <w:jc w:val="both"/>
        <w:rPr>
          <w:rFonts w:ascii="Verdana" w:eastAsia="Calibri" w:hAnsi="Verdana" w:cs="Arial"/>
          <w:b/>
        </w:rPr>
      </w:pPr>
      <w:r w:rsidRPr="001C51B9">
        <w:rPr>
          <w:rFonts w:ascii="Verdana" w:eastAsia="Calibri" w:hAnsi="Verdana" w:cs="Arial"/>
          <w:b/>
          <w:bCs/>
          <w:lang w:val="es-ES" w:eastAsia="es-ES"/>
        </w:rPr>
        <w:t>ZAHIR</w:t>
      </w:r>
      <w:r w:rsidRPr="002A3130">
        <w:rPr>
          <w:rFonts w:ascii="Verdana" w:eastAsia="Calibri" w:hAnsi="Verdana" w:cs="Arial"/>
          <w:b/>
        </w:rPr>
        <w:t xml:space="preserve"> JOHAN HERNÁNDEZ ZAPATA </w:t>
      </w:r>
    </w:p>
    <w:p w14:paraId="3DC56469" w14:textId="4CB9BAE0" w:rsidR="00357D00" w:rsidRPr="002A3130" w:rsidRDefault="00357D00" w:rsidP="00357D00">
      <w:pPr>
        <w:spacing w:after="0" w:line="240" w:lineRule="auto"/>
        <w:rPr>
          <w:rFonts w:ascii="Verdana" w:hAnsi="Verdana"/>
        </w:rPr>
      </w:pPr>
      <w:hyperlink r:id="rId11" w:history="1">
        <w:r w:rsidRPr="002A3130">
          <w:rPr>
            <w:rStyle w:val="Hipervnculo"/>
            <w:rFonts w:ascii="Verdana" w:hAnsi="Verdana"/>
          </w:rPr>
          <w:t>zajoherza@gmail.com</w:t>
        </w:r>
      </w:hyperlink>
    </w:p>
    <w:p w14:paraId="58A9E1BE" w14:textId="60A3F95D" w:rsidR="00357D00" w:rsidRPr="002A3130" w:rsidRDefault="00357D00" w:rsidP="00357D00">
      <w:pPr>
        <w:spacing w:after="0" w:line="240" w:lineRule="auto"/>
        <w:rPr>
          <w:rFonts w:ascii="Verdana" w:eastAsia="Calibri" w:hAnsi="Verdana" w:cs="Arial"/>
          <w:b/>
          <w:bCs/>
          <w:lang w:val="es-ES" w:eastAsia="es-ES"/>
        </w:rPr>
      </w:pPr>
      <w:r w:rsidRPr="002A3130">
        <w:rPr>
          <w:rFonts w:ascii="Verdana" w:eastAsia="Calibri" w:hAnsi="Verdana" w:cs="Arial"/>
          <w:lang w:val="es-ES" w:eastAsia="es-ES"/>
        </w:rPr>
        <w:t>Arauca, Arauca</w:t>
      </w:r>
    </w:p>
    <w:p w14:paraId="08460873" w14:textId="77777777" w:rsidR="00357D00" w:rsidRPr="002A3130" w:rsidRDefault="00357D00" w:rsidP="00357D00">
      <w:pPr>
        <w:spacing w:after="0" w:line="240" w:lineRule="auto"/>
        <w:jc w:val="both"/>
        <w:rPr>
          <w:rFonts w:ascii="Verdana" w:eastAsia="Calibri" w:hAnsi="Verdana" w:cs="Arial"/>
          <w:color w:val="000000" w:themeColor="text1"/>
          <w:lang w:val="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57D00" w:rsidRPr="002A3130" w14:paraId="23D5FA99" w14:textId="77777777" w:rsidTr="00452A67">
        <w:trPr>
          <w:trHeight w:val="148"/>
        </w:trPr>
        <w:tc>
          <w:tcPr>
            <w:tcW w:w="2689" w:type="dxa"/>
          </w:tcPr>
          <w:p w14:paraId="01BECFC4" w14:textId="77777777" w:rsidR="00357D00" w:rsidRPr="002A3130" w:rsidRDefault="00357D00" w:rsidP="00452A67">
            <w:pPr>
              <w:jc w:val="both"/>
              <w:rPr>
                <w:rFonts w:ascii="Verdana" w:eastAsia="Calibri" w:hAnsi="Verdana" w:cs="Arial"/>
                <w:b/>
                <w:color w:val="7030A0"/>
                <w:lang w:val="es-ES_tradnl"/>
              </w:rPr>
            </w:pPr>
          </w:p>
        </w:tc>
        <w:tc>
          <w:tcPr>
            <w:tcW w:w="6100" w:type="dxa"/>
          </w:tcPr>
          <w:p w14:paraId="10353739" w14:textId="77777777" w:rsidR="00357D00" w:rsidRDefault="00357D00" w:rsidP="00452A67">
            <w:pPr>
              <w:jc w:val="both"/>
              <w:rPr>
                <w:rFonts w:ascii="Verdana" w:eastAsia="Calibri" w:hAnsi="Verdana" w:cs="Arial"/>
                <w:b/>
                <w:bCs/>
                <w:lang w:val="es-ES" w:eastAsia="es-ES"/>
              </w:rPr>
            </w:pPr>
            <w:r w:rsidRPr="002A3130">
              <w:rPr>
                <w:rFonts w:ascii="Verdana" w:eastAsia="Calibri" w:hAnsi="Verdana" w:cs="Arial"/>
                <w:b/>
                <w:bCs/>
                <w:lang w:val="es-ES" w:eastAsia="es-ES"/>
              </w:rPr>
              <w:t>Concepto C- 1124</w:t>
            </w:r>
            <w:r w:rsidRPr="002A3130">
              <w:rPr>
                <w:rFonts w:ascii="Verdana" w:eastAsia="Calibri" w:hAnsi="Verdana" w:cs="Arial"/>
                <w:b/>
                <w:bCs/>
                <w:color w:val="7030A0"/>
                <w:lang w:val="es-ES" w:eastAsia="es-ES"/>
              </w:rPr>
              <w:t xml:space="preserve"> </w:t>
            </w:r>
            <w:r w:rsidRPr="002A3130">
              <w:rPr>
                <w:rFonts w:ascii="Verdana" w:eastAsia="Calibri" w:hAnsi="Verdana" w:cs="Arial"/>
                <w:b/>
                <w:bCs/>
                <w:lang w:val="es-ES" w:eastAsia="es-ES"/>
              </w:rPr>
              <w:t>de 2026</w:t>
            </w:r>
          </w:p>
          <w:p w14:paraId="64942ED8" w14:textId="77777777" w:rsidR="00357D00" w:rsidRPr="002A3130" w:rsidRDefault="00357D00" w:rsidP="00452A67">
            <w:pPr>
              <w:jc w:val="both"/>
              <w:rPr>
                <w:rFonts w:ascii="Verdana" w:eastAsia="Calibri" w:hAnsi="Verdana" w:cs="Arial"/>
                <w:b/>
                <w:bCs/>
                <w:color w:val="7030A0"/>
                <w:lang w:val="es-ES" w:eastAsia="es-ES"/>
              </w:rPr>
            </w:pPr>
          </w:p>
        </w:tc>
      </w:tr>
      <w:tr w:rsidR="00357D00" w:rsidRPr="002A3130" w14:paraId="0D479EB6" w14:textId="77777777" w:rsidTr="00452A67">
        <w:trPr>
          <w:trHeight w:val="884"/>
        </w:trPr>
        <w:tc>
          <w:tcPr>
            <w:tcW w:w="2689" w:type="dxa"/>
          </w:tcPr>
          <w:p w14:paraId="62FB8929" w14:textId="77777777" w:rsidR="00357D00" w:rsidRPr="002A3130" w:rsidRDefault="00357D00" w:rsidP="00452A67">
            <w:pPr>
              <w:jc w:val="both"/>
              <w:rPr>
                <w:rFonts w:ascii="Verdana" w:eastAsia="Calibri" w:hAnsi="Verdana" w:cs="Arial"/>
                <w:color w:val="000000" w:themeColor="text1"/>
                <w:lang w:val="es-ES_tradnl"/>
              </w:rPr>
            </w:pPr>
            <w:r w:rsidRPr="002A3130">
              <w:rPr>
                <w:rFonts w:ascii="Verdana" w:eastAsia="Calibri" w:hAnsi="Verdana" w:cs="Arial"/>
                <w:b/>
                <w:color w:val="000000" w:themeColor="text1"/>
                <w:lang w:val="es-ES_tradnl"/>
              </w:rPr>
              <w:t>Temas:</w:t>
            </w:r>
            <w:r w:rsidRPr="002A3130">
              <w:rPr>
                <w:rFonts w:ascii="Verdana" w:eastAsia="Calibri" w:hAnsi="Verdana" w:cs="Arial"/>
                <w:color w:val="000000" w:themeColor="text1"/>
                <w:lang w:val="es-ES_tradnl"/>
              </w:rPr>
              <w:t xml:space="preserve">                   </w:t>
            </w:r>
          </w:p>
        </w:tc>
        <w:tc>
          <w:tcPr>
            <w:tcW w:w="6100" w:type="dxa"/>
          </w:tcPr>
          <w:p w14:paraId="66C9D1F8" w14:textId="77777777" w:rsidR="00357D00" w:rsidRDefault="00357D00" w:rsidP="00452A67">
            <w:pPr>
              <w:jc w:val="both"/>
              <w:rPr>
                <w:rFonts w:ascii="Verdana" w:eastAsia="Calibri" w:hAnsi="Verdana" w:cs="Arial"/>
                <w:color w:val="000000" w:themeColor="text1"/>
                <w:lang w:val="es-ES" w:eastAsia="es-ES"/>
              </w:rPr>
            </w:pPr>
            <w:r w:rsidRPr="002A3130">
              <w:rPr>
                <w:rFonts w:ascii="Verdana" w:eastAsia="Calibri" w:hAnsi="Verdana" w:cs="Arial"/>
                <w:color w:val="000000" w:themeColor="text1"/>
                <w:lang w:val="es-ES" w:eastAsia="es-ES"/>
              </w:rPr>
              <w:t>CONTRATO DE PRESTACIÓN DE SERVICIOS ― Concepto ― Características generales</w:t>
            </w:r>
            <w:r>
              <w:rPr>
                <w:rFonts w:ascii="Verdana" w:eastAsia="Calibri" w:hAnsi="Verdana" w:cs="Arial"/>
                <w:color w:val="000000" w:themeColor="text1"/>
                <w:lang w:val="es-ES" w:eastAsia="es-ES"/>
              </w:rPr>
              <w:t xml:space="preserve"> </w:t>
            </w:r>
            <w:r w:rsidRPr="002E7173">
              <w:rPr>
                <w:rFonts w:ascii="Verdana" w:eastAsia="Calibri" w:hAnsi="Verdana" w:cs="Arial"/>
                <w:color w:val="000000" w:themeColor="text1"/>
                <w:lang w:val="es-ES" w:eastAsia="es-ES"/>
              </w:rPr>
              <w:t>/ CONTRATO DE PRESTACIÓN DE SERVICIOS ―</w:t>
            </w:r>
            <w:r w:rsidRPr="002A3130">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Documentos Contractuales </w:t>
            </w:r>
            <w:r w:rsidRPr="002E7173">
              <w:rPr>
                <w:rFonts w:ascii="Verdana" w:eastAsia="Calibri" w:hAnsi="Verdana" w:cs="Arial"/>
                <w:color w:val="000000" w:themeColor="text1"/>
                <w:lang w:val="es-ES" w:eastAsia="es-ES"/>
              </w:rPr>
              <w:t xml:space="preserve">CONTRATO DE PRESTACIÓN DE SERVICIOS ― </w:t>
            </w:r>
            <w:r>
              <w:rPr>
                <w:rFonts w:ascii="Verdana" w:eastAsia="Calibri" w:hAnsi="Verdana" w:cs="Arial"/>
                <w:color w:val="000000" w:themeColor="text1"/>
                <w:lang w:val="es-ES" w:eastAsia="es-ES"/>
              </w:rPr>
              <w:t>Documentos Contractuales</w:t>
            </w:r>
            <w:r w:rsidRPr="002E7173">
              <w:rPr>
                <w:rFonts w:ascii="Verdana" w:eastAsia="Calibri" w:hAnsi="Verdana" w:cs="Arial"/>
                <w:color w:val="000000" w:themeColor="text1"/>
                <w:lang w:val="es-ES" w:eastAsia="es-ES"/>
              </w:rPr>
              <w:t xml:space="preserve"> ― </w:t>
            </w:r>
            <w:r>
              <w:rPr>
                <w:rFonts w:ascii="Verdana" w:eastAsia="Calibri" w:hAnsi="Verdana" w:cs="Arial"/>
                <w:color w:val="000000" w:themeColor="text1"/>
                <w:lang w:val="es-ES" w:eastAsia="es-ES"/>
              </w:rPr>
              <w:t>Vigencia – Necesidad de actualización</w:t>
            </w:r>
          </w:p>
          <w:p w14:paraId="6788FC65" w14:textId="77777777" w:rsidR="00357D00" w:rsidRPr="002A3130" w:rsidRDefault="00357D00" w:rsidP="00452A67">
            <w:pPr>
              <w:jc w:val="both"/>
              <w:rPr>
                <w:rFonts w:ascii="Verdana" w:eastAsia="Calibri" w:hAnsi="Verdana" w:cs="Arial"/>
                <w:color w:val="000000" w:themeColor="text1"/>
                <w:lang w:val="es-ES" w:eastAsia="es-ES"/>
              </w:rPr>
            </w:pPr>
          </w:p>
        </w:tc>
      </w:tr>
      <w:tr w:rsidR="00357D00" w:rsidRPr="002A3130" w14:paraId="3391E247" w14:textId="77777777" w:rsidTr="00452A67">
        <w:trPr>
          <w:trHeight w:val="406"/>
        </w:trPr>
        <w:tc>
          <w:tcPr>
            <w:tcW w:w="2689" w:type="dxa"/>
          </w:tcPr>
          <w:p w14:paraId="0FA074CD" w14:textId="77777777" w:rsidR="00357D00" w:rsidRPr="002A3130" w:rsidRDefault="00357D00" w:rsidP="00452A67">
            <w:pPr>
              <w:jc w:val="both"/>
              <w:rPr>
                <w:rFonts w:ascii="Verdana" w:eastAsia="Calibri" w:hAnsi="Verdana" w:cs="Arial"/>
                <w:b/>
                <w:color w:val="000000" w:themeColor="text1"/>
                <w:lang w:val="es-ES_tradnl"/>
              </w:rPr>
            </w:pPr>
            <w:r w:rsidRPr="002A3130">
              <w:rPr>
                <w:rFonts w:ascii="Verdana" w:eastAsia="Calibri" w:hAnsi="Verdana" w:cs="Arial"/>
                <w:b/>
                <w:color w:val="000000" w:themeColor="text1"/>
                <w:lang w:val="es-ES_tradnl"/>
              </w:rPr>
              <w:t>Radicación:</w:t>
            </w:r>
            <w:r w:rsidRPr="002A3130">
              <w:rPr>
                <w:rFonts w:ascii="Verdana" w:eastAsia="Calibri" w:hAnsi="Verdana" w:cs="Arial"/>
                <w:color w:val="000000" w:themeColor="text1"/>
                <w:lang w:val="es-ES_tradnl"/>
              </w:rPr>
              <w:t xml:space="preserve">               </w:t>
            </w:r>
          </w:p>
        </w:tc>
        <w:tc>
          <w:tcPr>
            <w:tcW w:w="6100" w:type="dxa"/>
          </w:tcPr>
          <w:p w14:paraId="19AD974B" w14:textId="77777777" w:rsidR="00357D00" w:rsidRPr="002A3130" w:rsidRDefault="00357D00" w:rsidP="00452A67">
            <w:pPr>
              <w:jc w:val="both"/>
              <w:rPr>
                <w:rFonts w:ascii="Verdana" w:eastAsia="Calibri" w:hAnsi="Verdana" w:cs="Arial"/>
                <w:color w:val="000000" w:themeColor="text1"/>
                <w:lang w:val="es-ES_tradnl"/>
              </w:rPr>
            </w:pPr>
            <w:r w:rsidRPr="002A3130">
              <w:rPr>
                <w:rFonts w:ascii="Verdana" w:eastAsia="Calibri" w:hAnsi="Verdana" w:cs="Arial"/>
                <w:color w:val="000000" w:themeColor="text1"/>
                <w:lang w:val="es-ES_tradnl"/>
              </w:rPr>
              <w:t xml:space="preserve">Respuesta a consulta con radicado No. </w:t>
            </w:r>
            <w:r w:rsidRPr="002A3130">
              <w:rPr>
                <w:rFonts w:ascii="Verdana" w:hAnsi="Verdana"/>
                <w:color w:val="000000" w:themeColor="text1"/>
              </w:rPr>
              <w:br/>
            </w:r>
            <w:r w:rsidRPr="002A3130">
              <w:rPr>
                <w:rFonts w:ascii="Verdana" w:hAnsi="Verdana"/>
                <w:color w:val="000000" w:themeColor="text1"/>
                <w:shd w:val="clear" w:color="auto" w:fill="F5F5F5"/>
              </w:rPr>
              <w:t>1_2026_07_14_009326</w:t>
            </w:r>
          </w:p>
        </w:tc>
      </w:tr>
    </w:tbl>
    <w:p w14:paraId="7EA282F3" w14:textId="77777777" w:rsidR="00357D00" w:rsidRPr="002A3130" w:rsidRDefault="00357D00" w:rsidP="00357D00">
      <w:pPr>
        <w:spacing w:after="0" w:line="240" w:lineRule="auto"/>
        <w:jc w:val="both"/>
        <w:rPr>
          <w:rFonts w:ascii="Verdana" w:eastAsia="Calibri" w:hAnsi="Verdana" w:cs="Arial"/>
          <w:color w:val="000000" w:themeColor="text1"/>
          <w:lang w:val="es-ES_tradnl"/>
        </w:rPr>
      </w:pPr>
    </w:p>
    <w:p w14:paraId="3B869738" w14:textId="77777777" w:rsidR="00357D00" w:rsidRPr="002A3130" w:rsidRDefault="00357D00" w:rsidP="00357D00">
      <w:pPr>
        <w:spacing w:after="0" w:line="240" w:lineRule="auto"/>
        <w:jc w:val="both"/>
        <w:rPr>
          <w:rFonts w:ascii="Verdana" w:eastAsia="Calibri" w:hAnsi="Verdana" w:cs="Arial"/>
          <w:color w:val="000000" w:themeColor="text1"/>
          <w:lang w:val="es-ES_tradnl"/>
        </w:rPr>
      </w:pPr>
    </w:p>
    <w:p w14:paraId="35640B66" w14:textId="77777777" w:rsidR="00357D00" w:rsidRPr="002A3130" w:rsidRDefault="00357D00" w:rsidP="00357D00">
      <w:pPr>
        <w:spacing w:after="0" w:line="276" w:lineRule="auto"/>
        <w:jc w:val="both"/>
        <w:rPr>
          <w:rFonts w:ascii="Verdana" w:eastAsia="Calibri" w:hAnsi="Verdana" w:cs="Arial"/>
          <w:color w:val="000000" w:themeColor="text1"/>
          <w:lang w:val="es-ES" w:eastAsia="es-ES"/>
        </w:rPr>
      </w:pPr>
      <w:r w:rsidRPr="002A3130">
        <w:rPr>
          <w:rFonts w:ascii="Verdana" w:eastAsia="Calibri" w:hAnsi="Verdana" w:cs="Arial"/>
          <w:color w:val="000000" w:themeColor="text1"/>
          <w:lang w:val="es-ES" w:eastAsia="es-ES"/>
        </w:rPr>
        <w:t>Estimado señor Hernández:</w:t>
      </w:r>
      <w:r w:rsidRPr="002A3130">
        <w:rPr>
          <w:rFonts w:ascii="Verdana" w:eastAsia="Calibri" w:hAnsi="Verdana" w:cs="Arial"/>
          <w:color w:val="000000" w:themeColor="text1"/>
          <w:lang w:val="es-ES" w:eastAsia="es-ES"/>
        </w:rPr>
        <w:tab/>
      </w:r>
    </w:p>
    <w:p w14:paraId="5A16098A" w14:textId="77777777" w:rsidR="00357D00" w:rsidRDefault="00357D00" w:rsidP="00357D00">
      <w:pPr>
        <w:spacing w:after="0" w:line="276" w:lineRule="auto"/>
        <w:jc w:val="both"/>
        <w:rPr>
          <w:rFonts w:ascii="Verdana" w:eastAsia="Calibri" w:hAnsi="Verdana" w:cs="Arial"/>
          <w:color w:val="000000" w:themeColor="text1"/>
          <w:lang w:val="es-ES" w:eastAsia="es-ES"/>
        </w:rPr>
      </w:pPr>
    </w:p>
    <w:p w14:paraId="1A78E9E6" w14:textId="7F349302" w:rsidR="00357D00" w:rsidRPr="00F2149B" w:rsidRDefault="00357D00" w:rsidP="00357D00">
      <w:pPr>
        <w:spacing w:after="0" w:line="276" w:lineRule="auto"/>
        <w:jc w:val="both"/>
        <w:rPr>
          <w:rFonts w:ascii="Verdana" w:eastAsia="Century Gothic" w:hAnsi="Verdana" w:cs="Century Gothic"/>
          <w:b/>
          <w:bCs/>
          <w:color w:val="000000" w:themeColor="text1"/>
        </w:rPr>
      </w:pPr>
      <w:r w:rsidRPr="002A3130">
        <w:rPr>
          <w:rFonts w:ascii="Verdana" w:eastAsia="Calibri" w:hAnsi="Verdana" w:cs="Arial"/>
          <w:color w:val="000000" w:themeColor="text1"/>
          <w:lang w:val="es-ES" w:eastAsia="es-ES"/>
        </w:rPr>
        <w:t>En ejercicio de la competencia otorgada por los artículos 3, numeral 5º, y 11, numeral 8º, del Decreto Ley 4170 de 2011,</w:t>
      </w:r>
      <w:r w:rsidRPr="002A3130">
        <w:rPr>
          <w:rFonts w:ascii="Verdana" w:eastAsia="Arial MT" w:hAnsi="Verdana" w:cs="Arial MT"/>
          <w:lang w:val="es-ES" w:eastAsia="es-ES"/>
        </w:rPr>
        <w:t xml:space="preserve"> </w:t>
      </w:r>
      <w:r w:rsidRPr="002A3130">
        <w:rPr>
          <w:rFonts w:ascii="Verdana" w:hAnsi="Verdana" w:cs="Arial"/>
        </w:rPr>
        <w:t xml:space="preserve">así como lo establecido en el artículo 4 de la Resolución 1707 de 2018 expedida por esta Entidad, </w:t>
      </w:r>
      <w:r w:rsidRPr="002A3130">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580DCD">
        <w:rPr>
          <w:rFonts w:ascii="Verdana" w:eastAsia="Calibri" w:hAnsi="Verdana" w:cs="Arial"/>
          <w:color w:val="000000" w:themeColor="text1"/>
          <w:lang w:val="es-ES" w:eastAsia="es-ES"/>
        </w:rPr>
        <w:t xml:space="preserve">14 </w:t>
      </w:r>
      <w:r w:rsidRPr="002A3130">
        <w:rPr>
          <w:rFonts w:ascii="Verdana" w:eastAsia="Calibri" w:hAnsi="Verdana" w:cs="Arial"/>
          <w:color w:val="000000" w:themeColor="text1"/>
          <w:lang w:val="es-ES" w:eastAsia="es-ES"/>
        </w:rPr>
        <w:t xml:space="preserve">de julio de 2026, allegada a esta oficina como remisión del </w:t>
      </w:r>
      <w:r w:rsidRPr="002A3130">
        <w:rPr>
          <w:rFonts w:ascii="Verdana" w:eastAsia="Calibri" w:hAnsi="Verdana" w:cs="Arial"/>
          <w:color w:val="000000" w:themeColor="text1"/>
          <w:lang w:eastAsia="es-ES"/>
        </w:rPr>
        <w:t xml:space="preserve"> Departamento Administrativo de la Función Pública el 14 de julio del mismo año</w:t>
      </w:r>
      <w:r w:rsidRPr="002A3130">
        <w:rPr>
          <w:rFonts w:ascii="Verdana" w:eastAsia="Calibri" w:hAnsi="Verdana" w:cs="Arial"/>
          <w:color w:val="000000" w:themeColor="text1"/>
          <w:lang w:val="es-ES" w:eastAsia="es-ES"/>
        </w:rPr>
        <w:t xml:space="preserve">, en la cual manifiesta lo siguiente: </w:t>
      </w:r>
    </w:p>
    <w:p w14:paraId="2BB1CC36" w14:textId="77777777" w:rsidR="00357D00" w:rsidRDefault="00357D00" w:rsidP="00357D00">
      <w:pPr>
        <w:spacing w:after="0"/>
        <w:ind w:left="709" w:right="709"/>
        <w:jc w:val="both"/>
        <w:rPr>
          <w:rFonts w:ascii="Verdana" w:eastAsia="Century Gothic" w:hAnsi="Verdana" w:cs="Century Gothic"/>
          <w:color w:val="000000" w:themeColor="text1"/>
          <w:sz w:val="20"/>
          <w:szCs w:val="20"/>
          <w:lang w:val="es-ES"/>
        </w:rPr>
      </w:pPr>
    </w:p>
    <w:p w14:paraId="5EF3FB2C" w14:textId="77777777" w:rsidR="00357D00" w:rsidRPr="00F2149B" w:rsidRDefault="00357D00" w:rsidP="00357D00">
      <w:pPr>
        <w:spacing w:after="0"/>
        <w:ind w:left="709" w:right="709"/>
        <w:jc w:val="both"/>
        <w:rPr>
          <w:rFonts w:ascii="Verdana" w:eastAsia="Century Gothic" w:hAnsi="Verdana" w:cs="Century Gothic"/>
          <w:color w:val="000000" w:themeColor="text1"/>
          <w:sz w:val="20"/>
          <w:szCs w:val="20"/>
          <w:lang w:val="es-ES"/>
        </w:rPr>
      </w:pPr>
      <w:r w:rsidRPr="00F2149B">
        <w:rPr>
          <w:rFonts w:ascii="Verdana" w:eastAsia="Century Gothic" w:hAnsi="Verdana" w:cs="Century Gothic"/>
          <w:color w:val="000000" w:themeColor="text1"/>
          <w:sz w:val="20"/>
          <w:szCs w:val="20"/>
          <w:lang w:val="es-ES"/>
        </w:rPr>
        <w:t>“</w:t>
      </w:r>
      <w:r>
        <w:rPr>
          <w:rFonts w:ascii="Verdana" w:eastAsia="Century Gothic" w:hAnsi="Verdana" w:cs="Century Gothic"/>
          <w:color w:val="000000" w:themeColor="text1"/>
          <w:sz w:val="20"/>
          <w:szCs w:val="20"/>
          <w:lang w:val="es-ES"/>
        </w:rPr>
        <w:t>Buenos días quisiera saber si como contratista OPS de una entidad de estado en este caso una ESE se tienen contratos cada tres meses mi pregunta es cada cuanto se debe actualizar los documentos en este caso nos piden certificación bancaria cada tres meses actualizada igual certificación de la eps y arl de igual manera la declaración de rentas me podrían explicar si es así y así con otros documentos que pues si es bastante desgatante</w:t>
      </w:r>
      <w:r w:rsidRPr="00F2149B">
        <w:rPr>
          <w:rFonts w:ascii="Verdana" w:eastAsia="Century Gothic" w:hAnsi="Verdana" w:cs="Century Gothic"/>
          <w:color w:val="000000" w:themeColor="text1"/>
          <w:sz w:val="20"/>
          <w:szCs w:val="20"/>
          <w:lang w:val="es-ES"/>
        </w:rPr>
        <w:t>”</w:t>
      </w:r>
    </w:p>
    <w:p w14:paraId="50F7B2BB" w14:textId="77777777" w:rsidR="00357D00" w:rsidRPr="00F2149B" w:rsidRDefault="00357D00" w:rsidP="00357D00">
      <w:pPr>
        <w:spacing w:after="0"/>
        <w:ind w:left="1416" w:right="709" w:hanging="707"/>
        <w:jc w:val="both"/>
        <w:rPr>
          <w:rFonts w:ascii="Verdana" w:eastAsia="Century Gothic" w:hAnsi="Verdana" w:cs="Century Gothic"/>
          <w:color w:val="000000" w:themeColor="text1"/>
          <w:sz w:val="20"/>
          <w:szCs w:val="20"/>
          <w:lang w:val="es-ES"/>
        </w:rPr>
      </w:pPr>
    </w:p>
    <w:p w14:paraId="4990916A" w14:textId="77777777" w:rsidR="00357D00" w:rsidRPr="002A3130" w:rsidRDefault="00357D00" w:rsidP="00357D00">
      <w:pPr>
        <w:spacing w:after="120" w:line="276" w:lineRule="auto"/>
        <w:ind w:firstLine="709"/>
        <w:jc w:val="both"/>
        <w:rPr>
          <w:rFonts w:ascii="Verdana" w:eastAsia="Calibri" w:hAnsi="Verdana" w:cs="Arial"/>
          <w:color w:val="000000"/>
          <w:lang w:val="es-ES" w:eastAsia="es-ES"/>
        </w:rPr>
      </w:pPr>
      <w:r w:rsidRPr="002A3130">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w:t>
      </w:r>
    </w:p>
    <w:p w14:paraId="4A277569" w14:textId="77777777" w:rsidR="00357D00" w:rsidRPr="002A3130" w:rsidRDefault="00357D00" w:rsidP="00357D00">
      <w:pPr>
        <w:spacing w:after="120" w:line="276" w:lineRule="auto"/>
        <w:ind w:firstLine="709"/>
        <w:jc w:val="both"/>
        <w:rPr>
          <w:rFonts w:ascii="Verdana" w:eastAsia="Calibri" w:hAnsi="Verdana" w:cs="Arial"/>
          <w:color w:val="000000"/>
          <w:lang w:val="es-ES_tradnl"/>
        </w:rPr>
      </w:pPr>
      <w:r w:rsidRPr="002A3130">
        <w:rPr>
          <w:rFonts w:ascii="Verdana" w:eastAsia="Calibri" w:hAnsi="Verdana" w:cs="Arial"/>
          <w:color w:val="000000"/>
          <w:lang w:val="es-ES" w:eastAsia="es-ES"/>
        </w:rPr>
        <w:t xml:space="preserve">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A3130">
        <w:rPr>
          <w:rFonts w:ascii="Verdana" w:eastAsia="Calibri" w:hAnsi="Verdana" w:cs="Arial"/>
          <w:color w:val="000000"/>
          <w:lang w:val="es-ES_tradnl"/>
        </w:rPr>
        <w:tab/>
      </w:r>
    </w:p>
    <w:p w14:paraId="66D0182E" w14:textId="77777777" w:rsidR="00357D00" w:rsidRPr="002A3130" w:rsidRDefault="00357D00" w:rsidP="00357D00">
      <w:pPr>
        <w:spacing w:after="0" w:line="276" w:lineRule="auto"/>
        <w:ind w:firstLine="709"/>
        <w:jc w:val="both"/>
        <w:rPr>
          <w:rFonts w:ascii="Verdana" w:eastAsia="Calibri" w:hAnsi="Verdana" w:cs="Arial"/>
          <w:color w:val="000000"/>
          <w:lang w:eastAsia="es-ES"/>
        </w:rPr>
      </w:pPr>
      <w:r w:rsidRPr="002A3130">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el</w:t>
      </w:r>
      <w:r w:rsidRPr="002A3130">
        <w:rPr>
          <w:rFonts w:ascii="Verdana" w:eastAsia="Calibri" w:hAnsi="Verdana" w:cs="Arial"/>
          <w:color w:val="7030A0"/>
          <w:lang w:val="es-ES" w:eastAsia="es-ES"/>
        </w:rPr>
        <w:t xml:space="preserve"> </w:t>
      </w:r>
      <w:r w:rsidRPr="002A3130">
        <w:rPr>
          <w:rFonts w:ascii="Verdana" w:eastAsia="Calibri" w:hAnsi="Verdana" w:cs="Arial"/>
          <w:color w:val="000000"/>
          <w:lang w:val="es-ES" w:eastAsia="es-ES"/>
        </w:rPr>
        <w:t>problema</w:t>
      </w:r>
      <w:r w:rsidRPr="002A3130">
        <w:rPr>
          <w:rFonts w:ascii="Verdana" w:eastAsia="Calibri" w:hAnsi="Verdana" w:cs="Arial"/>
          <w:color w:val="7030A0"/>
          <w:lang w:val="es-ES" w:eastAsia="es-ES"/>
        </w:rPr>
        <w:t xml:space="preserve"> </w:t>
      </w:r>
      <w:r w:rsidRPr="002A3130">
        <w:rPr>
          <w:rFonts w:ascii="Verdana" w:eastAsia="Calibri" w:hAnsi="Verdana" w:cs="Arial"/>
          <w:color w:val="000000"/>
          <w:lang w:val="es-ES" w:eastAsia="es-ES"/>
        </w:rPr>
        <w:t>jurídico</w:t>
      </w:r>
      <w:r w:rsidRPr="002A3130">
        <w:rPr>
          <w:rFonts w:ascii="Verdana" w:eastAsia="Calibri" w:hAnsi="Verdana" w:cs="Arial"/>
          <w:color w:val="7030A0"/>
          <w:lang w:val="es-ES" w:eastAsia="es-ES"/>
        </w:rPr>
        <w:t xml:space="preserve"> </w:t>
      </w:r>
      <w:r w:rsidRPr="002A3130">
        <w:rPr>
          <w:rFonts w:ascii="Verdana" w:eastAsia="Calibri" w:hAnsi="Verdana" w:cs="Arial"/>
          <w:color w:val="000000"/>
          <w:lang w:val="es-ES" w:eastAsia="es-ES"/>
        </w:rPr>
        <w:t>de su consulta.</w:t>
      </w:r>
      <w:r w:rsidRPr="002A3130">
        <w:rPr>
          <w:rFonts w:ascii="Verdana" w:eastAsia="Calibri" w:hAnsi="Verdana" w:cs="Arial"/>
          <w:color w:val="000000"/>
          <w:lang w:eastAsia="es-ES"/>
        </w:rPr>
        <w:t xml:space="preserve"> </w:t>
      </w:r>
    </w:p>
    <w:p w14:paraId="583C9126" w14:textId="77777777" w:rsidR="00357D00" w:rsidRPr="002A3130" w:rsidRDefault="00357D00" w:rsidP="00357D00">
      <w:pPr>
        <w:spacing w:after="0" w:line="276" w:lineRule="auto"/>
        <w:ind w:firstLine="709"/>
        <w:jc w:val="both"/>
        <w:rPr>
          <w:rFonts w:ascii="Verdana" w:eastAsia="Calibri" w:hAnsi="Verdana" w:cs="Arial"/>
          <w:color w:val="000000"/>
          <w:lang w:val="es-ES" w:eastAsia="es-ES"/>
        </w:rPr>
      </w:pPr>
    </w:p>
    <w:p w14:paraId="269942FC" w14:textId="77777777" w:rsidR="00357D00" w:rsidRPr="002A3130" w:rsidRDefault="00357D00" w:rsidP="00357D0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A3130">
        <w:rPr>
          <w:rFonts w:ascii="Verdana" w:eastAsia="Century Gothic" w:hAnsi="Verdana" w:cs="Century Gothic"/>
          <w:b/>
          <w:bCs/>
        </w:rPr>
        <w:t>Problema planteado:</w:t>
      </w:r>
    </w:p>
    <w:p w14:paraId="60AB91C4" w14:textId="77777777" w:rsidR="00357D00" w:rsidRPr="002A3130" w:rsidRDefault="00357D00" w:rsidP="00357D00">
      <w:pPr>
        <w:tabs>
          <w:tab w:val="left" w:pos="426"/>
        </w:tabs>
        <w:spacing w:after="0" w:line="276" w:lineRule="auto"/>
        <w:jc w:val="both"/>
        <w:rPr>
          <w:rFonts w:ascii="Verdana" w:eastAsia="Century Gothic" w:hAnsi="Verdana" w:cs="Century Gothic"/>
          <w:lang w:val="es-ES"/>
        </w:rPr>
      </w:pPr>
    </w:p>
    <w:p w14:paraId="3103EC56" w14:textId="77777777" w:rsidR="00357D00" w:rsidRPr="00371C25" w:rsidRDefault="00357D00" w:rsidP="00357D00">
      <w:pPr>
        <w:spacing w:after="0" w:line="276" w:lineRule="auto"/>
        <w:jc w:val="both"/>
        <w:rPr>
          <w:rFonts w:ascii="Verdana" w:eastAsia="Century Gothic" w:hAnsi="Verdana" w:cs="Century Gothic"/>
        </w:rPr>
      </w:pPr>
      <w:r w:rsidRPr="002A3130">
        <w:rPr>
          <w:rFonts w:ascii="Verdana" w:eastAsia="Century Gothic" w:hAnsi="Verdana" w:cs="Century Gothic"/>
        </w:rPr>
        <w:t>De acuerdo con el contenido de su solicitud, esta Agencia resolverá el siguiente problema jurídico: ¿</w:t>
      </w:r>
      <w:r w:rsidRPr="00371C25">
        <w:rPr>
          <w:rFonts w:ascii="Verdana" w:eastAsia="Century Gothic" w:hAnsi="Verdana" w:cs="Century Gothic"/>
        </w:rPr>
        <w:t>Cuál es el alcance de la facultad de las entidades estatales para solicitar la actualización de documentos a los contratistas por prestación de servicios en contratos de corta duración y celebrados de manera recurrente, y cuáles son los criterios para determinar la periodicidad con que dichos documentos deben renovarse o acreditarse?</w:t>
      </w:r>
    </w:p>
    <w:p w14:paraId="7E8E7ACD" w14:textId="77777777" w:rsidR="00357D00" w:rsidRPr="002A3130" w:rsidRDefault="00357D00" w:rsidP="00357D00">
      <w:pPr>
        <w:spacing w:after="0" w:line="276" w:lineRule="auto"/>
        <w:jc w:val="both"/>
        <w:rPr>
          <w:rFonts w:ascii="Verdana" w:eastAsia="Calibri" w:hAnsi="Verdana" w:cs="Arial"/>
          <w:color w:val="7030A0"/>
          <w:lang w:val="es-ES"/>
        </w:rPr>
      </w:pPr>
    </w:p>
    <w:p w14:paraId="3B0A0954" w14:textId="77777777" w:rsidR="00357D00" w:rsidRPr="002A3130" w:rsidRDefault="00357D00" w:rsidP="00357D0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A3130">
        <w:rPr>
          <w:rFonts w:ascii="Verdana" w:eastAsia="Century Gothic" w:hAnsi="Verdana" w:cs="Century Gothic"/>
          <w:b/>
          <w:bCs/>
        </w:rPr>
        <w:t>Respuesta:</w:t>
      </w:r>
    </w:p>
    <w:p w14:paraId="0B14A2ED" w14:textId="77777777" w:rsidR="00357D00" w:rsidRPr="002A3130" w:rsidRDefault="00357D00" w:rsidP="00357D0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57D00" w:rsidRPr="002A3130" w14:paraId="4CA29831" w14:textId="77777777" w:rsidTr="00452A67">
        <w:tc>
          <w:tcPr>
            <w:tcW w:w="8828" w:type="dxa"/>
          </w:tcPr>
          <w:p w14:paraId="31BB158C" w14:textId="77777777" w:rsidR="00357D00" w:rsidRPr="002A3130" w:rsidRDefault="00357D00" w:rsidP="00452A67">
            <w:pPr>
              <w:spacing w:after="120" w:line="276" w:lineRule="auto"/>
              <w:jc w:val="both"/>
              <w:rPr>
                <w:rFonts w:ascii="Verdana" w:eastAsia="Calibri" w:hAnsi="Verdana" w:cs="Arial"/>
                <w:color w:val="000000"/>
                <w:lang w:val="es-ES_tradnl"/>
              </w:rPr>
            </w:pPr>
            <w:r w:rsidRPr="002A3130">
              <w:rPr>
                <w:rFonts w:ascii="Verdana" w:eastAsia="Calibri" w:hAnsi="Verdana" w:cs="Arial"/>
                <w:color w:val="000000"/>
                <w:lang w:val="es-ES_tradnl"/>
              </w:rPr>
              <w:t>El contrato de prestación de servicios es uno de los tipos contractuales consagrados en el Estatuto General de Contratación de la Administración Pública, que pueden celebrar las entidades estatales a través de la modalidad de la contratación directa.</w:t>
            </w:r>
          </w:p>
          <w:p w14:paraId="71365F38" w14:textId="77777777" w:rsidR="00357D00" w:rsidRDefault="00357D00" w:rsidP="00452A67">
            <w:pPr>
              <w:spacing w:after="120" w:line="276" w:lineRule="auto"/>
              <w:ind w:firstLine="708"/>
              <w:jc w:val="both"/>
              <w:rPr>
                <w:rFonts w:ascii="Verdana" w:hAnsi="Verdana"/>
                <w:lang w:eastAsia="es-MX"/>
              </w:rPr>
            </w:pPr>
            <w:r>
              <w:rPr>
                <w:rFonts w:ascii="Verdana" w:hAnsi="Verdana"/>
                <w:lang w:eastAsia="es-MX"/>
              </w:rPr>
              <w:lastRenderedPageBreak/>
              <w:t xml:space="preserve">Ahora bien, en relación con su consulta, es pertinente señalar que, esta verificación de requisitos, los cuales deben estar definidos en los documentos precontractuales, así como sus medios de verificación, deberá realizarla la Entidad cada vez que pretenda suscribir un contrato de prestación de servicios con un mismo contratista, independientemente si este ya ha estado o no vinculado a la Entidad por medio de esta tipología de contratación o por otra. </w:t>
            </w:r>
          </w:p>
          <w:p w14:paraId="4DEFCC7F" w14:textId="77777777" w:rsidR="00357D00" w:rsidRDefault="00357D00" w:rsidP="00452A67">
            <w:pPr>
              <w:spacing w:after="120" w:line="276" w:lineRule="auto"/>
              <w:ind w:firstLine="708"/>
              <w:jc w:val="both"/>
              <w:rPr>
                <w:rFonts w:ascii="Verdana" w:hAnsi="Verdana"/>
                <w:lang w:eastAsia="es-MX"/>
              </w:rPr>
            </w:pPr>
            <w:r>
              <w:rPr>
                <w:rFonts w:ascii="Verdana" w:hAnsi="Verdana"/>
                <w:lang w:eastAsia="es-MX"/>
              </w:rPr>
              <w:t>Frente a</w:t>
            </w:r>
            <w:r w:rsidRPr="00F3204D">
              <w:rPr>
                <w:rFonts w:ascii="Verdana" w:hAnsi="Verdana"/>
                <w:lang w:eastAsia="es-MX"/>
              </w:rPr>
              <w:t>l alcance de la facultad de las Entidades Estatales para solicitar la actualización de documentos a los contratistas por prestación de servicios en contratos de corta duración y celebrados de manera recurrente</w:t>
            </w:r>
            <w:r>
              <w:rPr>
                <w:rFonts w:ascii="Verdana" w:hAnsi="Verdana"/>
                <w:lang w:eastAsia="es-MX"/>
              </w:rPr>
              <w:t xml:space="preserve">, y los </w:t>
            </w:r>
            <w:r w:rsidRPr="00F3204D">
              <w:rPr>
                <w:rFonts w:ascii="Verdana" w:hAnsi="Verdana"/>
                <w:lang w:eastAsia="es-MX"/>
              </w:rPr>
              <w:t xml:space="preserve">criterios para determinar la periodicidad con que dichos documentos deben renovarse </w:t>
            </w:r>
            <w:r>
              <w:rPr>
                <w:rFonts w:ascii="Verdana" w:hAnsi="Verdana"/>
                <w:lang w:eastAsia="es-MX"/>
              </w:rPr>
              <w:t xml:space="preserve">debe indicarse que no existe un norma general que establezca la obligación de actualizar todos los documentos en una periodicidad determinada, sino que esta corresponderá a la naturaleza del documento, de su vigencia y de las necesidades de verificación definidas por la Entidad contratante. </w:t>
            </w:r>
          </w:p>
          <w:p w14:paraId="0385065F" w14:textId="77777777" w:rsidR="00357D00" w:rsidRDefault="00357D00" w:rsidP="00452A67">
            <w:pPr>
              <w:spacing w:after="120" w:line="276" w:lineRule="auto"/>
              <w:ind w:firstLine="708"/>
              <w:jc w:val="both"/>
              <w:rPr>
                <w:rFonts w:ascii="Verdana" w:hAnsi="Verdana"/>
                <w:lang w:eastAsia="es-MX"/>
              </w:rPr>
            </w:pPr>
            <w:r>
              <w:rPr>
                <w:rFonts w:ascii="Verdana" w:hAnsi="Verdana"/>
                <w:lang w:eastAsia="es-MX"/>
              </w:rPr>
              <w:t xml:space="preserve">Por lo tanto, cuando una Entidad celebra contratos de prestación de servicios con una misma persona de forma recurrente, pude solicitar nuevamente aquellos documentos cuya información pueda variar con el tiempo o cuya actualización sea necesaria, porque las condiciones que pretende acreditarse con los mismos pueden cambiar en el corto plazo. Tal es el caso de las certificaciones bancarias, de la afiliación al Sistema de Seguridad Social o de los documentos relacionados con obligaciones tributarias, cuando la Entidad considere necesario verificar que la información se encuentra vigente al momento de suscribir el contrato. </w:t>
            </w:r>
          </w:p>
          <w:p w14:paraId="21522303" w14:textId="77777777" w:rsidR="00357D00" w:rsidRPr="00EC25B9" w:rsidRDefault="00357D00" w:rsidP="00452A67">
            <w:pPr>
              <w:spacing w:after="120" w:line="276" w:lineRule="auto"/>
              <w:ind w:firstLine="708"/>
              <w:jc w:val="both"/>
              <w:rPr>
                <w:rFonts w:ascii="Verdana" w:hAnsi="Verdana"/>
                <w:lang w:eastAsia="es-MX"/>
              </w:rPr>
            </w:pPr>
            <w:r w:rsidRPr="00EC25B9">
              <w:rPr>
                <w:rFonts w:ascii="Verdana" w:hAnsi="Verdana"/>
                <w:lang w:eastAsia="es-MX"/>
              </w:rPr>
              <w:t xml:space="preserve">No obstante, en aplicación de los principios de </w:t>
            </w:r>
            <w:r w:rsidRPr="00000BCD">
              <w:rPr>
                <w:rFonts w:ascii="Verdana" w:hAnsi="Verdana"/>
                <w:lang w:eastAsia="es-MX"/>
              </w:rPr>
              <w:t>economía, eficiencia y racionalización de trámites</w:t>
            </w:r>
            <w:r w:rsidRPr="00EC25B9">
              <w:rPr>
                <w:rFonts w:ascii="Verdana" w:hAnsi="Verdana"/>
                <w:lang w:eastAsia="es-MX"/>
              </w:rPr>
              <w:t>, la Entidad debería valorar si determinados documentos que reposan en sus archivos y cuya información permanecen inalterados requieren realmente una nueva presentación, especialmente cuando se trata del mismo contratista y de contrataciones sucesivas. La exigencia documental debe responder a una finalidad legítima de verificación y no constituir una carga innecesaria para el particular.</w:t>
            </w:r>
          </w:p>
          <w:p w14:paraId="6715DBEA" w14:textId="77777777" w:rsidR="00357D00" w:rsidRPr="002A3130" w:rsidRDefault="00357D00" w:rsidP="00452A67">
            <w:pPr>
              <w:spacing w:line="276" w:lineRule="auto"/>
              <w:ind w:firstLine="740"/>
              <w:jc w:val="both"/>
              <w:rPr>
                <w:rFonts w:ascii="Verdana" w:eastAsia="Century Gothic" w:hAnsi="Verdana" w:cs="Century Gothic"/>
                <w:color w:val="000000" w:themeColor="text1"/>
              </w:rPr>
            </w:pPr>
            <w:r w:rsidRPr="002A3130">
              <w:rPr>
                <w:rFonts w:ascii="Verdana" w:eastAsia="Century Gothic" w:hAnsi="Verdana" w:cs="Century Gothic"/>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w:t>
            </w:r>
            <w:r w:rsidRPr="002A3130">
              <w:rPr>
                <w:rFonts w:ascii="Verdana" w:eastAsia="Century Gothic" w:hAnsi="Verdana" w:cs="Century Gothic"/>
                <w:color w:val="000000" w:themeColor="text1"/>
              </w:rPr>
              <w:lastRenderedPageBreak/>
              <w:t>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tc>
      </w:tr>
    </w:tbl>
    <w:p w14:paraId="14B57721" w14:textId="77777777" w:rsidR="00357D00" w:rsidRPr="00593A5F" w:rsidRDefault="00357D00" w:rsidP="00357D00">
      <w:pPr>
        <w:tabs>
          <w:tab w:val="left" w:pos="142"/>
          <w:tab w:val="left" w:pos="284"/>
        </w:tabs>
        <w:spacing w:after="0" w:line="276" w:lineRule="auto"/>
        <w:jc w:val="both"/>
        <w:rPr>
          <w:rFonts w:ascii="Verdana" w:eastAsia="Century Gothic" w:hAnsi="Verdana" w:cs="Century Gothic"/>
          <w:b/>
          <w:bCs/>
          <w:lang w:val="es-ES"/>
        </w:rPr>
      </w:pPr>
    </w:p>
    <w:p w14:paraId="10A7F2F9" w14:textId="77777777" w:rsidR="00357D00" w:rsidRPr="00593A5F" w:rsidRDefault="00357D00" w:rsidP="00357D0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62106F6" w14:textId="77777777" w:rsidR="00357D00" w:rsidRPr="00593A5F" w:rsidRDefault="00357D00" w:rsidP="00357D00">
      <w:pPr>
        <w:spacing w:after="0" w:line="276" w:lineRule="auto"/>
        <w:jc w:val="both"/>
        <w:rPr>
          <w:rFonts w:ascii="Verdana" w:eastAsia="Calibri" w:hAnsi="Verdana" w:cs="Arial"/>
          <w:color w:val="7030A0"/>
          <w:lang w:val="es-ES"/>
        </w:rPr>
      </w:pPr>
    </w:p>
    <w:p w14:paraId="0C14D04E" w14:textId="77777777" w:rsidR="00357D00" w:rsidRPr="00C73137" w:rsidRDefault="00357D00" w:rsidP="00357D00">
      <w:pPr>
        <w:spacing w:after="0" w:line="276" w:lineRule="auto"/>
        <w:jc w:val="both"/>
        <w:rPr>
          <w:rFonts w:ascii="Verdana" w:eastAsia="Calibri" w:hAnsi="Verdana" w:cs="Arial"/>
          <w:lang w:val="es-ES"/>
        </w:rPr>
      </w:pPr>
      <w:r w:rsidRPr="00C73137">
        <w:rPr>
          <w:rFonts w:ascii="Verdana" w:eastAsia="Calibri" w:hAnsi="Verdana" w:cs="Arial"/>
          <w:lang w:val="es-ES"/>
        </w:rPr>
        <w:t xml:space="preserve">Lo anterior se sustenta en las siguientes consideraciones: </w:t>
      </w:r>
    </w:p>
    <w:p w14:paraId="1587F803" w14:textId="77777777" w:rsidR="00357D00" w:rsidRDefault="00357D00" w:rsidP="00357D00">
      <w:pPr>
        <w:tabs>
          <w:tab w:val="left" w:pos="0"/>
        </w:tabs>
        <w:spacing w:after="0" w:line="276" w:lineRule="auto"/>
        <w:jc w:val="both"/>
        <w:rPr>
          <w:rFonts w:ascii="Verdana" w:eastAsia="Calibri" w:hAnsi="Verdana" w:cs="Arial"/>
          <w:lang w:val="es-MX"/>
        </w:rPr>
      </w:pPr>
      <w:bookmarkStart w:id="1" w:name="_Hlk98159554"/>
      <w:bookmarkStart w:id="2" w:name="_Hlk97545054"/>
    </w:p>
    <w:p w14:paraId="1C423CFF" w14:textId="77777777" w:rsidR="00357D00" w:rsidRPr="00C73137" w:rsidRDefault="00357D00" w:rsidP="00357D00">
      <w:pPr>
        <w:tabs>
          <w:tab w:val="left" w:pos="0"/>
        </w:tabs>
        <w:spacing w:after="120" w:line="276" w:lineRule="auto"/>
        <w:jc w:val="both"/>
        <w:rPr>
          <w:rFonts w:ascii="Verdana" w:eastAsia="Calibri" w:hAnsi="Verdana" w:cs="Arial"/>
          <w:lang w:val="es-ES_tradnl"/>
        </w:rPr>
      </w:pPr>
      <w:r w:rsidRPr="00C73137">
        <w:rPr>
          <w:rFonts w:ascii="Verdana" w:eastAsia="Calibri" w:hAnsi="Verdana" w:cs="Arial"/>
          <w:lang w:val="es-MX"/>
        </w:rPr>
        <w:t>El contrato de prestación de servicios es un contrato estatal típico, regulado en el numeral 3 del artículo 32 de la Ley 80 de 1993. Este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C73137">
        <w:rPr>
          <w:rFonts w:ascii="Verdana" w:eastAsia="Calibri" w:hAnsi="Verdana" w:cs="Arial"/>
          <w:lang w:val="es-ES_tradnl"/>
        </w:rPr>
        <w:t xml:space="preserve"> </w:t>
      </w:r>
    </w:p>
    <w:p w14:paraId="342AB511" w14:textId="77777777" w:rsidR="00357D00" w:rsidRDefault="00357D00" w:rsidP="00357D00">
      <w:pPr>
        <w:spacing w:after="0" w:line="276" w:lineRule="auto"/>
        <w:jc w:val="both"/>
        <w:rPr>
          <w:rFonts w:ascii="Verdana" w:eastAsia="Calibri" w:hAnsi="Verdana" w:cs="Arial"/>
          <w:color w:val="000000"/>
          <w:lang w:val="es-ES"/>
        </w:rPr>
      </w:pPr>
      <w:r w:rsidRPr="00C73137">
        <w:rPr>
          <w:rFonts w:ascii="Verdana" w:eastAsia="Calibri" w:hAnsi="Verdana" w:cs="Arial"/>
          <w:lang w:val="es-ES_tradnl"/>
        </w:rPr>
        <w:tab/>
      </w:r>
      <w:r w:rsidRPr="00C73137">
        <w:rPr>
          <w:rFonts w:ascii="Verdana" w:eastAsia="Calibri" w:hAnsi="Verdana" w:cs="Arial"/>
          <w:lang w:val="es-ES"/>
        </w:rPr>
        <w:t xml:space="preserve">La celebración de este tipo de contratos debe efectuarse a través de la modalidad de contratación directa. </w:t>
      </w:r>
      <w:r w:rsidRPr="00C73137">
        <w:rPr>
          <w:rFonts w:ascii="Verdana" w:eastAsia="Calibri" w:hAnsi="Verdana" w:cs="Arial"/>
          <w:color w:val="000000"/>
          <w:lang w:val="es-ES"/>
        </w:rPr>
        <w:t>Así lo dispone el artículo 2, numeral 4º, literal h), de la Ley 1150 de 2007:</w:t>
      </w:r>
    </w:p>
    <w:p w14:paraId="65710A04" w14:textId="77777777" w:rsidR="00357D00" w:rsidRPr="008D5288" w:rsidRDefault="00357D00" w:rsidP="00357D00">
      <w:pPr>
        <w:spacing w:after="0" w:line="276" w:lineRule="auto"/>
        <w:jc w:val="both"/>
        <w:rPr>
          <w:rFonts w:ascii="Verdana" w:eastAsia="Calibri" w:hAnsi="Verdana" w:cs="Arial"/>
          <w:color w:val="000000"/>
          <w:lang w:val="es-ES_tradnl"/>
        </w:rPr>
      </w:pPr>
    </w:p>
    <w:p w14:paraId="3C9A282D" w14:textId="77777777" w:rsidR="00357D00" w:rsidRPr="008D5288" w:rsidRDefault="00357D00" w:rsidP="00357D00">
      <w:pPr>
        <w:spacing w:after="0"/>
        <w:ind w:left="709" w:right="709"/>
        <w:jc w:val="both"/>
        <w:rPr>
          <w:rFonts w:ascii="Verdana" w:eastAsia="Calibri" w:hAnsi="Verdana" w:cs="Arial"/>
          <w:lang w:val="es-MX"/>
        </w:rPr>
      </w:pPr>
      <w:r w:rsidRPr="00472251">
        <w:rPr>
          <w:rFonts w:ascii="Verdana" w:eastAsia="Calibri" w:hAnsi="Verdana" w:cs="Arial"/>
          <w:color w:val="000000"/>
          <w:sz w:val="20"/>
          <w:szCs w:val="20"/>
          <w:lang w:val="es-MX"/>
        </w:rPr>
        <w:t>“La escogencia del contratista se efectuará con arreglo a las modalidades de selección de licitación pública, selección abreviada, concurso de méritos y contratación directa, con base en las siguientes reglas: […] 4. Contratación directa. La modalidad de selección de contratación directa solamente procederá en los siguientes casos: […] h) Para la prestación de servicios profesionales y de apoyo a la gestión, o para la ejecución de trabajos artísticos que sólo puedan encomendarse a determinadas personas naturales”.</w:t>
      </w:r>
    </w:p>
    <w:p w14:paraId="01040F55" w14:textId="77777777" w:rsidR="00357D00" w:rsidRDefault="00357D00" w:rsidP="00357D00">
      <w:pPr>
        <w:tabs>
          <w:tab w:val="left" w:pos="0"/>
        </w:tabs>
        <w:spacing w:after="0" w:line="276" w:lineRule="auto"/>
        <w:jc w:val="both"/>
        <w:rPr>
          <w:rFonts w:ascii="Verdana" w:hAnsi="Verdana" w:cs="Arial"/>
          <w:noProof/>
          <w:lang w:val="es-ES_tradnl"/>
        </w:rPr>
      </w:pPr>
      <w:r>
        <w:rPr>
          <w:rFonts w:ascii="Verdana" w:hAnsi="Verdana" w:cs="Arial"/>
          <w:noProof/>
          <w:lang w:val="es-ES_tradnl"/>
        </w:rPr>
        <w:tab/>
      </w:r>
    </w:p>
    <w:p w14:paraId="13CCE036" w14:textId="77777777" w:rsidR="00357D00" w:rsidRDefault="00357D00" w:rsidP="00357D00">
      <w:pPr>
        <w:tabs>
          <w:tab w:val="left" w:pos="0"/>
        </w:tabs>
        <w:spacing w:after="0" w:line="276" w:lineRule="auto"/>
        <w:jc w:val="both"/>
        <w:rPr>
          <w:rFonts w:ascii="Verdana" w:hAnsi="Verdana" w:cs="Arial"/>
          <w:lang w:val="es-ES_tradnl"/>
        </w:rPr>
      </w:pPr>
      <w:r>
        <w:rPr>
          <w:rFonts w:ascii="Verdana" w:hAnsi="Verdana" w:cs="Arial"/>
          <w:noProof/>
          <w:lang w:val="es-ES_tradnl"/>
        </w:rPr>
        <w:tab/>
      </w:r>
      <w:r w:rsidRPr="00C73137">
        <w:rPr>
          <w:rFonts w:ascii="Verdana" w:hAnsi="Verdana" w:cs="Arial"/>
          <w:noProof/>
          <w:lang w:val="es-ES_tradnl"/>
        </w:rPr>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35C2312A" w14:textId="77777777" w:rsidR="00357D00" w:rsidRPr="00A7405A" w:rsidRDefault="00357D00" w:rsidP="00357D00">
      <w:pPr>
        <w:tabs>
          <w:tab w:val="left" w:pos="0"/>
        </w:tabs>
        <w:spacing w:after="0" w:line="276" w:lineRule="auto"/>
        <w:jc w:val="both"/>
        <w:rPr>
          <w:rFonts w:ascii="Verdana" w:hAnsi="Verdana" w:cs="Arial"/>
          <w:lang w:val="es-ES"/>
        </w:rPr>
      </w:pPr>
    </w:p>
    <w:p w14:paraId="75E4EA6A" w14:textId="77777777" w:rsidR="00357D00" w:rsidRPr="00A7405A" w:rsidRDefault="00357D00" w:rsidP="00357D00">
      <w:pPr>
        <w:spacing w:after="0" w:line="240" w:lineRule="auto"/>
        <w:ind w:left="709" w:right="709"/>
        <w:jc w:val="both"/>
        <w:rPr>
          <w:rFonts w:ascii="Verdana" w:hAnsi="Verdana" w:cs="Arial"/>
          <w:sz w:val="20"/>
          <w:szCs w:val="20"/>
          <w:lang w:val="es-MX"/>
        </w:rPr>
      </w:pPr>
      <w:r w:rsidRPr="00A7405A">
        <w:rPr>
          <w:rFonts w:ascii="Verdana" w:hAnsi="Verdana" w:cs="Arial"/>
          <w:sz w:val="20"/>
          <w:szCs w:val="20"/>
          <w:lang w:val="es-MX"/>
        </w:rPr>
        <w:lastRenderedPageBreak/>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A01D80C" w14:textId="77777777" w:rsidR="00357D00" w:rsidRPr="00A7405A" w:rsidRDefault="00357D00" w:rsidP="00357D00">
      <w:pPr>
        <w:spacing w:after="0" w:line="240" w:lineRule="auto"/>
        <w:ind w:left="709" w:right="709"/>
        <w:jc w:val="both"/>
        <w:rPr>
          <w:rFonts w:ascii="Verdana" w:hAnsi="Verdana" w:cs="Arial"/>
          <w:sz w:val="20"/>
          <w:szCs w:val="20"/>
          <w:lang w:val="es-MX"/>
        </w:rPr>
      </w:pPr>
    </w:p>
    <w:p w14:paraId="63CA21CB" w14:textId="77777777" w:rsidR="00357D00" w:rsidRPr="00A7405A" w:rsidRDefault="00357D00" w:rsidP="00357D00">
      <w:pPr>
        <w:spacing w:after="0" w:line="240" w:lineRule="auto"/>
        <w:ind w:left="709" w:right="709"/>
        <w:jc w:val="both"/>
        <w:rPr>
          <w:rFonts w:ascii="Verdana" w:hAnsi="Verdana" w:cs="Arial"/>
          <w:sz w:val="20"/>
          <w:szCs w:val="20"/>
          <w:lang w:val="es-MX"/>
        </w:rPr>
      </w:pPr>
      <w:r w:rsidRPr="00A7405A">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C7F55FD" w14:textId="77777777" w:rsidR="00357D00" w:rsidRPr="00A7405A" w:rsidRDefault="00357D00" w:rsidP="00357D00">
      <w:pPr>
        <w:spacing w:after="0" w:line="240" w:lineRule="auto"/>
        <w:ind w:left="709" w:right="709"/>
        <w:jc w:val="both"/>
        <w:rPr>
          <w:rFonts w:ascii="Verdana" w:hAnsi="Verdana" w:cs="Arial"/>
          <w:sz w:val="20"/>
          <w:szCs w:val="20"/>
          <w:lang w:val="es-MX"/>
        </w:rPr>
      </w:pPr>
      <w:r w:rsidRPr="00A7405A">
        <w:rPr>
          <w:rFonts w:ascii="Verdana" w:hAnsi="Verdana" w:cs="Arial"/>
          <w:sz w:val="20"/>
          <w:szCs w:val="20"/>
          <w:lang w:val="es-MX"/>
        </w:rPr>
        <w:t>La Entidad Estatal, para la contratación de trabajos artísticos que solamente puedan en</w:t>
      </w:r>
      <w:r w:rsidRPr="00A7405A">
        <w:rPr>
          <w:rFonts w:ascii="Verdana" w:hAnsi="Verdana" w:cs="Arial"/>
          <w:sz w:val="20"/>
          <w:szCs w:val="20"/>
          <w:lang w:val="es-MX"/>
        </w:rPr>
        <w:softHyphen/>
        <w:t>comendarse a determinadas personas naturales, debe justificar esta situación en los estudios y documentos previos”.</w:t>
      </w:r>
    </w:p>
    <w:p w14:paraId="1C12C4AC" w14:textId="77777777" w:rsidR="00357D00" w:rsidRPr="006002B5" w:rsidRDefault="00357D00" w:rsidP="00357D00">
      <w:pPr>
        <w:spacing w:after="0" w:line="276" w:lineRule="auto"/>
        <w:ind w:left="709" w:right="709"/>
        <w:jc w:val="both"/>
        <w:rPr>
          <w:rFonts w:ascii="Verdana" w:hAnsi="Verdana" w:cs="Arial"/>
          <w:lang w:val="es-MX"/>
        </w:rPr>
      </w:pPr>
    </w:p>
    <w:p w14:paraId="170FB455" w14:textId="77777777" w:rsidR="00357D00" w:rsidRPr="00C73137" w:rsidRDefault="00357D00" w:rsidP="00357D00">
      <w:pPr>
        <w:spacing w:after="120" w:line="276" w:lineRule="auto"/>
        <w:ind w:firstLine="708"/>
        <w:jc w:val="both"/>
        <w:rPr>
          <w:rFonts w:ascii="Verdana" w:eastAsia="Calibri" w:hAnsi="Verdana" w:cs="Arial"/>
          <w:lang w:val="es-ES"/>
        </w:rPr>
      </w:pPr>
      <w:r w:rsidRPr="00C73137">
        <w:rPr>
          <w:rFonts w:ascii="Verdana" w:eastAsia="Calibri" w:hAnsi="Verdana" w:cs="Arial"/>
          <w:lang w:val="es-ES"/>
        </w:rPr>
        <w:t xml:space="preserve">Ahora bien, sus principales características son: </w:t>
      </w:r>
      <w:r w:rsidRPr="00C73137">
        <w:rPr>
          <w:rFonts w:ascii="Verdana" w:eastAsia="Calibri" w:hAnsi="Verdana" w:cs="Arial"/>
          <w:i/>
          <w:iCs/>
          <w:lang w:val="es-ES"/>
        </w:rPr>
        <w:t>i)</w:t>
      </w:r>
      <w:r w:rsidRPr="00C73137">
        <w:rPr>
          <w:rFonts w:ascii="Verdana" w:eastAsia="Calibri" w:hAnsi="Verdana" w:cs="Arial"/>
          <w:lang w:val="es-ES"/>
        </w:rPr>
        <w:t xml:space="preserve"> Solo puede celebrarse para realizar “actividades relacionadas con la administración o funcionamiento de la entidad”, es decir, que hagan parte de su giro ordinario o quehacer cotidiano. </w:t>
      </w:r>
      <w:r w:rsidRPr="00C73137">
        <w:rPr>
          <w:rFonts w:ascii="Verdana" w:eastAsia="Calibri" w:hAnsi="Verdana" w:cs="Arial"/>
          <w:i/>
          <w:iCs/>
          <w:lang w:val="es-ES"/>
        </w:rPr>
        <w:t>ii)</w:t>
      </w:r>
      <w:r w:rsidRPr="00C73137">
        <w:rPr>
          <w:rFonts w:ascii="Verdana" w:eastAsia="Calibri" w:hAnsi="Verdana" w:cs="Arial"/>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r w:rsidRPr="00C73137">
        <w:rPr>
          <w:rFonts w:ascii="Verdana" w:eastAsia="Calibri" w:hAnsi="Verdana" w:cs="Arial"/>
          <w:i/>
          <w:iCs/>
          <w:lang w:val="es-ES"/>
        </w:rPr>
        <w:t>iii)</w:t>
      </w:r>
      <w:r w:rsidRPr="00C73137">
        <w:rPr>
          <w:rFonts w:ascii="Verdana" w:eastAsia="Calibri" w:hAnsi="Verdana" w:cs="Arial"/>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C73137">
        <w:rPr>
          <w:rFonts w:ascii="Verdana" w:eastAsia="Calibri" w:hAnsi="Verdana" w:cs="Arial"/>
          <w:i/>
          <w:lang w:val="es-ES"/>
        </w:rPr>
        <w:t>subordinación y dependencia,</w:t>
      </w:r>
      <w:r w:rsidRPr="00C73137">
        <w:rPr>
          <w:rFonts w:ascii="Verdana" w:eastAsia="Calibri" w:hAnsi="Verdana" w:cs="Arial"/>
          <w:lang w:val="es-ES"/>
        </w:rPr>
        <w:t xml:space="preserve"> que son elementos constitutivos del vínculo laboral. </w:t>
      </w:r>
      <w:r w:rsidRPr="00C73137">
        <w:rPr>
          <w:rFonts w:ascii="Verdana" w:eastAsia="Calibri" w:hAnsi="Verdana" w:cs="Arial"/>
          <w:i/>
          <w:iCs/>
          <w:lang w:val="es-ES"/>
        </w:rPr>
        <w:t>iv)</w:t>
      </w:r>
      <w:r w:rsidRPr="00C73137">
        <w:rPr>
          <w:rFonts w:ascii="Verdana" w:eastAsia="Calibri" w:hAnsi="Verdana" w:cs="Arial"/>
          <w:lang w:val="es-ES"/>
        </w:rPr>
        <w:t xml:space="preserve"> Debe ser temporal. </w:t>
      </w:r>
      <w:r w:rsidRPr="00C73137">
        <w:rPr>
          <w:rFonts w:ascii="Verdana" w:eastAsia="Calibri" w:hAnsi="Verdana" w:cs="Arial"/>
          <w:i/>
          <w:iCs/>
          <w:lang w:val="es-ES"/>
        </w:rPr>
        <w:t>v)</w:t>
      </w:r>
      <w:r w:rsidRPr="00C73137">
        <w:rPr>
          <w:rFonts w:ascii="Verdana" w:eastAsia="Calibri" w:hAnsi="Verdana" w:cs="Arial"/>
          <w:lang w:val="es-ES"/>
        </w:rPr>
        <w:t xml:space="preserve"> Hacen parte del género denominado </w:t>
      </w:r>
      <w:r w:rsidRPr="00C73137">
        <w:rPr>
          <w:rFonts w:ascii="Verdana" w:eastAsia="Calibri" w:hAnsi="Verdana" w:cs="Arial"/>
          <w:i/>
          <w:lang w:val="es-ES"/>
        </w:rPr>
        <w:t>contratos de prestación de servicios</w:t>
      </w:r>
      <w:r w:rsidRPr="00C73137">
        <w:rPr>
          <w:rFonts w:ascii="Verdana" w:eastAsia="Calibri" w:hAnsi="Verdana" w:cs="Arial"/>
          <w:lang w:val="es-ES"/>
        </w:rPr>
        <w:t xml:space="preserve">, dentro del cual también se ubican, como especies: los contratos de prestación de servicios profesionales, los contratos de prestación de servicios de apoyo a la gestión y los contratos de prestación de servicios artísticos. </w:t>
      </w:r>
      <w:r w:rsidRPr="00C73137">
        <w:rPr>
          <w:rFonts w:ascii="Verdana" w:eastAsia="Calibri" w:hAnsi="Verdana" w:cs="Arial"/>
          <w:i/>
          <w:iCs/>
          <w:lang w:val="es-ES"/>
        </w:rPr>
        <w:t>vi)</w:t>
      </w:r>
      <w:r w:rsidRPr="00C73137">
        <w:rPr>
          <w:rFonts w:ascii="Verdana" w:eastAsia="Calibri" w:hAnsi="Verdana" w:cs="Arial"/>
          <w:lang w:val="es-ES"/>
        </w:rPr>
        <w:t xml:space="preserve"> Su celebración debe realizarse a través de la modalidad de contratación directa. </w:t>
      </w:r>
      <w:r w:rsidRPr="00C73137">
        <w:rPr>
          <w:rFonts w:ascii="Verdana" w:eastAsia="Calibri" w:hAnsi="Verdana" w:cs="Arial"/>
          <w:i/>
          <w:iCs/>
          <w:lang w:val="es-ES"/>
        </w:rPr>
        <w:t>vii)</w:t>
      </w:r>
      <w:r w:rsidRPr="00C73137">
        <w:rPr>
          <w:rFonts w:ascii="Verdana" w:eastAsia="Calibri" w:hAnsi="Verdana" w:cs="Arial"/>
          <w:lang w:val="es-ES"/>
        </w:rPr>
        <w:t xml:space="preserve"> Para su celebración no se requiere la expedición del acto administrativo de justificación de la contratación directa. </w:t>
      </w:r>
      <w:r w:rsidRPr="00C73137">
        <w:rPr>
          <w:rFonts w:ascii="Verdana" w:eastAsia="Calibri" w:hAnsi="Verdana" w:cs="Arial"/>
          <w:i/>
          <w:iCs/>
          <w:lang w:val="es-ES"/>
        </w:rPr>
        <w:t>viii)</w:t>
      </w:r>
      <w:r w:rsidRPr="00C73137">
        <w:rPr>
          <w:rFonts w:ascii="Verdana" w:eastAsia="Calibri" w:hAnsi="Verdana" w:cs="Arial"/>
          <w:lang w:val="es-ES"/>
        </w:rPr>
        <w:t xml:space="preserve"> Admite el pacto de cláusulas excepcionales. </w:t>
      </w:r>
      <w:r w:rsidRPr="00C73137">
        <w:rPr>
          <w:rFonts w:ascii="Verdana" w:eastAsia="Calibri" w:hAnsi="Verdana" w:cs="Arial"/>
          <w:i/>
          <w:iCs/>
          <w:lang w:val="es-ES"/>
        </w:rPr>
        <w:t>ix)</w:t>
      </w:r>
      <w:r w:rsidRPr="00C73137">
        <w:rPr>
          <w:rFonts w:ascii="Verdana" w:eastAsia="Calibri" w:hAnsi="Verdana" w:cs="Arial"/>
          <w:lang w:val="es-ES"/>
        </w:rPr>
        <w:t xml:space="preserve"> En él no es obligatoria la liquidación. </w:t>
      </w:r>
      <w:r w:rsidRPr="00C73137">
        <w:rPr>
          <w:rFonts w:ascii="Verdana" w:eastAsia="Calibri" w:hAnsi="Verdana" w:cs="Arial"/>
          <w:i/>
          <w:iCs/>
          <w:lang w:val="es-ES"/>
        </w:rPr>
        <w:t xml:space="preserve">x) </w:t>
      </w:r>
      <w:r w:rsidRPr="00C73137">
        <w:rPr>
          <w:rFonts w:ascii="Verdana" w:eastAsia="Calibri" w:hAnsi="Verdana" w:cs="Arial"/>
          <w:lang w:val="es-ES"/>
        </w:rPr>
        <w:t xml:space="preserve">Para su celebración no se requiere inscripción en el Registro Único de Proponentes (RUP). </w:t>
      </w:r>
      <w:r w:rsidRPr="00C73137">
        <w:rPr>
          <w:rFonts w:ascii="Verdana" w:eastAsia="Calibri" w:hAnsi="Verdana" w:cs="Arial"/>
          <w:i/>
          <w:iCs/>
          <w:lang w:val="es-ES"/>
        </w:rPr>
        <w:t>xi)</w:t>
      </w:r>
      <w:r w:rsidRPr="00C73137">
        <w:rPr>
          <w:rFonts w:ascii="Verdana" w:eastAsia="Calibri" w:hAnsi="Verdana" w:cs="Arial"/>
          <w:lang w:val="es-ES"/>
        </w:rPr>
        <w:t xml:space="preserve"> En él no son necesarias las garantías.</w:t>
      </w:r>
      <w:bookmarkEnd w:id="1"/>
      <w:bookmarkEnd w:id="2"/>
    </w:p>
    <w:p w14:paraId="5085DD0C" w14:textId="77777777" w:rsidR="00357D00" w:rsidRPr="00C73137" w:rsidRDefault="00357D00" w:rsidP="00357D00">
      <w:pPr>
        <w:tabs>
          <w:tab w:val="left" w:pos="0"/>
        </w:tabs>
        <w:spacing w:before="120" w:after="0" w:line="276" w:lineRule="auto"/>
        <w:jc w:val="both"/>
        <w:rPr>
          <w:rFonts w:ascii="Verdana" w:eastAsia="Calibri" w:hAnsi="Verdana" w:cs="Arial"/>
          <w:color w:val="000000"/>
          <w:lang w:val="es-ES"/>
        </w:rPr>
      </w:pPr>
      <w:r w:rsidRPr="00C73137">
        <w:rPr>
          <w:rFonts w:ascii="Verdana" w:eastAsia="Calibri" w:hAnsi="Verdana" w:cs="Arial"/>
          <w:color w:val="EE0000"/>
          <w:lang w:val="es-ES"/>
        </w:rPr>
        <w:lastRenderedPageBreak/>
        <w:tab/>
      </w:r>
      <w:r w:rsidRPr="00C73137">
        <w:rPr>
          <w:rFonts w:ascii="Verdana" w:eastAsia="Calibri" w:hAnsi="Verdana" w:cs="Arial"/>
          <w:lang w:val="es-MX"/>
        </w:rPr>
        <w:t xml:space="preserve">Dentro de los tipos de contrato de prestación de servicios se incluyen </w:t>
      </w:r>
      <w:r w:rsidRPr="00C73137">
        <w:rPr>
          <w:rFonts w:ascii="Verdana" w:eastAsia="Calibri" w:hAnsi="Verdana" w:cs="Arial"/>
          <w:lang w:val="es-ES"/>
        </w:rPr>
        <w:t>los contratos de prestación de servicios profesionales, los contratos de prestación de servicios de apoyo a la gestión y los contratos de prestación de servicios artísticos que solo pueden encomendarse a determinadas personas naturales</w:t>
      </w:r>
      <w:r w:rsidRPr="00C73137">
        <w:rPr>
          <w:rFonts w:ascii="Verdana" w:eastAsia="Calibri" w:hAnsi="Verdana" w:cs="Arial"/>
          <w:vertAlign w:val="superscript"/>
          <w:lang w:val="es-ES_tradnl"/>
        </w:rPr>
        <w:footnoteReference w:id="1"/>
      </w:r>
      <w:r w:rsidRPr="00C73137">
        <w:rPr>
          <w:rFonts w:ascii="Verdana" w:eastAsia="Calibri" w:hAnsi="Verdana" w:cs="Arial"/>
          <w:lang w:val="es-MX"/>
        </w:rPr>
        <w:t xml:space="preserve">. </w:t>
      </w:r>
      <w:r w:rsidRPr="00C73137">
        <w:rPr>
          <w:rFonts w:ascii="Verdana" w:eastAsia="Calibri" w:hAnsi="Verdana" w:cs="Arial"/>
          <w:lang w:val="es-ES"/>
        </w:rPr>
        <w:t xml:space="preserve">La diferencia entre el contrato de prestación de servicios profesionales con las otras dos especies del género en el cual se ubican radica en su contenido intelectual intangible y, al mismo tiempo, en la formación profesional que se exige para desempeñar la labor. Así lo consideró el Consejo de Estado en </w:t>
      </w:r>
      <w:r w:rsidRPr="00C73137">
        <w:rPr>
          <w:rFonts w:ascii="Verdana" w:eastAsia="Calibri" w:hAnsi="Verdana" w:cs="Arial"/>
          <w:color w:val="000000"/>
          <w:lang w:val="es-ES"/>
        </w:rPr>
        <w:t>Sentencia de Unificación jurisprudencial del 2 de diciembre de 2013, al explicar que:</w:t>
      </w:r>
    </w:p>
    <w:p w14:paraId="3A7DE9BB" w14:textId="77777777" w:rsidR="00357D00" w:rsidRPr="00472251" w:rsidRDefault="00357D00" w:rsidP="00357D00">
      <w:pPr>
        <w:tabs>
          <w:tab w:val="left" w:pos="0"/>
        </w:tabs>
        <w:spacing w:after="0" w:line="276" w:lineRule="auto"/>
        <w:jc w:val="both"/>
        <w:rPr>
          <w:rFonts w:ascii="Verdana" w:eastAsia="Calibri" w:hAnsi="Verdana" w:cs="Arial"/>
          <w:color w:val="000000"/>
          <w:lang w:val="es-ES"/>
        </w:rPr>
      </w:pPr>
    </w:p>
    <w:p w14:paraId="0B7C72A5" w14:textId="77777777" w:rsidR="00357D00" w:rsidRDefault="00357D00" w:rsidP="00357D00">
      <w:pPr>
        <w:spacing w:after="0" w:line="240" w:lineRule="auto"/>
        <w:ind w:left="709" w:right="709"/>
        <w:jc w:val="both"/>
        <w:rPr>
          <w:rFonts w:ascii="Verdana" w:eastAsia="Calibri" w:hAnsi="Verdana" w:cs="Arial"/>
          <w:sz w:val="20"/>
          <w:szCs w:val="20"/>
          <w:lang w:val="es-ES_tradnl"/>
        </w:rPr>
      </w:pPr>
      <w:r w:rsidRPr="00472251">
        <w:rPr>
          <w:rFonts w:ascii="Verdana" w:eastAsia="Calibri" w:hAnsi="Verdana" w:cs="Arial"/>
          <w:color w:val="000000"/>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472251">
        <w:rPr>
          <w:rFonts w:ascii="Verdana" w:eastAsia="Calibri" w:hAnsi="Verdana" w:cs="Arial"/>
          <w:sz w:val="20"/>
          <w:szCs w:val="20"/>
          <w:vertAlign w:val="superscript"/>
          <w:lang w:val="es-ES_tradnl"/>
        </w:rPr>
        <w:footnoteReference w:id="2"/>
      </w:r>
      <w:r w:rsidRPr="00472251">
        <w:rPr>
          <w:rFonts w:ascii="Verdana" w:eastAsia="Calibri" w:hAnsi="Verdana" w:cs="Arial"/>
          <w:sz w:val="20"/>
          <w:szCs w:val="20"/>
          <w:lang w:val="es-ES_tradnl"/>
        </w:rPr>
        <w:t>.</w:t>
      </w:r>
    </w:p>
    <w:p w14:paraId="4046D0E6" w14:textId="77777777" w:rsidR="00357D00" w:rsidRDefault="00357D00" w:rsidP="00357D00">
      <w:pPr>
        <w:spacing w:after="0" w:line="276" w:lineRule="auto"/>
        <w:ind w:firstLine="709"/>
        <w:jc w:val="both"/>
        <w:rPr>
          <w:rFonts w:ascii="Verdana" w:hAnsi="Verdana" w:cs="Arial"/>
          <w:color w:val="000000" w:themeColor="text1"/>
          <w:lang w:val="es-ES_tradnl"/>
        </w:rPr>
      </w:pPr>
    </w:p>
    <w:p w14:paraId="77C8E0CB" w14:textId="77777777" w:rsidR="00357D00" w:rsidRPr="00C73137" w:rsidRDefault="00357D00" w:rsidP="00357D00">
      <w:pPr>
        <w:spacing w:after="0" w:line="276" w:lineRule="auto"/>
        <w:ind w:firstLine="709"/>
        <w:jc w:val="both"/>
        <w:rPr>
          <w:rFonts w:ascii="Verdana" w:hAnsi="Verdana" w:cs="Arial"/>
          <w:color w:val="000000" w:themeColor="text1"/>
          <w:lang w:val="es-ES_tradnl"/>
        </w:rPr>
      </w:pPr>
      <w:r w:rsidRPr="00C73137">
        <w:rPr>
          <w:rFonts w:ascii="Verdana" w:hAnsi="Verdana" w:cs="Arial"/>
          <w:color w:val="000000" w:themeColor="text1"/>
          <w:lang w:val="es-ES_tradnl"/>
        </w:rPr>
        <w:t xml:space="preserve">Lo expuesto, según la jurisprudencia citada, se diferencia del objeto del </w:t>
      </w:r>
      <w:r w:rsidRPr="00C73137">
        <w:rPr>
          <w:rFonts w:ascii="Verdana" w:hAnsi="Verdana" w:cs="Arial"/>
          <w:i/>
          <w:iCs/>
          <w:color w:val="000000" w:themeColor="text1"/>
          <w:lang w:val="es-ES_tradnl"/>
        </w:rPr>
        <w:t>contrato de prestación de servicios de apoyo a la gestión</w:t>
      </w:r>
      <w:r w:rsidRPr="00C73137">
        <w:rPr>
          <w:rFonts w:ascii="Verdana" w:hAnsi="Verdana" w:cs="Arial"/>
          <w:color w:val="000000" w:themeColor="text1"/>
          <w:lang w:val="es-ES_tradnl"/>
        </w:rPr>
        <w:t>, en los siguientes aspectos:</w:t>
      </w:r>
    </w:p>
    <w:p w14:paraId="7064B265" w14:textId="77777777" w:rsidR="00357D00" w:rsidRPr="00C73137" w:rsidRDefault="00357D00" w:rsidP="00357D00">
      <w:pPr>
        <w:spacing w:after="0" w:line="276" w:lineRule="auto"/>
        <w:ind w:firstLine="709"/>
        <w:jc w:val="both"/>
        <w:rPr>
          <w:rFonts w:ascii="Verdana" w:hAnsi="Verdana" w:cs="Arial"/>
          <w:color w:val="000000" w:themeColor="text1"/>
          <w:lang w:val="es-ES_tradnl"/>
        </w:rPr>
      </w:pPr>
    </w:p>
    <w:p w14:paraId="621CC733" w14:textId="77777777" w:rsidR="00357D00" w:rsidRPr="00A7405A" w:rsidRDefault="00357D00" w:rsidP="00357D00">
      <w:pPr>
        <w:spacing w:after="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512C8C5" w14:textId="77777777" w:rsidR="00357D00" w:rsidRPr="00A7405A" w:rsidRDefault="00357D00" w:rsidP="00357D00">
      <w:pPr>
        <w:spacing w:after="0" w:line="240" w:lineRule="auto"/>
        <w:ind w:left="709" w:right="709"/>
        <w:jc w:val="both"/>
        <w:rPr>
          <w:rFonts w:ascii="Verdana" w:hAnsi="Verdana" w:cs="Arial"/>
          <w:color w:val="000000" w:themeColor="text1"/>
          <w:sz w:val="20"/>
          <w:szCs w:val="20"/>
          <w:lang w:val="es-ES_tradnl"/>
        </w:rPr>
      </w:pPr>
    </w:p>
    <w:p w14:paraId="3CACEDDB" w14:textId="77777777" w:rsidR="00357D00" w:rsidRPr="00A7405A" w:rsidRDefault="00357D00" w:rsidP="00357D00">
      <w:pPr>
        <w:spacing w:after="0" w:line="240" w:lineRule="auto"/>
        <w:ind w:left="709" w:right="709"/>
        <w:jc w:val="both"/>
        <w:rPr>
          <w:rFonts w:ascii="Verdana" w:hAnsi="Verdana" w:cs="Arial"/>
          <w:color w:val="000000" w:themeColor="text1"/>
          <w:sz w:val="20"/>
          <w:szCs w:val="20"/>
          <w:lang w:val="es-ES"/>
        </w:rPr>
      </w:pPr>
      <w:r w:rsidRPr="00A7405A">
        <w:rPr>
          <w:rFonts w:ascii="Verdana" w:hAnsi="Verdana" w:cs="Arial"/>
          <w:color w:val="000000" w:themeColor="text1"/>
          <w:sz w:val="20"/>
          <w:szCs w:val="20"/>
          <w:lang w:val="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512DBE8D" w14:textId="77777777" w:rsidR="00357D00" w:rsidRDefault="00357D00" w:rsidP="00357D00">
      <w:pPr>
        <w:spacing w:after="0" w:line="240" w:lineRule="auto"/>
        <w:ind w:left="709" w:right="709"/>
        <w:jc w:val="both"/>
        <w:rPr>
          <w:rFonts w:ascii="Verdana" w:hAnsi="Verdana" w:cs="Arial"/>
          <w:color w:val="000000" w:themeColor="text1"/>
          <w:sz w:val="20"/>
          <w:szCs w:val="20"/>
          <w:lang w:val="es-ES_tradnl"/>
        </w:rPr>
      </w:pPr>
    </w:p>
    <w:p w14:paraId="62F418D0" w14:textId="77777777" w:rsidR="00357D00" w:rsidRPr="00A7405A" w:rsidRDefault="00357D00" w:rsidP="00357D00">
      <w:pPr>
        <w:spacing w:after="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A7405A">
        <w:rPr>
          <w:rFonts w:ascii="Verdana" w:hAnsi="Verdana" w:cs="Arial"/>
          <w:color w:val="000000" w:themeColor="text1"/>
          <w:sz w:val="20"/>
          <w:szCs w:val="20"/>
          <w:vertAlign w:val="superscript"/>
          <w:lang w:val="es-ES_tradnl"/>
        </w:rPr>
        <w:footnoteReference w:id="3"/>
      </w:r>
      <w:r w:rsidRPr="00A7405A">
        <w:rPr>
          <w:rFonts w:ascii="Verdana" w:hAnsi="Verdana" w:cs="Arial"/>
          <w:color w:val="000000" w:themeColor="text1"/>
          <w:sz w:val="20"/>
          <w:szCs w:val="20"/>
          <w:lang w:val="es-ES_tradnl"/>
        </w:rPr>
        <w:t>.</w:t>
      </w:r>
    </w:p>
    <w:p w14:paraId="4968CB7D" w14:textId="77777777" w:rsidR="00357D00" w:rsidRDefault="00357D00" w:rsidP="00357D00">
      <w:pPr>
        <w:spacing w:after="0" w:line="276" w:lineRule="auto"/>
        <w:ind w:firstLine="709"/>
        <w:jc w:val="both"/>
        <w:rPr>
          <w:rFonts w:ascii="Verdana" w:hAnsi="Verdana" w:cs="Arial"/>
          <w:color w:val="000000" w:themeColor="text1"/>
          <w:lang w:val="es-ES_tradnl"/>
        </w:rPr>
      </w:pPr>
    </w:p>
    <w:p w14:paraId="545351C7" w14:textId="77777777" w:rsidR="00357D00" w:rsidRPr="00C73137" w:rsidRDefault="00357D00" w:rsidP="00357D00">
      <w:pPr>
        <w:spacing w:after="120" w:line="276" w:lineRule="auto"/>
        <w:ind w:firstLine="709"/>
        <w:jc w:val="both"/>
        <w:rPr>
          <w:rFonts w:ascii="Verdana" w:hAnsi="Verdana" w:cs="Arial"/>
          <w:color w:val="000000" w:themeColor="text1"/>
          <w:lang w:val="es-MX"/>
        </w:rPr>
      </w:pPr>
      <w:r w:rsidRPr="00C73137">
        <w:rPr>
          <w:rFonts w:ascii="Verdana" w:hAnsi="Verdana" w:cs="Arial"/>
          <w:color w:val="000000" w:themeColor="text1"/>
          <w:lang w:val="es-ES_tradnl"/>
        </w:rPr>
        <w:t xml:space="preserve">En este sentido, el contrato de prestación de servicios </w:t>
      </w:r>
      <w:r w:rsidRPr="00C73137">
        <w:rPr>
          <w:rFonts w:ascii="Verdana" w:hAnsi="Verdana" w:cs="Arial"/>
          <w:i/>
          <w:iCs/>
          <w:color w:val="000000" w:themeColor="text1"/>
          <w:lang w:val="es-ES_tradnl"/>
        </w:rPr>
        <w:t>profesionales</w:t>
      </w:r>
      <w:r w:rsidRPr="00C73137">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C73137">
        <w:rPr>
          <w:rFonts w:ascii="Verdana" w:hAnsi="Verdana" w:cs="Arial"/>
          <w:i/>
          <w:iCs/>
          <w:color w:val="000000" w:themeColor="text1"/>
          <w:lang w:val="es-ES_tradnl"/>
        </w:rPr>
        <w:t>saber intelectivo cualificado.</w:t>
      </w:r>
      <w:r w:rsidRPr="00C73137">
        <w:rPr>
          <w:rFonts w:ascii="Verdana" w:hAnsi="Verdana" w:cs="Arial"/>
          <w:color w:val="000000" w:themeColor="text1"/>
          <w:lang w:val="es-ES_tradnl"/>
        </w:rPr>
        <w:t xml:space="preserve"> En cambio, los contratos de prestación de servicios de </w:t>
      </w:r>
      <w:r w:rsidRPr="00C73137">
        <w:rPr>
          <w:rFonts w:ascii="Verdana" w:hAnsi="Verdana" w:cs="Arial"/>
          <w:i/>
          <w:iCs/>
          <w:color w:val="000000" w:themeColor="text1"/>
          <w:lang w:val="es-ES_tradnl"/>
        </w:rPr>
        <w:t>apoyo a la gestión</w:t>
      </w:r>
      <w:r w:rsidRPr="00C73137">
        <w:rPr>
          <w:rFonts w:ascii="Verdana" w:hAnsi="Verdana" w:cs="Arial"/>
          <w:color w:val="000000" w:themeColor="text1"/>
          <w:lang w:val="es-ES_tradnl"/>
        </w:rPr>
        <w:t xml:space="preserve"> y de </w:t>
      </w:r>
      <w:r w:rsidRPr="00C73137">
        <w:rPr>
          <w:rFonts w:ascii="Verdana" w:hAnsi="Verdana" w:cs="Arial"/>
          <w:i/>
          <w:iCs/>
          <w:color w:val="000000" w:themeColor="text1"/>
          <w:lang w:val="es-ES_tradnl"/>
        </w:rPr>
        <w:t>servicios artísticos</w:t>
      </w:r>
      <w:r w:rsidRPr="00C73137">
        <w:rPr>
          <w:rFonts w:ascii="Verdana" w:hAnsi="Verdana" w:cs="Arial"/>
          <w:color w:val="000000" w:themeColor="text1"/>
          <w:lang w:val="es-ES_tradnl"/>
        </w:rPr>
        <w:t xml:space="preserve"> no involucran ese conocimiento profesional </w:t>
      </w:r>
      <w:r w:rsidRPr="00C73137">
        <w:rPr>
          <w:rFonts w:ascii="Verdana" w:hAnsi="Verdana" w:cs="Arial"/>
          <w:color w:val="000000" w:themeColor="text1"/>
          <w:lang w:val="es-MX"/>
        </w:rPr>
        <w:t xml:space="preserve">o especializados para su ejecución. En los contratos de apoyo a la gestión </w:t>
      </w:r>
      <w:r w:rsidRPr="00C73137">
        <w:rPr>
          <w:rFonts w:ascii="Verdana" w:hAnsi="Verdana" w:cs="Arial"/>
          <w:color w:val="000000" w:themeColor="text1"/>
          <w:lang w:val="es-ES_tradnl"/>
        </w:rPr>
        <w:t xml:space="preserve">el contratista desempeña un esfuerzo o actividad de apoyo, acompañamiento, o soporte, </w:t>
      </w:r>
      <w:r w:rsidRPr="00C73137">
        <w:rPr>
          <w:rFonts w:ascii="Verdana" w:hAnsi="Verdana" w:cs="Arial"/>
          <w:color w:val="000000" w:themeColor="text1"/>
          <w:lang w:val="es-MX"/>
        </w:rPr>
        <w:t xml:space="preserve">donde </w:t>
      </w:r>
      <w:r w:rsidRPr="00C73137">
        <w:rPr>
          <w:rFonts w:ascii="Verdana" w:hAnsi="Verdana" w:cs="Arial"/>
          <w:i/>
          <w:iCs/>
          <w:color w:val="000000" w:themeColor="text1"/>
          <w:lang w:val="es-MX"/>
        </w:rPr>
        <w:t>“</w:t>
      </w:r>
      <w:r w:rsidRPr="00C73137">
        <w:rPr>
          <w:rFonts w:ascii="Verdana" w:hAnsi="Verdana" w:cs="Arial"/>
          <w:i/>
          <w:iCs/>
          <w:color w:val="000000" w:themeColor="text1"/>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w:t>
      </w:r>
      <w:r w:rsidRPr="00C73137">
        <w:rPr>
          <w:rFonts w:ascii="Verdana" w:hAnsi="Verdana" w:cs="Arial"/>
          <w:color w:val="000000" w:themeColor="text1"/>
          <w:lang w:val="es-ES_tradnl"/>
        </w:rPr>
        <w:t>.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1B751131" w14:textId="77777777" w:rsidR="00357D00" w:rsidRPr="00C73137" w:rsidRDefault="00357D00" w:rsidP="00357D00">
      <w:pPr>
        <w:spacing w:after="120" w:line="276" w:lineRule="auto"/>
        <w:ind w:firstLine="708"/>
        <w:jc w:val="both"/>
        <w:rPr>
          <w:rFonts w:ascii="Verdana" w:eastAsia="Calibri" w:hAnsi="Verdana" w:cs="Arial"/>
        </w:rPr>
      </w:pPr>
      <w:r w:rsidRPr="00C73137">
        <w:rPr>
          <w:rFonts w:ascii="Verdana" w:hAnsi="Verdana"/>
          <w:lang w:eastAsia="es-MX"/>
        </w:rPr>
        <w:t xml:space="preserve">Así las cosas, esta </w:t>
      </w:r>
      <w:r>
        <w:rPr>
          <w:rFonts w:ascii="Verdana" w:hAnsi="Verdana"/>
          <w:lang w:eastAsia="es-MX"/>
        </w:rPr>
        <w:t>tipología contractual</w:t>
      </w:r>
      <w:r w:rsidRPr="00C73137">
        <w:rPr>
          <w:rFonts w:ascii="Verdana" w:hAnsi="Verdana"/>
          <w:lang w:eastAsia="es-MX"/>
        </w:rPr>
        <w:t xml:space="preserve"> se efectúa mediante la modalidad directa, conforme al literal h) del numeral 4 del artículo 2 de la Ley 1150 de 2007. A diferencia de los procesos competitivos donde se evalúan requisitos habilitantes y se otorgan puntajes, en la contratación directa la Entidad Estatal debe verificar la idoneidad y la capacidad del contratista. En efecto, el artículo 2.2.1.2.1.4.9. del Decreto 1082 de 2015 establece que las Entidades Estatales pueden contratar bajo esta modalidad con la persona natural o jurídica que esté en capacidad de ejecutar el objeto del contrato, siempre y cuando verifiquen la </w:t>
      </w:r>
      <w:r w:rsidRPr="00C73137">
        <w:rPr>
          <w:rFonts w:ascii="Verdana" w:hAnsi="Verdana"/>
          <w:lang w:eastAsia="es-MX"/>
        </w:rPr>
        <w:lastRenderedPageBreak/>
        <w:t xml:space="preserve">idoneidad o experiencia requerida y relacionada con el área de que se trate. Para verificar dicha idoneidad, las Entidades Estatales deberán fijar, en los documentos del proceso, como los estudios previos, los medios a través de los cuales el contratista debe acreditar dicha idoneidad. </w:t>
      </w:r>
    </w:p>
    <w:p w14:paraId="75214CBB" w14:textId="77777777" w:rsidR="00357D00" w:rsidRPr="00C73137" w:rsidRDefault="00357D00" w:rsidP="00357D00">
      <w:pPr>
        <w:spacing w:after="120" w:line="276" w:lineRule="auto"/>
        <w:jc w:val="both"/>
        <w:rPr>
          <w:rFonts w:ascii="Verdana" w:hAnsi="Verdana"/>
          <w:lang w:eastAsia="es-MX"/>
        </w:rPr>
      </w:pPr>
      <w:r w:rsidRPr="00C73137">
        <w:rPr>
          <w:rFonts w:ascii="Verdana" w:hAnsi="Verdana"/>
          <w:lang w:eastAsia="es-MX"/>
        </w:rPr>
        <w:t xml:space="preserve">       </w:t>
      </w:r>
      <w:r>
        <w:rPr>
          <w:rFonts w:ascii="Verdana" w:hAnsi="Verdana"/>
          <w:lang w:eastAsia="es-MX"/>
        </w:rPr>
        <w:tab/>
        <w:t>L</w:t>
      </w:r>
      <w:r w:rsidRPr="00C73137">
        <w:rPr>
          <w:rFonts w:ascii="Verdana" w:hAnsi="Verdana"/>
          <w:lang w:eastAsia="es-MX"/>
        </w:rPr>
        <w:t xml:space="preserve">a </w:t>
      </w:r>
      <w:r>
        <w:rPr>
          <w:rFonts w:ascii="Verdana" w:hAnsi="Verdana"/>
          <w:lang w:eastAsia="es-MX"/>
        </w:rPr>
        <w:t>“</w:t>
      </w:r>
      <w:r w:rsidRPr="00C73137">
        <w:rPr>
          <w:rFonts w:ascii="Verdana" w:hAnsi="Verdana"/>
          <w:i/>
          <w:lang w:eastAsia="es-MX"/>
        </w:rPr>
        <w:t xml:space="preserve">Guía para la </w:t>
      </w:r>
      <w:r w:rsidRPr="00C73137">
        <w:rPr>
          <w:rFonts w:ascii="Verdana" w:hAnsi="Verdana"/>
          <w:i/>
          <w:iCs/>
          <w:lang w:eastAsia="es-MX"/>
        </w:rPr>
        <w:t>Incorporación de Lineamientos de Integridad en la Contratación de prestación de Servicios</w:t>
      </w:r>
      <w:r>
        <w:rPr>
          <w:rFonts w:ascii="Verdana" w:hAnsi="Verdana"/>
          <w:i/>
          <w:iCs/>
          <w:lang w:eastAsia="es-MX"/>
        </w:rPr>
        <w:t>”</w:t>
      </w:r>
      <w:r w:rsidRPr="00C73137">
        <w:rPr>
          <w:rFonts w:ascii="Verdana" w:hAnsi="Verdana"/>
          <w:lang w:eastAsia="es-MX"/>
        </w:rPr>
        <w:t>, expedida por la Agencia de Contratación Pública – Colombia Compra Eficiente</w:t>
      </w:r>
      <w:r>
        <w:rPr>
          <w:rStyle w:val="Refdenotaalpie"/>
          <w:rFonts w:ascii="Verdana" w:hAnsi="Verdana"/>
          <w:lang w:eastAsia="es-MX"/>
        </w:rPr>
        <w:footnoteReference w:id="4"/>
      </w:r>
      <w:r w:rsidRPr="00C73137">
        <w:rPr>
          <w:rFonts w:ascii="Verdana" w:hAnsi="Verdana"/>
          <w:lang w:eastAsia="es-MX"/>
        </w:rPr>
        <w:t xml:space="preserve">, </w:t>
      </w:r>
      <w:r>
        <w:rPr>
          <w:rFonts w:ascii="Verdana" w:hAnsi="Verdana"/>
          <w:lang w:eastAsia="es-MX"/>
        </w:rPr>
        <w:t xml:space="preserve">señala </w:t>
      </w:r>
      <w:r w:rsidRPr="00C73137">
        <w:rPr>
          <w:rFonts w:ascii="Verdana" w:hAnsi="Verdana"/>
          <w:lang w:eastAsia="es-MX"/>
        </w:rPr>
        <w:t>en su</w:t>
      </w:r>
      <w:r>
        <w:rPr>
          <w:rFonts w:ascii="Verdana" w:hAnsi="Verdana"/>
          <w:lang w:eastAsia="es-MX"/>
        </w:rPr>
        <w:t xml:space="preserve">s Anexos 2 y 3 algunos de los documentos necesarios </w:t>
      </w:r>
      <w:r w:rsidRPr="00C73137">
        <w:rPr>
          <w:rFonts w:ascii="Verdana" w:hAnsi="Verdana"/>
          <w:lang w:eastAsia="es-MX"/>
        </w:rPr>
        <w:t xml:space="preserve">para </w:t>
      </w:r>
      <w:r>
        <w:rPr>
          <w:rFonts w:ascii="Verdana" w:hAnsi="Verdana"/>
          <w:lang w:eastAsia="es-MX"/>
        </w:rPr>
        <w:t xml:space="preserve">la </w:t>
      </w:r>
      <w:r w:rsidRPr="00C73137">
        <w:rPr>
          <w:rFonts w:ascii="Verdana" w:hAnsi="Verdana"/>
          <w:lang w:eastAsia="es-MX"/>
        </w:rPr>
        <w:t>suscri</w:t>
      </w:r>
      <w:r>
        <w:rPr>
          <w:rFonts w:ascii="Verdana" w:hAnsi="Verdana"/>
          <w:lang w:eastAsia="es-MX"/>
        </w:rPr>
        <w:t>pción de</w:t>
      </w:r>
      <w:r w:rsidRPr="00C73137">
        <w:rPr>
          <w:rFonts w:ascii="Verdana" w:hAnsi="Verdana"/>
          <w:lang w:eastAsia="es-MX"/>
        </w:rPr>
        <w:t xml:space="preserve"> contratos de prestación de servicios </w:t>
      </w:r>
      <w:r>
        <w:rPr>
          <w:rFonts w:ascii="Verdana" w:hAnsi="Verdana"/>
          <w:lang w:eastAsia="es-MX"/>
        </w:rPr>
        <w:t>por parte de personas naturales y personas jurídicas, respectivamente</w:t>
      </w:r>
      <w:r w:rsidRPr="00C73137">
        <w:rPr>
          <w:rFonts w:ascii="Verdana" w:hAnsi="Verdana"/>
          <w:lang w:eastAsia="es-MX"/>
        </w:rPr>
        <w:t xml:space="preserve">. </w:t>
      </w:r>
      <w:r>
        <w:rPr>
          <w:rFonts w:ascii="Verdana" w:hAnsi="Verdana"/>
          <w:lang w:eastAsia="es-MX"/>
        </w:rPr>
        <w:t>T</w:t>
      </w:r>
      <w:r w:rsidRPr="00C73137">
        <w:rPr>
          <w:rFonts w:ascii="Verdana" w:hAnsi="Verdana"/>
          <w:lang w:eastAsia="es-MX"/>
        </w:rPr>
        <w:t xml:space="preserve">ratándose de personas </w:t>
      </w:r>
      <w:r>
        <w:rPr>
          <w:rFonts w:ascii="Verdana" w:hAnsi="Verdana"/>
          <w:lang w:eastAsia="es-MX"/>
        </w:rPr>
        <w:t>naturales, a las que se refiere en su consulta</w:t>
      </w:r>
      <w:r w:rsidRPr="00C73137">
        <w:rPr>
          <w:rFonts w:ascii="Verdana" w:hAnsi="Verdana"/>
          <w:lang w:eastAsia="es-MX"/>
        </w:rPr>
        <w:t xml:space="preserve">, la Entidad Estatal debe verificar la </w:t>
      </w:r>
      <w:r>
        <w:rPr>
          <w:rFonts w:ascii="Verdana" w:hAnsi="Verdana"/>
          <w:lang w:eastAsia="es-MX"/>
        </w:rPr>
        <w:t>idoneidad del futuro contratista mediante la presentación de la hoja de vida en formato SIGEP, o en el formato que resulte aplicable, así como a través de los documentos que acrediten su formación académica</w:t>
      </w:r>
      <w:r w:rsidRPr="00C73137">
        <w:rPr>
          <w:rFonts w:ascii="Verdana" w:hAnsi="Verdana"/>
          <w:lang w:eastAsia="es-MX"/>
        </w:rPr>
        <w:t xml:space="preserve">. </w:t>
      </w:r>
    </w:p>
    <w:p w14:paraId="19898A29" w14:textId="77777777" w:rsidR="00357D00" w:rsidRDefault="00357D00" w:rsidP="00357D00">
      <w:pPr>
        <w:spacing w:after="120" w:line="276" w:lineRule="auto"/>
        <w:jc w:val="both"/>
        <w:rPr>
          <w:rFonts w:ascii="Verdana" w:hAnsi="Verdana"/>
          <w:lang w:eastAsia="es-MX"/>
        </w:rPr>
      </w:pPr>
      <w:r>
        <w:rPr>
          <w:rFonts w:ascii="Verdana" w:hAnsi="Verdana"/>
          <w:lang w:eastAsia="es-MX"/>
        </w:rPr>
        <w:tab/>
        <w:t>Igualmente</w:t>
      </w:r>
      <w:r w:rsidRPr="00C73137">
        <w:rPr>
          <w:rFonts w:ascii="Verdana" w:hAnsi="Verdana"/>
          <w:lang w:eastAsia="es-MX"/>
        </w:rPr>
        <w:t>, la Entidad Estatal tiene el deber de verificar que el contratista no se encuentre incurso en causales de inhabilidad o incompatibilidad, para lo cual debe consultar los antecedentes fiscales ante la Contraloría, disciplinarios ante la Procuraduría y judiciales ante la Policía Nacional</w:t>
      </w:r>
      <w:r>
        <w:rPr>
          <w:rFonts w:ascii="Verdana" w:hAnsi="Verdana"/>
          <w:lang w:eastAsia="es-MX"/>
        </w:rPr>
        <w:t xml:space="preserve">, entre otros, lo cual se acreditará con: el </w:t>
      </w:r>
      <w:r w:rsidRPr="00A50A41">
        <w:rPr>
          <w:rFonts w:ascii="Verdana" w:hAnsi="Verdana"/>
          <w:lang w:eastAsia="es-MX"/>
        </w:rPr>
        <w:t>Certificado de Antecedentes Disciplinarios (Procuraduría General de la Nación)</w:t>
      </w:r>
      <w:r>
        <w:rPr>
          <w:rFonts w:ascii="Verdana" w:hAnsi="Verdana"/>
          <w:lang w:eastAsia="es-MX"/>
        </w:rPr>
        <w:t xml:space="preserve">; el </w:t>
      </w:r>
      <w:r w:rsidRPr="00A50A41">
        <w:rPr>
          <w:rFonts w:ascii="Verdana" w:hAnsi="Verdana"/>
          <w:lang w:eastAsia="es-MX"/>
        </w:rPr>
        <w:t>Boletín de antecedentes fiscales (Contraloría General de la República)</w:t>
      </w:r>
      <w:r>
        <w:rPr>
          <w:rFonts w:ascii="Verdana" w:hAnsi="Verdana"/>
          <w:lang w:eastAsia="es-MX"/>
        </w:rPr>
        <w:t xml:space="preserve">; el </w:t>
      </w:r>
      <w:r w:rsidRPr="00C91457">
        <w:rPr>
          <w:rFonts w:ascii="Verdana" w:hAnsi="Verdana"/>
          <w:lang w:eastAsia="es-MX"/>
        </w:rPr>
        <w:t>Certificado de antecedentes judiciales</w:t>
      </w:r>
      <w:r>
        <w:rPr>
          <w:rFonts w:ascii="Verdana" w:hAnsi="Verdana"/>
          <w:lang w:eastAsia="es-MX"/>
        </w:rPr>
        <w:t xml:space="preserve">; el </w:t>
      </w:r>
      <w:r w:rsidRPr="00492B2B">
        <w:rPr>
          <w:rFonts w:ascii="Verdana" w:hAnsi="Verdana"/>
          <w:lang w:eastAsia="es-MX"/>
        </w:rPr>
        <w:t>Certificado de Registro Nacional de Medidas Correctivas – RNMC</w:t>
      </w:r>
      <w:r>
        <w:rPr>
          <w:rFonts w:ascii="Verdana" w:hAnsi="Verdana"/>
          <w:lang w:eastAsia="es-MX"/>
        </w:rPr>
        <w:t xml:space="preserve">; el </w:t>
      </w:r>
      <w:r w:rsidRPr="00492B2B">
        <w:rPr>
          <w:rFonts w:ascii="Verdana" w:hAnsi="Verdana"/>
          <w:lang w:eastAsia="es-MX"/>
        </w:rPr>
        <w:t>Certificado de antecedentes disciplinarios profesionales</w:t>
      </w:r>
      <w:r w:rsidRPr="00C73137">
        <w:rPr>
          <w:rFonts w:ascii="Verdana" w:hAnsi="Verdana"/>
          <w:lang w:eastAsia="es-MX"/>
        </w:rPr>
        <w:t>. Asimismo, para la ejecución del contrato, es indispensable verificar la afiliación y pago de aportes al Sistema de Seguridad Social Integral y parafiscales, si a ello hubiere lugar, conforme a las normas vigentes</w:t>
      </w:r>
      <w:r>
        <w:rPr>
          <w:rFonts w:ascii="Verdana" w:hAnsi="Verdana"/>
          <w:lang w:eastAsia="es-MX"/>
        </w:rPr>
        <w:t>, el cual se acreditará con la C</w:t>
      </w:r>
      <w:r w:rsidRPr="00FD4D8A">
        <w:rPr>
          <w:rFonts w:ascii="Verdana" w:hAnsi="Verdana"/>
          <w:lang w:eastAsia="es-MX"/>
        </w:rPr>
        <w:t>ertificación de afiliación al Sistema de Seguridad Social Integral o cualquier documento donde se</w:t>
      </w:r>
      <w:r>
        <w:rPr>
          <w:rFonts w:ascii="Verdana" w:hAnsi="Verdana"/>
          <w:lang w:eastAsia="es-MX"/>
        </w:rPr>
        <w:t xml:space="preserve"> </w:t>
      </w:r>
      <w:r w:rsidRPr="006043A8">
        <w:rPr>
          <w:rFonts w:ascii="Verdana" w:hAnsi="Verdana"/>
          <w:lang w:eastAsia="es-MX"/>
        </w:rPr>
        <w:t>acredite la respectiva afiliación</w:t>
      </w:r>
      <w:r>
        <w:rPr>
          <w:rFonts w:ascii="Verdana" w:hAnsi="Verdana"/>
          <w:lang w:eastAsia="es-MX"/>
        </w:rPr>
        <w:t xml:space="preserve">. </w:t>
      </w:r>
    </w:p>
    <w:p w14:paraId="4C8613D8" w14:textId="77777777" w:rsidR="00357D00" w:rsidRPr="00C73137" w:rsidRDefault="00357D00" w:rsidP="00357D00">
      <w:pPr>
        <w:spacing w:after="120" w:line="276" w:lineRule="auto"/>
        <w:ind w:firstLine="708"/>
        <w:jc w:val="both"/>
        <w:rPr>
          <w:rFonts w:ascii="Verdana" w:hAnsi="Verdana"/>
          <w:lang w:eastAsia="es-MX"/>
        </w:rPr>
      </w:pPr>
      <w:r>
        <w:rPr>
          <w:rFonts w:ascii="Verdana" w:hAnsi="Verdana"/>
          <w:lang w:eastAsia="es-MX"/>
        </w:rPr>
        <w:t xml:space="preserve">No obstante, es importante precisar que la lista contenida en el Anexo 2 de la citada Guía es apenas enunciativa, pues la Entidad podrá solicitar los demás </w:t>
      </w:r>
      <w:r>
        <w:rPr>
          <w:rFonts w:ascii="Verdana" w:hAnsi="Verdana"/>
          <w:lang w:eastAsia="es-MX"/>
        </w:rPr>
        <w:lastRenderedPageBreak/>
        <w:t xml:space="preserve">documentos que considere necesarios para la acreditación de la idoneidad, la experiencia o demás requisitos exigidos para la ejecución del contrato requerida. </w:t>
      </w:r>
    </w:p>
    <w:p w14:paraId="4EB43436" w14:textId="77777777" w:rsidR="00357D00" w:rsidRDefault="00357D00" w:rsidP="00357D00">
      <w:pPr>
        <w:spacing w:after="120" w:line="276" w:lineRule="auto"/>
        <w:ind w:firstLine="708"/>
        <w:jc w:val="both"/>
        <w:rPr>
          <w:rFonts w:ascii="Verdana" w:hAnsi="Verdana"/>
          <w:lang w:eastAsia="es-MX"/>
        </w:rPr>
      </w:pPr>
      <w:r>
        <w:rPr>
          <w:rFonts w:ascii="Verdana" w:hAnsi="Verdana"/>
          <w:lang w:eastAsia="es-MX"/>
        </w:rPr>
        <w:t xml:space="preserve">Ahora bien, en relación con su consulta, es pertinente señalar que, esta verificación de requisitos, los cuales deben estar definidos en los documentos precontractuales, así como sus medios de verificación, deberá realizarla la Entidad cada vez que pretenda suscribir un contrato de prestación de servicios con un mismo contratista, independientemente si este ya ha estado o no vinculado a la Entidad por medio de esta tipología de contratación o por otra. </w:t>
      </w:r>
    </w:p>
    <w:p w14:paraId="7243E749" w14:textId="77777777" w:rsidR="00357D00" w:rsidRDefault="00357D00" w:rsidP="00357D00">
      <w:pPr>
        <w:spacing w:after="120" w:line="276" w:lineRule="auto"/>
        <w:ind w:firstLine="708"/>
        <w:jc w:val="both"/>
        <w:rPr>
          <w:rFonts w:ascii="Verdana" w:hAnsi="Verdana"/>
          <w:lang w:eastAsia="es-MX"/>
        </w:rPr>
      </w:pPr>
      <w:r>
        <w:rPr>
          <w:rFonts w:ascii="Verdana" w:hAnsi="Verdana"/>
          <w:lang w:eastAsia="es-MX"/>
        </w:rPr>
        <w:t>Frente a</w:t>
      </w:r>
      <w:r w:rsidRPr="00F3204D">
        <w:rPr>
          <w:rFonts w:ascii="Verdana" w:hAnsi="Verdana"/>
          <w:lang w:eastAsia="es-MX"/>
        </w:rPr>
        <w:t>l alcance de la facultad de las Entidades Estatales para solicitar la actualización de documentos a los contratistas por prestación de servicios en contratos de corta duración y celebrados de manera recurrente</w:t>
      </w:r>
      <w:r>
        <w:rPr>
          <w:rFonts w:ascii="Verdana" w:hAnsi="Verdana"/>
          <w:lang w:eastAsia="es-MX"/>
        </w:rPr>
        <w:t xml:space="preserve">, y los </w:t>
      </w:r>
      <w:r w:rsidRPr="00F3204D">
        <w:rPr>
          <w:rFonts w:ascii="Verdana" w:hAnsi="Verdana"/>
          <w:lang w:eastAsia="es-MX"/>
        </w:rPr>
        <w:t xml:space="preserve">criterios para determinar la periodicidad con que dichos documentos deben renovarse </w:t>
      </w:r>
      <w:r>
        <w:rPr>
          <w:rFonts w:ascii="Verdana" w:hAnsi="Verdana"/>
          <w:lang w:eastAsia="es-MX"/>
        </w:rPr>
        <w:t xml:space="preserve">debe indicarse que no existe un norma general que establezca la obligación de actualizar todos los documentos en una periodicidad determinada, sino que esta corresponderá a la naturaleza del documento, de su vigencia y de las necesidades de verificación definidas por la Entidad contratante. </w:t>
      </w:r>
    </w:p>
    <w:p w14:paraId="320CDC66" w14:textId="77777777" w:rsidR="00357D00" w:rsidRDefault="00357D00" w:rsidP="00357D00">
      <w:pPr>
        <w:spacing w:after="120" w:line="276" w:lineRule="auto"/>
        <w:ind w:firstLine="708"/>
        <w:jc w:val="both"/>
        <w:rPr>
          <w:rFonts w:ascii="Verdana" w:hAnsi="Verdana"/>
          <w:lang w:eastAsia="es-MX"/>
        </w:rPr>
      </w:pPr>
      <w:r>
        <w:rPr>
          <w:rFonts w:ascii="Verdana" w:hAnsi="Verdana"/>
          <w:lang w:eastAsia="es-MX"/>
        </w:rPr>
        <w:t xml:space="preserve">Por lo tanto, cuando una Entidad celebra contratos de prestación de servicios con una misma persona de forma recurrente, pude solicitar nuevamente aquellos documentos cuya información pueda variar con el tiempo o cuya actualización sea necesaria, porque las condiciones que pretende acreditarse con los mismos pueden cambiar en el corto plazo. Tal es el caso de las certificaciones bancarias, de la afiliación al Sistema de Seguridad Social o de los documentos relacionados con obligaciones tributarias, cuando la Entidad considere necesario verificar que la información se encuentra vigente al momento de suscribir el contrato. </w:t>
      </w:r>
    </w:p>
    <w:p w14:paraId="326FF8B7" w14:textId="77777777" w:rsidR="00357D00" w:rsidRPr="00EC25B9" w:rsidRDefault="00357D00" w:rsidP="00357D00">
      <w:pPr>
        <w:spacing w:after="120" w:line="276" w:lineRule="auto"/>
        <w:ind w:firstLine="708"/>
        <w:jc w:val="both"/>
        <w:rPr>
          <w:rFonts w:ascii="Verdana" w:hAnsi="Verdana"/>
          <w:lang w:eastAsia="es-MX"/>
        </w:rPr>
      </w:pPr>
      <w:r w:rsidRPr="00EC25B9">
        <w:rPr>
          <w:rFonts w:ascii="Verdana" w:hAnsi="Verdana"/>
          <w:lang w:eastAsia="es-MX"/>
        </w:rPr>
        <w:t xml:space="preserve">No obstante, en aplicación de los principios de </w:t>
      </w:r>
      <w:r w:rsidRPr="006002B5">
        <w:rPr>
          <w:rFonts w:ascii="Verdana" w:hAnsi="Verdana"/>
          <w:lang w:eastAsia="es-MX"/>
        </w:rPr>
        <w:t>economía, eficiencia y racionalización de trámites</w:t>
      </w:r>
      <w:r w:rsidRPr="00EC25B9">
        <w:rPr>
          <w:rFonts w:ascii="Verdana" w:hAnsi="Verdana"/>
          <w:lang w:eastAsia="es-MX"/>
        </w:rPr>
        <w:t>, la Entidad debería valorar si determinados documentos que reposan en sus archivos y cuya información permanecen inalterados requieren realmente una nueva presentación, especialmente cuando se trata del mismo contratista y de contrataciones sucesivas. La exigencia documental debe responder a una finalidad legítima de verificación y no constituir una carga innecesaria para el particular.</w:t>
      </w:r>
    </w:p>
    <w:p w14:paraId="0CA55F26" w14:textId="77777777" w:rsidR="00357D00" w:rsidRPr="00C73137" w:rsidRDefault="00357D00" w:rsidP="00357D00">
      <w:pPr>
        <w:spacing w:after="0" w:line="276" w:lineRule="auto"/>
        <w:ind w:firstLine="708"/>
        <w:jc w:val="both"/>
        <w:rPr>
          <w:rFonts w:ascii="Verdana" w:hAnsi="Verdana"/>
          <w:lang w:eastAsia="es-MX"/>
        </w:rPr>
      </w:pPr>
      <w:r w:rsidRPr="002A3130">
        <w:rPr>
          <w:rFonts w:ascii="Verdana" w:eastAsia="Century Gothic" w:hAnsi="Verdana" w:cs="Century Gothic"/>
          <w:color w:val="000000" w:themeColor="text1"/>
        </w:rPr>
        <w:t xml:space="preserve">Dentro de este marco, la entidad contratante definirá en cada caso concreto lo relacionado con el tema objeto de consulta. Al tratarse de un análisis </w:t>
      </w:r>
      <w:r w:rsidRPr="002A3130">
        <w:rPr>
          <w:rFonts w:ascii="Verdana" w:eastAsia="Century Gothic" w:hAnsi="Verdana" w:cs="Century Gothic"/>
          <w:color w:val="000000" w:themeColor="text1"/>
        </w:rPr>
        <w:lastRenderedPageBreak/>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3F3FE00A" w14:textId="77777777" w:rsidR="00357D00" w:rsidRPr="004644D6" w:rsidRDefault="00357D00" w:rsidP="00357D00">
      <w:pPr>
        <w:spacing w:after="0" w:line="276" w:lineRule="auto"/>
        <w:jc w:val="both"/>
        <w:rPr>
          <w:rFonts w:ascii="Verdana" w:hAnsi="Verdana"/>
          <w:lang w:eastAsia="es-MX"/>
        </w:rPr>
      </w:pPr>
    </w:p>
    <w:p w14:paraId="1082B20F" w14:textId="77777777" w:rsidR="00357D00" w:rsidRPr="00593A5F" w:rsidRDefault="00357D00" w:rsidP="00357D0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0F59570" w14:textId="77777777" w:rsidR="00357D00" w:rsidRPr="00593A5F" w:rsidRDefault="00357D00" w:rsidP="00357D0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7D00" w:rsidRPr="00593A5F" w14:paraId="1AF1CB0C" w14:textId="77777777" w:rsidTr="00452A67">
        <w:trPr>
          <w:trHeight w:val="86"/>
        </w:trPr>
        <w:tc>
          <w:tcPr>
            <w:tcW w:w="8647" w:type="dxa"/>
          </w:tcPr>
          <w:p w14:paraId="68728EB3" w14:textId="77777777" w:rsidR="00357D00" w:rsidRPr="00951555" w:rsidRDefault="00357D00" w:rsidP="00357D00">
            <w:pPr>
              <w:pStyle w:val="Prrafodelista"/>
              <w:widowControl w:val="0"/>
              <w:numPr>
                <w:ilvl w:val="0"/>
                <w:numId w:val="2"/>
              </w:numPr>
              <w:autoSpaceDE w:val="0"/>
              <w:autoSpaceDN w:val="0"/>
              <w:spacing w:line="276" w:lineRule="auto"/>
              <w:contextualSpacing w:val="0"/>
              <w:rPr>
                <w:rFonts w:ascii="Verdana" w:hAnsi="Verdana" w:cs="Arial"/>
              </w:rPr>
            </w:pPr>
            <w:r w:rsidRPr="00951555">
              <w:rPr>
                <w:rFonts w:ascii="Verdana" w:hAnsi="Verdana"/>
              </w:rPr>
              <w:t>Ley 80 de 1993</w:t>
            </w:r>
            <w:r>
              <w:rPr>
                <w:rFonts w:ascii="Verdana" w:hAnsi="Verdana"/>
              </w:rPr>
              <w:t xml:space="preserve">, </w:t>
            </w:r>
            <w:r w:rsidRPr="00951555">
              <w:rPr>
                <w:rFonts w:ascii="Verdana" w:hAnsi="Verdana"/>
              </w:rPr>
              <w:t>Artículos 32 numeral 3, 14 numeral 2, 60.</w:t>
            </w:r>
          </w:p>
          <w:p w14:paraId="0DD95EE5" w14:textId="77777777" w:rsidR="00357D00" w:rsidRPr="00EC25B9" w:rsidRDefault="00357D00" w:rsidP="00357D00">
            <w:pPr>
              <w:pStyle w:val="Prrafodelista"/>
              <w:widowControl w:val="0"/>
              <w:numPr>
                <w:ilvl w:val="0"/>
                <w:numId w:val="2"/>
              </w:numPr>
              <w:autoSpaceDE w:val="0"/>
              <w:autoSpaceDN w:val="0"/>
              <w:spacing w:line="276" w:lineRule="auto"/>
              <w:contextualSpacing w:val="0"/>
              <w:rPr>
                <w:rFonts w:ascii="Verdana" w:hAnsi="Verdana" w:cs="Arial"/>
              </w:rPr>
            </w:pPr>
            <w:r w:rsidRPr="00EC25B9">
              <w:rPr>
                <w:rFonts w:ascii="Verdana" w:hAnsi="Verdana"/>
              </w:rPr>
              <w:t>Ley 190 de 1995, Artículo 1</w:t>
            </w:r>
            <w:r>
              <w:rPr>
                <w:rFonts w:ascii="Verdana" w:hAnsi="Verdana"/>
              </w:rPr>
              <w:t>.</w:t>
            </w:r>
          </w:p>
          <w:p w14:paraId="671A2B6A" w14:textId="77777777" w:rsidR="00357D00" w:rsidRPr="00951555" w:rsidRDefault="00357D00" w:rsidP="00357D00">
            <w:pPr>
              <w:pStyle w:val="Prrafodelista"/>
              <w:widowControl w:val="0"/>
              <w:numPr>
                <w:ilvl w:val="0"/>
                <w:numId w:val="2"/>
              </w:numPr>
              <w:autoSpaceDE w:val="0"/>
              <w:autoSpaceDN w:val="0"/>
              <w:spacing w:line="276" w:lineRule="auto"/>
              <w:contextualSpacing w:val="0"/>
              <w:rPr>
                <w:rFonts w:ascii="Verdana" w:hAnsi="Verdana" w:cs="Arial"/>
              </w:rPr>
            </w:pPr>
            <w:r w:rsidRPr="00951555">
              <w:rPr>
                <w:rFonts w:ascii="Verdana" w:hAnsi="Verdana"/>
              </w:rPr>
              <w:t>Ley 1150 de 200</w:t>
            </w:r>
            <w:r>
              <w:rPr>
                <w:rFonts w:ascii="Verdana" w:hAnsi="Verdana"/>
              </w:rPr>
              <w:t xml:space="preserve">, </w:t>
            </w:r>
            <w:r w:rsidRPr="00951555">
              <w:rPr>
                <w:rFonts w:ascii="Verdana" w:hAnsi="Verdana"/>
              </w:rPr>
              <w:t>Artículo 2 numeral 4, literal h</w:t>
            </w:r>
            <w:r>
              <w:rPr>
                <w:rFonts w:ascii="Verdana" w:hAnsi="Verdana"/>
              </w:rPr>
              <w:t>.</w:t>
            </w:r>
          </w:p>
          <w:p w14:paraId="7200727F" w14:textId="77777777" w:rsidR="00357D00" w:rsidRPr="00951555" w:rsidRDefault="00357D00" w:rsidP="00357D00">
            <w:pPr>
              <w:pStyle w:val="Prrafodelista"/>
              <w:widowControl w:val="0"/>
              <w:numPr>
                <w:ilvl w:val="0"/>
                <w:numId w:val="2"/>
              </w:numPr>
              <w:autoSpaceDE w:val="0"/>
              <w:autoSpaceDN w:val="0"/>
              <w:spacing w:line="276" w:lineRule="auto"/>
              <w:contextualSpacing w:val="0"/>
              <w:rPr>
                <w:rFonts w:ascii="Verdana" w:hAnsi="Verdana" w:cs="Arial"/>
              </w:rPr>
            </w:pPr>
            <w:r w:rsidRPr="00951555">
              <w:rPr>
                <w:rFonts w:ascii="Verdana" w:hAnsi="Verdana"/>
              </w:rPr>
              <w:t>Decreto 1082 de 2015</w:t>
            </w:r>
            <w:r>
              <w:rPr>
                <w:rFonts w:ascii="Verdana" w:hAnsi="Verdana"/>
              </w:rPr>
              <w:t xml:space="preserve">, </w:t>
            </w:r>
            <w:r w:rsidRPr="00951555">
              <w:rPr>
                <w:rFonts w:ascii="Verdana" w:hAnsi="Verdana"/>
              </w:rPr>
              <w:t>Artículo 2.2.1.2.1.4.9</w:t>
            </w:r>
            <w:r>
              <w:rPr>
                <w:rFonts w:ascii="Verdana" w:hAnsi="Verdana"/>
              </w:rPr>
              <w:t>.</w:t>
            </w:r>
          </w:p>
          <w:p w14:paraId="16356F0C" w14:textId="77777777" w:rsidR="00357D00" w:rsidRPr="006002B5" w:rsidRDefault="00357D00" w:rsidP="00357D00">
            <w:pPr>
              <w:pStyle w:val="Prrafodelista"/>
              <w:widowControl w:val="0"/>
              <w:numPr>
                <w:ilvl w:val="0"/>
                <w:numId w:val="2"/>
              </w:numPr>
              <w:autoSpaceDE w:val="0"/>
              <w:autoSpaceDN w:val="0"/>
              <w:spacing w:line="276" w:lineRule="auto"/>
              <w:contextualSpacing w:val="0"/>
              <w:jc w:val="both"/>
              <w:rPr>
                <w:rFonts w:ascii="Verdana" w:hAnsi="Verdana"/>
              </w:rPr>
            </w:pPr>
            <w:r>
              <w:rPr>
                <w:rFonts w:ascii="Verdana" w:hAnsi="Verdana"/>
              </w:rPr>
              <w:t xml:space="preserve">Agencia Nacional de Contratación Pública – Colombia Compra Eficiente. </w:t>
            </w:r>
            <w:r w:rsidRPr="00EC25B9">
              <w:rPr>
                <w:rFonts w:ascii="Verdana" w:hAnsi="Verdana"/>
              </w:rPr>
              <w:t>Guía para la Incorporación de Lineamientos de Integridad en la Contratación de Prestación de Servicios.</w:t>
            </w:r>
            <w:r w:rsidRPr="004644D6">
              <w:rPr>
                <w:rFonts w:ascii="Verdana" w:hAnsi="Verdana"/>
              </w:rPr>
              <w:t xml:space="preserve"> Disponible en: </w:t>
            </w:r>
            <w:hyperlink r:id="rId12" w:history="1">
              <w:r w:rsidRPr="00EC08F0">
                <w:rPr>
                  <w:rStyle w:val="Hipervnculo"/>
                  <w:rFonts w:ascii="Verdana" w:hAnsi="Verdana"/>
                </w:rPr>
                <w:t>https://operaciones.colombiacompra.gov.co/sites/cce_public/files/cce_documents/cce-eicp-gi-23_guia_contratacion_prestacion_de_servicios_v1_11-07-2023_def_1_1.pdf</w:t>
              </w:r>
            </w:hyperlink>
          </w:p>
        </w:tc>
      </w:tr>
    </w:tbl>
    <w:p w14:paraId="49073ADD" w14:textId="77777777" w:rsidR="00357D00" w:rsidRPr="00593A5F" w:rsidRDefault="00357D00" w:rsidP="00357D00">
      <w:pPr>
        <w:widowControl w:val="0"/>
        <w:autoSpaceDE w:val="0"/>
        <w:autoSpaceDN w:val="0"/>
        <w:spacing w:after="0" w:line="276" w:lineRule="auto"/>
        <w:jc w:val="both"/>
        <w:rPr>
          <w:rFonts w:ascii="Verdana" w:hAnsi="Verdana" w:cs="Arial"/>
        </w:rPr>
      </w:pPr>
    </w:p>
    <w:p w14:paraId="356A1045" w14:textId="77777777" w:rsidR="00357D00" w:rsidRPr="00AC4C54" w:rsidRDefault="00357D00" w:rsidP="00357D0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0FEF4B1" w14:textId="77777777" w:rsidR="00357D00" w:rsidRDefault="00357D00" w:rsidP="00357D0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FFE0B09" w14:textId="77777777" w:rsidR="00357D00" w:rsidRPr="00C92459" w:rsidRDefault="00357D00" w:rsidP="00357D00">
      <w:pPr>
        <w:widowControl w:val="0"/>
        <w:autoSpaceDE w:val="0"/>
        <w:autoSpaceDN w:val="0"/>
        <w:spacing w:after="0" w:line="276" w:lineRule="auto"/>
        <w:jc w:val="both"/>
        <w:rPr>
          <w:rFonts w:ascii="Verdana" w:eastAsia="Arial" w:hAnsi="Verdana" w:cs="Arial"/>
          <w:lang w:val="es-MX"/>
        </w:rPr>
      </w:pPr>
      <w:r w:rsidRPr="00152466">
        <w:rPr>
          <w:rFonts w:ascii="Verdana" w:hAnsi="Verdana" w:cs="Arial"/>
          <w:shd w:val="clear" w:color="auto" w:fill="FFFFFF"/>
          <w:lang w:val="es-ES"/>
        </w:rPr>
        <w:t>Sobre los contratos de prestación de servicios, esta Subdirección se ha referido en los Conceptos Nro. C−293 del 12 de mayo de 2020, C−313 del 21 de mayo de 2020, C−345 del 21 de mayo de 2020, C−359 del 04de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C-372 del 26 de Agosto 2024, C-904 del 9 de diciembre de 2024, C-754 del 4 de diciembre de 2024, C-363 del 15 de abril de 2025</w:t>
      </w:r>
      <w:r w:rsidRPr="00152466">
        <w:rPr>
          <w:rFonts w:ascii="Verdana" w:hAnsi="Verdana" w:cs="Arial"/>
          <w:lang w:val="es-ES"/>
        </w:rPr>
        <w:t>, C-441 del 16 de mayo de 2025, C-517 del 27 de mayo de 2025</w:t>
      </w:r>
      <w:r>
        <w:rPr>
          <w:rFonts w:ascii="Verdana" w:hAnsi="Verdana" w:cs="Arial"/>
          <w:lang w:val="es-ES"/>
        </w:rPr>
        <w:t xml:space="preserve">, </w:t>
      </w:r>
      <w:r w:rsidRPr="00152466">
        <w:rPr>
          <w:rFonts w:ascii="Verdana" w:hAnsi="Verdana" w:cs="Arial"/>
          <w:lang w:val="es-ES"/>
        </w:rPr>
        <w:t>C- 578 del 24 de junio del 2025</w:t>
      </w:r>
      <w:r>
        <w:rPr>
          <w:rFonts w:ascii="Verdana" w:hAnsi="Verdana" w:cs="Arial"/>
          <w:lang w:val="es-ES"/>
        </w:rPr>
        <w:t xml:space="preserve">, y C-151 del 12 de marzo de 2026 </w:t>
      </w:r>
      <w:r>
        <w:rPr>
          <w:rFonts w:ascii="Verdana" w:eastAsia="Arial" w:hAnsi="Verdana" w:cs="Arial"/>
          <w:lang w:val="es-ES"/>
        </w:rPr>
        <w:t xml:space="preserve">. </w:t>
      </w:r>
      <w:r w:rsidRPr="00FF007A">
        <w:rPr>
          <w:rFonts w:ascii="Verdana" w:hAnsi="Verdana" w:cs="Arial"/>
        </w:rPr>
        <w:t xml:space="preserve">Estos y otros </w:t>
      </w:r>
      <w:r w:rsidRPr="00FF007A">
        <w:rPr>
          <w:rFonts w:ascii="Verdana" w:hAnsi="Verdana"/>
        </w:rPr>
        <w:lastRenderedPageBreak/>
        <w:t>conceptos se encuentran disponibles para consulta en el Sistema de relatoría de la Agencia, al cual se puede acceder a través del siguiente enlace:</w:t>
      </w:r>
      <w:r w:rsidRPr="00FF007A">
        <w:rPr>
          <w:rFonts w:ascii="Verdana" w:hAnsi="Verdana" w:cs="Arial"/>
          <w:shd w:val="clear" w:color="auto" w:fill="FFFFFF"/>
        </w:rPr>
        <w:t xml:space="preserve"> </w:t>
      </w:r>
      <w:hyperlink r:id="rId13" w:history="1">
        <w:r w:rsidRPr="00FF007A">
          <w:rPr>
            <w:rFonts w:ascii="Verdana" w:hAnsi="Verdana" w:cs="Arial"/>
            <w:color w:val="467886" w:themeColor="hyperlink"/>
            <w:u w:val="single"/>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1FFA1EDB" w14:textId="77777777" w:rsidR="00357D00" w:rsidRPr="00FE6BBD" w:rsidRDefault="00357D00" w:rsidP="00357D00">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597E6F14" w14:textId="77777777" w:rsidR="00357D00" w:rsidRPr="00BE121F" w:rsidRDefault="00357D00" w:rsidP="00357D00">
      <w:pPr>
        <w:widowControl w:val="0"/>
        <w:autoSpaceDE w:val="0"/>
        <w:autoSpaceDN w:val="0"/>
        <w:spacing w:after="0" w:line="276" w:lineRule="auto"/>
        <w:jc w:val="both"/>
        <w:rPr>
          <w:rFonts w:ascii="Verdana" w:hAnsi="Verdana"/>
        </w:rPr>
      </w:pPr>
      <w:r w:rsidRPr="00BE121F">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E121F">
        <w:rPr>
          <w:rFonts w:ascii="Verdana" w:hAnsi="Verdana"/>
          <w:b/>
          <w:bCs/>
        </w:rPr>
        <w:t>Guía para la Exigencia y Constitución de Garantías en los Procesos de Contratación</w:t>
      </w:r>
      <w:r w:rsidRPr="00BE121F">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Dirección URL original: https://www.colombiacompra.gov.co/archivos/manual/guia-de-garantias-en-procesos-de-contratacion. Haga clic o pulse si confía en este vínculo." w:history="1">
        <w:r w:rsidRPr="00BE121F">
          <w:rPr>
            <w:rStyle w:val="Hipervnculo"/>
            <w:rFonts w:ascii="Verdana" w:hAnsi="Verdana"/>
          </w:rPr>
          <w:t>https://www.colombiacompra.gov.co/archivos/manual/guia-de-garantias-en-procesos-de-contratacion</w:t>
        </w:r>
      </w:hyperlink>
    </w:p>
    <w:p w14:paraId="627842F5" w14:textId="77777777" w:rsidR="00357D00" w:rsidRPr="00EC25B9" w:rsidRDefault="00357D00" w:rsidP="00357D00">
      <w:pPr>
        <w:widowControl w:val="0"/>
        <w:autoSpaceDE w:val="0"/>
        <w:autoSpaceDN w:val="0"/>
        <w:spacing w:after="0" w:line="276" w:lineRule="auto"/>
        <w:jc w:val="both"/>
        <w:rPr>
          <w:rFonts w:ascii="Verdana" w:hAnsi="Verdana"/>
        </w:rPr>
      </w:pPr>
    </w:p>
    <w:p w14:paraId="3AAD9209" w14:textId="77777777" w:rsidR="00357D00" w:rsidRPr="00BE121F" w:rsidRDefault="00357D00" w:rsidP="00357D00">
      <w:pPr>
        <w:widowControl w:val="0"/>
        <w:autoSpaceDE w:val="0"/>
        <w:autoSpaceDN w:val="0"/>
        <w:spacing w:after="0" w:line="276" w:lineRule="auto"/>
        <w:jc w:val="both"/>
        <w:rPr>
          <w:rFonts w:ascii="Verdana" w:hAnsi="Verdana"/>
        </w:rPr>
      </w:pPr>
      <w:r w:rsidRPr="00BE121F">
        <w:rPr>
          <w:rFonts w:ascii="Verdana" w:hAnsi="Verdana"/>
        </w:rPr>
        <w:t>De otro lado, te contamos que el Decreto 287 del 19 de marzo de 2026 sustituyó los artículos 2.2.1.2.4.2.6., 2.2.1.2.4.2.7. y 2.2.1.2.4.2.8. del Decreto 1082 de 2015 y estructuró el </w:t>
      </w:r>
      <w:r w:rsidRPr="00BE121F">
        <w:rPr>
          <w:rFonts w:ascii="Verdana" w:hAnsi="Verdana"/>
          <w:b/>
          <w:bCs/>
        </w:rPr>
        <w:t>Sistema Integral de Preferencias en favor de las personas con discapacidad</w:t>
      </w:r>
      <w:r w:rsidRPr="00BE121F">
        <w:rPr>
          <w:rFonts w:ascii="Verdana" w:hAnsi="Verdana"/>
        </w:rPr>
        <w:t>, en cumplimiento del artículo 13 de la Ley Estatutaria 1618 de 2013. Para orientar su aplicación, esta Agencia expidió la </w:t>
      </w:r>
      <w:r w:rsidRPr="00BE121F">
        <w:rPr>
          <w:rFonts w:ascii="Verdana" w:hAnsi="Verdana"/>
          <w:b/>
          <w:bCs/>
        </w:rPr>
        <w:t>Circular Externa 003 del 12 de mayo de 2026, </w:t>
      </w:r>
      <w:r w:rsidRPr="00BE121F">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5" w:tooltip="Dirección URL original: https://www.colombiacompra.gov.co/archivos/circular/circular-externa-003-de-2026. Haga clic o pulse si confía en este vínculo." w:history="1">
        <w:r w:rsidRPr="00BE121F">
          <w:rPr>
            <w:rStyle w:val="Hipervnculo"/>
            <w:rFonts w:ascii="Verdana" w:hAnsi="Verdana"/>
          </w:rPr>
          <w:t>https://www.colombiacompra.gov.co/archivos/circular/circular-externa-003-de-2026</w:t>
        </w:r>
      </w:hyperlink>
    </w:p>
    <w:p w14:paraId="2FC845BA" w14:textId="77777777" w:rsidR="00357D00" w:rsidRPr="00EC25B9" w:rsidRDefault="00357D00" w:rsidP="00357D00">
      <w:pPr>
        <w:widowControl w:val="0"/>
        <w:autoSpaceDE w:val="0"/>
        <w:autoSpaceDN w:val="0"/>
        <w:spacing w:after="0" w:line="276" w:lineRule="auto"/>
        <w:jc w:val="both"/>
        <w:rPr>
          <w:rFonts w:ascii="Verdana" w:hAnsi="Verdana"/>
        </w:rPr>
      </w:pPr>
    </w:p>
    <w:p w14:paraId="3127BDF9" w14:textId="77777777" w:rsidR="00357D00" w:rsidRPr="00BE121F" w:rsidRDefault="00357D00" w:rsidP="00357D00">
      <w:pPr>
        <w:widowControl w:val="0"/>
        <w:autoSpaceDE w:val="0"/>
        <w:autoSpaceDN w:val="0"/>
        <w:spacing w:after="0" w:line="276" w:lineRule="auto"/>
        <w:jc w:val="both"/>
        <w:rPr>
          <w:rFonts w:ascii="Verdana" w:hAnsi="Verdana"/>
        </w:rPr>
      </w:pPr>
      <w:r w:rsidRPr="00BE121F">
        <w:rPr>
          <w:rFonts w:ascii="Verdana" w:hAnsi="Verdana"/>
        </w:rPr>
        <w:t>Recuerda también que la</w:t>
      </w:r>
      <w:r w:rsidRPr="00BE121F">
        <w:rPr>
          <w:rFonts w:ascii="Verdana" w:hAnsi="Verdana"/>
          <w:b/>
          <w:bCs/>
        </w:rPr>
        <w:t> información sobre sanciones e inhabilidades </w:t>
      </w:r>
      <w:r w:rsidRPr="00BE121F">
        <w:rPr>
          <w:rFonts w:ascii="Verdana" w:hAnsi="Verdana"/>
        </w:rPr>
        <w:t>solo cumple su función preventiva si llega oportunamente a los registros públicos. Sobre este deber, esta Agencia expidió la </w:t>
      </w:r>
      <w:r w:rsidRPr="00BE121F">
        <w:rPr>
          <w:rFonts w:ascii="Verdana" w:hAnsi="Verdana"/>
          <w:b/>
          <w:bCs/>
        </w:rPr>
        <w:t>Circular Externa 002 del 5 de mayo de 2026,</w:t>
      </w:r>
      <w:r w:rsidRPr="00BE121F">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w:t>
      </w:r>
      <w:r w:rsidRPr="00BE121F">
        <w:rPr>
          <w:rFonts w:ascii="Verdana" w:hAnsi="Verdana"/>
        </w:rPr>
        <w:lastRenderedPageBreak/>
        <w:t>disciplinarias de omitir este deber. Consúltala aquí: </w:t>
      </w:r>
      <w:hyperlink r:id="rId16" w:tooltip="Dirección URL original: https://www.colombiacompra.gov.co/archivos/circular/circular-externa-002-de-2026. Haga clic o pulse si confía en este vínculo." w:history="1">
        <w:r w:rsidRPr="00BE121F">
          <w:rPr>
            <w:rStyle w:val="Hipervnculo"/>
            <w:rFonts w:ascii="Verdana" w:hAnsi="Verdana"/>
          </w:rPr>
          <w:t>https://www.colombiacompra.gov.co/archivos/circular/circular-externa-002-de-2026</w:t>
        </w:r>
      </w:hyperlink>
    </w:p>
    <w:p w14:paraId="5CAFC548" w14:textId="77777777" w:rsidR="00357D00" w:rsidRPr="00EC25B9" w:rsidRDefault="00357D00" w:rsidP="00357D00">
      <w:pPr>
        <w:widowControl w:val="0"/>
        <w:autoSpaceDE w:val="0"/>
        <w:autoSpaceDN w:val="0"/>
        <w:spacing w:after="0" w:line="276" w:lineRule="auto"/>
        <w:jc w:val="both"/>
        <w:rPr>
          <w:rFonts w:ascii="Verdana" w:hAnsi="Verdana"/>
        </w:rPr>
      </w:pPr>
    </w:p>
    <w:p w14:paraId="5E305477" w14:textId="77777777" w:rsidR="00357D00" w:rsidRPr="00BE121F" w:rsidRDefault="00357D00" w:rsidP="00357D00">
      <w:pPr>
        <w:widowControl w:val="0"/>
        <w:autoSpaceDE w:val="0"/>
        <w:autoSpaceDN w:val="0"/>
        <w:spacing w:after="0" w:line="276" w:lineRule="auto"/>
        <w:jc w:val="both"/>
        <w:rPr>
          <w:rFonts w:ascii="Verdana" w:hAnsi="Verdana"/>
        </w:rPr>
      </w:pPr>
      <w:r w:rsidRPr="00BE121F">
        <w:rPr>
          <w:rFonts w:ascii="Verdana" w:hAnsi="Verdana"/>
        </w:rPr>
        <w:t>Finalmente, si quieres seguir de cerca la actividad de la Agencia, la tercera edición de 2026 del</w:t>
      </w:r>
      <w:r w:rsidRPr="00BE121F">
        <w:rPr>
          <w:rFonts w:ascii="Verdana" w:hAnsi="Verdana"/>
          <w:b/>
          <w:bCs/>
        </w:rPr>
        <w:t> Radar de la Compra Pública</w:t>
      </w:r>
      <w:r w:rsidRPr="00BE121F">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Dirección URL original: https://www.colombiacompra.gov.co/archivos/boletin/boletin-edicion-n-3-de-2026-radar-de-la-compra-publica. Haga clic o pulse si confía en este vínculo." w:history="1">
        <w:r w:rsidRPr="00BE121F">
          <w:rPr>
            <w:rStyle w:val="Hipervnculo"/>
            <w:rFonts w:ascii="Verdana" w:hAnsi="Verdana"/>
          </w:rPr>
          <w:t>https://www.colombiacompra.gov.co/archivos/boletin/boletin-edicion-n-3-de-2026-radar-de-la-compra-publica</w:t>
        </w:r>
      </w:hyperlink>
    </w:p>
    <w:p w14:paraId="7F2535FD" w14:textId="77777777" w:rsidR="00357D00" w:rsidRPr="00EC25B9" w:rsidRDefault="00357D00" w:rsidP="00357D00">
      <w:pPr>
        <w:widowControl w:val="0"/>
        <w:autoSpaceDE w:val="0"/>
        <w:autoSpaceDN w:val="0"/>
        <w:spacing w:after="0" w:line="276" w:lineRule="auto"/>
        <w:jc w:val="both"/>
        <w:rPr>
          <w:rFonts w:ascii="Verdana" w:hAnsi="Verdana"/>
        </w:rPr>
      </w:pPr>
    </w:p>
    <w:p w14:paraId="5195262B" w14:textId="77777777" w:rsidR="00357D00" w:rsidRPr="00FE6BBD" w:rsidRDefault="00357D00" w:rsidP="00357D00">
      <w:pPr>
        <w:spacing w:after="0" w:line="276" w:lineRule="auto"/>
        <w:jc w:val="both"/>
        <w:rPr>
          <w:rFonts w:ascii="Verdana" w:hAnsi="Verdana"/>
        </w:rPr>
      </w:pPr>
      <w:r w:rsidRPr="00FE6BBD">
        <w:rPr>
          <w:rFonts w:ascii="Verdana" w:hAnsi="Verdana"/>
        </w:rPr>
        <w:t xml:space="preserve">Por último, lo invitamos a seguirnos en las redes sociales en las cuales se difunde información institucional: </w:t>
      </w:r>
    </w:p>
    <w:p w14:paraId="61E611D1" w14:textId="77777777" w:rsidR="00357D00" w:rsidRPr="00EC25B9" w:rsidRDefault="00357D00" w:rsidP="00357D00">
      <w:pPr>
        <w:spacing w:after="0" w:line="276" w:lineRule="auto"/>
        <w:jc w:val="both"/>
        <w:rPr>
          <w:rFonts w:ascii="Verdana" w:hAnsi="Verdana"/>
        </w:rPr>
      </w:pPr>
    </w:p>
    <w:p w14:paraId="524662BB" w14:textId="77777777" w:rsidR="00357D00" w:rsidRPr="00FE6BBD" w:rsidRDefault="00357D00" w:rsidP="00357D00">
      <w:pPr>
        <w:spacing w:after="0" w:line="276" w:lineRule="auto"/>
        <w:jc w:val="both"/>
        <w:rPr>
          <w:rFonts w:ascii="Verdana" w:hAnsi="Verdana"/>
        </w:rPr>
      </w:pPr>
      <w:r w:rsidRPr="00FE6BBD">
        <w:rPr>
          <w:rFonts w:ascii="Verdana" w:hAnsi="Verdana"/>
        </w:rPr>
        <w:t xml:space="preserve">Twitter: </w:t>
      </w:r>
      <w:r w:rsidRPr="00FE6BBD">
        <w:rPr>
          <w:rStyle w:val="Hipervnculo"/>
          <w:rFonts w:ascii="Verdana" w:hAnsi="Verdana"/>
          <w:color w:val="156082" w:themeColor="accent1"/>
        </w:rPr>
        <w:t>@colombiacompra</w:t>
      </w:r>
      <w:r w:rsidRPr="00FE6BBD">
        <w:rPr>
          <w:rFonts w:ascii="Verdana" w:hAnsi="Verdana"/>
          <w:color w:val="156082" w:themeColor="accent1"/>
        </w:rPr>
        <w:t xml:space="preserve"> </w:t>
      </w:r>
    </w:p>
    <w:p w14:paraId="714677AC" w14:textId="77777777" w:rsidR="00357D00" w:rsidRPr="00FE6BBD" w:rsidRDefault="00357D00" w:rsidP="00357D00">
      <w:pPr>
        <w:spacing w:after="0" w:line="276" w:lineRule="auto"/>
        <w:jc w:val="both"/>
        <w:rPr>
          <w:rFonts w:ascii="Verdana" w:hAnsi="Verdana"/>
        </w:rPr>
      </w:pPr>
      <w:r w:rsidRPr="00FE6BBD">
        <w:rPr>
          <w:rFonts w:ascii="Verdana" w:hAnsi="Verdana"/>
        </w:rPr>
        <w:t xml:space="preserve">Facebook: </w:t>
      </w:r>
      <w:r w:rsidRPr="00FE6BBD">
        <w:rPr>
          <w:rStyle w:val="Hipervnculo"/>
          <w:rFonts w:ascii="Verdana" w:hAnsi="Verdana"/>
          <w:color w:val="156082" w:themeColor="accent1"/>
        </w:rPr>
        <w:t>ColombiaCompraEficiente</w:t>
      </w:r>
    </w:p>
    <w:p w14:paraId="3769F639" w14:textId="77777777" w:rsidR="00357D00" w:rsidRPr="00FE6BBD" w:rsidRDefault="00357D00" w:rsidP="00357D00">
      <w:pPr>
        <w:spacing w:after="0" w:line="276" w:lineRule="auto"/>
        <w:jc w:val="both"/>
        <w:rPr>
          <w:rFonts w:ascii="Verdana" w:hAnsi="Verdana"/>
        </w:rPr>
      </w:pPr>
      <w:r w:rsidRPr="00FE6BBD">
        <w:rPr>
          <w:rFonts w:ascii="Verdana" w:hAnsi="Verdana"/>
        </w:rPr>
        <w:t xml:space="preserve">LinkedIn: </w:t>
      </w:r>
      <w:r w:rsidRPr="00FE6BBD">
        <w:rPr>
          <w:rStyle w:val="Hipervnculo"/>
          <w:rFonts w:ascii="Verdana" w:hAnsi="Verdana"/>
          <w:color w:val="156082" w:themeColor="accent1"/>
        </w:rPr>
        <w:t>Agencia Nacional de Contratación Pública - Colombia Compra Eficiente</w:t>
      </w:r>
      <w:r w:rsidRPr="00FE6BBD">
        <w:rPr>
          <w:rFonts w:ascii="Verdana" w:hAnsi="Verdana"/>
          <w:color w:val="156082" w:themeColor="accent1"/>
        </w:rPr>
        <w:t xml:space="preserve"> </w:t>
      </w:r>
      <w:r w:rsidRPr="00FE6BBD">
        <w:rPr>
          <w:rFonts w:ascii="Verdana" w:hAnsi="Verdana"/>
        </w:rPr>
        <w:t xml:space="preserve">Instagram: </w:t>
      </w:r>
      <w:r w:rsidRPr="00FE6BBD">
        <w:rPr>
          <w:rStyle w:val="Hipervnculo"/>
          <w:rFonts w:ascii="Verdana" w:hAnsi="Verdana"/>
          <w:color w:val="156082" w:themeColor="accent1"/>
        </w:rPr>
        <w:t>@colombiacompraeficiente_cce</w:t>
      </w:r>
    </w:p>
    <w:p w14:paraId="7717C28B" w14:textId="77777777" w:rsidR="00357D00" w:rsidRPr="00FE6BBD" w:rsidRDefault="00357D00" w:rsidP="00357D00">
      <w:pPr>
        <w:widowControl w:val="0"/>
        <w:autoSpaceDE w:val="0"/>
        <w:autoSpaceDN w:val="0"/>
        <w:spacing w:after="0" w:line="276" w:lineRule="auto"/>
        <w:jc w:val="both"/>
        <w:rPr>
          <w:rFonts w:ascii="Verdana" w:hAnsi="Verdana" w:cs="Arial"/>
        </w:rPr>
      </w:pPr>
    </w:p>
    <w:p w14:paraId="658F4687" w14:textId="77777777" w:rsidR="00357D00" w:rsidRPr="00FE6BBD" w:rsidRDefault="00357D00" w:rsidP="00357D00">
      <w:pPr>
        <w:widowControl w:val="0"/>
        <w:autoSpaceDE w:val="0"/>
        <w:autoSpaceDN w:val="0"/>
        <w:spacing w:after="0" w:line="276" w:lineRule="auto"/>
        <w:jc w:val="both"/>
        <w:rPr>
          <w:rFonts w:ascii="Verdana" w:hAnsi="Verdana" w:cs="Arial"/>
          <w:lang w:val="es-ES_tradnl"/>
        </w:rPr>
      </w:pPr>
      <w:r w:rsidRPr="00FE6BBD">
        <w:rPr>
          <w:rFonts w:ascii="Verdana" w:hAnsi="Verdana" w:cs="Arial"/>
        </w:rPr>
        <w:t xml:space="preserve">Este concepto tiene el alcance previsto en el artículo 28 del Código de Procedimiento Administrativo y de lo Contencioso Administrativo </w:t>
      </w:r>
      <w:r w:rsidRPr="00FE6BBD">
        <w:rPr>
          <w:rFonts w:ascii="Verdana" w:hAnsi="Verdana" w:cs="Arial"/>
          <w:lang w:val="es-ES_tradnl"/>
        </w:rPr>
        <w:t>y las expresiones aquí utilizadas con mayúscula inicial deben ser entendidas con el significado que les otorga el artículo 2.2.1.1.1.3.1. del Decreto 1082 de 2015.</w:t>
      </w:r>
    </w:p>
    <w:p w14:paraId="4491A8F2" w14:textId="77777777" w:rsidR="00357D00" w:rsidRPr="00EC25B9" w:rsidRDefault="00357D00" w:rsidP="00357D00">
      <w:pPr>
        <w:widowControl w:val="0"/>
        <w:autoSpaceDE w:val="0"/>
        <w:autoSpaceDN w:val="0"/>
        <w:spacing w:after="0" w:line="276" w:lineRule="auto"/>
        <w:jc w:val="both"/>
        <w:rPr>
          <w:rFonts w:ascii="Verdana" w:hAnsi="Verdana" w:cs="Arial"/>
          <w:lang w:val="es-ES_tradnl"/>
        </w:rPr>
      </w:pPr>
    </w:p>
    <w:p w14:paraId="230B2814" w14:textId="77777777" w:rsidR="00357D00" w:rsidRPr="00593A5F" w:rsidRDefault="00357D00" w:rsidP="00357D00">
      <w:pPr>
        <w:spacing w:after="0" w:line="276" w:lineRule="auto"/>
        <w:rPr>
          <w:rFonts w:ascii="Verdana" w:hAnsi="Verdana" w:cs="Arial"/>
        </w:rPr>
      </w:pPr>
      <w:r w:rsidRPr="00FE6BBD">
        <w:rPr>
          <w:rFonts w:ascii="Verdana" w:hAnsi="Verdana" w:cs="Arial"/>
          <w:lang w:eastAsia="es-CO"/>
        </w:rPr>
        <w:t xml:space="preserve">Atentamente, </w:t>
      </w:r>
    </w:p>
    <w:p w14:paraId="378F55ED" w14:textId="098BD135" w:rsidR="00EB14A8" w:rsidRPr="00EB14A8" w:rsidRDefault="00EB14A8" w:rsidP="00EB14A8">
      <w:pPr>
        <w:spacing w:line="276" w:lineRule="auto"/>
        <w:jc w:val="center"/>
        <w:rPr>
          <w:rFonts w:ascii="Verdana" w:hAnsi="Verdana" w:cs="Arial"/>
          <w:color w:val="000000"/>
          <w:lang w:eastAsia="es-CO"/>
        </w:rPr>
      </w:pPr>
      <w:r w:rsidRPr="00EB14A8">
        <w:rPr>
          <w:rFonts w:ascii="Verdana" w:hAnsi="Verdana" w:cs="Arial"/>
          <w:noProof/>
          <w:color w:val="000000"/>
          <w:lang w:eastAsia="es-CO"/>
        </w:rPr>
        <w:drawing>
          <wp:inline distT="0" distB="0" distL="0" distR="0" wp14:anchorId="5A7437D9" wp14:editId="517B7D89">
            <wp:extent cx="3771900" cy="1403350"/>
            <wp:effectExtent l="0" t="0" r="0" b="6350"/>
            <wp:docPr id="11265147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3350"/>
                    </a:xfrm>
                    <a:prstGeom prst="rect">
                      <a:avLst/>
                    </a:prstGeom>
                    <a:noFill/>
                    <a:ln>
                      <a:noFill/>
                    </a:ln>
                  </pic:spPr>
                </pic:pic>
              </a:graphicData>
            </a:graphic>
          </wp:inline>
        </w:drawing>
      </w:r>
    </w:p>
    <w:p w14:paraId="7E0D4AC6" w14:textId="1A712D01" w:rsidR="00357D00" w:rsidRPr="00593A5F" w:rsidRDefault="00357D00" w:rsidP="00357D00">
      <w:pPr>
        <w:spacing w:line="276" w:lineRule="auto"/>
        <w:jc w:val="center"/>
        <w:rPr>
          <w:rFonts w:ascii="Verdana" w:hAnsi="Verdana" w:cs="Arial"/>
          <w:color w:val="000000"/>
          <w:lang w:val="es-ES_tradnl" w:eastAsia="es-CO"/>
        </w:rPr>
      </w:pPr>
    </w:p>
    <w:tbl>
      <w:tblPr>
        <w:tblStyle w:val="Tablaconcuadrcula"/>
        <w:tblW w:w="6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7"/>
        <w:gridCol w:w="222"/>
      </w:tblGrid>
      <w:tr w:rsidR="00357D00" w:rsidRPr="00FE6BBD" w14:paraId="0AB8A5C7" w14:textId="77777777" w:rsidTr="00452A67">
        <w:trPr>
          <w:trHeight w:val="315"/>
        </w:trPr>
        <w:tc>
          <w:tcPr>
            <w:tcW w:w="6737" w:type="dxa"/>
            <w:vAlign w:val="center"/>
          </w:tcPr>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57D00" w:rsidRPr="007A0E81" w14:paraId="6CF7BEC7" w14:textId="77777777" w:rsidTr="00452A67">
              <w:trPr>
                <w:trHeight w:val="315"/>
              </w:trPr>
              <w:tc>
                <w:tcPr>
                  <w:tcW w:w="893" w:type="dxa"/>
                  <w:vAlign w:val="center"/>
                  <w:hideMark/>
                </w:tcPr>
                <w:p w14:paraId="5EFA8105" w14:textId="77777777" w:rsidR="00357D00" w:rsidRPr="007A0E81" w:rsidRDefault="00357D00" w:rsidP="00452A67">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lastRenderedPageBreak/>
                    <w:t>Elaboró:</w:t>
                  </w:r>
                </w:p>
              </w:tc>
              <w:tc>
                <w:tcPr>
                  <w:tcW w:w="5628" w:type="dxa"/>
                  <w:tcBorders>
                    <w:top w:val="nil"/>
                    <w:left w:val="nil"/>
                    <w:bottom w:val="dotted" w:sz="4" w:space="0" w:color="7F7F7F"/>
                    <w:right w:val="nil"/>
                  </w:tcBorders>
                  <w:vAlign w:val="center"/>
                  <w:hideMark/>
                </w:tcPr>
                <w:p w14:paraId="4B3476A8" w14:textId="77777777" w:rsidR="00357D00" w:rsidRPr="0072692B" w:rsidRDefault="00357D00" w:rsidP="00452A67">
                  <w:pPr>
                    <w:spacing w:line="276" w:lineRule="auto"/>
                    <w:rPr>
                      <w:rFonts w:ascii="Verdana" w:eastAsia="Arial" w:hAnsi="Verdana" w:cs="Arial"/>
                      <w:color w:val="000000"/>
                      <w:sz w:val="16"/>
                      <w:szCs w:val="16"/>
                    </w:rPr>
                  </w:pPr>
                  <w:r w:rsidRPr="0072692B">
                    <w:rPr>
                      <w:rFonts w:ascii="Verdana" w:eastAsia="Times New Roman" w:hAnsi="Verdana" w:cs="Arial"/>
                      <w:color w:val="000000"/>
                      <w:sz w:val="16"/>
                      <w:szCs w:val="16"/>
                    </w:rPr>
                    <w:t>Natalia Montoya Jiménez</w:t>
                  </w:r>
                </w:p>
                <w:p w14:paraId="36B8DCB4" w14:textId="77777777" w:rsidR="00357D00" w:rsidRPr="007A0E81" w:rsidRDefault="00357D00" w:rsidP="00452A67">
                  <w:pPr>
                    <w:spacing w:line="276" w:lineRule="auto"/>
                    <w:rPr>
                      <w:rFonts w:ascii="Verdana" w:eastAsia="Arial" w:hAnsi="Verdana" w:cs="Arial"/>
                      <w:color w:val="000000"/>
                      <w:sz w:val="16"/>
                      <w:szCs w:val="16"/>
                    </w:rPr>
                  </w:pPr>
                  <w:r>
                    <w:rPr>
                      <w:rFonts w:ascii="Verdana" w:eastAsia="Arial" w:hAnsi="Verdana" w:cs="Arial"/>
                      <w:color w:val="000000"/>
                      <w:sz w:val="16"/>
                      <w:szCs w:val="16"/>
                    </w:rPr>
                    <w:t xml:space="preserve">Gestor T1 15 </w:t>
                  </w:r>
                  <w:r w:rsidRPr="007A0E81">
                    <w:rPr>
                      <w:rFonts w:ascii="Verdana" w:eastAsia="Arial" w:hAnsi="Verdana" w:cs="Arial"/>
                      <w:color w:val="000000"/>
                      <w:sz w:val="16"/>
                      <w:szCs w:val="16"/>
                    </w:rPr>
                    <w:t>de la Subdirección de Gestión Contractual</w:t>
                  </w:r>
                </w:p>
              </w:tc>
            </w:tr>
            <w:tr w:rsidR="00357D00" w:rsidRPr="007A0E81" w14:paraId="29A5FE86" w14:textId="77777777" w:rsidTr="00452A67">
              <w:trPr>
                <w:trHeight w:val="330"/>
              </w:trPr>
              <w:tc>
                <w:tcPr>
                  <w:tcW w:w="893" w:type="dxa"/>
                  <w:vAlign w:val="center"/>
                  <w:hideMark/>
                </w:tcPr>
                <w:p w14:paraId="775ECCE1" w14:textId="77777777" w:rsidR="00357D00" w:rsidRPr="007A0E81" w:rsidRDefault="00357D00" w:rsidP="00452A67">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AE6C5DC" w14:textId="77777777" w:rsidR="00357D00" w:rsidRPr="000E3649" w:rsidRDefault="00357D00" w:rsidP="00452A67">
                  <w:pPr>
                    <w:spacing w:line="276" w:lineRule="auto"/>
                    <w:rPr>
                      <w:rFonts w:ascii="Verdana" w:eastAsia="Times New Roman" w:hAnsi="Verdana" w:cs="Arial"/>
                      <w:color w:val="000000"/>
                      <w:sz w:val="16"/>
                      <w:szCs w:val="16"/>
                    </w:rPr>
                  </w:pPr>
                  <w:r w:rsidRPr="000E3649">
                    <w:rPr>
                      <w:rFonts w:ascii="Verdana" w:eastAsia="Times New Roman" w:hAnsi="Verdana" w:cs="Arial"/>
                      <w:color w:val="000000"/>
                      <w:sz w:val="16"/>
                      <w:szCs w:val="16"/>
                    </w:rPr>
                    <w:t>D</w:t>
                  </w:r>
                  <w:r w:rsidRPr="000E3649">
                    <w:rPr>
                      <w:rFonts w:ascii="Verdana" w:eastAsia="Times New Roman" w:hAnsi="Verdana"/>
                      <w:color w:val="000000"/>
                      <w:sz w:val="16"/>
                      <w:szCs w:val="16"/>
                    </w:rPr>
                    <w:t>iana Lucia Saavedra</w:t>
                  </w:r>
                  <w:r>
                    <w:rPr>
                      <w:rFonts w:ascii="Verdana" w:eastAsia="Times New Roman" w:hAnsi="Verdana"/>
                      <w:color w:val="000000"/>
                      <w:sz w:val="16"/>
                      <w:szCs w:val="16"/>
                    </w:rPr>
                    <w:t xml:space="preserve"> Castañeda</w:t>
                  </w:r>
                </w:p>
                <w:p w14:paraId="52412E9C" w14:textId="77777777" w:rsidR="00357D00" w:rsidRPr="007A0E81" w:rsidRDefault="00357D00" w:rsidP="00452A67">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357D00" w:rsidRPr="007A0E81" w14:paraId="55EFB0A6" w14:textId="77777777" w:rsidTr="00452A67">
              <w:trPr>
                <w:trHeight w:val="300"/>
              </w:trPr>
              <w:tc>
                <w:tcPr>
                  <w:tcW w:w="893" w:type="dxa"/>
                  <w:vAlign w:val="center"/>
                </w:tcPr>
                <w:p w14:paraId="60222B13" w14:textId="77777777" w:rsidR="00357D00" w:rsidRPr="007A0E81" w:rsidRDefault="00357D00" w:rsidP="00452A67">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19DB7449" w14:textId="77777777" w:rsidR="00357D00" w:rsidRPr="0074571F" w:rsidRDefault="00357D00" w:rsidP="00452A67">
                  <w:pPr>
                    <w:pStyle w:val="Sinespaciado"/>
                    <w:rPr>
                      <w:rFonts w:ascii="Verdana" w:eastAsia="Times New Roman" w:hAnsi="Verdana" w:cs="Arial"/>
                      <w:color w:val="000000"/>
                      <w:sz w:val="16"/>
                      <w:szCs w:val="16"/>
                      <w:lang w:val="es-CO"/>
                    </w:rPr>
                  </w:pPr>
                  <w:r>
                    <w:rPr>
                      <w:rFonts w:ascii="Verdana" w:eastAsia="Times New Roman" w:hAnsi="Verdana" w:cs="Arial"/>
                      <w:color w:val="000000"/>
                      <w:sz w:val="16"/>
                      <w:szCs w:val="16"/>
                      <w:lang w:val="es-CO"/>
                    </w:rPr>
                    <w:t>Carolina Quintero Gacharná</w:t>
                  </w:r>
                </w:p>
                <w:p w14:paraId="1308DC14" w14:textId="77777777" w:rsidR="00357D00" w:rsidRPr="007A0E81" w:rsidRDefault="00357D00" w:rsidP="00452A67">
                  <w:pPr>
                    <w:spacing w:line="276" w:lineRule="auto"/>
                    <w:rPr>
                      <w:rFonts w:ascii="Verdana" w:eastAsia="Times New Roman" w:hAnsi="Verdana" w:cs="Arial"/>
                      <w:color w:val="000000"/>
                      <w:sz w:val="16"/>
                      <w:szCs w:val="16"/>
                    </w:rPr>
                  </w:pPr>
                  <w:r w:rsidRPr="0074571F">
                    <w:rPr>
                      <w:rFonts w:ascii="Verdana" w:eastAsia="Times New Roman" w:hAnsi="Verdana" w:cs="Arial"/>
                      <w:color w:val="000000"/>
                      <w:sz w:val="16"/>
                      <w:szCs w:val="16"/>
                    </w:rPr>
                    <w:t>Subdirectora de Gestión Contractual</w:t>
                  </w:r>
                  <w:r w:rsidRPr="00E60303">
                    <w:rPr>
                      <w:rFonts w:ascii="Verdana" w:hAnsi="Verdana"/>
                      <w:sz w:val="14"/>
                      <w:szCs w:val="14"/>
                      <w:lang w:eastAsia="es-ES"/>
                    </w:rPr>
                    <w:t> </w:t>
                  </w:r>
                </w:p>
              </w:tc>
            </w:tr>
          </w:tbl>
          <w:p w14:paraId="6758B1C9" w14:textId="77777777" w:rsidR="00357D00" w:rsidRPr="00FE6BBD" w:rsidRDefault="00357D00" w:rsidP="00452A67">
            <w:pPr>
              <w:spacing w:line="276" w:lineRule="auto"/>
              <w:contextualSpacing/>
              <w:rPr>
                <w:rFonts w:ascii="Verdana" w:hAnsi="Verdana" w:cs="Arial"/>
                <w:sz w:val="16"/>
                <w:szCs w:val="16"/>
                <w:lang w:val="es-ES" w:eastAsia="es-ES"/>
              </w:rPr>
            </w:pPr>
          </w:p>
        </w:tc>
        <w:tc>
          <w:tcPr>
            <w:tcW w:w="222" w:type="dxa"/>
            <w:vAlign w:val="center"/>
          </w:tcPr>
          <w:p w14:paraId="50A951EC" w14:textId="77777777" w:rsidR="00357D00" w:rsidRPr="00FE6BBD" w:rsidRDefault="00357D00" w:rsidP="00452A67">
            <w:pPr>
              <w:spacing w:line="276" w:lineRule="auto"/>
              <w:contextualSpacing/>
              <w:rPr>
                <w:rFonts w:ascii="Verdana" w:eastAsia="Arial" w:hAnsi="Verdana" w:cs="Arial"/>
                <w:color w:val="7030A0"/>
                <w:sz w:val="16"/>
                <w:szCs w:val="16"/>
              </w:rPr>
            </w:pPr>
          </w:p>
        </w:tc>
      </w:tr>
      <w:bookmarkEnd w:id="0"/>
    </w:tbl>
    <w:p w14:paraId="32712DB5" w14:textId="77777777" w:rsidR="002D6822" w:rsidRDefault="002D6822" w:rsidP="00BD7DEB"/>
    <w:sectPr w:rsidR="002D6822" w:rsidSect="00357D00">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220F6" w14:textId="77777777" w:rsidR="00B33844" w:rsidRDefault="00B33844" w:rsidP="00357D00">
      <w:pPr>
        <w:spacing w:after="0" w:line="240" w:lineRule="auto"/>
      </w:pPr>
      <w:r>
        <w:separator/>
      </w:r>
    </w:p>
  </w:endnote>
  <w:endnote w:type="continuationSeparator" w:id="0">
    <w:p w14:paraId="4CAB4F71" w14:textId="77777777" w:rsidR="00B33844" w:rsidRDefault="00B33844" w:rsidP="00357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077F" w14:textId="77777777" w:rsidR="00357D00" w:rsidRDefault="00357D00">
    <w:pPr>
      <w:pStyle w:val="Piedepgina"/>
    </w:pPr>
  </w:p>
  <w:p w14:paraId="2DC27080" w14:textId="77777777" w:rsidR="00357D00" w:rsidRPr="00174B77" w:rsidRDefault="00357D00"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7629E6B" w14:textId="77777777" w:rsidR="00357D00" w:rsidRDefault="00357D00"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D642006" w14:textId="77777777" w:rsidR="00357D00" w:rsidRPr="00E41027" w:rsidRDefault="00357D00"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452D6603" w14:textId="77777777" w:rsidR="00357D00" w:rsidRDefault="00357D00"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BDE6B" w14:textId="77777777" w:rsidR="00B33844" w:rsidRDefault="00B33844" w:rsidP="00357D00">
      <w:pPr>
        <w:spacing w:after="0" w:line="240" w:lineRule="auto"/>
      </w:pPr>
      <w:r>
        <w:separator/>
      </w:r>
    </w:p>
  </w:footnote>
  <w:footnote w:type="continuationSeparator" w:id="0">
    <w:p w14:paraId="59EFD0B7" w14:textId="77777777" w:rsidR="00B33844" w:rsidRDefault="00B33844" w:rsidP="00357D00">
      <w:pPr>
        <w:spacing w:after="0" w:line="240" w:lineRule="auto"/>
      </w:pPr>
      <w:r>
        <w:continuationSeparator/>
      </w:r>
    </w:p>
  </w:footnote>
  <w:footnote w:id="1">
    <w:p w14:paraId="00EFA9A5" w14:textId="77777777" w:rsidR="00357D00" w:rsidRPr="00472251" w:rsidRDefault="00357D00" w:rsidP="00357D00">
      <w:pPr>
        <w:pStyle w:val="Textonotapie"/>
        <w:ind w:firstLine="709"/>
        <w:jc w:val="both"/>
        <w:rPr>
          <w:rFonts w:ascii="Verdana" w:hAnsi="Verdana" w:cs="Arial"/>
          <w:color w:val="000000"/>
          <w:sz w:val="16"/>
          <w:szCs w:val="16"/>
          <w:lang w:val="es-ES"/>
        </w:rPr>
      </w:pPr>
      <w:r w:rsidRPr="00472251">
        <w:rPr>
          <w:rStyle w:val="Refdenotaalpie"/>
          <w:rFonts w:ascii="Verdana" w:hAnsi="Verdana" w:cs="Arial"/>
          <w:color w:val="000000"/>
          <w:sz w:val="16"/>
          <w:szCs w:val="16"/>
        </w:rPr>
        <w:footnoteRef/>
      </w:r>
      <w:r w:rsidRPr="00472251">
        <w:rPr>
          <w:rFonts w:ascii="Verdana" w:hAnsi="Verdana" w:cs="Arial"/>
          <w:color w:val="000000"/>
          <w:sz w:val="16"/>
          <w:szCs w:val="16"/>
        </w:rPr>
        <w:t xml:space="preserve"> </w:t>
      </w:r>
      <w:r w:rsidRPr="00472251">
        <w:rPr>
          <w:rFonts w:ascii="Verdana" w:hAnsi="Verdana" w:cs="Arial"/>
          <w:color w:val="000000"/>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“La Entidad Estatal, para la contratación de trabajos artísticos que solamente puedan encomendarse a determinadas personas naturales, debe justificar esta situación en los estudios y documentos previos”.</w:t>
      </w:r>
    </w:p>
    <w:p w14:paraId="054BC010" w14:textId="77777777" w:rsidR="00357D00" w:rsidRPr="00472251" w:rsidRDefault="00357D00" w:rsidP="00357D00">
      <w:pPr>
        <w:pStyle w:val="Textonotapie"/>
        <w:ind w:firstLine="709"/>
        <w:jc w:val="both"/>
        <w:rPr>
          <w:rFonts w:ascii="Verdana" w:hAnsi="Verdana" w:cs="Arial"/>
          <w:color w:val="000000"/>
          <w:sz w:val="16"/>
          <w:szCs w:val="16"/>
          <w:lang w:val="es-ES"/>
        </w:rPr>
      </w:pPr>
    </w:p>
  </w:footnote>
  <w:footnote w:id="2">
    <w:p w14:paraId="4613E43B" w14:textId="77777777" w:rsidR="00357D00" w:rsidRPr="00472251" w:rsidRDefault="00357D00" w:rsidP="00357D00">
      <w:pPr>
        <w:pStyle w:val="Textonotapie"/>
        <w:ind w:firstLine="709"/>
        <w:jc w:val="both"/>
        <w:rPr>
          <w:rFonts w:ascii="Verdana" w:hAnsi="Verdana" w:cs="Arial"/>
          <w:color w:val="000000"/>
          <w:sz w:val="16"/>
          <w:szCs w:val="16"/>
          <w:lang w:val="es-ES"/>
        </w:rPr>
      </w:pPr>
      <w:r w:rsidRPr="00472251">
        <w:rPr>
          <w:rStyle w:val="Refdenotaalpie"/>
          <w:rFonts w:ascii="Verdana" w:hAnsi="Verdana" w:cs="Arial"/>
          <w:color w:val="000000"/>
          <w:sz w:val="16"/>
          <w:szCs w:val="16"/>
        </w:rPr>
        <w:footnoteRef/>
      </w:r>
      <w:r w:rsidRPr="00472251">
        <w:rPr>
          <w:rFonts w:ascii="Verdana" w:hAnsi="Verdana" w:cs="Arial"/>
          <w:color w:val="000000"/>
          <w:sz w:val="16"/>
          <w:szCs w:val="16"/>
        </w:rPr>
        <w:t xml:space="preserve"> </w:t>
      </w:r>
      <w:r w:rsidRPr="005159CB">
        <w:rPr>
          <w:rFonts w:ascii="Verdana" w:hAnsi="Verdana" w:cs="Arial"/>
          <w:sz w:val="16"/>
          <w:szCs w:val="16"/>
        </w:rPr>
        <w:t>Consejo de Estado. Sección Tercera. Subsección C. Sentencia de Unificación del 2 de diciembre de 2013. Exp. 41.719. C.P Jaime Orlando Santofimio Gamboa.</w:t>
      </w:r>
    </w:p>
    <w:p w14:paraId="0427762D" w14:textId="77777777" w:rsidR="00357D00" w:rsidRPr="00472251" w:rsidRDefault="00357D00" w:rsidP="00357D00">
      <w:pPr>
        <w:pStyle w:val="Textonotapie"/>
        <w:ind w:firstLine="709"/>
        <w:jc w:val="both"/>
        <w:rPr>
          <w:rFonts w:ascii="Verdana" w:hAnsi="Verdana" w:cs="Arial"/>
          <w:color w:val="000000"/>
          <w:sz w:val="16"/>
          <w:szCs w:val="16"/>
          <w:lang w:val="es-ES"/>
        </w:rPr>
      </w:pPr>
    </w:p>
  </w:footnote>
  <w:footnote w:id="3">
    <w:p w14:paraId="78ED3C30" w14:textId="77777777" w:rsidR="00357D00" w:rsidRPr="00A7405A" w:rsidRDefault="00357D00" w:rsidP="00357D00">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i/>
          <w:iCs/>
          <w:color w:val="000000" w:themeColor="text1"/>
          <w:sz w:val="16"/>
          <w:szCs w:val="16"/>
          <w:lang w:val="es-ES"/>
        </w:rPr>
        <w:t>Ibíd</w:t>
      </w:r>
      <w:r w:rsidRPr="00A7405A">
        <w:rPr>
          <w:rFonts w:ascii="Verdana" w:hAnsi="Verdana" w:cs="Arial"/>
          <w:color w:val="000000" w:themeColor="text1"/>
          <w:sz w:val="16"/>
          <w:szCs w:val="16"/>
          <w:lang w:val="es-ES"/>
        </w:rPr>
        <w:t>.</w:t>
      </w:r>
    </w:p>
    <w:p w14:paraId="402B0535" w14:textId="77777777" w:rsidR="00357D00" w:rsidRPr="00A7405A" w:rsidRDefault="00357D00" w:rsidP="00357D00">
      <w:pPr>
        <w:pStyle w:val="Textonotapie"/>
        <w:ind w:firstLine="709"/>
        <w:jc w:val="both"/>
        <w:rPr>
          <w:rFonts w:ascii="Verdana" w:hAnsi="Verdana" w:cs="Arial"/>
          <w:color w:val="000000" w:themeColor="text1"/>
          <w:sz w:val="16"/>
          <w:szCs w:val="16"/>
          <w:lang w:val="es-ES"/>
        </w:rPr>
      </w:pPr>
    </w:p>
  </w:footnote>
  <w:footnote w:id="4">
    <w:p w14:paraId="4D73A130" w14:textId="77777777" w:rsidR="00357D00" w:rsidRDefault="00357D00" w:rsidP="00357D00">
      <w:pPr>
        <w:pStyle w:val="Textonotapie"/>
        <w:ind w:firstLine="709"/>
        <w:jc w:val="both"/>
        <w:rPr>
          <w:rFonts w:ascii="Verdana" w:hAnsi="Verdana"/>
          <w:i/>
          <w:iCs/>
          <w:sz w:val="16"/>
          <w:szCs w:val="16"/>
          <w:lang w:eastAsia="es-MX"/>
        </w:rPr>
      </w:pPr>
      <w:r w:rsidRPr="006002B5">
        <w:rPr>
          <w:rStyle w:val="Refdenotaalpie"/>
          <w:rFonts w:ascii="Verdana" w:hAnsi="Verdana"/>
          <w:sz w:val="16"/>
          <w:szCs w:val="16"/>
        </w:rPr>
        <w:footnoteRef/>
      </w:r>
      <w:r w:rsidRPr="006002B5">
        <w:rPr>
          <w:rFonts w:ascii="Verdana" w:hAnsi="Verdana"/>
          <w:sz w:val="16"/>
          <w:szCs w:val="16"/>
        </w:rPr>
        <w:t xml:space="preserve"> La </w:t>
      </w:r>
      <w:r w:rsidRPr="006002B5">
        <w:rPr>
          <w:rFonts w:ascii="Verdana" w:hAnsi="Verdana"/>
          <w:sz w:val="16"/>
          <w:szCs w:val="16"/>
          <w:lang w:eastAsia="es-MX"/>
        </w:rPr>
        <w:t xml:space="preserve">“Guía para la Incorporación de Lineamientos de Integridad en la Contratación de prestación de Servicios” expedida por a Agencia Nacional de Contratación Pública – Colombia Compra Eficiente se puede consultar en el siguiente enlace: </w:t>
      </w:r>
      <w:hyperlink r:id="rId1" w:history="1">
        <w:r w:rsidRPr="006002B5">
          <w:rPr>
            <w:rStyle w:val="Hipervnculo"/>
            <w:rFonts w:ascii="Verdana" w:hAnsi="Verdana"/>
            <w:sz w:val="16"/>
            <w:szCs w:val="16"/>
            <w:lang w:eastAsia="es-MX"/>
          </w:rPr>
          <w:t>https://www.colombiacompra.gov.co/wp-content/uploads/2024/08/cce-eicp-gi-23_guia_contratacion_prestacion_de_servicios_v1_11-07-2023_def_1_1.pdf</w:t>
        </w:r>
      </w:hyperlink>
      <w:r w:rsidRPr="006002B5">
        <w:rPr>
          <w:rFonts w:ascii="Verdana" w:hAnsi="Verdana"/>
          <w:i/>
          <w:iCs/>
          <w:sz w:val="16"/>
          <w:szCs w:val="16"/>
          <w:lang w:eastAsia="es-MX"/>
        </w:rPr>
        <w:t xml:space="preserve"> </w:t>
      </w:r>
    </w:p>
    <w:p w14:paraId="67FB8D98" w14:textId="77777777" w:rsidR="00357D00" w:rsidRPr="006002B5" w:rsidRDefault="00357D00" w:rsidP="00357D00">
      <w:pPr>
        <w:pStyle w:val="Textonotapie"/>
        <w:ind w:firstLine="709"/>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F55DB" w14:textId="77777777" w:rsidR="00357D00" w:rsidRDefault="00357D0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B5E6BD6" wp14:editId="605BCA34">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C692873" wp14:editId="29418B6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13D9B61" w14:textId="77777777" w:rsidR="00357D00" w:rsidRDefault="00357D00">
    <w:pPr>
      <w:pStyle w:val="Encabezado"/>
    </w:pPr>
  </w:p>
  <w:p w14:paraId="637EDCDC" w14:textId="77777777" w:rsidR="00357D00" w:rsidRPr="004A305D" w:rsidRDefault="00357D00" w:rsidP="00B01B1A">
    <w:pPr>
      <w:spacing w:after="0" w:line="120" w:lineRule="auto"/>
      <w:rPr>
        <w:rFonts w:ascii="Century Gothic" w:eastAsia="Geo" w:hAnsi="Century Gothic" w:cs="Geo"/>
        <w:sz w:val="16"/>
        <w:szCs w:val="16"/>
        <w:lang w:eastAsia="es-CO"/>
      </w:rPr>
    </w:pPr>
  </w:p>
  <w:p w14:paraId="14EBD13F" w14:textId="77777777" w:rsidR="00357D00" w:rsidRDefault="00357D00" w:rsidP="00844AE9">
    <w:pPr>
      <w:spacing w:after="0" w:line="240" w:lineRule="auto"/>
      <w:rPr>
        <w:rFonts w:ascii="Verdana" w:hAnsi="Verdana"/>
        <w:sz w:val="24"/>
        <w:szCs w:val="24"/>
      </w:rPr>
    </w:pPr>
  </w:p>
  <w:p w14:paraId="35C711E3" w14:textId="77777777" w:rsidR="00357D00" w:rsidRPr="00C925AC" w:rsidRDefault="00357D00" w:rsidP="00844AE9">
    <w:pPr>
      <w:spacing w:after="0" w:line="240" w:lineRule="auto"/>
      <w:rPr>
        <w:rFonts w:ascii="Verdana" w:hAnsi="Verdana"/>
        <w:sz w:val="24"/>
        <w:szCs w:val="24"/>
      </w:rPr>
    </w:pPr>
  </w:p>
  <w:p w14:paraId="31060D8E" w14:textId="77777777" w:rsidR="00357D00" w:rsidRPr="00C925AC" w:rsidRDefault="00357D0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1069" w:hanging="360"/>
      </w:pPr>
      <w:rPr>
        <w:b/>
        <w:color w:val="000000" w:themeColor="text1"/>
      </w:rPr>
    </w:lvl>
    <w:lvl w:ilvl="1">
      <w:start w:val="2"/>
      <w:numFmt w:val="decimal"/>
      <w:isLgl/>
      <w:lvlText w:val="%1.%2"/>
      <w:lvlJc w:val="left"/>
      <w:pPr>
        <w:ind w:left="70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584996455">
    <w:abstractNumId w:val="0"/>
  </w:num>
  <w:num w:numId="2" w16cid:durableId="1562902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D00"/>
    <w:rsid w:val="001537E7"/>
    <w:rsid w:val="001D0816"/>
    <w:rsid w:val="002D6822"/>
    <w:rsid w:val="003161A2"/>
    <w:rsid w:val="00357D00"/>
    <w:rsid w:val="004A140A"/>
    <w:rsid w:val="00580DCD"/>
    <w:rsid w:val="005B3A35"/>
    <w:rsid w:val="005F17ED"/>
    <w:rsid w:val="007A34AC"/>
    <w:rsid w:val="007A436C"/>
    <w:rsid w:val="00840AC5"/>
    <w:rsid w:val="00857EEC"/>
    <w:rsid w:val="009B4EF6"/>
    <w:rsid w:val="00AB28A0"/>
    <w:rsid w:val="00B33844"/>
    <w:rsid w:val="00BA266E"/>
    <w:rsid w:val="00BD7DEB"/>
    <w:rsid w:val="00CD08E0"/>
    <w:rsid w:val="00D13433"/>
    <w:rsid w:val="00EB14A8"/>
    <w:rsid w:val="00F61C7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E97EF"/>
  <w15:chartTrackingRefBased/>
  <w15:docId w15:val="{55AEFD16-C4A9-4B80-BBF3-CA61253B6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D00"/>
    <w:pPr>
      <w:spacing w:line="259" w:lineRule="auto"/>
    </w:pPr>
    <w:rPr>
      <w:kern w:val="0"/>
      <w:sz w:val="22"/>
      <w:szCs w:val="22"/>
      <w14:ligatures w14:val="none"/>
    </w:rPr>
  </w:style>
  <w:style w:type="paragraph" w:styleId="Ttulo1">
    <w:name w:val="heading 1"/>
    <w:basedOn w:val="Normal"/>
    <w:next w:val="Normal"/>
    <w:link w:val="Ttulo1Car"/>
    <w:uiPriority w:val="9"/>
    <w:qFormat/>
    <w:rsid w:val="00357D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57D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57D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57D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57D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57D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57D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57D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57D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7D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57D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57D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57D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57D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57D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57D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57D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57D00"/>
    <w:rPr>
      <w:rFonts w:eastAsiaTheme="majorEastAsia" w:cstheme="majorBidi"/>
      <w:color w:val="272727" w:themeColor="text1" w:themeTint="D8"/>
    </w:rPr>
  </w:style>
  <w:style w:type="paragraph" w:styleId="Ttulo">
    <w:name w:val="Title"/>
    <w:basedOn w:val="Normal"/>
    <w:next w:val="Normal"/>
    <w:link w:val="TtuloCar"/>
    <w:uiPriority w:val="10"/>
    <w:qFormat/>
    <w:rsid w:val="00357D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57D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57D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57D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57D00"/>
    <w:pPr>
      <w:spacing w:before="160"/>
      <w:jc w:val="center"/>
    </w:pPr>
    <w:rPr>
      <w:i/>
      <w:iCs/>
      <w:color w:val="404040" w:themeColor="text1" w:themeTint="BF"/>
    </w:rPr>
  </w:style>
  <w:style w:type="character" w:customStyle="1" w:styleId="CitaCar">
    <w:name w:val="Cita Car"/>
    <w:basedOn w:val="Fuentedeprrafopredeter"/>
    <w:link w:val="Cita"/>
    <w:uiPriority w:val="29"/>
    <w:rsid w:val="00357D0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57D00"/>
    <w:pPr>
      <w:ind w:left="720"/>
      <w:contextualSpacing/>
    </w:pPr>
  </w:style>
  <w:style w:type="character" w:styleId="nfasisintenso">
    <w:name w:val="Intense Emphasis"/>
    <w:basedOn w:val="Fuentedeprrafopredeter"/>
    <w:uiPriority w:val="21"/>
    <w:qFormat/>
    <w:rsid w:val="00357D00"/>
    <w:rPr>
      <w:i/>
      <w:iCs/>
      <w:color w:val="0F4761" w:themeColor="accent1" w:themeShade="BF"/>
    </w:rPr>
  </w:style>
  <w:style w:type="paragraph" w:styleId="Citadestacada">
    <w:name w:val="Intense Quote"/>
    <w:basedOn w:val="Normal"/>
    <w:next w:val="Normal"/>
    <w:link w:val="CitadestacadaCar"/>
    <w:uiPriority w:val="30"/>
    <w:qFormat/>
    <w:rsid w:val="00357D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57D00"/>
    <w:rPr>
      <w:i/>
      <w:iCs/>
      <w:color w:val="0F4761" w:themeColor="accent1" w:themeShade="BF"/>
    </w:rPr>
  </w:style>
  <w:style w:type="character" w:styleId="Referenciaintensa">
    <w:name w:val="Intense Reference"/>
    <w:basedOn w:val="Fuentedeprrafopredeter"/>
    <w:uiPriority w:val="32"/>
    <w:qFormat/>
    <w:rsid w:val="00357D00"/>
    <w:rPr>
      <w:b/>
      <w:bCs/>
      <w:smallCaps/>
      <w:color w:val="0F4761" w:themeColor="accent1" w:themeShade="BF"/>
      <w:spacing w:val="5"/>
    </w:rPr>
  </w:style>
  <w:style w:type="paragraph" w:styleId="Encabezado">
    <w:name w:val="header"/>
    <w:basedOn w:val="Normal"/>
    <w:link w:val="EncabezadoCar"/>
    <w:uiPriority w:val="99"/>
    <w:unhideWhenUsed/>
    <w:rsid w:val="00357D0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7D00"/>
    <w:rPr>
      <w:kern w:val="0"/>
      <w:sz w:val="22"/>
      <w:szCs w:val="22"/>
      <w14:ligatures w14:val="none"/>
    </w:rPr>
  </w:style>
  <w:style w:type="paragraph" w:styleId="Piedepgina">
    <w:name w:val="footer"/>
    <w:basedOn w:val="Normal"/>
    <w:link w:val="PiedepginaCar"/>
    <w:uiPriority w:val="99"/>
    <w:unhideWhenUsed/>
    <w:rsid w:val="00357D0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57D0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57D0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57D0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57D0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57D00"/>
    <w:rPr>
      <w:vertAlign w:val="superscript"/>
    </w:rPr>
  </w:style>
  <w:style w:type="character" w:customStyle="1" w:styleId="normaltextrun">
    <w:name w:val="normaltextrun"/>
    <w:basedOn w:val="Fuentedeprrafopredeter"/>
    <w:rsid w:val="00357D00"/>
  </w:style>
  <w:style w:type="table" w:styleId="Tablaconcuadrcula">
    <w:name w:val="Table Grid"/>
    <w:basedOn w:val="Tablanormal"/>
    <w:uiPriority w:val="39"/>
    <w:qFormat/>
    <w:rsid w:val="00357D0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57D00"/>
    <w:rPr>
      <w:color w:val="0000FF"/>
      <w:u w:val="single"/>
    </w:rPr>
  </w:style>
  <w:style w:type="paragraph" w:customStyle="1" w:styleId="Appelnotedebasde">
    <w:name w:val="Appel note de bas de..."/>
    <w:basedOn w:val="Normal"/>
    <w:link w:val="Refdenotaalpie"/>
    <w:uiPriority w:val="99"/>
    <w:rsid w:val="00357D00"/>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7D00"/>
  </w:style>
  <w:style w:type="paragraph" w:styleId="Sinespaciado">
    <w:name w:val="No Spacing"/>
    <w:aliases w:val="No Indent"/>
    <w:uiPriority w:val="3"/>
    <w:qFormat/>
    <w:rsid w:val="00357D00"/>
    <w:pPr>
      <w:spacing w:after="0" w:line="240" w:lineRule="auto"/>
    </w:pPr>
    <w:rPr>
      <w:kern w:val="0"/>
      <w:szCs w:val="22"/>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cce-eicp-gi-23_guia_contratacion_prestacion_de_servicios_v1_11-07-2023_def_1_1.pdf" TargetMode="External"/><Relationship Id="rId17"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zajoherz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ce-eicp-gi-23_guia_contratacion_prestacion_de_servicios_v1_11-07-2023_def_1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DD0A6-6067-431C-BF6C-9EB7D209C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820C01-EEC7-4E13-BE6E-AEBFEA5C87D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1035E62-390F-4BEE-B2DD-0CF402B300FE}">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15</Pages>
  <Words>5101</Words>
  <Characters>28056</Characters>
  <Application>Microsoft Office Word</Application>
  <DocSecurity>0</DocSecurity>
  <Lines>233</Lines>
  <Paragraphs>66</Paragraphs>
  <ScaleCrop>false</ScaleCrop>
  <Company/>
  <LinksUpToDate>false</LinksUpToDate>
  <CharactersWithSpaces>33091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Andreina Cerpa Muñoz</cp:lastModifiedBy>
  <cp:revision>13</cp:revision>
  <dcterms:created xsi:type="dcterms:W3CDTF">2026-08-25T19:31:00Z</dcterms:created>
  <dcterms:modified xsi:type="dcterms:W3CDTF">2026-08-27T19:32:00Z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