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7B995" w14:textId="77777777" w:rsidR="005F2D7C" w:rsidRDefault="005F2D7C" w:rsidP="005F2D7C">
      <w:pPr>
        <w:spacing w:after="0" w:line="240" w:lineRule="auto"/>
        <w:jc w:val="both"/>
        <w:rPr>
          <w:rFonts w:ascii="Verdana" w:eastAsia="Calibri" w:hAnsi="Verdana" w:cs="Arial"/>
          <w:bCs/>
          <w:lang w:val="es-ES_tradnl"/>
        </w:rPr>
      </w:pPr>
      <w:bookmarkStart w:id="0" w:name="_Hlk143780582"/>
      <w:r>
        <w:rPr>
          <w:rFonts w:ascii="Verdana" w:eastAsia="Calibri" w:hAnsi="Verdana" w:cs="Arial"/>
          <w:b/>
          <w:lang w:val="es-ES_tradnl"/>
        </w:rPr>
        <w:t>CONCEPTOS DE COLOMBIA COMPRA EFICIENTE – Obligatoriedad</w:t>
      </w:r>
    </w:p>
    <w:p w14:paraId="55877FBD" w14:textId="77777777" w:rsidR="005F2D7C" w:rsidRDefault="005F2D7C" w:rsidP="005F2D7C">
      <w:pPr>
        <w:spacing w:after="0" w:line="240" w:lineRule="auto"/>
        <w:jc w:val="both"/>
        <w:rPr>
          <w:rFonts w:ascii="Verdana" w:hAnsi="Verdana" w:cs="Arial"/>
          <w:sz w:val="20"/>
          <w:szCs w:val="20"/>
          <w:highlight w:val="yellow"/>
          <w:lang w:val="es-ES_tradnl"/>
        </w:rPr>
      </w:pPr>
    </w:p>
    <w:p w14:paraId="4A3C642E" w14:textId="77777777" w:rsidR="005F2D7C" w:rsidRDefault="005F2D7C" w:rsidP="005F2D7C">
      <w:pPr>
        <w:pStyle w:val="Prrafodelista"/>
        <w:spacing w:after="0" w:line="240" w:lineRule="auto"/>
        <w:ind w:left="0"/>
        <w:jc w:val="both"/>
        <w:rPr>
          <w:rFonts w:ascii="Verdana" w:eastAsia="Calibri" w:hAnsi="Verdana" w:cs="Arial"/>
          <w:sz w:val="20"/>
          <w:szCs w:val="20"/>
          <w:highlight w:val="yellow"/>
          <w:lang w:val="es-ES_tradnl"/>
        </w:rPr>
      </w:pPr>
      <w:r>
        <w:rPr>
          <w:rFonts w:ascii="Verdana" w:eastAsia="Calibri" w:hAnsi="Verdana" w:cs="Arial"/>
          <w:sz w:val="20"/>
          <w:szCs w:val="20"/>
          <w:lang w:val="es-ES_tradnl"/>
        </w:rPr>
        <w:t>La ley es clara cuando establece que los conceptos, emitidos por las autoridades al responder peticiones realizadas en ejercicio del derecho a formular consultas, no son de obligatorio cumplimiento o ejecución, en otras palabras, no tienen efectos vinculantes. Las respuestas emitidas como concepto, entonces, consisten en la posición hermenéutica que las entidades tienen respecto del ordenamiento jurídico. Esto explica por qué esta Agencia, reiteradamente, no resuelve controversias concretas ni brinda asesoría a los partícipes de la contratación estatal.</w:t>
      </w:r>
    </w:p>
    <w:p w14:paraId="09DC0F7B" w14:textId="77777777" w:rsidR="005F2D7C" w:rsidRDefault="005F2D7C" w:rsidP="005F2D7C">
      <w:pPr>
        <w:spacing w:after="0" w:line="240" w:lineRule="auto"/>
        <w:jc w:val="both"/>
        <w:rPr>
          <w:rFonts w:ascii="Verdana" w:eastAsia="Calibri" w:hAnsi="Verdana" w:cs="Arial"/>
          <w:b/>
          <w:sz w:val="20"/>
          <w:szCs w:val="20"/>
          <w:highlight w:val="yellow"/>
          <w:lang w:val="es-ES_tradnl"/>
        </w:rPr>
      </w:pPr>
    </w:p>
    <w:p w14:paraId="5A4AA232" w14:textId="77777777" w:rsidR="005F2D7C" w:rsidRDefault="005F2D7C" w:rsidP="005F2D7C">
      <w:pPr>
        <w:spacing w:after="0" w:line="240" w:lineRule="auto"/>
        <w:jc w:val="both"/>
        <w:rPr>
          <w:rFonts w:ascii="Verdana" w:eastAsia="Calibri" w:hAnsi="Verdana" w:cs="Arial"/>
          <w:bCs/>
          <w:lang w:val="es-ES_tradnl"/>
        </w:rPr>
      </w:pPr>
      <w:r>
        <w:rPr>
          <w:rFonts w:ascii="Verdana" w:eastAsia="Calibri" w:hAnsi="Verdana" w:cs="Arial"/>
          <w:b/>
          <w:lang w:val="es-ES_tradnl"/>
        </w:rPr>
        <w:t>FUNCIÓN CONSULTIVA – Alcance</w:t>
      </w:r>
    </w:p>
    <w:p w14:paraId="7C3D410F" w14:textId="77777777" w:rsidR="005F2D7C" w:rsidRDefault="005F2D7C" w:rsidP="005F2D7C">
      <w:pPr>
        <w:spacing w:after="0" w:line="240" w:lineRule="auto"/>
        <w:jc w:val="both"/>
        <w:rPr>
          <w:rFonts w:ascii="Verdana" w:hAnsi="Verdana" w:cs="Arial"/>
          <w:sz w:val="20"/>
          <w:szCs w:val="20"/>
          <w:highlight w:val="yellow"/>
          <w:lang w:val="es-ES_tradnl"/>
        </w:rPr>
      </w:pPr>
    </w:p>
    <w:p w14:paraId="54F5E80A" w14:textId="77777777" w:rsidR="005F2D7C" w:rsidRDefault="005F2D7C" w:rsidP="005F2D7C">
      <w:pPr>
        <w:pStyle w:val="Prrafodelista"/>
        <w:spacing w:after="0" w:line="240" w:lineRule="auto"/>
        <w:ind w:left="0"/>
        <w:jc w:val="both"/>
        <w:rPr>
          <w:rFonts w:ascii="Verdana" w:eastAsia="Calibri" w:hAnsi="Verdana" w:cs="Arial"/>
          <w:sz w:val="20"/>
          <w:szCs w:val="20"/>
          <w:lang w:val="es-ES_tradnl"/>
        </w:rPr>
      </w:pPr>
      <w:r>
        <w:rPr>
          <w:rFonts w:ascii="Verdana" w:eastAsia="Calibri" w:hAnsi="Verdana" w:cs="Arial"/>
          <w:sz w:val="20"/>
          <w:szCs w:val="20"/>
          <w:lang w:val="es-ES_tradnl"/>
        </w:rPr>
        <w:t xml:space="preserve">Las autoridades que ejercen funciones consultivas pueden expresar su interpretación de un precepto normativo que no excluye otras interpretaciones posibles, pues el derecho, como sistema normativo, es un lenguaje que, en ocasiones, se tiñe de vaguedad, en virtud de la utilización de conceptos jurídicos indeterminados. Así, puede pasar, por ejemplo, que un ministerio considere que una norma debe entenderse en un sentido, pero que otra entidad, vinculada o adscrita a ese ministerio, entienda que la misma norma debe interpretarse de otra manera. Eso hace parte de la lógica deliberativa y dialéctica del funcionamiento del Estado y refleja el principio democrático. De todos modos, esto no significa que el criterio de una u otra tenga validez o prevalencia sobre la otra, ya que se trata de opiniones emitidas a título de concepto, pese a que entre las entidades exista una jerarquía o de la naturaleza y competencias que se prediquen de una y otra. Incluso, aun cuando los jueces interpreten con autoridad el sentido de la disposición normativa, el concepto emitido por la entidad no deja de ser un concepto y no adquiere efectos vinculantes, por más que coincida con el de la autoridad judicial, pues, en esa hipótesis, lo que vincula es la decisión del juez, no el de la entidad que ejerció la función consultiva, pues, como se viene diciendo, dicha competencia se enmarca en el artículo 28 de la Ley 1437 de 2011. En otras palabras, los conceptos “no serán de obligatorio cumplimiento o ejecución”. </w:t>
      </w:r>
    </w:p>
    <w:p w14:paraId="78D3B0C1" w14:textId="77777777" w:rsidR="005F2D7C" w:rsidRDefault="005F2D7C" w:rsidP="005F2D7C">
      <w:pPr>
        <w:pStyle w:val="Prrafodelista"/>
        <w:spacing w:after="0" w:line="240" w:lineRule="auto"/>
        <w:ind w:left="0"/>
        <w:jc w:val="both"/>
        <w:rPr>
          <w:rFonts w:ascii="Verdana" w:eastAsia="Calibri" w:hAnsi="Verdana" w:cs="Arial"/>
          <w:sz w:val="20"/>
          <w:szCs w:val="20"/>
          <w:highlight w:val="yellow"/>
          <w:lang w:val="es-ES_tradnl"/>
        </w:rPr>
      </w:pPr>
    </w:p>
    <w:p w14:paraId="6C30D63E" w14:textId="77777777" w:rsidR="005F2D7C" w:rsidRDefault="005F2D7C" w:rsidP="005F2D7C">
      <w:pPr>
        <w:spacing w:after="0" w:line="240" w:lineRule="auto"/>
        <w:jc w:val="both"/>
        <w:rPr>
          <w:rFonts w:ascii="Verdana" w:eastAsia="Calibri" w:hAnsi="Verdana" w:cs="Arial"/>
          <w:lang w:val="es-ES_tradnl"/>
        </w:rPr>
      </w:pPr>
      <w:r>
        <w:rPr>
          <w:rFonts w:ascii="Verdana" w:eastAsia="Calibri" w:hAnsi="Verdana" w:cs="Arial"/>
          <w:b/>
          <w:bCs/>
          <w:lang w:val="es-ES_tradnl"/>
        </w:rPr>
        <w:t xml:space="preserve">CONCEPTOS DE COLOMBIA COMPRA EFICIENTE – Revocación directa </w:t>
      </w:r>
      <w:r>
        <w:rPr>
          <w:rFonts w:ascii="Verdana" w:eastAsia="Arial" w:hAnsi="Verdana" w:cs="Arial"/>
          <w:b/>
          <w:bCs/>
          <w:lang w:val="es-ES_tradnl"/>
        </w:rPr>
        <w:t>– Improcedencia</w:t>
      </w:r>
    </w:p>
    <w:p w14:paraId="28980BBA" w14:textId="77777777" w:rsidR="005F2D7C" w:rsidRDefault="005F2D7C" w:rsidP="005F2D7C">
      <w:pPr>
        <w:spacing w:after="0" w:line="240" w:lineRule="auto"/>
        <w:jc w:val="both"/>
        <w:rPr>
          <w:rFonts w:ascii="Verdana" w:hAnsi="Verdana" w:cs="Arial"/>
          <w:sz w:val="20"/>
          <w:szCs w:val="20"/>
          <w:highlight w:val="yellow"/>
          <w:lang w:val="es-ES_tradnl"/>
        </w:rPr>
      </w:pPr>
    </w:p>
    <w:p w14:paraId="6C069424" w14:textId="77777777" w:rsidR="005F2D7C" w:rsidRDefault="005F2D7C" w:rsidP="005F2D7C">
      <w:pPr>
        <w:tabs>
          <w:tab w:val="left" w:pos="709"/>
        </w:tabs>
        <w:spacing w:after="0" w:line="240" w:lineRule="auto"/>
        <w:jc w:val="both"/>
        <w:rPr>
          <w:rFonts w:ascii="Verdana" w:eastAsia="Calibri" w:hAnsi="Verdana" w:cs="Arial"/>
          <w:bCs/>
          <w:sz w:val="20"/>
          <w:szCs w:val="20"/>
          <w:lang w:val="es-ES_tradnl"/>
        </w:rPr>
      </w:pPr>
      <w:r>
        <w:rPr>
          <w:rFonts w:ascii="Verdana" w:eastAsia="Calibri" w:hAnsi="Verdana" w:cs="Arial"/>
          <w:bCs/>
          <w:sz w:val="20"/>
          <w:szCs w:val="20"/>
          <w:lang w:val="es-ES_tradnl"/>
        </w:rPr>
        <w:t xml:space="preserve">Así las cosas, Colombia Compra Eficiente considera que no hay lugar a acceder, por ejemplo, a solicitudes de </w:t>
      </w:r>
      <w:r>
        <w:rPr>
          <w:rFonts w:ascii="Verdana" w:eastAsia="Calibri" w:hAnsi="Verdana" w:cs="Arial"/>
          <w:bCs/>
          <w:i/>
          <w:iCs/>
          <w:sz w:val="20"/>
          <w:szCs w:val="20"/>
          <w:lang w:val="es-ES_tradnl"/>
        </w:rPr>
        <w:t>revocación directa</w:t>
      </w:r>
      <w:r>
        <w:rPr>
          <w:rFonts w:ascii="Verdana" w:eastAsia="Calibri" w:hAnsi="Verdana" w:cs="Arial"/>
          <w:bCs/>
          <w:sz w:val="20"/>
          <w:szCs w:val="20"/>
          <w:lang w:val="es-ES_tradnl"/>
        </w:rPr>
        <w:t xml:space="preserve"> de los conceptos, pues no son actos administrativos, no tienen efectos vinculantes en relación con una situación jurídica particular y concreta, y exponen un criterio que, aunque jurídicamente fundamentado, no representan necesariamente la </w:t>
      </w:r>
      <w:r>
        <w:rPr>
          <w:rFonts w:ascii="Verdana" w:eastAsia="Calibri" w:hAnsi="Verdana" w:cs="Arial"/>
          <w:bCs/>
          <w:i/>
          <w:iCs/>
          <w:sz w:val="20"/>
          <w:szCs w:val="20"/>
          <w:lang w:val="es-ES_tradnl"/>
        </w:rPr>
        <w:t>única</w:t>
      </w:r>
      <w:r>
        <w:rPr>
          <w:rFonts w:ascii="Verdana" w:eastAsia="Calibri" w:hAnsi="Verdana" w:cs="Arial"/>
          <w:bCs/>
          <w:sz w:val="20"/>
          <w:szCs w:val="20"/>
          <w:lang w:val="es-ES_tradnl"/>
        </w:rPr>
        <w:t xml:space="preserve"> interpretación válida del ordenamiento jurídico. Lo anterior no implica que la Agencia Nacional de Contratación Pública – Colombia Compra Eficiente considere inalterables sus posturas, pues, de ser necesario, podría replantear una tesis previamente expuesta, bajo estrictos estándares argumentativos, al emitir otro concepto, ya que, dada su falta de vinculatoriedad, la legitimación de sus posturas proviene de la fuerza de los argumentos. </w:t>
      </w:r>
    </w:p>
    <w:p w14:paraId="536E2469" w14:textId="77777777" w:rsidR="005F2D7C" w:rsidRDefault="005F2D7C" w:rsidP="005F2D7C">
      <w:pPr>
        <w:jc w:val="both"/>
        <w:rPr>
          <w:rFonts w:ascii="Verdana" w:eastAsia="Calibri" w:hAnsi="Verdana" w:cs="Arial"/>
          <w:b/>
          <w:bCs/>
          <w:sz w:val="20"/>
          <w:szCs w:val="20"/>
          <w:lang w:val="es-ES" w:eastAsia="es-ES"/>
        </w:rPr>
      </w:pPr>
    </w:p>
    <w:p w14:paraId="4377A962" w14:textId="77777777" w:rsidR="005F2D7C" w:rsidRPr="00CC26C0" w:rsidRDefault="005F2D7C" w:rsidP="005F2D7C">
      <w:pPr>
        <w:jc w:val="both"/>
        <w:rPr>
          <w:rFonts w:ascii="Verdana" w:eastAsia="Calibri" w:hAnsi="Verdana" w:cs="Arial"/>
          <w:b/>
          <w:bCs/>
          <w:lang w:val="es-ES" w:eastAsia="es-ES"/>
        </w:rPr>
      </w:pPr>
      <w:r w:rsidRPr="00CC26C0">
        <w:rPr>
          <w:rFonts w:ascii="Verdana" w:eastAsia="Calibri" w:hAnsi="Verdana" w:cs="Arial"/>
          <w:b/>
          <w:bCs/>
          <w:lang w:val="es-ES" w:eastAsia="es-ES"/>
        </w:rPr>
        <w:lastRenderedPageBreak/>
        <w:t xml:space="preserve">CONSORCIOS Y UNIONES TEMPORALES – Capacidad para contratar – Participación en varios procesos </w:t>
      </w:r>
    </w:p>
    <w:p w14:paraId="60A9FB40" w14:textId="77777777" w:rsidR="005F2D7C" w:rsidRDefault="005F2D7C" w:rsidP="005F2D7C">
      <w:pPr>
        <w:spacing w:after="0" w:line="240" w:lineRule="auto"/>
        <w:jc w:val="both"/>
        <w:rPr>
          <w:rFonts w:ascii="Verdana" w:eastAsia="Calibri" w:hAnsi="Verdana" w:cs="Arial"/>
          <w:sz w:val="20"/>
          <w:szCs w:val="20"/>
        </w:rPr>
      </w:pPr>
      <w:r w:rsidRPr="00B078CE">
        <w:rPr>
          <w:rFonts w:ascii="Verdana" w:hAnsi="Verdana" w:cs="Arial"/>
          <w:color w:val="000000" w:themeColor="text1"/>
          <w:sz w:val="20"/>
          <w:szCs w:val="20"/>
        </w:rPr>
        <w:t xml:space="preserve">De acuerdo con lo señalado en los numerales 6 y 7 del artículo 7 de la Ley 80 de 1993, la capacidad de los consorcios y uniones temporales para participar en la adjudicación, celebración y ejecución de </w:t>
      </w:r>
      <w:r w:rsidRPr="00B078CE">
        <w:rPr>
          <w:rFonts w:ascii="Verdana" w:hAnsi="Verdana" w:cs="Arial"/>
          <w:i/>
          <w:iCs/>
          <w:color w:val="000000" w:themeColor="text1"/>
          <w:sz w:val="20"/>
          <w:szCs w:val="20"/>
        </w:rPr>
        <w:t xml:space="preserve">uno o varios </w:t>
      </w:r>
      <w:r w:rsidRPr="00B078CE">
        <w:rPr>
          <w:rFonts w:ascii="Verdana" w:hAnsi="Verdana" w:cs="Arial"/>
          <w:color w:val="000000" w:themeColor="text1"/>
          <w:sz w:val="20"/>
          <w:szCs w:val="20"/>
        </w:rPr>
        <w:t xml:space="preserve">contratos estatales dependerá de dos aspectos: “i) que los integrantes de la estructural plural adopten la decisión conjunta de presentar una misma propuesta al proceso de selección; y </w:t>
      </w:r>
      <w:proofErr w:type="spellStart"/>
      <w:r w:rsidRPr="00B078CE">
        <w:rPr>
          <w:rFonts w:ascii="Verdana" w:hAnsi="Verdana" w:cs="Arial"/>
          <w:color w:val="000000" w:themeColor="text1"/>
          <w:sz w:val="20"/>
          <w:szCs w:val="20"/>
        </w:rPr>
        <w:t>ii</w:t>
      </w:r>
      <w:proofErr w:type="spellEnd"/>
      <w:r w:rsidRPr="00B078CE">
        <w:rPr>
          <w:rFonts w:ascii="Verdana" w:hAnsi="Verdana" w:cs="Arial"/>
          <w:color w:val="000000" w:themeColor="text1"/>
          <w:sz w:val="20"/>
          <w:szCs w:val="20"/>
        </w:rPr>
        <w:t xml:space="preserve">) que el objeto del consorcio o unión temporal se encuentre alineado con las actividades a desarrollar en un determinado proceso”. Así, </w:t>
      </w:r>
      <w:r w:rsidRPr="00B078CE">
        <w:rPr>
          <w:rFonts w:ascii="Verdana" w:eastAsia="Calibri" w:hAnsi="Verdana" w:cs="Arial"/>
          <w:sz w:val="20"/>
          <w:szCs w:val="20"/>
        </w:rPr>
        <w:t>no existe impedimento o prohibición alguna que limite la actividad de los consorcios o uniones temporales a un solo contrato.</w:t>
      </w:r>
    </w:p>
    <w:p w14:paraId="7418C09B" w14:textId="77777777" w:rsidR="005F2D7C" w:rsidRPr="00B078CE" w:rsidRDefault="005F2D7C" w:rsidP="005F2D7C">
      <w:pPr>
        <w:spacing w:after="0" w:line="240" w:lineRule="auto"/>
        <w:jc w:val="both"/>
        <w:rPr>
          <w:rFonts w:ascii="Verdana" w:eastAsia="Calibri" w:hAnsi="Verdana" w:cs="Arial"/>
          <w:sz w:val="20"/>
          <w:szCs w:val="20"/>
        </w:rPr>
      </w:pPr>
    </w:p>
    <w:p w14:paraId="74A1EBE6" w14:textId="77777777" w:rsidR="005F2D7C" w:rsidRPr="00E37017" w:rsidRDefault="005F2D7C" w:rsidP="005F2D7C">
      <w:pPr>
        <w:spacing w:after="0" w:line="240" w:lineRule="auto"/>
        <w:jc w:val="both"/>
        <w:rPr>
          <w:rFonts w:ascii="Verdana" w:eastAsia="Calibri" w:hAnsi="Verdana" w:cs="Arial"/>
          <w:b/>
          <w:bCs/>
          <w:lang w:val="es-ES" w:eastAsia="es-ES"/>
        </w:rPr>
      </w:pPr>
      <w:r w:rsidRPr="00E37017">
        <w:rPr>
          <w:rFonts w:ascii="Verdana" w:eastAsia="Calibri" w:hAnsi="Verdana" w:cs="Arial"/>
          <w:b/>
          <w:bCs/>
          <w:lang w:val="es-ES" w:eastAsia="es-ES"/>
        </w:rPr>
        <w:t>CONSORCIOS Y UNIONES TEMPORALES – Concepto Unificado CU-636</w:t>
      </w:r>
      <w:r>
        <w:rPr>
          <w:rFonts w:ascii="Verdana" w:eastAsia="Calibri" w:hAnsi="Verdana" w:cs="Arial"/>
          <w:b/>
          <w:bCs/>
          <w:lang w:val="es-ES" w:eastAsia="es-ES"/>
        </w:rPr>
        <w:t xml:space="preserve"> y C-938</w:t>
      </w:r>
      <w:r w:rsidRPr="00E37017">
        <w:rPr>
          <w:rFonts w:ascii="Verdana" w:eastAsia="Calibri" w:hAnsi="Verdana" w:cs="Arial"/>
          <w:b/>
          <w:bCs/>
          <w:sz w:val="20"/>
          <w:szCs w:val="20"/>
          <w:lang w:val="es-ES" w:eastAsia="es-ES"/>
        </w:rPr>
        <w:t xml:space="preserve"> </w:t>
      </w:r>
    </w:p>
    <w:p w14:paraId="02E3BE7C" w14:textId="77777777" w:rsidR="005F2D7C" w:rsidRDefault="005F2D7C" w:rsidP="005F2D7C">
      <w:pPr>
        <w:spacing w:after="0" w:line="240" w:lineRule="auto"/>
        <w:jc w:val="both"/>
        <w:rPr>
          <w:rFonts w:ascii="Verdana" w:eastAsia="Calibri" w:hAnsi="Verdana" w:cs="Arial"/>
          <w:sz w:val="20"/>
          <w:szCs w:val="20"/>
          <w:lang w:val="es-ES"/>
        </w:rPr>
      </w:pPr>
    </w:p>
    <w:p w14:paraId="760F4C1F" w14:textId="77777777" w:rsidR="005F2D7C" w:rsidRDefault="005F2D7C" w:rsidP="005F2D7C">
      <w:pPr>
        <w:spacing w:after="0" w:line="240" w:lineRule="auto"/>
        <w:jc w:val="both"/>
        <w:rPr>
          <w:rFonts w:ascii="Verdana" w:eastAsia="Calibri" w:hAnsi="Verdana" w:cs="Arial"/>
          <w:sz w:val="20"/>
          <w:szCs w:val="20"/>
          <w:lang w:val="es-ES"/>
        </w:rPr>
      </w:pPr>
      <w:r w:rsidRPr="00DF1440">
        <w:rPr>
          <w:rFonts w:ascii="Verdana" w:eastAsia="Calibri" w:hAnsi="Verdana" w:cs="Arial"/>
          <w:sz w:val="20"/>
          <w:szCs w:val="20"/>
          <w:lang w:val="es-ES"/>
        </w:rPr>
        <w:t>En torno a la posibilidad de que los proponentes plurales puedan participar en varios procesos de contratación pública, esta Subdirección adoptó una nueva línea interpretativa en el concepto C-727 del 28 de octubre de 2024, reiterada en los conceptos C-805 del 25 de noviembre de 2024, C-016 del 11 de febrero de 2025, C-046 del 30 de enero de 2025, C-226 del 26 de marzo de 2025 y C-295 del 15 de abril de 2025 y unificada mediante el concepto CU-636 del 2 de julio de 2025, en la cual se concluyó la viabilidad jurídica de que los proponentes plurales presenten propuestas para la adjudicación, celebración y ejecución de contratos estatales con una o varias entidades.</w:t>
      </w:r>
    </w:p>
    <w:p w14:paraId="43E8407E" w14:textId="77777777" w:rsidR="005F2D7C" w:rsidRPr="00DF1440" w:rsidRDefault="005F2D7C" w:rsidP="005F2D7C">
      <w:pPr>
        <w:spacing w:after="0" w:line="240" w:lineRule="auto"/>
        <w:jc w:val="both"/>
        <w:rPr>
          <w:rFonts w:ascii="Verdana" w:eastAsia="Calibri" w:hAnsi="Verdana" w:cs="Arial"/>
          <w:sz w:val="20"/>
          <w:szCs w:val="20"/>
          <w:lang w:val="es-ES"/>
        </w:rPr>
      </w:pPr>
    </w:p>
    <w:p w14:paraId="3FFEFCA9" w14:textId="77777777" w:rsidR="005F2D7C" w:rsidRDefault="005F2D7C" w:rsidP="005F2D7C">
      <w:pPr>
        <w:spacing w:after="0" w:line="240" w:lineRule="auto"/>
        <w:jc w:val="both"/>
        <w:rPr>
          <w:rFonts w:ascii="Verdana" w:eastAsia="Calibri" w:hAnsi="Verdana" w:cs="Arial"/>
          <w:sz w:val="20"/>
          <w:szCs w:val="20"/>
          <w:lang w:val="es-ES"/>
        </w:rPr>
      </w:pPr>
      <w:r w:rsidRPr="00DF1440">
        <w:rPr>
          <w:rFonts w:ascii="Verdana" w:eastAsia="Calibri" w:hAnsi="Verdana" w:cs="Arial"/>
          <w:sz w:val="20"/>
          <w:szCs w:val="20"/>
          <w:lang w:val="es-ES"/>
        </w:rPr>
        <w:t xml:space="preserve">El argumento que apoya esta tesis se sustenta en que, de acuerdo con lo señalado en los numerales 6 y 7 del artículo 7 de la Ley 80 de 1993, la capacidad de los consorcios y uniones temporales para participar en la adjudicación, celebración y ejecución de uno o varios contratos estatales dependerá de dos aspectos: i) que los integrantes de la estructural plural adopten la decisión conjunta de presentar una misma propuesta al proceso de selección; y </w:t>
      </w:r>
      <w:proofErr w:type="spellStart"/>
      <w:r w:rsidRPr="00DF1440">
        <w:rPr>
          <w:rFonts w:ascii="Verdana" w:eastAsia="Calibri" w:hAnsi="Verdana" w:cs="Arial"/>
          <w:sz w:val="20"/>
          <w:szCs w:val="20"/>
          <w:lang w:val="es-ES"/>
        </w:rPr>
        <w:t>ii</w:t>
      </w:r>
      <w:proofErr w:type="spellEnd"/>
      <w:r w:rsidRPr="00DF1440">
        <w:rPr>
          <w:rFonts w:ascii="Verdana" w:eastAsia="Calibri" w:hAnsi="Verdana" w:cs="Arial"/>
          <w:sz w:val="20"/>
          <w:szCs w:val="20"/>
          <w:lang w:val="es-ES"/>
        </w:rPr>
        <w:t xml:space="preserve">) que el objeto del consorcio o unión temporal se encuentre alineado con las actividades a desarrollar en un determinado proceso. Así, no existe impedimento o prohibición alguna que limite la actividad de los consorcios o uniones temporales a un solo contrato. </w:t>
      </w:r>
    </w:p>
    <w:p w14:paraId="342FC5E6" w14:textId="77777777" w:rsidR="005F2D7C" w:rsidRDefault="005F2D7C" w:rsidP="005F2D7C">
      <w:pPr>
        <w:spacing w:after="0" w:line="240" w:lineRule="auto"/>
        <w:jc w:val="both"/>
        <w:rPr>
          <w:rFonts w:ascii="Verdana" w:eastAsia="Calibri" w:hAnsi="Verdana" w:cs="Arial"/>
          <w:sz w:val="20"/>
          <w:szCs w:val="20"/>
          <w:lang w:val="es-ES"/>
        </w:rPr>
      </w:pPr>
    </w:p>
    <w:p w14:paraId="27C7CE9D" w14:textId="77777777" w:rsidR="005F2D7C" w:rsidRDefault="005F2D7C" w:rsidP="005F2D7C">
      <w:pPr>
        <w:spacing w:after="0" w:line="240" w:lineRule="auto"/>
        <w:jc w:val="both"/>
        <w:rPr>
          <w:rFonts w:ascii="Verdana" w:eastAsia="Calibri" w:hAnsi="Verdana" w:cs="Arial"/>
          <w:b/>
          <w:bCs/>
          <w:color w:val="000000" w:themeColor="text1"/>
          <w:sz w:val="20"/>
          <w:szCs w:val="20"/>
          <w:lang w:val="es-ES" w:eastAsia="es-ES"/>
        </w:rPr>
      </w:pPr>
      <w:r w:rsidRPr="00B078CE">
        <w:rPr>
          <w:rFonts w:ascii="Verdana" w:eastAsia="Calibri" w:hAnsi="Verdana" w:cs="Arial"/>
          <w:sz w:val="20"/>
          <w:szCs w:val="20"/>
          <w:lang w:val="es-ES"/>
        </w:rPr>
        <w:t>[…]</w:t>
      </w:r>
      <w:r>
        <w:rPr>
          <w:rFonts w:ascii="Verdana" w:eastAsia="Calibri" w:hAnsi="Verdana" w:cs="Arial"/>
          <w:b/>
          <w:bCs/>
          <w:color w:val="000000" w:themeColor="text1"/>
          <w:sz w:val="20"/>
          <w:szCs w:val="20"/>
          <w:lang w:val="es-ES" w:eastAsia="es-ES"/>
        </w:rPr>
        <w:t xml:space="preserve"> </w:t>
      </w:r>
    </w:p>
    <w:p w14:paraId="374E3082" w14:textId="77777777" w:rsidR="005F2D7C" w:rsidRDefault="005F2D7C" w:rsidP="005F2D7C">
      <w:pPr>
        <w:spacing w:after="0" w:line="240" w:lineRule="auto"/>
        <w:jc w:val="both"/>
        <w:rPr>
          <w:rFonts w:ascii="Verdana" w:eastAsia="Calibri" w:hAnsi="Verdana" w:cs="Arial"/>
          <w:b/>
          <w:bCs/>
          <w:color w:val="000000" w:themeColor="text1"/>
          <w:sz w:val="20"/>
          <w:szCs w:val="20"/>
          <w:lang w:val="es-ES" w:eastAsia="es-ES"/>
        </w:rPr>
      </w:pPr>
    </w:p>
    <w:p w14:paraId="4DA7AC0A" w14:textId="77777777" w:rsidR="005F2D7C" w:rsidRPr="00557125" w:rsidRDefault="005F2D7C" w:rsidP="005F2D7C">
      <w:pPr>
        <w:spacing w:after="0" w:line="240" w:lineRule="auto"/>
        <w:jc w:val="both"/>
        <w:rPr>
          <w:rFonts w:ascii="Verdana" w:eastAsia="Calibri" w:hAnsi="Verdana" w:cs="Arial"/>
          <w:color w:val="000000" w:themeColor="text1"/>
          <w:sz w:val="20"/>
          <w:szCs w:val="20"/>
          <w:lang w:val="es-ES" w:eastAsia="es-ES"/>
        </w:rPr>
      </w:pPr>
      <w:r w:rsidRPr="00557125">
        <w:rPr>
          <w:rFonts w:ascii="Verdana" w:eastAsia="Calibri" w:hAnsi="Verdana" w:cs="Arial"/>
          <w:color w:val="000000" w:themeColor="text1"/>
          <w:sz w:val="20"/>
          <w:szCs w:val="20"/>
          <w:lang w:val="es-ES" w:eastAsia="es-ES"/>
        </w:rPr>
        <w:t xml:space="preserve">La postura anterior fue complementada en el concepto C-938 del 23 de agosto de 2025, en relación con la posibilidad de emplear el mismo usuario del SECOP II para participar en varios procesos de contratación pública. Al respecto, se indicó que dado que los consorcios y uniones temporales se encuentran legalmente facultados para celebrar contratos estatales, también les resulta aplicable la obligación de registrarse en el SECOP II, con el propósito de presentar ofertas dentro de los procesos de selección de su interés. </w:t>
      </w:r>
      <w:r w:rsidRPr="00B078CE">
        <w:rPr>
          <w:rFonts w:ascii="Verdana" w:eastAsia="Calibri" w:hAnsi="Verdana" w:cs="Arial"/>
          <w:sz w:val="20"/>
          <w:szCs w:val="20"/>
          <w:lang w:val="es-ES"/>
        </w:rPr>
        <w:t>[…]</w:t>
      </w:r>
      <w:r>
        <w:rPr>
          <w:rFonts w:ascii="Verdana" w:eastAsia="Calibri" w:hAnsi="Verdana" w:cs="Arial"/>
          <w:color w:val="000000" w:themeColor="text1"/>
          <w:sz w:val="20"/>
          <w:szCs w:val="20"/>
          <w:lang w:val="es-ES" w:eastAsia="es-ES"/>
        </w:rPr>
        <w:t xml:space="preserve"> </w:t>
      </w:r>
      <w:r w:rsidRPr="00557125">
        <w:rPr>
          <w:rFonts w:ascii="Verdana" w:eastAsia="Calibri" w:hAnsi="Verdana" w:cs="Arial"/>
          <w:color w:val="000000" w:themeColor="text1"/>
          <w:sz w:val="20"/>
          <w:szCs w:val="20"/>
          <w:lang w:val="es-ES" w:eastAsia="es-ES"/>
        </w:rPr>
        <w:t xml:space="preserve">De igual forma, se destacó que, teniendo en cuenta la viabilidad jurídica reconocida en el concepto unificado CU-636 de 2025 respecto de la posibilidad de que los proponentes plurales presenten propuestas para la adjudicación, celebración y </w:t>
      </w:r>
      <w:r w:rsidRPr="00557125">
        <w:rPr>
          <w:rFonts w:ascii="Verdana" w:eastAsia="Calibri" w:hAnsi="Verdana" w:cs="Arial"/>
          <w:color w:val="000000" w:themeColor="text1"/>
          <w:sz w:val="20"/>
          <w:szCs w:val="20"/>
          <w:lang w:val="es-ES" w:eastAsia="es-ES"/>
        </w:rPr>
        <w:lastRenderedPageBreak/>
        <w:t>ejecución de contratos estatales con una o varias entidades, resulta jurídicamente viable que dichos proponentes utilicen una misma cuenta y usuario en el SECOP II para participar en diferentes procesos de contratación, siempre que ello sea operativamente permitido por la plataforma. Para tal efecto, será necesario configurar el usuario de manera que permita cumplir con las exigencias particulares de cada proceso de selección y adecuarlo a las condiciones de la respectiva convocatoria.</w:t>
      </w:r>
    </w:p>
    <w:p w14:paraId="347FDA0B" w14:textId="77777777" w:rsidR="005F2D7C" w:rsidRDefault="005F2D7C" w:rsidP="005F2D7C">
      <w:pPr>
        <w:spacing w:after="0" w:line="240" w:lineRule="auto"/>
        <w:jc w:val="both"/>
        <w:rPr>
          <w:rFonts w:ascii="Verdana" w:eastAsia="Calibri" w:hAnsi="Verdana" w:cs="Arial"/>
          <w:b/>
          <w:bCs/>
          <w:color w:val="000000" w:themeColor="text1"/>
          <w:sz w:val="20"/>
          <w:szCs w:val="20"/>
          <w:lang w:val="es-ES" w:eastAsia="es-ES"/>
        </w:rPr>
      </w:pPr>
    </w:p>
    <w:p w14:paraId="27DCACBE" w14:textId="77777777" w:rsidR="005F2D7C" w:rsidRDefault="005F2D7C" w:rsidP="005F2D7C">
      <w:pPr>
        <w:spacing w:after="0" w:line="240" w:lineRule="auto"/>
        <w:jc w:val="both"/>
        <w:rPr>
          <w:rFonts w:ascii="Verdana" w:eastAsia="Calibri" w:hAnsi="Verdana" w:cs="Arial"/>
          <w:b/>
          <w:bCs/>
          <w:lang w:val="es-ES" w:eastAsia="es-ES"/>
        </w:rPr>
      </w:pPr>
      <w:r w:rsidRPr="00E37017">
        <w:rPr>
          <w:rFonts w:ascii="Verdana" w:eastAsia="Calibri" w:hAnsi="Verdana" w:cs="Arial"/>
          <w:b/>
          <w:bCs/>
          <w:lang w:val="es-ES" w:eastAsia="es-ES"/>
        </w:rPr>
        <w:t>CONSORCIOS Y UNIONES TEMPORALES – Deber de registro en SECOP II – Presentación de ofertas en SECOP II</w:t>
      </w:r>
      <w:r w:rsidRPr="00E37017">
        <w:rPr>
          <w:rFonts w:ascii="Verdana" w:eastAsia="Calibri" w:hAnsi="Verdana" w:cs="Arial"/>
          <w:b/>
          <w:bCs/>
          <w:color w:val="000000" w:themeColor="text1"/>
          <w:lang w:val="es-ES" w:eastAsia="es-ES"/>
        </w:rPr>
        <w:t xml:space="preserve"> </w:t>
      </w:r>
      <w:r w:rsidRPr="00E37017">
        <w:rPr>
          <w:rFonts w:ascii="Verdana" w:eastAsia="Calibri" w:hAnsi="Verdana" w:cs="Arial"/>
          <w:b/>
          <w:bCs/>
          <w:lang w:val="es-ES" w:eastAsia="es-ES"/>
        </w:rPr>
        <w:t>–</w:t>
      </w:r>
      <w:r>
        <w:rPr>
          <w:rFonts w:ascii="Verdana" w:eastAsia="Calibri" w:hAnsi="Verdana" w:cs="Arial"/>
          <w:b/>
          <w:bCs/>
          <w:lang w:val="es-ES" w:eastAsia="es-ES"/>
        </w:rPr>
        <w:t xml:space="preserve"> Verificación Entidad Estatal</w:t>
      </w:r>
    </w:p>
    <w:p w14:paraId="57DBB935" w14:textId="77777777" w:rsidR="005F2D7C" w:rsidRPr="00557125" w:rsidRDefault="005F2D7C" w:rsidP="005F2D7C">
      <w:pPr>
        <w:spacing w:after="0" w:line="240" w:lineRule="auto"/>
        <w:jc w:val="both"/>
        <w:rPr>
          <w:rFonts w:ascii="Verdana" w:eastAsia="Calibri" w:hAnsi="Verdana" w:cs="Arial"/>
          <w:b/>
          <w:bCs/>
          <w:lang w:val="es-ES" w:eastAsia="es-ES"/>
        </w:rPr>
      </w:pPr>
    </w:p>
    <w:p w14:paraId="235D0B56" w14:textId="77777777" w:rsidR="005F2D7C" w:rsidRDefault="005F2D7C" w:rsidP="005F2D7C">
      <w:pPr>
        <w:jc w:val="both"/>
        <w:rPr>
          <w:rFonts w:ascii="Verdana" w:eastAsia="Calibri" w:hAnsi="Verdana" w:cs="Arial"/>
          <w:color w:val="000000" w:themeColor="text1"/>
          <w:sz w:val="20"/>
          <w:szCs w:val="20"/>
          <w:lang w:val="es-ES" w:eastAsia="es-ES"/>
        </w:rPr>
      </w:pPr>
      <w:r>
        <w:rPr>
          <w:rFonts w:ascii="Verdana" w:eastAsia="Calibri" w:hAnsi="Verdana" w:cs="Arial"/>
          <w:color w:val="000000" w:themeColor="text1"/>
          <w:sz w:val="20"/>
          <w:szCs w:val="20"/>
          <w:lang w:val="es-ES" w:eastAsia="es-ES"/>
        </w:rPr>
        <w:t>D</w:t>
      </w:r>
      <w:r w:rsidRPr="00876806">
        <w:rPr>
          <w:rFonts w:ascii="Verdana" w:eastAsia="Calibri" w:hAnsi="Verdana" w:cs="Arial"/>
          <w:color w:val="000000" w:themeColor="text1"/>
          <w:sz w:val="20"/>
          <w:szCs w:val="20"/>
          <w:lang w:val="es-ES" w:eastAsia="es-ES"/>
        </w:rPr>
        <w:t>ado que los consorcios y uniones temporales se encuentran legalmente facultados para celebrar contratos estatales, también les resulta aplicable la obligación de registrarse en el SECOP II, con el propósito de presentar ofertas dentro de los procesos de selección de su interés. En ese sentido, se precisó que la forma de participación en la plataforma se encuentra regulada por los términos y condiciones de uso y por las guías operativas del SECOP II, las cuales establecen los requisitos, formularios y procedimientos necesarios para manifestar interés, crear y presentar ofertas en línea. Así, los proveedores pueden participar en los procesos de contratación bajo la modalidad de proponente plural, para lo cual deben registrar una cuenta en calidad de “Proveedor” dentro de la plataforma.</w:t>
      </w:r>
    </w:p>
    <w:p w14:paraId="438896FE" w14:textId="77777777" w:rsidR="005F2D7C" w:rsidRDefault="005F2D7C" w:rsidP="005F2D7C">
      <w:pPr>
        <w:spacing w:after="0" w:line="240" w:lineRule="auto"/>
        <w:jc w:val="both"/>
        <w:rPr>
          <w:rFonts w:ascii="Verdana" w:eastAsia="Calibri" w:hAnsi="Verdana" w:cs="Arial"/>
          <w:b/>
          <w:bCs/>
          <w:color w:val="000000" w:themeColor="text1"/>
          <w:sz w:val="20"/>
          <w:szCs w:val="20"/>
          <w:lang w:val="es-ES" w:eastAsia="es-ES"/>
        </w:rPr>
      </w:pPr>
      <w:r w:rsidRPr="00B078CE">
        <w:rPr>
          <w:rFonts w:ascii="Verdana" w:eastAsia="Calibri" w:hAnsi="Verdana" w:cs="Arial"/>
          <w:sz w:val="20"/>
          <w:szCs w:val="20"/>
          <w:lang w:val="es-ES"/>
        </w:rPr>
        <w:t>[…]</w:t>
      </w:r>
      <w:r>
        <w:rPr>
          <w:rFonts w:ascii="Verdana" w:eastAsia="Calibri" w:hAnsi="Verdana" w:cs="Arial"/>
          <w:b/>
          <w:bCs/>
          <w:color w:val="000000" w:themeColor="text1"/>
          <w:sz w:val="20"/>
          <w:szCs w:val="20"/>
          <w:lang w:val="es-ES" w:eastAsia="es-ES"/>
        </w:rPr>
        <w:t xml:space="preserve"> </w:t>
      </w:r>
    </w:p>
    <w:p w14:paraId="6A156351" w14:textId="77777777" w:rsidR="005F2D7C" w:rsidRPr="00876806" w:rsidRDefault="005F2D7C" w:rsidP="005F2D7C">
      <w:pPr>
        <w:spacing w:after="0" w:line="240" w:lineRule="auto"/>
        <w:jc w:val="both"/>
        <w:rPr>
          <w:rFonts w:ascii="Verdana" w:eastAsia="Calibri" w:hAnsi="Verdana" w:cs="Arial"/>
          <w:b/>
          <w:bCs/>
          <w:color w:val="000000" w:themeColor="text1"/>
          <w:sz w:val="20"/>
          <w:szCs w:val="20"/>
          <w:lang w:val="es-ES" w:eastAsia="es-ES"/>
        </w:rPr>
      </w:pPr>
    </w:p>
    <w:p w14:paraId="518FFA7C" w14:textId="77777777" w:rsidR="005F2D7C" w:rsidRPr="00557125" w:rsidRDefault="005F2D7C" w:rsidP="005F2D7C">
      <w:pPr>
        <w:jc w:val="both"/>
        <w:rPr>
          <w:rFonts w:ascii="Verdana" w:eastAsia="Calibri" w:hAnsi="Verdana" w:cs="Arial"/>
          <w:color w:val="000000" w:themeColor="text1"/>
          <w:sz w:val="20"/>
          <w:szCs w:val="20"/>
          <w:lang w:val="es-ES" w:eastAsia="es-ES"/>
        </w:rPr>
      </w:pPr>
      <w:r>
        <w:rPr>
          <w:rFonts w:ascii="Verdana" w:eastAsia="Calibri" w:hAnsi="Verdana" w:cs="Arial"/>
          <w:color w:val="000000" w:themeColor="text1"/>
          <w:sz w:val="20"/>
          <w:szCs w:val="20"/>
          <w:lang w:val="es-ES" w:eastAsia="es-ES"/>
        </w:rPr>
        <w:t>S</w:t>
      </w:r>
      <w:r w:rsidRPr="00557125">
        <w:rPr>
          <w:rFonts w:ascii="Verdana" w:eastAsia="Calibri" w:hAnsi="Verdana" w:cs="Arial"/>
          <w:color w:val="000000" w:themeColor="text1"/>
          <w:sz w:val="20"/>
          <w:szCs w:val="20"/>
          <w:lang w:val="es-ES" w:eastAsia="es-ES"/>
        </w:rPr>
        <w:t>e considera pertinente realizar una modulación, en el sentido de precisar que, si bien, conforme se explicó, resulta jurídicamente viable que un proponente plural participe en varios procesos de contratación, la procedencia sobre la utilización de una misma cuenta y usuario en el SECOP II para presentar las respectivas ofertas estará supeditada a las condiciones, funcionalidades y reglas operativas que establezca la plataforma para el efecto, así como a la respectiva verificación que realice la entidad estatal en el marco del proceso de contratación.</w:t>
      </w:r>
    </w:p>
    <w:p w14:paraId="1B893BA5" w14:textId="77777777" w:rsidR="005F2D7C" w:rsidRPr="00557125" w:rsidRDefault="005F2D7C" w:rsidP="005F2D7C">
      <w:pPr>
        <w:jc w:val="both"/>
        <w:rPr>
          <w:rFonts w:ascii="Verdana" w:eastAsia="Calibri" w:hAnsi="Verdana" w:cs="Arial"/>
          <w:color w:val="000000" w:themeColor="text1"/>
          <w:sz w:val="20"/>
          <w:szCs w:val="20"/>
          <w:lang w:val="es-ES" w:eastAsia="es-ES"/>
        </w:rPr>
      </w:pPr>
      <w:r w:rsidRPr="00557125">
        <w:rPr>
          <w:rFonts w:ascii="Verdana" w:eastAsia="Calibri" w:hAnsi="Verdana" w:cs="Arial"/>
          <w:color w:val="000000" w:themeColor="text1"/>
          <w:sz w:val="20"/>
          <w:szCs w:val="20"/>
          <w:lang w:val="es-ES" w:eastAsia="es-ES"/>
        </w:rPr>
        <w:t>En efecto, mientras la participación del proponente plural en diferentes procesos constituye una cuestión jurídica, el uso de una determinada cuenta o usuario en la plataforma responde a condiciones técnicas, operativas y funcionales propias del SECOP II. Por ello, la gestión del usuario y cuenta del SECOP II debe sujetarse a las funcionalidades disponibles en la plataforma, a sus términos y condiciones de uso, a las guías y orientaciones vigentes y, cuando corresponda, a las indicaciones que suministre la mesa de servicio sobre la inscripción, configuración y participación de los proponentes plurales.</w:t>
      </w:r>
    </w:p>
    <w:p w14:paraId="7AC1DF30" w14:textId="77777777" w:rsidR="005F2D7C" w:rsidRDefault="005F2D7C" w:rsidP="005F2D7C">
      <w:pPr>
        <w:spacing w:after="0" w:line="240" w:lineRule="auto"/>
        <w:rPr>
          <w:rFonts w:ascii="Verdana" w:hAnsi="Verdana" w:cs="Arial"/>
          <w:bCs/>
          <w:color w:val="000000" w:themeColor="text1"/>
          <w:sz w:val="20"/>
          <w:szCs w:val="20"/>
        </w:rPr>
      </w:pPr>
    </w:p>
    <w:p w14:paraId="7A9C21C1" w14:textId="77777777" w:rsidR="005F2D7C" w:rsidRDefault="005F2D7C" w:rsidP="005F2D7C">
      <w:pPr>
        <w:spacing w:after="0" w:line="240" w:lineRule="auto"/>
        <w:rPr>
          <w:rFonts w:ascii="Verdana" w:hAnsi="Verdana" w:cs="Arial"/>
          <w:bCs/>
          <w:color w:val="000000" w:themeColor="text1"/>
          <w:sz w:val="20"/>
          <w:szCs w:val="20"/>
        </w:rPr>
      </w:pPr>
    </w:p>
    <w:p w14:paraId="52C7E9EA" w14:textId="77777777" w:rsidR="005F2D7C" w:rsidRDefault="005F2D7C" w:rsidP="005F2D7C">
      <w:pPr>
        <w:spacing w:after="0" w:line="240" w:lineRule="auto"/>
        <w:rPr>
          <w:rFonts w:ascii="Verdana" w:hAnsi="Verdana" w:cs="Arial"/>
          <w:bCs/>
          <w:color w:val="000000" w:themeColor="text1"/>
          <w:sz w:val="20"/>
          <w:szCs w:val="20"/>
        </w:rPr>
      </w:pPr>
    </w:p>
    <w:p w14:paraId="5A659923" w14:textId="77777777" w:rsidR="005F2D7C" w:rsidRDefault="005F2D7C" w:rsidP="005F2D7C">
      <w:pPr>
        <w:spacing w:after="0" w:line="240" w:lineRule="auto"/>
        <w:rPr>
          <w:rFonts w:ascii="Verdana" w:hAnsi="Verdana" w:cs="Arial"/>
          <w:bCs/>
          <w:color w:val="000000" w:themeColor="text1"/>
          <w:sz w:val="20"/>
          <w:szCs w:val="20"/>
        </w:rPr>
      </w:pPr>
    </w:p>
    <w:p w14:paraId="06B0B979" w14:textId="77777777" w:rsidR="005F2D7C" w:rsidRDefault="005F2D7C" w:rsidP="005F2D7C">
      <w:pPr>
        <w:spacing w:after="0" w:line="240" w:lineRule="auto"/>
        <w:rPr>
          <w:rFonts w:ascii="Verdana" w:hAnsi="Verdana" w:cs="Arial"/>
          <w:bCs/>
          <w:color w:val="000000" w:themeColor="text1"/>
          <w:sz w:val="20"/>
          <w:szCs w:val="20"/>
        </w:rPr>
      </w:pPr>
    </w:p>
    <w:p w14:paraId="44C7FDB2" w14:textId="6E36D01D" w:rsidR="005F2D7C" w:rsidRPr="00915417" w:rsidRDefault="005F2D7C" w:rsidP="005F2D7C">
      <w:pPr>
        <w:spacing w:after="0" w:line="240" w:lineRule="auto"/>
        <w:rPr>
          <w:rFonts w:ascii="Verdana" w:eastAsia="Geomanist Light" w:hAnsi="Verdana" w:cs="Arial"/>
          <w:color w:val="201F1E"/>
        </w:rPr>
      </w:pPr>
      <w:r w:rsidRPr="007C6597">
        <w:rPr>
          <w:rFonts w:ascii="Verdana" w:eastAsia="Geomanist Light" w:hAnsi="Verdana" w:cs="Arial"/>
          <w:color w:val="000000" w:themeColor="text1"/>
        </w:rPr>
        <w:lastRenderedPageBreak/>
        <w:t>Bogotá D.C., </w:t>
      </w:r>
      <w:r w:rsidR="00B66521">
        <w:rPr>
          <w:rFonts w:ascii="Verdana" w:eastAsia="Geomanist Light" w:hAnsi="Verdana" w:cs="Arial"/>
          <w:color w:val="201F1E"/>
        </w:rPr>
        <w:t>25 de agosto de 2026</w:t>
      </w:r>
    </w:p>
    <w:p w14:paraId="475C6BFB" w14:textId="48F42AAB" w:rsidR="005F2D7C" w:rsidRPr="007C6597" w:rsidRDefault="00CC26C0" w:rsidP="005F2D7C">
      <w:pPr>
        <w:spacing w:after="0" w:line="240" w:lineRule="auto"/>
        <w:jc w:val="both"/>
        <w:rPr>
          <w:rFonts w:ascii="Verdana" w:eastAsia="Calibri" w:hAnsi="Verdana" w:cs="Arial"/>
          <w:color w:val="000000"/>
        </w:rPr>
      </w:pPr>
      <w:r w:rsidRPr="00B66521">
        <w:rPr>
          <w:rFonts w:ascii="Verdana" w:eastAsia="Calibri" w:hAnsi="Verdana" w:cs="Arial"/>
          <w:noProof/>
          <w:color w:val="000000"/>
        </w:rPr>
        <w:drawing>
          <wp:anchor distT="0" distB="0" distL="114300" distR="114300" simplePos="0" relativeHeight="251658240" behindDoc="0" locked="0" layoutInCell="1" allowOverlap="1" wp14:anchorId="6FB13ABE" wp14:editId="5A15C76C">
            <wp:simplePos x="0" y="0"/>
            <wp:positionH relativeFrom="margin">
              <wp:align>right</wp:align>
            </wp:positionH>
            <wp:positionV relativeFrom="paragraph">
              <wp:posOffset>173355</wp:posOffset>
            </wp:positionV>
            <wp:extent cx="2526030" cy="817880"/>
            <wp:effectExtent l="0" t="0" r="7620" b="1270"/>
            <wp:wrapSquare wrapText="bothSides"/>
            <wp:docPr id="828442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26030" cy="817880"/>
                    </a:xfrm>
                    <a:prstGeom prst="rect">
                      <a:avLst/>
                    </a:prstGeom>
                    <a:noFill/>
                    <a:ln>
                      <a:noFill/>
                    </a:ln>
                  </pic:spPr>
                </pic:pic>
              </a:graphicData>
            </a:graphic>
            <wp14:sizeRelH relativeFrom="margin">
              <wp14:pctWidth>0</wp14:pctWidth>
            </wp14:sizeRelH>
          </wp:anchor>
        </w:drawing>
      </w:r>
    </w:p>
    <w:p w14:paraId="3FA75F9D" w14:textId="6267F378" w:rsidR="005F2D7C" w:rsidRPr="007C6597" w:rsidRDefault="005F2D7C" w:rsidP="005F2D7C">
      <w:pPr>
        <w:spacing w:after="0" w:line="240" w:lineRule="auto"/>
        <w:jc w:val="right"/>
        <w:rPr>
          <w:rFonts w:ascii="Verdana" w:eastAsia="Calibri" w:hAnsi="Verdana" w:cs="Arial"/>
          <w:color w:val="000000"/>
        </w:rPr>
      </w:pPr>
    </w:p>
    <w:p w14:paraId="130BE54D" w14:textId="77777777" w:rsidR="005F2D7C" w:rsidRDefault="005F2D7C" w:rsidP="005F2D7C">
      <w:pPr>
        <w:spacing w:after="0" w:line="240" w:lineRule="auto"/>
        <w:jc w:val="both"/>
        <w:rPr>
          <w:rFonts w:ascii="Verdana" w:eastAsia="Calibri" w:hAnsi="Verdana" w:cs="Arial"/>
          <w:lang w:eastAsia="es-ES"/>
        </w:rPr>
      </w:pPr>
      <w:r w:rsidRPr="007C6597">
        <w:rPr>
          <w:rFonts w:ascii="Verdana" w:eastAsia="Calibri" w:hAnsi="Verdana" w:cs="Arial"/>
          <w:lang w:eastAsia="es-ES"/>
        </w:rPr>
        <w:t>Señor</w:t>
      </w:r>
      <w:r>
        <w:rPr>
          <w:rFonts w:ascii="Verdana" w:eastAsia="Calibri" w:hAnsi="Verdana" w:cs="Arial"/>
          <w:lang w:eastAsia="es-ES"/>
        </w:rPr>
        <w:t>a</w:t>
      </w:r>
    </w:p>
    <w:p w14:paraId="4A687797" w14:textId="77777777" w:rsidR="005F2D7C" w:rsidRPr="00C62E6E" w:rsidRDefault="005F2D7C" w:rsidP="005F2D7C">
      <w:pPr>
        <w:spacing w:after="0" w:line="240" w:lineRule="auto"/>
        <w:jc w:val="both"/>
        <w:rPr>
          <w:rFonts w:ascii="Verdana" w:eastAsia="Calibri" w:hAnsi="Verdana" w:cs="Arial"/>
          <w:b/>
          <w:bCs/>
          <w:lang w:eastAsia="es-ES"/>
        </w:rPr>
      </w:pPr>
      <w:proofErr w:type="spellStart"/>
      <w:r>
        <w:rPr>
          <w:rFonts w:ascii="Verdana" w:eastAsia="Calibri" w:hAnsi="Verdana" w:cs="Arial"/>
          <w:b/>
          <w:bCs/>
          <w:lang w:eastAsia="es-ES"/>
        </w:rPr>
        <w:t>Rosmy</w:t>
      </w:r>
      <w:proofErr w:type="spellEnd"/>
      <w:r>
        <w:rPr>
          <w:rFonts w:ascii="Verdana" w:eastAsia="Calibri" w:hAnsi="Verdana" w:cs="Arial"/>
          <w:b/>
          <w:bCs/>
          <w:lang w:eastAsia="es-ES"/>
        </w:rPr>
        <w:t xml:space="preserve"> Ruth López Bolívar </w:t>
      </w:r>
    </w:p>
    <w:p w14:paraId="24C0B3AC" w14:textId="77777777" w:rsidR="005F2D7C" w:rsidRPr="0058354E" w:rsidRDefault="005F2D7C" w:rsidP="005F2D7C">
      <w:pPr>
        <w:spacing w:after="0" w:line="240" w:lineRule="auto"/>
        <w:rPr>
          <w:rFonts w:ascii="Verdana" w:hAnsi="Verdana"/>
        </w:rPr>
      </w:pPr>
      <w:hyperlink r:id="rId11" w:history="1">
        <w:r w:rsidRPr="0058354E">
          <w:rPr>
            <w:rStyle w:val="Hipervnculo"/>
            <w:rFonts w:ascii="Verdana" w:hAnsi="Verdana"/>
          </w:rPr>
          <w:t>alcaldiamaicaolaguajira@gmail.com</w:t>
        </w:r>
      </w:hyperlink>
      <w:r w:rsidRPr="0058354E">
        <w:rPr>
          <w:rFonts w:ascii="Verdana" w:hAnsi="Verdana"/>
        </w:rPr>
        <w:t xml:space="preserve"> </w:t>
      </w:r>
    </w:p>
    <w:p w14:paraId="0FB9A2D5" w14:textId="77777777" w:rsidR="005F2D7C" w:rsidRDefault="005F2D7C" w:rsidP="005F2D7C">
      <w:pPr>
        <w:spacing w:after="0" w:line="240" w:lineRule="auto"/>
        <w:rPr>
          <w:rFonts w:ascii="Verdana" w:eastAsia="Calibri" w:hAnsi="Verdana" w:cs="Arial"/>
          <w:b/>
          <w:bCs/>
          <w:lang w:eastAsia="es-ES"/>
        </w:rPr>
      </w:pPr>
      <w:r>
        <w:rPr>
          <w:rFonts w:ascii="Verdana" w:eastAsia="Calibri" w:hAnsi="Verdana" w:cs="Arial"/>
          <w:lang w:eastAsia="es-ES"/>
        </w:rPr>
        <w:t xml:space="preserve">Maicao, La Guajira </w:t>
      </w:r>
    </w:p>
    <w:p w14:paraId="5FA87495" w14:textId="77777777" w:rsidR="005F2D7C" w:rsidRPr="007C6597" w:rsidRDefault="005F2D7C" w:rsidP="005F2D7C">
      <w:pPr>
        <w:spacing w:after="0" w:line="240" w:lineRule="auto"/>
        <w:rPr>
          <w:rFonts w:ascii="Verdana" w:eastAsia="Calibri" w:hAnsi="Verdana" w:cs="Arial"/>
          <w:b/>
          <w:bCs/>
          <w:color w:val="000000"/>
          <w:lang w:eastAsia="es-ES_tradnl"/>
        </w:rPr>
      </w:pPr>
    </w:p>
    <w:p w14:paraId="5C8D629A" w14:textId="77777777" w:rsidR="005F2D7C" w:rsidRPr="007C6597" w:rsidRDefault="005F2D7C" w:rsidP="005F2D7C">
      <w:pPr>
        <w:spacing w:after="0" w:line="240" w:lineRule="auto"/>
        <w:rPr>
          <w:rFonts w:ascii="Verdana" w:eastAsia="Calibri" w:hAnsi="Verdana" w:cs="Arial"/>
          <w:b/>
          <w:bCs/>
          <w:color w:val="000000"/>
          <w:lang w:eastAsia="es-ES_tradnl"/>
        </w:rPr>
      </w:pPr>
    </w:p>
    <w:p w14:paraId="370C8C0E" w14:textId="77777777" w:rsidR="005F2D7C" w:rsidRPr="007C6597" w:rsidRDefault="005F2D7C" w:rsidP="005F2D7C">
      <w:pPr>
        <w:jc w:val="center"/>
        <w:rPr>
          <w:rFonts w:ascii="Verdana" w:eastAsia="Calibri" w:hAnsi="Verdana" w:cs="Arial"/>
          <w:b/>
          <w:bCs/>
          <w:lang w:eastAsia="es-ES"/>
        </w:rPr>
      </w:pPr>
      <w:r w:rsidRPr="007C6597">
        <w:rPr>
          <w:rFonts w:ascii="Verdana" w:eastAsia="Calibri" w:hAnsi="Verdana" w:cs="Arial"/>
          <w:b/>
          <w:bCs/>
          <w:lang w:eastAsia="es-ES"/>
        </w:rPr>
        <w:t>Concepto C</w:t>
      </w:r>
      <w:r>
        <w:rPr>
          <w:rFonts w:ascii="Verdana" w:eastAsia="Calibri" w:hAnsi="Verdana" w:cs="Arial"/>
          <w:b/>
          <w:bCs/>
          <w:lang w:eastAsia="es-ES"/>
        </w:rPr>
        <w:t>-1125</w:t>
      </w:r>
      <w:r w:rsidRPr="007C6597">
        <w:rPr>
          <w:rFonts w:ascii="Verdana" w:eastAsia="Calibri" w:hAnsi="Verdana" w:cs="Arial"/>
          <w:b/>
          <w:bCs/>
          <w:lang w:eastAsia="es-ES"/>
        </w:rPr>
        <w:t xml:space="preserve"> de 202</w:t>
      </w:r>
      <w:r>
        <w:rPr>
          <w:rFonts w:ascii="Verdana" w:eastAsia="Calibri" w:hAnsi="Verdana" w:cs="Arial"/>
          <w:b/>
          <w:bCs/>
          <w:lang w:eastAsia="es-ES"/>
        </w:rPr>
        <w:t>6</w:t>
      </w:r>
    </w:p>
    <w:p w14:paraId="7765D451" w14:textId="77777777" w:rsidR="005F2D7C" w:rsidRPr="007C6597" w:rsidRDefault="005F2D7C" w:rsidP="005F2D7C">
      <w:pPr>
        <w:spacing w:after="0" w:line="240" w:lineRule="auto"/>
        <w:rPr>
          <w:rFonts w:ascii="Verdana" w:eastAsia="Calibri" w:hAnsi="Verdana" w:cs="Arial"/>
          <w:b/>
          <w:bCs/>
          <w:color w:val="000000"/>
          <w:lang w:eastAsia="es-ES_tradnl"/>
        </w:rPr>
      </w:pPr>
    </w:p>
    <w:tbl>
      <w:tblPr>
        <w:tblStyle w:val="Tablaconcuadrcula"/>
        <w:tblW w:w="878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5F2D7C" w:rsidRPr="007C6597" w14:paraId="569CFF89" w14:textId="77777777" w:rsidTr="00AE647B">
        <w:trPr>
          <w:trHeight w:val="884"/>
        </w:trPr>
        <w:tc>
          <w:tcPr>
            <w:tcW w:w="2689" w:type="dxa"/>
          </w:tcPr>
          <w:p w14:paraId="188F2276" w14:textId="77777777" w:rsidR="005F2D7C" w:rsidRPr="007C6597" w:rsidRDefault="005F2D7C" w:rsidP="00AE647B">
            <w:pPr>
              <w:jc w:val="both"/>
              <w:rPr>
                <w:rFonts w:ascii="Verdana" w:eastAsia="Calibri" w:hAnsi="Verdana" w:cs="Arial"/>
                <w:color w:val="000000"/>
                <w:lang w:eastAsia="es-ES_tradnl"/>
              </w:rPr>
            </w:pPr>
            <w:r w:rsidRPr="007C6597">
              <w:rPr>
                <w:rFonts w:ascii="Verdana" w:eastAsia="Calibri" w:hAnsi="Verdana" w:cs="Arial"/>
                <w:b/>
                <w:color w:val="000000"/>
                <w:lang w:eastAsia="es-ES_tradnl"/>
              </w:rPr>
              <w:t>Temas:</w:t>
            </w:r>
            <w:r w:rsidRPr="007C6597">
              <w:rPr>
                <w:rFonts w:ascii="Verdana" w:eastAsia="Calibri" w:hAnsi="Verdana" w:cs="Arial"/>
                <w:color w:val="000000"/>
                <w:lang w:eastAsia="es-ES_tradnl"/>
              </w:rPr>
              <w:t xml:space="preserve">                   </w:t>
            </w:r>
          </w:p>
        </w:tc>
        <w:tc>
          <w:tcPr>
            <w:tcW w:w="6100" w:type="dxa"/>
          </w:tcPr>
          <w:p w14:paraId="4629C63C" w14:textId="77777777" w:rsidR="005F2D7C" w:rsidRPr="00976B30" w:rsidRDefault="005F2D7C" w:rsidP="00AE647B">
            <w:pPr>
              <w:spacing w:line="276" w:lineRule="auto"/>
              <w:jc w:val="both"/>
              <w:rPr>
                <w:rFonts w:ascii="Verdana" w:eastAsia="Calibri" w:hAnsi="Verdana" w:cs="Arial"/>
                <w:b/>
                <w:bCs/>
                <w:lang w:val="es-ES" w:eastAsia="es-ES"/>
              </w:rPr>
            </w:pPr>
            <w:r>
              <w:rPr>
                <w:rFonts w:ascii="Verdana" w:eastAsia="Calibri" w:hAnsi="Verdana" w:cs="Arial"/>
                <w:lang w:val="es-ES" w:eastAsia="es-ES"/>
              </w:rPr>
              <w:t xml:space="preserve">CONCEPTOS DE COLOMBIA COMPRA EFICIENTE – Obligatoriedad / FUNCIÓN CONSULTIVA – Alcance / CONCEPTOS DE COLOMBIA COMPRA EFICIENTE – Revocación directa – Improcedencia / FUNCIÓN CONSULTIVA – Objeto / </w:t>
            </w:r>
            <w:r w:rsidRPr="007C6597">
              <w:rPr>
                <w:rFonts w:ascii="Verdana" w:eastAsia="Calibri" w:hAnsi="Verdana" w:cs="Arial"/>
                <w:lang w:val="es-ES" w:eastAsia="es-ES"/>
              </w:rPr>
              <w:t>CONSORCIOS Y UNIONES TEMPORALES – Capacidad para contratar – Participación en varios procesos / CONSORCIOS Y UNIONES TEMPORALES –</w:t>
            </w:r>
            <w:r>
              <w:rPr>
                <w:rFonts w:ascii="Verdana" w:eastAsia="Calibri" w:hAnsi="Verdana" w:cs="Arial"/>
                <w:lang w:val="es-ES" w:eastAsia="es-ES"/>
              </w:rPr>
              <w:t xml:space="preserve"> </w:t>
            </w:r>
            <w:r w:rsidRPr="001900C0">
              <w:rPr>
                <w:rFonts w:ascii="Verdana" w:eastAsia="Calibri" w:hAnsi="Verdana" w:cs="Arial"/>
                <w:lang w:val="es-ES" w:eastAsia="es-ES"/>
              </w:rPr>
              <w:t>Concepto Unificado CU-636</w:t>
            </w:r>
            <w:r>
              <w:rPr>
                <w:rFonts w:ascii="Verdana" w:eastAsia="Calibri" w:hAnsi="Verdana" w:cs="Arial"/>
                <w:b/>
                <w:bCs/>
                <w:sz w:val="20"/>
                <w:szCs w:val="20"/>
                <w:lang w:val="es-ES" w:eastAsia="es-ES"/>
              </w:rPr>
              <w:t xml:space="preserve"> </w:t>
            </w:r>
            <w:r w:rsidRPr="00976B30">
              <w:rPr>
                <w:rFonts w:ascii="Verdana" w:eastAsia="Calibri" w:hAnsi="Verdana" w:cs="Arial"/>
                <w:lang w:val="es-ES" w:eastAsia="es-ES"/>
              </w:rPr>
              <w:t>y C-935</w:t>
            </w:r>
            <w:r w:rsidRPr="00976B30">
              <w:rPr>
                <w:rFonts w:ascii="Verdana" w:eastAsia="Calibri" w:hAnsi="Verdana" w:cs="Arial"/>
                <w:b/>
                <w:bCs/>
                <w:lang w:val="es-ES" w:eastAsia="es-ES"/>
              </w:rPr>
              <w:t xml:space="preserve"> </w:t>
            </w:r>
            <w:r w:rsidRPr="00976B30">
              <w:rPr>
                <w:rFonts w:ascii="Verdana" w:eastAsia="Calibri" w:hAnsi="Verdana" w:cs="Arial"/>
                <w:lang w:val="es-ES" w:eastAsia="es-ES"/>
              </w:rPr>
              <w:t>/ CONSORCIOS Y UNIONES TEMPORALES – Deber de registro en SECOP II – Presentación de ofertas en SECOP II</w:t>
            </w:r>
            <w:r>
              <w:rPr>
                <w:rFonts w:ascii="Verdana" w:eastAsia="Calibri" w:hAnsi="Verdana" w:cs="Arial"/>
                <w:b/>
                <w:bCs/>
                <w:lang w:val="es-ES" w:eastAsia="es-ES"/>
              </w:rPr>
              <w:t xml:space="preserve"> </w:t>
            </w:r>
            <w:r w:rsidRPr="00976B30">
              <w:rPr>
                <w:rFonts w:ascii="Verdana" w:eastAsia="Calibri" w:hAnsi="Verdana" w:cs="Arial"/>
                <w:lang w:val="es-ES" w:eastAsia="es-ES"/>
              </w:rPr>
              <w:t>–</w:t>
            </w:r>
            <w:r>
              <w:rPr>
                <w:rFonts w:ascii="Verdana" w:eastAsia="Calibri" w:hAnsi="Verdana" w:cs="Arial"/>
                <w:lang w:val="es-ES" w:eastAsia="es-ES"/>
              </w:rPr>
              <w:t xml:space="preserve"> </w:t>
            </w:r>
            <w:r w:rsidRPr="009F7EB0">
              <w:rPr>
                <w:rFonts w:ascii="Verdana" w:eastAsia="Calibri" w:hAnsi="Verdana" w:cs="Arial"/>
                <w:lang w:val="es-ES" w:eastAsia="es-ES"/>
              </w:rPr>
              <w:t>Verificación Entidad Estatal</w:t>
            </w:r>
          </w:p>
          <w:p w14:paraId="4BA6BC92" w14:textId="77777777" w:rsidR="005F2D7C" w:rsidRPr="007C6597" w:rsidRDefault="005F2D7C" w:rsidP="00AE647B">
            <w:pPr>
              <w:spacing w:line="276" w:lineRule="auto"/>
              <w:jc w:val="both"/>
              <w:rPr>
                <w:rFonts w:ascii="Verdana" w:eastAsia="Calibri" w:hAnsi="Verdana" w:cs="Arial"/>
                <w:lang w:eastAsia="es-ES"/>
              </w:rPr>
            </w:pPr>
          </w:p>
        </w:tc>
      </w:tr>
      <w:tr w:rsidR="005F2D7C" w:rsidRPr="007C6597" w14:paraId="28DA7220" w14:textId="77777777" w:rsidTr="00AE647B">
        <w:tc>
          <w:tcPr>
            <w:tcW w:w="2689" w:type="dxa"/>
          </w:tcPr>
          <w:p w14:paraId="60040415" w14:textId="77777777" w:rsidR="005F2D7C" w:rsidRPr="007C6597" w:rsidRDefault="005F2D7C" w:rsidP="00AE647B">
            <w:pPr>
              <w:jc w:val="both"/>
              <w:rPr>
                <w:rFonts w:ascii="Verdana" w:eastAsia="Calibri" w:hAnsi="Verdana" w:cs="Arial"/>
                <w:b/>
                <w:lang w:eastAsia="es-ES_tradnl"/>
              </w:rPr>
            </w:pPr>
            <w:r w:rsidRPr="007C6597">
              <w:rPr>
                <w:rFonts w:ascii="Verdana" w:eastAsia="Calibri" w:hAnsi="Verdana" w:cs="Arial"/>
                <w:b/>
                <w:lang w:eastAsia="es-ES_tradnl"/>
              </w:rPr>
              <w:t xml:space="preserve"> Radicación:</w:t>
            </w:r>
            <w:r w:rsidRPr="007C6597">
              <w:rPr>
                <w:rFonts w:ascii="Verdana" w:eastAsia="Calibri" w:hAnsi="Verdana" w:cs="Arial"/>
                <w:lang w:eastAsia="es-ES_tradnl"/>
              </w:rPr>
              <w:t xml:space="preserve">               </w:t>
            </w:r>
          </w:p>
        </w:tc>
        <w:tc>
          <w:tcPr>
            <w:tcW w:w="6100" w:type="dxa"/>
          </w:tcPr>
          <w:p w14:paraId="151D8740" w14:textId="77777777" w:rsidR="005F2D7C" w:rsidRPr="007C6597" w:rsidRDefault="005F2D7C" w:rsidP="00AE647B">
            <w:pPr>
              <w:jc w:val="both"/>
              <w:rPr>
                <w:rFonts w:ascii="Verdana" w:eastAsia="Calibri" w:hAnsi="Verdana" w:cs="Arial"/>
                <w:lang w:eastAsia="es-ES_tradnl"/>
              </w:rPr>
            </w:pPr>
            <w:r w:rsidRPr="007C6597">
              <w:rPr>
                <w:rFonts w:ascii="Verdana" w:eastAsia="Calibri" w:hAnsi="Verdana" w:cs="Arial"/>
                <w:lang w:eastAsia="es-ES_tradnl"/>
              </w:rPr>
              <w:t xml:space="preserve">Respuesta a la consulta con radicado No. </w:t>
            </w:r>
            <w:r w:rsidRPr="00BE1BE5">
              <w:rPr>
                <w:rFonts w:ascii="Verdana" w:eastAsia="Calibri" w:hAnsi="Verdana" w:cs="Arial"/>
                <w:lang w:eastAsia="es-ES_tradnl"/>
              </w:rPr>
              <w:t>1_2026_07_15_009331</w:t>
            </w:r>
          </w:p>
        </w:tc>
      </w:tr>
    </w:tbl>
    <w:p w14:paraId="5F59013A" w14:textId="77777777" w:rsidR="005F2D7C" w:rsidRPr="007C6597" w:rsidRDefault="005F2D7C" w:rsidP="005F2D7C">
      <w:pPr>
        <w:spacing w:after="0" w:line="240" w:lineRule="auto"/>
        <w:jc w:val="both"/>
        <w:rPr>
          <w:rFonts w:ascii="Verdana" w:eastAsia="Calibri" w:hAnsi="Verdana" w:cs="Arial"/>
          <w:color w:val="000000"/>
          <w:lang w:eastAsia="es-ES_tradnl"/>
        </w:rPr>
      </w:pPr>
    </w:p>
    <w:p w14:paraId="7490F279" w14:textId="77777777" w:rsidR="005F2D7C" w:rsidRPr="007C6597" w:rsidRDefault="005F2D7C" w:rsidP="005F2D7C">
      <w:pPr>
        <w:spacing w:after="0" w:line="240" w:lineRule="auto"/>
        <w:jc w:val="both"/>
        <w:rPr>
          <w:rFonts w:ascii="Verdana" w:eastAsia="Calibri" w:hAnsi="Verdana" w:cs="Arial"/>
          <w:color w:val="000000"/>
          <w:lang w:eastAsia="es-ES_tradnl"/>
        </w:rPr>
      </w:pPr>
    </w:p>
    <w:p w14:paraId="77B2F514" w14:textId="77777777" w:rsidR="005F2D7C" w:rsidRPr="007C6597" w:rsidRDefault="005F2D7C" w:rsidP="005F2D7C">
      <w:pPr>
        <w:spacing w:after="0" w:line="276" w:lineRule="auto"/>
        <w:jc w:val="both"/>
        <w:rPr>
          <w:rFonts w:ascii="Verdana" w:eastAsia="Calibri" w:hAnsi="Verdana" w:cs="Arial"/>
          <w:lang w:eastAsia="es-ES"/>
        </w:rPr>
      </w:pPr>
      <w:r w:rsidRPr="007C6597">
        <w:rPr>
          <w:rFonts w:ascii="Verdana" w:eastAsia="Calibri" w:hAnsi="Verdana" w:cs="Arial"/>
          <w:lang w:eastAsia="es-ES"/>
        </w:rPr>
        <w:t>Estimad</w:t>
      </w:r>
      <w:r>
        <w:rPr>
          <w:rFonts w:ascii="Verdana" w:eastAsia="Calibri" w:hAnsi="Verdana" w:cs="Arial"/>
          <w:lang w:eastAsia="es-ES"/>
        </w:rPr>
        <w:t>a</w:t>
      </w:r>
      <w:r w:rsidRPr="007C6597">
        <w:rPr>
          <w:rFonts w:ascii="Verdana" w:eastAsia="Calibri" w:hAnsi="Verdana" w:cs="Arial"/>
          <w:lang w:eastAsia="es-ES"/>
        </w:rPr>
        <w:t xml:space="preserve"> señor</w:t>
      </w:r>
      <w:r>
        <w:rPr>
          <w:rFonts w:ascii="Verdana" w:eastAsia="Calibri" w:hAnsi="Verdana" w:cs="Arial"/>
          <w:lang w:eastAsia="es-ES"/>
        </w:rPr>
        <w:t>a López</w:t>
      </w:r>
      <w:r w:rsidRPr="007C6597">
        <w:rPr>
          <w:rFonts w:ascii="Verdana" w:eastAsia="Calibri" w:hAnsi="Verdana" w:cs="Arial"/>
          <w:lang w:eastAsia="es-ES"/>
        </w:rPr>
        <w:t xml:space="preserve">: </w:t>
      </w:r>
    </w:p>
    <w:p w14:paraId="2770FA7A" w14:textId="77777777" w:rsidR="005F2D7C" w:rsidRPr="007C6597" w:rsidRDefault="005F2D7C" w:rsidP="005F2D7C">
      <w:pPr>
        <w:tabs>
          <w:tab w:val="left" w:pos="3768"/>
        </w:tabs>
        <w:spacing w:after="0" w:line="276" w:lineRule="auto"/>
        <w:jc w:val="both"/>
        <w:rPr>
          <w:rFonts w:ascii="Verdana" w:eastAsia="Calibri" w:hAnsi="Verdana" w:cs="Arial"/>
          <w:color w:val="000000" w:themeColor="text1"/>
          <w:lang w:eastAsia="es-ES"/>
        </w:rPr>
      </w:pPr>
      <w:r w:rsidRPr="007C6597">
        <w:rPr>
          <w:rFonts w:ascii="Verdana" w:eastAsia="Calibri" w:hAnsi="Verdana" w:cs="Arial"/>
          <w:color w:val="000000" w:themeColor="text1"/>
          <w:lang w:eastAsia="es-ES"/>
        </w:rPr>
        <w:tab/>
      </w:r>
    </w:p>
    <w:p w14:paraId="3445D7B0" w14:textId="77777777" w:rsidR="005F2D7C" w:rsidRPr="00904123" w:rsidRDefault="005F2D7C" w:rsidP="005F2D7C">
      <w:pPr>
        <w:spacing w:after="120" w:line="276" w:lineRule="auto"/>
        <w:jc w:val="both"/>
        <w:rPr>
          <w:rFonts w:ascii="Verdana" w:eastAsia="Calibri" w:hAnsi="Verdana" w:cs="Arial"/>
          <w:lang w:val="es-ES" w:eastAsia="es-ES"/>
        </w:rPr>
      </w:pPr>
      <w:r w:rsidRPr="007C6597">
        <w:rPr>
          <w:rFonts w:ascii="Verdana" w:eastAsia="Calibri" w:hAnsi="Verdana" w:cs="Arial"/>
          <w:color w:val="000000" w:themeColor="text1"/>
          <w:lang w:eastAsia="es-ES"/>
        </w:rPr>
        <w:t>En ejercicio de la competencia otorgada por los artículos 3, numeral 5º, y 11, numeral 8º, del Decreto Ley 4170 de 2011,</w:t>
      </w:r>
      <w:r w:rsidRPr="007C6597">
        <w:rPr>
          <w:rFonts w:ascii="Verdana" w:eastAsia="Arial MT" w:hAnsi="Verdana" w:cs="Arial MT"/>
          <w:lang w:eastAsia="es-ES"/>
        </w:rPr>
        <w:t xml:space="preserve"> </w:t>
      </w:r>
      <w:r w:rsidRPr="007C6597">
        <w:rPr>
          <w:rFonts w:ascii="Verdana" w:hAnsi="Verdana" w:cs="Arial"/>
        </w:rPr>
        <w:t xml:space="preserve">así como lo establecido en la Resolución 469 de 2025 expedida por esta Entidad, </w:t>
      </w:r>
      <w:r w:rsidRPr="007C6597">
        <w:rPr>
          <w:rFonts w:ascii="Verdana" w:eastAsia="Calibri" w:hAnsi="Verdana" w:cs="Arial"/>
          <w:color w:val="000000" w:themeColor="text1"/>
          <w:lang w:eastAsia="es-ES"/>
        </w:rPr>
        <w:t xml:space="preserve">la Agencia Nacional de Contratación Pública – Colombia Compra Eficiente responde su solicitud de concepto del </w:t>
      </w:r>
      <w:r>
        <w:rPr>
          <w:rFonts w:ascii="Verdana" w:eastAsia="Calibri" w:hAnsi="Verdana" w:cs="Arial"/>
          <w:color w:val="000000" w:themeColor="text1"/>
          <w:lang w:eastAsia="es-ES"/>
        </w:rPr>
        <w:t>15</w:t>
      </w:r>
      <w:r w:rsidRPr="007C6597">
        <w:rPr>
          <w:rFonts w:ascii="Verdana" w:eastAsia="Calibri" w:hAnsi="Verdana" w:cs="Arial"/>
          <w:lang w:eastAsia="es-ES"/>
        </w:rPr>
        <w:t xml:space="preserve"> de</w:t>
      </w:r>
      <w:r>
        <w:rPr>
          <w:rFonts w:ascii="Verdana" w:eastAsia="Calibri" w:hAnsi="Verdana" w:cs="Arial"/>
          <w:lang w:eastAsia="es-ES"/>
        </w:rPr>
        <w:t xml:space="preserve"> julio</w:t>
      </w:r>
      <w:r w:rsidRPr="007C6597">
        <w:rPr>
          <w:rFonts w:ascii="Verdana" w:eastAsia="Calibri" w:hAnsi="Verdana" w:cs="Arial"/>
          <w:lang w:eastAsia="es-ES"/>
        </w:rPr>
        <w:t xml:space="preserve"> de 202</w:t>
      </w:r>
      <w:r>
        <w:rPr>
          <w:rFonts w:ascii="Verdana" w:eastAsia="Calibri" w:hAnsi="Verdana" w:cs="Arial"/>
          <w:lang w:eastAsia="es-ES"/>
        </w:rPr>
        <w:t>6</w:t>
      </w:r>
      <w:r w:rsidRPr="007C6597">
        <w:rPr>
          <w:rFonts w:ascii="Verdana" w:eastAsia="Calibri" w:hAnsi="Verdana" w:cs="Arial"/>
          <w:lang w:eastAsia="es-ES"/>
        </w:rPr>
        <w:t xml:space="preserve">, </w:t>
      </w:r>
      <w:r>
        <w:rPr>
          <w:rFonts w:ascii="Verdana" w:eastAsia="Calibri" w:hAnsi="Verdana" w:cs="Arial"/>
          <w:lang w:val="es-ES" w:eastAsia="es-ES"/>
        </w:rPr>
        <w:t xml:space="preserve">donde –respecto al alcance del Concepto C-670 de 2026– solicita </w:t>
      </w:r>
      <w:r w:rsidRPr="007C6597">
        <w:rPr>
          <w:rFonts w:ascii="Verdana" w:eastAsia="Calibri" w:hAnsi="Verdana" w:cs="Arial"/>
          <w:lang w:eastAsia="es-ES"/>
        </w:rPr>
        <w:t>lo siguiente:</w:t>
      </w:r>
      <w:r w:rsidRPr="007C6597">
        <w:rPr>
          <w:rFonts w:ascii="Verdana" w:eastAsia="Calibri" w:hAnsi="Verdana" w:cs="Arial"/>
          <w:i/>
          <w:iCs/>
          <w:lang w:eastAsia="es-ES"/>
        </w:rPr>
        <w:t xml:space="preserve"> </w:t>
      </w:r>
      <w:bookmarkStart w:id="1" w:name="_Hlk95313578"/>
    </w:p>
    <w:p w14:paraId="76704BB5" w14:textId="77777777" w:rsidR="005F2D7C" w:rsidRDefault="005F2D7C" w:rsidP="005F2D7C">
      <w:pPr>
        <w:spacing w:after="0" w:line="240" w:lineRule="auto"/>
        <w:jc w:val="both"/>
        <w:rPr>
          <w:rFonts w:ascii="Verdana" w:eastAsia="Calibri" w:hAnsi="Verdana" w:cs="Arial"/>
          <w:i/>
          <w:iCs/>
          <w:lang w:eastAsia="es-ES"/>
        </w:rPr>
      </w:pPr>
    </w:p>
    <w:p w14:paraId="4D15579D" w14:textId="77777777" w:rsidR="005F2D7C" w:rsidRPr="00E4167A" w:rsidRDefault="005F2D7C" w:rsidP="005F2D7C">
      <w:pPr>
        <w:spacing w:after="0" w:line="240" w:lineRule="auto"/>
        <w:ind w:left="709" w:right="709"/>
        <w:jc w:val="both"/>
        <w:rPr>
          <w:rFonts w:ascii="Verdana" w:eastAsia="Calibri" w:hAnsi="Verdana" w:cs="Arial"/>
          <w:sz w:val="20"/>
          <w:szCs w:val="20"/>
          <w:lang w:val="es-ES"/>
        </w:rPr>
      </w:pPr>
      <w:r w:rsidRPr="00E4167A">
        <w:rPr>
          <w:rFonts w:ascii="Verdana" w:eastAsia="Calibri" w:hAnsi="Verdana" w:cs="Arial"/>
          <w:sz w:val="20"/>
          <w:szCs w:val="20"/>
        </w:rPr>
        <w:t xml:space="preserve">“Con mi acostumbrado respeto, presento mis reparos y solicito que se estudien mis argumentos respecto a la postura de Colombia Compra </w:t>
      </w:r>
      <w:r w:rsidRPr="00E4167A">
        <w:rPr>
          <w:rFonts w:ascii="Verdana" w:eastAsia="Calibri" w:hAnsi="Verdana" w:cs="Arial"/>
          <w:sz w:val="20"/>
          <w:szCs w:val="20"/>
        </w:rPr>
        <w:lastRenderedPageBreak/>
        <w:t>Eficiente sobre la participación de oferentes plurales en el SECOP desde una misma cuenta y usuario. Considero necesario un análisis exhaustivo del concepto de unificación mencionado, ya que ha generado múltiples problemas y complicaciones en las entidades estatales al momento de su aplicación conforme a la normativa existente.</w:t>
      </w:r>
      <w:r w:rsidRPr="00E4167A">
        <w:rPr>
          <w:rFonts w:ascii="Verdana" w:eastAsia="Calibri" w:hAnsi="Verdana" w:cs="Arial"/>
          <w:sz w:val="20"/>
          <w:szCs w:val="20"/>
          <w:lang w:val="es-ES"/>
        </w:rPr>
        <w:t xml:space="preserve"> </w:t>
      </w:r>
    </w:p>
    <w:p w14:paraId="46CEFB6D" w14:textId="77777777" w:rsidR="005F2D7C" w:rsidRPr="00E4167A" w:rsidRDefault="005F2D7C" w:rsidP="005F2D7C">
      <w:pPr>
        <w:spacing w:after="0" w:line="240" w:lineRule="auto"/>
        <w:ind w:left="709" w:right="709"/>
        <w:jc w:val="both"/>
        <w:rPr>
          <w:rFonts w:ascii="Verdana" w:eastAsia="Calibri" w:hAnsi="Verdana" w:cs="Arial"/>
          <w:sz w:val="20"/>
          <w:szCs w:val="20"/>
          <w:lang w:val="es-ES"/>
        </w:rPr>
      </w:pPr>
    </w:p>
    <w:p w14:paraId="0D9052D4" w14:textId="77777777" w:rsidR="005F2D7C" w:rsidRPr="00E4167A" w:rsidRDefault="005F2D7C" w:rsidP="005F2D7C">
      <w:pPr>
        <w:spacing w:after="0" w:line="240" w:lineRule="auto"/>
        <w:ind w:left="709" w:right="709"/>
        <w:jc w:val="both"/>
        <w:rPr>
          <w:rFonts w:ascii="Verdana" w:eastAsia="Calibri" w:hAnsi="Verdana" w:cs="Arial"/>
          <w:sz w:val="20"/>
          <w:szCs w:val="20"/>
          <w:lang w:val="es-ES"/>
        </w:rPr>
      </w:pPr>
      <w:r w:rsidRPr="00E4167A">
        <w:rPr>
          <w:rFonts w:ascii="Verdana" w:eastAsia="Calibri" w:hAnsi="Verdana" w:cs="Arial"/>
          <w:sz w:val="20"/>
          <w:szCs w:val="20"/>
          <w:lang w:val="es-ES"/>
        </w:rPr>
        <w:t>[…]</w:t>
      </w:r>
    </w:p>
    <w:p w14:paraId="74C63467" w14:textId="77777777" w:rsidR="005F2D7C" w:rsidRPr="00E4167A" w:rsidRDefault="005F2D7C" w:rsidP="005F2D7C">
      <w:pPr>
        <w:spacing w:after="0" w:line="240" w:lineRule="auto"/>
        <w:ind w:left="709" w:right="709"/>
        <w:jc w:val="both"/>
        <w:rPr>
          <w:rFonts w:ascii="Verdana" w:eastAsia="Calibri" w:hAnsi="Verdana" w:cs="Arial"/>
          <w:sz w:val="20"/>
          <w:szCs w:val="20"/>
        </w:rPr>
      </w:pPr>
    </w:p>
    <w:p w14:paraId="72D545C1" w14:textId="77777777" w:rsidR="005F2D7C" w:rsidRPr="00E4167A" w:rsidRDefault="005F2D7C" w:rsidP="005F2D7C">
      <w:pPr>
        <w:spacing w:after="0" w:line="240" w:lineRule="auto"/>
        <w:ind w:left="709" w:right="709"/>
        <w:jc w:val="both"/>
        <w:rPr>
          <w:rFonts w:ascii="Verdana" w:hAnsi="Verdana"/>
          <w:sz w:val="20"/>
          <w:szCs w:val="20"/>
        </w:rPr>
      </w:pPr>
      <w:r w:rsidRPr="00E4167A">
        <w:rPr>
          <w:rFonts w:ascii="Verdana" w:hAnsi="Verdana"/>
          <w:sz w:val="20"/>
          <w:szCs w:val="20"/>
        </w:rPr>
        <w:t xml:space="preserve">Cuando Colombia Compra Eficiente, emite el concepto que es válido que un oferente que se conforme en la plataforma SECOP II para participar con un mismo usuario en varios procesos de selección. está transgrediendo la ley 80 de 1993, que dispuso que pueden conformarlo para un contrato, y si bien la ley permite se asocien, la existencia del Oferente plural no es indeterminada, y deben establecer entre los privados las condiciones de cada asociación; materializar el consentimiento indica que existe la voluntad para asociarse, y en los casos donde los usuarios ya existen esa voluntad no puede considerarse corno validad para participar en otro proceso diferente para el cual fue creado, toda vez que lo conforman para un proceso en particular. </w:t>
      </w:r>
    </w:p>
    <w:p w14:paraId="7AE20481" w14:textId="77777777" w:rsidR="005F2D7C" w:rsidRPr="00E4167A" w:rsidRDefault="005F2D7C" w:rsidP="005F2D7C">
      <w:pPr>
        <w:spacing w:after="0" w:line="240" w:lineRule="auto"/>
        <w:ind w:left="709" w:right="709"/>
        <w:jc w:val="both"/>
        <w:rPr>
          <w:rFonts w:ascii="Verdana" w:hAnsi="Verdana"/>
          <w:sz w:val="20"/>
          <w:szCs w:val="20"/>
        </w:rPr>
      </w:pPr>
    </w:p>
    <w:p w14:paraId="4BD3D1C2" w14:textId="77777777" w:rsidR="005F2D7C" w:rsidRPr="00E4167A" w:rsidRDefault="005F2D7C" w:rsidP="005F2D7C">
      <w:pPr>
        <w:spacing w:after="0" w:line="240" w:lineRule="auto"/>
        <w:ind w:left="709" w:right="709"/>
        <w:jc w:val="both"/>
        <w:rPr>
          <w:rFonts w:ascii="Verdana" w:hAnsi="Verdana"/>
          <w:sz w:val="20"/>
          <w:szCs w:val="20"/>
        </w:rPr>
      </w:pPr>
      <w:r w:rsidRPr="00E4167A">
        <w:rPr>
          <w:rFonts w:ascii="Verdana" w:hAnsi="Verdana"/>
          <w:sz w:val="20"/>
          <w:szCs w:val="20"/>
        </w:rPr>
        <w:t>En razón a lo anterior, solicito en forma respetuosa a Colombia Compra Eficiente revaluar el concepto o aclararlo al máximo para mayor garantías de transparencia, selección objetiva</w:t>
      </w:r>
      <w:r>
        <w:rPr>
          <w:rFonts w:ascii="Verdana" w:hAnsi="Verdana"/>
          <w:sz w:val="20"/>
          <w:szCs w:val="20"/>
        </w:rPr>
        <w:t>,</w:t>
      </w:r>
      <w:r w:rsidRPr="00E4167A">
        <w:rPr>
          <w:rFonts w:ascii="Verdana" w:hAnsi="Verdana"/>
          <w:sz w:val="20"/>
          <w:szCs w:val="20"/>
        </w:rPr>
        <w:t xml:space="preserve"> aplicación de principio de legalidad y evitar investigaciones infundadas de funcionarios públicos por dar aplicación de preferencia a la norma ante el concepto de la entidad rectora de lineamientos en materia de contratación estatal aunque no son Obligatorios si son tenidos en cuenta en la mayoría de los casos por las entidades de control”</w:t>
      </w:r>
    </w:p>
    <w:bookmarkEnd w:id="1"/>
    <w:p w14:paraId="1822D3EC" w14:textId="77777777" w:rsidR="005F2D7C" w:rsidRPr="00E4167A" w:rsidRDefault="005F2D7C" w:rsidP="005F2D7C">
      <w:pPr>
        <w:spacing w:after="0" w:line="276" w:lineRule="auto"/>
        <w:ind w:right="709"/>
        <w:jc w:val="both"/>
        <w:rPr>
          <w:rFonts w:ascii="Verdana" w:eastAsia="Calibri" w:hAnsi="Verdana" w:cs="Arial"/>
          <w:sz w:val="20"/>
          <w:szCs w:val="20"/>
        </w:rPr>
      </w:pPr>
    </w:p>
    <w:p w14:paraId="0B28D36A" w14:textId="77777777" w:rsidR="005F2D7C" w:rsidRPr="007C6597" w:rsidRDefault="005F2D7C" w:rsidP="005F2D7C">
      <w:pPr>
        <w:spacing w:after="120" w:line="276" w:lineRule="auto"/>
        <w:ind w:firstLine="709"/>
        <w:jc w:val="both"/>
        <w:rPr>
          <w:rFonts w:ascii="Verdana" w:eastAsia="Calibri" w:hAnsi="Verdana" w:cs="Arial"/>
          <w:color w:val="000000"/>
          <w:lang w:eastAsia="es-ES"/>
        </w:rPr>
      </w:pPr>
      <w:r w:rsidRPr="007C6597">
        <w:rPr>
          <w:rFonts w:ascii="Verdana" w:eastAsia="Calibri" w:hAnsi="Verdana" w:cs="Arial"/>
          <w:color w:val="000000"/>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7C6597">
        <w:rPr>
          <w:rFonts w:ascii="Verdana" w:eastAsia="Calibri" w:hAnsi="Verdana" w:cs="Arial"/>
          <w:color w:val="000000"/>
          <w:szCs w:val="24"/>
          <w:lang w:eastAsia="es-ES_tradnl"/>
        </w:rPr>
        <w:tab/>
      </w:r>
    </w:p>
    <w:p w14:paraId="04EF3396" w14:textId="2D84D870" w:rsidR="005F2D7C" w:rsidRDefault="005F2D7C" w:rsidP="005240FB">
      <w:pPr>
        <w:spacing w:after="120" w:line="276" w:lineRule="auto"/>
        <w:ind w:firstLine="709"/>
        <w:jc w:val="both"/>
        <w:rPr>
          <w:rFonts w:ascii="Verdana" w:eastAsia="Calibri" w:hAnsi="Verdana" w:cs="Arial"/>
          <w:color w:val="000000"/>
          <w:lang w:eastAsia="es-ES"/>
        </w:rPr>
      </w:pPr>
      <w:r w:rsidRPr="007C6597">
        <w:rPr>
          <w:rFonts w:ascii="Verdana" w:eastAsia="Calibri" w:hAnsi="Verdana" w:cs="Arial"/>
          <w:color w:val="000000"/>
          <w:lang w:eastAsia="es-ES"/>
        </w:rPr>
        <w:lastRenderedPageBreak/>
        <w:t>Conforme lo expuesto, en aras de satisfacer el derecho fundamental de petición se resolverá su consulta dentro de los límites de la referida competencia consultiva, esto es, haciendo unas consideraciones sobre las normas generales relacionadas con los</w:t>
      </w:r>
      <w:r w:rsidRPr="007C6597">
        <w:rPr>
          <w:rFonts w:ascii="Verdana" w:eastAsia="Calibri" w:hAnsi="Verdana" w:cs="Arial"/>
          <w:color w:val="7030A0"/>
          <w:lang w:eastAsia="es-ES"/>
        </w:rPr>
        <w:t xml:space="preserve"> </w:t>
      </w:r>
      <w:r w:rsidRPr="007C6597">
        <w:rPr>
          <w:rFonts w:ascii="Verdana" w:eastAsia="Calibri" w:hAnsi="Verdana" w:cs="Arial"/>
          <w:color w:val="000000"/>
          <w:lang w:eastAsia="es-ES"/>
        </w:rPr>
        <w:t>problemas</w:t>
      </w:r>
      <w:r w:rsidRPr="007C6597">
        <w:rPr>
          <w:rFonts w:ascii="Verdana" w:eastAsia="Calibri" w:hAnsi="Verdana" w:cs="Arial"/>
          <w:color w:val="7030A0"/>
          <w:lang w:eastAsia="es-ES"/>
        </w:rPr>
        <w:t xml:space="preserve"> </w:t>
      </w:r>
      <w:r w:rsidRPr="007C6597">
        <w:rPr>
          <w:rFonts w:ascii="Verdana" w:eastAsia="Calibri" w:hAnsi="Verdana" w:cs="Arial"/>
          <w:color w:val="000000"/>
          <w:lang w:eastAsia="es-ES"/>
        </w:rPr>
        <w:t>jurídicos</w:t>
      </w:r>
      <w:r w:rsidRPr="007C6597">
        <w:rPr>
          <w:rFonts w:ascii="Verdana" w:eastAsia="Calibri" w:hAnsi="Verdana" w:cs="Arial"/>
          <w:color w:val="7030A0"/>
          <w:lang w:eastAsia="es-ES"/>
        </w:rPr>
        <w:t xml:space="preserve"> </w:t>
      </w:r>
      <w:r w:rsidRPr="007C6597">
        <w:rPr>
          <w:rFonts w:ascii="Verdana" w:eastAsia="Calibri" w:hAnsi="Verdana" w:cs="Arial"/>
          <w:color w:val="000000"/>
          <w:lang w:eastAsia="es-ES"/>
        </w:rPr>
        <w:t xml:space="preserve">de su consulta. </w:t>
      </w:r>
    </w:p>
    <w:p w14:paraId="52FBA71F" w14:textId="77777777" w:rsidR="005240FB" w:rsidRPr="007C6597" w:rsidRDefault="005240FB" w:rsidP="005240FB">
      <w:pPr>
        <w:spacing w:after="0" w:line="276" w:lineRule="auto"/>
        <w:ind w:firstLine="709"/>
        <w:jc w:val="both"/>
        <w:rPr>
          <w:rFonts w:ascii="Verdana" w:eastAsia="Calibri" w:hAnsi="Verdana" w:cs="Arial"/>
          <w:color w:val="000000"/>
          <w:lang w:eastAsia="es-ES"/>
        </w:rPr>
      </w:pPr>
    </w:p>
    <w:p w14:paraId="679ABE42" w14:textId="77777777" w:rsidR="005F2D7C" w:rsidRPr="007C6597" w:rsidRDefault="005F2D7C" w:rsidP="005F2D7C">
      <w:pPr>
        <w:numPr>
          <w:ilvl w:val="0"/>
          <w:numId w:val="16"/>
        </w:numPr>
        <w:tabs>
          <w:tab w:val="left" w:pos="142"/>
          <w:tab w:val="left" w:pos="284"/>
        </w:tabs>
        <w:spacing w:after="0" w:line="276" w:lineRule="auto"/>
        <w:ind w:left="1068"/>
        <w:jc w:val="both"/>
        <w:rPr>
          <w:rFonts w:ascii="Verdana" w:eastAsia="Century Gothic" w:hAnsi="Verdana" w:cs="Century Gothic"/>
          <w:b/>
          <w:bCs/>
        </w:rPr>
      </w:pPr>
      <w:r w:rsidRPr="007C6597">
        <w:rPr>
          <w:rFonts w:ascii="Verdana" w:eastAsia="Century Gothic" w:hAnsi="Verdana" w:cs="Century Gothic"/>
          <w:b/>
          <w:bCs/>
        </w:rPr>
        <w:t>Problemas planteados:</w:t>
      </w:r>
    </w:p>
    <w:p w14:paraId="3681CFBB" w14:textId="77777777" w:rsidR="005F2D7C" w:rsidRPr="007C6597" w:rsidRDefault="005F2D7C" w:rsidP="005F2D7C">
      <w:pPr>
        <w:tabs>
          <w:tab w:val="left" w:pos="426"/>
        </w:tabs>
        <w:spacing w:after="0" w:line="276" w:lineRule="auto"/>
        <w:jc w:val="both"/>
        <w:rPr>
          <w:rFonts w:ascii="Verdana" w:eastAsia="Century Gothic" w:hAnsi="Verdana" w:cs="Century Gothic"/>
        </w:rPr>
      </w:pPr>
    </w:p>
    <w:p w14:paraId="2D0B0609" w14:textId="77777777" w:rsidR="005F2D7C" w:rsidRPr="007C6597" w:rsidRDefault="005F2D7C" w:rsidP="005F2D7C">
      <w:pPr>
        <w:spacing w:after="0" w:line="276" w:lineRule="auto"/>
        <w:ind w:right="49"/>
        <w:jc w:val="both"/>
        <w:rPr>
          <w:rFonts w:ascii="Verdana" w:eastAsia="Century Gothic" w:hAnsi="Verdana" w:cs="Century Gothic"/>
          <w:color w:val="000000" w:themeColor="text1"/>
        </w:rPr>
      </w:pPr>
      <w:r w:rsidRPr="004C6C40">
        <w:rPr>
          <w:rFonts w:ascii="Verdana" w:eastAsia="Century Gothic" w:hAnsi="Verdana" w:cs="Century Gothic"/>
        </w:rPr>
        <w:t xml:space="preserve">De acuerdo con el contenido de su solicitud, esta Agencia resolverá los siguientes problemas jurídicos: i) ¿Pueden los proponentes plurales participar en varios procesos de contratación pública? y </w:t>
      </w:r>
      <w:proofErr w:type="spellStart"/>
      <w:r w:rsidRPr="004C6C40">
        <w:rPr>
          <w:rFonts w:ascii="Verdana" w:eastAsia="Century Gothic" w:hAnsi="Verdana" w:cs="Century Gothic"/>
        </w:rPr>
        <w:t>ii</w:t>
      </w:r>
      <w:proofErr w:type="spellEnd"/>
      <w:r w:rsidRPr="004C6C40">
        <w:rPr>
          <w:rFonts w:ascii="Verdana" w:eastAsia="Century Gothic" w:hAnsi="Verdana" w:cs="Century Gothic"/>
        </w:rPr>
        <w:t>) ¿Puede un proponente plural emplear una misma cuenta y usuario del SECOP II para presentar ofertas en varios procesos de contratación?</w:t>
      </w:r>
    </w:p>
    <w:p w14:paraId="1AF35D97" w14:textId="77777777" w:rsidR="005F2D7C" w:rsidRPr="007C6597" w:rsidRDefault="005F2D7C" w:rsidP="005F2D7C">
      <w:pPr>
        <w:spacing w:after="0" w:line="276" w:lineRule="auto"/>
        <w:jc w:val="both"/>
        <w:rPr>
          <w:rFonts w:ascii="Verdana" w:eastAsia="Calibri" w:hAnsi="Verdana" w:cs="Arial"/>
          <w:color w:val="7030A0"/>
        </w:rPr>
      </w:pPr>
    </w:p>
    <w:p w14:paraId="055A26ED" w14:textId="77777777" w:rsidR="005F2D7C" w:rsidRPr="007C6597" w:rsidRDefault="005F2D7C" w:rsidP="005F2D7C">
      <w:pPr>
        <w:numPr>
          <w:ilvl w:val="0"/>
          <w:numId w:val="16"/>
        </w:numPr>
        <w:tabs>
          <w:tab w:val="left" w:pos="142"/>
          <w:tab w:val="left" w:pos="284"/>
        </w:tabs>
        <w:spacing w:after="0" w:line="276" w:lineRule="auto"/>
        <w:ind w:left="1068"/>
        <w:jc w:val="both"/>
        <w:rPr>
          <w:rFonts w:ascii="Verdana" w:eastAsia="Century Gothic" w:hAnsi="Verdana" w:cs="Century Gothic"/>
          <w:b/>
          <w:bCs/>
        </w:rPr>
      </w:pPr>
      <w:r w:rsidRPr="007C6597">
        <w:rPr>
          <w:rFonts w:ascii="Verdana" w:eastAsia="Century Gothic" w:hAnsi="Verdana" w:cs="Century Gothic"/>
          <w:b/>
          <w:bCs/>
        </w:rPr>
        <w:t>Respuestas:</w:t>
      </w:r>
    </w:p>
    <w:p w14:paraId="6E9406FF" w14:textId="77777777" w:rsidR="005F2D7C" w:rsidRPr="007C6597" w:rsidRDefault="005F2D7C" w:rsidP="005F2D7C">
      <w:pPr>
        <w:tabs>
          <w:tab w:val="left" w:pos="142"/>
          <w:tab w:val="left" w:pos="284"/>
        </w:tabs>
        <w:spacing w:after="0" w:line="276" w:lineRule="auto"/>
        <w:jc w:val="both"/>
        <w:rPr>
          <w:rFonts w:ascii="Verdana" w:eastAsia="Century Gothic" w:hAnsi="Verdana" w:cs="Century Gothic"/>
          <w:b/>
          <w:bCs/>
        </w:rPr>
      </w:pP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5F2D7C" w:rsidRPr="007C6597" w14:paraId="64EDFC21" w14:textId="77777777" w:rsidTr="00AE647B">
        <w:trPr>
          <w:jc w:val="center"/>
        </w:trPr>
        <w:tc>
          <w:tcPr>
            <w:tcW w:w="8828" w:type="dxa"/>
          </w:tcPr>
          <w:p w14:paraId="3FDD479E" w14:textId="77777777" w:rsidR="005F2D7C" w:rsidRPr="00F336CE" w:rsidRDefault="005F2D7C" w:rsidP="00AE647B">
            <w:pPr>
              <w:spacing w:after="120" w:line="276" w:lineRule="auto"/>
              <w:jc w:val="both"/>
              <w:rPr>
                <w:rFonts w:ascii="Verdana" w:hAnsi="Verdana" w:cs="Arial"/>
                <w:szCs w:val="24"/>
                <w:lang w:eastAsia="es-ES_tradnl"/>
              </w:rPr>
            </w:pPr>
            <w:bookmarkStart w:id="2" w:name="_Hlk171694685"/>
            <w:r>
              <w:rPr>
                <w:rFonts w:ascii="Verdana" w:hAnsi="Verdana" w:cs="Arial"/>
                <w:color w:val="000000" w:themeColor="text1"/>
              </w:rPr>
              <w:t>Esta</w:t>
            </w:r>
            <w:r>
              <w:rPr>
                <w:rFonts w:ascii="Verdana" w:hAnsi="Verdana" w:cs="Arial"/>
                <w:szCs w:val="24"/>
                <w:lang w:eastAsia="es-ES_tradnl"/>
              </w:rPr>
              <w:t xml:space="preserve"> Subdirección unificó a través del concepto CU-636 del </w:t>
            </w:r>
            <w:r>
              <w:rPr>
                <w:rFonts w:ascii="Verdana" w:hAnsi="Verdana" w:cs="Arial"/>
                <w:color w:val="000000" w:themeColor="text1"/>
              </w:rPr>
              <w:t>2 de julio de 2025</w:t>
            </w:r>
            <w:r>
              <w:rPr>
                <w:rFonts w:ascii="Verdana" w:hAnsi="Verdana" w:cs="Arial"/>
                <w:szCs w:val="24"/>
                <w:lang w:eastAsia="es-ES_tradnl"/>
              </w:rPr>
              <w:t xml:space="preserve"> la línea doctrinal en este tema,</w:t>
            </w:r>
            <w:r>
              <w:rPr>
                <w:rFonts w:ascii="Verdana" w:hAnsi="Verdana" w:cs="Arial"/>
                <w:color w:val="000000" w:themeColor="text1"/>
              </w:rPr>
              <w:t xml:space="preserve"> en el sentido de indicar que </w:t>
            </w:r>
            <w:r>
              <w:rPr>
                <w:rFonts w:ascii="Verdana" w:hAnsi="Verdana" w:cs="Arial"/>
                <w:szCs w:val="24"/>
                <w:lang w:eastAsia="es-ES_tradnl"/>
              </w:rPr>
              <w:t xml:space="preserve">es </w:t>
            </w:r>
            <w:r>
              <w:rPr>
                <w:rFonts w:ascii="Verdana" w:hAnsi="Verdana" w:cs="Arial"/>
                <w:color w:val="000000" w:themeColor="text1"/>
              </w:rPr>
              <w:t xml:space="preserve">jurídicamente viable que los proponentes plurales presenten propuestas para la adjudicación, celebración y ejecución de contratos estatales con </w:t>
            </w:r>
            <w:r>
              <w:rPr>
                <w:rFonts w:ascii="Verdana" w:hAnsi="Verdana" w:cs="Arial"/>
                <w:i/>
                <w:iCs/>
                <w:color w:val="000000" w:themeColor="text1"/>
              </w:rPr>
              <w:t>una o varias</w:t>
            </w:r>
            <w:r>
              <w:rPr>
                <w:rFonts w:ascii="Verdana" w:hAnsi="Verdana" w:cs="Arial"/>
                <w:color w:val="000000" w:themeColor="text1"/>
              </w:rPr>
              <w:t xml:space="preserve"> entidades, </w:t>
            </w:r>
            <w:r w:rsidRPr="00387CBF">
              <w:rPr>
                <w:rFonts w:ascii="Verdana" w:hAnsi="Verdana" w:cs="Arial"/>
                <w:color w:val="000000" w:themeColor="text1"/>
              </w:rPr>
              <w:t>siempre que</w:t>
            </w:r>
            <w:r>
              <w:rPr>
                <w:rFonts w:ascii="Verdana" w:hAnsi="Verdana" w:cs="Arial"/>
                <w:color w:val="000000" w:themeColor="text1"/>
              </w:rPr>
              <w:t>:</w:t>
            </w:r>
            <w:r w:rsidRPr="00387CBF">
              <w:rPr>
                <w:rFonts w:ascii="Verdana" w:hAnsi="Verdana" w:cs="Arial"/>
                <w:color w:val="000000" w:themeColor="text1"/>
              </w:rPr>
              <w:t xml:space="preserve"> </w:t>
            </w:r>
            <w:r w:rsidRPr="00DD4217">
              <w:rPr>
                <w:rFonts w:ascii="Verdana" w:hAnsi="Verdana" w:cs="Arial"/>
                <w:color w:val="000000" w:themeColor="text1"/>
              </w:rPr>
              <w:t>i) los integrantes de la estructura plural adopten conjuntamente la decisión de presentar una misma propuesta en el respectivo proceso de selección; y</w:t>
            </w:r>
            <w:r>
              <w:rPr>
                <w:rFonts w:ascii="Verdana" w:hAnsi="Verdana" w:cs="Arial"/>
                <w:color w:val="000000" w:themeColor="text1"/>
              </w:rPr>
              <w:t xml:space="preserve"> que</w:t>
            </w:r>
            <w:r w:rsidRPr="00DD4217">
              <w:rPr>
                <w:rFonts w:ascii="Verdana" w:hAnsi="Verdana" w:cs="Arial"/>
                <w:color w:val="000000" w:themeColor="text1"/>
              </w:rPr>
              <w:t xml:space="preserve"> </w:t>
            </w:r>
            <w:proofErr w:type="spellStart"/>
            <w:r w:rsidRPr="00DD4217">
              <w:rPr>
                <w:rFonts w:ascii="Verdana" w:hAnsi="Verdana" w:cs="Arial"/>
                <w:color w:val="000000" w:themeColor="text1"/>
              </w:rPr>
              <w:t>ii</w:t>
            </w:r>
            <w:proofErr w:type="spellEnd"/>
            <w:r w:rsidRPr="00DD4217">
              <w:rPr>
                <w:rFonts w:ascii="Verdana" w:hAnsi="Verdana" w:cs="Arial"/>
                <w:color w:val="000000" w:themeColor="text1"/>
              </w:rPr>
              <w:t>) el objeto del consorcio o unión temporal guarde correspondencia con las actividades que serán desarrolladas en el marco de dicho proceso</w:t>
            </w:r>
            <w:r>
              <w:rPr>
                <w:rFonts w:ascii="Verdana" w:hAnsi="Verdana" w:cs="Arial"/>
                <w:color w:val="000000" w:themeColor="text1"/>
              </w:rPr>
              <w:t>. La postura anterior fue complementada en el concepto C-</w:t>
            </w:r>
            <w:r w:rsidRPr="007C6597">
              <w:rPr>
                <w:rFonts w:ascii="Verdana" w:hAnsi="Verdana" w:cs="Arial"/>
                <w:color w:val="000000" w:themeColor="text1"/>
              </w:rPr>
              <w:t>938 del 23 de agosto de 2025</w:t>
            </w:r>
            <w:r>
              <w:rPr>
                <w:rFonts w:ascii="Verdana" w:hAnsi="Verdana" w:cs="Arial"/>
                <w:color w:val="000000" w:themeColor="text1"/>
              </w:rPr>
              <w:t>, en relación con la posibilidad de e</w:t>
            </w:r>
            <w:r w:rsidRPr="007C6597">
              <w:rPr>
                <w:rFonts w:ascii="Verdana" w:eastAsia="Century Gothic" w:hAnsi="Verdana" w:cs="Century Gothic"/>
              </w:rPr>
              <w:t>mplear el mismo usuario del SECOP II</w:t>
            </w:r>
            <w:r>
              <w:rPr>
                <w:rFonts w:ascii="Verdana" w:eastAsia="Century Gothic" w:hAnsi="Verdana" w:cs="Century Gothic"/>
              </w:rPr>
              <w:t xml:space="preserve"> para </w:t>
            </w:r>
            <w:r w:rsidRPr="007C6597">
              <w:rPr>
                <w:rFonts w:ascii="Verdana" w:eastAsia="Century Gothic" w:hAnsi="Verdana" w:cs="Century Gothic"/>
              </w:rPr>
              <w:t>participar en varios procesos de contratación pública</w:t>
            </w:r>
            <w:r w:rsidRPr="003D62FF">
              <w:rPr>
                <w:rFonts w:ascii="Verdana" w:hAnsi="Verdana" w:cs="Arial"/>
                <w:color w:val="000000" w:themeColor="text1"/>
              </w:rPr>
              <w:t xml:space="preserve">, </w:t>
            </w:r>
            <w:r w:rsidRPr="00307B9B">
              <w:rPr>
                <w:rFonts w:ascii="Verdana" w:hAnsi="Verdana" w:cs="Arial"/>
                <w:i/>
                <w:iCs/>
                <w:color w:val="000000" w:themeColor="text1"/>
              </w:rPr>
              <w:t>siempre que ello sea operativamente permitido por la plataforma.</w:t>
            </w:r>
            <w:r>
              <w:rPr>
                <w:rFonts w:ascii="Verdana" w:hAnsi="Verdana" w:cs="Arial"/>
                <w:i/>
                <w:iCs/>
                <w:color w:val="000000" w:themeColor="text1"/>
              </w:rPr>
              <w:t xml:space="preserve"> </w:t>
            </w:r>
            <w:r w:rsidRPr="00AA6350">
              <w:rPr>
                <w:rFonts w:ascii="Verdana" w:hAnsi="Verdana" w:cs="Arial"/>
                <w:color w:val="000000" w:themeColor="text1"/>
              </w:rPr>
              <w:t>La</w:t>
            </w:r>
            <w:r>
              <w:rPr>
                <w:rFonts w:ascii="Verdana" w:hAnsi="Verdana" w:cs="Arial"/>
                <w:color w:val="000000" w:themeColor="text1"/>
              </w:rPr>
              <w:t>s</w:t>
            </w:r>
            <w:r w:rsidRPr="00AA6350">
              <w:rPr>
                <w:rFonts w:ascii="Verdana" w:hAnsi="Verdana" w:cs="Arial"/>
                <w:color w:val="000000" w:themeColor="text1"/>
              </w:rPr>
              <w:t xml:space="preserve"> tesis anterior</w:t>
            </w:r>
            <w:r>
              <w:rPr>
                <w:rFonts w:ascii="Verdana" w:hAnsi="Verdana" w:cs="Arial"/>
                <w:color w:val="000000" w:themeColor="text1"/>
              </w:rPr>
              <w:t>es</w:t>
            </w:r>
            <w:r w:rsidRPr="00AA6350">
              <w:rPr>
                <w:rFonts w:ascii="Verdana" w:hAnsi="Verdana" w:cs="Arial"/>
                <w:color w:val="000000" w:themeColor="text1"/>
              </w:rPr>
              <w:t xml:space="preserve"> fue</w:t>
            </w:r>
            <w:r>
              <w:rPr>
                <w:rFonts w:ascii="Verdana" w:hAnsi="Verdana" w:cs="Arial"/>
                <w:color w:val="000000" w:themeColor="text1"/>
              </w:rPr>
              <w:t>ron</w:t>
            </w:r>
            <w:r w:rsidRPr="00AA6350">
              <w:rPr>
                <w:rFonts w:ascii="Verdana" w:hAnsi="Verdana" w:cs="Arial"/>
                <w:color w:val="000000" w:themeColor="text1"/>
              </w:rPr>
              <w:t xml:space="preserve"> </w:t>
            </w:r>
            <w:r>
              <w:rPr>
                <w:rFonts w:ascii="Verdana" w:hAnsi="Verdana" w:cs="Arial"/>
                <w:color w:val="000000" w:themeColor="text1"/>
              </w:rPr>
              <w:t xml:space="preserve">reafirmadas </w:t>
            </w:r>
            <w:r w:rsidRPr="00AA6350">
              <w:rPr>
                <w:rFonts w:ascii="Verdana" w:hAnsi="Verdana" w:cs="Arial"/>
                <w:color w:val="000000" w:themeColor="text1"/>
              </w:rPr>
              <w:t xml:space="preserve">igualmente en el Concepto C-670 del 21 de mayo de 2026, en el cual se reiteraron </w:t>
            </w:r>
            <w:r>
              <w:rPr>
                <w:rFonts w:ascii="Verdana" w:hAnsi="Verdana" w:cs="Arial"/>
                <w:color w:val="000000" w:themeColor="text1"/>
              </w:rPr>
              <w:t>los dos</w:t>
            </w:r>
            <w:r w:rsidRPr="00AA6350">
              <w:rPr>
                <w:rFonts w:ascii="Verdana" w:hAnsi="Verdana" w:cs="Arial"/>
                <w:color w:val="000000" w:themeColor="text1"/>
              </w:rPr>
              <w:t xml:space="preserve"> aspectos </w:t>
            </w:r>
            <w:r>
              <w:rPr>
                <w:rFonts w:ascii="Verdana" w:hAnsi="Verdana" w:cs="Arial"/>
                <w:color w:val="000000" w:themeColor="text1"/>
              </w:rPr>
              <w:t>señalados.</w:t>
            </w:r>
          </w:p>
          <w:p w14:paraId="2711504B" w14:textId="77777777" w:rsidR="005F2D7C" w:rsidRDefault="005F2D7C" w:rsidP="00AE647B">
            <w:pPr>
              <w:spacing w:after="120" w:line="276" w:lineRule="auto"/>
              <w:ind w:firstLine="709"/>
              <w:jc w:val="both"/>
              <w:rPr>
                <w:rFonts w:ascii="Verdana" w:hAnsi="Verdana" w:cs="Arial"/>
                <w:color w:val="000000" w:themeColor="text1"/>
              </w:rPr>
            </w:pPr>
            <w:r w:rsidRPr="009E1243">
              <w:rPr>
                <w:rFonts w:ascii="Verdana" w:hAnsi="Verdana" w:cs="Arial"/>
                <w:color w:val="000000" w:themeColor="text1"/>
              </w:rPr>
              <w:t xml:space="preserve">Ahora bien, frente a la consulta planteada, es preciso señalar que esta Subdirección reitera la postura expuesta en el Concepto CU-636 de 2025, en cuanto a la viabilidad jurídica de que un mismo proponente plural participe en varios procesos de contratación, siempre que se cumplan las condiciones allí señaladas. En particular, deberá existir una decisión conjunta de sus integrantes de presentar la oferta en el respectivo proceso y el objeto del </w:t>
            </w:r>
            <w:r w:rsidRPr="009E1243">
              <w:rPr>
                <w:rFonts w:ascii="Verdana" w:hAnsi="Verdana" w:cs="Arial"/>
                <w:color w:val="000000" w:themeColor="text1"/>
              </w:rPr>
              <w:lastRenderedPageBreak/>
              <w:t>consorcio o unión temporal deberá guardar correspondencia con las actividades que serán desarrolladas en el marco de dicho proceso.</w:t>
            </w:r>
          </w:p>
          <w:p w14:paraId="5E420331" w14:textId="77777777" w:rsidR="005F2D7C" w:rsidRDefault="005F2D7C" w:rsidP="00AE647B">
            <w:pPr>
              <w:spacing w:after="120" w:line="276" w:lineRule="auto"/>
              <w:ind w:firstLine="709"/>
              <w:jc w:val="both"/>
              <w:rPr>
                <w:rFonts w:ascii="Verdana" w:hAnsi="Verdana" w:cs="Arial"/>
                <w:color w:val="000000" w:themeColor="text1"/>
              </w:rPr>
            </w:pPr>
            <w:r w:rsidRPr="00711122">
              <w:rPr>
                <w:rFonts w:ascii="Verdana" w:hAnsi="Verdana" w:cs="Arial"/>
                <w:color w:val="000000" w:themeColor="text1"/>
              </w:rPr>
              <w:t>En relación con el segundo aspecto, referido al uso de la cuenta y usuario en el SECOP II, resulta pertinente modular la tesis, en el sentido de precisar que, si bien es jurídicamente viable que un proponente plural participe en varios procesos de contratación, la utilización de una misma cuenta y usuario para presentar las respectivas ofertas estará sujeta a las condiciones, funcionalidades y reglas operativas establecidas por la plataforma para tal efecto, así como a la verificación que corresponda realizar a la entidad estatal en el marco del respectivo proceso de contratación.</w:t>
            </w:r>
          </w:p>
          <w:p w14:paraId="2581669D" w14:textId="77777777" w:rsidR="005F2D7C" w:rsidRPr="00AA6350" w:rsidRDefault="005F2D7C" w:rsidP="00AE647B">
            <w:pPr>
              <w:spacing w:after="120" w:line="276" w:lineRule="auto"/>
              <w:ind w:firstLine="709"/>
              <w:jc w:val="both"/>
              <w:rPr>
                <w:rFonts w:ascii="Verdana" w:hAnsi="Verdana" w:cs="Arial"/>
                <w:color w:val="000000" w:themeColor="text1"/>
              </w:rPr>
            </w:pPr>
            <w:r>
              <w:rPr>
                <w:rFonts w:ascii="Verdana" w:hAnsi="Verdana" w:cs="Arial"/>
                <w:color w:val="000000" w:themeColor="text1"/>
              </w:rPr>
              <w:t>En efecto</w:t>
            </w:r>
            <w:r w:rsidRPr="00AA6350">
              <w:rPr>
                <w:rFonts w:ascii="Verdana" w:hAnsi="Verdana" w:cs="Arial"/>
                <w:color w:val="000000" w:themeColor="text1"/>
              </w:rPr>
              <w:t>, mientras la participación del proponente plural en diferentes procesos constituye una cuestión jurídica, el uso de una determinada cuenta o usuario en la plataforma responde a condiciones técnicas</w:t>
            </w:r>
            <w:r>
              <w:rPr>
                <w:rFonts w:ascii="Verdana" w:hAnsi="Verdana" w:cs="Arial"/>
                <w:color w:val="000000" w:themeColor="text1"/>
              </w:rPr>
              <w:t>,</w:t>
            </w:r>
            <w:r w:rsidRPr="00AA6350">
              <w:rPr>
                <w:rFonts w:ascii="Verdana" w:hAnsi="Verdana" w:cs="Arial"/>
                <w:color w:val="000000" w:themeColor="text1"/>
              </w:rPr>
              <w:t xml:space="preserve"> operativas</w:t>
            </w:r>
            <w:r>
              <w:rPr>
                <w:rFonts w:ascii="Verdana" w:hAnsi="Verdana" w:cs="Arial"/>
                <w:color w:val="000000" w:themeColor="text1"/>
              </w:rPr>
              <w:t xml:space="preserve"> y funcionales</w:t>
            </w:r>
            <w:r w:rsidRPr="00AA6350">
              <w:rPr>
                <w:rFonts w:ascii="Verdana" w:hAnsi="Verdana" w:cs="Arial"/>
                <w:color w:val="000000" w:themeColor="text1"/>
              </w:rPr>
              <w:t xml:space="preserve"> propias del SECOP II. Por ello, la </w:t>
            </w:r>
            <w:r>
              <w:rPr>
                <w:rFonts w:ascii="Verdana" w:hAnsi="Verdana" w:cs="Arial"/>
                <w:color w:val="000000" w:themeColor="text1"/>
              </w:rPr>
              <w:t xml:space="preserve">gestión del usuario y </w:t>
            </w:r>
            <w:r w:rsidRPr="00AA6350">
              <w:rPr>
                <w:rFonts w:ascii="Verdana" w:hAnsi="Verdana" w:cs="Arial"/>
                <w:color w:val="000000" w:themeColor="text1"/>
              </w:rPr>
              <w:t xml:space="preserve">cuenta </w:t>
            </w:r>
            <w:r>
              <w:rPr>
                <w:rFonts w:ascii="Verdana" w:hAnsi="Verdana" w:cs="Arial"/>
                <w:color w:val="000000" w:themeColor="text1"/>
              </w:rPr>
              <w:t xml:space="preserve">del SECOP II </w:t>
            </w:r>
            <w:r w:rsidRPr="00AA6350">
              <w:rPr>
                <w:rFonts w:ascii="Verdana" w:hAnsi="Verdana" w:cs="Arial"/>
                <w:color w:val="000000" w:themeColor="text1"/>
              </w:rPr>
              <w:t>debe sujetarse a las funcionalidades disponibles en la plataforma, a sus términos y condiciones de uso, a las guías y orientaciones vigentes y, cuando corresponda, a las indicaciones que suministre la mesa de servicio sobre la inscripción, configuración y participación de los proponentes plurales.</w:t>
            </w:r>
          </w:p>
          <w:p w14:paraId="704A5984" w14:textId="77777777" w:rsidR="005F2D7C" w:rsidRDefault="005F2D7C" w:rsidP="00AE647B">
            <w:pPr>
              <w:spacing w:after="120" w:line="276" w:lineRule="auto"/>
              <w:ind w:firstLine="709"/>
              <w:jc w:val="both"/>
              <w:rPr>
                <w:rFonts w:ascii="Verdana" w:hAnsi="Verdana" w:cs="Arial"/>
                <w:color w:val="000000" w:themeColor="text1"/>
              </w:rPr>
            </w:pPr>
            <w:r w:rsidRPr="00AA6350">
              <w:rPr>
                <w:rFonts w:ascii="Verdana" w:hAnsi="Verdana" w:cs="Arial"/>
                <w:color w:val="000000" w:themeColor="text1"/>
              </w:rPr>
              <w:t xml:space="preserve">Adicionalmente, esta posibilidad debe analizarse en conjunto con las reglas particulares del proceso de contratación. Así, la entidad deberá atender lo dispuesto en los pliegos de condiciones y verificar que la información registrada en el </w:t>
            </w:r>
            <w:r>
              <w:rPr>
                <w:rFonts w:ascii="Verdana" w:hAnsi="Verdana" w:cs="Arial"/>
                <w:color w:val="000000" w:themeColor="text1"/>
              </w:rPr>
              <w:t xml:space="preserve">usuario del </w:t>
            </w:r>
            <w:r w:rsidRPr="00AA6350">
              <w:rPr>
                <w:rFonts w:ascii="Verdana" w:hAnsi="Verdana" w:cs="Arial"/>
                <w:color w:val="000000" w:themeColor="text1"/>
              </w:rPr>
              <w:t>SECOP II guarde correspondencia con los documentos que acreditan la constitución, integración y facultades del proponente plural que presenta la oferta.</w:t>
            </w:r>
            <w:r>
              <w:rPr>
                <w:rFonts w:ascii="Verdana" w:hAnsi="Verdana" w:cs="Arial"/>
                <w:color w:val="000000" w:themeColor="text1"/>
              </w:rPr>
              <w:t xml:space="preserve"> </w:t>
            </w:r>
            <w:r w:rsidRPr="009A3B32">
              <w:rPr>
                <w:rFonts w:ascii="Verdana" w:hAnsi="Verdana" w:cs="Arial"/>
                <w:color w:val="000000" w:themeColor="text1"/>
              </w:rPr>
              <w:t xml:space="preserve">Por tanto, será la entidad, en el marco de la evaluación de las ofertas y de acuerdo con las reglas previstas para el respectivo proceso de selección, la llamada a verificar </w:t>
            </w:r>
            <w:r>
              <w:rPr>
                <w:rFonts w:ascii="Verdana" w:hAnsi="Verdana" w:cs="Arial"/>
                <w:color w:val="000000" w:themeColor="text1"/>
              </w:rPr>
              <w:t xml:space="preserve">en cada caso </w:t>
            </w:r>
            <w:r w:rsidRPr="009A3B32">
              <w:rPr>
                <w:rFonts w:ascii="Verdana" w:hAnsi="Verdana" w:cs="Arial"/>
                <w:color w:val="000000" w:themeColor="text1"/>
              </w:rPr>
              <w:t>el cumplimiento de las condiciones exigibles a los proponentes plurales</w:t>
            </w:r>
            <w:r>
              <w:rPr>
                <w:rFonts w:ascii="Verdana" w:hAnsi="Verdana" w:cs="Arial"/>
                <w:color w:val="000000" w:themeColor="text1"/>
              </w:rPr>
              <w:t>.</w:t>
            </w:r>
          </w:p>
          <w:p w14:paraId="6F591DE7" w14:textId="77777777" w:rsidR="005F2D7C" w:rsidRDefault="005F2D7C" w:rsidP="00AE647B">
            <w:pPr>
              <w:spacing w:after="120" w:line="276" w:lineRule="auto"/>
              <w:ind w:firstLine="709"/>
              <w:jc w:val="both"/>
              <w:rPr>
                <w:rStyle w:val="s15"/>
                <w:rFonts w:ascii="Verdana" w:hAnsi="Verdana"/>
                <w:color w:val="000000"/>
              </w:rPr>
            </w:pPr>
            <w:r>
              <w:rPr>
                <w:rStyle w:val="s15"/>
                <w:rFonts w:ascii="Verdana" w:hAnsi="Verdana"/>
                <w:color w:val="000000"/>
              </w:rPr>
              <w:t xml:space="preserve">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Por lo anterior, previo concepto de sus asesores, la solución de situaciones particulares corresponde a los interesados adoptar la decisión correspondiente y, en caso de conflicto, a las autoridades judiciales, fiscales y disciplinarias. </w:t>
            </w:r>
            <w:r>
              <w:rPr>
                <w:rStyle w:val="s15"/>
                <w:rFonts w:ascii="Verdana" w:hAnsi="Verdana"/>
                <w:color w:val="000000"/>
              </w:rPr>
              <w:lastRenderedPageBreak/>
              <w:t xml:space="preserve">Así, cada entidad definirá la forma de adelantar su gestión contractual, sin que sea atribución de Colombia Compra Eficiente validar sus actuaciones. </w:t>
            </w:r>
          </w:p>
          <w:p w14:paraId="48DD17FC" w14:textId="77777777" w:rsidR="005F2D7C" w:rsidRPr="00E112D6" w:rsidRDefault="005F2D7C" w:rsidP="00AE647B">
            <w:pPr>
              <w:spacing w:after="120" w:line="276" w:lineRule="auto"/>
              <w:ind w:firstLine="709"/>
              <w:jc w:val="both"/>
              <w:rPr>
                <w:rFonts w:ascii="Verdana" w:eastAsia="Calibri" w:hAnsi="Verdana" w:cs="Arial"/>
              </w:rPr>
            </w:pPr>
            <w:r>
              <w:rPr>
                <w:rFonts w:ascii="Verdana" w:eastAsia="Calibri" w:hAnsi="Verdana" w:cs="Arial"/>
                <w:bCs/>
                <w:color w:val="000000" w:themeColor="text1"/>
              </w:rPr>
              <w:t xml:space="preserve">Conforme al artículo 28 de la Ley 1437 de 2011, se informa al peticionario que “Salvo disposición legal en contrario, los conceptos emitidos por las autoridades como respuestas a peticiones realizadas en ejercicio del derecho a formular consultas no serán de obligatorio cumplimiento o ejecución”. </w:t>
            </w:r>
            <w:r>
              <w:rPr>
                <w:rFonts w:ascii="Verdana" w:eastAsia="Calibri" w:hAnsi="Verdana" w:cs="Arial"/>
                <w:bCs/>
                <w:color w:val="000000" w:themeColor="text1"/>
                <w:lang w:val="es-ES_tradnl"/>
              </w:rPr>
              <w:t xml:space="preserve">Así las cosas, Colombia Compra Eficiente considera que no hay lugar a acceder, por ejemplo, a solicitudes de </w:t>
            </w:r>
            <w:r>
              <w:rPr>
                <w:rFonts w:ascii="Verdana" w:eastAsia="Calibri" w:hAnsi="Verdana" w:cs="Arial"/>
                <w:bCs/>
                <w:i/>
                <w:iCs/>
                <w:color w:val="000000" w:themeColor="text1"/>
                <w:lang w:val="es-ES_tradnl"/>
              </w:rPr>
              <w:t>revocación directa</w:t>
            </w:r>
            <w:r>
              <w:rPr>
                <w:rFonts w:ascii="Verdana" w:eastAsia="Calibri" w:hAnsi="Verdana" w:cs="Arial"/>
                <w:bCs/>
                <w:color w:val="000000" w:themeColor="text1"/>
                <w:lang w:val="es-ES_tradnl"/>
              </w:rPr>
              <w:t xml:space="preserve"> </w:t>
            </w:r>
            <w:r>
              <w:rPr>
                <w:rFonts w:ascii="Verdana" w:eastAsia="Calibri" w:hAnsi="Verdana" w:cs="Arial"/>
                <w:bCs/>
                <w:lang w:val="es-ES_tradnl"/>
              </w:rPr>
              <w:t>o a resolver objeciones frente a estos</w:t>
            </w:r>
            <w:r>
              <w:rPr>
                <w:rFonts w:ascii="Verdana" w:eastAsia="Calibri" w:hAnsi="Verdana" w:cs="Arial"/>
                <w:bCs/>
                <w:color w:val="000000" w:themeColor="text1"/>
                <w:lang w:val="es-ES_tradnl"/>
              </w:rPr>
              <w:t xml:space="preserve"> de los conceptos, pues no son actos administrativos, no tienen efectos vinculantes en relación con una situación jurídica particular y concreta, y exponen un criterio que, aunque jurídicamente fundamentado, no representan necesariamente la </w:t>
            </w:r>
            <w:r>
              <w:rPr>
                <w:rFonts w:ascii="Verdana" w:eastAsia="Calibri" w:hAnsi="Verdana" w:cs="Arial"/>
                <w:bCs/>
                <w:i/>
                <w:iCs/>
                <w:color w:val="000000" w:themeColor="text1"/>
                <w:lang w:val="es-ES_tradnl"/>
              </w:rPr>
              <w:t>única</w:t>
            </w:r>
            <w:r>
              <w:rPr>
                <w:rFonts w:ascii="Verdana" w:eastAsia="Calibri" w:hAnsi="Verdana" w:cs="Arial"/>
                <w:bCs/>
                <w:color w:val="000000" w:themeColor="text1"/>
                <w:lang w:val="es-ES_tradnl"/>
              </w:rPr>
              <w:t xml:space="preserve"> interpretación válida del ordenamiento jurídico. </w:t>
            </w:r>
          </w:p>
        </w:tc>
      </w:tr>
    </w:tbl>
    <w:p w14:paraId="18EE792C" w14:textId="77777777" w:rsidR="005F2D7C" w:rsidRPr="007C6597" w:rsidRDefault="005F2D7C" w:rsidP="005F2D7C">
      <w:pPr>
        <w:tabs>
          <w:tab w:val="left" w:pos="142"/>
          <w:tab w:val="left" w:pos="284"/>
        </w:tabs>
        <w:spacing w:after="0" w:line="276" w:lineRule="auto"/>
        <w:jc w:val="both"/>
        <w:rPr>
          <w:rFonts w:ascii="Verdana" w:eastAsia="Century Gothic" w:hAnsi="Verdana" w:cs="Century Gothic"/>
          <w:b/>
          <w:bCs/>
        </w:rPr>
      </w:pPr>
    </w:p>
    <w:bookmarkEnd w:id="2"/>
    <w:p w14:paraId="0FAB5824" w14:textId="77777777" w:rsidR="005F2D7C" w:rsidRPr="007C6597" w:rsidRDefault="005F2D7C" w:rsidP="005F2D7C">
      <w:pPr>
        <w:numPr>
          <w:ilvl w:val="0"/>
          <w:numId w:val="16"/>
        </w:numPr>
        <w:tabs>
          <w:tab w:val="left" w:pos="142"/>
          <w:tab w:val="left" w:pos="284"/>
        </w:tabs>
        <w:spacing w:after="0" w:line="276" w:lineRule="auto"/>
        <w:ind w:left="1068"/>
        <w:jc w:val="both"/>
        <w:rPr>
          <w:rFonts w:ascii="Verdana" w:eastAsia="Century Gothic" w:hAnsi="Verdana" w:cs="Century Gothic"/>
          <w:b/>
          <w:bCs/>
        </w:rPr>
      </w:pPr>
      <w:r w:rsidRPr="007C6597">
        <w:rPr>
          <w:rFonts w:ascii="Verdana" w:eastAsia="Century Gothic" w:hAnsi="Verdana" w:cs="Century Gothic"/>
          <w:b/>
          <w:bCs/>
        </w:rPr>
        <w:t>Razones de las respuestas:</w:t>
      </w:r>
    </w:p>
    <w:p w14:paraId="3B6117AC" w14:textId="77777777" w:rsidR="005F2D7C" w:rsidRPr="007C6597" w:rsidRDefault="005F2D7C" w:rsidP="005F2D7C">
      <w:pPr>
        <w:spacing w:after="0" w:line="276" w:lineRule="auto"/>
        <w:jc w:val="both"/>
        <w:rPr>
          <w:rFonts w:ascii="Verdana" w:eastAsia="Calibri" w:hAnsi="Verdana" w:cs="Arial"/>
          <w:color w:val="7030A0"/>
        </w:rPr>
      </w:pPr>
    </w:p>
    <w:p w14:paraId="16D5FCFA" w14:textId="77777777" w:rsidR="005F2D7C" w:rsidRPr="007C6597" w:rsidRDefault="005F2D7C" w:rsidP="005F2D7C">
      <w:pPr>
        <w:spacing w:after="0" w:line="276" w:lineRule="auto"/>
        <w:jc w:val="both"/>
        <w:rPr>
          <w:rFonts w:ascii="Verdana" w:eastAsia="Calibri" w:hAnsi="Verdana" w:cs="Arial"/>
        </w:rPr>
      </w:pPr>
      <w:r w:rsidRPr="007C6597">
        <w:rPr>
          <w:rFonts w:ascii="Verdana" w:eastAsia="Calibri" w:hAnsi="Verdana" w:cs="Arial"/>
        </w:rPr>
        <w:t>Lo anterior se sustenta en las siguientes consideraciones:</w:t>
      </w:r>
    </w:p>
    <w:p w14:paraId="2A56ADFB" w14:textId="77777777" w:rsidR="005F2D7C" w:rsidRPr="007C6597" w:rsidRDefault="005F2D7C" w:rsidP="005F2D7C">
      <w:pPr>
        <w:spacing w:after="0" w:line="276" w:lineRule="auto"/>
        <w:jc w:val="both"/>
        <w:rPr>
          <w:rFonts w:ascii="Verdana" w:eastAsia="Calibri" w:hAnsi="Verdana" w:cs="Arial"/>
        </w:rPr>
      </w:pPr>
    </w:p>
    <w:p w14:paraId="5A5D41A3" w14:textId="77777777" w:rsidR="005F2D7C" w:rsidRPr="007E4445" w:rsidRDefault="005F2D7C" w:rsidP="005F2D7C">
      <w:pPr>
        <w:spacing w:after="120" w:line="276" w:lineRule="auto"/>
        <w:jc w:val="both"/>
        <w:rPr>
          <w:rFonts w:ascii="Verdana" w:eastAsia="Calibri" w:hAnsi="Verdana" w:cs="Arial"/>
          <w:shd w:val="clear" w:color="auto" w:fill="FFFFFF"/>
        </w:rPr>
      </w:pPr>
      <w:r>
        <w:rPr>
          <w:rFonts w:ascii="Verdana" w:eastAsia="Calibri" w:hAnsi="Verdana" w:cs="Arial"/>
          <w:shd w:val="clear" w:color="auto" w:fill="FFFFFF"/>
        </w:rPr>
        <w:t xml:space="preserve">i. </w:t>
      </w:r>
      <w:r>
        <w:rPr>
          <w:rFonts w:ascii="Verdana" w:eastAsia="Calibri" w:hAnsi="Verdana" w:cs="Arial"/>
          <w:bCs/>
          <w:lang w:val="es-ES_tradnl"/>
        </w:rPr>
        <w:t>En ejercicio de las competencias consagradas en los artículos 3, numeral 5, 11, numeral 8, 12, numeral 6, y 13, numeral 4, del Decreto Ley 4170 de 2011, la Agencia Nacional de Contratación Pública – Colombia Compra Eficiente resuelve consultas sobre los asuntos de su competencia, esto es, sobre las normas que conforman el sistema de compras y contratación pública. Esta competencia consultiva se relaciona con el artículo 28 de la Ley 1437 de 2011, sustituido por el artículo 1 de la Ley 1755, que dispone lo siguiente:</w:t>
      </w:r>
    </w:p>
    <w:p w14:paraId="46ABE0AF" w14:textId="77777777" w:rsidR="005F2D7C" w:rsidRDefault="005F2D7C" w:rsidP="005F2D7C">
      <w:pPr>
        <w:tabs>
          <w:tab w:val="left" w:pos="426"/>
        </w:tabs>
        <w:spacing w:after="0" w:line="276" w:lineRule="auto"/>
        <w:jc w:val="both"/>
        <w:rPr>
          <w:rFonts w:ascii="Verdana" w:eastAsia="Calibri" w:hAnsi="Verdana" w:cs="Arial"/>
          <w:bCs/>
          <w:lang w:val="es-ES_tradnl"/>
        </w:rPr>
      </w:pPr>
    </w:p>
    <w:p w14:paraId="4AD76494" w14:textId="77777777" w:rsidR="005F2D7C" w:rsidRDefault="005F2D7C" w:rsidP="005F2D7C">
      <w:pPr>
        <w:tabs>
          <w:tab w:val="left" w:pos="426"/>
        </w:tabs>
        <w:spacing w:after="0" w:line="240" w:lineRule="auto"/>
        <w:ind w:left="709" w:right="709"/>
        <w:jc w:val="both"/>
        <w:rPr>
          <w:rFonts w:ascii="Verdana" w:eastAsia="Calibri" w:hAnsi="Verdana" w:cs="Arial"/>
          <w:bCs/>
          <w:sz w:val="20"/>
          <w:szCs w:val="20"/>
          <w:lang w:val="es-ES_tradnl"/>
        </w:rPr>
      </w:pPr>
      <w:r>
        <w:rPr>
          <w:rFonts w:ascii="Verdana" w:eastAsia="Calibri" w:hAnsi="Verdana" w:cs="Arial"/>
          <w:bCs/>
          <w:sz w:val="20"/>
          <w:szCs w:val="20"/>
          <w:lang w:val="es-ES_tradnl"/>
        </w:rPr>
        <w:t xml:space="preserve">“Artículo 28. Alcance de los conceptos. Salvo disposición legal en contrario, los conceptos emitidos por las autoridades como respuestas a peticiones realizadas en ejercicio del derecho a formular consultas no serán de obligatorio cumplimiento o ejecución”.  </w:t>
      </w:r>
    </w:p>
    <w:p w14:paraId="443A54C9" w14:textId="77777777" w:rsidR="005F2D7C" w:rsidRDefault="005F2D7C" w:rsidP="005F2D7C">
      <w:pPr>
        <w:tabs>
          <w:tab w:val="left" w:pos="426"/>
        </w:tabs>
        <w:spacing w:after="0" w:line="276" w:lineRule="auto"/>
        <w:jc w:val="both"/>
        <w:rPr>
          <w:rFonts w:ascii="Verdana" w:eastAsia="Calibri" w:hAnsi="Verdana" w:cs="Arial"/>
          <w:bCs/>
          <w:lang w:val="es-ES_tradnl"/>
        </w:rPr>
      </w:pPr>
    </w:p>
    <w:p w14:paraId="0CD386C1" w14:textId="77777777" w:rsidR="005F2D7C" w:rsidRDefault="005F2D7C" w:rsidP="005F2D7C">
      <w:pPr>
        <w:tabs>
          <w:tab w:val="left" w:pos="709"/>
        </w:tabs>
        <w:spacing w:line="276" w:lineRule="auto"/>
        <w:jc w:val="both"/>
        <w:rPr>
          <w:rFonts w:ascii="Verdana" w:eastAsia="Calibri" w:hAnsi="Verdana" w:cs="Arial"/>
          <w:bCs/>
          <w:lang w:val="es-ES_tradnl"/>
        </w:rPr>
      </w:pPr>
      <w:r>
        <w:rPr>
          <w:rFonts w:ascii="Verdana" w:eastAsia="Calibri" w:hAnsi="Verdana" w:cs="Arial"/>
          <w:bCs/>
          <w:lang w:val="es-ES_tradnl"/>
        </w:rPr>
        <w:tab/>
        <w:t xml:space="preserve">La ley es clara cuando establece que los conceptos, emitidos por las autoridades al responder peticiones realizadas en ejercicio del derecho a formular consultas, no son de obligatorio cumplimiento o ejecución, en otras palabras, no tienen efectos vinculantes. Las respuestas emitidas como concepto, entonces, consisten en la posición hermenéutica que las entidades tienen </w:t>
      </w:r>
      <w:r>
        <w:rPr>
          <w:rFonts w:ascii="Verdana" w:eastAsia="Calibri" w:hAnsi="Verdana" w:cs="Arial"/>
          <w:bCs/>
          <w:lang w:val="es-ES_tradnl"/>
        </w:rPr>
        <w:lastRenderedPageBreak/>
        <w:t>respecto del ordenamiento jurídico. Esto explica por qué esta Agencia, reiteradamente, no resuelve controversias concretas ni brinda asesorías puntuales a los partícipes de la contratación estatal.</w:t>
      </w:r>
    </w:p>
    <w:p w14:paraId="29E54486" w14:textId="77777777" w:rsidR="005F2D7C" w:rsidRDefault="005F2D7C" w:rsidP="005F2D7C">
      <w:pPr>
        <w:tabs>
          <w:tab w:val="left" w:pos="709"/>
        </w:tabs>
        <w:spacing w:before="120" w:line="276" w:lineRule="auto"/>
        <w:jc w:val="both"/>
        <w:rPr>
          <w:rFonts w:ascii="Verdana" w:eastAsia="Calibri" w:hAnsi="Verdana" w:cs="Arial"/>
          <w:bCs/>
          <w:sz w:val="21"/>
          <w:szCs w:val="21"/>
          <w:lang w:val="es-ES_tradnl"/>
        </w:rPr>
      </w:pPr>
      <w:r>
        <w:rPr>
          <w:rFonts w:ascii="Verdana" w:eastAsia="Calibri" w:hAnsi="Verdana" w:cs="Arial"/>
          <w:bCs/>
          <w:lang w:val="es-ES_tradnl"/>
        </w:rPr>
        <w:tab/>
        <w:t>Esta posición es compartida por varias entidades públicas que ejercen la misma función. Por ejemplo, la Procuraduría General de la Nación aclaró que el concepto “sólo constituye un criterio auxiliar de interpretación y que no tiene carácter vinculante de acuerdo con lo dispuesto en los artículos 230 de la Constitución Política, 5° de la Ley 153 de 1887 y 28 de la ley 1437 de 2011”</w:t>
      </w:r>
      <w:r>
        <w:rPr>
          <w:rStyle w:val="Refdenotaalpie"/>
          <w:rFonts w:ascii="Verdana" w:eastAsia="Calibri" w:hAnsi="Verdana" w:cs="Arial"/>
          <w:bCs/>
          <w:lang w:val="es-ES_tradnl"/>
        </w:rPr>
        <w:footnoteReference w:id="2"/>
      </w:r>
      <w:r>
        <w:rPr>
          <w:rFonts w:ascii="Verdana" w:eastAsia="Calibri" w:hAnsi="Verdana" w:cs="Arial"/>
          <w:bCs/>
          <w:lang w:val="es-ES_tradnl"/>
        </w:rPr>
        <w:t>. Igualmente, en concepto del año 2017</w:t>
      </w:r>
      <w:r>
        <w:rPr>
          <w:rStyle w:val="Refdenotaalpie"/>
          <w:rFonts w:ascii="Verdana" w:eastAsia="Calibri" w:hAnsi="Verdana" w:cs="Arial"/>
          <w:bCs/>
          <w:lang w:val="es-ES_tradnl"/>
        </w:rPr>
        <w:footnoteReference w:id="3"/>
      </w:r>
      <w:r>
        <w:rPr>
          <w:rFonts w:ascii="Verdana" w:eastAsia="Calibri" w:hAnsi="Verdana" w:cs="Arial"/>
          <w:bCs/>
          <w:lang w:val="es-ES_tradnl"/>
        </w:rPr>
        <w:t>, la Contraloría General de la República precisó que los “[…] conceptos emitidos por la Oficina Jurídica de la Contraloría General de la República, son orientaciones de carácter general que […] no son de obligatorio cumplimiento o ejecución, ni tienen el carácter de fuente normativa y sólo pueden ser utilizados para facilitar la interpretación y aplicación de las normas jurídicas vigentes […]”.</w:t>
      </w:r>
    </w:p>
    <w:p w14:paraId="5B829B2D" w14:textId="77777777" w:rsidR="005F2D7C" w:rsidRDefault="005F2D7C" w:rsidP="005F2D7C">
      <w:pPr>
        <w:tabs>
          <w:tab w:val="left" w:pos="709"/>
        </w:tabs>
        <w:spacing w:before="120" w:line="276" w:lineRule="auto"/>
        <w:jc w:val="both"/>
        <w:rPr>
          <w:rFonts w:ascii="Verdana" w:eastAsia="Calibri" w:hAnsi="Verdana" w:cs="Arial"/>
          <w:bCs/>
          <w:lang w:val="es-ES_tradnl"/>
        </w:rPr>
      </w:pPr>
      <w:r>
        <w:rPr>
          <w:rFonts w:ascii="Verdana" w:eastAsia="Calibri" w:hAnsi="Verdana" w:cs="Arial"/>
          <w:bCs/>
          <w:lang w:val="es-ES_tradnl"/>
        </w:rPr>
        <w:tab/>
        <w:t xml:space="preserve">En términos generales, lo que se busca con el ejercicio de la función consultiva es que la opinión jurídica de la Agencia Nacional de Contratación Pública – Colombia Compra Eficiente sea un criterio de orientación para los operadores jurídicos, sin que ello suponga resolver un problema entre partes o asumir la </w:t>
      </w:r>
      <w:r>
        <w:rPr>
          <w:rFonts w:ascii="Verdana" w:eastAsia="Calibri" w:hAnsi="Verdana" w:cs="Arial"/>
          <w:bCs/>
          <w:i/>
          <w:iCs/>
          <w:lang w:val="es-ES_tradnl"/>
        </w:rPr>
        <w:t>única</w:t>
      </w:r>
      <w:r>
        <w:rPr>
          <w:rFonts w:ascii="Verdana" w:eastAsia="Calibri" w:hAnsi="Verdana" w:cs="Arial"/>
          <w:bCs/>
          <w:lang w:val="es-ES_tradnl"/>
        </w:rPr>
        <w:t xml:space="preserve"> posible interpretación de una disposición normativa. Esto no descarta que, en la práctica, al emitirse la opinión sobre la interpretación del ordenamiento jurídico, exista coincidencia con el criterio que expone alguna de las partes o la persona que solicita la consulta, circunstancia que no descarta interpretaciones diferentes</w:t>
      </w:r>
      <w:r>
        <w:rPr>
          <w:rStyle w:val="Refdenotaalpie"/>
          <w:rFonts w:ascii="Verdana" w:eastAsia="Calibri" w:hAnsi="Verdana" w:cs="Arial"/>
          <w:bCs/>
          <w:lang w:val="es-ES_tradnl"/>
        </w:rPr>
        <w:footnoteReference w:id="4"/>
      </w:r>
      <w:r>
        <w:rPr>
          <w:rFonts w:ascii="Verdana" w:eastAsia="Calibri" w:hAnsi="Verdana" w:cs="Arial"/>
          <w:bCs/>
          <w:lang w:val="es-ES_tradnl"/>
        </w:rPr>
        <w:t>.</w:t>
      </w:r>
    </w:p>
    <w:p w14:paraId="3C87E6AA" w14:textId="77777777" w:rsidR="005F2D7C" w:rsidRDefault="005F2D7C" w:rsidP="005F2D7C">
      <w:pPr>
        <w:tabs>
          <w:tab w:val="left" w:pos="709"/>
        </w:tabs>
        <w:spacing w:before="120" w:line="276" w:lineRule="auto"/>
        <w:ind w:firstLine="709"/>
        <w:jc w:val="both"/>
        <w:rPr>
          <w:rFonts w:ascii="Verdana" w:eastAsia="Calibri" w:hAnsi="Verdana" w:cs="Arial"/>
          <w:bCs/>
          <w:lang w:val="es-ES_tradnl"/>
        </w:rPr>
      </w:pPr>
      <w:r>
        <w:rPr>
          <w:rFonts w:ascii="Verdana" w:eastAsia="Calibri" w:hAnsi="Verdana" w:cs="Arial"/>
          <w:bCs/>
          <w:lang w:val="es-ES_tradnl"/>
        </w:rPr>
        <w:t xml:space="preserve">Las autoridades que ejercen funciones consultivas pueden expresar su interpretación de un precepto normativo que no excluye otras interpretaciones posibles, pues el derecho, como sistema normativo, es un lenguaje que, en ocasiones, se tiñe de vaguedad, en virtud de la utilización de conceptos jurídicos indeterminados. Así, puede pasar, por ejemplo, que un ministerio considere que una norma debe entenderse en un sentido, pero que otra entidad, vinculada o adscrita a ese ministerio, entienda que la misma norma debe interpretarse de otra manera. Eso hace parte de la lógica deliberativa y dialéctica del </w:t>
      </w:r>
      <w:r>
        <w:rPr>
          <w:rFonts w:ascii="Verdana" w:eastAsia="Calibri" w:hAnsi="Verdana" w:cs="Arial"/>
          <w:bCs/>
          <w:lang w:val="es-ES_tradnl"/>
        </w:rPr>
        <w:lastRenderedPageBreak/>
        <w:t xml:space="preserve">funcionamiento del Estado y refleja el principio democrático. De todos modos, esto no significa que el criterio de una u otra tenga validez o prevalencia sobre la otra, ya que se trata de opiniones emitidas a título de concepto, pese a que entre las entidades exista una jerarquía o de la naturaleza y competencias que se prediquen de una y otra. Incluso, aun cuando los jueces interpreten con autoridad el sentido de la disposición normativa, el concepto emitido por la entidad no deja de ser tal y no adquiere efectos vinculantes, por más que coincida con el de la autoridad judicial, pues, en esa hipótesis, lo que vincula es la decisión del juez, no el de la entidad que ejerció la función consultiva, pues, como se viene diciendo, dicha competencia se enmarca en el artículo 28 de la Ley 1437 de 2011. En otras palabras, los conceptos “no serán de obligatorio cumplimiento o ejecución”. </w:t>
      </w:r>
    </w:p>
    <w:p w14:paraId="44A8CF04" w14:textId="77777777" w:rsidR="005F2D7C" w:rsidRDefault="005F2D7C" w:rsidP="005F2D7C">
      <w:pPr>
        <w:tabs>
          <w:tab w:val="left" w:pos="709"/>
        </w:tabs>
        <w:spacing w:before="120" w:after="0" w:line="276" w:lineRule="auto"/>
        <w:jc w:val="both"/>
        <w:rPr>
          <w:rFonts w:ascii="Verdana" w:eastAsia="Calibri" w:hAnsi="Verdana" w:cs="Arial"/>
          <w:bCs/>
          <w:lang w:val="es-ES_tradnl"/>
        </w:rPr>
      </w:pPr>
      <w:r>
        <w:rPr>
          <w:rFonts w:ascii="Verdana" w:eastAsia="Calibri" w:hAnsi="Verdana" w:cs="Arial"/>
          <w:bCs/>
          <w:lang w:val="es-ES_tradnl"/>
        </w:rPr>
        <w:tab/>
        <w:t>En similares términos, el artículo 112 de la Ley 1437 de 2011 establece, en relación con la Sala de Consulta y Servicio Civil, que “los conceptos de la Sala no serán vinculantes, salvo que la ley disponga lo contrario”</w:t>
      </w:r>
      <w:r>
        <w:rPr>
          <w:rStyle w:val="Refdenotaalpie"/>
          <w:rFonts w:ascii="Verdana" w:eastAsia="Calibri" w:hAnsi="Verdana" w:cs="Arial"/>
          <w:bCs/>
          <w:lang w:val="es-ES_tradnl"/>
        </w:rPr>
        <w:footnoteReference w:id="5"/>
      </w:r>
      <w:r>
        <w:rPr>
          <w:rFonts w:ascii="Verdana" w:eastAsia="Calibri" w:hAnsi="Verdana" w:cs="Arial"/>
          <w:bCs/>
          <w:lang w:val="es-ES_tradnl"/>
        </w:rPr>
        <w:t xml:space="preserve">. Se trata, </w:t>
      </w:r>
      <w:r>
        <w:rPr>
          <w:rFonts w:ascii="Verdana" w:eastAsia="Calibri" w:hAnsi="Verdana" w:cs="Arial"/>
          <w:bCs/>
          <w:i/>
          <w:iCs/>
          <w:lang w:val="es-ES_tradnl"/>
        </w:rPr>
        <w:t>mutatis mutandis</w:t>
      </w:r>
      <w:r>
        <w:rPr>
          <w:rFonts w:ascii="Verdana" w:eastAsia="Calibri" w:hAnsi="Verdana" w:cs="Arial"/>
          <w:bCs/>
          <w:lang w:val="es-ES_tradnl"/>
        </w:rPr>
        <w:t>,</w:t>
      </w:r>
      <w:r>
        <w:rPr>
          <w:rFonts w:ascii="Verdana" w:eastAsia="Calibri" w:hAnsi="Verdana" w:cs="Arial"/>
          <w:bCs/>
          <w:i/>
          <w:iCs/>
          <w:lang w:val="es-ES_tradnl"/>
        </w:rPr>
        <w:t xml:space="preserve"> </w:t>
      </w:r>
      <w:r>
        <w:rPr>
          <w:rFonts w:ascii="Verdana" w:eastAsia="Calibri" w:hAnsi="Verdana" w:cs="Arial"/>
          <w:bCs/>
          <w:lang w:val="es-ES_tradnl"/>
        </w:rPr>
        <w:t>del ejercicio de una función consultiva, cuyos efectos, por ende, serán los mismos: no vinculantes ni de obligatorio cumplimiento. En relación con el tema, la Sala de Consulta y Servicio Civil del Consejo de Estado, se pronunció en los siguientes términos:</w:t>
      </w:r>
    </w:p>
    <w:p w14:paraId="1B1A9C54" w14:textId="77777777" w:rsidR="005F2D7C" w:rsidRDefault="005F2D7C" w:rsidP="005F2D7C">
      <w:pPr>
        <w:tabs>
          <w:tab w:val="left" w:pos="426"/>
        </w:tabs>
        <w:spacing w:after="0" w:line="276" w:lineRule="auto"/>
        <w:jc w:val="both"/>
        <w:rPr>
          <w:rFonts w:ascii="Verdana" w:eastAsia="Calibri" w:hAnsi="Verdana" w:cs="Arial"/>
          <w:bCs/>
          <w:lang w:val="es-ES_tradnl"/>
        </w:rPr>
      </w:pPr>
    </w:p>
    <w:p w14:paraId="66EC0E1E" w14:textId="77777777" w:rsidR="005F2D7C" w:rsidRDefault="005F2D7C" w:rsidP="005F2D7C">
      <w:pPr>
        <w:tabs>
          <w:tab w:val="left" w:pos="426"/>
        </w:tabs>
        <w:spacing w:after="120" w:line="240" w:lineRule="auto"/>
        <w:ind w:left="709" w:right="709"/>
        <w:jc w:val="both"/>
        <w:rPr>
          <w:rFonts w:ascii="Verdana" w:eastAsia="Calibri" w:hAnsi="Verdana" w:cs="Arial"/>
          <w:bCs/>
          <w:sz w:val="20"/>
          <w:szCs w:val="20"/>
          <w:lang w:val="es-ES_tradnl"/>
        </w:rPr>
      </w:pPr>
      <w:r>
        <w:rPr>
          <w:rFonts w:ascii="Verdana" w:eastAsia="Calibri" w:hAnsi="Verdana" w:cs="Arial"/>
          <w:bCs/>
          <w:sz w:val="20"/>
          <w:szCs w:val="20"/>
          <w:lang w:val="es-ES_tradnl"/>
        </w:rPr>
        <w:t xml:space="preserve">“De otra parte, recuerda la Sala que la función consultiva no constituye un trámite controversial de tipo judicial; se encuentra establecida como un mecanismo constitucional dirigido a asegurar que la actuación de la Administración se adecue al ordenamiento jurídico y al interés general por el que le corresponde velar en el ejercicio de sus funciones. La defensa del ordenamiento jurídico por esta vía se realiza a través de un órgano independiente y autónomo del poder judicial, que actúa por tanto con independencia de criterios, dentro de una lógica de colaboración armónica de poderes (art.113 C.P).  </w:t>
      </w:r>
    </w:p>
    <w:p w14:paraId="08E6794E" w14:textId="77777777" w:rsidR="005F2D7C" w:rsidRDefault="005F2D7C" w:rsidP="005F2D7C">
      <w:pPr>
        <w:tabs>
          <w:tab w:val="left" w:pos="426"/>
        </w:tabs>
        <w:spacing w:after="0" w:line="240" w:lineRule="auto"/>
        <w:ind w:left="709" w:right="709"/>
        <w:jc w:val="both"/>
        <w:rPr>
          <w:rFonts w:ascii="Verdana" w:eastAsia="Calibri" w:hAnsi="Verdana" w:cs="Arial"/>
          <w:bCs/>
          <w:sz w:val="20"/>
          <w:szCs w:val="20"/>
          <w:lang w:val="es-ES_tradnl"/>
        </w:rPr>
      </w:pPr>
      <w:r>
        <w:rPr>
          <w:rFonts w:ascii="Verdana" w:eastAsia="Calibri" w:hAnsi="Verdana" w:cs="Arial"/>
          <w:bCs/>
          <w:sz w:val="20"/>
          <w:szCs w:val="20"/>
          <w:lang w:val="es-ES_tradnl"/>
        </w:rPr>
        <w:t>No se trata entonces de dar la razón a una u otra posición en temas controvertibles, sino de rendir un concepto jurídico que sirva a la Administración en la búsqueda del cumplimiento de las finalidades esenciales del Estado”</w:t>
      </w:r>
      <w:r>
        <w:rPr>
          <w:rStyle w:val="Refdenotaalpie"/>
          <w:rFonts w:ascii="Verdana" w:eastAsia="Calibri" w:hAnsi="Verdana" w:cs="Arial"/>
          <w:bCs/>
          <w:sz w:val="20"/>
          <w:szCs w:val="20"/>
          <w:lang w:val="es-ES_tradnl"/>
        </w:rPr>
        <w:footnoteReference w:id="6"/>
      </w:r>
      <w:r>
        <w:rPr>
          <w:rFonts w:ascii="Verdana" w:eastAsia="Calibri" w:hAnsi="Verdana" w:cs="Arial"/>
          <w:bCs/>
          <w:sz w:val="20"/>
          <w:szCs w:val="20"/>
          <w:lang w:val="es-ES_tradnl"/>
        </w:rPr>
        <w:t>.</w:t>
      </w:r>
    </w:p>
    <w:p w14:paraId="0CC8681A" w14:textId="77777777" w:rsidR="005F2D7C" w:rsidRDefault="005F2D7C" w:rsidP="005F2D7C">
      <w:pPr>
        <w:tabs>
          <w:tab w:val="left" w:pos="426"/>
        </w:tabs>
        <w:spacing w:after="0" w:line="276" w:lineRule="auto"/>
        <w:jc w:val="both"/>
        <w:rPr>
          <w:rFonts w:ascii="Verdana" w:eastAsia="Calibri" w:hAnsi="Verdana" w:cs="Arial"/>
          <w:bCs/>
          <w:lang w:val="es-ES_tradnl"/>
        </w:rPr>
      </w:pPr>
    </w:p>
    <w:p w14:paraId="7F4E5AD9" w14:textId="77777777" w:rsidR="005F2D7C" w:rsidRDefault="005F2D7C" w:rsidP="005F2D7C">
      <w:pPr>
        <w:tabs>
          <w:tab w:val="left" w:pos="709"/>
        </w:tabs>
        <w:spacing w:line="276" w:lineRule="auto"/>
        <w:jc w:val="both"/>
        <w:rPr>
          <w:rFonts w:ascii="Verdana" w:eastAsia="Calibri" w:hAnsi="Verdana" w:cs="Arial"/>
          <w:bCs/>
          <w:lang w:val="es-ES_tradnl"/>
        </w:rPr>
      </w:pPr>
      <w:r>
        <w:rPr>
          <w:rFonts w:ascii="Verdana" w:eastAsia="Calibri" w:hAnsi="Verdana" w:cs="Arial"/>
          <w:bCs/>
          <w:lang w:val="es-ES_tradnl"/>
        </w:rPr>
        <w:tab/>
        <w:t>El ejercicio de la función consultiva del artículo 28 de la Ley 1437 de 2011 descarta la resolución de controversias en curso o de problemas cuyos efectos se concreten. Lo primero, debe manejarlo la propia entidad ante la que se presenta el problema, y lo segundo el juez competente. En últimas, siempre que no exista una decisión judicial vinculante, los destinatarios de la norma serán los que interpreten el ordenamiento jurídico. Así las cosas, a título de ejemplo, si una entidad considera que un término vence en un momento específico, habida cuenta de su lectura exegética de la norma respectiva, pero otra entiende que el término vence en otro momento, amparada en una lectura teleológica del ordenamiento jurídico, serán los destinatarios de dicha norma los que decidirán cuál es la interpretación por la que optan, claro está, sin perjuicio del posterior control judicial que podrá hacerse a solicitud de alguno de los interesados. No se trata, entonces, de jerarquías interpretativas sino de opiniones diferentes. El peso de la interpretación depende de la razonabilidad de los argumentos y de la inteligibilidad de la opinión.</w:t>
      </w:r>
    </w:p>
    <w:p w14:paraId="7C0039E1" w14:textId="77777777" w:rsidR="005F2D7C" w:rsidRDefault="005F2D7C" w:rsidP="005F2D7C">
      <w:pPr>
        <w:tabs>
          <w:tab w:val="left" w:pos="709"/>
        </w:tabs>
        <w:spacing w:before="120" w:after="120" w:line="276" w:lineRule="auto"/>
        <w:jc w:val="both"/>
        <w:rPr>
          <w:rFonts w:ascii="Verdana" w:eastAsia="Calibri" w:hAnsi="Verdana" w:cs="Arial"/>
          <w:bCs/>
          <w:lang w:val="es-ES_tradnl"/>
        </w:rPr>
      </w:pPr>
      <w:r>
        <w:rPr>
          <w:rFonts w:ascii="Verdana" w:eastAsia="Calibri" w:hAnsi="Verdana" w:cs="Arial"/>
          <w:bCs/>
          <w:lang w:val="es-ES_tradnl"/>
        </w:rPr>
        <w:tab/>
        <w:t>Otro asunto es que la entidad que lee la norma exegéticamente, luego de la decisión judicial, ejerza sus competencias desconociendo la interpretación del juez, como podría pasar, en el ejemplo propuesto, si la entidad rechaza por extemporáneo un recurso, omitiendo la lectura que los jueces hicieron con criterio de autoridad. Con todo, por la naturaleza de la función consultiva, es perfectamente válido que la misma entidad, a título de concepto, mantenga la opinión que no coincide con la judicial, porque la misma no es vinculante.</w:t>
      </w:r>
    </w:p>
    <w:p w14:paraId="2FB9611A" w14:textId="77777777" w:rsidR="005F2D7C" w:rsidRDefault="005F2D7C" w:rsidP="005F2D7C">
      <w:pPr>
        <w:tabs>
          <w:tab w:val="left" w:pos="709"/>
        </w:tabs>
        <w:spacing w:after="0" w:line="276" w:lineRule="auto"/>
        <w:jc w:val="both"/>
        <w:rPr>
          <w:rFonts w:ascii="Verdana" w:eastAsia="Calibri" w:hAnsi="Verdana" w:cs="Arial"/>
          <w:bCs/>
          <w:lang w:val="es-ES_tradnl"/>
        </w:rPr>
      </w:pPr>
      <w:r>
        <w:rPr>
          <w:rFonts w:ascii="Verdana" w:eastAsia="Calibri" w:hAnsi="Verdana" w:cs="Arial"/>
          <w:bCs/>
          <w:lang w:val="es-ES_tradnl"/>
        </w:rPr>
        <w:tab/>
      </w:r>
      <w:bookmarkStart w:id="3" w:name="_Hlk42100007"/>
      <w:r>
        <w:rPr>
          <w:rFonts w:ascii="Verdana" w:eastAsia="Calibri" w:hAnsi="Verdana" w:cs="Arial"/>
          <w:bCs/>
          <w:lang w:val="es-ES_tradnl"/>
        </w:rPr>
        <w:t xml:space="preserve">Así las cosas, Colombia Compra Eficiente considera que no hay lugar a acceder, por ejemplo, a solicitudes de </w:t>
      </w:r>
      <w:r>
        <w:rPr>
          <w:rFonts w:ascii="Verdana" w:eastAsia="Calibri" w:hAnsi="Verdana" w:cs="Arial"/>
          <w:bCs/>
          <w:i/>
          <w:iCs/>
          <w:lang w:val="es-ES_tradnl"/>
        </w:rPr>
        <w:t>revocación directa</w:t>
      </w:r>
      <w:r>
        <w:rPr>
          <w:rFonts w:ascii="Verdana" w:eastAsia="Calibri" w:hAnsi="Verdana" w:cs="Arial"/>
          <w:bCs/>
          <w:lang w:val="es-ES_tradnl"/>
        </w:rPr>
        <w:t xml:space="preserve"> de los conceptos o a resolver objeciones frente a estos, pues no son actos administrativos, no tienen efectos vinculantes en relación con una situación jurídica particular y concreta, y exponen un criterio que, aunque jurídicamente fundamentado, no representan necesariamente la </w:t>
      </w:r>
      <w:r>
        <w:rPr>
          <w:rFonts w:ascii="Verdana" w:eastAsia="Calibri" w:hAnsi="Verdana" w:cs="Arial"/>
          <w:bCs/>
          <w:i/>
          <w:iCs/>
          <w:lang w:val="es-ES_tradnl"/>
        </w:rPr>
        <w:t>única</w:t>
      </w:r>
      <w:r>
        <w:rPr>
          <w:rFonts w:ascii="Verdana" w:eastAsia="Calibri" w:hAnsi="Verdana" w:cs="Arial"/>
          <w:bCs/>
          <w:lang w:val="es-ES_tradnl"/>
        </w:rPr>
        <w:t xml:space="preserve"> interpretación válida del ordenamiento jurídico.</w:t>
      </w:r>
      <w:bookmarkEnd w:id="3"/>
      <w:r>
        <w:rPr>
          <w:rFonts w:ascii="Verdana" w:eastAsia="Calibri" w:hAnsi="Verdana" w:cs="Arial"/>
          <w:bCs/>
          <w:lang w:val="es-ES_tradnl"/>
        </w:rPr>
        <w:t xml:space="preserve"> Lo anterior no implica que la Agencia Nacional de Contratación Pública considere inalterables sus posturas, pues, de ser necesario, podría replantear una tesis previamente expuesta, bajo estrictos estándares argumentativos, al emitir otro concepto, ya que, dada su falta de vinculatoriedad, la legitimación de sus posturas proviene de la fuerza de los argumentos. De esta manera, la Agencia ratifica la postura del concepto C-670 de 2026 realizando algunas precisiones </w:t>
      </w:r>
      <w:r>
        <w:rPr>
          <w:rFonts w:ascii="Verdana" w:eastAsia="Calibri" w:hAnsi="Verdana" w:cs="Arial"/>
          <w:bCs/>
          <w:lang w:val="es-ES_tradnl"/>
        </w:rPr>
        <w:lastRenderedPageBreak/>
        <w:t xml:space="preserve">sobre el uso de la cuenta en la plataforma del SECOP II, como se expone a continuación. </w:t>
      </w:r>
    </w:p>
    <w:p w14:paraId="75CEFFBA" w14:textId="77777777" w:rsidR="005F2D7C" w:rsidRDefault="005F2D7C" w:rsidP="005F2D7C">
      <w:pPr>
        <w:tabs>
          <w:tab w:val="left" w:pos="709"/>
        </w:tabs>
        <w:spacing w:after="0" w:line="276" w:lineRule="auto"/>
        <w:jc w:val="both"/>
        <w:rPr>
          <w:rFonts w:ascii="Verdana" w:eastAsia="Calibri" w:hAnsi="Verdana" w:cs="Arial"/>
          <w:bCs/>
          <w:lang w:val="es-ES_tradnl"/>
        </w:rPr>
      </w:pPr>
    </w:p>
    <w:p w14:paraId="2135883F" w14:textId="77777777" w:rsidR="005F2D7C" w:rsidRDefault="005F2D7C" w:rsidP="005F2D7C">
      <w:pPr>
        <w:spacing w:after="120" w:line="276" w:lineRule="auto"/>
        <w:jc w:val="both"/>
        <w:rPr>
          <w:rFonts w:ascii="Verdana" w:hAnsi="Verdana" w:cs="Arial"/>
          <w:color w:val="000000" w:themeColor="text1"/>
        </w:rPr>
      </w:pPr>
      <w:proofErr w:type="spellStart"/>
      <w:r>
        <w:rPr>
          <w:rFonts w:ascii="Verdana" w:eastAsia="Calibri" w:hAnsi="Verdana" w:cs="Arial"/>
          <w:shd w:val="clear" w:color="auto" w:fill="FFFFFF"/>
        </w:rPr>
        <w:t>ii</w:t>
      </w:r>
      <w:proofErr w:type="spellEnd"/>
      <w:r>
        <w:rPr>
          <w:rFonts w:ascii="Verdana" w:eastAsia="Calibri" w:hAnsi="Verdana" w:cs="Arial"/>
          <w:shd w:val="clear" w:color="auto" w:fill="FFFFFF"/>
        </w:rPr>
        <w:t xml:space="preserve">. </w:t>
      </w:r>
      <w:r>
        <w:rPr>
          <w:rFonts w:ascii="Verdana" w:hAnsi="Verdana" w:cs="Arial"/>
          <w:color w:val="000000" w:themeColor="text1"/>
        </w:rPr>
        <w:t xml:space="preserve">En torno a la posibilidad de que los proponentes plurales puedan </w:t>
      </w:r>
      <w:r>
        <w:rPr>
          <w:rFonts w:ascii="Verdana" w:eastAsia="Century Gothic" w:hAnsi="Verdana" w:cs="Century Gothic"/>
        </w:rPr>
        <w:t>participar en varios procesos de contratación pública</w:t>
      </w:r>
      <w:r>
        <w:rPr>
          <w:rFonts w:ascii="Verdana" w:hAnsi="Verdana" w:cs="Arial"/>
          <w:color w:val="000000" w:themeColor="text1"/>
        </w:rPr>
        <w:t xml:space="preserve">, esta Subdirección </w:t>
      </w:r>
      <w:r w:rsidRPr="00BD6A92">
        <w:rPr>
          <w:rFonts w:ascii="Verdana" w:hAnsi="Verdana" w:cs="Arial"/>
          <w:color w:val="000000" w:themeColor="text1"/>
        </w:rPr>
        <w:t>adoptó una nueva línea interpretativa en el concepto C-727 del 28 de octubre de 2024, reiterada en los conceptos C-805 del 25 de noviembre de 2024, C-016 del 11 de febrero de 2025, C-046 del 30 de enero de 2025, C-226 del 26 de marzo de 2025 y C-295 del 15 de abril de 2025</w:t>
      </w:r>
      <w:r>
        <w:rPr>
          <w:rFonts w:ascii="Verdana" w:hAnsi="Verdana" w:cs="Arial"/>
          <w:color w:val="000000" w:themeColor="text1"/>
        </w:rPr>
        <w:t xml:space="preserve"> y </w:t>
      </w:r>
      <w:r w:rsidRPr="00BD6A92">
        <w:rPr>
          <w:rFonts w:ascii="Verdana" w:hAnsi="Verdana" w:cs="Arial"/>
          <w:color w:val="000000" w:themeColor="text1"/>
        </w:rPr>
        <w:t xml:space="preserve">unificada mediante el concepto CU-636 del 2 de julio de 2025, en </w:t>
      </w:r>
      <w:r>
        <w:rPr>
          <w:rFonts w:ascii="Verdana" w:hAnsi="Verdana" w:cs="Arial"/>
          <w:color w:val="000000" w:themeColor="text1"/>
        </w:rPr>
        <w:t>la</w:t>
      </w:r>
      <w:r w:rsidRPr="00BD6A92">
        <w:rPr>
          <w:rFonts w:ascii="Verdana" w:hAnsi="Verdana" w:cs="Arial"/>
          <w:color w:val="000000" w:themeColor="text1"/>
        </w:rPr>
        <w:t xml:space="preserve"> cual se concluyó la viabilidad jurídica de que los proponentes plurales presenten propuestas para la adjudicación, celebración y ejecución de contratos estatales con </w:t>
      </w:r>
      <w:r w:rsidRPr="002508F9">
        <w:rPr>
          <w:rFonts w:ascii="Verdana" w:hAnsi="Verdana" w:cs="Arial"/>
          <w:i/>
          <w:iCs/>
          <w:color w:val="000000" w:themeColor="text1"/>
        </w:rPr>
        <w:t>una o varias entidades</w:t>
      </w:r>
      <w:r w:rsidRPr="00BD6A92">
        <w:rPr>
          <w:rFonts w:ascii="Verdana" w:hAnsi="Verdana" w:cs="Arial"/>
          <w:color w:val="000000" w:themeColor="text1"/>
        </w:rPr>
        <w:t>.</w:t>
      </w:r>
    </w:p>
    <w:p w14:paraId="1DB88E2A" w14:textId="77777777" w:rsidR="005F2D7C" w:rsidRDefault="005F2D7C" w:rsidP="005F2D7C">
      <w:pPr>
        <w:spacing w:after="120" w:line="276" w:lineRule="auto"/>
        <w:ind w:firstLine="708"/>
        <w:jc w:val="both"/>
        <w:rPr>
          <w:rFonts w:ascii="Verdana" w:eastAsia="Calibri" w:hAnsi="Verdana" w:cs="Arial"/>
        </w:rPr>
      </w:pPr>
      <w:r>
        <w:rPr>
          <w:rFonts w:ascii="Verdana" w:hAnsi="Verdana" w:cs="Arial"/>
          <w:color w:val="000000" w:themeColor="text1"/>
        </w:rPr>
        <w:t xml:space="preserve">El argumento que apoya esta tesis se sustenta en que, de acuerdo con lo señalado en </w:t>
      </w:r>
      <w:bookmarkStart w:id="4" w:name="_Hlk202125829"/>
      <w:r>
        <w:rPr>
          <w:rFonts w:ascii="Verdana" w:hAnsi="Verdana" w:cs="Arial"/>
          <w:color w:val="000000" w:themeColor="text1"/>
        </w:rPr>
        <w:t>los numerales 6 y 7 del artículo 7 de la Ley 80 de 1993</w:t>
      </w:r>
      <w:bookmarkEnd w:id="4"/>
      <w:r>
        <w:rPr>
          <w:rFonts w:ascii="Verdana" w:hAnsi="Verdana" w:cs="Arial"/>
          <w:color w:val="000000" w:themeColor="text1"/>
        </w:rPr>
        <w:t xml:space="preserve">, la capacidad de los consorcios y uniones temporales para participar en la adjudicación, celebración y ejecución de </w:t>
      </w:r>
      <w:r>
        <w:rPr>
          <w:rFonts w:ascii="Verdana" w:hAnsi="Verdana" w:cs="Arial"/>
          <w:i/>
          <w:iCs/>
          <w:color w:val="000000" w:themeColor="text1"/>
        </w:rPr>
        <w:t xml:space="preserve">uno o varios </w:t>
      </w:r>
      <w:r>
        <w:rPr>
          <w:rFonts w:ascii="Verdana" w:hAnsi="Verdana" w:cs="Arial"/>
          <w:color w:val="000000" w:themeColor="text1"/>
        </w:rPr>
        <w:t xml:space="preserve">contratos estatales dependerá de dos aspectos: i) que los integrantes de la estructural plural adopten la decisión conjunta de presentar una misma propuesta al proceso de selección; y </w:t>
      </w:r>
      <w:proofErr w:type="spellStart"/>
      <w:r>
        <w:rPr>
          <w:rFonts w:ascii="Verdana" w:hAnsi="Verdana" w:cs="Arial"/>
          <w:color w:val="000000" w:themeColor="text1"/>
        </w:rPr>
        <w:t>ii</w:t>
      </w:r>
      <w:proofErr w:type="spellEnd"/>
      <w:r>
        <w:rPr>
          <w:rFonts w:ascii="Verdana" w:hAnsi="Verdana" w:cs="Arial"/>
          <w:color w:val="000000" w:themeColor="text1"/>
        </w:rPr>
        <w:t xml:space="preserve">) que el objeto del consorcio o unión temporal se encuentre alineado con las actividades a desarrollar en un determinado proceso. Así, </w:t>
      </w:r>
      <w:r>
        <w:rPr>
          <w:rFonts w:ascii="Verdana" w:eastAsia="Calibri" w:hAnsi="Verdana" w:cs="Arial"/>
        </w:rPr>
        <w:t>no existe impedimento o prohibición alguna que limite la actividad de los consorcios o uniones temporales a un solo contrato.</w:t>
      </w:r>
    </w:p>
    <w:p w14:paraId="4C329A5A" w14:textId="77777777" w:rsidR="005F2D7C" w:rsidRPr="008C03E8" w:rsidRDefault="005F2D7C" w:rsidP="005F2D7C">
      <w:pPr>
        <w:spacing w:after="120" w:line="276" w:lineRule="auto"/>
        <w:ind w:firstLine="708"/>
        <w:jc w:val="both"/>
        <w:rPr>
          <w:rFonts w:ascii="Verdana" w:hAnsi="Verdana" w:cs="Arial"/>
          <w:color w:val="000000" w:themeColor="text1"/>
        </w:rPr>
      </w:pPr>
      <w:r>
        <w:rPr>
          <w:rFonts w:ascii="Verdana" w:hAnsi="Verdana" w:cs="Arial"/>
          <w:color w:val="000000" w:themeColor="text1"/>
        </w:rPr>
        <w:t xml:space="preserve">En efecto, </w:t>
      </w:r>
      <w:r w:rsidRPr="008C03E8">
        <w:rPr>
          <w:rFonts w:ascii="Verdana" w:hAnsi="Verdana" w:cs="Arial"/>
          <w:color w:val="000000" w:themeColor="text1"/>
        </w:rPr>
        <w:t xml:space="preserve">el artículo citado señala que el consorcio o la unión temporal se da “Cuando dos o más personas en forma conjunta presentan una misma propuesta para la adjudicación, celebración y ejecución de un contrato […]”. Desde esta perspectiva, su capacidad para participar en la adjudicación, celebración y ejecución de los contratos estatales depende de que los integrantes de la estructura plural adopten la decisión conjunta de presentar una misma propuesta al proceso de selección. Como existe una relación de medio – fin, sin la entrega de la oferta no surge la habilitación legal para todo lo demás. </w:t>
      </w:r>
    </w:p>
    <w:p w14:paraId="4C585845" w14:textId="77777777" w:rsidR="005F2D7C" w:rsidRDefault="005F2D7C" w:rsidP="005F2D7C">
      <w:pPr>
        <w:spacing w:after="120" w:line="276" w:lineRule="auto"/>
        <w:ind w:firstLine="708"/>
        <w:jc w:val="both"/>
        <w:rPr>
          <w:rFonts w:ascii="Verdana" w:hAnsi="Verdana" w:cs="Arial"/>
          <w:color w:val="000000" w:themeColor="text1"/>
        </w:rPr>
      </w:pPr>
      <w:r w:rsidRPr="008C03E8">
        <w:rPr>
          <w:rFonts w:ascii="Verdana" w:hAnsi="Verdana" w:cs="Arial"/>
          <w:color w:val="000000" w:themeColor="text1"/>
        </w:rPr>
        <w:t xml:space="preserve">De esta manera, los consorcios o uniones temporales son convenios de asociación provenientes de la colaboración empresarial, mediante los cuales sus integrantes se unen y se organizan mancomunadamente para lograr con mayor eficacia un fin común de contenido patrimonial y lucrativo, como lo es la obtención del derecho a ser adjudicatarios de un contrato estatal, compartiendo </w:t>
      </w:r>
      <w:r w:rsidRPr="008C03E8">
        <w:rPr>
          <w:rFonts w:ascii="Verdana" w:hAnsi="Verdana" w:cs="Arial"/>
          <w:color w:val="000000" w:themeColor="text1"/>
        </w:rPr>
        <w:lastRenderedPageBreak/>
        <w:t xml:space="preserve">recursos, de toda índole, para su ejecución, así como las utilidades y los riesgos. La diferencia radica en la responsabilidad frente a las eventuales sanciones por el incumplimiento de las obligaciones, toda vez que tratándose de una unión temporal, estas se individualizan según la participación de sus miembros, mientras que en el consorcio los miembros responden solidariamente, con independencia de este aspecto.   </w:t>
      </w:r>
    </w:p>
    <w:p w14:paraId="743F2648" w14:textId="77777777" w:rsidR="005F2D7C" w:rsidRDefault="005F2D7C" w:rsidP="005F2D7C">
      <w:pPr>
        <w:spacing w:after="120" w:line="276" w:lineRule="auto"/>
        <w:ind w:firstLine="708"/>
        <w:jc w:val="both"/>
        <w:rPr>
          <w:rFonts w:ascii="Verdana" w:eastAsia="Calibri" w:hAnsi="Verdana" w:cs="Arial"/>
        </w:rPr>
      </w:pPr>
      <w:r>
        <w:rPr>
          <w:rFonts w:ascii="Verdana" w:eastAsia="Calibri" w:hAnsi="Verdana" w:cs="Arial"/>
        </w:rPr>
        <w:t xml:space="preserve">Como se indicó en los conceptos mencionados, a juicio de esta Agencia esta interpretación es la que más se ajusta al contenido de </w:t>
      </w:r>
      <w:r>
        <w:rPr>
          <w:rFonts w:ascii="Verdana" w:hAnsi="Verdana" w:cs="Arial"/>
          <w:color w:val="000000" w:themeColor="text1"/>
        </w:rPr>
        <w:t>los numerales 6 y 7 del artículo 7 de la Ley 80 de 1993</w:t>
      </w:r>
      <w:r>
        <w:rPr>
          <w:rFonts w:ascii="Verdana" w:eastAsia="Calibri" w:hAnsi="Verdana" w:cs="Arial"/>
        </w:rPr>
        <w:t>, en la medida en que en estos no se establece ninguna limitación respecto al número de contratos en los que un consorcio o unión temporal puede participar. Lo anterior, en armonía con la libertad de asociación de los consorcios y uniones temporales que permite que estos se puedan organizar libremente y acordar participar en más de un proceso contractual, mientras cumplan los requisitos legales. Aceptar la tesis contraría, implicaría aplicar una limitación de su participación restringiendo sin sustento legal su libertad de asociación y contratación.</w:t>
      </w:r>
    </w:p>
    <w:p w14:paraId="35AC827B" w14:textId="77777777" w:rsidR="005F2D7C" w:rsidRDefault="005F2D7C" w:rsidP="005F2D7C">
      <w:pPr>
        <w:spacing w:after="120" w:line="276" w:lineRule="auto"/>
        <w:ind w:firstLine="709"/>
        <w:jc w:val="both"/>
        <w:rPr>
          <w:rFonts w:ascii="Verdana" w:hAnsi="Verdana" w:cs="Arial"/>
          <w:color w:val="000000" w:themeColor="text1"/>
        </w:rPr>
      </w:pPr>
      <w:r>
        <w:rPr>
          <w:rFonts w:ascii="Verdana" w:eastAsia="Calibri" w:hAnsi="Verdana" w:cs="Arial"/>
        </w:rPr>
        <w:t xml:space="preserve">Por ello se concluyó que </w:t>
      </w:r>
      <w:r>
        <w:rPr>
          <w:rFonts w:ascii="Verdana" w:hAnsi="Verdana" w:cs="Arial"/>
          <w:szCs w:val="24"/>
          <w:lang w:eastAsia="es-ES_tradnl"/>
        </w:rPr>
        <w:t xml:space="preserve">es </w:t>
      </w:r>
      <w:r>
        <w:rPr>
          <w:rFonts w:ascii="Verdana" w:hAnsi="Verdana" w:cs="Arial"/>
          <w:color w:val="000000" w:themeColor="text1"/>
        </w:rPr>
        <w:t xml:space="preserve">jurídicamente viable que los proponentes plurales presenten propuestas para la adjudicación, celebración y ejecución de contratos estatales con </w:t>
      </w:r>
      <w:r>
        <w:rPr>
          <w:rFonts w:ascii="Verdana" w:hAnsi="Verdana" w:cs="Arial"/>
          <w:i/>
          <w:iCs/>
          <w:color w:val="000000" w:themeColor="text1"/>
        </w:rPr>
        <w:t>una o varias</w:t>
      </w:r>
      <w:r>
        <w:rPr>
          <w:rFonts w:ascii="Verdana" w:hAnsi="Verdana" w:cs="Arial"/>
          <w:color w:val="000000" w:themeColor="text1"/>
        </w:rPr>
        <w:t xml:space="preserve"> entidades, </w:t>
      </w:r>
      <w:r w:rsidRPr="00387CBF">
        <w:rPr>
          <w:rFonts w:ascii="Verdana" w:hAnsi="Verdana" w:cs="Arial"/>
          <w:color w:val="000000" w:themeColor="text1"/>
        </w:rPr>
        <w:t>siempre que se cumplan los supuestos y condiciones previamente descritos</w:t>
      </w:r>
      <w:r>
        <w:rPr>
          <w:rFonts w:ascii="Verdana" w:hAnsi="Verdana" w:cs="Arial"/>
          <w:color w:val="000000" w:themeColor="text1"/>
        </w:rPr>
        <w:t xml:space="preserve">. En ese orden, las ofertas serán analizadas de acuerdo con los criterios habilitantes y factores de evaluación del pliego de condiciones o documento equivalente, en el marco de las reglas previstas en el Estatuto General de Contratación, sus normas complementarias y los reglamentos respectivos. </w:t>
      </w:r>
    </w:p>
    <w:p w14:paraId="361678EF" w14:textId="77777777" w:rsidR="005F2D7C" w:rsidRDefault="005F2D7C" w:rsidP="005F2D7C">
      <w:pPr>
        <w:spacing w:after="120" w:line="276" w:lineRule="auto"/>
        <w:ind w:firstLine="709"/>
        <w:jc w:val="both"/>
        <w:rPr>
          <w:rFonts w:ascii="Verdana" w:hAnsi="Verdana" w:cs="Arial"/>
          <w:color w:val="000000" w:themeColor="text1"/>
        </w:rPr>
      </w:pPr>
      <w:r>
        <w:rPr>
          <w:rFonts w:ascii="Verdana" w:hAnsi="Verdana" w:cs="Arial"/>
          <w:color w:val="000000" w:themeColor="text1"/>
        </w:rPr>
        <w:t>La postura anterior fue complementada en el concepto C-</w:t>
      </w:r>
      <w:r w:rsidRPr="007C6597">
        <w:rPr>
          <w:rFonts w:ascii="Verdana" w:hAnsi="Verdana" w:cs="Arial"/>
          <w:color w:val="000000" w:themeColor="text1"/>
        </w:rPr>
        <w:t>938 del 23 de agosto de 2025</w:t>
      </w:r>
      <w:r>
        <w:rPr>
          <w:rFonts w:ascii="Verdana" w:hAnsi="Verdana" w:cs="Arial"/>
          <w:color w:val="000000" w:themeColor="text1"/>
        </w:rPr>
        <w:t>, en relación con la posibilidad de e</w:t>
      </w:r>
      <w:r w:rsidRPr="007C6597">
        <w:rPr>
          <w:rFonts w:ascii="Verdana" w:eastAsia="Century Gothic" w:hAnsi="Verdana" w:cs="Century Gothic"/>
        </w:rPr>
        <w:t>mplear el mismo usuario del SECOP II</w:t>
      </w:r>
      <w:r>
        <w:rPr>
          <w:rFonts w:ascii="Verdana" w:eastAsia="Century Gothic" w:hAnsi="Verdana" w:cs="Century Gothic"/>
        </w:rPr>
        <w:t xml:space="preserve"> para </w:t>
      </w:r>
      <w:r w:rsidRPr="007C6597">
        <w:rPr>
          <w:rFonts w:ascii="Verdana" w:eastAsia="Century Gothic" w:hAnsi="Verdana" w:cs="Century Gothic"/>
        </w:rPr>
        <w:t>participar en varios procesos de contratación pública</w:t>
      </w:r>
      <w:r>
        <w:rPr>
          <w:rFonts w:ascii="Verdana" w:eastAsia="Century Gothic" w:hAnsi="Verdana" w:cs="Century Gothic"/>
        </w:rPr>
        <w:t xml:space="preserve">. Al respecto, se indicó que </w:t>
      </w:r>
      <w:r w:rsidRPr="00CA0383">
        <w:rPr>
          <w:rFonts w:ascii="Verdana" w:hAnsi="Verdana" w:cs="Arial"/>
          <w:color w:val="000000" w:themeColor="text1"/>
        </w:rPr>
        <w:t xml:space="preserve">dado que los consorcios y uniones temporales se encuentran legalmente facultados para celebrar contratos estatales, también les resulta aplicable la obligación de registrarse en el SECOP II, con el propósito de presentar ofertas dentro de los procesos de selección de su interés. En ese sentido, se precisó que la forma de participación en la plataforma se encuentra regulada por los términos y condiciones de uso y por las guías operativas del SECOP II, las cuales establecen los requisitos, formularios y procedimientos necesarios para manifestar interés, crear y presentar ofertas en línea. Así, los </w:t>
      </w:r>
      <w:r w:rsidRPr="00CA0383">
        <w:rPr>
          <w:rFonts w:ascii="Verdana" w:hAnsi="Verdana" w:cs="Arial"/>
          <w:color w:val="000000" w:themeColor="text1"/>
        </w:rPr>
        <w:lastRenderedPageBreak/>
        <w:t>proveedores pueden participar en los procesos de contratación bajo la modalidad de proponente plural, para lo cual deben registrar una cuenta en calidad de “Proveedor” dentro de la plataforma</w:t>
      </w:r>
      <w:r>
        <w:rPr>
          <w:rFonts w:ascii="Verdana" w:hAnsi="Verdana" w:cs="Arial"/>
          <w:color w:val="000000" w:themeColor="text1"/>
        </w:rPr>
        <w:t xml:space="preserve">. </w:t>
      </w:r>
    </w:p>
    <w:p w14:paraId="172A30E8" w14:textId="77777777" w:rsidR="005F2D7C" w:rsidRDefault="005F2D7C" w:rsidP="005F2D7C">
      <w:pPr>
        <w:spacing w:after="120" w:line="276" w:lineRule="auto"/>
        <w:ind w:firstLine="709"/>
        <w:jc w:val="both"/>
        <w:rPr>
          <w:rFonts w:ascii="Verdana" w:hAnsi="Verdana" w:cs="Arial"/>
          <w:color w:val="000000" w:themeColor="text1"/>
        </w:rPr>
      </w:pPr>
      <w:r w:rsidRPr="003D62FF">
        <w:rPr>
          <w:rFonts w:ascii="Verdana" w:hAnsi="Verdana" w:cs="Arial"/>
          <w:color w:val="000000" w:themeColor="text1"/>
        </w:rPr>
        <w:t xml:space="preserve">De igual forma, se destacó que, teniendo en cuenta la viabilidad jurídica reconocida en el concepto unificado CU-636 de 2025 respecto de la posibilidad de que los proponentes plurales presenten propuestas para la adjudicación, celebración y ejecución de contratos estatales con una o varias entidades, resulta jurídicamente viable que dichos proponentes utilicen una misma cuenta y usuario en el SECOP II para participar en diferentes procesos de contratación, </w:t>
      </w:r>
      <w:r w:rsidRPr="0094087C">
        <w:rPr>
          <w:rFonts w:ascii="Verdana" w:hAnsi="Verdana" w:cs="Arial"/>
          <w:i/>
          <w:iCs/>
          <w:color w:val="000000" w:themeColor="text1"/>
        </w:rPr>
        <w:t>siempre</w:t>
      </w:r>
      <w:r w:rsidRPr="003D62FF">
        <w:rPr>
          <w:rFonts w:ascii="Verdana" w:hAnsi="Verdana" w:cs="Arial"/>
          <w:color w:val="000000" w:themeColor="text1"/>
        </w:rPr>
        <w:t xml:space="preserve"> </w:t>
      </w:r>
      <w:r w:rsidRPr="00827F11">
        <w:rPr>
          <w:rFonts w:ascii="Verdana" w:hAnsi="Verdana" w:cs="Arial"/>
          <w:i/>
          <w:iCs/>
          <w:color w:val="000000" w:themeColor="text1"/>
        </w:rPr>
        <w:t>que ello sea operativamente permitido por la plataforma</w:t>
      </w:r>
      <w:r w:rsidRPr="003D62FF">
        <w:rPr>
          <w:rFonts w:ascii="Verdana" w:hAnsi="Verdana" w:cs="Arial"/>
          <w:color w:val="000000" w:themeColor="text1"/>
        </w:rPr>
        <w:t>. Para tal efecto, será necesario configurar el usuario de manera que permita cumplir con las exigencias particulares de cada proceso de selección y adecuarlo a las condiciones de la respectiva convocatoria.</w:t>
      </w:r>
    </w:p>
    <w:p w14:paraId="48A30414" w14:textId="77777777" w:rsidR="005F2D7C" w:rsidRDefault="005F2D7C" w:rsidP="005F2D7C">
      <w:pPr>
        <w:spacing w:after="120" w:line="276" w:lineRule="auto"/>
        <w:ind w:firstLine="709"/>
        <w:jc w:val="both"/>
        <w:rPr>
          <w:rFonts w:ascii="Verdana" w:hAnsi="Verdana" w:cs="Arial"/>
          <w:color w:val="000000" w:themeColor="text1"/>
        </w:rPr>
      </w:pPr>
      <w:r>
        <w:rPr>
          <w:rFonts w:ascii="Verdana" w:hAnsi="Verdana" w:cs="Arial"/>
          <w:color w:val="000000" w:themeColor="text1"/>
        </w:rPr>
        <w:t>En este contexto</w:t>
      </w:r>
      <w:r w:rsidRPr="007F08C2">
        <w:rPr>
          <w:rFonts w:ascii="Verdana" w:hAnsi="Verdana" w:cs="Arial"/>
          <w:color w:val="000000" w:themeColor="text1"/>
        </w:rPr>
        <w:t xml:space="preserve">, se precisó que, de conformidad con la Guía de Creación de Proponentes Plurales en el SECOP II, </w:t>
      </w:r>
      <w:r>
        <w:rPr>
          <w:rFonts w:ascii="Verdana" w:hAnsi="Verdana" w:cs="Arial"/>
          <w:color w:val="000000" w:themeColor="text1"/>
        </w:rPr>
        <w:t>“</w:t>
      </w:r>
      <w:r w:rsidRPr="007C6597">
        <w:rPr>
          <w:rFonts w:ascii="Verdana" w:hAnsi="Verdana" w:cs="Arial"/>
          <w:color w:val="000000" w:themeColor="text1"/>
        </w:rPr>
        <w:t xml:space="preserve">Para participar en Procesos de Contratación en el SECOP II como Proponente Plural (ya sea para manifestar interés, enviar observaciones, ofertas o firmar contratos), debe actuar exclusivamente desde su cuenta de Proponente Plural. Cualquier acción realizada desde la cuenta de cualquiera de los integrantes no es válida para el Proponente Plural y quedará a nombre del proponente singular”. Por tanto, para participar en los procesos de contratación el proponente plural deberá actuar directamente desde dicha cuenta. </w:t>
      </w:r>
    </w:p>
    <w:p w14:paraId="30E05E44" w14:textId="77777777" w:rsidR="005F2D7C" w:rsidRPr="00B41336" w:rsidRDefault="005F2D7C" w:rsidP="005F2D7C">
      <w:pPr>
        <w:spacing w:after="120" w:line="276" w:lineRule="auto"/>
        <w:ind w:firstLine="709"/>
        <w:jc w:val="both"/>
        <w:rPr>
          <w:rFonts w:ascii="Verdana" w:hAnsi="Verdana" w:cs="Arial"/>
          <w:color w:val="000000" w:themeColor="text1"/>
        </w:rPr>
      </w:pPr>
      <w:r w:rsidRPr="00AA6350">
        <w:rPr>
          <w:rFonts w:ascii="Verdana" w:hAnsi="Verdana" w:cs="Arial"/>
          <w:color w:val="000000" w:themeColor="text1"/>
        </w:rPr>
        <w:t>La</w:t>
      </w:r>
      <w:r>
        <w:rPr>
          <w:rFonts w:ascii="Verdana" w:hAnsi="Verdana" w:cs="Arial"/>
          <w:color w:val="000000" w:themeColor="text1"/>
        </w:rPr>
        <w:t>s</w:t>
      </w:r>
      <w:r w:rsidRPr="00AA6350">
        <w:rPr>
          <w:rFonts w:ascii="Verdana" w:hAnsi="Verdana" w:cs="Arial"/>
          <w:color w:val="000000" w:themeColor="text1"/>
        </w:rPr>
        <w:t xml:space="preserve"> tesis anterior</w:t>
      </w:r>
      <w:r>
        <w:rPr>
          <w:rFonts w:ascii="Verdana" w:hAnsi="Verdana" w:cs="Arial"/>
          <w:color w:val="000000" w:themeColor="text1"/>
        </w:rPr>
        <w:t>es</w:t>
      </w:r>
      <w:r w:rsidRPr="00AA6350">
        <w:rPr>
          <w:rFonts w:ascii="Verdana" w:hAnsi="Verdana" w:cs="Arial"/>
          <w:color w:val="000000" w:themeColor="text1"/>
        </w:rPr>
        <w:t xml:space="preserve"> fue</w:t>
      </w:r>
      <w:r>
        <w:rPr>
          <w:rFonts w:ascii="Verdana" w:hAnsi="Verdana" w:cs="Arial"/>
          <w:color w:val="000000" w:themeColor="text1"/>
        </w:rPr>
        <w:t>ron</w:t>
      </w:r>
      <w:r w:rsidRPr="00AA6350">
        <w:rPr>
          <w:rFonts w:ascii="Verdana" w:hAnsi="Verdana" w:cs="Arial"/>
          <w:color w:val="000000" w:themeColor="text1"/>
        </w:rPr>
        <w:t xml:space="preserve"> sostenida</w:t>
      </w:r>
      <w:r>
        <w:rPr>
          <w:rFonts w:ascii="Verdana" w:hAnsi="Verdana" w:cs="Arial"/>
          <w:color w:val="000000" w:themeColor="text1"/>
        </w:rPr>
        <w:t>s</w:t>
      </w:r>
      <w:r w:rsidRPr="00AA6350">
        <w:rPr>
          <w:rFonts w:ascii="Verdana" w:hAnsi="Verdana" w:cs="Arial"/>
          <w:color w:val="000000" w:themeColor="text1"/>
        </w:rPr>
        <w:t xml:space="preserve"> igualmente en el Concepto C-670 del 21 de mayo de 2026, en el cual se reiteraron </w:t>
      </w:r>
      <w:r>
        <w:rPr>
          <w:rFonts w:ascii="Verdana" w:hAnsi="Verdana" w:cs="Arial"/>
          <w:color w:val="000000" w:themeColor="text1"/>
        </w:rPr>
        <w:t>los dos</w:t>
      </w:r>
      <w:r w:rsidRPr="00AA6350">
        <w:rPr>
          <w:rFonts w:ascii="Verdana" w:hAnsi="Verdana" w:cs="Arial"/>
          <w:color w:val="000000" w:themeColor="text1"/>
        </w:rPr>
        <w:t xml:space="preserve"> aspectos relevantes frente a la posibilidad de que los proponentes plurales participen simultáneamente en varios procesos de contratación pública. En primer lugar, se r</w:t>
      </w:r>
      <w:r>
        <w:rPr>
          <w:rFonts w:ascii="Verdana" w:hAnsi="Verdana" w:cs="Arial"/>
          <w:color w:val="000000" w:themeColor="text1"/>
        </w:rPr>
        <w:t>eafirmó</w:t>
      </w:r>
      <w:r w:rsidRPr="00AA6350">
        <w:rPr>
          <w:rFonts w:ascii="Verdana" w:hAnsi="Verdana" w:cs="Arial"/>
          <w:color w:val="000000" w:themeColor="text1"/>
        </w:rPr>
        <w:t xml:space="preserve"> la viabilidad jurídica de que un mismo proponente plural presente propuestas para la adjudicación, celebración y ejecución de contratos estatales con una o varias entidades</w:t>
      </w:r>
      <w:r>
        <w:rPr>
          <w:rFonts w:ascii="Verdana" w:hAnsi="Verdana" w:cs="Arial"/>
          <w:color w:val="000000" w:themeColor="text1"/>
        </w:rPr>
        <w:t>, siempre que se cumplan los supuesto y condiciones descritas y teniendo en cuenta que</w:t>
      </w:r>
      <w:r w:rsidRPr="00B35DC3">
        <w:rPr>
          <w:rFonts w:ascii="Verdana" w:hAnsi="Verdana" w:cs="Arial"/>
          <w:color w:val="000000" w:themeColor="text1"/>
        </w:rPr>
        <w:t xml:space="preserve"> </w:t>
      </w:r>
      <w:r w:rsidRPr="00B35DC3">
        <w:rPr>
          <w:rFonts w:ascii="Verdana" w:eastAsia="Calibri" w:hAnsi="Verdana" w:cs="Arial"/>
        </w:rPr>
        <w:t>no existe impedimento o prohibición alguna que limite la actividad de los consorcios o uniones temporales a un solo contrato.</w:t>
      </w:r>
      <w:r w:rsidRPr="00B41336">
        <w:rPr>
          <w:rFonts w:ascii="Verdana" w:hAnsi="Verdana" w:cs="Arial"/>
          <w:color w:val="000000" w:themeColor="text1"/>
        </w:rPr>
        <w:t xml:space="preserve"> </w:t>
      </w:r>
      <w:r w:rsidRPr="00AA6350">
        <w:rPr>
          <w:rFonts w:ascii="Verdana" w:hAnsi="Verdana" w:cs="Arial"/>
          <w:color w:val="000000" w:themeColor="text1"/>
        </w:rPr>
        <w:t>En segundo lugar,</w:t>
      </w:r>
      <w:r>
        <w:rPr>
          <w:rFonts w:ascii="Verdana" w:hAnsi="Verdana" w:cs="Arial"/>
          <w:color w:val="000000" w:themeColor="text1"/>
        </w:rPr>
        <w:t xml:space="preserve"> </w:t>
      </w:r>
      <w:r w:rsidRPr="00AA6350">
        <w:rPr>
          <w:rFonts w:ascii="Verdana" w:hAnsi="Verdana" w:cs="Arial"/>
          <w:color w:val="000000" w:themeColor="text1"/>
        </w:rPr>
        <w:t xml:space="preserve">se </w:t>
      </w:r>
      <w:r>
        <w:rPr>
          <w:rFonts w:ascii="Verdana" w:hAnsi="Verdana" w:cs="Arial"/>
          <w:color w:val="000000" w:themeColor="text1"/>
        </w:rPr>
        <w:t>reiteró</w:t>
      </w:r>
      <w:r w:rsidRPr="00AA6350">
        <w:rPr>
          <w:rFonts w:ascii="Verdana" w:hAnsi="Verdana" w:cs="Arial"/>
          <w:color w:val="000000" w:themeColor="text1"/>
        </w:rPr>
        <w:t xml:space="preserve"> que, en principio, un proponente plural podría utilizar una misma cuenta y usuario en el SECOP II para participar en diferentes procesos, </w:t>
      </w:r>
      <w:r w:rsidRPr="00560914">
        <w:rPr>
          <w:rFonts w:ascii="Verdana" w:hAnsi="Verdana" w:cs="Arial"/>
          <w:i/>
          <w:iCs/>
          <w:color w:val="000000" w:themeColor="text1"/>
        </w:rPr>
        <w:t>siempre</w:t>
      </w:r>
      <w:r w:rsidRPr="00AA6350">
        <w:rPr>
          <w:rFonts w:ascii="Verdana" w:hAnsi="Verdana" w:cs="Arial"/>
          <w:color w:val="000000" w:themeColor="text1"/>
        </w:rPr>
        <w:t xml:space="preserve"> que ello resulte operativamente posible en la plataforma, de conformidad con lo señalado en el Concepto C-938 de 2025</w:t>
      </w:r>
      <w:r>
        <w:rPr>
          <w:rFonts w:ascii="Verdana" w:hAnsi="Verdana" w:cs="Arial"/>
          <w:color w:val="000000" w:themeColor="text1"/>
        </w:rPr>
        <w:t>.</w:t>
      </w:r>
    </w:p>
    <w:p w14:paraId="2A8D18DE" w14:textId="77777777" w:rsidR="005F2D7C" w:rsidRDefault="005F2D7C" w:rsidP="005F2D7C">
      <w:pPr>
        <w:spacing w:after="120" w:line="276" w:lineRule="auto"/>
        <w:ind w:firstLine="709"/>
        <w:jc w:val="both"/>
        <w:rPr>
          <w:rFonts w:ascii="Verdana" w:hAnsi="Verdana" w:cs="Arial"/>
          <w:color w:val="000000" w:themeColor="text1"/>
        </w:rPr>
      </w:pPr>
      <w:r w:rsidRPr="00AA6350">
        <w:rPr>
          <w:rFonts w:ascii="Verdana" w:hAnsi="Verdana" w:cs="Arial"/>
          <w:color w:val="000000" w:themeColor="text1"/>
        </w:rPr>
        <w:lastRenderedPageBreak/>
        <w:t xml:space="preserve"> </w:t>
      </w:r>
      <w:r w:rsidRPr="00DD4217">
        <w:rPr>
          <w:rFonts w:ascii="Verdana" w:hAnsi="Verdana" w:cs="Arial"/>
          <w:color w:val="000000" w:themeColor="text1"/>
        </w:rPr>
        <w:t>Frente a</w:t>
      </w:r>
      <w:r>
        <w:rPr>
          <w:rFonts w:ascii="Verdana" w:hAnsi="Verdana" w:cs="Arial"/>
          <w:color w:val="000000" w:themeColor="text1"/>
        </w:rPr>
        <w:t>l primer</w:t>
      </w:r>
      <w:r w:rsidRPr="00DD4217">
        <w:rPr>
          <w:rFonts w:ascii="Verdana" w:hAnsi="Verdana" w:cs="Arial"/>
          <w:color w:val="000000" w:themeColor="text1"/>
        </w:rPr>
        <w:t xml:space="preserve"> aspecto, y de cara a lo expuesto en su consulta, es pertinente precisar que </w:t>
      </w:r>
      <w:r>
        <w:rPr>
          <w:rFonts w:ascii="Verdana" w:hAnsi="Verdana" w:cs="Arial"/>
          <w:color w:val="000000" w:themeColor="text1"/>
        </w:rPr>
        <w:t xml:space="preserve">esta posibilidad </w:t>
      </w:r>
      <w:r w:rsidRPr="00DD4217">
        <w:rPr>
          <w:rFonts w:ascii="Verdana" w:hAnsi="Verdana" w:cs="Arial"/>
          <w:color w:val="000000" w:themeColor="text1"/>
        </w:rPr>
        <w:t>no implica desconocer la necesidad de que la oferta sea presentada conjuntamente, ni</w:t>
      </w:r>
      <w:r>
        <w:rPr>
          <w:rFonts w:ascii="Verdana" w:hAnsi="Verdana" w:cs="Arial"/>
          <w:color w:val="000000" w:themeColor="text1"/>
        </w:rPr>
        <w:t xml:space="preserve"> desconocer</w:t>
      </w:r>
      <w:r w:rsidRPr="00DD4217">
        <w:rPr>
          <w:rFonts w:ascii="Verdana" w:hAnsi="Verdana" w:cs="Arial"/>
          <w:color w:val="000000" w:themeColor="text1"/>
        </w:rPr>
        <w:t xml:space="preserve"> la existencia de una manifestación de voluntad de los integrantes del consorcio o unión temporal</w:t>
      </w:r>
      <w:r>
        <w:rPr>
          <w:rFonts w:ascii="Verdana" w:hAnsi="Verdana" w:cs="Arial"/>
          <w:color w:val="000000" w:themeColor="text1"/>
        </w:rPr>
        <w:t xml:space="preserve"> o</w:t>
      </w:r>
      <w:r w:rsidRPr="00DD4217">
        <w:rPr>
          <w:rFonts w:ascii="Verdana" w:hAnsi="Verdana" w:cs="Arial"/>
          <w:color w:val="000000" w:themeColor="text1"/>
        </w:rPr>
        <w:t xml:space="preserve"> </w:t>
      </w:r>
      <w:r>
        <w:rPr>
          <w:rFonts w:ascii="Verdana" w:hAnsi="Verdana" w:cs="Arial"/>
          <w:color w:val="000000" w:themeColor="text1"/>
        </w:rPr>
        <w:t>de la</w:t>
      </w:r>
      <w:r w:rsidRPr="00DD4217">
        <w:rPr>
          <w:rFonts w:ascii="Verdana" w:hAnsi="Verdana" w:cs="Arial"/>
          <w:color w:val="000000" w:themeColor="text1"/>
        </w:rPr>
        <w:t xml:space="preserve"> identificación del objeto, las actividades y demás elementos propios de esta estructura asociativa. Por el contrario, como se ha señalado, </w:t>
      </w:r>
      <w:r>
        <w:rPr>
          <w:rFonts w:ascii="Verdana" w:hAnsi="Verdana" w:cs="Arial"/>
          <w:color w:val="000000" w:themeColor="text1"/>
        </w:rPr>
        <w:t>la viabilidad de su procedencia e</w:t>
      </w:r>
      <w:r w:rsidRPr="00DD4217">
        <w:rPr>
          <w:rFonts w:ascii="Verdana" w:hAnsi="Verdana" w:cs="Arial"/>
          <w:color w:val="000000" w:themeColor="text1"/>
        </w:rPr>
        <w:t>stá condicionad</w:t>
      </w:r>
      <w:r>
        <w:rPr>
          <w:rFonts w:ascii="Verdana" w:hAnsi="Verdana" w:cs="Arial"/>
          <w:color w:val="000000" w:themeColor="text1"/>
        </w:rPr>
        <w:t>a</w:t>
      </w:r>
      <w:r w:rsidRPr="00DD4217">
        <w:rPr>
          <w:rFonts w:ascii="Verdana" w:hAnsi="Verdana" w:cs="Arial"/>
          <w:color w:val="000000" w:themeColor="text1"/>
        </w:rPr>
        <w:t xml:space="preserve"> a que: i) los integrantes de la estructura plural adopten conjuntamente la decisión de presentar una misma propuesta en el respectivo proceso de selección; y</w:t>
      </w:r>
      <w:r>
        <w:rPr>
          <w:rFonts w:ascii="Verdana" w:hAnsi="Verdana" w:cs="Arial"/>
          <w:color w:val="000000" w:themeColor="text1"/>
        </w:rPr>
        <w:t xml:space="preserve"> que</w:t>
      </w:r>
      <w:r w:rsidRPr="00DD4217">
        <w:rPr>
          <w:rFonts w:ascii="Verdana" w:hAnsi="Verdana" w:cs="Arial"/>
          <w:color w:val="000000" w:themeColor="text1"/>
        </w:rPr>
        <w:t xml:space="preserve"> </w:t>
      </w:r>
      <w:proofErr w:type="spellStart"/>
      <w:r w:rsidRPr="00DD4217">
        <w:rPr>
          <w:rFonts w:ascii="Verdana" w:hAnsi="Verdana" w:cs="Arial"/>
          <w:color w:val="000000" w:themeColor="text1"/>
        </w:rPr>
        <w:t>ii</w:t>
      </w:r>
      <w:proofErr w:type="spellEnd"/>
      <w:r w:rsidRPr="00DD4217">
        <w:rPr>
          <w:rFonts w:ascii="Verdana" w:hAnsi="Verdana" w:cs="Arial"/>
          <w:color w:val="000000" w:themeColor="text1"/>
        </w:rPr>
        <w:t>) el objeto del consorcio o unión temporal guarde correspondencia con las actividades que serán desarrolladas en el marco de dicho proceso.</w:t>
      </w:r>
    </w:p>
    <w:p w14:paraId="01FFBF0A" w14:textId="77777777" w:rsidR="005F2D7C" w:rsidRDefault="005F2D7C" w:rsidP="005F2D7C">
      <w:pPr>
        <w:spacing w:after="120" w:line="276" w:lineRule="auto"/>
        <w:ind w:firstLine="709"/>
        <w:jc w:val="both"/>
        <w:rPr>
          <w:rFonts w:ascii="Verdana" w:hAnsi="Verdana" w:cs="Arial"/>
          <w:color w:val="000000" w:themeColor="text1"/>
        </w:rPr>
      </w:pPr>
      <w:r>
        <w:rPr>
          <w:rFonts w:ascii="Verdana" w:hAnsi="Verdana" w:cs="Arial"/>
          <w:color w:val="000000" w:themeColor="text1"/>
        </w:rPr>
        <w:t xml:space="preserve"> De esta manera, l</w:t>
      </w:r>
      <w:r w:rsidRPr="00BF7C36">
        <w:rPr>
          <w:rFonts w:ascii="Verdana" w:hAnsi="Verdana" w:cs="Arial"/>
          <w:color w:val="000000" w:themeColor="text1"/>
        </w:rPr>
        <w:t xml:space="preserve">a conformación de un consorcio o unión temporal supone una manifestación de voluntad concurrente de sus integrantes dirigida a participar conjuntamente en un determinado proceso de </w:t>
      </w:r>
      <w:r>
        <w:rPr>
          <w:rFonts w:ascii="Verdana" w:hAnsi="Verdana" w:cs="Arial"/>
          <w:color w:val="000000" w:themeColor="text1"/>
        </w:rPr>
        <w:t>contratación</w:t>
      </w:r>
      <w:r w:rsidRPr="00BF7C36">
        <w:rPr>
          <w:rFonts w:ascii="Verdana" w:hAnsi="Verdana" w:cs="Arial"/>
          <w:color w:val="000000" w:themeColor="text1"/>
        </w:rPr>
        <w:t xml:space="preserve"> y, por ello, debe existir correspondencia entre dicha voluntad y el proceso concreto en el que se pretende participar</w:t>
      </w:r>
      <w:r>
        <w:rPr>
          <w:rFonts w:ascii="Verdana" w:hAnsi="Verdana" w:cs="Arial"/>
          <w:color w:val="000000" w:themeColor="text1"/>
        </w:rPr>
        <w:t>.</w:t>
      </w:r>
      <w:r w:rsidRPr="00877095">
        <w:t xml:space="preserve"> </w:t>
      </w:r>
      <w:r w:rsidRPr="00877095">
        <w:rPr>
          <w:rFonts w:ascii="Verdana" w:hAnsi="Verdana" w:cs="Arial"/>
          <w:color w:val="000000" w:themeColor="text1"/>
        </w:rPr>
        <w:t xml:space="preserve">En consecuencia, la posibilidad de que los mismos integrantes participen en varios procesos no desvirtúa estos elementos, sino que exige que su concurrencia conjunta se encuentre debidamente sustentada en cada </w:t>
      </w:r>
      <w:r>
        <w:rPr>
          <w:rFonts w:ascii="Verdana" w:hAnsi="Verdana" w:cs="Arial"/>
          <w:color w:val="000000" w:themeColor="text1"/>
        </w:rPr>
        <w:t>caso.</w:t>
      </w:r>
    </w:p>
    <w:p w14:paraId="4B509390" w14:textId="77777777" w:rsidR="005F2D7C" w:rsidRDefault="005F2D7C" w:rsidP="005F2D7C">
      <w:pPr>
        <w:spacing w:after="120" w:line="276" w:lineRule="auto"/>
        <w:ind w:firstLine="709"/>
        <w:jc w:val="both"/>
        <w:rPr>
          <w:rFonts w:ascii="Verdana" w:eastAsia="Calibri" w:hAnsi="Verdana" w:cs="Arial"/>
        </w:rPr>
      </w:pPr>
      <w:r w:rsidRPr="00C64EFD">
        <w:rPr>
          <w:rFonts w:ascii="Verdana" w:hAnsi="Verdana" w:cs="Arial"/>
          <w:color w:val="000000" w:themeColor="text1"/>
        </w:rPr>
        <w:t>Asimismo, la circunstancia de que los mismos integrantes puedan participar en distintos procesos de selección no permite entender que exista una vinculación indefinida respecto de cualquier objeto contractual posterior, toda vez que esta posibilidad se encuentra condicionada a que, en cada caso, el objeto del consorcio o unión temporal guarde correspondencia con las actividades que deban desarrollarse en el respectivo proceso de contratación</w:t>
      </w:r>
      <w:r w:rsidRPr="0094653C">
        <w:rPr>
          <w:rFonts w:ascii="Verdana" w:hAnsi="Verdana" w:cs="Arial"/>
          <w:color w:val="000000" w:themeColor="text1"/>
        </w:rPr>
        <w:t>.</w:t>
      </w:r>
      <w:r>
        <w:rPr>
          <w:rFonts w:ascii="Verdana" w:hAnsi="Verdana" w:cs="Arial"/>
          <w:color w:val="000000" w:themeColor="text1"/>
        </w:rPr>
        <w:t xml:space="preserve"> Igualmente, e</w:t>
      </w:r>
      <w:r w:rsidRPr="0094653C">
        <w:rPr>
          <w:rFonts w:ascii="Verdana" w:hAnsi="Verdana" w:cs="Arial"/>
          <w:color w:val="000000" w:themeColor="text1"/>
        </w:rPr>
        <w:t>sta interpretación tampoco supone desconocer la libertad de asociación prevista en el artículo 333 de la Constitución Política</w:t>
      </w:r>
      <w:r>
        <w:rPr>
          <w:rFonts w:ascii="Verdana" w:hAnsi="Verdana" w:cs="Arial"/>
          <w:color w:val="000000" w:themeColor="text1"/>
        </w:rPr>
        <w:t>, p</w:t>
      </w:r>
      <w:r w:rsidRPr="0094653C">
        <w:rPr>
          <w:rFonts w:ascii="Verdana" w:hAnsi="Verdana" w:cs="Arial"/>
          <w:color w:val="000000" w:themeColor="text1"/>
        </w:rPr>
        <w:t xml:space="preserve">or el contrario, </w:t>
      </w:r>
      <w:r>
        <w:rPr>
          <w:rFonts w:ascii="Verdana" w:hAnsi="Verdana" w:cs="Arial"/>
          <w:color w:val="000000" w:themeColor="text1"/>
        </w:rPr>
        <w:t xml:space="preserve">permite su desarrollo de manera que </w:t>
      </w:r>
      <w:r>
        <w:rPr>
          <w:rFonts w:ascii="Verdana" w:eastAsia="Calibri" w:hAnsi="Verdana" w:cs="Arial"/>
        </w:rPr>
        <w:t xml:space="preserve">estos se puedan acordar participar en más de un proceso contractual, mientras cumplan los requisitos legales. </w:t>
      </w:r>
    </w:p>
    <w:p w14:paraId="6D39C63E" w14:textId="77777777" w:rsidR="005F2D7C" w:rsidRDefault="005F2D7C" w:rsidP="005F2D7C">
      <w:pPr>
        <w:spacing w:after="120" w:line="276" w:lineRule="auto"/>
        <w:ind w:firstLine="709"/>
        <w:jc w:val="both"/>
        <w:rPr>
          <w:rFonts w:ascii="Verdana" w:eastAsia="Calibri" w:hAnsi="Verdana" w:cs="Arial"/>
        </w:rPr>
      </w:pPr>
      <w:r w:rsidRPr="00D435DF">
        <w:rPr>
          <w:rFonts w:ascii="Verdana" w:eastAsia="Calibri" w:hAnsi="Verdana" w:cs="Arial"/>
        </w:rPr>
        <w:t>En este sentido, se reitera la tesis expuesta respecto de este primer aspecto, en los términos y bajo las condiciones señaladas en el Concepto CU-636 del 2 de julio de 2025</w:t>
      </w:r>
      <w:r>
        <w:rPr>
          <w:rFonts w:ascii="Verdana" w:eastAsia="Calibri" w:hAnsi="Verdana" w:cs="Arial"/>
        </w:rPr>
        <w:t xml:space="preserve"> y C-670 del 21 de mayo de 2026.</w:t>
      </w:r>
    </w:p>
    <w:p w14:paraId="5C771B94" w14:textId="77777777" w:rsidR="005F2D7C" w:rsidRDefault="005F2D7C" w:rsidP="005F2D7C">
      <w:pPr>
        <w:spacing w:after="120" w:line="276" w:lineRule="auto"/>
        <w:ind w:firstLine="709"/>
        <w:jc w:val="both"/>
        <w:rPr>
          <w:rFonts w:ascii="Verdana" w:hAnsi="Verdana" w:cs="Arial"/>
          <w:color w:val="000000" w:themeColor="text1"/>
        </w:rPr>
      </w:pPr>
      <w:r>
        <w:rPr>
          <w:rFonts w:ascii="Verdana" w:hAnsi="Verdana" w:cs="Arial"/>
          <w:color w:val="000000" w:themeColor="text1"/>
        </w:rPr>
        <w:t xml:space="preserve">En relación con el segundo aspecto, se considera </w:t>
      </w:r>
      <w:r w:rsidRPr="00445DE5">
        <w:rPr>
          <w:rFonts w:ascii="Verdana" w:hAnsi="Verdana" w:cs="Arial"/>
          <w:color w:val="000000" w:themeColor="text1"/>
        </w:rPr>
        <w:t>pertinente</w:t>
      </w:r>
      <w:r>
        <w:rPr>
          <w:rFonts w:ascii="Verdana" w:hAnsi="Verdana" w:cs="Arial"/>
          <w:color w:val="000000" w:themeColor="text1"/>
        </w:rPr>
        <w:t xml:space="preserve"> realizar una modulación</w:t>
      </w:r>
      <w:r w:rsidRPr="00445DE5">
        <w:rPr>
          <w:rFonts w:ascii="Verdana" w:hAnsi="Verdana" w:cs="Arial"/>
          <w:color w:val="000000" w:themeColor="text1"/>
        </w:rPr>
        <w:t xml:space="preserve">, en el sentido de precisar que, si bien, conforme se explicó, resulta jurídicamente viable que un proponente plural participe en varios procesos de </w:t>
      </w:r>
      <w:r w:rsidRPr="00445DE5">
        <w:rPr>
          <w:rFonts w:ascii="Verdana" w:hAnsi="Verdana" w:cs="Arial"/>
          <w:color w:val="000000" w:themeColor="text1"/>
        </w:rPr>
        <w:lastRenderedPageBreak/>
        <w:t xml:space="preserve">contratación, la </w:t>
      </w:r>
      <w:r>
        <w:rPr>
          <w:rFonts w:ascii="Verdana" w:hAnsi="Verdana" w:cs="Arial"/>
          <w:color w:val="000000" w:themeColor="text1"/>
        </w:rPr>
        <w:t xml:space="preserve">procedencia </w:t>
      </w:r>
      <w:r w:rsidRPr="00445DE5">
        <w:rPr>
          <w:rFonts w:ascii="Verdana" w:hAnsi="Verdana" w:cs="Arial"/>
          <w:color w:val="000000" w:themeColor="text1"/>
        </w:rPr>
        <w:t>sobre la utilización de una misma cuenta y usuario en el SECOP II para presentar las respectivas ofertas estará supeditada a las condiciones, funcionalidades y reglas operativas que establezca la plataforma para el efecto</w:t>
      </w:r>
      <w:r>
        <w:rPr>
          <w:rFonts w:ascii="Verdana" w:hAnsi="Verdana" w:cs="Arial"/>
          <w:color w:val="000000" w:themeColor="text1"/>
        </w:rPr>
        <w:t>, así como a la respectiva verificación que realice la entidad estatal en el marco del proceso de contratación.</w:t>
      </w:r>
    </w:p>
    <w:p w14:paraId="6069DBB3" w14:textId="77777777" w:rsidR="005F2D7C" w:rsidRPr="00AA6350" w:rsidRDefault="005F2D7C" w:rsidP="005F2D7C">
      <w:pPr>
        <w:spacing w:after="120" w:line="276" w:lineRule="auto"/>
        <w:ind w:firstLine="709"/>
        <w:jc w:val="both"/>
        <w:rPr>
          <w:rFonts w:ascii="Verdana" w:hAnsi="Verdana" w:cs="Arial"/>
          <w:color w:val="000000" w:themeColor="text1"/>
        </w:rPr>
      </w:pPr>
      <w:r>
        <w:rPr>
          <w:rFonts w:ascii="Verdana" w:hAnsi="Verdana" w:cs="Arial"/>
          <w:color w:val="000000" w:themeColor="text1"/>
        </w:rPr>
        <w:t>En efecto</w:t>
      </w:r>
      <w:r w:rsidRPr="00AA6350">
        <w:rPr>
          <w:rFonts w:ascii="Verdana" w:hAnsi="Verdana" w:cs="Arial"/>
          <w:color w:val="000000" w:themeColor="text1"/>
        </w:rPr>
        <w:t>, mientras la participación del proponente plural en diferentes procesos constituye una cuestión jurídica, el uso de una determinada cuenta o usuario en la plataforma responde a condiciones técnicas</w:t>
      </w:r>
      <w:r>
        <w:rPr>
          <w:rFonts w:ascii="Verdana" w:hAnsi="Verdana" w:cs="Arial"/>
          <w:color w:val="000000" w:themeColor="text1"/>
        </w:rPr>
        <w:t>,</w:t>
      </w:r>
      <w:r w:rsidRPr="00AA6350">
        <w:rPr>
          <w:rFonts w:ascii="Verdana" w:hAnsi="Verdana" w:cs="Arial"/>
          <w:color w:val="000000" w:themeColor="text1"/>
        </w:rPr>
        <w:t xml:space="preserve"> operativas</w:t>
      </w:r>
      <w:r>
        <w:rPr>
          <w:rFonts w:ascii="Verdana" w:hAnsi="Verdana" w:cs="Arial"/>
          <w:color w:val="000000" w:themeColor="text1"/>
        </w:rPr>
        <w:t xml:space="preserve"> y funcionales</w:t>
      </w:r>
      <w:r w:rsidRPr="00AA6350">
        <w:rPr>
          <w:rFonts w:ascii="Verdana" w:hAnsi="Verdana" w:cs="Arial"/>
          <w:color w:val="000000" w:themeColor="text1"/>
        </w:rPr>
        <w:t xml:space="preserve"> propias del SECOP II. Por ello, la </w:t>
      </w:r>
      <w:r>
        <w:rPr>
          <w:rFonts w:ascii="Verdana" w:hAnsi="Verdana" w:cs="Arial"/>
          <w:color w:val="000000" w:themeColor="text1"/>
        </w:rPr>
        <w:t xml:space="preserve">gestión del usuario y </w:t>
      </w:r>
      <w:r w:rsidRPr="00AA6350">
        <w:rPr>
          <w:rFonts w:ascii="Verdana" w:hAnsi="Verdana" w:cs="Arial"/>
          <w:color w:val="000000" w:themeColor="text1"/>
        </w:rPr>
        <w:t xml:space="preserve">cuenta </w:t>
      </w:r>
      <w:r>
        <w:rPr>
          <w:rFonts w:ascii="Verdana" w:hAnsi="Verdana" w:cs="Arial"/>
          <w:color w:val="000000" w:themeColor="text1"/>
        </w:rPr>
        <w:t xml:space="preserve">del SECOP II </w:t>
      </w:r>
      <w:r w:rsidRPr="00AA6350">
        <w:rPr>
          <w:rFonts w:ascii="Verdana" w:hAnsi="Verdana" w:cs="Arial"/>
          <w:color w:val="000000" w:themeColor="text1"/>
        </w:rPr>
        <w:t>debe sujetarse a las funcionalidades disponibles en la plataforma, a sus términos y condiciones de uso, a las guías y orientaciones vigentes y, cuando corresponda, a las indicaciones que suministre la mesa de servicio sobre la inscripción, configuración y participación de los proponentes plurales.</w:t>
      </w:r>
    </w:p>
    <w:p w14:paraId="581E412F" w14:textId="77777777" w:rsidR="005F2D7C" w:rsidRDefault="005F2D7C" w:rsidP="005F2D7C">
      <w:pPr>
        <w:spacing w:after="120" w:line="276" w:lineRule="auto"/>
        <w:ind w:firstLine="709"/>
        <w:jc w:val="both"/>
        <w:rPr>
          <w:rFonts w:ascii="Verdana" w:hAnsi="Verdana" w:cs="Arial"/>
          <w:color w:val="000000" w:themeColor="text1"/>
        </w:rPr>
      </w:pPr>
      <w:r w:rsidRPr="00AA6350">
        <w:rPr>
          <w:rFonts w:ascii="Verdana" w:hAnsi="Verdana" w:cs="Arial"/>
          <w:color w:val="000000" w:themeColor="text1"/>
        </w:rPr>
        <w:t xml:space="preserve">Adicionalmente, esta posibilidad debe analizarse en conjunto con las reglas particulares del proceso de contratación. Así, la entidad deberá atender lo dispuesto en los pliegos de condiciones y verificar que la información registrada en el </w:t>
      </w:r>
      <w:r>
        <w:rPr>
          <w:rFonts w:ascii="Verdana" w:hAnsi="Verdana" w:cs="Arial"/>
          <w:color w:val="000000" w:themeColor="text1"/>
        </w:rPr>
        <w:t xml:space="preserve">usuario del </w:t>
      </w:r>
      <w:r w:rsidRPr="00AA6350">
        <w:rPr>
          <w:rFonts w:ascii="Verdana" w:hAnsi="Verdana" w:cs="Arial"/>
          <w:color w:val="000000" w:themeColor="text1"/>
        </w:rPr>
        <w:t>SECOP II guarde correspondencia con los documentos que acreditan la constitución, integración y facultades del proponente plural que presenta la oferta.</w:t>
      </w:r>
      <w:r>
        <w:rPr>
          <w:rFonts w:ascii="Verdana" w:hAnsi="Verdana" w:cs="Arial"/>
          <w:color w:val="000000" w:themeColor="text1"/>
        </w:rPr>
        <w:t xml:space="preserve"> </w:t>
      </w:r>
      <w:r w:rsidRPr="009A3B32">
        <w:rPr>
          <w:rFonts w:ascii="Verdana" w:hAnsi="Verdana" w:cs="Arial"/>
          <w:color w:val="000000" w:themeColor="text1"/>
        </w:rPr>
        <w:t xml:space="preserve">Por tanto, será la entidad, en el marco de la evaluación de las ofertas y de acuerdo con las reglas previstas para el respectivo proceso de selección, la llamada a verificar </w:t>
      </w:r>
      <w:r>
        <w:rPr>
          <w:rFonts w:ascii="Verdana" w:hAnsi="Verdana" w:cs="Arial"/>
          <w:color w:val="000000" w:themeColor="text1"/>
        </w:rPr>
        <w:t xml:space="preserve">en cada caso </w:t>
      </w:r>
      <w:r w:rsidRPr="009A3B32">
        <w:rPr>
          <w:rFonts w:ascii="Verdana" w:hAnsi="Verdana" w:cs="Arial"/>
          <w:color w:val="000000" w:themeColor="text1"/>
        </w:rPr>
        <w:t>el cumplimiento de las condiciones exigibles a los proponentes plurales</w:t>
      </w:r>
      <w:r>
        <w:rPr>
          <w:rFonts w:ascii="Verdana" w:hAnsi="Verdana" w:cs="Arial"/>
          <w:color w:val="000000" w:themeColor="text1"/>
        </w:rPr>
        <w:t xml:space="preserve">. </w:t>
      </w:r>
    </w:p>
    <w:p w14:paraId="1BB79C24" w14:textId="77777777" w:rsidR="005F2D7C" w:rsidRDefault="005F2D7C" w:rsidP="005F2D7C">
      <w:pPr>
        <w:spacing w:after="120" w:line="276" w:lineRule="auto"/>
        <w:ind w:firstLine="709"/>
        <w:jc w:val="both"/>
      </w:pPr>
      <w:r>
        <w:rPr>
          <w:rFonts w:ascii="Verdana" w:hAnsi="Verdana" w:cs="Arial"/>
          <w:color w:val="000000" w:themeColor="text1"/>
        </w:rPr>
        <w:t>Asi las cosas</w:t>
      </w:r>
      <w:r w:rsidRPr="00F2726D">
        <w:rPr>
          <w:rFonts w:ascii="Verdana" w:hAnsi="Verdana" w:cs="Arial"/>
          <w:color w:val="000000" w:themeColor="text1"/>
        </w:rPr>
        <w:t>, la utilización de la plataforma</w:t>
      </w:r>
      <w:r>
        <w:rPr>
          <w:rFonts w:ascii="Verdana" w:hAnsi="Verdana" w:cs="Arial"/>
          <w:color w:val="000000" w:themeColor="text1"/>
        </w:rPr>
        <w:t xml:space="preserve"> del SECOP II</w:t>
      </w:r>
      <w:r w:rsidRPr="00F2726D">
        <w:rPr>
          <w:rFonts w:ascii="Verdana" w:hAnsi="Verdana" w:cs="Arial"/>
          <w:color w:val="000000" w:themeColor="text1"/>
        </w:rPr>
        <w:t xml:space="preserve"> constituye un mecanismo para gestionar la participación en el proceso</w:t>
      </w:r>
      <w:r>
        <w:rPr>
          <w:rFonts w:ascii="Verdana" w:hAnsi="Verdana" w:cs="Arial"/>
          <w:color w:val="000000" w:themeColor="text1"/>
        </w:rPr>
        <w:t xml:space="preserve"> en las condiciones que se determinen en sus términos de uso</w:t>
      </w:r>
      <w:r w:rsidRPr="00F2726D">
        <w:rPr>
          <w:rFonts w:ascii="Verdana" w:hAnsi="Verdana" w:cs="Arial"/>
          <w:color w:val="000000" w:themeColor="text1"/>
        </w:rPr>
        <w:t xml:space="preserve">, </w:t>
      </w:r>
      <w:r>
        <w:rPr>
          <w:rFonts w:ascii="Verdana" w:hAnsi="Verdana" w:cs="Arial"/>
          <w:color w:val="000000" w:themeColor="text1"/>
        </w:rPr>
        <w:t xml:space="preserve">y la </w:t>
      </w:r>
      <w:r w:rsidRPr="00F2726D">
        <w:rPr>
          <w:rFonts w:ascii="Verdana" w:hAnsi="Verdana" w:cs="Arial"/>
          <w:color w:val="000000" w:themeColor="text1"/>
        </w:rPr>
        <w:t xml:space="preserve">acreditación de la existencia, integración y condiciones del consorcio o unión temporal deberá determinarse </w:t>
      </w:r>
      <w:r>
        <w:rPr>
          <w:rFonts w:ascii="Verdana" w:hAnsi="Verdana" w:cs="Arial"/>
          <w:color w:val="000000" w:themeColor="text1"/>
        </w:rPr>
        <w:t xml:space="preserve">por la entidad estatal </w:t>
      </w:r>
      <w:r w:rsidRPr="00F2726D">
        <w:rPr>
          <w:rFonts w:ascii="Verdana" w:hAnsi="Verdana" w:cs="Arial"/>
          <w:color w:val="000000" w:themeColor="text1"/>
        </w:rPr>
        <w:t>a partir de los documentos que soportan su conformación y de las exigencias particulares del proceso de contratación.</w:t>
      </w:r>
      <w:r w:rsidRPr="003D13A9">
        <w:t xml:space="preserve"> </w:t>
      </w:r>
    </w:p>
    <w:p w14:paraId="6DEDD26A" w14:textId="77777777" w:rsidR="005F2D7C" w:rsidRDefault="005F2D7C" w:rsidP="005F2D7C">
      <w:pPr>
        <w:tabs>
          <w:tab w:val="left" w:pos="709"/>
        </w:tabs>
        <w:spacing w:after="180" w:line="276" w:lineRule="auto"/>
        <w:jc w:val="both"/>
        <w:rPr>
          <w:rFonts w:ascii="Verdana" w:eastAsia="Calibri" w:hAnsi="Verdana" w:cs="Arial"/>
          <w:bCs/>
          <w:color w:val="000000" w:themeColor="text1"/>
        </w:rPr>
      </w:pPr>
      <w:proofErr w:type="spellStart"/>
      <w:r>
        <w:rPr>
          <w:rFonts w:ascii="Verdana" w:eastAsia="Calibri" w:hAnsi="Verdana" w:cs="Arial"/>
          <w:bCs/>
          <w:color w:val="000000" w:themeColor="text1"/>
        </w:rPr>
        <w:t>iii</w:t>
      </w:r>
      <w:proofErr w:type="spellEnd"/>
      <w:r>
        <w:rPr>
          <w:rFonts w:ascii="Verdana" w:eastAsia="Calibri" w:hAnsi="Verdana" w:cs="Arial"/>
          <w:bCs/>
          <w:color w:val="000000" w:themeColor="text1"/>
        </w:rPr>
        <w:t xml:space="preserve">. 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w:t>
      </w:r>
      <w:r>
        <w:rPr>
          <w:rFonts w:ascii="Verdana" w:eastAsia="Calibri" w:hAnsi="Verdana" w:cs="Arial"/>
          <w:bCs/>
          <w:color w:val="000000" w:themeColor="text1"/>
        </w:rPr>
        <w:lastRenderedPageBreak/>
        <w:t>de situaciones particulares corresponde a los interesados adoptar la decisión correspondiente y, en caso de conflicto, a las autoridades judiciales, fiscales y disciplinarias.</w:t>
      </w:r>
    </w:p>
    <w:p w14:paraId="57AE1555" w14:textId="77777777" w:rsidR="005F2D7C" w:rsidRDefault="005F2D7C" w:rsidP="005F2D7C">
      <w:pPr>
        <w:tabs>
          <w:tab w:val="left" w:pos="709"/>
        </w:tabs>
        <w:spacing w:after="0" w:line="276" w:lineRule="auto"/>
        <w:jc w:val="both"/>
        <w:rPr>
          <w:rFonts w:ascii="Verdana" w:eastAsia="Calibri" w:hAnsi="Verdana" w:cs="Arial"/>
          <w:bCs/>
          <w:color w:val="000000" w:themeColor="text1"/>
        </w:rPr>
      </w:pPr>
      <w:r>
        <w:rPr>
          <w:rFonts w:ascii="Verdana" w:eastAsia="Calibri" w:hAnsi="Verdana" w:cs="Arial"/>
          <w:bCs/>
          <w:color w:val="000000" w:themeColor="text1"/>
        </w:rPr>
        <w:tab/>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4C753C37" w14:textId="77777777" w:rsidR="005F2D7C" w:rsidRPr="007C6597" w:rsidRDefault="005F2D7C" w:rsidP="005F2D7C">
      <w:pPr>
        <w:spacing w:after="0" w:line="276" w:lineRule="auto"/>
        <w:jc w:val="both"/>
        <w:rPr>
          <w:rFonts w:ascii="Verdana" w:eastAsia="Calibri" w:hAnsi="Verdana" w:cs="Arial"/>
        </w:rPr>
      </w:pPr>
    </w:p>
    <w:p w14:paraId="4893D7C1" w14:textId="77777777" w:rsidR="005F2D7C" w:rsidRPr="007C6597" w:rsidRDefault="005F2D7C" w:rsidP="005F2D7C">
      <w:pPr>
        <w:numPr>
          <w:ilvl w:val="0"/>
          <w:numId w:val="16"/>
        </w:numPr>
        <w:tabs>
          <w:tab w:val="left" w:pos="142"/>
          <w:tab w:val="left" w:pos="284"/>
        </w:tabs>
        <w:spacing w:after="0" w:line="276" w:lineRule="auto"/>
        <w:ind w:left="1068"/>
        <w:jc w:val="both"/>
        <w:rPr>
          <w:rFonts w:ascii="Verdana" w:eastAsia="Century Gothic" w:hAnsi="Verdana" w:cs="Century Gothic"/>
          <w:b/>
          <w:bCs/>
        </w:rPr>
      </w:pPr>
      <w:r w:rsidRPr="007C6597">
        <w:rPr>
          <w:rFonts w:ascii="Verdana" w:eastAsia="Century Gothic" w:hAnsi="Verdana" w:cs="Century Gothic"/>
          <w:b/>
          <w:bCs/>
        </w:rPr>
        <w:t>Referencias normativas y jurisprudenciales:</w:t>
      </w:r>
    </w:p>
    <w:p w14:paraId="6AC8F5C8" w14:textId="77777777" w:rsidR="005F2D7C" w:rsidRPr="007C6597" w:rsidRDefault="005F2D7C" w:rsidP="005F2D7C">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5F2D7C" w:rsidRPr="007C6597" w14:paraId="49D358BC" w14:textId="77777777" w:rsidTr="00AE647B">
        <w:trPr>
          <w:trHeight w:val="856"/>
          <w:jc w:val="center"/>
        </w:trPr>
        <w:tc>
          <w:tcPr>
            <w:tcW w:w="8647" w:type="dxa"/>
          </w:tcPr>
          <w:p w14:paraId="3A89DE5C" w14:textId="77777777" w:rsidR="005F2D7C" w:rsidRDefault="005F2D7C" w:rsidP="00AE647B">
            <w:pPr>
              <w:pStyle w:val="Prrafodelista"/>
              <w:widowControl w:val="0"/>
              <w:numPr>
                <w:ilvl w:val="0"/>
                <w:numId w:val="17"/>
              </w:numPr>
              <w:autoSpaceDE w:val="0"/>
              <w:autoSpaceDN w:val="0"/>
              <w:snapToGrid w:val="0"/>
              <w:spacing w:after="120" w:line="256" w:lineRule="auto"/>
              <w:jc w:val="both"/>
              <w:rPr>
                <w:rFonts w:ascii="Verdana" w:hAnsi="Verdana" w:cs="Arial"/>
              </w:rPr>
            </w:pPr>
            <w:r>
              <w:rPr>
                <w:rFonts w:ascii="Verdana" w:hAnsi="Verdana" w:cs="Arial"/>
              </w:rPr>
              <w:t>Ley 80 de 1993, artículos 6 y 7.</w:t>
            </w:r>
          </w:p>
          <w:p w14:paraId="56244E0E" w14:textId="77777777" w:rsidR="005F2D7C" w:rsidRPr="00156B65" w:rsidRDefault="005F2D7C" w:rsidP="00AE647B">
            <w:pPr>
              <w:pStyle w:val="Prrafodelista"/>
              <w:widowControl w:val="0"/>
              <w:numPr>
                <w:ilvl w:val="0"/>
                <w:numId w:val="17"/>
              </w:numPr>
              <w:autoSpaceDE w:val="0"/>
              <w:autoSpaceDN w:val="0"/>
              <w:snapToGrid w:val="0"/>
              <w:spacing w:after="120" w:line="256" w:lineRule="auto"/>
              <w:jc w:val="both"/>
              <w:rPr>
                <w:rFonts w:ascii="Verdana" w:hAnsi="Verdana" w:cs="Arial"/>
              </w:rPr>
            </w:pPr>
            <w:r w:rsidRPr="00156B65">
              <w:rPr>
                <w:rFonts w:ascii="Verdana" w:hAnsi="Verdana" w:cs="Arial"/>
              </w:rPr>
              <w:t>Guía creación de proponentes plurales en el SECOP II, 2024. Disponible en:</w:t>
            </w:r>
            <w:hyperlink r:id="rId12" w:history="1">
              <w:r w:rsidRPr="00156B65">
                <w:rPr>
                  <w:rStyle w:val="Hipervnculo"/>
                  <w:rFonts w:ascii="Verdana" w:hAnsi="Verdana" w:cs="Arial"/>
                </w:rPr>
                <w:t>https://www.colombiacompra.gov.co/base-conocimiento/creacion-de-proponente-plural-secop-ii</w:t>
              </w:r>
            </w:hyperlink>
          </w:p>
        </w:tc>
      </w:tr>
    </w:tbl>
    <w:p w14:paraId="4C00027B" w14:textId="77777777" w:rsidR="005F2D7C" w:rsidRPr="007C6597" w:rsidRDefault="005F2D7C" w:rsidP="005F2D7C">
      <w:pPr>
        <w:widowControl w:val="0"/>
        <w:autoSpaceDE w:val="0"/>
        <w:autoSpaceDN w:val="0"/>
        <w:spacing w:after="0" w:line="276" w:lineRule="auto"/>
        <w:jc w:val="both"/>
        <w:rPr>
          <w:rFonts w:ascii="Verdana" w:hAnsi="Verdana" w:cs="Arial"/>
        </w:rPr>
      </w:pPr>
    </w:p>
    <w:p w14:paraId="376C0EE3" w14:textId="77777777" w:rsidR="005F2D7C" w:rsidRPr="007C6597" w:rsidRDefault="005F2D7C" w:rsidP="005F2D7C">
      <w:pPr>
        <w:numPr>
          <w:ilvl w:val="0"/>
          <w:numId w:val="16"/>
        </w:numPr>
        <w:tabs>
          <w:tab w:val="left" w:pos="142"/>
          <w:tab w:val="left" w:pos="284"/>
        </w:tabs>
        <w:spacing w:after="0" w:line="276" w:lineRule="auto"/>
        <w:ind w:left="1068"/>
        <w:jc w:val="both"/>
        <w:rPr>
          <w:rFonts w:ascii="Verdana" w:eastAsia="Century Gothic" w:hAnsi="Verdana" w:cs="Century Gothic"/>
          <w:b/>
          <w:bCs/>
        </w:rPr>
      </w:pPr>
      <w:r w:rsidRPr="007C6597">
        <w:rPr>
          <w:rFonts w:ascii="Verdana" w:eastAsia="Century Gothic" w:hAnsi="Verdana" w:cs="Century Gothic"/>
          <w:b/>
          <w:bCs/>
        </w:rPr>
        <w:t>Doctrina de la Agencia Nacional de Contratación Pública:</w:t>
      </w:r>
    </w:p>
    <w:p w14:paraId="4783EB03" w14:textId="77777777" w:rsidR="005F2D7C" w:rsidRPr="007C6597" w:rsidRDefault="005F2D7C" w:rsidP="005F2D7C">
      <w:pPr>
        <w:widowControl w:val="0"/>
        <w:autoSpaceDE w:val="0"/>
        <w:autoSpaceDN w:val="0"/>
        <w:spacing w:after="0" w:line="276" w:lineRule="auto"/>
        <w:jc w:val="both"/>
        <w:rPr>
          <w:rFonts w:ascii="Verdana" w:hAnsi="Verdana" w:cs="Arial"/>
        </w:rPr>
      </w:pPr>
    </w:p>
    <w:p w14:paraId="2ADBB60C" w14:textId="77777777" w:rsidR="005F2D7C" w:rsidRDefault="005F2D7C" w:rsidP="005F2D7C">
      <w:pPr>
        <w:widowControl w:val="0"/>
        <w:autoSpaceDE w:val="0"/>
        <w:autoSpaceDN w:val="0"/>
        <w:spacing w:after="120" w:line="276" w:lineRule="auto"/>
        <w:jc w:val="both"/>
        <w:rPr>
          <w:rFonts w:ascii="Verdana" w:hAnsi="Verdana" w:cs="Arial"/>
          <w:color w:val="000000" w:themeColor="text1"/>
          <w:shd w:val="clear" w:color="auto" w:fill="FFFFFF"/>
        </w:rPr>
      </w:pPr>
      <w:r w:rsidRPr="007C6597">
        <w:rPr>
          <w:rFonts w:ascii="Verdana" w:hAnsi="Verdana" w:cs="Arial"/>
          <w:shd w:val="clear" w:color="auto" w:fill="FFFFFF"/>
          <w:lang w:val="es-ES"/>
        </w:rPr>
        <w:t xml:space="preserve">Sobre la </w:t>
      </w:r>
      <w:r w:rsidRPr="007C6597">
        <w:rPr>
          <w:rFonts w:ascii="Verdana" w:hAnsi="Verdana" w:cs="Arial"/>
          <w:color w:val="000000" w:themeColor="text1"/>
        </w:rPr>
        <w:t xml:space="preserve">la posibilidad de que los proponentes plurales puedan </w:t>
      </w:r>
      <w:r w:rsidRPr="007C6597">
        <w:rPr>
          <w:rFonts w:ascii="Verdana" w:eastAsia="Century Gothic" w:hAnsi="Verdana" w:cs="Century Gothic"/>
        </w:rPr>
        <w:t>participar en varios procesos de contratación pública</w:t>
      </w:r>
      <w:r w:rsidRPr="007C6597">
        <w:rPr>
          <w:rFonts w:ascii="Verdana" w:hAnsi="Verdana" w:cs="Arial"/>
          <w:shd w:val="clear" w:color="auto" w:fill="FFFFFF"/>
          <w:lang w:val="es-ES"/>
        </w:rPr>
        <w:t xml:space="preserve"> esta Subdirección se ha pronunciado</w:t>
      </w:r>
      <w:r w:rsidRPr="007C6597">
        <w:rPr>
          <w:rFonts w:ascii="Verdana" w:hAnsi="Verdana" w:cs="Arial"/>
          <w:szCs w:val="24"/>
          <w:lang w:eastAsia="es-ES_tradnl"/>
        </w:rPr>
        <w:t xml:space="preserve"> en los conceptos </w:t>
      </w:r>
      <w:r w:rsidRPr="007C6597">
        <w:rPr>
          <w:rFonts w:ascii="Verdana" w:hAnsi="Verdana" w:cs="Arial"/>
          <w:color w:val="000000" w:themeColor="text1"/>
        </w:rPr>
        <w:t>C-727 del 28 de octubre de 2024, C-016 del 11 de febrero de 2025, C-046 del 30 de enero de 2025, C-226 del 26 de marzo de 2025 y C-295 del 15 de abril de 2025, CU-636 del 2 de julio de 2025</w:t>
      </w:r>
      <w:r>
        <w:rPr>
          <w:rFonts w:ascii="Verdana" w:hAnsi="Verdana" w:cs="Arial"/>
          <w:color w:val="000000" w:themeColor="text1"/>
        </w:rPr>
        <w:t xml:space="preserve">, </w:t>
      </w:r>
      <w:r w:rsidRPr="007C6597">
        <w:rPr>
          <w:rFonts w:ascii="Verdana" w:hAnsi="Verdana" w:cs="Arial"/>
          <w:color w:val="000000" w:themeColor="text1"/>
        </w:rPr>
        <w:t>C-938 del 23 de agosto de 2025</w:t>
      </w:r>
      <w:r>
        <w:rPr>
          <w:rFonts w:ascii="Verdana" w:hAnsi="Verdana" w:cs="Arial"/>
          <w:color w:val="000000" w:themeColor="text1"/>
        </w:rPr>
        <w:t>,</w:t>
      </w:r>
      <w:r w:rsidRPr="00981FB7">
        <w:rPr>
          <w:rFonts w:ascii="Verdana" w:eastAsia="Calibri" w:hAnsi="Verdana" w:cs="Arial"/>
        </w:rPr>
        <w:t xml:space="preserve"> </w:t>
      </w:r>
      <w:r w:rsidRPr="00B54B12">
        <w:rPr>
          <w:rFonts w:ascii="Verdana" w:eastAsia="Calibri" w:hAnsi="Verdana" w:cs="Arial"/>
        </w:rPr>
        <w:t>C-1139 y C-1188 de</w:t>
      </w:r>
      <w:r>
        <w:rPr>
          <w:rFonts w:ascii="Verdana" w:eastAsia="Calibri" w:hAnsi="Verdana" w:cs="Arial"/>
        </w:rPr>
        <w:t xml:space="preserve"> 2025</w:t>
      </w:r>
      <w:r w:rsidRPr="007C6597">
        <w:rPr>
          <w:rFonts w:ascii="Verdana" w:hAnsi="Verdana" w:cs="Arial"/>
          <w:color w:val="000000" w:themeColor="text1"/>
        </w:rPr>
        <w:t xml:space="preserve">. </w:t>
      </w:r>
      <w:r w:rsidRPr="007C6597">
        <w:rPr>
          <w:rFonts w:ascii="Verdana" w:hAnsi="Verdana" w:cs="Arial"/>
          <w:shd w:val="clear" w:color="auto" w:fill="FFFFFF"/>
        </w:rPr>
        <w:t>Es</w:t>
      </w:r>
      <w:r w:rsidRPr="007C6597">
        <w:rPr>
          <w:rFonts w:ascii="Verdana" w:hAnsi="Verdana"/>
        </w:rPr>
        <w:t>tos conceptos se encuentran disponibles para consulta en el Sistema de relatoría de la Agencia, al cual se puede acceder a través del siguiente enlace:</w:t>
      </w:r>
      <w:r w:rsidRPr="007C6597">
        <w:rPr>
          <w:rFonts w:ascii="Verdana" w:hAnsi="Verdana" w:cs="Arial"/>
          <w:shd w:val="clear" w:color="auto" w:fill="FFFFFF"/>
        </w:rPr>
        <w:t xml:space="preserve"> </w:t>
      </w:r>
      <w:hyperlink r:id="rId13" w:history="1">
        <w:r w:rsidRPr="007C6597">
          <w:rPr>
            <w:rFonts w:ascii="Verdana" w:hAnsi="Verdana" w:cs="Arial"/>
            <w:color w:val="0563C1" w:themeColor="hyperlink"/>
            <w:u w:val="single"/>
            <w:shd w:val="clear" w:color="auto" w:fill="FFFFFF"/>
          </w:rPr>
          <w:t>https://relatoria.colombiacompra.gov.co/busqueda/conceptos</w:t>
        </w:r>
      </w:hyperlink>
      <w:r w:rsidRPr="007C6597">
        <w:rPr>
          <w:rFonts w:ascii="Verdana" w:hAnsi="Verdana" w:cs="Arial"/>
          <w:shd w:val="clear" w:color="auto" w:fill="FFFFFF"/>
        </w:rPr>
        <w:t>.</w:t>
      </w:r>
      <w:r w:rsidRPr="007C6597">
        <w:rPr>
          <w:rFonts w:ascii="Verdana" w:hAnsi="Verdana" w:cs="Arial"/>
          <w:color w:val="FF0000"/>
          <w:shd w:val="clear" w:color="auto" w:fill="FFFFFF"/>
        </w:rPr>
        <w:t xml:space="preserve"> </w:t>
      </w:r>
      <w:r w:rsidRPr="007C6597">
        <w:rPr>
          <w:rFonts w:ascii="Verdana" w:hAnsi="Verdana" w:cs="Arial"/>
          <w:color w:val="000000" w:themeColor="text1"/>
          <w:shd w:val="clear" w:color="auto" w:fill="FFFFFF"/>
        </w:rPr>
        <w:t>  </w:t>
      </w:r>
    </w:p>
    <w:p w14:paraId="49E3A9AC" w14:textId="77777777" w:rsidR="005F2D7C" w:rsidRPr="00FA4501" w:rsidRDefault="005F2D7C" w:rsidP="005F2D7C">
      <w:pPr>
        <w:widowControl w:val="0"/>
        <w:autoSpaceDE w:val="0"/>
        <w:autoSpaceDN w:val="0"/>
        <w:spacing w:after="120" w:line="276" w:lineRule="auto"/>
        <w:jc w:val="both"/>
        <w:rPr>
          <w:rFonts w:ascii="Verdana" w:hAnsi="Verdana" w:cs="Arial"/>
          <w:color w:val="000000" w:themeColor="text1"/>
          <w:shd w:val="clear" w:color="auto" w:fill="FFFFFF"/>
        </w:rPr>
      </w:pPr>
      <w:r w:rsidRPr="00FA4501">
        <w:rPr>
          <w:rFonts w:ascii="Verdana" w:eastAsia="Times New Roman" w:hAnsi="Verdana" w:cs="Times New Roman"/>
          <w:color w:val="000000"/>
          <w:lang w:eastAsia="es-CO"/>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FA4501">
        <w:rPr>
          <w:rFonts w:ascii="Verdana" w:eastAsia="Times New Roman" w:hAnsi="Verdana" w:cs="Times New Roman"/>
          <w:b/>
          <w:bCs/>
          <w:color w:val="000000"/>
          <w:lang w:eastAsia="es-CO"/>
        </w:rPr>
        <w:t xml:space="preserve">Guía para la Exigencia y Constitución de </w:t>
      </w:r>
      <w:r w:rsidRPr="00FA4501">
        <w:rPr>
          <w:rFonts w:ascii="Verdana" w:eastAsia="Times New Roman" w:hAnsi="Verdana" w:cs="Times New Roman"/>
          <w:b/>
          <w:bCs/>
          <w:color w:val="000000"/>
          <w:lang w:eastAsia="es-CO"/>
        </w:rPr>
        <w:lastRenderedPageBreak/>
        <w:t>Garantías en los Procesos de Contratación</w:t>
      </w:r>
      <w:r w:rsidRPr="00FA4501">
        <w:rPr>
          <w:rFonts w:ascii="Verdana" w:eastAsia="Times New Roman" w:hAnsi="Verdana" w:cs="Times New Roman"/>
          <w:color w:val="000000"/>
          <w:lang w:eastAsia="es-CO"/>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4" w:tgtFrame="_blank" w:tooltip="Dirección URL original: https://www.colombiacompra.gov.co/archivos/manual/guia-de-garantias-en-procesos-de-contratacion. Haga clic o pulse si confía en este vínculo." w:history="1">
        <w:r w:rsidRPr="00FA4501">
          <w:rPr>
            <w:rFonts w:ascii="Verdana" w:eastAsia="Times New Roman" w:hAnsi="Verdana" w:cs="Times New Roman"/>
            <w:color w:val="0000FF"/>
            <w:u w:val="single"/>
            <w:bdr w:val="none" w:sz="0" w:space="0" w:color="auto" w:frame="1"/>
            <w:lang w:eastAsia="es-CO"/>
          </w:rPr>
          <w:t>https://www.colombiacompra.gov.co/archivos/manual/guia-de-garantias-en-procesos-de-contratacion</w:t>
        </w:r>
      </w:hyperlink>
    </w:p>
    <w:p w14:paraId="3DF117FB" w14:textId="77777777" w:rsidR="005F2D7C" w:rsidRPr="00FA4501" w:rsidRDefault="005F2D7C" w:rsidP="005F2D7C">
      <w:pPr>
        <w:shd w:val="clear" w:color="auto" w:fill="FFFFFF"/>
        <w:spacing w:after="120" w:line="276" w:lineRule="auto"/>
        <w:jc w:val="both"/>
        <w:textAlignment w:val="baseline"/>
        <w:rPr>
          <w:rFonts w:ascii="Verdana" w:eastAsia="Times New Roman" w:hAnsi="Verdana" w:cs="Times New Roman"/>
          <w:color w:val="000000"/>
          <w:lang w:eastAsia="es-CO"/>
        </w:rPr>
      </w:pPr>
      <w:r w:rsidRPr="00FA4501">
        <w:rPr>
          <w:rFonts w:ascii="Verdana" w:eastAsia="Times New Roman" w:hAnsi="Verdana" w:cs="Times New Roman"/>
          <w:color w:val="000000"/>
          <w:lang w:eastAsia="es-CO"/>
        </w:rPr>
        <w:t>De otro lado, te contamos que el Decreto 287 del 19 de marzo de 2026 sustituyó los artículos 2.2.1.2.4.2.6., 2.2.1.2.4.2.7. y 2.2.1.2.4.2.8. del Decreto 1082 de 2015 y estructuró el </w:t>
      </w:r>
      <w:r w:rsidRPr="00FA4501">
        <w:rPr>
          <w:rFonts w:ascii="Verdana" w:eastAsia="Times New Roman" w:hAnsi="Verdana" w:cs="Times New Roman"/>
          <w:b/>
          <w:bCs/>
          <w:color w:val="000000"/>
          <w:lang w:eastAsia="es-CO"/>
        </w:rPr>
        <w:t>Sistema Integral de Preferencias en favor de las personas con discapacidad</w:t>
      </w:r>
      <w:r w:rsidRPr="00FA4501">
        <w:rPr>
          <w:rFonts w:ascii="Verdana" w:eastAsia="Times New Roman" w:hAnsi="Verdana" w:cs="Times New Roman"/>
          <w:color w:val="000000"/>
          <w:lang w:eastAsia="es-CO"/>
        </w:rPr>
        <w:t>, en cumplimiento del artículo 13 de la Ley Estatutaria 1618 de 2013. Para orientar su aplicación, esta Agencia expidió la </w:t>
      </w:r>
      <w:r w:rsidRPr="00FA4501">
        <w:rPr>
          <w:rFonts w:ascii="Verdana" w:eastAsia="Times New Roman" w:hAnsi="Verdana" w:cs="Times New Roman"/>
          <w:b/>
          <w:bCs/>
          <w:color w:val="000000"/>
          <w:lang w:eastAsia="es-CO"/>
        </w:rPr>
        <w:t>Circular Externa 003 del 12 de mayo de 2026, </w:t>
      </w:r>
      <w:r w:rsidRPr="00FA4501">
        <w:rPr>
          <w:rFonts w:ascii="Verdana" w:eastAsia="Times New Roman" w:hAnsi="Verdana" w:cs="Times New Roman"/>
          <w:color w:val="000000"/>
          <w:lang w:eastAsia="es-CO"/>
        </w:rPr>
        <w:t>en la que precisa quiénes son los beneficiarios, las cinco medidas que integran el sistema y su obligatoriedad según la modalidad de selección, y el régimen de transición aplicable a los procesos en curso. Consúltala aquí: </w:t>
      </w:r>
      <w:hyperlink r:id="rId15" w:tgtFrame="_blank" w:tooltip="Dirección URL original: https://www.colombiacompra.gov.co/archivos/circular/circular-externa-003-de-2026. Haga clic o pulse si confía en este vínculo." w:history="1">
        <w:r w:rsidRPr="00FA4501">
          <w:rPr>
            <w:rFonts w:ascii="Verdana" w:eastAsia="Times New Roman" w:hAnsi="Verdana" w:cs="Times New Roman"/>
            <w:color w:val="0000FF"/>
            <w:u w:val="single"/>
            <w:bdr w:val="none" w:sz="0" w:space="0" w:color="auto" w:frame="1"/>
            <w:lang w:eastAsia="es-CO"/>
          </w:rPr>
          <w:t>https://www.colombiacompra.gov.co/archivos/circular/circular-externa-003-de-2026</w:t>
        </w:r>
      </w:hyperlink>
    </w:p>
    <w:p w14:paraId="6531D29F" w14:textId="77777777" w:rsidR="005F2D7C" w:rsidRPr="00FA4501" w:rsidRDefault="005F2D7C" w:rsidP="005F2D7C">
      <w:pPr>
        <w:shd w:val="clear" w:color="auto" w:fill="FFFFFF"/>
        <w:spacing w:after="120" w:line="276" w:lineRule="auto"/>
        <w:jc w:val="both"/>
        <w:textAlignment w:val="baseline"/>
        <w:rPr>
          <w:rFonts w:ascii="Verdana" w:eastAsia="Times New Roman" w:hAnsi="Verdana" w:cs="Times New Roman"/>
          <w:color w:val="000000"/>
          <w:lang w:eastAsia="es-CO"/>
        </w:rPr>
      </w:pPr>
      <w:r w:rsidRPr="00FA4501">
        <w:rPr>
          <w:rFonts w:ascii="Verdana" w:eastAsia="Times New Roman" w:hAnsi="Verdana" w:cs="Times New Roman"/>
          <w:color w:val="000000"/>
          <w:lang w:eastAsia="es-CO"/>
        </w:rPr>
        <w:t>Recuerda también que la</w:t>
      </w:r>
      <w:r w:rsidRPr="00FA4501">
        <w:rPr>
          <w:rFonts w:ascii="Verdana" w:eastAsia="Times New Roman" w:hAnsi="Verdana" w:cs="Times New Roman"/>
          <w:b/>
          <w:bCs/>
          <w:color w:val="000000"/>
          <w:lang w:eastAsia="es-CO"/>
        </w:rPr>
        <w:t> información sobre sanciones e inhabilidades </w:t>
      </w:r>
      <w:r w:rsidRPr="00FA4501">
        <w:rPr>
          <w:rFonts w:ascii="Verdana" w:eastAsia="Times New Roman" w:hAnsi="Verdana" w:cs="Times New Roman"/>
          <w:color w:val="000000"/>
          <w:lang w:eastAsia="es-CO"/>
        </w:rPr>
        <w:t>solo cumple su función preventiva si llega oportunamente a los registros públicos. Sobre este deber, esta Agencia expidió la </w:t>
      </w:r>
      <w:r w:rsidRPr="00FA4501">
        <w:rPr>
          <w:rFonts w:ascii="Verdana" w:eastAsia="Times New Roman" w:hAnsi="Verdana" w:cs="Times New Roman"/>
          <w:b/>
          <w:bCs/>
          <w:color w:val="000000"/>
          <w:lang w:eastAsia="es-CO"/>
        </w:rPr>
        <w:t>Circular Externa 002 del 5 de mayo de 2026,</w:t>
      </w:r>
      <w:r w:rsidRPr="00FA4501">
        <w:rPr>
          <w:rFonts w:ascii="Verdana" w:eastAsia="Times New Roman" w:hAnsi="Verdana" w:cs="Times New Roman"/>
          <w:color w:val="000000"/>
          <w:lang w:eastAsia="es-CO"/>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6" w:tgtFrame="_blank" w:tooltip="Dirección URL original: https://www.colombiacompra.gov.co/archivos/circular/circular-externa-002-de-2026. Haga clic o pulse si confía en este vínculo." w:history="1">
        <w:r w:rsidRPr="00FA4501">
          <w:rPr>
            <w:rFonts w:ascii="Verdana" w:eastAsia="Times New Roman" w:hAnsi="Verdana" w:cs="Times New Roman"/>
            <w:color w:val="0000FF"/>
            <w:u w:val="single"/>
            <w:bdr w:val="none" w:sz="0" w:space="0" w:color="auto" w:frame="1"/>
            <w:lang w:eastAsia="es-CO"/>
          </w:rPr>
          <w:t>https://www.colombiacompra.gov.co/archivos/circular/circular-externa-002-de-2026</w:t>
        </w:r>
      </w:hyperlink>
    </w:p>
    <w:p w14:paraId="436A00D1" w14:textId="77777777" w:rsidR="005F2D7C" w:rsidRPr="00A31BCF" w:rsidRDefault="005F2D7C" w:rsidP="005F2D7C">
      <w:pPr>
        <w:shd w:val="clear" w:color="auto" w:fill="FFFFFF"/>
        <w:spacing w:after="120" w:line="276" w:lineRule="auto"/>
        <w:jc w:val="both"/>
        <w:textAlignment w:val="baseline"/>
        <w:rPr>
          <w:rFonts w:ascii="Verdana" w:eastAsia="Times New Roman" w:hAnsi="Verdana" w:cs="Times New Roman"/>
          <w:color w:val="000000"/>
          <w:lang w:eastAsia="es-CO"/>
        </w:rPr>
      </w:pPr>
      <w:r w:rsidRPr="00FA4501">
        <w:rPr>
          <w:rFonts w:ascii="Verdana" w:eastAsia="Times New Roman" w:hAnsi="Verdana" w:cs="Times New Roman"/>
          <w:color w:val="000000"/>
          <w:lang w:eastAsia="es-CO"/>
        </w:rPr>
        <w:t>Finalmente, si quieres seguir de cerca la actividad de la Agencia, la tercera edición de 2026 del</w:t>
      </w:r>
      <w:r w:rsidRPr="00FA4501">
        <w:rPr>
          <w:rFonts w:ascii="Verdana" w:eastAsia="Times New Roman" w:hAnsi="Verdana" w:cs="Times New Roman"/>
          <w:b/>
          <w:bCs/>
          <w:color w:val="000000"/>
          <w:lang w:eastAsia="es-CO"/>
        </w:rPr>
        <w:t> Radar de la Compra Pública</w:t>
      </w:r>
      <w:r w:rsidRPr="00FA4501">
        <w:rPr>
          <w:rFonts w:ascii="Verdana" w:eastAsia="Times New Roman" w:hAnsi="Verdana" w:cs="Times New Roman"/>
          <w:color w:val="000000"/>
          <w:lang w:eastAsia="es-CO"/>
        </w:rPr>
        <w:t xml:space="preserve">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w:t>
      </w:r>
      <w:r w:rsidRPr="00FA4501">
        <w:rPr>
          <w:rFonts w:ascii="Verdana" w:eastAsia="Times New Roman" w:hAnsi="Verdana" w:cs="Times New Roman"/>
          <w:color w:val="000000"/>
          <w:lang w:eastAsia="es-CO"/>
        </w:rPr>
        <w:lastRenderedPageBreak/>
        <w:t>aquí: </w:t>
      </w:r>
      <w:hyperlink r:id="rId17" w:tgtFrame="_blank" w:tooltip="Dirección URL original: https://www.colombiacompra.gov.co/archivos/boletin/boletin-edicion-n-3-de-2026-radar-de-la-compra-publica. Haga clic o pulse si confía en este vínculo." w:history="1">
        <w:r w:rsidRPr="00FA4501">
          <w:rPr>
            <w:rFonts w:ascii="Verdana" w:eastAsia="Times New Roman" w:hAnsi="Verdana" w:cs="Times New Roman"/>
            <w:color w:val="0000FF"/>
            <w:u w:val="single"/>
            <w:bdr w:val="none" w:sz="0" w:space="0" w:color="auto" w:frame="1"/>
            <w:lang w:eastAsia="es-CO"/>
          </w:rPr>
          <w:t>https://www.colombiacompra.gov.co/archivos/boletin/boletin-edicion-n-3-de-2026-radar-de-la-compra-publica</w:t>
        </w:r>
      </w:hyperlink>
      <w:r w:rsidRPr="00FA4501">
        <w:rPr>
          <w:rFonts w:ascii="Verdana" w:eastAsia="Times New Roman" w:hAnsi="Verdana" w:cs="Times New Roman"/>
          <w:color w:val="000000"/>
          <w:lang w:eastAsia="es-CO"/>
        </w:rPr>
        <w:t>"</w:t>
      </w:r>
    </w:p>
    <w:p w14:paraId="54AE30B6" w14:textId="77777777" w:rsidR="005F2D7C" w:rsidRPr="00AA633E" w:rsidRDefault="005F2D7C" w:rsidP="005F2D7C">
      <w:pPr>
        <w:spacing w:after="0" w:line="276" w:lineRule="auto"/>
        <w:jc w:val="both"/>
        <w:rPr>
          <w:rFonts w:ascii="Verdana" w:hAnsi="Verdana"/>
        </w:rPr>
      </w:pPr>
      <w:r w:rsidRPr="00AA633E">
        <w:rPr>
          <w:rFonts w:ascii="Verdana" w:hAnsi="Verdana"/>
        </w:rPr>
        <w:t xml:space="preserve">Por último, lo invitamos a seguirnos en las redes sociales en las cuales se difunde información institucional: </w:t>
      </w:r>
    </w:p>
    <w:p w14:paraId="398F8757" w14:textId="77777777" w:rsidR="005F2D7C" w:rsidRPr="00AA633E" w:rsidRDefault="005F2D7C" w:rsidP="005F2D7C">
      <w:pPr>
        <w:spacing w:after="0" w:line="276" w:lineRule="auto"/>
        <w:jc w:val="both"/>
        <w:rPr>
          <w:rFonts w:ascii="Verdana" w:hAnsi="Verdana"/>
        </w:rPr>
      </w:pPr>
    </w:p>
    <w:p w14:paraId="5247EA8C" w14:textId="77777777" w:rsidR="005F2D7C" w:rsidRPr="00AA633E" w:rsidRDefault="005F2D7C" w:rsidP="005F2D7C">
      <w:pPr>
        <w:spacing w:after="0" w:line="276" w:lineRule="auto"/>
        <w:jc w:val="both"/>
        <w:rPr>
          <w:rFonts w:ascii="Verdana" w:hAnsi="Verdana"/>
        </w:rPr>
      </w:pPr>
      <w:r w:rsidRPr="00AA633E">
        <w:rPr>
          <w:rFonts w:ascii="Verdana" w:hAnsi="Verdana"/>
        </w:rPr>
        <w:t xml:space="preserve">Twitter: </w:t>
      </w:r>
      <w:r w:rsidRPr="00AA633E">
        <w:rPr>
          <w:rFonts w:ascii="Verdana" w:hAnsi="Verdana"/>
          <w:color w:val="0000FF"/>
          <w:u w:val="single"/>
        </w:rPr>
        <w:t>@colombiacompra</w:t>
      </w:r>
      <w:r w:rsidRPr="00AA633E">
        <w:rPr>
          <w:rFonts w:ascii="Verdana" w:hAnsi="Verdana"/>
        </w:rPr>
        <w:t xml:space="preserve"> </w:t>
      </w:r>
    </w:p>
    <w:p w14:paraId="2BFDE3D0" w14:textId="77777777" w:rsidR="005F2D7C" w:rsidRPr="00AA633E" w:rsidRDefault="005F2D7C" w:rsidP="005F2D7C">
      <w:pPr>
        <w:spacing w:after="0" w:line="276" w:lineRule="auto"/>
        <w:jc w:val="both"/>
        <w:rPr>
          <w:rFonts w:ascii="Verdana" w:hAnsi="Verdana"/>
        </w:rPr>
      </w:pPr>
      <w:r w:rsidRPr="00AA633E">
        <w:rPr>
          <w:rFonts w:ascii="Verdana" w:hAnsi="Verdana"/>
        </w:rPr>
        <w:t xml:space="preserve">Facebook: </w:t>
      </w:r>
      <w:proofErr w:type="spellStart"/>
      <w:r w:rsidRPr="00AA633E">
        <w:rPr>
          <w:rFonts w:ascii="Verdana" w:hAnsi="Verdana"/>
          <w:color w:val="0000FF"/>
          <w:u w:val="single"/>
        </w:rPr>
        <w:t>ColombiaCompraEficiente</w:t>
      </w:r>
      <w:proofErr w:type="spellEnd"/>
    </w:p>
    <w:p w14:paraId="46196C11" w14:textId="77777777" w:rsidR="005F2D7C" w:rsidRDefault="005F2D7C" w:rsidP="005F2D7C">
      <w:pPr>
        <w:spacing w:after="0" w:line="276" w:lineRule="auto"/>
        <w:jc w:val="both"/>
        <w:rPr>
          <w:rFonts w:ascii="Verdana" w:hAnsi="Verdana"/>
        </w:rPr>
      </w:pPr>
      <w:r w:rsidRPr="00AA633E">
        <w:rPr>
          <w:rFonts w:ascii="Verdana" w:hAnsi="Verdana"/>
        </w:rPr>
        <w:t xml:space="preserve">LinkedIn: </w:t>
      </w:r>
      <w:r w:rsidRPr="00AA633E">
        <w:rPr>
          <w:rFonts w:ascii="Verdana" w:hAnsi="Verdana"/>
          <w:color w:val="0000FF"/>
          <w:u w:val="single"/>
        </w:rPr>
        <w:t>Agencia Nacional de Contratación Pública - Colombia Compra Eficiente</w:t>
      </w:r>
      <w:r w:rsidRPr="00AA633E">
        <w:rPr>
          <w:rFonts w:ascii="Verdana" w:hAnsi="Verdana"/>
        </w:rPr>
        <w:t xml:space="preserve"> Instagram: </w:t>
      </w:r>
      <w:r w:rsidRPr="00AA633E">
        <w:rPr>
          <w:rFonts w:ascii="Verdana" w:hAnsi="Verdana"/>
          <w:color w:val="0000FF"/>
          <w:u w:val="single"/>
        </w:rPr>
        <w:t>@colombiacompraeficiente_cce</w:t>
      </w:r>
    </w:p>
    <w:p w14:paraId="5853A948" w14:textId="77777777" w:rsidR="005F2D7C" w:rsidRPr="00156B65" w:rsidRDefault="005F2D7C" w:rsidP="005F2D7C">
      <w:pPr>
        <w:spacing w:after="0" w:line="276" w:lineRule="auto"/>
        <w:jc w:val="both"/>
        <w:rPr>
          <w:rFonts w:ascii="Verdana" w:hAnsi="Verdana"/>
        </w:rPr>
      </w:pPr>
    </w:p>
    <w:p w14:paraId="1C921895" w14:textId="77777777" w:rsidR="005F2D7C" w:rsidRPr="007C6597" w:rsidRDefault="005F2D7C" w:rsidP="005F2D7C">
      <w:pPr>
        <w:widowControl w:val="0"/>
        <w:autoSpaceDE w:val="0"/>
        <w:autoSpaceDN w:val="0"/>
        <w:spacing w:after="0" w:line="276" w:lineRule="auto"/>
        <w:jc w:val="both"/>
        <w:rPr>
          <w:rFonts w:ascii="Verdana" w:hAnsi="Verdana" w:cs="Arial"/>
        </w:rPr>
      </w:pPr>
      <w:r w:rsidRPr="007C6597">
        <w:rPr>
          <w:rFonts w:ascii="Verdana" w:hAnsi="Verdana" w:cs="Arial"/>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2BC5D569" w14:textId="77777777" w:rsidR="005F2D7C" w:rsidRPr="007C6597" w:rsidRDefault="005F2D7C" w:rsidP="005F2D7C">
      <w:pPr>
        <w:widowControl w:val="0"/>
        <w:autoSpaceDE w:val="0"/>
        <w:autoSpaceDN w:val="0"/>
        <w:spacing w:after="0" w:line="276" w:lineRule="auto"/>
        <w:jc w:val="both"/>
        <w:rPr>
          <w:rFonts w:ascii="Verdana" w:hAnsi="Verdana" w:cs="Arial"/>
        </w:rPr>
      </w:pPr>
    </w:p>
    <w:p w14:paraId="5F98E958" w14:textId="77777777" w:rsidR="005F2D7C" w:rsidRPr="007C6597" w:rsidRDefault="005F2D7C" w:rsidP="005F2D7C">
      <w:pPr>
        <w:spacing w:after="0" w:line="276" w:lineRule="auto"/>
        <w:rPr>
          <w:rFonts w:ascii="Verdana" w:hAnsi="Verdana" w:cs="Arial"/>
          <w:lang w:eastAsia="es-CO"/>
        </w:rPr>
      </w:pPr>
      <w:r w:rsidRPr="007C6597">
        <w:rPr>
          <w:rFonts w:ascii="Verdana" w:eastAsia="Times New Roman" w:hAnsi="Verdana" w:cs="Arial"/>
          <w:lang w:eastAsia="es-CO"/>
        </w:rPr>
        <w:t>Atentamente,</w:t>
      </w:r>
      <w:r w:rsidRPr="007C6597">
        <w:rPr>
          <w:rFonts w:ascii="Verdana" w:hAnsi="Verdana" w:cs="Arial"/>
          <w:lang w:eastAsia="es-CO"/>
        </w:rPr>
        <w:t xml:space="preserve"> </w:t>
      </w:r>
    </w:p>
    <w:p w14:paraId="083CCAC2" w14:textId="4C656CE4" w:rsidR="005F2D7C" w:rsidRPr="007C6597" w:rsidRDefault="00F7716C" w:rsidP="005F2D7C">
      <w:pPr>
        <w:spacing w:line="276" w:lineRule="auto"/>
        <w:jc w:val="center"/>
        <w:rPr>
          <w:rFonts w:ascii="Verdana" w:hAnsi="Verdana" w:cs="Arial"/>
          <w:color w:val="000000"/>
          <w:lang w:eastAsia="es-CO"/>
        </w:rPr>
      </w:pPr>
      <w:r>
        <w:rPr>
          <w:noProof/>
        </w:rPr>
        <w:drawing>
          <wp:inline distT="0" distB="0" distL="0" distR="0" wp14:anchorId="6A0F4BAE" wp14:editId="67D73EC8">
            <wp:extent cx="3771900" cy="1400175"/>
            <wp:effectExtent l="0" t="0" r="0" b="9525"/>
            <wp:docPr id="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1" descr="Texto&#10;&#10;Descripción generada automáticamente"/>
                    <pic:cNvPicPr>
                      <a:picLocks noChangeAspect="1"/>
                    </pic:cNvPicPr>
                  </pic:nvPicPr>
                  <pic:blipFill>
                    <a:blip r:embed="rId18"/>
                    <a:stretch>
                      <a:fillRect/>
                    </a:stretch>
                  </pic:blipFill>
                  <pic:spPr>
                    <a:xfrm>
                      <a:off x="0" y="0"/>
                      <a:ext cx="3771900" cy="1400175"/>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5F2D7C" w:rsidRPr="007C6597" w14:paraId="15EE1B55" w14:textId="77777777" w:rsidTr="00AE647B">
        <w:trPr>
          <w:trHeight w:val="315"/>
        </w:trPr>
        <w:tc>
          <w:tcPr>
            <w:tcW w:w="893" w:type="dxa"/>
            <w:vAlign w:val="center"/>
            <w:hideMark/>
          </w:tcPr>
          <w:p w14:paraId="1F3B3CA3" w14:textId="77777777" w:rsidR="005F2D7C" w:rsidRPr="007C6597" w:rsidRDefault="005F2D7C" w:rsidP="00AE647B">
            <w:pPr>
              <w:contextualSpacing/>
              <w:rPr>
                <w:rFonts w:ascii="Verdana" w:hAnsi="Verdana" w:cs="Arial"/>
                <w:sz w:val="16"/>
                <w:szCs w:val="16"/>
                <w:lang w:eastAsia="es-ES"/>
              </w:rPr>
            </w:pPr>
            <w:r w:rsidRPr="007C6597">
              <w:rPr>
                <w:rFonts w:ascii="Verdana" w:hAnsi="Verdana" w:cs="Arial"/>
                <w:sz w:val="16"/>
                <w:szCs w:val="16"/>
                <w:lang w:eastAsia="es-ES"/>
              </w:rPr>
              <w:t>Elaboró:</w:t>
            </w:r>
          </w:p>
        </w:tc>
        <w:tc>
          <w:tcPr>
            <w:tcW w:w="5628" w:type="dxa"/>
            <w:tcBorders>
              <w:top w:val="nil"/>
              <w:left w:val="nil"/>
              <w:bottom w:val="dotted" w:sz="4" w:space="0" w:color="7F7F7F" w:themeColor="text1" w:themeTint="80"/>
              <w:right w:val="nil"/>
            </w:tcBorders>
            <w:vAlign w:val="center"/>
            <w:hideMark/>
          </w:tcPr>
          <w:p w14:paraId="3E91E99E" w14:textId="77777777" w:rsidR="005F2D7C" w:rsidRPr="007C6597" w:rsidRDefault="005F2D7C" w:rsidP="00AE647B">
            <w:pPr>
              <w:contextualSpacing/>
              <w:rPr>
                <w:rFonts w:ascii="Verdana" w:hAnsi="Verdana"/>
                <w:sz w:val="16"/>
                <w:szCs w:val="16"/>
              </w:rPr>
            </w:pPr>
            <w:r w:rsidRPr="007C6597">
              <w:rPr>
                <w:rFonts w:ascii="Verdana" w:hAnsi="Verdana"/>
                <w:sz w:val="16"/>
                <w:szCs w:val="16"/>
              </w:rPr>
              <w:t>Tatiana Baquero Iguarán</w:t>
            </w:r>
          </w:p>
          <w:p w14:paraId="7EBC3945" w14:textId="77777777" w:rsidR="005F2D7C" w:rsidRPr="007C6597" w:rsidRDefault="005F2D7C" w:rsidP="00AE647B">
            <w:pPr>
              <w:contextualSpacing/>
              <w:rPr>
                <w:rFonts w:ascii="Verdana" w:eastAsia="Arial" w:hAnsi="Verdana" w:cs="Arial"/>
                <w:sz w:val="16"/>
                <w:szCs w:val="16"/>
              </w:rPr>
            </w:pPr>
            <w:r w:rsidRPr="007C6597">
              <w:rPr>
                <w:rFonts w:ascii="Verdana" w:hAnsi="Verdana"/>
                <w:sz w:val="16"/>
                <w:szCs w:val="16"/>
              </w:rPr>
              <w:t>Contratista de la Subdirección de Gestión Contractual</w:t>
            </w:r>
          </w:p>
        </w:tc>
      </w:tr>
      <w:tr w:rsidR="005F2D7C" w:rsidRPr="007C6597" w14:paraId="26052F33" w14:textId="77777777" w:rsidTr="00AE647B">
        <w:trPr>
          <w:trHeight w:val="330"/>
        </w:trPr>
        <w:tc>
          <w:tcPr>
            <w:tcW w:w="893" w:type="dxa"/>
            <w:vAlign w:val="center"/>
            <w:hideMark/>
          </w:tcPr>
          <w:p w14:paraId="6A9B4ABE" w14:textId="77777777" w:rsidR="005F2D7C" w:rsidRPr="007C6597" w:rsidRDefault="005F2D7C" w:rsidP="00AE647B">
            <w:pPr>
              <w:contextualSpacing/>
              <w:rPr>
                <w:rFonts w:ascii="Verdana" w:hAnsi="Verdana" w:cs="Arial"/>
                <w:sz w:val="16"/>
                <w:szCs w:val="16"/>
                <w:lang w:eastAsia="es-ES"/>
              </w:rPr>
            </w:pPr>
            <w:r w:rsidRPr="007C6597">
              <w:rPr>
                <w:rFonts w:ascii="Verdana" w:hAnsi="Verdana" w:cs="Arial"/>
                <w:sz w:val="16"/>
                <w:szCs w:val="16"/>
                <w:lang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628F4412" w14:textId="77777777" w:rsidR="005F2D7C" w:rsidRPr="007C6597" w:rsidRDefault="005F2D7C" w:rsidP="00AE647B">
            <w:pPr>
              <w:spacing w:before="100" w:beforeAutospacing="1" w:after="100" w:afterAutospacing="1"/>
              <w:contextualSpacing/>
              <w:textAlignment w:val="baseline"/>
              <w:rPr>
                <w:rFonts w:ascii="Verdana" w:eastAsia="Times New Roman" w:hAnsi="Verdana" w:cs="Segoe UI"/>
                <w:sz w:val="16"/>
                <w:szCs w:val="16"/>
                <w:lang w:eastAsia="es-ES_tradnl"/>
              </w:rPr>
            </w:pPr>
            <w:r w:rsidRPr="007C6597">
              <w:rPr>
                <w:rFonts w:ascii="Verdana" w:eastAsia="Times New Roman" w:hAnsi="Verdana" w:cs="Segoe UI"/>
                <w:sz w:val="16"/>
                <w:szCs w:val="16"/>
                <w:lang w:eastAsia="es-ES_tradnl"/>
              </w:rPr>
              <w:t>Alejandro Raúl Sarmiento Cantillo</w:t>
            </w:r>
          </w:p>
          <w:p w14:paraId="2D3359B5" w14:textId="77777777" w:rsidR="005F2D7C" w:rsidRPr="007C6597" w:rsidRDefault="005F2D7C" w:rsidP="00AE647B">
            <w:pPr>
              <w:spacing w:before="100" w:beforeAutospacing="1" w:after="100" w:afterAutospacing="1"/>
              <w:contextualSpacing/>
              <w:textAlignment w:val="baseline"/>
              <w:rPr>
                <w:rFonts w:ascii="Verdana" w:eastAsia="Times New Roman" w:hAnsi="Verdana" w:cs="Segoe UI"/>
                <w:sz w:val="16"/>
                <w:szCs w:val="16"/>
                <w:lang w:eastAsia="es-ES_tradnl"/>
              </w:rPr>
            </w:pPr>
            <w:r w:rsidRPr="007C6597">
              <w:rPr>
                <w:rFonts w:ascii="Verdana" w:eastAsia="Times New Roman" w:hAnsi="Verdana" w:cs="Segoe UI"/>
                <w:sz w:val="16"/>
                <w:szCs w:val="16"/>
                <w:lang w:eastAsia="es-ES_tradnl"/>
              </w:rPr>
              <w:t>Gestor T1-15 de la Subdirección de Gestión Contractual</w:t>
            </w:r>
          </w:p>
        </w:tc>
      </w:tr>
      <w:tr w:rsidR="005F2D7C" w:rsidRPr="007C6597" w14:paraId="5308212E" w14:textId="77777777" w:rsidTr="00AE647B">
        <w:trPr>
          <w:trHeight w:val="300"/>
        </w:trPr>
        <w:tc>
          <w:tcPr>
            <w:tcW w:w="893" w:type="dxa"/>
            <w:vAlign w:val="center"/>
          </w:tcPr>
          <w:p w14:paraId="2FF08514" w14:textId="77777777" w:rsidR="005F2D7C" w:rsidRPr="007C6597" w:rsidRDefault="005F2D7C" w:rsidP="00AE647B">
            <w:pPr>
              <w:contextualSpacing/>
              <w:rPr>
                <w:rFonts w:ascii="Verdana" w:hAnsi="Verdana" w:cs="Arial"/>
                <w:sz w:val="16"/>
                <w:szCs w:val="16"/>
                <w:lang w:eastAsia="es-ES"/>
              </w:rPr>
            </w:pPr>
            <w:r w:rsidRPr="007C6597">
              <w:rPr>
                <w:rFonts w:ascii="Verdana" w:hAnsi="Verdana" w:cs="Arial"/>
                <w:sz w:val="16"/>
                <w:szCs w:val="16"/>
                <w:lang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392E2A08" w14:textId="77777777" w:rsidR="005F2D7C" w:rsidRPr="007C6597" w:rsidRDefault="005F2D7C" w:rsidP="00AE647B">
            <w:pPr>
              <w:contextualSpacing/>
              <w:rPr>
                <w:rFonts w:ascii="Verdana" w:eastAsia="Calibri" w:hAnsi="Verdana" w:cs="Arial"/>
                <w:sz w:val="16"/>
                <w:szCs w:val="16"/>
                <w:lang w:eastAsia="es-ES"/>
              </w:rPr>
            </w:pPr>
            <w:r w:rsidRPr="007C6597">
              <w:rPr>
                <w:rFonts w:ascii="Verdana" w:eastAsia="Calibri" w:hAnsi="Verdana" w:cs="Arial"/>
                <w:sz w:val="16"/>
                <w:szCs w:val="16"/>
                <w:lang w:eastAsia="es-ES"/>
              </w:rPr>
              <w:t>Carolina Quintero Gacharná</w:t>
            </w:r>
          </w:p>
          <w:p w14:paraId="3B0F3F9C" w14:textId="77777777" w:rsidR="005F2D7C" w:rsidRPr="007C6597" w:rsidRDefault="005F2D7C" w:rsidP="00AE647B">
            <w:pPr>
              <w:contextualSpacing/>
              <w:rPr>
                <w:rFonts w:ascii="Verdana" w:eastAsia="Calibri" w:hAnsi="Verdana" w:cs="Arial"/>
                <w:sz w:val="16"/>
                <w:szCs w:val="16"/>
                <w:lang w:eastAsia="es-ES"/>
              </w:rPr>
            </w:pPr>
            <w:r w:rsidRPr="007C6597">
              <w:rPr>
                <w:rFonts w:ascii="Verdana" w:eastAsia="Calibri" w:hAnsi="Verdana" w:cs="Arial"/>
                <w:sz w:val="16"/>
                <w:szCs w:val="16"/>
                <w:lang w:eastAsia="es-ES"/>
              </w:rPr>
              <w:t>Subdirectora de Gestión Contractual ANCP – CCE</w:t>
            </w:r>
          </w:p>
        </w:tc>
      </w:tr>
    </w:tbl>
    <w:p w14:paraId="79EDD5EC" w14:textId="77777777" w:rsidR="005F2D7C" w:rsidRPr="00E02524" w:rsidRDefault="005F2D7C" w:rsidP="005F2D7C">
      <w:pPr>
        <w:spacing w:after="0" w:line="240" w:lineRule="auto"/>
        <w:jc w:val="both"/>
        <w:rPr>
          <w:rFonts w:ascii="Verdana" w:eastAsia="Verdana" w:hAnsi="Verdana" w:cs="Verdana"/>
          <w:b/>
          <w:bCs/>
          <w:lang w:val="es-MX"/>
        </w:rPr>
      </w:pPr>
      <w:bookmarkStart w:id="5" w:name="_Hlk186494164"/>
      <w:bookmarkEnd w:id="5"/>
    </w:p>
    <w:p w14:paraId="3434B45F" w14:textId="77777777" w:rsidR="005F2D7C" w:rsidRPr="000E2B93" w:rsidRDefault="005F2D7C" w:rsidP="005F2D7C">
      <w:pPr>
        <w:spacing w:after="0" w:line="240" w:lineRule="auto"/>
        <w:jc w:val="both"/>
        <w:textAlignment w:val="baseline"/>
        <w:rPr>
          <w:rFonts w:ascii="Verdana" w:eastAsia="Verdana" w:hAnsi="Verdana" w:cs="Verdana"/>
          <w:lang w:eastAsia="es-CO"/>
        </w:rPr>
      </w:pPr>
    </w:p>
    <w:p w14:paraId="64F8813E" w14:textId="77A79630" w:rsidR="005F2D7C" w:rsidRPr="000E2B93" w:rsidRDefault="005F2D7C" w:rsidP="005F2D7C">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p w14:paraId="2C831478" w14:textId="77777777" w:rsidR="005F2D7C" w:rsidRPr="00430A10" w:rsidRDefault="005F2D7C" w:rsidP="005F2D7C">
      <w:pPr>
        <w:jc w:val="both"/>
      </w:pPr>
    </w:p>
    <w:p w14:paraId="3BB51D7B" w14:textId="77777777" w:rsidR="005F2D7C" w:rsidRPr="00876806" w:rsidRDefault="005F2D7C" w:rsidP="005F2D7C"/>
    <w:p w14:paraId="7EFA4ADD" w14:textId="3FF39070" w:rsidR="00D841D1" w:rsidRPr="005F2D7C" w:rsidRDefault="00D841D1" w:rsidP="005F2D7C"/>
    <w:sectPr w:rsidR="00D841D1" w:rsidRPr="005F2D7C" w:rsidSect="007C0C0F">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18C50" w14:textId="77777777" w:rsidR="00C44DD3" w:rsidRDefault="00C44DD3" w:rsidP="004A1847">
      <w:pPr>
        <w:spacing w:after="0" w:line="240" w:lineRule="auto"/>
      </w:pPr>
      <w:r>
        <w:separator/>
      </w:r>
    </w:p>
  </w:endnote>
  <w:endnote w:type="continuationSeparator" w:id="0">
    <w:p w14:paraId="5801C8C7" w14:textId="77777777" w:rsidR="00C44DD3" w:rsidRDefault="00C44DD3" w:rsidP="004A1847">
      <w:pPr>
        <w:spacing w:after="0" w:line="240" w:lineRule="auto"/>
      </w:pPr>
      <w:r>
        <w:continuationSeparator/>
      </w:r>
    </w:p>
  </w:endnote>
  <w:endnote w:type="continuationNotice" w:id="1">
    <w:p w14:paraId="714AEC78" w14:textId="77777777" w:rsidR="00C44DD3" w:rsidRDefault="00C44D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2EA16" w14:textId="77777777" w:rsidR="00C44DD3" w:rsidRDefault="00C44DD3" w:rsidP="004A1847">
      <w:pPr>
        <w:spacing w:after="0" w:line="240" w:lineRule="auto"/>
      </w:pPr>
      <w:r>
        <w:separator/>
      </w:r>
    </w:p>
  </w:footnote>
  <w:footnote w:type="continuationSeparator" w:id="0">
    <w:p w14:paraId="0A3A750B" w14:textId="77777777" w:rsidR="00C44DD3" w:rsidRDefault="00C44DD3" w:rsidP="004A1847">
      <w:pPr>
        <w:spacing w:after="0" w:line="240" w:lineRule="auto"/>
      </w:pPr>
      <w:r>
        <w:continuationSeparator/>
      </w:r>
    </w:p>
  </w:footnote>
  <w:footnote w:type="continuationNotice" w:id="1">
    <w:p w14:paraId="0CF47892" w14:textId="77777777" w:rsidR="00C44DD3" w:rsidRDefault="00C44DD3">
      <w:pPr>
        <w:spacing w:after="0" w:line="240" w:lineRule="auto"/>
      </w:pPr>
    </w:p>
  </w:footnote>
  <w:footnote w:id="2">
    <w:p w14:paraId="60B621B6" w14:textId="77777777" w:rsidR="005F2D7C" w:rsidRDefault="005F2D7C" w:rsidP="005F2D7C">
      <w:pPr>
        <w:pStyle w:val="Textonotapie"/>
        <w:ind w:firstLine="709"/>
        <w:jc w:val="both"/>
        <w:rPr>
          <w:rFonts w:ascii="Verdana" w:hAnsi="Verdana" w:cs="Arial"/>
          <w:sz w:val="16"/>
          <w:szCs w:val="16"/>
        </w:rPr>
      </w:pPr>
      <w:r>
        <w:rPr>
          <w:rStyle w:val="Refdenotaalpie"/>
          <w:rFonts w:ascii="Verdana" w:hAnsi="Verdana" w:cs="Arial"/>
          <w:sz w:val="16"/>
          <w:szCs w:val="16"/>
        </w:rPr>
        <w:footnoteRef/>
      </w:r>
      <w:r>
        <w:rPr>
          <w:rFonts w:ascii="Verdana" w:hAnsi="Verdana" w:cs="Arial"/>
          <w:sz w:val="16"/>
          <w:szCs w:val="16"/>
        </w:rPr>
        <w:t xml:space="preserve"> Procuraduría General de la Nación. Concepto del 15 de octubre de 2014. Procuraduría Delegada para Asuntos Disciplinarios. Radicado PAD C-114-2014.</w:t>
      </w:r>
    </w:p>
  </w:footnote>
  <w:footnote w:id="3">
    <w:p w14:paraId="46383C6D" w14:textId="77777777" w:rsidR="005F2D7C" w:rsidRDefault="005F2D7C" w:rsidP="005F2D7C">
      <w:pPr>
        <w:pStyle w:val="Textonotapie"/>
        <w:ind w:firstLine="708"/>
        <w:jc w:val="both"/>
        <w:rPr>
          <w:rFonts w:ascii="Verdana" w:hAnsi="Verdana" w:cs="Arial"/>
          <w:sz w:val="16"/>
          <w:szCs w:val="16"/>
        </w:rPr>
      </w:pPr>
      <w:r>
        <w:rPr>
          <w:rStyle w:val="Refdenotaalpie"/>
          <w:rFonts w:ascii="Verdana" w:hAnsi="Verdana" w:cs="Arial"/>
          <w:sz w:val="16"/>
          <w:szCs w:val="16"/>
        </w:rPr>
        <w:footnoteRef/>
      </w:r>
      <w:r>
        <w:rPr>
          <w:rFonts w:ascii="Verdana" w:hAnsi="Verdana" w:cs="Arial"/>
          <w:sz w:val="16"/>
          <w:szCs w:val="16"/>
        </w:rPr>
        <w:t xml:space="preserve"> Contraloría General de la República. Oficina Jurídica. Concepto 80112-OJ-008 2017.</w:t>
      </w:r>
    </w:p>
  </w:footnote>
  <w:footnote w:id="4">
    <w:p w14:paraId="7672FE5B" w14:textId="77777777" w:rsidR="005F2D7C" w:rsidRDefault="005F2D7C" w:rsidP="005F2D7C">
      <w:pPr>
        <w:pStyle w:val="Textonotapie"/>
        <w:ind w:firstLine="708"/>
        <w:jc w:val="both"/>
        <w:rPr>
          <w:rFonts w:ascii="Verdana" w:hAnsi="Verdana" w:cs="Arial"/>
          <w:sz w:val="16"/>
          <w:szCs w:val="16"/>
        </w:rPr>
      </w:pPr>
      <w:r>
        <w:rPr>
          <w:rStyle w:val="Refdenotaalpie"/>
          <w:rFonts w:ascii="Verdana" w:hAnsi="Verdana" w:cs="Arial"/>
          <w:sz w:val="16"/>
          <w:szCs w:val="16"/>
        </w:rPr>
        <w:footnoteRef/>
      </w:r>
      <w:r>
        <w:rPr>
          <w:rFonts w:ascii="Verdana" w:hAnsi="Verdana" w:cs="Arial"/>
          <w:sz w:val="16"/>
          <w:szCs w:val="16"/>
        </w:rPr>
        <w:t xml:space="preserve"> ARBOLEDA PERDONO, Enrique José. Comentarios al Nuevo Código de Procedimiento Administrativo y de lo Contencioso Administrativo (2ª ed.). Editorial Legis. Bogotá. 2012. p. 59.</w:t>
      </w:r>
    </w:p>
  </w:footnote>
  <w:footnote w:id="5">
    <w:p w14:paraId="3494E451" w14:textId="77777777" w:rsidR="005F2D7C" w:rsidRDefault="005F2D7C" w:rsidP="005F2D7C">
      <w:pPr>
        <w:pStyle w:val="Textonotapie"/>
        <w:ind w:firstLine="709"/>
        <w:jc w:val="both"/>
        <w:rPr>
          <w:rFonts w:ascii="Verdana" w:hAnsi="Verdana" w:cs="Arial"/>
          <w:sz w:val="16"/>
          <w:szCs w:val="16"/>
        </w:rPr>
      </w:pPr>
      <w:r>
        <w:rPr>
          <w:rStyle w:val="Refdenotaalpie"/>
          <w:rFonts w:ascii="Verdana" w:hAnsi="Verdana" w:cs="Arial"/>
          <w:sz w:val="16"/>
          <w:szCs w:val="16"/>
        </w:rPr>
        <w:footnoteRef/>
      </w:r>
      <w:r>
        <w:rPr>
          <w:rFonts w:ascii="Verdana" w:hAnsi="Verdana" w:cs="Arial"/>
          <w:sz w:val="16"/>
          <w:szCs w:val="16"/>
        </w:rPr>
        <w:t xml:space="preserve"> Cfr. HERNÁNDEZ BECERRA, Augusto. Función Consultiva y Consejo de Estado en Colombia. Ponencia presentada en las III Jornadas Internacionales de la Función Consultiva, organizadas por el Instituto de Investigaciones Jurídicas y el programa de Postgrado en Derecho de la Universidad Nacional Autónoma de México – UNAM. México. 2012. Pág. 9. Texto disponible para ser consultado en el siguiente hipervínculo: </w:t>
      </w:r>
      <w:hyperlink r:id="rId1" w:history="1">
        <w:r>
          <w:rPr>
            <w:rStyle w:val="Hipervnculo"/>
            <w:rFonts w:ascii="Verdana" w:hAnsi="Verdana" w:cs="Arial"/>
            <w:sz w:val="16"/>
            <w:szCs w:val="16"/>
          </w:rPr>
          <w:t>https://issuu.com/estudiolegalhernandez/docs/ahb._funci__n_consultiva_y_consejo_</w:t>
        </w:r>
      </w:hyperlink>
      <w:r>
        <w:rPr>
          <w:rFonts w:ascii="Verdana" w:hAnsi="Verdana" w:cs="Arial"/>
          <w:sz w:val="16"/>
          <w:szCs w:val="16"/>
        </w:rPr>
        <w:t>.</w:t>
      </w:r>
    </w:p>
  </w:footnote>
  <w:footnote w:id="6">
    <w:p w14:paraId="4F07C99F" w14:textId="77777777" w:rsidR="005F2D7C" w:rsidRDefault="005F2D7C" w:rsidP="005F2D7C">
      <w:pPr>
        <w:pStyle w:val="Textonotapie"/>
        <w:ind w:firstLine="708"/>
        <w:jc w:val="both"/>
        <w:rPr>
          <w:rFonts w:ascii="Verdana" w:hAnsi="Verdana" w:cs="Arial"/>
          <w:sz w:val="16"/>
          <w:szCs w:val="16"/>
        </w:rPr>
      </w:pPr>
      <w:r>
        <w:rPr>
          <w:rStyle w:val="Refdenotaalpie"/>
          <w:rFonts w:ascii="Verdana" w:hAnsi="Verdana" w:cs="Arial"/>
          <w:sz w:val="16"/>
          <w:szCs w:val="16"/>
        </w:rPr>
        <w:footnoteRef/>
      </w:r>
      <w:r>
        <w:rPr>
          <w:rFonts w:ascii="Verdana" w:hAnsi="Verdana" w:cs="Arial"/>
          <w:sz w:val="16"/>
          <w:szCs w:val="16"/>
        </w:rPr>
        <w:t xml:space="preserve"> Consejo de Estado. Sala de Consulta y Servicio Civil. Concepto del 5 de octubre de 2009. Expediente 11001-03-06-000-2009-00049-00(1966). C.P. William Zambrano Cetina.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4.4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543D6124"/>
    <w:multiLevelType w:val="hybridMultilevel"/>
    <w:tmpl w:val="E7AC739E"/>
    <w:lvl w:ilvl="0" w:tplc="04090001">
      <w:start w:val="1"/>
      <w:numFmt w:val="bullet"/>
      <w:lvlText w:val=""/>
      <w:lvlJc w:val="left"/>
      <w:pPr>
        <w:ind w:left="615" w:hanging="360"/>
      </w:pPr>
      <w:rPr>
        <w:rFonts w:ascii="Symbol" w:hAnsi="Symbol" w:hint="default"/>
      </w:rPr>
    </w:lvl>
    <w:lvl w:ilvl="1" w:tplc="04090003">
      <w:start w:val="1"/>
      <w:numFmt w:val="bullet"/>
      <w:lvlText w:val="o"/>
      <w:lvlJc w:val="left"/>
      <w:pPr>
        <w:ind w:left="1335" w:hanging="360"/>
      </w:pPr>
      <w:rPr>
        <w:rFonts w:ascii="Courier New" w:hAnsi="Courier New" w:cs="Courier New" w:hint="default"/>
      </w:rPr>
    </w:lvl>
    <w:lvl w:ilvl="2" w:tplc="04090005">
      <w:start w:val="1"/>
      <w:numFmt w:val="bullet"/>
      <w:lvlText w:val=""/>
      <w:lvlJc w:val="left"/>
      <w:pPr>
        <w:ind w:left="2055" w:hanging="360"/>
      </w:pPr>
      <w:rPr>
        <w:rFonts w:ascii="Wingdings" w:hAnsi="Wingdings" w:hint="default"/>
      </w:rPr>
    </w:lvl>
    <w:lvl w:ilvl="3" w:tplc="04090001">
      <w:start w:val="1"/>
      <w:numFmt w:val="bullet"/>
      <w:lvlText w:val=""/>
      <w:lvlJc w:val="left"/>
      <w:pPr>
        <w:ind w:left="2775" w:hanging="360"/>
      </w:pPr>
      <w:rPr>
        <w:rFonts w:ascii="Symbol" w:hAnsi="Symbol" w:hint="default"/>
      </w:rPr>
    </w:lvl>
    <w:lvl w:ilvl="4" w:tplc="04090003">
      <w:start w:val="1"/>
      <w:numFmt w:val="bullet"/>
      <w:lvlText w:val="o"/>
      <w:lvlJc w:val="left"/>
      <w:pPr>
        <w:ind w:left="3495" w:hanging="360"/>
      </w:pPr>
      <w:rPr>
        <w:rFonts w:ascii="Courier New" w:hAnsi="Courier New" w:cs="Courier New" w:hint="default"/>
      </w:rPr>
    </w:lvl>
    <w:lvl w:ilvl="5" w:tplc="04090005">
      <w:start w:val="1"/>
      <w:numFmt w:val="bullet"/>
      <w:lvlText w:val=""/>
      <w:lvlJc w:val="left"/>
      <w:pPr>
        <w:ind w:left="4215" w:hanging="360"/>
      </w:pPr>
      <w:rPr>
        <w:rFonts w:ascii="Wingdings" w:hAnsi="Wingdings" w:hint="default"/>
      </w:rPr>
    </w:lvl>
    <w:lvl w:ilvl="6" w:tplc="04090001">
      <w:start w:val="1"/>
      <w:numFmt w:val="bullet"/>
      <w:lvlText w:val=""/>
      <w:lvlJc w:val="left"/>
      <w:pPr>
        <w:ind w:left="4935" w:hanging="360"/>
      </w:pPr>
      <w:rPr>
        <w:rFonts w:ascii="Symbol" w:hAnsi="Symbol" w:hint="default"/>
      </w:rPr>
    </w:lvl>
    <w:lvl w:ilvl="7" w:tplc="04090003">
      <w:start w:val="1"/>
      <w:numFmt w:val="bullet"/>
      <w:lvlText w:val="o"/>
      <w:lvlJc w:val="left"/>
      <w:pPr>
        <w:ind w:left="5655" w:hanging="360"/>
      </w:pPr>
      <w:rPr>
        <w:rFonts w:ascii="Courier New" w:hAnsi="Courier New" w:cs="Courier New" w:hint="default"/>
      </w:rPr>
    </w:lvl>
    <w:lvl w:ilvl="8" w:tplc="04090005">
      <w:start w:val="1"/>
      <w:numFmt w:val="bullet"/>
      <w:lvlText w:val=""/>
      <w:lvlJc w:val="left"/>
      <w:pPr>
        <w:ind w:left="6375" w:hanging="360"/>
      </w:pPr>
      <w:rPr>
        <w:rFonts w:ascii="Wingdings" w:hAnsi="Wingdings" w:hint="default"/>
      </w:rPr>
    </w:lvl>
  </w:abstractNum>
  <w:abstractNum w:abstractNumId="11"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4"/>
  </w:num>
  <w:num w:numId="7" w16cid:durableId="1946422806">
    <w:abstractNumId w:val="5"/>
  </w:num>
  <w:num w:numId="8" w16cid:durableId="152644682">
    <w:abstractNumId w:val="13"/>
  </w:num>
  <w:num w:numId="9" w16cid:durableId="1317221377">
    <w:abstractNumId w:val="7"/>
  </w:num>
  <w:num w:numId="10" w16cid:durableId="1471245386">
    <w:abstractNumId w:val="12"/>
  </w:num>
  <w:num w:numId="11" w16cid:durableId="289172385">
    <w:abstractNumId w:val="8"/>
  </w:num>
  <w:num w:numId="12" w16cid:durableId="1470781324">
    <w:abstractNumId w:val="1"/>
  </w:num>
  <w:num w:numId="13" w16cid:durableId="1512908409">
    <w:abstractNumId w:val="3"/>
  </w:num>
  <w:num w:numId="14" w16cid:durableId="895897244">
    <w:abstractNumId w:val="15"/>
  </w:num>
  <w:num w:numId="15" w16cid:durableId="390349800">
    <w:abstractNumId w:val="11"/>
  </w:num>
  <w:num w:numId="16" w16cid:durableId="341274352">
    <w:abstractNumId w:val="0"/>
  </w:num>
  <w:num w:numId="17" w16cid:durableId="679089576">
    <w:abstractNumId w:val="9"/>
  </w:num>
  <w:num w:numId="18" w16cid:durableId="784693449">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072603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4345"/>
    <w:rsid w:val="00005225"/>
    <w:rsid w:val="00016F78"/>
    <w:rsid w:val="000213A9"/>
    <w:rsid w:val="00022100"/>
    <w:rsid w:val="00024BB7"/>
    <w:rsid w:val="000250F3"/>
    <w:rsid w:val="0002564E"/>
    <w:rsid w:val="00025D04"/>
    <w:rsid w:val="00036A18"/>
    <w:rsid w:val="000457A7"/>
    <w:rsid w:val="00046945"/>
    <w:rsid w:val="00046E18"/>
    <w:rsid w:val="00061B2A"/>
    <w:rsid w:val="00076DF3"/>
    <w:rsid w:val="00082362"/>
    <w:rsid w:val="00082409"/>
    <w:rsid w:val="00084095"/>
    <w:rsid w:val="00095FF0"/>
    <w:rsid w:val="000A040D"/>
    <w:rsid w:val="000A12F3"/>
    <w:rsid w:val="000A683E"/>
    <w:rsid w:val="000B19B9"/>
    <w:rsid w:val="000B19EB"/>
    <w:rsid w:val="000C0EEB"/>
    <w:rsid w:val="000D0334"/>
    <w:rsid w:val="000D5DA7"/>
    <w:rsid w:val="000D729C"/>
    <w:rsid w:val="000E499B"/>
    <w:rsid w:val="000F53AA"/>
    <w:rsid w:val="000F6486"/>
    <w:rsid w:val="000F6952"/>
    <w:rsid w:val="0010487C"/>
    <w:rsid w:val="0011229B"/>
    <w:rsid w:val="00116940"/>
    <w:rsid w:val="001227B1"/>
    <w:rsid w:val="00125105"/>
    <w:rsid w:val="00127233"/>
    <w:rsid w:val="001272EB"/>
    <w:rsid w:val="00131071"/>
    <w:rsid w:val="00133937"/>
    <w:rsid w:val="00135A19"/>
    <w:rsid w:val="00137660"/>
    <w:rsid w:val="001410B2"/>
    <w:rsid w:val="00145DA2"/>
    <w:rsid w:val="0014644D"/>
    <w:rsid w:val="0015699B"/>
    <w:rsid w:val="00156B65"/>
    <w:rsid w:val="0016269D"/>
    <w:rsid w:val="00167D23"/>
    <w:rsid w:val="0017185D"/>
    <w:rsid w:val="001726D3"/>
    <w:rsid w:val="001900C0"/>
    <w:rsid w:val="00190B46"/>
    <w:rsid w:val="00193BB6"/>
    <w:rsid w:val="00194AAA"/>
    <w:rsid w:val="00197F38"/>
    <w:rsid w:val="001A33BF"/>
    <w:rsid w:val="001A37AC"/>
    <w:rsid w:val="001B3726"/>
    <w:rsid w:val="001B4BFD"/>
    <w:rsid w:val="001B60F9"/>
    <w:rsid w:val="001C0FAD"/>
    <w:rsid w:val="001C265A"/>
    <w:rsid w:val="001C48EA"/>
    <w:rsid w:val="001C4B57"/>
    <w:rsid w:val="001D74FA"/>
    <w:rsid w:val="001D783F"/>
    <w:rsid w:val="001E2411"/>
    <w:rsid w:val="001E2A7C"/>
    <w:rsid w:val="001E4177"/>
    <w:rsid w:val="001E43D8"/>
    <w:rsid w:val="001E568F"/>
    <w:rsid w:val="001F0B24"/>
    <w:rsid w:val="001F2BC7"/>
    <w:rsid w:val="001F5042"/>
    <w:rsid w:val="001F6520"/>
    <w:rsid w:val="001F7017"/>
    <w:rsid w:val="001F7DC6"/>
    <w:rsid w:val="0022400B"/>
    <w:rsid w:val="00225269"/>
    <w:rsid w:val="00225C18"/>
    <w:rsid w:val="00230B50"/>
    <w:rsid w:val="002421B4"/>
    <w:rsid w:val="002421BB"/>
    <w:rsid w:val="002422EB"/>
    <w:rsid w:val="00244744"/>
    <w:rsid w:val="00247D2D"/>
    <w:rsid w:val="002508F9"/>
    <w:rsid w:val="00250C85"/>
    <w:rsid w:val="00250DDE"/>
    <w:rsid w:val="00250F42"/>
    <w:rsid w:val="002535EC"/>
    <w:rsid w:val="0025796E"/>
    <w:rsid w:val="002707A2"/>
    <w:rsid w:val="00270977"/>
    <w:rsid w:val="002711AE"/>
    <w:rsid w:val="00273497"/>
    <w:rsid w:val="00274497"/>
    <w:rsid w:val="00275BEE"/>
    <w:rsid w:val="0028195A"/>
    <w:rsid w:val="00282FCF"/>
    <w:rsid w:val="0029468A"/>
    <w:rsid w:val="002951A0"/>
    <w:rsid w:val="002962BC"/>
    <w:rsid w:val="002A093D"/>
    <w:rsid w:val="002A0DD0"/>
    <w:rsid w:val="002A2A83"/>
    <w:rsid w:val="002A3C53"/>
    <w:rsid w:val="002A3D6C"/>
    <w:rsid w:val="002A49AC"/>
    <w:rsid w:val="002A64FD"/>
    <w:rsid w:val="002C0C30"/>
    <w:rsid w:val="002C7A84"/>
    <w:rsid w:val="002D0F35"/>
    <w:rsid w:val="002E0089"/>
    <w:rsid w:val="002E2BF8"/>
    <w:rsid w:val="002E4FD9"/>
    <w:rsid w:val="002E652B"/>
    <w:rsid w:val="002E7D3E"/>
    <w:rsid w:val="002F45E9"/>
    <w:rsid w:val="002F5B9E"/>
    <w:rsid w:val="00300980"/>
    <w:rsid w:val="00302C4B"/>
    <w:rsid w:val="003045A2"/>
    <w:rsid w:val="0030657A"/>
    <w:rsid w:val="00307B9B"/>
    <w:rsid w:val="00316876"/>
    <w:rsid w:val="00322A85"/>
    <w:rsid w:val="00323900"/>
    <w:rsid w:val="00324168"/>
    <w:rsid w:val="00330834"/>
    <w:rsid w:val="00330FB0"/>
    <w:rsid w:val="00333E02"/>
    <w:rsid w:val="003448F4"/>
    <w:rsid w:val="00347DAF"/>
    <w:rsid w:val="003608FC"/>
    <w:rsid w:val="00362881"/>
    <w:rsid w:val="00362958"/>
    <w:rsid w:val="0036411B"/>
    <w:rsid w:val="00364D29"/>
    <w:rsid w:val="00365079"/>
    <w:rsid w:val="00372DD9"/>
    <w:rsid w:val="00374F5E"/>
    <w:rsid w:val="003771BB"/>
    <w:rsid w:val="0037799F"/>
    <w:rsid w:val="00377E3E"/>
    <w:rsid w:val="00385D6F"/>
    <w:rsid w:val="0038722D"/>
    <w:rsid w:val="00387CBF"/>
    <w:rsid w:val="00390B8D"/>
    <w:rsid w:val="00393FCE"/>
    <w:rsid w:val="00395083"/>
    <w:rsid w:val="003A23A7"/>
    <w:rsid w:val="003A4313"/>
    <w:rsid w:val="003A779E"/>
    <w:rsid w:val="003B601B"/>
    <w:rsid w:val="003C496D"/>
    <w:rsid w:val="003C6F84"/>
    <w:rsid w:val="003D0CD6"/>
    <w:rsid w:val="003D0F4D"/>
    <w:rsid w:val="003D13A9"/>
    <w:rsid w:val="003D533E"/>
    <w:rsid w:val="003D5B0D"/>
    <w:rsid w:val="003D62FF"/>
    <w:rsid w:val="003E0499"/>
    <w:rsid w:val="003E46F7"/>
    <w:rsid w:val="003E4F80"/>
    <w:rsid w:val="003E6439"/>
    <w:rsid w:val="003E6681"/>
    <w:rsid w:val="003F086F"/>
    <w:rsid w:val="003F1DD5"/>
    <w:rsid w:val="003F3941"/>
    <w:rsid w:val="003F62AC"/>
    <w:rsid w:val="00403B94"/>
    <w:rsid w:val="00403F58"/>
    <w:rsid w:val="00406575"/>
    <w:rsid w:val="00412994"/>
    <w:rsid w:val="00412B51"/>
    <w:rsid w:val="00413BA2"/>
    <w:rsid w:val="00414C74"/>
    <w:rsid w:val="00423C99"/>
    <w:rsid w:val="00424D26"/>
    <w:rsid w:val="0042722E"/>
    <w:rsid w:val="00430A10"/>
    <w:rsid w:val="00440886"/>
    <w:rsid w:val="00440DB3"/>
    <w:rsid w:val="0044528D"/>
    <w:rsid w:val="00445DE5"/>
    <w:rsid w:val="00451A79"/>
    <w:rsid w:val="00457399"/>
    <w:rsid w:val="00466E39"/>
    <w:rsid w:val="00472108"/>
    <w:rsid w:val="004A1358"/>
    <w:rsid w:val="004A1847"/>
    <w:rsid w:val="004A305D"/>
    <w:rsid w:val="004A3903"/>
    <w:rsid w:val="004A6D0F"/>
    <w:rsid w:val="004B0106"/>
    <w:rsid w:val="004B07DE"/>
    <w:rsid w:val="004B2840"/>
    <w:rsid w:val="004C38A2"/>
    <w:rsid w:val="004C6C40"/>
    <w:rsid w:val="004D5C26"/>
    <w:rsid w:val="004D73DF"/>
    <w:rsid w:val="004E0B70"/>
    <w:rsid w:val="004E2726"/>
    <w:rsid w:val="004E54F4"/>
    <w:rsid w:val="004E6D07"/>
    <w:rsid w:val="004F21C4"/>
    <w:rsid w:val="004F685F"/>
    <w:rsid w:val="00500BC6"/>
    <w:rsid w:val="00503200"/>
    <w:rsid w:val="00510E96"/>
    <w:rsid w:val="00523535"/>
    <w:rsid w:val="005240FB"/>
    <w:rsid w:val="0052440E"/>
    <w:rsid w:val="005449CA"/>
    <w:rsid w:val="00554DBA"/>
    <w:rsid w:val="005566E8"/>
    <w:rsid w:val="00557125"/>
    <w:rsid w:val="00560914"/>
    <w:rsid w:val="00561822"/>
    <w:rsid w:val="005619C2"/>
    <w:rsid w:val="00564072"/>
    <w:rsid w:val="005662E6"/>
    <w:rsid w:val="00574867"/>
    <w:rsid w:val="005824DD"/>
    <w:rsid w:val="0058354E"/>
    <w:rsid w:val="00583C7A"/>
    <w:rsid w:val="0058517A"/>
    <w:rsid w:val="00587006"/>
    <w:rsid w:val="005872EB"/>
    <w:rsid w:val="00591460"/>
    <w:rsid w:val="005940EA"/>
    <w:rsid w:val="00596C6B"/>
    <w:rsid w:val="0059700C"/>
    <w:rsid w:val="005A65E0"/>
    <w:rsid w:val="005B043D"/>
    <w:rsid w:val="005B0D96"/>
    <w:rsid w:val="005B124F"/>
    <w:rsid w:val="005C0A62"/>
    <w:rsid w:val="005C23AA"/>
    <w:rsid w:val="005C3777"/>
    <w:rsid w:val="005C5CDC"/>
    <w:rsid w:val="005D4141"/>
    <w:rsid w:val="005D476C"/>
    <w:rsid w:val="005E5AF6"/>
    <w:rsid w:val="005F165A"/>
    <w:rsid w:val="005F2D7C"/>
    <w:rsid w:val="006019C3"/>
    <w:rsid w:val="00612DC3"/>
    <w:rsid w:val="00612E84"/>
    <w:rsid w:val="0061509D"/>
    <w:rsid w:val="006200BF"/>
    <w:rsid w:val="006219F8"/>
    <w:rsid w:val="00623E17"/>
    <w:rsid w:val="0062467D"/>
    <w:rsid w:val="006302F7"/>
    <w:rsid w:val="00636021"/>
    <w:rsid w:val="00636369"/>
    <w:rsid w:val="00636527"/>
    <w:rsid w:val="00646B9F"/>
    <w:rsid w:val="00665751"/>
    <w:rsid w:val="00665D70"/>
    <w:rsid w:val="006716BF"/>
    <w:rsid w:val="006853E4"/>
    <w:rsid w:val="006900D9"/>
    <w:rsid w:val="00696370"/>
    <w:rsid w:val="006B35B2"/>
    <w:rsid w:val="006B693D"/>
    <w:rsid w:val="006C7432"/>
    <w:rsid w:val="006D3D20"/>
    <w:rsid w:val="006E15EF"/>
    <w:rsid w:val="006E20FD"/>
    <w:rsid w:val="006E78C5"/>
    <w:rsid w:val="006F054F"/>
    <w:rsid w:val="006F69F0"/>
    <w:rsid w:val="006F7E4A"/>
    <w:rsid w:val="007000C0"/>
    <w:rsid w:val="007031A5"/>
    <w:rsid w:val="00706C16"/>
    <w:rsid w:val="00711122"/>
    <w:rsid w:val="00711162"/>
    <w:rsid w:val="00711882"/>
    <w:rsid w:val="0072259F"/>
    <w:rsid w:val="007228E0"/>
    <w:rsid w:val="0072483E"/>
    <w:rsid w:val="00727C23"/>
    <w:rsid w:val="0073110B"/>
    <w:rsid w:val="00733663"/>
    <w:rsid w:val="007340C3"/>
    <w:rsid w:val="00734EF7"/>
    <w:rsid w:val="007446AB"/>
    <w:rsid w:val="0075235A"/>
    <w:rsid w:val="00752906"/>
    <w:rsid w:val="00756841"/>
    <w:rsid w:val="007649AB"/>
    <w:rsid w:val="00771D0C"/>
    <w:rsid w:val="007737CE"/>
    <w:rsid w:val="00780965"/>
    <w:rsid w:val="007833AC"/>
    <w:rsid w:val="0078655B"/>
    <w:rsid w:val="00786713"/>
    <w:rsid w:val="00791286"/>
    <w:rsid w:val="00794550"/>
    <w:rsid w:val="00794876"/>
    <w:rsid w:val="00797CDF"/>
    <w:rsid w:val="007A01A0"/>
    <w:rsid w:val="007B0496"/>
    <w:rsid w:val="007B1B1E"/>
    <w:rsid w:val="007B268C"/>
    <w:rsid w:val="007B328E"/>
    <w:rsid w:val="007B7171"/>
    <w:rsid w:val="007C0C0F"/>
    <w:rsid w:val="007C20E6"/>
    <w:rsid w:val="007C3DC2"/>
    <w:rsid w:val="007D7E50"/>
    <w:rsid w:val="007E4445"/>
    <w:rsid w:val="007E5351"/>
    <w:rsid w:val="007E5497"/>
    <w:rsid w:val="007F08C2"/>
    <w:rsid w:val="007F263C"/>
    <w:rsid w:val="00802281"/>
    <w:rsid w:val="00806F5F"/>
    <w:rsid w:val="008111BB"/>
    <w:rsid w:val="00815CD3"/>
    <w:rsid w:val="00820278"/>
    <w:rsid w:val="008258C9"/>
    <w:rsid w:val="0082597B"/>
    <w:rsid w:val="00827F11"/>
    <w:rsid w:val="00830268"/>
    <w:rsid w:val="0083199B"/>
    <w:rsid w:val="008326CC"/>
    <w:rsid w:val="0083574D"/>
    <w:rsid w:val="00843737"/>
    <w:rsid w:val="00844AE9"/>
    <w:rsid w:val="00846EB2"/>
    <w:rsid w:val="00857C1A"/>
    <w:rsid w:val="008620C0"/>
    <w:rsid w:val="008644C8"/>
    <w:rsid w:val="0086780D"/>
    <w:rsid w:val="00867F95"/>
    <w:rsid w:val="00870D5A"/>
    <w:rsid w:val="00877095"/>
    <w:rsid w:val="00883885"/>
    <w:rsid w:val="008843B6"/>
    <w:rsid w:val="00885563"/>
    <w:rsid w:val="00886771"/>
    <w:rsid w:val="00891928"/>
    <w:rsid w:val="00893F0E"/>
    <w:rsid w:val="008A0793"/>
    <w:rsid w:val="008A446D"/>
    <w:rsid w:val="008B1A41"/>
    <w:rsid w:val="008B25F1"/>
    <w:rsid w:val="008B2EB4"/>
    <w:rsid w:val="008D180B"/>
    <w:rsid w:val="008D2745"/>
    <w:rsid w:val="008E6343"/>
    <w:rsid w:val="008E75B0"/>
    <w:rsid w:val="008F0EA7"/>
    <w:rsid w:val="008F6565"/>
    <w:rsid w:val="0090011C"/>
    <w:rsid w:val="00900BEC"/>
    <w:rsid w:val="00904006"/>
    <w:rsid w:val="00904123"/>
    <w:rsid w:val="009051AB"/>
    <w:rsid w:val="00910830"/>
    <w:rsid w:val="00914242"/>
    <w:rsid w:val="00914AE3"/>
    <w:rsid w:val="00923EEF"/>
    <w:rsid w:val="00923FF4"/>
    <w:rsid w:val="009345F0"/>
    <w:rsid w:val="0094087C"/>
    <w:rsid w:val="009419F9"/>
    <w:rsid w:val="0094653C"/>
    <w:rsid w:val="0095685E"/>
    <w:rsid w:val="00961B09"/>
    <w:rsid w:val="00964F8E"/>
    <w:rsid w:val="00965334"/>
    <w:rsid w:val="0097093E"/>
    <w:rsid w:val="0097564C"/>
    <w:rsid w:val="00976B30"/>
    <w:rsid w:val="009810F1"/>
    <w:rsid w:val="00981FB7"/>
    <w:rsid w:val="009822BF"/>
    <w:rsid w:val="00992AD3"/>
    <w:rsid w:val="009A0DFA"/>
    <w:rsid w:val="009A1C6F"/>
    <w:rsid w:val="009A3B32"/>
    <w:rsid w:val="009A3C5F"/>
    <w:rsid w:val="009A4F63"/>
    <w:rsid w:val="009B2919"/>
    <w:rsid w:val="009B2D26"/>
    <w:rsid w:val="009B61C9"/>
    <w:rsid w:val="009B6B97"/>
    <w:rsid w:val="009C327D"/>
    <w:rsid w:val="009C5ED1"/>
    <w:rsid w:val="009C71FA"/>
    <w:rsid w:val="009C72E7"/>
    <w:rsid w:val="009C7F7E"/>
    <w:rsid w:val="009D3058"/>
    <w:rsid w:val="009E1243"/>
    <w:rsid w:val="009F3A13"/>
    <w:rsid w:val="009F7EB0"/>
    <w:rsid w:val="00A037E4"/>
    <w:rsid w:val="00A0523D"/>
    <w:rsid w:val="00A122D3"/>
    <w:rsid w:val="00A14030"/>
    <w:rsid w:val="00A14468"/>
    <w:rsid w:val="00A17F13"/>
    <w:rsid w:val="00A20739"/>
    <w:rsid w:val="00A23AF9"/>
    <w:rsid w:val="00A26107"/>
    <w:rsid w:val="00A30BD9"/>
    <w:rsid w:val="00A31BCF"/>
    <w:rsid w:val="00A33C78"/>
    <w:rsid w:val="00A43284"/>
    <w:rsid w:val="00A53224"/>
    <w:rsid w:val="00A552E8"/>
    <w:rsid w:val="00A5713E"/>
    <w:rsid w:val="00A658F4"/>
    <w:rsid w:val="00A670E4"/>
    <w:rsid w:val="00A711B9"/>
    <w:rsid w:val="00A75BDD"/>
    <w:rsid w:val="00A935BB"/>
    <w:rsid w:val="00A968D3"/>
    <w:rsid w:val="00A97ACF"/>
    <w:rsid w:val="00A97B53"/>
    <w:rsid w:val="00AA6350"/>
    <w:rsid w:val="00AB07F8"/>
    <w:rsid w:val="00AB0ADB"/>
    <w:rsid w:val="00AC1B33"/>
    <w:rsid w:val="00AC52CF"/>
    <w:rsid w:val="00AC77CD"/>
    <w:rsid w:val="00AD2E61"/>
    <w:rsid w:val="00AE3F39"/>
    <w:rsid w:val="00AE45E3"/>
    <w:rsid w:val="00AE5793"/>
    <w:rsid w:val="00AE6081"/>
    <w:rsid w:val="00AE7143"/>
    <w:rsid w:val="00AF5A80"/>
    <w:rsid w:val="00B00C0E"/>
    <w:rsid w:val="00B01B1A"/>
    <w:rsid w:val="00B0381D"/>
    <w:rsid w:val="00B05D84"/>
    <w:rsid w:val="00B15A85"/>
    <w:rsid w:val="00B16590"/>
    <w:rsid w:val="00B16FA6"/>
    <w:rsid w:val="00B2033F"/>
    <w:rsid w:val="00B20CC5"/>
    <w:rsid w:val="00B27D37"/>
    <w:rsid w:val="00B33C00"/>
    <w:rsid w:val="00B41336"/>
    <w:rsid w:val="00B4211E"/>
    <w:rsid w:val="00B44388"/>
    <w:rsid w:val="00B44A47"/>
    <w:rsid w:val="00B54B12"/>
    <w:rsid w:val="00B66521"/>
    <w:rsid w:val="00B72CC4"/>
    <w:rsid w:val="00B72CD3"/>
    <w:rsid w:val="00B72FFF"/>
    <w:rsid w:val="00B74366"/>
    <w:rsid w:val="00B8520A"/>
    <w:rsid w:val="00B869D0"/>
    <w:rsid w:val="00B87A44"/>
    <w:rsid w:val="00B928B5"/>
    <w:rsid w:val="00B92F1D"/>
    <w:rsid w:val="00B96C3D"/>
    <w:rsid w:val="00BA19E0"/>
    <w:rsid w:val="00BA4A83"/>
    <w:rsid w:val="00BB49C0"/>
    <w:rsid w:val="00BC3D36"/>
    <w:rsid w:val="00BC5910"/>
    <w:rsid w:val="00BC6D28"/>
    <w:rsid w:val="00BD1AAE"/>
    <w:rsid w:val="00BD54A6"/>
    <w:rsid w:val="00BD6A92"/>
    <w:rsid w:val="00BD701D"/>
    <w:rsid w:val="00BD7F72"/>
    <w:rsid w:val="00BE1615"/>
    <w:rsid w:val="00BE1BE5"/>
    <w:rsid w:val="00BE2665"/>
    <w:rsid w:val="00BE67E8"/>
    <w:rsid w:val="00BE7CDA"/>
    <w:rsid w:val="00BF71C7"/>
    <w:rsid w:val="00BF7425"/>
    <w:rsid w:val="00BF7C36"/>
    <w:rsid w:val="00C00185"/>
    <w:rsid w:val="00C03092"/>
    <w:rsid w:val="00C03B8D"/>
    <w:rsid w:val="00C04BD2"/>
    <w:rsid w:val="00C04FB3"/>
    <w:rsid w:val="00C0740D"/>
    <w:rsid w:val="00C11D8B"/>
    <w:rsid w:val="00C15139"/>
    <w:rsid w:val="00C151D6"/>
    <w:rsid w:val="00C2147F"/>
    <w:rsid w:val="00C25366"/>
    <w:rsid w:val="00C25DAB"/>
    <w:rsid w:val="00C2741E"/>
    <w:rsid w:val="00C3028D"/>
    <w:rsid w:val="00C330EB"/>
    <w:rsid w:val="00C44DD3"/>
    <w:rsid w:val="00C45792"/>
    <w:rsid w:val="00C50D69"/>
    <w:rsid w:val="00C5365C"/>
    <w:rsid w:val="00C62E6E"/>
    <w:rsid w:val="00C64EFD"/>
    <w:rsid w:val="00C64FBE"/>
    <w:rsid w:val="00C752CA"/>
    <w:rsid w:val="00C754BE"/>
    <w:rsid w:val="00C76B1C"/>
    <w:rsid w:val="00C866CA"/>
    <w:rsid w:val="00C874FB"/>
    <w:rsid w:val="00C87A1D"/>
    <w:rsid w:val="00C87C7C"/>
    <w:rsid w:val="00C9040E"/>
    <w:rsid w:val="00C90AC0"/>
    <w:rsid w:val="00C925AC"/>
    <w:rsid w:val="00C9509D"/>
    <w:rsid w:val="00C96560"/>
    <w:rsid w:val="00CA0383"/>
    <w:rsid w:val="00CA0AD2"/>
    <w:rsid w:val="00CB6357"/>
    <w:rsid w:val="00CC139F"/>
    <w:rsid w:val="00CC1B26"/>
    <w:rsid w:val="00CC26C0"/>
    <w:rsid w:val="00CC48C2"/>
    <w:rsid w:val="00CC5406"/>
    <w:rsid w:val="00CD35DF"/>
    <w:rsid w:val="00CE0A6D"/>
    <w:rsid w:val="00CE5ED0"/>
    <w:rsid w:val="00CE77C5"/>
    <w:rsid w:val="00CE7FB5"/>
    <w:rsid w:val="00CF4AA8"/>
    <w:rsid w:val="00D00155"/>
    <w:rsid w:val="00D049DE"/>
    <w:rsid w:val="00D11811"/>
    <w:rsid w:val="00D14EAF"/>
    <w:rsid w:val="00D351B3"/>
    <w:rsid w:val="00D361FD"/>
    <w:rsid w:val="00D423A2"/>
    <w:rsid w:val="00D435DF"/>
    <w:rsid w:val="00D44E26"/>
    <w:rsid w:val="00D520D8"/>
    <w:rsid w:val="00D5724F"/>
    <w:rsid w:val="00D5751F"/>
    <w:rsid w:val="00D5769A"/>
    <w:rsid w:val="00D612AD"/>
    <w:rsid w:val="00D63AC2"/>
    <w:rsid w:val="00D700A5"/>
    <w:rsid w:val="00D7383B"/>
    <w:rsid w:val="00D75434"/>
    <w:rsid w:val="00D761D8"/>
    <w:rsid w:val="00D7788A"/>
    <w:rsid w:val="00D8089E"/>
    <w:rsid w:val="00D817C8"/>
    <w:rsid w:val="00D83696"/>
    <w:rsid w:val="00D841D1"/>
    <w:rsid w:val="00D927D5"/>
    <w:rsid w:val="00D933F5"/>
    <w:rsid w:val="00D93681"/>
    <w:rsid w:val="00DA231B"/>
    <w:rsid w:val="00DA2A83"/>
    <w:rsid w:val="00DA55EE"/>
    <w:rsid w:val="00DC39FC"/>
    <w:rsid w:val="00DC64BF"/>
    <w:rsid w:val="00DC7042"/>
    <w:rsid w:val="00DD4217"/>
    <w:rsid w:val="00DD5E49"/>
    <w:rsid w:val="00DF1440"/>
    <w:rsid w:val="00DF2D68"/>
    <w:rsid w:val="00DF5254"/>
    <w:rsid w:val="00DF5CD7"/>
    <w:rsid w:val="00DF6460"/>
    <w:rsid w:val="00E009A9"/>
    <w:rsid w:val="00E02524"/>
    <w:rsid w:val="00E027E7"/>
    <w:rsid w:val="00E033EB"/>
    <w:rsid w:val="00E112D6"/>
    <w:rsid w:val="00E12C39"/>
    <w:rsid w:val="00E16408"/>
    <w:rsid w:val="00E20894"/>
    <w:rsid w:val="00E245AB"/>
    <w:rsid w:val="00E25CC8"/>
    <w:rsid w:val="00E2764C"/>
    <w:rsid w:val="00E27F2E"/>
    <w:rsid w:val="00E27F8A"/>
    <w:rsid w:val="00E35E36"/>
    <w:rsid w:val="00E37017"/>
    <w:rsid w:val="00E4167A"/>
    <w:rsid w:val="00E41B4A"/>
    <w:rsid w:val="00E46157"/>
    <w:rsid w:val="00E50AFE"/>
    <w:rsid w:val="00E50B5A"/>
    <w:rsid w:val="00E5179B"/>
    <w:rsid w:val="00E52A05"/>
    <w:rsid w:val="00E54CC8"/>
    <w:rsid w:val="00E66385"/>
    <w:rsid w:val="00E70314"/>
    <w:rsid w:val="00E7491B"/>
    <w:rsid w:val="00E75C92"/>
    <w:rsid w:val="00E771DC"/>
    <w:rsid w:val="00E81AF3"/>
    <w:rsid w:val="00E8772A"/>
    <w:rsid w:val="00E90F6B"/>
    <w:rsid w:val="00E92C27"/>
    <w:rsid w:val="00E95E53"/>
    <w:rsid w:val="00E96080"/>
    <w:rsid w:val="00EA05D9"/>
    <w:rsid w:val="00EA0E3D"/>
    <w:rsid w:val="00EA0F27"/>
    <w:rsid w:val="00EB18DD"/>
    <w:rsid w:val="00EB1D14"/>
    <w:rsid w:val="00EC38A7"/>
    <w:rsid w:val="00EE1AA8"/>
    <w:rsid w:val="00F01880"/>
    <w:rsid w:val="00F136C2"/>
    <w:rsid w:val="00F15AE7"/>
    <w:rsid w:val="00F222C0"/>
    <w:rsid w:val="00F23FEA"/>
    <w:rsid w:val="00F2726D"/>
    <w:rsid w:val="00F31EDC"/>
    <w:rsid w:val="00F336CE"/>
    <w:rsid w:val="00F3534D"/>
    <w:rsid w:val="00F462B3"/>
    <w:rsid w:val="00F53BC2"/>
    <w:rsid w:val="00F53F01"/>
    <w:rsid w:val="00F5664F"/>
    <w:rsid w:val="00F666C4"/>
    <w:rsid w:val="00F730EC"/>
    <w:rsid w:val="00F752E6"/>
    <w:rsid w:val="00F76AFC"/>
    <w:rsid w:val="00F7716C"/>
    <w:rsid w:val="00F80DFC"/>
    <w:rsid w:val="00F869AE"/>
    <w:rsid w:val="00F95D45"/>
    <w:rsid w:val="00FA23E9"/>
    <w:rsid w:val="00FA2965"/>
    <w:rsid w:val="00FA47C0"/>
    <w:rsid w:val="00FA495B"/>
    <w:rsid w:val="00FB1A86"/>
    <w:rsid w:val="00FB5DD1"/>
    <w:rsid w:val="00FC2B5D"/>
    <w:rsid w:val="00FC6AEC"/>
    <w:rsid w:val="00FC6C8D"/>
    <w:rsid w:val="00FC7C9D"/>
    <w:rsid w:val="00FD0013"/>
    <w:rsid w:val="00FD24A7"/>
    <w:rsid w:val="00FD5948"/>
    <w:rsid w:val="00FF1449"/>
    <w:rsid w:val="00FF3555"/>
    <w:rsid w:val="00FF48EB"/>
    <w:rsid w:val="00FF5391"/>
    <w:rsid w:val="00FF5BFA"/>
    <w:rsid w:val="00FF6D3C"/>
    <w:rsid w:val="00FF7963"/>
    <w:rsid w:val="071B8F93"/>
    <w:rsid w:val="07C73DD1"/>
    <w:rsid w:val="09908A09"/>
    <w:rsid w:val="0EFE6349"/>
    <w:rsid w:val="0FF4CCA8"/>
    <w:rsid w:val="13CFC91B"/>
    <w:rsid w:val="19A2EC2C"/>
    <w:rsid w:val="21779BE6"/>
    <w:rsid w:val="2859CA1B"/>
    <w:rsid w:val="2C4D2425"/>
    <w:rsid w:val="2EE1E026"/>
    <w:rsid w:val="30821638"/>
    <w:rsid w:val="32A4F9CF"/>
    <w:rsid w:val="33A1FF93"/>
    <w:rsid w:val="356CEDFD"/>
    <w:rsid w:val="3C591AFD"/>
    <w:rsid w:val="42183F0A"/>
    <w:rsid w:val="545B112A"/>
    <w:rsid w:val="5BEB1497"/>
    <w:rsid w:val="69614A15"/>
    <w:rsid w:val="74BA017B"/>
    <w:rsid w:val="7677286E"/>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rsid w:val="00794876"/>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794876"/>
    <w:rPr>
      <w:rFonts w:ascii="Geomanist Light" w:hAnsi="Geomanist Light"/>
      <w:lang w:val="es-ES"/>
    </w:rPr>
  </w:style>
  <w:style w:type="character" w:customStyle="1" w:styleId="NormalWebCar">
    <w:name w:val="Normal (Web) Car"/>
    <w:link w:val="NormalWeb"/>
    <w:uiPriority w:val="99"/>
    <w:locked/>
    <w:rsid w:val="00794876"/>
    <w:rPr>
      <w:rFonts w:ascii="Times New Roman" w:eastAsia="Times New Roman" w:hAnsi="Times New Roman" w:cs="Times New Roman"/>
      <w:sz w:val="24"/>
      <w:szCs w:val="24"/>
      <w:lang w:eastAsia="es-CO"/>
    </w:rPr>
  </w:style>
  <w:style w:type="character" w:customStyle="1" w:styleId="baj">
    <w:name w:val="b_aj"/>
    <w:basedOn w:val="Fuentedeprrafopredeter"/>
    <w:rsid w:val="00794876"/>
  </w:style>
  <w:style w:type="character" w:customStyle="1" w:styleId="s15">
    <w:name w:val="s15"/>
    <w:basedOn w:val="Fuentedeprrafopredeter"/>
    <w:rsid w:val="007E44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latoria.colombiacompra.gov.co/busqueda/conceptos"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colombiacompra.gov.co/base-conocimiento/creacion-de-proponente-plural-secop-ii" TargetMode="External"/><Relationship Id="rId17" Type="http://schemas.openxmlformats.org/officeDocument/2006/relationships/hyperlink" Target="https://nam02.safelinks.protection.outlook.com/?url=https%3A%2F%2Fwww.colombiacompra.gov.co%2Farchivos%2Fboletin%2Fboletin-edicion-n-3-de-2026-radar-de-la-compra-publica&amp;data=05%7C02%7Ctatiana.baquero%40colombiacompra.gov.co%7C7128555136e04fa6887d08dee99e1b50%7C7b09041e245149d08cb179d5e3d8c1be%7C0%7C0%7C639205062450972052%7CUnknown%7CTWFpbGZsb3d8eyJFbXB0eU1hcGkiOnRydWUsIlYiOiIwLjAuMDAwMCIsIlAiOiJXaW4zMiIsIkFOIjoiTWFpbCIsIldUIjoyfQ%3D%3D%7C0%7C%7C%7C&amp;sdata=ngIfOSul6%2FIYwaP3ShmRxU6EMjPXXDKeUCuzgZ8UYuY%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2-de-2026&amp;data=05%7C02%7Ctatiana.baquero%40colombiacompra.gov.co%7C7128555136e04fa6887d08dee99e1b50%7C7b09041e245149d08cb179d5e3d8c1be%7C0%7C0%7C639205062450922843%7CUnknown%7CTWFpbGZsb3d8eyJFbXB0eU1hcGkiOnRydWUsIlYiOiIwLjAuMDAwMCIsIlAiOiJXaW4zMiIsIkFOIjoiTWFpbCIsIldUIjoyfQ%3D%3D%7C0%7C%7C%7C&amp;sdata=bLkuj%2F1DdqlO%2FR2uZ73mZRHPww5FGil6IeBR7uyBmq4%3D&amp;reserved=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lcaldiamaicaolaguajira@gmail.com"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3-de-2026&amp;data=05%7C02%7Ctatiana.baquero%40colombiacompra.gov.co%7C7128555136e04fa6887d08dee99e1b50%7C7b09041e245149d08cb179d5e3d8c1be%7C0%7C0%7C639205062450833668%7CUnknown%7CTWFpbGZsb3d8eyJFbXB0eU1hcGkiOnRydWUsIlYiOiIwLjAuMDAwMCIsIlAiOiJXaW4zMiIsIkFOIjoiTWFpbCIsIldUIjoyfQ%3D%3D%7C0%7C%7C%7C&amp;sdata=giqymQNNNmUoeT4tdRU5Za2hp3r64T%2BETOnL33%2BpGoQ%3D&amp;reserved=0" TargetMode="External"/><Relationship Id="rId10" Type="http://schemas.openxmlformats.org/officeDocument/2006/relationships/image" Target="media/image2.emf"/><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manual%2Fguia-de-garantias-en-procesos-de-contratacion&amp;data=05%7C02%7Ctatiana.baquero%40colombiacompra.gov.co%7C7128555136e04fa6887d08dee99e1b50%7C7b09041e245149d08cb179d5e3d8c1be%7C0%7C0%7C639205062450802688%7CUnknown%7CTWFpbGZsb3d8eyJFbXB0eU1hcGkiOnRydWUsIlYiOiIwLjAuMDAwMCIsIlAiOiJXaW4zMiIsIkFOIjoiTWFpbCIsIldUIjoyfQ%3D%3D%7C0%7C%7C%7C&amp;sdata=lIeIj8SX2uajtdSKcop2FcVwduTm7IqX5cc%2BNrzmczU%3D&amp;reserved=0"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C10C98FB-EB69-4309-AFCE-3097B5D76C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11</TotalTime>
  <Pages>19</Pages>
  <Words>7347</Words>
  <Characters>40412</Characters>
  <Application>Microsoft Office Word</Application>
  <DocSecurity>0</DocSecurity>
  <Lines>336</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6</cp:revision>
  <cp:lastPrinted>2023-01-10T21:18:00Z</cp:lastPrinted>
  <dcterms:created xsi:type="dcterms:W3CDTF">2026-08-26T02:58:00Z</dcterms:created>
  <dcterms:modified xsi:type="dcterms:W3CDTF">2026-08-26T15:00:00Z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