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C9844" w14:textId="131EE732" w:rsidR="00560755" w:rsidRPr="00130BB8" w:rsidRDefault="00D02EE0" w:rsidP="00130BB8">
      <w:pPr>
        <w:spacing w:after="0"/>
        <w:jc w:val="both"/>
        <w:rPr>
          <w:rFonts w:ascii="Verdana" w:eastAsia="Verdana" w:hAnsi="Verdana" w:cs="Verdana"/>
          <w:sz w:val="20"/>
          <w:szCs w:val="20"/>
        </w:rPr>
      </w:pPr>
      <w:bookmarkStart w:id="0" w:name="_Hlk143780582"/>
      <w:r w:rsidRPr="00560755">
        <w:rPr>
          <w:rFonts w:ascii="Verdana" w:eastAsia="Verdana" w:hAnsi="Verdana" w:cs="Verdana"/>
          <w:sz w:val="20"/>
          <w:szCs w:val="20"/>
        </w:rPr>
        <w:t xml:space="preserve">                                                                                                                                           </w:t>
      </w:r>
      <w:r w:rsidR="00560755" w:rsidRPr="00560755">
        <w:rPr>
          <w:rFonts w:ascii="Verdana" w:eastAsia="Verdana" w:hAnsi="Verdana" w:cs="Verdana"/>
          <w:b/>
          <w:bCs/>
        </w:rPr>
        <w:t>R</w:t>
      </w:r>
      <w:r w:rsidR="00560755">
        <w:rPr>
          <w:rFonts w:ascii="Verdana" w:eastAsia="Verdana" w:hAnsi="Verdana" w:cs="Verdana"/>
          <w:b/>
          <w:bCs/>
        </w:rPr>
        <w:t>É</w:t>
      </w:r>
      <w:r w:rsidR="00560755" w:rsidRPr="00560755">
        <w:rPr>
          <w:rFonts w:ascii="Verdana" w:eastAsia="Verdana" w:hAnsi="Verdana" w:cs="Verdana"/>
          <w:b/>
          <w:bCs/>
        </w:rPr>
        <w:t xml:space="preserve">GIMEN DE INHABILIDADES E INCOMPATIBILIDADES </w:t>
      </w:r>
      <w:r w:rsidR="004B5C4A" w:rsidRPr="004B5C4A">
        <w:rPr>
          <w:rFonts w:ascii="Verdana" w:eastAsia="Verdana" w:hAnsi="Verdana" w:cs="Verdana"/>
          <w:b/>
          <w:bCs/>
          <w:lang w:val="es-ES"/>
        </w:rPr>
        <w:t>–</w:t>
      </w:r>
      <w:r w:rsidR="00560755" w:rsidRPr="00560755">
        <w:rPr>
          <w:rFonts w:ascii="Verdana" w:eastAsia="Verdana" w:hAnsi="Verdana" w:cs="Verdana"/>
          <w:b/>
          <w:bCs/>
        </w:rPr>
        <w:t xml:space="preserve"> Noción </w:t>
      </w:r>
      <w:r w:rsidR="004B5C4A" w:rsidRPr="004B5C4A">
        <w:rPr>
          <w:rFonts w:ascii="Verdana" w:eastAsia="Verdana" w:hAnsi="Verdana" w:cs="Verdana"/>
          <w:b/>
          <w:bCs/>
          <w:lang w:val="es-ES"/>
        </w:rPr>
        <w:t>–</w:t>
      </w:r>
      <w:r w:rsidR="00560755" w:rsidRPr="00560755">
        <w:rPr>
          <w:rFonts w:ascii="Verdana" w:eastAsia="Verdana" w:hAnsi="Verdana" w:cs="Verdana"/>
          <w:b/>
          <w:bCs/>
        </w:rPr>
        <w:t xml:space="preserve"> Taxativo </w:t>
      </w:r>
      <w:r w:rsidR="004B5C4A" w:rsidRPr="004B5C4A">
        <w:rPr>
          <w:rFonts w:ascii="Verdana" w:eastAsia="Verdana" w:hAnsi="Verdana" w:cs="Verdana"/>
          <w:b/>
          <w:bCs/>
          <w:lang w:val="es-ES"/>
        </w:rPr>
        <w:t>–</w:t>
      </w:r>
      <w:r w:rsidR="00560755" w:rsidRPr="00560755">
        <w:rPr>
          <w:rFonts w:ascii="Verdana" w:eastAsia="Verdana" w:hAnsi="Verdana" w:cs="Verdana"/>
          <w:b/>
          <w:bCs/>
        </w:rPr>
        <w:t xml:space="preserve"> Carácter restrictivo</w:t>
      </w:r>
    </w:p>
    <w:p w14:paraId="0A5A4EE9" w14:textId="77777777" w:rsidR="00560755" w:rsidRPr="00560755" w:rsidRDefault="00560755" w:rsidP="00560755">
      <w:pPr>
        <w:jc w:val="both"/>
        <w:rPr>
          <w:rFonts w:ascii="Verdana" w:eastAsia="Verdana" w:hAnsi="Verdana" w:cs="Verdana"/>
          <w:sz w:val="20"/>
          <w:szCs w:val="20"/>
        </w:rPr>
      </w:pPr>
      <w:r w:rsidRPr="00560755">
        <w:rPr>
          <w:rFonts w:ascii="Verdana" w:eastAsia="Verdana" w:hAnsi="Verdana" w:cs="Verdana"/>
          <w:sz w:val="20"/>
          <w:szCs w:val="20"/>
        </w:rPr>
        <w:t>El régimen de inhabilidades e incompatibilidades es aplicable a los servidores públicos y a quienes ejercen funciones públicas, constituye un sistema de restricciones de origen constitucional y legal, de carácter taxativo y de interpretación restrictiva, cuyo propósito es garantizar los principios de moralidad, transparencia, imparcialidad y prevalencia del interés general en el ejercicio de la función pública. En consecuencia, ninguna inhabilidad o incompatibilidad puede presumirse, extenderse por analogía o aplicarse a supuestos no previstos expresamente por el Legislador.</w:t>
      </w:r>
    </w:p>
    <w:p w14:paraId="459201D5" w14:textId="173BA573" w:rsidR="00560755" w:rsidRPr="00560755" w:rsidRDefault="00560755" w:rsidP="00560755">
      <w:pPr>
        <w:jc w:val="both"/>
        <w:rPr>
          <w:rFonts w:ascii="Verdana" w:eastAsia="Verdana" w:hAnsi="Verdana" w:cs="Verdana"/>
          <w:b/>
          <w:bCs/>
        </w:rPr>
      </w:pPr>
      <w:r w:rsidRPr="00560755">
        <w:rPr>
          <w:rFonts w:ascii="Verdana" w:eastAsia="Verdana" w:hAnsi="Verdana" w:cs="Verdana"/>
          <w:b/>
          <w:bCs/>
        </w:rPr>
        <w:t xml:space="preserve">CONTRATOS DE PRESTACIÓN DE SERVICIOS </w:t>
      </w:r>
      <w:r w:rsidR="004B5C4A" w:rsidRPr="004B5C4A">
        <w:rPr>
          <w:rFonts w:ascii="Verdana" w:eastAsia="Verdana" w:hAnsi="Verdana" w:cs="Verdana"/>
          <w:b/>
          <w:bCs/>
          <w:lang w:val="es-ES"/>
        </w:rPr>
        <w:t>–</w:t>
      </w:r>
      <w:r w:rsidRPr="00560755">
        <w:rPr>
          <w:rFonts w:ascii="Verdana" w:eastAsia="Verdana" w:hAnsi="Verdana" w:cs="Verdana"/>
          <w:b/>
          <w:bCs/>
        </w:rPr>
        <w:t xml:space="preserve"> Numeral 3 Artículo 32 de Ley 80 de 1993 </w:t>
      </w:r>
      <w:r w:rsidR="004B5C4A" w:rsidRPr="004B5C4A">
        <w:rPr>
          <w:rFonts w:ascii="Verdana" w:eastAsia="Verdana" w:hAnsi="Verdana" w:cs="Verdana"/>
          <w:b/>
          <w:bCs/>
          <w:lang w:val="es-ES"/>
        </w:rPr>
        <w:t>–</w:t>
      </w:r>
      <w:r w:rsidRPr="00560755">
        <w:rPr>
          <w:rFonts w:ascii="Verdana" w:eastAsia="Verdana" w:hAnsi="Verdana" w:cs="Verdana"/>
          <w:b/>
          <w:bCs/>
        </w:rPr>
        <w:t xml:space="preserve"> Régimen jurídico aplicable</w:t>
      </w:r>
    </w:p>
    <w:p w14:paraId="0D5D2345" w14:textId="77777777" w:rsidR="00560755" w:rsidRPr="00560755" w:rsidRDefault="00560755" w:rsidP="00560755">
      <w:pPr>
        <w:jc w:val="both"/>
        <w:rPr>
          <w:rFonts w:ascii="Verdana" w:eastAsia="Verdana" w:hAnsi="Verdana" w:cs="Verdana"/>
          <w:sz w:val="20"/>
          <w:szCs w:val="20"/>
        </w:rPr>
      </w:pPr>
      <w:r w:rsidRPr="00560755">
        <w:rPr>
          <w:rFonts w:ascii="Verdana" w:eastAsia="Verdana" w:hAnsi="Verdana" w:cs="Verdana"/>
          <w:sz w:val="20"/>
          <w:szCs w:val="20"/>
        </w:rPr>
        <w:t>El numeral 3 del artículo 32 de la Ley 80 de 1993 define los contratos de prestación de servicios como aquellos celebrados para desarrollar actividades relacionadas con la administración o funcionamiento de las entidades estatales, cuando tales actividades no puedan realizarse con personal de planta o requieran conocimientos especializados. La misma disposición establece expresamente que estos contratos no generan relación laboral ni prestaciones sociales y que deben celebrarse por el término estrictamente indispensable.</w:t>
      </w:r>
    </w:p>
    <w:p w14:paraId="491ECE34" w14:textId="77777777" w:rsidR="00560755" w:rsidRPr="00560755" w:rsidRDefault="00560755" w:rsidP="00560755">
      <w:pPr>
        <w:jc w:val="both"/>
        <w:rPr>
          <w:rFonts w:ascii="Verdana" w:eastAsia="Verdana" w:hAnsi="Verdana" w:cs="Verdana"/>
          <w:sz w:val="20"/>
          <w:szCs w:val="20"/>
        </w:rPr>
      </w:pPr>
      <w:r w:rsidRPr="00560755">
        <w:rPr>
          <w:rFonts w:ascii="Verdana" w:eastAsia="Verdana" w:hAnsi="Verdana" w:cs="Verdana"/>
          <w:sz w:val="20"/>
          <w:szCs w:val="20"/>
        </w:rPr>
        <w:t>De esta definición se desprende que la persona natural vinculada mediante un contrato de prestación de servicios conserva la calidad de contratista independiente y no adquiere, por ese solo hecho, la condición de servidor público; si bien desarrolla actividades orientadas al cumplimiento de los fines estatales y participa en la ejecución de la función administrativa, su vínculo con la entidad continúa siendo de naturaleza contractual y no legal o reglamentaria.</w:t>
      </w:r>
    </w:p>
    <w:p w14:paraId="3DD98D50" w14:textId="454218CA" w:rsidR="00560755" w:rsidRPr="00702A15" w:rsidRDefault="00560755" w:rsidP="00560755">
      <w:pPr>
        <w:jc w:val="both"/>
        <w:rPr>
          <w:rFonts w:ascii="Verdana" w:eastAsia="Verdana" w:hAnsi="Verdana" w:cs="Verdana"/>
          <w:b/>
          <w:bCs/>
        </w:rPr>
      </w:pPr>
      <w:r w:rsidRPr="00702A15">
        <w:rPr>
          <w:rFonts w:ascii="Verdana" w:eastAsia="Verdana" w:hAnsi="Verdana" w:cs="Verdana"/>
          <w:b/>
          <w:bCs/>
        </w:rPr>
        <w:t xml:space="preserve">PROHIBICIÓN DE DOBLE ASIGNACIÓN SALARIAL </w:t>
      </w:r>
      <w:r w:rsidR="004B5C4A" w:rsidRPr="004B5C4A">
        <w:rPr>
          <w:rFonts w:ascii="Verdana" w:eastAsia="Verdana" w:hAnsi="Verdana" w:cs="Verdana"/>
          <w:b/>
          <w:bCs/>
          <w:lang w:val="es-ES"/>
        </w:rPr>
        <w:t>–</w:t>
      </w:r>
      <w:r w:rsidRPr="00702A15">
        <w:rPr>
          <w:rFonts w:ascii="Verdana" w:eastAsia="Verdana" w:hAnsi="Verdana" w:cs="Verdana"/>
          <w:b/>
          <w:bCs/>
        </w:rPr>
        <w:t xml:space="preserve"> Recae sobre servidores públicos </w:t>
      </w:r>
      <w:r w:rsidR="004B5C4A" w:rsidRPr="004B5C4A">
        <w:rPr>
          <w:rFonts w:ascii="Verdana" w:eastAsia="Verdana" w:hAnsi="Verdana" w:cs="Verdana"/>
          <w:b/>
          <w:bCs/>
          <w:lang w:val="es-ES"/>
        </w:rPr>
        <w:t>–</w:t>
      </w:r>
      <w:r w:rsidRPr="00702A15">
        <w:rPr>
          <w:rFonts w:ascii="Verdana" w:eastAsia="Verdana" w:hAnsi="Verdana" w:cs="Verdana"/>
          <w:b/>
          <w:bCs/>
        </w:rPr>
        <w:t xml:space="preserve"> No aplicable a contratistas</w:t>
      </w:r>
    </w:p>
    <w:p w14:paraId="5E0F0988" w14:textId="77777777" w:rsidR="00560755" w:rsidRPr="00560755" w:rsidRDefault="00560755" w:rsidP="00560755">
      <w:pPr>
        <w:jc w:val="both"/>
        <w:rPr>
          <w:rFonts w:ascii="Verdana" w:eastAsia="Verdana" w:hAnsi="Verdana" w:cs="Verdana"/>
          <w:sz w:val="20"/>
          <w:szCs w:val="20"/>
        </w:rPr>
      </w:pPr>
      <w:r w:rsidRPr="00560755">
        <w:rPr>
          <w:rFonts w:ascii="Verdana" w:eastAsia="Verdana" w:hAnsi="Verdana" w:cs="Verdana"/>
          <w:sz w:val="20"/>
          <w:szCs w:val="20"/>
        </w:rPr>
        <w:t>[…] la prohibición de recibir doble asignación del tesoro público recae sobre los servidores públicos, incluidos los miembros de las corporaciones públicas, donde el término ‘asignación’ comprende los dineros y recursos que provienen del erario, o de empresas o instituciones en las que tenga parte mayoritaria el Estado, en calidad de pago para retribuir un servicio laboral.</w:t>
      </w:r>
    </w:p>
    <w:p w14:paraId="01ED8D96" w14:textId="77777777" w:rsidR="00560755" w:rsidRPr="00560755" w:rsidRDefault="00560755" w:rsidP="00560755">
      <w:pPr>
        <w:jc w:val="both"/>
        <w:rPr>
          <w:rFonts w:ascii="Verdana" w:eastAsia="Verdana" w:hAnsi="Verdana" w:cs="Verdana"/>
          <w:sz w:val="20"/>
          <w:szCs w:val="20"/>
        </w:rPr>
      </w:pPr>
      <w:r w:rsidRPr="00560755">
        <w:rPr>
          <w:rFonts w:ascii="Verdana" w:eastAsia="Verdana" w:hAnsi="Verdana" w:cs="Verdana"/>
          <w:sz w:val="20"/>
          <w:szCs w:val="20"/>
        </w:rPr>
        <w:t>De conformidad con lo anterior y teniendo en cuenta la naturaleza jurídica del contrato de prestación de servicios, la prohibición de percibir doble asignación no es aplicable, pues en virtud del artículo 32 de la Ley 80 de 1993, no comportan una relación laboral, sino que son el fruto de la libre autonomía de la voluntad de los contratantes, por consiguiente el contratista no es considerado un servidor público, al no existir vinculo de subordinación con el Estado, elemento constituyente de un contrato laboral.</w:t>
      </w:r>
    </w:p>
    <w:p w14:paraId="115D6B8B" w14:textId="280B37DD" w:rsidR="00560755" w:rsidRPr="00702A15" w:rsidRDefault="00560755" w:rsidP="00560755">
      <w:pPr>
        <w:jc w:val="both"/>
        <w:rPr>
          <w:rFonts w:ascii="Verdana" w:eastAsia="Verdana" w:hAnsi="Verdana" w:cs="Verdana"/>
          <w:b/>
          <w:bCs/>
        </w:rPr>
      </w:pPr>
      <w:r w:rsidRPr="00702A15">
        <w:rPr>
          <w:rFonts w:ascii="Verdana" w:eastAsia="Verdana" w:hAnsi="Verdana" w:cs="Verdana"/>
          <w:b/>
          <w:bCs/>
        </w:rPr>
        <w:lastRenderedPageBreak/>
        <w:t xml:space="preserve">POSIBILIDAD DE CELEBRAR VARIOS CONTRATOS DE PRESTACIÓN DE SERVICIOS </w:t>
      </w:r>
      <w:r w:rsidR="004B5C4A" w:rsidRPr="004B5C4A">
        <w:rPr>
          <w:rFonts w:ascii="Verdana" w:eastAsia="Verdana" w:hAnsi="Verdana" w:cs="Verdana"/>
          <w:b/>
          <w:bCs/>
          <w:lang w:val="es-ES"/>
        </w:rPr>
        <w:t>–</w:t>
      </w:r>
      <w:r w:rsidRPr="00702A15">
        <w:rPr>
          <w:rFonts w:ascii="Verdana" w:eastAsia="Verdana" w:hAnsi="Verdana" w:cs="Verdana"/>
          <w:b/>
          <w:bCs/>
        </w:rPr>
        <w:t xml:space="preserve"> No existe prohibición </w:t>
      </w:r>
      <w:r w:rsidR="004B5C4A" w:rsidRPr="004B5C4A">
        <w:rPr>
          <w:rFonts w:ascii="Verdana" w:eastAsia="Verdana" w:hAnsi="Verdana" w:cs="Verdana"/>
          <w:b/>
          <w:bCs/>
          <w:lang w:val="es-ES"/>
        </w:rPr>
        <w:t>–</w:t>
      </w:r>
      <w:r w:rsidRPr="00702A15">
        <w:rPr>
          <w:rFonts w:ascii="Verdana" w:eastAsia="Verdana" w:hAnsi="Verdana" w:cs="Verdana"/>
          <w:b/>
          <w:bCs/>
        </w:rPr>
        <w:t xml:space="preserve"> Análisis de conductas que ocasionen conflicto de interés </w:t>
      </w:r>
      <w:r w:rsidR="004B5C4A" w:rsidRPr="004B5C4A">
        <w:rPr>
          <w:rFonts w:ascii="Verdana" w:eastAsia="Verdana" w:hAnsi="Verdana" w:cs="Verdana"/>
          <w:b/>
          <w:bCs/>
          <w:lang w:val="es-ES"/>
        </w:rPr>
        <w:t>–</w:t>
      </w:r>
      <w:r w:rsidRPr="00702A15">
        <w:rPr>
          <w:rFonts w:ascii="Verdana" w:eastAsia="Verdana" w:hAnsi="Verdana" w:cs="Verdana"/>
          <w:b/>
          <w:bCs/>
        </w:rPr>
        <w:t xml:space="preserve"> Transparencia</w:t>
      </w:r>
    </w:p>
    <w:p w14:paraId="47F361E1" w14:textId="77777777" w:rsidR="00560755" w:rsidRPr="00560755" w:rsidRDefault="00560755" w:rsidP="00560755">
      <w:pPr>
        <w:jc w:val="both"/>
        <w:rPr>
          <w:rFonts w:ascii="Verdana" w:eastAsia="Verdana" w:hAnsi="Verdana" w:cs="Verdana"/>
          <w:sz w:val="20"/>
          <w:szCs w:val="20"/>
        </w:rPr>
      </w:pPr>
      <w:r w:rsidRPr="00560755">
        <w:rPr>
          <w:rFonts w:ascii="Verdana" w:eastAsia="Verdana" w:hAnsi="Verdana" w:cs="Verdana"/>
          <w:sz w:val="20"/>
          <w:szCs w:val="20"/>
        </w:rPr>
        <w:t>[…] respecto de la posibilidad de celebrar varios contratos de prestación de servicios con la misma entidad, y que además coexistan, conviene recordar que en materia de Contratación Estatal, no existe una inhabilidad, incompatibilidad o prohibición de otra naturaleza que impida que un contratista celebre varios contratos de prestación de servicios con la misma entidad con la cual existe una relación de tipo contractual, dado que no se subsume en ninguno de los supuestos de hecho, ni se advierte que la hipótesis en materia de consulta configure alguna de las causales previstas en el artículo 8 de la Ley 80 de 1993.</w:t>
      </w:r>
    </w:p>
    <w:p w14:paraId="5EFECFED" w14:textId="77777777" w:rsidR="00560755" w:rsidRPr="00560755" w:rsidRDefault="00560755" w:rsidP="00560755">
      <w:pPr>
        <w:jc w:val="both"/>
        <w:rPr>
          <w:rFonts w:ascii="Verdana" w:eastAsia="Verdana" w:hAnsi="Verdana" w:cs="Verdana"/>
          <w:sz w:val="20"/>
          <w:szCs w:val="20"/>
        </w:rPr>
      </w:pPr>
      <w:r w:rsidRPr="00560755">
        <w:rPr>
          <w:rFonts w:ascii="Verdana" w:eastAsia="Verdana" w:hAnsi="Verdana" w:cs="Verdana"/>
          <w:sz w:val="20"/>
          <w:szCs w:val="20"/>
        </w:rPr>
        <w:t>[…]</w:t>
      </w:r>
    </w:p>
    <w:p w14:paraId="707B931B" w14:textId="77777777" w:rsidR="00560755" w:rsidRPr="00560755" w:rsidRDefault="00560755" w:rsidP="00560755">
      <w:pPr>
        <w:jc w:val="both"/>
        <w:rPr>
          <w:rFonts w:ascii="Verdana" w:eastAsia="Verdana" w:hAnsi="Verdana" w:cs="Verdana"/>
          <w:sz w:val="20"/>
          <w:szCs w:val="20"/>
        </w:rPr>
      </w:pPr>
      <w:r w:rsidRPr="00560755">
        <w:rPr>
          <w:rFonts w:ascii="Verdana" w:eastAsia="Verdana" w:hAnsi="Verdana" w:cs="Verdana"/>
          <w:sz w:val="20"/>
          <w:szCs w:val="20"/>
        </w:rPr>
        <w:t>la entidad contratante tiene el deber de identificar cualquier conducta que pueda llegar a tener la connotación de un conflicto de interés, producto de la concurrencia de intereses antagónicos en el contratista que presta los servicios en una y otra entidad y que afecten la transparencia de las decisiones que le competen o lo lleven a adoptar determinaciones de aprovechamiento personal, familiar o particular, en detrimento del interés público. En estos casos, es necesario que el conflicto de interés satisfaga los requisitos de tipicidad y objetividad.</w:t>
      </w:r>
    </w:p>
    <w:p w14:paraId="167010EF" w14:textId="77777777" w:rsidR="001B6F2E" w:rsidRDefault="001B6F2E">
      <w:pPr>
        <w:rPr>
          <w:rFonts w:ascii="Verdana" w:eastAsia="Verdana" w:hAnsi="Verdana" w:cs="Verdana"/>
        </w:rPr>
      </w:pPr>
      <w:r>
        <w:rPr>
          <w:rFonts w:ascii="Verdana" w:eastAsia="Verdana" w:hAnsi="Verdana" w:cs="Verdana"/>
        </w:rPr>
        <w:br w:type="page"/>
      </w:r>
    </w:p>
    <w:p w14:paraId="7C9026E2" w14:textId="6449AE69" w:rsidR="002A0DD0" w:rsidRDefault="00C15139" w:rsidP="002B7ECD">
      <w:pPr>
        <w:spacing w:after="0"/>
      </w:pPr>
      <w:r w:rsidRPr="30821638">
        <w:rPr>
          <w:rFonts w:ascii="Verdana" w:eastAsia="Verdana" w:hAnsi="Verdana" w:cs="Verdana"/>
        </w:rPr>
        <w:lastRenderedPageBreak/>
        <w:t>Bogotá D.C.,</w:t>
      </w:r>
      <w:r w:rsidR="00942F04">
        <w:rPr>
          <w:rFonts w:ascii="Verdana" w:eastAsia="Verdana" w:hAnsi="Verdana" w:cs="Verdana"/>
        </w:rPr>
        <w:t xml:space="preserve"> </w:t>
      </w:r>
      <w:r w:rsidR="001B6F2E">
        <w:rPr>
          <w:rFonts w:ascii="Verdana" w:eastAsia="Times New Roman" w:hAnsi="Verdana" w:cs="Arial"/>
          <w:lang w:val="es-ES" w:eastAsia="es-ES"/>
        </w:rPr>
        <w:t xml:space="preserve">24 </w:t>
      </w:r>
      <w:r w:rsidR="004B5C4A">
        <w:rPr>
          <w:rFonts w:ascii="Verdana" w:eastAsia="Times New Roman" w:hAnsi="Verdana" w:cs="Arial"/>
          <w:lang w:val="es-ES" w:eastAsia="es-ES"/>
        </w:rPr>
        <w:t>de agosto de</w:t>
      </w:r>
      <w:r w:rsidR="001B6F2E">
        <w:rPr>
          <w:rFonts w:ascii="Verdana" w:eastAsia="Times New Roman" w:hAnsi="Verdana" w:cs="Arial"/>
          <w:lang w:val="es-ES" w:eastAsia="es-ES"/>
        </w:rPr>
        <w:t xml:space="preserve"> 2026</w:t>
      </w:r>
      <w:r>
        <w:tab/>
      </w:r>
    </w:p>
    <w:p w14:paraId="16FE12D6" w14:textId="77777777" w:rsidR="004B5C4A" w:rsidRDefault="004B5C4A" w:rsidP="002B7ECD">
      <w:pPr>
        <w:spacing w:after="0"/>
      </w:pPr>
    </w:p>
    <w:p w14:paraId="6EED55C6" w14:textId="77777777" w:rsidR="004B5C4A" w:rsidRDefault="004B5C4A" w:rsidP="002B7ECD">
      <w:pPr>
        <w:spacing w:after="0"/>
        <w:rPr>
          <w:rFonts w:ascii="Verdana" w:eastAsia="Verdana" w:hAnsi="Verdana" w:cs="Verdana"/>
          <w:lang w:val="es-MX"/>
        </w:rPr>
      </w:pPr>
    </w:p>
    <w:p w14:paraId="7F1C988F" w14:textId="24E85A47" w:rsidR="00A575B5" w:rsidRPr="005979D9" w:rsidRDefault="00A575B5" w:rsidP="00A575B5">
      <w:pPr>
        <w:spacing w:after="0" w:line="240" w:lineRule="auto"/>
        <w:jc w:val="right"/>
        <w:rPr>
          <w:rFonts w:ascii="Verdana" w:eastAsia="Calibri" w:hAnsi="Verdana" w:cs="Arial"/>
          <w:b/>
          <w:bCs/>
          <w:lang w:val="es-ES" w:eastAsia="es-ES"/>
        </w:rPr>
      </w:pPr>
    </w:p>
    <w:p w14:paraId="7C6A047C" w14:textId="43BC744E" w:rsidR="007068D9" w:rsidRPr="00F60ADA" w:rsidRDefault="004B5C4A" w:rsidP="00DF645C">
      <w:pPr>
        <w:spacing w:after="0" w:line="240" w:lineRule="auto"/>
        <w:jc w:val="both"/>
        <w:rPr>
          <w:rFonts w:ascii="Verdana" w:eastAsia="Calibri" w:hAnsi="Verdana" w:cs="Arial"/>
          <w:b/>
          <w:bCs/>
          <w:lang w:val="es-ES" w:eastAsia="es-ES"/>
        </w:rPr>
      </w:pPr>
      <w:r w:rsidRPr="001B6F2E">
        <w:rPr>
          <w:rFonts w:ascii="Verdana" w:eastAsia="Calibri" w:hAnsi="Verdana" w:cs="Arial"/>
          <w:b/>
          <w:bCs/>
          <w:noProof/>
          <w:color w:val="000000"/>
          <w:lang w:val="es-ES_tradnl" w:eastAsia="es-ES_tradnl"/>
        </w:rPr>
        <w:drawing>
          <wp:anchor distT="0" distB="0" distL="114300" distR="114300" simplePos="0" relativeHeight="251658240" behindDoc="0" locked="0" layoutInCell="1" allowOverlap="1" wp14:anchorId="19FB0280" wp14:editId="2FC6B12C">
            <wp:simplePos x="0" y="0"/>
            <wp:positionH relativeFrom="margin">
              <wp:align>right</wp:align>
            </wp:positionH>
            <wp:positionV relativeFrom="paragraph">
              <wp:posOffset>5715</wp:posOffset>
            </wp:positionV>
            <wp:extent cx="2266315" cy="628015"/>
            <wp:effectExtent l="0" t="0" r="635" b="635"/>
            <wp:wrapSquare wrapText="bothSides"/>
            <wp:docPr id="2161255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125575" name=""/>
                    <pic:cNvPicPr/>
                  </pic:nvPicPr>
                  <pic:blipFill>
                    <a:blip r:embed="rId11">
                      <a:extLst>
                        <a:ext uri="{28A0092B-C50C-407E-A947-70E740481C1C}">
                          <a14:useLocalDpi xmlns:a14="http://schemas.microsoft.com/office/drawing/2010/main" val="0"/>
                        </a:ext>
                      </a:extLst>
                    </a:blip>
                    <a:stretch>
                      <a:fillRect/>
                    </a:stretch>
                  </pic:blipFill>
                  <pic:spPr>
                    <a:xfrm>
                      <a:off x="0" y="0"/>
                      <a:ext cx="2266315" cy="628015"/>
                    </a:xfrm>
                    <a:prstGeom prst="rect">
                      <a:avLst/>
                    </a:prstGeom>
                  </pic:spPr>
                </pic:pic>
              </a:graphicData>
            </a:graphic>
            <wp14:sizeRelH relativeFrom="margin">
              <wp14:pctWidth>0</wp14:pctWidth>
            </wp14:sizeRelH>
            <wp14:sizeRelV relativeFrom="margin">
              <wp14:pctHeight>0</wp14:pctHeight>
            </wp14:sizeRelV>
          </wp:anchor>
        </w:drawing>
      </w:r>
      <w:r w:rsidR="00054748" w:rsidRPr="00F60ADA">
        <w:rPr>
          <w:rFonts w:ascii="Verdana" w:eastAsia="Calibri" w:hAnsi="Verdana" w:cs="Arial"/>
          <w:b/>
          <w:bCs/>
          <w:lang w:val="es-ES" w:eastAsia="es-ES"/>
        </w:rPr>
        <w:t>Seño</w:t>
      </w:r>
      <w:r w:rsidR="0039743D" w:rsidRPr="00F60ADA">
        <w:rPr>
          <w:rFonts w:ascii="Verdana" w:eastAsia="Calibri" w:hAnsi="Verdana" w:cs="Arial"/>
          <w:b/>
          <w:bCs/>
          <w:lang w:val="es-ES" w:eastAsia="es-ES"/>
        </w:rPr>
        <w:t>r</w:t>
      </w:r>
      <w:r w:rsidR="00DF645C" w:rsidRPr="00F60ADA">
        <w:rPr>
          <w:rFonts w:ascii="Verdana" w:eastAsia="Calibri" w:hAnsi="Verdana" w:cs="Arial"/>
          <w:b/>
          <w:bCs/>
          <w:lang w:val="es-ES" w:eastAsia="es-ES"/>
        </w:rPr>
        <w:t>a</w:t>
      </w:r>
    </w:p>
    <w:p w14:paraId="4484C2A5" w14:textId="4D22FF59" w:rsidR="00DF645C" w:rsidRPr="00F60ADA" w:rsidRDefault="002178B4" w:rsidP="00DF645C">
      <w:pPr>
        <w:spacing w:after="0" w:line="240" w:lineRule="auto"/>
        <w:jc w:val="both"/>
        <w:rPr>
          <w:rFonts w:ascii="Verdana" w:eastAsia="Calibri" w:hAnsi="Verdana" w:cs="Arial"/>
          <w:b/>
          <w:bCs/>
          <w:lang w:val="es-ES" w:eastAsia="es-ES"/>
        </w:rPr>
      </w:pPr>
      <w:r w:rsidRPr="00F60ADA">
        <w:rPr>
          <w:rFonts w:ascii="Verdana" w:eastAsia="Calibri" w:hAnsi="Verdana" w:cs="Arial"/>
          <w:b/>
          <w:bCs/>
          <w:lang w:val="es-ES" w:eastAsia="es-ES"/>
        </w:rPr>
        <w:t xml:space="preserve">Jennifer Vanessa Briñez Remisio </w:t>
      </w:r>
    </w:p>
    <w:p w14:paraId="110600DC" w14:textId="75962DCA" w:rsidR="002178B4" w:rsidRPr="00F60ADA" w:rsidRDefault="009366B2" w:rsidP="00DF645C">
      <w:pPr>
        <w:spacing w:after="0" w:line="240" w:lineRule="auto"/>
        <w:jc w:val="both"/>
        <w:rPr>
          <w:rFonts w:ascii="Verdana" w:eastAsia="Calibri" w:hAnsi="Verdana" w:cs="Arial"/>
          <w:b/>
          <w:bCs/>
          <w:lang w:val="es-ES" w:eastAsia="es-ES"/>
        </w:rPr>
      </w:pPr>
      <w:hyperlink r:id="rId12" w:history="1">
        <w:r w:rsidRPr="00F60ADA">
          <w:rPr>
            <w:rStyle w:val="Hipervnculo"/>
            <w:rFonts w:ascii="Verdana" w:eastAsia="Calibri" w:hAnsi="Verdana" w:cs="Arial"/>
            <w:b/>
            <w:bCs/>
            <w:lang w:val="es-ES" w:eastAsia="es-ES"/>
          </w:rPr>
          <w:t>Jenn_vane@hotmail.es</w:t>
        </w:r>
      </w:hyperlink>
    </w:p>
    <w:p w14:paraId="1BB24711" w14:textId="64585699" w:rsidR="009366B2" w:rsidRPr="00F60ADA" w:rsidRDefault="009366B2" w:rsidP="00DF645C">
      <w:pPr>
        <w:spacing w:after="0" w:line="240" w:lineRule="auto"/>
        <w:jc w:val="both"/>
        <w:rPr>
          <w:rFonts w:ascii="Verdana" w:eastAsia="Calibri" w:hAnsi="Verdana" w:cs="Arial"/>
          <w:lang w:val="es-ES" w:eastAsia="es-ES"/>
        </w:rPr>
      </w:pPr>
      <w:r w:rsidRPr="00F60ADA">
        <w:rPr>
          <w:rFonts w:ascii="Verdana" w:eastAsia="Calibri" w:hAnsi="Verdana" w:cs="Arial"/>
          <w:lang w:val="es-ES" w:eastAsia="es-ES"/>
        </w:rPr>
        <w:t>Bogotá, D.C.</w:t>
      </w:r>
    </w:p>
    <w:p w14:paraId="22C420A6" w14:textId="5767C9FB" w:rsidR="00054748" w:rsidRPr="00F60ADA" w:rsidRDefault="00054748" w:rsidP="001B6F2E">
      <w:pPr>
        <w:spacing w:after="0" w:line="240" w:lineRule="auto"/>
        <w:jc w:val="right"/>
        <w:rPr>
          <w:rFonts w:ascii="Verdana" w:eastAsia="Calibri" w:hAnsi="Verdana" w:cs="Arial"/>
          <w:b/>
          <w:bCs/>
          <w:color w:val="000000"/>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054748" w:rsidRPr="00F60ADA" w14:paraId="33933D6E" w14:textId="77777777" w:rsidTr="00263AC8">
        <w:trPr>
          <w:trHeight w:val="989"/>
        </w:trPr>
        <w:tc>
          <w:tcPr>
            <w:tcW w:w="2689" w:type="dxa"/>
          </w:tcPr>
          <w:p w14:paraId="5925453D" w14:textId="77777777" w:rsidR="00054748" w:rsidRPr="00F60ADA" w:rsidRDefault="00054748" w:rsidP="00CB1843">
            <w:pPr>
              <w:jc w:val="both"/>
              <w:rPr>
                <w:rFonts w:ascii="Verdana" w:eastAsia="Calibri" w:hAnsi="Verdana" w:cs="Arial"/>
                <w:b/>
                <w:bCs/>
                <w:color w:val="7030A0"/>
                <w:lang w:val="es-ES_tradnl" w:eastAsia="es-ES_tradnl"/>
              </w:rPr>
            </w:pPr>
          </w:p>
        </w:tc>
        <w:tc>
          <w:tcPr>
            <w:tcW w:w="6100" w:type="dxa"/>
          </w:tcPr>
          <w:p w14:paraId="7E752E9C" w14:textId="77777777" w:rsidR="001B6F2E" w:rsidRDefault="001B6F2E" w:rsidP="00CB1843">
            <w:pPr>
              <w:jc w:val="both"/>
              <w:rPr>
                <w:rFonts w:ascii="Verdana" w:eastAsia="Calibri" w:hAnsi="Verdana" w:cs="Arial"/>
                <w:b/>
                <w:bCs/>
                <w:lang w:val="es-ES" w:eastAsia="es-ES"/>
              </w:rPr>
            </w:pPr>
          </w:p>
          <w:p w14:paraId="05DE1333" w14:textId="6511FF1F" w:rsidR="00054748" w:rsidRPr="00F60ADA" w:rsidRDefault="00054748" w:rsidP="00CB1843">
            <w:pPr>
              <w:jc w:val="both"/>
              <w:rPr>
                <w:rFonts w:ascii="Verdana" w:eastAsia="Calibri" w:hAnsi="Verdana" w:cs="Arial"/>
                <w:b/>
                <w:bCs/>
                <w:lang w:val="es-ES" w:eastAsia="es-ES"/>
              </w:rPr>
            </w:pPr>
            <w:r w:rsidRPr="00F60ADA">
              <w:rPr>
                <w:rFonts w:ascii="Verdana" w:eastAsia="Calibri" w:hAnsi="Verdana" w:cs="Arial"/>
                <w:b/>
                <w:bCs/>
                <w:lang w:val="es-ES" w:eastAsia="es-ES"/>
              </w:rPr>
              <w:t xml:space="preserve"> </w:t>
            </w:r>
            <w:r w:rsidR="004F518D" w:rsidRPr="00F60ADA">
              <w:rPr>
                <w:rFonts w:ascii="Verdana" w:eastAsia="Calibri" w:hAnsi="Verdana" w:cs="Arial"/>
                <w:b/>
                <w:bCs/>
                <w:lang w:val="es-ES" w:eastAsia="es-ES"/>
              </w:rPr>
              <w:t xml:space="preserve">Concepto </w:t>
            </w:r>
            <w:r w:rsidRPr="00F60ADA">
              <w:rPr>
                <w:rFonts w:ascii="Verdana" w:eastAsia="Calibri" w:hAnsi="Verdana" w:cs="Arial"/>
                <w:b/>
                <w:bCs/>
                <w:lang w:eastAsia="es-ES"/>
              </w:rPr>
              <w:t>C-</w:t>
            </w:r>
            <w:r w:rsidR="004B3B71" w:rsidRPr="00F60ADA">
              <w:rPr>
                <w:rFonts w:ascii="Verdana" w:eastAsia="Calibri" w:hAnsi="Verdana" w:cs="Arial"/>
                <w:b/>
                <w:bCs/>
                <w:lang w:eastAsia="es-ES"/>
              </w:rPr>
              <w:t>1</w:t>
            </w:r>
            <w:r w:rsidR="00DA37C5" w:rsidRPr="00F60ADA">
              <w:rPr>
                <w:rFonts w:ascii="Verdana" w:eastAsia="Calibri" w:hAnsi="Verdana" w:cs="Arial"/>
                <w:b/>
                <w:bCs/>
                <w:lang w:eastAsia="es-ES"/>
              </w:rPr>
              <w:t>1</w:t>
            </w:r>
            <w:r w:rsidR="002D5608" w:rsidRPr="00F60ADA">
              <w:rPr>
                <w:rFonts w:ascii="Verdana" w:eastAsia="Calibri" w:hAnsi="Verdana" w:cs="Arial"/>
                <w:b/>
                <w:bCs/>
                <w:lang w:eastAsia="es-ES"/>
              </w:rPr>
              <w:t>26</w:t>
            </w:r>
            <w:r w:rsidR="00210F23" w:rsidRPr="00F60ADA">
              <w:rPr>
                <w:rFonts w:ascii="Verdana" w:eastAsia="Calibri" w:hAnsi="Verdana" w:cs="Arial"/>
                <w:b/>
                <w:bCs/>
                <w:lang w:eastAsia="es-ES"/>
              </w:rPr>
              <w:t xml:space="preserve"> </w:t>
            </w:r>
            <w:r w:rsidRPr="00F60ADA">
              <w:rPr>
                <w:rFonts w:ascii="Verdana" w:eastAsia="Calibri" w:hAnsi="Verdana" w:cs="Arial"/>
                <w:b/>
                <w:bCs/>
                <w:lang w:val="es-ES" w:eastAsia="es-ES"/>
              </w:rPr>
              <w:t>de 2026</w:t>
            </w:r>
            <w:r w:rsidR="00DA4941" w:rsidRPr="00F60ADA">
              <w:rPr>
                <w:rFonts w:ascii="Verdana" w:eastAsia="Calibri" w:hAnsi="Verdana" w:cs="Arial"/>
                <w:b/>
                <w:bCs/>
                <w:lang w:val="es-ES" w:eastAsia="es-ES"/>
              </w:rPr>
              <w:t xml:space="preserve"> </w:t>
            </w:r>
          </w:p>
        </w:tc>
      </w:tr>
      <w:tr w:rsidR="00054748" w:rsidRPr="00F60ADA" w14:paraId="67527AC3" w14:textId="77777777" w:rsidTr="00C31D52">
        <w:trPr>
          <w:trHeight w:val="1967"/>
        </w:trPr>
        <w:tc>
          <w:tcPr>
            <w:tcW w:w="2689" w:type="dxa"/>
          </w:tcPr>
          <w:p w14:paraId="32A87DC1" w14:textId="77777777" w:rsidR="00054748" w:rsidRPr="00F60ADA" w:rsidRDefault="00054748" w:rsidP="00CB1843">
            <w:pPr>
              <w:jc w:val="both"/>
              <w:rPr>
                <w:rFonts w:ascii="Verdana" w:eastAsia="Calibri" w:hAnsi="Verdana" w:cs="Arial"/>
                <w:color w:val="000000"/>
                <w:lang w:val="es-ES_tradnl" w:eastAsia="es-ES_tradnl"/>
              </w:rPr>
            </w:pPr>
            <w:r w:rsidRPr="00F60ADA">
              <w:rPr>
                <w:rFonts w:ascii="Verdana" w:eastAsia="Calibri" w:hAnsi="Verdana" w:cs="Arial"/>
                <w:b/>
                <w:color w:val="000000"/>
                <w:lang w:val="es-ES_tradnl" w:eastAsia="es-ES_tradnl"/>
              </w:rPr>
              <w:t>Temas:</w:t>
            </w:r>
            <w:r w:rsidRPr="00F60ADA">
              <w:rPr>
                <w:rFonts w:ascii="Verdana" w:eastAsia="Calibri" w:hAnsi="Verdana" w:cs="Arial"/>
                <w:color w:val="000000"/>
                <w:lang w:val="es-ES_tradnl" w:eastAsia="es-ES_tradnl"/>
              </w:rPr>
              <w:t xml:space="preserve">                   </w:t>
            </w:r>
          </w:p>
        </w:tc>
        <w:tc>
          <w:tcPr>
            <w:tcW w:w="6100" w:type="dxa"/>
          </w:tcPr>
          <w:p w14:paraId="7C0D3F28" w14:textId="0EF3F669" w:rsidR="00BF3773" w:rsidRPr="00F60ADA" w:rsidRDefault="005901A9" w:rsidP="002D5608">
            <w:pPr>
              <w:spacing w:line="276" w:lineRule="auto"/>
              <w:jc w:val="both"/>
              <w:rPr>
                <w:rFonts w:ascii="Verdana" w:eastAsia="Calibri" w:hAnsi="Verdana"/>
                <w:lang w:eastAsia="es-ES"/>
              </w:rPr>
            </w:pPr>
            <w:r w:rsidRPr="00F60ADA">
              <w:rPr>
                <w:rFonts w:ascii="Verdana" w:eastAsia="Calibri" w:hAnsi="Verdana"/>
                <w:lang w:eastAsia="es-ES"/>
              </w:rPr>
              <w:t>REGIMEN DE INHABILIDADES E INCOMPATIBILIDADES - Noción - Taxativo - Carácter restrictivo / CONTRATOS DE PRESTACIÓN DE SERVICIOS - Numeral 3 Artículo 32 de Ley 80 de 1993 - Régimen jurídico aplicable / PROHIBICIÓN DE DOBLE ASIGNACIÓN SALARIAL - Recae sobre servidores públicos - No aplicable a contratistas / POSIBILIDAD DE CELEBRAR VARIOS CONTRATOS DE PRESTACIÓN DE SERVICIOS - No existe prohibición - Análisis de conductas que ocasionen conflicto de interés - Transparencia</w:t>
            </w:r>
          </w:p>
          <w:p w14:paraId="15D6AA5D" w14:textId="40E74114" w:rsidR="005901A9" w:rsidRPr="00F60ADA" w:rsidRDefault="005901A9" w:rsidP="002D5608">
            <w:pPr>
              <w:spacing w:line="276" w:lineRule="auto"/>
              <w:jc w:val="both"/>
              <w:rPr>
                <w:rFonts w:ascii="Verdana" w:eastAsia="Calibri" w:hAnsi="Verdana"/>
                <w:lang w:eastAsia="es-ES"/>
              </w:rPr>
            </w:pPr>
          </w:p>
        </w:tc>
      </w:tr>
      <w:tr w:rsidR="00054748" w:rsidRPr="00F60ADA" w14:paraId="06AC781B" w14:textId="77777777" w:rsidTr="00114EDD">
        <w:trPr>
          <w:trHeight w:val="328"/>
        </w:trPr>
        <w:tc>
          <w:tcPr>
            <w:tcW w:w="2689" w:type="dxa"/>
          </w:tcPr>
          <w:p w14:paraId="623C87E5" w14:textId="0625E53C" w:rsidR="00054748" w:rsidRPr="00F60ADA" w:rsidRDefault="00054748" w:rsidP="00CB1843">
            <w:pPr>
              <w:jc w:val="both"/>
              <w:rPr>
                <w:rFonts w:ascii="Verdana" w:eastAsia="Calibri" w:hAnsi="Verdana" w:cs="Arial"/>
                <w:b/>
                <w:lang w:val="es-ES_tradnl" w:eastAsia="es-ES_tradnl"/>
              </w:rPr>
            </w:pPr>
            <w:r w:rsidRPr="00F60ADA">
              <w:rPr>
                <w:rFonts w:ascii="Verdana" w:eastAsia="Calibri" w:hAnsi="Verdana" w:cs="Arial"/>
                <w:b/>
                <w:lang w:val="es-ES_tradnl" w:eastAsia="es-ES_tradnl"/>
              </w:rPr>
              <w:t xml:space="preserve">Radicación:               </w:t>
            </w:r>
          </w:p>
        </w:tc>
        <w:tc>
          <w:tcPr>
            <w:tcW w:w="6100" w:type="dxa"/>
          </w:tcPr>
          <w:p w14:paraId="75A6BD91" w14:textId="05E074F8" w:rsidR="00CB496F" w:rsidRPr="00F60ADA" w:rsidRDefault="00054748" w:rsidP="00CB496F">
            <w:pPr>
              <w:jc w:val="both"/>
              <w:rPr>
                <w:rFonts w:ascii="Verdana" w:hAnsi="Verdana"/>
                <w:bCs/>
              </w:rPr>
            </w:pPr>
            <w:r w:rsidRPr="00F60ADA">
              <w:rPr>
                <w:rFonts w:ascii="Verdana" w:eastAsia="Calibri" w:hAnsi="Verdana" w:cs="Arial"/>
                <w:bCs/>
                <w:lang w:val="es-ES_tradnl" w:eastAsia="es-ES_tradnl"/>
              </w:rPr>
              <w:t>Respuesta a consulta con radicado No.</w:t>
            </w:r>
            <w:r w:rsidR="00192F16" w:rsidRPr="00F60ADA">
              <w:rPr>
                <w:rFonts w:ascii="Verdana" w:hAnsi="Verdana"/>
                <w:bCs/>
              </w:rPr>
              <w:t xml:space="preserve"> </w:t>
            </w:r>
            <w:r w:rsidR="00CB496F" w:rsidRPr="00F60ADA">
              <w:rPr>
                <w:rFonts w:ascii="Verdana" w:hAnsi="Verdana" w:cs="Calibri"/>
              </w:rPr>
              <w:t>1_2026_07_1</w:t>
            </w:r>
            <w:r w:rsidR="002D5608" w:rsidRPr="00F60ADA">
              <w:rPr>
                <w:rFonts w:ascii="Verdana" w:hAnsi="Verdana" w:cs="Calibri"/>
              </w:rPr>
              <w:t>5</w:t>
            </w:r>
            <w:r w:rsidR="00CB496F" w:rsidRPr="00F60ADA">
              <w:rPr>
                <w:rFonts w:ascii="Verdana" w:hAnsi="Verdana" w:cs="Calibri"/>
              </w:rPr>
              <w:t>_009</w:t>
            </w:r>
            <w:r w:rsidR="0006633D" w:rsidRPr="00F60ADA">
              <w:rPr>
                <w:rFonts w:ascii="Verdana" w:hAnsi="Verdana" w:cs="Calibri"/>
              </w:rPr>
              <w:t>343</w:t>
            </w:r>
          </w:p>
          <w:p w14:paraId="47363C19" w14:textId="0DDFDC80" w:rsidR="00054748" w:rsidRPr="00F60ADA" w:rsidRDefault="0093642D" w:rsidP="00CB1843">
            <w:pPr>
              <w:jc w:val="both"/>
              <w:rPr>
                <w:rFonts w:ascii="Verdana" w:eastAsia="Calibri" w:hAnsi="Verdana" w:cs="Arial"/>
                <w:bCs/>
                <w:lang w:val="es-ES_tradnl" w:eastAsia="es-ES_tradnl"/>
              </w:rPr>
            </w:pPr>
            <w:r w:rsidRPr="00F60ADA">
              <w:rPr>
                <w:rFonts w:ascii="Verdana" w:hAnsi="Verdana"/>
                <w:bCs/>
              </w:rPr>
              <w:t xml:space="preserve"> </w:t>
            </w:r>
          </w:p>
        </w:tc>
      </w:tr>
    </w:tbl>
    <w:p w14:paraId="2188624D" w14:textId="77777777" w:rsidR="00054748" w:rsidRPr="00F60ADA" w:rsidRDefault="00054748" w:rsidP="00054748">
      <w:pPr>
        <w:spacing w:after="0" w:line="240" w:lineRule="auto"/>
        <w:jc w:val="both"/>
        <w:rPr>
          <w:rFonts w:ascii="Verdana" w:eastAsia="Calibri" w:hAnsi="Verdana" w:cs="Arial"/>
          <w:lang w:val="es-ES_tradnl" w:eastAsia="es-ES_tradnl"/>
        </w:rPr>
      </w:pPr>
    </w:p>
    <w:p w14:paraId="3137C81E" w14:textId="23EC9C6A" w:rsidR="00054748" w:rsidRPr="00F60ADA" w:rsidRDefault="00CB496F" w:rsidP="00054748">
      <w:pPr>
        <w:spacing w:after="0" w:line="276" w:lineRule="auto"/>
        <w:jc w:val="both"/>
        <w:rPr>
          <w:rFonts w:ascii="Verdana" w:eastAsia="Calibri" w:hAnsi="Verdana" w:cs="Arial"/>
          <w:color w:val="000000" w:themeColor="text1"/>
          <w:lang w:val="es-ES" w:eastAsia="es-ES"/>
        </w:rPr>
      </w:pPr>
      <w:r w:rsidRPr="00F60ADA">
        <w:rPr>
          <w:rFonts w:ascii="Verdana" w:eastAsia="Calibri" w:hAnsi="Verdana" w:cs="Arial"/>
          <w:color w:val="000000" w:themeColor="text1"/>
          <w:lang w:val="es-ES" w:eastAsia="es-ES"/>
        </w:rPr>
        <w:t xml:space="preserve">Estimada Señora </w:t>
      </w:r>
      <w:r w:rsidR="0006633D" w:rsidRPr="00F60ADA">
        <w:rPr>
          <w:rFonts w:ascii="Verdana" w:eastAsia="Calibri" w:hAnsi="Verdana" w:cs="Arial"/>
          <w:color w:val="000000" w:themeColor="text1"/>
          <w:lang w:val="es-ES" w:eastAsia="es-ES"/>
        </w:rPr>
        <w:t>Briñez</w:t>
      </w:r>
      <w:r w:rsidRPr="00F60ADA">
        <w:rPr>
          <w:rFonts w:ascii="Verdana" w:eastAsia="Calibri" w:hAnsi="Verdana" w:cs="Arial"/>
          <w:color w:val="000000" w:themeColor="text1"/>
          <w:lang w:val="es-ES" w:eastAsia="es-ES"/>
        </w:rPr>
        <w:t>,</w:t>
      </w:r>
      <w:r w:rsidR="0009582C" w:rsidRPr="00F60ADA">
        <w:rPr>
          <w:rFonts w:ascii="Verdana" w:eastAsia="Calibri" w:hAnsi="Verdana" w:cs="Arial"/>
          <w:color w:val="000000" w:themeColor="text1"/>
          <w:lang w:val="es-ES" w:eastAsia="es-ES"/>
        </w:rPr>
        <w:t xml:space="preserve"> </w:t>
      </w:r>
      <w:r w:rsidR="00054748" w:rsidRPr="00F60ADA">
        <w:rPr>
          <w:rFonts w:ascii="Verdana" w:eastAsia="Calibri" w:hAnsi="Verdana" w:cs="Arial"/>
          <w:color w:val="000000" w:themeColor="text1"/>
          <w:lang w:val="es-ES" w:eastAsia="es-ES"/>
        </w:rPr>
        <w:t xml:space="preserve">cordial saludo, </w:t>
      </w:r>
    </w:p>
    <w:p w14:paraId="440505D5" w14:textId="77777777" w:rsidR="00054748" w:rsidRPr="00F60ADA" w:rsidRDefault="00054748" w:rsidP="00054748">
      <w:pPr>
        <w:spacing w:after="0" w:line="276" w:lineRule="auto"/>
        <w:jc w:val="both"/>
        <w:rPr>
          <w:rFonts w:ascii="Verdana" w:eastAsia="Calibri" w:hAnsi="Verdana" w:cs="Arial"/>
          <w:color w:val="000000" w:themeColor="text1"/>
          <w:lang w:val="es-ES" w:eastAsia="es-ES"/>
        </w:rPr>
      </w:pPr>
    </w:p>
    <w:p w14:paraId="0FBD9B8B" w14:textId="4E8946E3" w:rsidR="00054748" w:rsidRPr="00F60ADA" w:rsidRDefault="00054748" w:rsidP="00054748">
      <w:pPr>
        <w:spacing w:after="0" w:line="276" w:lineRule="auto"/>
        <w:jc w:val="both"/>
        <w:rPr>
          <w:rFonts w:ascii="Verdana" w:eastAsia="Calibri" w:hAnsi="Verdana" w:cs="Arial"/>
          <w:lang w:val="es-ES" w:eastAsia="es-ES"/>
        </w:rPr>
      </w:pPr>
      <w:r w:rsidRPr="00F60ADA">
        <w:rPr>
          <w:rFonts w:ascii="Verdana" w:eastAsia="Calibri" w:hAnsi="Verdana" w:cs="Arial"/>
          <w:color w:val="000000" w:themeColor="text1"/>
          <w:lang w:val="es-ES" w:eastAsia="es-ES"/>
        </w:rPr>
        <w:t>En ejercicio de la competencia otorgada por los artículos 3, numeral 5º, y 11, numeral 8º, del Decreto Ley 4170 de 2011,</w:t>
      </w:r>
      <w:r w:rsidRPr="00F60ADA">
        <w:rPr>
          <w:rFonts w:ascii="Verdana" w:eastAsia="Arial MT" w:hAnsi="Verdana" w:cs="Arial MT"/>
          <w:lang w:val="es-ES" w:eastAsia="es-ES"/>
        </w:rPr>
        <w:t xml:space="preserve"> </w:t>
      </w:r>
      <w:r w:rsidRPr="00F60ADA">
        <w:rPr>
          <w:rFonts w:ascii="Verdana" w:hAnsi="Verdana" w:cs="Arial"/>
        </w:rPr>
        <w:t xml:space="preserve">así como lo establecido la </w:t>
      </w:r>
      <w:r w:rsidRPr="00F60ADA">
        <w:rPr>
          <w:rFonts w:ascii="Verdana" w:eastAsia="Verdana" w:hAnsi="Verdana" w:cs="Verdana"/>
          <w:color w:val="000000" w:themeColor="text1"/>
        </w:rPr>
        <w:t>Resolución 469 de 2025</w:t>
      </w:r>
      <w:r w:rsidRPr="00F60ADA">
        <w:rPr>
          <w:rFonts w:ascii="Verdana" w:hAnsi="Verdana" w:cs="Arial"/>
        </w:rPr>
        <w:t xml:space="preserve"> expedida por esta Entidad, </w:t>
      </w:r>
      <w:r w:rsidRPr="00F60ADA">
        <w:rPr>
          <w:rFonts w:ascii="Verdana" w:eastAsia="Calibri" w:hAnsi="Verdana" w:cs="Arial"/>
          <w:color w:val="000000" w:themeColor="text1"/>
          <w:lang w:val="es-ES" w:eastAsia="es-ES"/>
        </w:rPr>
        <w:t xml:space="preserve">la Agencia Nacional de Contratación Pública – Colombia Compra Eficiente– responde su solicitud de consulta de fecha </w:t>
      </w:r>
      <w:r w:rsidR="00CB496F" w:rsidRPr="00F60ADA">
        <w:rPr>
          <w:rFonts w:ascii="Verdana" w:eastAsia="Calibri" w:hAnsi="Verdana" w:cs="Arial"/>
          <w:lang w:val="es-ES" w:eastAsia="es-ES"/>
        </w:rPr>
        <w:t>1</w:t>
      </w:r>
      <w:r w:rsidR="0006633D" w:rsidRPr="00F60ADA">
        <w:rPr>
          <w:rFonts w:ascii="Verdana" w:eastAsia="Calibri" w:hAnsi="Verdana" w:cs="Arial"/>
          <w:lang w:val="es-ES" w:eastAsia="es-ES"/>
        </w:rPr>
        <w:t xml:space="preserve">5 </w:t>
      </w:r>
      <w:r w:rsidR="00F90A20" w:rsidRPr="00F60ADA">
        <w:rPr>
          <w:rFonts w:ascii="Verdana" w:eastAsia="Calibri" w:hAnsi="Verdana" w:cs="Arial"/>
          <w:lang w:val="es-ES" w:eastAsia="es-ES"/>
        </w:rPr>
        <w:t xml:space="preserve">de julio </w:t>
      </w:r>
      <w:r w:rsidRPr="00F60ADA">
        <w:rPr>
          <w:rFonts w:ascii="Verdana" w:eastAsia="Calibri" w:hAnsi="Verdana" w:cs="Arial"/>
          <w:lang w:val="es-ES" w:eastAsia="es-ES"/>
        </w:rPr>
        <w:t xml:space="preserve">de 2026, en la cual manifiesta lo siguiente: </w:t>
      </w:r>
    </w:p>
    <w:p w14:paraId="7804CAD5" w14:textId="77777777" w:rsidR="00054748" w:rsidRPr="00F60ADA" w:rsidRDefault="00054748" w:rsidP="00054748">
      <w:pPr>
        <w:spacing w:after="0" w:line="276" w:lineRule="auto"/>
        <w:jc w:val="both"/>
        <w:rPr>
          <w:rFonts w:ascii="Verdana" w:eastAsia="Calibri" w:hAnsi="Verdana" w:cs="Arial"/>
          <w:color w:val="7030A0"/>
          <w:lang w:val="es-ES" w:eastAsia="es-ES"/>
        </w:rPr>
      </w:pPr>
    </w:p>
    <w:p w14:paraId="49DB1211" w14:textId="00D63B56" w:rsidR="003A27B6" w:rsidRPr="00F60ADA" w:rsidRDefault="0006633D" w:rsidP="003A27B6">
      <w:pPr>
        <w:pStyle w:val="Prrafodelista"/>
        <w:spacing w:after="0" w:line="240" w:lineRule="auto"/>
        <w:ind w:left="1069" w:right="709"/>
        <w:jc w:val="both"/>
        <w:rPr>
          <w:rFonts w:ascii="Verdana" w:eastAsia="Calibri" w:hAnsi="Verdana" w:cs="Arial"/>
          <w:i/>
          <w:color w:val="000000"/>
          <w:sz w:val="20"/>
          <w:szCs w:val="20"/>
          <w:lang w:eastAsia="es-ES"/>
        </w:rPr>
      </w:pPr>
      <w:r w:rsidRPr="00F60ADA">
        <w:rPr>
          <w:rFonts w:ascii="Verdana" w:eastAsia="Calibri" w:hAnsi="Verdana" w:cs="Arial"/>
          <w:i/>
          <w:color w:val="000000"/>
          <w:sz w:val="20"/>
          <w:szCs w:val="20"/>
          <w:lang w:eastAsia="es-ES"/>
        </w:rPr>
        <w:t>“</w:t>
      </w:r>
      <w:r w:rsidR="00826888" w:rsidRPr="00F60ADA">
        <w:rPr>
          <w:rFonts w:ascii="Verdana" w:eastAsia="Calibri" w:hAnsi="Verdana" w:cs="Arial"/>
          <w:i/>
          <w:color w:val="000000"/>
          <w:sz w:val="20"/>
          <w:szCs w:val="20"/>
          <w:lang w:eastAsia="es-ES"/>
        </w:rPr>
        <w:t xml:space="preserve">Me dirijo respetuosamente con el fin de solicitar orientación respecto de la siguiente situación: </w:t>
      </w:r>
    </w:p>
    <w:p w14:paraId="02290159" w14:textId="77777777" w:rsidR="00675C34" w:rsidRPr="00F60ADA" w:rsidRDefault="00675C34" w:rsidP="003A27B6">
      <w:pPr>
        <w:pStyle w:val="Prrafodelista"/>
        <w:spacing w:after="0" w:line="240" w:lineRule="auto"/>
        <w:ind w:left="1069" w:right="709"/>
        <w:jc w:val="both"/>
        <w:rPr>
          <w:rFonts w:ascii="Verdana" w:eastAsia="Calibri" w:hAnsi="Verdana" w:cs="Arial"/>
          <w:i/>
          <w:color w:val="000000"/>
          <w:sz w:val="20"/>
          <w:szCs w:val="20"/>
          <w:lang w:eastAsia="es-ES"/>
        </w:rPr>
      </w:pPr>
    </w:p>
    <w:p w14:paraId="1738ECFC" w14:textId="18D34644" w:rsidR="00826888" w:rsidRPr="00F60ADA" w:rsidRDefault="00826888" w:rsidP="003A27B6">
      <w:pPr>
        <w:pStyle w:val="Prrafodelista"/>
        <w:spacing w:after="0" w:line="240" w:lineRule="auto"/>
        <w:ind w:left="1069" w:right="709"/>
        <w:jc w:val="both"/>
        <w:rPr>
          <w:rFonts w:ascii="Verdana" w:eastAsia="Calibri" w:hAnsi="Verdana" w:cs="Arial"/>
          <w:i/>
          <w:color w:val="000000"/>
          <w:sz w:val="20"/>
          <w:szCs w:val="20"/>
          <w:lang w:eastAsia="es-ES"/>
        </w:rPr>
      </w:pPr>
      <w:r w:rsidRPr="00F60ADA">
        <w:rPr>
          <w:rFonts w:ascii="Verdana" w:eastAsia="Calibri" w:hAnsi="Verdana" w:cs="Arial"/>
          <w:i/>
          <w:color w:val="000000"/>
          <w:sz w:val="20"/>
          <w:szCs w:val="20"/>
          <w:lang w:eastAsia="es-ES"/>
        </w:rPr>
        <w:lastRenderedPageBreak/>
        <w:t xml:space="preserve">¿Es jurídicamente procedente que una persona vinculada a una entidad </w:t>
      </w:r>
      <w:r w:rsidR="00675C34" w:rsidRPr="00F60ADA">
        <w:rPr>
          <w:rFonts w:ascii="Verdana" w:eastAsia="Calibri" w:hAnsi="Verdana" w:cs="Arial"/>
          <w:i/>
          <w:color w:val="000000"/>
          <w:sz w:val="20"/>
          <w:szCs w:val="20"/>
          <w:lang w:eastAsia="es-ES"/>
        </w:rPr>
        <w:t>estatal</w:t>
      </w:r>
      <w:r w:rsidRPr="00F60ADA">
        <w:rPr>
          <w:rFonts w:ascii="Verdana" w:eastAsia="Calibri" w:hAnsi="Verdana" w:cs="Arial"/>
          <w:i/>
          <w:color w:val="000000"/>
          <w:sz w:val="20"/>
          <w:szCs w:val="20"/>
          <w:lang w:eastAsia="es-ES"/>
        </w:rPr>
        <w:t xml:space="preserve"> </w:t>
      </w:r>
      <w:r w:rsidR="00675C34" w:rsidRPr="00F60ADA">
        <w:rPr>
          <w:rFonts w:ascii="Verdana" w:eastAsia="Calibri" w:hAnsi="Verdana" w:cs="Arial"/>
          <w:i/>
          <w:color w:val="000000"/>
          <w:sz w:val="20"/>
          <w:szCs w:val="20"/>
          <w:lang w:eastAsia="es-ES"/>
        </w:rPr>
        <w:t>mediante un contrato de prestación de servicios participe, a través de una empresa privada de la cual haga parte o que represente, en un proceso de contratación adelantado por la misma entidad?</w:t>
      </w:r>
    </w:p>
    <w:p w14:paraId="0F390D6F" w14:textId="6747CABA" w:rsidR="00675C34" w:rsidRPr="00F60ADA" w:rsidRDefault="00675C34" w:rsidP="003A27B6">
      <w:pPr>
        <w:pStyle w:val="Prrafodelista"/>
        <w:spacing w:after="0" w:line="240" w:lineRule="auto"/>
        <w:ind w:left="1069" w:right="709"/>
        <w:jc w:val="both"/>
        <w:rPr>
          <w:rFonts w:ascii="Verdana" w:eastAsia="Calibri" w:hAnsi="Verdana" w:cs="Arial"/>
          <w:i/>
          <w:color w:val="000000"/>
          <w:sz w:val="20"/>
          <w:szCs w:val="20"/>
          <w:lang w:eastAsia="es-ES"/>
        </w:rPr>
      </w:pPr>
    </w:p>
    <w:p w14:paraId="544A40E2" w14:textId="73CDB116" w:rsidR="00675C34" w:rsidRPr="00F60ADA" w:rsidRDefault="00675C34" w:rsidP="003A27B6">
      <w:pPr>
        <w:pStyle w:val="Prrafodelista"/>
        <w:spacing w:after="0" w:line="240" w:lineRule="auto"/>
        <w:ind w:left="1069" w:right="709"/>
        <w:jc w:val="both"/>
        <w:rPr>
          <w:rFonts w:ascii="Verdana" w:eastAsia="Calibri" w:hAnsi="Verdana" w:cs="Arial"/>
          <w:i/>
          <w:color w:val="000000"/>
          <w:sz w:val="20"/>
          <w:szCs w:val="20"/>
          <w:lang w:eastAsia="es-ES"/>
        </w:rPr>
      </w:pPr>
      <w:r w:rsidRPr="00F60ADA">
        <w:rPr>
          <w:rFonts w:ascii="Verdana" w:eastAsia="Calibri" w:hAnsi="Verdana" w:cs="Arial"/>
          <w:i/>
          <w:color w:val="000000"/>
          <w:sz w:val="20"/>
          <w:szCs w:val="20"/>
          <w:lang w:eastAsia="es-ES"/>
        </w:rPr>
        <w:t xml:space="preserve">En caso de ser posible, ¿dicha situación podría generar un conflicto de </w:t>
      </w:r>
      <w:r w:rsidR="00266371" w:rsidRPr="00F60ADA">
        <w:rPr>
          <w:rFonts w:ascii="Verdana" w:eastAsia="Calibri" w:hAnsi="Verdana" w:cs="Arial"/>
          <w:i/>
          <w:color w:val="000000"/>
          <w:sz w:val="20"/>
          <w:szCs w:val="20"/>
          <w:lang w:eastAsia="es-ES"/>
        </w:rPr>
        <w:t>intereses, una inhabilidad o incompatibilidad, un posible conflicto de competencia o alguna consecuencia de carácter disciplinario, fiscal o penal?</w:t>
      </w:r>
    </w:p>
    <w:p w14:paraId="7A5D212F" w14:textId="5A14BA8C" w:rsidR="0006633D" w:rsidRPr="00F60ADA" w:rsidRDefault="00266371" w:rsidP="005E1E05">
      <w:pPr>
        <w:pStyle w:val="Prrafodelista"/>
        <w:spacing w:after="0" w:line="240" w:lineRule="auto"/>
        <w:ind w:left="1069" w:right="709"/>
        <w:jc w:val="both"/>
        <w:rPr>
          <w:rFonts w:ascii="Verdana" w:eastAsia="Calibri" w:hAnsi="Verdana" w:cs="Arial"/>
          <w:i/>
          <w:color w:val="000000"/>
          <w:sz w:val="20"/>
          <w:szCs w:val="20"/>
          <w:lang w:eastAsia="es-ES"/>
        </w:rPr>
      </w:pPr>
      <w:r w:rsidRPr="00F60ADA">
        <w:rPr>
          <w:rFonts w:ascii="Verdana" w:eastAsia="Calibri" w:hAnsi="Verdana" w:cs="Arial"/>
          <w:i/>
          <w:color w:val="000000"/>
          <w:sz w:val="20"/>
          <w:szCs w:val="20"/>
          <w:lang w:eastAsia="es-ES"/>
        </w:rPr>
        <w:t>Así mismo, se solicita aclarar si el análisis cambia cuando la persona ya no se encuentra vinculada mediante contrato de prestación de servicios con la entidad al momento de que la empresa privada</w:t>
      </w:r>
      <w:r w:rsidR="005E1E05" w:rsidRPr="00F60ADA">
        <w:rPr>
          <w:rFonts w:ascii="Verdana" w:eastAsia="Calibri" w:hAnsi="Verdana" w:cs="Arial"/>
          <w:i/>
          <w:color w:val="000000"/>
          <w:sz w:val="20"/>
          <w:szCs w:val="20"/>
          <w:lang w:eastAsia="es-ES"/>
        </w:rPr>
        <w:t xml:space="preserve"> presente la oferta, o si existen restricciones posteriores a la terminación del contrato que deban tenerse en cuenta para participar en procesos de contratación con la misma entidad. </w:t>
      </w:r>
    </w:p>
    <w:p w14:paraId="4CF70ADE" w14:textId="56BF99F0" w:rsidR="005E1E05" w:rsidRPr="00F60ADA" w:rsidRDefault="005E1E05" w:rsidP="005E1E05">
      <w:pPr>
        <w:pStyle w:val="Prrafodelista"/>
        <w:spacing w:after="0" w:line="240" w:lineRule="auto"/>
        <w:ind w:left="1069" w:right="709"/>
        <w:jc w:val="both"/>
        <w:rPr>
          <w:rFonts w:ascii="Verdana" w:eastAsia="Calibri" w:hAnsi="Verdana" w:cs="Arial"/>
          <w:i/>
          <w:color w:val="000000"/>
          <w:sz w:val="20"/>
          <w:szCs w:val="20"/>
          <w:lang w:eastAsia="es-ES"/>
        </w:rPr>
      </w:pPr>
      <w:r w:rsidRPr="00F60ADA">
        <w:rPr>
          <w:rFonts w:ascii="Verdana" w:eastAsia="Calibri" w:hAnsi="Verdana" w:cs="Arial"/>
          <w:i/>
          <w:color w:val="000000"/>
          <w:sz w:val="20"/>
          <w:szCs w:val="20"/>
          <w:lang w:eastAsia="es-ES"/>
        </w:rPr>
        <w:t>[…]”</w:t>
      </w:r>
    </w:p>
    <w:p w14:paraId="5CB1723B" w14:textId="77777777" w:rsidR="0006633D" w:rsidRPr="00F60ADA" w:rsidRDefault="0006633D" w:rsidP="003A27B6">
      <w:pPr>
        <w:pStyle w:val="Prrafodelista"/>
        <w:spacing w:after="0" w:line="240" w:lineRule="auto"/>
        <w:ind w:left="1069" w:right="709"/>
        <w:jc w:val="both"/>
        <w:rPr>
          <w:rFonts w:ascii="Verdana" w:eastAsia="Calibri" w:hAnsi="Verdana" w:cs="Arial"/>
          <w:i/>
          <w:color w:val="000000"/>
          <w:sz w:val="20"/>
          <w:szCs w:val="20"/>
          <w:lang w:eastAsia="es-ES"/>
        </w:rPr>
      </w:pPr>
    </w:p>
    <w:p w14:paraId="6A8ACAB6" w14:textId="77777777" w:rsidR="00054748" w:rsidRPr="00F60ADA" w:rsidRDefault="00054748" w:rsidP="00054748">
      <w:pPr>
        <w:spacing w:after="120" w:line="276" w:lineRule="auto"/>
        <w:ind w:firstLine="709"/>
        <w:jc w:val="both"/>
        <w:rPr>
          <w:rFonts w:ascii="Verdana" w:eastAsia="Calibri" w:hAnsi="Verdana" w:cs="Arial"/>
          <w:color w:val="000000"/>
          <w:szCs w:val="24"/>
          <w:lang w:val="es-ES_tradnl" w:eastAsia="es-ES_tradnl"/>
        </w:rPr>
      </w:pPr>
      <w:r w:rsidRPr="00F60ADA">
        <w:rPr>
          <w:rFonts w:ascii="Verdana" w:eastAsia="Calibri" w:hAnsi="Verdana" w:cs="Arial"/>
          <w:color w:val="000000"/>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F60ADA">
        <w:rPr>
          <w:rFonts w:ascii="Verdana" w:eastAsia="Calibri" w:hAnsi="Verdana" w:cs="Arial"/>
          <w:color w:val="000000"/>
          <w:szCs w:val="24"/>
          <w:lang w:val="es-ES_tradnl" w:eastAsia="es-ES_tradnl"/>
        </w:rPr>
        <w:tab/>
      </w:r>
    </w:p>
    <w:p w14:paraId="698F94B0" w14:textId="77777777" w:rsidR="00054748" w:rsidRPr="00F60ADA" w:rsidRDefault="00054748" w:rsidP="00054748">
      <w:pPr>
        <w:spacing w:after="0" w:line="276" w:lineRule="auto"/>
        <w:ind w:firstLine="709"/>
        <w:jc w:val="both"/>
        <w:rPr>
          <w:rFonts w:ascii="Verdana" w:eastAsia="Calibri" w:hAnsi="Verdana" w:cs="Arial"/>
          <w:color w:val="000000"/>
          <w:lang w:val="es-ES" w:eastAsia="es-ES"/>
        </w:rPr>
      </w:pPr>
      <w:r w:rsidRPr="00F60ADA">
        <w:rPr>
          <w:rFonts w:ascii="Verdana" w:eastAsia="Calibri" w:hAnsi="Verdana" w:cs="Arial"/>
          <w:color w:val="000000"/>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señalando unas consideraciones sobre las normas generales relacionadas con </w:t>
      </w:r>
      <w:r w:rsidRPr="00F60ADA">
        <w:rPr>
          <w:rFonts w:ascii="Verdana" w:eastAsia="Calibri" w:hAnsi="Verdana" w:cs="Arial"/>
          <w:lang w:val="es-ES" w:eastAsia="es-ES"/>
        </w:rPr>
        <w:t xml:space="preserve">el problema </w:t>
      </w:r>
      <w:r w:rsidRPr="00F60ADA">
        <w:rPr>
          <w:rFonts w:ascii="Verdana" w:eastAsia="Calibri" w:hAnsi="Verdana" w:cs="Arial"/>
          <w:color w:val="000000"/>
          <w:lang w:val="es-ES" w:eastAsia="es-ES"/>
        </w:rPr>
        <w:t xml:space="preserve">jurídico de su consulta. </w:t>
      </w:r>
    </w:p>
    <w:p w14:paraId="44480558" w14:textId="7862E046" w:rsidR="00054748" w:rsidRPr="00F60ADA" w:rsidRDefault="00054748" w:rsidP="00844464">
      <w:pPr>
        <w:spacing w:after="0" w:line="276" w:lineRule="auto"/>
        <w:jc w:val="both"/>
        <w:rPr>
          <w:rFonts w:ascii="Verdana" w:eastAsia="Calibri" w:hAnsi="Verdana" w:cs="Arial"/>
          <w:color w:val="000000"/>
          <w:lang w:val="es-ES" w:eastAsia="es-ES"/>
        </w:rPr>
      </w:pPr>
    </w:p>
    <w:p w14:paraId="1A01DFE8" w14:textId="77777777" w:rsidR="00054748" w:rsidRPr="00F60ADA" w:rsidRDefault="00054748" w:rsidP="00054748">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rPr>
      </w:pPr>
      <w:r w:rsidRPr="00F60ADA">
        <w:rPr>
          <w:rFonts w:ascii="Verdana" w:eastAsia="Century Gothic" w:hAnsi="Verdana" w:cs="Century Gothic"/>
          <w:b/>
          <w:bCs/>
        </w:rPr>
        <w:t>Problema planteado:</w:t>
      </w:r>
    </w:p>
    <w:p w14:paraId="54F78013" w14:textId="77777777" w:rsidR="00054748" w:rsidRPr="00F60ADA" w:rsidRDefault="00054748" w:rsidP="00054748">
      <w:pPr>
        <w:spacing w:after="0" w:line="276" w:lineRule="auto"/>
        <w:jc w:val="both"/>
        <w:rPr>
          <w:rFonts w:ascii="Verdana" w:eastAsia="Century Gothic" w:hAnsi="Verdana" w:cs="Century Gothic"/>
        </w:rPr>
      </w:pPr>
    </w:p>
    <w:p w14:paraId="738F9980" w14:textId="40BDC0B3" w:rsidR="00956712" w:rsidRPr="00F60ADA" w:rsidRDefault="00054748" w:rsidP="00CF0A77">
      <w:pPr>
        <w:spacing w:after="0" w:line="276" w:lineRule="auto"/>
        <w:jc w:val="both"/>
        <w:rPr>
          <w:rFonts w:ascii="Verdana" w:eastAsia="Century Gothic" w:hAnsi="Verdana" w:cs="Century Gothic"/>
        </w:rPr>
      </w:pPr>
      <w:r w:rsidRPr="00F60ADA">
        <w:rPr>
          <w:rFonts w:ascii="Verdana" w:eastAsia="Century Gothic" w:hAnsi="Verdana" w:cs="Century Gothic"/>
        </w:rPr>
        <w:lastRenderedPageBreak/>
        <w:t xml:space="preserve">De acuerdo con el contenido de su solicitud, esta Agencia abordará </w:t>
      </w:r>
      <w:r w:rsidR="00740F02" w:rsidRPr="00F60ADA">
        <w:rPr>
          <w:rFonts w:ascii="Verdana" w:eastAsia="Century Gothic" w:hAnsi="Verdana" w:cs="Century Gothic"/>
        </w:rPr>
        <w:t xml:space="preserve">el siguiente problema jurídico: </w:t>
      </w:r>
      <w:r w:rsidR="00EA263C" w:rsidRPr="00F60ADA">
        <w:rPr>
          <w:rFonts w:ascii="Verdana" w:eastAsia="Century Gothic" w:hAnsi="Verdana" w:cs="Century Gothic"/>
        </w:rPr>
        <w:t>¿Es jurídicamente procedente que una persona natural que ejecuta un contrato de prestación de servicios con una entidad estatal participe, directamente o por medio de una persona jurídica de la cual haga parte o ejerza su representación, en un proceso de contratación adelantado por esa misma entidad?</w:t>
      </w:r>
    </w:p>
    <w:p w14:paraId="31277D7A" w14:textId="77777777" w:rsidR="00D93CAF" w:rsidRPr="00F60ADA" w:rsidRDefault="00D93CAF" w:rsidP="00CF0A77">
      <w:pPr>
        <w:spacing w:after="0" w:line="276" w:lineRule="auto"/>
        <w:jc w:val="both"/>
        <w:rPr>
          <w:rFonts w:ascii="Verdana" w:eastAsia="Century Gothic" w:hAnsi="Verdana" w:cs="Century Gothic"/>
        </w:rPr>
      </w:pPr>
    </w:p>
    <w:p w14:paraId="757812DB" w14:textId="77777777" w:rsidR="00054748" w:rsidRPr="00F60ADA" w:rsidRDefault="00054748" w:rsidP="00054748">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F60ADA">
        <w:rPr>
          <w:rFonts w:ascii="Verdana" w:eastAsia="Century Gothic" w:hAnsi="Verdana" w:cs="Century Gothic"/>
          <w:b/>
          <w:bCs/>
        </w:rPr>
        <w:t>Respuesta:</w:t>
      </w:r>
    </w:p>
    <w:p w14:paraId="1A786415" w14:textId="77777777" w:rsidR="00054748" w:rsidRPr="00F60ADA" w:rsidRDefault="00054748" w:rsidP="00054748">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054748" w:rsidRPr="00F60ADA" w14:paraId="4B5AFF77" w14:textId="77777777" w:rsidTr="00CB1843">
        <w:tc>
          <w:tcPr>
            <w:tcW w:w="8828" w:type="dxa"/>
          </w:tcPr>
          <w:p w14:paraId="427C9400" w14:textId="77777777" w:rsidR="00D17A0D" w:rsidRPr="00F60ADA" w:rsidRDefault="00835F22" w:rsidP="00A03C93">
            <w:pPr>
              <w:spacing w:after="120" w:line="276" w:lineRule="auto"/>
              <w:jc w:val="both"/>
              <w:rPr>
                <w:rFonts w:ascii="Verdana" w:eastAsia="Calibri" w:hAnsi="Verdana" w:cs="Arial"/>
                <w:color w:val="000000" w:themeColor="text1"/>
              </w:rPr>
            </w:pPr>
            <w:r w:rsidRPr="00F60ADA">
              <w:rPr>
                <w:rFonts w:ascii="Verdana" w:eastAsia="Calibri" w:hAnsi="Verdana" w:cs="Arial"/>
                <w:color w:val="000000" w:themeColor="text1"/>
              </w:rPr>
              <w:t>Para responder el problema jurídico planteado es importante precisar que</w:t>
            </w:r>
            <w:r w:rsidR="00D05ED7" w:rsidRPr="00F60ADA">
              <w:rPr>
                <w:rFonts w:ascii="Verdana" w:eastAsia="Calibri" w:hAnsi="Verdana" w:cs="Arial"/>
                <w:color w:val="000000" w:themeColor="text1"/>
              </w:rPr>
              <w:t>,</w:t>
            </w:r>
            <w:r w:rsidR="00D31F59" w:rsidRPr="00F60ADA">
              <w:rPr>
                <w:rFonts w:ascii="Verdana" w:eastAsia="Calibri" w:hAnsi="Verdana" w:cs="Arial"/>
                <w:color w:val="000000" w:themeColor="text1"/>
              </w:rPr>
              <w:t xml:space="preserve"> en principio sí es </w:t>
            </w:r>
            <w:r w:rsidR="00031484" w:rsidRPr="00F60ADA">
              <w:rPr>
                <w:rFonts w:ascii="Verdana" w:eastAsia="Calibri" w:hAnsi="Verdana" w:cs="Arial"/>
                <w:color w:val="000000" w:themeColor="text1"/>
              </w:rPr>
              <w:t>jurídicamente</w:t>
            </w:r>
            <w:r w:rsidR="00E12DB8" w:rsidRPr="00F60ADA">
              <w:rPr>
                <w:rFonts w:ascii="Verdana" w:eastAsia="Calibri" w:hAnsi="Verdana" w:cs="Arial"/>
                <w:color w:val="000000" w:themeColor="text1"/>
              </w:rPr>
              <w:t xml:space="preserve"> procedente que una persona </w:t>
            </w:r>
            <w:r w:rsidR="00D356B6" w:rsidRPr="00F60ADA">
              <w:rPr>
                <w:rFonts w:ascii="Verdana" w:eastAsia="Calibri" w:hAnsi="Verdana" w:cs="Arial"/>
                <w:color w:val="000000" w:themeColor="text1"/>
              </w:rPr>
              <w:t xml:space="preserve">natural vinculada a una entidad estatal mediante un contrato de prestación de servicios, participe directamente o por conducto </w:t>
            </w:r>
            <w:r w:rsidR="002A6552" w:rsidRPr="00F60ADA">
              <w:rPr>
                <w:rFonts w:ascii="Verdana" w:eastAsia="Calibri" w:hAnsi="Verdana" w:cs="Arial"/>
                <w:color w:val="000000" w:themeColor="text1"/>
              </w:rPr>
              <w:t xml:space="preserve">de una persona jurídica de la que haga parte o ejerza su representación, en un proceso contractual adelantado por esa misma entidad, siempre que no se encuentre incursa en una inhabilidad o incompatibilidad prevista en </w:t>
            </w:r>
            <w:r w:rsidR="00D17A0D" w:rsidRPr="00F60ADA">
              <w:rPr>
                <w:rFonts w:ascii="Verdana" w:eastAsia="Calibri" w:hAnsi="Verdana" w:cs="Arial"/>
                <w:color w:val="000000" w:themeColor="text1"/>
              </w:rPr>
              <w:t xml:space="preserve">la Constitución Política o en la Ley. </w:t>
            </w:r>
          </w:p>
          <w:p w14:paraId="0549FDAA" w14:textId="2C51882A" w:rsidR="00A03C93" w:rsidRPr="00F60ADA" w:rsidRDefault="00D17A0D" w:rsidP="00D17A0D">
            <w:pPr>
              <w:spacing w:after="120" w:line="276" w:lineRule="auto"/>
              <w:ind w:firstLine="709"/>
              <w:jc w:val="both"/>
              <w:rPr>
                <w:rFonts w:ascii="Verdana" w:eastAsia="Calibri" w:hAnsi="Verdana" w:cs="Arial"/>
                <w:color w:val="000000" w:themeColor="text1"/>
              </w:rPr>
            </w:pPr>
            <w:r w:rsidRPr="00F60ADA">
              <w:rPr>
                <w:rFonts w:ascii="Verdana" w:eastAsia="Calibri" w:hAnsi="Verdana" w:cs="Arial"/>
                <w:color w:val="000000" w:themeColor="text1"/>
              </w:rPr>
              <w:t>Lo anterior obedece a qu</w:t>
            </w:r>
            <w:r w:rsidR="0036640A" w:rsidRPr="00F60ADA">
              <w:rPr>
                <w:rFonts w:ascii="Verdana" w:eastAsia="Calibri" w:hAnsi="Verdana" w:cs="Arial"/>
                <w:color w:val="000000" w:themeColor="text1"/>
              </w:rPr>
              <w:t xml:space="preserve">e el </w:t>
            </w:r>
            <w:r w:rsidRPr="00F60ADA">
              <w:rPr>
                <w:rFonts w:ascii="Verdana" w:eastAsia="Calibri" w:hAnsi="Verdana" w:cs="Arial"/>
                <w:color w:val="000000" w:themeColor="text1"/>
              </w:rPr>
              <w:t>ordenamiento jurídico colombiano</w:t>
            </w:r>
            <w:r w:rsidR="0036640A" w:rsidRPr="00F60ADA">
              <w:rPr>
                <w:rFonts w:ascii="Verdana" w:eastAsia="Calibri" w:hAnsi="Verdana" w:cs="Arial"/>
                <w:color w:val="000000" w:themeColor="text1"/>
              </w:rPr>
              <w:t xml:space="preserve">, </w:t>
            </w:r>
            <w:r w:rsidR="004C387A" w:rsidRPr="00F60ADA">
              <w:rPr>
                <w:rFonts w:ascii="Verdana" w:eastAsia="Calibri" w:hAnsi="Verdana" w:cs="Arial"/>
                <w:color w:val="000000" w:themeColor="text1"/>
              </w:rPr>
              <w:t>caracterizado</w:t>
            </w:r>
            <w:r w:rsidR="0036640A" w:rsidRPr="00F60ADA">
              <w:rPr>
                <w:rFonts w:ascii="Verdana" w:eastAsia="Calibri" w:hAnsi="Verdana" w:cs="Arial"/>
                <w:color w:val="000000" w:themeColor="text1"/>
              </w:rPr>
              <w:t xml:space="preserve"> por </w:t>
            </w:r>
            <w:r w:rsidR="004C387A" w:rsidRPr="00F60ADA">
              <w:rPr>
                <w:rFonts w:ascii="Verdana" w:eastAsia="Calibri" w:hAnsi="Verdana" w:cs="Arial"/>
                <w:color w:val="000000" w:themeColor="text1"/>
              </w:rPr>
              <w:t>su interpretación restrictiva,</w:t>
            </w:r>
            <w:r w:rsidRPr="00F60ADA">
              <w:rPr>
                <w:rFonts w:ascii="Verdana" w:eastAsia="Calibri" w:hAnsi="Verdana" w:cs="Arial"/>
                <w:color w:val="000000" w:themeColor="text1"/>
              </w:rPr>
              <w:t xml:space="preserve"> no establece una prohibición general que impida a los contratistas de prestación de servicios, contratar nuevamente con la entidad con la que tienen el vinculo contractual. En consecuencia, se entiende que la sola existencia de un contrato </w:t>
            </w:r>
            <w:r w:rsidR="00CD323A" w:rsidRPr="00F60ADA">
              <w:rPr>
                <w:rFonts w:ascii="Verdana" w:eastAsia="Calibri" w:hAnsi="Verdana" w:cs="Arial"/>
                <w:color w:val="000000" w:themeColor="text1"/>
              </w:rPr>
              <w:t>de prestación de servicios no configura</w:t>
            </w:r>
            <w:r w:rsidR="00B91396" w:rsidRPr="00F60ADA">
              <w:rPr>
                <w:rFonts w:ascii="Verdana" w:eastAsia="Calibri" w:hAnsi="Verdana" w:cs="Arial"/>
                <w:color w:val="000000" w:themeColor="text1"/>
              </w:rPr>
              <w:t xml:space="preserve">, </w:t>
            </w:r>
            <w:r w:rsidR="00CD323A" w:rsidRPr="00F60ADA">
              <w:rPr>
                <w:rFonts w:ascii="Verdana" w:eastAsia="Calibri" w:hAnsi="Verdana" w:cs="Arial"/>
                <w:color w:val="000000" w:themeColor="text1"/>
              </w:rPr>
              <w:t xml:space="preserve">por sí misma, una causal de inhabilidad o incompatibilidad para participar en un </w:t>
            </w:r>
            <w:r w:rsidR="00B91396" w:rsidRPr="00F60ADA">
              <w:rPr>
                <w:rFonts w:ascii="Verdana" w:eastAsia="Calibri" w:hAnsi="Verdana" w:cs="Arial"/>
                <w:color w:val="000000" w:themeColor="text1"/>
              </w:rPr>
              <w:t xml:space="preserve">procedimiento de selección. </w:t>
            </w:r>
          </w:p>
          <w:p w14:paraId="548F0E3A" w14:textId="6C466EC9" w:rsidR="00B91396" w:rsidRPr="00F60ADA" w:rsidRDefault="00B91396" w:rsidP="00D17A0D">
            <w:pPr>
              <w:spacing w:after="120" w:line="276" w:lineRule="auto"/>
              <w:ind w:firstLine="709"/>
              <w:jc w:val="both"/>
              <w:rPr>
                <w:rFonts w:ascii="Verdana" w:eastAsia="Calibri" w:hAnsi="Verdana" w:cs="Arial"/>
                <w:color w:val="000000" w:themeColor="text1"/>
              </w:rPr>
            </w:pPr>
            <w:r w:rsidRPr="00F60ADA">
              <w:rPr>
                <w:rFonts w:ascii="Verdana" w:eastAsia="Calibri" w:hAnsi="Verdana" w:cs="Arial"/>
                <w:color w:val="000000" w:themeColor="text1"/>
              </w:rPr>
              <w:t xml:space="preserve">No obstante, </w:t>
            </w:r>
            <w:r w:rsidR="00FC29FA" w:rsidRPr="00F60ADA">
              <w:rPr>
                <w:rFonts w:ascii="Verdana" w:eastAsia="Calibri" w:hAnsi="Verdana" w:cs="Arial"/>
                <w:color w:val="000000" w:themeColor="text1"/>
              </w:rPr>
              <w:t>la procedencia de dicha participación debe analizarse en cada caso concreto, teniendo en cuenta las circunstancias particulares de</w:t>
            </w:r>
            <w:r w:rsidR="002E380C" w:rsidRPr="00F60ADA">
              <w:rPr>
                <w:rFonts w:ascii="Verdana" w:eastAsia="Calibri" w:hAnsi="Verdana" w:cs="Arial"/>
                <w:color w:val="000000" w:themeColor="text1"/>
              </w:rPr>
              <w:t xml:space="preserve">l contratista, el objeto y alcance del contrato de prestación de servicios, las actividades efectivamente desarrolladas y su eventual incidencia en el proceso de contratación </w:t>
            </w:r>
            <w:r w:rsidR="00B27422" w:rsidRPr="00F60ADA">
              <w:rPr>
                <w:rFonts w:ascii="Verdana" w:eastAsia="Calibri" w:hAnsi="Verdana" w:cs="Arial"/>
                <w:color w:val="000000" w:themeColor="text1"/>
              </w:rPr>
              <w:t xml:space="preserve">en el que pretende participar. En este sentido, la entidad estatal deberá </w:t>
            </w:r>
            <w:r w:rsidR="00837CD3" w:rsidRPr="00F60ADA">
              <w:rPr>
                <w:rFonts w:ascii="Verdana" w:eastAsia="Calibri" w:hAnsi="Verdana" w:cs="Arial"/>
                <w:color w:val="000000" w:themeColor="text1"/>
              </w:rPr>
              <w:t xml:space="preserve">verificar que no se configure un conflicto de interés, que no exista un aprovechamiento indebido de información privilegiada ni se comprometan los principios de transparencia, igualdad, selección objetiva y moralidad que orientan la función administrativa y la contratación estatal. </w:t>
            </w:r>
          </w:p>
          <w:p w14:paraId="0BB1A740" w14:textId="115EBAC9" w:rsidR="00AC7F6C" w:rsidRPr="00F60ADA" w:rsidRDefault="00837CD3" w:rsidP="004F5B20">
            <w:pPr>
              <w:spacing w:after="120" w:line="276" w:lineRule="auto"/>
              <w:ind w:firstLine="709"/>
              <w:jc w:val="both"/>
              <w:rPr>
                <w:rFonts w:ascii="Verdana" w:eastAsia="Calibri" w:hAnsi="Verdana" w:cs="Arial"/>
                <w:color w:val="000000" w:themeColor="text1"/>
              </w:rPr>
            </w:pPr>
            <w:r w:rsidRPr="00F60ADA">
              <w:rPr>
                <w:rFonts w:ascii="Verdana" w:eastAsia="Calibri" w:hAnsi="Verdana" w:cs="Arial"/>
                <w:color w:val="000000" w:themeColor="text1"/>
              </w:rPr>
              <w:t xml:space="preserve">En consecuencia, la </w:t>
            </w:r>
            <w:r w:rsidR="004F5B20" w:rsidRPr="00F60ADA">
              <w:rPr>
                <w:rFonts w:ascii="Verdana" w:eastAsia="Calibri" w:hAnsi="Verdana" w:cs="Arial"/>
                <w:color w:val="000000" w:themeColor="text1"/>
              </w:rPr>
              <w:t xml:space="preserve">procedencia de la </w:t>
            </w:r>
            <w:r w:rsidRPr="00F60ADA">
              <w:rPr>
                <w:rFonts w:ascii="Verdana" w:eastAsia="Calibri" w:hAnsi="Verdana" w:cs="Arial"/>
                <w:color w:val="000000" w:themeColor="text1"/>
              </w:rPr>
              <w:t xml:space="preserve">participación de un contratista de prestación de servicios, directamente o a través de persona jurídica </w:t>
            </w:r>
            <w:r w:rsidR="00E11B42" w:rsidRPr="00F60ADA">
              <w:rPr>
                <w:rFonts w:ascii="Verdana" w:eastAsia="Calibri" w:hAnsi="Verdana" w:cs="Arial"/>
                <w:color w:val="000000" w:themeColor="text1"/>
              </w:rPr>
              <w:t xml:space="preserve">de la cual haga parte o represente, </w:t>
            </w:r>
            <w:r w:rsidR="004F5B20" w:rsidRPr="00F60ADA">
              <w:rPr>
                <w:rFonts w:ascii="Verdana" w:eastAsia="Calibri" w:hAnsi="Verdana" w:cs="Arial"/>
                <w:color w:val="000000" w:themeColor="text1"/>
              </w:rPr>
              <w:t xml:space="preserve">no puede determinarse de manera abstracta, ni </w:t>
            </w:r>
            <w:r w:rsidR="00E11B42" w:rsidRPr="00F60ADA">
              <w:rPr>
                <w:rFonts w:ascii="Verdana" w:eastAsia="Calibri" w:hAnsi="Verdana" w:cs="Arial"/>
                <w:color w:val="000000" w:themeColor="text1"/>
              </w:rPr>
              <w:lastRenderedPageBreak/>
              <w:t xml:space="preserve">depende exclusivamente de la inexistencia de una inhabilidad o incompatibilidad, sino </w:t>
            </w:r>
            <w:r w:rsidR="006537CD" w:rsidRPr="00F60ADA">
              <w:rPr>
                <w:rFonts w:ascii="Verdana" w:eastAsia="Calibri" w:hAnsi="Verdana" w:cs="Arial"/>
                <w:color w:val="000000" w:themeColor="text1"/>
              </w:rPr>
              <w:t>que exige que</w:t>
            </w:r>
            <w:r w:rsidR="00E11B42" w:rsidRPr="00F60ADA">
              <w:rPr>
                <w:rFonts w:ascii="Verdana" w:eastAsia="Calibri" w:hAnsi="Verdana" w:cs="Arial"/>
                <w:color w:val="000000" w:themeColor="text1"/>
              </w:rPr>
              <w:t xml:space="preserve"> las entidades estatales </w:t>
            </w:r>
            <w:r w:rsidR="006537CD" w:rsidRPr="00F60ADA">
              <w:rPr>
                <w:rFonts w:ascii="Verdana" w:eastAsia="Calibri" w:hAnsi="Verdana" w:cs="Arial"/>
                <w:color w:val="000000" w:themeColor="text1"/>
              </w:rPr>
              <w:t>cumplan con el deber de</w:t>
            </w:r>
            <w:r w:rsidR="00E11B42" w:rsidRPr="00F60ADA">
              <w:rPr>
                <w:rFonts w:ascii="Verdana" w:eastAsia="Calibri" w:hAnsi="Verdana" w:cs="Arial"/>
                <w:color w:val="000000" w:themeColor="text1"/>
              </w:rPr>
              <w:t xml:space="preserve"> prevenir situaciones</w:t>
            </w:r>
            <w:r w:rsidR="00AC7F6C" w:rsidRPr="00F60ADA">
              <w:rPr>
                <w:rFonts w:ascii="Verdana" w:eastAsia="Calibri" w:hAnsi="Verdana" w:cs="Arial"/>
                <w:color w:val="000000" w:themeColor="text1"/>
              </w:rPr>
              <w:t xml:space="preserve"> que puedan llegar a afectar la imparcialidad del proceso de selección, garantizar la igualdad entre los interesados y salvaguardar la integridad del Sistema de Compra Pública.</w:t>
            </w:r>
          </w:p>
          <w:p w14:paraId="48965C2D" w14:textId="79EAD578" w:rsidR="00054748" w:rsidRPr="00F60ADA" w:rsidRDefault="00AC7F6C" w:rsidP="00AC7F6C">
            <w:pPr>
              <w:spacing w:after="120" w:line="276" w:lineRule="auto"/>
              <w:ind w:firstLine="709"/>
              <w:jc w:val="both"/>
              <w:rPr>
                <w:rFonts w:ascii="Verdana" w:eastAsia="Calibri" w:hAnsi="Verdana" w:cs="Arial"/>
                <w:color w:val="000000" w:themeColor="text1"/>
              </w:rPr>
            </w:pPr>
            <w:r w:rsidRPr="00F60ADA">
              <w:rPr>
                <w:rFonts w:ascii="Verdana" w:eastAsia="Calibri" w:hAnsi="Verdana" w:cs="Arial"/>
                <w:bCs/>
                <w:color w:val="000000" w:themeColor="text1"/>
              </w:rPr>
              <w:t>F</w:t>
            </w:r>
            <w:r w:rsidR="00E70407" w:rsidRPr="00F60ADA">
              <w:rPr>
                <w:rFonts w:ascii="Verdana" w:eastAsia="Calibri" w:hAnsi="Verdana" w:cs="Arial"/>
                <w:bCs/>
                <w:color w:val="000000" w:themeColor="text1"/>
              </w:rPr>
              <w:t xml:space="preserve">inalmente, debe advertirse que el análisis y la solución de situaciones específicas relacionadas con la gestión contractual de las entidades estatales corresponde a los interesados, con el apoyo de sus asesores jurídicos, y en caso de controversia, a las autoridades competentes en materia judicial, disciplinaria, fiscal o de control. </w:t>
            </w:r>
            <w:r w:rsidR="00B7211F" w:rsidRPr="00F60ADA">
              <w:rPr>
                <w:rFonts w:ascii="Verdana" w:eastAsia="Calibri" w:hAnsi="Verdana" w:cs="Arial"/>
                <w:bCs/>
                <w:color w:val="000000" w:themeColor="text1"/>
              </w:rPr>
              <w:t>Así</w:t>
            </w:r>
            <w:r w:rsidR="00E70407" w:rsidRPr="00F60ADA">
              <w:rPr>
                <w:rFonts w:ascii="Verdana" w:eastAsia="Calibri" w:hAnsi="Verdana" w:cs="Arial"/>
                <w:bCs/>
                <w:color w:val="000000" w:themeColor="text1"/>
              </w:rPr>
              <w:t>, cada entidad definirá la forma de adelantar su gestión contractual dentro del marco de sus competencias, sin que corresponda a Colombia Compra Eficiente validar o avalar sus actuaciones</w:t>
            </w:r>
            <w:r w:rsidR="001160B5" w:rsidRPr="00F60ADA">
              <w:rPr>
                <w:rFonts w:ascii="Verdana" w:eastAsia="Calibri" w:hAnsi="Verdana" w:cs="Arial"/>
                <w:bCs/>
                <w:color w:val="000000" w:themeColor="text1"/>
              </w:rPr>
              <w:t>.</w:t>
            </w:r>
            <w:r w:rsidR="00B7211F" w:rsidRPr="00F60ADA">
              <w:rPr>
                <w:rFonts w:ascii="Verdana" w:eastAsia="Calibri" w:hAnsi="Verdana" w:cs="Arial"/>
                <w:bCs/>
                <w:color w:val="000000" w:themeColor="text1"/>
              </w:rPr>
              <w:t xml:space="preserve"> </w:t>
            </w:r>
          </w:p>
        </w:tc>
      </w:tr>
    </w:tbl>
    <w:p w14:paraId="358DD491" w14:textId="77777777" w:rsidR="000B4761" w:rsidRPr="00F60ADA" w:rsidRDefault="000B4761" w:rsidP="00054748">
      <w:pPr>
        <w:tabs>
          <w:tab w:val="left" w:pos="142"/>
          <w:tab w:val="left" w:pos="284"/>
        </w:tabs>
        <w:spacing w:after="0" w:line="276" w:lineRule="auto"/>
        <w:jc w:val="both"/>
        <w:rPr>
          <w:rFonts w:ascii="Verdana" w:eastAsia="Century Gothic" w:hAnsi="Verdana" w:cs="Century Gothic"/>
          <w:b/>
          <w:bCs/>
          <w:lang w:val="es-ES"/>
        </w:rPr>
      </w:pPr>
    </w:p>
    <w:p w14:paraId="7B1875EC" w14:textId="77777777" w:rsidR="00054748" w:rsidRPr="00F60ADA" w:rsidRDefault="00054748" w:rsidP="0010054E">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F60ADA">
        <w:rPr>
          <w:rFonts w:ascii="Verdana" w:eastAsia="Century Gothic" w:hAnsi="Verdana" w:cs="Century Gothic"/>
          <w:b/>
          <w:bCs/>
        </w:rPr>
        <w:t>Razones de la respuesta:</w:t>
      </w:r>
    </w:p>
    <w:p w14:paraId="7470DF29" w14:textId="77777777" w:rsidR="00054748" w:rsidRPr="00F60ADA" w:rsidRDefault="00054748" w:rsidP="00054748">
      <w:pPr>
        <w:spacing w:after="0" w:line="276" w:lineRule="auto"/>
        <w:jc w:val="both"/>
        <w:rPr>
          <w:rFonts w:ascii="Verdana" w:eastAsia="Calibri" w:hAnsi="Verdana" w:cs="Arial"/>
          <w:color w:val="7030A0"/>
          <w:lang w:val="es-ES"/>
        </w:rPr>
      </w:pPr>
    </w:p>
    <w:p w14:paraId="4CD4B24D" w14:textId="039E5ACF" w:rsidR="003E17D1" w:rsidRPr="00F60ADA" w:rsidRDefault="00054748" w:rsidP="00B23EE7">
      <w:pPr>
        <w:spacing w:after="0" w:line="276" w:lineRule="auto"/>
        <w:jc w:val="both"/>
        <w:rPr>
          <w:rFonts w:ascii="Verdana" w:eastAsia="Calibri" w:hAnsi="Verdana" w:cs="Arial"/>
          <w:lang w:val="es-ES"/>
        </w:rPr>
      </w:pPr>
      <w:r w:rsidRPr="00F60ADA">
        <w:rPr>
          <w:rFonts w:ascii="Verdana" w:eastAsia="Calibri" w:hAnsi="Verdana" w:cs="Arial"/>
          <w:lang w:val="es-ES"/>
        </w:rPr>
        <w:t xml:space="preserve">Lo anterior se sustenta en las siguientes consideraciones: </w:t>
      </w:r>
    </w:p>
    <w:p w14:paraId="526F3D77" w14:textId="77777777" w:rsidR="00AF20CB" w:rsidRPr="00F60ADA" w:rsidRDefault="00AF20CB" w:rsidP="00CB63DB">
      <w:pPr>
        <w:spacing w:after="0" w:line="276" w:lineRule="auto"/>
        <w:ind w:firstLine="709"/>
        <w:jc w:val="both"/>
        <w:rPr>
          <w:rFonts w:ascii="Verdana" w:eastAsia="Calibri" w:hAnsi="Verdana" w:cs="Arial"/>
          <w:lang w:val="es-ES"/>
        </w:rPr>
      </w:pPr>
    </w:p>
    <w:p w14:paraId="5BA0F1B8" w14:textId="5D04CC23" w:rsidR="00B23EE7" w:rsidRPr="00F60ADA" w:rsidRDefault="00336EBA" w:rsidP="00045F51">
      <w:pPr>
        <w:spacing w:after="120" w:line="276" w:lineRule="auto"/>
        <w:ind w:firstLine="709"/>
        <w:jc w:val="both"/>
        <w:rPr>
          <w:rFonts w:ascii="Verdana" w:eastAsia="Arial" w:hAnsi="Verdana" w:cs="Arial"/>
          <w:bCs/>
          <w:color w:val="000000" w:themeColor="text1"/>
        </w:rPr>
      </w:pPr>
      <w:r w:rsidRPr="00F60ADA">
        <w:rPr>
          <w:rFonts w:ascii="Verdana" w:eastAsia="Calibri" w:hAnsi="Verdana" w:cs="Arial"/>
          <w:b/>
          <w:bCs/>
          <w:lang w:val="es-ES"/>
        </w:rPr>
        <w:t>i</w:t>
      </w:r>
      <w:r w:rsidRPr="00F60ADA">
        <w:rPr>
          <w:rFonts w:ascii="Verdana" w:eastAsia="Calibri" w:hAnsi="Verdana" w:cs="Arial"/>
          <w:lang w:val="es-ES"/>
        </w:rPr>
        <w:t xml:space="preserve">. </w:t>
      </w:r>
      <w:r w:rsidR="00045F51" w:rsidRPr="00F60ADA">
        <w:rPr>
          <w:rFonts w:ascii="Verdana" w:eastAsia="Calibri" w:hAnsi="Verdana" w:cs="Arial"/>
          <w:bCs/>
          <w:color w:val="000000" w:themeColor="text1"/>
        </w:rPr>
        <w:t>E</w:t>
      </w:r>
      <w:r w:rsidR="00CB63DB" w:rsidRPr="00F60ADA">
        <w:rPr>
          <w:rFonts w:ascii="Verdana" w:eastAsia="Calibri" w:hAnsi="Verdana" w:cs="Arial"/>
          <w:bCs/>
          <w:color w:val="000000" w:themeColor="text1"/>
        </w:rPr>
        <w:t xml:space="preserve">l régimen de inhabilidades e incompatibilidades es aplicable a los servidores públicos y a quienes ejercen funciones públicas, constituye un sistema de restricciones de origen constitucional y legal, de carácter taxativo y de interpretación restrictiva, cuyo propósito es garantizar los principios de moralidad, transparencia, imparcialidad y prevalencia del interés general en el ejercicio de la función pública. En consecuencia, ninguna inhabilidad o incompatibilidad puede presumirse, extenderse por analogía o aplicarse a supuestos no previstos expresamente por el </w:t>
      </w:r>
      <w:r w:rsidR="001A5DBD" w:rsidRPr="00F60ADA">
        <w:rPr>
          <w:rFonts w:ascii="Verdana" w:eastAsia="Calibri" w:hAnsi="Verdana" w:cs="Arial"/>
          <w:bCs/>
          <w:color w:val="000000" w:themeColor="text1"/>
        </w:rPr>
        <w:t>L</w:t>
      </w:r>
      <w:r w:rsidR="00CB63DB" w:rsidRPr="00F60ADA">
        <w:rPr>
          <w:rFonts w:ascii="Verdana" w:eastAsia="Calibri" w:hAnsi="Verdana" w:cs="Arial"/>
          <w:bCs/>
          <w:color w:val="000000" w:themeColor="text1"/>
        </w:rPr>
        <w:t xml:space="preserve">egislador. </w:t>
      </w:r>
    </w:p>
    <w:p w14:paraId="0FBC651F" w14:textId="1265C730" w:rsidR="005603E4" w:rsidRPr="00F60ADA" w:rsidRDefault="005603E4" w:rsidP="005603E4">
      <w:pPr>
        <w:spacing w:after="120" w:line="276" w:lineRule="auto"/>
        <w:ind w:firstLine="709"/>
        <w:jc w:val="both"/>
        <w:rPr>
          <w:rFonts w:ascii="Verdana" w:eastAsia="Arial" w:hAnsi="Verdana" w:cs="Arial"/>
          <w:bCs/>
          <w:color w:val="000000" w:themeColor="text1"/>
        </w:rPr>
      </w:pPr>
      <w:r w:rsidRPr="00F60ADA">
        <w:rPr>
          <w:rFonts w:ascii="Verdana" w:eastAsia="Arial" w:hAnsi="Verdana" w:cs="Arial"/>
          <w:bCs/>
          <w:color w:val="000000" w:themeColor="text1"/>
        </w:rPr>
        <w:t xml:space="preserve">Al </w:t>
      </w:r>
      <w:r w:rsidR="00DC739D" w:rsidRPr="00F60ADA">
        <w:rPr>
          <w:rFonts w:ascii="Verdana" w:eastAsia="Arial" w:hAnsi="Verdana" w:cs="Arial"/>
          <w:bCs/>
          <w:color w:val="000000" w:themeColor="text1"/>
        </w:rPr>
        <w:t xml:space="preserve">respecto, tanto la Corte Constitucional como el Consejo de Estado, han sostenido de manera reiterada que estas limitaciones constituyen restricciones al ejercicio de derechos fundamentales y al acceso a cargos, funciones o actividades relacionadas con el Estado, razón por la cual únicamente pueden existir cuando han sido establecidas expresamente. </w:t>
      </w:r>
      <w:r w:rsidRPr="00F60ADA">
        <w:rPr>
          <w:rFonts w:ascii="Verdana" w:eastAsia="Arial" w:hAnsi="Verdana" w:cs="Arial"/>
          <w:bCs/>
          <w:color w:val="000000" w:themeColor="text1"/>
        </w:rPr>
        <w:t xml:space="preserve"> </w:t>
      </w:r>
      <w:r w:rsidR="0089432E" w:rsidRPr="00F60ADA">
        <w:rPr>
          <w:rFonts w:ascii="Verdana" w:eastAsia="Arial" w:hAnsi="Verdana" w:cs="Arial"/>
          <w:bCs/>
          <w:color w:val="000000" w:themeColor="text1"/>
        </w:rPr>
        <w:t>L</w:t>
      </w:r>
      <w:r w:rsidRPr="00F60ADA">
        <w:rPr>
          <w:rFonts w:ascii="Verdana" w:eastAsia="Arial" w:hAnsi="Verdana" w:cs="Arial"/>
          <w:bCs/>
          <w:color w:val="000000" w:themeColor="text1"/>
        </w:rPr>
        <w:t>a Sala Plena del Consejo de Estado</w:t>
      </w:r>
      <w:r w:rsidRPr="00F60ADA">
        <w:rPr>
          <w:rStyle w:val="Refdenotaalpie"/>
          <w:rFonts w:ascii="Verdana" w:eastAsia="Arial" w:hAnsi="Verdana" w:cs="Arial"/>
          <w:bCs/>
          <w:color w:val="000000" w:themeColor="text1"/>
        </w:rPr>
        <w:footnoteReference w:id="1"/>
      </w:r>
      <w:r w:rsidRPr="00F60ADA">
        <w:rPr>
          <w:rFonts w:ascii="Verdana" w:eastAsia="Arial" w:hAnsi="Verdana" w:cs="Arial"/>
          <w:bCs/>
          <w:color w:val="000000" w:themeColor="text1"/>
        </w:rPr>
        <w:t xml:space="preserve"> consideró que las inhabilidades e incompatibilidades, en tanto limitan la libertad y los derechos de las personas, son de origen constitucional y legal. </w:t>
      </w:r>
      <w:r w:rsidRPr="00F60ADA">
        <w:rPr>
          <w:rFonts w:ascii="Verdana" w:eastAsia="Arial" w:hAnsi="Verdana" w:cs="Arial"/>
          <w:bCs/>
          <w:color w:val="000000" w:themeColor="text1"/>
        </w:rPr>
        <w:lastRenderedPageBreak/>
        <w:t xml:space="preserve">La tipificación de sus causas, vigencia, naturaleza y efectos es rígida y taxativa; su aplicación es restrictiva, de manera que excluye la analogía Legis o iuris, excepto en lo favorable, están definidas en el tiempo, salvo aquellas de carácter constitucional. </w:t>
      </w:r>
    </w:p>
    <w:p w14:paraId="49800072" w14:textId="7232158B" w:rsidR="005603E4" w:rsidRPr="00F60ADA" w:rsidRDefault="005603E4" w:rsidP="005603E4">
      <w:pPr>
        <w:spacing w:after="0" w:line="276" w:lineRule="auto"/>
        <w:ind w:firstLine="709"/>
        <w:jc w:val="both"/>
        <w:rPr>
          <w:rFonts w:ascii="Verdana" w:eastAsia="Arial" w:hAnsi="Verdana" w:cs="Arial"/>
          <w:bCs/>
          <w:color w:val="000000" w:themeColor="text1"/>
        </w:rPr>
      </w:pPr>
      <w:r w:rsidRPr="00F60ADA">
        <w:rPr>
          <w:rFonts w:ascii="Verdana" w:eastAsia="Arial" w:hAnsi="Verdana" w:cs="Arial"/>
          <w:bCs/>
          <w:color w:val="000000" w:themeColor="text1"/>
        </w:rPr>
        <w:t xml:space="preserve">Conforme a lo anterior, las inhabilidades son restricciones fijadas por el </w:t>
      </w:r>
      <w:r w:rsidR="00EB4459" w:rsidRPr="00F60ADA">
        <w:rPr>
          <w:rFonts w:ascii="Verdana" w:eastAsia="Arial" w:hAnsi="Verdana" w:cs="Arial"/>
          <w:bCs/>
          <w:color w:val="000000" w:themeColor="text1"/>
        </w:rPr>
        <w:t>C</w:t>
      </w:r>
      <w:r w:rsidRPr="00F60ADA">
        <w:rPr>
          <w:rFonts w:ascii="Verdana" w:eastAsia="Arial" w:hAnsi="Verdana" w:cs="Arial"/>
          <w:bCs/>
          <w:color w:val="000000" w:themeColor="text1"/>
        </w:rPr>
        <w:t xml:space="preserve">onstituyente y el </w:t>
      </w:r>
      <w:r w:rsidR="00EB4459" w:rsidRPr="00F60ADA">
        <w:rPr>
          <w:rFonts w:ascii="Verdana" w:eastAsia="Arial" w:hAnsi="Verdana" w:cs="Arial"/>
          <w:bCs/>
          <w:color w:val="000000" w:themeColor="text1"/>
        </w:rPr>
        <w:t>L</w:t>
      </w:r>
      <w:r w:rsidRPr="00F60ADA">
        <w:rPr>
          <w:rFonts w:ascii="Verdana" w:eastAsia="Arial" w:hAnsi="Verdana" w:cs="Arial"/>
          <w:bCs/>
          <w:color w:val="000000" w:themeColor="text1"/>
        </w:rPr>
        <w:t xml:space="preserve">egislador que tienen por fin limitar el acceso al ejercicio de cargos o funciones públicas, ello quiere decir que tienen un carácter prohibitivo, y por consiguiente, son taxativas y su interpretación es restrictiva, sin que se puedan buscar analogías o aducirse razones para hacerlas extensivas a casos no comprendidos por el legislador, pues la voluntad de éste no puede ser suplantada, en detrimento de derechos de terceros o de intereses sociales que exigen la sujeción estricta al texto de la ley prohibitiva. </w:t>
      </w:r>
    </w:p>
    <w:p w14:paraId="43568502" w14:textId="77777777" w:rsidR="005A12E0" w:rsidRPr="00F60ADA" w:rsidRDefault="005A12E0" w:rsidP="005603E4">
      <w:pPr>
        <w:spacing w:after="0" w:line="276" w:lineRule="auto"/>
        <w:ind w:firstLine="709"/>
        <w:jc w:val="both"/>
        <w:rPr>
          <w:rFonts w:ascii="Verdana" w:eastAsia="Arial" w:hAnsi="Verdana" w:cs="Arial"/>
          <w:bCs/>
          <w:color w:val="000000" w:themeColor="text1"/>
        </w:rPr>
      </w:pPr>
    </w:p>
    <w:p w14:paraId="4DABFA73" w14:textId="77777777" w:rsidR="005A12E0" w:rsidRPr="00F60ADA" w:rsidRDefault="005A12E0" w:rsidP="005A12E0">
      <w:pPr>
        <w:spacing w:after="0" w:line="276" w:lineRule="auto"/>
        <w:ind w:firstLine="709"/>
        <w:jc w:val="both"/>
        <w:rPr>
          <w:rFonts w:ascii="Verdana" w:eastAsia="Arial" w:hAnsi="Verdana" w:cs="Arial"/>
          <w:bCs/>
          <w:color w:val="000000" w:themeColor="text1"/>
        </w:rPr>
      </w:pPr>
      <w:r w:rsidRPr="00F60ADA">
        <w:rPr>
          <w:rFonts w:ascii="Verdana" w:eastAsia="Arial" w:hAnsi="Verdana" w:cs="Arial"/>
          <w:bCs/>
          <w:color w:val="000000" w:themeColor="text1"/>
        </w:rPr>
        <w:t>Esta regla tiene una consecuencia directa para el problema jurídico planteado. La sola circunstancia de que una persona natural ejecute un contrato de prestación de servicios con una entidad estatal no constituye, por sí misma, una causal de inhabilidad o incompatibilidad para participar en un procedimiento de selección adelantado por esa misma entidad. En efecto, el régimen previsto en la Constitución Política y en la Ley 80 de 1993 no establece una prohibición general en ese sentido, razón por la cual no resulta jurídicamente posible restringir la participación del contratista con fundamento exclusivo en la existencia del vínculo contractual.</w:t>
      </w:r>
    </w:p>
    <w:p w14:paraId="5D4B35FA" w14:textId="77777777" w:rsidR="00911947" w:rsidRPr="00F60ADA" w:rsidRDefault="00911947" w:rsidP="005A12E0">
      <w:pPr>
        <w:spacing w:after="0" w:line="276" w:lineRule="auto"/>
        <w:ind w:firstLine="709"/>
        <w:jc w:val="both"/>
        <w:rPr>
          <w:rFonts w:ascii="Verdana" w:eastAsia="Arial" w:hAnsi="Verdana" w:cs="Arial"/>
          <w:bCs/>
          <w:color w:val="000000" w:themeColor="text1"/>
        </w:rPr>
      </w:pPr>
    </w:p>
    <w:p w14:paraId="59B3FEB1" w14:textId="77777777" w:rsidR="005A12E0" w:rsidRPr="00F60ADA" w:rsidRDefault="005A12E0" w:rsidP="005A12E0">
      <w:pPr>
        <w:spacing w:after="0" w:line="276" w:lineRule="auto"/>
        <w:ind w:firstLine="709"/>
        <w:jc w:val="both"/>
        <w:rPr>
          <w:rFonts w:ascii="Verdana" w:eastAsia="Arial" w:hAnsi="Verdana" w:cs="Arial"/>
          <w:bCs/>
          <w:color w:val="000000" w:themeColor="text1"/>
        </w:rPr>
      </w:pPr>
      <w:r w:rsidRPr="00F60ADA">
        <w:rPr>
          <w:rFonts w:ascii="Verdana" w:eastAsia="Arial" w:hAnsi="Verdana" w:cs="Arial"/>
          <w:bCs/>
          <w:color w:val="000000" w:themeColor="text1"/>
        </w:rPr>
        <w:t>No obstante, ello no significa que toda participación resulte automáticamente procedente. La inexistencia de una inhabilidad o incompatibilidad únicamente permite concluir que no existe una prohibición legal abstracta para participar en el procedimiento de selección. La verificación de otras circunstancias que puedan comprometer la transparencia o la imparcialidad del proceso corresponde a un análisis diferente, relacionado con los conflictos de interés y con la observancia de los principios que gobiernan la contratación estatal, aspectos que se desarrollarán más adelante.</w:t>
      </w:r>
    </w:p>
    <w:p w14:paraId="4CAB6991" w14:textId="77777777" w:rsidR="005A12E0" w:rsidRPr="00F60ADA" w:rsidRDefault="005A12E0" w:rsidP="005603E4">
      <w:pPr>
        <w:spacing w:after="0" w:line="276" w:lineRule="auto"/>
        <w:ind w:firstLine="709"/>
        <w:jc w:val="both"/>
        <w:rPr>
          <w:rFonts w:ascii="Verdana" w:eastAsia="Arial" w:hAnsi="Verdana" w:cs="Arial"/>
          <w:bCs/>
          <w:color w:val="000000" w:themeColor="text1"/>
        </w:rPr>
      </w:pPr>
    </w:p>
    <w:p w14:paraId="6D527585" w14:textId="77777777" w:rsidR="004D4856" w:rsidRPr="00F60ADA" w:rsidRDefault="00911947" w:rsidP="004D4856">
      <w:pPr>
        <w:spacing w:after="0" w:line="276" w:lineRule="auto"/>
        <w:ind w:firstLine="709"/>
        <w:jc w:val="both"/>
        <w:rPr>
          <w:rFonts w:ascii="Verdana" w:eastAsia="Calibri" w:hAnsi="Verdana" w:cs="Arial"/>
        </w:rPr>
      </w:pPr>
      <w:r w:rsidRPr="00F60ADA">
        <w:rPr>
          <w:rFonts w:ascii="Verdana" w:eastAsia="Calibri" w:hAnsi="Verdana" w:cs="Arial"/>
          <w:b/>
          <w:bCs/>
          <w:lang w:val="es-ES"/>
        </w:rPr>
        <w:t>ii.</w:t>
      </w:r>
      <w:r w:rsidRPr="00F60ADA">
        <w:rPr>
          <w:rFonts w:ascii="Verdana" w:eastAsia="Calibri" w:hAnsi="Verdana" w:cs="Arial"/>
          <w:lang w:val="es-ES"/>
        </w:rPr>
        <w:t xml:space="preserve"> </w:t>
      </w:r>
      <w:r w:rsidR="004D4856" w:rsidRPr="00F60ADA">
        <w:rPr>
          <w:rFonts w:ascii="Verdana" w:eastAsia="Calibri" w:hAnsi="Verdana" w:cs="Arial"/>
        </w:rPr>
        <w:t xml:space="preserve">El numeral 3 del artículo 32 de la Ley 80 de 1993 define los contratos de prestación de servicios como aquellos celebrados para desarrollar actividades relacionadas con la administración o funcionamiento de las entidades estatales, cuando tales actividades no puedan realizarse con personal de planta o requieran </w:t>
      </w:r>
      <w:r w:rsidR="004D4856" w:rsidRPr="00F60ADA">
        <w:rPr>
          <w:rFonts w:ascii="Verdana" w:eastAsia="Calibri" w:hAnsi="Verdana" w:cs="Arial"/>
        </w:rPr>
        <w:lastRenderedPageBreak/>
        <w:t>conocimientos especializados. La misma disposición establece expresamente que estos contratos no generan relación laboral ni prestaciones sociales y que deben celebrarse por el término estrictamente indispensable.</w:t>
      </w:r>
    </w:p>
    <w:p w14:paraId="3939CD4A" w14:textId="77777777" w:rsidR="004D4856" w:rsidRPr="00F60ADA" w:rsidRDefault="004D4856" w:rsidP="004D4856">
      <w:pPr>
        <w:spacing w:after="0" w:line="276" w:lineRule="auto"/>
        <w:ind w:firstLine="709"/>
        <w:jc w:val="both"/>
        <w:rPr>
          <w:rFonts w:ascii="Verdana" w:eastAsia="Calibri" w:hAnsi="Verdana" w:cs="Arial"/>
        </w:rPr>
      </w:pPr>
    </w:p>
    <w:p w14:paraId="0F7368C8" w14:textId="5EA28A18" w:rsidR="004D4856" w:rsidRPr="00F60ADA" w:rsidRDefault="004D4856" w:rsidP="004D4856">
      <w:pPr>
        <w:spacing w:after="0" w:line="276" w:lineRule="auto"/>
        <w:ind w:firstLine="709"/>
        <w:jc w:val="both"/>
        <w:rPr>
          <w:rFonts w:ascii="Verdana" w:eastAsia="Calibri" w:hAnsi="Verdana" w:cs="Arial"/>
        </w:rPr>
      </w:pPr>
      <w:r w:rsidRPr="00F60ADA">
        <w:rPr>
          <w:rFonts w:ascii="Verdana" w:eastAsia="Calibri" w:hAnsi="Verdana" w:cs="Arial"/>
        </w:rPr>
        <w:t>De esta definición se desprende que la persona natural vinculada mediante un contrato de prestación de servicios conserva la calidad de contratista independiente y no adquiere, por ese solo hecho, la condición de servidor público</w:t>
      </w:r>
      <w:r w:rsidR="00F505F5" w:rsidRPr="00F60ADA">
        <w:rPr>
          <w:rFonts w:ascii="Verdana" w:eastAsia="Calibri" w:hAnsi="Verdana" w:cs="Arial"/>
        </w:rPr>
        <w:t>; s</w:t>
      </w:r>
      <w:r w:rsidRPr="00F60ADA">
        <w:rPr>
          <w:rFonts w:ascii="Verdana" w:eastAsia="Calibri" w:hAnsi="Verdana" w:cs="Arial"/>
        </w:rPr>
        <w:t>i bien desarrolla actividades orientadas al cumplimiento de los fines estatales y participa en la ejecución de la función administrativa, su vínculo con la entidad continúa siendo de naturaleza contractual y no legal o reglamentaria.</w:t>
      </w:r>
    </w:p>
    <w:p w14:paraId="0877FE32" w14:textId="598775A1" w:rsidR="00B164FE" w:rsidRPr="00F60ADA" w:rsidRDefault="00B164FE" w:rsidP="00336EBA">
      <w:pPr>
        <w:spacing w:after="0" w:line="276" w:lineRule="auto"/>
        <w:ind w:firstLine="709"/>
        <w:jc w:val="both"/>
        <w:rPr>
          <w:rFonts w:ascii="Verdana" w:eastAsia="Calibri" w:hAnsi="Verdana" w:cs="Arial"/>
          <w:lang w:val="es-ES"/>
        </w:rPr>
      </w:pPr>
    </w:p>
    <w:p w14:paraId="244D0936" w14:textId="20779609" w:rsidR="009B4369" w:rsidRPr="00F60ADA" w:rsidRDefault="00E8366B" w:rsidP="00336EBA">
      <w:pPr>
        <w:spacing w:after="0" w:line="276" w:lineRule="auto"/>
        <w:ind w:firstLine="709"/>
        <w:jc w:val="both"/>
        <w:rPr>
          <w:rFonts w:ascii="Verdana" w:eastAsia="Calibri" w:hAnsi="Verdana" w:cs="Arial"/>
          <w:lang w:val="es-ES"/>
        </w:rPr>
      </w:pPr>
      <w:r w:rsidRPr="00F60ADA">
        <w:rPr>
          <w:rFonts w:ascii="Verdana" w:eastAsia="Calibri" w:hAnsi="Verdana" w:cs="Arial"/>
          <w:lang w:val="es-ES"/>
        </w:rPr>
        <w:t>Esta precisión resulta relevante porque el régimen jurídico aplicable a los contratistas no es idéntico al previsto para los servidores públicos</w:t>
      </w:r>
      <w:r w:rsidR="00B93175" w:rsidRPr="00F60ADA">
        <w:rPr>
          <w:rFonts w:ascii="Verdana" w:eastAsia="Calibri" w:hAnsi="Verdana" w:cs="Arial"/>
          <w:lang w:val="es-ES"/>
        </w:rPr>
        <w:t>. Existen prohibiciones, incompatibilidades y deberes que el ordenamiento jurídico reserva exclusivamente para quienes ejercen funciones públicas en calidad de empleados públicos o trabajadores oficiales</w:t>
      </w:r>
      <w:r w:rsidR="00906F4D" w:rsidRPr="00F60ADA">
        <w:rPr>
          <w:rFonts w:ascii="Verdana" w:eastAsia="Calibri" w:hAnsi="Verdana" w:cs="Arial"/>
          <w:lang w:val="es-ES"/>
        </w:rPr>
        <w:t xml:space="preserve">, mientras que las restricciones aplicables a los contratistas únicamente proceden cuando una norma constitucional o legal lo disponga expresamente. </w:t>
      </w:r>
    </w:p>
    <w:p w14:paraId="69257847" w14:textId="77777777" w:rsidR="00446437" w:rsidRPr="00F60ADA" w:rsidRDefault="00446437" w:rsidP="00336EBA">
      <w:pPr>
        <w:spacing w:after="0" w:line="276" w:lineRule="auto"/>
        <w:ind w:firstLine="709"/>
        <w:jc w:val="both"/>
        <w:rPr>
          <w:rFonts w:ascii="Verdana" w:eastAsia="Calibri" w:hAnsi="Verdana" w:cs="Arial"/>
          <w:lang w:val="es-ES"/>
        </w:rPr>
      </w:pPr>
    </w:p>
    <w:p w14:paraId="32525617" w14:textId="7D3CF021" w:rsidR="00446437" w:rsidRPr="00F60ADA" w:rsidRDefault="00296E70" w:rsidP="00336EBA">
      <w:pPr>
        <w:spacing w:after="0" w:line="276" w:lineRule="auto"/>
        <w:ind w:firstLine="709"/>
        <w:jc w:val="both"/>
        <w:rPr>
          <w:rFonts w:ascii="Verdana" w:eastAsia="Calibri" w:hAnsi="Verdana" w:cs="Arial"/>
          <w:lang w:val="es-ES"/>
        </w:rPr>
      </w:pPr>
      <w:r w:rsidRPr="00F60ADA">
        <w:rPr>
          <w:rFonts w:ascii="Verdana" w:eastAsia="Calibri" w:hAnsi="Verdana" w:cs="Arial"/>
          <w:b/>
          <w:bCs/>
          <w:lang w:val="es-ES"/>
        </w:rPr>
        <w:t>iii.</w:t>
      </w:r>
      <w:r w:rsidRPr="00F60ADA">
        <w:rPr>
          <w:rFonts w:ascii="Verdana" w:eastAsia="Calibri" w:hAnsi="Verdana" w:cs="Arial"/>
          <w:lang w:val="es-ES"/>
        </w:rPr>
        <w:t xml:space="preserve"> </w:t>
      </w:r>
      <w:r w:rsidR="00AE1541" w:rsidRPr="00F60ADA">
        <w:rPr>
          <w:rFonts w:ascii="Verdana" w:eastAsia="Calibri" w:hAnsi="Verdana" w:cs="Arial"/>
          <w:lang w:val="es-ES"/>
        </w:rPr>
        <w:t xml:space="preserve">Al respecto, resulta importante analizar </w:t>
      </w:r>
      <w:r w:rsidR="00966AB3" w:rsidRPr="00F60ADA">
        <w:rPr>
          <w:rFonts w:ascii="Verdana" w:eastAsia="Calibri" w:hAnsi="Verdana" w:cs="Arial"/>
          <w:lang w:val="es-ES"/>
        </w:rPr>
        <w:t>que, históricamente se ha prohibido que una misma persona reciba doble salario proveniente del tesoro público</w:t>
      </w:r>
      <w:r w:rsidR="00365947" w:rsidRPr="00F60ADA">
        <w:rPr>
          <w:rStyle w:val="Refdenotaalpie"/>
          <w:rFonts w:ascii="Verdana" w:eastAsia="Calibri" w:hAnsi="Verdana" w:cs="Arial"/>
          <w:lang w:val="es-ES"/>
        </w:rPr>
        <w:footnoteReference w:id="2"/>
      </w:r>
      <w:r w:rsidR="00C13156" w:rsidRPr="00F60ADA">
        <w:rPr>
          <w:rFonts w:ascii="Verdana" w:eastAsia="Calibri" w:hAnsi="Verdana" w:cs="Arial"/>
          <w:lang w:val="es-ES"/>
        </w:rPr>
        <w:t>, como lo señaló el artículo 1 de la Ley 78 de 1931</w:t>
      </w:r>
      <w:r w:rsidR="0095369A" w:rsidRPr="00F60ADA">
        <w:rPr>
          <w:rStyle w:val="Refdenotaalpie"/>
          <w:rFonts w:ascii="Verdana" w:eastAsia="Calibri" w:hAnsi="Verdana" w:cs="Arial"/>
          <w:lang w:val="es-ES"/>
        </w:rPr>
        <w:footnoteReference w:id="3"/>
      </w:r>
      <w:r w:rsidR="00C13156" w:rsidRPr="00F60ADA">
        <w:rPr>
          <w:rFonts w:ascii="Verdana" w:eastAsia="Calibri" w:hAnsi="Verdana" w:cs="Arial"/>
          <w:lang w:val="es-ES"/>
        </w:rPr>
        <w:t xml:space="preserve"> y el artículo 23 del Acto Legislativo No. 1 de 1936</w:t>
      </w:r>
      <w:r w:rsidR="0095369A" w:rsidRPr="00F60ADA">
        <w:rPr>
          <w:rStyle w:val="Refdenotaalpie"/>
          <w:rFonts w:ascii="Verdana" w:eastAsia="Calibri" w:hAnsi="Verdana" w:cs="Arial"/>
          <w:lang w:val="es-ES"/>
        </w:rPr>
        <w:footnoteReference w:id="4"/>
      </w:r>
      <w:r w:rsidR="00C13156" w:rsidRPr="00F60ADA">
        <w:rPr>
          <w:rFonts w:ascii="Verdana" w:eastAsia="Calibri" w:hAnsi="Verdana" w:cs="Arial"/>
          <w:lang w:val="es-ES"/>
        </w:rPr>
        <w:t xml:space="preserve">, donde se prohibió la acumulación de cargos remunerados en un solo funcionario </w:t>
      </w:r>
      <w:r w:rsidR="009A5009" w:rsidRPr="00F60ADA">
        <w:rPr>
          <w:rFonts w:ascii="Verdana" w:eastAsia="Calibri" w:hAnsi="Verdana" w:cs="Arial"/>
          <w:lang w:val="es-ES"/>
        </w:rPr>
        <w:t xml:space="preserve">oficial y se reiteró la prohibición de que una misma persona devengue simultáneamente dos o más salarios de la nación, los departamentos y los municipios. </w:t>
      </w:r>
    </w:p>
    <w:p w14:paraId="5A22F3BE" w14:textId="586DDF87" w:rsidR="00A70EC8" w:rsidRPr="00F60ADA" w:rsidRDefault="009A5009" w:rsidP="00A70EC8">
      <w:pPr>
        <w:spacing w:after="0" w:line="276" w:lineRule="auto"/>
        <w:ind w:firstLine="709"/>
        <w:jc w:val="both"/>
        <w:rPr>
          <w:rFonts w:ascii="Verdana" w:eastAsia="Calibri" w:hAnsi="Verdana" w:cs="Arial"/>
          <w:lang w:val="es-ES"/>
        </w:rPr>
      </w:pPr>
      <w:r w:rsidRPr="00F60ADA">
        <w:rPr>
          <w:rFonts w:ascii="Verdana" w:eastAsia="Calibri" w:hAnsi="Verdana" w:cs="Arial"/>
          <w:lang w:val="es-ES"/>
        </w:rPr>
        <w:t>Por su parte, la Constitución Política de 1991, en el artículo 128</w:t>
      </w:r>
      <w:r w:rsidR="00A70EC8" w:rsidRPr="00F60ADA">
        <w:rPr>
          <w:rFonts w:ascii="Verdana" w:eastAsia="Calibri" w:hAnsi="Verdana" w:cs="Arial"/>
          <w:lang w:val="es-ES"/>
        </w:rPr>
        <w:t xml:space="preserve">, también incluye la mencionada prohibición, así: </w:t>
      </w:r>
    </w:p>
    <w:p w14:paraId="3ED1DD73" w14:textId="77777777" w:rsidR="00902E9A" w:rsidRPr="00F60ADA" w:rsidRDefault="00902E9A" w:rsidP="00A70EC8">
      <w:pPr>
        <w:spacing w:after="0" w:line="276" w:lineRule="auto"/>
        <w:ind w:firstLine="709"/>
        <w:jc w:val="both"/>
        <w:rPr>
          <w:rFonts w:ascii="Verdana" w:eastAsia="Calibri" w:hAnsi="Verdana" w:cs="Arial"/>
          <w:lang w:val="es-ES"/>
        </w:rPr>
      </w:pPr>
    </w:p>
    <w:p w14:paraId="6D03DB4B" w14:textId="6820D9FB" w:rsidR="00902E9A" w:rsidRPr="00F60ADA" w:rsidRDefault="00902E9A" w:rsidP="00902E9A">
      <w:pPr>
        <w:spacing w:after="0" w:line="240" w:lineRule="auto"/>
        <w:ind w:left="709" w:right="616"/>
        <w:jc w:val="both"/>
        <w:rPr>
          <w:rFonts w:ascii="Verdana" w:eastAsia="Arial" w:hAnsi="Verdana" w:cs="Arial"/>
          <w:i/>
          <w:iCs/>
          <w:sz w:val="20"/>
          <w:szCs w:val="20"/>
          <w:lang w:eastAsia="es-ES"/>
        </w:rPr>
      </w:pPr>
      <w:r w:rsidRPr="00F60ADA">
        <w:rPr>
          <w:rFonts w:ascii="Verdana" w:eastAsia="Arial" w:hAnsi="Verdana" w:cs="Arial"/>
          <w:i/>
          <w:iCs/>
          <w:sz w:val="20"/>
          <w:szCs w:val="20"/>
          <w:lang w:eastAsia="es-ES"/>
        </w:rPr>
        <w:lastRenderedPageBreak/>
        <w:t>“Artículo 128. Nadie podrá desempeñar simultáneamente más de un empleo público ni recibir más de una asignación que provenga del tesoro público, o de empresas o de instituciones en las que tenga parte mayoritaria el Estado, salvo los casos expresamente determinados por la ley.</w:t>
      </w:r>
    </w:p>
    <w:p w14:paraId="4800CABA" w14:textId="77777777" w:rsidR="00902E9A" w:rsidRPr="00F60ADA" w:rsidRDefault="00902E9A" w:rsidP="00902E9A">
      <w:pPr>
        <w:spacing w:after="0" w:line="240" w:lineRule="auto"/>
        <w:ind w:left="709" w:right="616"/>
        <w:jc w:val="both"/>
        <w:rPr>
          <w:rFonts w:ascii="Verdana" w:eastAsia="Arial" w:hAnsi="Verdana" w:cs="Arial"/>
          <w:i/>
          <w:iCs/>
          <w:sz w:val="20"/>
          <w:szCs w:val="20"/>
          <w:lang w:eastAsia="es-ES"/>
        </w:rPr>
      </w:pPr>
      <w:r w:rsidRPr="00F60ADA">
        <w:rPr>
          <w:rFonts w:ascii="Verdana" w:eastAsia="Arial" w:hAnsi="Verdana" w:cs="Arial"/>
          <w:i/>
          <w:iCs/>
          <w:sz w:val="20"/>
          <w:szCs w:val="20"/>
          <w:lang w:eastAsia="es-ES"/>
        </w:rPr>
        <w:t xml:space="preserve">Entiéndese por tesoro público el de la Nación, el de las entidades territoriales y el de las descentralizadas”. </w:t>
      </w:r>
    </w:p>
    <w:p w14:paraId="307FDEC7" w14:textId="77777777" w:rsidR="00902E9A" w:rsidRPr="00F60ADA" w:rsidRDefault="00902E9A" w:rsidP="00A70EC8">
      <w:pPr>
        <w:spacing w:after="0" w:line="276" w:lineRule="auto"/>
        <w:ind w:firstLine="709"/>
        <w:jc w:val="both"/>
        <w:rPr>
          <w:rFonts w:ascii="Verdana" w:eastAsia="Calibri" w:hAnsi="Verdana" w:cs="Arial"/>
          <w:lang w:val="es-ES"/>
        </w:rPr>
      </w:pPr>
    </w:p>
    <w:p w14:paraId="03C945E8" w14:textId="77777777" w:rsidR="00650AC5" w:rsidRPr="00F60ADA" w:rsidRDefault="00650AC5" w:rsidP="00650AC5">
      <w:pPr>
        <w:widowControl w:val="0"/>
        <w:autoSpaceDE w:val="0"/>
        <w:autoSpaceDN w:val="0"/>
        <w:spacing w:after="120" w:line="276" w:lineRule="auto"/>
        <w:ind w:firstLine="709"/>
        <w:jc w:val="both"/>
        <w:rPr>
          <w:rFonts w:ascii="Verdana" w:eastAsia="Arial" w:hAnsi="Verdana" w:cs="Arial"/>
          <w:lang w:val="es-ES"/>
        </w:rPr>
      </w:pPr>
      <w:r w:rsidRPr="00F60ADA">
        <w:rPr>
          <w:rFonts w:ascii="Verdana" w:eastAsia="Arial" w:hAnsi="Verdana" w:cs="Arial"/>
          <w:lang w:val="es-ES"/>
        </w:rPr>
        <w:t>Esta norma se desarrolló a través del artículo 19 de la Ley 4 de 1992</w:t>
      </w:r>
      <w:r w:rsidRPr="00F60ADA">
        <w:rPr>
          <w:rFonts w:ascii="Verdana" w:eastAsia="Arial" w:hAnsi="Verdana" w:cs="Arial"/>
          <w:vertAlign w:val="superscript"/>
          <w:lang w:val="es-ES"/>
        </w:rPr>
        <w:footnoteReference w:id="5"/>
      </w:r>
      <w:r w:rsidRPr="00F60ADA">
        <w:rPr>
          <w:rFonts w:ascii="Verdana" w:eastAsia="Arial" w:hAnsi="Verdana" w:cs="Arial"/>
          <w:lang w:val="es-ES"/>
        </w:rPr>
        <w:t>, precisando la prohibición del artículo 128 y señalando los eventos exceptuados en los que una misma persona puede recibir simultáneamente doble asignación presupuestal. El artículo 19 expresa:</w:t>
      </w:r>
    </w:p>
    <w:p w14:paraId="5B8B7CEB" w14:textId="77777777" w:rsidR="00650AC5" w:rsidRPr="00F60ADA" w:rsidRDefault="00650AC5" w:rsidP="00650AC5">
      <w:pPr>
        <w:spacing w:after="0" w:line="240" w:lineRule="auto"/>
        <w:ind w:left="709" w:right="616"/>
        <w:jc w:val="both"/>
        <w:rPr>
          <w:rFonts w:ascii="Verdana" w:eastAsia="Arial" w:hAnsi="Verdana" w:cs="Arial"/>
          <w:i/>
          <w:iCs/>
          <w:sz w:val="20"/>
          <w:szCs w:val="20"/>
          <w:lang w:eastAsia="es-ES"/>
        </w:rPr>
      </w:pPr>
      <w:r w:rsidRPr="00F60ADA">
        <w:rPr>
          <w:rFonts w:ascii="Verdana" w:eastAsia="Arial" w:hAnsi="Verdana" w:cs="Arial"/>
          <w:i/>
          <w:iCs/>
          <w:sz w:val="20"/>
          <w:szCs w:val="20"/>
          <w:lang w:eastAsia="es-ES"/>
        </w:rPr>
        <w:t>“Artículo 19. Nadie podrá desempeñar simultáneamente más de un empleo público, ni recibir más de una asignación que provenga del Tesoro Público, o de empresas o de instituciones en las que tenga parte mayoritaria el Estado. Exceptúense las siguientes</w:t>
      </w:r>
      <w:r w:rsidRPr="00F60ADA">
        <w:rPr>
          <w:rFonts w:ascii="Verdana" w:eastAsia="Arial" w:hAnsi="Verdana" w:cs="Arial"/>
          <w:i/>
          <w:iCs/>
          <w:spacing w:val="-2"/>
          <w:sz w:val="20"/>
          <w:szCs w:val="20"/>
          <w:lang w:eastAsia="es-ES"/>
        </w:rPr>
        <w:t xml:space="preserve"> </w:t>
      </w:r>
      <w:r w:rsidRPr="00F60ADA">
        <w:rPr>
          <w:rFonts w:ascii="Verdana" w:eastAsia="Arial" w:hAnsi="Verdana" w:cs="Arial"/>
          <w:i/>
          <w:iCs/>
          <w:sz w:val="20"/>
          <w:szCs w:val="20"/>
          <w:lang w:eastAsia="es-ES"/>
        </w:rPr>
        <w:t>asignaciones:</w:t>
      </w:r>
    </w:p>
    <w:p w14:paraId="11442096" w14:textId="77777777" w:rsidR="00650AC5" w:rsidRPr="00F60ADA" w:rsidRDefault="00650AC5" w:rsidP="00650AC5">
      <w:pPr>
        <w:widowControl w:val="0"/>
        <w:autoSpaceDE w:val="0"/>
        <w:autoSpaceDN w:val="0"/>
        <w:spacing w:after="0" w:line="240" w:lineRule="auto"/>
        <w:ind w:left="709" w:right="616"/>
        <w:jc w:val="both"/>
        <w:rPr>
          <w:rFonts w:ascii="Verdana" w:eastAsia="Arial" w:hAnsi="Verdana" w:cs="Arial"/>
          <w:i/>
          <w:iCs/>
          <w:sz w:val="20"/>
          <w:szCs w:val="20"/>
          <w:lang w:val="es-ES"/>
        </w:rPr>
      </w:pPr>
    </w:p>
    <w:p w14:paraId="7DA2CC77" w14:textId="77777777" w:rsidR="00650AC5" w:rsidRPr="00F60ADA" w:rsidRDefault="00650AC5" w:rsidP="00650AC5">
      <w:pPr>
        <w:pStyle w:val="Prrafodelista"/>
        <w:widowControl w:val="0"/>
        <w:numPr>
          <w:ilvl w:val="0"/>
          <w:numId w:val="36"/>
        </w:numPr>
        <w:tabs>
          <w:tab w:val="left" w:pos="1338"/>
        </w:tabs>
        <w:autoSpaceDE w:val="0"/>
        <w:autoSpaceDN w:val="0"/>
        <w:spacing w:after="0" w:line="240" w:lineRule="auto"/>
        <w:ind w:right="618"/>
        <w:jc w:val="both"/>
        <w:rPr>
          <w:rFonts w:ascii="Verdana" w:eastAsia="Arial" w:hAnsi="Verdana" w:cs="Arial"/>
          <w:i/>
          <w:iCs/>
          <w:sz w:val="20"/>
          <w:szCs w:val="20"/>
          <w:lang w:val="es-MX"/>
        </w:rPr>
      </w:pPr>
      <w:r w:rsidRPr="00F60ADA">
        <w:rPr>
          <w:rFonts w:ascii="Verdana" w:eastAsia="Arial" w:hAnsi="Verdana" w:cs="Arial"/>
          <w:i/>
          <w:iCs/>
          <w:sz w:val="20"/>
          <w:szCs w:val="20"/>
          <w:lang w:val="es-MX"/>
        </w:rPr>
        <w:t>Las que reciban los profesores universitarios que se desempeñen como asesores de la Rama</w:t>
      </w:r>
      <w:r w:rsidRPr="00F60ADA">
        <w:rPr>
          <w:rFonts w:ascii="Verdana" w:eastAsia="Arial" w:hAnsi="Verdana" w:cs="Arial"/>
          <w:i/>
          <w:iCs/>
          <w:spacing w:val="-5"/>
          <w:sz w:val="20"/>
          <w:szCs w:val="20"/>
          <w:lang w:val="es-MX"/>
        </w:rPr>
        <w:t xml:space="preserve"> </w:t>
      </w:r>
      <w:r w:rsidRPr="00F60ADA">
        <w:rPr>
          <w:rFonts w:ascii="Verdana" w:eastAsia="Arial" w:hAnsi="Verdana" w:cs="Arial"/>
          <w:i/>
          <w:iCs/>
          <w:sz w:val="20"/>
          <w:szCs w:val="20"/>
          <w:lang w:val="es-MX"/>
        </w:rPr>
        <w:t xml:space="preserve">Legislativa; </w:t>
      </w:r>
    </w:p>
    <w:p w14:paraId="698AF75A" w14:textId="77777777" w:rsidR="00650AC5" w:rsidRPr="00F60ADA" w:rsidRDefault="00650AC5" w:rsidP="00650AC5">
      <w:pPr>
        <w:pStyle w:val="Prrafodelista"/>
        <w:widowControl w:val="0"/>
        <w:numPr>
          <w:ilvl w:val="0"/>
          <w:numId w:val="36"/>
        </w:numPr>
        <w:tabs>
          <w:tab w:val="left" w:pos="1338"/>
        </w:tabs>
        <w:autoSpaceDE w:val="0"/>
        <w:autoSpaceDN w:val="0"/>
        <w:spacing w:after="0" w:line="240" w:lineRule="auto"/>
        <w:ind w:right="618"/>
        <w:jc w:val="both"/>
        <w:rPr>
          <w:rFonts w:ascii="Verdana" w:eastAsia="Arial" w:hAnsi="Verdana" w:cs="Arial"/>
          <w:i/>
          <w:iCs/>
          <w:sz w:val="20"/>
          <w:szCs w:val="20"/>
          <w:lang w:val="es-MX"/>
        </w:rPr>
      </w:pPr>
      <w:r w:rsidRPr="00F60ADA">
        <w:rPr>
          <w:rFonts w:ascii="Verdana" w:eastAsia="Arial" w:hAnsi="Verdana" w:cs="Arial"/>
          <w:i/>
          <w:iCs/>
          <w:sz w:val="20"/>
          <w:szCs w:val="20"/>
          <w:lang w:val="es-MX"/>
        </w:rPr>
        <w:t>Las percibidas por el personal con asignación de retiro o pensión militar o policial de la Fuerza</w:t>
      </w:r>
      <w:r w:rsidRPr="00F60ADA">
        <w:rPr>
          <w:rFonts w:ascii="Verdana" w:eastAsia="Arial" w:hAnsi="Verdana" w:cs="Arial"/>
          <w:i/>
          <w:iCs/>
          <w:spacing w:val="-5"/>
          <w:sz w:val="20"/>
          <w:szCs w:val="20"/>
          <w:lang w:val="es-MX"/>
        </w:rPr>
        <w:t xml:space="preserve"> </w:t>
      </w:r>
      <w:r w:rsidRPr="00F60ADA">
        <w:rPr>
          <w:rFonts w:ascii="Verdana" w:eastAsia="Arial" w:hAnsi="Verdana" w:cs="Arial"/>
          <w:i/>
          <w:iCs/>
          <w:sz w:val="20"/>
          <w:szCs w:val="20"/>
          <w:lang w:val="es-MX"/>
        </w:rPr>
        <w:t>Pública;</w:t>
      </w:r>
    </w:p>
    <w:p w14:paraId="134016EF" w14:textId="77777777" w:rsidR="00650AC5" w:rsidRPr="00F60ADA" w:rsidRDefault="00650AC5" w:rsidP="00650AC5">
      <w:pPr>
        <w:pStyle w:val="Prrafodelista"/>
        <w:widowControl w:val="0"/>
        <w:numPr>
          <w:ilvl w:val="0"/>
          <w:numId w:val="36"/>
        </w:numPr>
        <w:tabs>
          <w:tab w:val="left" w:pos="1338"/>
        </w:tabs>
        <w:autoSpaceDE w:val="0"/>
        <w:autoSpaceDN w:val="0"/>
        <w:spacing w:after="0" w:line="240" w:lineRule="auto"/>
        <w:ind w:right="618"/>
        <w:jc w:val="both"/>
        <w:rPr>
          <w:rFonts w:ascii="Verdana" w:eastAsia="Arial" w:hAnsi="Verdana" w:cs="Arial"/>
          <w:i/>
          <w:iCs/>
          <w:sz w:val="20"/>
          <w:szCs w:val="20"/>
          <w:lang w:val="es-MX"/>
        </w:rPr>
      </w:pPr>
      <w:r w:rsidRPr="00F60ADA">
        <w:rPr>
          <w:rFonts w:ascii="Verdana" w:eastAsia="Arial" w:hAnsi="Verdana" w:cs="Arial"/>
          <w:i/>
          <w:iCs/>
          <w:sz w:val="20"/>
          <w:szCs w:val="20"/>
          <w:lang w:val="es-MX"/>
        </w:rPr>
        <w:t>Las percibidas por concepto de sustitución</w:t>
      </w:r>
      <w:r w:rsidRPr="00F60ADA">
        <w:rPr>
          <w:rFonts w:ascii="Verdana" w:eastAsia="Arial" w:hAnsi="Verdana" w:cs="Arial"/>
          <w:i/>
          <w:iCs/>
          <w:spacing w:val="-8"/>
          <w:sz w:val="20"/>
          <w:szCs w:val="20"/>
          <w:lang w:val="es-MX"/>
        </w:rPr>
        <w:t xml:space="preserve"> </w:t>
      </w:r>
      <w:r w:rsidRPr="00F60ADA">
        <w:rPr>
          <w:rFonts w:ascii="Verdana" w:eastAsia="Arial" w:hAnsi="Verdana" w:cs="Arial"/>
          <w:i/>
          <w:iCs/>
          <w:sz w:val="20"/>
          <w:szCs w:val="20"/>
          <w:lang w:val="es-MX"/>
        </w:rPr>
        <w:t>pensional;</w:t>
      </w:r>
    </w:p>
    <w:p w14:paraId="1CBC7D22" w14:textId="77777777" w:rsidR="00650AC5" w:rsidRPr="00F60ADA" w:rsidRDefault="00650AC5" w:rsidP="00650AC5">
      <w:pPr>
        <w:pStyle w:val="Prrafodelista"/>
        <w:widowControl w:val="0"/>
        <w:numPr>
          <w:ilvl w:val="0"/>
          <w:numId w:val="36"/>
        </w:numPr>
        <w:tabs>
          <w:tab w:val="left" w:pos="1338"/>
        </w:tabs>
        <w:autoSpaceDE w:val="0"/>
        <w:autoSpaceDN w:val="0"/>
        <w:spacing w:after="0" w:line="240" w:lineRule="auto"/>
        <w:ind w:right="618"/>
        <w:jc w:val="both"/>
        <w:rPr>
          <w:rFonts w:ascii="Verdana" w:eastAsia="Arial" w:hAnsi="Verdana" w:cs="Arial"/>
          <w:i/>
          <w:iCs/>
          <w:sz w:val="20"/>
          <w:szCs w:val="20"/>
          <w:lang w:val="es-MX"/>
        </w:rPr>
      </w:pPr>
      <w:r w:rsidRPr="00F60ADA">
        <w:rPr>
          <w:rFonts w:ascii="Verdana" w:eastAsia="Arial" w:hAnsi="Verdana" w:cs="Arial"/>
          <w:i/>
          <w:iCs/>
          <w:sz w:val="20"/>
          <w:szCs w:val="20"/>
          <w:lang w:val="es-MX"/>
        </w:rPr>
        <w:t>Los honorarios percibidos por concepto de</w:t>
      </w:r>
      <w:r w:rsidRPr="00F60ADA">
        <w:rPr>
          <w:rFonts w:ascii="Verdana" w:eastAsia="Arial" w:hAnsi="Verdana" w:cs="Arial"/>
          <w:i/>
          <w:iCs/>
          <w:spacing w:val="-8"/>
          <w:sz w:val="20"/>
          <w:szCs w:val="20"/>
          <w:lang w:val="es-MX"/>
        </w:rPr>
        <w:t xml:space="preserve"> </w:t>
      </w:r>
      <w:r w:rsidRPr="00F60ADA">
        <w:rPr>
          <w:rFonts w:ascii="Verdana" w:eastAsia="Arial" w:hAnsi="Verdana" w:cs="Arial"/>
          <w:i/>
          <w:iCs/>
          <w:sz w:val="20"/>
          <w:szCs w:val="20"/>
          <w:lang w:val="es-MX"/>
        </w:rPr>
        <w:t>hora-cátedra;</w:t>
      </w:r>
    </w:p>
    <w:p w14:paraId="06193E92" w14:textId="77777777" w:rsidR="00650AC5" w:rsidRPr="00F60ADA" w:rsidRDefault="00650AC5" w:rsidP="00650AC5">
      <w:pPr>
        <w:pStyle w:val="Prrafodelista"/>
        <w:widowControl w:val="0"/>
        <w:numPr>
          <w:ilvl w:val="0"/>
          <w:numId w:val="36"/>
        </w:numPr>
        <w:tabs>
          <w:tab w:val="left" w:pos="1338"/>
        </w:tabs>
        <w:autoSpaceDE w:val="0"/>
        <w:autoSpaceDN w:val="0"/>
        <w:spacing w:after="0" w:line="240" w:lineRule="auto"/>
        <w:ind w:right="618"/>
        <w:jc w:val="both"/>
        <w:rPr>
          <w:rFonts w:ascii="Verdana" w:eastAsia="Arial" w:hAnsi="Verdana" w:cs="Arial"/>
          <w:i/>
          <w:iCs/>
          <w:sz w:val="20"/>
          <w:szCs w:val="20"/>
          <w:lang w:val="es-MX"/>
        </w:rPr>
      </w:pPr>
      <w:r w:rsidRPr="00F60ADA">
        <w:rPr>
          <w:rFonts w:ascii="Verdana" w:eastAsia="Arial" w:hAnsi="Verdana" w:cs="Arial"/>
          <w:i/>
          <w:iCs/>
          <w:sz w:val="20"/>
          <w:szCs w:val="20"/>
          <w:lang w:val="es-MX"/>
        </w:rPr>
        <w:t>Los honorarios percibidos por concepto de servicios profesionales de</w:t>
      </w:r>
      <w:r w:rsidRPr="00F60ADA">
        <w:rPr>
          <w:rFonts w:ascii="Verdana" w:eastAsia="Arial" w:hAnsi="Verdana" w:cs="Arial"/>
          <w:i/>
          <w:iCs/>
          <w:spacing w:val="-19"/>
          <w:sz w:val="20"/>
          <w:szCs w:val="20"/>
          <w:lang w:val="es-MX"/>
        </w:rPr>
        <w:t xml:space="preserve"> </w:t>
      </w:r>
      <w:r w:rsidRPr="00F60ADA">
        <w:rPr>
          <w:rFonts w:ascii="Verdana" w:eastAsia="Arial" w:hAnsi="Verdana" w:cs="Arial"/>
          <w:i/>
          <w:iCs/>
          <w:sz w:val="20"/>
          <w:szCs w:val="20"/>
          <w:lang w:val="es-MX"/>
        </w:rPr>
        <w:t>salud;</w:t>
      </w:r>
    </w:p>
    <w:p w14:paraId="118229E1" w14:textId="77777777" w:rsidR="00650AC5" w:rsidRPr="00F60ADA" w:rsidRDefault="00650AC5" w:rsidP="00650AC5">
      <w:pPr>
        <w:pStyle w:val="Prrafodelista"/>
        <w:widowControl w:val="0"/>
        <w:numPr>
          <w:ilvl w:val="0"/>
          <w:numId w:val="36"/>
        </w:numPr>
        <w:tabs>
          <w:tab w:val="left" w:pos="1338"/>
        </w:tabs>
        <w:autoSpaceDE w:val="0"/>
        <w:autoSpaceDN w:val="0"/>
        <w:spacing w:after="0" w:line="240" w:lineRule="auto"/>
        <w:ind w:right="618"/>
        <w:jc w:val="both"/>
        <w:rPr>
          <w:rFonts w:ascii="Verdana" w:eastAsia="Arial" w:hAnsi="Verdana" w:cs="Arial"/>
          <w:i/>
          <w:iCs/>
          <w:sz w:val="20"/>
          <w:szCs w:val="20"/>
          <w:lang w:val="es-MX"/>
        </w:rPr>
      </w:pPr>
      <w:r w:rsidRPr="00F60ADA">
        <w:rPr>
          <w:rFonts w:ascii="Verdana" w:eastAsia="Arial" w:hAnsi="Verdana" w:cs="Arial"/>
          <w:i/>
          <w:iCs/>
          <w:sz w:val="20"/>
          <w:szCs w:val="20"/>
          <w:lang w:val="es-MX"/>
        </w:rPr>
        <w:t>Los honorarios percibidos por los miembros de las Juntas Directivas, en razón de su asistencia a las mismas, siempre que no se trate de más de dos</w:t>
      </w:r>
      <w:r w:rsidRPr="00F60ADA">
        <w:rPr>
          <w:rFonts w:ascii="Verdana" w:eastAsia="Arial" w:hAnsi="Verdana" w:cs="Arial"/>
          <w:i/>
          <w:iCs/>
          <w:spacing w:val="-18"/>
          <w:sz w:val="20"/>
          <w:szCs w:val="20"/>
          <w:lang w:val="es-MX"/>
        </w:rPr>
        <w:t xml:space="preserve"> </w:t>
      </w:r>
      <w:r w:rsidRPr="00F60ADA">
        <w:rPr>
          <w:rFonts w:ascii="Verdana" w:eastAsia="Arial" w:hAnsi="Verdana" w:cs="Arial"/>
          <w:i/>
          <w:iCs/>
          <w:sz w:val="20"/>
          <w:szCs w:val="20"/>
          <w:lang w:val="es-MX"/>
        </w:rPr>
        <w:t>juntas;</w:t>
      </w:r>
    </w:p>
    <w:p w14:paraId="498D511D" w14:textId="77777777" w:rsidR="00650AC5" w:rsidRPr="00F60ADA" w:rsidRDefault="00650AC5" w:rsidP="00650AC5">
      <w:pPr>
        <w:pStyle w:val="Prrafodelista"/>
        <w:widowControl w:val="0"/>
        <w:numPr>
          <w:ilvl w:val="0"/>
          <w:numId w:val="36"/>
        </w:numPr>
        <w:tabs>
          <w:tab w:val="left" w:pos="1338"/>
        </w:tabs>
        <w:autoSpaceDE w:val="0"/>
        <w:autoSpaceDN w:val="0"/>
        <w:spacing w:after="0" w:line="240" w:lineRule="auto"/>
        <w:ind w:right="618"/>
        <w:jc w:val="both"/>
        <w:rPr>
          <w:rFonts w:ascii="Verdana" w:eastAsia="Arial" w:hAnsi="Verdana" w:cs="Arial"/>
          <w:i/>
          <w:iCs/>
          <w:sz w:val="20"/>
          <w:szCs w:val="20"/>
          <w:lang w:val="es-MX"/>
        </w:rPr>
      </w:pPr>
      <w:r w:rsidRPr="00F60ADA">
        <w:rPr>
          <w:rFonts w:ascii="Verdana" w:eastAsia="Arial" w:hAnsi="Verdana" w:cs="Arial"/>
          <w:i/>
          <w:iCs/>
          <w:sz w:val="20"/>
          <w:szCs w:val="20"/>
          <w:lang w:val="es-MX"/>
        </w:rPr>
        <w:t>Las que a la fecha de entrar en vigencia la presente Ley beneficien a los servidores oficiales docentes</w:t>
      </w:r>
      <w:r w:rsidRPr="00F60ADA">
        <w:rPr>
          <w:rFonts w:ascii="Verdana" w:eastAsia="Arial" w:hAnsi="Verdana" w:cs="Arial"/>
          <w:i/>
          <w:iCs/>
          <w:spacing w:val="-4"/>
          <w:sz w:val="20"/>
          <w:szCs w:val="20"/>
          <w:lang w:val="es-MX"/>
        </w:rPr>
        <w:t xml:space="preserve"> </w:t>
      </w:r>
      <w:r w:rsidRPr="00F60ADA">
        <w:rPr>
          <w:rFonts w:ascii="Verdana" w:eastAsia="Arial" w:hAnsi="Verdana" w:cs="Arial"/>
          <w:i/>
          <w:iCs/>
          <w:sz w:val="20"/>
          <w:szCs w:val="20"/>
          <w:lang w:val="es-MX"/>
        </w:rPr>
        <w:t>pensionados.</w:t>
      </w:r>
    </w:p>
    <w:p w14:paraId="4D6D9E1A" w14:textId="77777777" w:rsidR="00650AC5" w:rsidRPr="00F60ADA" w:rsidRDefault="00650AC5" w:rsidP="00650AC5">
      <w:pPr>
        <w:widowControl w:val="0"/>
        <w:autoSpaceDE w:val="0"/>
        <w:autoSpaceDN w:val="0"/>
        <w:spacing w:after="0" w:line="240" w:lineRule="auto"/>
        <w:ind w:left="709" w:right="616"/>
        <w:jc w:val="both"/>
        <w:rPr>
          <w:rFonts w:ascii="Verdana" w:eastAsia="Arial" w:hAnsi="Verdana" w:cs="Arial"/>
          <w:i/>
          <w:iCs/>
          <w:sz w:val="20"/>
          <w:szCs w:val="20"/>
          <w:lang w:val="es-ES"/>
        </w:rPr>
      </w:pPr>
    </w:p>
    <w:p w14:paraId="015719C0" w14:textId="77777777" w:rsidR="00650AC5" w:rsidRPr="00F60ADA" w:rsidRDefault="00650AC5" w:rsidP="00650AC5">
      <w:pPr>
        <w:spacing w:after="0" w:line="240" w:lineRule="auto"/>
        <w:ind w:left="709" w:right="616"/>
        <w:jc w:val="both"/>
        <w:rPr>
          <w:rFonts w:ascii="Verdana" w:eastAsia="Arial" w:hAnsi="Verdana" w:cs="Arial"/>
          <w:i/>
          <w:iCs/>
          <w:sz w:val="20"/>
          <w:szCs w:val="20"/>
          <w:lang w:eastAsia="es-ES"/>
        </w:rPr>
      </w:pPr>
      <w:r w:rsidRPr="00F60ADA">
        <w:rPr>
          <w:rFonts w:ascii="Verdana" w:eastAsia="Arial" w:hAnsi="Verdana" w:cs="Arial"/>
          <w:i/>
          <w:iCs/>
          <w:sz w:val="20"/>
          <w:szCs w:val="20"/>
          <w:lang w:eastAsia="es-ES"/>
        </w:rPr>
        <w:t>Parágrafo. No se podrán recibir honorarios que sumados correspondan a más de ocho (8) horas diarias de trabajo a varias entidades”.</w:t>
      </w:r>
    </w:p>
    <w:p w14:paraId="2A13A908" w14:textId="77777777" w:rsidR="008904AF" w:rsidRPr="00F60ADA" w:rsidRDefault="008904AF" w:rsidP="008904AF">
      <w:pPr>
        <w:spacing w:after="0" w:line="276" w:lineRule="auto"/>
        <w:jc w:val="both"/>
        <w:rPr>
          <w:rFonts w:ascii="Verdana" w:eastAsia="Calibri" w:hAnsi="Verdana" w:cs="Arial"/>
          <w:lang w:val="es-ES"/>
        </w:rPr>
      </w:pPr>
    </w:p>
    <w:p w14:paraId="551FC7CB" w14:textId="3A0BF6DB" w:rsidR="008904AF" w:rsidRPr="00F60ADA" w:rsidRDefault="008904AF" w:rsidP="00210192">
      <w:pPr>
        <w:spacing w:after="0" w:line="276" w:lineRule="auto"/>
        <w:ind w:firstLine="709"/>
        <w:jc w:val="both"/>
        <w:rPr>
          <w:rFonts w:ascii="Verdana" w:eastAsia="Calibri" w:hAnsi="Verdana" w:cs="Arial"/>
          <w:lang w:val="es-ES"/>
        </w:rPr>
      </w:pPr>
      <w:r w:rsidRPr="00F60ADA">
        <w:rPr>
          <w:rFonts w:ascii="Verdana" w:eastAsia="Calibri" w:hAnsi="Verdana" w:cs="Arial"/>
          <w:lang w:val="es-ES"/>
        </w:rPr>
        <w:t xml:space="preserve">En ese orden de ideas, la prohibición de recibir doble asignación del tesoro público recae sobre los servidores públicos, incluidos los miembros de las corporaciones públicas, donde el término </w:t>
      </w:r>
      <w:r w:rsidR="00E870C0" w:rsidRPr="00F60ADA">
        <w:rPr>
          <w:rFonts w:ascii="Verdana" w:eastAsia="Calibri" w:hAnsi="Verdana" w:cs="Arial"/>
          <w:lang w:val="es-ES"/>
        </w:rPr>
        <w:t xml:space="preserve">‘asignación’ comprende los dineros y recursos que provienen del </w:t>
      </w:r>
      <w:r w:rsidR="00296E70" w:rsidRPr="00F60ADA">
        <w:rPr>
          <w:rFonts w:ascii="Verdana" w:eastAsia="Calibri" w:hAnsi="Verdana" w:cs="Arial"/>
          <w:lang w:val="es-ES"/>
        </w:rPr>
        <w:t>erario</w:t>
      </w:r>
      <w:r w:rsidR="00E870C0" w:rsidRPr="00F60ADA">
        <w:rPr>
          <w:rFonts w:ascii="Verdana" w:eastAsia="Calibri" w:hAnsi="Verdana" w:cs="Arial"/>
          <w:lang w:val="es-ES"/>
        </w:rPr>
        <w:t xml:space="preserve">, o de empresas o instituciones en las que </w:t>
      </w:r>
      <w:r w:rsidR="00E870C0" w:rsidRPr="00F60ADA">
        <w:rPr>
          <w:rFonts w:ascii="Verdana" w:eastAsia="Calibri" w:hAnsi="Verdana" w:cs="Arial"/>
          <w:lang w:val="es-ES"/>
        </w:rPr>
        <w:lastRenderedPageBreak/>
        <w:t xml:space="preserve">tenga parte mayoritaria el Estado, en calidad de pago para retribuir un servicio laboral. </w:t>
      </w:r>
    </w:p>
    <w:p w14:paraId="0CEDCE57" w14:textId="77777777" w:rsidR="00AE1541" w:rsidRPr="00F60ADA" w:rsidRDefault="00AE1541" w:rsidP="00336EBA">
      <w:pPr>
        <w:spacing w:after="0" w:line="276" w:lineRule="auto"/>
        <w:ind w:firstLine="709"/>
        <w:jc w:val="both"/>
        <w:rPr>
          <w:rFonts w:ascii="Verdana" w:eastAsia="Calibri" w:hAnsi="Verdana" w:cs="Arial"/>
          <w:lang w:val="es-ES"/>
        </w:rPr>
      </w:pPr>
    </w:p>
    <w:p w14:paraId="027CEC82" w14:textId="77777777" w:rsidR="00724F7A" w:rsidRPr="00F60ADA" w:rsidRDefault="00210192" w:rsidP="00336EBA">
      <w:pPr>
        <w:spacing w:after="0" w:line="276" w:lineRule="auto"/>
        <w:ind w:firstLine="709"/>
        <w:jc w:val="both"/>
        <w:rPr>
          <w:rFonts w:ascii="Verdana" w:eastAsia="Calibri" w:hAnsi="Verdana" w:cs="Arial"/>
          <w:lang w:val="es-ES"/>
        </w:rPr>
      </w:pPr>
      <w:r w:rsidRPr="00F60ADA">
        <w:rPr>
          <w:rFonts w:ascii="Verdana" w:eastAsia="Calibri" w:hAnsi="Verdana" w:cs="Arial"/>
          <w:lang w:val="es-ES"/>
        </w:rPr>
        <w:t xml:space="preserve">De conformidad con lo anterior y teniendo en cuenta la naturaleza jurídica del contrato de prestación de servicios, la prohibición de percibir doble asignación no es aplicable, pues en virtud del artículo 32 de la Ley 80 de 1993, </w:t>
      </w:r>
      <w:r w:rsidR="00E82486" w:rsidRPr="00F60ADA">
        <w:rPr>
          <w:rFonts w:ascii="Verdana" w:eastAsia="Calibri" w:hAnsi="Verdana" w:cs="Arial"/>
          <w:lang w:val="es-ES"/>
        </w:rPr>
        <w:t xml:space="preserve">no comportan una relación laboral, sino que son el fruto </w:t>
      </w:r>
      <w:r w:rsidR="00591BC4" w:rsidRPr="00F60ADA">
        <w:rPr>
          <w:rFonts w:ascii="Verdana" w:eastAsia="Calibri" w:hAnsi="Verdana" w:cs="Arial"/>
          <w:lang w:val="es-ES"/>
        </w:rPr>
        <w:t xml:space="preserve">de la libre autonomía de la voluntad de los contratantes, por consiguiente </w:t>
      </w:r>
      <w:r w:rsidR="00096A00" w:rsidRPr="00F60ADA">
        <w:rPr>
          <w:rFonts w:ascii="Verdana" w:eastAsia="Calibri" w:hAnsi="Verdana" w:cs="Arial"/>
          <w:lang w:val="es-ES"/>
        </w:rPr>
        <w:t>el contratista no es considerado un servidor público, al no existir vinculo de subordinación con el Estado, elemento constituyente de un</w:t>
      </w:r>
      <w:r w:rsidR="00724F7A" w:rsidRPr="00F60ADA">
        <w:rPr>
          <w:rFonts w:ascii="Verdana" w:eastAsia="Calibri" w:hAnsi="Verdana" w:cs="Arial"/>
          <w:lang w:val="es-ES"/>
        </w:rPr>
        <w:t xml:space="preserve"> contrato laboral. </w:t>
      </w:r>
    </w:p>
    <w:p w14:paraId="0011C0A7" w14:textId="77777777" w:rsidR="00724F7A" w:rsidRPr="00F60ADA" w:rsidRDefault="00724F7A" w:rsidP="00336EBA">
      <w:pPr>
        <w:spacing w:after="0" w:line="276" w:lineRule="auto"/>
        <w:ind w:firstLine="709"/>
        <w:jc w:val="both"/>
        <w:rPr>
          <w:rFonts w:ascii="Verdana" w:eastAsia="Calibri" w:hAnsi="Verdana" w:cs="Arial"/>
          <w:lang w:val="es-ES"/>
        </w:rPr>
      </w:pPr>
    </w:p>
    <w:p w14:paraId="4480C897" w14:textId="37BC0558" w:rsidR="00906F4D" w:rsidRPr="00F60ADA" w:rsidRDefault="00724F7A" w:rsidP="00336EBA">
      <w:pPr>
        <w:spacing w:after="0" w:line="276" w:lineRule="auto"/>
        <w:ind w:firstLine="709"/>
        <w:jc w:val="both"/>
        <w:rPr>
          <w:rFonts w:ascii="Verdana" w:eastAsia="Arial" w:hAnsi="Verdana" w:cs="Arial"/>
          <w:lang w:val="es-ES"/>
        </w:rPr>
      </w:pPr>
      <w:r w:rsidRPr="00F60ADA">
        <w:rPr>
          <w:rFonts w:ascii="Verdana" w:eastAsia="Calibri" w:hAnsi="Verdana" w:cs="Arial"/>
          <w:lang w:val="es-ES"/>
        </w:rPr>
        <w:t xml:space="preserve">En ese contexto, </w:t>
      </w:r>
      <w:r w:rsidR="00053345" w:rsidRPr="00F60ADA">
        <w:rPr>
          <w:rFonts w:ascii="Verdana" w:eastAsia="Arial" w:hAnsi="Verdana" w:cs="Arial"/>
          <w:lang w:val="es-ES"/>
        </w:rPr>
        <w:t>la Sala de Consulta y Servicio Civil del Consejo de Estado, en</w:t>
      </w:r>
      <w:r w:rsidR="00053345" w:rsidRPr="00F60ADA">
        <w:rPr>
          <w:rFonts w:ascii="Verdana" w:eastAsia="Arial" w:hAnsi="Verdana" w:cs="Arial"/>
          <w:spacing w:val="53"/>
          <w:lang w:val="es-ES"/>
        </w:rPr>
        <w:t xml:space="preserve"> </w:t>
      </w:r>
      <w:r w:rsidR="00053345" w:rsidRPr="00F60ADA">
        <w:rPr>
          <w:rFonts w:ascii="Verdana" w:eastAsia="Arial" w:hAnsi="Verdana" w:cs="Arial"/>
          <w:lang w:val="es-ES"/>
        </w:rPr>
        <w:t>concepto</w:t>
      </w:r>
      <w:r w:rsidR="00053345" w:rsidRPr="00F60ADA">
        <w:rPr>
          <w:rFonts w:ascii="Verdana" w:eastAsia="Arial" w:hAnsi="Verdana" w:cs="Arial"/>
          <w:spacing w:val="54"/>
          <w:lang w:val="es-ES"/>
        </w:rPr>
        <w:t xml:space="preserve"> </w:t>
      </w:r>
      <w:r w:rsidR="00053345" w:rsidRPr="00F60ADA">
        <w:rPr>
          <w:rFonts w:ascii="Verdana" w:eastAsia="Arial" w:hAnsi="Verdana" w:cs="Arial"/>
          <w:lang w:val="es-ES"/>
        </w:rPr>
        <w:t>No</w:t>
      </w:r>
      <w:r w:rsidR="00053345" w:rsidRPr="00F60ADA">
        <w:rPr>
          <w:rFonts w:ascii="Verdana" w:eastAsia="Arial" w:hAnsi="Verdana" w:cs="Arial"/>
          <w:spacing w:val="54"/>
          <w:lang w:val="es-ES"/>
        </w:rPr>
        <w:t xml:space="preserve"> </w:t>
      </w:r>
      <w:r w:rsidR="00053345" w:rsidRPr="00F60ADA">
        <w:rPr>
          <w:rFonts w:ascii="Verdana" w:eastAsia="Arial" w:hAnsi="Verdana" w:cs="Arial"/>
          <w:lang w:val="es-ES"/>
        </w:rPr>
        <w:t>1.344,</w:t>
      </w:r>
      <w:r w:rsidR="00053345" w:rsidRPr="00F60ADA">
        <w:rPr>
          <w:rFonts w:ascii="Verdana" w:eastAsia="Arial" w:hAnsi="Verdana" w:cs="Arial"/>
          <w:spacing w:val="54"/>
          <w:lang w:val="es-ES"/>
        </w:rPr>
        <w:t xml:space="preserve"> </w:t>
      </w:r>
      <w:r w:rsidR="00053345" w:rsidRPr="00F60ADA">
        <w:rPr>
          <w:rFonts w:ascii="Verdana" w:eastAsia="Arial" w:hAnsi="Verdana" w:cs="Arial"/>
          <w:lang w:val="es-ES"/>
        </w:rPr>
        <w:t>del</w:t>
      </w:r>
      <w:r w:rsidR="00053345" w:rsidRPr="00F60ADA">
        <w:rPr>
          <w:rFonts w:ascii="Verdana" w:eastAsia="Arial" w:hAnsi="Verdana" w:cs="Arial"/>
          <w:spacing w:val="55"/>
          <w:lang w:val="es-ES"/>
        </w:rPr>
        <w:t xml:space="preserve"> </w:t>
      </w:r>
      <w:r w:rsidR="00053345" w:rsidRPr="00F60ADA">
        <w:rPr>
          <w:rFonts w:ascii="Verdana" w:eastAsia="Arial" w:hAnsi="Verdana" w:cs="Arial"/>
          <w:lang w:val="es-ES"/>
        </w:rPr>
        <w:t>10</w:t>
      </w:r>
      <w:r w:rsidR="00053345" w:rsidRPr="00F60ADA">
        <w:rPr>
          <w:rFonts w:ascii="Verdana" w:eastAsia="Arial" w:hAnsi="Verdana" w:cs="Arial"/>
          <w:spacing w:val="54"/>
          <w:lang w:val="es-ES"/>
        </w:rPr>
        <w:t xml:space="preserve"> </w:t>
      </w:r>
      <w:r w:rsidR="00053345" w:rsidRPr="00F60ADA">
        <w:rPr>
          <w:rFonts w:ascii="Verdana" w:eastAsia="Arial" w:hAnsi="Verdana" w:cs="Arial"/>
          <w:lang w:val="es-ES"/>
        </w:rPr>
        <w:t>de</w:t>
      </w:r>
      <w:r w:rsidR="00053345" w:rsidRPr="00F60ADA">
        <w:rPr>
          <w:rFonts w:ascii="Verdana" w:eastAsia="Arial" w:hAnsi="Verdana" w:cs="Arial"/>
          <w:spacing w:val="53"/>
          <w:lang w:val="es-ES"/>
        </w:rPr>
        <w:t xml:space="preserve"> </w:t>
      </w:r>
      <w:r w:rsidR="00053345" w:rsidRPr="00F60ADA">
        <w:rPr>
          <w:rFonts w:ascii="Verdana" w:eastAsia="Arial" w:hAnsi="Verdana" w:cs="Arial"/>
          <w:lang w:val="es-ES"/>
        </w:rPr>
        <w:t>mayo</w:t>
      </w:r>
      <w:r w:rsidR="00053345" w:rsidRPr="00F60ADA">
        <w:rPr>
          <w:rFonts w:ascii="Verdana" w:eastAsia="Arial" w:hAnsi="Verdana" w:cs="Arial"/>
          <w:spacing w:val="54"/>
          <w:lang w:val="es-ES"/>
        </w:rPr>
        <w:t xml:space="preserve"> </w:t>
      </w:r>
      <w:r w:rsidR="00053345" w:rsidRPr="00F60ADA">
        <w:rPr>
          <w:rFonts w:ascii="Verdana" w:eastAsia="Arial" w:hAnsi="Verdana" w:cs="Arial"/>
          <w:lang w:val="es-ES"/>
        </w:rPr>
        <w:t>de</w:t>
      </w:r>
      <w:r w:rsidR="00053345" w:rsidRPr="00F60ADA">
        <w:rPr>
          <w:rFonts w:ascii="Verdana" w:eastAsia="Arial" w:hAnsi="Verdana" w:cs="Arial"/>
          <w:spacing w:val="54"/>
          <w:lang w:val="es-ES"/>
        </w:rPr>
        <w:t xml:space="preserve"> </w:t>
      </w:r>
      <w:r w:rsidR="00053345" w:rsidRPr="00F60ADA">
        <w:rPr>
          <w:rFonts w:ascii="Verdana" w:eastAsia="Arial" w:hAnsi="Verdana" w:cs="Arial"/>
          <w:lang w:val="es-ES"/>
        </w:rPr>
        <w:t>2001,</w:t>
      </w:r>
      <w:r w:rsidR="00053345" w:rsidRPr="00F60ADA">
        <w:rPr>
          <w:rFonts w:ascii="Verdana" w:eastAsia="Arial" w:hAnsi="Verdana" w:cs="Arial"/>
          <w:spacing w:val="52"/>
          <w:lang w:val="es-ES"/>
        </w:rPr>
        <w:t xml:space="preserve"> </w:t>
      </w:r>
      <w:r w:rsidR="00053345" w:rsidRPr="00F60ADA">
        <w:rPr>
          <w:rFonts w:ascii="Verdana" w:eastAsia="Arial" w:hAnsi="Verdana" w:cs="Arial"/>
          <w:lang w:val="es-ES"/>
        </w:rPr>
        <w:t>con</w:t>
      </w:r>
      <w:r w:rsidR="00053345" w:rsidRPr="00F60ADA">
        <w:rPr>
          <w:rFonts w:ascii="Verdana" w:eastAsia="Arial" w:hAnsi="Verdana" w:cs="Arial"/>
          <w:spacing w:val="53"/>
          <w:lang w:val="es-ES"/>
        </w:rPr>
        <w:t xml:space="preserve"> </w:t>
      </w:r>
      <w:r w:rsidR="00053345" w:rsidRPr="00F60ADA">
        <w:rPr>
          <w:rFonts w:ascii="Verdana" w:eastAsia="Arial" w:hAnsi="Verdana" w:cs="Arial"/>
          <w:lang w:val="es-ES"/>
        </w:rPr>
        <w:t>ponencia</w:t>
      </w:r>
      <w:r w:rsidR="00053345" w:rsidRPr="00F60ADA">
        <w:rPr>
          <w:rFonts w:ascii="Verdana" w:eastAsia="Arial" w:hAnsi="Verdana" w:cs="Arial"/>
          <w:spacing w:val="54"/>
          <w:lang w:val="es-ES"/>
        </w:rPr>
        <w:t xml:space="preserve"> </w:t>
      </w:r>
      <w:r w:rsidR="00053345" w:rsidRPr="00F60ADA">
        <w:rPr>
          <w:rFonts w:ascii="Verdana" w:eastAsia="Arial" w:hAnsi="Verdana" w:cs="Arial"/>
          <w:lang w:val="es-ES"/>
        </w:rPr>
        <w:t>del</w:t>
      </w:r>
      <w:r w:rsidR="00053345" w:rsidRPr="00F60ADA">
        <w:rPr>
          <w:rFonts w:ascii="Verdana" w:eastAsia="Arial" w:hAnsi="Verdana" w:cs="Arial"/>
          <w:spacing w:val="55"/>
          <w:lang w:val="es-ES"/>
        </w:rPr>
        <w:t xml:space="preserve"> </w:t>
      </w:r>
      <w:r w:rsidR="00053345" w:rsidRPr="00F60ADA">
        <w:rPr>
          <w:rFonts w:ascii="Verdana" w:eastAsia="Arial" w:hAnsi="Verdana" w:cs="Arial"/>
          <w:lang w:val="es-ES"/>
        </w:rPr>
        <w:t>consejero</w:t>
      </w:r>
      <w:r w:rsidR="00053345" w:rsidRPr="00F60ADA">
        <w:rPr>
          <w:rFonts w:ascii="Verdana" w:eastAsia="Arial" w:hAnsi="Verdana" w:cs="Arial"/>
          <w:spacing w:val="59"/>
          <w:lang w:val="es-ES"/>
        </w:rPr>
        <w:t xml:space="preserve"> </w:t>
      </w:r>
      <w:r w:rsidR="00053345" w:rsidRPr="00F60ADA">
        <w:rPr>
          <w:rFonts w:ascii="Verdana" w:eastAsia="Arial" w:hAnsi="Verdana" w:cs="Arial"/>
          <w:lang w:val="es-ES"/>
        </w:rPr>
        <w:t xml:space="preserve">Flavio Augusto Rodríguez Arce, </w:t>
      </w:r>
      <w:r w:rsidR="00621365" w:rsidRPr="00F60ADA">
        <w:rPr>
          <w:rFonts w:ascii="Verdana" w:eastAsia="Arial" w:hAnsi="Verdana" w:cs="Arial"/>
          <w:lang w:val="es-ES"/>
        </w:rPr>
        <w:t xml:space="preserve">expresó que la retribución económica de los contratistas de prestación de servicios no constituye salario y, por lo tanto, no puede considerarse asignación presupuestal a la que hace referencia el </w:t>
      </w:r>
      <w:r w:rsidR="004B1794" w:rsidRPr="00F60ADA">
        <w:rPr>
          <w:rFonts w:ascii="Verdana" w:eastAsia="Arial" w:hAnsi="Verdana" w:cs="Arial"/>
          <w:lang w:val="es-ES"/>
        </w:rPr>
        <w:t>artículo 128</w:t>
      </w:r>
      <w:r w:rsidR="00621365" w:rsidRPr="00F60ADA">
        <w:rPr>
          <w:rFonts w:ascii="Verdana" w:eastAsia="Arial" w:hAnsi="Verdana" w:cs="Arial"/>
          <w:lang w:val="es-ES"/>
        </w:rPr>
        <w:t xml:space="preserve"> de la Constitución. </w:t>
      </w:r>
      <w:r w:rsidR="004B1794" w:rsidRPr="00F60ADA">
        <w:rPr>
          <w:rFonts w:ascii="Verdana" w:eastAsia="Arial" w:hAnsi="Verdana" w:cs="Arial"/>
          <w:lang w:val="es-ES"/>
        </w:rPr>
        <w:t xml:space="preserve">Al respecto indicó que: </w:t>
      </w:r>
    </w:p>
    <w:p w14:paraId="1D508057" w14:textId="77777777" w:rsidR="004B1794" w:rsidRPr="00F60ADA" w:rsidRDefault="004B1794" w:rsidP="00336EBA">
      <w:pPr>
        <w:spacing w:after="0" w:line="276" w:lineRule="auto"/>
        <w:ind w:firstLine="709"/>
        <w:jc w:val="both"/>
        <w:rPr>
          <w:rFonts w:ascii="Verdana" w:eastAsia="Arial" w:hAnsi="Verdana" w:cs="Arial"/>
          <w:lang w:val="es-ES"/>
        </w:rPr>
      </w:pPr>
    </w:p>
    <w:p w14:paraId="43C05CD6" w14:textId="77777777" w:rsidR="004B1794" w:rsidRPr="00F60ADA" w:rsidRDefault="004B1794" w:rsidP="004B1794">
      <w:pPr>
        <w:widowControl w:val="0"/>
        <w:autoSpaceDE w:val="0"/>
        <w:autoSpaceDN w:val="0"/>
        <w:spacing w:after="0" w:line="240" w:lineRule="auto"/>
        <w:ind w:left="709" w:right="618"/>
        <w:jc w:val="both"/>
        <w:rPr>
          <w:rFonts w:ascii="Verdana" w:eastAsia="Arial" w:hAnsi="Verdana" w:cs="Arial"/>
          <w:i/>
          <w:iCs/>
          <w:sz w:val="20"/>
          <w:szCs w:val="20"/>
          <w:lang w:val="es-ES"/>
        </w:rPr>
      </w:pPr>
      <w:r w:rsidRPr="00F60ADA">
        <w:rPr>
          <w:rFonts w:ascii="Verdana" w:eastAsia="Arial" w:hAnsi="Verdana" w:cs="Arial"/>
          <w:i/>
          <w:iCs/>
          <w:sz w:val="20"/>
          <w:szCs w:val="20"/>
          <w:lang w:val="es-ES"/>
        </w:rPr>
        <w:t>“Es así como los trabajadores oficiales perciben por sus servicios un salario, que constituye asignación, la retribución de los contratistas de prestación de servicios son los honorarios, que no tienen tal carácter. Así, la fuente del reconocimiento es bien distinta: en el primero, la vinculación laboral administrativa y, en el segundo, el negocio jurídico, fundado en la autonomía de la</w:t>
      </w:r>
      <w:r w:rsidRPr="00F60ADA">
        <w:rPr>
          <w:rFonts w:ascii="Verdana" w:eastAsia="Arial" w:hAnsi="Verdana" w:cs="Arial"/>
          <w:i/>
          <w:iCs/>
          <w:spacing w:val="-2"/>
          <w:sz w:val="20"/>
          <w:szCs w:val="20"/>
          <w:lang w:val="es-ES"/>
        </w:rPr>
        <w:t xml:space="preserve"> </w:t>
      </w:r>
      <w:r w:rsidRPr="00F60ADA">
        <w:rPr>
          <w:rFonts w:ascii="Verdana" w:eastAsia="Arial" w:hAnsi="Verdana" w:cs="Arial"/>
          <w:i/>
          <w:iCs/>
          <w:sz w:val="20"/>
          <w:szCs w:val="20"/>
          <w:lang w:val="es-ES"/>
        </w:rPr>
        <w:t>voluntad.</w:t>
      </w:r>
    </w:p>
    <w:p w14:paraId="45B64FCA" w14:textId="77777777" w:rsidR="004B1794" w:rsidRPr="00F60ADA" w:rsidRDefault="004B1794" w:rsidP="004B1794">
      <w:pPr>
        <w:widowControl w:val="0"/>
        <w:autoSpaceDE w:val="0"/>
        <w:autoSpaceDN w:val="0"/>
        <w:spacing w:after="0" w:line="240" w:lineRule="auto"/>
        <w:ind w:left="709" w:right="618"/>
        <w:jc w:val="both"/>
        <w:rPr>
          <w:rFonts w:ascii="Verdana" w:eastAsia="Arial" w:hAnsi="Verdana" w:cs="Arial"/>
          <w:i/>
          <w:iCs/>
          <w:sz w:val="20"/>
          <w:szCs w:val="20"/>
          <w:lang w:val="es-ES"/>
        </w:rPr>
      </w:pPr>
    </w:p>
    <w:p w14:paraId="7E1FCE3F" w14:textId="77777777" w:rsidR="004B1794" w:rsidRPr="00F60ADA" w:rsidRDefault="004B1794" w:rsidP="004B1794">
      <w:pPr>
        <w:widowControl w:val="0"/>
        <w:autoSpaceDE w:val="0"/>
        <w:autoSpaceDN w:val="0"/>
        <w:spacing w:after="0" w:line="240" w:lineRule="auto"/>
        <w:ind w:left="709" w:right="618"/>
        <w:jc w:val="both"/>
        <w:rPr>
          <w:rFonts w:ascii="Verdana" w:eastAsia="Arial" w:hAnsi="Verdana" w:cs="Arial"/>
          <w:i/>
          <w:iCs/>
          <w:sz w:val="20"/>
          <w:szCs w:val="20"/>
          <w:lang w:val="es-ES"/>
        </w:rPr>
      </w:pPr>
      <w:r w:rsidRPr="00F60ADA">
        <w:rPr>
          <w:rFonts w:ascii="Verdana" w:eastAsia="Arial" w:hAnsi="Verdana" w:cs="Arial"/>
          <w:i/>
          <w:iCs/>
          <w:sz w:val="20"/>
          <w:szCs w:val="20"/>
          <w:lang w:val="es-ES"/>
        </w:rPr>
        <w:t>De los presupuestos de la definición legal y de los elementos analizados, se concluye que particulares que colaboran con el Estado mediante un contrato de prestación de servicios o cualquier otro, tipificado en la ley 80 de l993 o producto de la autonomía de la voluntad, no están subsumidos en el contexto de la función pública, ni son, por tanto, servidores públicos y, por lo mismo, no reciben “asignación” en los términos establecidos, lo que hace imposible aplicarles el régimen de estos”.</w:t>
      </w:r>
    </w:p>
    <w:p w14:paraId="7E53AF1C" w14:textId="77777777" w:rsidR="00296E70" w:rsidRPr="00F60ADA" w:rsidRDefault="00296E70" w:rsidP="00FA7F0A">
      <w:pPr>
        <w:spacing w:after="0" w:line="276" w:lineRule="auto"/>
        <w:jc w:val="both"/>
        <w:rPr>
          <w:rFonts w:ascii="Verdana" w:eastAsia="Calibri" w:hAnsi="Verdana" w:cs="Arial"/>
          <w:lang w:val="es-ES"/>
        </w:rPr>
      </w:pPr>
    </w:p>
    <w:p w14:paraId="07D0187D" w14:textId="490FB0B0" w:rsidR="00296E70" w:rsidRPr="00F60ADA" w:rsidRDefault="00E63F6C" w:rsidP="004B1794">
      <w:pPr>
        <w:spacing w:after="0" w:line="276" w:lineRule="auto"/>
        <w:ind w:firstLine="709"/>
        <w:jc w:val="both"/>
        <w:rPr>
          <w:rFonts w:ascii="Verdana" w:eastAsia="Calibri" w:hAnsi="Verdana" w:cs="Arial"/>
          <w:lang w:val="es-ES"/>
        </w:rPr>
      </w:pPr>
      <w:r w:rsidRPr="00F60ADA">
        <w:rPr>
          <w:rFonts w:ascii="Verdana" w:eastAsia="Calibri" w:hAnsi="Verdana" w:cs="Arial"/>
          <w:lang w:val="es-ES"/>
        </w:rPr>
        <w:t xml:space="preserve">Por consiguiente a los contratistas no les aplica la prohibición del artículo 128 de la Constitución Política, toda vez que no se consideran servidores públicos porque su relación con el Estado se da en el marco de un negocio jurídico, no en virtud de una relación laboral. </w:t>
      </w:r>
    </w:p>
    <w:p w14:paraId="4CD79AD3" w14:textId="77777777" w:rsidR="00296E70" w:rsidRPr="00F60ADA" w:rsidRDefault="00296E70" w:rsidP="00336EBA">
      <w:pPr>
        <w:spacing w:after="0" w:line="276" w:lineRule="auto"/>
        <w:ind w:firstLine="709"/>
        <w:jc w:val="both"/>
        <w:rPr>
          <w:rFonts w:ascii="Verdana" w:eastAsia="Calibri" w:hAnsi="Verdana" w:cs="Arial"/>
          <w:lang w:val="es-ES"/>
        </w:rPr>
      </w:pPr>
    </w:p>
    <w:p w14:paraId="32EAD6A4" w14:textId="47788C3B" w:rsidR="00FB217D" w:rsidRPr="00F60ADA" w:rsidRDefault="00E63F6C" w:rsidP="003B41BC">
      <w:pPr>
        <w:spacing w:after="0" w:line="276" w:lineRule="auto"/>
        <w:ind w:firstLine="709"/>
        <w:jc w:val="both"/>
        <w:rPr>
          <w:rFonts w:ascii="Verdana" w:eastAsia="Calibri" w:hAnsi="Verdana" w:cs="Arial"/>
          <w:lang w:val="es-ES"/>
        </w:rPr>
      </w:pPr>
      <w:r w:rsidRPr="00F60ADA">
        <w:rPr>
          <w:rFonts w:ascii="Verdana" w:eastAsia="Calibri" w:hAnsi="Verdana" w:cs="Arial"/>
          <w:b/>
          <w:bCs/>
          <w:lang w:val="es-ES"/>
        </w:rPr>
        <w:lastRenderedPageBreak/>
        <w:t xml:space="preserve">iv. </w:t>
      </w:r>
      <w:r w:rsidR="00B80A6B" w:rsidRPr="00F60ADA">
        <w:rPr>
          <w:rFonts w:ascii="Verdana" w:eastAsia="Calibri" w:hAnsi="Verdana" w:cs="Arial"/>
          <w:lang w:val="es-ES"/>
        </w:rPr>
        <w:t xml:space="preserve">Ahora bien, respecto de la posibilidad de celebrar varios contratos de prestación de servicios con la misma entidad, y que además coexistan, conviene recordar que en materia de Contratación Estatal, </w:t>
      </w:r>
      <w:r w:rsidR="00394038" w:rsidRPr="00F60ADA">
        <w:rPr>
          <w:rFonts w:ascii="Verdana" w:eastAsia="Calibri" w:hAnsi="Verdana" w:cs="Arial"/>
          <w:lang w:val="es-ES"/>
        </w:rPr>
        <w:t xml:space="preserve">no existe una inhabilidad, incompatibilidad o prohibición de otra naturaleza que </w:t>
      </w:r>
      <w:r w:rsidR="00596185" w:rsidRPr="00F60ADA">
        <w:rPr>
          <w:rFonts w:ascii="Verdana" w:eastAsia="Calibri" w:hAnsi="Verdana" w:cs="Arial"/>
          <w:lang w:val="es-ES"/>
        </w:rPr>
        <w:t>impida que un contratista celebre varios contratos de prestación de servicios con la misma entidad con la cual existe una relación de tipo contractual, dado que no se subsume en ninguno de los supuestos de hecho, ni se ad</w:t>
      </w:r>
      <w:r w:rsidR="00FC319D" w:rsidRPr="00F60ADA">
        <w:rPr>
          <w:rFonts w:ascii="Verdana" w:eastAsia="Calibri" w:hAnsi="Verdana" w:cs="Arial"/>
          <w:lang w:val="es-ES"/>
        </w:rPr>
        <w:t>vierte que la hipótesis en materia de consulta configure alguna de las causales previstas en el artículo 8 de la Ley 80 de 1993.</w:t>
      </w:r>
    </w:p>
    <w:p w14:paraId="3BC37A7F" w14:textId="33C3F455" w:rsidR="00296E70" w:rsidRPr="00F60ADA" w:rsidRDefault="009244BC" w:rsidP="00336EBA">
      <w:pPr>
        <w:spacing w:after="0" w:line="276" w:lineRule="auto"/>
        <w:ind w:firstLine="709"/>
        <w:jc w:val="both"/>
        <w:rPr>
          <w:rFonts w:ascii="Verdana" w:hAnsi="Verdana" w:cs="Arial"/>
          <w:color w:val="000000" w:themeColor="text1"/>
          <w:lang w:val="es-ES"/>
        </w:rPr>
      </w:pPr>
      <w:r w:rsidRPr="00F60ADA">
        <w:rPr>
          <w:rFonts w:ascii="Verdana" w:hAnsi="Verdana" w:cs="Arial"/>
          <w:color w:val="000000" w:themeColor="text1"/>
          <w:lang w:val="es-ES"/>
        </w:rPr>
        <w:t xml:space="preserve">Sin embargo, el hecho de que no haya una causal de inhabilidad o de incompatibilidad no significa que siempre se pueda celebrar el contrato de prestación de servicios. Para que ello sea viable, deben cumplirse los requisitos propios del contrato de prestación de servicios pues se recuerda que la celebración de estos contratos con una persona natural es </w:t>
      </w:r>
      <w:r w:rsidRPr="00F60ADA">
        <w:rPr>
          <w:rFonts w:ascii="Verdana" w:hAnsi="Verdana" w:cs="Arial"/>
          <w:i/>
          <w:iCs/>
          <w:color w:val="000000" w:themeColor="text1"/>
          <w:lang w:val="es-ES"/>
        </w:rPr>
        <w:t>excepcional</w:t>
      </w:r>
      <w:r w:rsidRPr="00F60ADA">
        <w:rPr>
          <w:rFonts w:ascii="Verdana" w:hAnsi="Verdana" w:cs="Arial"/>
          <w:color w:val="000000" w:themeColor="text1"/>
          <w:lang w:val="es-ES"/>
        </w:rPr>
        <w:t xml:space="preserve">, ya que solo es admisible cuando las “actividades no puedan realizarse con personal de planta o requieran conocimientos especializados”, lo cual debe justificarse satisfactoriamente en los estudios previos. Además, dicho contrato debe ser </w:t>
      </w:r>
      <w:r w:rsidRPr="00F60ADA">
        <w:rPr>
          <w:rFonts w:ascii="Verdana" w:hAnsi="Verdana" w:cs="Arial"/>
          <w:i/>
          <w:iCs/>
          <w:color w:val="000000" w:themeColor="text1"/>
          <w:lang w:val="es-ES"/>
        </w:rPr>
        <w:t>temporal</w:t>
      </w:r>
      <w:r w:rsidRPr="00F60ADA">
        <w:rPr>
          <w:rFonts w:ascii="Verdana" w:hAnsi="Verdana" w:cs="Arial"/>
          <w:color w:val="000000" w:themeColor="text1"/>
          <w:lang w:val="es-ES"/>
        </w:rPr>
        <w:t xml:space="preserve"> y no puede servir para la creación de nóminas paralelas. </w:t>
      </w:r>
    </w:p>
    <w:p w14:paraId="019476D3" w14:textId="77777777" w:rsidR="00070CE4" w:rsidRPr="00F60ADA" w:rsidRDefault="00070CE4" w:rsidP="00336EBA">
      <w:pPr>
        <w:spacing w:after="0" w:line="276" w:lineRule="auto"/>
        <w:ind w:firstLine="709"/>
        <w:jc w:val="both"/>
        <w:rPr>
          <w:rFonts w:ascii="Verdana" w:hAnsi="Verdana" w:cs="Arial"/>
          <w:color w:val="000000" w:themeColor="text1"/>
          <w:lang w:val="es-ES"/>
        </w:rPr>
      </w:pPr>
    </w:p>
    <w:p w14:paraId="0E4E689B" w14:textId="233A9DBF" w:rsidR="00070CE4" w:rsidRPr="00F60ADA" w:rsidRDefault="00070CE4" w:rsidP="00336EBA">
      <w:pPr>
        <w:spacing w:after="0" w:line="276" w:lineRule="auto"/>
        <w:ind w:firstLine="709"/>
        <w:jc w:val="both"/>
        <w:rPr>
          <w:rFonts w:ascii="Verdana" w:hAnsi="Verdana" w:cs="Arial"/>
          <w:color w:val="000000" w:themeColor="text1"/>
          <w:lang w:val="es-ES_tradnl"/>
        </w:rPr>
      </w:pPr>
      <w:r w:rsidRPr="00F60ADA">
        <w:rPr>
          <w:rFonts w:ascii="Verdana" w:hAnsi="Verdana" w:cs="Arial"/>
          <w:color w:val="000000" w:themeColor="text1"/>
          <w:lang w:val="es-ES_tradnl"/>
        </w:rPr>
        <w:t>Adicionalmente, las entidades estatales deben ser diligentes en el análisis de las condiciones de ejecución del contrato de prestación de servicios profesionales, midiendo la complejidad y al alcance de las labores encomendadas al contratista, pues solo de esta manera pueden determinar razonablemente si el mismo contratista tiene la capacidad, no solo jurídica sino también técnica y económica, para celebrar otro contrato de prestación de servicios</w:t>
      </w:r>
      <w:r w:rsidR="008D07EC" w:rsidRPr="00F60ADA">
        <w:rPr>
          <w:rFonts w:ascii="Verdana" w:hAnsi="Verdana" w:cs="Arial"/>
          <w:color w:val="000000" w:themeColor="text1"/>
          <w:lang w:val="es-ES_tradnl"/>
        </w:rPr>
        <w:t xml:space="preserve">. </w:t>
      </w:r>
    </w:p>
    <w:p w14:paraId="05402066" w14:textId="77777777" w:rsidR="008D07EC" w:rsidRPr="00F60ADA" w:rsidRDefault="008D07EC" w:rsidP="00336EBA">
      <w:pPr>
        <w:spacing w:after="0" w:line="276" w:lineRule="auto"/>
        <w:ind w:firstLine="709"/>
        <w:jc w:val="both"/>
        <w:rPr>
          <w:rFonts w:ascii="Verdana" w:hAnsi="Verdana" w:cs="Arial"/>
          <w:color w:val="000000" w:themeColor="text1"/>
          <w:lang w:val="es-ES_tradnl"/>
        </w:rPr>
      </w:pPr>
    </w:p>
    <w:p w14:paraId="2ED1ED5F" w14:textId="02697C70" w:rsidR="008D07EC" w:rsidRPr="00F60ADA" w:rsidRDefault="008D07EC" w:rsidP="00336EBA">
      <w:pPr>
        <w:spacing w:after="0" w:line="276" w:lineRule="auto"/>
        <w:ind w:firstLine="709"/>
        <w:jc w:val="both"/>
        <w:rPr>
          <w:rFonts w:ascii="Verdana" w:eastAsia="Calibri" w:hAnsi="Verdana" w:cs="Arial"/>
          <w:lang w:val="es-ES"/>
        </w:rPr>
      </w:pPr>
      <w:r w:rsidRPr="00F60ADA">
        <w:rPr>
          <w:rFonts w:ascii="Verdana" w:hAnsi="Verdana" w:cs="Arial"/>
          <w:color w:val="000000" w:themeColor="text1"/>
          <w:lang w:val="es-ES"/>
        </w:rPr>
        <w:t>Aunado a lo anterior</w:t>
      </w:r>
      <w:r w:rsidRPr="00F60ADA">
        <w:rPr>
          <w:rFonts w:ascii="Verdana" w:eastAsia="Arial MT" w:hAnsi="Verdana" w:cs="Arial"/>
          <w:lang w:eastAsia="es-ES" w:bidi="es-ES"/>
        </w:rPr>
        <w:t>, la entidad contratante tiene el deber de identificar cualquier conducta que pueda llegar a tener la connotación de un conflicto de interés, producto de la concurrencia de intereses antagónicos en el contratista que presta los servicios en una y otra entidad y que afecten la transparencia de las decisiones que le competen o lo lleven a adoptar determinaciones de aprovechamiento personal, familiar o particular, en detrimento del interés público</w:t>
      </w:r>
      <w:r w:rsidR="00017B46" w:rsidRPr="00F60ADA">
        <w:rPr>
          <w:rStyle w:val="Refdenotaalpie"/>
          <w:rFonts w:ascii="Verdana" w:eastAsia="Arial MT" w:hAnsi="Verdana" w:cs="Arial"/>
          <w:lang w:eastAsia="es-ES" w:bidi="es-ES"/>
        </w:rPr>
        <w:footnoteReference w:id="6"/>
      </w:r>
      <w:r w:rsidR="00981089" w:rsidRPr="00F60ADA">
        <w:rPr>
          <w:rFonts w:ascii="Verdana" w:eastAsia="Arial MT" w:hAnsi="Verdana" w:cs="Arial"/>
          <w:lang w:eastAsia="es-ES" w:bidi="es-ES"/>
        </w:rPr>
        <w:t>. En estos casos, es necesario que el conflicto de interés satisfaga los requisitos de tipicidad y objetividad.</w:t>
      </w:r>
    </w:p>
    <w:p w14:paraId="7DA2751A" w14:textId="77777777" w:rsidR="00AF20CB" w:rsidRPr="00F60ADA" w:rsidRDefault="00AF20CB" w:rsidP="003148E3">
      <w:pPr>
        <w:spacing w:after="0" w:line="276" w:lineRule="auto"/>
        <w:ind w:firstLine="709"/>
        <w:jc w:val="both"/>
        <w:rPr>
          <w:rFonts w:ascii="Verdana" w:eastAsiaTheme="minorEastAsia" w:hAnsi="Verdana" w:cs="Arial"/>
          <w:b/>
          <w:bCs/>
          <w:lang w:eastAsia="es-CO"/>
        </w:rPr>
      </w:pPr>
    </w:p>
    <w:p w14:paraId="7BA3EC3D" w14:textId="5F628138" w:rsidR="00054748" w:rsidRPr="00F60ADA" w:rsidRDefault="00617596" w:rsidP="003148E3">
      <w:pPr>
        <w:spacing w:after="0" w:line="276" w:lineRule="auto"/>
        <w:ind w:firstLine="709"/>
        <w:jc w:val="both"/>
        <w:rPr>
          <w:rFonts w:ascii="Verdana" w:eastAsia="Calibri" w:hAnsi="Verdana" w:cs="Arial"/>
          <w:bCs/>
          <w:color w:val="000000" w:themeColor="text1"/>
        </w:rPr>
      </w:pPr>
      <w:r w:rsidRPr="00F60ADA">
        <w:rPr>
          <w:rFonts w:ascii="Verdana" w:eastAsia="Calibri" w:hAnsi="Verdana" w:cs="Arial"/>
          <w:b/>
          <w:color w:val="000000" w:themeColor="text1"/>
        </w:rPr>
        <w:lastRenderedPageBreak/>
        <w:t>v.</w:t>
      </w:r>
      <w:r w:rsidR="00301B67" w:rsidRPr="00F60ADA">
        <w:rPr>
          <w:rFonts w:ascii="Verdana" w:eastAsia="Calibri" w:hAnsi="Verdana" w:cs="Arial"/>
          <w:bCs/>
          <w:color w:val="000000" w:themeColor="text1"/>
        </w:rPr>
        <w:t xml:space="preserve"> </w:t>
      </w:r>
      <w:r w:rsidR="00054748" w:rsidRPr="00F60ADA">
        <w:rPr>
          <w:rFonts w:ascii="Verdana" w:eastAsia="Calibri" w:hAnsi="Verdana" w:cs="Arial"/>
          <w:bCs/>
          <w:color w:val="000000" w:themeColor="text1"/>
        </w:rPr>
        <w:t>Al margen de la explicación precedente, debe advertirse que el análisis requerido para resolver problemas específicos en torno a la gestión contractual de las entidades públicas debe ser realizado por quienes tengan interés en ello, de acuerdo con lo explicado en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4DD8B0EF" w14:textId="77777777" w:rsidR="003148E3" w:rsidRPr="00F60ADA" w:rsidRDefault="003148E3" w:rsidP="003148E3">
      <w:pPr>
        <w:spacing w:after="0" w:line="276" w:lineRule="auto"/>
        <w:ind w:firstLine="709"/>
        <w:jc w:val="both"/>
        <w:rPr>
          <w:rFonts w:ascii="Verdana" w:hAnsi="Verdana" w:cs="Arial"/>
        </w:rPr>
      </w:pPr>
    </w:p>
    <w:p w14:paraId="71C10F30" w14:textId="130EC780" w:rsidR="000355EC" w:rsidRPr="00F60ADA" w:rsidRDefault="00054748" w:rsidP="001D113F">
      <w:pPr>
        <w:spacing w:after="0" w:line="276" w:lineRule="auto"/>
        <w:ind w:firstLine="708"/>
        <w:jc w:val="both"/>
        <w:rPr>
          <w:rFonts w:ascii="Verdana" w:eastAsia="Calibri" w:hAnsi="Verdana" w:cs="Arial"/>
          <w:bCs/>
          <w:color w:val="000000" w:themeColor="text1"/>
        </w:rPr>
      </w:pPr>
      <w:r w:rsidRPr="00F60ADA">
        <w:rPr>
          <w:rFonts w:ascii="Verdana" w:eastAsia="Calibri" w:hAnsi="Verdana" w:cs="Arial"/>
          <w:bCs/>
          <w:color w:val="000000" w:themeColor="text1"/>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p w14:paraId="0CFC7E9A" w14:textId="77777777" w:rsidR="001D113F" w:rsidRPr="00F60ADA" w:rsidRDefault="001D113F" w:rsidP="001D113F">
      <w:pPr>
        <w:spacing w:after="0" w:line="276" w:lineRule="auto"/>
        <w:ind w:firstLine="708"/>
        <w:jc w:val="both"/>
        <w:rPr>
          <w:rFonts w:ascii="Verdana" w:eastAsia="Calibri" w:hAnsi="Verdana" w:cs="Arial"/>
          <w:bCs/>
          <w:color w:val="000000" w:themeColor="text1"/>
        </w:rPr>
      </w:pPr>
    </w:p>
    <w:p w14:paraId="52FA1F1F" w14:textId="39337FA1" w:rsidR="00054748" w:rsidRPr="00F60ADA" w:rsidRDefault="00054748" w:rsidP="0010054E">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F60ADA">
        <w:rPr>
          <w:rFonts w:ascii="Verdana" w:eastAsia="Century Gothic" w:hAnsi="Verdana" w:cs="Century Gothic"/>
          <w:b/>
          <w:bCs/>
        </w:rPr>
        <w:t>Referencias normativas, jurisprudenciales y otras fuentes:</w:t>
      </w:r>
    </w:p>
    <w:p w14:paraId="07B41696" w14:textId="77777777" w:rsidR="008A08C2" w:rsidRPr="00F60ADA" w:rsidRDefault="008A08C2" w:rsidP="00027F95">
      <w:pPr>
        <w:pStyle w:val="Prrafodelista"/>
        <w:tabs>
          <w:tab w:val="left" w:pos="142"/>
          <w:tab w:val="left" w:pos="284"/>
        </w:tabs>
        <w:spacing w:after="0" w:line="276" w:lineRule="auto"/>
        <w:ind w:left="0"/>
        <w:contextualSpacing w:val="0"/>
        <w:jc w:val="both"/>
        <w:rPr>
          <w:rFonts w:ascii="Verdana" w:eastAsia="Century Gothic" w:hAnsi="Verdana" w:cs="Century Gothic"/>
          <w:b/>
          <w:bCs/>
          <w:sz w:val="20"/>
          <w:szCs w:val="20"/>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054748" w:rsidRPr="00F60ADA" w14:paraId="05CB934C" w14:textId="77777777" w:rsidTr="00012F97">
        <w:trPr>
          <w:trHeight w:val="716"/>
        </w:trPr>
        <w:tc>
          <w:tcPr>
            <w:tcW w:w="8647" w:type="dxa"/>
          </w:tcPr>
          <w:p w14:paraId="5417CA70" w14:textId="77777777" w:rsidR="00E86222" w:rsidRPr="00F60ADA" w:rsidRDefault="00E86222" w:rsidP="00E86222">
            <w:pPr>
              <w:numPr>
                <w:ilvl w:val="0"/>
                <w:numId w:val="18"/>
              </w:numPr>
              <w:spacing w:before="100" w:beforeAutospacing="1" w:after="100" w:afterAutospacing="1"/>
              <w:jc w:val="both"/>
              <w:rPr>
                <w:rFonts w:ascii="Verdana" w:eastAsia="Times New Roman" w:hAnsi="Verdana" w:cs="Times New Roman"/>
                <w:lang w:eastAsia="es-CO"/>
              </w:rPr>
            </w:pPr>
            <w:r w:rsidRPr="00F60ADA">
              <w:rPr>
                <w:rFonts w:ascii="Verdana" w:eastAsia="Times New Roman" w:hAnsi="Verdana" w:cs="Times New Roman"/>
                <w:lang w:eastAsia="es-CO"/>
              </w:rPr>
              <w:t>Consejo de Estado. Sala Plena. Sentencia del 8 de febrero de 2011. 11001-03-15-000-2010-00990-00(PI)</w:t>
            </w:r>
          </w:p>
          <w:p w14:paraId="2FBE1084" w14:textId="77777777" w:rsidR="00E86222" w:rsidRPr="00F60ADA" w:rsidRDefault="00E86222" w:rsidP="00E86222">
            <w:pPr>
              <w:numPr>
                <w:ilvl w:val="0"/>
                <w:numId w:val="18"/>
              </w:numPr>
              <w:spacing w:before="100" w:beforeAutospacing="1" w:after="100" w:afterAutospacing="1"/>
              <w:jc w:val="both"/>
              <w:rPr>
                <w:rFonts w:ascii="Verdana" w:eastAsia="Times New Roman" w:hAnsi="Verdana" w:cs="Times New Roman"/>
                <w:lang w:eastAsia="es-CO"/>
              </w:rPr>
            </w:pPr>
            <w:r w:rsidRPr="00F60ADA">
              <w:rPr>
                <w:rFonts w:ascii="Verdana" w:eastAsia="Times New Roman" w:hAnsi="Verdana" w:cs="Times New Roman"/>
                <w:lang w:eastAsia="es-CO"/>
              </w:rPr>
              <w:t>Ley 80 de 1993, artículos 8 y 32.</w:t>
            </w:r>
          </w:p>
          <w:p w14:paraId="298C6C06" w14:textId="77777777" w:rsidR="00E86222" w:rsidRPr="00F60ADA" w:rsidRDefault="00E86222" w:rsidP="00E86222">
            <w:pPr>
              <w:numPr>
                <w:ilvl w:val="0"/>
                <w:numId w:val="18"/>
              </w:numPr>
              <w:spacing w:before="100" w:beforeAutospacing="1" w:after="100" w:afterAutospacing="1"/>
              <w:jc w:val="both"/>
              <w:rPr>
                <w:rFonts w:ascii="Verdana" w:eastAsia="Times New Roman" w:hAnsi="Verdana" w:cs="Times New Roman"/>
                <w:lang w:eastAsia="es-CO"/>
              </w:rPr>
            </w:pPr>
            <w:r w:rsidRPr="00F60ADA">
              <w:rPr>
                <w:rFonts w:ascii="Verdana" w:eastAsia="Times New Roman" w:hAnsi="Verdana" w:cs="Times New Roman"/>
                <w:lang w:eastAsia="es-CO"/>
              </w:rPr>
              <w:t>Constitución Política de 1886, artículo 64.</w:t>
            </w:r>
          </w:p>
          <w:p w14:paraId="0B18F461" w14:textId="77777777" w:rsidR="00E86222" w:rsidRPr="00F60ADA" w:rsidRDefault="00E86222" w:rsidP="00E86222">
            <w:pPr>
              <w:numPr>
                <w:ilvl w:val="0"/>
                <w:numId w:val="18"/>
              </w:numPr>
              <w:spacing w:before="100" w:beforeAutospacing="1" w:after="100" w:afterAutospacing="1"/>
              <w:jc w:val="both"/>
              <w:rPr>
                <w:rFonts w:ascii="Verdana" w:eastAsia="Times New Roman" w:hAnsi="Verdana" w:cs="Times New Roman"/>
                <w:lang w:eastAsia="es-CO"/>
              </w:rPr>
            </w:pPr>
            <w:r w:rsidRPr="00F60ADA">
              <w:rPr>
                <w:rFonts w:ascii="Verdana" w:eastAsia="Times New Roman" w:hAnsi="Verdana" w:cs="Times New Roman"/>
                <w:lang w:eastAsia="es-CO"/>
              </w:rPr>
              <w:t>Ley 78 de 1931, artículo 1.</w:t>
            </w:r>
          </w:p>
          <w:p w14:paraId="5763EAAE" w14:textId="77777777" w:rsidR="00E86222" w:rsidRPr="00F60ADA" w:rsidRDefault="00E86222" w:rsidP="00E86222">
            <w:pPr>
              <w:numPr>
                <w:ilvl w:val="0"/>
                <w:numId w:val="18"/>
              </w:numPr>
              <w:spacing w:before="100" w:beforeAutospacing="1" w:after="100" w:afterAutospacing="1"/>
              <w:jc w:val="both"/>
              <w:rPr>
                <w:rFonts w:ascii="Verdana" w:eastAsia="Times New Roman" w:hAnsi="Verdana" w:cs="Times New Roman"/>
                <w:lang w:eastAsia="es-CO"/>
              </w:rPr>
            </w:pPr>
            <w:r w:rsidRPr="00F60ADA">
              <w:rPr>
                <w:rFonts w:ascii="Verdana" w:eastAsia="Times New Roman" w:hAnsi="Verdana" w:cs="Times New Roman"/>
                <w:lang w:eastAsia="es-CO"/>
              </w:rPr>
              <w:t>Acto Legislativo No. 1 de 1936, artículo 23.</w:t>
            </w:r>
          </w:p>
          <w:p w14:paraId="2F2EECF4" w14:textId="77777777" w:rsidR="00E86222" w:rsidRPr="00F60ADA" w:rsidRDefault="00E86222" w:rsidP="00E86222">
            <w:pPr>
              <w:numPr>
                <w:ilvl w:val="0"/>
                <w:numId w:val="18"/>
              </w:numPr>
              <w:spacing w:before="100" w:beforeAutospacing="1" w:after="100" w:afterAutospacing="1"/>
              <w:jc w:val="both"/>
              <w:rPr>
                <w:rFonts w:ascii="Verdana" w:eastAsia="Times New Roman" w:hAnsi="Verdana" w:cs="Times New Roman"/>
                <w:lang w:eastAsia="es-CO"/>
              </w:rPr>
            </w:pPr>
            <w:r w:rsidRPr="00F60ADA">
              <w:rPr>
                <w:rFonts w:ascii="Verdana" w:eastAsia="Times New Roman" w:hAnsi="Verdana" w:cs="Times New Roman"/>
                <w:lang w:eastAsia="es-CO"/>
              </w:rPr>
              <w:t>Constitución Política de 1991, artículo 128.</w:t>
            </w:r>
          </w:p>
          <w:p w14:paraId="36451B04" w14:textId="77777777" w:rsidR="00E86222" w:rsidRPr="00F60ADA" w:rsidRDefault="00E86222" w:rsidP="00E86222">
            <w:pPr>
              <w:numPr>
                <w:ilvl w:val="0"/>
                <w:numId w:val="18"/>
              </w:numPr>
              <w:spacing w:before="100" w:beforeAutospacing="1" w:after="100" w:afterAutospacing="1"/>
              <w:jc w:val="both"/>
              <w:rPr>
                <w:rFonts w:ascii="Verdana" w:eastAsia="Times New Roman" w:hAnsi="Verdana" w:cs="Times New Roman"/>
                <w:lang w:eastAsia="es-CO"/>
              </w:rPr>
            </w:pPr>
            <w:r w:rsidRPr="00F60ADA">
              <w:rPr>
                <w:rFonts w:ascii="Verdana" w:eastAsia="Times New Roman" w:hAnsi="Verdana" w:cs="Times New Roman"/>
                <w:lang w:eastAsia="es-CO"/>
              </w:rPr>
              <w:t>Ley 4 de 1992, artículo 19.</w:t>
            </w:r>
          </w:p>
          <w:p w14:paraId="4385F9C3" w14:textId="5B001AB9" w:rsidR="00054748" w:rsidRPr="00F60ADA" w:rsidRDefault="00E86222" w:rsidP="00E86222">
            <w:pPr>
              <w:numPr>
                <w:ilvl w:val="0"/>
                <w:numId w:val="18"/>
              </w:numPr>
              <w:spacing w:before="100" w:beforeAutospacing="1" w:after="100" w:afterAutospacing="1"/>
              <w:jc w:val="both"/>
              <w:rPr>
                <w:rFonts w:ascii="Verdana" w:eastAsia="Times New Roman" w:hAnsi="Verdana" w:cs="Times New Roman"/>
                <w:lang w:eastAsia="es-CO"/>
              </w:rPr>
            </w:pPr>
            <w:r w:rsidRPr="00F60ADA">
              <w:rPr>
                <w:rFonts w:ascii="Verdana" w:eastAsia="Times New Roman" w:hAnsi="Verdana" w:cs="Times New Roman"/>
                <w:lang w:eastAsia="es-CO"/>
              </w:rPr>
              <w:t>Consejo de Estado. Sala de Consulta y Servicio Civil. Concepto No.1334 del 10 de mayo de 2001. C.P. Flavio Augusto Rodríguez Arce.</w:t>
            </w:r>
            <w:r w:rsidR="001D113F" w:rsidRPr="00F60ADA">
              <w:rPr>
                <w:rFonts w:ascii="Verdana" w:eastAsia="Times New Roman" w:hAnsi="Verdana" w:cs="Times New Roman"/>
                <w:lang w:eastAsia="es-CO"/>
              </w:rPr>
              <w:t xml:space="preserve"> </w:t>
            </w:r>
          </w:p>
        </w:tc>
      </w:tr>
    </w:tbl>
    <w:p w14:paraId="51C49C39" w14:textId="77777777" w:rsidR="007F0574" w:rsidRPr="00F60ADA" w:rsidRDefault="007F0574" w:rsidP="00054748">
      <w:pPr>
        <w:widowControl w:val="0"/>
        <w:autoSpaceDE w:val="0"/>
        <w:autoSpaceDN w:val="0"/>
        <w:spacing w:after="0" w:line="276" w:lineRule="auto"/>
        <w:jc w:val="both"/>
        <w:rPr>
          <w:rFonts w:ascii="Verdana" w:hAnsi="Verdana" w:cs="Arial"/>
        </w:rPr>
      </w:pPr>
    </w:p>
    <w:p w14:paraId="0B41A78C" w14:textId="77777777" w:rsidR="00054748" w:rsidRPr="00F60ADA" w:rsidRDefault="00054748" w:rsidP="0010054E">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F60ADA">
        <w:rPr>
          <w:rFonts w:ascii="Verdana" w:eastAsia="Century Gothic" w:hAnsi="Verdana" w:cs="Century Gothic"/>
          <w:b/>
          <w:bCs/>
        </w:rPr>
        <w:t>Doctrina de la Agencia Nacional de Contratación Pública:</w:t>
      </w:r>
    </w:p>
    <w:p w14:paraId="70C5616D" w14:textId="77777777" w:rsidR="00054748" w:rsidRPr="00F60ADA" w:rsidRDefault="00054748" w:rsidP="00054748">
      <w:pPr>
        <w:widowControl w:val="0"/>
        <w:autoSpaceDE w:val="0"/>
        <w:autoSpaceDN w:val="0"/>
        <w:spacing w:after="0" w:line="276" w:lineRule="auto"/>
        <w:jc w:val="both"/>
        <w:rPr>
          <w:rFonts w:ascii="Verdana" w:hAnsi="Verdana" w:cs="Arial"/>
        </w:rPr>
      </w:pPr>
    </w:p>
    <w:p w14:paraId="3CA0D144" w14:textId="64B677EF" w:rsidR="00916BC3" w:rsidRPr="00F60ADA" w:rsidRDefault="005979D9" w:rsidP="00916BC3">
      <w:pPr>
        <w:widowControl w:val="0"/>
        <w:autoSpaceDE w:val="0"/>
        <w:autoSpaceDN w:val="0"/>
        <w:spacing w:after="120" w:line="276" w:lineRule="auto"/>
        <w:jc w:val="both"/>
        <w:rPr>
          <w:rFonts w:ascii="Verdana" w:eastAsia="Arial" w:hAnsi="Verdana" w:cs="Arial"/>
          <w:color w:val="000000"/>
          <w:lang w:eastAsia="es-ES"/>
        </w:rPr>
      </w:pPr>
      <w:r w:rsidRPr="00F60ADA">
        <w:rPr>
          <w:rFonts w:ascii="Verdana" w:hAnsi="Verdana" w:cs="Arial"/>
          <w:shd w:val="clear" w:color="auto" w:fill="FFFFFF"/>
        </w:rPr>
        <w:t xml:space="preserve">Esta Subdirección </w:t>
      </w:r>
      <w:r w:rsidR="00916BC3" w:rsidRPr="00F60ADA">
        <w:rPr>
          <w:rFonts w:ascii="Verdana" w:eastAsia="Arial" w:hAnsi="Verdana" w:cs="Arial"/>
          <w:color w:val="000000"/>
          <w:lang w:eastAsia="es-ES"/>
        </w:rPr>
        <w:t xml:space="preserve">ha analizado los contratos de prestación de servicios, así como </w:t>
      </w:r>
      <w:r w:rsidR="00916BC3" w:rsidRPr="00F60ADA">
        <w:rPr>
          <w:rFonts w:ascii="Verdana" w:eastAsia="Arial" w:hAnsi="Verdana" w:cs="Arial"/>
          <w:color w:val="000000"/>
          <w:lang w:eastAsia="es-ES"/>
        </w:rPr>
        <w:lastRenderedPageBreak/>
        <w:t xml:space="preserve">los requisitos para su celebración, entre otros, en los conceptos con radicado: 4201913000006452 del 07 de octubre de 2019, 4201912000006434 del 30 de octubre de 2019, 4201913000006444 del 01 de noviembre de 2019, 4201913000006331 del 07 de noviembre de 2019, 4201912000006692 del 12 de noviembre de 2019, 4201912000007378 del 11 de diciembre de 2019, 4201912000007781 del 26 de diciembre de 2019, C−047 del 19 de febrero de 2020, C−105 del 12 de marzo de 2020, C−208 del 24 de marzo de 2020, C−005 del 11 de mayo de 2020, C−006 del 11 de mayo de 2020,  C−018 del 11 de mayo de 2020, C−138 del 11 de mayo de 2020,  C−053 del 12 de mayo de 2020, C−175 del 12 de mayo de 2020, C−320 del 12 de mayo de 2020, C−255 del 12 de mayo de 2020, C−282 del 12 de mayo de 2020, C−238 del 18 de mayo de 2020, C−260 del 18 de mayo de 2020, C−288 del 21 de mayo de 2020, C−293 del 12 de mayo de 2020, C−313 del 21 de mayo de 2020, C−345 del 21 de mayo de 2020, C−359 del 04 de junio de 2020, C−379 del 30 de junio de 2020, C−414 del 30 de junio de 2020, C-661 del 17 de noviembre de 2020 C−685 del 18 de diciembre de 2020, C- 004 del 12 de febrero de 2021, C−106 del 7 de abril de 2021, C-181 del  07 de abril de 2022, C-214 del 22 de abril de 2022 y C-491 de 01 de agosto de 2022, C-008 del 20 de febrero de 2023, C-009 del 20 de febrero de 2023, entre otros. </w:t>
      </w:r>
    </w:p>
    <w:p w14:paraId="0088EEC8" w14:textId="77777777" w:rsidR="00916BC3" w:rsidRPr="00F60ADA" w:rsidRDefault="00916BC3" w:rsidP="00916BC3">
      <w:pPr>
        <w:widowControl w:val="0"/>
        <w:autoSpaceDE w:val="0"/>
        <w:autoSpaceDN w:val="0"/>
        <w:spacing w:after="120" w:line="276" w:lineRule="auto"/>
        <w:jc w:val="both"/>
        <w:rPr>
          <w:rFonts w:ascii="Verdana" w:eastAsia="Arial" w:hAnsi="Verdana" w:cs="Arial"/>
          <w:color w:val="000000"/>
          <w:lang w:eastAsia="es-ES"/>
        </w:rPr>
      </w:pPr>
      <w:r w:rsidRPr="00F60ADA">
        <w:rPr>
          <w:rFonts w:ascii="Verdana" w:eastAsia="Arial" w:hAnsi="Verdana" w:cs="Arial"/>
          <w:color w:val="000000"/>
          <w:lang w:eastAsia="es-ES"/>
        </w:rPr>
        <w:t xml:space="preserve">Así mismo, se ha pronunciado sobre el concepto de doble asignación presupuestal y el alcance a los contratos de prestación de servicios en los conceptos con radicado No. 2201913000008409 del 12 de noviembre de 2019, C-090 del 24 de febrero de 2020, C-286 del 26 de julio de 2023, C-392 del 8 de mayo de 2025, entre otros. Por último, sobre el régimen de inhabilidades e incompatibilidades esta Subdirección se ha pronunciado en los conceptos  C−402 del 26 de junio de 2020, C−365 del 30 de junio de 2020, C−386 del 24 de julio de 2020, C-585 del 14 de septiembre de 2020, C–592 del 14 de septiembre de 2020, C−551 de 24 de septiembre de 2020, C−709 del 7 de diciembre de 2020, C–721 de 14 de diciembre de 2020, C–004 del 12 de febrero de 2021, C–815 del 18 de febrero de 2021, C–047 del 8 de marzo de 2021, C–113 del 30 de marzo de 2021, C–122 del 30 de marzo de 2021, C–178 del 28 de abril de 2021, C−190 del 30 de abril de 2021, C−210 del 12 de mayo de 2021, C−275 del 11 de junio de 2021, C−293 del 28 de junio de 2021, C−321 del 2 de julio de 2021, C−410 del 7 de julio de 2021, C−491 del 14 de septiembre de 2021, C−522 del 1 de octubre de 2021, C−128 del 25 de marzo de 2022, C−252 del 3 de mayo de 2022, C−376 del 14 de junio de 2022, C−413 del 24 de junio de 2022, C−691 </w:t>
      </w:r>
      <w:r w:rsidRPr="00F60ADA">
        <w:rPr>
          <w:rFonts w:ascii="Verdana" w:eastAsia="Arial" w:hAnsi="Verdana" w:cs="Arial"/>
          <w:color w:val="000000"/>
          <w:lang w:eastAsia="es-ES"/>
        </w:rPr>
        <w:lastRenderedPageBreak/>
        <w:t xml:space="preserve">del 20 de octubre de 2022, C−731 del 10 de noviembre de 2022, C−928 del 26 de enero de 2023, C−126 del 24 de abril de 2023, C−175 del 4 de mayo de 2023, C−234 del 5 de julio de 2023, C−010 del 31 de enero de 2024, C-039 del 23 de abril de 2024, C-085 del 3 de marzo de 2025. También se ha pronunciado sobre el conflicto de interés en los conceptos C-229 del 16 de abril de 2020, C-815 del 18 de febrero de 2021, C-449 del 31 de agosto de 2021, C-288 del 14 de julio de 2023, C-651 del 22 de octubre de 2024, C-680 del 15 de noviembre de 2024, C-693 del 19 de noviembre de 2024, C-839 del 13 de diciembre de 2024, entre otros. Estos y otros conceptos se encuentran disponibles para consulta en el Sistema de relatoría de la Agencia, al cual se puede acceder a través del siguiente enlace: </w:t>
      </w:r>
    </w:p>
    <w:p w14:paraId="268B87B1" w14:textId="203D104D" w:rsidR="00054748" w:rsidRPr="00F60ADA" w:rsidRDefault="00AC5DA8" w:rsidP="00AC5DA8">
      <w:pPr>
        <w:widowControl w:val="0"/>
        <w:autoSpaceDE w:val="0"/>
        <w:autoSpaceDN w:val="0"/>
        <w:spacing w:after="0" w:line="276" w:lineRule="auto"/>
        <w:jc w:val="both"/>
        <w:rPr>
          <w:rStyle w:val="normaltextrun"/>
          <w:rFonts w:ascii="Verdana" w:hAnsi="Verdana" w:cs="Arial"/>
          <w:color w:val="FF0000"/>
          <w:shd w:val="clear" w:color="auto" w:fill="FFFFFF"/>
          <w:lang w:val="es-ES"/>
        </w:rPr>
      </w:pPr>
      <w:hyperlink r:id="rId13" w:history="1">
        <w:r w:rsidRPr="00F60ADA">
          <w:rPr>
            <w:rStyle w:val="Hipervnculo"/>
            <w:rFonts w:ascii="Verdana" w:hAnsi="Verdana" w:cs="Arial"/>
            <w:shd w:val="clear" w:color="auto" w:fill="FFFFFF"/>
            <w:lang w:val="es-ES"/>
          </w:rPr>
          <w:t>https://relatoria.colombiacompra.gov.co/busqueda/conceptos</w:t>
        </w:r>
      </w:hyperlink>
      <w:r w:rsidRPr="00F60ADA">
        <w:rPr>
          <w:rStyle w:val="normaltextrun"/>
          <w:rFonts w:ascii="Verdana" w:hAnsi="Verdana" w:cs="Arial"/>
          <w:color w:val="FF0000"/>
          <w:shd w:val="clear" w:color="auto" w:fill="FFFFFF"/>
          <w:lang w:val="es-ES"/>
        </w:rPr>
        <w:t xml:space="preserve"> </w:t>
      </w:r>
    </w:p>
    <w:p w14:paraId="40EF2851" w14:textId="77777777" w:rsidR="0086043A" w:rsidRPr="00F60ADA" w:rsidRDefault="0086043A" w:rsidP="00AC5DA8">
      <w:pPr>
        <w:widowControl w:val="0"/>
        <w:autoSpaceDE w:val="0"/>
        <w:autoSpaceDN w:val="0"/>
        <w:spacing w:after="0" w:line="276" w:lineRule="auto"/>
        <w:jc w:val="both"/>
        <w:rPr>
          <w:rFonts w:ascii="Verdana" w:hAnsi="Verdana" w:cs="Arial"/>
          <w:color w:val="FF0000"/>
          <w:shd w:val="clear" w:color="auto" w:fill="FFFFFF"/>
          <w:lang w:val="es-ES"/>
        </w:rPr>
      </w:pPr>
    </w:p>
    <w:p w14:paraId="51E16BAA" w14:textId="77777777" w:rsidR="00054748" w:rsidRPr="00F60ADA" w:rsidRDefault="00054748" w:rsidP="00027F95">
      <w:pPr>
        <w:spacing w:after="0" w:line="276" w:lineRule="auto"/>
        <w:jc w:val="both"/>
        <w:rPr>
          <w:rFonts w:ascii="Verdana" w:hAnsi="Verdana"/>
        </w:rPr>
      </w:pPr>
      <w:r w:rsidRPr="00F60ADA">
        <w:rPr>
          <w:rFonts w:ascii="Verdana" w:hAnsi="Verdana"/>
        </w:rPr>
        <w:t xml:space="preserve">Por último, lo invitamos a seguirnos en las redes sociales en las cuales se difunde información institucional: </w:t>
      </w:r>
    </w:p>
    <w:p w14:paraId="4FEC34D8" w14:textId="77777777" w:rsidR="00054748" w:rsidRPr="00F60ADA" w:rsidRDefault="00054748" w:rsidP="00027F95">
      <w:pPr>
        <w:spacing w:after="0" w:line="276" w:lineRule="auto"/>
        <w:jc w:val="both"/>
        <w:rPr>
          <w:rFonts w:ascii="Verdana" w:hAnsi="Verdana"/>
        </w:rPr>
      </w:pPr>
    </w:p>
    <w:p w14:paraId="33B42560" w14:textId="77777777" w:rsidR="00054748" w:rsidRPr="00F60ADA" w:rsidRDefault="00054748" w:rsidP="00027F95">
      <w:pPr>
        <w:spacing w:after="0" w:line="276" w:lineRule="auto"/>
        <w:jc w:val="both"/>
        <w:rPr>
          <w:rFonts w:ascii="Verdana" w:hAnsi="Verdana"/>
        </w:rPr>
      </w:pPr>
      <w:r w:rsidRPr="00F60ADA">
        <w:rPr>
          <w:rFonts w:ascii="Verdana" w:hAnsi="Verdana"/>
        </w:rPr>
        <w:t xml:space="preserve">Twitter: </w:t>
      </w:r>
      <w:r w:rsidRPr="00F60ADA">
        <w:rPr>
          <w:rStyle w:val="Hipervnculo"/>
          <w:rFonts w:ascii="Verdana" w:hAnsi="Verdana"/>
        </w:rPr>
        <w:t>@colombiacompra</w:t>
      </w:r>
      <w:r w:rsidRPr="00F60ADA">
        <w:rPr>
          <w:rFonts w:ascii="Verdana" w:hAnsi="Verdana"/>
          <w:color w:val="0000FF"/>
        </w:rPr>
        <w:t xml:space="preserve"> </w:t>
      </w:r>
    </w:p>
    <w:p w14:paraId="210AA4BA" w14:textId="77777777" w:rsidR="00054748" w:rsidRPr="00F60ADA" w:rsidRDefault="00054748" w:rsidP="00027F95">
      <w:pPr>
        <w:spacing w:after="0" w:line="276" w:lineRule="auto"/>
        <w:jc w:val="both"/>
        <w:rPr>
          <w:rFonts w:ascii="Verdana" w:hAnsi="Verdana"/>
        </w:rPr>
      </w:pPr>
      <w:r w:rsidRPr="00F60ADA">
        <w:rPr>
          <w:rFonts w:ascii="Verdana" w:hAnsi="Verdana"/>
        </w:rPr>
        <w:t xml:space="preserve">Facebook: </w:t>
      </w:r>
      <w:r w:rsidRPr="00F60ADA">
        <w:rPr>
          <w:rStyle w:val="Hipervnculo"/>
          <w:rFonts w:ascii="Verdana" w:hAnsi="Verdana"/>
        </w:rPr>
        <w:t>ColombiaCompraEficiente</w:t>
      </w:r>
    </w:p>
    <w:p w14:paraId="305E26AC" w14:textId="77777777" w:rsidR="00054748" w:rsidRPr="00F60ADA" w:rsidRDefault="00054748" w:rsidP="00027F95">
      <w:pPr>
        <w:spacing w:after="0" w:line="276" w:lineRule="auto"/>
        <w:jc w:val="both"/>
        <w:rPr>
          <w:rFonts w:ascii="Verdana" w:hAnsi="Verdana"/>
        </w:rPr>
      </w:pPr>
      <w:r w:rsidRPr="00F60ADA">
        <w:rPr>
          <w:rFonts w:ascii="Verdana" w:hAnsi="Verdana"/>
        </w:rPr>
        <w:t xml:space="preserve">LinkedIn: </w:t>
      </w:r>
      <w:r w:rsidRPr="00F60ADA">
        <w:rPr>
          <w:rStyle w:val="Hipervnculo"/>
          <w:rFonts w:ascii="Verdana" w:hAnsi="Verdana"/>
        </w:rPr>
        <w:t>Agencia Nacional de Contratación Pública - Colombia Compra Eficiente</w:t>
      </w:r>
      <w:r w:rsidRPr="00F60ADA">
        <w:rPr>
          <w:rFonts w:ascii="Verdana" w:hAnsi="Verdana"/>
          <w:color w:val="0000FF"/>
        </w:rPr>
        <w:t xml:space="preserve"> </w:t>
      </w:r>
      <w:r w:rsidRPr="00F60ADA">
        <w:rPr>
          <w:rFonts w:ascii="Verdana" w:hAnsi="Verdana"/>
        </w:rPr>
        <w:t xml:space="preserve">Instagram: </w:t>
      </w:r>
      <w:r w:rsidRPr="00F60ADA">
        <w:rPr>
          <w:rStyle w:val="Hipervnculo"/>
          <w:rFonts w:ascii="Verdana" w:hAnsi="Verdana"/>
        </w:rPr>
        <w:t>@colombiacompraeficiente_cce</w:t>
      </w:r>
    </w:p>
    <w:p w14:paraId="26FE69AE" w14:textId="77777777" w:rsidR="00054748" w:rsidRPr="00F60ADA" w:rsidRDefault="00054748" w:rsidP="00054748">
      <w:pPr>
        <w:widowControl w:val="0"/>
        <w:autoSpaceDE w:val="0"/>
        <w:autoSpaceDN w:val="0"/>
        <w:spacing w:after="0" w:line="276" w:lineRule="auto"/>
        <w:jc w:val="both"/>
        <w:rPr>
          <w:rFonts w:ascii="Verdana" w:hAnsi="Verdana" w:cs="Arial"/>
        </w:rPr>
      </w:pPr>
    </w:p>
    <w:p w14:paraId="0928FFD9" w14:textId="77777777" w:rsidR="00054748" w:rsidRPr="00F60ADA" w:rsidRDefault="00054748" w:rsidP="00054748">
      <w:pPr>
        <w:widowControl w:val="0"/>
        <w:autoSpaceDE w:val="0"/>
        <w:autoSpaceDN w:val="0"/>
        <w:spacing w:after="0" w:line="276" w:lineRule="auto"/>
        <w:jc w:val="both"/>
        <w:rPr>
          <w:rFonts w:ascii="Verdana" w:hAnsi="Verdana" w:cs="Arial"/>
          <w:lang w:val="es-ES_tradnl"/>
        </w:rPr>
      </w:pPr>
      <w:r w:rsidRPr="00F60ADA">
        <w:rPr>
          <w:rFonts w:ascii="Verdana" w:hAnsi="Verdana" w:cs="Arial"/>
        </w:rPr>
        <w:t xml:space="preserve">Este concepto tiene el alcance previsto en el artículo 28 del Código de Procedimiento Administrativo y de lo Contencioso Administrativo </w:t>
      </w:r>
      <w:r w:rsidRPr="00F60ADA">
        <w:rPr>
          <w:rFonts w:ascii="Verdana" w:hAnsi="Verdana" w:cs="Arial"/>
          <w:lang w:val="es-ES_tradnl"/>
        </w:rPr>
        <w:t>y las expresiones aquí utilizadas con mayúscula inicial deben ser entendidas con el significado que les otorga el artículo 2.2.1.1.1.3.1. del Decreto 1082 de 2015.</w:t>
      </w:r>
    </w:p>
    <w:p w14:paraId="04EBCDD3" w14:textId="77777777" w:rsidR="00054748" w:rsidRPr="00F60ADA" w:rsidRDefault="00054748" w:rsidP="00054748">
      <w:pPr>
        <w:widowControl w:val="0"/>
        <w:autoSpaceDE w:val="0"/>
        <w:autoSpaceDN w:val="0"/>
        <w:spacing w:after="0" w:line="276" w:lineRule="auto"/>
        <w:jc w:val="both"/>
        <w:rPr>
          <w:rFonts w:ascii="Verdana" w:hAnsi="Verdana" w:cs="Arial"/>
        </w:rPr>
      </w:pPr>
    </w:p>
    <w:p w14:paraId="6543CEA6" w14:textId="77777777" w:rsidR="00054748" w:rsidRPr="00F60ADA" w:rsidRDefault="00054748" w:rsidP="00027F95">
      <w:pPr>
        <w:spacing w:after="0" w:line="276" w:lineRule="auto"/>
        <w:rPr>
          <w:rFonts w:ascii="Verdana" w:hAnsi="Verdana" w:cs="Arial"/>
          <w:lang w:eastAsia="es-CO"/>
        </w:rPr>
      </w:pPr>
      <w:r w:rsidRPr="00F60ADA">
        <w:rPr>
          <w:rFonts w:ascii="Verdana" w:eastAsia="Times New Roman" w:hAnsi="Verdana" w:cs="Arial"/>
          <w:lang w:eastAsia="es-CO"/>
        </w:rPr>
        <w:t>Atentamente,</w:t>
      </w:r>
      <w:r w:rsidRPr="00F60ADA">
        <w:rPr>
          <w:rFonts w:ascii="Verdana" w:hAnsi="Verdana" w:cs="Arial"/>
          <w:lang w:eastAsia="es-CO"/>
        </w:rPr>
        <w:t xml:space="preserve"> </w:t>
      </w:r>
    </w:p>
    <w:p w14:paraId="5692D7A5" w14:textId="159D99AD" w:rsidR="00054748" w:rsidRPr="00F60ADA" w:rsidRDefault="00EE7FB5" w:rsidP="00EE7FB5">
      <w:pPr>
        <w:spacing w:line="276" w:lineRule="auto"/>
        <w:jc w:val="center"/>
        <w:rPr>
          <w:rFonts w:ascii="Verdana" w:hAnsi="Verdana" w:cs="Arial"/>
          <w:color w:val="000000"/>
          <w:lang w:eastAsia="es-CO"/>
        </w:rPr>
      </w:pPr>
      <w:r w:rsidRPr="00EE7FB5">
        <w:rPr>
          <w:rFonts w:ascii="Verdana" w:hAnsi="Verdana" w:cs="Arial"/>
          <w:noProof/>
          <w:color w:val="000000"/>
          <w:lang w:eastAsia="es-CO"/>
        </w:rPr>
        <w:drawing>
          <wp:inline distT="0" distB="0" distL="0" distR="0" wp14:anchorId="57155B5A" wp14:editId="4B728832">
            <wp:extent cx="1870784" cy="740663"/>
            <wp:effectExtent l="0" t="0" r="0" b="2540"/>
            <wp:docPr id="117173596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91632" cy="748917"/>
                    </a:xfrm>
                    <a:prstGeom prst="rect">
                      <a:avLst/>
                    </a:prstGeom>
                    <a:noFill/>
                    <a:ln>
                      <a:noFill/>
                    </a:ln>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054748" w:rsidRPr="00F60ADA" w14:paraId="1170F5BB" w14:textId="77777777" w:rsidTr="00CB1843">
        <w:trPr>
          <w:trHeight w:val="315"/>
        </w:trPr>
        <w:tc>
          <w:tcPr>
            <w:tcW w:w="893" w:type="dxa"/>
            <w:vAlign w:val="center"/>
            <w:hideMark/>
          </w:tcPr>
          <w:p w14:paraId="5A67B4C6" w14:textId="77777777" w:rsidR="00054748" w:rsidRPr="00F60ADA" w:rsidRDefault="00054748" w:rsidP="00CB1843">
            <w:pPr>
              <w:contextualSpacing/>
              <w:rPr>
                <w:rFonts w:ascii="Verdana" w:hAnsi="Verdana" w:cs="Arial"/>
                <w:sz w:val="16"/>
                <w:szCs w:val="16"/>
                <w:lang w:val="es-ES" w:eastAsia="es-ES"/>
              </w:rPr>
            </w:pPr>
            <w:r w:rsidRPr="00F60ADA">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578EF5FB" w14:textId="77777777" w:rsidR="00054748" w:rsidRPr="00F60ADA" w:rsidRDefault="00054748" w:rsidP="00CB1843">
            <w:pPr>
              <w:contextualSpacing/>
              <w:rPr>
                <w:rFonts w:ascii="Verdana" w:eastAsia="Arial" w:hAnsi="Verdana" w:cs="Arial"/>
                <w:sz w:val="16"/>
                <w:szCs w:val="16"/>
              </w:rPr>
            </w:pPr>
            <w:r w:rsidRPr="00F60ADA">
              <w:rPr>
                <w:rFonts w:ascii="Verdana" w:eastAsia="Arial" w:hAnsi="Verdana" w:cs="Arial"/>
                <w:sz w:val="16"/>
                <w:szCs w:val="16"/>
              </w:rPr>
              <w:t>Andrea Camila Polo Paz</w:t>
            </w:r>
          </w:p>
          <w:p w14:paraId="227F8729" w14:textId="77777777" w:rsidR="00054748" w:rsidRPr="00F60ADA" w:rsidRDefault="00054748" w:rsidP="00CB1843">
            <w:pPr>
              <w:contextualSpacing/>
              <w:rPr>
                <w:rFonts w:ascii="Verdana" w:eastAsia="Arial" w:hAnsi="Verdana" w:cs="Arial"/>
                <w:sz w:val="16"/>
                <w:szCs w:val="16"/>
              </w:rPr>
            </w:pPr>
            <w:r w:rsidRPr="00F60ADA">
              <w:rPr>
                <w:rStyle w:val="normaltextrun"/>
                <w:rFonts w:ascii="Verdana" w:eastAsia="Arial" w:hAnsi="Verdana" w:cs="Arial"/>
                <w:sz w:val="16"/>
                <w:szCs w:val="16"/>
              </w:rPr>
              <w:t>Analista T02-1 de la Subdirección de Gestión Contractual</w:t>
            </w:r>
          </w:p>
        </w:tc>
      </w:tr>
      <w:tr w:rsidR="00054748" w:rsidRPr="00F60ADA" w14:paraId="244745AA" w14:textId="77777777" w:rsidTr="00CB1843">
        <w:trPr>
          <w:trHeight w:val="330"/>
        </w:trPr>
        <w:tc>
          <w:tcPr>
            <w:tcW w:w="893" w:type="dxa"/>
            <w:vAlign w:val="center"/>
            <w:hideMark/>
          </w:tcPr>
          <w:p w14:paraId="358FC580" w14:textId="77777777" w:rsidR="00054748" w:rsidRPr="00F60ADA" w:rsidRDefault="00054748" w:rsidP="00CB1843">
            <w:pPr>
              <w:contextualSpacing/>
              <w:rPr>
                <w:rFonts w:ascii="Verdana" w:hAnsi="Verdana" w:cs="Arial"/>
                <w:sz w:val="16"/>
                <w:szCs w:val="16"/>
                <w:lang w:val="es-ES" w:eastAsia="es-ES"/>
              </w:rPr>
            </w:pPr>
            <w:r w:rsidRPr="00F60ADA">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3A6BB15B" w14:textId="6D0EA676" w:rsidR="00981089" w:rsidRPr="00F60ADA" w:rsidRDefault="00981089" w:rsidP="00CB1843">
            <w:pPr>
              <w:pStyle w:val="paragraph"/>
              <w:spacing w:before="0" w:beforeAutospacing="0" w:after="0" w:afterAutospacing="0"/>
              <w:contextualSpacing/>
              <w:textAlignment w:val="baseline"/>
              <w:rPr>
                <w:rStyle w:val="normaltextrun"/>
                <w:rFonts w:ascii="Verdana" w:hAnsi="Verdana" w:cs="Arial"/>
                <w:sz w:val="16"/>
                <w:szCs w:val="16"/>
                <w:lang w:val="es-ES"/>
              </w:rPr>
            </w:pPr>
            <w:r w:rsidRPr="00F60ADA">
              <w:rPr>
                <w:rStyle w:val="normaltextrun"/>
                <w:rFonts w:ascii="Verdana" w:hAnsi="Verdana" w:cs="Arial"/>
                <w:sz w:val="16"/>
                <w:szCs w:val="16"/>
                <w:lang w:val="es-ES"/>
              </w:rPr>
              <w:t xml:space="preserve">Juan David Cárdenas </w:t>
            </w:r>
            <w:r w:rsidR="00952F17" w:rsidRPr="00F60ADA">
              <w:rPr>
                <w:rStyle w:val="normaltextrun"/>
                <w:rFonts w:ascii="Verdana" w:hAnsi="Verdana" w:cs="Arial"/>
                <w:sz w:val="16"/>
                <w:szCs w:val="16"/>
                <w:lang w:val="es-ES"/>
              </w:rPr>
              <w:t>Cabeza</w:t>
            </w:r>
          </w:p>
          <w:p w14:paraId="6259A622" w14:textId="03A2E6FE" w:rsidR="00054748" w:rsidRPr="00F60ADA" w:rsidRDefault="00981089" w:rsidP="00CB1843">
            <w:pPr>
              <w:pStyle w:val="paragraph"/>
              <w:spacing w:before="0" w:beforeAutospacing="0" w:after="0" w:afterAutospacing="0"/>
              <w:contextualSpacing/>
              <w:textAlignment w:val="baseline"/>
              <w:rPr>
                <w:rFonts w:ascii="Verdana" w:hAnsi="Verdana" w:cs="Arial"/>
                <w:sz w:val="16"/>
                <w:szCs w:val="16"/>
                <w:lang w:val="es-ES"/>
              </w:rPr>
            </w:pPr>
            <w:r w:rsidRPr="00F60ADA">
              <w:rPr>
                <w:rStyle w:val="normaltextrun"/>
                <w:rFonts w:ascii="Verdana" w:hAnsi="Verdana" w:cs="Arial"/>
                <w:sz w:val="16"/>
                <w:szCs w:val="16"/>
                <w:lang w:val="es-ES"/>
              </w:rPr>
              <w:t xml:space="preserve">Contratista </w:t>
            </w:r>
            <w:r w:rsidR="00054748" w:rsidRPr="00F60ADA">
              <w:rPr>
                <w:rStyle w:val="normaltextrun"/>
                <w:rFonts w:ascii="Verdana" w:hAnsi="Verdana" w:cs="Arial"/>
                <w:sz w:val="16"/>
                <w:szCs w:val="16"/>
                <w:lang w:val="es-ES"/>
              </w:rPr>
              <w:t>de la Subdirección de Gestión Contractual</w:t>
            </w:r>
            <w:r w:rsidR="00054748" w:rsidRPr="00F60ADA">
              <w:rPr>
                <w:rStyle w:val="eop"/>
                <w:rFonts w:ascii="Verdana" w:hAnsi="Verdana" w:cs="Arial"/>
                <w:sz w:val="16"/>
                <w:szCs w:val="16"/>
              </w:rPr>
              <w:t> </w:t>
            </w:r>
          </w:p>
        </w:tc>
      </w:tr>
      <w:tr w:rsidR="00054748" w:rsidRPr="005C170B" w14:paraId="03D0D7A4" w14:textId="77777777" w:rsidTr="00CB1843">
        <w:trPr>
          <w:trHeight w:val="300"/>
        </w:trPr>
        <w:tc>
          <w:tcPr>
            <w:tcW w:w="893" w:type="dxa"/>
            <w:vAlign w:val="center"/>
          </w:tcPr>
          <w:p w14:paraId="5D484008" w14:textId="77777777" w:rsidR="00054748" w:rsidRPr="00F60ADA" w:rsidRDefault="00054748" w:rsidP="00CB1843">
            <w:pPr>
              <w:contextualSpacing/>
              <w:rPr>
                <w:rFonts w:ascii="Verdana" w:hAnsi="Verdana" w:cs="Arial"/>
                <w:sz w:val="16"/>
                <w:szCs w:val="16"/>
                <w:lang w:val="es-ES" w:eastAsia="es-ES"/>
              </w:rPr>
            </w:pPr>
            <w:r w:rsidRPr="00F60ADA">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37CD525E" w14:textId="77777777" w:rsidR="00054748" w:rsidRPr="00F60ADA" w:rsidRDefault="00054748" w:rsidP="00CB1843">
            <w:pPr>
              <w:contextualSpacing/>
              <w:rPr>
                <w:rFonts w:ascii="Verdana" w:eastAsia="Calibri" w:hAnsi="Verdana" w:cs="Arial"/>
                <w:sz w:val="16"/>
                <w:szCs w:val="16"/>
                <w:lang w:val="pt-BR" w:eastAsia="es-ES"/>
              </w:rPr>
            </w:pPr>
            <w:r w:rsidRPr="00F60ADA">
              <w:rPr>
                <w:rFonts w:ascii="Verdana" w:eastAsia="Calibri" w:hAnsi="Verdana" w:cs="Arial"/>
                <w:sz w:val="16"/>
                <w:szCs w:val="16"/>
                <w:lang w:val="pt-BR" w:eastAsia="es-ES"/>
              </w:rPr>
              <w:t>Carolina Quintero Gacharná</w:t>
            </w:r>
          </w:p>
          <w:p w14:paraId="5ADDA35C" w14:textId="77777777" w:rsidR="00054748" w:rsidRPr="005C170B" w:rsidRDefault="00054748" w:rsidP="00CB1843">
            <w:pPr>
              <w:contextualSpacing/>
              <w:rPr>
                <w:rFonts w:ascii="Verdana" w:eastAsia="Calibri" w:hAnsi="Verdana" w:cs="Arial"/>
                <w:sz w:val="16"/>
                <w:szCs w:val="16"/>
                <w:lang w:val="pt-BR" w:eastAsia="es-ES"/>
              </w:rPr>
            </w:pPr>
            <w:r w:rsidRPr="00F60ADA">
              <w:rPr>
                <w:rFonts w:ascii="Verdana" w:eastAsia="Calibri" w:hAnsi="Verdana" w:cs="Arial"/>
                <w:sz w:val="16"/>
                <w:szCs w:val="16"/>
                <w:lang w:eastAsia="es-ES"/>
              </w:rPr>
              <w:t>Subdirectora</w:t>
            </w:r>
            <w:r w:rsidRPr="00F60ADA">
              <w:rPr>
                <w:rFonts w:ascii="Verdana" w:eastAsia="Calibri" w:hAnsi="Verdana" w:cs="Arial"/>
                <w:sz w:val="16"/>
                <w:szCs w:val="16"/>
                <w:lang w:val="pt-BR" w:eastAsia="es-ES"/>
              </w:rPr>
              <w:t xml:space="preserve"> de Gestión Contractual ANCP – CCE</w:t>
            </w:r>
          </w:p>
        </w:tc>
      </w:tr>
      <w:bookmarkEnd w:id="0"/>
    </w:tbl>
    <w:p w14:paraId="0F293BF4" w14:textId="48477865" w:rsidR="00127233" w:rsidRPr="0015699B" w:rsidRDefault="00127233" w:rsidP="002B7ECD">
      <w:pPr>
        <w:spacing w:after="0" w:line="240" w:lineRule="auto"/>
        <w:textAlignment w:val="baseline"/>
        <w:rPr>
          <w:rFonts w:ascii="Verdana" w:eastAsia="Verdana" w:hAnsi="Verdana" w:cs="Verdana"/>
          <w:lang w:eastAsia="es-CO"/>
        </w:rPr>
      </w:pPr>
    </w:p>
    <w:sectPr w:rsidR="00127233" w:rsidRPr="0015699B" w:rsidSect="007C0C0F">
      <w:headerReference w:type="default" r:id="rId15"/>
      <w:footerReference w:type="default" r:id="rId16"/>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D4903" w14:textId="77777777" w:rsidR="0045544A" w:rsidRDefault="0045544A" w:rsidP="004A1847">
      <w:pPr>
        <w:spacing w:after="0" w:line="240" w:lineRule="auto"/>
      </w:pPr>
      <w:r>
        <w:separator/>
      </w:r>
    </w:p>
  </w:endnote>
  <w:endnote w:type="continuationSeparator" w:id="0">
    <w:p w14:paraId="3874A956" w14:textId="77777777" w:rsidR="0045544A" w:rsidRDefault="0045544A"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ACF29" w14:textId="77777777" w:rsidR="0045544A" w:rsidRDefault="0045544A" w:rsidP="004A1847">
      <w:pPr>
        <w:spacing w:after="0" w:line="240" w:lineRule="auto"/>
      </w:pPr>
      <w:r>
        <w:separator/>
      </w:r>
    </w:p>
  </w:footnote>
  <w:footnote w:type="continuationSeparator" w:id="0">
    <w:p w14:paraId="3EE13F21" w14:textId="77777777" w:rsidR="0045544A" w:rsidRDefault="0045544A" w:rsidP="004A1847">
      <w:pPr>
        <w:spacing w:after="0" w:line="240" w:lineRule="auto"/>
      </w:pPr>
      <w:r>
        <w:continuationSeparator/>
      </w:r>
    </w:p>
  </w:footnote>
  <w:footnote w:id="1">
    <w:p w14:paraId="4E9DF95E" w14:textId="77777777" w:rsidR="005603E4" w:rsidRPr="00DE63DC" w:rsidRDefault="005603E4" w:rsidP="005603E4">
      <w:pPr>
        <w:pStyle w:val="Textonotapie"/>
        <w:ind w:firstLine="709"/>
        <w:rPr>
          <w:rFonts w:ascii="Verdana" w:hAnsi="Verdana"/>
          <w:sz w:val="16"/>
          <w:szCs w:val="16"/>
        </w:rPr>
      </w:pPr>
      <w:r w:rsidRPr="00DE63DC">
        <w:rPr>
          <w:rStyle w:val="Refdenotaalpie"/>
          <w:rFonts w:ascii="Verdana" w:hAnsi="Verdana"/>
          <w:sz w:val="16"/>
          <w:szCs w:val="16"/>
        </w:rPr>
        <w:footnoteRef/>
      </w:r>
      <w:r w:rsidRPr="00DE63DC">
        <w:rPr>
          <w:rFonts w:ascii="Verdana" w:hAnsi="Verdana"/>
          <w:sz w:val="16"/>
          <w:szCs w:val="16"/>
        </w:rPr>
        <w:t xml:space="preserve"> Consejo de Estado. Sala Plena. Sentencia del 8 de febrero de 2011. </w:t>
      </w:r>
      <w:r w:rsidRPr="00DE63DC">
        <w:rPr>
          <w:rFonts w:ascii="Verdana" w:hAnsi="Verdana"/>
          <w:sz w:val="16"/>
          <w:szCs w:val="16"/>
          <w:lang w:val="es-CO"/>
        </w:rPr>
        <w:t>Expediente N°: 11001-03-15-000-2010-00990-00(PI)</w:t>
      </w:r>
    </w:p>
  </w:footnote>
  <w:footnote w:id="2">
    <w:p w14:paraId="0782F477" w14:textId="3C064A5B" w:rsidR="00365947" w:rsidRDefault="00365947">
      <w:pPr>
        <w:pStyle w:val="Textonotapie"/>
      </w:pPr>
      <w:r>
        <w:rPr>
          <w:rStyle w:val="Refdenotaalpie"/>
        </w:rPr>
        <w:footnoteRef/>
      </w:r>
      <w:r>
        <w:t xml:space="preserve"> </w:t>
      </w:r>
      <w:r w:rsidR="00BC663A" w:rsidRPr="00837A86">
        <w:rPr>
          <w:rFonts w:ascii="Verdana" w:hAnsi="Verdana" w:cs="Arial"/>
          <w:sz w:val="14"/>
          <w:szCs w:val="14"/>
        </w:rPr>
        <w:t>Constitución Política de 1886: “Artículo 64.- Nadie podrá recibir dos sueldos del Tesoro público, salvo lo que para casos especiales determinen las leyes”.</w:t>
      </w:r>
    </w:p>
  </w:footnote>
  <w:footnote w:id="3">
    <w:p w14:paraId="309FD2DE" w14:textId="7DBA11ED" w:rsidR="0095369A" w:rsidRPr="00764B84" w:rsidRDefault="0095369A" w:rsidP="00764B84">
      <w:pPr>
        <w:spacing w:after="0" w:line="240" w:lineRule="auto"/>
        <w:ind w:firstLine="707"/>
        <w:contextualSpacing/>
        <w:jc w:val="both"/>
        <w:rPr>
          <w:rFonts w:ascii="Verdana" w:hAnsi="Verdana" w:cs="Arial"/>
          <w:sz w:val="14"/>
          <w:szCs w:val="14"/>
        </w:rPr>
      </w:pPr>
      <w:r>
        <w:rPr>
          <w:rStyle w:val="Refdenotaalpie"/>
        </w:rPr>
        <w:footnoteRef/>
      </w:r>
      <w:r>
        <w:t xml:space="preserve"> </w:t>
      </w:r>
      <w:r w:rsidRPr="00837A86">
        <w:rPr>
          <w:rFonts w:ascii="Verdana" w:hAnsi="Verdana" w:cs="Arial"/>
          <w:sz w:val="14"/>
          <w:szCs w:val="14"/>
        </w:rPr>
        <w:t xml:space="preserve">Ley 78 de 1931: “Artículo 1°: Entiéndese por tesoro público el dinero que, a cualquier título, ingrese a las oficinas públicas, sean nacionales, departamentales o </w:t>
      </w:r>
      <w:r w:rsidR="00296E70" w:rsidRPr="00837A86">
        <w:rPr>
          <w:rFonts w:ascii="Verdana" w:hAnsi="Verdana" w:cs="Arial"/>
          <w:sz w:val="14"/>
          <w:szCs w:val="14"/>
        </w:rPr>
        <w:t>municipales. “En</w:t>
      </w:r>
      <w:r w:rsidRPr="00837A86">
        <w:rPr>
          <w:rFonts w:ascii="Verdana" w:hAnsi="Verdana" w:cs="Arial"/>
          <w:sz w:val="14"/>
          <w:szCs w:val="14"/>
        </w:rPr>
        <w:t xml:space="preserve"> consecuencia, la prohibición de que trata el artículo 64 de la Constitución comprende a los individuos que devengan simultáneamente sueldos de la nación, del departamento o del municipio”.</w:t>
      </w:r>
    </w:p>
  </w:footnote>
  <w:footnote w:id="4">
    <w:p w14:paraId="081FC1FC" w14:textId="0A16FBAF" w:rsidR="0095369A" w:rsidRDefault="0095369A">
      <w:pPr>
        <w:pStyle w:val="Textonotapie"/>
      </w:pPr>
      <w:r>
        <w:rPr>
          <w:rStyle w:val="Refdenotaalpie"/>
        </w:rPr>
        <w:footnoteRef/>
      </w:r>
      <w:r>
        <w:t xml:space="preserve"> </w:t>
      </w:r>
      <w:r w:rsidR="00764B84" w:rsidRPr="00837A86">
        <w:rPr>
          <w:rFonts w:ascii="Verdana" w:hAnsi="Verdana" w:cs="Arial"/>
          <w:sz w:val="14"/>
          <w:szCs w:val="14"/>
        </w:rPr>
        <w:t>Acto legislativo No. 1 de 1936: “Artículo 23: Nadie podrá recibir más de una asignación que provenga del Tesoro Público o de empresas o instituciones en que tenga parte principal el Estado, salvo lo que para casos especiales determinen las leyes. Entiéndese por Tesoro Público el de la Nación, los Departamentos y los</w:t>
      </w:r>
      <w:r w:rsidR="00764B84" w:rsidRPr="00837A86">
        <w:rPr>
          <w:rFonts w:ascii="Verdana" w:hAnsi="Verdana" w:cs="Arial"/>
          <w:spacing w:val="-2"/>
          <w:sz w:val="14"/>
          <w:szCs w:val="14"/>
        </w:rPr>
        <w:t xml:space="preserve"> </w:t>
      </w:r>
      <w:r w:rsidR="00764B84" w:rsidRPr="00837A86">
        <w:rPr>
          <w:rFonts w:ascii="Verdana" w:hAnsi="Verdana" w:cs="Arial"/>
          <w:sz w:val="14"/>
          <w:szCs w:val="14"/>
        </w:rPr>
        <w:t>Municipios”.</w:t>
      </w:r>
    </w:p>
  </w:footnote>
  <w:footnote w:id="5">
    <w:p w14:paraId="0583871D" w14:textId="77777777" w:rsidR="00650AC5" w:rsidRPr="006365F1" w:rsidRDefault="00650AC5" w:rsidP="00650AC5">
      <w:pPr>
        <w:spacing w:after="0" w:line="240" w:lineRule="auto"/>
        <w:ind w:firstLine="707"/>
        <w:contextualSpacing/>
        <w:jc w:val="both"/>
        <w:rPr>
          <w:rFonts w:ascii="Verdana" w:hAnsi="Verdana" w:cs="Arial"/>
          <w:sz w:val="14"/>
          <w:szCs w:val="14"/>
        </w:rPr>
      </w:pPr>
      <w:r w:rsidRPr="006365F1">
        <w:rPr>
          <w:rStyle w:val="Refdenotaalpie"/>
          <w:rFonts w:ascii="Verdana" w:hAnsi="Verdana" w:cs="Arial"/>
          <w:sz w:val="14"/>
          <w:szCs w:val="14"/>
        </w:rPr>
        <w:footnoteRef/>
      </w:r>
      <w:r w:rsidRPr="006365F1">
        <w:rPr>
          <w:rFonts w:ascii="Verdana" w:hAnsi="Verdana" w:cs="Arial"/>
          <w:sz w:val="14"/>
          <w:szCs w:val="14"/>
        </w:rPr>
        <w:t xml:space="preserve"> Mediante la cual se señalan las normas, objetivos y criterios que debe observar el Gobierno Nacional para la fijación del régimen salarial y prestacional de los empleados públicos, de los miembros del Congreso Nacional y de la Fuerza Pública y para la fijación de las prestaciones sociales de los Trabajadores Oficiales y se dictan otras disposiciones, de conformidad con lo establecido en el artículo </w:t>
      </w:r>
      <w:hyperlink r:id="rId1" w:anchor="150">
        <w:r w:rsidRPr="006365F1">
          <w:rPr>
            <w:rFonts w:ascii="Verdana" w:hAnsi="Verdana" w:cs="Arial"/>
            <w:sz w:val="14"/>
            <w:szCs w:val="14"/>
          </w:rPr>
          <w:t>150,</w:t>
        </w:r>
      </w:hyperlink>
      <w:r w:rsidRPr="006365F1">
        <w:rPr>
          <w:rFonts w:ascii="Verdana" w:hAnsi="Verdana" w:cs="Arial"/>
          <w:sz w:val="14"/>
          <w:szCs w:val="14"/>
        </w:rPr>
        <w:t xml:space="preserve"> numeral 19, literales e) y f) de la Constitución</w:t>
      </w:r>
      <w:r w:rsidRPr="006365F1">
        <w:rPr>
          <w:rFonts w:ascii="Verdana" w:hAnsi="Verdana" w:cs="Arial"/>
          <w:spacing w:val="-5"/>
          <w:sz w:val="14"/>
          <w:szCs w:val="14"/>
        </w:rPr>
        <w:t xml:space="preserve"> </w:t>
      </w:r>
      <w:r w:rsidRPr="006365F1">
        <w:rPr>
          <w:rFonts w:ascii="Verdana" w:hAnsi="Verdana" w:cs="Arial"/>
          <w:sz w:val="14"/>
          <w:szCs w:val="14"/>
        </w:rPr>
        <w:t>Política.</w:t>
      </w:r>
    </w:p>
    <w:p w14:paraId="21E30508" w14:textId="77777777" w:rsidR="00650AC5" w:rsidRPr="00C75E9B" w:rsidRDefault="00650AC5" w:rsidP="00650AC5">
      <w:pPr>
        <w:pStyle w:val="Textonotapie"/>
        <w:contextualSpacing/>
        <w:jc w:val="both"/>
        <w:rPr>
          <w:rFonts w:ascii="Verdana" w:hAnsi="Verdana" w:cs="Arial"/>
          <w:sz w:val="14"/>
          <w:szCs w:val="14"/>
          <w:lang w:val="es-CO"/>
        </w:rPr>
      </w:pPr>
    </w:p>
  </w:footnote>
  <w:footnote w:id="6">
    <w:p w14:paraId="347A2546" w14:textId="01361226" w:rsidR="00017B46" w:rsidRDefault="00017B46">
      <w:pPr>
        <w:pStyle w:val="Textonotapie"/>
      </w:pPr>
      <w:r>
        <w:rPr>
          <w:rStyle w:val="Refdenotaalpie"/>
        </w:rPr>
        <w:footnoteRef/>
      </w:r>
      <w:r>
        <w:t xml:space="preserve"> </w:t>
      </w:r>
      <w:r w:rsidRPr="006365F1">
        <w:rPr>
          <w:rFonts w:ascii="Verdana" w:hAnsi="Verdana" w:cs="Arial"/>
          <w:color w:val="000000"/>
          <w:sz w:val="14"/>
          <w:szCs w:val="14"/>
        </w:rPr>
        <w:t>Consejo de Estado. Sala de Consulta y de Servicio Civil. Concepto del 23 de marzo de 2011. Rad. 2.045. C.P</w:t>
      </w:r>
      <w:r>
        <w:rPr>
          <w:rFonts w:ascii="Verdana" w:hAnsi="Verdana" w:cs="Arial"/>
          <w:color w:val="000000"/>
          <w:sz w:val="14"/>
          <w:szCs w:val="14"/>
        </w:rPr>
        <w:t>:</w:t>
      </w:r>
      <w:r w:rsidRPr="006365F1">
        <w:rPr>
          <w:rFonts w:ascii="Verdana" w:hAnsi="Verdana" w:cs="Arial"/>
          <w:color w:val="000000"/>
          <w:sz w:val="14"/>
          <w:szCs w:val="14"/>
        </w:rPr>
        <w:t xml:space="preserve"> Enrique José Arboleda Perdomo.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7590"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1B781E"/>
    <w:multiLevelType w:val="hybridMultilevel"/>
    <w:tmpl w:val="6DCCB7D2"/>
    <w:lvl w:ilvl="0" w:tplc="62B67DCC">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6395644"/>
    <w:multiLevelType w:val="hybridMultilevel"/>
    <w:tmpl w:val="AD86925A"/>
    <w:lvl w:ilvl="0" w:tplc="FB72FCB0">
      <w:start w:val="1"/>
      <w:numFmt w:val="lowerRoman"/>
      <w:lvlText w:val="%1."/>
      <w:lvlJc w:val="left"/>
      <w:pPr>
        <w:ind w:left="1429" w:hanging="72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4"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15:restartNumberingAfterBreak="0">
    <w:nsid w:val="095F4281"/>
    <w:multiLevelType w:val="hybridMultilevel"/>
    <w:tmpl w:val="CCF8BE0A"/>
    <w:lvl w:ilvl="0" w:tplc="26BC6B42">
      <w:start w:val="1"/>
      <w:numFmt w:val="lowerLetter"/>
      <w:lvlText w:val="%1)"/>
      <w:lvlJc w:val="left"/>
      <w:pPr>
        <w:ind w:left="1069" w:hanging="360"/>
      </w:pPr>
      <w:rPr>
        <w:rFonts w:hint="default"/>
        <w:i/>
        <w:iCs/>
        <w:sz w:val="18"/>
        <w:szCs w:val="18"/>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6" w15:restartNumberingAfterBreak="0">
    <w:nsid w:val="0E3A713D"/>
    <w:multiLevelType w:val="hybridMultilevel"/>
    <w:tmpl w:val="25522004"/>
    <w:lvl w:ilvl="0" w:tplc="CF48BA1A">
      <w:numFmt w:val="bullet"/>
      <w:lvlText w:val="-"/>
      <w:lvlJc w:val="left"/>
      <w:pPr>
        <w:ind w:left="1069" w:hanging="360"/>
      </w:pPr>
      <w:rPr>
        <w:rFonts w:ascii="Verdana" w:eastAsia="Calibri" w:hAnsi="Verdana" w:cs="Arial" w:hint="default"/>
      </w:rPr>
    </w:lvl>
    <w:lvl w:ilvl="1" w:tplc="240A0003" w:tentative="1">
      <w:start w:val="1"/>
      <w:numFmt w:val="bullet"/>
      <w:lvlText w:val="o"/>
      <w:lvlJc w:val="left"/>
      <w:pPr>
        <w:ind w:left="1789" w:hanging="360"/>
      </w:pPr>
      <w:rPr>
        <w:rFonts w:ascii="Courier New" w:hAnsi="Courier New" w:cs="Courier New" w:hint="default"/>
      </w:rPr>
    </w:lvl>
    <w:lvl w:ilvl="2" w:tplc="240A0005" w:tentative="1">
      <w:start w:val="1"/>
      <w:numFmt w:val="bullet"/>
      <w:lvlText w:val=""/>
      <w:lvlJc w:val="left"/>
      <w:pPr>
        <w:ind w:left="2509" w:hanging="360"/>
      </w:pPr>
      <w:rPr>
        <w:rFonts w:ascii="Wingdings" w:hAnsi="Wingdings" w:hint="default"/>
      </w:rPr>
    </w:lvl>
    <w:lvl w:ilvl="3" w:tplc="240A0001" w:tentative="1">
      <w:start w:val="1"/>
      <w:numFmt w:val="bullet"/>
      <w:lvlText w:val=""/>
      <w:lvlJc w:val="left"/>
      <w:pPr>
        <w:ind w:left="3229" w:hanging="360"/>
      </w:pPr>
      <w:rPr>
        <w:rFonts w:ascii="Symbol" w:hAnsi="Symbol" w:hint="default"/>
      </w:rPr>
    </w:lvl>
    <w:lvl w:ilvl="4" w:tplc="240A0003" w:tentative="1">
      <w:start w:val="1"/>
      <w:numFmt w:val="bullet"/>
      <w:lvlText w:val="o"/>
      <w:lvlJc w:val="left"/>
      <w:pPr>
        <w:ind w:left="3949" w:hanging="360"/>
      </w:pPr>
      <w:rPr>
        <w:rFonts w:ascii="Courier New" w:hAnsi="Courier New" w:cs="Courier New" w:hint="default"/>
      </w:rPr>
    </w:lvl>
    <w:lvl w:ilvl="5" w:tplc="240A0005" w:tentative="1">
      <w:start w:val="1"/>
      <w:numFmt w:val="bullet"/>
      <w:lvlText w:val=""/>
      <w:lvlJc w:val="left"/>
      <w:pPr>
        <w:ind w:left="4669" w:hanging="360"/>
      </w:pPr>
      <w:rPr>
        <w:rFonts w:ascii="Wingdings" w:hAnsi="Wingdings" w:hint="default"/>
      </w:rPr>
    </w:lvl>
    <w:lvl w:ilvl="6" w:tplc="240A0001" w:tentative="1">
      <w:start w:val="1"/>
      <w:numFmt w:val="bullet"/>
      <w:lvlText w:val=""/>
      <w:lvlJc w:val="left"/>
      <w:pPr>
        <w:ind w:left="5389" w:hanging="360"/>
      </w:pPr>
      <w:rPr>
        <w:rFonts w:ascii="Symbol" w:hAnsi="Symbol" w:hint="default"/>
      </w:rPr>
    </w:lvl>
    <w:lvl w:ilvl="7" w:tplc="240A0003" w:tentative="1">
      <w:start w:val="1"/>
      <w:numFmt w:val="bullet"/>
      <w:lvlText w:val="o"/>
      <w:lvlJc w:val="left"/>
      <w:pPr>
        <w:ind w:left="6109" w:hanging="360"/>
      </w:pPr>
      <w:rPr>
        <w:rFonts w:ascii="Courier New" w:hAnsi="Courier New" w:cs="Courier New" w:hint="default"/>
      </w:rPr>
    </w:lvl>
    <w:lvl w:ilvl="8" w:tplc="240A0005" w:tentative="1">
      <w:start w:val="1"/>
      <w:numFmt w:val="bullet"/>
      <w:lvlText w:val=""/>
      <w:lvlJc w:val="left"/>
      <w:pPr>
        <w:ind w:left="6829" w:hanging="360"/>
      </w:pPr>
      <w:rPr>
        <w:rFonts w:ascii="Wingdings" w:hAnsi="Wingdings" w:hint="default"/>
      </w:rPr>
    </w:lvl>
  </w:abstractNum>
  <w:abstractNum w:abstractNumId="7" w15:restartNumberingAfterBreak="0">
    <w:nsid w:val="1CA3503D"/>
    <w:multiLevelType w:val="hybridMultilevel"/>
    <w:tmpl w:val="B8C87EB2"/>
    <w:lvl w:ilvl="0" w:tplc="8DD0EDD6">
      <w:start w:val="1"/>
      <w:numFmt w:val="decimal"/>
      <w:lvlText w:val="%1-"/>
      <w:lvlJc w:val="left"/>
      <w:pPr>
        <w:ind w:left="1429" w:hanging="360"/>
      </w:pPr>
      <w:rPr>
        <w:rFonts w:hint="default"/>
      </w:rPr>
    </w:lvl>
    <w:lvl w:ilvl="1" w:tplc="240A0019" w:tentative="1">
      <w:start w:val="1"/>
      <w:numFmt w:val="lowerLetter"/>
      <w:lvlText w:val="%2."/>
      <w:lvlJc w:val="left"/>
      <w:pPr>
        <w:ind w:left="2149" w:hanging="360"/>
      </w:p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8" w15:restartNumberingAfterBreak="0">
    <w:nsid w:val="22EA1896"/>
    <w:multiLevelType w:val="multilevel"/>
    <w:tmpl w:val="F0209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63E407F"/>
    <w:multiLevelType w:val="hybridMultilevel"/>
    <w:tmpl w:val="3BD84504"/>
    <w:lvl w:ilvl="0" w:tplc="97F8AF00">
      <w:start w:val="1"/>
      <w:numFmt w:val="decimal"/>
      <w:lvlText w:val="%1."/>
      <w:lvlJc w:val="left"/>
      <w:pPr>
        <w:ind w:left="1429" w:hanging="360"/>
      </w:pPr>
      <w:rPr>
        <w:rFonts w:hint="default"/>
      </w:rPr>
    </w:lvl>
    <w:lvl w:ilvl="1" w:tplc="240A0019" w:tentative="1">
      <w:start w:val="1"/>
      <w:numFmt w:val="lowerLetter"/>
      <w:lvlText w:val="%2."/>
      <w:lvlJc w:val="left"/>
      <w:pPr>
        <w:ind w:left="2149" w:hanging="360"/>
      </w:p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11" w15:restartNumberingAfterBreak="0">
    <w:nsid w:val="2B273EF8"/>
    <w:multiLevelType w:val="multilevel"/>
    <w:tmpl w:val="CC50B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4F31B4"/>
    <w:multiLevelType w:val="hybridMultilevel"/>
    <w:tmpl w:val="5E6CCB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F7B3982"/>
    <w:multiLevelType w:val="multilevel"/>
    <w:tmpl w:val="C76C1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45A0C93"/>
    <w:multiLevelType w:val="multilevel"/>
    <w:tmpl w:val="21E6C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7401C1B"/>
    <w:multiLevelType w:val="hybridMultilevel"/>
    <w:tmpl w:val="E7B6B368"/>
    <w:lvl w:ilvl="0" w:tplc="D546897C">
      <w:start w:val="1"/>
      <w:numFmt w:val="lowerRoman"/>
      <w:lvlText w:val="%1."/>
      <w:lvlJc w:val="left"/>
      <w:pPr>
        <w:ind w:left="720" w:hanging="72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1" w15:restartNumberingAfterBreak="0">
    <w:nsid w:val="490511C0"/>
    <w:multiLevelType w:val="hybridMultilevel"/>
    <w:tmpl w:val="487E7AC6"/>
    <w:lvl w:ilvl="0" w:tplc="7E5AA202">
      <w:start w:val="1"/>
      <w:numFmt w:val="lowerLetter"/>
      <w:lvlText w:val="%1)"/>
      <w:lvlJc w:val="left"/>
      <w:pPr>
        <w:ind w:left="1008" w:hanging="330"/>
      </w:pPr>
      <w:rPr>
        <w:rFonts w:ascii="Arial" w:eastAsia="Arial" w:hAnsi="Arial" w:cs="Arial" w:hint="default"/>
        <w:color w:val="4E4D4D"/>
        <w:spacing w:val="-28"/>
        <w:w w:val="100"/>
        <w:sz w:val="21"/>
        <w:szCs w:val="21"/>
        <w:lang w:val="es-ES" w:eastAsia="en-US" w:bidi="ar-SA"/>
      </w:rPr>
    </w:lvl>
    <w:lvl w:ilvl="1" w:tplc="BFF6E084">
      <w:numFmt w:val="bullet"/>
      <w:lvlText w:val="•"/>
      <w:lvlJc w:val="left"/>
      <w:pPr>
        <w:ind w:left="1834" w:hanging="330"/>
      </w:pPr>
      <w:rPr>
        <w:rFonts w:hint="default"/>
        <w:lang w:val="es-ES" w:eastAsia="en-US" w:bidi="ar-SA"/>
      </w:rPr>
    </w:lvl>
    <w:lvl w:ilvl="2" w:tplc="E9E0C728">
      <w:numFmt w:val="bullet"/>
      <w:lvlText w:val="•"/>
      <w:lvlJc w:val="left"/>
      <w:pPr>
        <w:ind w:left="2668" w:hanging="330"/>
      </w:pPr>
      <w:rPr>
        <w:rFonts w:hint="default"/>
        <w:lang w:val="es-ES" w:eastAsia="en-US" w:bidi="ar-SA"/>
      </w:rPr>
    </w:lvl>
    <w:lvl w:ilvl="3" w:tplc="C75CB3C4">
      <w:numFmt w:val="bullet"/>
      <w:lvlText w:val="•"/>
      <w:lvlJc w:val="left"/>
      <w:pPr>
        <w:ind w:left="3502" w:hanging="330"/>
      </w:pPr>
      <w:rPr>
        <w:rFonts w:hint="default"/>
        <w:lang w:val="es-ES" w:eastAsia="en-US" w:bidi="ar-SA"/>
      </w:rPr>
    </w:lvl>
    <w:lvl w:ilvl="4" w:tplc="065A04CE">
      <w:numFmt w:val="bullet"/>
      <w:lvlText w:val="•"/>
      <w:lvlJc w:val="left"/>
      <w:pPr>
        <w:ind w:left="4336" w:hanging="330"/>
      </w:pPr>
      <w:rPr>
        <w:rFonts w:hint="default"/>
        <w:lang w:val="es-ES" w:eastAsia="en-US" w:bidi="ar-SA"/>
      </w:rPr>
    </w:lvl>
    <w:lvl w:ilvl="5" w:tplc="A70A964C">
      <w:numFmt w:val="bullet"/>
      <w:lvlText w:val="•"/>
      <w:lvlJc w:val="left"/>
      <w:pPr>
        <w:ind w:left="5170" w:hanging="330"/>
      </w:pPr>
      <w:rPr>
        <w:rFonts w:hint="default"/>
        <w:lang w:val="es-ES" w:eastAsia="en-US" w:bidi="ar-SA"/>
      </w:rPr>
    </w:lvl>
    <w:lvl w:ilvl="6" w:tplc="76AAE404">
      <w:numFmt w:val="bullet"/>
      <w:lvlText w:val="•"/>
      <w:lvlJc w:val="left"/>
      <w:pPr>
        <w:ind w:left="6004" w:hanging="330"/>
      </w:pPr>
      <w:rPr>
        <w:rFonts w:hint="default"/>
        <w:lang w:val="es-ES" w:eastAsia="en-US" w:bidi="ar-SA"/>
      </w:rPr>
    </w:lvl>
    <w:lvl w:ilvl="7" w:tplc="1AAA4116">
      <w:numFmt w:val="bullet"/>
      <w:lvlText w:val="•"/>
      <w:lvlJc w:val="left"/>
      <w:pPr>
        <w:ind w:left="6838" w:hanging="330"/>
      </w:pPr>
      <w:rPr>
        <w:rFonts w:hint="default"/>
        <w:lang w:val="es-ES" w:eastAsia="en-US" w:bidi="ar-SA"/>
      </w:rPr>
    </w:lvl>
    <w:lvl w:ilvl="8" w:tplc="597439B4">
      <w:numFmt w:val="bullet"/>
      <w:lvlText w:val="•"/>
      <w:lvlJc w:val="left"/>
      <w:pPr>
        <w:ind w:left="7672" w:hanging="330"/>
      </w:pPr>
      <w:rPr>
        <w:rFonts w:hint="default"/>
        <w:lang w:val="es-ES" w:eastAsia="en-US" w:bidi="ar-SA"/>
      </w:rPr>
    </w:lvl>
  </w:abstractNum>
  <w:abstractNum w:abstractNumId="22" w15:restartNumberingAfterBreak="0">
    <w:nsid w:val="4C493EA9"/>
    <w:multiLevelType w:val="hybridMultilevel"/>
    <w:tmpl w:val="A55A14FA"/>
    <w:lvl w:ilvl="0" w:tplc="B6E88592">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23" w15:restartNumberingAfterBreak="0">
    <w:nsid w:val="52A36B3F"/>
    <w:multiLevelType w:val="hybridMultilevel"/>
    <w:tmpl w:val="7BE6BF8A"/>
    <w:lvl w:ilvl="0" w:tplc="AFE0C0FA">
      <w:start w:val="1"/>
      <w:numFmt w:val="lowerRoman"/>
      <w:lvlText w:val="%1."/>
      <w:lvlJc w:val="left"/>
      <w:pPr>
        <w:ind w:left="1429" w:hanging="720"/>
      </w:pPr>
      <w:rPr>
        <w:rFonts w:hint="default"/>
        <w:b/>
        <w:bCs w:val="0"/>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24" w15:restartNumberingAfterBreak="0">
    <w:nsid w:val="562F1C37"/>
    <w:multiLevelType w:val="hybridMultilevel"/>
    <w:tmpl w:val="21F624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1071440"/>
    <w:multiLevelType w:val="hybridMultilevel"/>
    <w:tmpl w:val="23E8CFD2"/>
    <w:lvl w:ilvl="0" w:tplc="1C08DDA2">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26"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27"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26D1F44"/>
    <w:multiLevelType w:val="hybridMultilevel"/>
    <w:tmpl w:val="38ACA4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730C755D"/>
    <w:multiLevelType w:val="hybridMultilevel"/>
    <w:tmpl w:val="12B0297C"/>
    <w:lvl w:ilvl="0" w:tplc="E68C2B30">
      <w:start w:val="1"/>
      <w:numFmt w:val="lowerLetter"/>
      <w:lvlText w:val="%1."/>
      <w:lvlJc w:val="left"/>
      <w:pPr>
        <w:ind w:left="720" w:hanging="360"/>
      </w:pPr>
      <w:rPr>
        <w:rFonts w:ascii="Verdana" w:eastAsiaTheme="minorEastAsia" w:hAnsi="Verdana"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79630B40"/>
    <w:multiLevelType w:val="hybridMultilevel"/>
    <w:tmpl w:val="376459FA"/>
    <w:lvl w:ilvl="0" w:tplc="9536ACF8">
      <w:numFmt w:val="bullet"/>
      <w:lvlText w:val="-"/>
      <w:lvlJc w:val="left"/>
      <w:pPr>
        <w:ind w:left="1429" w:hanging="360"/>
      </w:pPr>
      <w:rPr>
        <w:rFonts w:ascii="Verdana" w:eastAsia="Calibri" w:hAnsi="Verdana" w:cs="Aria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num w:numId="1" w16cid:durableId="948779781">
    <w:abstractNumId w:val="16"/>
  </w:num>
  <w:num w:numId="2" w16cid:durableId="19822139">
    <w:abstractNumId w:val="4"/>
  </w:num>
  <w:num w:numId="3" w16cid:durableId="876742304">
    <w:abstractNumId w:val="14"/>
  </w:num>
  <w:num w:numId="4" w16cid:durableId="24518640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4"/>
  </w:num>
  <w:num w:numId="6" w16cid:durableId="316692925">
    <w:abstractNumId w:val="29"/>
  </w:num>
  <w:num w:numId="7" w16cid:durableId="1946422806">
    <w:abstractNumId w:val="15"/>
  </w:num>
  <w:num w:numId="8" w16cid:durableId="152644682">
    <w:abstractNumId w:val="28"/>
  </w:num>
  <w:num w:numId="9" w16cid:durableId="1317221377">
    <w:abstractNumId w:val="18"/>
  </w:num>
  <w:num w:numId="10" w16cid:durableId="1471245386">
    <w:abstractNumId w:val="27"/>
  </w:num>
  <w:num w:numId="11" w16cid:durableId="289172385">
    <w:abstractNumId w:val="19"/>
  </w:num>
  <w:num w:numId="12" w16cid:durableId="1470781324">
    <w:abstractNumId w:val="1"/>
  </w:num>
  <w:num w:numId="13" w16cid:durableId="1512908409">
    <w:abstractNumId w:val="9"/>
  </w:num>
  <w:num w:numId="14" w16cid:durableId="895897244">
    <w:abstractNumId w:val="30"/>
  </w:num>
  <w:num w:numId="15" w16cid:durableId="390349800">
    <w:abstractNumId w:val="26"/>
  </w:num>
  <w:num w:numId="16" w16cid:durableId="1227110730">
    <w:abstractNumId w:val="0"/>
  </w:num>
  <w:num w:numId="17" w16cid:durableId="2068841316">
    <w:abstractNumId w:val="5"/>
  </w:num>
  <w:num w:numId="18" w16cid:durableId="1144280152">
    <w:abstractNumId w:val="31"/>
  </w:num>
  <w:num w:numId="19" w16cid:durableId="1602300139">
    <w:abstractNumId w:val="6"/>
  </w:num>
  <w:num w:numId="20" w16cid:durableId="1397629488">
    <w:abstractNumId w:val="24"/>
  </w:num>
  <w:num w:numId="21" w16cid:durableId="861283267">
    <w:abstractNumId w:val="12"/>
  </w:num>
  <w:num w:numId="22" w16cid:durableId="1235579301">
    <w:abstractNumId w:val="11"/>
  </w:num>
  <w:num w:numId="23" w16cid:durableId="545802288">
    <w:abstractNumId w:val="25"/>
  </w:num>
  <w:num w:numId="24" w16cid:durableId="784346637">
    <w:abstractNumId w:val="22"/>
  </w:num>
  <w:num w:numId="25" w16cid:durableId="54940666">
    <w:abstractNumId w:val="20"/>
  </w:num>
  <w:num w:numId="26" w16cid:durableId="828255882">
    <w:abstractNumId w:val="13"/>
  </w:num>
  <w:num w:numId="27" w16cid:durableId="838082249">
    <w:abstractNumId w:val="7"/>
  </w:num>
  <w:num w:numId="28" w16cid:durableId="713697127">
    <w:abstractNumId w:val="10"/>
  </w:num>
  <w:num w:numId="29" w16cid:durableId="2010978719">
    <w:abstractNumId w:val="23"/>
  </w:num>
  <w:num w:numId="30" w16cid:durableId="1070083242">
    <w:abstractNumId w:val="2"/>
  </w:num>
  <w:num w:numId="31" w16cid:durableId="1869291622">
    <w:abstractNumId w:val="8"/>
  </w:num>
  <w:num w:numId="32" w16cid:durableId="539585464">
    <w:abstractNumId w:val="33"/>
  </w:num>
  <w:num w:numId="33" w16cid:durableId="1648050763">
    <w:abstractNumId w:val="17"/>
  </w:num>
  <w:num w:numId="34" w16cid:durableId="341902732">
    <w:abstractNumId w:val="32"/>
  </w:num>
  <w:num w:numId="35" w16cid:durableId="1516728247">
    <w:abstractNumId w:val="3"/>
  </w:num>
  <w:num w:numId="36" w16cid:durableId="196230048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1320"/>
    <w:rsid w:val="00003541"/>
    <w:rsid w:val="00006513"/>
    <w:rsid w:val="0001041A"/>
    <w:rsid w:val="00011CDF"/>
    <w:rsid w:val="00012F97"/>
    <w:rsid w:val="00015BF9"/>
    <w:rsid w:val="00016F78"/>
    <w:rsid w:val="00017468"/>
    <w:rsid w:val="0001755B"/>
    <w:rsid w:val="00017B46"/>
    <w:rsid w:val="000208DF"/>
    <w:rsid w:val="00021918"/>
    <w:rsid w:val="00024220"/>
    <w:rsid w:val="000271E3"/>
    <w:rsid w:val="0002754A"/>
    <w:rsid w:val="00027585"/>
    <w:rsid w:val="00027F95"/>
    <w:rsid w:val="00031484"/>
    <w:rsid w:val="00034FE9"/>
    <w:rsid w:val="000355EC"/>
    <w:rsid w:val="00043D21"/>
    <w:rsid w:val="0004498F"/>
    <w:rsid w:val="00044F37"/>
    <w:rsid w:val="00045A4D"/>
    <w:rsid w:val="00045EDD"/>
    <w:rsid w:val="00045F51"/>
    <w:rsid w:val="00046945"/>
    <w:rsid w:val="00050D7F"/>
    <w:rsid w:val="000516C9"/>
    <w:rsid w:val="00053345"/>
    <w:rsid w:val="00054748"/>
    <w:rsid w:val="000551B1"/>
    <w:rsid w:val="000559A6"/>
    <w:rsid w:val="000612FD"/>
    <w:rsid w:val="00061B2A"/>
    <w:rsid w:val="00061F0A"/>
    <w:rsid w:val="00063B8B"/>
    <w:rsid w:val="000642C7"/>
    <w:rsid w:val="00064366"/>
    <w:rsid w:val="00065BE6"/>
    <w:rsid w:val="000661E9"/>
    <w:rsid w:val="0006633D"/>
    <w:rsid w:val="00066A56"/>
    <w:rsid w:val="000675E2"/>
    <w:rsid w:val="0006788D"/>
    <w:rsid w:val="00070CE4"/>
    <w:rsid w:val="00071AD1"/>
    <w:rsid w:val="00081F35"/>
    <w:rsid w:val="00082362"/>
    <w:rsid w:val="00082625"/>
    <w:rsid w:val="00083164"/>
    <w:rsid w:val="00085500"/>
    <w:rsid w:val="00085661"/>
    <w:rsid w:val="00086CF8"/>
    <w:rsid w:val="000905F3"/>
    <w:rsid w:val="0009582C"/>
    <w:rsid w:val="00096A00"/>
    <w:rsid w:val="000A0B60"/>
    <w:rsid w:val="000A683E"/>
    <w:rsid w:val="000B1665"/>
    <w:rsid w:val="000B19B9"/>
    <w:rsid w:val="000B4761"/>
    <w:rsid w:val="000C28FF"/>
    <w:rsid w:val="000C6236"/>
    <w:rsid w:val="000D0334"/>
    <w:rsid w:val="000D5DA7"/>
    <w:rsid w:val="000E036B"/>
    <w:rsid w:val="000E06D3"/>
    <w:rsid w:val="000E0836"/>
    <w:rsid w:val="000F3573"/>
    <w:rsid w:val="000F6486"/>
    <w:rsid w:val="000F77CB"/>
    <w:rsid w:val="0010054E"/>
    <w:rsid w:val="0010084B"/>
    <w:rsid w:val="00100A83"/>
    <w:rsid w:val="00100D82"/>
    <w:rsid w:val="00101496"/>
    <w:rsid w:val="00102C27"/>
    <w:rsid w:val="0010594F"/>
    <w:rsid w:val="00110B91"/>
    <w:rsid w:val="00114EDD"/>
    <w:rsid w:val="001160B5"/>
    <w:rsid w:val="00116491"/>
    <w:rsid w:val="00116940"/>
    <w:rsid w:val="00116E26"/>
    <w:rsid w:val="00122859"/>
    <w:rsid w:val="00122AE8"/>
    <w:rsid w:val="00122C77"/>
    <w:rsid w:val="001235F9"/>
    <w:rsid w:val="0012459F"/>
    <w:rsid w:val="00125105"/>
    <w:rsid w:val="001268C0"/>
    <w:rsid w:val="00127233"/>
    <w:rsid w:val="001279A7"/>
    <w:rsid w:val="00130BB8"/>
    <w:rsid w:val="00131B48"/>
    <w:rsid w:val="00132271"/>
    <w:rsid w:val="00132EC2"/>
    <w:rsid w:val="00136760"/>
    <w:rsid w:val="001425B2"/>
    <w:rsid w:val="00144EB9"/>
    <w:rsid w:val="00144F0A"/>
    <w:rsid w:val="001508C2"/>
    <w:rsid w:val="0015091A"/>
    <w:rsid w:val="00153AA8"/>
    <w:rsid w:val="00155C47"/>
    <w:rsid w:val="0015699B"/>
    <w:rsid w:val="00161259"/>
    <w:rsid w:val="0016152E"/>
    <w:rsid w:val="00163847"/>
    <w:rsid w:val="00163859"/>
    <w:rsid w:val="00164BED"/>
    <w:rsid w:val="00165403"/>
    <w:rsid w:val="00166D3E"/>
    <w:rsid w:val="00175917"/>
    <w:rsid w:val="0017657C"/>
    <w:rsid w:val="00180C54"/>
    <w:rsid w:val="0018173F"/>
    <w:rsid w:val="00185005"/>
    <w:rsid w:val="00185D58"/>
    <w:rsid w:val="001921BC"/>
    <w:rsid w:val="00192F16"/>
    <w:rsid w:val="00193637"/>
    <w:rsid w:val="00194792"/>
    <w:rsid w:val="00195DF6"/>
    <w:rsid w:val="00197C83"/>
    <w:rsid w:val="001A05CA"/>
    <w:rsid w:val="001A1C4B"/>
    <w:rsid w:val="001A33BF"/>
    <w:rsid w:val="001A3B14"/>
    <w:rsid w:val="001A4606"/>
    <w:rsid w:val="001A4678"/>
    <w:rsid w:val="001A5DBD"/>
    <w:rsid w:val="001B6F2E"/>
    <w:rsid w:val="001B797F"/>
    <w:rsid w:val="001B7BFE"/>
    <w:rsid w:val="001C0D62"/>
    <w:rsid w:val="001C1E35"/>
    <w:rsid w:val="001C2183"/>
    <w:rsid w:val="001C4E7B"/>
    <w:rsid w:val="001D0189"/>
    <w:rsid w:val="001D113F"/>
    <w:rsid w:val="001D2F32"/>
    <w:rsid w:val="001D5365"/>
    <w:rsid w:val="001D5D34"/>
    <w:rsid w:val="001D638B"/>
    <w:rsid w:val="001D6AE3"/>
    <w:rsid w:val="001E0D84"/>
    <w:rsid w:val="001E136F"/>
    <w:rsid w:val="001E17F3"/>
    <w:rsid w:val="001E2A7A"/>
    <w:rsid w:val="001E4177"/>
    <w:rsid w:val="001E5022"/>
    <w:rsid w:val="001E6873"/>
    <w:rsid w:val="001F0B24"/>
    <w:rsid w:val="001F7DC6"/>
    <w:rsid w:val="0020050D"/>
    <w:rsid w:val="00210192"/>
    <w:rsid w:val="00210F23"/>
    <w:rsid w:val="00211AE1"/>
    <w:rsid w:val="002137F4"/>
    <w:rsid w:val="00213EDE"/>
    <w:rsid w:val="002144E5"/>
    <w:rsid w:val="002178B4"/>
    <w:rsid w:val="002222AC"/>
    <w:rsid w:val="0022400B"/>
    <w:rsid w:val="0022405D"/>
    <w:rsid w:val="0023261B"/>
    <w:rsid w:val="00233874"/>
    <w:rsid w:val="00233CB5"/>
    <w:rsid w:val="00236CD9"/>
    <w:rsid w:val="00241F9B"/>
    <w:rsid w:val="002421BB"/>
    <w:rsid w:val="00242295"/>
    <w:rsid w:val="002422E4"/>
    <w:rsid w:val="00243DE9"/>
    <w:rsid w:val="002518AD"/>
    <w:rsid w:val="00252165"/>
    <w:rsid w:val="00254843"/>
    <w:rsid w:val="002576DC"/>
    <w:rsid w:val="0025796E"/>
    <w:rsid w:val="00263AC8"/>
    <w:rsid w:val="00266371"/>
    <w:rsid w:val="00267882"/>
    <w:rsid w:val="002707A2"/>
    <w:rsid w:val="00270C1A"/>
    <w:rsid w:val="00274519"/>
    <w:rsid w:val="00275543"/>
    <w:rsid w:val="00275975"/>
    <w:rsid w:val="00282002"/>
    <w:rsid w:val="00282862"/>
    <w:rsid w:val="00282D17"/>
    <w:rsid w:val="0028468B"/>
    <w:rsid w:val="002851EA"/>
    <w:rsid w:val="00286ABC"/>
    <w:rsid w:val="002873C7"/>
    <w:rsid w:val="002951A0"/>
    <w:rsid w:val="002962BC"/>
    <w:rsid w:val="00296783"/>
    <w:rsid w:val="00296E70"/>
    <w:rsid w:val="002A093D"/>
    <w:rsid w:val="002A0DD0"/>
    <w:rsid w:val="002A1B48"/>
    <w:rsid w:val="002A49AC"/>
    <w:rsid w:val="002A6158"/>
    <w:rsid w:val="002A64FD"/>
    <w:rsid w:val="002A6552"/>
    <w:rsid w:val="002A7D0D"/>
    <w:rsid w:val="002B1D63"/>
    <w:rsid w:val="002B2D20"/>
    <w:rsid w:val="002B4237"/>
    <w:rsid w:val="002B4500"/>
    <w:rsid w:val="002B5B71"/>
    <w:rsid w:val="002B6AB0"/>
    <w:rsid w:val="002B7BBB"/>
    <w:rsid w:val="002B7ECD"/>
    <w:rsid w:val="002C1D40"/>
    <w:rsid w:val="002C2DF2"/>
    <w:rsid w:val="002C376B"/>
    <w:rsid w:val="002C3C40"/>
    <w:rsid w:val="002C4290"/>
    <w:rsid w:val="002C7A84"/>
    <w:rsid w:val="002D321C"/>
    <w:rsid w:val="002D3B15"/>
    <w:rsid w:val="002D5608"/>
    <w:rsid w:val="002E2BF8"/>
    <w:rsid w:val="002E37B2"/>
    <w:rsid w:val="002E380C"/>
    <w:rsid w:val="002E38C5"/>
    <w:rsid w:val="002E4FD9"/>
    <w:rsid w:val="002E58E6"/>
    <w:rsid w:val="002F4067"/>
    <w:rsid w:val="00301B67"/>
    <w:rsid w:val="00301B8A"/>
    <w:rsid w:val="003049E8"/>
    <w:rsid w:val="0030657A"/>
    <w:rsid w:val="00310057"/>
    <w:rsid w:val="00312FB8"/>
    <w:rsid w:val="00313696"/>
    <w:rsid w:val="003144F7"/>
    <w:rsid w:val="003148E3"/>
    <w:rsid w:val="00315308"/>
    <w:rsid w:val="003201DF"/>
    <w:rsid w:val="00321155"/>
    <w:rsid w:val="00321D63"/>
    <w:rsid w:val="0032243C"/>
    <w:rsid w:val="003224F9"/>
    <w:rsid w:val="00322A85"/>
    <w:rsid w:val="00324168"/>
    <w:rsid w:val="00325AE0"/>
    <w:rsid w:val="00327136"/>
    <w:rsid w:val="00330834"/>
    <w:rsid w:val="00331CC4"/>
    <w:rsid w:val="00332110"/>
    <w:rsid w:val="00336EBA"/>
    <w:rsid w:val="00340F52"/>
    <w:rsid w:val="00342BE5"/>
    <w:rsid w:val="003448F4"/>
    <w:rsid w:val="00344D47"/>
    <w:rsid w:val="00345B76"/>
    <w:rsid w:val="003474E8"/>
    <w:rsid w:val="003568BE"/>
    <w:rsid w:val="00361D7C"/>
    <w:rsid w:val="003652FF"/>
    <w:rsid w:val="003657DA"/>
    <w:rsid w:val="00365947"/>
    <w:rsid w:val="0036640A"/>
    <w:rsid w:val="00371B8B"/>
    <w:rsid w:val="00373C2A"/>
    <w:rsid w:val="00373DB2"/>
    <w:rsid w:val="00374F5E"/>
    <w:rsid w:val="0037516C"/>
    <w:rsid w:val="00377E3E"/>
    <w:rsid w:val="00380880"/>
    <w:rsid w:val="00381124"/>
    <w:rsid w:val="00381802"/>
    <w:rsid w:val="00383059"/>
    <w:rsid w:val="00387E62"/>
    <w:rsid w:val="0039200C"/>
    <w:rsid w:val="00394038"/>
    <w:rsid w:val="00395D79"/>
    <w:rsid w:val="0039743D"/>
    <w:rsid w:val="003A27B6"/>
    <w:rsid w:val="003A6587"/>
    <w:rsid w:val="003A779E"/>
    <w:rsid w:val="003B0C59"/>
    <w:rsid w:val="003B41BC"/>
    <w:rsid w:val="003B5ABB"/>
    <w:rsid w:val="003B68D9"/>
    <w:rsid w:val="003B76B6"/>
    <w:rsid w:val="003C1DE4"/>
    <w:rsid w:val="003C20F3"/>
    <w:rsid w:val="003C2ECA"/>
    <w:rsid w:val="003C3853"/>
    <w:rsid w:val="003D0F4D"/>
    <w:rsid w:val="003D14FF"/>
    <w:rsid w:val="003D1F47"/>
    <w:rsid w:val="003D2711"/>
    <w:rsid w:val="003D32EF"/>
    <w:rsid w:val="003D5025"/>
    <w:rsid w:val="003D5B0D"/>
    <w:rsid w:val="003E0499"/>
    <w:rsid w:val="003E17D1"/>
    <w:rsid w:val="003E187F"/>
    <w:rsid w:val="003E4F80"/>
    <w:rsid w:val="003E5686"/>
    <w:rsid w:val="003E641E"/>
    <w:rsid w:val="003E6439"/>
    <w:rsid w:val="003E76AD"/>
    <w:rsid w:val="003E7CF4"/>
    <w:rsid w:val="003F1839"/>
    <w:rsid w:val="003F1BCC"/>
    <w:rsid w:val="003F236B"/>
    <w:rsid w:val="003F3941"/>
    <w:rsid w:val="003F39A2"/>
    <w:rsid w:val="003F47D7"/>
    <w:rsid w:val="003F7101"/>
    <w:rsid w:val="00401A84"/>
    <w:rsid w:val="00403964"/>
    <w:rsid w:val="00406424"/>
    <w:rsid w:val="00406575"/>
    <w:rsid w:val="00411024"/>
    <w:rsid w:val="00414C74"/>
    <w:rsid w:val="00416F20"/>
    <w:rsid w:val="00420C6E"/>
    <w:rsid w:val="00421A81"/>
    <w:rsid w:val="00424572"/>
    <w:rsid w:val="00424940"/>
    <w:rsid w:val="00425D4E"/>
    <w:rsid w:val="0042722E"/>
    <w:rsid w:val="00427DE5"/>
    <w:rsid w:val="004300DB"/>
    <w:rsid w:val="0043641A"/>
    <w:rsid w:val="004373B4"/>
    <w:rsid w:val="0044043F"/>
    <w:rsid w:val="004409D0"/>
    <w:rsid w:val="00441E4A"/>
    <w:rsid w:val="004443F7"/>
    <w:rsid w:val="00444E8A"/>
    <w:rsid w:val="0044528D"/>
    <w:rsid w:val="0044555D"/>
    <w:rsid w:val="00446437"/>
    <w:rsid w:val="004526B7"/>
    <w:rsid w:val="00452E00"/>
    <w:rsid w:val="00453025"/>
    <w:rsid w:val="00454DD3"/>
    <w:rsid w:val="0045544A"/>
    <w:rsid w:val="00456399"/>
    <w:rsid w:val="00457A70"/>
    <w:rsid w:val="00461976"/>
    <w:rsid w:val="00461A0A"/>
    <w:rsid w:val="00461DB7"/>
    <w:rsid w:val="004630E5"/>
    <w:rsid w:val="00466A1C"/>
    <w:rsid w:val="00466E39"/>
    <w:rsid w:val="0047194D"/>
    <w:rsid w:val="00471DAE"/>
    <w:rsid w:val="004761A4"/>
    <w:rsid w:val="00477A70"/>
    <w:rsid w:val="004819DB"/>
    <w:rsid w:val="00481C55"/>
    <w:rsid w:val="00482B87"/>
    <w:rsid w:val="00483C5B"/>
    <w:rsid w:val="00485994"/>
    <w:rsid w:val="00487DA9"/>
    <w:rsid w:val="00495476"/>
    <w:rsid w:val="004A1847"/>
    <w:rsid w:val="004A2494"/>
    <w:rsid w:val="004A305D"/>
    <w:rsid w:val="004A5E22"/>
    <w:rsid w:val="004B0070"/>
    <w:rsid w:val="004B0599"/>
    <w:rsid w:val="004B1794"/>
    <w:rsid w:val="004B3B71"/>
    <w:rsid w:val="004B4BBB"/>
    <w:rsid w:val="004B4F6B"/>
    <w:rsid w:val="004B5C4A"/>
    <w:rsid w:val="004B7CBF"/>
    <w:rsid w:val="004C1F3D"/>
    <w:rsid w:val="004C387A"/>
    <w:rsid w:val="004C4B36"/>
    <w:rsid w:val="004C52B7"/>
    <w:rsid w:val="004C5AC4"/>
    <w:rsid w:val="004D24AB"/>
    <w:rsid w:val="004D3D1B"/>
    <w:rsid w:val="004D4856"/>
    <w:rsid w:val="004D75BE"/>
    <w:rsid w:val="004E5211"/>
    <w:rsid w:val="004E61A2"/>
    <w:rsid w:val="004E68DE"/>
    <w:rsid w:val="004F0E7A"/>
    <w:rsid w:val="004F1C23"/>
    <w:rsid w:val="004F21C4"/>
    <w:rsid w:val="004F3D95"/>
    <w:rsid w:val="004F518D"/>
    <w:rsid w:val="004F5B20"/>
    <w:rsid w:val="004F6083"/>
    <w:rsid w:val="004F685F"/>
    <w:rsid w:val="0050261D"/>
    <w:rsid w:val="00503E8D"/>
    <w:rsid w:val="0051099C"/>
    <w:rsid w:val="005239B3"/>
    <w:rsid w:val="0052473B"/>
    <w:rsid w:val="00526744"/>
    <w:rsid w:val="00526B11"/>
    <w:rsid w:val="00527383"/>
    <w:rsid w:val="00527D60"/>
    <w:rsid w:val="005339DB"/>
    <w:rsid w:val="0054008D"/>
    <w:rsid w:val="00544E93"/>
    <w:rsid w:val="00545F5A"/>
    <w:rsid w:val="00547502"/>
    <w:rsid w:val="0055254C"/>
    <w:rsid w:val="00554615"/>
    <w:rsid w:val="005566E8"/>
    <w:rsid w:val="005567B6"/>
    <w:rsid w:val="0055795B"/>
    <w:rsid w:val="005603E4"/>
    <w:rsid w:val="00560755"/>
    <w:rsid w:val="00560ACD"/>
    <w:rsid w:val="0056224E"/>
    <w:rsid w:val="00564599"/>
    <w:rsid w:val="00570B99"/>
    <w:rsid w:val="00574867"/>
    <w:rsid w:val="00575C7B"/>
    <w:rsid w:val="00580776"/>
    <w:rsid w:val="00584894"/>
    <w:rsid w:val="00584910"/>
    <w:rsid w:val="005877F8"/>
    <w:rsid w:val="005901A9"/>
    <w:rsid w:val="00591460"/>
    <w:rsid w:val="00591BC4"/>
    <w:rsid w:val="00593A2E"/>
    <w:rsid w:val="00596185"/>
    <w:rsid w:val="005968E3"/>
    <w:rsid w:val="005979D9"/>
    <w:rsid w:val="005A02AB"/>
    <w:rsid w:val="005A12E0"/>
    <w:rsid w:val="005A2B76"/>
    <w:rsid w:val="005A65E0"/>
    <w:rsid w:val="005A7E77"/>
    <w:rsid w:val="005B0A81"/>
    <w:rsid w:val="005B2D44"/>
    <w:rsid w:val="005B4C54"/>
    <w:rsid w:val="005B5E1E"/>
    <w:rsid w:val="005B5FE4"/>
    <w:rsid w:val="005B758B"/>
    <w:rsid w:val="005C1C2A"/>
    <w:rsid w:val="005C2AE6"/>
    <w:rsid w:val="005C2D83"/>
    <w:rsid w:val="005C3512"/>
    <w:rsid w:val="005C3777"/>
    <w:rsid w:val="005C3AE5"/>
    <w:rsid w:val="005C598D"/>
    <w:rsid w:val="005C5CDC"/>
    <w:rsid w:val="005C79E1"/>
    <w:rsid w:val="005D0AA9"/>
    <w:rsid w:val="005D476C"/>
    <w:rsid w:val="005D5CAE"/>
    <w:rsid w:val="005E1E05"/>
    <w:rsid w:val="005E1F8F"/>
    <w:rsid w:val="005E247F"/>
    <w:rsid w:val="005E3AD2"/>
    <w:rsid w:val="005E650C"/>
    <w:rsid w:val="005E701A"/>
    <w:rsid w:val="005F3D0B"/>
    <w:rsid w:val="005F3F7B"/>
    <w:rsid w:val="005F4F85"/>
    <w:rsid w:val="005F7FC5"/>
    <w:rsid w:val="00601412"/>
    <w:rsid w:val="006015F9"/>
    <w:rsid w:val="00605A65"/>
    <w:rsid w:val="00606F06"/>
    <w:rsid w:val="00613205"/>
    <w:rsid w:val="00613EC1"/>
    <w:rsid w:val="006161CB"/>
    <w:rsid w:val="00616FA1"/>
    <w:rsid w:val="00617596"/>
    <w:rsid w:val="00617CDD"/>
    <w:rsid w:val="006200BF"/>
    <w:rsid w:val="00621037"/>
    <w:rsid w:val="00621157"/>
    <w:rsid w:val="00621365"/>
    <w:rsid w:val="006219F8"/>
    <w:rsid w:val="00624E3E"/>
    <w:rsid w:val="00625A4E"/>
    <w:rsid w:val="00625F39"/>
    <w:rsid w:val="006266D7"/>
    <w:rsid w:val="00627DD0"/>
    <w:rsid w:val="006302F7"/>
    <w:rsid w:val="00635CDF"/>
    <w:rsid w:val="00640E35"/>
    <w:rsid w:val="00643F93"/>
    <w:rsid w:val="006446CE"/>
    <w:rsid w:val="00646B9F"/>
    <w:rsid w:val="00650AC5"/>
    <w:rsid w:val="00652ADB"/>
    <w:rsid w:val="00653382"/>
    <w:rsid w:val="006537CD"/>
    <w:rsid w:val="00657665"/>
    <w:rsid w:val="006650A3"/>
    <w:rsid w:val="00665D70"/>
    <w:rsid w:val="00670E33"/>
    <w:rsid w:val="006724F0"/>
    <w:rsid w:val="00673B27"/>
    <w:rsid w:val="00675C34"/>
    <w:rsid w:val="00675EAB"/>
    <w:rsid w:val="006809A8"/>
    <w:rsid w:val="006900D9"/>
    <w:rsid w:val="00692779"/>
    <w:rsid w:val="00695D4C"/>
    <w:rsid w:val="00697429"/>
    <w:rsid w:val="006A193A"/>
    <w:rsid w:val="006A35A8"/>
    <w:rsid w:val="006A3B3C"/>
    <w:rsid w:val="006A5F94"/>
    <w:rsid w:val="006B0734"/>
    <w:rsid w:val="006B0BB9"/>
    <w:rsid w:val="006B4AB2"/>
    <w:rsid w:val="006C08D1"/>
    <w:rsid w:val="006C18B6"/>
    <w:rsid w:val="006C35D8"/>
    <w:rsid w:val="006C6AAE"/>
    <w:rsid w:val="006C7B31"/>
    <w:rsid w:val="006D4CFA"/>
    <w:rsid w:val="006D6332"/>
    <w:rsid w:val="006D7341"/>
    <w:rsid w:val="006E2FD3"/>
    <w:rsid w:val="006E3A2D"/>
    <w:rsid w:val="006E3CD9"/>
    <w:rsid w:val="006E4594"/>
    <w:rsid w:val="006E4791"/>
    <w:rsid w:val="006E4C10"/>
    <w:rsid w:val="006E64D4"/>
    <w:rsid w:val="006F6686"/>
    <w:rsid w:val="006F6E5F"/>
    <w:rsid w:val="00702A15"/>
    <w:rsid w:val="00702D26"/>
    <w:rsid w:val="007068D9"/>
    <w:rsid w:val="00706C16"/>
    <w:rsid w:val="00716BB2"/>
    <w:rsid w:val="007227D2"/>
    <w:rsid w:val="00722ECC"/>
    <w:rsid w:val="00724C4B"/>
    <w:rsid w:val="00724D03"/>
    <w:rsid w:val="00724F7A"/>
    <w:rsid w:val="00727928"/>
    <w:rsid w:val="00733684"/>
    <w:rsid w:val="007340C3"/>
    <w:rsid w:val="00740F02"/>
    <w:rsid w:val="00743301"/>
    <w:rsid w:val="00743CA3"/>
    <w:rsid w:val="00750CAE"/>
    <w:rsid w:val="00751E4C"/>
    <w:rsid w:val="00752103"/>
    <w:rsid w:val="0075235A"/>
    <w:rsid w:val="00754994"/>
    <w:rsid w:val="00754A7B"/>
    <w:rsid w:val="00756009"/>
    <w:rsid w:val="00756841"/>
    <w:rsid w:val="00757A07"/>
    <w:rsid w:val="00761CC9"/>
    <w:rsid w:val="007622DD"/>
    <w:rsid w:val="007649AB"/>
    <w:rsid w:val="00764B84"/>
    <w:rsid w:val="007706DC"/>
    <w:rsid w:val="00771D0C"/>
    <w:rsid w:val="00772878"/>
    <w:rsid w:val="00774A7C"/>
    <w:rsid w:val="00775501"/>
    <w:rsid w:val="00775C16"/>
    <w:rsid w:val="00776E55"/>
    <w:rsid w:val="007802F0"/>
    <w:rsid w:val="00781ECB"/>
    <w:rsid w:val="007833AC"/>
    <w:rsid w:val="00783E3C"/>
    <w:rsid w:val="00784AAC"/>
    <w:rsid w:val="00787E3D"/>
    <w:rsid w:val="007937B7"/>
    <w:rsid w:val="007975D0"/>
    <w:rsid w:val="007A059E"/>
    <w:rsid w:val="007B17D0"/>
    <w:rsid w:val="007B268C"/>
    <w:rsid w:val="007B3388"/>
    <w:rsid w:val="007B5340"/>
    <w:rsid w:val="007B7171"/>
    <w:rsid w:val="007B7B08"/>
    <w:rsid w:val="007C0C0F"/>
    <w:rsid w:val="007C3C01"/>
    <w:rsid w:val="007C3DC2"/>
    <w:rsid w:val="007D098D"/>
    <w:rsid w:val="007D1369"/>
    <w:rsid w:val="007D307B"/>
    <w:rsid w:val="007D63B5"/>
    <w:rsid w:val="007D63CC"/>
    <w:rsid w:val="007D6933"/>
    <w:rsid w:val="007E1A66"/>
    <w:rsid w:val="007E5019"/>
    <w:rsid w:val="007E5497"/>
    <w:rsid w:val="007E58D9"/>
    <w:rsid w:val="007E6E6B"/>
    <w:rsid w:val="007E70DA"/>
    <w:rsid w:val="007E756B"/>
    <w:rsid w:val="007F00B5"/>
    <w:rsid w:val="007F0574"/>
    <w:rsid w:val="007F7759"/>
    <w:rsid w:val="007F77A0"/>
    <w:rsid w:val="008047AC"/>
    <w:rsid w:val="00806537"/>
    <w:rsid w:val="00806F5F"/>
    <w:rsid w:val="00810EBA"/>
    <w:rsid w:val="00820278"/>
    <w:rsid w:val="00820937"/>
    <w:rsid w:val="008218C2"/>
    <w:rsid w:val="0082340A"/>
    <w:rsid w:val="0082513D"/>
    <w:rsid w:val="008258C9"/>
    <w:rsid w:val="00826888"/>
    <w:rsid w:val="00835F22"/>
    <w:rsid w:val="0083635B"/>
    <w:rsid w:val="00837CD3"/>
    <w:rsid w:val="00843EB6"/>
    <w:rsid w:val="00844464"/>
    <w:rsid w:val="008446EF"/>
    <w:rsid w:val="00844A6B"/>
    <w:rsid w:val="00844AE9"/>
    <w:rsid w:val="00845206"/>
    <w:rsid w:val="00845882"/>
    <w:rsid w:val="0084609E"/>
    <w:rsid w:val="00847BC0"/>
    <w:rsid w:val="00847FC0"/>
    <w:rsid w:val="008518B2"/>
    <w:rsid w:val="0085196C"/>
    <w:rsid w:val="00856545"/>
    <w:rsid w:val="00856E3E"/>
    <w:rsid w:val="008576E2"/>
    <w:rsid w:val="0086043A"/>
    <w:rsid w:val="0086480A"/>
    <w:rsid w:val="00864B05"/>
    <w:rsid w:val="00865247"/>
    <w:rsid w:val="00867CB5"/>
    <w:rsid w:val="00867F95"/>
    <w:rsid w:val="0087048D"/>
    <w:rsid w:val="008813A3"/>
    <w:rsid w:val="00881FAE"/>
    <w:rsid w:val="008843B6"/>
    <w:rsid w:val="00887CA3"/>
    <w:rsid w:val="008904AF"/>
    <w:rsid w:val="00891928"/>
    <w:rsid w:val="00893FEB"/>
    <w:rsid w:val="0089432E"/>
    <w:rsid w:val="008A08C2"/>
    <w:rsid w:val="008A446D"/>
    <w:rsid w:val="008A618B"/>
    <w:rsid w:val="008A7784"/>
    <w:rsid w:val="008B08F1"/>
    <w:rsid w:val="008B25F1"/>
    <w:rsid w:val="008B3A06"/>
    <w:rsid w:val="008B5A0C"/>
    <w:rsid w:val="008C017D"/>
    <w:rsid w:val="008C0348"/>
    <w:rsid w:val="008C13C8"/>
    <w:rsid w:val="008C2148"/>
    <w:rsid w:val="008C522F"/>
    <w:rsid w:val="008D07EC"/>
    <w:rsid w:val="008D180B"/>
    <w:rsid w:val="008D1C1D"/>
    <w:rsid w:val="008D34F2"/>
    <w:rsid w:val="008D533E"/>
    <w:rsid w:val="008E06C4"/>
    <w:rsid w:val="008E0B6F"/>
    <w:rsid w:val="008E318F"/>
    <w:rsid w:val="008E73E1"/>
    <w:rsid w:val="008F0EA7"/>
    <w:rsid w:val="008F297F"/>
    <w:rsid w:val="008F5E43"/>
    <w:rsid w:val="008F6CB9"/>
    <w:rsid w:val="008F7DFC"/>
    <w:rsid w:val="00901378"/>
    <w:rsid w:val="00902E9A"/>
    <w:rsid w:val="00904F2B"/>
    <w:rsid w:val="00906F4D"/>
    <w:rsid w:val="009103B3"/>
    <w:rsid w:val="00911947"/>
    <w:rsid w:val="00912EA0"/>
    <w:rsid w:val="00914E0D"/>
    <w:rsid w:val="009157FB"/>
    <w:rsid w:val="00916BC3"/>
    <w:rsid w:val="00916CF5"/>
    <w:rsid w:val="00917D08"/>
    <w:rsid w:val="00917D7C"/>
    <w:rsid w:val="00920683"/>
    <w:rsid w:val="00923EEF"/>
    <w:rsid w:val="009244BC"/>
    <w:rsid w:val="00926AFB"/>
    <w:rsid w:val="00933F65"/>
    <w:rsid w:val="009347E9"/>
    <w:rsid w:val="00934B3C"/>
    <w:rsid w:val="0093642D"/>
    <w:rsid w:val="009366B2"/>
    <w:rsid w:val="009419F9"/>
    <w:rsid w:val="00942F04"/>
    <w:rsid w:val="00947432"/>
    <w:rsid w:val="00947764"/>
    <w:rsid w:val="00952228"/>
    <w:rsid w:val="00952F17"/>
    <w:rsid w:val="0095369A"/>
    <w:rsid w:val="00956712"/>
    <w:rsid w:val="0095685E"/>
    <w:rsid w:val="00957681"/>
    <w:rsid w:val="00961B09"/>
    <w:rsid w:val="00962B17"/>
    <w:rsid w:val="00963A43"/>
    <w:rsid w:val="00965334"/>
    <w:rsid w:val="00966AB3"/>
    <w:rsid w:val="0096783E"/>
    <w:rsid w:val="00967D67"/>
    <w:rsid w:val="00967DE3"/>
    <w:rsid w:val="0097093E"/>
    <w:rsid w:val="009712CF"/>
    <w:rsid w:val="0097530E"/>
    <w:rsid w:val="009754CF"/>
    <w:rsid w:val="00975D9C"/>
    <w:rsid w:val="00976CEB"/>
    <w:rsid w:val="0098061E"/>
    <w:rsid w:val="00981089"/>
    <w:rsid w:val="0098514C"/>
    <w:rsid w:val="00993FF1"/>
    <w:rsid w:val="00996FCF"/>
    <w:rsid w:val="009A0DFA"/>
    <w:rsid w:val="009A1C6F"/>
    <w:rsid w:val="009A2C7A"/>
    <w:rsid w:val="009A46DF"/>
    <w:rsid w:val="009A5009"/>
    <w:rsid w:val="009A6D45"/>
    <w:rsid w:val="009A7CA2"/>
    <w:rsid w:val="009B0163"/>
    <w:rsid w:val="009B2D26"/>
    <w:rsid w:val="009B4369"/>
    <w:rsid w:val="009C1939"/>
    <w:rsid w:val="009C20F9"/>
    <w:rsid w:val="009C4DE6"/>
    <w:rsid w:val="009C5ADB"/>
    <w:rsid w:val="009C71FA"/>
    <w:rsid w:val="009C72E7"/>
    <w:rsid w:val="009C7F7E"/>
    <w:rsid w:val="009D2A2F"/>
    <w:rsid w:val="009D3058"/>
    <w:rsid w:val="009E28AD"/>
    <w:rsid w:val="009E75C5"/>
    <w:rsid w:val="009F0380"/>
    <w:rsid w:val="009F1284"/>
    <w:rsid w:val="009F3A13"/>
    <w:rsid w:val="009F4095"/>
    <w:rsid w:val="009F6918"/>
    <w:rsid w:val="00A009AF"/>
    <w:rsid w:val="00A03A3B"/>
    <w:rsid w:val="00A03AF3"/>
    <w:rsid w:val="00A03C93"/>
    <w:rsid w:val="00A06FFF"/>
    <w:rsid w:val="00A122D3"/>
    <w:rsid w:val="00A1233B"/>
    <w:rsid w:val="00A14468"/>
    <w:rsid w:val="00A17F13"/>
    <w:rsid w:val="00A20739"/>
    <w:rsid w:val="00A21A2E"/>
    <w:rsid w:val="00A23AF9"/>
    <w:rsid w:val="00A27052"/>
    <w:rsid w:val="00A310A0"/>
    <w:rsid w:val="00A314D0"/>
    <w:rsid w:val="00A31B65"/>
    <w:rsid w:val="00A33C78"/>
    <w:rsid w:val="00A345DD"/>
    <w:rsid w:val="00A3792F"/>
    <w:rsid w:val="00A439F2"/>
    <w:rsid w:val="00A50128"/>
    <w:rsid w:val="00A50B12"/>
    <w:rsid w:val="00A51A78"/>
    <w:rsid w:val="00A54A64"/>
    <w:rsid w:val="00A56D60"/>
    <w:rsid w:val="00A575B5"/>
    <w:rsid w:val="00A57A60"/>
    <w:rsid w:val="00A604D4"/>
    <w:rsid w:val="00A6650D"/>
    <w:rsid w:val="00A67369"/>
    <w:rsid w:val="00A70219"/>
    <w:rsid w:val="00A70EC8"/>
    <w:rsid w:val="00A72101"/>
    <w:rsid w:val="00A72A63"/>
    <w:rsid w:val="00A75061"/>
    <w:rsid w:val="00A751E5"/>
    <w:rsid w:val="00A8192E"/>
    <w:rsid w:val="00A822FD"/>
    <w:rsid w:val="00A82DB0"/>
    <w:rsid w:val="00A83154"/>
    <w:rsid w:val="00A851F8"/>
    <w:rsid w:val="00A858CF"/>
    <w:rsid w:val="00A859B6"/>
    <w:rsid w:val="00A90310"/>
    <w:rsid w:val="00A92D03"/>
    <w:rsid w:val="00A93345"/>
    <w:rsid w:val="00A97A39"/>
    <w:rsid w:val="00AA02B7"/>
    <w:rsid w:val="00AA3D82"/>
    <w:rsid w:val="00AA6777"/>
    <w:rsid w:val="00AB0ADB"/>
    <w:rsid w:val="00AB1FF8"/>
    <w:rsid w:val="00AB24C2"/>
    <w:rsid w:val="00AB6E30"/>
    <w:rsid w:val="00AB7520"/>
    <w:rsid w:val="00AB7876"/>
    <w:rsid w:val="00AC33D4"/>
    <w:rsid w:val="00AC353D"/>
    <w:rsid w:val="00AC5DA8"/>
    <w:rsid w:val="00AC7F6C"/>
    <w:rsid w:val="00AD2ACC"/>
    <w:rsid w:val="00AD2E64"/>
    <w:rsid w:val="00AD55D9"/>
    <w:rsid w:val="00AE1541"/>
    <w:rsid w:val="00AE17D2"/>
    <w:rsid w:val="00AE189B"/>
    <w:rsid w:val="00AE329C"/>
    <w:rsid w:val="00AE45AC"/>
    <w:rsid w:val="00AE574C"/>
    <w:rsid w:val="00AE595A"/>
    <w:rsid w:val="00AE6D51"/>
    <w:rsid w:val="00AF20CB"/>
    <w:rsid w:val="00AF247C"/>
    <w:rsid w:val="00AF3A3E"/>
    <w:rsid w:val="00B00C0E"/>
    <w:rsid w:val="00B01B1A"/>
    <w:rsid w:val="00B021AC"/>
    <w:rsid w:val="00B0381D"/>
    <w:rsid w:val="00B03D3C"/>
    <w:rsid w:val="00B07447"/>
    <w:rsid w:val="00B10634"/>
    <w:rsid w:val="00B11F11"/>
    <w:rsid w:val="00B121F7"/>
    <w:rsid w:val="00B13E5A"/>
    <w:rsid w:val="00B13E8D"/>
    <w:rsid w:val="00B147A4"/>
    <w:rsid w:val="00B14EED"/>
    <w:rsid w:val="00B164FE"/>
    <w:rsid w:val="00B218A9"/>
    <w:rsid w:val="00B22BDC"/>
    <w:rsid w:val="00B23EE7"/>
    <w:rsid w:val="00B257CB"/>
    <w:rsid w:val="00B27422"/>
    <w:rsid w:val="00B30E7B"/>
    <w:rsid w:val="00B32137"/>
    <w:rsid w:val="00B33ED6"/>
    <w:rsid w:val="00B36AF7"/>
    <w:rsid w:val="00B36E41"/>
    <w:rsid w:val="00B37401"/>
    <w:rsid w:val="00B3763A"/>
    <w:rsid w:val="00B37CC1"/>
    <w:rsid w:val="00B37F8C"/>
    <w:rsid w:val="00B43F8B"/>
    <w:rsid w:val="00B44A47"/>
    <w:rsid w:val="00B44E76"/>
    <w:rsid w:val="00B45D54"/>
    <w:rsid w:val="00B4691A"/>
    <w:rsid w:val="00B5246B"/>
    <w:rsid w:val="00B524C9"/>
    <w:rsid w:val="00B52710"/>
    <w:rsid w:val="00B53E33"/>
    <w:rsid w:val="00B55864"/>
    <w:rsid w:val="00B56A6D"/>
    <w:rsid w:val="00B5789D"/>
    <w:rsid w:val="00B57B01"/>
    <w:rsid w:val="00B63C39"/>
    <w:rsid w:val="00B641FE"/>
    <w:rsid w:val="00B66AA8"/>
    <w:rsid w:val="00B66E67"/>
    <w:rsid w:val="00B70323"/>
    <w:rsid w:val="00B7211F"/>
    <w:rsid w:val="00B72CD3"/>
    <w:rsid w:val="00B72FFF"/>
    <w:rsid w:val="00B73CF4"/>
    <w:rsid w:val="00B75769"/>
    <w:rsid w:val="00B76D46"/>
    <w:rsid w:val="00B76FAE"/>
    <w:rsid w:val="00B80A6B"/>
    <w:rsid w:val="00B81959"/>
    <w:rsid w:val="00B83594"/>
    <w:rsid w:val="00B87283"/>
    <w:rsid w:val="00B91396"/>
    <w:rsid w:val="00B9186D"/>
    <w:rsid w:val="00B93175"/>
    <w:rsid w:val="00B93F50"/>
    <w:rsid w:val="00B96118"/>
    <w:rsid w:val="00B9760C"/>
    <w:rsid w:val="00BA0F7F"/>
    <w:rsid w:val="00BA310B"/>
    <w:rsid w:val="00BA67CE"/>
    <w:rsid w:val="00BB4225"/>
    <w:rsid w:val="00BC3A61"/>
    <w:rsid w:val="00BC3D36"/>
    <w:rsid w:val="00BC4D68"/>
    <w:rsid w:val="00BC663A"/>
    <w:rsid w:val="00BC7C12"/>
    <w:rsid w:val="00BD0376"/>
    <w:rsid w:val="00BD0BDC"/>
    <w:rsid w:val="00BD262C"/>
    <w:rsid w:val="00BD54A6"/>
    <w:rsid w:val="00BD6409"/>
    <w:rsid w:val="00BD7F72"/>
    <w:rsid w:val="00BE2378"/>
    <w:rsid w:val="00BE4DF7"/>
    <w:rsid w:val="00BE53C6"/>
    <w:rsid w:val="00BE58F0"/>
    <w:rsid w:val="00BE68E7"/>
    <w:rsid w:val="00BE6D2E"/>
    <w:rsid w:val="00BE7FDF"/>
    <w:rsid w:val="00BF3773"/>
    <w:rsid w:val="00BF590D"/>
    <w:rsid w:val="00BF7425"/>
    <w:rsid w:val="00BF7FD2"/>
    <w:rsid w:val="00C00584"/>
    <w:rsid w:val="00C01FD7"/>
    <w:rsid w:val="00C03868"/>
    <w:rsid w:val="00C04B2B"/>
    <w:rsid w:val="00C04FB3"/>
    <w:rsid w:val="00C05F2E"/>
    <w:rsid w:val="00C07ACF"/>
    <w:rsid w:val="00C10BC3"/>
    <w:rsid w:val="00C11D8B"/>
    <w:rsid w:val="00C13156"/>
    <w:rsid w:val="00C138F9"/>
    <w:rsid w:val="00C15139"/>
    <w:rsid w:val="00C16EAC"/>
    <w:rsid w:val="00C174DD"/>
    <w:rsid w:val="00C25563"/>
    <w:rsid w:val="00C26510"/>
    <w:rsid w:val="00C270A3"/>
    <w:rsid w:val="00C27470"/>
    <w:rsid w:val="00C308D2"/>
    <w:rsid w:val="00C309C9"/>
    <w:rsid w:val="00C30E23"/>
    <w:rsid w:val="00C31D52"/>
    <w:rsid w:val="00C330EB"/>
    <w:rsid w:val="00C40E96"/>
    <w:rsid w:val="00C416B1"/>
    <w:rsid w:val="00C45A9E"/>
    <w:rsid w:val="00C4752A"/>
    <w:rsid w:val="00C5070A"/>
    <w:rsid w:val="00C50D69"/>
    <w:rsid w:val="00C50E70"/>
    <w:rsid w:val="00C5287E"/>
    <w:rsid w:val="00C52B75"/>
    <w:rsid w:val="00C5365C"/>
    <w:rsid w:val="00C55450"/>
    <w:rsid w:val="00C645F4"/>
    <w:rsid w:val="00C67E80"/>
    <w:rsid w:val="00C70581"/>
    <w:rsid w:val="00C71D88"/>
    <w:rsid w:val="00C752D5"/>
    <w:rsid w:val="00C754BE"/>
    <w:rsid w:val="00C76786"/>
    <w:rsid w:val="00C76B1C"/>
    <w:rsid w:val="00C82AEE"/>
    <w:rsid w:val="00C90617"/>
    <w:rsid w:val="00C925AC"/>
    <w:rsid w:val="00C93CE4"/>
    <w:rsid w:val="00C95EB7"/>
    <w:rsid w:val="00C97A77"/>
    <w:rsid w:val="00CA2A60"/>
    <w:rsid w:val="00CA3A63"/>
    <w:rsid w:val="00CA3EED"/>
    <w:rsid w:val="00CA77CB"/>
    <w:rsid w:val="00CB2DFB"/>
    <w:rsid w:val="00CB4038"/>
    <w:rsid w:val="00CB496F"/>
    <w:rsid w:val="00CB4E73"/>
    <w:rsid w:val="00CB6357"/>
    <w:rsid w:val="00CB63DB"/>
    <w:rsid w:val="00CC028B"/>
    <w:rsid w:val="00CC0DB5"/>
    <w:rsid w:val="00CC1B26"/>
    <w:rsid w:val="00CC2530"/>
    <w:rsid w:val="00CC424E"/>
    <w:rsid w:val="00CC55E8"/>
    <w:rsid w:val="00CC6EA4"/>
    <w:rsid w:val="00CC703E"/>
    <w:rsid w:val="00CD09A7"/>
    <w:rsid w:val="00CD184C"/>
    <w:rsid w:val="00CD323A"/>
    <w:rsid w:val="00CD7E83"/>
    <w:rsid w:val="00CE0226"/>
    <w:rsid w:val="00CE5193"/>
    <w:rsid w:val="00CF0A77"/>
    <w:rsid w:val="00CF55CF"/>
    <w:rsid w:val="00D02EE0"/>
    <w:rsid w:val="00D05962"/>
    <w:rsid w:val="00D05ED7"/>
    <w:rsid w:val="00D10991"/>
    <w:rsid w:val="00D16223"/>
    <w:rsid w:val="00D166B2"/>
    <w:rsid w:val="00D17A0D"/>
    <w:rsid w:val="00D231AD"/>
    <w:rsid w:val="00D24123"/>
    <w:rsid w:val="00D24D67"/>
    <w:rsid w:val="00D26F18"/>
    <w:rsid w:val="00D31F59"/>
    <w:rsid w:val="00D34887"/>
    <w:rsid w:val="00D356B6"/>
    <w:rsid w:val="00D361FD"/>
    <w:rsid w:val="00D36581"/>
    <w:rsid w:val="00D36F1B"/>
    <w:rsid w:val="00D375A2"/>
    <w:rsid w:val="00D40244"/>
    <w:rsid w:val="00D423A2"/>
    <w:rsid w:val="00D42565"/>
    <w:rsid w:val="00D44E26"/>
    <w:rsid w:val="00D47A94"/>
    <w:rsid w:val="00D47E0F"/>
    <w:rsid w:val="00D50A51"/>
    <w:rsid w:val="00D51480"/>
    <w:rsid w:val="00D520D8"/>
    <w:rsid w:val="00D52A6D"/>
    <w:rsid w:val="00D5525A"/>
    <w:rsid w:val="00D55781"/>
    <w:rsid w:val="00D57FE8"/>
    <w:rsid w:val="00D6057E"/>
    <w:rsid w:val="00D60B0B"/>
    <w:rsid w:val="00D63AC2"/>
    <w:rsid w:val="00D64BE0"/>
    <w:rsid w:val="00D67C2C"/>
    <w:rsid w:val="00D72446"/>
    <w:rsid w:val="00D72B1D"/>
    <w:rsid w:val="00D7383B"/>
    <w:rsid w:val="00D75B26"/>
    <w:rsid w:val="00D7788A"/>
    <w:rsid w:val="00D8568F"/>
    <w:rsid w:val="00D9012C"/>
    <w:rsid w:val="00D91B3F"/>
    <w:rsid w:val="00D92711"/>
    <w:rsid w:val="00D92DDB"/>
    <w:rsid w:val="00D93290"/>
    <w:rsid w:val="00D93CAF"/>
    <w:rsid w:val="00DA0544"/>
    <w:rsid w:val="00DA0612"/>
    <w:rsid w:val="00DA231B"/>
    <w:rsid w:val="00DA37C5"/>
    <w:rsid w:val="00DA4941"/>
    <w:rsid w:val="00DB094E"/>
    <w:rsid w:val="00DB2934"/>
    <w:rsid w:val="00DB5EC7"/>
    <w:rsid w:val="00DB62F2"/>
    <w:rsid w:val="00DC06A4"/>
    <w:rsid w:val="00DC39FC"/>
    <w:rsid w:val="00DC739D"/>
    <w:rsid w:val="00DE05DD"/>
    <w:rsid w:val="00DE0B58"/>
    <w:rsid w:val="00DE4DA1"/>
    <w:rsid w:val="00DE5F1D"/>
    <w:rsid w:val="00DF24E4"/>
    <w:rsid w:val="00DF4613"/>
    <w:rsid w:val="00DF51B8"/>
    <w:rsid w:val="00DF5254"/>
    <w:rsid w:val="00DF645C"/>
    <w:rsid w:val="00E000C6"/>
    <w:rsid w:val="00E00EC8"/>
    <w:rsid w:val="00E02524"/>
    <w:rsid w:val="00E03BB4"/>
    <w:rsid w:val="00E11B42"/>
    <w:rsid w:val="00E12DB8"/>
    <w:rsid w:val="00E12F1D"/>
    <w:rsid w:val="00E1378A"/>
    <w:rsid w:val="00E14270"/>
    <w:rsid w:val="00E14486"/>
    <w:rsid w:val="00E16408"/>
    <w:rsid w:val="00E17CA3"/>
    <w:rsid w:val="00E20894"/>
    <w:rsid w:val="00E20A34"/>
    <w:rsid w:val="00E22A31"/>
    <w:rsid w:val="00E245AB"/>
    <w:rsid w:val="00E248AD"/>
    <w:rsid w:val="00E26C46"/>
    <w:rsid w:val="00E2764C"/>
    <w:rsid w:val="00E27F2E"/>
    <w:rsid w:val="00E30F08"/>
    <w:rsid w:val="00E313CE"/>
    <w:rsid w:val="00E33E17"/>
    <w:rsid w:val="00E35D1B"/>
    <w:rsid w:val="00E372B8"/>
    <w:rsid w:val="00E37D67"/>
    <w:rsid w:val="00E41A71"/>
    <w:rsid w:val="00E45963"/>
    <w:rsid w:val="00E50AFE"/>
    <w:rsid w:val="00E56386"/>
    <w:rsid w:val="00E574F5"/>
    <w:rsid w:val="00E60756"/>
    <w:rsid w:val="00E62D85"/>
    <w:rsid w:val="00E63A4C"/>
    <w:rsid w:val="00E63F6C"/>
    <w:rsid w:val="00E6428D"/>
    <w:rsid w:val="00E65011"/>
    <w:rsid w:val="00E65215"/>
    <w:rsid w:val="00E65592"/>
    <w:rsid w:val="00E7036C"/>
    <w:rsid w:val="00E70407"/>
    <w:rsid w:val="00E716AF"/>
    <w:rsid w:val="00E75C92"/>
    <w:rsid w:val="00E771DC"/>
    <w:rsid w:val="00E80EBB"/>
    <w:rsid w:val="00E82486"/>
    <w:rsid w:val="00E8366B"/>
    <w:rsid w:val="00E84424"/>
    <w:rsid w:val="00E86222"/>
    <w:rsid w:val="00E863A3"/>
    <w:rsid w:val="00E870C0"/>
    <w:rsid w:val="00E8772A"/>
    <w:rsid w:val="00E87AE9"/>
    <w:rsid w:val="00E90F6B"/>
    <w:rsid w:val="00E91CA9"/>
    <w:rsid w:val="00E92C27"/>
    <w:rsid w:val="00E93B3A"/>
    <w:rsid w:val="00E96B22"/>
    <w:rsid w:val="00EA0E3D"/>
    <w:rsid w:val="00EA1411"/>
    <w:rsid w:val="00EA1F80"/>
    <w:rsid w:val="00EA263C"/>
    <w:rsid w:val="00EA5D64"/>
    <w:rsid w:val="00EA71F6"/>
    <w:rsid w:val="00EB1C21"/>
    <w:rsid w:val="00EB22ED"/>
    <w:rsid w:val="00EB4459"/>
    <w:rsid w:val="00EC1784"/>
    <w:rsid w:val="00EC38A7"/>
    <w:rsid w:val="00EC3DCF"/>
    <w:rsid w:val="00ED2182"/>
    <w:rsid w:val="00ED2AFA"/>
    <w:rsid w:val="00EE093F"/>
    <w:rsid w:val="00EE1AA8"/>
    <w:rsid w:val="00EE2ECC"/>
    <w:rsid w:val="00EE4660"/>
    <w:rsid w:val="00EE4810"/>
    <w:rsid w:val="00EE6152"/>
    <w:rsid w:val="00EE7FB5"/>
    <w:rsid w:val="00EF0894"/>
    <w:rsid w:val="00EF3663"/>
    <w:rsid w:val="00EF74EA"/>
    <w:rsid w:val="00EF77B5"/>
    <w:rsid w:val="00F01300"/>
    <w:rsid w:val="00F0472E"/>
    <w:rsid w:val="00F05A4A"/>
    <w:rsid w:val="00F072DC"/>
    <w:rsid w:val="00F10ACB"/>
    <w:rsid w:val="00F10D2A"/>
    <w:rsid w:val="00F14A34"/>
    <w:rsid w:val="00F151FA"/>
    <w:rsid w:val="00F15956"/>
    <w:rsid w:val="00F17503"/>
    <w:rsid w:val="00F17579"/>
    <w:rsid w:val="00F229F4"/>
    <w:rsid w:val="00F23FEA"/>
    <w:rsid w:val="00F26749"/>
    <w:rsid w:val="00F30BA5"/>
    <w:rsid w:val="00F31166"/>
    <w:rsid w:val="00F31EDC"/>
    <w:rsid w:val="00F4564D"/>
    <w:rsid w:val="00F462B3"/>
    <w:rsid w:val="00F505F5"/>
    <w:rsid w:val="00F52B54"/>
    <w:rsid w:val="00F53CF9"/>
    <w:rsid w:val="00F5664F"/>
    <w:rsid w:val="00F57E2E"/>
    <w:rsid w:val="00F60ADA"/>
    <w:rsid w:val="00F633BE"/>
    <w:rsid w:val="00F63CDC"/>
    <w:rsid w:val="00F640B9"/>
    <w:rsid w:val="00F666C4"/>
    <w:rsid w:val="00F66A43"/>
    <w:rsid w:val="00F66A92"/>
    <w:rsid w:val="00F76AFC"/>
    <w:rsid w:val="00F8282B"/>
    <w:rsid w:val="00F82EBA"/>
    <w:rsid w:val="00F833DB"/>
    <w:rsid w:val="00F83A33"/>
    <w:rsid w:val="00F8463E"/>
    <w:rsid w:val="00F84F44"/>
    <w:rsid w:val="00F862FA"/>
    <w:rsid w:val="00F864A9"/>
    <w:rsid w:val="00F90A20"/>
    <w:rsid w:val="00F96570"/>
    <w:rsid w:val="00F97702"/>
    <w:rsid w:val="00FA1A18"/>
    <w:rsid w:val="00FA2CDA"/>
    <w:rsid w:val="00FA47C0"/>
    <w:rsid w:val="00FA55F4"/>
    <w:rsid w:val="00FA5B39"/>
    <w:rsid w:val="00FA740D"/>
    <w:rsid w:val="00FA7E97"/>
    <w:rsid w:val="00FA7F0A"/>
    <w:rsid w:val="00FB217D"/>
    <w:rsid w:val="00FB44C9"/>
    <w:rsid w:val="00FB5DD1"/>
    <w:rsid w:val="00FB69EF"/>
    <w:rsid w:val="00FB7209"/>
    <w:rsid w:val="00FC021D"/>
    <w:rsid w:val="00FC2368"/>
    <w:rsid w:val="00FC285E"/>
    <w:rsid w:val="00FC29FA"/>
    <w:rsid w:val="00FC2B5D"/>
    <w:rsid w:val="00FC319D"/>
    <w:rsid w:val="00FC63F8"/>
    <w:rsid w:val="00FC7F7A"/>
    <w:rsid w:val="00FD0113"/>
    <w:rsid w:val="00FD5E64"/>
    <w:rsid w:val="00FE029B"/>
    <w:rsid w:val="00FE1C78"/>
    <w:rsid w:val="00FE58BB"/>
    <w:rsid w:val="00FF1116"/>
    <w:rsid w:val="00FF1449"/>
    <w:rsid w:val="00FF2E7A"/>
    <w:rsid w:val="00FF358C"/>
    <w:rsid w:val="00FF7963"/>
    <w:rsid w:val="071B8F93"/>
    <w:rsid w:val="07C73DD1"/>
    <w:rsid w:val="09908A09"/>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054748"/>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054748"/>
    <w:rPr>
      <w:rFonts w:ascii="Geomanist Light" w:hAnsi="Geomanist Light"/>
      <w:lang w:val="es-ES"/>
    </w:rPr>
  </w:style>
  <w:style w:type="paragraph" w:styleId="Textoindependiente">
    <w:name w:val="Body Text"/>
    <w:basedOn w:val="Normal"/>
    <w:link w:val="TextoindependienteCar"/>
    <w:uiPriority w:val="1"/>
    <w:qFormat/>
    <w:rsid w:val="0095369A"/>
    <w:pPr>
      <w:widowControl w:val="0"/>
      <w:autoSpaceDE w:val="0"/>
      <w:autoSpaceDN w:val="0"/>
      <w:spacing w:after="0" w:line="240" w:lineRule="auto"/>
    </w:pPr>
    <w:rPr>
      <w:rFonts w:ascii="Arial" w:eastAsia="Arial" w:hAnsi="Arial" w:cs="Arial"/>
      <w:lang w:val="es-ES"/>
    </w:rPr>
  </w:style>
  <w:style w:type="character" w:customStyle="1" w:styleId="TextoindependienteCar">
    <w:name w:val="Texto independiente Car"/>
    <w:basedOn w:val="Fuentedeprrafopredeter"/>
    <w:link w:val="Textoindependiente"/>
    <w:uiPriority w:val="1"/>
    <w:rsid w:val="0095369A"/>
    <w:rPr>
      <w:rFonts w:ascii="Arial" w:eastAsia="Arial" w:hAnsi="Arial" w:cs="Arial"/>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678854459">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latoria.colombiacompra.gov.co/busqueda/concepto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enn_vane@hotmail.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www.secretariasenado.gov.co/senado/basedoc/constitucion_politica_1991_pr004.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D714F3-1007-4016-9605-216AF1F1F6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4.xml><?xml version="1.0" encoding="utf-8"?>
<ds:datastoreItem xmlns:ds="http://schemas.openxmlformats.org/officeDocument/2006/customXml" ds:itemID="{51008D5D-A1AF-4FEC-993D-20EC983388BB}">
  <ds:schemaRefs>
    <ds:schemaRef ds:uri="http://schemas.openxmlformats.org/officeDocument/2006/bibliography"/>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3607</TotalTime>
  <Pages>14</Pages>
  <Words>4542</Words>
  <Characters>24987</Characters>
  <Application>Microsoft Office Word</Application>
  <DocSecurity>0</DocSecurity>
  <Lines>208</Lines>
  <Paragraphs>58</Paragraphs>
  <ScaleCrop>false</ScaleCrop>
  <Company/>
  <LinksUpToDate>false</LinksUpToDate>
  <CharactersWithSpaces>29471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972</cp:revision>
  <cp:lastPrinted>2023-01-10T21:18:00Z</cp:lastPrinted>
  <dcterms:created xsi:type="dcterms:W3CDTF">2026-05-25T13:41:00Z</dcterms:created>
  <dcterms:modified xsi:type="dcterms:W3CDTF">2026-08-25T12:45:00Z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