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59B29" w14:textId="77777777" w:rsidR="00D3739E" w:rsidRPr="003341FA" w:rsidRDefault="00D3739E" w:rsidP="003341FA">
      <w:pPr>
        <w:spacing w:after="0"/>
        <w:jc w:val="both"/>
        <w:rPr>
          <w:rFonts w:ascii="Verdana" w:eastAsia="Verdana" w:hAnsi="Verdana" w:cs="Verdana"/>
          <w:b/>
          <w:bCs/>
          <w:lang w:val="es-ES"/>
        </w:rPr>
      </w:pPr>
      <w:bookmarkStart w:id="0" w:name="_Hlk143780582"/>
      <w:r w:rsidRPr="003341FA">
        <w:rPr>
          <w:rFonts w:ascii="Verdana" w:eastAsia="Verdana" w:hAnsi="Verdana" w:cs="Verdana"/>
          <w:b/>
          <w:bCs/>
          <w:lang w:val="es-ES"/>
        </w:rPr>
        <w:t xml:space="preserve">CONTRATOS Y CONVENIOS INTERADMINISTRATIVOS – Calidad de las partes – Entidades públicas </w:t>
      </w:r>
    </w:p>
    <w:p w14:paraId="04794DFE" w14:textId="77777777" w:rsidR="00D3739E" w:rsidRPr="00361501" w:rsidRDefault="00D3739E" w:rsidP="00361501">
      <w:pPr>
        <w:spacing w:after="0" w:line="240" w:lineRule="auto"/>
        <w:jc w:val="both"/>
        <w:rPr>
          <w:rFonts w:ascii="Verdana" w:eastAsia="Verdana" w:hAnsi="Verdana" w:cs="Verdana"/>
          <w:sz w:val="20"/>
          <w:szCs w:val="20"/>
          <w:lang w:val="es-ES"/>
        </w:rPr>
      </w:pPr>
    </w:p>
    <w:p w14:paraId="78539156" w14:textId="0A42B87D" w:rsidR="00361501" w:rsidRDefault="00361501" w:rsidP="00361501">
      <w:pPr>
        <w:spacing w:after="0" w:line="240" w:lineRule="auto"/>
        <w:jc w:val="both"/>
        <w:rPr>
          <w:rFonts w:ascii="Verdana" w:eastAsia="Verdana" w:hAnsi="Verdana" w:cs="Verdana"/>
          <w:sz w:val="20"/>
          <w:szCs w:val="20"/>
        </w:rPr>
      </w:pPr>
      <w:r w:rsidRPr="00361501">
        <w:rPr>
          <w:rFonts w:ascii="Verdana" w:eastAsia="Verdana" w:hAnsi="Verdana" w:cs="Verdana"/>
          <w:sz w:val="20"/>
          <w:szCs w:val="20"/>
        </w:rPr>
        <w:t>Un contrato interadministrativo no está determinado por la modalidad de selección utilizada para celebrarlo. La Ley 1150 de 2007 dispone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con pluralidad de oferentes. Nótese que, en este caso, lo que cambia es la modalidad de selección y no la naturaleza de contrato interadministrativo.</w:t>
      </w:r>
    </w:p>
    <w:p w14:paraId="0D07A457" w14:textId="77777777" w:rsidR="00361501" w:rsidRPr="00361501" w:rsidRDefault="00361501" w:rsidP="00361501">
      <w:pPr>
        <w:spacing w:after="0" w:line="240" w:lineRule="auto"/>
        <w:jc w:val="both"/>
        <w:rPr>
          <w:rFonts w:ascii="Verdana" w:eastAsia="Verdana" w:hAnsi="Verdana" w:cs="Verdana"/>
          <w:sz w:val="20"/>
          <w:szCs w:val="20"/>
        </w:rPr>
      </w:pPr>
    </w:p>
    <w:p w14:paraId="38FB9B76" w14:textId="659CE1CF" w:rsidR="00361501" w:rsidRPr="00361501" w:rsidRDefault="00361501" w:rsidP="00361501">
      <w:pPr>
        <w:spacing w:after="0" w:line="240" w:lineRule="auto"/>
        <w:jc w:val="both"/>
        <w:rPr>
          <w:rFonts w:ascii="Verdana" w:eastAsia="Verdana" w:hAnsi="Verdana" w:cs="Verdana"/>
          <w:sz w:val="20"/>
          <w:szCs w:val="20"/>
        </w:rPr>
      </w:pPr>
      <w:r w:rsidRPr="00361501">
        <w:rPr>
          <w:rFonts w:ascii="Verdana" w:eastAsia="Verdana" w:hAnsi="Verdana" w:cs="Verdana"/>
          <w:sz w:val="20"/>
          <w:szCs w:val="20"/>
        </w:rPr>
        <w:t xml:space="preserve">La Corte Constitucional, en Sentencia C-671 de 2015, expresó que “Lo que hace interadministrativo a un contrato o convenio no es el procedimiento de selección aplicable, sino la calidad de los sujetos contratantes, esto es que las dos partes de la relación jurídica contractual formen parte de la administración pública”. Así las cosas, esta clase de acuerdos de voluntades se definen por un criterio orgánico, por lo que uno de sus elementos esenciales es que en los extremos de la relación jurídico negocial concurran personas de derecho público. </w:t>
      </w:r>
    </w:p>
    <w:p w14:paraId="42880C7B" w14:textId="77777777" w:rsidR="00361501" w:rsidRPr="00361501" w:rsidRDefault="00361501" w:rsidP="003341FA">
      <w:pPr>
        <w:spacing w:after="0"/>
        <w:jc w:val="both"/>
        <w:rPr>
          <w:rFonts w:ascii="Verdana" w:eastAsia="Verdana" w:hAnsi="Verdana" w:cs="Verdana"/>
          <w:b/>
          <w:bCs/>
        </w:rPr>
      </w:pPr>
    </w:p>
    <w:p w14:paraId="2C0D76B5" w14:textId="77777777" w:rsidR="00D3739E" w:rsidRPr="003341FA" w:rsidRDefault="00D3739E" w:rsidP="003341FA">
      <w:pPr>
        <w:spacing w:after="0"/>
        <w:jc w:val="both"/>
        <w:rPr>
          <w:rFonts w:ascii="Verdana" w:eastAsia="Verdana" w:hAnsi="Verdana" w:cs="Verdana"/>
          <w:b/>
          <w:bCs/>
          <w:lang w:val="es-ES"/>
        </w:rPr>
      </w:pPr>
      <w:r w:rsidRPr="003341FA">
        <w:rPr>
          <w:rFonts w:ascii="Verdana" w:eastAsia="Verdana" w:hAnsi="Verdana" w:cs="Verdana"/>
          <w:b/>
          <w:bCs/>
          <w:lang w:val="es-ES"/>
        </w:rPr>
        <w:t xml:space="preserve">CONVENIOS INTERADMINISTRATIVOS – Noción – Diferencias – Contratos interadministrativos </w:t>
      </w:r>
    </w:p>
    <w:p w14:paraId="75635583" w14:textId="77777777" w:rsidR="00D3739E" w:rsidRPr="003341FA" w:rsidRDefault="00D3739E" w:rsidP="003341FA">
      <w:pPr>
        <w:spacing w:after="0"/>
        <w:jc w:val="both"/>
        <w:rPr>
          <w:rFonts w:ascii="Verdana" w:eastAsia="Verdana" w:hAnsi="Verdana" w:cs="Verdana"/>
          <w:b/>
          <w:bCs/>
          <w:lang w:val="es-ES"/>
        </w:rPr>
      </w:pPr>
    </w:p>
    <w:p w14:paraId="32A9F1A2" w14:textId="77777777" w:rsidR="001A213C" w:rsidRDefault="001A213C" w:rsidP="001A213C">
      <w:pPr>
        <w:spacing w:after="0" w:line="240" w:lineRule="auto"/>
        <w:jc w:val="both"/>
        <w:rPr>
          <w:rFonts w:ascii="Verdana" w:eastAsia="Verdana" w:hAnsi="Verdana" w:cs="Verdana"/>
          <w:sz w:val="20"/>
          <w:szCs w:val="20"/>
        </w:rPr>
      </w:pPr>
      <w:r w:rsidRPr="001A213C">
        <w:rPr>
          <w:rFonts w:ascii="Verdana" w:eastAsia="Verdana" w:hAnsi="Verdana" w:cs="Verdana"/>
          <w:sz w:val="20"/>
          <w:szCs w:val="20"/>
        </w:rPr>
        <w:t>El Consejo de Estado ha precisado que el convenio interadministrativo constituye un negocio jurídico de colaboración entre entidades públicas, orientado a articular capacidades, recursos y competencias institucionales para la consecución de fines comunes. Su esencia no radica en el intercambio de prestaciones propias del mercado, sino en la coordinación funcional y operativa entre organismos que comparten responsabilidades públicas y buscan optimizar el cumplimiento de sus objetivos misionales mediante actuaciones conjuntas.</w:t>
      </w:r>
    </w:p>
    <w:p w14:paraId="69367E5D" w14:textId="77777777" w:rsidR="001A213C" w:rsidRPr="001A213C" w:rsidRDefault="001A213C" w:rsidP="001A213C">
      <w:pPr>
        <w:spacing w:after="0" w:line="240" w:lineRule="auto"/>
        <w:jc w:val="both"/>
        <w:rPr>
          <w:rFonts w:ascii="Verdana" w:eastAsia="Verdana" w:hAnsi="Verdana" w:cs="Verdana"/>
          <w:sz w:val="20"/>
          <w:szCs w:val="20"/>
        </w:rPr>
      </w:pPr>
    </w:p>
    <w:p w14:paraId="3931BCED" w14:textId="3CA79FAE" w:rsidR="00D3739E" w:rsidRDefault="001A213C" w:rsidP="001A213C">
      <w:pPr>
        <w:spacing w:after="0" w:line="240" w:lineRule="auto"/>
        <w:jc w:val="both"/>
        <w:rPr>
          <w:rFonts w:ascii="Verdana" w:eastAsia="Verdana" w:hAnsi="Verdana" w:cs="Verdana"/>
          <w:sz w:val="20"/>
          <w:szCs w:val="20"/>
        </w:rPr>
      </w:pPr>
      <w:r w:rsidRPr="001A213C">
        <w:rPr>
          <w:rFonts w:ascii="Verdana" w:eastAsia="Verdana" w:hAnsi="Verdana" w:cs="Verdana"/>
          <w:sz w:val="20"/>
          <w:szCs w:val="20"/>
        </w:rPr>
        <w:t>En contraste, el contrato interadministrativo se configura como un negocio jurídico con contenido prestacional, en el cual una entidad pública asume la posición de contratante y la otra la de contratista, generándose obligaciones recíprocas relacionadas con la entrega de bienes, la ejecución de obras o la prestación de servicios. A diferencia del convenio, aquí no predomina la cooperación horizontal, sino una relación de carácter sinalagmático que se rige por las reglas propias de la contratación estatal y exige contraprestaciones claramente definidas entre las partes.</w:t>
      </w:r>
    </w:p>
    <w:p w14:paraId="4B028B11" w14:textId="77777777" w:rsidR="001A213C" w:rsidRPr="001A213C" w:rsidRDefault="001A213C" w:rsidP="001A213C">
      <w:pPr>
        <w:spacing w:after="0" w:line="240" w:lineRule="auto"/>
        <w:jc w:val="both"/>
        <w:rPr>
          <w:rFonts w:ascii="Verdana" w:eastAsia="Verdana" w:hAnsi="Verdana" w:cs="Verdana"/>
          <w:sz w:val="20"/>
          <w:szCs w:val="20"/>
          <w:lang w:val="es-ES"/>
        </w:rPr>
      </w:pPr>
    </w:p>
    <w:p w14:paraId="7E6CE791" w14:textId="77777777" w:rsidR="00F9255F" w:rsidRPr="00F727A7" w:rsidRDefault="00F9255F" w:rsidP="00F9255F">
      <w:pPr>
        <w:spacing w:after="0" w:line="240" w:lineRule="auto"/>
        <w:jc w:val="both"/>
        <w:rPr>
          <w:rFonts w:ascii="Verdana" w:eastAsia="Verdana" w:hAnsi="Verdana" w:cs="Verdana"/>
          <w:b/>
          <w:bCs/>
          <w:lang w:val="es-ES"/>
        </w:rPr>
      </w:pPr>
      <w:r w:rsidRPr="00F727A7">
        <w:rPr>
          <w:rFonts w:ascii="Verdana" w:eastAsia="Verdana" w:hAnsi="Verdana" w:cs="Verdana"/>
          <w:b/>
          <w:bCs/>
          <w:lang w:val="es-ES"/>
        </w:rPr>
        <w:t xml:space="preserve">CONVENIOS INTERADMINISTRATIVOS – Cooperantes – Entidad ejecutora – Fines comunes </w:t>
      </w:r>
    </w:p>
    <w:p w14:paraId="32FC9B17" w14:textId="77777777" w:rsidR="00F9255F" w:rsidRPr="00F727A7" w:rsidRDefault="00F9255F" w:rsidP="00F9255F">
      <w:pPr>
        <w:spacing w:after="0" w:line="240" w:lineRule="auto"/>
        <w:jc w:val="both"/>
        <w:rPr>
          <w:rFonts w:ascii="Verdana" w:eastAsia="Verdana" w:hAnsi="Verdana" w:cs="Verdana"/>
          <w:b/>
          <w:bCs/>
          <w:lang w:val="es-ES"/>
        </w:rPr>
      </w:pPr>
    </w:p>
    <w:p w14:paraId="1FD68D1C" w14:textId="77777777" w:rsidR="00F9255F" w:rsidRPr="006A42BE" w:rsidRDefault="00F9255F" w:rsidP="00F9255F">
      <w:pPr>
        <w:spacing w:after="0" w:line="240" w:lineRule="auto"/>
        <w:jc w:val="both"/>
        <w:rPr>
          <w:rFonts w:ascii="Verdana" w:eastAsia="Verdana" w:hAnsi="Verdana" w:cs="Verdana"/>
          <w:sz w:val="20"/>
          <w:szCs w:val="20"/>
        </w:rPr>
      </w:pPr>
      <w:r w:rsidRPr="006A42BE">
        <w:rPr>
          <w:rFonts w:ascii="Verdana" w:eastAsia="Verdana" w:hAnsi="Verdana" w:cs="Verdana"/>
          <w:sz w:val="20"/>
          <w:szCs w:val="20"/>
        </w:rPr>
        <w:t xml:space="preserve">De igual manera, el convenio puede especificar la entidad o entidades ejecutoras, así como los costos directos, costos administrativos y demás erogaciones necesarias para su desarrollo. La inclusión de estos aspectos no altera la naturaleza colaborativa del </w:t>
      </w:r>
      <w:r w:rsidRPr="006A42BE">
        <w:rPr>
          <w:rFonts w:ascii="Verdana" w:eastAsia="Verdana" w:hAnsi="Verdana" w:cs="Verdana"/>
          <w:sz w:val="20"/>
          <w:szCs w:val="20"/>
        </w:rPr>
        <w:lastRenderedPageBreak/>
        <w:t xml:space="preserve">instrumento, sino que contribuye a su adecuada estructuración, planeación y control, garantizando claridad en la distribución de responsabilidades y en la gestión de los recursos públicos comprometidos. </w:t>
      </w:r>
      <w:r w:rsidRPr="006A42BE">
        <w:rPr>
          <w:rFonts w:ascii="Verdana" w:eastAsia="Verdana" w:hAnsi="Verdana" w:cs="Verdana"/>
          <w:sz w:val="20"/>
          <w:szCs w:val="20"/>
          <w:lang w:val="es-ES_tradnl"/>
        </w:rPr>
        <w:t xml:space="preserve">En esta línea, pueden estipularse convenios interadministrativos bajo la forma de una administración delegada sin el pacto de costos por concepto de honorarios, donde la entidad como actúa como administradora y ejecutora del convenio, como lo explicó en su momento la Agencia en el Concepto 1152 del 23 de septiembre de 2025. </w:t>
      </w:r>
    </w:p>
    <w:p w14:paraId="23272A71" w14:textId="77777777" w:rsidR="00D3739E" w:rsidRPr="003341FA" w:rsidRDefault="00D3739E" w:rsidP="003341FA">
      <w:pPr>
        <w:spacing w:after="0"/>
        <w:jc w:val="both"/>
        <w:rPr>
          <w:rFonts w:ascii="Verdana" w:eastAsia="Verdana" w:hAnsi="Verdana" w:cs="Verdana"/>
          <w:b/>
          <w:bCs/>
          <w:lang w:val="es-ES"/>
        </w:rPr>
      </w:pPr>
    </w:p>
    <w:p w14:paraId="563CFDCB" w14:textId="77777777" w:rsidR="00D3739E" w:rsidRPr="003341FA" w:rsidRDefault="00D3739E" w:rsidP="003341FA">
      <w:pPr>
        <w:spacing w:after="0"/>
        <w:jc w:val="both"/>
        <w:rPr>
          <w:rFonts w:ascii="Verdana" w:eastAsia="Verdana" w:hAnsi="Verdana" w:cs="Verdana"/>
          <w:b/>
          <w:bCs/>
          <w:lang w:val="es-ES"/>
        </w:rPr>
      </w:pPr>
      <w:r w:rsidRPr="003341FA">
        <w:rPr>
          <w:rFonts w:ascii="Verdana" w:eastAsia="Verdana" w:hAnsi="Verdana" w:cs="Verdana"/>
          <w:b/>
          <w:bCs/>
          <w:lang w:val="es-ES"/>
        </w:rPr>
        <w:t>LIQUIDACIÓN – Noción – Alcance</w:t>
      </w:r>
    </w:p>
    <w:p w14:paraId="68FDFD0C" w14:textId="77777777" w:rsidR="00D3739E" w:rsidRPr="004E3565" w:rsidRDefault="00D3739E" w:rsidP="003341FA">
      <w:pPr>
        <w:spacing w:after="0"/>
        <w:jc w:val="both"/>
        <w:rPr>
          <w:rFonts w:ascii="Verdana" w:eastAsia="Verdana" w:hAnsi="Verdana" w:cs="Verdana"/>
          <w:b/>
          <w:bCs/>
          <w:sz w:val="20"/>
          <w:szCs w:val="20"/>
          <w:lang w:val="es-ES"/>
        </w:rPr>
      </w:pPr>
    </w:p>
    <w:p w14:paraId="66857148" w14:textId="5F93184D" w:rsidR="00B4430A" w:rsidRPr="004E3565" w:rsidRDefault="00B4430A" w:rsidP="00B4430A">
      <w:pPr>
        <w:spacing w:after="0" w:line="240" w:lineRule="auto"/>
        <w:jc w:val="both"/>
        <w:rPr>
          <w:rFonts w:ascii="Verdana" w:eastAsia="Verdana" w:hAnsi="Verdana" w:cs="Verdana"/>
          <w:sz w:val="20"/>
          <w:szCs w:val="20"/>
          <w:lang w:val="es-ES"/>
        </w:rPr>
      </w:pPr>
      <w:r w:rsidRPr="004E3565">
        <w:rPr>
          <w:rFonts w:ascii="Verdana" w:eastAsia="Verdana" w:hAnsi="Verdana" w:cs="Verdana"/>
          <w:sz w:val="20"/>
          <w:szCs w:val="20"/>
          <w:lang w:val="es-ES"/>
        </w:rPr>
        <w:t>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 En armonía con lo anterior, la doctrina ha definido la liquidación de la siguiente manera:</w:t>
      </w:r>
    </w:p>
    <w:p w14:paraId="10205EE7" w14:textId="217AEE84" w:rsidR="00B4430A" w:rsidRPr="004E3565" w:rsidRDefault="00B4430A" w:rsidP="00B4430A">
      <w:pPr>
        <w:spacing w:after="0" w:line="240" w:lineRule="auto"/>
        <w:jc w:val="both"/>
        <w:rPr>
          <w:rFonts w:ascii="Verdana" w:eastAsia="Verdana" w:hAnsi="Verdana" w:cs="Verdana"/>
          <w:sz w:val="20"/>
          <w:szCs w:val="20"/>
          <w:lang w:val="es-ES_tradnl"/>
        </w:rPr>
      </w:pPr>
      <w:r w:rsidRPr="004E3565">
        <w:rPr>
          <w:rFonts w:ascii="Verdana" w:eastAsia="Verdana" w:hAnsi="Verdana" w:cs="Verdana"/>
          <w:sz w:val="20"/>
          <w:szCs w:val="20"/>
          <w:lang w:val="es-ES_tradnl"/>
        </w:rPr>
        <w:t>[…]</w:t>
      </w:r>
    </w:p>
    <w:p w14:paraId="532B1E98" w14:textId="44E5705A" w:rsidR="00D3739E" w:rsidRPr="004E3565" w:rsidRDefault="00B4430A" w:rsidP="00B4430A">
      <w:pPr>
        <w:spacing w:after="0" w:line="240" w:lineRule="auto"/>
        <w:jc w:val="both"/>
        <w:rPr>
          <w:rFonts w:ascii="Verdana" w:eastAsia="Verdana" w:hAnsi="Verdana" w:cs="Verdana"/>
          <w:sz w:val="20"/>
          <w:szCs w:val="20"/>
          <w:lang w:val="es-ES_tradnl"/>
        </w:rPr>
      </w:pPr>
      <w:r w:rsidRPr="004E3565">
        <w:rPr>
          <w:rFonts w:ascii="Verdana" w:eastAsia="Verdana" w:hAnsi="Verdana" w:cs="Verdana"/>
          <w:sz w:val="20"/>
          <w:szCs w:val="20"/>
          <w:lang w:val="es-ES_tradnl"/>
        </w:rPr>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4E3565">
        <w:rPr>
          <w:rFonts w:ascii="Verdana" w:eastAsia="Verdana" w:hAnsi="Verdana" w:cs="Verdana"/>
          <w:i/>
          <w:iCs/>
          <w:sz w:val="20"/>
          <w:szCs w:val="20"/>
          <w:lang w:val="es-ES_tradnl"/>
        </w:rPr>
        <w:t>liquidar</w:t>
      </w:r>
      <w:r w:rsidRPr="004E3565">
        <w:rPr>
          <w:rFonts w:ascii="Verdana" w:eastAsia="Verdana" w:hAnsi="Verdana" w:cs="Verdana"/>
          <w:sz w:val="20"/>
          <w:szCs w:val="20"/>
          <w:lang w:val="es-ES_tradnl"/>
        </w:rPr>
        <w:t xml:space="preserve"> supone un ajuste en relación con las cuentas y el estado de cumplimiento del contrato estatal y, por el otro, que la </w:t>
      </w:r>
      <w:r w:rsidRPr="004E3565">
        <w:rPr>
          <w:rFonts w:ascii="Verdana" w:eastAsia="Verdana" w:hAnsi="Verdana" w:cs="Verdana"/>
          <w:i/>
          <w:iCs/>
          <w:sz w:val="20"/>
          <w:szCs w:val="20"/>
          <w:lang w:val="es-ES_tradnl"/>
        </w:rPr>
        <w:t>liquidación</w:t>
      </w:r>
      <w:r w:rsidRPr="004E3565">
        <w:rPr>
          <w:rFonts w:ascii="Verdana" w:eastAsia="Verdana" w:hAnsi="Verdana" w:cs="Verdana"/>
          <w:sz w:val="20"/>
          <w:szCs w:val="20"/>
          <w:lang w:val="es-ES_tradnl"/>
        </w:rPr>
        <w:t xml:space="preserve"> debe incluir el análisis de las condiciones de calidad y oportunidad en la entrega de los bienes, obras o servicios, así como el balance económico y el comportamiento financiero del negocio.</w:t>
      </w:r>
    </w:p>
    <w:p w14:paraId="66A4FA73" w14:textId="77777777" w:rsidR="00B4430A" w:rsidRPr="003341FA" w:rsidRDefault="00B4430A" w:rsidP="00B4430A">
      <w:pPr>
        <w:spacing w:after="0"/>
        <w:jc w:val="both"/>
        <w:rPr>
          <w:rFonts w:ascii="Verdana" w:eastAsia="Verdana" w:hAnsi="Verdana" w:cs="Verdana"/>
          <w:b/>
          <w:bCs/>
          <w:lang w:val="es-ES"/>
        </w:rPr>
      </w:pPr>
    </w:p>
    <w:p w14:paraId="1E5800E5" w14:textId="68604BB0" w:rsidR="00D3739E" w:rsidRPr="003341FA" w:rsidRDefault="00D3739E" w:rsidP="003341FA">
      <w:pPr>
        <w:spacing w:after="0"/>
        <w:jc w:val="both"/>
        <w:rPr>
          <w:rFonts w:ascii="Verdana" w:eastAsia="Verdana" w:hAnsi="Verdana" w:cs="Verdana"/>
          <w:b/>
          <w:bCs/>
          <w:lang w:val="es-ES"/>
        </w:rPr>
      </w:pPr>
      <w:r w:rsidRPr="003341FA">
        <w:rPr>
          <w:rFonts w:ascii="Verdana" w:eastAsia="Verdana" w:hAnsi="Verdana" w:cs="Verdana"/>
          <w:b/>
          <w:bCs/>
          <w:lang w:val="es-ES"/>
        </w:rPr>
        <w:t xml:space="preserve">CONVENIOS INTERADMINISTRATIVOS – Autonomía – Límites </w:t>
      </w:r>
      <w:r w:rsidR="00ED0763" w:rsidRPr="00ED0763">
        <w:rPr>
          <w:rFonts w:ascii="Verdana" w:eastAsia="Verdana" w:hAnsi="Verdana" w:cs="Verdana"/>
          <w:b/>
          <w:bCs/>
          <w:lang w:val="es-ES"/>
        </w:rPr>
        <w:t>–</w:t>
      </w:r>
      <w:r w:rsidRPr="003341FA">
        <w:rPr>
          <w:rFonts w:ascii="Verdana" w:eastAsia="Verdana" w:hAnsi="Verdana" w:cs="Verdana"/>
          <w:b/>
          <w:bCs/>
          <w:lang w:val="es-ES"/>
        </w:rPr>
        <w:t xml:space="preserve"> </w:t>
      </w:r>
      <w:r w:rsidRPr="003341FA">
        <w:rPr>
          <w:rFonts w:ascii="Verdana" w:eastAsia="Verdana" w:hAnsi="Verdana" w:cs="Verdana"/>
          <w:b/>
          <w:bCs/>
        </w:rPr>
        <w:t>Restricciones sobre el vencimiento del plazo del convenio</w:t>
      </w:r>
      <w:r w:rsidRPr="003341FA">
        <w:rPr>
          <w:rFonts w:ascii="Verdana" w:eastAsia="Verdana" w:hAnsi="Verdana" w:cs="Verdana"/>
          <w:b/>
          <w:bCs/>
          <w:lang w:val="es-ES"/>
        </w:rPr>
        <w:t xml:space="preserve"> </w:t>
      </w:r>
    </w:p>
    <w:p w14:paraId="423576EC" w14:textId="77777777" w:rsidR="00D3739E" w:rsidRPr="00577511" w:rsidRDefault="00D3739E" w:rsidP="00577511">
      <w:pPr>
        <w:spacing w:after="0" w:line="240" w:lineRule="auto"/>
        <w:jc w:val="both"/>
        <w:rPr>
          <w:rFonts w:ascii="Verdana" w:eastAsia="Verdana" w:hAnsi="Verdana" w:cs="Verdana"/>
          <w:lang w:val="es-ES"/>
        </w:rPr>
      </w:pPr>
    </w:p>
    <w:p w14:paraId="4FD28790" w14:textId="77777777" w:rsidR="00577511" w:rsidRPr="004E3565" w:rsidRDefault="00577511" w:rsidP="00577511">
      <w:pPr>
        <w:spacing w:after="0" w:line="240" w:lineRule="auto"/>
        <w:jc w:val="both"/>
        <w:rPr>
          <w:rFonts w:ascii="Verdana" w:eastAsia="Verdana" w:hAnsi="Verdana" w:cs="Verdana"/>
          <w:sz w:val="20"/>
          <w:szCs w:val="20"/>
        </w:rPr>
      </w:pPr>
      <w:r w:rsidRPr="004E3565">
        <w:rPr>
          <w:rFonts w:ascii="Verdana" w:eastAsia="Verdana" w:hAnsi="Verdana" w:cs="Verdana"/>
          <w:sz w:val="20"/>
          <w:szCs w:val="20"/>
        </w:rPr>
        <w:t>En este contexto, cuando ocurre el vencimiento del plazo del convenio interadministrativo no genera la extinción de las obligaciones derivadas del convenio, ni impide que las entidades adopten actuaciones administrativas orientadas a reconocer prestaciones ya causadas. Dado que el convenio se rige por la autonomía de la voluntad de las partes, corresponde en el clausulado determinar si, una vez vencido el plazo, es posible expedir actas parciales de pago, adelantar gestiones de cierre financiero o adoptar decisiones administrativas para atender obligaciones derivadas del contrato de obra pública que está ejecutando la entidad pública cooperante que tiene la calidad de ejecutora. En ausencia de una prohibición expresa, el vencimiento del plazo no impide reconocer actividades ejecutadas dentro de la vigencia del convenio, pues ello responde a la necesidad de garantizar la adecuada administración de los recursos públicos comprometidos.</w:t>
      </w:r>
    </w:p>
    <w:p w14:paraId="25A2702B" w14:textId="77777777" w:rsidR="00577511" w:rsidRPr="00577511" w:rsidRDefault="00577511" w:rsidP="00577511">
      <w:pPr>
        <w:spacing w:after="0" w:line="240" w:lineRule="auto"/>
        <w:jc w:val="both"/>
        <w:rPr>
          <w:rFonts w:ascii="Verdana" w:eastAsia="Verdana" w:hAnsi="Verdana" w:cs="Verdana"/>
        </w:rPr>
      </w:pPr>
    </w:p>
    <w:p w14:paraId="5AA78DC1" w14:textId="77777777" w:rsidR="00577511" w:rsidRPr="004E3565" w:rsidRDefault="00577511" w:rsidP="00577511">
      <w:pPr>
        <w:spacing w:after="0" w:line="240" w:lineRule="auto"/>
        <w:jc w:val="both"/>
        <w:rPr>
          <w:rFonts w:ascii="Verdana" w:eastAsia="Verdana" w:hAnsi="Verdana" w:cs="Verdana"/>
          <w:sz w:val="20"/>
          <w:szCs w:val="20"/>
        </w:rPr>
      </w:pPr>
      <w:r w:rsidRPr="004E3565">
        <w:rPr>
          <w:rFonts w:ascii="Verdana" w:eastAsia="Verdana" w:hAnsi="Verdana" w:cs="Verdana"/>
          <w:sz w:val="20"/>
          <w:szCs w:val="20"/>
        </w:rPr>
        <w:t xml:space="preserve">Ahora bien, el alcance de estas actuaciones debe diferenciarse del régimen aplicable al contrato de obra pública, que está sometido al régimen de la entidad ejecutora, ya sea el Estatuto General de Contratación o el régimen especial correspondiente. En este punto </w:t>
      </w:r>
      <w:r w:rsidRPr="004E3565">
        <w:rPr>
          <w:rFonts w:ascii="Verdana" w:eastAsia="Verdana" w:hAnsi="Verdana" w:cs="Verdana"/>
          <w:sz w:val="20"/>
          <w:szCs w:val="20"/>
        </w:rPr>
        <w:lastRenderedPageBreak/>
        <w:t>conviene precisar que el acta parcial de pago no es un acto de liquidación —ni del convenio ni del contrato—, sino un instrumento propio de la fase de ejecución del contrato de obra, mediante el cual la entidad reconoce y paga las cantidades efectivamente ejecutadas conforme a la metodología de remuneración pactada. Por ello, su procedencia no depende de que el convenio interadministrativo esté o no liquidado: mientras existan prestaciones ejecutadas y debidamente soportadas, y exista respaldo presupuestal para atenderlas, el acta parcial se tramita bajo el régimen del contrato de obra con independencia del estado en que se encuentre el ciclo de cierre del convenio. La liquidación del convenio y la liquidación del contrato de obra son actuaciones distintas —con partes, régimen y finalidad diferentes— que no deben confundirse ni subordinarse la una a la otra. Las obligaciones causadas en el contrato —actas parciales, informes de avance, reconocimientos económicos, ajustes o revisiones derivadas de la ejecución— pueden y deben formalizarse conforme a su propio régimen jurídico, incluso si el convenio que soporta la financiación ha vencido.</w:t>
      </w:r>
    </w:p>
    <w:p w14:paraId="766837B9" w14:textId="77777777" w:rsidR="00577511" w:rsidRPr="00577511" w:rsidRDefault="00577511" w:rsidP="003341FA">
      <w:pPr>
        <w:spacing w:after="0"/>
        <w:jc w:val="both"/>
        <w:rPr>
          <w:rFonts w:ascii="Verdana" w:eastAsia="Verdana" w:hAnsi="Verdana" w:cs="Verdana"/>
          <w:b/>
          <w:bCs/>
        </w:rPr>
      </w:pPr>
    </w:p>
    <w:p w14:paraId="48207ED2" w14:textId="53FD7041" w:rsidR="003341FA" w:rsidRPr="003341FA" w:rsidRDefault="00D3739E" w:rsidP="003341FA">
      <w:pPr>
        <w:spacing w:after="0"/>
        <w:jc w:val="both"/>
        <w:rPr>
          <w:rFonts w:ascii="Verdana" w:eastAsia="Verdana" w:hAnsi="Verdana" w:cs="Verdana"/>
          <w:b/>
          <w:bCs/>
        </w:rPr>
      </w:pPr>
      <w:r w:rsidRPr="003341FA">
        <w:rPr>
          <w:rFonts w:ascii="Verdana" w:eastAsia="Verdana" w:hAnsi="Verdana" w:cs="Verdana"/>
          <w:b/>
          <w:bCs/>
          <w:lang w:val="es-ES"/>
        </w:rPr>
        <w:t xml:space="preserve">CONVENIOS INTERADMINISTRATIVOS – </w:t>
      </w:r>
      <w:r w:rsidRPr="003341FA">
        <w:rPr>
          <w:rFonts w:ascii="Verdana" w:eastAsia="Verdana" w:hAnsi="Verdana" w:cs="Verdana"/>
          <w:b/>
          <w:bCs/>
        </w:rPr>
        <w:t>Restricciones</w:t>
      </w:r>
      <w:r w:rsidR="00ED0763">
        <w:rPr>
          <w:rFonts w:ascii="Verdana" w:eastAsia="Verdana" w:hAnsi="Verdana" w:cs="Verdana"/>
          <w:b/>
          <w:bCs/>
        </w:rPr>
        <w:t xml:space="preserve"> </w:t>
      </w:r>
      <w:r w:rsidR="00ED0763" w:rsidRPr="00ED0763">
        <w:rPr>
          <w:rFonts w:ascii="Verdana" w:eastAsia="Verdana" w:hAnsi="Verdana" w:cs="Verdana"/>
          <w:b/>
          <w:bCs/>
          <w:lang w:val="es-ES"/>
        </w:rPr>
        <w:t>–</w:t>
      </w:r>
      <w:r w:rsidRPr="003341FA">
        <w:rPr>
          <w:rFonts w:ascii="Verdana" w:eastAsia="Verdana" w:hAnsi="Verdana" w:cs="Verdana"/>
          <w:b/>
          <w:bCs/>
        </w:rPr>
        <w:t xml:space="preserve"> Relación entre convenio y contrato de obra</w:t>
      </w:r>
    </w:p>
    <w:p w14:paraId="31645EB1" w14:textId="77777777" w:rsidR="003341FA" w:rsidRPr="003341FA" w:rsidRDefault="003341FA" w:rsidP="003341FA">
      <w:pPr>
        <w:spacing w:after="0"/>
        <w:jc w:val="both"/>
        <w:rPr>
          <w:rFonts w:ascii="Verdana" w:eastAsia="Verdana" w:hAnsi="Verdana" w:cs="Verdana"/>
          <w:b/>
          <w:bCs/>
        </w:rPr>
      </w:pPr>
    </w:p>
    <w:p w14:paraId="22D3303B" w14:textId="77777777" w:rsidR="004E3565" w:rsidRPr="004E3565" w:rsidRDefault="004E3565" w:rsidP="004E3565">
      <w:pPr>
        <w:tabs>
          <w:tab w:val="left" w:pos="7851"/>
        </w:tabs>
        <w:spacing w:after="0" w:line="240" w:lineRule="auto"/>
        <w:jc w:val="both"/>
        <w:rPr>
          <w:rFonts w:ascii="Verdana" w:eastAsiaTheme="minorEastAsia" w:hAnsi="Verdana" w:cs="Arial"/>
          <w:sz w:val="20"/>
          <w:szCs w:val="20"/>
        </w:rPr>
      </w:pPr>
      <w:r w:rsidRPr="004E3565">
        <w:rPr>
          <w:rFonts w:ascii="Verdana" w:eastAsiaTheme="minorEastAsia" w:hAnsi="Verdana" w:cs="Arial"/>
          <w:sz w:val="20"/>
          <w:szCs w:val="20"/>
          <w:lang w:eastAsia="es-CO"/>
        </w:rPr>
        <w:t xml:space="preserve">En este sentido, la relación entre convenio y contrato debe entenderse como complementaria y funcional, nunca como una subordinación. El convenio interadministrativo —al no estar sujeto al Estatuto General de Contratación— se rige por la autonomía de la voluntad de las partes, de modo que sus cláusulas, su ejecución, su terminación, su liquidación y su cierre financiero dependen de lo pactado entre las entidades cooperantes. El contrato de obra, por su parte, debe cumplir su propio ciclo contractual conforme al régimen aplicable, sin que las estipulaciones del convenio puedan alterar su naturaleza, sus obligaciones o sus efectos jurídicos. </w:t>
      </w:r>
      <w:r w:rsidRPr="004E3565">
        <w:rPr>
          <w:rFonts w:ascii="Verdana" w:eastAsiaTheme="minorEastAsia" w:hAnsi="Verdana" w:cs="Arial"/>
          <w:sz w:val="20"/>
          <w:szCs w:val="20"/>
        </w:rPr>
        <w:t>En todo caso, es pertinente señalar que las contingencias que surjan durante la ejecución, terminación o liquidación del contrato de obra pública pueden repercutir en el cierre y liquidación del convenio interadministrativo. En efecto, cuando el convenio incorpora obligaciones de reporte, hitos de ejecución, condiciones de desembolso o reglas de cierre financiero vinculadas al avance o culminación del contrato de obra, cualquier variación contractual —retrasos, modificaciones, prórrogas, incumplimientos o ajustes presupuestales— puede incidir en el cumplimiento de las obligaciones interadministrativas.</w:t>
      </w:r>
    </w:p>
    <w:p w14:paraId="5366A9AA" w14:textId="77777777" w:rsidR="003341FA" w:rsidRPr="003341FA" w:rsidRDefault="003341FA" w:rsidP="003341FA">
      <w:pPr>
        <w:spacing w:after="0"/>
        <w:jc w:val="both"/>
        <w:rPr>
          <w:rFonts w:ascii="Verdana" w:eastAsia="Verdana" w:hAnsi="Verdana" w:cs="Verdana"/>
          <w:b/>
          <w:bCs/>
        </w:rPr>
      </w:pPr>
    </w:p>
    <w:p w14:paraId="34A5DBE5" w14:textId="3925E2D4" w:rsidR="003341FA" w:rsidRPr="003341FA" w:rsidRDefault="00D3739E" w:rsidP="003341FA">
      <w:pPr>
        <w:spacing w:after="0"/>
        <w:jc w:val="both"/>
        <w:rPr>
          <w:rFonts w:ascii="Verdana" w:eastAsia="Verdana" w:hAnsi="Verdana" w:cs="Verdana"/>
          <w:b/>
          <w:bCs/>
        </w:rPr>
      </w:pPr>
      <w:r w:rsidRPr="003341FA">
        <w:rPr>
          <w:rFonts w:ascii="Verdana" w:eastAsia="Verdana" w:hAnsi="Verdana" w:cs="Verdana"/>
          <w:b/>
          <w:bCs/>
        </w:rPr>
        <w:t xml:space="preserve">CONVENIOS INTERADMINISTRATIVOS </w:t>
      </w:r>
      <w:r w:rsidR="00ED0763" w:rsidRPr="00ED0763">
        <w:rPr>
          <w:rFonts w:ascii="Verdana" w:eastAsia="Verdana" w:hAnsi="Verdana" w:cs="Verdana"/>
          <w:b/>
          <w:bCs/>
          <w:lang w:val="es-ES"/>
        </w:rPr>
        <w:t>–</w:t>
      </w:r>
      <w:r w:rsidR="00ED0763">
        <w:rPr>
          <w:rFonts w:ascii="Verdana" w:eastAsia="Verdana" w:hAnsi="Verdana" w:cs="Verdana"/>
          <w:b/>
          <w:bCs/>
        </w:rPr>
        <w:t xml:space="preserve"> </w:t>
      </w:r>
      <w:r w:rsidRPr="003341FA">
        <w:rPr>
          <w:rFonts w:ascii="Verdana" w:eastAsia="Verdana" w:hAnsi="Verdana" w:cs="Verdana"/>
          <w:b/>
          <w:bCs/>
        </w:rPr>
        <w:t xml:space="preserve">Aportes – Revisión – Ajustes </w:t>
      </w:r>
    </w:p>
    <w:p w14:paraId="257864C0" w14:textId="77777777" w:rsidR="003341FA" w:rsidRPr="004E3565" w:rsidRDefault="003341FA" w:rsidP="004E3565">
      <w:pPr>
        <w:spacing w:after="0" w:line="240" w:lineRule="auto"/>
        <w:jc w:val="both"/>
        <w:rPr>
          <w:rFonts w:ascii="Verdana" w:eastAsia="Verdana" w:hAnsi="Verdana" w:cs="Verdana"/>
          <w:sz w:val="20"/>
          <w:szCs w:val="20"/>
        </w:rPr>
      </w:pPr>
    </w:p>
    <w:p w14:paraId="3F2B8E63" w14:textId="1B442667" w:rsidR="004E3565" w:rsidRPr="004E3565" w:rsidRDefault="004E3565" w:rsidP="004E3565">
      <w:pPr>
        <w:spacing w:after="0" w:line="240" w:lineRule="auto"/>
        <w:jc w:val="both"/>
        <w:rPr>
          <w:rFonts w:ascii="Verdana" w:eastAsia="Verdana" w:hAnsi="Verdana" w:cs="Verdana"/>
          <w:sz w:val="20"/>
          <w:szCs w:val="20"/>
          <w:lang w:val="es-ES"/>
        </w:rPr>
      </w:pPr>
      <w:r w:rsidRPr="004E3565">
        <w:rPr>
          <w:rFonts w:ascii="Verdana" w:eastAsia="Verdana" w:hAnsi="Verdana" w:cs="Verdana"/>
          <w:sz w:val="20"/>
          <w:szCs w:val="20"/>
        </w:rPr>
        <w:t xml:space="preserve">Ahora bien, para evitar que el contrato de obra pública quede inconcluso por dificultades en el cierre financiero de un convenio interadministrativo, resulta necesario que las entidades adopten mecanismos de planeación y gestión anticipada del riesgo, orientados a garantizar la disponibilidad y oportunidad de los recursos comprometidos. Entre estos mecanismos se destacan la estructuración financiera previa del convenio, la definición clara de hitos de desembolso, la incorporación de cláusulas de reajuste y revisión de aportes, y la previsión de escenarios de contingencia que permitan reaccionar ante variaciones en costos, cronogramas o condiciones técnicas de la obra. </w:t>
      </w:r>
      <w:r w:rsidRPr="004E3565">
        <w:rPr>
          <w:rFonts w:ascii="Verdana" w:eastAsia="Verdana" w:hAnsi="Verdana" w:cs="Verdana"/>
          <w:sz w:val="20"/>
          <w:szCs w:val="20"/>
          <w:lang w:val="es-ES"/>
        </w:rPr>
        <w:t xml:space="preserve">En ese contexto, </w:t>
      </w:r>
      <w:r w:rsidRPr="004E3565">
        <w:rPr>
          <w:rFonts w:ascii="Verdana" w:eastAsia="Verdana" w:hAnsi="Verdana" w:cs="Verdana"/>
          <w:sz w:val="20"/>
          <w:szCs w:val="20"/>
          <w:lang w:val="es-ES"/>
        </w:rPr>
        <w:lastRenderedPageBreak/>
        <w:t xml:space="preserve">las entidades estatales podrán tener en cuenta para la estructuración de dichas </w:t>
      </w:r>
      <w:r w:rsidRPr="004E3565">
        <w:rPr>
          <w:rFonts w:ascii="Verdana" w:eastAsia="Verdana" w:hAnsi="Verdana" w:cs="Verdana"/>
          <w:i/>
          <w:sz w:val="20"/>
          <w:szCs w:val="20"/>
          <w:lang w:val="es-ES"/>
        </w:rPr>
        <w:t xml:space="preserve">fórmulas de reajuste </w:t>
      </w:r>
      <w:r w:rsidRPr="004E3565">
        <w:rPr>
          <w:rFonts w:ascii="Verdana" w:eastAsia="Verdana" w:hAnsi="Verdana" w:cs="Verdana"/>
          <w:sz w:val="20"/>
          <w:szCs w:val="20"/>
          <w:lang w:val="es-ES"/>
        </w:rPr>
        <w:t xml:space="preserve">de aportes, teniendo en cuenta los indicadores que consideren pertinentes, dependiendo de la experticia técnica requerida del objeto del convenio interadministrativo que pretende ejecutarse, y que a su vez le permita a las partes cooperantes calcular y  describir fenómenos de la realidad a través de la evolución en el tiempo de una o varias variables que ajusten los aportes en dinero o en especie incorporados en el convenio interadministrativo. </w:t>
      </w:r>
      <w:r w:rsidRPr="004E3565">
        <w:rPr>
          <w:rFonts w:ascii="Verdana" w:eastAsia="Verdana" w:hAnsi="Verdana" w:cs="Verdana"/>
          <w:sz w:val="20"/>
          <w:szCs w:val="20"/>
        </w:rPr>
        <w:t>Estas herramientas, alineadas con los principios de economía y eficiencia, permiten anticipar desequilibrios y asegurar que la cooperación interinstitucional se mantenga funcional durante toda la ejecución del proyecto.</w:t>
      </w:r>
    </w:p>
    <w:p w14:paraId="0C68455F" w14:textId="77777777" w:rsidR="003341FA" w:rsidRPr="004E3565" w:rsidRDefault="003341FA" w:rsidP="003341FA">
      <w:pPr>
        <w:spacing w:after="0"/>
        <w:jc w:val="both"/>
        <w:rPr>
          <w:rFonts w:ascii="Verdana" w:eastAsia="Verdana" w:hAnsi="Verdana" w:cs="Verdana"/>
          <w:b/>
          <w:bCs/>
          <w:lang w:val="es-ES"/>
        </w:rPr>
      </w:pPr>
    </w:p>
    <w:p w14:paraId="5095485E" w14:textId="49412A62" w:rsidR="003B07BB" w:rsidRPr="003341FA" w:rsidRDefault="00D3739E" w:rsidP="003341FA">
      <w:pPr>
        <w:spacing w:after="0"/>
        <w:jc w:val="both"/>
        <w:rPr>
          <w:rFonts w:ascii="Verdana" w:eastAsia="Verdana" w:hAnsi="Verdana" w:cs="Verdana"/>
          <w:b/>
          <w:bCs/>
        </w:rPr>
      </w:pPr>
      <w:r w:rsidRPr="003341FA">
        <w:rPr>
          <w:rFonts w:ascii="Verdana" w:eastAsia="Verdana" w:hAnsi="Verdana" w:cs="Verdana"/>
          <w:b/>
          <w:bCs/>
        </w:rPr>
        <w:t>CONVENIOS INTERADMINISTRATIVOS – Cierre financiero – Principios- Justificación</w:t>
      </w:r>
    </w:p>
    <w:p w14:paraId="257FE5D8" w14:textId="77777777" w:rsidR="003B07BB" w:rsidRPr="008C0FFB" w:rsidRDefault="003B07BB" w:rsidP="008C0FFB">
      <w:pPr>
        <w:spacing w:after="0" w:line="240" w:lineRule="auto"/>
        <w:jc w:val="both"/>
        <w:rPr>
          <w:rFonts w:ascii="Verdana" w:eastAsia="Verdana" w:hAnsi="Verdana" w:cs="Verdana"/>
          <w:sz w:val="20"/>
          <w:szCs w:val="20"/>
        </w:rPr>
      </w:pPr>
    </w:p>
    <w:p w14:paraId="2246CCF6" w14:textId="77777777" w:rsidR="008C0FFB" w:rsidRPr="008C0FFB" w:rsidRDefault="008C0FFB" w:rsidP="008C0FFB">
      <w:pPr>
        <w:spacing w:after="0" w:line="240" w:lineRule="auto"/>
        <w:jc w:val="both"/>
        <w:rPr>
          <w:rFonts w:ascii="Verdana" w:eastAsia="Verdana" w:hAnsi="Verdana" w:cs="Verdana"/>
          <w:sz w:val="20"/>
          <w:szCs w:val="20"/>
        </w:rPr>
      </w:pPr>
      <w:r w:rsidRPr="008C0FFB">
        <w:rPr>
          <w:rFonts w:ascii="Verdana" w:eastAsia="Verdana" w:hAnsi="Verdana" w:cs="Verdana"/>
          <w:sz w:val="20"/>
          <w:szCs w:val="20"/>
        </w:rPr>
        <w:t>Asimismo, desde los principios de responsabilidad y economía, es procedente acudir a instrumentos administrativos y financieros complementarios que permitan garantizar la continuidad de la obra cuando el convenio enfrenta dificultades de cierre. Entre ellos se encuentran la suscripción de otrosíes para ajustar aportes o plazos, procedente únicamente mientras el convenio conserve vigencia, pues una vez vencido el plazo no cabe su prórroga sino, en su caso, la celebración de un nuevo convenio; la celebración de convenios adicionales de apoyo financiero, la reasignación interna de recursos dentro de las entidades cooperantes, o la gestión de fuentes alternativas de financiación pública. Estas actuaciones deben estar justificadas y basarse en el principio de planeación, así como los principios que rigen la gestión fiscal, los cuales permitan evitar la paralización del proyecto y asegurar que los recursos ya invertidos no se pierdan por falta de cierre financiero.</w:t>
      </w:r>
    </w:p>
    <w:p w14:paraId="2997C0D0" w14:textId="77777777" w:rsidR="003341FA" w:rsidRPr="008C0FFB" w:rsidRDefault="003341FA" w:rsidP="008C0FFB">
      <w:pPr>
        <w:spacing w:after="0" w:line="240" w:lineRule="auto"/>
        <w:jc w:val="both"/>
        <w:rPr>
          <w:rFonts w:ascii="Verdana" w:eastAsia="Verdana" w:hAnsi="Verdana" w:cs="Verdana"/>
          <w:sz w:val="20"/>
          <w:szCs w:val="20"/>
        </w:rPr>
      </w:pPr>
    </w:p>
    <w:p w14:paraId="7250C283" w14:textId="77777777" w:rsidR="003341FA" w:rsidRPr="008C0FFB" w:rsidRDefault="003341FA" w:rsidP="008C0FFB">
      <w:pPr>
        <w:spacing w:after="0" w:line="240" w:lineRule="auto"/>
        <w:jc w:val="both"/>
        <w:rPr>
          <w:rFonts w:ascii="Verdana" w:eastAsia="Verdana" w:hAnsi="Verdana" w:cs="Verdana"/>
          <w:sz w:val="20"/>
          <w:szCs w:val="20"/>
        </w:rPr>
      </w:pPr>
    </w:p>
    <w:p w14:paraId="6A6EC502" w14:textId="77777777" w:rsidR="003341FA" w:rsidRDefault="003341FA" w:rsidP="007559D1">
      <w:pPr>
        <w:spacing w:after="0"/>
        <w:rPr>
          <w:rFonts w:ascii="Verdana" w:eastAsia="Verdana" w:hAnsi="Verdana" w:cs="Verdana"/>
        </w:rPr>
      </w:pPr>
    </w:p>
    <w:p w14:paraId="39B9FC06" w14:textId="77777777" w:rsidR="003341FA" w:rsidRDefault="003341FA" w:rsidP="007559D1">
      <w:pPr>
        <w:spacing w:after="0"/>
        <w:rPr>
          <w:rFonts w:ascii="Verdana" w:eastAsia="Verdana" w:hAnsi="Verdana" w:cs="Verdana"/>
        </w:rPr>
      </w:pPr>
    </w:p>
    <w:p w14:paraId="1FA20D5C" w14:textId="77777777" w:rsidR="003341FA" w:rsidRDefault="003341FA" w:rsidP="007559D1">
      <w:pPr>
        <w:spacing w:after="0"/>
        <w:rPr>
          <w:rFonts w:ascii="Verdana" w:eastAsia="Verdana" w:hAnsi="Verdana" w:cs="Verdana"/>
        </w:rPr>
      </w:pPr>
    </w:p>
    <w:p w14:paraId="141BEFE7" w14:textId="77777777" w:rsidR="003341FA" w:rsidRDefault="003341FA" w:rsidP="007559D1">
      <w:pPr>
        <w:spacing w:after="0"/>
        <w:rPr>
          <w:rFonts w:ascii="Verdana" w:eastAsia="Verdana" w:hAnsi="Verdana" w:cs="Verdana"/>
        </w:rPr>
      </w:pPr>
    </w:p>
    <w:p w14:paraId="3ED0448A" w14:textId="77777777" w:rsidR="003341FA" w:rsidRDefault="003341FA" w:rsidP="007559D1">
      <w:pPr>
        <w:spacing w:after="0"/>
        <w:rPr>
          <w:rFonts w:ascii="Verdana" w:eastAsia="Verdana" w:hAnsi="Verdana" w:cs="Verdana"/>
        </w:rPr>
      </w:pPr>
    </w:p>
    <w:p w14:paraId="4179A1BD" w14:textId="77777777" w:rsidR="003341FA" w:rsidRDefault="003341FA" w:rsidP="007559D1">
      <w:pPr>
        <w:spacing w:after="0"/>
        <w:rPr>
          <w:rFonts w:ascii="Verdana" w:eastAsia="Verdana" w:hAnsi="Verdana" w:cs="Verdana"/>
        </w:rPr>
      </w:pPr>
    </w:p>
    <w:p w14:paraId="6A273797" w14:textId="77777777" w:rsidR="003341FA" w:rsidRDefault="003341FA" w:rsidP="007559D1">
      <w:pPr>
        <w:spacing w:after="0"/>
        <w:rPr>
          <w:rFonts w:ascii="Verdana" w:eastAsia="Verdana" w:hAnsi="Verdana" w:cs="Verdana"/>
        </w:rPr>
      </w:pPr>
    </w:p>
    <w:p w14:paraId="14A25044" w14:textId="77777777" w:rsidR="003341FA" w:rsidRDefault="003341FA" w:rsidP="007559D1">
      <w:pPr>
        <w:spacing w:after="0"/>
        <w:rPr>
          <w:rFonts w:ascii="Verdana" w:eastAsia="Verdana" w:hAnsi="Verdana" w:cs="Verdana"/>
        </w:rPr>
      </w:pPr>
    </w:p>
    <w:p w14:paraId="101C61A1" w14:textId="77777777" w:rsidR="003341FA" w:rsidRDefault="003341FA" w:rsidP="007559D1">
      <w:pPr>
        <w:spacing w:after="0"/>
        <w:rPr>
          <w:rFonts w:ascii="Verdana" w:eastAsia="Verdana" w:hAnsi="Verdana" w:cs="Verdana"/>
        </w:rPr>
      </w:pPr>
    </w:p>
    <w:p w14:paraId="41C8A3A0" w14:textId="77777777" w:rsidR="008C0FFB" w:rsidRDefault="008C0FFB" w:rsidP="007559D1">
      <w:pPr>
        <w:spacing w:after="0"/>
        <w:rPr>
          <w:rFonts w:ascii="Verdana" w:eastAsia="Verdana" w:hAnsi="Verdana" w:cs="Verdana"/>
        </w:rPr>
      </w:pPr>
    </w:p>
    <w:p w14:paraId="550DDD05" w14:textId="77777777" w:rsidR="008C0FFB" w:rsidRDefault="008C0FFB" w:rsidP="007559D1">
      <w:pPr>
        <w:spacing w:after="0"/>
        <w:rPr>
          <w:rFonts w:ascii="Verdana" w:eastAsia="Verdana" w:hAnsi="Verdana" w:cs="Verdana"/>
        </w:rPr>
      </w:pPr>
    </w:p>
    <w:p w14:paraId="5B4553CA" w14:textId="77777777" w:rsidR="008C0FFB" w:rsidRDefault="008C0FFB" w:rsidP="007559D1">
      <w:pPr>
        <w:spacing w:after="0"/>
        <w:rPr>
          <w:rFonts w:ascii="Verdana" w:eastAsia="Verdana" w:hAnsi="Verdana" w:cs="Verdana"/>
        </w:rPr>
      </w:pPr>
    </w:p>
    <w:p w14:paraId="2484D097" w14:textId="77777777" w:rsidR="008C0FFB" w:rsidRDefault="008C0FFB" w:rsidP="007559D1">
      <w:pPr>
        <w:spacing w:after="0"/>
        <w:rPr>
          <w:rFonts w:ascii="Verdana" w:eastAsia="Verdana" w:hAnsi="Verdana" w:cs="Verdana"/>
        </w:rPr>
      </w:pPr>
    </w:p>
    <w:p w14:paraId="201318FC" w14:textId="77777777" w:rsidR="008C0FFB" w:rsidRDefault="008C0FFB" w:rsidP="007559D1">
      <w:pPr>
        <w:spacing w:after="0"/>
        <w:rPr>
          <w:rFonts w:ascii="Verdana" w:eastAsia="Verdana" w:hAnsi="Verdana" w:cs="Verdana"/>
        </w:rPr>
      </w:pPr>
    </w:p>
    <w:p w14:paraId="620E11D4" w14:textId="4ACC63C0" w:rsidR="007559D1" w:rsidRDefault="007559D1" w:rsidP="007559D1">
      <w:pPr>
        <w:spacing w:after="0"/>
        <w:rPr>
          <w:rFonts w:ascii="Verdana" w:hAnsi="Verdana"/>
        </w:rPr>
      </w:pPr>
      <w:r w:rsidRPr="30821638">
        <w:rPr>
          <w:rFonts w:ascii="Verdana" w:eastAsia="Verdana" w:hAnsi="Verdana" w:cs="Verdana"/>
        </w:rPr>
        <w:lastRenderedPageBreak/>
        <w:t>Bogotá D.C.,</w:t>
      </w:r>
      <w:r w:rsidR="003B07BB">
        <w:rPr>
          <w:rFonts w:ascii="Verdana" w:eastAsia="Verdana" w:hAnsi="Verdana" w:cs="Verdana"/>
        </w:rPr>
        <w:t xml:space="preserve"> 14 de agosto de 2026</w:t>
      </w:r>
      <w:r>
        <w:tab/>
      </w:r>
      <w:r>
        <w:br/>
      </w:r>
    </w:p>
    <w:p w14:paraId="50CED405" w14:textId="5DBC923E" w:rsidR="007559D1" w:rsidRPr="008C5755" w:rsidRDefault="007559D1" w:rsidP="007559D1">
      <w:pPr>
        <w:spacing w:after="0"/>
        <w:rPr>
          <w:rFonts w:ascii="Verdana" w:hAnsi="Verdana"/>
        </w:rPr>
      </w:pPr>
    </w:p>
    <w:p w14:paraId="29A8B423" w14:textId="1E1B8A87" w:rsidR="007559D1" w:rsidRPr="008C5755" w:rsidRDefault="00ED0763" w:rsidP="007559D1">
      <w:pPr>
        <w:spacing w:after="0" w:line="240" w:lineRule="auto"/>
        <w:rPr>
          <w:rFonts w:ascii="Verdana" w:eastAsia="Calibri" w:hAnsi="Verdana" w:cs="Times New Roman"/>
          <w:lang w:val="es-MX"/>
        </w:rPr>
      </w:pPr>
      <w:r w:rsidRPr="00204C7A">
        <w:rPr>
          <w:noProof/>
        </w:rPr>
        <w:drawing>
          <wp:anchor distT="0" distB="0" distL="114300" distR="114300" simplePos="0" relativeHeight="251658240" behindDoc="0" locked="0" layoutInCell="1" allowOverlap="1" wp14:anchorId="2B1A5277" wp14:editId="1FB81587">
            <wp:simplePos x="0" y="0"/>
            <wp:positionH relativeFrom="margin">
              <wp:align>right</wp:align>
            </wp:positionH>
            <wp:positionV relativeFrom="paragraph">
              <wp:posOffset>8255</wp:posOffset>
            </wp:positionV>
            <wp:extent cx="2506980" cy="770890"/>
            <wp:effectExtent l="0" t="0" r="7620" b="0"/>
            <wp:wrapSquare wrapText="bothSides"/>
            <wp:docPr id="15074425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9D1" w:rsidRPr="008C5755">
        <w:rPr>
          <w:rFonts w:ascii="Verdana" w:eastAsia="Calibri" w:hAnsi="Verdana" w:cs="Times New Roman"/>
          <w:lang w:val="es-MX"/>
        </w:rPr>
        <w:t xml:space="preserve">Señor </w:t>
      </w:r>
    </w:p>
    <w:p w14:paraId="481360E8" w14:textId="77777777" w:rsidR="007559D1" w:rsidRPr="008C5755" w:rsidRDefault="007559D1" w:rsidP="007559D1">
      <w:pPr>
        <w:spacing w:after="0" w:line="240" w:lineRule="auto"/>
        <w:rPr>
          <w:rFonts w:ascii="Verdana" w:eastAsia="Calibri" w:hAnsi="Verdana" w:cs="Times New Roman"/>
          <w:b/>
        </w:rPr>
      </w:pPr>
      <w:r w:rsidRPr="008C5755">
        <w:rPr>
          <w:rFonts w:ascii="Verdana" w:eastAsia="Calibri" w:hAnsi="Verdana" w:cs="Times New Roman"/>
          <w:b/>
        </w:rPr>
        <w:t>Jhony Alexander Cristancho Medina</w:t>
      </w:r>
    </w:p>
    <w:p w14:paraId="2A7974FB" w14:textId="77777777" w:rsidR="007559D1" w:rsidRPr="008C5755" w:rsidRDefault="007559D1" w:rsidP="007559D1">
      <w:pPr>
        <w:spacing w:after="0" w:line="240" w:lineRule="auto"/>
        <w:rPr>
          <w:rFonts w:ascii="Verdana" w:hAnsi="Verdana"/>
        </w:rPr>
      </w:pPr>
      <w:hyperlink r:id="rId12" w:history="1">
        <w:r w:rsidRPr="008C5755">
          <w:rPr>
            <w:rStyle w:val="Hipervnculo"/>
            <w:rFonts w:ascii="Verdana" w:hAnsi="Verdana"/>
          </w:rPr>
          <w:t>acmed48@hotmail.com</w:t>
        </w:r>
      </w:hyperlink>
      <w:r w:rsidRPr="008C5755">
        <w:rPr>
          <w:rFonts w:ascii="Verdana" w:hAnsi="Verdana"/>
        </w:rPr>
        <w:t xml:space="preserve"> </w:t>
      </w:r>
    </w:p>
    <w:p w14:paraId="10898CB7" w14:textId="77777777" w:rsidR="007559D1" w:rsidRPr="008C5755" w:rsidRDefault="007559D1" w:rsidP="007559D1">
      <w:pPr>
        <w:spacing w:after="0" w:line="240" w:lineRule="auto"/>
        <w:rPr>
          <w:rFonts w:ascii="Verdana" w:eastAsia="Calibri" w:hAnsi="Verdana" w:cs="Times New Roman"/>
        </w:rPr>
      </w:pPr>
      <w:r w:rsidRPr="008C5755">
        <w:rPr>
          <w:rFonts w:ascii="Verdana" w:eastAsia="Calibri" w:hAnsi="Verdana" w:cs="Times New Roman"/>
        </w:rPr>
        <w:t xml:space="preserve">Yopal, Casanare  </w:t>
      </w:r>
    </w:p>
    <w:p w14:paraId="07E7FF8E" w14:textId="77777777" w:rsidR="007559D1" w:rsidRPr="008C5755" w:rsidRDefault="007559D1" w:rsidP="007559D1">
      <w:pPr>
        <w:spacing w:after="0" w:line="240" w:lineRule="auto"/>
        <w:rPr>
          <w:rFonts w:ascii="Verdana" w:eastAsia="Calibri" w:hAnsi="Verdana" w:cs="Times New Roman"/>
        </w:rPr>
      </w:pPr>
    </w:p>
    <w:p w14:paraId="6A43B177" w14:textId="77777777" w:rsidR="007559D1" w:rsidRPr="00A12CB6" w:rsidRDefault="007559D1" w:rsidP="007559D1">
      <w:pPr>
        <w:spacing w:after="0" w:line="240" w:lineRule="auto"/>
        <w:rPr>
          <w:rFonts w:ascii="Verdana" w:eastAsia="Calibri" w:hAnsi="Verdana" w:cs="Times New Roman"/>
        </w:rPr>
      </w:pPr>
    </w:p>
    <w:p w14:paraId="41FC1BFD" w14:textId="40101BD3" w:rsidR="007559D1" w:rsidRPr="00A12CB6" w:rsidRDefault="007559D1" w:rsidP="007559D1">
      <w:pPr>
        <w:spacing w:after="0" w:line="256" w:lineRule="auto"/>
        <w:rPr>
          <w:rFonts w:ascii="Verdana" w:eastAsia="Calibri" w:hAnsi="Verdana" w:cs="Times New Roman"/>
          <w:b/>
          <w:bCs/>
          <w:lang w:val="es-ES"/>
        </w:rPr>
      </w:pPr>
      <w:r w:rsidRPr="00A12CB6">
        <w:rPr>
          <w:rFonts w:ascii="Verdana" w:eastAsia="Calibri" w:hAnsi="Verdana" w:cs="Times New Roman"/>
          <w:b/>
          <w:bCs/>
          <w:lang w:val="es-ES"/>
        </w:rPr>
        <w:t xml:space="preserve">                  </w:t>
      </w:r>
      <w:r>
        <w:rPr>
          <w:rFonts w:ascii="Verdana" w:eastAsia="Calibri" w:hAnsi="Verdana" w:cs="Times New Roman"/>
          <w:b/>
          <w:bCs/>
          <w:lang w:val="es-ES"/>
        </w:rPr>
        <w:t xml:space="preserve">                  Concepto C</w:t>
      </w:r>
      <w:r w:rsidR="00ED0763">
        <w:rPr>
          <w:rFonts w:ascii="Verdana" w:eastAsia="Calibri" w:hAnsi="Verdana" w:cs="Times New Roman"/>
          <w:b/>
          <w:bCs/>
          <w:lang w:val="es-ES"/>
        </w:rPr>
        <w:t>-</w:t>
      </w:r>
      <w:r>
        <w:rPr>
          <w:rFonts w:ascii="Verdana" w:eastAsia="Calibri" w:hAnsi="Verdana" w:cs="Times New Roman"/>
          <w:b/>
          <w:bCs/>
          <w:lang w:val="es-ES"/>
        </w:rPr>
        <w:t>1128 de 2026</w:t>
      </w:r>
    </w:p>
    <w:p w14:paraId="7FCA991D" w14:textId="77777777" w:rsidR="007559D1" w:rsidRPr="00A12CB6" w:rsidRDefault="007559D1" w:rsidP="007559D1">
      <w:pPr>
        <w:spacing w:after="0" w:line="256" w:lineRule="auto"/>
        <w:rPr>
          <w:rFonts w:ascii="Verdana" w:eastAsia="Calibri" w:hAnsi="Verdana" w:cs="Times New Roman"/>
          <w:lang w:val="es-ES_tradnl"/>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7559D1" w:rsidRPr="00A12CB6" w14:paraId="4F6F49B4" w14:textId="77777777" w:rsidTr="00516489">
        <w:trPr>
          <w:trHeight w:val="645"/>
        </w:trPr>
        <w:tc>
          <w:tcPr>
            <w:tcW w:w="2685" w:type="dxa"/>
            <w:hideMark/>
          </w:tcPr>
          <w:p w14:paraId="1A60F66F" w14:textId="77777777" w:rsidR="007559D1" w:rsidRPr="00A12CB6" w:rsidRDefault="007559D1" w:rsidP="00516489">
            <w:pPr>
              <w:spacing w:line="256" w:lineRule="auto"/>
              <w:rPr>
                <w:rFonts w:ascii="Verdana" w:hAnsi="Verdana"/>
                <w:b/>
                <w:bCs/>
                <w:lang w:val="es-ES_tradnl"/>
              </w:rPr>
            </w:pPr>
            <w:r w:rsidRPr="00A12CB6">
              <w:rPr>
                <w:rFonts w:ascii="Verdana" w:hAnsi="Verdana"/>
                <w:b/>
                <w:bCs/>
                <w:lang w:val="es-ES_tradnl"/>
              </w:rPr>
              <w:t xml:space="preserve">Temas:                   </w:t>
            </w:r>
          </w:p>
        </w:tc>
        <w:tc>
          <w:tcPr>
            <w:tcW w:w="6241" w:type="dxa"/>
            <w:hideMark/>
          </w:tcPr>
          <w:p w14:paraId="14DAAE68" w14:textId="56D97FD8" w:rsidR="007559D1" w:rsidRPr="00BC4D35" w:rsidRDefault="007559D1" w:rsidP="00516489">
            <w:pPr>
              <w:spacing w:line="276" w:lineRule="auto"/>
              <w:jc w:val="both"/>
              <w:rPr>
                <w:rFonts w:ascii="Verdana" w:hAnsi="Verdana" w:cs="Arial"/>
                <w:highlight w:val="yellow"/>
                <w:lang w:val="es-ES" w:eastAsia="es-ES"/>
              </w:rPr>
            </w:pPr>
            <w:r w:rsidRPr="00DD20D0">
              <w:rPr>
                <w:rFonts w:ascii="Verdana" w:hAnsi="Verdana" w:cs="Arial"/>
                <w:lang w:val="es-ES" w:eastAsia="es-ES"/>
              </w:rPr>
              <w:t xml:space="preserve">CONTRATOS Y CONVENIOS INTERADMINISTRATIVOS – Calidad de las partes – Entidades públicas / CONVENIOS INTERADMINISTRATIVOS – Noción – Diferencias </w:t>
            </w:r>
            <w:r w:rsidRPr="5794259B">
              <w:rPr>
                <w:rFonts w:ascii="Verdana" w:hAnsi="Verdana" w:cs="Arial"/>
                <w:lang w:val="es-ES" w:eastAsia="es-ES"/>
              </w:rPr>
              <w:t xml:space="preserve">– Contratos interadministrativos </w:t>
            </w:r>
            <w:r w:rsidRPr="00DD20D0">
              <w:rPr>
                <w:rFonts w:ascii="Verdana" w:hAnsi="Verdana" w:cs="Arial"/>
                <w:lang w:val="es-ES" w:eastAsia="es-ES"/>
              </w:rPr>
              <w:t>/ CONVENIOS INTERADMINISTRATIVOS – Cooperantes – Entidad ejecutora / LIQUIDACIÓN – Noción – Alcance / CONVENIOS INTERADMINISTRATIVOS</w:t>
            </w:r>
            <w:r>
              <w:rPr>
                <w:rFonts w:ascii="Verdana" w:hAnsi="Verdana" w:cs="Arial"/>
                <w:lang w:val="es-ES" w:eastAsia="es-ES"/>
              </w:rPr>
              <w:t xml:space="preserve"> – Autonomía – </w:t>
            </w:r>
            <w:r w:rsidRPr="5794259B">
              <w:rPr>
                <w:rFonts w:ascii="Verdana" w:hAnsi="Verdana" w:cs="Arial"/>
                <w:lang w:val="es-ES" w:eastAsia="es-ES"/>
              </w:rPr>
              <w:t>Límites</w:t>
            </w:r>
            <w:r>
              <w:rPr>
                <w:rFonts w:ascii="Verdana" w:hAnsi="Verdana" w:cs="Arial"/>
                <w:lang w:val="es-ES" w:eastAsia="es-ES"/>
              </w:rPr>
              <w:t xml:space="preserve"> - </w:t>
            </w:r>
            <w:r w:rsidRPr="003603CC">
              <w:rPr>
                <w:rFonts w:ascii="Verdana" w:hAnsi="Verdana" w:cs="Arial"/>
                <w:lang w:eastAsia="es-ES"/>
              </w:rPr>
              <w:t>Restricciones sobre el vencimiento del plazo del convenio</w:t>
            </w:r>
            <w:r w:rsidRPr="00DD20D0">
              <w:rPr>
                <w:rFonts w:ascii="Verdana" w:hAnsi="Verdana" w:cs="Arial"/>
                <w:lang w:val="es-ES" w:eastAsia="es-ES"/>
              </w:rPr>
              <w:t xml:space="preserve"> </w:t>
            </w:r>
            <w:r>
              <w:rPr>
                <w:rFonts w:ascii="Verdana" w:hAnsi="Verdana" w:cs="Arial"/>
                <w:lang w:val="es-ES" w:eastAsia="es-ES"/>
              </w:rPr>
              <w:t xml:space="preserve">/ CONVENIOS INTERADMINISTRATIVOS – </w:t>
            </w:r>
            <w:r w:rsidRPr="005A473F">
              <w:rPr>
                <w:rFonts w:ascii="Verdana" w:hAnsi="Verdana" w:cs="Arial"/>
                <w:lang w:eastAsia="es-ES"/>
              </w:rPr>
              <w:t>Restricciones</w:t>
            </w:r>
            <w:r>
              <w:rPr>
                <w:rFonts w:ascii="Verdana" w:hAnsi="Verdana" w:cs="Arial"/>
                <w:lang w:eastAsia="es-ES"/>
              </w:rPr>
              <w:t>- Re</w:t>
            </w:r>
            <w:r w:rsidRPr="005A473F">
              <w:rPr>
                <w:rFonts w:ascii="Verdana" w:hAnsi="Verdana" w:cs="Arial"/>
                <w:lang w:eastAsia="es-ES"/>
              </w:rPr>
              <w:t>lación entre convenio y contrato de obra</w:t>
            </w:r>
            <w:r>
              <w:rPr>
                <w:rFonts w:ascii="Verdana" w:hAnsi="Verdana" w:cs="Arial"/>
                <w:lang w:eastAsia="es-ES"/>
              </w:rPr>
              <w:t xml:space="preserve"> / CONVENIOS INTERADMINISTRATIVOS -Aportes – Revisión – Ajustes / CONVENIOS INTERADMINISTRATIVOS – Cierre financiero – Principios- Justificación</w:t>
            </w:r>
          </w:p>
        </w:tc>
        <w:tc>
          <w:tcPr>
            <w:tcW w:w="6237" w:type="dxa"/>
          </w:tcPr>
          <w:p w14:paraId="24619A75" w14:textId="77777777" w:rsidR="007559D1" w:rsidRPr="00A12CB6" w:rsidRDefault="007559D1" w:rsidP="00516489">
            <w:pPr>
              <w:spacing w:line="256" w:lineRule="auto"/>
              <w:rPr>
                <w:rFonts w:ascii="Verdana" w:hAnsi="Verdana"/>
              </w:rPr>
            </w:pPr>
          </w:p>
        </w:tc>
      </w:tr>
      <w:tr w:rsidR="007559D1" w:rsidRPr="00A12CB6" w14:paraId="2730B8FC" w14:textId="77777777" w:rsidTr="00516489">
        <w:tc>
          <w:tcPr>
            <w:tcW w:w="2685" w:type="dxa"/>
          </w:tcPr>
          <w:p w14:paraId="7B6B5800" w14:textId="77777777" w:rsidR="007559D1" w:rsidRDefault="007559D1" w:rsidP="00516489">
            <w:pPr>
              <w:spacing w:line="256" w:lineRule="auto"/>
              <w:rPr>
                <w:rFonts w:ascii="Verdana" w:hAnsi="Verdana"/>
                <w:lang w:val="es-ES_tradnl"/>
              </w:rPr>
            </w:pPr>
          </w:p>
          <w:p w14:paraId="601C017E" w14:textId="77777777" w:rsidR="007559D1" w:rsidRPr="00A12CB6" w:rsidRDefault="007559D1" w:rsidP="00516489">
            <w:pPr>
              <w:spacing w:line="256" w:lineRule="auto"/>
              <w:rPr>
                <w:rFonts w:ascii="Verdana" w:hAnsi="Verdana"/>
                <w:lang w:val="es-ES_tradnl"/>
              </w:rPr>
            </w:pPr>
          </w:p>
          <w:p w14:paraId="2D72249A" w14:textId="77777777" w:rsidR="007559D1" w:rsidRPr="00A12CB6" w:rsidRDefault="007559D1" w:rsidP="00516489">
            <w:pPr>
              <w:spacing w:line="256" w:lineRule="auto"/>
              <w:rPr>
                <w:rFonts w:ascii="Verdana" w:hAnsi="Verdana"/>
                <w:b/>
                <w:bCs/>
                <w:lang w:val="es-ES_tradnl"/>
              </w:rPr>
            </w:pPr>
            <w:r w:rsidRPr="00A12CB6">
              <w:rPr>
                <w:rFonts w:ascii="Verdana" w:hAnsi="Verdana"/>
                <w:b/>
                <w:bCs/>
                <w:lang w:val="es-ES_tradnl"/>
              </w:rPr>
              <w:t xml:space="preserve">Radicación:               </w:t>
            </w:r>
          </w:p>
        </w:tc>
        <w:tc>
          <w:tcPr>
            <w:tcW w:w="6241" w:type="dxa"/>
          </w:tcPr>
          <w:p w14:paraId="0EF2FC05" w14:textId="77777777" w:rsidR="007559D1" w:rsidRDefault="007559D1" w:rsidP="00516489">
            <w:pPr>
              <w:spacing w:line="257" w:lineRule="auto"/>
              <w:rPr>
                <w:rFonts w:ascii="Verdana" w:hAnsi="Verdana"/>
                <w:lang w:val="es-ES_tradnl"/>
              </w:rPr>
            </w:pPr>
          </w:p>
          <w:p w14:paraId="1ABAF7A7" w14:textId="77777777" w:rsidR="007559D1" w:rsidRPr="00A12CB6" w:rsidRDefault="007559D1" w:rsidP="00516489">
            <w:pPr>
              <w:spacing w:line="257" w:lineRule="auto"/>
              <w:rPr>
                <w:rFonts w:ascii="Verdana" w:hAnsi="Verdana"/>
                <w:lang w:val="es-ES_tradnl"/>
              </w:rPr>
            </w:pPr>
          </w:p>
          <w:p w14:paraId="11BB7F1D" w14:textId="77777777" w:rsidR="007559D1" w:rsidRPr="00630891" w:rsidRDefault="007559D1" w:rsidP="00516489">
            <w:pPr>
              <w:spacing w:line="257" w:lineRule="auto"/>
              <w:jc w:val="both"/>
              <w:rPr>
                <w:rFonts w:ascii="Verdana" w:hAnsi="Verdana"/>
              </w:rPr>
            </w:pPr>
            <w:r w:rsidRPr="00A12CB6">
              <w:rPr>
                <w:rFonts w:ascii="Verdana" w:hAnsi="Verdana"/>
                <w:lang w:val="es-ES_tradnl"/>
              </w:rPr>
              <w:t>Respuesta a consulta con radicado No</w:t>
            </w:r>
            <w:r>
              <w:rPr>
                <w:rFonts w:ascii="Verdana" w:hAnsi="Verdana"/>
                <w:lang w:val="es-ES_tradnl"/>
              </w:rPr>
              <w:t xml:space="preserve">. </w:t>
            </w:r>
            <w:r w:rsidRPr="008C5755">
              <w:rPr>
                <w:rFonts w:ascii="Verdana" w:hAnsi="Verdana"/>
              </w:rPr>
              <w:t>1_2026_07_15_009356</w:t>
            </w:r>
            <w:r>
              <w:rPr>
                <w:rFonts w:ascii="Verdana" w:hAnsi="Verdana"/>
              </w:rPr>
              <w:t xml:space="preserve"> y </w:t>
            </w:r>
            <w:r w:rsidRPr="00182004">
              <w:rPr>
                <w:rFonts w:ascii="Verdana" w:hAnsi="Verdana"/>
              </w:rPr>
              <w:t>1_2026_07_15_009360</w:t>
            </w:r>
            <w:r>
              <w:rPr>
                <w:rFonts w:ascii="Verdana" w:hAnsi="Verdana"/>
              </w:rPr>
              <w:t xml:space="preserve"> (acumulados)</w:t>
            </w:r>
          </w:p>
          <w:p w14:paraId="61082CE9" w14:textId="77777777" w:rsidR="007559D1" w:rsidRPr="00630891" w:rsidRDefault="007559D1" w:rsidP="00516489">
            <w:pPr>
              <w:spacing w:line="257" w:lineRule="auto"/>
              <w:jc w:val="both"/>
              <w:rPr>
                <w:rFonts w:ascii="Verdana" w:hAnsi="Verdana"/>
              </w:rPr>
            </w:pPr>
          </w:p>
          <w:p w14:paraId="11AFDB63" w14:textId="77777777" w:rsidR="007559D1" w:rsidRPr="00A12CB6" w:rsidRDefault="007559D1" w:rsidP="00516489">
            <w:pPr>
              <w:spacing w:line="257" w:lineRule="auto"/>
              <w:jc w:val="both"/>
              <w:rPr>
                <w:rFonts w:ascii="Verdana" w:hAnsi="Verdana"/>
              </w:rPr>
            </w:pPr>
          </w:p>
        </w:tc>
        <w:tc>
          <w:tcPr>
            <w:tcW w:w="6237" w:type="dxa"/>
          </w:tcPr>
          <w:p w14:paraId="2280184B" w14:textId="77777777" w:rsidR="007559D1" w:rsidRPr="00A12CB6" w:rsidRDefault="007559D1" w:rsidP="00516489">
            <w:pPr>
              <w:spacing w:line="256" w:lineRule="auto"/>
              <w:rPr>
                <w:rFonts w:ascii="Verdana" w:hAnsi="Verdana"/>
                <w:lang w:val="es-ES_tradnl"/>
              </w:rPr>
            </w:pPr>
          </w:p>
        </w:tc>
      </w:tr>
    </w:tbl>
    <w:p w14:paraId="133556D1" w14:textId="77777777" w:rsidR="007559D1" w:rsidRPr="009037F6" w:rsidRDefault="007559D1" w:rsidP="007559D1">
      <w:pPr>
        <w:spacing w:after="0" w:line="256" w:lineRule="auto"/>
        <w:rPr>
          <w:rFonts w:ascii="Verdana" w:eastAsia="Calibri" w:hAnsi="Verdana" w:cs="Times New Roman"/>
          <w:lang w:val="es-ES"/>
        </w:rPr>
      </w:pPr>
      <w:r>
        <w:rPr>
          <w:rFonts w:ascii="Verdana" w:eastAsia="Calibri" w:hAnsi="Verdana" w:cs="Times New Roman"/>
          <w:lang w:val="es-ES"/>
        </w:rPr>
        <w:t>Estimado Señor Cristancho</w:t>
      </w:r>
      <w:r w:rsidRPr="009037F6">
        <w:rPr>
          <w:rFonts w:ascii="Verdana" w:eastAsia="Calibri" w:hAnsi="Verdana" w:cs="Times New Roman"/>
          <w:lang w:val="es-ES"/>
        </w:rPr>
        <w:t xml:space="preserve">: </w:t>
      </w:r>
    </w:p>
    <w:p w14:paraId="00505D68" w14:textId="77777777" w:rsidR="007559D1" w:rsidRPr="009037F6" w:rsidRDefault="007559D1" w:rsidP="007559D1">
      <w:pPr>
        <w:spacing w:after="0" w:line="276" w:lineRule="auto"/>
        <w:rPr>
          <w:rFonts w:ascii="Verdana" w:eastAsia="Calibri" w:hAnsi="Verdana" w:cs="Times New Roman"/>
          <w:lang w:val="es-ES"/>
        </w:rPr>
      </w:pPr>
    </w:p>
    <w:p w14:paraId="261C0B37" w14:textId="77777777" w:rsidR="007559D1" w:rsidRDefault="007559D1" w:rsidP="007559D1">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w:t>
      </w:r>
      <w:r w:rsidRPr="009037F6">
        <w:rPr>
          <w:rFonts w:ascii="Verdana" w:eastAsia="Calibri" w:hAnsi="Verdana" w:cs="Times New Roman"/>
          <w:bCs/>
          <w:lang w:bidi="es-ES"/>
        </w:rPr>
        <w:lastRenderedPageBreak/>
        <w:t xml:space="preserve">contempladas en la Ley 1755 de 2015, así como lo establecido en la Resolución N° 469 del 2025 expedida por esta Agencia, </w:t>
      </w:r>
      <w:r w:rsidRPr="009037F6">
        <w:rPr>
          <w:rFonts w:ascii="Verdana" w:eastAsia="Calibri" w:hAnsi="Verdana" w:cs="Times New Roman"/>
          <w:bCs/>
          <w:lang w:val="es-ES" w:bidi="es-ES"/>
        </w:rPr>
        <w:t>respond</w:t>
      </w:r>
      <w:r>
        <w:rPr>
          <w:rFonts w:ascii="Verdana" w:eastAsia="Calibri" w:hAnsi="Verdana" w:cs="Times New Roman"/>
          <w:bCs/>
          <w:lang w:val="es-ES" w:bidi="es-ES"/>
        </w:rPr>
        <w:t>e las solicitudes de consulta del 15 de julio 2026</w:t>
      </w:r>
      <w:r w:rsidRPr="009037F6">
        <w:rPr>
          <w:rFonts w:ascii="Verdana" w:eastAsia="Calibri" w:hAnsi="Verdana" w:cs="Times New Roman"/>
          <w:bCs/>
          <w:lang w:val="es-ES" w:bidi="es-ES"/>
        </w:rPr>
        <w:t xml:space="preserve">, en la cual manifiesta: </w:t>
      </w:r>
    </w:p>
    <w:p w14:paraId="1CE70BCF" w14:textId="77777777" w:rsidR="007559D1" w:rsidRPr="009037F6" w:rsidRDefault="007559D1" w:rsidP="007559D1">
      <w:pPr>
        <w:spacing w:after="0" w:line="276" w:lineRule="auto"/>
        <w:jc w:val="both"/>
        <w:rPr>
          <w:rFonts w:ascii="Verdana" w:eastAsia="Calibri" w:hAnsi="Verdana" w:cs="Times New Roman"/>
          <w:bCs/>
          <w:lang w:val="es-ES" w:bidi="es-ES"/>
        </w:rPr>
      </w:pPr>
    </w:p>
    <w:p w14:paraId="66BCC95B" w14:textId="77777777" w:rsidR="007559D1" w:rsidRPr="00182004" w:rsidRDefault="007559D1" w:rsidP="007559D1">
      <w:pPr>
        <w:spacing w:after="0" w:line="240" w:lineRule="auto"/>
        <w:ind w:left="709"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182004">
        <w:rPr>
          <w:rFonts w:ascii="Verdana" w:eastAsia="Calibri" w:hAnsi="Verdana" w:cs="Times New Roman"/>
          <w:bCs/>
          <w:sz w:val="20"/>
          <w:szCs w:val="20"/>
          <w:lang w:bidi="es-ES"/>
        </w:rPr>
        <w:t>1. ¿Cuál es el tratamiento jurídico que debe darse a los convenios</w:t>
      </w:r>
      <w:r>
        <w:rPr>
          <w:rFonts w:ascii="Verdana" w:eastAsia="Calibri" w:hAnsi="Verdana" w:cs="Times New Roman"/>
          <w:bCs/>
          <w:sz w:val="20"/>
          <w:szCs w:val="20"/>
          <w:lang w:bidi="es-ES"/>
        </w:rPr>
        <w:t xml:space="preserve"> </w:t>
      </w:r>
      <w:r w:rsidRPr="00182004">
        <w:rPr>
          <w:rFonts w:ascii="Verdana" w:eastAsia="Calibri" w:hAnsi="Verdana" w:cs="Times New Roman"/>
          <w:bCs/>
          <w:sz w:val="20"/>
          <w:szCs w:val="20"/>
          <w:lang w:bidi="es-ES"/>
        </w:rPr>
        <w:t>interadministrativos mediante los cuales se financia o ejecuta una obra</w:t>
      </w:r>
      <w:r>
        <w:rPr>
          <w:rFonts w:ascii="Verdana" w:eastAsia="Calibri" w:hAnsi="Verdana" w:cs="Times New Roman"/>
          <w:bCs/>
          <w:sz w:val="20"/>
          <w:szCs w:val="20"/>
          <w:lang w:bidi="es-ES"/>
        </w:rPr>
        <w:t xml:space="preserve"> </w:t>
      </w:r>
      <w:r w:rsidRPr="00182004">
        <w:rPr>
          <w:rFonts w:ascii="Verdana" w:eastAsia="Calibri" w:hAnsi="Verdana" w:cs="Times New Roman"/>
          <w:bCs/>
          <w:sz w:val="20"/>
          <w:szCs w:val="20"/>
          <w:lang w:bidi="es-ES"/>
        </w:rPr>
        <w:t>pública, particularmente en su relación con el contrato de obra pública</w:t>
      </w:r>
      <w:r>
        <w:rPr>
          <w:rFonts w:ascii="Verdana" w:eastAsia="Calibri" w:hAnsi="Verdana" w:cs="Times New Roman"/>
          <w:bCs/>
          <w:sz w:val="20"/>
          <w:szCs w:val="20"/>
          <w:lang w:bidi="es-ES"/>
        </w:rPr>
        <w:t xml:space="preserve"> </w:t>
      </w:r>
      <w:r w:rsidRPr="00182004">
        <w:rPr>
          <w:rFonts w:ascii="Verdana" w:eastAsia="Calibri" w:hAnsi="Verdana" w:cs="Times New Roman"/>
          <w:bCs/>
          <w:sz w:val="20"/>
          <w:szCs w:val="20"/>
          <w:lang w:bidi="es-ES"/>
        </w:rPr>
        <w:t>celebrado para desarrollar el objeto del convenio? precisar si, desde la</w:t>
      </w:r>
      <w:r>
        <w:rPr>
          <w:rFonts w:ascii="Verdana" w:eastAsia="Calibri" w:hAnsi="Verdana" w:cs="Times New Roman"/>
          <w:bCs/>
          <w:sz w:val="20"/>
          <w:szCs w:val="20"/>
          <w:lang w:bidi="es-ES"/>
        </w:rPr>
        <w:t xml:space="preserve"> </w:t>
      </w:r>
      <w:r w:rsidRPr="00182004">
        <w:rPr>
          <w:rFonts w:ascii="Verdana" w:eastAsia="Calibri" w:hAnsi="Verdana" w:cs="Times New Roman"/>
          <w:bCs/>
          <w:sz w:val="20"/>
          <w:szCs w:val="20"/>
          <w:lang w:bidi="es-ES"/>
        </w:rPr>
        <w:t>perspectiva del Estatuto General de Contratación de la Administración</w:t>
      </w:r>
      <w:r>
        <w:rPr>
          <w:rFonts w:ascii="Verdana" w:eastAsia="Calibri" w:hAnsi="Verdana" w:cs="Times New Roman"/>
          <w:bCs/>
          <w:sz w:val="20"/>
          <w:szCs w:val="20"/>
          <w:lang w:bidi="es-ES"/>
        </w:rPr>
        <w:t xml:space="preserve"> </w:t>
      </w:r>
      <w:r w:rsidRPr="00182004">
        <w:rPr>
          <w:rFonts w:ascii="Verdana" w:eastAsia="Calibri" w:hAnsi="Verdana" w:cs="Times New Roman"/>
          <w:bCs/>
          <w:sz w:val="20"/>
          <w:szCs w:val="20"/>
          <w:lang w:bidi="es-ES"/>
        </w:rPr>
        <w:t>Pública, ambos negocios jurídicos conservan autonomía contractual o si,</w:t>
      </w:r>
    </w:p>
    <w:p w14:paraId="73859AFF" w14:textId="77777777" w:rsidR="007559D1" w:rsidRPr="00182004" w:rsidRDefault="007559D1" w:rsidP="007559D1">
      <w:pPr>
        <w:spacing w:after="0" w:line="240" w:lineRule="auto"/>
        <w:ind w:left="709" w:right="709"/>
        <w:jc w:val="both"/>
        <w:rPr>
          <w:rFonts w:ascii="Verdana" w:eastAsia="Calibri" w:hAnsi="Verdana" w:cs="Times New Roman"/>
          <w:bCs/>
          <w:sz w:val="20"/>
          <w:szCs w:val="20"/>
          <w:lang w:bidi="es-ES"/>
        </w:rPr>
      </w:pPr>
      <w:r w:rsidRPr="00182004">
        <w:rPr>
          <w:rFonts w:ascii="Verdana" w:eastAsia="Calibri" w:hAnsi="Verdana" w:cs="Times New Roman"/>
          <w:bCs/>
          <w:sz w:val="20"/>
          <w:szCs w:val="20"/>
          <w:lang w:bidi="es-ES"/>
        </w:rPr>
        <w:t>por el contrario, existe una relación funcional que deba ser considerada</w:t>
      </w:r>
      <w:r>
        <w:rPr>
          <w:rFonts w:ascii="Verdana" w:eastAsia="Calibri" w:hAnsi="Verdana" w:cs="Times New Roman"/>
          <w:bCs/>
          <w:sz w:val="20"/>
          <w:szCs w:val="20"/>
          <w:lang w:bidi="es-ES"/>
        </w:rPr>
        <w:t xml:space="preserve"> </w:t>
      </w:r>
      <w:r w:rsidRPr="00182004">
        <w:rPr>
          <w:rFonts w:ascii="Verdana" w:eastAsia="Calibri" w:hAnsi="Verdana" w:cs="Times New Roman"/>
          <w:bCs/>
          <w:sz w:val="20"/>
          <w:szCs w:val="20"/>
          <w:lang w:bidi="es-ES"/>
        </w:rPr>
        <w:t>al momento de su ejecución, terminación, liquidación y cierre financiero.</w:t>
      </w:r>
    </w:p>
    <w:p w14:paraId="67981AE6" w14:textId="77777777" w:rsidR="007559D1" w:rsidRDefault="007559D1" w:rsidP="007559D1">
      <w:pPr>
        <w:spacing w:after="0" w:line="240" w:lineRule="auto"/>
        <w:ind w:left="709" w:right="709"/>
        <w:jc w:val="both"/>
        <w:rPr>
          <w:rFonts w:ascii="Verdana" w:eastAsia="Calibri" w:hAnsi="Verdana" w:cs="Times New Roman"/>
          <w:bCs/>
          <w:sz w:val="20"/>
          <w:szCs w:val="20"/>
          <w:lang w:bidi="es-ES"/>
        </w:rPr>
      </w:pPr>
      <w:r w:rsidRPr="004A298F">
        <w:rPr>
          <w:rFonts w:ascii="Verdana" w:eastAsia="Calibri" w:hAnsi="Verdana" w:cs="Times New Roman"/>
          <w:bCs/>
          <w:sz w:val="20"/>
          <w:szCs w:val="20"/>
          <w:lang w:bidi="es-ES"/>
        </w:rPr>
        <w:t xml:space="preserve">2. Una vez vencido el plazo de ejecución de un convenio interadministrativo y encontrándose este pendiente de liquidación, ¿existe jurídicamente la posibilidad de adoptar actuaciones contractuales o administrativas que permitan atender obligaciones derivadas de actividades efectivamente ejecutadas, cuando tales actuaciones resultan necesarias para culminar un contrato de obra pública asociado al convenio? precisar si el vencimiento del plazo de ejecución del convenio extingue toda posibilidad de adelantar actuaciones relacionadas con su ejecución financiera o si, por el contrario, la ausencia de liquidación permite adoptar decisiones tendientes al cierre integral del proyecto, siempre dentro del marco de la legalidad y de los principios que rigen la contratación estatal. </w:t>
      </w:r>
    </w:p>
    <w:p w14:paraId="514CE9E8" w14:textId="77777777" w:rsidR="007559D1" w:rsidRDefault="007559D1" w:rsidP="007559D1">
      <w:pPr>
        <w:spacing w:after="0" w:line="240" w:lineRule="auto"/>
        <w:ind w:left="709" w:right="709"/>
        <w:jc w:val="both"/>
        <w:rPr>
          <w:rFonts w:ascii="Verdana" w:eastAsia="Calibri" w:hAnsi="Verdana" w:cs="Times New Roman"/>
          <w:bCs/>
          <w:sz w:val="20"/>
          <w:szCs w:val="20"/>
          <w:lang w:bidi="es-ES"/>
        </w:rPr>
      </w:pPr>
      <w:r w:rsidRPr="004A298F">
        <w:rPr>
          <w:rFonts w:ascii="Verdana" w:eastAsia="Calibri" w:hAnsi="Verdana" w:cs="Times New Roman"/>
          <w:bCs/>
          <w:sz w:val="20"/>
          <w:szCs w:val="20"/>
          <w:lang w:bidi="es-ES"/>
        </w:rPr>
        <w:t xml:space="preserve">3. En los eventos en que un convenio interadministrativo se encuentra vencido, pendiente de liquidación, y subsisten actividades ejecutadas y debidamente soportadas relacionadas con un contrato de obra pública derivado del mismo, ¿resulta jurídicamente procedente tramitar actas parciales de pago o mecanismos equivalentes que permitan atender dichas obligaciones antes de la liquidación del convenio, o tales actuaciones únicamente podrían efectuarse dentro del proceso de liquidación contractual? </w:t>
      </w:r>
    </w:p>
    <w:p w14:paraId="0EB648E5" w14:textId="77777777" w:rsidR="007559D1" w:rsidRPr="005000A1" w:rsidRDefault="007559D1" w:rsidP="007559D1">
      <w:pPr>
        <w:spacing w:after="0" w:line="240" w:lineRule="auto"/>
        <w:ind w:left="709" w:right="709"/>
        <w:jc w:val="both"/>
        <w:rPr>
          <w:rFonts w:ascii="Verdana" w:eastAsia="Calibri" w:hAnsi="Verdana" w:cs="Times New Roman"/>
          <w:bCs/>
          <w:sz w:val="20"/>
          <w:szCs w:val="20"/>
          <w:lang w:bidi="es-ES"/>
        </w:rPr>
      </w:pPr>
      <w:r w:rsidRPr="004A298F">
        <w:rPr>
          <w:rFonts w:ascii="Verdana" w:eastAsia="Calibri" w:hAnsi="Verdana" w:cs="Times New Roman"/>
          <w:bCs/>
          <w:sz w:val="20"/>
          <w:szCs w:val="20"/>
          <w:lang w:bidi="es-ES"/>
        </w:rPr>
        <w:t>4. Desde la perspectiva de los principios de economía, eficiencia, responsabilidad, planeación y sostenibilidad de la inversión pública previstos en la Ley 80 de 1993 y la Ley 1150 de 2007, ¿qué mecanismos contractuales y administrativos considera Colombia Compra Eficiente jurídicamente procedentes para evitar que un proyecto de infraestructura pública quede inconcluso por dificultades derivadas del cierre financiero de un convenio interadministrativo, especialmente cuando la paralización definitiva de la obra pueda generar riesgos para la adecuada inversión de los recursos públicos y la materialización del interés general?</w:t>
      </w:r>
    </w:p>
    <w:p w14:paraId="021723FB" w14:textId="77777777" w:rsidR="007559D1" w:rsidRPr="005000A1" w:rsidRDefault="007559D1" w:rsidP="007559D1">
      <w:pPr>
        <w:spacing w:after="0" w:line="240" w:lineRule="auto"/>
        <w:ind w:right="709"/>
        <w:jc w:val="both"/>
        <w:rPr>
          <w:rFonts w:ascii="Verdana" w:eastAsia="Calibri" w:hAnsi="Verdana" w:cs="Times New Roman"/>
          <w:bCs/>
          <w:sz w:val="21"/>
          <w:szCs w:val="21"/>
          <w:lang w:bidi="es-ES"/>
        </w:rPr>
      </w:pPr>
    </w:p>
    <w:p w14:paraId="4CCBFCCB" w14:textId="77777777" w:rsidR="007559D1" w:rsidRPr="009037F6" w:rsidRDefault="007559D1" w:rsidP="007559D1">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 xml:space="preserve">De manera preliminar, resulta necesario acotar que esta entidad solo tiene competencia para responder consultas sobre la aplicación de normas de carácter </w:t>
      </w:r>
      <w:r w:rsidRPr="009037F6">
        <w:rPr>
          <w:rFonts w:ascii="Verdana" w:eastAsia="Calibri" w:hAnsi="Verdana" w:cs="Times New Roman"/>
          <w:lang w:val="es-ES"/>
        </w:rPr>
        <w:lastRenderedPageBreak/>
        <w:t>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48ADE2D2" w14:textId="77777777" w:rsidR="007559D1" w:rsidRPr="009037F6" w:rsidRDefault="007559D1" w:rsidP="007559D1">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Times New Roman"/>
          <w:lang w:val="es-ES"/>
        </w:rPr>
        <w:t xml:space="preserve">los problemas jurídicos de su consulta. </w:t>
      </w:r>
    </w:p>
    <w:p w14:paraId="51E3726C" w14:textId="77777777" w:rsidR="007559D1" w:rsidRPr="009037F6" w:rsidRDefault="007559D1" w:rsidP="007559D1">
      <w:pPr>
        <w:spacing w:after="0" w:line="276" w:lineRule="auto"/>
        <w:rPr>
          <w:rFonts w:ascii="Verdana" w:eastAsia="Calibri" w:hAnsi="Verdana" w:cs="Times New Roman"/>
          <w:lang w:val="es-ES"/>
        </w:rPr>
      </w:pPr>
    </w:p>
    <w:p w14:paraId="1DA974CD" w14:textId="77777777" w:rsidR="007559D1" w:rsidRPr="009037F6" w:rsidRDefault="007559D1" w:rsidP="007559D1">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 planteado:</w:t>
      </w:r>
    </w:p>
    <w:p w14:paraId="08F28E9A" w14:textId="77777777" w:rsidR="007559D1" w:rsidRPr="009037F6" w:rsidRDefault="007559D1" w:rsidP="007559D1">
      <w:pPr>
        <w:spacing w:after="0" w:line="276" w:lineRule="auto"/>
        <w:rPr>
          <w:rFonts w:ascii="Verdana" w:eastAsia="Calibri" w:hAnsi="Verdana" w:cs="Times New Roman"/>
        </w:rPr>
      </w:pPr>
    </w:p>
    <w:p w14:paraId="5C557147" w14:textId="77777777" w:rsidR="007559D1" w:rsidRPr="00EA6D0E" w:rsidRDefault="007559D1" w:rsidP="007559D1">
      <w:pPr>
        <w:spacing w:after="0" w:line="276" w:lineRule="auto"/>
        <w:jc w:val="both"/>
        <w:rPr>
          <w:rFonts w:ascii="Verdana" w:eastAsia="Calibri" w:hAnsi="Verdana" w:cs="Times New Roman"/>
        </w:rPr>
      </w:pPr>
      <w:r w:rsidRPr="009037F6">
        <w:rPr>
          <w:rFonts w:ascii="Verdana" w:eastAsia="Calibri" w:hAnsi="Verdana" w:cs="Times New Roman"/>
        </w:rPr>
        <w:t>De acuerdo con</w:t>
      </w:r>
      <w:r>
        <w:rPr>
          <w:rFonts w:ascii="Verdana" w:eastAsia="Calibri" w:hAnsi="Verdana" w:cs="Times New Roman"/>
        </w:rPr>
        <w:t xml:space="preserve"> el contenido de sus solicitudes, la Agencia procede a resolver los siguientes problemas jurídicos: i) </w:t>
      </w:r>
      <w:r w:rsidRPr="00BC4D35">
        <w:rPr>
          <w:rFonts w:ascii="Verdana" w:eastAsia="Calibri" w:hAnsi="Verdana" w:cs="Times New Roman"/>
        </w:rPr>
        <w:t xml:space="preserve">¿Cuál es la naturaleza y el alcance de la relación entre un convenio interadministrativo que financia o soporta la ejecución de una obra pública y el contrato de obra pública celebrado para desarrollar su objeto, y cómo debe </w:t>
      </w:r>
      <w:r>
        <w:rPr>
          <w:rFonts w:ascii="Verdana" w:eastAsia="Calibri" w:hAnsi="Verdana" w:cs="Times New Roman"/>
        </w:rPr>
        <w:t xml:space="preserve">comprenderse </w:t>
      </w:r>
      <w:r w:rsidRPr="00BC4D35">
        <w:rPr>
          <w:rFonts w:ascii="Verdana" w:eastAsia="Calibri" w:hAnsi="Verdana" w:cs="Times New Roman"/>
        </w:rPr>
        <w:t>dicha relación en términos de autonomía contractual, funcionalidad, ejecución, terminación, liquidación y cierre financiero?</w:t>
      </w:r>
      <w:r>
        <w:rPr>
          <w:rFonts w:ascii="Verdana" w:eastAsia="Calibri" w:hAnsi="Verdana" w:cs="Times New Roman"/>
        </w:rPr>
        <w:t xml:space="preserve">; ii) </w:t>
      </w:r>
      <w:r w:rsidRPr="00BC4D35">
        <w:rPr>
          <w:rFonts w:ascii="Verdana" w:eastAsia="Calibri" w:hAnsi="Verdana" w:cs="Times New Roman"/>
        </w:rPr>
        <w:t>¿Cuál es el alcance jurídico del vencimiento del plazo de ejecución de un convenio interadministrativo respecto de la posibilidad de adoptar actuaciones contractuales o administrativas —incluyendo la expedición de actas parciales de pago u otros mecanismos de reconocimiento de obligaciones— destinadas a atender actividades efectivamente ejecutadas en el contrato de obra pública asociado, y si la ausencia de liquidación permite realizar gestiones orientadas al cierre financiero y material del proyecto?</w:t>
      </w:r>
      <w:r>
        <w:rPr>
          <w:rFonts w:ascii="Verdana" w:eastAsia="Calibri" w:hAnsi="Verdana" w:cs="Times New Roman"/>
        </w:rPr>
        <w:t>; iii) ¿</w:t>
      </w:r>
      <w:r w:rsidRPr="00BC4D35">
        <w:rPr>
          <w:rFonts w:ascii="Verdana" w:eastAsia="Calibri" w:hAnsi="Verdana" w:cs="Times New Roman"/>
        </w:rPr>
        <w:t xml:space="preserve">Qué mecanismos resultan procedentes, desde los principios de economía, eficiencia, </w:t>
      </w:r>
      <w:r w:rsidRPr="00BC4D35">
        <w:rPr>
          <w:rFonts w:ascii="Verdana" w:eastAsia="Calibri" w:hAnsi="Verdana" w:cs="Times New Roman"/>
        </w:rPr>
        <w:lastRenderedPageBreak/>
        <w:t>responsabilidad, planeación y sostenibilidad de la inversión pública, para evitar que un proyecto de infraestructura quede inconcluso por dificultades en el cierre financiero de un convenio interadministrativo, especialmente cuando la paralización de la obra compromete la adecuada inversión de los recursos públicos?</w:t>
      </w:r>
    </w:p>
    <w:p w14:paraId="54E787A2" w14:textId="77777777" w:rsidR="007559D1" w:rsidRPr="00277150" w:rsidRDefault="007559D1" w:rsidP="007559D1">
      <w:pPr>
        <w:spacing w:after="0" w:line="276" w:lineRule="auto"/>
        <w:jc w:val="both"/>
        <w:rPr>
          <w:rFonts w:ascii="Verdana" w:eastAsia="Calibri" w:hAnsi="Verdana" w:cs="Times New Roman"/>
          <w:i/>
          <w:iCs/>
          <w:lang w:val="es-ES"/>
        </w:rPr>
      </w:pPr>
    </w:p>
    <w:p w14:paraId="514B3FB2" w14:textId="77777777" w:rsidR="007559D1" w:rsidRDefault="007559D1" w:rsidP="007559D1">
      <w:pPr>
        <w:numPr>
          <w:ilvl w:val="0"/>
          <w:numId w:val="16"/>
        </w:numPr>
        <w:spacing w:after="0" w:line="256" w:lineRule="auto"/>
        <w:contextualSpacing/>
        <w:rPr>
          <w:rFonts w:ascii="Verdana" w:eastAsia="Calibri" w:hAnsi="Verdana" w:cs="Times New Roman"/>
          <w:b/>
          <w:bCs/>
          <w:lang w:val="es-ES"/>
        </w:rPr>
      </w:pPr>
      <w:r w:rsidRPr="00A12CB6">
        <w:rPr>
          <w:rFonts w:ascii="Verdana" w:eastAsia="Calibri" w:hAnsi="Verdana" w:cs="Times New Roman"/>
          <w:b/>
          <w:bCs/>
          <w:lang w:val="es-ES"/>
        </w:rPr>
        <w:t>Respuesta:</w:t>
      </w:r>
    </w:p>
    <w:p w14:paraId="4ED77471" w14:textId="77777777" w:rsidR="007559D1" w:rsidRPr="00A12CB6" w:rsidRDefault="007559D1" w:rsidP="007559D1">
      <w:pPr>
        <w:spacing w:after="0" w:line="276" w:lineRule="auto"/>
        <w:rPr>
          <w:rFonts w:ascii="Verdana" w:eastAsia="Calibri" w:hAnsi="Verdana" w:cs="Times New Roman"/>
          <w:b/>
          <w:bCs/>
          <w:lang w:val="es-ES"/>
        </w:rPr>
      </w:pPr>
    </w:p>
    <w:tbl>
      <w:tblPr>
        <w:tblStyle w:val="Tablaconcuadrcula"/>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7559D1" w:rsidRPr="001205D1" w14:paraId="22E87652" w14:textId="77777777" w:rsidTr="00516489">
        <w:trPr>
          <w:trHeight w:val="345"/>
          <w:jc w:val="center"/>
        </w:trPr>
        <w:tc>
          <w:tcPr>
            <w:tcW w:w="8784" w:type="dxa"/>
            <w:tcBorders>
              <w:bottom w:val="single" w:sz="4" w:space="0" w:color="auto"/>
            </w:tcBorders>
          </w:tcPr>
          <w:p w14:paraId="3A9AF8A7" w14:textId="77777777" w:rsidR="007559D1" w:rsidRPr="00A821FC" w:rsidRDefault="007559D1" w:rsidP="00516489">
            <w:pPr>
              <w:spacing w:line="276" w:lineRule="auto"/>
              <w:jc w:val="both"/>
              <w:rPr>
                <w:rFonts w:ascii="Verdana" w:eastAsia="Calibri" w:hAnsi="Verdana" w:cs="Times New Roman"/>
              </w:rPr>
            </w:pPr>
            <w:r>
              <w:rPr>
                <w:rFonts w:ascii="Verdana" w:eastAsia="Calibri" w:hAnsi="Verdana" w:cs="Times New Roman"/>
              </w:rPr>
              <w:t>En cuanto a los problemas jurídicos, objeto de consulta, se señala lo siguiente:</w:t>
            </w:r>
          </w:p>
          <w:p w14:paraId="66420432" w14:textId="77777777" w:rsidR="007559D1" w:rsidRPr="008F5034" w:rsidRDefault="007559D1" w:rsidP="00516489">
            <w:pPr>
              <w:spacing w:after="120" w:line="276" w:lineRule="auto"/>
              <w:ind w:firstLine="709"/>
              <w:jc w:val="both"/>
              <w:rPr>
                <w:rFonts w:ascii="Verdana" w:hAnsi="Verdana" w:cs="Arial"/>
                <w:lang w:val="es-ES" w:eastAsia="es-ES"/>
              </w:rPr>
            </w:pPr>
          </w:p>
          <w:p w14:paraId="0DA7D0BA" w14:textId="77777777" w:rsidR="007559D1" w:rsidRPr="00A00AAE" w:rsidRDefault="007559D1" w:rsidP="00516489">
            <w:pPr>
              <w:spacing w:after="120" w:line="276" w:lineRule="auto"/>
              <w:jc w:val="both"/>
              <w:rPr>
                <w:rFonts w:ascii="Verdana" w:hAnsi="Verdana" w:cs="Arial"/>
                <w:lang w:eastAsia="es-ES"/>
              </w:rPr>
            </w:pPr>
            <w:r w:rsidRPr="00DD536A">
              <w:rPr>
                <w:rFonts w:ascii="Verdana" w:hAnsi="Verdana" w:cs="Arial"/>
                <w:lang w:eastAsia="es-ES"/>
              </w:rPr>
              <w:t>i.</w:t>
            </w:r>
            <w:r w:rsidRPr="00A00AAE">
              <w:rPr>
                <w:rFonts w:ascii="Verdana" w:hAnsi="Verdana" w:cs="Arial"/>
                <w:lang w:eastAsia="es-ES"/>
              </w:rPr>
              <w:t xml:space="preserve"> El convenio interadministrativo y el contrato de obra pública celebrado para desarrollar su objeto son negocios jurídicos autónomos, cuya relación es complementaria y funcional, nunca de subordinación. El convenio no se rige por el Estatuto General de Contratación de la Administración Pública, sino por la autonomía de la voluntad de las entidades cooperantes (artículo 95 de la Ley 489 de 1998), de modo que su contenido, alcance, ejecución, terminación, liquidación y cierre financiero dependen de lo pactado. Cuando su objeto incluye financiar o soportar una obra a cargo de una de las partes, esta adquiere la calidad de entidad cooperante ejecutora. El contrato de obra que dicha entidad celebre, en cambio, se rige por el régimen jurídico que le sea propio —el Estatuto General de Contratación si está sometida a él, o el régimen especial correspondiente, sin perjuicio de los principios de la función administrativa, la gestión fiscal, el régimen de inhabilidades e incompatibilidades y el deber de publicidad en SECOP II— y cumple su propio ciclo contractual conforme a normas imperativas.</w:t>
            </w:r>
          </w:p>
          <w:p w14:paraId="79FF2BE2" w14:textId="77777777" w:rsidR="007559D1" w:rsidRPr="00A00AAE" w:rsidRDefault="007559D1" w:rsidP="00516489">
            <w:pPr>
              <w:spacing w:after="120" w:line="276" w:lineRule="auto"/>
              <w:ind w:firstLine="709"/>
              <w:jc w:val="both"/>
              <w:rPr>
                <w:rFonts w:ascii="Verdana" w:hAnsi="Verdana" w:cs="Arial"/>
                <w:lang w:eastAsia="es-ES"/>
              </w:rPr>
            </w:pPr>
            <w:r w:rsidRPr="00A00AAE">
              <w:rPr>
                <w:rFonts w:ascii="Verdana" w:hAnsi="Verdana" w:cs="Arial"/>
                <w:lang w:eastAsia="es-ES"/>
              </w:rPr>
              <w:t xml:space="preserve">En consecuencia, las estipulaciones del convenio —aportes, hitos, mecanismos de seguimiento— no sustituyen ni modifican el régimen del contrato de obra ni sus reglas sobre responsabilidad, supervisión, interventoría, modificación, terminación y liquidación. Ahora bien, esa autonomía no impide que las contingencias del contrato (retrasos, prórrogas, modificaciones, incumplimientos o ajustes presupuestales) repercutan en el cierre y liquidación del convenio cuando este incorpora obligaciones de reporte, condiciones de desembolso o reglas de cierre vinculadas al avance del contrato; de ahí la necesidad de articular ambos instrumentos y prever mecanismos de coordinación y contingencia. Finalmente, debe distinguirse la </w:t>
            </w:r>
            <w:r w:rsidRPr="00A00AAE">
              <w:rPr>
                <w:rFonts w:ascii="Verdana" w:hAnsi="Verdana" w:cs="Arial"/>
                <w:lang w:eastAsia="es-ES"/>
              </w:rPr>
              <w:lastRenderedPageBreak/>
              <w:t>liquidación de cada negocio: la del convenio es, por regla general, bilateral y se rige por lo pactado, sin que proceda la liquidación unilateral, pues el régimen paritario de la cooperación excluye el traslado automático de potestades exorbitantes propias de los contratos estatales; la del contrato de obra, por su parte, se rige por su propio régimen (artículo 60 de la Ley 80 de 1993 y artículo 11 de la Ley 1150 de 2007, cuando aplica el Estatuto).</w:t>
            </w:r>
          </w:p>
          <w:p w14:paraId="4D4385C5" w14:textId="77777777" w:rsidR="007559D1" w:rsidRPr="00A00AAE" w:rsidRDefault="007559D1" w:rsidP="00516489">
            <w:pPr>
              <w:spacing w:after="120" w:line="276" w:lineRule="auto"/>
              <w:jc w:val="both"/>
              <w:rPr>
                <w:rFonts w:ascii="Verdana" w:hAnsi="Verdana" w:cs="Arial"/>
                <w:lang w:eastAsia="es-ES"/>
              </w:rPr>
            </w:pPr>
            <w:r w:rsidRPr="00DD536A">
              <w:rPr>
                <w:rFonts w:ascii="Verdana" w:hAnsi="Verdana" w:cs="Arial"/>
                <w:lang w:eastAsia="es-ES"/>
              </w:rPr>
              <w:t>ii.</w:t>
            </w:r>
            <w:r w:rsidRPr="00A00AAE">
              <w:rPr>
                <w:rFonts w:ascii="Verdana" w:hAnsi="Verdana" w:cs="Arial"/>
                <w:lang w:eastAsia="es-ES"/>
              </w:rPr>
              <w:t xml:space="preserve"> El vencimiento del plazo de ejecución del convenio interadministrativo no extingue las obligaciones causadas dentro de su vigencia ni impide que las entidades adopten actuaciones administrativas orientadas a reconocerlas y a adelantar el cierre financiero y material del proyecto. Como el convenio se rige por la autonomía de la voluntad, corresponde al clausulado determinar el alcance de tales actuaciones tras el vencimiento; en ausencia de prohibición expresa, este no bloquea el reconocimiento de las prestaciones efectivamente ejecutadas.</w:t>
            </w:r>
          </w:p>
          <w:p w14:paraId="326FBC65" w14:textId="77777777" w:rsidR="007559D1" w:rsidRPr="00A00AAE" w:rsidRDefault="007559D1" w:rsidP="00516489">
            <w:pPr>
              <w:spacing w:after="120" w:line="276" w:lineRule="auto"/>
              <w:ind w:firstLine="709"/>
              <w:jc w:val="both"/>
              <w:rPr>
                <w:rFonts w:ascii="Verdana" w:hAnsi="Verdana" w:cs="Arial"/>
                <w:lang w:eastAsia="es-ES"/>
              </w:rPr>
            </w:pPr>
            <w:r w:rsidRPr="00A00AAE">
              <w:rPr>
                <w:rFonts w:ascii="Verdana" w:hAnsi="Verdana" w:cs="Arial"/>
                <w:lang w:eastAsia="es-ES"/>
              </w:rPr>
              <w:t>Respecto de las actas parciales de pago, debe precisarse que no constituyen un acto de liquidación —ni del convenio ni del contrato—, sino un instrumento propio de la fase de ejecución del contrato de obra, mediante el cual la entidad reconoce y paga las cantidades efectivamente ejecutadas conforme a la metodología de remuneración pactada. Por ello, su procedencia no depende de que el convenio esté o no liquidado: mientras existan prestaciones ejecutadas y debidamente soportadas, y exista respaldo presupuestal para atenderlas, el acta parcial se tramita bajo el régimen del contrato de obra, con independencia del estado del ciclo de cierre del convenio. La liquidación del convenio y la liquidación del contrato de obra son actuaciones distintas —con partes, régimen y finalidad diferentes— que no deben confundirse ni subordinarse la una a la otra. Así, por ejemplo, el reconocimiento de mayores cantidades de obra en contratos a precios unitarios no configura una adición contractual y no requiere otrosí, pero sí exige verificación de disponibilidad y expedición del compromiso presupuestal.</w:t>
            </w:r>
          </w:p>
          <w:p w14:paraId="039B42C4" w14:textId="77777777" w:rsidR="007559D1" w:rsidRPr="00A00AAE" w:rsidRDefault="007559D1" w:rsidP="00516489">
            <w:pPr>
              <w:spacing w:after="120" w:line="276" w:lineRule="auto"/>
              <w:ind w:firstLine="709"/>
              <w:jc w:val="both"/>
              <w:rPr>
                <w:rFonts w:ascii="Verdana" w:hAnsi="Verdana" w:cs="Arial"/>
                <w:lang w:eastAsia="es-ES"/>
              </w:rPr>
            </w:pPr>
            <w:r w:rsidRPr="00A00AAE">
              <w:rPr>
                <w:rFonts w:ascii="Verdana" w:hAnsi="Verdana" w:cs="Arial"/>
                <w:lang w:eastAsia="es-ES"/>
              </w:rPr>
              <w:t xml:space="preserve">Este reconocimiento posterior está condicionado por el principio de legalidad del gasto. El pago de prestaciones ejecutadas dentro de la vigencia, pero atendidas con posterioridad al cierre de la anualidad, exige que la obligación se encuentre respaldada por el registro presupuestal correspondiente y, según el caso, por la reserva presupuestal o la cuenta por </w:t>
            </w:r>
            <w:r w:rsidRPr="00A00AAE">
              <w:rPr>
                <w:rFonts w:ascii="Verdana" w:hAnsi="Verdana" w:cs="Arial"/>
                <w:lang w:eastAsia="es-ES"/>
              </w:rPr>
              <w:lastRenderedPageBreak/>
              <w:t>pagar debidamente constituida; a falta de dicho respaldo, el pago de obligaciones causadas por fuera de la vigencia puede configurar un hecho cumplido, proscrito por el artículo 71 del Estatuto Orgánico del Presupuesto. La gestión de cierre no se agota, entonces, en la voluntad de las entidades cooperantes: requiere verificar de manera previa el soporte presupuestal que ampare la erogación, y ceñir las actuaciones a las obligaciones causadas dentro de la vigencia y a las reglas pactadas.</w:t>
            </w:r>
          </w:p>
          <w:p w14:paraId="765D0508" w14:textId="77777777" w:rsidR="007559D1" w:rsidRPr="00A00AAE" w:rsidRDefault="007559D1" w:rsidP="00516489">
            <w:pPr>
              <w:spacing w:after="120" w:line="276" w:lineRule="auto"/>
              <w:jc w:val="both"/>
              <w:rPr>
                <w:rFonts w:ascii="Verdana" w:hAnsi="Verdana" w:cs="Arial"/>
                <w:lang w:eastAsia="es-ES"/>
              </w:rPr>
            </w:pPr>
            <w:r w:rsidRPr="00DD536A">
              <w:rPr>
                <w:rFonts w:ascii="Verdana" w:hAnsi="Verdana" w:cs="Arial"/>
                <w:lang w:eastAsia="es-ES"/>
              </w:rPr>
              <w:t>iii.</w:t>
            </w:r>
            <w:r w:rsidRPr="00A00AAE">
              <w:rPr>
                <w:rFonts w:ascii="Verdana" w:hAnsi="Verdana" w:cs="Arial"/>
                <w:lang w:eastAsia="es-ES"/>
              </w:rPr>
              <w:t xml:space="preserve"> Para evitar que un proyecto de infraestructura quede inconcluso por dificultades en el cierre financiero del convenio, las entidades deben acudir, en primer lugar, a mecanismos de planeación y gestión anticipada del riesgo: estructuración financiera previa del convenio, definición de hitos de desembolso, cláusulas de reajuste y revisión de aportes y previsión de escenarios de contingencia frente a variaciones en costos, cronogramas o condiciones técnicas. En segundo lugar, cuando el convenio ya enfrenta dificultades de cierre, resultan procedentes instrumentos correctivos como la suscripción de otrosíes para ajustar aportes o plazos —admisible únicamente mientras el convenio conserve vigencia, pues una vez vencido el plazo no cabe su prórroga sino, en su caso, la celebración de un nuevo convenio—, la celebración de convenios adicionales de apoyo financiero, la reasignación interna de recursos dentro de las entidades cooperantes o la gestión de fuentes alternativas de financiación pública. En todos los casos, estas actuaciones deben estar justificadas, sustentarse en el principio de planeación y en los principios que rigen la gestión fiscal, contar con el respaldo presupuestal correspondiente y limitarse a las obligaciones causadas dentro de la vigencia del convenio, conforme a lo pactado por las entidades cooperantes.</w:t>
            </w:r>
          </w:p>
          <w:p w14:paraId="69970E12" w14:textId="77777777" w:rsidR="007559D1" w:rsidRPr="00A00AAE" w:rsidRDefault="007559D1" w:rsidP="00516489">
            <w:pPr>
              <w:spacing w:after="120" w:line="276" w:lineRule="auto"/>
              <w:ind w:firstLine="709"/>
              <w:jc w:val="both"/>
              <w:rPr>
                <w:rFonts w:ascii="Verdana" w:hAnsi="Verdana" w:cs="Arial"/>
                <w:lang w:eastAsia="es-ES"/>
              </w:rPr>
            </w:pPr>
            <w:r w:rsidRPr="00A00AAE">
              <w:rPr>
                <w:rFonts w:ascii="Verdana" w:hAnsi="Verdana" w:cs="Arial"/>
                <w:lang w:eastAsia="es-ES"/>
              </w:rPr>
              <w:t xml:space="preserve">Al margen de lo anterior, debe advertirse que el análisis requerido para resolver situaciones específicas sobre la ejecución de convenios interadministrativos y de los contratos de obra que estos financian corresponde a quienes tengan interés en ello, en los términos de la aclaración preliminar de este oficio. Las afirmaciones aquí realizadas no constituyen juicios de valor sobre las circunstancias concretas que motivan la consulta; previo concepto de sus asesores, la adopción de la decisión corresponde a los </w:t>
            </w:r>
            <w:r w:rsidRPr="00A00AAE">
              <w:rPr>
                <w:rFonts w:ascii="Verdana" w:hAnsi="Verdana" w:cs="Arial"/>
                <w:lang w:eastAsia="es-ES"/>
              </w:rPr>
              <w:lastRenderedPageBreak/>
              <w:t>interesados y, en caso de conflicto, a las autoridades judiciales, fiscales y disciplinarias.</w:t>
            </w:r>
          </w:p>
          <w:p w14:paraId="6303C6A4" w14:textId="77777777" w:rsidR="007559D1" w:rsidRPr="008B4380" w:rsidRDefault="007559D1" w:rsidP="00516489">
            <w:pPr>
              <w:spacing w:after="120" w:line="276" w:lineRule="auto"/>
              <w:ind w:firstLine="709"/>
              <w:jc w:val="both"/>
              <w:rPr>
                <w:rFonts w:ascii="Verdana" w:hAnsi="Verdana" w:cs="Arial"/>
                <w:lang w:eastAsia="es-ES"/>
              </w:rPr>
            </w:pPr>
          </w:p>
        </w:tc>
      </w:tr>
    </w:tbl>
    <w:p w14:paraId="4B0FDB1D" w14:textId="77777777" w:rsidR="007559D1" w:rsidRPr="00A12CB6" w:rsidRDefault="007559D1" w:rsidP="007559D1">
      <w:pPr>
        <w:spacing w:after="0" w:line="276" w:lineRule="auto"/>
        <w:jc w:val="both"/>
        <w:rPr>
          <w:rFonts w:ascii="Verdana" w:eastAsia="Calibri" w:hAnsi="Verdana" w:cs="Arial"/>
          <w:bCs/>
          <w:color w:val="000000" w:themeColor="text1"/>
        </w:rPr>
      </w:pPr>
    </w:p>
    <w:p w14:paraId="3A55D1A2" w14:textId="77777777" w:rsidR="007559D1" w:rsidRPr="0093558D" w:rsidRDefault="007559D1" w:rsidP="007559D1">
      <w:pPr>
        <w:numPr>
          <w:ilvl w:val="0"/>
          <w:numId w:val="16"/>
        </w:numPr>
        <w:tabs>
          <w:tab w:val="left" w:pos="2268"/>
        </w:tabs>
        <w:spacing w:after="0" w:line="256" w:lineRule="auto"/>
        <w:rPr>
          <w:rFonts w:ascii="Verdana" w:eastAsia="Calibri" w:hAnsi="Verdana" w:cs="Times New Roman"/>
          <w:b/>
          <w:bCs/>
          <w:lang w:val="es-ES"/>
        </w:rPr>
      </w:pPr>
      <w:r w:rsidRPr="134495F9">
        <w:rPr>
          <w:rFonts w:ascii="Verdana" w:eastAsia="Calibri" w:hAnsi="Verdana" w:cs="Times New Roman"/>
          <w:b/>
          <w:bCs/>
          <w:lang w:val="es-ES"/>
        </w:rPr>
        <w:t>Razones de la respuesta:</w:t>
      </w:r>
    </w:p>
    <w:p w14:paraId="0958157D" w14:textId="77777777" w:rsidR="007559D1" w:rsidRPr="00A12CB6" w:rsidRDefault="007559D1" w:rsidP="007559D1">
      <w:pPr>
        <w:spacing w:after="0" w:line="256" w:lineRule="auto"/>
        <w:rPr>
          <w:rFonts w:ascii="Verdana" w:eastAsia="Calibri" w:hAnsi="Verdana" w:cs="Times New Roman"/>
          <w:b/>
          <w:bCs/>
          <w:lang w:val="es-ES"/>
        </w:rPr>
      </w:pPr>
    </w:p>
    <w:p w14:paraId="133D0387" w14:textId="77777777" w:rsidR="007559D1" w:rsidRPr="00A12CB6" w:rsidRDefault="007559D1" w:rsidP="007559D1">
      <w:pPr>
        <w:spacing w:after="0" w:line="276" w:lineRule="auto"/>
        <w:jc w:val="both"/>
        <w:rPr>
          <w:rFonts w:ascii="Verdana" w:eastAsia="Calibri" w:hAnsi="Verdana" w:cs="Arial"/>
          <w:lang w:val="es-ES"/>
        </w:rPr>
      </w:pPr>
      <w:r w:rsidRPr="00A12CB6">
        <w:rPr>
          <w:rFonts w:ascii="Verdana" w:eastAsia="Calibri" w:hAnsi="Verdana" w:cs="Arial"/>
          <w:lang w:val="es-ES"/>
        </w:rPr>
        <w:t xml:space="preserve">Lo anterior se sustenta en las siguientes consideraciones: </w:t>
      </w:r>
    </w:p>
    <w:p w14:paraId="26BCFE7A" w14:textId="77777777" w:rsidR="007559D1" w:rsidRPr="00303985" w:rsidRDefault="007559D1" w:rsidP="007559D1">
      <w:pPr>
        <w:spacing w:after="0" w:line="276" w:lineRule="auto"/>
        <w:jc w:val="both"/>
        <w:rPr>
          <w:rFonts w:ascii="Verdana" w:eastAsia="Calibri" w:hAnsi="Verdana" w:cs="Arial"/>
          <w:color w:val="000000" w:themeColor="text1"/>
          <w:lang w:val="es-ES"/>
        </w:rPr>
      </w:pPr>
    </w:p>
    <w:p w14:paraId="3B7B5D25" w14:textId="77777777" w:rsidR="007559D1" w:rsidRPr="00BE4AA0" w:rsidRDefault="007559D1" w:rsidP="007559D1">
      <w:pPr>
        <w:spacing w:after="120" w:line="276" w:lineRule="auto"/>
        <w:jc w:val="both"/>
        <w:rPr>
          <w:rFonts w:ascii="Verdana" w:eastAsia="Times New Roman" w:hAnsi="Verdana" w:cs="Arial"/>
          <w:color w:val="000000"/>
          <w:lang w:eastAsia="es-CO"/>
        </w:rPr>
      </w:pPr>
      <w:r>
        <w:rPr>
          <w:rFonts w:ascii="Verdana" w:eastAsia="Times New Roman" w:hAnsi="Verdana" w:cs="Arial"/>
          <w:color w:val="000000"/>
          <w:lang w:val="es-ES"/>
        </w:rPr>
        <w:t xml:space="preserve">i. </w:t>
      </w:r>
      <w:r w:rsidRPr="00BE4AA0">
        <w:rPr>
          <w:rFonts w:ascii="Verdana" w:eastAsia="Times New Roman" w:hAnsi="Verdana" w:cs="Arial"/>
          <w:color w:val="000000"/>
          <w:lang w:val="es-ES_tradnl" w:eastAsia="es-CO"/>
        </w:rPr>
        <w:t xml:space="preserve">La contratación Estatal constituye un instrumento </w:t>
      </w:r>
      <w:r>
        <w:rPr>
          <w:rFonts w:ascii="Verdana" w:eastAsia="Times New Roman" w:hAnsi="Verdana" w:cs="Arial"/>
          <w:color w:val="000000"/>
          <w:lang w:val="es-ES_tradnl" w:eastAsia="es-CO"/>
        </w:rPr>
        <w:t xml:space="preserve">mediante el </w:t>
      </w:r>
      <w:r w:rsidRPr="00BE4AA0">
        <w:rPr>
          <w:rFonts w:ascii="Verdana" w:eastAsia="Times New Roman" w:hAnsi="Verdana" w:cs="Arial"/>
          <w:color w:val="000000"/>
          <w:lang w:val="es-ES_tradnl" w:eastAsia="es-CO"/>
        </w:rPr>
        <w:t>cual las Entidades Públicas realizan el aprovisionamiento de sus bienes, obras y servicios, con el propósito de satisfacer las necesidades e intereses colectivos</w:t>
      </w:r>
      <w:r w:rsidRPr="00BE4AA0">
        <w:rPr>
          <w:vertAlign w:val="superscript"/>
          <w:lang w:eastAsia="es-CO"/>
        </w:rPr>
        <w:footnoteReference w:id="1"/>
      </w:r>
      <w:r w:rsidRPr="00BE4AA0">
        <w:rPr>
          <w:rFonts w:ascii="Verdana" w:eastAsia="Times New Roman" w:hAnsi="Verdana" w:cs="Arial"/>
          <w:color w:val="000000"/>
          <w:lang w:val="es-ES_tradnl" w:eastAsia="es-CO"/>
        </w:rPr>
        <w:t xml:space="preserve">. Para este propósito se sirve de la colaboración de los particulares o de otras entidades que integran la administración pública. </w:t>
      </w:r>
      <w:r w:rsidRPr="00BE4AA0">
        <w:rPr>
          <w:rFonts w:ascii="Verdana" w:eastAsia="Times New Roman" w:hAnsi="Verdana" w:cs="Arial"/>
          <w:color w:val="000000"/>
          <w:lang w:eastAsia="es-CO"/>
        </w:rPr>
        <w:t>Cuando se trata de contratos celebrados por dos Entidades Estatales, tales negocios jurídicos se han denominado como interadministrativos, en el entendido de que son celebrados entre Entidades Públicas. En efecto, la doctrina ha señalado que “se denominan contratos interadministrativos los contratos bilaterales celebrados entre dos entidades estatales”</w:t>
      </w:r>
      <w:r w:rsidRPr="00BE4AA0">
        <w:rPr>
          <w:vertAlign w:val="superscript"/>
          <w:lang w:eastAsia="es-CO"/>
        </w:rPr>
        <w:footnoteReference w:id="2"/>
      </w:r>
      <w:r w:rsidRPr="00BE4AA0">
        <w:rPr>
          <w:rFonts w:ascii="Verdana" w:eastAsia="Times New Roman" w:hAnsi="Verdana" w:cs="Arial"/>
          <w:color w:val="000000"/>
          <w:lang w:eastAsia="es-CO"/>
        </w:rPr>
        <w:t xml:space="preserve">. </w:t>
      </w:r>
    </w:p>
    <w:p w14:paraId="06B13195" w14:textId="77777777" w:rsidR="007559D1" w:rsidRPr="00BE4AA0" w:rsidRDefault="007559D1" w:rsidP="007559D1">
      <w:pPr>
        <w:spacing w:after="120" w:line="276" w:lineRule="auto"/>
        <w:ind w:firstLine="707"/>
        <w:jc w:val="both"/>
        <w:rPr>
          <w:rFonts w:ascii="Verdana" w:eastAsiaTheme="minorEastAsia" w:hAnsi="Verdana" w:cs="Arial"/>
          <w:lang w:eastAsia="es-CO"/>
        </w:rPr>
      </w:pPr>
      <w:r w:rsidRPr="00BE4AA0">
        <w:rPr>
          <w:rFonts w:ascii="Verdana" w:eastAsiaTheme="minorEastAsia" w:hAnsi="Verdana" w:cs="Arial"/>
          <w:lang w:eastAsia="es-CO"/>
        </w:rPr>
        <w:t>Si bien los contratos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sometida a la Ley 80 de 1993 celebrar esta clase de negocios jurídicos con una Entidad Estatal de régimen especial y no por ello dejará de ser un contrato o convenio interadministrativo.</w:t>
      </w:r>
    </w:p>
    <w:p w14:paraId="56C7CC23" w14:textId="77777777" w:rsidR="007559D1" w:rsidRPr="00BE4AA0" w:rsidRDefault="007559D1" w:rsidP="007559D1">
      <w:pPr>
        <w:spacing w:after="120" w:line="276" w:lineRule="auto"/>
        <w:ind w:firstLine="707"/>
        <w:jc w:val="both"/>
        <w:rPr>
          <w:rFonts w:ascii="Verdana" w:eastAsiaTheme="minorEastAsia" w:hAnsi="Verdana" w:cs="Arial"/>
          <w:lang w:eastAsia="es-CO"/>
        </w:rPr>
      </w:pPr>
      <w:r w:rsidRPr="00BE4AA0">
        <w:rPr>
          <w:rFonts w:ascii="Verdana" w:eastAsiaTheme="minorEastAsia" w:hAnsi="Verdana" w:cs="Arial"/>
          <w:lang w:eastAsia="es-CO"/>
        </w:rPr>
        <w:t xml:space="preserve">Un contrato interadministrativo no está determinado por la modalidad de selección utilizada para celebrarlo. La Ley 1150 de 2007 dispone que pueden celebrarse directamente, siempre que las obligaciones derivadas del mismo tengan relación directa con el objeto de la entidad ejecutora, señalado en la ley o en sus reglamentos, a menos que, según las excepciones previstas en dicha </w:t>
      </w:r>
      <w:r w:rsidRPr="00BE4AA0">
        <w:rPr>
          <w:rFonts w:ascii="Verdana" w:eastAsiaTheme="minorEastAsia" w:hAnsi="Verdana" w:cs="Arial"/>
          <w:lang w:eastAsia="es-CO"/>
        </w:rPr>
        <w:lastRenderedPageBreak/>
        <w:t>ley, deba adelantarse un procedimiento con pluralidad de oferentes</w:t>
      </w:r>
      <w:r w:rsidRPr="00BE4AA0">
        <w:rPr>
          <w:rFonts w:ascii="Verdana" w:eastAsiaTheme="minorEastAsia" w:hAnsi="Verdana" w:cs="Arial"/>
          <w:vertAlign w:val="superscript"/>
          <w:lang w:eastAsia="es-CO"/>
        </w:rPr>
        <w:footnoteReference w:id="3"/>
      </w:r>
      <w:r w:rsidRPr="00BE4AA0">
        <w:rPr>
          <w:rFonts w:ascii="Verdana" w:eastAsiaTheme="minorEastAsia" w:hAnsi="Verdana" w:cs="Arial"/>
          <w:lang w:eastAsia="es-CO"/>
        </w:rPr>
        <w:t>. Nótese que, en este caso, lo que cambia es la modalidad de selección y no la naturaleza de contrato</w:t>
      </w:r>
      <w:r w:rsidRPr="00BE4AA0">
        <w:rPr>
          <w:rFonts w:ascii="Verdana" w:eastAsiaTheme="minorEastAsia" w:hAnsi="Verdana" w:cs="Arial"/>
          <w:spacing w:val="-18"/>
          <w:lang w:eastAsia="es-CO"/>
        </w:rPr>
        <w:t xml:space="preserve"> </w:t>
      </w:r>
      <w:r w:rsidRPr="00BE4AA0">
        <w:rPr>
          <w:rFonts w:ascii="Verdana" w:eastAsiaTheme="minorEastAsia" w:hAnsi="Verdana" w:cs="Arial"/>
          <w:lang w:eastAsia="es-CO"/>
        </w:rPr>
        <w:t>interadministrativo.</w:t>
      </w:r>
    </w:p>
    <w:p w14:paraId="49EF3E98" w14:textId="77777777" w:rsidR="007559D1" w:rsidRPr="00BE4AA0" w:rsidRDefault="007559D1" w:rsidP="007559D1">
      <w:pPr>
        <w:spacing w:after="12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La Corte Constitucional, en Sentencia C-671 de 2015, expresó que “Lo que hace interadministrativo a un contrato o convenio no es el procedimiento de selección aplicable, sino la calidad de los sujetos contratantes, esto es que las dos partes de la relación jurídica contractual formen parte de la administración pública”</w:t>
      </w:r>
      <w:r w:rsidRPr="00BE4AA0">
        <w:rPr>
          <w:rFonts w:ascii="Verdana" w:eastAsiaTheme="minorEastAsia" w:hAnsi="Verdana" w:cs="Arial"/>
          <w:vertAlign w:val="superscript"/>
          <w:lang w:eastAsia="es-CO"/>
        </w:rPr>
        <w:footnoteReference w:id="4"/>
      </w:r>
      <w:r w:rsidRPr="00BE4AA0">
        <w:rPr>
          <w:rFonts w:ascii="Verdana" w:eastAsiaTheme="minorEastAsia" w:hAnsi="Verdana" w:cs="Arial"/>
          <w:lang w:eastAsia="es-CO"/>
        </w:rPr>
        <w:t xml:space="preserve">. Así las cosas, esta clase de acuerdos de voluntades se definen por un criterio orgánico, por lo que uno de sus elementos esenciales es que en los extremos de la relación jurídico negocial concurran personas de derecho público. </w:t>
      </w:r>
    </w:p>
    <w:p w14:paraId="7A412BED" w14:textId="77777777" w:rsidR="007559D1" w:rsidRPr="00BE4AA0" w:rsidRDefault="007559D1" w:rsidP="007559D1">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Es decir, lo que hace que un contrato o convenio sea interadministrativo es la naturaleza de las partes, independiente del régimen jurídico aplicable. Sin embargo, en los últimos años se han venido diferenciando los conceptos “contrato interadministrativo” y “convenio interadministrativo” como dos instituciones jurídicas independientes con producción de efectos jurídicos distintos. Al respecto, el Consejo de Estado distingue las dos instituciones, de la siguiente forma: </w:t>
      </w:r>
    </w:p>
    <w:p w14:paraId="313F13B7" w14:textId="77777777" w:rsidR="007559D1" w:rsidRPr="00BE4AA0" w:rsidRDefault="007559D1" w:rsidP="007559D1">
      <w:pPr>
        <w:spacing w:after="0" w:line="276" w:lineRule="auto"/>
        <w:ind w:firstLine="709"/>
        <w:jc w:val="both"/>
        <w:rPr>
          <w:rFonts w:ascii="Verdana" w:eastAsiaTheme="minorEastAsia" w:hAnsi="Verdana" w:cs="Arial"/>
          <w:lang w:eastAsia="es-CO"/>
        </w:rPr>
      </w:pPr>
    </w:p>
    <w:p w14:paraId="5BE42D9E" w14:textId="77777777" w:rsidR="007559D1" w:rsidRPr="00BE4AA0" w:rsidRDefault="007559D1" w:rsidP="007559D1">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"Si bien las nociones 'contrato' y 'convenio' interadministrativo tienen notas comunes como la de ser acuerdos de voluntades generadores de obligaciones entre entidades estatales, también resulta incontrovertible que tienen naturaleza, finalidad y características disímiles como son:</w:t>
      </w:r>
    </w:p>
    <w:p w14:paraId="5BB6F3F1" w14:textId="77777777" w:rsidR="007559D1" w:rsidRPr="00BE4AA0" w:rsidRDefault="007559D1" w:rsidP="007559D1">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val="es-ES" w:eastAsia="es-CO"/>
        </w:rPr>
        <w:t xml:space="preserve">El objeto de los contratos lo constituyen obligaciones de contenido patrimonial y, por </w:t>
      </w:r>
      <w:r w:rsidRPr="00BE4AA0">
        <w:rPr>
          <w:rFonts w:ascii="Verdana" w:eastAsiaTheme="minorEastAsia" w:hAnsi="Verdana" w:cs="Arial"/>
          <w:sz w:val="20"/>
          <w:szCs w:val="20"/>
          <w:lang w:eastAsia="es-CO"/>
        </w:rPr>
        <w:t xml:space="preserve">lo mismo, son onerosos, lo que implica el gravamen de cada parte en beneficio de la otra. En el contrato, como verdadero acuerdo de voluntades productor de efectos jurídicos, las partes actúan con intereses disímiles y contrapuestos; la entidad estatal contratante en un interés público, la entidad estatal contratista en su propio interés específico económico o de índole privado (es claro que una entidad estatal, puede y debe obtener ganancias, o generar valor respecto de su </w:t>
      </w:r>
      <w:r w:rsidRPr="00BE4AA0">
        <w:rPr>
          <w:rFonts w:ascii="Verdana" w:eastAsiaTheme="minorEastAsia" w:hAnsi="Verdana" w:cs="Arial"/>
          <w:sz w:val="20"/>
          <w:szCs w:val="20"/>
          <w:lang w:eastAsia="es-CO"/>
        </w:rPr>
        <w:lastRenderedPageBreak/>
        <w:t>patrimonio, productos o actividad, si así lo autoriza su objeto social, o las funciones que le haya otorgado la ley);</w:t>
      </w:r>
    </w:p>
    <w:p w14:paraId="14B953D2" w14:textId="77777777" w:rsidR="007559D1" w:rsidRPr="00BE4AA0" w:rsidRDefault="007559D1" w:rsidP="007559D1">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eastAsia="es-CO"/>
        </w:rPr>
        <w:t>Los convenios no tienen un interés puramente económico (es decir, destinados a obtener una ganancia) y su objeto es ejecutar actividades que contribuyen directamente al fin común de los sujetos vinculados al convenio; es decir, las partes tienen intereses convergentes, coincidentes o comunes (cumplimiento de funciones administrativas o prestación de servicios a su cargo que coinciden con el interés general) y cooperan para alcanzar en forma eficaz la finalidad estatal prevista en la Constitución o la ley sin que por esto se reciba por ninguna de ellas el pago de un precio o contraprestación;</w:t>
      </w:r>
    </w:p>
    <w:p w14:paraId="24D16F04" w14:textId="77777777" w:rsidR="007559D1" w:rsidRPr="00BE4AA0" w:rsidRDefault="007559D1" w:rsidP="007559D1">
      <w:pPr>
        <w:numPr>
          <w:ilvl w:val="0"/>
          <w:numId w:val="24"/>
        </w:numPr>
        <w:spacing w:after="0" w:line="240" w:lineRule="auto"/>
        <w:ind w:left="709" w:right="709"/>
        <w:contextualSpacing/>
        <w:jc w:val="both"/>
        <w:rPr>
          <w:rFonts w:ascii="Verdana" w:eastAsiaTheme="minorEastAsia" w:hAnsi="Verdana" w:cs="Arial"/>
          <w:sz w:val="20"/>
          <w:szCs w:val="20"/>
          <w:lang w:val="es-ES" w:eastAsia="es-CO"/>
        </w:rPr>
      </w:pPr>
      <w:r w:rsidRPr="00BE4AA0">
        <w:rPr>
          <w:rFonts w:ascii="Verdana" w:eastAsiaTheme="minorEastAsia" w:hAnsi="Verdana" w:cs="Arial"/>
          <w:sz w:val="20"/>
          <w:szCs w:val="20"/>
          <w:lang w:eastAsia="es-CO"/>
        </w:rPr>
        <w:t>Los intereses de los que son titulares las partes (entidades públicas contrayentes) y las finalidades que persiguen alcanzar, en virtud del ánimo de cooperación, indican que en los convenios las partes se relacionan en un paralelismo de intereses bajo un ámbito o posición de igualdad o equivalencia, en tanto que los contratos, dados los intereses y finalidades analizadas, se desarrollan en un ámbito de preeminencia o  superioridad jurídica de la entidad estatal contratante respecto de la entidad contratista y, por lo mismo, podrá haber prerrogativas a favor de una de las partes. De esta manera, en el contrato 'se puede identificar contratante y contratista, y el segundo, aunque persona pública, tiene intereses y está en un mercado de forma similar a como lo hace un particular”</w:t>
      </w:r>
      <w:r w:rsidRPr="00BE4AA0">
        <w:rPr>
          <w:rFonts w:ascii="Verdana" w:eastAsiaTheme="minorEastAsia" w:hAnsi="Verdana" w:cs="Arial"/>
          <w:sz w:val="20"/>
          <w:szCs w:val="20"/>
          <w:vertAlign w:val="superscript"/>
          <w:lang w:eastAsia="es-CO"/>
        </w:rPr>
        <w:footnoteReference w:id="5"/>
      </w:r>
      <w:r w:rsidRPr="00BE4AA0">
        <w:rPr>
          <w:rFonts w:ascii="Verdana" w:eastAsiaTheme="minorEastAsia" w:hAnsi="Verdana" w:cs="Arial"/>
          <w:sz w:val="20"/>
          <w:szCs w:val="20"/>
          <w:lang w:eastAsia="es-CO"/>
        </w:rPr>
        <w:t>.</w:t>
      </w:r>
    </w:p>
    <w:p w14:paraId="119CAA1F" w14:textId="77777777" w:rsidR="007559D1" w:rsidRPr="00BE4AA0" w:rsidRDefault="007559D1" w:rsidP="007559D1">
      <w:pPr>
        <w:spacing w:after="0" w:line="276" w:lineRule="auto"/>
        <w:ind w:right="709"/>
        <w:jc w:val="both"/>
        <w:rPr>
          <w:rFonts w:ascii="Verdana" w:eastAsia="Times New Roman" w:hAnsi="Verdana" w:cs="Arial"/>
          <w:lang w:eastAsia="es-ES_tradnl"/>
        </w:rPr>
      </w:pPr>
    </w:p>
    <w:p w14:paraId="42372D8B" w14:textId="77777777" w:rsidR="007559D1" w:rsidRPr="00CD357C" w:rsidRDefault="007559D1" w:rsidP="007559D1">
      <w:pPr>
        <w:spacing w:after="120" w:line="276" w:lineRule="auto"/>
        <w:ind w:firstLine="709"/>
        <w:jc w:val="both"/>
        <w:rPr>
          <w:rFonts w:ascii="Verdana" w:eastAsiaTheme="minorEastAsia" w:hAnsi="Verdana" w:cs="Arial"/>
          <w:lang w:eastAsia="es-CO"/>
        </w:rPr>
      </w:pPr>
      <w:r w:rsidRPr="00CD357C">
        <w:rPr>
          <w:rFonts w:ascii="Verdana" w:eastAsiaTheme="minorEastAsia" w:hAnsi="Verdana" w:cs="Arial"/>
          <w:lang w:eastAsia="es-CO"/>
        </w:rPr>
        <w:t>El Consejo de Estado ha precisado que el convenio interadministrativo constituye un negocio jurídico de colaboración entre entidades públicas, orientado a articular capacidades, recursos y competencias institucionales para la consecución de fines comunes. Su esencia no radica en el intercambio de prestaciones propias del mercado, sino en la coordinación funcional y operativa entre organismos que comparten responsabilidades públicas y buscan optimizar el cumplimiento de sus objetivos misionales mediante actuaciones conjuntas.</w:t>
      </w:r>
    </w:p>
    <w:p w14:paraId="59DB15DF" w14:textId="77777777" w:rsidR="007559D1" w:rsidRPr="00BE4AA0" w:rsidRDefault="007559D1" w:rsidP="007559D1">
      <w:pPr>
        <w:spacing w:after="120" w:line="276" w:lineRule="auto"/>
        <w:ind w:firstLine="709"/>
        <w:jc w:val="both"/>
        <w:rPr>
          <w:rFonts w:ascii="Verdana" w:eastAsiaTheme="minorEastAsia" w:hAnsi="Verdana" w:cs="Arial"/>
          <w:lang w:eastAsia="es-CO"/>
        </w:rPr>
      </w:pPr>
      <w:r w:rsidRPr="00CD357C">
        <w:rPr>
          <w:rFonts w:ascii="Verdana" w:eastAsiaTheme="minorEastAsia" w:hAnsi="Verdana" w:cs="Arial"/>
          <w:lang w:eastAsia="es-CO"/>
        </w:rPr>
        <w:t xml:space="preserve">En contraste, el contrato interadministrativo se configura como un negocio jurídico con contenido prestacional, en el cual una entidad pública asume la posición de contratante y la otra la de contratista, generándose obligaciones recíprocas relacionadas con la entrega de bienes, la ejecución de obras o la prestación de servicios. A diferencia del convenio, aquí no predomina la cooperación horizontal, sino una relación de carácter sinalagmático que se rige </w:t>
      </w:r>
      <w:r w:rsidRPr="00CD357C">
        <w:rPr>
          <w:rFonts w:ascii="Verdana" w:eastAsiaTheme="minorEastAsia" w:hAnsi="Verdana" w:cs="Arial"/>
          <w:lang w:eastAsia="es-CO"/>
        </w:rPr>
        <w:lastRenderedPageBreak/>
        <w:t>por las reglas propias de la contratación estatal y exige contraprestaciones claramente definidas entre las partes.</w:t>
      </w:r>
      <w:r>
        <w:rPr>
          <w:rFonts w:ascii="Verdana" w:eastAsiaTheme="minorEastAsia" w:hAnsi="Verdana" w:cs="Arial"/>
          <w:lang w:eastAsia="es-CO"/>
        </w:rPr>
        <w:t xml:space="preserve"> </w:t>
      </w:r>
      <w:r w:rsidRPr="00BE4AA0">
        <w:rPr>
          <w:rFonts w:ascii="Verdana" w:eastAsiaTheme="minorEastAsia" w:hAnsi="Verdana" w:cs="Arial"/>
          <w:lang w:eastAsia="es-CO"/>
        </w:rPr>
        <w:t xml:space="preserve">Al respecto, la doctrina expresa: </w:t>
      </w:r>
    </w:p>
    <w:p w14:paraId="44E2E6D3" w14:textId="77777777" w:rsidR="007559D1" w:rsidRPr="00BE4AA0" w:rsidRDefault="007559D1" w:rsidP="007559D1">
      <w:pPr>
        <w:spacing w:after="0" w:line="276" w:lineRule="auto"/>
        <w:ind w:firstLine="709"/>
        <w:jc w:val="both"/>
        <w:rPr>
          <w:rFonts w:ascii="Verdana" w:eastAsiaTheme="minorEastAsia" w:hAnsi="Verdana" w:cs="Arial"/>
          <w:lang w:eastAsia="es-CO"/>
        </w:rPr>
      </w:pPr>
    </w:p>
    <w:p w14:paraId="4FBE0C2F" w14:textId="77777777" w:rsidR="007559D1" w:rsidRPr="00BE4AA0" w:rsidRDefault="007559D1" w:rsidP="007559D1">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“De acuerdo con todo lo anteriormente expuesto, podemos manifestar que el convenio interadministrativo es el negocio jurídico en el cual están presentes dos entidades públicas en desarrollo de relaciones interadministrativas cuyo objeto es coordinar, cooperar, colaborar o distribuir competencias en la realización de funciones administrativas de interés común a los sujetos negociales.</w:t>
      </w:r>
    </w:p>
    <w:p w14:paraId="48E6579E" w14:textId="77777777" w:rsidR="007559D1" w:rsidRPr="00BE4AA0" w:rsidRDefault="007559D1" w:rsidP="007559D1">
      <w:pPr>
        <w:spacing w:after="0" w:line="240" w:lineRule="auto"/>
        <w:ind w:left="709" w:right="709"/>
        <w:jc w:val="both"/>
        <w:rPr>
          <w:rFonts w:ascii="Verdana" w:eastAsiaTheme="minorEastAsia" w:hAnsi="Verdana" w:cs="Arial"/>
          <w:sz w:val="20"/>
          <w:szCs w:val="20"/>
          <w:lang w:eastAsia="es-CO"/>
        </w:rPr>
      </w:pPr>
      <w:r w:rsidRPr="00BE4AA0">
        <w:rPr>
          <w:rFonts w:ascii="Verdana" w:eastAsiaTheme="minorEastAsia" w:hAnsi="Verdana" w:cs="Arial"/>
          <w:sz w:val="20"/>
          <w:szCs w:val="20"/>
          <w:lang w:eastAsia="es-CO"/>
        </w:rPr>
        <w:t>[…]</w:t>
      </w:r>
    </w:p>
    <w:p w14:paraId="47BC1B7E" w14:textId="77777777" w:rsidR="007559D1" w:rsidRPr="00BE4AA0" w:rsidRDefault="007559D1" w:rsidP="007559D1">
      <w:pPr>
        <w:autoSpaceDE w:val="0"/>
        <w:autoSpaceDN w:val="0"/>
        <w:adjustRightInd w:val="0"/>
        <w:spacing w:after="0" w:line="240" w:lineRule="auto"/>
        <w:ind w:left="709" w:right="709"/>
        <w:jc w:val="both"/>
        <w:rPr>
          <w:rFonts w:ascii="Verdana" w:hAnsi="Verdana" w:cs="Weiss"/>
          <w:sz w:val="20"/>
          <w:szCs w:val="20"/>
        </w:rPr>
      </w:pPr>
      <w:r w:rsidRPr="00BE4AA0">
        <w:rPr>
          <w:rFonts w:ascii="Verdana" w:hAnsi="Verdana" w:cs="Weiss"/>
          <w:sz w:val="20"/>
          <w:szCs w:val="20"/>
        </w:rPr>
        <w:t>El contrato interadministrativo, por su parte, es también celebrado entre dos entidades públicas con capacidad de tener relaciones interadministrativas, con la particularidad de que el contrato es negocio jurídico generador de obligaciones al cual acuden las partes con diversidad de intereses. En el contrato se pueden identificar contratante y contratista, y el segundo, aunque persona pública, tiene intereses y está en un mercado de forma similar a como lo hace el particular”</w:t>
      </w:r>
      <w:r w:rsidRPr="00BE4AA0">
        <w:rPr>
          <w:rFonts w:ascii="Verdana" w:hAnsi="Verdana" w:cs="Weiss"/>
          <w:sz w:val="20"/>
          <w:szCs w:val="20"/>
          <w:vertAlign w:val="superscript"/>
        </w:rPr>
        <w:footnoteReference w:id="6"/>
      </w:r>
      <w:r w:rsidRPr="00BE4AA0">
        <w:rPr>
          <w:rFonts w:ascii="Verdana" w:hAnsi="Verdana" w:cs="Weiss"/>
          <w:sz w:val="20"/>
          <w:szCs w:val="20"/>
        </w:rPr>
        <w:t>.</w:t>
      </w:r>
    </w:p>
    <w:p w14:paraId="16779B79" w14:textId="77777777" w:rsidR="007559D1" w:rsidRPr="00BE4AA0" w:rsidRDefault="007559D1" w:rsidP="007559D1">
      <w:pPr>
        <w:spacing w:after="120" w:line="276" w:lineRule="auto"/>
        <w:jc w:val="both"/>
        <w:rPr>
          <w:rFonts w:ascii="Verdana" w:eastAsiaTheme="minorEastAsia" w:hAnsi="Verdana" w:cs="Arial"/>
          <w:sz w:val="20"/>
          <w:szCs w:val="20"/>
          <w:lang w:eastAsia="es-CO"/>
        </w:rPr>
      </w:pPr>
    </w:p>
    <w:p w14:paraId="05943D9D" w14:textId="77777777" w:rsidR="007559D1" w:rsidRPr="00BE4AA0" w:rsidRDefault="007559D1" w:rsidP="007559D1">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Ahora bien, esta distinción conceptual entre contratos y convenios interadministrativos resulta relevante para precisar el ámbito de aplicación de las instituciones del EGCAP. Al respecto, el Consejo de Estado ha destacado la finalidad asociativa de los convenios interadministrativos, los cuales se caracterizan por la autorregulación de sus propias estipulaciones, que son el resultado de la autonomía de la voluntad de las entidades que actúan como colaboradoras o cooperantes, sin que pueda aludirse a la preponderancia de ciertos regímenes, por lo que no es procedente la aplicación automática del régimen contractual de los contratos estatales</w:t>
      </w:r>
      <w:r w:rsidRPr="00BE4AA0">
        <w:rPr>
          <w:rFonts w:ascii="Verdana" w:eastAsiaTheme="minorEastAsia" w:hAnsi="Verdana" w:cs="Arial"/>
          <w:vertAlign w:val="superscript"/>
          <w:lang w:eastAsia="es-CO"/>
        </w:rPr>
        <w:footnoteReference w:id="7"/>
      </w:r>
      <w:r w:rsidRPr="00BE4AA0">
        <w:rPr>
          <w:rFonts w:ascii="Verdana" w:eastAsiaTheme="minorEastAsia" w:hAnsi="Verdana" w:cs="Arial"/>
          <w:lang w:eastAsia="es-CO"/>
        </w:rPr>
        <w:t xml:space="preserve">. De esta manera, el Consejo de Estado expresa:  </w:t>
      </w:r>
    </w:p>
    <w:p w14:paraId="230C5C8B" w14:textId="77777777" w:rsidR="007559D1" w:rsidRPr="00BE4AA0" w:rsidRDefault="007559D1" w:rsidP="007559D1">
      <w:pPr>
        <w:widowControl w:val="0"/>
        <w:autoSpaceDE w:val="0"/>
        <w:autoSpaceDN w:val="0"/>
        <w:spacing w:after="0" w:line="276" w:lineRule="auto"/>
        <w:jc w:val="both"/>
        <w:rPr>
          <w:rFonts w:ascii="Verdana" w:eastAsia="Arial MT" w:hAnsi="Verdana" w:cs="Arial MT"/>
        </w:rPr>
      </w:pPr>
    </w:p>
    <w:p w14:paraId="2C47164A" w14:textId="77777777" w:rsidR="007559D1" w:rsidRPr="00BE4AA0" w:rsidRDefault="007559D1" w:rsidP="007559D1">
      <w:pPr>
        <w:widowControl w:val="0"/>
        <w:autoSpaceDE w:val="0"/>
        <w:autoSpaceDN w:val="0"/>
        <w:spacing w:after="0" w:line="240" w:lineRule="auto"/>
        <w:ind w:left="709" w:right="709"/>
        <w:jc w:val="both"/>
        <w:rPr>
          <w:rFonts w:ascii="Verdana" w:eastAsia="Arial MT" w:hAnsi="Verdana" w:cs="Arial MT"/>
          <w:i/>
          <w:iCs/>
          <w:sz w:val="20"/>
          <w:szCs w:val="20"/>
        </w:rPr>
      </w:pPr>
      <w:r w:rsidRPr="00BE4AA0">
        <w:rPr>
          <w:rFonts w:ascii="Verdana" w:eastAsia="Arial MT" w:hAnsi="Verdana" w:cs="Arial MT"/>
          <w:i/>
          <w:iCs/>
          <w:sz w:val="20"/>
          <w:szCs w:val="20"/>
        </w:rPr>
        <w:lastRenderedPageBreak/>
        <w:t xml:space="preserve">“La finalidad asociativa de los “convenios interadministrativos” previstos en el artículo 95 de la Ley 489 de 1998, en el plano de derecho público en el que se enmarcan, impide una aplicación automática del régimen contractual de los contratos estatales, imbuido por lo demás por las disposiciones civiles y comerciales, salvo las materias especialmente reguladas en el EGCAP. </w:t>
      </w:r>
    </w:p>
    <w:p w14:paraId="3E2EEDE6" w14:textId="77777777" w:rsidR="007559D1" w:rsidRPr="00BE4AA0" w:rsidRDefault="007559D1" w:rsidP="007559D1">
      <w:pPr>
        <w:widowControl w:val="0"/>
        <w:autoSpaceDE w:val="0"/>
        <w:autoSpaceDN w:val="0"/>
        <w:spacing w:after="0" w:line="240" w:lineRule="auto"/>
        <w:ind w:left="709" w:right="709"/>
        <w:jc w:val="both"/>
        <w:rPr>
          <w:rFonts w:ascii="Verdana" w:eastAsia="Arial MT" w:hAnsi="Verdana" w:cs="Arial MT"/>
          <w:sz w:val="20"/>
          <w:szCs w:val="20"/>
        </w:rPr>
      </w:pPr>
    </w:p>
    <w:p w14:paraId="2969624E" w14:textId="77777777" w:rsidR="007559D1" w:rsidRPr="00BE4AA0" w:rsidRDefault="007559D1" w:rsidP="007559D1">
      <w:pPr>
        <w:widowControl w:val="0"/>
        <w:autoSpaceDE w:val="0"/>
        <w:autoSpaceDN w:val="0"/>
        <w:spacing w:after="0" w:line="240" w:lineRule="auto"/>
        <w:ind w:left="709" w:right="709"/>
        <w:jc w:val="both"/>
        <w:rPr>
          <w:rFonts w:ascii="Verdana" w:eastAsia="Arial MT" w:hAnsi="Verdana" w:cs="Arial MT"/>
          <w:i/>
          <w:iCs/>
          <w:sz w:val="20"/>
          <w:szCs w:val="20"/>
        </w:rPr>
      </w:pPr>
      <w:r w:rsidRPr="00BE4AA0">
        <w:rPr>
          <w:rFonts w:ascii="Verdana" w:eastAsia="Arial MT" w:hAnsi="Verdana" w:cs="Arial MT"/>
          <w:i/>
          <w:iCs/>
          <w:sz w:val="20"/>
          <w:szCs w:val="20"/>
        </w:rPr>
        <w:t xml:space="preserve">En ese sentido, más allá de la concurrencia de voluntades, se trata de la asunción de objetivos comunes orientados predominantemente por una finalidad de derecho público que, además de que justifica la existencia de dichos convenios, rebasa o excede el sentido tradicional del concepto de “contrato”, por lo que, en cuanto a la normativa aplicable se refiere y en el estado actual de las cosas, aquellos deben interpretarse de forma tal que la regulación del EGCAP y del derecho privado sea de aplicación supletoria, esto es, solo en la medida en que exista una verdadera laguna o falta de regulación normativa y/o convencional. </w:t>
      </w:r>
    </w:p>
    <w:p w14:paraId="4AED0455" w14:textId="77777777" w:rsidR="007559D1" w:rsidRPr="00BE4AA0" w:rsidRDefault="007559D1" w:rsidP="007559D1">
      <w:pPr>
        <w:widowControl w:val="0"/>
        <w:autoSpaceDE w:val="0"/>
        <w:autoSpaceDN w:val="0"/>
        <w:spacing w:after="0" w:line="240" w:lineRule="auto"/>
        <w:ind w:left="709" w:right="709"/>
        <w:jc w:val="both"/>
        <w:rPr>
          <w:rFonts w:ascii="Verdana" w:eastAsia="Arial MT" w:hAnsi="Verdana" w:cs="Arial MT"/>
          <w:sz w:val="20"/>
          <w:szCs w:val="20"/>
        </w:rPr>
      </w:pPr>
    </w:p>
    <w:p w14:paraId="01CBFAFD" w14:textId="77777777" w:rsidR="007559D1" w:rsidRPr="00BE4AA0" w:rsidRDefault="007559D1" w:rsidP="007559D1">
      <w:pPr>
        <w:widowControl w:val="0"/>
        <w:autoSpaceDE w:val="0"/>
        <w:autoSpaceDN w:val="0"/>
        <w:spacing w:after="0" w:line="240" w:lineRule="auto"/>
        <w:ind w:left="709" w:right="709"/>
        <w:jc w:val="both"/>
        <w:rPr>
          <w:rFonts w:ascii="Verdana" w:eastAsia="Arial MT" w:hAnsi="Verdana" w:cs="Arial MT"/>
          <w:sz w:val="20"/>
          <w:szCs w:val="20"/>
          <w:lang w:val="es-ES"/>
        </w:rPr>
      </w:pPr>
      <w:r w:rsidRPr="00BE4AA0">
        <w:rPr>
          <w:rFonts w:ascii="Verdana" w:eastAsia="Arial MT" w:hAnsi="Verdana" w:cs="Arial MT"/>
          <w:i/>
          <w:iCs/>
          <w:sz w:val="20"/>
          <w:szCs w:val="20"/>
        </w:rPr>
        <w:t>Además, de acuerdo con la Corte Constitucional, el diseño de las normas contenidas en el EGCAP primordialmente ha estado orientado por un criterio del “contrato estatal” como instrumento de aprovisionamiento de bienes y servicios por parte de los órganos públicos para la consecución de los fines del Estado, razón por la cual una aplicación irrestricta de las normas de dicho estatuto, así concebidas, frente a convenios que, según la Corte Constitucional, están ideados esencialmente para concretar la coordinación de las actuaciones entre las autoridades administrativas, conduciría a resultados que malogren y/o desincentiven la cooperación entre ellas, producto de las incompatibilidades que puedan presentarse”</w:t>
      </w:r>
      <w:r w:rsidRPr="00BE4AA0">
        <w:rPr>
          <w:rFonts w:ascii="Verdana" w:eastAsia="Arial MT" w:hAnsi="Verdana" w:cs="Arial MT"/>
          <w:i/>
          <w:iCs/>
          <w:sz w:val="20"/>
          <w:szCs w:val="20"/>
          <w:vertAlign w:val="superscript"/>
        </w:rPr>
        <w:footnoteReference w:id="8"/>
      </w:r>
      <w:r w:rsidRPr="00BE4AA0">
        <w:rPr>
          <w:rFonts w:ascii="Verdana" w:eastAsia="Arial MT" w:hAnsi="Verdana" w:cs="Arial MT"/>
          <w:i/>
          <w:iCs/>
          <w:sz w:val="20"/>
          <w:szCs w:val="20"/>
        </w:rPr>
        <w:t>.</w:t>
      </w:r>
    </w:p>
    <w:p w14:paraId="096861AD" w14:textId="77777777" w:rsidR="007559D1" w:rsidRPr="00BE4AA0" w:rsidRDefault="007559D1" w:rsidP="007559D1">
      <w:pPr>
        <w:spacing w:after="120" w:line="276" w:lineRule="auto"/>
        <w:jc w:val="both"/>
        <w:rPr>
          <w:rFonts w:ascii="Verdana" w:eastAsia="Calibri" w:hAnsi="Verdana" w:cs="Arial"/>
          <w:color w:val="000000" w:themeColor="text1"/>
          <w:lang w:val="es-ES"/>
        </w:rPr>
      </w:pPr>
    </w:p>
    <w:p w14:paraId="0477F24F" w14:textId="77777777" w:rsidR="007559D1" w:rsidRPr="00BE4AA0" w:rsidRDefault="007559D1" w:rsidP="007559D1">
      <w:pPr>
        <w:tabs>
          <w:tab w:val="left" w:pos="7851"/>
        </w:tabs>
        <w:spacing w:after="120" w:line="276" w:lineRule="auto"/>
        <w:ind w:firstLine="680"/>
        <w:jc w:val="both"/>
        <w:rPr>
          <w:rFonts w:ascii="Verdana" w:eastAsiaTheme="minorEastAsia" w:hAnsi="Verdana" w:cs="Arial"/>
          <w:lang w:eastAsia="es-CO"/>
        </w:rPr>
      </w:pPr>
      <w:r w:rsidRPr="00BE4AA0">
        <w:rPr>
          <w:rFonts w:ascii="Verdana" w:eastAsiaTheme="minorEastAsia" w:hAnsi="Verdana" w:cs="Arial"/>
          <w:lang w:eastAsia="es-CO"/>
        </w:rPr>
        <w:t xml:space="preserve">En virtud de ello, los convenios no se estructuran bajo una lógica de intercambio oneroso ni de selección de contratistas, sino bajo un esquema de cooperación institucional, lo que impide trasladar de manera automática las reglas del Estatuto General de Contratación de la Administración Pública. En consecuencia, los convenios interadministrativos no se someten, en principio, al régimen contractual previsto en la Ley 80 de 1993 y la Ley 1150 de 2007, pues su finalidad no es contratar bienes, obras o servicios con terceros, sino coordinar esfuerzos entre entidades públicas para el cumplimiento de funciones estatales. La aplicación del Estatuto General de Contratación solo procede de manera supletoria, en la medida en que exista una verdadera laguna o falta de regulación </w:t>
      </w:r>
      <w:r w:rsidRPr="00BE4AA0">
        <w:rPr>
          <w:rFonts w:ascii="Verdana" w:eastAsiaTheme="minorEastAsia" w:hAnsi="Verdana" w:cs="Arial"/>
          <w:lang w:eastAsia="es-CO"/>
        </w:rPr>
        <w:lastRenderedPageBreak/>
        <w:t>normativa y/o convencional. Mientras ello no ocurra, el convenio se rige por sus propias cláusulas y por los principios de colaboración, coordinación y eficiencia administrativa que orientan la actuación interinstitucional.</w:t>
      </w:r>
    </w:p>
    <w:p w14:paraId="08977D9C" w14:textId="77777777" w:rsidR="007559D1" w:rsidRDefault="007559D1" w:rsidP="007559D1">
      <w:pPr>
        <w:tabs>
          <w:tab w:val="left" w:pos="7851"/>
        </w:tabs>
        <w:spacing w:after="120" w:line="276" w:lineRule="auto"/>
        <w:ind w:firstLine="680"/>
        <w:jc w:val="both"/>
        <w:rPr>
          <w:rFonts w:ascii="Verdana" w:eastAsiaTheme="minorEastAsia" w:hAnsi="Verdana" w:cs="Arial"/>
          <w:lang w:eastAsia="es-CO"/>
        </w:rPr>
      </w:pPr>
      <w:r w:rsidRPr="00BE4AA0">
        <w:rPr>
          <w:rFonts w:ascii="Verdana" w:eastAsiaTheme="minorEastAsia" w:hAnsi="Verdana" w:cs="Arial"/>
          <w:lang w:eastAsia="es-CO"/>
        </w:rPr>
        <w:t>Esta conclusión exige una precisión adicional, pues el artículo 32 de la Ley 80 de 1993 define como contratos estatales todos los actos jurídicos generadores de obligaciones que celebren las entidades estatales, definición dentro de la cual quedarían comprendidos los convenios interadministrativos suscritos por entidades sometidas al Estatuto. La supletoriedad predicada por la jurisprudencia no opera, sin embargo, de manera uniforme respecto de toda la regulación del EGCAP. Tratándose de normas que regulan aspectos instrumentales del negocio, la aplicación supletoria ante el vacío convencional resulta natural. En cambio, tratándose de disposiciones que atribuyen potestades unilaterales a una de las partes, su traslado automático al convenio interadministrativo es incompatible con la posición de igualdad en que se encuentran las entidades cooperantes, pues supondría reconocer a una de ellas una prerrogativa sobre la otra que la finalidad asociativa excluye. Por ello, el silencio del convenio sobre potestades unilaterales no configura una laguna que deba colmarse con las reglas del EGCAP, sino la expresión de un régimen paritario en el que tales prerrogativas no operan.</w:t>
      </w:r>
      <w:r>
        <w:rPr>
          <w:rFonts w:ascii="Verdana" w:eastAsiaTheme="minorEastAsia" w:hAnsi="Verdana" w:cs="Arial"/>
          <w:lang w:eastAsia="es-CO"/>
        </w:rPr>
        <w:t xml:space="preserve"> De esta manera, </w:t>
      </w:r>
      <w:r w:rsidRPr="00BE4AA0">
        <w:rPr>
          <w:rFonts w:ascii="Verdana" w:eastAsiaTheme="minorEastAsia" w:hAnsi="Verdana" w:cs="Arial"/>
          <w:lang w:eastAsia="es-CO"/>
        </w:rPr>
        <w:t xml:space="preserve">la denominación de contrato o convenio interadministrativo obedece a que ambos extremos de la relación son entidades públicas, pero el régimen aplicable a cada </w:t>
      </w:r>
      <w:r>
        <w:rPr>
          <w:rFonts w:ascii="Verdana" w:eastAsiaTheme="minorEastAsia" w:hAnsi="Verdana" w:cs="Arial"/>
          <w:lang w:eastAsia="es-CO"/>
        </w:rPr>
        <w:t>institución</w:t>
      </w:r>
      <w:r w:rsidRPr="00BE4AA0">
        <w:rPr>
          <w:rFonts w:ascii="Verdana" w:eastAsiaTheme="minorEastAsia" w:hAnsi="Verdana" w:cs="Arial"/>
          <w:lang w:eastAsia="es-CO"/>
        </w:rPr>
        <w:t xml:space="preserve"> depende del contenido obligacional del negocio. </w:t>
      </w:r>
    </w:p>
    <w:p w14:paraId="36BA87BE" w14:textId="77777777" w:rsidR="007559D1" w:rsidRDefault="007559D1" w:rsidP="007559D1">
      <w:pPr>
        <w:tabs>
          <w:tab w:val="left" w:pos="7851"/>
        </w:tabs>
        <w:spacing w:after="120" w:line="276" w:lineRule="auto"/>
        <w:ind w:firstLine="680"/>
        <w:jc w:val="both"/>
        <w:rPr>
          <w:rFonts w:ascii="Verdana" w:eastAsiaTheme="minorEastAsia" w:hAnsi="Verdana" w:cs="Arial"/>
          <w:lang w:eastAsia="es-CO"/>
        </w:rPr>
      </w:pPr>
      <w:r w:rsidRPr="00431C48">
        <w:rPr>
          <w:rFonts w:ascii="Verdana" w:eastAsiaTheme="minorEastAsia" w:hAnsi="Verdana" w:cs="Arial"/>
          <w:lang w:eastAsia="es-CO"/>
        </w:rPr>
        <w:t>A partir de la configuración del convenio interadministrativo como una institución autónoma e independiente, es posible que dentro de su objeto se incluya la finalidad de financiar y soportar la ejecución de una obra pública a cargo de una de las partes. En tal caso, y por precisión jurídica, dicha parte puede ser denominada entidad cooperante ejecutora, en cuanto asume las obligaciones técnicas, operativas y administrativas necesarias para materializar la obra en el marco de la cooperación interinstitucional.</w:t>
      </w:r>
      <w:r w:rsidRPr="003C7601">
        <w:rPr>
          <w:rFonts w:ascii="Verdana" w:eastAsiaTheme="minorEastAsia" w:hAnsi="Verdana" w:cs="Arial"/>
          <w:lang w:eastAsia="es-CO"/>
        </w:rPr>
        <w:t xml:space="preserve"> El convenio interadministrativo —al no estar sujeto al Estatuto General de Contratación de la Administración Pública— se rige por la autonomía de la voluntad de las partes, lo que implica que no le son aplicables los tipos contractuales ni las reglas del artículo 32 de la Ley 80 de 1993. Su contenido, alcance y obligaciones derivan de lo pactado por las entidades públicas participantes, quienes definen </w:t>
      </w:r>
      <w:r w:rsidRPr="003C7601">
        <w:rPr>
          <w:rFonts w:ascii="Verdana" w:eastAsiaTheme="minorEastAsia" w:hAnsi="Verdana" w:cs="Arial"/>
          <w:lang w:eastAsia="es-CO"/>
        </w:rPr>
        <w:lastRenderedPageBreak/>
        <w:t>libremente las condiciones de cooperación, los aportes financieros, los mecanismos de seguimiento y las reglas de coordinación institucional.</w:t>
      </w:r>
    </w:p>
    <w:p w14:paraId="2CF64E32" w14:textId="77777777" w:rsidR="007559D1" w:rsidRDefault="007559D1" w:rsidP="007559D1">
      <w:pPr>
        <w:tabs>
          <w:tab w:val="left" w:pos="7851"/>
        </w:tabs>
        <w:spacing w:after="120" w:line="276" w:lineRule="auto"/>
        <w:ind w:firstLine="680"/>
        <w:jc w:val="both"/>
        <w:rPr>
          <w:rFonts w:ascii="Verdana" w:eastAsiaTheme="minorEastAsia" w:hAnsi="Verdana" w:cs="Arial"/>
          <w:lang w:val="es-ES_tradnl" w:eastAsia="es-CO"/>
        </w:rPr>
      </w:pPr>
      <w:r>
        <w:rPr>
          <w:rFonts w:ascii="Verdana" w:eastAsiaTheme="minorEastAsia" w:hAnsi="Verdana" w:cs="Arial"/>
          <w:lang w:eastAsia="es-CO"/>
        </w:rPr>
        <w:t xml:space="preserve">En tal sentido, es posible que en </w:t>
      </w:r>
      <w:r w:rsidRPr="00C575F3">
        <w:rPr>
          <w:rFonts w:ascii="Verdana" w:eastAsiaTheme="minorEastAsia" w:hAnsi="Verdana" w:cs="Arial"/>
          <w:lang w:eastAsia="es-CO"/>
        </w:rPr>
        <w:t>el marco del convenio interadministrativo</w:t>
      </w:r>
      <w:r>
        <w:rPr>
          <w:rFonts w:ascii="Verdana" w:eastAsiaTheme="minorEastAsia" w:hAnsi="Verdana" w:cs="Arial"/>
          <w:lang w:eastAsia="es-CO"/>
        </w:rPr>
        <w:t xml:space="preserve"> se detallen los siguientes aspectos</w:t>
      </w:r>
      <w:r w:rsidRPr="00C575F3">
        <w:rPr>
          <w:rFonts w:ascii="Verdana" w:eastAsiaTheme="minorEastAsia" w:hAnsi="Verdana" w:cs="Arial"/>
          <w:lang w:eastAsia="es-CO"/>
        </w:rPr>
        <w:t xml:space="preserve">: i) los aportes en dinero o en especie de las entidades cooperantes; ii) el valor del convenio; iii) la entidad o entidades ejecutoras del convenio; iii) los costos directos y costos administrativos propios del convenio, así como otras formas que se requieren para la ejecución del convenio. </w:t>
      </w:r>
      <w:r w:rsidRPr="00C575F3">
        <w:rPr>
          <w:rFonts w:ascii="Verdana" w:eastAsiaTheme="minorEastAsia" w:hAnsi="Verdana" w:cs="Arial"/>
          <w:lang w:val="es-ES_tradnl" w:eastAsia="es-CO"/>
        </w:rPr>
        <w:t>En esta línea, pueden estipularse convenios interadministrativos bajo la forma de una administración delegada sin el pacto de costos por concepto de honorarios, donde la entidad como actúa como administradora y ejecutora del convenio</w:t>
      </w:r>
      <w:r>
        <w:rPr>
          <w:rFonts w:ascii="Verdana" w:eastAsiaTheme="minorEastAsia" w:hAnsi="Verdana" w:cs="Arial"/>
          <w:lang w:val="es-ES_tradnl" w:eastAsia="es-CO"/>
        </w:rPr>
        <w:t xml:space="preserve">, como lo explicó en su momento la Agencia en el Concepto 1152 del 23 de septiembre de 2025. </w:t>
      </w:r>
    </w:p>
    <w:p w14:paraId="002297FA" w14:textId="77777777" w:rsidR="007559D1" w:rsidRPr="00DB55AC" w:rsidRDefault="007559D1" w:rsidP="007559D1">
      <w:pPr>
        <w:tabs>
          <w:tab w:val="left" w:pos="7851"/>
        </w:tabs>
        <w:spacing w:after="120" w:line="276" w:lineRule="auto"/>
        <w:ind w:firstLine="680"/>
        <w:jc w:val="both"/>
        <w:rPr>
          <w:rFonts w:ascii="Verdana" w:eastAsiaTheme="minorEastAsia" w:hAnsi="Verdana" w:cs="Arial"/>
          <w:lang w:eastAsia="es-CO"/>
        </w:rPr>
      </w:pPr>
      <w:r w:rsidRPr="00DB55AC">
        <w:rPr>
          <w:rFonts w:ascii="Verdana" w:eastAsiaTheme="minorEastAsia" w:hAnsi="Verdana" w:cs="Arial"/>
          <w:lang w:eastAsia="es-CO"/>
        </w:rPr>
        <w:t>La entidad cooperante ejecutora puede celebrar un contrato de obra pública para desarrollar el objeto financiado o soportado por el convenio interadministrativo, pero dicho contrato se rige por el régimen jurídico propio de la entidad contratante. Si la entidad está sometida al Estatuto General de Contratación, deberá aplicar sus principios, procedimientos, etapas y cláusulas obligatorias; si, por el contrario, es una entidad de régimen especial, su actuación se sujetará al régimen privado, sin perjuicio de la observancia de los principios de la función administrativa, la gestión fiscal, el régimen de inhabilidades e incompatibilidades y el deber de publicidad en SECOP II o la plataforma que haga sus veces, conforme al artículo 13 de la Ley 1150 de 2007</w:t>
      </w:r>
      <w:r>
        <w:rPr>
          <w:rStyle w:val="Refdenotaalpie"/>
          <w:rFonts w:ascii="Verdana" w:eastAsiaTheme="minorEastAsia" w:hAnsi="Verdana" w:cs="Arial"/>
          <w:lang w:eastAsia="es-CO"/>
        </w:rPr>
        <w:footnoteReference w:id="9"/>
      </w:r>
      <w:r w:rsidRPr="00DB55AC">
        <w:rPr>
          <w:rFonts w:ascii="Verdana" w:eastAsiaTheme="minorEastAsia" w:hAnsi="Verdana" w:cs="Arial"/>
          <w:lang w:eastAsia="es-CO"/>
        </w:rPr>
        <w:t xml:space="preserve">. En ambos casos, el contrato de obra constituye un negocio jurídico autónomo, </w:t>
      </w:r>
      <w:r w:rsidRPr="00DB55AC">
        <w:rPr>
          <w:rFonts w:ascii="Verdana" w:eastAsiaTheme="minorEastAsia" w:hAnsi="Verdana" w:cs="Arial"/>
          <w:lang w:eastAsia="es-CO"/>
        </w:rPr>
        <w:lastRenderedPageBreak/>
        <w:t>con obligaciones prestacionales precisas y un ciclo contractual regulado por normas imperativas.</w:t>
      </w:r>
    </w:p>
    <w:p w14:paraId="4A2D140E" w14:textId="77777777" w:rsidR="007559D1" w:rsidRPr="00DB55AC" w:rsidRDefault="007559D1" w:rsidP="007559D1">
      <w:pPr>
        <w:tabs>
          <w:tab w:val="left" w:pos="7851"/>
        </w:tabs>
        <w:spacing w:after="120" w:line="276" w:lineRule="auto"/>
        <w:ind w:firstLine="680"/>
        <w:jc w:val="both"/>
        <w:rPr>
          <w:rFonts w:ascii="Verdana" w:eastAsiaTheme="minorEastAsia" w:hAnsi="Verdana" w:cs="Arial"/>
          <w:lang w:eastAsia="es-CO"/>
        </w:rPr>
      </w:pPr>
      <w:r w:rsidRPr="00DB55AC">
        <w:rPr>
          <w:rFonts w:ascii="Verdana" w:eastAsiaTheme="minorEastAsia" w:hAnsi="Verdana" w:cs="Arial"/>
          <w:lang w:eastAsia="es-CO"/>
        </w:rPr>
        <w:t>Aunque el convenio interadministrativo pueda prever aportes financieros, condiciones de ejecución, mecanismos de seguimiento o compromisos de coordinación, tales estipulaciones no sustituyen ni modifican el régimen jurídico aplicable al contrato de obra ni sus reglas sobre responsabilidad, supervisión, interventoría, modificación, terminación y liquidación. El convenio fija el marco de cooperación entre entidades públicas, mientras que el contrato desarrolla la ejecución material de la obra bajo el régimen contractual que corresponda. Se trata, por tanto, de instrumentos jurídicos diferenciados, unidos por su finalidad, pero regidos por lógicas normativas distintas que deben respetarse para garantizar coherencia y seguridad jurídica.</w:t>
      </w:r>
    </w:p>
    <w:p w14:paraId="3E674CCE" w14:textId="77777777" w:rsidR="007559D1" w:rsidRPr="002823E4" w:rsidRDefault="007559D1" w:rsidP="007559D1">
      <w:pPr>
        <w:tabs>
          <w:tab w:val="left" w:pos="7851"/>
        </w:tabs>
        <w:spacing w:after="120" w:line="276" w:lineRule="auto"/>
        <w:ind w:firstLine="680"/>
        <w:jc w:val="both"/>
        <w:rPr>
          <w:rFonts w:ascii="Verdana" w:eastAsiaTheme="minorEastAsia" w:hAnsi="Verdana" w:cs="Arial"/>
        </w:rPr>
      </w:pPr>
      <w:r w:rsidRPr="00DB55AC">
        <w:rPr>
          <w:rFonts w:ascii="Verdana" w:eastAsiaTheme="minorEastAsia" w:hAnsi="Verdana" w:cs="Arial"/>
          <w:lang w:eastAsia="es-CO"/>
        </w:rPr>
        <w:t>En este sentido, la relación entre convenio y contrato debe entenderse como complementaria y funcional, nunca como una subordinación. El convenio interadministrativo —al no estar sujeto al Estatuto General de Contratación— se rige por la autonomía de la voluntad de las partes, de modo que sus cláusulas, su ejecución, su terminación, su liquidación y su cierre financiero dependen de lo pactado entre las entidades cooperantes. El contrato de obra, por su parte, debe cumplir su propio ciclo contractual conforme al régimen aplicable, sin que las estipulaciones del convenio puedan alterar su naturaleza, sus obligaciones o sus efectos jurídicos.</w:t>
      </w:r>
      <w:r>
        <w:rPr>
          <w:rFonts w:ascii="Verdana" w:eastAsiaTheme="minorEastAsia" w:hAnsi="Verdana" w:cs="Arial"/>
          <w:lang w:eastAsia="es-CO"/>
        </w:rPr>
        <w:t xml:space="preserve"> </w:t>
      </w:r>
      <w:r w:rsidRPr="002823E4">
        <w:rPr>
          <w:rFonts w:ascii="Verdana" w:eastAsiaTheme="minorEastAsia" w:hAnsi="Verdana" w:cs="Arial"/>
        </w:rPr>
        <w:t>E</w:t>
      </w:r>
      <w:r>
        <w:rPr>
          <w:rFonts w:ascii="Verdana" w:eastAsiaTheme="minorEastAsia" w:hAnsi="Verdana" w:cs="Arial"/>
        </w:rPr>
        <w:t xml:space="preserve">n todo caso, es </w:t>
      </w:r>
      <w:r w:rsidRPr="002823E4">
        <w:rPr>
          <w:rFonts w:ascii="Verdana" w:eastAsiaTheme="minorEastAsia" w:hAnsi="Verdana" w:cs="Arial"/>
        </w:rPr>
        <w:t>pertinente señalar que las contingencias que surjan durante la ejecución, terminación o liquidación del contrato de obra pública pueden repercutir en el cierre y liquidación del convenio interadministrativo. En efecto, cuando el convenio incorpora obligaciones de reporte, hitos de ejecución, condiciones de desembolso o reglas de cierre financiero vinculadas al avance o culminación del contrato de obra, cualquier variación contractual —</w:t>
      </w:r>
      <w:r>
        <w:rPr>
          <w:rFonts w:ascii="Verdana" w:eastAsiaTheme="minorEastAsia" w:hAnsi="Verdana" w:cs="Arial"/>
        </w:rPr>
        <w:t>retraso</w:t>
      </w:r>
      <w:r w:rsidRPr="002823E4">
        <w:rPr>
          <w:rFonts w:ascii="Verdana" w:eastAsiaTheme="minorEastAsia" w:hAnsi="Verdana" w:cs="Arial"/>
        </w:rPr>
        <w:t>s, modificaciones, prórrogas, incumplimientos o ajustes presupuestales— puede incidir en el cumplimiento de las obligaciones interadministrativas.</w:t>
      </w:r>
    </w:p>
    <w:p w14:paraId="1BFA5C65" w14:textId="77777777" w:rsidR="007559D1" w:rsidRPr="00BE4AA0" w:rsidRDefault="007559D1" w:rsidP="007559D1">
      <w:pPr>
        <w:tabs>
          <w:tab w:val="left" w:pos="7851"/>
        </w:tabs>
        <w:spacing w:after="0" w:line="276" w:lineRule="auto"/>
        <w:ind w:firstLine="680"/>
        <w:jc w:val="both"/>
        <w:rPr>
          <w:rFonts w:ascii="Verdana" w:eastAsiaTheme="minorEastAsia" w:hAnsi="Verdana" w:cs="Arial"/>
          <w:lang w:eastAsia="es-CO"/>
        </w:rPr>
      </w:pPr>
      <w:r w:rsidRPr="002823E4">
        <w:rPr>
          <w:rFonts w:ascii="Verdana" w:eastAsiaTheme="minorEastAsia" w:hAnsi="Verdana" w:cs="Arial"/>
          <w:lang w:eastAsia="es-CO"/>
        </w:rPr>
        <w:t xml:space="preserve">Por ello, la relación entre ambos instrumentos exige una adecuada articulación técnica y jurídica: aunque el convenio y el contrato son negocios autónomos, la voluntad de las partes puede generar dependencias funcionales que obligan a sincronizar sus etapas de ejecución y cierre. En tales eventos, las entidades deben prever mecanismos claros de coordinación, reporte y ajuste, de </w:t>
      </w:r>
      <w:r w:rsidRPr="002823E4">
        <w:rPr>
          <w:rFonts w:ascii="Verdana" w:eastAsiaTheme="minorEastAsia" w:hAnsi="Verdana" w:cs="Arial"/>
          <w:lang w:eastAsia="es-CO"/>
        </w:rPr>
        <w:lastRenderedPageBreak/>
        <w:t>manera que las vicisitudes del contrato no paralicen o desfinancien el convenio, pero sí permitan adoptar las decisiones necesarias para garantizar la correcta administración de los recursos públicos comprometidos.</w:t>
      </w:r>
      <w:r>
        <w:rPr>
          <w:rFonts w:ascii="Verdana" w:eastAsiaTheme="minorEastAsia" w:hAnsi="Verdana" w:cs="Arial"/>
          <w:lang w:eastAsia="es-CO"/>
        </w:rPr>
        <w:t xml:space="preserve"> </w:t>
      </w:r>
      <w:r w:rsidRPr="5794259B">
        <w:rPr>
          <w:rFonts w:ascii="Verdana" w:eastAsiaTheme="minorEastAsia" w:hAnsi="Verdana" w:cs="Arial"/>
          <w:lang w:eastAsia="es-CO"/>
        </w:rPr>
        <w:t>Sobre esta base debe precisarse la improcedencia de la liquidación unilateral en los convenios interadministrativos. Como se expuso, el silencio del convenio sobre potestades exorbitantes no configura una laguna que deba colmarse con el EGCAP, sino la expresión de un régimen paritario en el que ninguna de las entidades cooperantes puede imponer a la otra un corte de cuentas por acto administrativo. Por ello, y en línea con lo unificado en el Concepto C</w:t>
      </w:r>
      <w:r>
        <w:noBreakHyphen/>
      </w:r>
      <w:r w:rsidRPr="5794259B">
        <w:rPr>
          <w:rFonts w:ascii="Verdana" w:eastAsiaTheme="minorEastAsia" w:hAnsi="Verdana" w:cs="Arial"/>
          <w:lang w:eastAsia="es-CO"/>
        </w:rPr>
        <w:t>605 del 27 de junio de 2025 y reiterado en el Concepto C</w:t>
      </w:r>
      <w:r>
        <w:noBreakHyphen/>
      </w:r>
      <w:r w:rsidRPr="5794259B">
        <w:rPr>
          <w:rFonts w:ascii="Verdana" w:eastAsiaTheme="minorEastAsia" w:hAnsi="Verdana" w:cs="Arial"/>
          <w:lang w:eastAsia="es-CO"/>
        </w:rPr>
        <w:t xml:space="preserve">224 del 11 de marzo de 2026, el cierre financiero y la liquidación del convenio interadministrativo son, por regla general, actuaciones bilaterales que se rigen por lo pactado; la liquidación unilateral —propia de los contratos estatales sujetos a la Ley 80 de 1993— no se traslada automáticamente al convenio. Cosa distinta ocurre con el contrato de obra pública derivado, cuya liquidación se rige por su propio régimen, según se explica a continuación. Esto, sin perjuicio de que en los convenios interadministrativos se estipule la liquidación unilateral, como se expresó en los precitados conceptos. </w:t>
      </w:r>
    </w:p>
    <w:p w14:paraId="6EB75532" w14:textId="77777777" w:rsidR="007559D1" w:rsidRPr="00BE4AA0" w:rsidRDefault="007559D1" w:rsidP="007559D1">
      <w:pPr>
        <w:spacing w:after="0" w:line="276" w:lineRule="auto"/>
        <w:ind w:firstLine="709"/>
        <w:jc w:val="both"/>
        <w:rPr>
          <w:rFonts w:ascii="Verdana" w:eastAsiaTheme="minorEastAsia" w:hAnsi="Verdana" w:cs="Arial"/>
          <w:lang w:eastAsia="es-CO"/>
        </w:rPr>
      </w:pPr>
      <w:r w:rsidRPr="00BE4AA0">
        <w:rPr>
          <w:rFonts w:ascii="Verdana" w:eastAsiaTheme="minorEastAsia" w:hAnsi="Verdana" w:cs="Arial"/>
          <w:lang w:eastAsia="es-CO"/>
        </w:rPr>
        <w:t xml:space="preserve"> </w:t>
      </w:r>
    </w:p>
    <w:p w14:paraId="0A4C5C73" w14:textId="77777777" w:rsidR="007559D1" w:rsidRPr="00303985" w:rsidRDefault="007559D1" w:rsidP="007559D1">
      <w:pPr>
        <w:spacing w:after="0" w:line="276" w:lineRule="auto"/>
        <w:jc w:val="both"/>
        <w:rPr>
          <w:rFonts w:ascii="Verdana" w:eastAsia="Times New Roman" w:hAnsi="Verdana" w:cs="Arial"/>
          <w:color w:val="000000"/>
          <w:lang w:val="es-ES"/>
        </w:rPr>
      </w:pPr>
      <w:r>
        <w:rPr>
          <w:rFonts w:ascii="Verdana" w:eastAsia="Times New Roman" w:hAnsi="Verdana" w:cs="Arial"/>
          <w:color w:val="000000"/>
        </w:rPr>
        <w:t xml:space="preserve">ii. </w:t>
      </w:r>
      <w:r w:rsidRPr="00303985">
        <w:rPr>
          <w:rFonts w:ascii="Verdana" w:eastAsia="Times New Roman" w:hAnsi="Verdana" w:cs="Arial"/>
          <w:color w:val="000000"/>
          <w:lang w:val="es-ES"/>
        </w:rPr>
        <w:t>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00303985">
        <w:rPr>
          <w:rFonts w:ascii="Verdana" w:eastAsia="Times New Roman" w:hAnsi="Verdana" w:cs="Arial"/>
          <w:color w:val="000000"/>
          <w:vertAlign w:val="superscript"/>
          <w:lang w:val="es-ES"/>
        </w:rPr>
        <w:footnoteReference w:id="10"/>
      </w:r>
      <w:r w:rsidRPr="00303985">
        <w:rPr>
          <w:rFonts w:ascii="Verdana" w:eastAsia="Times New Roman" w:hAnsi="Verdana" w:cs="Arial"/>
          <w:color w:val="000000"/>
          <w:lang w:val="es-ES"/>
        </w:rPr>
        <w:t>. En armonía con lo anterior, la doctrina ha definido la liquidación de la siguiente manera:</w:t>
      </w:r>
    </w:p>
    <w:p w14:paraId="2E834FDE" w14:textId="77777777" w:rsidR="007559D1" w:rsidRPr="00303985" w:rsidRDefault="007559D1" w:rsidP="007559D1">
      <w:pPr>
        <w:spacing w:after="0" w:line="276" w:lineRule="auto"/>
        <w:jc w:val="both"/>
        <w:rPr>
          <w:rFonts w:ascii="Verdana" w:eastAsia="Times New Roman" w:hAnsi="Verdana" w:cs="Arial"/>
          <w:color w:val="000000"/>
          <w:lang w:val="es-ES_tradnl"/>
        </w:rPr>
      </w:pPr>
    </w:p>
    <w:p w14:paraId="7E9BB1F0" w14:textId="77777777" w:rsidR="007559D1" w:rsidRPr="006F234B" w:rsidRDefault="007559D1" w:rsidP="007559D1">
      <w:pPr>
        <w:spacing w:after="0" w:line="240" w:lineRule="auto"/>
        <w:ind w:left="709" w:right="758"/>
        <w:jc w:val="both"/>
        <w:rPr>
          <w:rFonts w:ascii="Verdana" w:eastAsia="Times New Roman" w:hAnsi="Verdana" w:cs="Arial"/>
          <w:sz w:val="20"/>
          <w:szCs w:val="20"/>
          <w:lang w:val="es-MX"/>
        </w:rPr>
      </w:pPr>
      <w:r w:rsidRPr="006F234B">
        <w:rPr>
          <w:rFonts w:ascii="Verdana" w:eastAsia="Times New Roman" w:hAnsi="Verdana" w:cs="Arial"/>
          <w:i/>
          <w:iCs/>
          <w:color w:val="000000"/>
          <w:sz w:val="20"/>
          <w:szCs w:val="20"/>
          <w:lang w:val="es-ES_tradnl"/>
        </w:rPr>
        <w:t>“</w:t>
      </w:r>
      <w:r w:rsidRPr="006F234B">
        <w:rPr>
          <w:rFonts w:ascii="Verdana" w:eastAsia="Times New Roman"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w:t>
      </w:r>
      <w:r w:rsidRPr="006F234B">
        <w:rPr>
          <w:rFonts w:ascii="Verdana" w:eastAsia="Times New Roman" w:hAnsi="Verdana" w:cs="Arial"/>
          <w:sz w:val="20"/>
          <w:szCs w:val="20"/>
          <w:lang w:val="es-MX"/>
        </w:rPr>
        <w:lastRenderedPageBreak/>
        <w:t>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ii) definir la situación jurídica de las partes, estableciendo si pueden constituirse o no a paz y salvo; lo que exige, en la práctica, que los negociantes dialoguen e intenten ponerse de acuerdo (aspecto subjetivo)”</w:t>
      </w:r>
      <w:r w:rsidRPr="006F234B">
        <w:rPr>
          <w:rFonts w:ascii="Verdana" w:eastAsia="Times New Roman" w:hAnsi="Verdana" w:cs="Arial"/>
          <w:sz w:val="20"/>
          <w:szCs w:val="20"/>
          <w:vertAlign w:val="superscript"/>
          <w:lang w:val="es-MX"/>
        </w:rPr>
        <w:footnoteReference w:id="11"/>
      </w:r>
      <w:r w:rsidRPr="006F234B">
        <w:rPr>
          <w:rFonts w:ascii="Verdana" w:eastAsia="Times New Roman" w:hAnsi="Verdana" w:cs="Arial"/>
          <w:sz w:val="20"/>
          <w:szCs w:val="20"/>
          <w:lang w:val="es-MX"/>
        </w:rPr>
        <w:t>.</w:t>
      </w:r>
    </w:p>
    <w:p w14:paraId="36065087" w14:textId="77777777" w:rsidR="007559D1" w:rsidRPr="006F234B" w:rsidRDefault="007559D1" w:rsidP="007559D1">
      <w:pPr>
        <w:spacing w:after="0" w:line="276" w:lineRule="auto"/>
        <w:jc w:val="both"/>
        <w:rPr>
          <w:rFonts w:ascii="Verdana" w:eastAsia="Times New Roman" w:hAnsi="Verdana" w:cs="Arial"/>
          <w:color w:val="000000"/>
          <w:sz w:val="20"/>
          <w:szCs w:val="20"/>
          <w:lang w:val="es-ES_tradnl"/>
        </w:rPr>
      </w:pPr>
    </w:p>
    <w:p w14:paraId="2B4C2D20" w14:textId="77777777" w:rsidR="007559D1" w:rsidRPr="00303985" w:rsidRDefault="007559D1" w:rsidP="007559D1">
      <w:pPr>
        <w:spacing w:after="120" w:line="276" w:lineRule="auto"/>
        <w:ind w:firstLine="709"/>
        <w:jc w:val="both"/>
        <w:rPr>
          <w:rFonts w:ascii="Verdana" w:eastAsia="Times New Roman" w:hAnsi="Verdana" w:cs="Arial"/>
          <w:color w:val="000000"/>
          <w:sz w:val="21"/>
          <w:szCs w:val="21"/>
          <w:lang w:val="es-ES_tradnl" w:eastAsia="es-ES_tradnl"/>
        </w:rPr>
      </w:pPr>
      <w:r w:rsidRPr="00303985">
        <w:rPr>
          <w:rFonts w:ascii="Verdana" w:eastAsia="Times New Roman" w:hAnsi="Verdana" w:cs="Arial"/>
          <w:color w:val="000000"/>
          <w:szCs w:val="24"/>
          <w:lang w:val="es-ES_tradnl" w:eastAsia="es-ES_tradnl"/>
        </w:rPr>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00303985">
        <w:rPr>
          <w:rFonts w:ascii="Verdana" w:eastAsia="Times New Roman" w:hAnsi="Verdana" w:cs="Arial"/>
          <w:i/>
          <w:iCs/>
          <w:color w:val="000000"/>
          <w:szCs w:val="24"/>
          <w:lang w:val="es-ES_tradnl" w:eastAsia="es-ES_tradnl"/>
        </w:rPr>
        <w:t>liquidar</w:t>
      </w:r>
      <w:r w:rsidRPr="00303985">
        <w:rPr>
          <w:rFonts w:ascii="Verdana" w:eastAsia="Times New Roman" w:hAnsi="Verdana" w:cs="Arial"/>
          <w:color w:val="000000"/>
          <w:szCs w:val="24"/>
          <w:lang w:val="es-ES_tradnl" w:eastAsia="es-ES_tradnl"/>
        </w:rPr>
        <w:t xml:space="preserve"> supone un ajuste en relación con las cuentas y el estado de cumplimiento del contrato estatal y, por el otro, que la </w:t>
      </w:r>
      <w:r w:rsidRPr="00303985">
        <w:rPr>
          <w:rFonts w:ascii="Verdana" w:eastAsia="Times New Roman" w:hAnsi="Verdana" w:cs="Arial"/>
          <w:i/>
          <w:iCs/>
          <w:color w:val="000000"/>
          <w:szCs w:val="24"/>
          <w:lang w:val="es-ES_tradnl" w:eastAsia="es-ES_tradnl"/>
        </w:rPr>
        <w:t>liquidación</w:t>
      </w:r>
      <w:r w:rsidRPr="00303985">
        <w:rPr>
          <w:rFonts w:ascii="Verdana" w:eastAsia="Times New Roman" w:hAnsi="Verdana" w:cs="Arial"/>
          <w:color w:val="000000"/>
          <w:szCs w:val="24"/>
          <w:lang w:val="es-ES_tradnl" w:eastAsia="es-ES_tradnl"/>
        </w:rPr>
        <w:t xml:space="preserve"> debe incluir el análisis de las condiciones de calidad y oportunidad en la entrega de los bienes, obras o servicios, así como el balance económico y el comportamiento financiero del negocio</w:t>
      </w:r>
      <w:r w:rsidRPr="00303985">
        <w:rPr>
          <w:rFonts w:ascii="Verdana" w:eastAsia="Times New Roman" w:hAnsi="Verdana" w:cs="Arial"/>
          <w:color w:val="000000"/>
          <w:szCs w:val="24"/>
          <w:vertAlign w:val="superscript"/>
          <w:lang w:val="es-ES_tradnl" w:eastAsia="es-ES_tradnl"/>
        </w:rPr>
        <w:footnoteReference w:id="12"/>
      </w:r>
      <w:r w:rsidRPr="00303985">
        <w:rPr>
          <w:rFonts w:ascii="Verdana" w:eastAsia="Times New Roman" w:hAnsi="Verdana" w:cs="Arial"/>
          <w:color w:val="000000"/>
          <w:szCs w:val="24"/>
          <w:lang w:val="es-ES_tradnl" w:eastAsia="es-ES_tradnl"/>
        </w:rPr>
        <w:t xml:space="preserve">. </w:t>
      </w:r>
    </w:p>
    <w:p w14:paraId="246BF58D" w14:textId="77777777" w:rsidR="007559D1" w:rsidRPr="00303985" w:rsidRDefault="007559D1" w:rsidP="007559D1">
      <w:pPr>
        <w:spacing w:after="0" w:line="276" w:lineRule="auto"/>
        <w:ind w:firstLine="709"/>
        <w:jc w:val="both"/>
        <w:rPr>
          <w:rFonts w:ascii="Verdana" w:eastAsia="Times New Roman" w:hAnsi="Verdana" w:cs="Arial"/>
          <w:color w:val="000000"/>
          <w:lang w:val="es-ES_tradnl"/>
        </w:rPr>
      </w:pPr>
      <w:r w:rsidRPr="00303985">
        <w:rPr>
          <w:rFonts w:ascii="Verdana" w:eastAsia="Times New Roman" w:hAnsi="Verdana" w:cs="Arial"/>
          <w:color w:val="000000"/>
          <w:lang w:val="es-ES_tradnl"/>
        </w:rPr>
        <w:t>Las disposiciones legales que regulan la etapa de liquidación de los contratos estatales son el artículo 60 de la Ley 80 de 1993, modificado por el artículo 217 del Decreto 019 de 2012, y el artículo 11 de la Ley 1150 de 2007.</w:t>
      </w:r>
      <w:r>
        <w:rPr>
          <w:rFonts w:ascii="Verdana" w:eastAsia="Times New Roman" w:hAnsi="Verdana" w:cs="Arial"/>
          <w:color w:val="000000"/>
          <w:lang w:val="es-ES_tradnl"/>
        </w:rPr>
        <w:t xml:space="preserve"> </w:t>
      </w:r>
      <w:r w:rsidRPr="00303985">
        <w:rPr>
          <w:rFonts w:ascii="Verdana" w:eastAsia="Times New Roman" w:hAnsi="Verdana" w:cs="Arial"/>
          <w:color w:val="000000"/>
          <w:lang w:val="es-ES_tradnl"/>
        </w:rPr>
        <w:t xml:space="preserve">El primero de estos artículos se refiere al alcance sustantivo de la liquidación y los contratos en que procede, mientras que el segundo contiene reglas </w:t>
      </w:r>
      <w:r w:rsidRPr="00303985">
        <w:rPr>
          <w:rFonts w:ascii="Verdana" w:eastAsia="Times New Roman" w:hAnsi="Verdana" w:cs="Arial"/>
          <w:color w:val="000000"/>
          <w:lang w:val="es-ES_tradnl"/>
        </w:rPr>
        <w:lastRenderedPageBreak/>
        <w:t>procedimentales para su realización. En relación con el artículo 60 referido, la doctrina ha indicado que:</w:t>
      </w:r>
    </w:p>
    <w:p w14:paraId="5CB7DC4A" w14:textId="77777777" w:rsidR="007559D1" w:rsidRPr="00303985" w:rsidRDefault="007559D1" w:rsidP="007559D1">
      <w:pPr>
        <w:spacing w:after="0" w:line="276" w:lineRule="auto"/>
        <w:ind w:firstLine="708"/>
        <w:jc w:val="both"/>
        <w:rPr>
          <w:rFonts w:ascii="Verdana" w:eastAsia="Times New Roman" w:hAnsi="Verdana" w:cs="Arial"/>
          <w:lang w:val="es-ES"/>
        </w:rPr>
      </w:pPr>
    </w:p>
    <w:p w14:paraId="148AFA52" w14:textId="77777777" w:rsidR="007559D1" w:rsidRPr="006F234B" w:rsidRDefault="007559D1" w:rsidP="007559D1">
      <w:pPr>
        <w:spacing w:after="0" w:line="240" w:lineRule="auto"/>
        <w:ind w:left="709" w:right="758"/>
        <w:jc w:val="both"/>
        <w:rPr>
          <w:rFonts w:ascii="Verdana" w:eastAsia="Times New Roman" w:hAnsi="Verdana" w:cs="Arial"/>
          <w:sz w:val="20"/>
          <w:szCs w:val="20"/>
          <w:lang w:val="es-MX"/>
        </w:rPr>
      </w:pPr>
      <w:r w:rsidRPr="006F234B">
        <w:rPr>
          <w:rFonts w:ascii="Verdana" w:eastAsia="Times New Roman" w:hAnsi="Verdana" w:cs="Arial"/>
          <w:sz w:val="20"/>
          <w:szCs w:val="20"/>
          <w:lang w:val="es-ES"/>
        </w:rPr>
        <w:t>“</w:t>
      </w:r>
      <w:r w:rsidRPr="006F234B">
        <w:rPr>
          <w:rFonts w:ascii="Verdana" w:eastAsia="Times New Roman" w:hAnsi="Verdana" w:cs="Arial"/>
          <w:sz w:val="20"/>
          <w:szCs w:val="20"/>
          <w:lang w:val="es-MX"/>
        </w:rPr>
        <w:t>La ley 80 de 1993 […] dispuso en el artículo 60 que serían objeto de liquidación todos los contratos de tracto sucesivo, entendiendo por estos los de ejecución y cumplimiento prolongados en el tiempo, así como los demás que lo requieran –que son generalmente aquellos de ejecución instantánea en los que la misma se ha extendido temporalmente–, etapa en la cual las partes debían acordar los ajustes, revisiones y reconocimientos a que hubiera lugar, y que el contenido de la misma debía reflejar ‘los acuerdos, conciliaciones y transacciones a que llegaren las partes para poner fin a las divergencias presentadas y poder declararse a paz y salvo’”</w:t>
      </w:r>
      <w:r w:rsidRPr="006F234B">
        <w:rPr>
          <w:rFonts w:ascii="Verdana" w:eastAsia="Times New Roman" w:hAnsi="Verdana" w:cs="Arial"/>
          <w:sz w:val="20"/>
          <w:szCs w:val="20"/>
          <w:vertAlign w:val="superscript"/>
          <w:lang w:val="es-MX"/>
        </w:rPr>
        <w:footnoteReference w:id="13"/>
      </w:r>
      <w:r w:rsidRPr="006F234B">
        <w:rPr>
          <w:rFonts w:ascii="Verdana" w:eastAsia="Times New Roman" w:hAnsi="Verdana" w:cs="Arial"/>
          <w:sz w:val="20"/>
          <w:szCs w:val="20"/>
          <w:lang w:val="es-MX"/>
        </w:rPr>
        <w:t>.</w:t>
      </w:r>
    </w:p>
    <w:p w14:paraId="32B1E3CC" w14:textId="77777777" w:rsidR="007559D1" w:rsidRPr="006F234B" w:rsidRDefault="007559D1" w:rsidP="007559D1">
      <w:pPr>
        <w:spacing w:after="0" w:line="276" w:lineRule="auto"/>
        <w:ind w:left="709" w:right="758"/>
        <w:jc w:val="both"/>
        <w:rPr>
          <w:rFonts w:ascii="Verdana" w:eastAsia="Times New Roman" w:hAnsi="Verdana" w:cs="Arial"/>
          <w:sz w:val="20"/>
          <w:szCs w:val="20"/>
          <w:lang w:val="es-MX"/>
        </w:rPr>
      </w:pPr>
    </w:p>
    <w:p w14:paraId="6D7CD1F0" w14:textId="77777777" w:rsidR="007559D1" w:rsidRDefault="007559D1" w:rsidP="007559D1">
      <w:pPr>
        <w:spacing w:after="120" w:line="276" w:lineRule="auto"/>
        <w:ind w:firstLine="708"/>
        <w:jc w:val="both"/>
        <w:rPr>
          <w:rFonts w:ascii="Verdana" w:eastAsia="Times New Roman" w:hAnsi="Verdana" w:cs="Arial"/>
          <w:color w:val="000000"/>
          <w:lang w:val="es-ES_tradnl"/>
        </w:rPr>
      </w:pPr>
      <w:r>
        <w:rPr>
          <w:rFonts w:ascii="Verdana" w:eastAsia="Times New Roman" w:hAnsi="Verdana" w:cs="Arial"/>
          <w:color w:val="000000"/>
          <w:lang w:val="es-MX"/>
        </w:rPr>
        <w:t xml:space="preserve">De </w:t>
      </w:r>
      <w:r w:rsidRPr="00303985">
        <w:rPr>
          <w:rFonts w:ascii="Verdana" w:eastAsia="Times New Roman" w:hAnsi="Verdana" w:cs="Arial"/>
          <w:color w:val="000000"/>
          <w:lang w:val="es-ES_tradnl"/>
        </w:rPr>
        <w:t>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Adicionalmente, en los contratos las entidades estatales deben definir la oportunidad y forma de recibir el objeto contratado y, en cada caso, si un contrato requiere o no de liquidación, con arreglo a criterios tales como la naturaleza, objeto y plazo del contrato</w:t>
      </w:r>
      <w:r w:rsidRPr="00303985">
        <w:rPr>
          <w:rFonts w:ascii="Verdana" w:eastAsia="Times New Roman" w:hAnsi="Verdana" w:cs="Arial"/>
          <w:color w:val="000000"/>
          <w:vertAlign w:val="superscript"/>
          <w:lang w:val="es-ES_tradnl"/>
        </w:rPr>
        <w:footnoteReference w:id="14"/>
      </w:r>
      <w:r w:rsidRPr="00303985">
        <w:rPr>
          <w:rFonts w:ascii="Verdana" w:eastAsia="Times New Roman" w:hAnsi="Verdana" w:cs="Arial"/>
          <w:color w:val="000000"/>
          <w:lang w:val="es-ES_tradnl"/>
        </w:rPr>
        <w:t xml:space="preserve">, así como la probabilidad de que puedan surgir diferencias durante la ejecución del contrato; sin perjuicio de que, como se indicó, todos los contratos estatales de </w:t>
      </w:r>
      <w:r w:rsidRPr="00303985">
        <w:rPr>
          <w:rFonts w:ascii="Verdana" w:eastAsia="Times New Roman" w:hAnsi="Verdana" w:cs="Arial"/>
          <w:i/>
          <w:iCs/>
          <w:color w:val="000000"/>
          <w:lang w:val="es-ES_tradnl"/>
        </w:rPr>
        <w:t>tracto sucesivo</w:t>
      </w:r>
      <w:r w:rsidRPr="00303985">
        <w:rPr>
          <w:rFonts w:ascii="Verdana" w:eastAsia="Times New Roman" w:hAnsi="Verdana" w:cs="Arial"/>
          <w:color w:val="000000"/>
          <w:lang w:val="es-ES_tradnl"/>
        </w:rPr>
        <w:t xml:space="preserve"> o aquellos cuya ejecución se prolongue en el tiempo siempre deban liquidarse, convirtiéndose en estos contratos en una cláusula de la naturaleza, conforme a la clasificación prevista en el Código Civil.</w:t>
      </w:r>
      <w:r>
        <w:rPr>
          <w:rFonts w:ascii="Verdana" w:eastAsia="Times New Roman" w:hAnsi="Verdana" w:cs="Arial"/>
          <w:color w:val="000000"/>
          <w:lang w:val="es-ES_tradnl"/>
        </w:rPr>
        <w:t xml:space="preserve"> </w:t>
      </w:r>
    </w:p>
    <w:p w14:paraId="688ED34E" w14:textId="77777777" w:rsidR="007559D1" w:rsidRPr="00525889" w:rsidRDefault="007559D1" w:rsidP="007559D1">
      <w:pPr>
        <w:spacing w:after="120" w:line="276" w:lineRule="auto"/>
        <w:ind w:firstLine="708"/>
        <w:jc w:val="both"/>
        <w:rPr>
          <w:rFonts w:ascii="Verdana" w:eastAsia="Times New Roman" w:hAnsi="Verdana" w:cs="Arial"/>
          <w:color w:val="000000"/>
        </w:rPr>
      </w:pPr>
      <w:r w:rsidRPr="00525889">
        <w:rPr>
          <w:rFonts w:ascii="Verdana" w:eastAsia="Times New Roman" w:hAnsi="Verdana" w:cs="Arial"/>
          <w:color w:val="000000"/>
        </w:rPr>
        <w:t>En todo caso, debe enfatizarse que las disposiciones del Estatuto General de Contratación de la Administración Pública son exigibles únicamente para las entidades sometidas a dicho régimen, y no para los convenios interadministrativos, cuya naturaleza jurídica se fundamenta en la autonomía de la voluntad de las partes. Por ello, las reglas sobre etapas contractuales, procedimientos de liquidación, cláusulas obligatorias o efectos propios de los contratos estatales no se trasladan automáticamente a los convenios.</w:t>
      </w:r>
    </w:p>
    <w:p w14:paraId="4A4D3F90" w14:textId="77777777" w:rsidR="007559D1" w:rsidRDefault="007559D1" w:rsidP="007559D1">
      <w:pPr>
        <w:spacing w:after="120" w:line="276" w:lineRule="auto"/>
        <w:ind w:firstLine="708"/>
        <w:jc w:val="both"/>
        <w:rPr>
          <w:rFonts w:ascii="Verdana" w:eastAsia="Times New Roman" w:hAnsi="Verdana" w:cs="Arial"/>
          <w:color w:val="000000"/>
        </w:rPr>
      </w:pPr>
      <w:r w:rsidRPr="00525889">
        <w:rPr>
          <w:rFonts w:ascii="Verdana" w:eastAsia="Times New Roman" w:hAnsi="Verdana" w:cs="Arial"/>
          <w:color w:val="000000"/>
        </w:rPr>
        <w:lastRenderedPageBreak/>
        <w:t>En ese escenario, corresponde a las entidades cooperantes definir de manera expresa y detallada las condiciones, procedimientos y efectos de la liquidación del convenio interadministrativo, incluyendo los mecanismos de cierre financiero, verificación de aportes, cumplimiento de compromisos y formalización de actas. La estructura y alcance de dicha liquidación dependerán</w:t>
      </w:r>
      <w:r>
        <w:rPr>
          <w:rFonts w:ascii="Verdana" w:eastAsia="Times New Roman" w:hAnsi="Verdana" w:cs="Arial"/>
          <w:color w:val="000000"/>
        </w:rPr>
        <w:t xml:space="preserve"> de lo estipulado</w:t>
      </w:r>
      <w:r w:rsidRPr="00525889">
        <w:rPr>
          <w:rFonts w:ascii="Verdana" w:eastAsia="Times New Roman" w:hAnsi="Verdana" w:cs="Arial"/>
          <w:color w:val="000000"/>
        </w:rPr>
        <w:t>, de modo que son las partes quienes fijan las reglas aplicables, garantizando así coherencia con la finalidad del convenio y con los principios de coordinación, colaboración y eficiencia que orientan este tipo de instrumentos.</w:t>
      </w:r>
    </w:p>
    <w:p w14:paraId="108C4431" w14:textId="77777777" w:rsidR="007559D1" w:rsidRPr="00CE1317" w:rsidRDefault="007559D1" w:rsidP="007559D1">
      <w:pPr>
        <w:spacing w:after="120" w:line="276" w:lineRule="auto"/>
        <w:ind w:firstLine="708"/>
        <w:jc w:val="both"/>
        <w:rPr>
          <w:rFonts w:ascii="Verdana" w:eastAsia="Times New Roman" w:hAnsi="Verdana" w:cs="Arial"/>
          <w:color w:val="000000"/>
        </w:rPr>
      </w:pPr>
      <w:r>
        <w:rPr>
          <w:rFonts w:ascii="Verdana" w:eastAsia="Times New Roman" w:hAnsi="Verdana" w:cs="Arial"/>
          <w:color w:val="000000"/>
        </w:rPr>
        <w:t>En este contexto, cuando ocurre el vencimiento del plazo del convenio interadministrativo no genera la extinción de las obligaciones derivadas del convenio</w:t>
      </w:r>
      <w:r w:rsidRPr="00CE1317">
        <w:rPr>
          <w:rFonts w:ascii="Verdana" w:eastAsia="Times New Roman" w:hAnsi="Verdana" w:cs="Arial"/>
          <w:color w:val="000000"/>
        </w:rPr>
        <w:t xml:space="preserve">, ni impide que las entidades adopten actuaciones administrativas orientadas a reconocer prestaciones ya causadas. Dado que el convenio se rige por la autonomía de la voluntad de las partes, corresponde </w:t>
      </w:r>
      <w:r>
        <w:rPr>
          <w:rFonts w:ascii="Verdana" w:eastAsia="Times New Roman" w:hAnsi="Verdana" w:cs="Arial"/>
          <w:color w:val="000000"/>
        </w:rPr>
        <w:t>en el</w:t>
      </w:r>
      <w:r w:rsidRPr="00CE1317">
        <w:rPr>
          <w:rFonts w:ascii="Verdana" w:eastAsia="Times New Roman" w:hAnsi="Verdana" w:cs="Arial"/>
          <w:color w:val="000000"/>
        </w:rPr>
        <w:t xml:space="preserve"> clausulado determinar si, una vez vencido el plazo, es posible expedir actas parciales de pago, adelantar gestiones de cierre financiero o adoptar decisiones administrativas para atender obligaciones derivadas del contrato de obra pública</w:t>
      </w:r>
      <w:r>
        <w:rPr>
          <w:rFonts w:ascii="Verdana" w:eastAsia="Times New Roman" w:hAnsi="Verdana" w:cs="Arial"/>
          <w:color w:val="000000"/>
        </w:rPr>
        <w:t xml:space="preserve"> que está ejecutando la entidad pública cooperante que tiene la calidad de ejecutora</w:t>
      </w:r>
      <w:r w:rsidRPr="00CE1317">
        <w:rPr>
          <w:rFonts w:ascii="Verdana" w:eastAsia="Times New Roman" w:hAnsi="Verdana" w:cs="Arial"/>
          <w:color w:val="000000"/>
        </w:rPr>
        <w:t xml:space="preserve">. En ausencia de una prohibición expresa, el vencimiento del plazo no impide reconocer actividades ejecutadas dentro de la vigencia del convenio, pues ello responde </w:t>
      </w:r>
      <w:r>
        <w:rPr>
          <w:rFonts w:ascii="Verdana" w:eastAsia="Times New Roman" w:hAnsi="Verdana" w:cs="Arial"/>
          <w:color w:val="000000"/>
        </w:rPr>
        <w:t xml:space="preserve">a </w:t>
      </w:r>
      <w:r w:rsidRPr="00CE1317">
        <w:rPr>
          <w:rFonts w:ascii="Verdana" w:eastAsia="Times New Roman" w:hAnsi="Verdana" w:cs="Arial"/>
          <w:color w:val="000000"/>
        </w:rPr>
        <w:t>la necesidad de garantizar la adecuada administración de los recursos públicos comprometidos.</w:t>
      </w:r>
    </w:p>
    <w:p w14:paraId="7020CD36" w14:textId="77777777" w:rsidR="007559D1" w:rsidRPr="006D239F" w:rsidRDefault="007559D1" w:rsidP="007559D1">
      <w:pPr>
        <w:widowControl w:val="0"/>
        <w:autoSpaceDE w:val="0"/>
        <w:autoSpaceDN w:val="0"/>
        <w:spacing w:after="120" w:line="276" w:lineRule="auto"/>
        <w:ind w:firstLine="708"/>
        <w:jc w:val="both"/>
        <w:rPr>
          <w:rFonts w:ascii="Verdana" w:eastAsia="Times New Roman" w:hAnsi="Verdana" w:cs="Arial"/>
          <w:color w:val="000000"/>
        </w:rPr>
      </w:pPr>
      <w:r w:rsidRPr="006D239F">
        <w:rPr>
          <w:rFonts w:ascii="Verdana" w:eastAsia="Times New Roman" w:hAnsi="Verdana" w:cs="Arial"/>
          <w:color w:val="000000"/>
        </w:rPr>
        <w:t xml:space="preserve">Ahora bien, el alcance de estas actuaciones debe diferenciarse del régimen aplicable al contrato de obra pública, que está </w:t>
      </w:r>
      <w:r w:rsidRPr="00DD536A">
        <w:rPr>
          <w:rFonts w:ascii="Verdana" w:eastAsia="Times New Roman" w:hAnsi="Verdana" w:cs="Arial"/>
          <w:color w:val="000000"/>
        </w:rPr>
        <w:t>sometido</w:t>
      </w:r>
      <w:r w:rsidRPr="006D239F">
        <w:rPr>
          <w:rFonts w:ascii="Verdana" w:eastAsia="Times New Roman" w:hAnsi="Verdana" w:cs="Arial"/>
          <w:color w:val="000000"/>
        </w:rPr>
        <w:t xml:space="preserve"> al régimen de la entidad ejecutora, ya sea el Estatuto General de Contratación o el régimen especial correspondiente. </w:t>
      </w:r>
      <w:r w:rsidRPr="00DD536A">
        <w:rPr>
          <w:rFonts w:ascii="Verdana" w:eastAsia="Times New Roman" w:hAnsi="Verdana" w:cs="Arial"/>
          <w:color w:val="000000"/>
        </w:rPr>
        <w:t xml:space="preserve">En este punto conviene precisar que el acta parcial de pago no es un acto de liquidación —ni del convenio ni del contrato—, sino un instrumento propio de la fase de ejecución del contrato de obra, mediante el cual la entidad reconoce y paga las cantidades efectivamente ejecutadas conforme a la metodología de remuneración pactada. Por ello, su procedencia no depende de que el convenio interadministrativo esté o no liquidado: mientras existan prestaciones ejecutadas y debidamente soportadas, y exista respaldo presupuestal para atenderlas, el acta parcial se tramita bajo el régimen del contrato de obra con independencia del estado en que se encuentre el ciclo de cierre del convenio. La liquidación del convenio y la liquidación del contrato de obra son actuaciones distintas —con partes, régimen y finalidad diferentes— que </w:t>
      </w:r>
      <w:r w:rsidRPr="00DD536A">
        <w:rPr>
          <w:rFonts w:ascii="Verdana" w:eastAsia="Times New Roman" w:hAnsi="Verdana" w:cs="Arial"/>
          <w:color w:val="000000"/>
        </w:rPr>
        <w:lastRenderedPageBreak/>
        <w:t>no deben confundirse ni subordinarse la una a la otra.</w:t>
      </w:r>
      <w:r w:rsidRPr="006D239F">
        <w:rPr>
          <w:rFonts w:ascii="Verdana" w:eastAsia="Times New Roman" w:hAnsi="Verdana" w:cs="Arial"/>
          <w:color w:val="000000"/>
        </w:rPr>
        <w:t xml:space="preserve"> Las obligaciones causadas en el contrato —actas parciales, informes de avance, reconocimientos económicos, ajustes o revisiones derivadas de la ejecución— pueden y deben formalizarse conforme a su propio régimen jurídico, incluso si el convenio que soporta la financiación ha vencido.</w:t>
      </w:r>
    </w:p>
    <w:p w14:paraId="356D8069" w14:textId="77777777" w:rsidR="007559D1" w:rsidRDefault="007559D1" w:rsidP="007559D1">
      <w:pPr>
        <w:widowControl w:val="0"/>
        <w:autoSpaceDE w:val="0"/>
        <w:autoSpaceDN w:val="0"/>
        <w:spacing w:after="120" w:line="276" w:lineRule="auto"/>
        <w:ind w:firstLine="708"/>
        <w:jc w:val="both"/>
        <w:rPr>
          <w:rFonts w:ascii="Verdana" w:eastAsia="Times New Roman" w:hAnsi="Verdana" w:cs="Arial"/>
          <w:color w:val="000000"/>
        </w:rPr>
      </w:pPr>
      <w:r>
        <w:rPr>
          <w:rFonts w:ascii="Verdana" w:eastAsia="Times New Roman" w:hAnsi="Verdana" w:cs="Arial"/>
          <w:color w:val="000000"/>
        </w:rPr>
        <w:t>A modo de ejemplo, es posible que dentro del contrato de obra se reconozca</w:t>
      </w:r>
      <w:r w:rsidRPr="00654670">
        <w:rPr>
          <w:rFonts w:ascii="Verdana" w:eastAsia="Arial" w:hAnsi="Verdana" w:cs="Arial"/>
          <w:lang w:eastAsia="es-ES" w:bidi="es-ES"/>
        </w:rPr>
        <w:t xml:space="preserve"> mayores cantidades de obra en contratos a precios unitarios</w:t>
      </w:r>
      <w:r>
        <w:rPr>
          <w:rFonts w:ascii="Verdana" w:eastAsia="Arial" w:hAnsi="Verdana" w:cs="Arial"/>
          <w:lang w:eastAsia="es-ES" w:bidi="es-ES"/>
        </w:rPr>
        <w:t>, lo cual</w:t>
      </w:r>
      <w:r w:rsidRPr="00654670">
        <w:rPr>
          <w:rFonts w:ascii="Verdana" w:eastAsia="Arial" w:hAnsi="Verdana" w:cs="Arial"/>
          <w:lang w:eastAsia="es-ES" w:bidi="es-ES"/>
        </w:rPr>
        <w:t xml:space="preserve"> </w:t>
      </w:r>
      <w:r>
        <w:rPr>
          <w:rFonts w:ascii="Verdana" w:eastAsia="Arial" w:hAnsi="Verdana" w:cs="Arial"/>
          <w:lang w:eastAsia="es-ES" w:bidi="es-ES"/>
        </w:rPr>
        <w:t xml:space="preserve">según la jurisprudencia reciente del Consejo de Estado </w:t>
      </w:r>
      <w:r w:rsidRPr="00654670">
        <w:rPr>
          <w:rFonts w:ascii="Verdana" w:eastAsia="Arial" w:hAnsi="Verdana" w:cs="Arial"/>
          <w:lang w:eastAsia="es-ES" w:bidi="es-ES"/>
        </w:rPr>
        <w:t>no configura una adición contractual, pues no implica ampliar el objeto ni introducir nuevas prestaciones, sino aplicar la metodología de remuneración pactada para determinar el valor final de lo efectivamente ejecutado</w:t>
      </w:r>
      <w:r>
        <w:rPr>
          <w:rStyle w:val="Refdenotaalpie"/>
          <w:rFonts w:ascii="Verdana" w:eastAsia="Arial" w:hAnsi="Verdana" w:cs="Arial"/>
          <w:lang w:eastAsia="es-ES" w:bidi="es-ES"/>
        </w:rPr>
        <w:footnoteReference w:id="15"/>
      </w:r>
      <w:r w:rsidRPr="00654670">
        <w:rPr>
          <w:rFonts w:ascii="Verdana" w:eastAsia="Arial" w:hAnsi="Verdana" w:cs="Arial"/>
          <w:lang w:eastAsia="es-ES" w:bidi="es-ES"/>
        </w:rPr>
        <w:t xml:space="preserve">. No obstante, esta circunstancia sí exige actuaciones presupuestales, en particular la verificación de disponibilidad y la expedición del compromiso presupuestal correspondiente, en cumplimiento </w:t>
      </w:r>
      <w:r w:rsidRPr="00FB135F">
        <w:rPr>
          <w:rFonts w:ascii="Verdana" w:eastAsia="Arial" w:hAnsi="Verdana" w:cs="Arial"/>
          <w:lang w:eastAsia="es-ES" w:bidi="es-ES"/>
        </w:rPr>
        <w:t xml:space="preserve">del principio de legalidad del gasto —conforme al cual las obligaciones deben estar amparadas en las respectivas apropiaciones y registros presupuestales— y de los principios de gestión fiscal. Tales actuaciones no requieren la suscripción de un otrosí o contrato adicional, pues no se está modificando el contrato, sino reconociendo la ejecución real de los ítems previstos. </w:t>
      </w:r>
    </w:p>
    <w:p w14:paraId="44E41649" w14:textId="77777777" w:rsidR="007559D1" w:rsidRDefault="007559D1" w:rsidP="007559D1">
      <w:pPr>
        <w:spacing w:after="120" w:line="276" w:lineRule="auto"/>
        <w:ind w:firstLine="708"/>
        <w:jc w:val="both"/>
        <w:rPr>
          <w:rFonts w:ascii="Verdana" w:eastAsia="Times New Roman" w:hAnsi="Verdana" w:cs="Arial"/>
          <w:color w:val="000000"/>
        </w:rPr>
      </w:pPr>
      <w:r>
        <w:rPr>
          <w:rFonts w:ascii="Verdana" w:eastAsia="Times New Roman" w:hAnsi="Verdana" w:cs="Arial"/>
          <w:color w:val="000000"/>
        </w:rPr>
        <w:t>Es importante recordar que, el</w:t>
      </w:r>
      <w:r w:rsidRPr="00573BA2">
        <w:rPr>
          <w:rFonts w:ascii="Verdana" w:eastAsia="Times New Roman" w:hAnsi="Verdana" w:cs="Arial"/>
          <w:color w:val="000000"/>
        </w:rPr>
        <w:t xml:space="preserve"> contrato mantiene autonomía jurídica, de modo que su ejecución, modificación, terminación y liquidación se rigen por las normas imperativas del régimen contractual aplicable —sea el Estatuto General de Contratación o el régimen especial correspondiente— sin que el vencimiento del convenio interadministrativo tenga incidencia alguna en la exigibilidad de las obligaciones ya causadas dentro del contrato. En consecuencia, las prestaciones ejecutadas</w:t>
      </w:r>
      <w:r>
        <w:rPr>
          <w:rFonts w:ascii="Verdana" w:eastAsia="Times New Roman" w:hAnsi="Verdana" w:cs="Arial"/>
          <w:color w:val="000000"/>
        </w:rPr>
        <w:t xml:space="preserve"> y </w:t>
      </w:r>
      <w:r w:rsidRPr="00573BA2">
        <w:rPr>
          <w:rFonts w:ascii="Verdana" w:eastAsia="Times New Roman" w:hAnsi="Verdana" w:cs="Arial"/>
          <w:color w:val="000000"/>
        </w:rPr>
        <w:t xml:space="preserve">los reconocimientos económicos derivados del contrato conservan </w:t>
      </w:r>
      <w:r>
        <w:rPr>
          <w:rFonts w:ascii="Verdana" w:eastAsia="Times New Roman" w:hAnsi="Verdana" w:cs="Arial"/>
          <w:color w:val="000000"/>
        </w:rPr>
        <w:t xml:space="preserve">la </w:t>
      </w:r>
      <w:r w:rsidRPr="00573BA2">
        <w:rPr>
          <w:rFonts w:ascii="Verdana" w:eastAsia="Times New Roman" w:hAnsi="Verdana" w:cs="Arial"/>
          <w:color w:val="000000"/>
        </w:rPr>
        <w:t>validez y deben formalizarse conforme a sus propias reglas, independientemente de la expiración del plazo del convenio que soporta su financiación.</w:t>
      </w:r>
    </w:p>
    <w:p w14:paraId="7D37B5B3" w14:textId="77777777" w:rsidR="007559D1" w:rsidRDefault="007559D1" w:rsidP="007559D1">
      <w:pPr>
        <w:spacing w:after="120" w:line="276" w:lineRule="auto"/>
        <w:ind w:firstLine="708"/>
        <w:jc w:val="both"/>
        <w:rPr>
          <w:rFonts w:ascii="Verdana" w:eastAsia="Times New Roman" w:hAnsi="Verdana" w:cs="Arial"/>
          <w:color w:val="000000"/>
        </w:rPr>
      </w:pPr>
      <w:r>
        <w:rPr>
          <w:rFonts w:ascii="Verdana" w:eastAsia="Times New Roman" w:hAnsi="Verdana" w:cs="Arial"/>
          <w:color w:val="000000"/>
        </w:rPr>
        <w:t>Por último</w:t>
      </w:r>
      <w:r w:rsidRPr="00A111B4">
        <w:rPr>
          <w:rFonts w:ascii="Verdana" w:eastAsia="Times New Roman" w:hAnsi="Verdana" w:cs="Arial"/>
          <w:color w:val="000000"/>
        </w:rPr>
        <w:t xml:space="preserve">, la </w:t>
      </w:r>
      <w:r w:rsidRPr="0089018C">
        <w:rPr>
          <w:rFonts w:ascii="Verdana" w:eastAsia="Times New Roman" w:hAnsi="Verdana" w:cs="Arial"/>
          <w:color w:val="000000"/>
        </w:rPr>
        <w:t xml:space="preserve">ausencia de liquidación del convenio interadministrativo no impide que las entidades adelanten gestiones orientadas al cierre financiero y </w:t>
      </w:r>
      <w:r w:rsidRPr="0089018C">
        <w:rPr>
          <w:rFonts w:ascii="Verdana" w:eastAsia="Times New Roman" w:hAnsi="Verdana" w:cs="Arial"/>
          <w:color w:val="000000"/>
        </w:rPr>
        <w:lastRenderedPageBreak/>
        <w:t>material del proyecto,</w:t>
      </w:r>
      <w:r w:rsidRPr="00A111B4">
        <w:rPr>
          <w:rFonts w:ascii="Verdana" w:eastAsia="Times New Roman" w:hAnsi="Verdana" w:cs="Arial"/>
          <w:color w:val="000000"/>
        </w:rPr>
        <w:t xml:space="preserve"> siempre que tales actuaciones se limiten a reconocer obligaciones causadas dentro de la vigencia del convenio y se ajusten a lo pactado por las partes. En estos escenarios, los principios de la contratación estatal —especialmente los de responsabilidad, transparencia, economía y eficacia— permiten adoptar actuaciones administrativas necesarias para garantizar la correcta ejecución de los recursos, la consolidación de la información financiera y la formalización del cierre del proyecto. Así, el vencimiento del plazo del convenio no paraliza la gestión administrativa, pero sí exige que las actuaciones posteriores se limiten a obligaciones causadas y se enmarquen en las reglas pactadas por las entidades cooperantes.</w:t>
      </w:r>
    </w:p>
    <w:p w14:paraId="5D42834B" w14:textId="77777777" w:rsidR="007559D1" w:rsidRDefault="007559D1" w:rsidP="007559D1">
      <w:pPr>
        <w:spacing w:after="120" w:line="276" w:lineRule="auto"/>
        <w:ind w:firstLine="708"/>
        <w:jc w:val="both"/>
        <w:rPr>
          <w:rFonts w:ascii="Verdana" w:eastAsia="Times New Roman" w:hAnsi="Verdana" w:cs="Arial"/>
          <w:color w:val="000000"/>
        </w:rPr>
      </w:pPr>
      <w:r w:rsidRPr="00540883">
        <w:rPr>
          <w:rFonts w:ascii="Verdana" w:eastAsia="Times New Roman" w:hAnsi="Verdana" w:cs="Arial"/>
          <w:color w:val="000000"/>
        </w:rPr>
        <w:t>No obstante, este reconocimiento posterior está condicionado por el principio de legalidad del gasto. El pago de prestaciones ejecutadas dentro de la vigencia, pero atendidas con posterioridad al cierre de la anualidad, exige que la obligación se encuentre respaldada por el registro presupuestal correspondiente y, según el caso, por la reserva presupuestal o la cuenta por pagar debidamente constituida. A falta de dicho respaldo, el pago de obligaciones causadas por fuera de la vigencia puede configurar un hecho cumplido, proscrito por el artículo 71 del Estatuto Orgánico del Presupuesto. Por ello, la gestión de cierre no se agota en la voluntad de las entidades cooperantes: requiere verificar, de manera previa, la existencia del soporte presupuestal que ampare la erogación.</w:t>
      </w:r>
    </w:p>
    <w:p w14:paraId="5BB3CA68" w14:textId="77777777" w:rsidR="007559D1" w:rsidRPr="00640C4B" w:rsidRDefault="007559D1" w:rsidP="007559D1">
      <w:pPr>
        <w:spacing w:after="120" w:line="276" w:lineRule="auto"/>
        <w:ind w:firstLine="708"/>
        <w:jc w:val="both"/>
        <w:rPr>
          <w:rFonts w:ascii="Verdana" w:eastAsia="Times New Roman" w:hAnsi="Verdana" w:cs="Arial"/>
          <w:color w:val="000000"/>
          <w:lang w:val="es-ES"/>
        </w:rPr>
      </w:pPr>
      <w:r w:rsidRPr="00161C03">
        <w:rPr>
          <w:rFonts w:ascii="Verdana" w:eastAsia="Times New Roman" w:hAnsi="Verdana" w:cs="Arial"/>
          <w:color w:val="000000"/>
        </w:rPr>
        <w:t xml:space="preserve">Ahora bien, para evitar que </w:t>
      </w:r>
      <w:r>
        <w:rPr>
          <w:rFonts w:ascii="Verdana" w:eastAsia="Times New Roman" w:hAnsi="Verdana" w:cs="Arial"/>
          <w:color w:val="000000"/>
        </w:rPr>
        <w:t xml:space="preserve">el contrato de obra pública </w:t>
      </w:r>
      <w:r w:rsidRPr="00161C03">
        <w:rPr>
          <w:rFonts w:ascii="Verdana" w:eastAsia="Times New Roman" w:hAnsi="Verdana" w:cs="Arial"/>
          <w:color w:val="000000"/>
        </w:rPr>
        <w:t xml:space="preserve">quede inconcluso por dificultades en el cierre financiero de un convenio interadministrativo, resulta </w:t>
      </w:r>
      <w:r>
        <w:rPr>
          <w:rFonts w:ascii="Verdana" w:eastAsia="Times New Roman" w:hAnsi="Verdana" w:cs="Arial"/>
          <w:color w:val="000000"/>
        </w:rPr>
        <w:t xml:space="preserve">necesario </w:t>
      </w:r>
      <w:r w:rsidRPr="00161C03">
        <w:rPr>
          <w:rFonts w:ascii="Verdana" w:eastAsia="Times New Roman" w:hAnsi="Verdana" w:cs="Arial"/>
          <w:color w:val="000000"/>
        </w:rPr>
        <w:t>que las entidades adopten mecanismos de planeación y gestión anticipada del riesgo, orientados a garantizar la disponibilidad y oportunidad de los recursos comprometidos. Entre estos mecanismos se destacan la estructuración financiera previa del convenio, la definición clara de hitos de desembolso, la incorporación de cláusulas de</w:t>
      </w:r>
      <w:r>
        <w:rPr>
          <w:rFonts w:ascii="Verdana" w:eastAsia="Times New Roman" w:hAnsi="Verdana" w:cs="Arial"/>
          <w:color w:val="000000"/>
        </w:rPr>
        <w:t xml:space="preserve"> reajuste y revisión de aportes</w:t>
      </w:r>
      <w:r w:rsidRPr="00161C03">
        <w:rPr>
          <w:rFonts w:ascii="Verdana" w:eastAsia="Times New Roman" w:hAnsi="Verdana" w:cs="Arial"/>
          <w:color w:val="000000"/>
        </w:rPr>
        <w:t xml:space="preserve">, y la previsión de escenarios de contingencia que permitan reaccionar ante variaciones en costos, cronogramas o condiciones técnicas de la obra. </w:t>
      </w:r>
      <w:r w:rsidRPr="00640C4B">
        <w:rPr>
          <w:rFonts w:ascii="Verdana" w:eastAsia="Times New Roman" w:hAnsi="Verdana" w:cs="Arial"/>
          <w:color w:val="000000"/>
          <w:lang w:val="es-ES"/>
        </w:rPr>
        <w:t xml:space="preserve">En ese contexto, las entidades estatales podrán tener en cuenta para la estructuración de dichas </w:t>
      </w:r>
      <w:r w:rsidRPr="00640C4B">
        <w:rPr>
          <w:rFonts w:ascii="Verdana" w:eastAsia="Times New Roman" w:hAnsi="Verdana" w:cs="Arial"/>
          <w:i/>
          <w:color w:val="000000"/>
          <w:lang w:val="es-ES"/>
        </w:rPr>
        <w:t xml:space="preserve">fórmulas de reajuste </w:t>
      </w:r>
      <w:r w:rsidRPr="00640C4B">
        <w:rPr>
          <w:rFonts w:ascii="Verdana" w:eastAsia="Times New Roman" w:hAnsi="Verdana" w:cs="Arial"/>
          <w:color w:val="000000"/>
          <w:lang w:val="es-ES"/>
        </w:rPr>
        <w:t>de aportes</w:t>
      </w:r>
      <w:r>
        <w:rPr>
          <w:rStyle w:val="Refdenotaalpie"/>
          <w:rFonts w:ascii="Verdana" w:eastAsia="Times New Roman" w:hAnsi="Verdana" w:cs="Arial"/>
          <w:color w:val="000000"/>
          <w:lang w:val="es-ES"/>
        </w:rPr>
        <w:footnoteReference w:id="16"/>
      </w:r>
      <w:r w:rsidRPr="00640C4B">
        <w:rPr>
          <w:rFonts w:ascii="Verdana" w:eastAsia="Times New Roman" w:hAnsi="Verdana" w:cs="Arial"/>
          <w:color w:val="000000"/>
          <w:lang w:val="es-ES"/>
        </w:rPr>
        <w:t xml:space="preserve">, teniendo en cuenta los indicadores </w:t>
      </w:r>
      <w:r w:rsidRPr="00640C4B">
        <w:rPr>
          <w:rFonts w:ascii="Verdana" w:eastAsia="Times New Roman" w:hAnsi="Verdana" w:cs="Arial"/>
          <w:color w:val="000000"/>
          <w:lang w:val="es-ES"/>
        </w:rPr>
        <w:lastRenderedPageBreak/>
        <w:t>que consideren pertinentes, dependiendo de la experticia técnica requerida del objeto del convenio interadministrativo que pretende ejecutarse, y que a su vez le permita a las partes cooperantes calcular y  describir fenómenos de la realidad a través de la evolución en el tiempo de una o varias variables que ajusten los aportes en dinero o en especie incorporados en el convenio interadministrativo.</w:t>
      </w:r>
      <w:r>
        <w:rPr>
          <w:rFonts w:ascii="Verdana" w:eastAsia="Times New Roman" w:hAnsi="Verdana" w:cs="Arial"/>
          <w:color w:val="000000"/>
          <w:lang w:val="es-ES"/>
        </w:rPr>
        <w:t xml:space="preserve"> </w:t>
      </w:r>
      <w:r w:rsidRPr="00161C03">
        <w:rPr>
          <w:rFonts w:ascii="Verdana" w:eastAsia="Times New Roman" w:hAnsi="Verdana" w:cs="Arial"/>
          <w:color w:val="000000"/>
        </w:rPr>
        <w:t>Estas herramientas, alineadas con los principios de economía y eficiencia, permiten anticipar desequilibrios y asegurar que la cooperación interinstitucional se mantenga funcional durante toda la ejecución del proyecto.</w:t>
      </w:r>
    </w:p>
    <w:p w14:paraId="1B68E2C8" w14:textId="77777777" w:rsidR="007559D1" w:rsidRPr="00161C03" w:rsidRDefault="007559D1" w:rsidP="007559D1">
      <w:pPr>
        <w:spacing w:after="0" w:line="276" w:lineRule="auto"/>
        <w:ind w:firstLine="709"/>
        <w:jc w:val="both"/>
        <w:rPr>
          <w:rFonts w:ascii="Verdana" w:eastAsia="Times New Roman" w:hAnsi="Verdana" w:cs="Arial"/>
          <w:color w:val="000000"/>
        </w:rPr>
      </w:pPr>
      <w:r>
        <w:rPr>
          <w:rFonts w:ascii="Verdana" w:eastAsia="Times New Roman" w:hAnsi="Verdana" w:cs="Arial"/>
          <w:color w:val="000000"/>
        </w:rPr>
        <w:t>A</w:t>
      </w:r>
      <w:r w:rsidRPr="00161C03">
        <w:rPr>
          <w:rFonts w:ascii="Verdana" w:eastAsia="Times New Roman" w:hAnsi="Verdana" w:cs="Arial"/>
          <w:color w:val="000000"/>
        </w:rPr>
        <w:t>simismo, desde los principios de responsabilidad</w:t>
      </w:r>
      <w:r>
        <w:rPr>
          <w:rFonts w:ascii="Verdana" w:eastAsia="Times New Roman" w:hAnsi="Verdana" w:cs="Arial"/>
          <w:color w:val="000000"/>
        </w:rPr>
        <w:t xml:space="preserve"> y economía</w:t>
      </w:r>
      <w:r w:rsidRPr="00161C03">
        <w:rPr>
          <w:rFonts w:ascii="Verdana" w:eastAsia="Times New Roman" w:hAnsi="Verdana" w:cs="Arial"/>
          <w:color w:val="000000"/>
        </w:rPr>
        <w:t xml:space="preserve">, es procedente acudir a instrumentos administrativos y financieros complementarios que permitan garantizar la continuidad de la obra cuando el convenio enfrenta dificultades de cierre. </w:t>
      </w:r>
      <w:r w:rsidRPr="00890259">
        <w:rPr>
          <w:rFonts w:ascii="Verdana" w:eastAsia="Times New Roman" w:hAnsi="Verdana" w:cs="Arial"/>
          <w:color w:val="000000"/>
        </w:rPr>
        <w:t xml:space="preserve">Entre ellos se encuentran la suscripción de otrosíes para ajustar aportes o plazos, </w:t>
      </w:r>
      <w:r w:rsidRPr="00DD536A">
        <w:rPr>
          <w:rFonts w:ascii="Verdana" w:eastAsia="Times New Roman" w:hAnsi="Verdana" w:cs="Arial"/>
          <w:color w:val="000000"/>
        </w:rPr>
        <w:t>procedente únicamente mientras el convenio conserve vigencia, pues una vez vencido el plazo no cabe su prórroga sino, en su caso, la celebración de un nuevo convenio</w:t>
      </w:r>
      <w:r w:rsidRPr="00890259">
        <w:rPr>
          <w:rFonts w:ascii="Verdana" w:eastAsia="Times New Roman" w:hAnsi="Verdana" w:cs="Arial"/>
          <w:color w:val="000000"/>
        </w:rPr>
        <w:t>; la celebración de convenios adicionales de apoyo financiero, la reasignación interna de recursos dentro de las entidades cooperantes, o la gestión de fuentes alternativas de financiación pública</w:t>
      </w:r>
      <w:r w:rsidRPr="00161C03">
        <w:rPr>
          <w:rFonts w:ascii="Verdana" w:eastAsia="Times New Roman" w:hAnsi="Verdana" w:cs="Arial"/>
          <w:color w:val="000000"/>
        </w:rPr>
        <w:t>. Estas actuaciones</w:t>
      </w:r>
      <w:r>
        <w:rPr>
          <w:rFonts w:ascii="Verdana" w:eastAsia="Times New Roman" w:hAnsi="Verdana" w:cs="Arial"/>
          <w:color w:val="000000"/>
        </w:rPr>
        <w:t xml:space="preserve"> deben estar justificadas y basarse en el principio de planeación</w:t>
      </w:r>
      <w:r w:rsidRPr="00161C03">
        <w:rPr>
          <w:rFonts w:ascii="Verdana" w:eastAsia="Times New Roman" w:hAnsi="Verdana" w:cs="Arial"/>
          <w:color w:val="000000"/>
        </w:rPr>
        <w:t>,</w:t>
      </w:r>
      <w:r>
        <w:rPr>
          <w:rFonts w:ascii="Verdana" w:eastAsia="Times New Roman" w:hAnsi="Verdana" w:cs="Arial"/>
          <w:color w:val="000000"/>
        </w:rPr>
        <w:t xml:space="preserve"> así como los principios que rigen la gestión fiscal, los cuales </w:t>
      </w:r>
      <w:r w:rsidRPr="00161C03">
        <w:rPr>
          <w:rFonts w:ascii="Verdana" w:eastAsia="Times New Roman" w:hAnsi="Verdana" w:cs="Arial"/>
          <w:color w:val="000000"/>
        </w:rPr>
        <w:t>permit</w:t>
      </w:r>
      <w:r>
        <w:rPr>
          <w:rFonts w:ascii="Verdana" w:eastAsia="Times New Roman" w:hAnsi="Verdana" w:cs="Arial"/>
          <w:color w:val="000000"/>
        </w:rPr>
        <w:t>a</w:t>
      </w:r>
      <w:r w:rsidRPr="00161C03">
        <w:rPr>
          <w:rFonts w:ascii="Verdana" w:eastAsia="Times New Roman" w:hAnsi="Verdana" w:cs="Arial"/>
          <w:color w:val="000000"/>
        </w:rPr>
        <w:t>n evitar la paralización del proyecto y asegurar que los recursos ya invertidos no se pierdan por falta de cierre financiero.</w:t>
      </w:r>
    </w:p>
    <w:p w14:paraId="21D0D4D2" w14:textId="77777777" w:rsidR="007559D1" w:rsidRPr="00161C03" w:rsidRDefault="007559D1" w:rsidP="007559D1">
      <w:pPr>
        <w:spacing w:after="0" w:line="276" w:lineRule="auto"/>
        <w:ind w:firstLine="709"/>
        <w:jc w:val="both"/>
        <w:rPr>
          <w:rFonts w:ascii="Verdana" w:eastAsia="Times New Roman" w:hAnsi="Verdana" w:cs="Arial"/>
          <w:color w:val="000000"/>
        </w:rPr>
      </w:pPr>
    </w:p>
    <w:p w14:paraId="63813EAC" w14:textId="77777777" w:rsidR="007559D1" w:rsidRPr="00B16AC6" w:rsidRDefault="007559D1" w:rsidP="007559D1">
      <w:pPr>
        <w:spacing w:after="120" w:line="276" w:lineRule="auto"/>
        <w:jc w:val="both"/>
        <w:rPr>
          <w:rFonts w:ascii="Verdana" w:eastAsia="Calibri" w:hAnsi="Verdana" w:cs="Arial"/>
          <w:color w:val="000000" w:themeColor="text1"/>
          <w:lang w:val="es-ES"/>
        </w:rPr>
      </w:pPr>
      <w:r>
        <w:rPr>
          <w:rFonts w:ascii="Verdana" w:eastAsia="Calibri" w:hAnsi="Verdana" w:cs="Arial"/>
          <w:lang w:eastAsia="es-MX"/>
        </w:rPr>
        <w:t xml:space="preserve">iii. </w:t>
      </w:r>
      <w:r>
        <w:rPr>
          <w:rFonts w:ascii="Verdana" w:eastAsia="Calibri" w:hAnsi="Verdana" w:cs="Arial"/>
          <w:color w:val="000000" w:themeColor="text1"/>
          <w:lang w:val="es-ES"/>
        </w:rPr>
        <w:t xml:space="preserve">Al </w:t>
      </w:r>
      <w:r w:rsidRPr="00B17041">
        <w:rPr>
          <w:rFonts w:ascii="Verdana" w:hAnsi="Verdana" w:cs="Arial"/>
          <w:lang w:val="es-ES_tradnl" w:eastAsia="es-ES"/>
        </w:rPr>
        <w:t>margen de la explicación precedente debe advertirse que el análisis requerido para resolver pr</w:t>
      </w:r>
      <w:r>
        <w:rPr>
          <w:rFonts w:ascii="Verdana" w:hAnsi="Verdana" w:cs="Arial"/>
          <w:lang w:val="es-ES_tradnl" w:eastAsia="es-ES"/>
        </w:rPr>
        <w:t xml:space="preserve">oblemas específicos </w:t>
      </w:r>
      <w:r w:rsidRPr="00B17041">
        <w:rPr>
          <w:rFonts w:ascii="Verdana" w:hAnsi="Verdana" w:cs="Arial"/>
          <w:lang w:val="es-ES_tradnl" w:eastAsia="es-ES"/>
        </w:rPr>
        <w:t>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04E4A23" w14:textId="77777777" w:rsidR="007559D1" w:rsidRPr="00B17041" w:rsidRDefault="007559D1" w:rsidP="007559D1">
      <w:pPr>
        <w:spacing w:after="0" w:line="276" w:lineRule="auto"/>
        <w:ind w:firstLine="709"/>
        <w:jc w:val="both"/>
        <w:rPr>
          <w:rFonts w:ascii="Verdana" w:hAnsi="Verdana" w:cs="Arial"/>
          <w:lang w:val="es-ES" w:eastAsia="es-ES"/>
        </w:rPr>
      </w:pPr>
      <w:r w:rsidRPr="00B17041">
        <w:rPr>
          <w:rFonts w:ascii="Verdana" w:hAnsi="Verdana" w:cs="Arial"/>
          <w:lang w:val="es-ES" w:eastAsia="es-ES"/>
        </w:rPr>
        <w:t xml:space="preserve">Dentro de este marco, la entidad </w:t>
      </w:r>
      <w:r w:rsidRPr="00485C44">
        <w:rPr>
          <w:rFonts w:ascii="Verdana" w:hAnsi="Verdana" w:cs="Arial"/>
          <w:lang w:val="es-ES" w:eastAsia="es-ES"/>
        </w:rPr>
        <w:t xml:space="preserve">pública </w:t>
      </w:r>
      <w:r>
        <w:rPr>
          <w:rFonts w:ascii="Verdana" w:hAnsi="Verdana" w:cs="Arial"/>
          <w:lang w:val="es-ES" w:eastAsia="es-ES"/>
        </w:rPr>
        <w:t xml:space="preserve">definirá </w:t>
      </w:r>
      <w:r w:rsidRPr="00B17041">
        <w:rPr>
          <w:rFonts w:ascii="Verdana" w:hAnsi="Verdana" w:cs="Arial"/>
          <w:lang w:val="es-ES" w:eastAsia="es-ES"/>
        </w:rPr>
        <w:t xml:space="preserve">en cada caso concreto lo relacionado con el tema objeto de consulta. Al tratarse de un análisis que debe realizarse en el procedimiento contractual específico, la Agencia no puede definir un criterio universal y absoluto por vía consultiva, sino que brinda elementos de </w:t>
      </w:r>
      <w:r w:rsidRPr="00B17041">
        <w:rPr>
          <w:rFonts w:ascii="Verdana" w:hAnsi="Verdana" w:cs="Arial"/>
          <w:lang w:val="es-ES" w:eastAsia="es-ES"/>
        </w:rPr>
        <w:lastRenderedPageBreak/>
        <w:t>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067F1203" w14:textId="77777777" w:rsidR="007559D1" w:rsidRPr="00703A14" w:rsidRDefault="007559D1" w:rsidP="007559D1">
      <w:pPr>
        <w:spacing w:after="0" w:line="276" w:lineRule="auto"/>
        <w:jc w:val="both"/>
        <w:rPr>
          <w:rFonts w:ascii="Verdana" w:eastAsia="Calibri" w:hAnsi="Verdana" w:cs="Arial"/>
          <w:lang w:val="es-ES" w:eastAsia="es-MX"/>
        </w:rPr>
      </w:pPr>
    </w:p>
    <w:p w14:paraId="53E2A2C7" w14:textId="77777777" w:rsidR="007559D1" w:rsidRPr="008853C1" w:rsidRDefault="007559D1" w:rsidP="007559D1">
      <w:pPr>
        <w:pStyle w:val="Prrafodelista"/>
        <w:numPr>
          <w:ilvl w:val="0"/>
          <w:numId w:val="16"/>
        </w:numPr>
        <w:tabs>
          <w:tab w:val="left" w:pos="142"/>
          <w:tab w:val="left" w:pos="284"/>
        </w:tabs>
        <w:spacing w:after="0" w:line="276" w:lineRule="auto"/>
        <w:jc w:val="both"/>
        <w:rPr>
          <w:rFonts w:ascii="Verdana" w:eastAsia="Century Gothic" w:hAnsi="Verdana" w:cs="Century Gothic"/>
          <w:b/>
          <w:bCs/>
        </w:rPr>
      </w:pPr>
      <w:r w:rsidRPr="008853C1">
        <w:rPr>
          <w:rFonts w:ascii="Verdana" w:eastAsia="Century Gothic" w:hAnsi="Verdana" w:cs="Century Gothic"/>
          <w:b/>
          <w:bCs/>
        </w:rPr>
        <w:t>Referencias normativas</w:t>
      </w:r>
      <w:r w:rsidRPr="0F7FC1A3">
        <w:rPr>
          <w:rFonts w:ascii="Verdana" w:eastAsia="Century Gothic" w:hAnsi="Verdana" w:cs="Century Gothic"/>
          <w:b/>
          <w:bCs/>
        </w:rPr>
        <w:t>:</w:t>
      </w:r>
    </w:p>
    <w:p w14:paraId="388B9425" w14:textId="77777777" w:rsidR="007559D1" w:rsidRPr="00E2397D" w:rsidRDefault="007559D1" w:rsidP="007559D1">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559D1" w:rsidRPr="00E2397D" w14:paraId="3E4129EA" w14:textId="77777777" w:rsidTr="00516489">
        <w:trPr>
          <w:trHeight w:val="595"/>
          <w:jc w:val="center"/>
        </w:trPr>
        <w:tc>
          <w:tcPr>
            <w:tcW w:w="8647" w:type="dxa"/>
          </w:tcPr>
          <w:p w14:paraId="5DBF1FD7" w14:textId="77777777" w:rsidR="007559D1" w:rsidRDefault="007559D1" w:rsidP="0051648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Código Civil, artículo 1602. </w:t>
            </w:r>
          </w:p>
          <w:p w14:paraId="08355120" w14:textId="77777777" w:rsidR="007559D1" w:rsidRPr="00CE04FF" w:rsidRDefault="007559D1" w:rsidP="0051648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CE04FF">
              <w:rPr>
                <w:rFonts w:ascii="Verdana" w:eastAsia="Arial MT" w:hAnsi="Verdana" w:cs="Arial"/>
                <w:lang w:val="es-ES" w:eastAsia="es-ES" w:bidi="es-ES"/>
              </w:rPr>
              <w:t xml:space="preserve">Ley 80 de 1993, artículos 39, 41, 60. 61. </w:t>
            </w:r>
          </w:p>
          <w:p w14:paraId="00760030" w14:textId="77777777" w:rsidR="007559D1" w:rsidRPr="00CE04FF" w:rsidRDefault="007559D1" w:rsidP="0051648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D61485">
              <w:rPr>
                <w:rFonts w:ascii="Verdana" w:eastAsia="Arial MT" w:hAnsi="Verdana" w:cs="Arial"/>
                <w:lang w:eastAsia="es-ES" w:bidi="es-ES"/>
              </w:rPr>
              <w:t>Ley 489 de 1998, artículo 95.</w:t>
            </w:r>
          </w:p>
          <w:p w14:paraId="49F1D075" w14:textId="77777777" w:rsidR="007559D1" w:rsidRDefault="007559D1" w:rsidP="0051648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CE04FF">
              <w:rPr>
                <w:rFonts w:ascii="Verdana" w:eastAsia="Arial MT" w:hAnsi="Verdana" w:cs="Arial"/>
                <w:lang w:val="es-ES" w:eastAsia="es-ES" w:bidi="es-ES"/>
              </w:rPr>
              <w:t>Ley 1150 de 2007, artículos 2</w:t>
            </w:r>
            <w:r>
              <w:rPr>
                <w:rFonts w:ascii="Verdana" w:eastAsia="Arial MT" w:hAnsi="Verdana" w:cs="Arial"/>
                <w:lang w:val="es-ES" w:eastAsia="es-ES" w:bidi="es-ES"/>
              </w:rPr>
              <w:t xml:space="preserve">, </w:t>
            </w:r>
            <w:r w:rsidRPr="00CE04FF">
              <w:rPr>
                <w:rFonts w:ascii="Verdana" w:eastAsia="Arial MT" w:hAnsi="Verdana" w:cs="Arial"/>
                <w:lang w:val="es-ES" w:eastAsia="es-ES" w:bidi="es-ES"/>
              </w:rPr>
              <w:t>11</w:t>
            </w:r>
            <w:r>
              <w:rPr>
                <w:rFonts w:ascii="Verdana" w:eastAsia="Arial MT" w:hAnsi="Verdana" w:cs="Arial"/>
                <w:lang w:val="es-ES" w:eastAsia="es-ES" w:bidi="es-ES"/>
              </w:rPr>
              <w:t xml:space="preserve"> y 13.</w:t>
            </w:r>
            <w:r w:rsidRPr="00CE04FF">
              <w:rPr>
                <w:rFonts w:ascii="Verdana" w:eastAsia="Arial MT" w:hAnsi="Verdana" w:cs="Arial"/>
                <w:lang w:val="es-ES" w:eastAsia="es-ES" w:bidi="es-ES"/>
              </w:rPr>
              <w:t xml:space="preserve"> </w:t>
            </w:r>
          </w:p>
          <w:p w14:paraId="5CD6F9FC" w14:textId="77777777" w:rsidR="007559D1" w:rsidRPr="00532FAF" w:rsidRDefault="007559D1" w:rsidP="0051648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 xml:space="preserve">Decreto Ley 019 de 2012, artículo 217. </w:t>
            </w:r>
          </w:p>
        </w:tc>
      </w:tr>
    </w:tbl>
    <w:p w14:paraId="64F1C907" w14:textId="77777777" w:rsidR="007559D1" w:rsidRDefault="007559D1" w:rsidP="007559D1">
      <w:pPr>
        <w:pStyle w:val="Prrafodelista"/>
        <w:tabs>
          <w:tab w:val="left" w:pos="142"/>
          <w:tab w:val="left" w:pos="284"/>
        </w:tabs>
        <w:spacing w:after="0" w:line="276" w:lineRule="auto"/>
        <w:ind w:left="0"/>
        <w:jc w:val="both"/>
        <w:rPr>
          <w:rFonts w:ascii="Verdana" w:hAnsi="Verdana" w:cs="Arial"/>
          <w:color w:val="000000"/>
          <w:lang w:val="es-CO" w:eastAsia="es-ES"/>
        </w:rPr>
      </w:pPr>
    </w:p>
    <w:p w14:paraId="2AB9F546" w14:textId="77777777" w:rsidR="007559D1" w:rsidRPr="00593914" w:rsidRDefault="007559D1" w:rsidP="007559D1">
      <w:pPr>
        <w:pStyle w:val="Prrafodelista"/>
        <w:numPr>
          <w:ilvl w:val="0"/>
          <w:numId w:val="16"/>
        </w:numPr>
        <w:tabs>
          <w:tab w:val="left" w:pos="142"/>
          <w:tab w:val="left" w:pos="284"/>
        </w:tabs>
        <w:spacing w:after="0" w:line="276" w:lineRule="auto"/>
        <w:jc w:val="both"/>
        <w:rPr>
          <w:rFonts w:ascii="Verdana" w:eastAsia="Century Gothic" w:hAnsi="Verdana" w:cs="Century Gothic"/>
          <w:b/>
          <w:bCs/>
        </w:rPr>
      </w:pPr>
      <w:r w:rsidRPr="00593914">
        <w:rPr>
          <w:rFonts w:ascii="Verdana" w:eastAsia="Century Gothic" w:hAnsi="Verdana" w:cs="Century Gothic"/>
          <w:b/>
          <w:bCs/>
        </w:rPr>
        <w:t>Doctrina de la Agencia Nacional de Contratación Pública:</w:t>
      </w:r>
    </w:p>
    <w:p w14:paraId="3B034F34" w14:textId="77777777" w:rsidR="007559D1" w:rsidRPr="00606FF7" w:rsidRDefault="007559D1" w:rsidP="007559D1">
      <w:pPr>
        <w:widowControl w:val="0"/>
        <w:autoSpaceDE w:val="0"/>
        <w:autoSpaceDN w:val="0"/>
        <w:spacing w:after="0" w:line="276" w:lineRule="auto"/>
        <w:jc w:val="both"/>
        <w:rPr>
          <w:rFonts w:ascii="Verdana" w:hAnsi="Verdana" w:cs="Arial"/>
        </w:rPr>
      </w:pPr>
    </w:p>
    <w:p w14:paraId="09025064" w14:textId="77777777" w:rsidR="007559D1" w:rsidRPr="009C0E03" w:rsidRDefault="007559D1" w:rsidP="007559D1">
      <w:pPr>
        <w:widowControl w:val="0"/>
        <w:autoSpaceDE w:val="0"/>
        <w:autoSpaceDN w:val="0"/>
        <w:spacing w:after="0" w:line="276" w:lineRule="auto"/>
        <w:jc w:val="both"/>
        <w:rPr>
          <w:rFonts w:ascii="Verdana" w:hAnsi="Verdana" w:cs="Arial"/>
          <w:bCs/>
          <w:shd w:val="clear" w:color="auto" w:fill="FFFFFF"/>
        </w:rPr>
      </w:pPr>
      <w:r w:rsidRPr="0062005D">
        <w:rPr>
          <w:rFonts w:ascii="Verdana" w:hAnsi="Verdana" w:cs="Arial"/>
          <w:shd w:val="clear" w:color="auto" w:fill="FFFFFF"/>
        </w:rPr>
        <w:t>Esta Subdirección se ha pronunciado sobre l</w:t>
      </w:r>
      <w:r>
        <w:rPr>
          <w:rFonts w:ascii="Verdana" w:hAnsi="Verdana" w:cs="Arial"/>
          <w:shd w:val="clear" w:color="auto" w:fill="FFFFFF"/>
        </w:rPr>
        <w:t xml:space="preserve">as características y particularidades de los convenios interadministrativos en los Conceptos C-605 del 27 de junio de 2025, C-1046 del 9 de septiembre de 2025, C-1152 del 23 de septiembre de 2025, C-095 del 4 de marzo de 2026, C-224 del 11 de marzo de 2026, C-939 del 24 de julio de 2026, entre otros. </w:t>
      </w:r>
      <w:r>
        <w:rPr>
          <w:rFonts w:ascii="Verdana" w:hAnsi="Verdana" w:cs="Arial"/>
          <w:bCs/>
          <w:shd w:val="clear" w:color="auto" w:fill="FFFFFF"/>
        </w:rPr>
        <w:t>En torno a la liquidación en convenios interadministrativos se ha pronunciado en los conceptos C-168 del 21 de abril de 2021, C-427 del 27 de noviembre de 2023, la cual se unificó y condensó en el Concepto C-605 del 27 de junio de 2025 y reiterado en el Concepto 224 del 11 de marzo de 2026.</w:t>
      </w:r>
      <w:r>
        <w:rPr>
          <w:rFonts w:ascii="Verdana" w:hAnsi="Verdana"/>
        </w:rPr>
        <w:t xml:space="preserve"> </w:t>
      </w:r>
      <w:r w:rsidRPr="00392E13">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38D2BF48" w14:textId="77777777" w:rsidR="007559D1" w:rsidRPr="005D2193" w:rsidRDefault="007559D1" w:rsidP="007559D1">
      <w:pPr>
        <w:spacing w:after="0" w:line="256" w:lineRule="auto"/>
        <w:jc w:val="both"/>
        <w:rPr>
          <w:rStyle w:val="normaltextrun"/>
          <w:rFonts w:ascii="Verdana" w:eastAsia="Calibri" w:hAnsi="Verdana" w:cs="Times New Roman"/>
        </w:rPr>
      </w:pPr>
      <w:hyperlink r:id="rId13" w:history="1">
        <w:r w:rsidRPr="00E47CAB">
          <w:rPr>
            <w:rStyle w:val="Hipervnculo"/>
            <w:rFonts w:ascii="Verdana" w:hAnsi="Verdana"/>
          </w:rPr>
          <w:t>https://www.colombiacompra.gov.co/normativa-y-relatoria/conoce-la-relatoria</w:t>
        </w:r>
      </w:hyperlink>
      <w:r w:rsidRPr="00E47CAB">
        <w:rPr>
          <w:rFonts w:ascii="Verdana" w:hAnsi="Verdana"/>
        </w:rPr>
        <w:t xml:space="preserve"> </w:t>
      </w:r>
    </w:p>
    <w:p w14:paraId="0800F46B" w14:textId="77777777" w:rsidR="007559D1" w:rsidRDefault="007559D1" w:rsidP="007559D1">
      <w:pPr>
        <w:spacing w:after="0" w:line="240" w:lineRule="auto"/>
        <w:rPr>
          <w:rFonts w:ascii="Verdana" w:eastAsia="Verdana" w:hAnsi="Verdana" w:cs="Verdana"/>
          <w:bCs/>
        </w:rPr>
      </w:pPr>
    </w:p>
    <w:p w14:paraId="27AD5662" w14:textId="77777777" w:rsidR="007559D1" w:rsidRPr="003D5C91" w:rsidRDefault="007559D1" w:rsidP="007559D1">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 xml:space="preserve">Las garantías no son un requisito formal: son el instrumento con el que se protege el patrimonio público frente a los riesgos del contrato. Por ello, la </w:t>
      </w:r>
      <w:r w:rsidRPr="003D5C91">
        <w:rPr>
          <w:rFonts w:ascii="Verdana" w:eastAsia="Calibri" w:hAnsi="Verdana" w:cs="Arial"/>
          <w:color w:val="000000"/>
          <w:lang w:eastAsia="es-ES_tradnl"/>
        </w:rPr>
        <w:lastRenderedPageBreak/>
        <w:t>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3FD7B934" w14:textId="77777777" w:rsidR="007559D1" w:rsidRDefault="007559D1" w:rsidP="007559D1">
      <w:pPr>
        <w:spacing w:after="0" w:line="276" w:lineRule="auto"/>
        <w:jc w:val="both"/>
        <w:rPr>
          <w:rFonts w:ascii="Verdana" w:eastAsia="Calibri" w:hAnsi="Verdana" w:cs="Arial"/>
          <w:color w:val="000000"/>
          <w:lang w:eastAsia="es-ES_tradnl"/>
        </w:rPr>
      </w:pPr>
    </w:p>
    <w:p w14:paraId="51E8E44B" w14:textId="77777777" w:rsidR="007559D1" w:rsidRPr="003D5C91" w:rsidRDefault="007559D1" w:rsidP="007559D1">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6E8AFA5E" w14:textId="77777777" w:rsidR="007559D1" w:rsidRDefault="007559D1" w:rsidP="007559D1">
      <w:pPr>
        <w:spacing w:after="0" w:line="276" w:lineRule="auto"/>
        <w:jc w:val="both"/>
        <w:rPr>
          <w:rFonts w:ascii="Verdana" w:eastAsia="Calibri" w:hAnsi="Verdana" w:cs="Arial"/>
          <w:color w:val="000000"/>
          <w:lang w:eastAsia="es-ES_tradnl"/>
        </w:rPr>
      </w:pPr>
    </w:p>
    <w:p w14:paraId="64B3E248" w14:textId="77777777" w:rsidR="007559D1" w:rsidRDefault="007559D1" w:rsidP="007559D1">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63FCC0FE" w14:textId="77777777" w:rsidR="007559D1" w:rsidRPr="003D5C91" w:rsidRDefault="007559D1" w:rsidP="007559D1">
      <w:pPr>
        <w:spacing w:after="0" w:line="276" w:lineRule="auto"/>
        <w:jc w:val="both"/>
        <w:rPr>
          <w:rFonts w:ascii="Verdana" w:eastAsia="Calibri" w:hAnsi="Verdana" w:cs="Arial"/>
          <w:color w:val="000000"/>
          <w:lang w:eastAsia="es-ES_tradnl"/>
        </w:rPr>
      </w:pPr>
    </w:p>
    <w:p w14:paraId="7284AC22" w14:textId="77777777" w:rsidR="007559D1" w:rsidRPr="003D5C91" w:rsidRDefault="007559D1" w:rsidP="007559D1">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xml:space="preserve"> reúne, entre otros </w:t>
      </w:r>
      <w:r w:rsidRPr="003D5C91">
        <w:rPr>
          <w:rFonts w:ascii="Verdana" w:eastAsia="Calibri" w:hAnsi="Verdana" w:cs="Arial"/>
          <w:color w:val="000000"/>
          <w:lang w:eastAsia="es-ES_tradnl"/>
        </w:rPr>
        <w:lastRenderedPageBreak/>
        <w:t>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66CC88B7" w14:textId="77777777" w:rsidR="007559D1" w:rsidRDefault="007559D1" w:rsidP="007559D1">
      <w:pPr>
        <w:spacing w:after="0"/>
        <w:jc w:val="both"/>
        <w:rPr>
          <w:rFonts w:ascii="Verdana" w:hAnsi="Verdana"/>
        </w:rPr>
      </w:pPr>
    </w:p>
    <w:p w14:paraId="4FA5B1C4" w14:textId="77777777" w:rsidR="007559D1" w:rsidRPr="00116940" w:rsidRDefault="007559D1" w:rsidP="007559D1">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22A18B84" w14:textId="77777777" w:rsidR="007559D1" w:rsidRPr="00116940" w:rsidRDefault="007559D1" w:rsidP="007559D1">
      <w:pPr>
        <w:spacing w:after="0"/>
        <w:jc w:val="both"/>
        <w:rPr>
          <w:rFonts w:ascii="Verdana" w:hAnsi="Verdana"/>
        </w:rPr>
      </w:pPr>
    </w:p>
    <w:p w14:paraId="2A71FC3B" w14:textId="77777777" w:rsidR="007559D1" w:rsidRPr="00116940" w:rsidRDefault="007559D1" w:rsidP="007559D1">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71E61C87" w14:textId="77777777" w:rsidR="007559D1" w:rsidRPr="00116940" w:rsidRDefault="007559D1" w:rsidP="007559D1">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23E1509E" w14:textId="77777777" w:rsidR="007559D1" w:rsidRPr="00116940" w:rsidRDefault="007559D1" w:rsidP="007559D1">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15DE94B1" w14:textId="77777777" w:rsidR="007559D1" w:rsidRPr="00116940" w:rsidRDefault="007559D1" w:rsidP="007559D1">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16FB153B" w14:textId="77777777" w:rsidR="007559D1" w:rsidRPr="00116940" w:rsidRDefault="007559D1" w:rsidP="007559D1">
      <w:pPr>
        <w:spacing w:after="0" w:line="240" w:lineRule="auto"/>
        <w:ind w:left="720"/>
        <w:jc w:val="both"/>
        <w:rPr>
          <w:rFonts w:ascii="Verdana" w:hAnsi="Verdana"/>
        </w:rPr>
      </w:pPr>
    </w:p>
    <w:p w14:paraId="396A447D" w14:textId="77777777" w:rsidR="007559D1" w:rsidRPr="00116940" w:rsidRDefault="007559D1" w:rsidP="007559D1">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3CD230E6" w14:textId="77777777" w:rsidR="007559D1" w:rsidRPr="00116940" w:rsidRDefault="007559D1" w:rsidP="007559D1">
      <w:pPr>
        <w:spacing w:after="0" w:line="240" w:lineRule="auto"/>
        <w:rPr>
          <w:rFonts w:ascii="Verdana" w:hAnsi="Verdana"/>
        </w:rPr>
      </w:pPr>
    </w:p>
    <w:p w14:paraId="66AAB7F3" w14:textId="77777777" w:rsidR="007559D1" w:rsidRPr="00116940" w:rsidRDefault="007559D1" w:rsidP="007559D1">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3E5FE1A9" w14:textId="77777777" w:rsidR="007559D1" w:rsidRPr="00116940" w:rsidRDefault="007559D1" w:rsidP="007559D1">
      <w:pPr>
        <w:spacing w:after="0" w:line="240" w:lineRule="auto"/>
        <w:jc w:val="both"/>
        <w:rPr>
          <w:rFonts w:ascii="Verdana" w:hAnsi="Verdana"/>
        </w:rPr>
      </w:pPr>
    </w:p>
    <w:p w14:paraId="7F60D7F3" w14:textId="77777777" w:rsidR="007559D1" w:rsidRPr="00116940" w:rsidRDefault="007559D1" w:rsidP="007559D1">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1497106" w14:textId="77777777" w:rsidR="007559D1" w:rsidRPr="00116940" w:rsidRDefault="007559D1" w:rsidP="007559D1">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3981D4D0" w14:textId="77777777" w:rsidR="007559D1" w:rsidRPr="00116940" w:rsidRDefault="007559D1" w:rsidP="007559D1">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44CDFD0A" w14:textId="77777777" w:rsidR="007559D1" w:rsidRPr="00116940" w:rsidRDefault="007559D1" w:rsidP="007559D1">
      <w:pPr>
        <w:spacing w:after="0" w:line="240" w:lineRule="auto"/>
        <w:jc w:val="both"/>
        <w:rPr>
          <w:rFonts w:ascii="Verdana" w:hAnsi="Verdana"/>
        </w:rPr>
      </w:pPr>
    </w:p>
    <w:p w14:paraId="2D713B6E" w14:textId="77777777" w:rsidR="007559D1" w:rsidRPr="009037F6" w:rsidRDefault="007559D1" w:rsidP="007559D1">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C01B9C8" w14:textId="77777777" w:rsidR="007559D1" w:rsidRPr="00492C4A" w:rsidRDefault="007559D1" w:rsidP="007559D1">
      <w:pPr>
        <w:spacing w:after="0" w:line="256" w:lineRule="auto"/>
        <w:jc w:val="both"/>
        <w:rPr>
          <w:rFonts w:ascii="Verdana" w:eastAsia="Calibri" w:hAnsi="Verdana" w:cs="Times New Roman"/>
          <w:lang w:val="es-ES_tradnl"/>
        </w:rPr>
      </w:pPr>
    </w:p>
    <w:p w14:paraId="19413128" w14:textId="77777777" w:rsidR="007559D1" w:rsidRPr="002961A6" w:rsidRDefault="007559D1" w:rsidP="007559D1">
      <w:pPr>
        <w:spacing w:after="0" w:line="256" w:lineRule="auto"/>
        <w:jc w:val="both"/>
        <w:rPr>
          <w:rFonts w:ascii="Verdana" w:eastAsia="Calibri" w:hAnsi="Verdana" w:cs="Times New Roman"/>
        </w:rPr>
      </w:pPr>
      <w:r w:rsidRPr="009037F6">
        <w:rPr>
          <w:rFonts w:ascii="Verdana" w:eastAsia="Calibri" w:hAnsi="Verdana" w:cs="Times New Roman"/>
        </w:rPr>
        <w:lastRenderedPageBreak/>
        <w:t>Atentamente,</w:t>
      </w:r>
    </w:p>
    <w:p w14:paraId="75079CFA" w14:textId="77777777" w:rsidR="007559D1" w:rsidRPr="006F234B" w:rsidRDefault="007559D1" w:rsidP="007559D1">
      <w:pPr>
        <w:spacing w:after="0" w:line="256" w:lineRule="auto"/>
        <w:jc w:val="center"/>
        <w:rPr>
          <w:rFonts w:ascii="Verdana" w:hAnsi="Verdana"/>
          <w:noProof/>
          <w:sz w:val="16"/>
          <w:szCs w:val="16"/>
          <w:lang w:val="en-US"/>
        </w:rPr>
      </w:pPr>
    </w:p>
    <w:p w14:paraId="401E0DAB" w14:textId="24D90551" w:rsidR="007559D1" w:rsidRDefault="004F0F01" w:rsidP="007559D1">
      <w:pPr>
        <w:spacing w:after="0" w:line="256" w:lineRule="auto"/>
        <w:jc w:val="center"/>
        <w:rPr>
          <w:rFonts w:ascii="Century Gothic" w:hAnsi="Century Gothic"/>
          <w:noProof/>
          <w:sz w:val="16"/>
          <w:szCs w:val="16"/>
          <w:lang w:val="en-US"/>
        </w:rPr>
      </w:pPr>
      <w:r w:rsidRPr="002C3AD6">
        <w:rPr>
          <w:rFonts w:ascii="Century Gothic" w:hAnsi="Century Gothic"/>
          <w:noProof/>
          <w:lang w:val="en-US"/>
        </w:rPr>
        <w:drawing>
          <wp:inline distT="0" distB="0" distL="0" distR="0" wp14:anchorId="34ADC86C" wp14:editId="516ED0B8">
            <wp:extent cx="3600935" cy="1336710"/>
            <wp:effectExtent l="0" t="0" r="0" b="0"/>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3644642" cy="1352935"/>
                    </a:xfrm>
                    <a:prstGeom prst="rect">
                      <a:avLst/>
                    </a:prstGeom>
                  </pic:spPr>
                </pic:pic>
              </a:graphicData>
            </a:graphic>
          </wp:inline>
        </w:drawing>
      </w:r>
    </w:p>
    <w:p w14:paraId="5BFF33DC" w14:textId="77777777" w:rsidR="007559D1" w:rsidRPr="002961A6" w:rsidRDefault="007559D1" w:rsidP="007559D1">
      <w:pPr>
        <w:spacing w:after="0" w:line="256" w:lineRule="auto"/>
        <w:jc w:val="center"/>
        <w:rPr>
          <w:rFonts w:ascii="Century Gothic" w:hAnsi="Century Gothic"/>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7559D1" w:rsidRPr="00D56F8A" w14:paraId="2277FBF7" w14:textId="77777777" w:rsidTr="00516489">
        <w:trPr>
          <w:trHeight w:val="409"/>
        </w:trPr>
        <w:tc>
          <w:tcPr>
            <w:tcW w:w="817" w:type="dxa"/>
            <w:tcBorders>
              <w:top w:val="nil"/>
              <w:left w:val="nil"/>
              <w:bottom w:val="nil"/>
              <w:right w:val="nil"/>
            </w:tcBorders>
            <w:vAlign w:val="center"/>
            <w:hideMark/>
          </w:tcPr>
          <w:p w14:paraId="6875577C"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78AA24B5"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324F2CD7"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7559D1" w:rsidRPr="00D56F8A" w14:paraId="426D0694" w14:textId="77777777" w:rsidTr="00516489">
        <w:trPr>
          <w:trHeight w:val="409"/>
        </w:trPr>
        <w:tc>
          <w:tcPr>
            <w:tcW w:w="817" w:type="dxa"/>
            <w:tcBorders>
              <w:top w:val="nil"/>
              <w:left w:val="nil"/>
              <w:bottom w:val="nil"/>
              <w:right w:val="nil"/>
            </w:tcBorders>
            <w:vAlign w:val="center"/>
            <w:hideMark/>
          </w:tcPr>
          <w:p w14:paraId="7009ED9F"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7EDE41F"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0C5560BE"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7559D1" w:rsidRPr="00D56F8A" w14:paraId="7FC64CC9" w14:textId="77777777" w:rsidTr="00516489">
        <w:trPr>
          <w:trHeight w:val="389"/>
        </w:trPr>
        <w:tc>
          <w:tcPr>
            <w:tcW w:w="817" w:type="dxa"/>
            <w:tcBorders>
              <w:top w:val="nil"/>
              <w:left w:val="nil"/>
              <w:bottom w:val="nil"/>
              <w:right w:val="nil"/>
            </w:tcBorders>
            <w:vAlign w:val="center"/>
            <w:hideMark/>
          </w:tcPr>
          <w:p w14:paraId="6BA24663"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B733003"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1D05BA3C" w14:textId="77777777" w:rsidR="007559D1" w:rsidRPr="00D56F8A" w:rsidRDefault="007559D1" w:rsidP="00516489">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757CB5AD" w14:textId="77777777" w:rsidR="007559D1" w:rsidRPr="000E2B93" w:rsidRDefault="007559D1" w:rsidP="007559D1">
      <w:pPr>
        <w:spacing w:after="0" w:line="240" w:lineRule="auto"/>
        <w:jc w:val="both"/>
        <w:textAlignment w:val="baseline"/>
        <w:rPr>
          <w:rFonts w:ascii="Verdana" w:eastAsia="Verdana" w:hAnsi="Verdana" w:cs="Verdana"/>
          <w:lang w:eastAsia="es-CO"/>
        </w:rPr>
      </w:pPr>
    </w:p>
    <w:p w14:paraId="4C529506" w14:textId="29FC4844" w:rsidR="007559D1" w:rsidRPr="000E2B93" w:rsidRDefault="007559D1" w:rsidP="007559D1">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73C61EC8" w14:textId="6F72BE13" w:rsidR="00EB224C" w:rsidRPr="007559D1" w:rsidRDefault="00EB224C" w:rsidP="007559D1"/>
    <w:sectPr w:rsidR="00EB224C" w:rsidRPr="007559D1"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93343" w14:textId="77777777" w:rsidR="00053542" w:rsidRDefault="00053542" w:rsidP="004A1847">
      <w:pPr>
        <w:spacing w:after="0" w:line="240" w:lineRule="auto"/>
      </w:pPr>
      <w:r>
        <w:separator/>
      </w:r>
    </w:p>
  </w:endnote>
  <w:endnote w:type="continuationSeparator" w:id="0">
    <w:p w14:paraId="4968552E" w14:textId="77777777" w:rsidR="00053542" w:rsidRDefault="0005354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iss">
    <w:panose1 w:val="00000000000000000000"/>
    <w:charset w:val="00"/>
    <w:family w:val="roman"/>
    <w:notTrueType/>
    <w:pitch w:val="default"/>
    <w:sig w:usb0="00000003" w:usb1="00000000" w:usb2="00000000" w:usb3="00000000" w:csb0="00000001"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5146BA10"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B56A37" w:rsidRPr="00B56A37">
      <w:rPr>
        <w:rFonts w:ascii="Verdana" w:eastAsiaTheme="minorEastAsia" w:hAnsi="Verdana"/>
        <w:b/>
        <w:bCs/>
        <w:noProof/>
        <w:sz w:val="16"/>
        <w:szCs w:val="16"/>
      </w:rPr>
      <w:t>34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93D84" w14:textId="77777777" w:rsidR="00053542" w:rsidRDefault="00053542" w:rsidP="004A1847">
      <w:pPr>
        <w:spacing w:after="0" w:line="240" w:lineRule="auto"/>
      </w:pPr>
      <w:r>
        <w:separator/>
      </w:r>
    </w:p>
  </w:footnote>
  <w:footnote w:type="continuationSeparator" w:id="0">
    <w:p w14:paraId="4BEF2762" w14:textId="77777777" w:rsidR="00053542" w:rsidRDefault="00053542" w:rsidP="004A1847">
      <w:pPr>
        <w:spacing w:after="0" w:line="240" w:lineRule="auto"/>
      </w:pPr>
      <w:r>
        <w:continuationSeparator/>
      </w:r>
    </w:p>
  </w:footnote>
  <w:footnote w:id="1">
    <w:p w14:paraId="68C42FA8" w14:textId="77777777" w:rsidR="007559D1" w:rsidRPr="00AF3E90" w:rsidRDefault="007559D1" w:rsidP="007559D1">
      <w:pPr>
        <w:pStyle w:val="Textonotapie"/>
        <w:ind w:firstLine="708"/>
        <w:jc w:val="both"/>
        <w:rPr>
          <w:rFonts w:ascii="Verdana" w:hAnsi="Verdana" w:cs="Arial"/>
          <w:sz w:val="16"/>
          <w:szCs w:val="16"/>
        </w:rPr>
      </w:pPr>
      <w:r w:rsidRPr="00AF3E90">
        <w:rPr>
          <w:rFonts w:ascii="Verdana" w:hAnsi="Verdana"/>
          <w:sz w:val="16"/>
          <w:szCs w:val="16"/>
          <w:vertAlign w:val="superscript"/>
        </w:rPr>
        <w:footnoteRef/>
      </w:r>
      <w:r w:rsidRPr="00AF3E90">
        <w:rPr>
          <w:rFonts w:ascii="Verdana" w:hAnsi="Verdana" w:cs="Arial"/>
          <w:sz w:val="16"/>
          <w:szCs w:val="16"/>
        </w:rPr>
        <w:t xml:space="preserve"> Corte Constitucional, Sentencia C-449 de 1992, y Consejo de Estado, Sala de lo Contencioso Administrativo, Sección Tercera, Sentencia del 3 de diciembre de 2007, expedientes acumulados: (25206, 25409, 24524, 27834, 25410, 26105, 28244, 31447).</w:t>
      </w:r>
    </w:p>
  </w:footnote>
  <w:footnote w:id="2">
    <w:p w14:paraId="496526D5" w14:textId="77777777" w:rsidR="007559D1" w:rsidRPr="00AF3E90" w:rsidRDefault="007559D1" w:rsidP="007559D1">
      <w:pPr>
        <w:pStyle w:val="Textonotapie"/>
        <w:ind w:firstLine="708"/>
        <w:jc w:val="both"/>
        <w:rPr>
          <w:rFonts w:ascii="Verdana" w:hAnsi="Verdana" w:cs="Arial"/>
          <w:sz w:val="16"/>
          <w:szCs w:val="16"/>
        </w:rPr>
      </w:pPr>
      <w:r w:rsidRPr="00AF3E90">
        <w:rPr>
          <w:rFonts w:ascii="Verdana" w:hAnsi="Verdana"/>
          <w:sz w:val="16"/>
          <w:szCs w:val="16"/>
          <w:vertAlign w:val="superscript"/>
        </w:rPr>
        <w:footnoteRef/>
      </w:r>
      <w:r w:rsidRPr="00AF3E90">
        <w:rPr>
          <w:rFonts w:ascii="Verdana" w:hAnsi="Verdana" w:cs="Arial"/>
          <w:sz w:val="16"/>
          <w:szCs w:val="16"/>
          <w:vertAlign w:val="superscript"/>
        </w:rPr>
        <w:t xml:space="preserve"> </w:t>
      </w:r>
      <w:r w:rsidRPr="00AF3E90">
        <w:rPr>
          <w:rFonts w:ascii="Verdana" w:hAnsi="Verdana" w:cs="Arial"/>
          <w:sz w:val="16"/>
          <w:szCs w:val="16"/>
        </w:rPr>
        <w:t>DÁVILA VINUEZA. Luis Guillermo. Régimen jurídico de la contratación estatal. 3ª ed. Bogotá: Temis, 2016. p. 494.</w:t>
      </w:r>
    </w:p>
  </w:footnote>
  <w:footnote w:id="3">
    <w:p w14:paraId="488F9B4F" w14:textId="77777777" w:rsidR="007559D1" w:rsidRPr="00AF3E90" w:rsidRDefault="007559D1" w:rsidP="007559D1">
      <w:pPr>
        <w:spacing w:after="0" w:line="240" w:lineRule="auto"/>
        <w:ind w:firstLine="709"/>
        <w:jc w:val="both"/>
        <w:rPr>
          <w:rFonts w:ascii="Verdana" w:hAnsi="Verdana" w:cs="Arial"/>
          <w:sz w:val="16"/>
          <w:szCs w:val="16"/>
        </w:rPr>
      </w:pPr>
      <w:r w:rsidRPr="00AF3E90">
        <w:rPr>
          <w:rStyle w:val="Refdenotaalpie"/>
          <w:rFonts w:ascii="Verdana" w:hAnsi="Verdana" w:cs="Arial"/>
          <w:sz w:val="16"/>
          <w:szCs w:val="16"/>
        </w:rPr>
        <w:footnoteRef/>
      </w:r>
      <w:r w:rsidRPr="00AF3E90">
        <w:rPr>
          <w:rFonts w:ascii="Verdana" w:hAnsi="Verdana" w:cs="Arial"/>
          <w:sz w:val="16"/>
          <w:szCs w:val="16"/>
        </w:rPr>
        <w:t xml:space="preserve"> 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w:t>
      </w:r>
      <w:r w:rsidRPr="00AF3E90">
        <w:rPr>
          <w:rFonts w:ascii="Verdana" w:hAnsi="Verdana" w:cs="Arial"/>
          <w:spacing w:val="-6"/>
          <w:sz w:val="16"/>
          <w:szCs w:val="16"/>
        </w:rPr>
        <w:t xml:space="preserve"> </w:t>
      </w:r>
      <w:r w:rsidRPr="00AF3E90">
        <w:rPr>
          <w:rFonts w:ascii="Verdana" w:hAnsi="Verdana" w:cs="Arial"/>
          <w:sz w:val="16"/>
          <w:szCs w:val="16"/>
        </w:rPr>
        <w:t>artículo”.</w:t>
      </w:r>
    </w:p>
  </w:footnote>
  <w:footnote w:id="4">
    <w:p w14:paraId="48460F0C" w14:textId="77777777" w:rsidR="007559D1" w:rsidRPr="00AF3E90" w:rsidRDefault="007559D1" w:rsidP="007559D1">
      <w:pPr>
        <w:pStyle w:val="Textonotapie"/>
        <w:ind w:firstLine="708"/>
        <w:jc w:val="both"/>
        <w:rPr>
          <w:rFonts w:ascii="Verdana" w:hAnsi="Verdana"/>
          <w:sz w:val="16"/>
          <w:szCs w:val="16"/>
        </w:rPr>
      </w:pPr>
      <w:r w:rsidRPr="00AF3E90">
        <w:rPr>
          <w:rStyle w:val="Refdenotaalpie"/>
          <w:rFonts w:ascii="Verdana" w:hAnsi="Verdana"/>
          <w:sz w:val="16"/>
          <w:szCs w:val="16"/>
        </w:rPr>
        <w:footnoteRef/>
      </w:r>
      <w:r w:rsidRPr="00AF3E90">
        <w:rPr>
          <w:rFonts w:ascii="Verdana" w:hAnsi="Verdana"/>
          <w:sz w:val="16"/>
          <w:szCs w:val="16"/>
          <w:lang w:val="pt-BR"/>
        </w:rPr>
        <w:t xml:space="preserve"> Corte Constitucional. Sentencia C-671 de 2005. </w:t>
      </w:r>
      <w:r w:rsidRPr="00AF3E90">
        <w:rPr>
          <w:rFonts w:ascii="Verdana" w:hAnsi="Verdana"/>
          <w:sz w:val="16"/>
          <w:szCs w:val="16"/>
        </w:rPr>
        <w:t xml:space="preserve">M.P. Álvaro Tafur Galvis. </w:t>
      </w:r>
    </w:p>
  </w:footnote>
  <w:footnote w:id="5">
    <w:p w14:paraId="42BC2809" w14:textId="77777777" w:rsidR="007559D1" w:rsidRPr="00AF3E90" w:rsidRDefault="007559D1" w:rsidP="007559D1">
      <w:pPr>
        <w:pStyle w:val="Textonotapie"/>
        <w:ind w:firstLine="708"/>
        <w:jc w:val="both"/>
        <w:rPr>
          <w:rFonts w:ascii="Verdana" w:hAnsi="Verdana"/>
          <w:bCs/>
          <w:sz w:val="16"/>
          <w:szCs w:val="16"/>
        </w:rPr>
      </w:pPr>
      <w:r w:rsidRPr="00AF3E90">
        <w:rPr>
          <w:rStyle w:val="Refdenotaalpie"/>
          <w:rFonts w:ascii="Verdana" w:hAnsi="Verdana"/>
          <w:sz w:val="16"/>
          <w:szCs w:val="16"/>
        </w:rPr>
        <w:footnoteRef/>
      </w:r>
      <w:r w:rsidRPr="00AF3E90">
        <w:rPr>
          <w:rFonts w:ascii="Verdana" w:hAnsi="Verdana"/>
          <w:sz w:val="16"/>
          <w:szCs w:val="16"/>
        </w:rPr>
        <w:t xml:space="preserve"> </w:t>
      </w:r>
      <w:r w:rsidRPr="00AF3E90">
        <w:rPr>
          <w:rFonts w:ascii="Verdana" w:hAnsi="Verdana"/>
          <w:sz w:val="16"/>
          <w:szCs w:val="16"/>
          <w:lang w:val="es-CO"/>
        </w:rPr>
        <w:t xml:space="preserve">Consejo de Estado. Sala de Consulta y Servicio Civil. Concepto no. 2257 del 26 de julio de 2016, C.P. Álvaro Namén Vargas; Consejo </w:t>
      </w:r>
      <w:r>
        <w:rPr>
          <w:rFonts w:ascii="Verdana" w:hAnsi="Verdana"/>
          <w:sz w:val="16"/>
          <w:szCs w:val="16"/>
          <w:lang w:val="es-CO"/>
        </w:rPr>
        <w:t>d</w:t>
      </w:r>
      <w:r w:rsidRPr="00AF3E90">
        <w:rPr>
          <w:rFonts w:ascii="Verdana" w:hAnsi="Verdana"/>
          <w:sz w:val="16"/>
          <w:szCs w:val="16"/>
          <w:lang w:val="es-CO"/>
        </w:rPr>
        <w:t xml:space="preserve">e Estado, Sección Tercera, Subsección A. Sentencia del 23 de junio de 2010. C.P. Mauricio Fajardo Gómez. Exp 17860; Sección Tercera. Auto del 4 de octubre de 2024. C.P. Fredy Ibarra Martínez. Exp </w:t>
      </w:r>
      <w:r w:rsidRPr="00AF3E90">
        <w:rPr>
          <w:rFonts w:ascii="Verdana" w:hAnsi="Verdana"/>
          <w:bCs/>
          <w:sz w:val="16"/>
          <w:szCs w:val="16"/>
        </w:rPr>
        <w:t xml:space="preserve">70313. </w:t>
      </w:r>
    </w:p>
  </w:footnote>
  <w:footnote w:id="6">
    <w:p w14:paraId="4758B198" w14:textId="77777777" w:rsidR="007559D1" w:rsidRPr="00AF3E90" w:rsidRDefault="007559D1" w:rsidP="007559D1">
      <w:pPr>
        <w:pStyle w:val="Textonotapie"/>
        <w:ind w:firstLine="708"/>
        <w:jc w:val="both"/>
        <w:rPr>
          <w:rFonts w:ascii="Verdana" w:hAnsi="Verdana"/>
          <w:sz w:val="16"/>
          <w:szCs w:val="16"/>
          <w:lang w:val="es-CO"/>
        </w:rPr>
      </w:pPr>
      <w:r w:rsidRPr="00AF3E90">
        <w:rPr>
          <w:rStyle w:val="Refdenotaalpie"/>
          <w:rFonts w:ascii="Verdana" w:hAnsi="Verdana"/>
          <w:sz w:val="16"/>
          <w:szCs w:val="16"/>
        </w:rPr>
        <w:footnoteRef/>
      </w:r>
      <w:r w:rsidRPr="00AF3E90">
        <w:rPr>
          <w:rFonts w:ascii="Verdana" w:hAnsi="Verdana"/>
          <w:sz w:val="16"/>
          <w:szCs w:val="16"/>
        </w:rPr>
        <w:t xml:space="preserve"> SANTOS RODRÍGUEZ, Jorge Enrique. Consideraciones sobre los contratos y convenios interadministrativos. En: Revista Digital de Derecho Administrativo, 2008. p.p. 10-11. De igual forma, Augusto Ramón Chavéz Marín expresa: “</w:t>
      </w:r>
      <w:r w:rsidRPr="00AF3E90">
        <w:rPr>
          <w:rFonts w:ascii="Verdana" w:hAnsi="Verdana"/>
          <w:sz w:val="16"/>
          <w:szCs w:val="16"/>
          <w:lang w:val="es-CO"/>
        </w:rPr>
        <w:t xml:space="preserve">Los convenios interadministrativos se distinguen de los contratos interadministrativos porque estos últimos, celebrados al igual que los primeros entre personas jurídicas públicas, no tienen como objeto la realización común de intereses compartidos como ocurre con los convenios interadministrativos típicos, sino el logro de los fines estatales de alguna de las partes. En los contratos interadministrativos se busca obtener de otra persona jurídica publica la prestación de un servicio específico, la ejecución de una obra o el suministro de un bien, en fin, la realización de una actividad determinada que podría llevar a cabo un particular” (CHAVÉZ MARÍN, Augusto Ramón. Los convenios de la Administración. Entre la gestión pública y la actividad contractual. Bogotá: Temis, 2020. p. 126). </w:t>
      </w:r>
    </w:p>
  </w:footnote>
  <w:footnote w:id="7">
    <w:p w14:paraId="30A1E345" w14:textId="77777777" w:rsidR="007559D1" w:rsidRPr="00AF3E90" w:rsidRDefault="007559D1" w:rsidP="007559D1">
      <w:pPr>
        <w:pStyle w:val="Textonotapie"/>
        <w:ind w:firstLine="708"/>
        <w:jc w:val="both"/>
        <w:rPr>
          <w:rFonts w:ascii="Verdana" w:hAnsi="Verdana"/>
          <w:sz w:val="16"/>
          <w:szCs w:val="16"/>
        </w:rPr>
      </w:pPr>
      <w:r w:rsidRPr="00AF3E90">
        <w:rPr>
          <w:rStyle w:val="Refdenotaalpie"/>
          <w:rFonts w:ascii="Verdana" w:hAnsi="Verdana"/>
          <w:sz w:val="16"/>
          <w:szCs w:val="16"/>
        </w:rPr>
        <w:footnoteRef/>
      </w:r>
      <w:r w:rsidRPr="00AF3E90">
        <w:rPr>
          <w:rFonts w:ascii="Verdana" w:hAnsi="Verdana"/>
          <w:sz w:val="16"/>
          <w:szCs w:val="16"/>
        </w:rPr>
        <w:t xml:space="preserve"> Consejo de Estado. Sección Tercera, Subsección A. Sentencia del 25 de mayo de 2025. C.P. María Adriana Marín Hernández. Exp. 70.504; Sección Tercera, Subsección A. Sentencia del 16 de agosto de 2022, C.P.: María Adriana Marín. Exp. 60434.</w:t>
      </w:r>
    </w:p>
  </w:footnote>
  <w:footnote w:id="8">
    <w:p w14:paraId="4D9899BE" w14:textId="77777777" w:rsidR="007559D1" w:rsidRPr="00AF3E90" w:rsidRDefault="007559D1" w:rsidP="007559D1">
      <w:pPr>
        <w:pStyle w:val="Textonotapie"/>
        <w:ind w:firstLine="708"/>
        <w:jc w:val="both"/>
        <w:rPr>
          <w:rFonts w:ascii="Verdana" w:hAnsi="Verdana"/>
          <w:sz w:val="16"/>
          <w:szCs w:val="16"/>
          <w:lang w:val="es-ES"/>
        </w:rPr>
      </w:pPr>
      <w:r w:rsidRPr="00AF3E90">
        <w:rPr>
          <w:rStyle w:val="Refdenotaalpie"/>
          <w:rFonts w:ascii="Verdana" w:hAnsi="Verdana"/>
          <w:sz w:val="16"/>
          <w:szCs w:val="16"/>
        </w:rPr>
        <w:footnoteRef/>
      </w:r>
      <w:r w:rsidRPr="00AF3E90">
        <w:rPr>
          <w:rFonts w:ascii="Verdana" w:hAnsi="Verdana"/>
          <w:sz w:val="16"/>
          <w:szCs w:val="16"/>
        </w:rPr>
        <w:t xml:space="preserve"> </w:t>
      </w:r>
      <w:r w:rsidRPr="00AF3E90">
        <w:rPr>
          <w:rFonts w:ascii="Verdana" w:hAnsi="Verdana"/>
          <w:sz w:val="16"/>
          <w:szCs w:val="16"/>
          <w:lang w:val="es-CO"/>
        </w:rPr>
        <w:t xml:space="preserve">Consejo de Estado. Sección Tercera, Subsección A. Sentencia del 14 de junio de 2019, C.P.: Marta Nubia Velásquez Rico. Rad.: 25000-23-37-000-2010-02552-01 (AP); Sección Tercera, Subsección A. Sentencia del 25 de mayo de 2025. C.P. María Adriana Marín Hernández. Exp. 70.504. </w:t>
      </w:r>
    </w:p>
  </w:footnote>
  <w:footnote w:id="9">
    <w:p w14:paraId="724EF965" w14:textId="77777777" w:rsidR="007559D1" w:rsidRPr="00AF3E90" w:rsidRDefault="007559D1" w:rsidP="007559D1">
      <w:pPr>
        <w:pStyle w:val="Textonotapie"/>
        <w:ind w:firstLine="708"/>
        <w:jc w:val="both"/>
        <w:rPr>
          <w:rFonts w:ascii="Verdana" w:hAnsi="Verdana"/>
          <w:sz w:val="16"/>
          <w:szCs w:val="16"/>
          <w:lang w:val="es-CO"/>
        </w:rPr>
      </w:pPr>
      <w:r w:rsidRPr="00AF3E90">
        <w:rPr>
          <w:rStyle w:val="Refdenotaalpie"/>
          <w:rFonts w:ascii="Verdana" w:hAnsi="Verdana"/>
          <w:sz w:val="16"/>
          <w:szCs w:val="16"/>
        </w:rPr>
        <w:footnoteRef/>
      </w:r>
      <w:r w:rsidRPr="00AF3E90">
        <w:rPr>
          <w:rFonts w:ascii="Verdana" w:hAnsi="Verdana"/>
          <w:sz w:val="16"/>
          <w:szCs w:val="16"/>
        </w:rPr>
        <w:t xml:space="preserve"> </w:t>
      </w:r>
      <w:bookmarkStart w:id="1" w:name="13"/>
      <w:r w:rsidRPr="00AF3E90">
        <w:rPr>
          <w:rFonts w:ascii="Verdana" w:hAnsi="Verdana"/>
          <w:sz w:val="16"/>
          <w:szCs w:val="16"/>
          <w:lang w:val="es-CO"/>
        </w:rPr>
        <w:t>ARTÍCULO 13. PRINCIPIOS GENERALES DE LA ACTIVIDAD CONTRACTUAL PARA ENTIDADES NO SOMETIDAS AL ESTATUTO GENERAL DE CONTRATACIÓN DE LA ADMINISTRACIÓN PÚBLICA.</w:t>
      </w:r>
      <w:bookmarkEnd w:id="1"/>
      <w:r w:rsidRPr="00AF3E90">
        <w:rPr>
          <w:rFonts w:ascii="Verdana" w:hAnsi="Verdana"/>
          <w:sz w:val="16"/>
          <w:szCs w:val="16"/>
          <w:lang w:val="es-CO"/>
        </w:rPr>
        <w:t>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w:t>
      </w:r>
      <w:hyperlink r:id="rId1" w:anchor="209" w:history="1">
        <w:r w:rsidRPr="00AF3E90">
          <w:rPr>
            <w:rStyle w:val="Hipervnculo"/>
            <w:rFonts w:ascii="Verdana" w:hAnsi="Verdana"/>
            <w:color w:val="auto"/>
            <w:sz w:val="16"/>
            <w:szCs w:val="16"/>
            <w:lang w:val="es-CO"/>
          </w:rPr>
          <w:t>209</w:t>
        </w:r>
      </w:hyperlink>
      <w:r w:rsidRPr="00AF3E90">
        <w:rPr>
          <w:rFonts w:ascii="Verdana" w:hAnsi="Verdana"/>
          <w:sz w:val="16"/>
          <w:szCs w:val="16"/>
          <w:lang w:val="es-CO"/>
        </w:rPr>
        <w:t> y </w:t>
      </w:r>
      <w:hyperlink r:id="rId2" w:anchor="267" w:history="1">
        <w:r w:rsidRPr="00AF3E90">
          <w:rPr>
            <w:rStyle w:val="Hipervnculo"/>
            <w:rFonts w:ascii="Verdana" w:hAnsi="Verdana"/>
            <w:color w:val="auto"/>
            <w:sz w:val="16"/>
            <w:szCs w:val="16"/>
            <w:lang w:val="es-CO"/>
          </w:rPr>
          <w:t>267</w:t>
        </w:r>
      </w:hyperlink>
      <w:r w:rsidRPr="00AF3E90">
        <w:rPr>
          <w:rFonts w:ascii="Verdana" w:hAnsi="Verdana"/>
          <w:sz w:val="16"/>
          <w:szCs w:val="16"/>
          <w:lang w:val="es-CO"/>
        </w:rPr>
        <w:t> de la Constitución Política, respectivamente según sea el caso y estarán sometidas al régimen de inhabilidades e incompatibilidades previsto legalmente para la contratación estatal.</w:t>
      </w:r>
    </w:p>
    <w:p w14:paraId="5AC27CB2" w14:textId="77777777" w:rsidR="007559D1" w:rsidRPr="00AF3E90" w:rsidRDefault="007559D1" w:rsidP="007559D1">
      <w:pPr>
        <w:pStyle w:val="Textonotapie"/>
        <w:ind w:firstLine="708"/>
        <w:jc w:val="both"/>
        <w:rPr>
          <w:rFonts w:ascii="Verdana" w:hAnsi="Verdana"/>
          <w:sz w:val="16"/>
          <w:szCs w:val="16"/>
          <w:lang w:val="es-CO"/>
        </w:rPr>
      </w:pPr>
      <w:r w:rsidRPr="00AF3E90">
        <w:rPr>
          <w:rFonts w:ascii="Verdana" w:hAnsi="Verdana"/>
          <w:sz w:val="16"/>
          <w:szCs w:val="16"/>
          <w:lang w:val="es-CO"/>
        </w:rPr>
        <w:t>&lt;Inciso adicionado por el artículo </w:t>
      </w:r>
      <w:hyperlink r:id="rId3" w:anchor="53" w:history="1">
        <w:r w:rsidRPr="00AF3E90">
          <w:rPr>
            <w:rStyle w:val="Hipervnculo"/>
            <w:rFonts w:ascii="Verdana" w:hAnsi="Verdana"/>
            <w:color w:val="auto"/>
            <w:sz w:val="16"/>
            <w:szCs w:val="16"/>
            <w:lang w:val="es-CO"/>
          </w:rPr>
          <w:t>53</w:t>
        </w:r>
      </w:hyperlink>
      <w:r w:rsidRPr="00AF3E90">
        <w:rPr>
          <w:rFonts w:ascii="Verdana" w:hAnsi="Verdana"/>
          <w:sz w:val="16"/>
          <w:szCs w:val="16"/>
          <w:lang w:val="es-CO"/>
        </w:rPr>
        <w:t> de la Ley 2195 de 2022. El nuevo texto es el siguiente:&gt; 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poscontractual.</w:t>
      </w:r>
    </w:p>
    <w:p w14:paraId="72368CCE" w14:textId="77777777" w:rsidR="007559D1" w:rsidRPr="00AF3E90" w:rsidRDefault="007559D1" w:rsidP="007559D1">
      <w:pPr>
        <w:pStyle w:val="Textonotapie"/>
        <w:ind w:firstLine="708"/>
        <w:jc w:val="both"/>
        <w:rPr>
          <w:rFonts w:ascii="Verdana" w:hAnsi="Verdana"/>
          <w:sz w:val="16"/>
          <w:szCs w:val="16"/>
          <w:lang w:val="es-CO"/>
        </w:rPr>
      </w:pPr>
      <w:r w:rsidRPr="00AF3E90">
        <w:rPr>
          <w:rFonts w:ascii="Verdana" w:hAnsi="Verdana"/>
          <w:sz w:val="16"/>
          <w:szCs w:val="16"/>
          <w:lang w:val="es-CO"/>
        </w:rPr>
        <w:t>&lt;Inciso adicionado por el artículo </w:t>
      </w:r>
      <w:hyperlink r:id="rId4" w:anchor="53" w:history="1">
        <w:r w:rsidRPr="00AF3E90">
          <w:rPr>
            <w:rStyle w:val="Hipervnculo"/>
            <w:rFonts w:ascii="Verdana" w:hAnsi="Verdana"/>
            <w:color w:val="auto"/>
            <w:sz w:val="16"/>
            <w:szCs w:val="16"/>
            <w:lang w:val="es-CO"/>
          </w:rPr>
          <w:t>53</w:t>
        </w:r>
      </w:hyperlink>
      <w:r w:rsidRPr="00AF3E90">
        <w:rPr>
          <w:rFonts w:ascii="Verdana" w:hAnsi="Verdana"/>
          <w:sz w:val="16"/>
          <w:szCs w:val="16"/>
          <w:lang w:val="es-CO"/>
        </w:rPr>
        <w:t> de la Ley 2195 de 2022. El nuevo texto es el siguiente:&gt; A partir de la entrada en vigencia de la presente ley, se establecerá un periodo de transición de seis (6) meses, para que las entidades den cumplimiento efectivo a lo aquí establecido.</w:t>
      </w:r>
    </w:p>
  </w:footnote>
  <w:footnote w:id="10">
    <w:p w14:paraId="31C4BA5D" w14:textId="77777777" w:rsidR="007559D1" w:rsidRPr="00AF3E90" w:rsidRDefault="007559D1" w:rsidP="007559D1">
      <w:pPr>
        <w:pStyle w:val="Textonotapie"/>
        <w:ind w:firstLine="708"/>
        <w:jc w:val="both"/>
        <w:rPr>
          <w:rFonts w:ascii="Verdana" w:hAnsi="Verdana"/>
          <w:sz w:val="16"/>
          <w:szCs w:val="16"/>
        </w:rPr>
      </w:pPr>
      <w:r w:rsidRPr="00AF3E90">
        <w:rPr>
          <w:rFonts w:ascii="Verdana" w:hAnsi="Verdana" w:cs="Arial"/>
          <w:color w:val="000000"/>
          <w:sz w:val="16"/>
          <w:szCs w:val="16"/>
          <w:vertAlign w:val="superscript"/>
        </w:rPr>
        <w:footnoteRef/>
      </w:r>
      <w:r w:rsidRPr="00AF3E90">
        <w:rPr>
          <w:rFonts w:ascii="Verdana" w:hAnsi="Verdana" w:cs="Arial"/>
          <w:color w:val="000000"/>
          <w:sz w:val="16"/>
          <w:szCs w:val="16"/>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AF3E90">
        <w:rPr>
          <w:rFonts w:ascii="Verdana" w:hAnsi="Verdana" w:cs="Arial"/>
          <w:color w:val="000000"/>
          <w:sz w:val="16"/>
          <w:szCs w:val="16"/>
          <w:shd w:val="clear" w:color="auto" w:fill="FFFFFF"/>
        </w:rPr>
        <w:t>” (</w:t>
      </w:r>
      <w:r w:rsidRPr="00AF3E90">
        <w:rPr>
          <w:rFonts w:ascii="Verdana" w:hAnsi="Verdana" w:cs="Arial"/>
          <w:color w:val="000000"/>
          <w:sz w:val="16"/>
          <w:szCs w:val="16"/>
        </w:rPr>
        <w:t>EXPOSITO, Juan Carlos. Forma y contenido del contrato estatal. Bogotá: Universidad Externado de Colombia, p. 89 y 90).</w:t>
      </w:r>
    </w:p>
  </w:footnote>
  <w:footnote w:id="11">
    <w:p w14:paraId="632E619E" w14:textId="77777777" w:rsidR="007559D1" w:rsidRPr="00AF3E90" w:rsidRDefault="007559D1" w:rsidP="007559D1">
      <w:pPr>
        <w:pStyle w:val="Textonotapie"/>
        <w:ind w:firstLine="708"/>
        <w:jc w:val="both"/>
        <w:rPr>
          <w:rFonts w:ascii="Verdana" w:hAnsi="Verdana" w:cs="Arial"/>
          <w:color w:val="000000"/>
          <w:sz w:val="16"/>
          <w:szCs w:val="16"/>
        </w:rPr>
      </w:pPr>
      <w:r w:rsidRPr="00AF3E90">
        <w:rPr>
          <w:rFonts w:ascii="Verdana" w:hAnsi="Verdana" w:cs="Arial"/>
          <w:color w:val="000000"/>
          <w:sz w:val="16"/>
          <w:szCs w:val="16"/>
          <w:vertAlign w:val="superscript"/>
        </w:rPr>
        <w:footnoteRef/>
      </w:r>
      <w:r w:rsidRPr="00AF3E90">
        <w:rPr>
          <w:rFonts w:ascii="Verdana" w:hAnsi="Verdana" w:cs="Arial"/>
          <w:color w:val="000000"/>
          <w:sz w:val="16"/>
          <w:szCs w:val="16"/>
        </w:rPr>
        <w:t xml:space="preserve"> DÍAZ DÍEZ, Cristian Andrés. La liquidación. Serie: Las Cláusulas del Contrato Estatal. Medellín: Librería Jurídica Sánchez y Centro de Estudios de Derecho Administrativo –CEDA–, 2013, pp. 53-54.</w:t>
      </w:r>
    </w:p>
  </w:footnote>
  <w:footnote w:id="12">
    <w:p w14:paraId="0563D074" w14:textId="77777777" w:rsidR="007559D1" w:rsidRPr="00AF3E90" w:rsidRDefault="007559D1" w:rsidP="007559D1">
      <w:pPr>
        <w:spacing w:after="0" w:line="240" w:lineRule="auto"/>
        <w:ind w:firstLine="708"/>
        <w:jc w:val="both"/>
        <w:rPr>
          <w:rFonts w:ascii="Verdana" w:hAnsi="Verdana" w:cs="Arial"/>
          <w:color w:val="000000"/>
          <w:sz w:val="16"/>
          <w:szCs w:val="16"/>
        </w:rPr>
      </w:pPr>
      <w:r w:rsidRPr="00AF3E90">
        <w:rPr>
          <w:rFonts w:ascii="Verdana" w:hAnsi="Verdana" w:cs="Arial"/>
          <w:color w:val="000000"/>
          <w:sz w:val="16"/>
          <w:szCs w:val="16"/>
          <w:vertAlign w:val="superscript"/>
        </w:rPr>
        <w:footnoteRef/>
      </w:r>
      <w:r w:rsidRPr="00AF3E90">
        <w:rPr>
          <w:rFonts w:ascii="Verdana" w:hAnsi="Verdana" w:cs="Arial"/>
          <w:color w:val="000000"/>
          <w:sz w:val="16"/>
          <w:szCs w:val="16"/>
        </w:rPr>
        <w:t xml:space="preserve"> Consejo </w:t>
      </w:r>
      <w:r>
        <w:rPr>
          <w:rFonts w:ascii="Verdana" w:hAnsi="Verdana" w:cs="Arial"/>
          <w:color w:val="000000"/>
          <w:sz w:val="16"/>
          <w:szCs w:val="16"/>
        </w:rPr>
        <w:t>d</w:t>
      </w:r>
      <w:r w:rsidRPr="00AF3E90">
        <w:rPr>
          <w:rFonts w:ascii="Verdana" w:hAnsi="Verdana" w:cs="Arial"/>
          <w:color w:val="000000"/>
          <w:sz w:val="16"/>
          <w:szCs w:val="16"/>
        </w:rPr>
        <w:t>e Estado. Sección Tercera. Subsección C. Sentencia del 20 de octubre de 2014, C.P: Enrique Gil Botero.</w:t>
      </w:r>
      <w:r w:rsidRPr="00AF3E90">
        <w:rPr>
          <w:rFonts w:ascii="Verdana" w:hAnsi="Verdana"/>
          <w:sz w:val="16"/>
          <w:szCs w:val="16"/>
        </w:rPr>
        <w:t xml:space="preserve"> </w:t>
      </w:r>
      <w:r>
        <w:rPr>
          <w:rFonts w:ascii="Verdana" w:hAnsi="Verdana"/>
          <w:sz w:val="16"/>
          <w:szCs w:val="16"/>
        </w:rPr>
        <w:t xml:space="preserve">Exp. </w:t>
      </w:r>
      <w:r w:rsidRPr="00AF3E90">
        <w:rPr>
          <w:rFonts w:ascii="Verdana" w:hAnsi="Verdana" w:cs="Arial"/>
          <w:color w:val="000000"/>
          <w:sz w:val="16"/>
          <w:szCs w:val="16"/>
        </w:rPr>
        <w:t>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13">
    <w:p w14:paraId="6140B4C0" w14:textId="77777777" w:rsidR="007559D1" w:rsidRPr="00AF3E90" w:rsidRDefault="007559D1" w:rsidP="007559D1">
      <w:pPr>
        <w:pStyle w:val="Textonotapie"/>
        <w:ind w:firstLine="708"/>
        <w:jc w:val="both"/>
        <w:rPr>
          <w:rFonts w:ascii="Verdana" w:hAnsi="Verdana"/>
          <w:sz w:val="16"/>
          <w:szCs w:val="16"/>
        </w:rPr>
      </w:pPr>
      <w:r w:rsidRPr="00AF3E90">
        <w:rPr>
          <w:rFonts w:ascii="Verdana" w:hAnsi="Verdana" w:cs="Arial"/>
          <w:color w:val="000000"/>
          <w:sz w:val="16"/>
          <w:szCs w:val="16"/>
          <w:vertAlign w:val="superscript"/>
        </w:rPr>
        <w:footnoteRef/>
      </w:r>
      <w:r w:rsidRPr="00AF3E90">
        <w:rPr>
          <w:rFonts w:ascii="Verdana" w:hAnsi="Verdana" w:cs="Arial"/>
          <w:color w:val="000000"/>
          <w:sz w:val="16"/>
          <w:szCs w:val="16"/>
        </w:rPr>
        <w:t xml:space="preserve"> EXPÓSITO VÉLEZ, Juan Carlos. Forma y contenido del contrato estatal, p. 90.</w:t>
      </w:r>
    </w:p>
  </w:footnote>
  <w:footnote w:id="14">
    <w:p w14:paraId="0A6315F3" w14:textId="77777777" w:rsidR="007559D1" w:rsidRPr="008E1735" w:rsidRDefault="007559D1" w:rsidP="007559D1">
      <w:pPr>
        <w:pStyle w:val="Textonotapie"/>
        <w:ind w:firstLine="708"/>
        <w:jc w:val="both"/>
        <w:rPr>
          <w:rFonts w:ascii="Verdana" w:hAnsi="Verdana" w:cs="Arial"/>
          <w:color w:val="000000"/>
          <w:sz w:val="16"/>
          <w:szCs w:val="16"/>
        </w:rPr>
      </w:pPr>
      <w:r w:rsidRPr="00AF3E90">
        <w:rPr>
          <w:rFonts w:ascii="Verdana" w:hAnsi="Verdana" w:cs="Arial"/>
          <w:color w:val="000000"/>
          <w:sz w:val="16"/>
          <w:szCs w:val="16"/>
          <w:vertAlign w:val="superscript"/>
        </w:rPr>
        <w:footnoteRef/>
      </w:r>
      <w:r w:rsidRPr="00AF3E90">
        <w:rPr>
          <w:rFonts w:ascii="Verdana" w:hAnsi="Verdana" w:cs="Arial"/>
          <w:color w:val="000000"/>
          <w:sz w:val="16"/>
          <w:szCs w:val="16"/>
        </w:rPr>
        <w:t xml:space="preserve"> Consejo </w:t>
      </w:r>
      <w:r>
        <w:rPr>
          <w:rFonts w:ascii="Verdana" w:hAnsi="Verdana" w:cs="Arial"/>
          <w:color w:val="000000"/>
          <w:sz w:val="16"/>
          <w:szCs w:val="16"/>
        </w:rPr>
        <w:t>d</w:t>
      </w:r>
      <w:r w:rsidRPr="00AF3E90">
        <w:rPr>
          <w:rFonts w:ascii="Verdana" w:hAnsi="Verdana" w:cs="Arial"/>
          <w:color w:val="000000"/>
          <w:sz w:val="16"/>
          <w:szCs w:val="16"/>
        </w:rPr>
        <w:t>e Estado, Sala de Consulta y Servicio Civil. Concepto de 6 de agosto de 2003. C.P. Augusto Trejos. Rad. No. 1453.</w:t>
      </w:r>
    </w:p>
  </w:footnote>
  <w:footnote w:id="15">
    <w:p w14:paraId="164DC9D8" w14:textId="77777777" w:rsidR="007559D1" w:rsidRPr="008E1735" w:rsidRDefault="007559D1" w:rsidP="007559D1">
      <w:pPr>
        <w:pStyle w:val="Textonotapie"/>
        <w:ind w:firstLine="708"/>
        <w:contextualSpacing/>
        <w:jc w:val="both"/>
        <w:rPr>
          <w:rFonts w:ascii="Verdana" w:hAnsi="Verdana"/>
          <w:sz w:val="16"/>
          <w:szCs w:val="16"/>
          <w:lang w:val="es-CO"/>
        </w:rPr>
      </w:pPr>
      <w:r w:rsidRPr="00AF3E90">
        <w:rPr>
          <w:rStyle w:val="Refdenotaalpie"/>
          <w:rFonts w:ascii="Verdana" w:hAnsi="Verdana"/>
          <w:sz w:val="16"/>
          <w:szCs w:val="16"/>
        </w:rPr>
        <w:footnoteRef/>
      </w:r>
      <w:r w:rsidRPr="00AF3E90">
        <w:rPr>
          <w:rFonts w:ascii="Verdana" w:hAnsi="Verdana"/>
          <w:sz w:val="16"/>
          <w:szCs w:val="16"/>
        </w:rPr>
        <w:t xml:space="preserve"> </w:t>
      </w:r>
      <w:r w:rsidRPr="000379A3">
        <w:rPr>
          <w:rFonts w:ascii="Verdana" w:hAnsi="Verdana"/>
          <w:sz w:val="16"/>
          <w:szCs w:val="16"/>
          <w:lang w:val="es-CO"/>
        </w:rPr>
        <w:t>Cfr. Consejo de Estado, Sección Tercera, sentencia del 10 de octubre de 2024, exp. [67508]</w:t>
      </w:r>
      <w:r>
        <w:rPr>
          <w:rFonts w:ascii="Verdana" w:hAnsi="Verdana"/>
          <w:sz w:val="16"/>
          <w:szCs w:val="16"/>
          <w:lang w:val="es-CO"/>
        </w:rPr>
        <w:t xml:space="preserve">; </w:t>
      </w:r>
      <w:r w:rsidRPr="000379A3">
        <w:rPr>
          <w:rFonts w:ascii="Verdana" w:hAnsi="Verdana"/>
          <w:sz w:val="16"/>
          <w:szCs w:val="16"/>
          <w:lang w:val="es-CO"/>
        </w:rPr>
        <w:t xml:space="preserve"> </w:t>
      </w:r>
      <w:r w:rsidRPr="00AF3E90">
        <w:rPr>
          <w:rFonts w:ascii="Verdana" w:hAnsi="Verdana"/>
          <w:sz w:val="16"/>
          <w:szCs w:val="16"/>
          <w:lang w:val="es-CO"/>
        </w:rPr>
        <w:t xml:space="preserve">Consejo </w:t>
      </w:r>
      <w:r>
        <w:rPr>
          <w:rFonts w:ascii="Verdana" w:hAnsi="Verdana"/>
          <w:sz w:val="16"/>
          <w:szCs w:val="16"/>
          <w:lang w:val="es-CO"/>
        </w:rPr>
        <w:t>de</w:t>
      </w:r>
      <w:r w:rsidRPr="00AF3E90">
        <w:rPr>
          <w:rFonts w:ascii="Verdana" w:hAnsi="Verdana"/>
          <w:sz w:val="16"/>
          <w:szCs w:val="16"/>
          <w:lang w:val="es-CO"/>
        </w:rPr>
        <w:t xml:space="preserve"> Estado. Sección Tercera. Sentencia del 19 de septiembre de 2022. C.P.: Jaime Enrique Rodríguez Navas. Exp. 54714; </w:t>
      </w:r>
      <w:r w:rsidRPr="00AF3E90">
        <w:rPr>
          <w:rFonts w:ascii="Verdana" w:hAnsi="Verdana"/>
          <w:sz w:val="16"/>
          <w:szCs w:val="16"/>
        </w:rPr>
        <w:t xml:space="preserve">Consejo </w:t>
      </w:r>
      <w:r>
        <w:rPr>
          <w:rFonts w:ascii="Verdana" w:hAnsi="Verdana"/>
          <w:sz w:val="16"/>
          <w:szCs w:val="16"/>
        </w:rPr>
        <w:t>d</w:t>
      </w:r>
      <w:r w:rsidRPr="00AF3E90">
        <w:rPr>
          <w:rFonts w:ascii="Verdana" w:hAnsi="Verdana"/>
          <w:sz w:val="16"/>
          <w:szCs w:val="16"/>
        </w:rPr>
        <w:t xml:space="preserve">e Estado. Sección Tercera. Subsección C. Sentencia del 24 de abril de 2024. </w:t>
      </w:r>
      <w:r w:rsidRPr="00AF3E90">
        <w:rPr>
          <w:rFonts w:ascii="Verdana" w:hAnsi="Verdana"/>
          <w:sz w:val="16"/>
          <w:szCs w:val="16"/>
          <w:lang w:val="es-CO"/>
        </w:rPr>
        <w:t xml:space="preserve">C.P.: Nicolás Yepes Corrales. </w:t>
      </w:r>
      <w:r w:rsidRPr="00AF3E90">
        <w:rPr>
          <w:rFonts w:ascii="Verdana" w:hAnsi="Verdana"/>
          <w:sz w:val="16"/>
          <w:szCs w:val="16"/>
        </w:rPr>
        <w:t xml:space="preserve">Exp.  67095. </w:t>
      </w:r>
      <w:r w:rsidRPr="00AC447F">
        <w:rPr>
          <w:rFonts w:ascii="Verdana" w:hAnsi="Verdana"/>
          <w:sz w:val="16"/>
          <w:szCs w:val="16"/>
          <w:lang w:val="es-CO"/>
        </w:rPr>
        <w:t>En igual sentido, la doctrina de esta Subdirección en los Conceptos C</w:t>
      </w:r>
      <w:r w:rsidRPr="00AC447F">
        <w:rPr>
          <w:rFonts w:ascii="Verdana" w:hAnsi="Verdana"/>
          <w:sz w:val="16"/>
          <w:szCs w:val="16"/>
          <w:lang w:val="es-CO"/>
        </w:rPr>
        <w:noBreakHyphen/>
        <w:t>465 y C</w:t>
      </w:r>
      <w:r w:rsidRPr="00AC447F">
        <w:rPr>
          <w:rFonts w:ascii="Verdana" w:hAnsi="Verdana"/>
          <w:sz w:val="16"/>
          <w:szCs w:val="16"/>
          <w:lang w:val="es-CO"/>
        </w:rPr>
        <w:noBreakHyphen/>
        <w:t>466 de 2024 y C</w:t>
      </w:r>
      <w:r w:rsidRPr="00AC447F">
        <w:rPr>
          <w:rFonts w:ascii="Verdana" w:hAnsi="Verdana"/>
          <w:sz w:val="16"/>
          <w:szCs w:val="16"/>
          <w:lang w:val="es-CO"/>
        </w:rPr>
        <w:noBreakHyphen/>
        <w:t>347 de 2025.</w:t>
      </w:r>
    </w:p>
  </w:footnote>
  <w:footnote w:id="16">
    <w:p w14:paraId="414530A5" w14:textId="77777777" w:rsidR="007559D1" w:rsidRPr="00666535" w:rsidRDefault="007559D1" w:rsidP="007559D1">
      <w:pPr>
        <w:pStyle w:val="Textonotapie"/>
        <w:ind w:firstLine="708"/>
        <w:jc w:val="both"/>
      </w:pPr>
      <w:r>
        <w:rPr>
          <w:rStyle w:val="Refdenotaalpie"/>
        </w:rPr>
        <w:footnoteRef/>
      </w:r>
      <w:r>
        <w:t xml:space="preserve"> En torno a este tema de formulas de reajuste de aportes en los convenios interadministrativos se destaca el Concepto C-1046 del 9 de septiembre de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10.6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E17683"/>
    <w:multiLevelType w:val="multilevel"/>
    <w:tmpl w:val="B99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44193185">
    <w:abstractNumId w:val="12"/>
  </w:num>
  <w:num w:numId="2" w16cid:durableId="193231847">
    <w:abstractNumId w:val="3"/>
  </w:num>
  <w:num w:numId="3" w16cid:durableId="1096943890">
    <w:abstractNumId w:val="10"/>
  </w:num>
  <w:num w:numId="4" w16cid:durableId="4099317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0367354">
    <w:abstractNumId w:val="3"/>
  </w:num>
  <w:num w:numId="6" w16cid:durableId="793476298">
    <w:abstractNumId w:val="19"/>
  </w:num>
  <w:num w:numId="7" w16cid:durableId="1388140985">
    <w:abstractNumId w:val="11"/>
  </w:num>
  <w:num w:numId="8" w16cid:durableId="8221745">
    <w:abstractNumId w:val="18"/>
  </w:num>
  <w:num w:numId="9" w16cid:durableId="44108025">
    <w:abstractNumId w:val="13"/>
  </w:num>
  <w:num w:numId="10" w16cid:durableId="1696543001">
    <w:abstractNumId w:val="17"/>
  </w:num>
  <w:num w:numId="11" w16cid:durableId="78798313">
    <w:abstractNumId w:val="14"/>
  </w:num>
  <w:num w:numId="12" w16cid:durableId="1454789457">
    <w:abstractNumId w:val="1"/>
  </w:num>
  <w:num w:numId="13" w16cid:durableId="1691956119">
    <w:abstractNumId w:val="6"/>
  </w:num>
  <w:num w:numId="14" w16cid:durableId="2087654391">
    <w:abstractNumId w:val="20"/>
  </w:num>
  <w:num w:numId="15" w16cid:durableId="1096054913">
    <w:abstractNumId w:val="16"/>
  </w:num>
  <w:num w:numId="16" w16cid:durableId="336543805">
    <w:abstractNumId w:val="8"/>
  </w:num>
  <w:num w:numId="17" w16cid:durableId="1497068304">
    <w:abstractNumId w:val="15"/>
  </w:num>
  <w:num w:numId="18" w16cid:durableId="1424061722">
    <w:abstractNumId w:val="23"/>
  </w:num>
  <w:num w:numId="19" w16cid:durableId="1329286817">
    <w:abstractNumId w:val="22"/>
  </w:num>
  <w:num w:numId="20" w16cid:durableId="648248107">
    <w:abstractNumId w:val="2"/>
  </w:num>
  <w:num w:numId="21" w16cid:durableId="64300868">
    <w:abstractNumId w:val="5"/>
  </w:num>
  <w:num w:numId="22" w16cid:durableId="277875109">
    <w:abstractNumId w:val="9"/>
  </w:num>
  <w:num w:numId="23" w16cid:durableId="1614360989">
    <w:abstractNumId w:val="4"/>
  </w:num>
  <w:num w:numId="24" w16cid:durableId="465394615">
    <w:abstractNumId w:val="21"/>
  </w:num>
  <w:num w:numId="25" w16cid:durableId="361709235">
    <w:abstractNumId w:val="0"/>
  </w:num>
  <w:num w:numId="26" w16cid:durableId="8325283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0F5C"/>
    <w:rsid w:val="0000603D"/>
    <w:rsid w:val="000134D5"/>
    <w:rsid w:val="00016F78"/>
    <w:rsid w:val="00020A42"/>
    <w:rsid w:val="000353BD"/>
    <w:rsid w:val="00046945"/>
    <w:rsid w:val="00053542"/>
    <w:rsid w:val="00061B2A"/>
    <w:rsid w:val="000711A6"/>
    <w:rsid w:val="000711CF"/>
    <w:rsid w:val="00076D52"/>
    <w:rsid w:val="00080B1D"/>
    <w:rsid w:val="00082362"/>
    <w:rsid w:val="00085193"/>
    <w:rsid w:val="0009079C"/>
    <w:rsid w:val="00092186"/>
    <w:rsid w:val="00096008"/>
    <w:rsid w:val="00097319"/>
    <w:rsid w:val="00097F5C"/>
    <w:rsid w:val="000A127B"/>
    <w:rsid w:val="000A1642"/>
    <w:rsid w:val="000A30EF"/>
    <w:rsid w:val="000A66E5"/>
    <w:rsid w:val="000A683E"/>
    <w:rsid w:val="000A77C4"/>
    <w:rsid w:val="000B0FAA"/>
    <w:rsid w:val="000B19B9"/>
    <w:rsid w:val="000B2054"/>
    <w:rsid w:val="000B27F0"/>
    <w:rsid w:val="000B35FF"/>
    <w:rsid w:val="000B4A06"/>
    <w:rsid w:val="000B6072"/>
    <w:rsid w:val="000C5A9E"/>
    <w:rsid w:val="000D0334"/>
    <w:rsid w:val="000D1DC8"/>
    <w:rsid w:val="000D4734"/>
    <w:rsid w:val="000D5A41"/>
    <w:rsid w:val="000D5DA7"/>
    <w:rsid w:val="000E1CE3"/>
    <w:rsid w:val="000E4370"/>
    <w:rsid w:val="000E4DD8"/>
    <w:rsid w:val="000E6E2C"/>
    <w:rsid w:val="000F01E9"/>
    <w:rsid w:val="000F078F"/>
    <w:rsid w:val="000F3444"/>
    <w:rsid w:val="000F512E"/>
    <w:rsid w:val="000F6486"/>
    <w:rsid w:val="000F7FD4"/>
    <w:rsid w:val="00105C57"/>
    <w:rsid w:val="00113184"/>
    <w:rsid w:val="001161CA"/>
    <w:rsid w:val="001168F2"/>
    <w:rsid w:val="00116940"/>
    <w:rsid w:val="00125105"/>
    <w:rsid w:val="00127233"/>
    <w:rsid w:val="001328F3"/>
    <w:rsid w:val="001428DC"/>
    <w:rsid w:val="00145780"/>
    <w:rsid w:val="0015699B"/>
    <w:rsid w:val="001615EA"/>
    <w:rsid w:val="00161C03"/>
    <w:rsid w:val="001620BF"/>
    <w:rsid w:val="00171640"/>
    <w:rsid w:val="001732E9"/>
    <w:rsid w:val="00174D6E"/>
    <w:rsid w:val="00182004"/>
    <w:rsid w:val="00191DEB"/>
    <w:rsid w:val="0019787F"/>
    <w:rsid w:val="0019795A"/>
    <w:rsid w:val="001A12F0"/>
    <w:rsid w:val="001A213C"/>
    <w:rsid w:val="001A33BF"/>
    <w:rsid w:val="001B0949"/>
    <w:rsid w:val="001B69A3"/>
    <w:rsid w:val="001C3DA1"/>
    <w:rsid w:val="001C5AE4"/>
    <w:rsid w:val="001C61B3"/>
    <w:rsid w:val="001D02CC"/>
    <w:rsid w:val="001D64AE"/>
    <w:rsid w:val="001E2E05"/>
    <w:rsid w:val="001E4177"/>
    <w:rsid w:val="001F0B24"/>
    <w:rsid w:val="001F2FA2"/>
    <w:rsid w:val="001F7DC6"/>
    <w:rsid w:val="00204C7A"/>
    <w:rsid w:val="00207466"/>
    <w:rsid w:val="00211E12"/>
    <w:rsid w:val="00212AD1"/>
    <w:rsid w:val="00216B10"/>
    <w:rsid w:val="00217FCA"/>
    <w:rsid w:val="002209DE"/>
    <w:rsid w:val="00221063"/>
    <w:rsid w:val="0022400B"/>
    <w:rsid w:val="00241236"/>
    <w:rsid w:val="002421BB"/>
    <w:rsid w:val="00246F1F"/>
    <w:rsid w:val="00251160"/>
    <w:rsid w:val="00251424"/>
    <w:rsid w:val="00253436"/>
    <w:rsid w:val="0025796E"/>
    <w:rsid w:val="0026579C"/>
    <w:rsid w:val="002707A2"/>
    <w:rsid w:val="00275482"/>
    <w:rsid w:val="00277C07"/>
    <w:rsid w:val="00281D43"/>
    <w:rsid w:val="002823E4"/>
    <w:rsid w:val="00286A65"/>
    <w:rsid w:val="0028778F"/>
    <w:rsid w:val="00292FDC"/>
    <w:rsid w:val="00293243"/>
    <w:rsid w:val="002941CC"/>
    <w:rsid w:val="002951A0"/>
    <w:rsid w:val="002962BC"/>
    <w:rsid w:val="002975A4"/>
    <w:rsid w:val="002A093D"/>
    <w:rsid w:val="002A0DD0"/>
    <w:rsid w:val="002A296D"/>
    <w:rsid w:val="002A30B3"/>
    <w:rsid w:val="002A49AC"/>
    <w:rsid w:val="002A588F"/>
    <w:rsid w:val="002A64FD"/>
    <w:rsid w:val="002B14A4"/>
    <w:rsid w:val="002B730F"/>
    <w:rsid w:val="002C3A66"/>
    <w:rsid w:val="002C7A84"/>
    <w:rsid w:val="002E05EF"/>
    <w:rsid w:val="002E2BF8"/>
    <w:rsid w:val="002E4FD9"/>
    <w:rsid w:val="002E665E"/>
    <w:rsid w:val="002F0847"/>
    <w:rsid w:val="002F17CB"/>
    <w:rsid w:val="002F48FD"/>
    <w:rsid w:val="0030657A"/>
    <w:rsid w:val="00306B8C"/>
    <w:rsid w:val="003136DC"/>
    <w:rsid w:val="003156BF"/>
    <w:rsid w:val="00316053"/>
    <w:rsid w:val="003165C4"/>
    <w:rsid w:val="00317257"/>
    <w:rsid w:val="00322A85"/>
    <w:rsid w:val="00322C00"/>
    <w:rsid w:val="00322D77"/>
    <w:rsid w:val="00324168"/>
    <w:rsid w:val="00330834"/>
    <w:rsid w:val="003332A8"/>
    <w:rsid w:val="003341FA"/>
    <w:rsid w:val="003404D8"/>
    <w:rsid w:val="003448F4"/>
    <w:rsid w:val="003603CC"/>
    <w:rsid w:val="00361501"/>
    <w:rsid w:val="00362BC1"/>
    <w:rsid w:val="00374F5E"/>
    <w:rsid w:val="003769E1"/>
    <w:rsid w:val="00377E3E"/>
    <w:rsid w:val="00381BAB"/>
    <w:rsid w:val="0038312B"/>
    <w:rsid w:val="00384CDB"/>
    <w:rsid w:val="00394A16"/>
    <w:rsid w:val="003A779E"/>
    <w:rsid w:val="003B07BB"/>
    <w:rsid w:val="003B0DFC"/>
    <w:rsid w:val="003C0ED7"/>
    <w:rsid w:val="003C3EA3"/>
    <w:rsid w:val="003C4875"/>
    <w:rsid w:val="003C48DC"/>
    <w:rsid w:val="003C7601"/>
    <w:rsid w:val="003D0F4D"/>
    <w:rsid w:val="003D494E"/>
    <w:rsid w:val="003D5B0D"/>
    <w:rsid w:val="003E0499"/>
    <w:rsid w:val="003E4F80"/>
    <w:rsid w:val="003E5B3D"/>
    <w:rsid w:val="003E6439"/>
    <w:rsid w:val="003F18C5"/>
    <w:rsid w:val="003F1FD8"/>
    <w:rsid w:val="003F3941"/>
    <w:rsid w:val="00403EFA"/>
    <w:rsid w:val="00406575"/>
    <w:rsid w:val="00406BA1"/>
    <w:rsid w:val="004140B3"/>
    <w:rsid w:val="0041489C"/>
    <w:rsid w:val="00414C74"/>
    <w:rsid w:val="004156BE"/>
    <w:rsid w:val="00424314"/>
    <w:rsid w:val="0042722E"/>
    <w:rsid w:val="00431C48"/>
    <w:rsid w:val="00432550"/>
    <w:rsid w:val="00443AA5"/>
    <w:rsid w:val="0044528D"/>
    <w:rsid w:val="00451137"/>
    <w:rsid w:val="004555EA"/>
    <w:rsid w:val="0045785F"/>
    <w:rsid w:val="00464AD8"/>
    <w:rsid w:val="00465183"/>
    <w:rsid w:val="00466E39"/>
    <w:rsid w:val="00484E40"/>
    <w:rsid w:val="0048787A"/>
    <w:rsid w:val="00492C4A"/>
    <w:rsid w:val="00494F04"/>
    <w:rsid w:val="004A0A0B"/>
    <w:rsid w:val="004A0E5C"/>
    <w:rsid w:val="004A1847"/>
    <w:rsid w:val="004A298F"/>
    <w:rsid w:val="004A305D"/>
    <w:rsid w:val="004A7AD4"/>
    <w:rsid w:val="004A7D0E"/>
    <w:rsid w:val="004B38BB"/>
    <w:rsid w:val="004B3DAC"/>
    <w:rsid w:val="004B73B9"/>
    <w:rsid w:val="004C0DBB"/>
    <w:rsid w:val="004C18E6"/>
    <w:rsid w:val="004C2296"/>
    <w:rsid w:val="004D2B6F"/>
    <w:rsid w:val="004E2B92"/>
    <w:rsid w:val="004E3565"/>
    <w:rsid w:val="004E596D"/>
    <w:rsid w:val="004E7AD6"/>
    <w:rsid w:val="004F0F01"/>
    <w:rsid w:val="004F21C4"/>
    <w:rsid w:val="004F4074"/>
    <w:rsid w:val="004F685F"/>
    <w:rsid w:val="005000A1"/>
    <w:rsid w:val="00511182"/>
    <w:rsid w:val="00513BF7"/>
    <w:rsid w:val="00517955"/>
    <w:rsid w:val="005220CD"/>
    <w:rsid w:val="005229DB"/>
    <w:rsid w:val="00522EAD"/>
    <w:rsid w:val="00525889"/>
    <w:rsid w:val="00532FAF"/>
    <w:rsid w:val="00534886"/>
    <w:rsid w:val="00536A0E"/>
    <w:rsid w:val="0055069F"/>
    <w:rsid w:val="0055262A"/>
    <w:rsid w:val="00553040"/>
    <w:rsid w:val="005566E8"/>
    <w:rsid w:val="00556FE6"/>
    <w:rsid w:val="00560892"/>
    <w:rsid w:val="005609AB"/>
    <w:rsid w:val="00561EE4"/>
    <w:rsid w:val="00564AF4"/>
    <w:rsid w:val="00570B00"/>
    <w:rsid w:val="00572622"/>
    <w:rsid w:val="00573280"/>
    <w:rsid w:val="00573BA2"/>
    <w:rsid w:val="00574867"/>
    <w:rsid w:val="00577511"/>
    <w:rsid w:val="00591460"/>
    <w:rsid w:val="00592C94"/>
    <w:rsid w:val="00595011"/>
    <w:rsid w:val="005A2CAB"/>
    <w:rsid w:val="005A473F"/>
    <w:rsid w:val="005A52A7"/>
    <w:rsid w:val="005A5DC1"/>
    <w:rsid w:val="005A65E0"/>
    <w:rsid w:val="005C0881"/>
    <w:rsid w:val="005C3777"/>
    <w:rsid w:val="005C5CDC"/>
    <w:rsid w:val="005D2566"/>
    <w:rsid w:val="005D476C"/>
    <w:rsid w:val="005D56FB"/>
    <w:rsid w:val="005D61A0"/>
    <w:rsid w:val="005D63B0"/>
    <w:rsid w:val="005E55A7"/>
    <w:rsid w:val="005F20A4"/>
    <w:rsid w:val="005F5F61"/>
    <w:rsid w:val="00600D92"/>
    <w:rsid w:val="00603C5B"/>
    <w:rsid w:val="00611CE6"/>
    <w:rsid w:val="006137E1"/>
    <w:rsid w:val="00617200"/>
    <w:rsid w:val="00617E91"/>
    <w:rsid w:val="006200BF"/>
    <w:rsid w:val="0062143E"/>
    <w:rsid w:val="006219F8"/>
    <w:rsid w:val="00624A89"/>
    <w:rsid w:val="00624EEC"/>
    <w:rsid w:val="006302F7"/>
    <w:rsid w:val="00637187"/>
    <w:rsid w:val="00640C4B"/>
    <w:rsid w:val="00646B9F"/>
    <w:rsid w:val="00646F24"/>
    <w:rsid w:val="006547C3"/>
    <w:rsid w:val="00660C46"/>
    <w:rsid w:val="00663A04"/>
    <w:rsid w:val="00665D70"/>
    <w:rsid w:val="00666535"/>
    <w:rsid w:val="00684152"/>
    <w:rsid w:val="00684F67"/>
    <w:rsid w:val="00686822"/>
    <w:rsid w:val="0068758B"/>
    <w:rsid w:val="006900D9"/>
    <w:rsid w:val="006942B6"/>
    <w:rsid w:val="0069741A"/>
    <w:rsid w:val="006A2BE4"/>
    <w:rsid w:val="006A36D8"/>
    <w:rsid w:val="006A5D1A"/>
    <w:rsid w:val="006B4707"/>
    <w:rsid w:val="006D0F23"/>
    <w:rsid w:val="006D13BA"/>
    <w:rsid w:val="006D591D"/>
    <w:rsid w:val="006D64EE"/>
    <w:rsid w:val="006F056F"/>
    <w:rsid w:val="006F2238"/>
    <w:rsid w:val="006F234B"/>
    <w:rsid w:val="006F4199"/>
    <w:rsid w:val="006F6F9E"/>
    <w:rsid w:val="007009D7"/>
    <w:rsid w:val="007014D5"/>
    <w:rsid w:val="007025D7"/>
    <w:rsid w:val="00702F10"/>
    <w:rsid w:val="00703A14"/>
    <w:rsid w:val="00706C16"/>
    <w:rsid w:val="0071463F"/>
    <w:rsid w:val="0071557C"/>
    <w:rsid w:val="00731F30"/>
    <w:rsid w:val="007340C3"/>
    <w:rsid w:val="0073510E"/>
    <w:rsid w:val="00743FDA"/>
    <w:rsid w:val="007458D3"/>
    <w:rsid w:val="0075235A"/>
    <w:rsid w:val="00752CDB"/>
    <w:rsid w:val="00755468"/>
    <w:rsid w:val="0075557D"/>
    <w:rsid w:val="007559D1"/>
    <w:rsid w:val="00755A90"/>
    <w:rsid w:val="00756841"/>
    <w:rsid w:val="00757418"/>
    <w:rsid w:val="007649AB"/>
    <w:rsid w:val="00766315"/>
    <w:rsid w:val="00771AEF"/>
    <w:rsid w:val="00771D0C"/>
    <w:rsid w:val="00773C68"/>
    <w:rsid w:val="00774A1D"/>
    <w:rsid w:val="00777388"/>
    <w:rsid w:val="00782ED2"/>
    <w:rsid w:val="007833AC"/>
    <w:rsid w:val="00783A2B"/>
    <w:rsid w:val="007902CF"/>
    <w:rsid w:val="00795086"/>
    <w:rsid w:val="007969A8"/>
    <w:rsid w:val="007A037B"/>
    <w:rsid w:val="007A1830"/>
    <w:rsid w:val="007B268C"/>
    <w:rsid w:val="007B70FE"/>
    <w:rsid w:val="007B7171"/>
    <w:rsid w:val="007B723F"/>
    <w:rsid w:val="007C0C0F"/>
    <w:rsid w:val="007C3DC2"/>
    <w:rsid w:val="007C4353"/>
    <w:rsid w:val="007C51DA"/>
    <w:rsid w:val="007D1663"/>
    <w:rsid w:val="007D3058"/>
    <w:rsid w:val="007D4B12"/>
    <w:rsid w:val="007D5866"/>
    <w:rsid w:val="007D67A1"/>
    <w:rsid w:val="007E43AC"/>
    <w:rsid w:val="007E5497"/>
    <w:rsid w:val="007F6B1C"/>
    <w:rsid w:val="00803584"/>
    <w:rsid w:val="00806F5F"/>
    <w:rsid w:val="008103F6"/>
    <w:rsid w:val="00820278"/>
    <w:rsid w:val="0082087F"/>
    <w:rsid w:val="008258C9"/>
    <w:rsid w:val="00830893"/>
    <w:rsid w:val="00833286"/>
    <w:rsid w:val="00836232"/>
    <w:rsid w:val="00841E29"/>
    <w:rsid w:val="00844AE9"/>
    <w:rsid w:val="00844CA6"/>
    <w:rsid w:val="00845310"/>
    <w:rsid w:val="00845BF4"/>
    <w:rsid w:val="00850B04"/>
    <w:rsid w:val="00851067"/>
    <w:rsid w:val="0085545E"/>
    <w:rsid w:val="00867F95"/>
    <w:rsid w:val="00871AAC"/>
    <w:rsid w:val="00883BDA"/>
    <w:rsid w:val="008843B6"/>
    <w:rsid w:val="00886410"/>
    <w:rsid w:val="00886C7D"/>
    <w:rsid w:val="008876C5"/>
    <w:rsid w:val="0089018C"/>
    <w:rsid w:val="00891928"/>
    <w:rsid w:val="008A446D"/>
    <w:rsid w:val="008B0D0F"/>
    <w:rsid w:val="008B25F1"/>
    <w:rsid w:val="008B4380"/>
    <w:rsid w:val="008C0FFB"/>
    <w:rsid w:val="008C11FD"/>
    <w:rsid w:val="008C2316"/>
    <w:rsid w:val="008C4DD5"/>
    <w:rsid w:val="008C517A"/>
    <w:rsid w:val="008C5755"/>
    <w:rsid w:val="008C6AE5"/>
    <w:rsid w:val="008D1660"/>
    <w:rsid w:val="008D180B"/>
    <w:rsid w:val="008D7FAE"/>
    <w:rsid w:val="008E1735"/>
    <w:rsid w:val="008F0EA7"/>
    <w:rsid w:val="008F17DC"/>
    <w:rsid w:val="008F4334"/>
    <w:rsid w:val="008F5034"/>
    <w:rsid w:val="008F553F"/>
    <w:rsid w:val="008F6705"/>
    <w:rsid w:val="00901213"/>
    <w:rsid w:val="00901E68"/>
    <w:rsid w:val="009037F6"/>
    <w:rsid w:val="00905E1C"/>
    <w:rsid w:val="00906A87"/>
    <w:rsid w:val="0091143C"/>
    <w:rsid w:val="009119A0"/>
    <w:rsid w:val="009148F0"/>
    <w:rsid w:val="00920817"/>
    <w:rsid w:val="00923EEF"/>
    <w:rsid w:val="00933E3F"/>
    <w:rsid w:val="009419F9"/>
    <w:rsid w:val="0095685E"/>
    <w:rsid w:val="009571D9"/>
    <w:rsid w:val="00961B09"/>
    <w:rsid w:val="00961FE5"/>
    <w:rsid w:val="00963E12"/>
    <w:rsid w:val="00964321"/>
    <w:rsid w:val="00965334"/>
    <w:rsid w:val="0097093E"/>
    <w:rsid w:val="009722DE"/>
    <w:rsid w:val="00974FFB"/>
    <w:rsid w:val="00984DB3"/>
    <w:rsid w:val="00992E19"/>
    <w:rsid w:val="009A0486"/>
    <w:rsid w:val="009A0DFA"/>
    <w:rsid w:val="009A68F5"/>
    <w:rsid w:val="009B28B9"/>
    <w:rsid w:val="009B2D26"/>
    <w:rsid w:val="009B43BD"/>
    <w:rsid w:val="009B6100"/>
    <w:rsid w:val="009C71FA"/>
    <w:rsid w:val="009C7269"/>
    <w:rsid w:val="009C72E7"/>
    <w:rsid w:val="009C7F7E"/>
    <w:rsid w:val="009D23F2"/>
    <w:rsid w:val="009D3058"/>
    <w:rsid w:val="009E1F28"/>
    <w:rsid w:val="009E6924"/>
    <w:rsid w:val="009E7AED"/>
    <w:rsid w:val="009F3A13"/>
    <w:rsid w:val="009F4B67"/>
    <w:rsid w:val="009F7A6E"/>
    <w:rsid w:val="00A0334B"/>
    <w:rsid w:val="00A0526C"/>
    <w:rsid w:val="00A111B4"/>
    <w:rsid w:val="00A122D3"/>
    <w:rsid w:val="00A14468"/>
    <w:rsid w:val="00A17F13"/>
    <w:rsid w:val="00A20739"/>
    <w:rsid w:val="00A20A19"/>
    <w:rsid w:val="00A23AF9"/>
    <w:rsid w:val="00A256B2"/>
    <w:rsid w:val="00A31A76"/>
    <w:rsid w:val="00A33C78"/>
    <w:rsid w:val="00A44B3F"/>
    <w:rsid w:val="00A53338"/>
    <w:rsid w:val="00A569E4"/>
    <w:rsid w:val="00A630BA"/>
    <w:rsid w:val="00A650BA"/>
    <w:rsid w:val="00A73F45"/>
    <w:rsid w:val="00A7594D"/>
    <w:rsid w:val="00A821FC"/>
    <w:rsid w:val="00A92973"/>
    <w:rsid w:val="00A92DFF"/>
    <w:rsid w:val="00AA1E47"/>
    <w:rsid w:val="00AA7682"/>
    <w:rsid w:val="00AB0779"/>
    <w:rsid w:val="00AB0ADB"/>
    <w:rsid w:val="00AB0F40"/>
    <w:rsid w:val="00AB27F6"/>
    <w:rsid w:val="00AB436E"/>
    <w:rsid w:val="00AC10CB"/>
    <w:rsid w:val="00AC5F0C"/>
    <w:rsid w:val="00AD0BF7"/>
    <w:rsid w:val="00AD173A"/>
    <w:rsid w:val="00AD4F6A"/>
    <w:rsid w:val="00AD7D5F"/>
    <w:rsid w:val="00AE1F6E"/>
    <w:rsid w:val="00AE3513"/>
    <w:rsid w:val="00AE5DD2"/>
    <w:rsid w:val="00AF1348"/>
    <w:rsid w:val="00AF1444"/>
    <w:rsid w:val="00AF243C"/>
    <w:rsid w:val="00AF3E90"/>
    <w:rsid w:val="00AF5A10"/>
    <w:rsid w:val="00AF7207"/>
    <w:rsid w:val="00AF7B1D"/>
    <w:rsid w:val="00B00C0E"/>
    <w:rsid w:val="00B01B1A"/>
    <w:rsid w:val="00B04DA1"/>
    <w:rsid w:val="00B11075"/>
    <w:rsid w:val="00B17770"/>
    <w:rsid w:val="00B234CF"/>
    <w:rsid w:val="00B30F45"/>
    <w:rsid w:val="00B358CD"/>
    <w:rsid w:val="00B37EB5"/>
    <w:rsid w:val="00B41B25"/>
    <w:rsid w:val="00B43658"/>
    <w:rsid w:val="00B4430A"/>
    <w:rsid w:val="00B446DD"/>
    <w:rsid w:val="00B44A47"/>
    <w:rsid w:val="00B44EF5"/>
    <w:rsid w:val="00B54271"/>
    <w:rsid w:val="00B5550F"/>
    <w:rsid w:val="00B56A37"/>
    <w:rsid w:val="00B6149C"/>
    <w:rsid w:val="00B64484"/>
    <w:rsid w:val="00B71FD5"/>
    <w:rsid w:val="00B72CD3"/>
    <w:rsid w:val="00B72FFF"/>
    <w:rsid w:val="00B74092"/>
    <w:rsid w:val="00B94493"/>
    <w:rsid w:val="00B95DAC"/>
    <w:rsid w:val="00BA23DC"/>
    <w:rsid w:val="00BA2EB9"/>
    <w:rsid w:val="00BA5C5D"/>
    <w:rsid w:val="00BA703D"/>
    <w:rsid w:val="00BC3D36"/>
    <w:rsid w:val="00BC4D35"/>
    <w:rsid w:val="00BC5D42"/>
    <w:rsid w:val="00BC70CB"/>
    <w:rsid w:val="00BD039D"/>
    <w:rsid w:val="00BD13AC"/>
    <w:rsid w:val="00BD2D5F"/>
    <w:rsid w:val="00BD54A6"/>
    <w:rsid w:val="00BD62B1"/>
    <w:rsid w:val="00BD7F72"/>
    <w:rsid w:val="00BE2D4C"/>
    <w:rsid w:val="00BE5004"/>
    <w:rsid w:val="00BF056C"/>
    <w:rsid w:val="00BF3B66"/>
    <w:rsid w:val="00BF577F"/>
    <w:rsid w:val="00BF5878"/>
    <w:rsid w:val="00BF5C08"/>
    <w:rsid w:val="00BF7425"/>
    <w:rsid w:val="00C04FB3"/>
    <w:rsid w:val="00C11D8B"/>
    <w:rsid w:val="00C12C3E"/>
    <w:rsid w:val="00C134D9"/>
    <w:rsid w:val="00C2126D"/>
    <w:rsid w:val="00C251B0"/>
    <w:rsid w:val="00C27072"/>
    <w:rsid w:val="00C31C21"/>
    <w:rsid w:val="00C330EB"/>
    <w:rsid w:val="00C401D3"/>
    <w:rsid w:val="00C419DF"/>
    <w:rsid w:val="00C41C0F"/>
    <w:rsid w:val="00C50D69"/>
    <w:rsid w:val="00C5365C"/>
    <w:rsid w:val="00C575F3"/>
    <w:rsid w:val="00C619D4"/>
    <w:rsid w:val="00C61D93"/>
    <w:rsid w:val="00C66CE2"/>
    <w:rsid w:val="00C72D3A"/>
    <w:rsid w:val="00C73B36"/>
    <w:rsid w:val="00C74B7E"/>
    <w:rsid w:val="00C754BE"/>
    <w:rsid w:val="00C76B1C"/>
    <w:rsid w:val="00C779B9"/>
    <w:rsid w:val="00C82667"/>
    <w:rsid w:val="00C90C96"/>
    <w:rsid w:val="00C925AC"/>
    <w:rsid w:val="00C94828"/>
    <w:rsid w:val="00C94E45"/>
    <w:rsid w:val="00C963BE"/>
    <w:rsid w:val="00C96B64"/>
    <w:rsid w:val="00CA2858"/>
    <w:rsid w:val="00CB02F1"/>
    <w:rsid w:val="00CB6357"/>
    <w:rsid w:val="00CB72F3"/>
    <w:rsid w:val="00CC1B26"/>
    <w:rsid w:val="00CC7CD2"/>
    <w:rsid w:val="00CD357C"/>
    <w:rsid w:val="00CD4C85"/>
    <w:rsid w:val="00CE1317"/>
    <w:rsid w:val="00CE3C1C"/>
    <w:rsid w:val="00CE4026"/>
    <w:rsid w:val="00CF0FAB"/>
    <w:rsid w:val="00CF3E87"/>
    <w:rsid w:val="00CF57DF"/>
    <w:rsid w:val="00CF72D3"/>
    <w:rsid w:val="00D039B6"/>
    <w:rsid w:val="00D06146"/>
    <w:rsid w:val="00D0699E"/>
    <w:rsid w:val="00D1210B"/>
    <w:rsid w:val="00D15F2E"/>
    <w:rsid w:val="00D21BBE"/>
    <w:rsid w:val="00D22D2B"/>
    <w:rsid w:val="00D334DD"/>
    <w:rsid w:val="00D34EA3"/>
    <w:rsid w:val="00D361FD"/>
    <w:rsid w:val="00D3739E"/>
    <w:rsid w:val="00D423A2"/>
    <w:rsid w:val="00D44E26"/>
    <w:rsid w:val="00D503DA"/>
    <w:rsid w:val="00D51A5D"/>
    <w:rsid w:val="00D520D8"/>
    <w:rsid w:val="00D532D4"/>
    <w:rsid w:val="00D56F8A"/>
    <w:rsid w:val="00D62084"/>
    <w:rsid w:val="00D62B9C"/>
    <w:rsid w:val="00D63AC2"/>
    <w:rsid w:val="00D64111"/>
    <w:rsid w:val="00D64AFC"/>
    <w:rsid w:val="00D67061"/>
    <w:rsid w:val="00D7383B"/>
    <w:rsid w:val="00D73DBD"/>
    <w:rsid w:val="00D7541C"/>
    <w:rsid w:val="00D7788A"/>
    <w:rsid w:val="00D85F06"/>
    <w:rsid w:val="00D92B9C"/>
    <w:rsid w:val="00D936A2"/>
    <w:rsid w:val="00DA0D3C"/>
    <w:rsid w:val="00DA231B"/>
    <w:rsid w:val="00DB13F4"/>
    <w:rsid w:val="00DB55AC"/>
    <w:rsid w:val="00DB55DA"/>
    <w:rsid w:val="00DB7E67"/>
    <w:rsid w:val="00DC39FC"/>
    <w:rsid w:val="00DC7CCB"/>
    <w:rsid w:val="00DD20D0"/>
    <w:rsid w:val="00DE1F14"/>
    <w:rsid w:val="00DE32F3"/>
    <w:rsid w:val="00DE39BF"/>
    <w:rsid w:val="00DE46B5"/>
    <w:rsid w:val="00DE6EC3"/>
    <w:rsid w:val="00DF4F7F"/>
    <w:rsid w:val="00DF5254"/>
    <w:rsid w:val="00E02524"/>
    <w:rsid w:val="00E1159D"/>
    <w:rsid w:val="00E129B7"/>
    <w:rsid w:val="00E1451E"/>
    <w:rsid w:val="00E16408"/>
    <w:rsid w:val="00E177CE"/>
    <w:rsid w:val="00E20894"/>
    <w:rsid w:val="00E245AB"/>
    <w:rsid w:val="00E2546E"/>
    <w:rsid w:val="00E27341"/>
    <w:rsid w:val="00E2764C"/>
    <w:rsid w:val="00E27F2E"/>
    <w:rsid w:val="00E31225"/>
    <w:rsid w:val="00E35B64"/>
    <w:rsid w:val="00E501E7"/>
    <w:rsid w:val="00E50AFE"/>
    <w:rsid w:val="00E577E2"/>
    <w:rsid w:val="00E615C4"/>
    <w:rsid w:val="00E61DC2"/>
    <w:rsid w:val="00E631A5"/>
    <w:rsid w:val="00E71E1B"/>
    <w:rsid w:val="00E72B83"/>
    <w:rsid w:val="00E75C92"/>
    <w:rsid w:val="00E771DC"/>
    <w:rsid w:val="00E845C3"/>
    <w:rsid w:val="00E8772A"/>
    <w:rsid w:val="00E9035E"/>
    <w:rsid w:val="00E90F6B"/>
    <w:rsid w:val="00E91AED"/>
    <w:rsid w:val="00E92C27"/>
    <w:rsid w:val="00E96B5C"/>
    <w:rsid w:val="00EA0229"/>
    <w:rsid w:val="00EA0E3D"/>
    <w:rsid w:val="00EA2DC0"/>
    <w:rsid w:val="00EA426C"/>
    <w:rsid w:val="00EA59F1"/>
    <w:rsid w:val="00EA6D0E"/>
    <w:rsid w:val="00EB224C"/>
    <w:rsid w:val="00EC006D"/>
    <w:rsid w:val="00EC297F"/>
    <w:rsid w:val="00EC38A7"/>
    <w:rsid w:val="00EC5051"/>
    <w:rsid w:val="00EC5082"/>
    <w:rsid w:val="00ED0763"/>
    <w:rsid w:val="00ED4980"/>
    <w:rsid w:val="00EE0CEB"/>
    <w:rsid w:val="00EE1AA8"/>
    <w:rsid w:val="00EE265D"/>
    <w:rsid w:val="00EE3D99"/>
    <w:rsid w:val="00EE7010"/>
    <w:rsid w:val="00EF1D4F"/>
    <w:rsid w:val="00EF5E13"/>
    <w:rsid w:val="00EF647F"/>
    <w:rsid w:val="00F03314"/>
    <w:rsid w:val="00F0580C"/>
    <w:rsid w:val="00F13BF9"/>
    <w:rsid w:val="00F22588"/>
    <w:rsid w:val="00F23FEA"/>
    <w:rsid w:val="00F27B7B"/>
    <w:rsid w:val="00F31EDC"/>
    <w:rsid w:val="00F34294"/>
    <w:rsid w:val="00F462B3"/>
    <w:rsid w:val="00F5156A"/>
    <w:rsid w:val="00F55436"/>
    <w:rsid w:val="00F5664F"/>
    <w:rsid w:val="00F575AE"/>
    <w:rsid w:val="00F57DEE"/>
    <w:rsid w:val="00F60DC6"/>
    <w:rsid w:val="00F666C4"/>
    <w:rsid w:val="00F76AFC"/>
    <w:rsid w:val="00F81BF0"/>
    <w:rsid w:val="00F82E88"/>
    <w:rsid w:val="00F86E11"/>
    <w:rsid w:val="00F86E3E"/>
    <w:rsid w:val="00F9255F"/>
    <w:rsid w:val="00F95C74"/>
    <w:rsid w:val="00F961E1"/>
    <w:rsid w:val="00F96B5D"/>
    <w:rsid w:val="00FA47C0"/>
    <w:rsid w:val="00FA5FFD"/>
    <w:rsid w:val="00FB5DD1"/>
    <w:rsid w:val="00FC2B5D"/>
    <w:rsid w:val="00FD1DDC"/>
    <w:rsid w:val="00FD3AD2"/>
    <w:rsid w:val="00FF1449"/>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1A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Fuerte">
    <w:name w:val="Strong"/>
    <w:basedOn w:val="Fuentedeprrafopredeter"/>
    <w:uiPriority w:val="22"/>
    <w:qFormat/>
    <w:rsid w:val="00F575AE"/>
    <w:rPr>
      <w:b/>
      <w:bCs/>
    </w:rPr>
  </w:style>
  <w:style w:type="character" w:customStyle="1" w:styleId="NormalWebCar">
    <w:name w:val="Normal (Web) Car"/>
    <w:link w:val="NormalWeb"/>
    <w:uiPriority w:val="99"/>
    <w:locked/>
    <w:rsid w:val="00F575AE"/>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F575AE"/>
    <w:rPr>
      <w:i/>
      <w:iCs/>
    </w:rPr>
  </w:style>
  <w:style w:type="character" w:styleId="Mencinsinresolver">
    <w:name w:val="Unresolved Mention"/>
    <w:basedOn w:val="Fuentedeprrafopredeter"/>
    <w:uiPriority w:val="99"/>
    <w:semiHidden/>
    <w:unhideWhenUsed/>
    <w:rsid w:val="008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normativa-y-relatoria/conoce-la-relatoria"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acmed48@hotmail.com" TargetMode="External"/><Relationship Id="rId17" Type="http://schemas.openxmlformats.org/officeDocument/2006/relationships/hyperlink" Target="https://www.colombiacompra.gov.co/archivos/boletin/boletin-edicion-n-3-de-2026-radar-de-la-compra-publi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olombiacompra.gov.co/archivos/circular/circular-externa-002-de-2026"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3-de-2026"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mbiacompra.gov.co/archivos/manual/guia-de-garantias-en-procesos-de-contratacio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secretariasenado.gov.co/senado/basedoc/ley_2195_2022_pr001.html" TargetMode="External"/><Relationship Id="rId2" Type="http://schemas.openxmlformats.org/officeDocument/2006/relationships/hyperlink" Target="http://www.secretariasenado.gov.co/senado/basedoc/constitucion_politica_1991_pr009.html" TargetMode="External"/><Relationship Id="rId1" Type="http://schemas.openxmlformats.org/officeDocument/2006/relationships/hyperlink" Target="http://www.secretariasenado.gov.co/senado/basedoc/constitucion_politica_1991_pr006.html" TargetMode="External"/><Relationship Id="rId4" Type="http://schemas.openxmlformats.org/officeDocument/2006/relationships/hyperlink" Target="http://www.secretariasenado.gov.co/senado/basedoc/ley_2195_2022_pr001.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3.xml><?xml version="1.0" encoding="utf-8"?>
<ds:datastoreItem xmlns:ds="http://schemas.openxmlformats.org/officeDocument/2006/customXml" ds:itemID="{FD4E8E21-5770-4F3E-B957-A333756C0F50}">
  <ds:schemaRefs>
    <ds:schemaRef ds:uri="http://schemas.openxmlformats.org/officeDocument/2006/bibliography"/>
  </ds:schemaRefs>
</ds:datastoreItem>
</file>

<file path=customXml/itemProps4.xml><?xml version="1.0" encoding="utf-8"?>
<ds:datastoreItem xmlns:ds="http://schemas.openxmlformats.org/officeDocument/2006/customXml" ds:itemID="{1E3D7AA2-1C8F-471C-8355-18073CB70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29</Pages>
  <Words>10087</Words>
  <Characters>55480</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236</cp:revision>
  <cp:lastPrinted>2023-01-10T21:18:00Z</cp:lastPrinted>
  <dcterms:created xsi:type="dcterms:W3CDTF">2026-08-06T21:27:00Z</dcterms:created>
  <dcterms:modified xsi:type="dcterms:W3CDTF">2026-08-18T15:29:00Z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