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74DEFCB" w14:textId="253B7D8B" w:rsidR="00BB4624" w:rsidRPr="00BB4624" w:rsidRDefault="00BB4624" w:rsidP="00BB4624">
      <w:pPr>
        <w:spacing w:after="0"/>
        <w:jc w:val="both"/>
        <w:rPr>
          <w:rFonts w:ascii="Verdana" w:eastAsia="Verdana" w:hAnsi="Verdana" w:cs="Verdana"/>
        </w:rPr>
      </w:pPr>
      <w:bookmarkStart w:id="0" w:name="_Hlk143780582"/>
      <w:r w:rsidRPr="00BB4624">
        <w:rPr>
          <w:rFonts w:ascii="Verdana" w:eastAsia="Calibri" w:hAnsi="Verdana" w:cs="Arial"/>
          <w:b/>
          <w:bCs/>
          <w:lang w:val="es-ES" w:eastAsia="es-ES"/>
        </w:rPr>
        <w:t>CAPACIDAD RESIDUAL – Definición</w:t>
      </w:r>
    </w:p>
    <w:p w14:paraId="53F4F97D" w14:textId="77777777" w:rsidR="00BB4624" w:rsidRPr="00BB4624" w:rsidRDefault="00BB4624" w:rsidP="00BB4624">
      <w:pPr>
        <w:shd w:val="clear" w:color="auto" w:fill="FFFFFF"/>
        <w:spacing w:after="0" w:line="276" w:lineRule="auto"/>
        <w:jc w:val="both"/>
        <w:rPr>
          <w:rFonts w:ascii="Verdana" w:eastAsia="Calibri" w:hAnsi="Verdana" w:cs="Arial"/>
          <w:b/>
          <w:bCs/>
          <w:lang w:val="es-ES" w:eastAsia="es-ES"/>
        </w:rPr>
      </w:pPr>
    </w:p>
    <w:p w14:paraId="5D81D345" w14:textId="66D8B680" w:rsidR="00D73EB1" w:rsidRDefault="00D73EB1" w:rsidP="00D73EB1">
      <w:pPr>
        <w:snapToGrid w:val="0"/>
        <w:spacing w:after="0" w:line="240" w:lineRule="auto"/>
        <w:jc w:val="both"/>
        <w:rPr>
          <w:rFonts w:ascii="Verdana" w:eastAsia="Calibri" w:hAnsi="Verdana" w:cs="Arial"/>
          <w:color w:val="000000"/>
          <w:sz w:val="20"/>
          <w:szCs w:val="20"/>
          <w:lang w:val="es-MX" w:eastAsia="en-GB"/>
        </w:rPr>
      </w:pPr>
      <w:r w:rsidRPr="00D73EB1">
        <w:rPr>
          <w:rFonts w:ascii="Verdana" w:eastAsia="Calibri" w:hAnsi="Verdana" w:cs="Arial"/>
          <w:color w:val="000000"/>
          <w:sz w:val="20"/>
          <w:szCs w:val="20"/>
          <w:lang w:val="es-MX" w:eastAsia="en-GB"/>
        </w:rPr>
        <w:t>De acuerdo con el artículo 2.2.1.1.1.3.1 del Decreto 1082 de 2015, la Capacidad Residual es la aptitud de los oferentes para cumplir de manera oportuna y a cabalidad el objeto de un contrato de obra pública, sin que los demás compromisos contractuales que han adquirido afecten su habilidad de cumplir el objeto del contrato que está en proceso de selección. Por su parte, el Consejo de Estado ha definido la Capacidad Residual como “la diferencia que existe entre el potencial de contratación que se tiene y los compromisos que haya adquirido y que se encuentren en ejecución, para la fecha de presentación de la oferta</w:t>
      </w:r>
      <w:r>
        <w:rPr>
          <w:rFonts w:ascii="Verdana" w:eastAsia="Calibri" w:hAnsi="Verdana" w:cs="Arial"/>
          <w:color w:val="000000"/>
          <w:sz w:val="20"/>
          <w:szCs w:val="20"/>
          <w:lang w:val="es-MX" w:eastAsia="en-GB"/>
        </w:rPr>
        <w:t>”</w:t>
      </w:r>
      <w:r w:rsidRPr="00D73EB1">
        <w:rPr>
          <w:rFonts w:ascii="Verdana" w:eastAsia="Calibri" w:hAnsi="Verdana" w:cs="Arial"/>
          <w:color w:val="000000"/>
          <w:sz w:val="20"/>
          <w:szCs w:val="20"/>
          <w:lang w:val="es-MX" w:eastAsia="en-GB"/>
        </w:rPr>
        <w:t>.</w:t>
      </w:r>
    </w:p>
    <w:p w14:paraId="0405AF6A" w14:textId="77777777" w:rsidR="00D73EB1" w:rsidRPr="00D73EB1" w:rsidRDefault="00D73EB1" w:rsidP="00D73EB1">
      <w:pPr>
        <w:snapToGrid w:val="0"/>
        <w:spacing w:after="0" w:line="240" w:lineRule="auto"/>
        <w:jc w:val="both"/>
        <w:rPr>
          <w:rFonts w:ascii="Verdana" w:eastAsia="Calibri" w:hAnsi="Verdana" w:cs="Arial"/>
          <w:color w:val="000000"/>
          <w:sz w:val="20"/>
          <w:szCs w:val="20"/>
          <w:lang w:val="es-MX" w:eastAsia="en-GB"/>
        </w:rPr>
      </w:pPr>
    </w:p>
    <w:p w14:paraId="6817E288" w14:textId="475B63F7" w:rsidR="00BB4624" w:rsidRPr="00D73EB1" w:rsidRDefault="00D73EB1" w:rsidP="00D73EB1">
      <w:pPr>
        <w:snapToGrid w:val="0"/>
        <w:spacing w:after="0" w:line="240" w:lineRule="auto"/>
        <w:jc w:val="both"/>
        <w:rPr>
          <w:rFonts w:ascii="Verdana" w:eastAsia="Calibri" w:hAnsi="Verdana" w:cs="Arial"/>
          <w:color w:val="000000"/>
          <w:sz w:val="20"/>
          <w:szCs w:val="20"/>
          <w:lang w:val="es-MX" w:eastAsia="en-GB"/>
        </w:rPr>
      </w:pPr>
      <w:r w:rsidRPr="00D73EB1">
        <w:rPr>
          <w:rFonts w:ascii="Verdana" w:eastAsia="Calibri" w:hAnsi="Verdana" w:cs="Arial"/>
          <w:color w:val="000000"/>
          <w:sz w:val="20"/>
          <w:szCs w:val="20"/>
          <w:lang w:val="es-MX" w:eastAsia="en-GB"/>
        </w:rPr>
        <w:t xml:space="preserve">De esta manera, la Capacidad Residual se refiere a la suficiencia que tiene el proponente para asumir nuevas obligaciones que se derivan del contrato objeto del Proceso de Contratación, en relación con las obligaciones que ya adquirió frente a otros contratos. Por su parte, el artículo 6 de la Ley 1150 de 2007 dispone que la Capacidad Residual de los interesados en participar en procesos de selección para contratos de obra deberá ser igual o superior al que la entidad ha establecido en los pliegos de condiciones, en los siguientes términos: </w:t>
      </w:r>
      <w:r w:rsidR="00BB4624" w:rsidRPr="00D73EB1">
        <w:rPr>
          <w:rFonts w:ascii="Verdana" w:eastAsia="Calibri" w:hAnsi="Verdana" w:cs="Arial"/>
          <w:color w:val="000000"/>
          <w:sz w:val="20"/>
          <w:szCs w:val="20"/>
          <w:lang w:val="es-MX" w:eastAsia="en-GB"/>
        </w:rPr>
        <w:t>[…]</w:t>
      </w:r>
    </w:p>
    <w:p w14:paraId="775A58C4" w14:textId="77777777" w:rsidR="00BB4624" w:rsidRPr="00BB4624" w:rsidRDefault="00BB4624" w:rsidP="00BB4624">
      <w:pPr>
        <w:shd w:val="clear" w:color="auto" w:fill="FFFFFF"/>
        <w:spacing w:after="0" w:line="276" w:lineRule="auto"/>
        <w:jc w:val="both"/>
        <w:rPr>
          <w:rFonts w:ascii="Verdana" w:eastAsia="Calibri" w:hAnsi="Verdana" w:cs="Arial"/>
          <w:b/>
          <w:bCs/>
          <w:lang w:val="es-ES" w:eastAsia="es-ES"/>
        </w:rPr>
      </w:pPr>
    </w:p>
    <w:p w14:paraId="600C3D7B" w14:textId="77777777" w:rsidR="00BB4624" w:rsidRPr="00BB4624" w:rsidRDefault="00BB4624" w:rsidP="00BB4624">
      <w:pPr>
        <w:autoSpaceDE w:val="0"/>
        <w:autoSpaceDN w:val="0"/>
        <w:adjustRightInd w:val="0"/>
        <w:spacing w:after="0" w:line="276" w:lineRule="auto"/>
        <w:jc w:val="both"/>
        <w:rPr>
          <w:rFonts w:ascii="Verdana" w:eastAsia="Calibri" w:hAnsi="Verdana" w:cs="Arial"/>
          <w:b/>
          <w:bCs/>
          <w:kern w:val="2"/>
          <w:lang w:eastAsia="es-MX"/>
          <w14:ligatures w14:val="standardContextual"/>
        </w:rPr>
      </w:pPr>
      <w:r w:rsidRPr="00BB4624">
        <w:rPr>
          <w:rFonts w:ascii="Verdana" w:eastAsia="Calibri" w:hAnsi="Verdana" w:cs="Arial"/>
          <w:b/>
          <w:bCs/>
          <w:kern w:val="2"/>
          <w:lang w:eastAsia="es-MX"/>
          <w14:ligatures w14:val="standardContextual"/>
        </w:rPr>
        <w:t>CAPACIDAD RESIDUAL – Factores</w:t>
      </w:r>
    </w:p>
    <w:p w14:paraId="509F6F46" w14:textId="77777777" w:rsidR="00BB4624" w:rsidRPr="00BB4624" w:rsidRDefault="00BB4624" w:rsidP="00BB4624">
      <w:pPr>
        <w:spacing w:after="0" w:line="276" w:lineRule="auto"/>
        <w:jc w:val="both"/>
        <w:rPr>
          <w:rFonts w:ascii="Verdana" w:eastAsia="Calibri" w:hAnsi="Verdana" w:cs="Arial"/>
          <w:color w:val="000000"/>
          <w:lang w:val="es-ES"/>
        </w:rPr>
      </w:pPr>
    </w:p>
    <w:p w14:paraId="331D197D" w14:textId="77777777" w:rsidR="00535C9B" w:rsidRDefault="00535C9B" w:rsidP="00535C9B">
      <w:pPr>
        <w:spacing w:after="0" w:line="240" w:lineRule="auto"/>
        <w:jc w:val="both"/>
        <w:rPr>
          <w:rFonts w:ascii="Verdana" w:eastAsia="Calibri" w:hAnsi="Verdana" w:cs="Arial"/>
          <w:color w:val="000000"/>
          <w:sz w:val="20"/>
          <w:szCs w:val="20"/>
          <w:lang w:eastAsia="en-GB"/>
        </w:rPr>
      </w:pPr>
      <w:r w:rsidRPr="00535C9B">
        <w:rPr>
          <w:rFonts w:ascii="Verdana" w:eastAsia="Calibri" w:hAnsi="Verdana" w:cs="Arial"/>
          <w:color w:val="000000"/>
          <w:sz w:val="20"/>
          <w:szCs w:val="20"/>
          <w:lang w:val="es-MX" w:eastAsia="en-GB"/>
        </w:rPr>
        <w:t xml:space="preserve">De acuerdo con </w:t>
      </w:r>
      <w:r w:rsidRPr="00535C9B">
        <w:rPr>
          <w:rFonts w:ascii="Verdana" w:eastAsia="Calibri" w:hAnsi="Verdana" w:cs="Arial"/>
          <w:color w:val="000000"/>
          <w:sz w:val="20"/>
          <w:szCs w:val="20"/>
          <w:lang w:eastAsia="en-GB"/>
        </w:rPr>
        <w:t>el artículo 72 de la Ley 1682 de 2013, la “capacidad residual de contratación cuando se realicen contratos de obra pública se obtendrá de sustraer de la capacidad de contratación, el saldo del valor de los contratos en ejecución”. La “capacidad de contratación”, según se desprende de la misma disposición, “[…] se deberá calcular mediante la evaluación de los siguientes factores: Experiencia (E), Capacidad Financiera (CF), Capacidad Técnica (CT), y Capacidad de Organización (CO)”.</w:t>
      </w:r>
    </w:p>
    <w:p w14:paraId="421B672C" w14:textId="77777777" w:rsidR="00535C9B" w:rsidRPr="00535C9B" w:rsidRDefault="00535C9B" w:rsidP="00535C9B">
      <w:pPr>
        <w:spacing w:after="0" w:line="240" w:lineRule="auto"/>
        <w:jc w:val="both"/>
        <w:rPr>
          <w:rFonts w:ascii="Verdana" w:eastAsia="Calibri" w:hAnsi="Verdana" w:cs="Arial"/>
          <w:color w:val="000000"/>
          <w:sz w:val="20"/>
          <w:szCs w:val="20"/>
          <w:lang w:eastAsia="en-GB"/>
        </w:rPr>
      </w:pPr>
    </w:p>
    <w:p w14:paraId="707BBD22" w14:textId="21AB7EC3" w:rsidR="00BB4624" w:rsidRPr="00BB4624" w:rsidRDefault="00535C9B" w:rsidP="00535C9B">
      <w:pPr>
        <w:spacing w:after="0" w:line="240" w:lineRule="auto"/>
        <w:jc w:val="both"/>
        <w:rPr>
          <w:rFonts w:ascii="Verdana" w:eastAsia="Calibri" w:hAnsi="Verdana" w:cs="Arial"/>
          <w:color w:val="000000"/>
          <w:sz w:val="20"/>
          <w:szCs w:val="20"/>
          <w:lang w:val="es-MX" w:eastAsia="en-GB"/>
        </w:rPr>
      </w:pPr>
      <w:r w:rsidRPr="00535C9B">
        <w:rPr>
          <w:rFonts w:ascii="Verdana" w:eastAsia="Calibri" w:hAnsi="Verdana" w:cs="Arial"/>
          <w:color w:val="000000"/>
          <w:sz w:val="20"/>
          <w:szCs w:val="20"/>
          <w:lang w:val="es-MX" w:eastAsia="en-GB"/>
        </w:rPr>
        <w:t>Por su parte, el artículo 2.2.1.1.1.6.4 del Decreto 1082 de 2015 dispone que las Entidades Estatales deberán calcular la Capacidad Residual conforme a la metodología definida por la Agencia Nacional de Contratación Pública – Colombia Compra Eficiente. Para tales fines, resulta necesario tener en cuenta los factores de: i) Experiencia –E–, ii) Capacidad Financiera –CF–, iii) Capacidad Técnica –CT–, iv) Capacidad de Organización y v) los Saldos de los Contratos en Ejecución –SCE–.</w:t>
      </w:r>
    </w:p>
    <w:p w14:paraId="5613AA06" w14:textId="77777777" w:rsidR="00BB4624" w:rsidRPr="00BB4624" w:rsidRDefault="00BB4624" w:rsidP="00BB4624">
      <w:pPr>
        <w:spacing w:after="0" w:line="276" w:lineRule="auto"/>
        <w:jc w:val="both"/>
        <w:rPr>
          <w:rFonts w:ascii="Verdana" w:eastAsia="Calibri" w:hAnsi="Verdana" w:cs="Arial"/>
          <w:b/>
          <w:bCs/>
          <w:lang w:val="es-ES_tradnl" w:eastAsia="es-ES"/>
        </w:rPr>
      </w:pPr>
    </w:p>
    <w:p w14:paraId="4B6E9EF1" w14:textId="77777777" w:rsidR="00BB4624" w:rsidRPr="00BB4624" w:rsidRDefault="00BB4624" w:rsidP="00BB4624">
      <w:pPr>
        <w:spacing w:after="0" w:line="276" w:lineRule="auto"/>
        <w:jc w:val="both"/>
        <w:rPr>
          <w:rFonts w:ascii="Verdana" w:eastAsia="Calibri" w:hAnsi="Verdana" w:cs="Times New Roman"/>
        </w:rPr>
      </w:pPr>
      <w:r w:rsidRPr="00BB4624">
        <w:rPr>
          <w:rFonts w:ascii="Verdana" w:eastAsia="Calibri" w:hAnsi="Verdana" w:cs="Arial"/>
          <w:b/>
          <w:bCs/>
          <w:lang w:val="es-ES_tradnl" w:eastAsia="es-ES"/>
        </w:rPr>
        <w:t>CAPACIDAD DE ORGANIZACIÓN – Guía para Determinar y Verificar la Capacidad Residual del Proponente en los Procesos de Contratación de Obra Pública – Estado de resultados</w:t>
      </w:r>
    </w:p>
    <w:p w14:paraId="6DD45991" w14:textId="77777777" w:rsidR="00BB4624" w:rsidRPr="00BB4624" w:rsidRDefault="00BB4624" w:rsidP="00BB4624">
      <w:pPr>
        <w:spacing w:after="0" w:line="276" w:lineRule="auto"/>
        <w:jc w:val="both"/>
        <w:rPr>
          <w:rFonts w:ascii="Verdana" w:eastAsia="Calibri" w:hAnsi="Verdana" w:cs="Arial"/>
          <w:b/>
          <w:bCs/>
          <w:lang w:val="es-ES_tradnl" w:eastAsia="es-ES"/>
        </w:rPr>
      </w:pPr>
    </w:p>
    <w:p w14:paraId="067CFD99" w14:textId="3A0E4995" w:rsidR="00BB4624" w:rsidRPr="00FF1E1D" w:rsidRDefault="00BB4624" w:rsidP="00FF1E1D">
      <w:pPr>
        <w:snapToGrid w:val="0"/>
        <w:spacing w:after="0" w:line="240" w:lineRule="auto"/>
        <w:jc w:val="both"/>
        <w:rPr>
          <w:rFonts w:ascii="Verdana" w:eastAsia="Aptos" w:hAnsi="Verdana" w:cs="Times New Roman"/>
          <w:color w:val="000000"/>
          <w:sz w:val="20"/>
          <w:szCs w:val="20"/>
        </w:rPr>
      </w:pPr>
      <w:r w:rsidRPr="00FF1E1D">
        <w:rPr>
          <w:rFonts w:ascii="Verdana" w:eastAsia="Aptos" w:hAnsi="Verdana" w:cs="Times New Roman"/>
          <w:color w:val="000000"/>
          <w:sz w:val="20"/>
          <w:szCs w:val="20"/>
        </w:rPr>
        <w:t xml:space="preserve">[…] </w:t>
      </w:r>
      <w:r w:rsidR="00FF1E1D" w:rsidRPr="00FF1E1D">
        <w:rPr>
          <w:rFonts w:ascii="Verdana" w:eastAsia="Aptos" w:hAnsi="Verdana" w:cs="Times New Roman"/>
          <w:color w:val="000000"/>
          <w:sz w:val="20"/>
          <w:szCs w:val="20"/>
        </w:rPr>
        <w:t xml:space="preserve">con el objetivo de definir la metodología para establecer el componente “Capacidad de organización” (uno de los componentes para calcular la capacidad residual, el cual se acreditará a través del Estado de resultados auditado), la Guía desarrolla el numeral </w:t>
      </w:r>
      <w:r w:rsidR="00FF1E1D" w:rsidRPr="00FF1E1D">
        <w:rPr>
          <w:rFonts w:ascii="Verdana" w:eastAsia="Aptos" w:hAnsi="Verdana" w:cs="Times New Roman"/>
          <w:i/>
          <w:iCs/>
          <w:color w:val="000000"/>
          <w:sz w:val="20"/>
          <w:szCs w:val="20"/>
        </w:rPr>
        <w:t>9.1 ¿Cómo calcular la Capacidad de Organización (CO)?</w:t>
      </w:r>
      <w:r w:rsidR="00FF1E1D" w:rsidRPr="00FF1E1D">
        <w:rPr>
          <w:rFonts w:ascii="Verdana" w:eastAsia="Aptos" w:hAnsi="Verdana" w:cs="Times New Roman"/>
          <w:color w:val="000000"/>
          <w:sz w:val="20"/>
          <w:szCs w:val="20"/>
        </w:rPr>
        <w:t xml:space="preserve"> En este numeral, la Guía describe a </w:t>
      </w:r>
      <w:r w:rsidR="00FF1E1D" w:rsidRPr="00FF1E1D">
        <w:rPr>
          <w:rFonts w:ascii="Verdana" w:eastAsia="Aptos" w:hAnsi="Verdana" w:cs="Times New Roman"/>
          <w:color w:val="000000"/>
          <w:sz w:val="20"/>
          <w:szCs w:val="20"/>
        </w:rPr>
        <w:lastRenderedPageBreak/>
        <w:t xml:space="preserve">qué corresponde la Capacidad de Organización y su forma de acreditarla de forma más detallada a través del </w:t>
      </w:r>
      <w:r w:rsidR="00FF1E1D" w:rsidRPr="00FF1E1D">
        <w:rPr>
          <w:rFonts w:ascii="Verdana" w:eastAsia="Aptos" w:hAnsi="Verdana" w:cs="Times New Roman"/>
          <w:i/>
          <w:iCs/>
          <w:color w:val="000000"/>
          <w:sz w:val="20"/>
          <w:szCs w:val="20"/>
        </w:rPr>
        <w:t>Estado de resultados auditado</w:t>
      </w:r>
      <w:r w:rsidR="00FF1E1D" w:rsidRPr="00FF1E1D">
        <w:rPr>
          <w:rFonts w:ascii="Verdana" w:eastAsia="Aptos" w:hAnsi="Verdana" w:cs="Times New Roman"/>
          <w:color w:val="000000"/>
          <w:sz w:val="20"/>
          <w:szCs w:val="20"/>
        </w:rPr>
        <w:t>, tal y como se puede ver a continuación:</w:t>
      </w:r>
    </w:p>
    <w:p w14:paraId="04199C0B" w14:textId="77777777" w:rsidR="00BB4624" w:rsidRPr="00FF1E1D" w:rsidRDefault="00BB4624" w:rsidP="00FF1E1D">
      <w:pPr>
        <w:spacing w:after="0" w:line="240" w:lineRule="auto"/>
        <w:ind w:right="709"/>
        <w:contextualSpacing/>
        <w:jc w:val="both"/>
        <w:rPr>
          <w:rFonts w:ascii="Verdana" w:eastAsia="Aptos" w:hAnsi="Verdana" w:cs="Times New Roman"/>
          <w:i/>
          <w:iCs/>
          <w:color w:val="000000"/>
          <w:sz w:val="20"/>
          <w:szCs w:val="20"/>
        </w:rPr>
      </w:pPr>
      <w:r w:rsidRPr="00FF1E1D">
        <w:rPr>
          <w:rFonts w:ascii="Verdana" w:eastAsia="Aptos" w:hAnsi="Verdana" w:cs="Times New Roman"/>
          <w:color w:val="000000"/>
          <w:sz w:val="20"/>
          <w:szCs w:val="20"/>
        </w:rPr>
        <w:t>[…]</w:t>
      </w:r>
    </w:p>
    <w:p w14:paraId="273C23F0" w14:textId="77777777" w:rsidR="00FF1E1D" w:rsidRPr="00FF1E1D" w:rsidRDefault="00FF1E1D" w:rsidP="00FF1E1D">
      <w:pPr>
        <w:snapToGrid w:val="0"/>
        <w:spacing w:after="120" w:line="240" w:lineRule="auto"/>
        <w:jc w:val="both"/>
        <w:rPr>
          <w:rFonts w:ascii="Verdana" w:eastAsia="Aptos" w:hAnsi="Verdana" w:cs="Times New Roman"/>
          <w:color w:val="000000"/>
          <w:sz w:val="20"/>
          <w:szCs w:val="20"/>
        </w:rPr>
      </w:pPr>
      <w:r w:rsidRPr="00FF1E1D">
        <w:rPr>
          <w:rFonts w:ascii="Verdana" w:eastAsia="Aptos" w:hAnsi="Verdana" w:cs="Times New Roman"/>
          <w:color w:val="000000"/>
          <w:sz w:val="20"/>
          <w:szCs w:val="20"/>
        </w:rPr>
        <w:t xml:space="preserve">De acuerdo con lo definido en el numeral I, el Estado de Resultados Integral requerido para acreditar el mayor ingreso operacional debe estar acompañado del dictamen u opinión del </w:t>
      </w:r>
      <w:r w:rsidRPr="00FF1E1D">
        <w:rPr>
          <w:rFonts w:ascii="Verdana" w:eastAsia="Aptos" w:hAnsi="Verdana" w:cs="Times New Roman"/>
          <w:i/>
          <w:iCs/>
          <w:color w:val="000000"/>
          <w:sz w:val="20"/>
          <w:szCs w:val="20"/>
        </w:rPr>
        <w:t>revisor fiscal</w:t>
      </w:r>
      <w:r w:rsidRPr="00FF1E1D">
        <w:rPr>
          <w:rFonts w:ascii="Verdana" w:eastAsia="Aptos" w:hAnsi="Verdana" w:cs="Times New Roman"/>
          <w:color w:val="000000"/>
          <w:sz w:val="20"/>
          <w:szCs w:val="20"/>
        </w:rPr>
        <w:t xml:space="preserve">, cuando el proponente está obligado a tenerlo, o de un </w:t>
      </w:r>
      <w:r w:rsidRPr="00FF1E1D">
        <w:rPr>
          <w:rFonts w:ascii="Verdana" w:eastAsia="Aptos" w:hAnsi="Verdana" w:cs="Times New Roman"/>
          <w:i/>
          <w:iCs/>
          <w:color w:val="000000"/>
          <w:sz w:val="20"/>
          <w:szCs w:val="20"/>
        </w:rPr>
        <w:t>contador público independiente</w:t>
      </w:r>
      <w:r w:rsidRPr="00FF1E1D">
        <w:rPr>
          <w:rFonts w:ascii="Verdana" w:eastAsia="Aptos" w:hAnsi="Verdana" w:cs="Times New Roman"/>
          <w:color w:val="000000"/>
          <w:sz w:val="20"/>
          <w:szCs w:val="20"/>
        </w:rPr>
        <w:t xml:space="preserve"> de conformidad con el artículo 38 de la Ley 222 de 1995. </w:t>
      </w:r>
    </w:p>
    <w:p w14:paraId="65841415" w14:textId="3CC9E294" w:rsidR="00BB4624" w:rsidRPr="00BB4624" w:rsidRDefault="00BB4624" w:rsidP="00BB4624">
      <w:pPr>
        <w:spacing w:after="0" w:line="240" w:lineRule="auto"/>
        <w:jc w:val="both"/>
        <w:rPr>
          <w:rFonts w:ascii="Verdana" w:eastAsia="Aptos" w:hAnsi="Verdana" w:cs="Times New Roman"/>
          <w:kern w:val="2"/>
          <w:sz w:val="20"/>
          <w:szCs w:val="20"/>
          <w:lang w:val="es-ES_tradnl"/>
          <w14:ligatures w14:val="standardContextual"/>
        </w:rPr>
      </w:pPr>
    </w:p>
    <w:p w14:paraId="17034B6A" w14:textId="77777777" w:rsidR="00BB4624" w:rsidRPr="00BB4624" w:rsidRDefault="00BB4624" w:rsidP="00BB4624">
      <w:pPr>
        <w:spacing w:after="120" w:line="276" w:lineRule="auto"/>
        <w:ind w:firstLine="709"/>
        <w:jc w:val="both"/>
        <w:rPr>
          <w:rFonts w:ascii="Verdana" w:eastAsia="Calibri" w:hAnsi="Verdana" w:cs="Arial"/>
          <w:lang w:eastAsia="en-GB"/>
        </w:rPr>
      </w:pPr>
    </w:p>
    <w:p w14:paraId="7470D68E" w14:textId="77777777" w:rsidR="00BB4624" w:rsidRPr="00BB4624" w:rsidRDefault="00BB4624" w:rsidP="00BB4624">
      <w:pPr>
        <w:spacing w:after="0" w:line="240" w:lineRule="auto"/>
        <w:jc w:val="both"/>
        <w:rPr>
          <w:rFonts w:ascii="Verdana" w:eastAsia="Calibri" w:hAnsi="Verdana" w:cs="Times New Roman"/>
        </w:rPr>
      </w:pPr>
    </w:p>
    <w:p w14:paraId="27E3F681" w14:textId="77777777" w:rsidR="00BB4624" w:rsidRPr="00BB4624" w:rsidRDefault="00BB4624" w:rsidP="00BB4624">
      <w:pPr>
        <w:spacing w:after="0" w:line="240" w:lineRule="auto"/>
        <w:jc w:val="both"/>
        <w:rPr>
          <w:rFonts w:ascii="Verdana" w:eastAsia="Calibri" w:hAnsi="Verdana" w:cs="Times New Roman"/>
        </w:rPr>
      </w:pPr>
    </w:p>
    <w:p w14:paraId="6F748282" w14:textId="77777777" w:rsidR="00BB4624" w:rsidRPr="00BB4624" w:rsidRDefault="00BB4624" w:rsidP="00BB4624">
      <w:pPr>
        <w:spacing w:after="0" w:line="240" w:lineRule="auto"/>
        <w:jc w:val="both"/>
        <w:rPr>
          <w:rFonts w:ascii="Verdana" w:eastAsia="Calibri" w:hAnsi="Verdana" w:cs="Times New Roman"/>
        </w:rPr>
      </w:pPr>
    </w:p>
    <w:p w14:paraId="63BFB8A6" w14:textId="77777777" w:rsidR="00BB4624" w:rsidRPr="00BB4624" w:rsidRDefault="00BB4624" w:rsidP="00BB4624">
      <w:pPr>
        <w:spacing w:after="0" w:line="240" w:lineRule="auto"/>
        <w:jc w:val="both"/>
        <w:rPr>
          <w:rFonts w:ascii="Verdana" w:eastAsia="Calibri" w:hAnsi="Verdana" w:cs="Times New Roman"/>
        </w:rPr>
      </w:pPr>
    </w:p>
    <w:p w14:paraId="4D1BA939" w14:textId="77777777" w:rsidR="00BB4624" w:rsidRPr="00BB4624" w:rsidRDefault="00BB4624" w:rsidP="00BB4624">
      <w:pPr>
        <w:spacing w:after="0" w:line="240" w:lineRule="auto"/>
        <w:jc w:val="both"/>
        <w:rPr>
          <w:rFonts w:ascii="Verdana" w:eastAsia="Calibri" w:hAnsi="Verdana" w:cs="Times New Roman"/>
        </w:rPr>
      </w:pPr>
    </w:p>
    <w:p w14:paraId="3937BF48" w14:textId="77777777" w:rsidR="00BB4624" w:rsidRPr="00BB4624" w:rsidRDefault="00BB4624" w:rsidP="00BB4624">
      <w:pPr>
        <w:spacing w:after="0" w:line="240" w:lineRule="auto"/>
        <w:jc w:val="both"/>
        <w:rPr>
          <w:rFonts w:ascii="Verdana" w:eastAsia="Calibri" w:hAnsi="Verdana" w:cs="Times New Roman"/>
        </w:rPr>
      </w:pPr>
    </w:p>
    <w:p w14:paraId="2AB20340" w14:textId="77777777" w:rsidR="00BB4624" w:rsidRPr="00BB4624" w:rsidRDefault="00BB4624" w:rsidP="00BB4624">
      <w:pPr>
        <w:spacing w:after="0" w:line="240" w:lineRule="auto"/>
        <w:jc w:val="both"/>
        <w:rPr>
          <w:rFonts w:ascii="Verdana" w:eastAsia="Calibri" w:hAnsi="Verdana" w:cs="Times New Roman"/>
        </w:rPr>
      </w:pPr>
    </w:p>
    <w:p w14:paraId="0A337CC7" w14:textId="77777777" w:rsidR="00BB4624" w:rsidRPr="00BB4624" w:rsidRDefault="00BB4624" w:rsidP="00BB4624">
      <w:pPr>
        <w:spacing w:after="0" w:line="240" w:lineRule="auto"/>
        <w:jc w:val="both"/>
        <w:rPr>
          <w:rFonts w:ascii="Verdana" w:eastAsia="Calibri" w:hAnsi="Verdana" w:cs="Times New Roman"/>
        </w:rPr>
      </w:pPr>
    </w:p>
    <w:p w14:paraId="74469F8D" w14:textId="77777777" w:rsidR="00BB4624" w:rsidRPr="00BB4624" w:rsidRDefault="00BB4624" w:rsidP="00BB4624">
      <w:pPr>
        <w:spacing w:after="0" w:line="240" w:lineRule="auto"/>
        <w:jc w:val="both"/>
        <w:rPr>
          <w:rFonts w:ascii="Verdana" w:eastAsia="Calibri" w:hAnsi="Verdana" w:cs="Times New Roman"/>
        </w:rPr>
      </w:pPr>
    </w:p>
    <w:p w14:paraId="5463EC71" w14:textId="77777777" w:rsidR="00BB4624" w:rsidRPr="00BB4624" w:rsidRDefault="00BB4624" w:rsidP="00BB4624">
      <w:pPr>
        <w:spacing w:after="0" w:line="240" w:lineRule="auto"/>
        <w:jc w:val="both"/>
        <w:rPr>
          <w:rFonts w:ascii="Verdana" w:eastAsia="Calibri" w:hAnsi="Verdana" w:cs="Times New Roman"/>
        </w:rPr>
      </w:pPr>
    </w:p>
    <w:p w14:paraId="18728D96" w14:textId="77777777" w:rsidR="00BB4624" w:rsidRPr="00BB4624" w:rsidRDefault="00BB4624" w:rsidP="00BB4624">
      <w:pPr>
        <w:spacing w:after="0" w:line="240" w:lineRule="auto"/>
        <w:jc w:val="both"/>
        <w:rPr>
          <w:rFonts w:ascii="Verdana" w:eastAsia="Calibri" w:hAnsi="Verdana" w:cs="Times New Roman"/>
        </w:rPr>
      </w:pPr>
    </w:p>
    <w:p w14:paraId="7DAE617F" w14:textId="77777777" w:rsidR="00BB4624" w:rsidRPr="00BB4624" w:rsidRDefault="00BB4624" w:rsidP="00BB4624">
      <w:pPr>
        <w:spacing w:after="0" w:line="240" w:lineRule="auto"/>
        <w:jc w:val="both"/>
        <w:rPr>
          <w:rFonts w:ascii="Verdana" w:eastAsia="Calibri" w:hAnsi="Verdana" w:cs="Times New Roman"/>
        </w:rPr>
      </w:pPr>
    </w:p>
    <w:p w14:paraId="25DF3335" w14:textId="77777777" w:rsidR="00BB4624" w:rsidRPr="00BB4624" w:rsidRDefault="00BB4624" w:rsidP="00BB4624">
      <w:pPr>
        <w:spacing w:after="0" w:line="240" w:lineRule="auto"/>
        <w:jc w:val="both"/>
        <w:rPr>
          <w:rFonts w:ascii="Verdana" w:eastAsia="Calibri" w:hAnsi="Verdana" w:cs="Times New Roman"/>
        </w:rPr>
      </w:pPr>
    </w:p>
    <w:p w14:paraId="7EBC4BA5" w14:textId="77777777" w:rsidR="00BB4624" w:rsidRPr="00BB4624" w:rsidRDefault="00BB4624" w:rsidP="00BB4624">
      <w:pPr>
        <w:spacing w:after="0" w:line="240" w:lineRule="auto"/>
        <w:jc w:val="both"/>
        <w:rPr>
          <w:rFonts w:ascii="Verdana" w:eastAsia="Calibri" w:hAnsi="Verdana" w:cs="Times New Roman"/>
        </w:rPr>
      </w:pPr>
    </w:p>
    <w:p w14:paraId="18AEFF84" w14:textId="77777777" w:rsidR="00BB4624" w:rsidRPr="00BB4624" w:rsidRDefault="00BB4624" w:rsidP="00BB4624">
      <w:pPr>
        <w:spacing w:after="0" w:line="240" w:lineRule="auto"/>
        <w:jc w:val="both"/>
        <w:rPr>
          <w:rFonts w:ascii="Verdana" w:eastAsia="Calibri" w:hAnsi="Verdana" w:cs="Times New Roman"/>
        </w:rPr>
      </w:pPr>
    </w:p>
    <w:p w14:paraId="0C8D2720" w14:textId="77777777" w:rsidR="00BB4624" w:rsidRPr="00BB4624" w:rsidRDefault="00BB4624" w:rsidP="00BB4624">
      <w:pPr>
        <w:spacing w:after="0" w:line="240" w:lineRule="auto"/>
        <w:jc w:val="both"/>
        <w:rPr>
          <w:rFonts w:ascii="Verdana" w:eastAsia="Calibri" w:hAnsi="Verdana" w:cs="Times New Roman"/>
        </w:rPr>
      </w:pPr>
    </w:p>
    <w:p w14:paraId="1E22A4A2" w14:textId="77777777" w:rsidR="00BB4624" w:rsidRPr="00BB4624" w:rsidRDefault="00BB4624" w:rsidP="00BB4624">
      <w:pPr>
        <w:spacing w:after="0" w:line="240" w:lineRule="auto"/>
        <w:jc w:val="both"/>
        <w:rPr>
          <w:rFonts w:ascii="Verdana" w:eastAsia="Calibri" w:hAnsi="Verdana" w:cs="Times New Roman"/>
        </w:rPr>
      </w:pPr>
    </w:p>
    <w:p w14:paraId="3212A28F" w14:textId="77777777" w:rsidR="00BB4624" w:rsidRPr="00BB4624" w:rsidRDefault="00BB4624" w:rsidP="00BB4624">
      <w:pPr>
        <w:spacing w:after="0" w:line="240" w:lineRule="auto"/>
        <w:jc w:val="both"/>
        <w:rPr>
          <w:rFonts w:ascii="Verdana" w:eastAsia="Calibri" w:hAnsi="Verdana" w:cs="Times New Roman"/>
        </w:rPr>
      </w:pPr>
    </w:p>
    <w:p w14:paraId="0FF31B46" w14:textId="77777777" w:rsidR="00BB4624" w:rsidRPr="00BB4624" w:rsidRDefault="00BB4624" w:rsidP="00BB4624">
      <w:pPr>
        <w:spacing w:after="0" w:line="240" w:lineRule="auto"/>
        <w:jc w:val="both"/>
        <w:rPr>
          <w:rFonts w:ascii="Verdana" w:eastAsia="Calibri" w:hAnsi="Verdana" w:cs="Times New Roman"/>
        </w:rPr>
      </w:pPr>
    </w:p>
    <w:p w14:paraId="7C69FF4D" w14:textId="77777777" w:rsidR="00BB4624" w:rsidRPr="00BB4624" w:rsidRDefault="00BB4624" w:rsidP="00BB4624">
      <w:pPr>
        <w:spacing w:after="0" w:line="240" w:lineRule="auto"/>
        <w:jc w:val="both"/>
        <w:rPr>
          <w:rFonts w:ascii="Verdana" w:eastAsia="Calibri" w:hAnsi="Verdana" w:cs="Times New Roman"/>
        </w:rPr>
      </w:pPr>
    </w:p>
    <w:p w14:paraId="097439FE" w14:textId="77777777" w:rsidR="00BB4624" w:rsidRPr="00BB4624" w:rsidRDefault="00BB4624" w:rsidP="00BB4624">
      <w:pPr>
        <w:spacing w:after="0" w:line="240" w:lineRule="auto"/>
        <w:jc w:val="both"/>
        <w:rPr>
          <w:rFonts w:ascii="Verdana" w:eastAsia="Calibri" w:hAnsi="Verdana" w:cs="Times New Roman"/>
        </w:rPr>
      </w:pPr>
    </w:p>
    <w:p w14:paraId="4AE1730E" w14:textId="77777777" w:rsidR="00BB4624" w:rsidRPr="00BB4624" w:rsidRDefault="00BB4624" w:rsidP="00BB4624">
      <w:pPr>
        <w:spacing w:after="0" w:line="240" w:lineRule="auto"/>
        <w:jc w:val="both"/>
        <w:rPr>
          <w:rFonts w:ascii="Verdana" w:eastAsia="Calibri" w:hAnsi="Verdana" w:cs="Times New Roman"/>
        </w:rPr>
      </w:pPr>
    </w:p>
    <w:p w14:paraId="4607B940" w14:textId="77777777" w:rsidR="00BB4624" w:rsidRPr="00BB4624" w:rsidRDefault="00BB4624" w:rsidP="00BB4624">
      <w:pPr>
        <w:spacing w:after="0" w:line="240" w:lineRule="auto"/>
        <w:jc w:val="both"/>
        <w:rPr>
          <w:rFonts w:ascii="Verdana" w:eastAsia="Calibri" w:hAnsi="Verdana" w:cs="Times New Roman"/>
        </w:rPr>
      </w:pPr>
    </w:p>
    <w:p w14:paraId="315AABEF" w14:textId="77777777" w:rsidR="00BB4624" w:rsidRPr="00BB4624" w:rsidRDefault="00BB4624" w:rsidP="00BB4624">
      <w:pPr>
        <w:spacing w:after="0" w:line="240" w:lineRule="auto"/>
        <w:jc w:val="both"/>
        <w:rPr>
          <w:rFonts w:ascii="Verdana" w:eastAsia="Calibri" w:hAnsi="Verdana" w:cs="Times New Roman"/>
        </w:rPr>
      </w:pPr>
    </w:p>
    <w:p w14:paraId="585448C3" w14:textId="77777777" w:rsidR="00BB4624" w:rsidRDefault="00BB4624" w:rsidP="00BB4624">
      <w:pPr>
        <w:spacing w:after="0" w:line="240" w:lineRule="auto"/>
        <w:jc w:val="both"/>
        <w:rPr>
          <w:rFonts w:ascii="Verdana" w:eastAsia="Calibri" w:hAnsi="Verdana" w:cs="Times New Roman"/>
        </w:rPr>
      </w:pPr>
    </w:p>
    <w:p w14:paraId="7FCBD494" w14:textId="77777777" w:rsidR="000042FE" w:rsidRDefault="000042FE" w:rsidP="00BB4624">
      <w:pPr>
        <w:spacing w:after="0" w:line="240" w:lineRule="auto"/>
        <w:jc w:val="both"/>
        <w:rPr>
          <w:rFonts w:ascii="Verdana" w:eastAsia="Calibri" w:hAnsi="Verdana" w:cs="Times New Roman"/>
        </w:rPr>
      </w:pPr>
    </w:p>
    <w:p w14:paraId="2E90C4B4" w14:textId="77777777" w:rsidR="000042FE" w:rsidRPr="00BB4624" w:rsidRDefault="000042FE" w:rsidP="00BB4624">
      <w:pPr>
        <w:spacing w:after="0" w:line="240" w:lineRule="auto"/>
        <w:jc w:val="both"/>
        <w:rPr>
          <w:rFonts w:ascii="Verdana" w:eastAsia="Calibri" w:hAnsi="Verdana" w:cs="Times New Roman"/>
        </w:rPr>
      </w:pPr>
    </w:p>
    <w:p w14:paraId="347836A2" w14:textId="77777777" w:rsidR="00BB4624" w:rsidRPr="00BB4624" w:rsidRDefault="00BB4624" w:rsidP="00BB4624">
      <w:pPr>
        <w:spacing w:after="0" w:line="240" w:lineRule="auto"/>
        <w:jc w:val="both"/>
        <w:rPr>
          <w:rFonts w:ascii="Verdana" w:eastAsia="Calibri" w:hAnsi="Verdana" w:cs="Times New Roman"/>
        </w:rPr>
      </w:pPr>
    </w:p>
    <w:p w14:paraId="02D4BDDF" w14:textId="77777777" w:rsidR="00BB4624" w:rsidRPr="00BB4624" w:rsidRDefault="00BB4624" w:rsidP="00BB4624">
      <w:pPr>
        <w:spacing w:after="0" w:line="240" w:lineRule="auto"/>
        <w:jc w:val="both"/>
        <w:rPr>
          <w:rFonts w:ascii="Verdana" w:eastAsia="Calibri" w:hAnsi="Verdana" w:cs="Times New Roman"/>
        </w:rPr>
      </w:pPr>
    </w:p>
    <w:p w14:paraId="6CEAE1D4" w14:textId="5DEDE465" w:rsidR="00BB4624" w:rsidRDefault="00BB4624" w:rsidP="00BB4624">
      <w:pPr>
        <w:spacing w:after="0" w:line="276" w:lineRule="auto"/>
        <w:jc w:val="both"/>
        <w:rPr>
          <w:rFonts w:ascii="Verdana" w:eastAsia="Calibri" w:hAnsi="Verdana" w:cs="Times New Roman"/>
        </w:rPr>
      </w:pPr>
    </w:p>
    <w:p w14:paraId="78C3D189" w14:textId="77777777" w:rsidR="00C244C8" w:rsidRDefault="00C244C8" w:rsidP="00BB4624">
      <w:pPr>
        <w:spacing w:after="0" w:line="276" w:lineRule="auto"/>
        <w:jc w:val="both"/>
        <w:rPr>
          <w:rFonts w:ascii="Verdana" w:eastAsia="Calibri" w:hAnsi="Verdana" w:cs="Times New Roman"/>
        </w:rPr>
      </w:pPr>
    </w:p>
    <w:p w14:paraId="3DE4B68F" w14:textId="1A7BD5E0" w:rsidR="00C244C8" w:rsidRPr="00BB4624" w:rsidRDefault="00C244C8" w:rsidP="00BB4624">
      <w:pPr>
        <w:spacing w:after="0" w:line="276" w:lineRule="auto"/>
        <w:jc w:val="both"/>
        <w:rPr>
          <w:rFonts w:ascii="Verdana" w:eastAsia="Verdana" w:hAnsi="Verdana" w:cs="Verdana"/>
        </w:rPr>
      </w:pPr>
      <w:r w:rsidRPr="30821638">
        <w:rPr>
          <w:rFonts w:ascii="Verdana" w:eastAsia="Verdana" w:hAnsi="Verdana" w:cs="Verdana"/>
        </w:rPr>
        <w:lastRenderedPageBreak/>
        <w:t xml:space="preserve">Bogotá </w:t>
      </w:r>
      <w:r w:rsidRPr="0033370F">
        <w:rPr>
          <w:rFonts w:ascii="Verdana" w:eastAsia="Verdana" w:hAnsi="Verdana" w:cs="Verdana"/>
        </w:rPr>
        <w:t>D.C.,</w:t>
      </w:r>
      <w:r w:rsidRPr="0033370F">
        <w:rPr>
          <w:rFonts w:ascii="Verdana" w:hAnsi="Verdana"/>
        </w:rPr>
        <w:tab/>
      </w:r>
      <w:r w:rsidR="0033370F" w:rsidRPr="0033370F">
        <w:rPr>
          <w:rFonts w:ascii="Verdana" w:hAnsi="Verdana"/>
        </w:rPr>
        <w:t xml:space="preserve"> 28 Agosto 2026</w:t>
      </w:r>
    </w:p>
    <w:p w14:paraId="67B49767" w14:textId="18806B6A" w:rsidR="00BB4624" w:rsidRPr="00BB4624" w:rsidRDefault="0033370F" w:rsidP="0033370F">
      <w:pPr>
        <w:spacing w:after="0" w:line="276" w:lineRule="auto"/>
        <w:jc w:val="right"/>
        <w:rPr>
          <w:rFonts w:ascii="Verdana" w:eastAsia="Calibri" w:hAnsi="Verdana" w:cs="Arial"/>
          <w:lang w:val="es-ES_tradnl" w:eastAsia="es-ES"/>
        </w:rPr>
      </w:pPr>
      <w:r>
        <w:rPr>
          <w:rFonts w:ascii="Verdana" w:eastAsia="Calibri" w:hAnsi="Verdana" w:cs="Arial"/>
          <w:noProof/>
          <w:lang w:val="es-ES_tradnl" w:eastAsia="es-ES"/>
        </w:rPr>
        <w:drawing>
          <wp:inline distT="0" distB="0" distL="0" distR="0" wp14:anchorId="11A5920F" wp14:editId="5C817589">
            <wp:extent cx="2607917" cy="749183"/>
            <wp:effectExtent l="0" t="0" r="0" b="635"/>
            <wp:docPr id="8174216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42167" name="Imagen 81742167"/>
                    <pic:cNvPicPr/>
                  </pic:nvPicPr>
                  <pic:blipFill>
                    <a:blip r:embed="rId10">
                      <a:extLst>
                        <a:ext uri="{28A0092B-C50C-407E-A947-70E740481C1C}">
                          <a14:useLocalDpi xmlns:a14="http://schemas.microsoft.com/office/drawing/2010/main" val="0"/>
                        </a:ext>
                      </a:extLst>
                    </a:blip>
                    <a:stretch>
                      <a:fillRect/>
                    </a:stretch>
                  </pic:blipFill>
                  <pic:spPr>
                    <a:xfrm>
                      <a:off x="0" y="0"/>
                      <a:ext cx="2628898" cy="755210"/>
                    </a:xfrm>
                    <a:prstGeom prst="rect">
                      <a:avLst/>
                    </a:prstGeom>
                  </pic:spPr>
                </pic:pic>
              </a:graphicData>
            </a:graphic>
          </wp:inline>
        </w:drawing>
      </w:r>
    </w:p>
    <w:p w14:paraId="162143F4" w14:textId="77777777" w:rsidR="00BB4624" w:rsidRPr="00BB4624" w:rsidRDefault="00BB4624" w:rsidP="00BB4624">
      <w:pPr>
        <w:spacing w:after="0" w:line="240" w:lineRule="auto"/>
        <w:jc w:val="both"/>
        <w:rPr>
          <w:rFonts w:ascii="Verdana" w:eastAsia="Calibri" w:hAnsi="Verdana" w:cs="Arial"/>
          <w:lang w:val="es-ES_tradnl" w:eastAsia="es-ES"/>
        </w:rPr>
      </w:pPr>
      <w:r w:rsidRPr="00BB4624">
        <w:rPr>
          <w:rFonts w:ascii="Verdana" w:eastAsia="Calibri" w:hAnsi="Verdana" w:cs="Arial"/>
          <w:lang w:val="es-ES_tradnl" w:eastAsia="es-ES"/>
        </w:rPr>
        <w:t>Señores</w:t>
      </w:r>
    </w:p>
    <w:p w14:paraId="1538B2F2" w14:textId="77777777" w:rsidR="00BB4624" w:rsidRPr="00BB4624" w:rsidRDefault="00BB4624" w:rsidP="00BB4624">
      <w:pPr>
        <w:spacing w:after="0" w:line="240" w:lineRule="auto"/>
        <w:rPr>
          <w:rFonts w:ascii="Verdana" w:eastAsia="Calibri" w:hAnsi="Verdana" w:cs="Arial"/>
          <w:b/>
          <w:lang w:val="es-ES_tradnl" w:eastAsia="es-ES_tradnl"/>
        </w:rPr>
      </w:pPr>
      <w:r w:rsidRPr="00BB4624">
        <w:rPr>
          <w:rFonts w:ascii="Verdana" w:eastAsia="Calibri" w:hAnsi="Verdana" w:cs="Arial"/>
          <w:b/>
          <w:lang w:val="es-ES_tradnl" w:eastAsia="es-ES_tradnl"/>
        </w:rPr>
        <w:t>INGENIERIA &amp; SUMINISTROS L&amp;S SAS</w:t>
      </w:r>
    </w:p>
    <w:p w14:paraId="3B35B672" w14:textId="77777777" w:rsidR="00BB4624" w:rsidRPr="00BB4624" w:rsidRDefault="00BB4624" w:rsidP="00BB4624">
      <w:pPr>
        <w:spacing w:after="0" w:line="240" w:lineRule="auto"/>
        <w:rPr>
          <w:rFonts w:ascii="Verdana" w:eastAsia="Calibri" w:hAnsi="Verdana" w:cs="Arial"/>
          <w:lang w:val="es-ES_tradnl" w:eastAsia="es-ES"/>
        </w:rPr>
      </w:pPr>
      <w:r w:rsidRPr="00BB4624">
        <w:rPr>
          <w:rFonts w:ascii="Verdana" w:eastAsia="Calibri" w:hAnsi="Verdana" w:cs="Arial"/>
          <w:lang w:val="es-ES_tradnl" w:eastAsia="es-ES"/>
        </w:rPr>
        <w:t>Villavicencio, Meta</w:t>
      </w:r>
    </w:p>
    <w:p w14:paraId="16A506AA" w14:textId="77777777" w:rsidR="00BB4624" w:rsidRPr="00BB4624" w:rsidRDefault="00BB4624" w:rsidP="00BB4624">
      <w:pPr>
        <w:spacing w:after="0" w:line="240" w:lineRule="auto"/>
        <w:rPr>
          <w:rFonts w:ascii="Verdana" w:eastAsia="Calibri" w:hAnsi="Verdana" w:cs="Arial"/>
          <w:b/>
          <w:bCs/>
          <w:lang w:val="es-ES_tradnl" w:eastAsia="es-ES_tradnl"/>
        </w:rPr>
      </w:pPr>
    </w:p>
    <w:p w14:paraId="53FD53AA" w14:textId="77777777" w:rsidR="00BB4624" w:rsidRPr="00BB4624" w:rsidRDefault="00BB4624" w:rsidP="00BB4624">
      <w:pPr>
        <w:spacing w:after="0" w:line="240" w:lineRule="auto"/>
        <w:rPr>
          <w:rFonts w:ascii="Verdana" w:eastAsia="Calibri" w:hAnsi="Verdana" w:cs="Arial"/>
          <w:b/>
          <w:bCs/>
          <w:lang w:val="es-ES_tradnl" w:eastAsia="es-ES_tradnl"/>
        </w:rPr>
      </w:pPr>
    </w:p>
    <w:tbl>
      <w:tblPr>
        <w:tblStyle w:val="Tablaconcuadrcula1"/>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BB4624" w:rsidRPr="00BB4624" w14:paraId="1EBF3F4C" w14:textId="77777777" w:rsidTr="006C7054">
        <w:trPr>
          <w:trHeight w:val="884"/>
        </w:trPr>
        <w:tc>
          <w:tcPr>
            <w:tcW w:w="2689" w:type="dxa"/>
          </w:tcPr>
          <w:p w14:paraId="387F8B88" w14:textId="77777777" w:rsidR="00BB4624" w:rsidRPr="00BB4624" w:rsidRDefault="00BB4624" w:rsidP="00BB4624">
            <w:pPr>
              <w:spacing w:before="100" w:beforeAutospacing="1" w:after="100" w:afterAutospacing="1"/>
              <w:jc w:val="both"/>
              <w:rPr>
                <w:rFonts w:ascii="Verdana" w:eastAsia="Calibri" w:hAnsi="Verdana" w:cs="Arial"/>
                <w:b/>
                <w:bCs/>
                <w:lang w:val="es-ES_tradnl" w:eastAsia="es-ES_tradnl"/>
              </w:rPr>
            </w:pPr>
          </w:p>
        </w:tc>
        <w:tc>
          <w:tcPr>
            <w:tcW w:w="6100" w:type="dxa"/>
          </w:tcPr>
          <w:p w14:paraId="1018B408" w14:textId="77777777" w:rsidR="00BB4624" w:rsidRPr="00BB4624" w:rsidRDefault="00BB4624" w:rsidP="00BB4624">
            <w:pPr>
              <w:spacing w:before="100" w:beforeAutospacing="1" w:after="100" w:afterAutospacing="1"/>
              <w:jc w:val="both"/>
              <w:rPr>
                <w:rFonts w:ascii="Verdana" w:eastAsia="Calibri" w:hAnsi="Verdana" w:cs="Arial"/>
                <w:b/>
                <w:bCs/>
                <w:lang w:val="es-ES_tradnl" w:eastAsia="es-ES"/>
              </w:rPr>
            </w:pPr>
            <w:r w:rsidRPr="00BB4624">
              <w:rPr>
                <w:rFonts w:ascii="Verdana" w:eastAsia="Calibri" w:hAnsi="Verdana" w:cs="Arial"/>
                <w:b/>
                <w:bCs/>
                <w:lang w:val="es-ES_tradnl" w:eastAsia="es-ES"/>
              </w:rPr>
              <w:t>Concepto C – 1130 de 2026</w:t>
            </w:r>
          </w:p>
        </w:tc>
      </w:tr>
      <w:tr w:rsidR="00BB4624" w:rsidRPr="00BB4624" w14:paraId="09B0F419" w14:textId="77777777" w:rsidTr="006C7054">
        <w:trPr>
          <w:trHeight w:val="884"/>
        </w:trPr>
        <w:tc>
          <w:tcPr>
            <w:tcW w:w="2689" w:type="dxa"/>
          </w:tcPr>
          <w:p w14:paraId="29EBF66A" w14:textId="77777777" w:rsidR="00BB4624" w:rsidRPr="00BB4624" w:rsidRDefault="00BB4624" w:rsidP="00BB4624">
            <w:pPr>
              <w:spacing w:before="100" w:beforeAutospacing="1" w:after="100" w:afterAutospacing="1"/>
              <w:jc w:val="both"/>
              <w:rPr>
                <w:rFonts w:ascii="Verdana" w:eastAsia="Calibri" w:hAnsi="Verdana" w:cs="Arial"/>
                <w:lang w:val="es-ES_tradnl" w:eastAsia="es-ES_tradnl"/>
              </w:rPr>
            </w:pPr>
            <w:r w:rsidRPr="00BB4624">
              <w:rPr>
                <w:rFonts w:ascii="Verdana" w:eastAsia="Calibri" w:hAnsi="Verdana" w:cs="Arial"/>
                <w:b/>
                <w:lang w:val="es-ES_tradnl" w:eastAsia="es-ES_tradnl"/>
              </w:rPr>
              <w:t>Temas:</w:t>
            </w:r>
            <w:r w:rsidRPr="00BB4624">
              <w:rPr>
                <w:rFonts w:ascii="Verdana" w:eastAsia="Calibri" w:hAnsi="Verdana" w:cs="Arial"/>
                <w:lang w:val="es-ES_tradnl" w:eastAsia="es-ES_tradnl"/>
              </w:rPr>
              <w:t xml:space="preserve">                   </w:t>
            </w:r>
          </w:p>
        </w:tc>
        <w:tc>
          <w:tcPr>
            <w:tcW w:w="6100" w:type="dxa"/>
          </w:tcPr>
          <w:p w14:paraId="5C591600" w14:textId="4DC753FA" w:rsidR="00BB4624" w:rsidRPr="00BB4624" w:rsidRDefault="00BB4624" w:rsidP="00BB4624">
            <w:pPr>
              <w:spacing w:line="276" w:lineRule="auto"/>
              <w:jc w:val="both"/>
              <w:rPr>
                <w:rFonts w:ascii="Verdana" w:eastAsia="Calibri" w:hAnsi="Verdana" w:cs="Times New Roman"/>
              </w:rPr>
            </w:pPr>
            <w:r w:rsidRPr="00BB4624">
              <w:rPr>
                <w:rFonts w:ascii="Verdana" w:eastAsia="Calibri" w:hAnsi="Verdana" w:cs="Arial"/>
                <w:lang w:val="es-ES" w:eastAsia="es-ES"/>
              </w:rPr>
              <w:t xml:space="preserve">CAPACIDAD RESIDUAL – Definición / </w:t>
            </w:r>
            <w:r w:rsidRPr="00BB4624">
              <w:rPr>
                <w:rFonts w:ascii="Verdana" w:eastAsia="Calibri" w:hAnsi="Verdana" w:cs="Arial"/>
                <w:lang w:eastAsia="es-MX"/>
              </w:rPr>
              <w:t xml:space="preserve">CAPACIDAD RESIDUAL – Factores / </w:t>
            </w:r>
            <w:r w:rsidRPr="00BB4624">
              <w:rPr>
                <w:rFonts w:ascii="Verdana" w:eastAsia="Calibri" w:hAnsi="Verdana" w:cs="Arial"/>
                <w:lang w:val="es-ES_tradnl" w:eastAsia="es-ES"/>
              </w:rPr>
              <w:t>CAPACIDAD DE ORGANIZACIÓN – Guía para Determinar y Verificar la Capacidad Residual del Proponente en los Procesos de Contratación de Obra Pública – Estado de resultados</w:t>
            </w:r>
          </w:p>
          <w:p w14:paraId="60ADE181" w14:textId="77777777" w:rsidR="00BB4624" w:rsidRPr="00BB4624" w:rsidRDefault="00BB4624" w:rsidP="00BB4624">
            <w:pPr>
              <w:spacing w:before="100" w:beforeAutospacing="1" w:after="100" w:afterAutospacing="1" w:line="276" w:lineRule="auto"/>
              <w:jc w:val="both"/>
              <w:rPr>
                <w:rFonts w:ascii="Verdana" w:eastAsia="Calibri" w:hAnsi="Verdana" w:cs="Arial"/>
                <w:highlight w:val="yellow"/>
                <w:lang w:val="es-ES_tradnl" w:eastAsia="es-ES"/>
              </w:rPr>
            </w:pPr>
          </w:p>
        </w:tc>
      </w:tr>
      <w:tr w:rsidR="00BB4624" w:rsidRPr="00BB4624" w14:paraId="65858CD3" w14:textId="77777777" w:rsidTr="006C7054">
        <w:tc>
          <w:tcPr>
            <w:tcW w:w="2689" w:type="dxa"/>
          </w:tcPr>
          <w:p w14:paraId="64911B93" w14:textId="77777777" w:rsidR="00BB4624" w:rsidRPr="00BB4624" w:rsidRDefault="00BB4624" w:rsidP="00BB4624">
            <w:pPr>
              <w:spacing w:before="100" w:beforeAutospacing="1" w:after="100" w:afterAutospacing="1"/>
              <w:jc w:val="both"/>
              <w:rPr>
                <w:rFonts w:ascii="Verdana" w:eastAsia="Calibri" w:hAnsi="Verdana" w:cs="Arial"/>
                <w:b/>
                <w:lang w:val="es-ES_tradnl" w:eastAsia="es-ES_tradnl"/>
              </w:rPr>
            </w:pPr>
            <w:r w:rsidRPr="00BB4624">
              <w:rPr>
                <w:rFonts w:ascii="Verdana" w:eastAsia="Calibri" w:hAnsi="Verdana" w:cs="Arial"/>
                <w:b/>
                <w:lang w:val="es-ES_tradnl" w:eastAsia="es-ES_tradnl"/>
              </w:rPr>
              <w:t>Radicación:</w:t>
            </w:r>
            <w:r w:rsidRPr="00BB4624">
              <w:rPr>
                <w:rFonts w:ascii="Verdana" w:eastAsia="Calibri" w:hAnsi="Verdana" w:cs="Arial"/>
                <w:lang w:val="es-ES_tradnl" w:eastAsia="es-ES_tradnl"/>
              </w:rPr>
              <w:t xml:space="preserve">               </w:t>
            </w:r>
          </w:p>
        </w:tc>
        <w:tc>
          <w:tcPr>
            <w:tcW w:w="6100" w:type="dxa"/>
          </w:tcPr>
          <w:p w14:paraId="2DDBD4F5" w14:textId="77777777" w:rsidR="00BB4624" w:rsidRPr="00BB4624" w:rsidRDefault="00BB4624" w:rsidP="00BB4624">
            <w:pPr>
              <w:spacing w:before="100" w:beforeAutospacing="1" w:after="100" w:afterAutospacing="1" w:line="276" w:lineRule="auto"/>
              <w:jc w:val="both"/>
              <w:rPr>
                <w:rFonts w:ascii="Verdana" w:eastAsia="Calibri" w:hAnsi="Verdana" w:cs="Arial"/>
                <w:lang w:val="es-ES_tradnl" w:eastAsia="es-ES_tradnl"/>
              </w:rPr>
            </w:pPr>
            <w:r w:rsidRPr="00BB4624">
              <w:rPr>
                <w:rFonts w:ascii="Verdana" w:eastAsia="Calibri" w:hAnsi="Verdana" w:cs="Arial"/>
                <w:lang w:val="es-ES_tradnl" w:eastAsia="es-ES_tradnl"/>
              </w:rPr>
              <w:t>Respuesta a consulta con radicado No. 1_2026_07_15_009358</w:t>
            </w:r>
          </w:p>
        </w:tc>
      </w:tr>
    </w:tbl>
    <w:p w14:paraId="4F7861FA" w14:textId="77777777" w:rsidR="00BB4624" w:rsidRPr="00BB4624" w:rsidRDefault="00BB4624" w:rsidP="00BB4624">
      <w:pPr>
        <w:spacing w:after="0" w:line="240" w:lineRule="auto"/>
        <w:jc w:val="both"/>
        <w:rPr>
          <w:rFonts w:ascii="Verdana" w:eastAsia="Calibri" w:hAnsi="Verdana" w:cs="Arial"/>
          <w:lang w:val="es-ES_tradnl" w:eastAsia="es-ES_tradnl"/>
        </w:rPr>
      </w:pPr>
    </w:p>
    <w:p w14:paraId="5853A02A" w14:textId="77777777" w:rsidR="00BB4624" w:rsidRPr="00BB4624" w:rsidRDefault="00BB4624" w:rsidP="00BB4624">
      <w:pPr>
        <w:spacing w:after="0" w:line="240" w:lineRule="auto"/>
        <w:jc w:val="both"/>
        <w:rPr>
          <w:rFonts w:ascii="Verdana" w:eastAsia="Calibri" w:hAnsi="Verdana" w:cs="Arial"/>
          <w:lang w:val="es-ES_tradnl" w:eastAsia="es-ES_tradnl"/>
        </w:rPr>
      </w:pPr>
    </w:p>
    <w:p w14:paraId="1B345E20" w14:textId="77777777" w:rsidR="00BB4624" w:rsidRPr="00BB4624" w:rsidRDefault="00BB4624" w:rsidP="00BB4624">
      <w:pPr>
        <w:spacing w:after="0" w:line="276" w:lineRule="auto"/>
        <w:jc w:val="both"/>
        <w:rPr>
          <w:rFonts w:ascii="Verdana" w:eastAsia="Calibri" w:hAnsi="Verdana" w:cs="Arial"/>
          <w:lang w:val="es-ES_tradnl" w:eastAsia="es-ES"/>
        </w:rPr>
      </w:pPr>
      <w:r w:rsidRPr="00BB4624">
        <w:rPr>
          <w:rFonts w:ascii="Verdana" w:eastAsia="Calibri" w:hAnsi="Verdana" w:cs="Arial"/>
          <w:lang w:val="es-ES_tradnl" w:eastAsia="es-ES"/>
        </w:rPr>
        <w:t xml:space="preserve">Estimados señores: </w:t>
      </w:r>
    </w:p>
    <w:p w14:paraId="430BB68F" w14:textId="77777777" w:rsidR="00BB4624" w:rsidRPr="00BB4624" w:rsidRDefault="00BB4624" w:rsidP="00BB4624">
      <w:pPr>
        <w:tabs>
          <w:tab w:val="left" w:pos="3768"/>
        </w:tabs>
        <w:spacing w:after="0" w:line="276" w:lineRule="auto"/>
        <w:jc w:val="both"/>
        <w:rPr>
          <w:rFonts w:ascii="Verdana" w:eastAsia="Calibri" w:hAnsi="Verdana" w:cs="Arial"/>
          <w:lang w:val="es-ES_tradnl" w:eastAsia="es-ES"/>
        </w:rPr>
      </w:pPr>
      <w:r w:rsidRPr="00BB4624">
        <w:rPr>
          <w:rFonts w:ascii="Verdana" w:eastAsia="Calibri" w:hAnsi="Verdana" w:cs="Arial"/>
          <w:lang w:val="es-ES_tradnl" w:eastAsia="es-ES"/>
        </w:rPr>
        <w:tab/>
      </w:r>
    </w:p>
    <w:p w14:paraId="336769FC" w14:textId="77777777" w:rsidR="00BB4624" w:rsidRPr="00BB4624" w:rsidRDefault="00BB4624" w:rsidP="00BB4624">
      <w:pPr>
        <w:snapToGrid w:val="0"/>
        <w:spacing w:after="0" w:line="276" w:lineRule="auto"/>
        <w:jc w:val="both"/>
        <w:rPr>
          <w:rFonts w:ascii="Verdana" w:eastAsia="Calibri" w:hAnsi="Verdana" w:cs="Arial"/>
          <w:lang w:val="es-ES_tradnl" w:eastAsia="es-ES"/>
        </w:rPr>
      </w:pPr>
      <w:r w:rsidRPr="00BB4624">
        <w:rPr>
          <w:rFonts w:ascii="Verdana" w:eastAsia="Calibri" w:hAnsi="Verdana" w:cs="Arial"/>
          <w:lang w:val="es-ES_tradnl" w:eastAsia="es-ES"/>
        </w:rPr>
        <w:t>En ejercicio de la competencia otorgada por los artículos 3, numeral 5º, y 11, numeral 8º, del Decreto Ley 4170 de 2011,</w:t>
      </w:r>
      <w:r w:rsidRPr="00BB4624">
        <w:rPr>
          <w:rFonts w:ascii="Verdana" w:eastAsia="Arial MT" w:hAnsi="Verdana" w:cs="Arial MT"/>
          <w:lang w:val="es-ES_tradnl" w:eastAsia="es-ES"/>
        </w:rPr>
        <w:t xml:space="preserve"> </w:t>
      </w:r>
      <w:r w:rsidRPr="00BB4624">
        <w:rPr>
          <w:rFonts w:ascii="Verdana" w:eastAsia="Calibri" w:hAnsi="Verdana" w:cs="Arial"/>
          <w:lang w:val="es-ES_tradnl"/>
        </w:rPr>
        <w:t xml:space="preserve">así como lo establecido en la Resolución No. 469 del 2025 expedida por esta Entidad, </w:t>
      </w:r>
      <w:r w:rsidRPr="00BB4624">
        <w:rPr>
          <w:rFonts w:ascii="Verdana" w:eastAsia="Calibri" w:hAnsi="Verdana" w:cs="Arial"/>
          <w:lang w:val="es-ES_tradnl" w:eastAsia="es-ES"/>
        </w:rPr>
        <w:t>la Agencia Nacional de Contratación Pública –Colombia Compra Eficiente– responde su solicitud de consulta de fecha 15 de julio de 2026, en la cual manifiesta lo siguiente:</w:t>
      </w:r>
    </w:p>
    <w:p w14:paraId="2159C0D1" w14:textId="77777777" w:rsidR="00BB4624" w:rsidRPr="00BB4624" w:rsidRDefault="00BB4624" w:rsidP="00BB4624">
      <w:pPr>
        <w:tabs>
          <w:tab w:val="left" w:pos="142"/>
          <w:tab w:val="left" w:pos="284"/>
        </w:tabs>
        <w:snapToGrid w:val="0"/>
        <w:spacing w:after="0" w:line="240" w:lineRule="auto"/>
        <w:jc w:val="both"/>
        <w:rPr>
          <w:rFonts w:ascii="Verdana" w:eastAsia="Century Gothic" w:hAnsi="Verdana" w:cs="Century Gothic"/>
          <w:b/>
          <w:bCs/>
          <w:lang w:val="es-ES_tradnl"/>
        </w:rPr>
      </w:pPr>
    </w:p>
    <w:p w14:paraId="0B46C45B" w14:textId="77777777" w:rsidR="00BB4624" w:rsidRPr="00BB4624" w:rsidRDefault="00BB4624" w:rsidP="00BB4624">
      <w:pPr>
        <w:snapToGrid w:val="0"/>
        <w:spacing w:after="0" w:line="240" w:lineRule="auto"/>
        <w:ind w:left="720" w:right="709"/>
        <w:jc w:val="both"/>
        <w:rPr>
          <w:rFonts w:ascii="Verdana" w:eastAsia="Century Gothic" w:hAnsi="Verdana" w:cs="Century Gothic"/>
          <w:sz w:val="21"/>
          <w:szCs w:val="21"/>
          <w:lang w:val="es-ES"/>
        </w:rPr>
      </w:pPr>
      <w:r w:rsidRPr="00BB4624">
        <w:rPr>
          <w:rFonts w:ascii="Verdana" w:eastAsia="Century Gothic" w:hAnsi="Verdana" w:cs="Century Gothic"/>
          <w:sz w:val="21"/>
          <w:szCs w:val="21"/>
          <w:lang w:val="es-ES"/>
        </w:rPr>
        <w:t xml:space="preserve">“Teniendo en cuenta la Guía para Determinar y Verificar la Capacidad Residual del Proponente en los Procesos de Contratación de Obra Pública de Colombia Compra Eficiente y la Guía para la comprensión e implementación de los Documento Base o Documento Tipo CCE-EICP-GI-02. les solicito muy respetuosamente se sirvan aclararme si para verificar la capacidad de organización de un proponente persona natural o jurídica que NO sea extranjera, es decir que sea colombiana, </w:t>
      </w:r>
      <w:r w:rsidRPr="00BB4624">
        <w:rPr>
          <w:rFonts w:ascii="Verdana" w:eastAsia="Century Gothic" w:hAnsi="Verdana" w:cs="Century Gothic"/>
          <w:sz w:val="21"/>
          <w:szCs w:val="21"/>
          <w:lang w:val="es-ES"/>
        </w:rPr>
        <w:lastRenderedPageBreak/>
        <w:t xml:space="preserve">que además como persona jurídica obligada a tener RUP, y no obligado a tener revisor fiscal, es de carácter obligatorio presentar dictamen financiero? exigido por entidad supuestamente para validar </w:t>
      </w:r>
      <w:proofErr w:type="gramStart"/>
      <w:r w:rsidRPr="00BB4624">
        <w:rPr>
          <w:rFonts w:ascii="Verdana" w:eastAsia="Century Gothic" w:hAnsi="Verdana" w:cs="Century Gothic"/>
          <w:sz w:val="21"/>
          <w:szCs w:val="21"/>
          <w:lang w:val="es-ES"/>
        </w:rPr>
        <w:t>los estado</w:t>
      </w:r>
      <w:proofErr w:type="gramEnd"/>
      <w:r w:rsidRPr="00BB4624">
        <w:rPr>
          <w:rFonts w:ascii="Verdana" w:eastAsia="Century Gothic" w:hAnsi="Verdana" w:cs="Century Gothic"/>
          <w:sz w:val="21"/>
          <w:szCs w:val="21"/>
          <w:lang w:val="es-ES"/>
        </w:rPr>
        <w:t xml:space="preserve"> financieros y estado de resultados”.</w:t>
      </w:r>
    </w:p>
    <w:p w14:paraId="34E793E7" w14:textId="77777777" w:rsidR="00BB4624" w:rsidRPr="00BB4624" w:rsidRDefault="00BB4624" w:rsidP="00BB4624">
      <w:pPr>
        <w:tabs>
          <w:tab w:val="left" w:pos="142"/>
          <w:tab w:val="left" w:pos="284"/>
        </w:tabs>
        <w:spacing w:line="276" w:lineRule="auto"/>
        <w:contextualSpacing/>
        <w:jc w:val="both"/>
        <w:rPr>
          <w:rFonts w:ascii="Verdana" w:eastAsia="Century Gothic" w:hAnsi="Verdana" w:cs="Century Gothic"/>
          <w:b/>
          <w:bCs/>
          <w:lang w:val="es-ES_tradnl"/>
        </w:rPr>
      </w:pPr>
    </w:p>
    <w:p w14:paraId="3321CB47" w14:textId="77777777" w:rsidR="00BB4624" w:rsidRPr="00BB4624" w:rsidRDefault="00BB4624" w:rsidP="00BB4624">
      <w:pPr>
        <w:spacing w:after="120" w:line="276" w:lineRule="auto"/>
        <w:ind w:firstLine="709"/>
        <w:jc w:val="both"/>
        <w:rPr>
          <w:rFonts w:ascii="Verdana" w:eastAsia="Calibri" w:hAnsi="Verdana" w:cs="Arial"/>
          <w:lang w:val="es-ES" w:eastAsia="es-ES"/>
        </w:rPr>
      </w:pPr>
      <w:r w:rsidRPr="00BB4624">
        <w:rPr>
          <w:rFonts w:ascii="Verdana" w:eastAsia="Calibri" w:hAnsi="Verdana" w:cs="Arial"/>
          <w:lang w:val="es-ES"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compras públicas.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BB4624">
        <w:rPr>
          <w:rFonts w:ascii="Calibri" w:eastAsia="Calibri" w:hAnsi="Calibri" w:cs="Times New Roman"/>
        </w:rPr>
        <w:tab/>
      </w:r>
    </w:p>
    <w:p w14:paraId="32802BC6" w14:textId="77777777" w:rsidR="00BB4624" w:rsidRPr="00BB4624" w:rsidRDefault="00BB4624" w:rsidP="00BB4624">
      <w:pPr>
        <w:snapToGrid w:val="0"/>
        <w:spacing w:after="0" w:line="276" w:lineRule="auto"/>
        <w:ind w:firstLine="709"/>
        <w:jc w:val="both"/>
        <w:rPr>
          <w:rFonts w:ascii="Verdana" w:eastAsia="Calibri" w:hAnsi="Verdana" w:cs="Arial"/>
          <w:lang w:val="es-ES_tradnl" w:eastAsia="es-ES"/>
        </w:rPr>
      </w:pPr>
      <w:r w:rsidRPr="00BB4624">
        <w:rPr>
          <w:rFonts w:ascii="Verdana" w:eastAsia="Calibri" w:hAnsi="Verdana" w:cs="Arial"/>
          <w:lang w:val="es-ES_tradnl" w:eastAsia="es-ES"/>
        </w:rPr>
        <w:t xml:space="preserve">Conforme a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el problema jurídico de su consulta. </w:t>
      </w:r>
    </w:p>
    <w:p w14:paraId="7A1C219E" w14:textId="77777777" w:rsidR="00BB4624" w:rsidRPr="00BB4624" w:rsidRDefault="00BB4624" w:rsidP="00BB4624">
      <w:pPr>
        <w:snapToGrid w:val="0"/>
        <w:spacing w:after="0" w:line="276" w:lineRule="auto"/>
        <w:ind w:firstLine="709"/>
        <w:jc w:val="both"/>
        <w:rPr>
          <w:rFonts w:ascii="Verdana" w:eastAsia="Calibri" w:hAnsi="Verdana" w:cs="Arial"/>
          <w:lang w:val="es-ES_tradnl" w:eastAsia="es-ES"/>
        </w:rPr>
      </w:pPr>
    </w:p>
    <w:p w14:paraId="2442B0AC" w14:textId="77777777" w:rsidR="00BB4624" w:rsidRPr="00BB4624" w:rsidRDefault="00BB4624" w:rsidP="00BB4624">
      <w:pPr>
        <w:numPr>
          <w:ilvl w:val="0"/>
          <w:numId w:val="16"/>
        </w:numPr>
        <w:tabs>
          <w:tab w:val="left" w:pos="142"/>
          <w:tab w:val="left" w:pos="284"/>
        </w:tabs>
        <w:snapToGrid w:val="0"/>
        <w:spacing w:after="0" w:line="276" w:lineRule="auto"/>
        <w:ind w:left="357" w:hanging="357"/>
        <w:jc w:val="both"/>
        <w:rPr>
          <w:rFonts w:ascii="Verdana" w:eastAsia="Century Gothic" w:hAnsi="Verdana" w:cs="Century Gothic"/>
          <w:b/>
          <w:bCs/>
          <w:lang w:val="es-ES_tradnl"/>
        </w:rPr>
      </w:pPr>
      <w:r w:rsidRPr="00BB4624">
        <w:rPr>
          <w:rFonts w:ascii="Verdana" w:eastAsia="Century Gothic" w:hAnsi="Verdana" w:cs="Century Gothic"/>
          <w:b/>
          <w:bCs/>
          <w:lang w:val="es-ES_tradnl"/>
        </w:rPr>
        <w:t>Problema planteado:</w:t>
      </w:r>
    </w:p>
    <w:p w14:paraId="2D807D25" w14:textId="77777777" w:rsidR="00BB4624" w:rsidRPr="00BB4624" w:rsidRDefault="00BB4624" w:rsidP="00BB4624">
      <w:pPr>
        <w:tabs>
          <w:tab w:val="left" w:pos="426"/>
        </w:tabs>
        <w:snapToGrid w:val="0"/>
        <w:spacing w:after="0" w:line="276" w:lineRule="auto"/>
        <w:jc w:val="both"/>
        <w:rPr>
          <w:rFonts w:ascii="Verdana" w:eastAsia="Century Gothic" w:hAnsi="Verdana" w:cs="Century Gothic"/>
          <w:lang w:val="es-ES_tradnl"/>
        </w:rPr>
      </w:pPr>
    </w:p>
    <w:p w14:paraId="354DB2EF" w14:textId="73042CFF" w:rsidR="00BB4624" w:rsidRPr="00BB4624" w:rsidRDefault="00BB4624" w:rsidP="00BB4624">
      <w:pPr>
        <w:snapToGrid w:val="0"/>
        <w:spacing w:after="0" w:line="276" w:lineRule="auto"/>
        <w:jc w:val="both"/>
        <w:rPr>
          <w:rFonts w:ascii="Verdana" w:eastAsia="Century Gothic" w:hAnsi="Verdana" w:cs="Century Gothic"/>
          <w:lang w:val="es-ES"/>
        </w:rPr>
      </w:pPr>
      <w:r w:rsidRPr="21F65690">
        <w:rPr>
          <w:rFonts w:ascii="Verdana" w:eastAsia="Century Gothic" w:hAnsi="Verdana" w:cs="Century Gothic"/>
          <w:lang w:val="es-ES"/>
        </w:rPr>
        <w:t>De acuerdo con el contenido de su solicitud, esta Agencia resolverá el siguiente problema jurídico sobre documentos tipo: ¿</w:t>
      </w:r>
      <w:r w:rsidR="3FFA59DB" w:rsidRPr="21F65690">
        <w:rPr>
          <w:rFonts w:ascii="Verdana" w:eastAsia="Century Gothic" w:hAnsi="Verdana" w:cs="Century Gothic"/>
          <w:lang w:val="es-ES"/>
        </w:rPr>
        <w:t>C</w:t>
      </w:r>
      <w:r w:rsidRPr="21F65690">
        <w:rPr>
          <w:rFonts w:ascii="Verdana" w:eastAsia="Century Gothic" w:hAnsi="Verdana" w:cs="Century Gothic"/>
          <w:lang w:val="es-ES"/>
        </w:rPr>
        <w:t>uál es el alcance de la capacidad de organización, particularmente, en lo que se refiere a los estados de resultados, de acuerdo con la Guía para Determinar y Verificar la Capacidad Residual del Proponente en los Procesos de Contratación de Obra Pública?</w:t>
      </w:r>
    </w:p>
    <w:p w14:paraId="00D64109" w14:textId="77777777" w:rsidR="00BB4624" w:rsidRPr="00BB4624" w:rsidRDefault="00BB4624" w:rsidP="00BB4624">
      <w:pPr>
        <w:snapToGrid w:val="0"/>
        <w:spacing w:after="0" w:line="276" w:lineRule="auto"/>
        <w:jc w:val="both"/>
        <w:rPr>
          <w:rFonts w:ascii="Verdana" w:eastAsia="Calibri" w:hAnsi="Verdana" w:cs="Arial"/>
          <w:lang w:val="es-ES_tradnl"/>
        </w:rPr>
      </w:pPr>
    </w:p>
    <w:p w14:paraId="3689B150" w14:textId="77777777" w:rsidR="00BB4624" w:rsidRPr="00BB4624" w:rsidRDefault="00BB4624" w:rsidP="00BB4624">
      <w:pPr>
        <w:numPr>
          <w:ilvl w:val="0"/>
          <w:numId w:val="16"/>
        </w:numPr>
        <w:tabs>
          <w:tab w:val="left" w:pos="142"/>
          <w:tab w:val="left" w:pos="284"/>
        </w:tabs>
        <w:snapToGrid w:val="0"/>
        <w:spacing w:after="0" w:line="276" w:lineRule="auto"/>
        <w:ind w:left="357" w:hanging="357"/>
        <w:jc w:val="both"/>
        <w:rPr>
          <w:rFonts w:ascii="Verdana" w:eastAsia="Century Gothic" w:hAnsi="Verdana" w:cs="Century Gothic"/>
          <w:b/>
          <w:bCs/>
          <w:lang w:val="es-ES_tradnl"/>
        </w:rPr>
      </w:pPr>
      <w:r w:rsidRPr="00BB4624">
        <w:rPr>
          <w:rFonts w:ascii="Verdana" w:eastAsia="Century Gothic" w:hAnsi="Verdana" w:cs="Century Gothic"/>
          <w:b/>
          <w:bCs/>
          <w:lang w:val="es-ES_tradnl"/>
        </w:rPr>
        <w:t>Respuesta:</w:t>
      </w:r>
    </w:p>
    <w:p w14:paraId="5B6428FF" w14:textId="77777777" w:rsidR="00BB4624" w:rsidRPr="00BB4624" w:rsidRDefault="00BB4624" w:rsidP="00BB4624">
      <w:pPr>
        <w:tabs>
          <w:tab w:val="left" w:pos="142"/>
          <w:tab w:val="left" w:pos="284"/>
        </w:tabs>
        <w:snapToGrid w:val="0"/>
        <w:spacing w:after="0" w:line="276" w:lineRule="auto"/>
        <w:jc w:val="both"/>
        <w:rPr>
          <w:rFonts w:ascii="Verdana" w:eastAsia="Century Gothic" w:hAnsi="Verdana" w:cs="Century Gothic"/>
          <w:b/>
          <w:bCs/>
          <w:lang w:val="es-ES_tradnl"/>
        </w:rPr>
      </w:pPr>
    </w:p>
    <w:tbl>
      <w:tblPr>
        <w:tblStyle w:val="Tablaconcuadrcula1"/>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BB4624" w:rsidRPr="00BB4624" w14:paraId="0481A61E" w14:textId="77777777" w:rsidTr="006C7054">
        <w:tc>
          <w:tcPr>
            <w:tcW w:w="8828" w:type="dxa"/>
          </w:tcPr>
          <w:p w14:paraId="2C85A943" w14:textId="77777777" w:rsidR="00BB4624" w:rsidRPr="00BB4624" w:rsidRDefault="00BB4624" w:rsidP="00BB4624">
            <w:pPr>
              <w:snapToGrid w:val="0"/>
              <w:spacing w:after="120" w:line="276" w:lineRule="auto"/>
              <w:jc w:val="both"/>
              <w:rPr>
                <w:rFonts w:ascii="Verdana" w:eastAsia="Aptos" w:hAnsi="Verdana" w:cs="Times New Roman"/>
                <w:color w:val="000000"/>
              </w:rPr>
            </w:pPr>
            <w:r w:rsidRPr="00BB4624">
              <w:rPr>
                <w:rFonts w:ascii="Verdana" w:eastAsia="Aptos" w:hAnsi="Verdana" w:cs="Times New Roman"/>
                <w:color w:val="000000"/>
              </w:rPr>
              <w:t xml:space="preserve">La Agencia Nacional de Contratación Pública – Colombia Compra Eficiente expidió la “GUÍA PARA DETERMINAR Y VERIFICAR LA CAPACIDAD RESIDUAL DEL PROPONENTE EN LOS PROCESOS DE CONTRATACIÓN DE OBRA </w:t>
            </w:r>
            <w:r w:rsidRPr="00BB4624">
              <w:rPr>
                <w:rFonts w:ascii="Verdana" w:eastAsia="Aptos" w:hAnsi="Verdana" w:cs="Times New Roman"/>
                <w:color w:val="000000"/>
              </w:rPr>
              <w:lastRenderedPageBreak/>
              <w:t>PÚBLICA”</w:t>
            </w:r>
            <w:r w:rsidRPr="00BB4624">
              <w:rPr>
                <w:rFonts w:ascii="Verdana" w:eastAsia="Aptos" w:hAnsi="Verdana" w:cs="Times New Roman"/>
                <w:color w:val="000000"/>
                <w:vertAlign w:val="superscript"/>
              </w:rPr>
              <w:footnoteReference w:id="1"/>
            </w:r>
            <w:r w:rsidRPr="00BB4624">
              <w:rPr>
                <w:rFonts w:ascii="Verdana" w:eastAsia="Aptos" w:hAnsi="Verdana" w:cs="Times New Roman"/>
                <w:color w:val="000000"/>
              </w:rPr>
              <w:t xml:space="preserve">, en la que estableció la metodología para el cálculo de la capacidad residual, la cual resulta de obligatoria observancia tanto para entidades como oferentes en los Procesos de Contratación de obra pública. </w:t>
            </w:r>
          </w:p>
          <w:p w14:paraId="1EBB3507" w14:textId="093F5EAC" w:rsidR="00BB4624" w:rsidRPr="00BB4624" w:rsidRDefault="00BB4624" w:rsidP="00BB4624">
            <w:pPr>
              <w:snapToGrid w:val="0"/>
              <w:spacing w:line="276" w:lineRule="auto"/>
              <w:ind w:firstLine="709"/>
              <w:jc w:val="both"/>
              <w:rPr>
                <w:rFonts w:ascii="Verdana" w:eastAsia="Aptos" w:hAnsi="Verdana" w:cs="Times New Roman"/>
                <w:color w:val="000000"/>
              </w:rPr>
            </w:pPr>
            <w:r w:rsidRPr="21F65690">
              <w:rPr>
                <w:rFonts w:ascii="Verdana" w:eastAsia="Aptos" w:hAnsi="Verdana" w:cs="Times New Roman"/>
                <w:color w:val="000000" w:themeColor="text1"/>
              </w:rPr>
              <w:t>Respecto a los documentos con los cuales los proponentes acreditan su Capacidad Residual o K de Contratación, la Guía en mención desarrolla de forma más específica cada uno de ellos; particularmente, y con el objetivo de atender su consulta, a continuación</w:t>
            </w:r>
            <w:r w:rsidR="5F015942" w:rsidRPr="21F65690">
              <w:rPr>
                <w:rFonts w:ascii="Verdana" w:eastAsia="Aptos" w:hAnsi="Verdana" w:cs="Times New Roman"/>
                <w:color w:val="000000" w:themeColor="text1"/>
              </w:rPr>
              <w:t>,</w:t>
            </w:r>
            <w:r w:rsidRPr="21F65690">
              <w:rPr>
                <w:rFonts w:ascii="Verdana" w:eastAsia="Aptos" w:hAnsi="Verdana" w:cs="Times New Roman"/>
                <w:color w:val="000000" w:themeColor="text1"/>
              </w:rPr>
              <w:t xml:space="preserve"> se precisan los documentos indicados en la Guía mediante los cuales se acreditan los componentes de Capacidad de Organización y Capacidad Financiera necesarios para el cálculo de la Capacidad Residual:</w:t>
            </w:r>
          </w:p>
          <w:p w14:paraId="0EEDFE2D" w14:textId="77777777" w:rsidR="00BB4624" w:rsidRPr="00BB4624" w:rsidRDefault="00BB4624" w:rsidP="00BB4624">
            <w:pPr>
              <w:snapToGrid w:val="0"/>
              <w:spacing w:line="276" w:lineRule="auto"/>
              <w:ind w:firstLine="709"/>
              <w:jc w:val="both"/>
              <w:rPr>
                <w:rFonts w:ascii="Verdana" w:eastAsia="Aptos" w:hAnsi="Verdana" w:cs="Times New Roman"/>
                <w:color w:val="000000"/>
              </w:rPr>
            </w:pPr>
          </w:p>
          <w:p w14:paraId="5B3CB367" w14:textId="77777777" w:rsidR="00BB4624" w:rsidRPr="00BB4624" w:rsidRDefault="00BB4624" w:rsidP="00BB4624">
            <w:pPr>
              <w:ind w:left="709" w:right="709"/>
              <w:jc w:val="both"/>
              <w:rPr>
                <w:rFonts w:ascii="Verdana" w:eastAsia="Aptos" w:hAnsi="Verdana" w:cs="Times New Roman"/>
                <w:i/>
                <w:iCs/>
                <w:color w:val="000000"/>
                <w:sz w:val="21"/>
                <w:szCs w:val="21"/>
              </w:rPr>
            </w:pPr>
            <w:r w:rsidRPr="00BB4624">
              <w:rPr>
                <w:rFonts w:ascii="Verdana" w:eastAsia="Aptos" w:hAnsi="Verdana" w:cs="Times New Roman"/>
                <w:i/>
                <w:iCs/>
                <w:color w:val="000000"/>
                <w:sz w:val="21"/>
                <w:szCs w:val="21"/>
              </w:rPr>
              <w:t>“3. El estado de resultados auditado que contiene el mejor ingreso operacional de los últimos cinco (5) años y el balance general auditado del último año, suscrito por el interesado o su representante legal y el revisor fiscal si está obligado a tenerlo, o el auditor o contador si no está obligado a tener revisor fiscal. Si se trata de proponentes obligados a tener Registro Único de Proponentes (RUP), las Entidades Estatales solo deben solicitar como documento adicional el estado de resultados que contiene el mejor ingreso operacional de los últimos cinco (5) años puesto que la información de la liquidez se encuentra contenida en el RUP”.</w:t>
            </w:r>
          </w:p>
          <w:p w14:paraId="42BB52F4" w14:textId="77777777" w:rsidR="00BB4624" w:rsidRPr="00BB4624" w:rsidRDefault="00BB4624" w:rsidP="00BB4624">
            <w:pPr>
              <w:spacing w:line="276" w:lineRule="auto"/>
              <w:ind w:left="709" w:right="709"/>
              <w:jc w:val="both"/>
              <w:rPr>
                <w:rFonts w:ascii="Verdana" w:eastAsia="Aptos" w:hAnsi="Verdana" w:cs="Times New Roman"/>
                <w:i/>
                <w:iCs/>
                <w:color w:val="000000"/>
              </w:rPr>
            </w:pPr>
          </w:p>
          <w:p w14:paraId="276A40FF" w14:textId="77777777" w:rsidR="00BB4624" w:rsidRPr="00BB4624" w:rsidRDefault="00BB4624" w:rsidP="00BB4624">
            <w:pPr>
              <w:snapToGrid w:val="0"/>
              <w:spacing w:line="276" w:lineRule="auto"/>
              <w:ind w:firstLine="709"/>
              <w:jc w:val="both"/>
              <w:rPr>
                <w:rFonts w:ascii="Verdana" w:eastAsia="Aptos" w:hAnsi="Verdana" w:cs="Times New Roman"/>
                <w:color w:val="000000"/>
              </w:rPr>
            </w:pPr>
            <w:r w:rsidRPr="00BB4624">
              <w:rPr>
                <w:rFonts w:ascii="Verdana" w:eastAsia="Aptos" w:hAnsi="Verdana" w:cs="Times New Roman"/>
                <w:color w:val="000000"/>
              </w:rPr>
              <w:t xml:space="preserve">Posteriormente, y con el objetivo de definir la metodología para establecer el componente “Capacidad de organización” (uno de los componentes para calcular la capacidad residual, el cual se acreditará a través del Estado de resultados auditado), la Guía desarrolla el numeral </w:t>
            </w:r>
            <w:r w:rsidRPr="00BB4624">
              <w:rPr>
                <w:rFonts w:ascii="Verdana" w:eastAsia="Aptos" w:hAnsi="Verdana" w:cs="Times New Roman"/>
                <w:i/>
                <w:iCs/>
                <w:color w:val="000000"/>
              </w:rPr>
              <w:t>9.1 ¿Cómo calcular la Capacidad de Organización (CO)?</w:t>
            </w:r>
            <w:r w:rsidRPr="00BB4624">
              <w:rPr>
                <w:rFonts w:ascii="Verdana" w:eastAsia="Aptos" w:hAnsi="Verdana" w:cs="Times New Roman"/>
                <w:color w:val="000000"/>
              </w:rPr>
              <w:t xml:space="preserve"> En este numeral, la Guía describe a qué corresponde la Capacidad de Organización y su forma de acreditarla de forma más detallada a través del </w:t>
            </w:r>
            <w:r w:rsidRPr="00BB4624">
              <w:rPr>
                <w:rFonts w:ascii="Verdana" w:eastAsia="Aptos" w:hAnsi="Verdana" w:cs="Times New Roman"/>
                <w:i/>
                <w:iCs/>
                <w:color w:val="000000"/>
              </w:rPr>
              <w:t>Estado de resultados auditado</w:t>
            </w:r>
            <w:r w:rsidRPr="00BB4624">
              <w:rPr>
                <w:rFonts w:ascii="Verdana" w:eastAsia="Aptos" w:hAnsi="Verdana" w:cs="Times New Roman"/>
                <w:color w:val="000000"/>
              </w:rPr>
              <w:t>, tal y como se puede ver a continuación:</w:t>
            </w:r>
          </w:p>
          <w:p w14:paraId="324C2EC2" w14:textId="77777777" w:rsidR="00BB4624" w:rsidRPr="00BB4624" w:rsidRDefault="00BB4624" w:rsidP="00BB4624">
            <w:pPr>
              <w:snapToGrid w:val="0"/>
              <w:spacing w:line="276" w:lineRule="auto"/>
              <w:ind w:firstLine="709"/>
              <w:jc w:val="both"/>
              <w:rPr>
                <w:rFonts w:ascii="Verdana" w:eastAsia="Aptos" w:hAnsi="Verdana" w:cs="Times New Roman"/>
                <w:color w:val="000000"/>
              </w:rPr>
            </w:pPr>
          </w:p>
          <w:p w14:paraId="2FAAA431" w14:textId="77777777" w:rsidR="00BB4624" w:rsidRPr="00BB4624" w:rsidRDefault="00BB4624" w:rsidP="00BB4624">
            <w:pPr>
              <w:ind w:left="709" w:right="709"/>
              <w:jc w:val="both"/>
              <w:rPr>
                <w:rFonts w:ascii="Verdana" w:eastAsia="Aptos" w:hAnsi="Verdana" w:cs="Times New Roman"/>
                <w:i/>
                <w:iCs/>
                <w:color w:val="000000"/>
                <w:sz w:val="21"/>
                <w:szCs w:val="21"/>
              </w:rPr>
            </w:pPr>
            <w:r w:rsidRPr="00BB4624">
              <w:rPr>
                <w:rFonts w:ascii="Verdana" w:eastAsia="Aptos" w:hAnsi="Verdana" w:cs="Times New Roman"/>
                <w:i/>
                <w:iCs/>
                <w:color w:val="000000"/>
                <w:sz w:val="21"/>
                <w:szCs w:val="21"/>
              </w:rPr>
              <w:t>“La Capacidad de Organización (CO) corresponde a los ingresos operacionales teniendo en cuenta lo siguiente:</w:t>
            </w:r>
          </w:p>
          <w:p w14:paraId="4069ABDD" w14:textId="77777777" w:rsidR="00BB4624" w:rsidRPr="00BB4624" w:rsidRDefault="00BB4624" w:rsidP="00BB4624">
            <w:pPr>
              <w:ind w:left="709" w:right="709"/>
              <w:jc w:val="center"/>
              <w:rPr>
                <w:rFonts w:ascii="Verdana" w:eastAsia="Aptos" w:hAnsi="Verdana" w:cs="Times New Roman"/>
                <w:i/>
                <w:iCs/>
                <w:color w:val="000000"/>
                <w:sz w:val="21"/>
                <w:szCs w:val="21"/>
              </w:rPr>
            </w:pPr>
            <w:r w:rsidRPr="00BB4624">
              <w:rPr>
                <w:rFonts w:ascii="Arial" w:eastAsia="Aptos" w:hAnsi="Arial" w:cs="Times New Roman"/>
                <w:i/>
                <w:iCs/>
                <w:noProof/>
                <w:color w:val="000000"/>
                <w:sz w:val="21"/>
                <w:szCs w:val="21"/>
              </w:rPr>
              <w:lastRenderedPageBreak/>
              <w:drawing>
                <wp:inline distT="0" distB="0" distL="0" distR="0" wp14:anchorId="628E3F4F" wp14:editId="061F9A6F">
                  <wp:extent cx="4155587" cy="1233377"/>
                  <wp:effectExtent l="0" t="0" r="0" b="5080"/>
                  <wp:docPr id="213314865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394549" name=""/>
                          <pic:cNvPicPr/>
                        </pic:nvPicPr>
                        <pic:blipFill rotWithShape="1">
                          <a:blip r:embed="rId11"/>
                          <a:srcRect l="24080" t="37741" r="25481" b="35632"/>
                          <a:stretch>
                            <a:fillRect/>
                          </a:stretch>
                        </pic:blipFill>
                        <pic:spPr bwMode="auto">
                          <a:xfrm>
                            <a:off x="0" y="0"/>
                            <a:ext cx="4192106" cy="1244216"/>
                          </a:xfrm>
                          <a:prstGeom prst="rect">
                            <a:avLst/>
                          </a:prstGeom>
                          <a:ln>
                            <a:noFill/>
                          </a:ln>
                          <a:extLst>
                            <a:ext uri="{53640926-AAD7-44D8-BBD7-CCE9431645EC}">
                              <a14:shadowObscured xmlns:a14="http://schemas.microsoft.com/office/drawing/2010/main"/>
                            </a:ext>
                          </a:extLst>
                        </pic:spPr>
                      </pic:pic>
                    </a:graphicData>
                  </a:graphic>
                </wp:inline>
              </w:drawing>
            </w:r>
          </w:p>
          <w:p w14:paraId="30F322BD" w14:textId="77777777" w:rsidR="00BB4624" w:rsidRPr="00BB4624" w:rsidRDefault="00BB4624" w:rsidP="00BB4624">
            <w:pPr>
              <w:ind w:left="709" w:right="709"/>
              <w:jc w:val="both"/>
              <w:rPr>
                <w:rFonts w:ascii="Verdana" w:eastAsia="Aptos" w:hAnsi="Verdana" w:cs="Times New Roman"/>
                <w:i/>
                <w:iCs/>
                <w:color w:val="000000"/>
                <w:sz w:val="21"/>
                <w:szCs w:val="21"/>
              </w:rPr>
            </w:pPr>
            <w:r w:rsidRPr="00BB4624">
              <w:rPr>
                <w:rFonts w:ascii="Verdana" w:eastAsia="Aptos" w:hAnsi="Verdana" w:cs="Times New Roman"/>
                <w:i/>
                <w:iCs/>
                <w:color w:val="000000"/>
                <w:sz w:val="21"/>
                <w:szCs w:val="21"/>
              </w:rPr>
              <w:t xml:space="preserve">Si los ingresos operacionales del proponente con uno (1) o más años de información financiera es menor a USD 125.000, la Capacidad de Organización (CO) del proponente es igual a USD 125.000.  Para acreditar el factor (CO) el proponente obligado a tener RUP debe presentar los siguientes documentos:  </w:t>
            </w:r>
          </w:p>
          <w:p w14:paraId="7A888440" w14:textId="77777777" w:rsidR="00BB4624" w:rsidRPr="00BB4624" w:rsidRDefault="00BB4624" w:rsidP="00BB4624">
            <w:pPr>
              <w:numPr>
                <w:ilvl w:val="0"/>
                <w:numId w:val="18"/>
              </w:numPr>
              <w:ind w:left="709" w:right="709" w:firstLine="0"/>
              <w:contextualSpacing/>
              <w:jc w:val="both"/>
              <w:rPr>
                <w:rFonts w:ascii="Verdana" w:eastAsia="Aptos" w:hAnsi="Verdana" w:cs="Times New Roman"/>
                <w:i/>
                <w:iCs/>
                <w:color w:val="000000"/>
                <w:sz w:val="21"/>
                <w:szCs w:val="21"/>
              </w:rPr>
            </w:pPr>
            <w:r w:rsidRPr="00BB4624">
              <w:rPr>
                <w:rFonts w:ascii="Verdana" w:eastAsia="Aptos" w:hAnsi="Verdana" w:cs="Times New Roman"/>
                <w:i/>
                <w:iCs/>
                <w:color w:val="000000"/>
                <w:sz w:val="21"/>
                <w:szCs w:val="21"/>
              </w:rPr>
              <w:t xml:space="preserve">Estado de resultados integral (estado de resultado o pérdida o ganancias) del año en que hayan obtenido el mayor ingreso operacional en los últimos cinco (5) años o de los años de vida del oferente, según corresponda, debidamente firmado por el representante legal y el contador público bajo cuya responsabilidad se han preparado y por el revisor fiscal o, en caso de no haberlo, por no estar obligado a tenerlo, por contador público independiente, acompañados de su dictamen u opinión de conformidad con el artículo 38 de la Ley 222 de 1995. </w:t>
            </w:r>
          </w:p>
          <w:p w14:paraId="6246720D" w14:textId="77777777" w:rsidR="00BB4624" w:rsidRPr="00BB4624" w:rsidRDefault="00BB4624" w:rsidP="00BB4624">
            <w:pPr>
              <w:ind w:left="709" w:right="709"/>
              <w:contextualSpacing/>
              <w:jc w:val="both"/>
              <w:rPr>
                <w:rFonts w:ascii="Verdana" w:eastAsia="Aptos" w:hAnsi="Verdana" w:cs="Times New Roman"/>
                <w:i/>
                <w:iCs/>
                <w:color w:val="000000"/>
                <w:sz w:val="21"/>
                <w:szCs w:val="21"/>
              </w:rPr>
            </w:pPr>
          </w:p>
          <w:p w14:paraId="43923EA7" w14:textId="77777777" w:rsidR="00BB4624" w:rsidRPr="00BB4624" w:rsidRDefault="00BB4624" w:rsidP="00BB4624">
            <w:pPr>
              <w:numPr>
                <w:ilvl w:val="0"/>
                <w:numId w:val="18"/>
              </w:numPr>
              <w:ind w:left="709" w:right="709" w:firstLine="0"/>
              <w:contextualSpacing/>
              <w:jc w:val="both"/>
              <w:rPr>
                <w:rFonts w:ascii="Verdana" w:eastAsia="Aptos" w:hAnsi="Verdana" w:cs="Times New Roman"/>
                <w:i/>
                <w:iCs/>
                <w:color w:val="000000"/>
                <w:sz w:val="21"/>
                <w:szCs w:val="21"/>
              </w:rPr>
            </w:pPr>
            <w:r w:rsidRPr="00BB4624">
              <w:rPr>
                <w:rFonts w:ascii="Verdana" w:eastAsia="Aptos" w:hAnsi="Verdana" w:cs="Times New Roman"/>
                <w:i/>
                <w:iCs/>
                <w:color w:val="000000"/>
                <w:sz w:val="21"/>
                <w:szCs w:val="21"/>
              </w:rPr>
              <w:t>Copia de la tarjeta profesional y certificado de antecedentes disciplinarios vigentes de los Contadores Públicos, Revisores Fiscales, Contadores independientes (externos), quienes suscribieron los documentos señalados en el presente literal”.</w:t>
            </w:r>
          </w:p>
          <w:p w14:paraId="5C7A7604" w14:textId="77777777" w:rsidR="00BB4624" w:rsidRPr="00BB4624" w:rsidRDefault="00BB4624" w:rsidP="00BB4624">
            <w:pPr>
              <w:spacing w:line="276" w:lineRule="auto"/>
              <w:ind w:right="709"/>
              <w:contextualSpacing/>
              <w:jc w:val="both"/>
              <w:rPr>
                <w:rFonts w:ascii="Verdana" w:eastAsia="Aptos" w:hAnsi="Verdana" w:cs="Times New Roman"/>
                <w:i/>
                <w:iCs/>
                <w:color w:val="000000"/>
              </w:rPr>
            </w:pPr>
          </w:p>
          <w:p w14:paraId="610E6020" w14:textId="77777777" w:rsidR="00BB4624" w:rsidRPr="00BB4624" w:rsidRDefault="00BB4624" w:rsidP="00BB4624">
            <w:pPr>
              <w:snapToGrid w:val="0"/>
              <w:spacing w:after="120" w:line="276" w:lineRule="auto"/>
              <w:ind w:firstLine="709"/>
              <w:jc w:val="both"/>
              <w:rPr>
                <w:rFonts w:ascii="Verdana" w:eastAsia="Aptos" w:hAnsi="Verdana" w:cs="Times New Roman"/>
                <w:color w:val="000000"/>
              </w:rPr>
            </w:pPr>
            <w:r w:rsidRPr="00BB4624">
              <w:rPr>
                <w:rFonts w:ascii="Verdana" w:eastAsia="Aptos" w:hAnsi="Verdana" w:cs="Times New Roman"/>
                <w:color w:val="000000"/>
              </w:rPr>
              <w:t xml:space="preserve">De acuerdo con lo definido en el numeral I, el Estado de Resultados Integral requerido para acreditar el mayor ingreso operacional debe estar acompañado del dictamen u opinión del </w:t>
            </w:r>
            <w:r w:rsidRPr="00BB4624">
              <w:rPr>
                <w:rFonts w:ascii="Verdana" w:eastAsia="Aptos" w:hAnsi="Verdana" w:cs="Times New Roman"/>
                <w:i/>
                <w:iCs/>
                <w:color w:val="000000"/>
              </w:rPr>
              <w:t>revisor fiscal</w:t>
            </w:r>
            <w:r w:rsidRPr="00BB4624">
              <w:rPr>
                <w:rFonts w:ascii="Verdana" w:eastAsia="Aptos" w:hAnsi="Verdana" w:cs="Times New Roman"/>
                <w:color w:val="000000"/>
              </w:rPr>
              <w:t xml:space="preserve">, cuando el proponente está obligado a tenerlo, o de un </w:t>
            </w:r>
            <w:r w:rsidRPr="00BB4624">
              <w:rPr>
                <w:rFonts w:ascii="Verdana" w:eastAsia="Aptos" w:hAnsi="Verdana" w:cs="Times New Roman"/>
                <w:i/>
                <w:iCs/>
                <w:color w:val="000000"/>
              </w:rPr>
              <w:t>contador público independiente</w:t>
            </w:r>
            <w:r w:rsidRPr="00BB4624">
              <w:rPr>
                <w:rFonts w:ascii="Verdana" w:eastAsia="Aptos" w:hAnsi="Verdana" w:cs="Times New Roman"/>
                <w:color w:val="000000"/>
              </w:rPr>
              <w:t xml:space="preserve"> de conformidad con el artículo 38 de la Ley 222 de 1995. </w:t>
            </w:r>
          </w:p>
          <w:p w14:paraId="7F8AA24F" w14:textId="77777777" w:rsidR="00BB4624" w:rsidRPr="00BB4624" w:rsidRDefault="00BB4624" w:rsidP="00BB4624">
            <w:pPr>
              <w:snapToGrid w:val="0"/>
              <w:spacing w:line="276" w:lineRule="auto"/>
              <w:ind w:firstLine="709"/>
              <w:jc w:val="both"/>
              <w:rPr>
                <w:rFonts w:ascii="Verdana" w:eastAsia="Aptos" w:hAnsi="Verdana" w:cs="Times New Roman"/>
                <w:color w:val="000000"/>
              </w:rPr>
            </w:pPr>
            <w:r w:rsidRPr="00BB4624">
              <w:rPr>
                <w:rFonts w:ascii="Verdana" w:eastAsia="Aptos" w:hAnsi="Verdana" w:cs="Times New Roman"/>
                <w:color w:val="000000"/>
              </w:rPr>
              <w:t xml:space="preserve">Como se puede evidenciar, el Decreto 1082 de 2015 en su artículo 2.2.1.1.1.6.4 indicó que para efectos de acreditar la capacidad de organización del proponente, este debe presentar el </w:t>
            </w:r>
            <w:r w:rsidRPr="00BB4624">
              <w:rPr>
                <w:rFonts w:ascii="Verdana" w:eastAsia="Aptos" w:hAnsi="Verdana" w:cs="Times New Roman"/>
                <w:i/>
                <w:iCs/>
                <w:color w:val="000000"/>
                <w:u w:val="single"/>
              </w:rPr>
              <w:t>estado de resultados auditado</w:t>
            </w:r>
            <w:r w:rsidRPr="00BB4624">
              <w:rPr>
                <w:rFonts w:ascii="Verdana" w:eastAsia="Aptos" w:hAnsi="Verdana" w:cs="Times New Roman"/>
                <w:color w:val="000000"/>
              </w:rPr>
              <w:t xml:space="preserve"> del año en que haya obtenido el mayor ingreso operacional en los últimos cinco (5) años. Es importante resaltar la precisión que hace el Decreto 1082 de 2015 respecto a la necesidad que dichos estados de resultados sean auditados; por lo anterior, y en línea con lo definido por el decreto mencionado, la “GUÍA PARA DETERMINAR Y VERIFICAR LA CAPACIDAD RESIDUAL DEL PROPONENTE </w:t>
            </w:r>
            <w:r w:rsidRPr="00BB4624">
              <w:rPr>
                <w:rFonts w:ascii="Verdana" w:eastAsia="Aptos" w:hAnsi="Verdana" w:cs="Times New Roman"/>
                <w:color w:val="000000"/>
              </w:rPr>
              <w:lastRenderedPageBreak/>
              <w:t>EN LOS PROCESOS DE CONTRATACIÓN DE OBRA PÚBLICA” precisó</w:t>
            </w:r>
            <w:r w:rsidRPr="00BB4624">
              <w:rPr>
                <w:rFonts w:ascii="Verdana" w:eastAsia="Aptos" w:hAnsi="Verdana" w:cs="Times New Roman"/>
                <w:b/>
                <w:bCs/>
                <w:color w:val="000000"/>
              </w:rPr>
              <w:t xml:space="preserve"> </w:t>
            </w:r>
            <w:r w:rsidRPr="00BB4624">
              <w:rPr>
                <w:rFonts w:ascii="Verdana" w:eastAsia="Aptos" w:hAnsi="Verdana" w:cs="Times New Roman"/>
                <w:color w:val="000000"/>
              </w:rPr>
              <w:t>que</w:t>
            </w:r>
            <w:r w:rsidRPr="00BB4624">
              <w:rPr>
                <w:rFonts w:ascii="Verdana" w:eastAsia="Aptos" w:hAnsi="Verdana" w:cs="Times New Roman"/>
                <w:b/>
                <w:bCs/>
                <w:color w:val="000000"/>
              </w:rPr>
              <w:t xml:space="preserve"> </w:t>
            </w:r>
            <w:r w:rsidRPr="00BB4624">
              <w:rPr>
                <w:rFonts w:ascii="Verdana" w:eastAsia="Aptos" w:hAnsi="Verdana" w:cs="Times New Roman"/>
                <w:color w:val="000000"/>
              </w:rPr>
              <w:t xml:space="preserve">los Estados de Resultados deben venir firmados por el representante legal y el contador público bajo cuya responsabilidad se han </w:t>
            </w:r>
            <w:r w:rsidRPr="00BB4624">
              <w:rPr>
                <w:rFonts w:ascii="Verdana" w:eastAsia="Aptos" w:hAnsi="Verdana" w:cs="Times New Roman"/>
                <w:i/>
                <w:iCs/>
                <w:color w:val="000000"/>
                <w:u w:val="single"/>
              </w:rPr>
              <w:t>preparado</w:t>
            </w:r>
            <w:r w:rsidRPr="00BB4624">
              <w:rPr>
                <w:rFonts w:ascii="Verdana" w:eastAsia="Aptos" w:hAnsi="Verdana" w:cs="Times New Roman"/>
                <w:color w:val="000000"/>
              </w:rPr>
              <w:t xml:space="preserve">, e igualmente deberán venir </w:t>
            </w:r>
            <w:r w:rsidRPr="00BB4624">
              <w:rPr>
                <w:rFonts w:ascii="Verdana" w:eastAsia="Aptos" w:hAnsi="Verdana" w:cs="Times New Roman"/>
                <w:i/>
                <w:iCs/>
                <w:color w:val="000000"/>
                <w:u w:val="single"/>
              </w:rPr>
              <w:t>acompañados del  dictamen u opinión</w:t>
            </w:r>
            <w:r w:rsidRPr="00BB4624">
              <w:rPr>
                <w:rFonts w:ascii="Verdana" w:eastAsia="Aptos" w:hAnsi="Verdana" w:cs="Times New Roman"/>
                <w:i/>
                <w:iCs/>
                <w:color w:val="000000"/>
              </w:rPr>
              <w:t xml:space="preserve"> </w:t>
            </w:r>
            <w:r w:rsidRPr="00BB4624">
              <w:rPr>
                <w:rFonts w:ascii="Verdana" w:eastAsia="Aptos" w:hAnsi="Verdana" w:cs="Times New Roman"/>
                <w:color w:val="000000"/>
              </w:rPr>
              <w:t>del</w:t>
            </w:r>
            <w:r w:rsidRPr="00BB4624">
              <w:rPr>
                <w:rFonts w:ascii="Verdana" w:eastAsia="Aptos" w:hAnsi="Verdana" w:cs="Times New Roman"/>
                <w:i/>
                <w:iCs/>
                <w:color w:val="000000"/>
              </w:rPr>
              <w:t xml:space="preserve"> </w:t>
            </w:r>
            <w:r w:rsidRPr="00BB4624">
              <w:rPr>
                <w:rFonts w:ascii="Verdana" w:eastAsia="Aptos" w:hAnsi="Verdana" w:cs="Times New Roman"/>
                <w:color w:val="000000"/>
              </w:rPr>
              <w:t>revisor fiscal o, en caso de no haberlo, por no estar obligado a tenerlo, por contador público independiente de conformidad con el artículo 38 de la Ley 222 de 1995.</w:t>
            </w:r>
          </w:p>
        </w:tc>
      </w:tr>
    </w:tbl>
    <w:p w14:paraId="7CCE7249" w14:textId="77777777" w:rsidR="00BB4624" w:rsidRPr="00BB4624" w:rsidRDefault="00BB4624" w:rsidP="00BB4624">
      <w:pPr>
        <w:tabs>
          <w:tab w:val="left" w:pos="142"/>
          <w:tab w:val="left" w:pos="284"/>
        </w:tabs>
        <w:snapToGrid w:val="0"/>
        <w:spacing w:after="0" w:line="276" w:lineRule="auto"/>
        <w:jc w:val="both"/>
        <w:rPr>
          <w:rFonts w:ascii="Verdana" w:eastAsia="Century Gothic" w:hAnsi="Verdana" w:cs="Century Gothic"/>
          <w:b/>
          <w:bCs/>
          <w:lang w:val="es-ES_tradnl"/>
        </w:rPr>
      </w:pPr>
    </w:p>
    <w:p w14:paraId="17034CDD" w14:textId="77777777" w:rsidR="00BB4624" w:rsidRPr="00BB4624" w:rsidRDefault="00BB4624" w:rsidP="00BB4624">
      <w:pPr>
        <w:numPr>
          <w:ilvl w:val="0"/>
          <w:numId w:val="16"/>
        </w:numPr>
        <w:tabs>
          <w:tab w:val="left" w:pos="142"/>
          <w:tab w:val="left" w:pos="284"/>
        </w:tabs>
        <w:snapToGrid w:val="0"/>
        <w:spacing w:after="0" w:line="276" w:lineRule="auto"/>
        <w:ind w:left="357" w:hanging="357"/>
        <w:jc w:val="both"/>
        <w:rPr>
          <w:rFonts w:ascii="Verdana" w:eastAsia="Century Gothic" w:hAnsi="Verdana" w:cs="Century Gothic"/>
          <w:b/>
          <w:bCs/>
          <w:lang w:val="es-ES_tradnl"/>
        </w:rPr>
      </w:pPr>
      <w:r w:rsidRPr="00BB4624">
        <w:rPr>
          <w:rFonts w:ascii="Verdana" w:eastAsia="Century Gothic" w:hAnsi="Verdana" w:cs="Century Gothic"/>
          <w:b/>
          <w:bCs/>
          <w:lang w:val="es-ES_tradnl"/>
        </w:rPr>
        <w:t>Razones de la respuesta:</w:t>
      </w:r>
    </w:p>
    <w:p w14:paraId="74A874F3" w14:textId="77777777" w:rsidR="00BB4624" w:rsidRPr="00BB4624" w:rsidRDefault="00BB4624" w:rsidP="00BB4624">
      <w:pPr>
        <w:snapToGrid w:val="0"/>
        <w:spacing w:after="0" w:line="276" w:lineRule="auto"/>
        <w:jc w:val="both"/>
        <w:rPr>
          <w:rFonts w:ascii="Verdana" w:eastAsia="Calibri" w:hAnsi="Verdana" w:cs="Arial"/>
          <w:lang w:val="es-ES_tradnl"/>
        </w:rPr>
      </w:pPr>
    </w:p>
    <w:p w14:paraId="7D9B9718" w14:textId="77777777" w:rsidR="00BB4624" w:rsidRPr="00BB4624" w:rsidRDefault="00BB4624" w:rsidP="00BB4624">
      <w:pPr>
        <w:snapToGrid w:val="0"/>
        <w:spacing w:after="0" w:line="276" w:lineRule="auto"/>
        <w:jc w:val="both"/>
        <w:rPr>
          <w:rFonts w:ascii="Verdana" w:eastAsia="Calibri" w:hAnsi="Verdana" w:cs="Arial"/>
          <w:lang w:val="es-ES_tradnl"/>
        </w:rPr>
      </w:pPr>
      <w:r w:rsidRPr="00BB4624">
        <w:rPr>
          <w:rFonts w:ascii="Verdana" w:eastAsia="Calibri" w:hAnsi="Verdana" w:cs="Arial"/>
          <w:lang w:val="es-ES_tradnl"/>
        </w:rPr>
        <w:t xml:space="preserve">Lo anterior se sustenta en las siguientes consideraciones: </w:t>
      </w:r>
    </w:p>
    <w:p w14:paraId="550067A2" w14:textId="77777777" w:rsidR="00BB4624" w:rsidRPr="00BB4624" w:rsidRDefault="00BB4624" w:rsidP="00BB4624">
      <w:pPr>
        <w:snapToGrid w:val="0"/>
        <w:spacing w:after="0" w:line="276" w:lineRule="auto"/>
        <w:jc w:val="both"/>
        <w:rPr>
          <w:rFonts w:ascii="Verdana" w:eastAsia="Calibri" w:hAnsi="Verdana" w:cs="Arial"/>
          <w:lang w:val="es-ES_tradnl"/>
        </w:rPr>
      </w:pPr>
    </w:p>
    <w:p w14:paraId="0B948BB2" w14:textId="77777777" w:rsidR="00BB4624" w:rsidRPr="00BB4624" w:rsidRDefault="00BB4624" w:rsidP="00BB4624">
      <w:pPr>
        <w:spacing w:after="120" w:line="276" w:lineRule="auto"/>
        <w:jc w:val="both"/>
        <w:rPr>
          <w:rFonts w:ascii="Verdana" w:eastAsia="Calibri" w:hAnsi="Verdana" w:cs="Arial"/>
          <w:color w:val="000000"/>
          <w:lang w:val="es-MX" w:eastAsia="en-GB"/>
        </w:rPr>
      </w:pPr>
      <w:r w:rsidRPr="00BB4624">
        <w:rPr>
          <w:rFonts w:ascii="Verdana" w:eastAsia="Calibri" w:hAnsi="Verdana" w:cs="Arial"/>
          <w:color w:val="000000"/>
          <w:lang w:val="es-MX" w:eastAsia="en-GB"/>
        </w:rPr>
        <w:t>De acuerdo con el artículo 2.2.1.1.1.3.1 del Decreto 1082 de 2015, la Capacidad Residual es la aptitud de los oferentes para cumplir de manera oportuna y a cabalidad el objeto de un contrato de obra pública, sin que los demás compromisos contractuales que han adquirido afecten su habilidad de cumplir el objeto del contrato que está en proceso de selección</w:t>
      </w:r>
      <w:r w:rsidRPr="00BB4624">
        <w:rPr>
          <w:rFonts w:ascii="Verdana" w:eastAsia="Calibri" w:hAnsi="Verdana" w:cs="Arial"/>
          <w:color w:val="000000"/>
          <w:vertAlign w:val="superscript"/>
          <w:lang w:val="es-MX" w:eastAsia="en-GB"/>
        </w:rPr>
        <w:footnoteReference w:id="2"/>
      </w:r>
      <w:r w:rsidRPr="00BB4624">
        <w:rPr>
          <w:rFonts w:ascii="Verdana" w:eastAsia="Calibri" w:hAnsi="Verdana" w:cs="Arial"/>
          <w:color w:val="000000"/>
          <w:lang w:val="es-MX" w:eastAsia="en-GB"/>
        </w:rPr>
        <w:t>. Por su parte, el Consejo de Estado ha definido la Capacidad Residual como “la diferencia que existe entre el potencial de contratación que se tiene y los compromisos que haya adquirido y que se encuentren en ejecución, para la fecha de presentación de la oferta”</w:t>
      </w:r>
      <w:r w:rsidRPr="00BB4624">
        <w:rPr>
          <w:rFonts w:ascii="Verdana" w:eastAsia="Calibri" w:hAnsi="Verdana" w:cs="Arial"/>
          <w:color w:val="000000"/>
          <w:vertAlign w:val="superscript"/>
          <w:lang w:val="es-MX" w:eastAsia="en-GB"/>
        </w:rPr>
        <w:footnoteReference w:id="3"/>
      </w:r>
      <w:r w:rsidRPr="00BB4624">
        <w:rPr>
          <w:rFonts w:ascii="Verdana" w:eastAsia="Calibri" w:hAnsi="Verdana" w:cs="Arial"/>
          <w:color w:val="000000"/>
          <w:lang w:val="es-MX" w:eastAsia="en-GB"/>
        </w:rPr>
        <w:t>.</w:t>
      </w:r>
    </w:p>
    <w:p w14:paraId="5CBFD6F9" w14:textId="77777777" w:rsidR="00BB4624" w:rsidRPr="00BB4624" w:rsidRDefault="00BB4624" w:rsidP="00BB4624">
      <w:pPr>
        <w:spacing w:before="120" w:after="0" w:line="276" w:lineRule="auto"/>
        <w:ind w:firstLine="709"/>
        <w:jc w:val="both"/>
        <w:rPr>
          <w:rFonts w:ascii="Verdana" w:eastAsia="Calibri" w:hAnsi="Verdana" w:cs="Arial"/>
          <w:color w:val="000000"/>
          <w:lang w:val="es-MX" w:eastAsia="en-GB"/>
        </w:rPr>
      </w:pPr>
      <w:r w:rsidRPr="00BB4624">
        <w:rPr>
          <w:rFonts w:ascii="Verdana" w:eastAsia="Calibri" w:hAnsi="Verdana" w:cs="Arial"/>
          <w:color w:val="000000"/>
          <w:lang w:val="es-MX" w:eastAsia="en-GB"/>
        </w:rPr>
        <w:t xml:space="preserve">De esta manera, la Capacidad Residual se refiere a la suficiencia que tiene el proponente para asumir nuevas obligaciones que se derivan del contrato objeto del Proceso de Contratación, en relación con las obligaciones que ya adquirió frente a otros contratos. Por su parte, el artículo 6 de la Ley 1150 de 2007 dispone que la Capacidad Residual de los interesados en participar en procesos de selección para contratos de obra deberá ser igual o superior al que </w:t>
      </w:r>
      <w:r w:rsidRPr="00BB4624">
        <w:rPr>
          <w:rFonts w:ascii="Verdana" w:eastAsia="Calibri" w:hAnsi="Verdana" w:cs="Arial"/>
          <w:color w:val="000000"/>
          <w:lang w:val="es-MX" w:eastAsia="en-GB"/>
        </w:rPr>
        <w:lastRenderedPageBreak/>
        <w:t xml:space="preserve">la entidad ha establecido en los pliegos de condiciones, en los siguientes términos: </w:t>
      </w:r>
    </w:p>
    <w:p w14:paraId="46A6E7D9" w14:textId="77777777" w:rsidR="00BB4624" w:rsidRPr="00BB4624" w:rsidRDefault="00BB4624" w:rsidP="00BB4624">
      <w:pPr>
        <w:spacing w:after="0" w:line="276" w:lineRule="auto"/>
        <w:ind w:firstLine="709"/>
        <w:jc w:val="both"/>
        <w:rPr>
          <w:rFonts w:ascii="Verdana" w:eastAsia="Calibri" w:hAnsi="Verdana" w:cs="Arial"/>
          <w:color w:val="000000"/>
          <w:lang w:val="es-MX" w:eastAsia="en-GB"/>
        </w:rPr>
      </w:pPr>
    </w:p>
    <w:p w14:paraId="0C193E10" w14:textId="77777777" w:rsidR="00BB4624" w:rsidRPr="00BB4624" w:rsidRDefault="00BB4624" w:rsidP="00BB4624">
      <w:pPr>
        <w:spacing w:after="0" w:line="240" w:lineRule="auto"/>
        <w:ind w:left="709" w:right="709"/>
        <w:contextualSpacing/>
        <w:jc w:val="both"/>
        <w:rPr>
          <w:rFonts w:ascii="Verdana" w:eastAsia="Calibri" w:hAnsi="Verdana" w:cs="Arial"/>
          <w:color w:val="000000"/>
          <w:sz w:val="21"/>
          <w:szCs w:val="21"/>
          <w:lang w:val="es-MX" w:eastAsia="en-GB"/>
        </w:rPr>
      </w:pPr>
      <w:r w:rsidRPr="00BB4624">
        <w:rPr>
          <w:rFonts w:ascii="Verdana" w:eastAsia="Calibri" w:hAnsi="Verdana" w:cs="Arial"/>
          <w:color w:val="000000"/>
          <w:sz w:val="21"/>
          <w:szCs w:val="21"/>
          <w:lang w:val="es-MX" w:eastAsia="en-GB"/>
        </w:rPr>
        <w:t>“Parágrafo 1°. Para poder participar en los procesos de selección de los contratos de obra y demás que señale el reglamento, la capacidad residual del proponente o K de contratación deberá ser igual o superior al que la entidad haya establecido para el efecto en los pliegos de condiciones.</w:t>
      </w:r>
    </w:p>
    <w:p w14:paraId="3F6E9134" w14:textId="77777777" w:rsidR="00BB4624" w:rsidRPr="00BB4624" w:rsidRDefault="00BB4624" w:rsidP="00BB4624">
      <w:pPr>
        <w:spacing w:after="0" w:line="240" w:lineRule="auto"/>
        <w:ind w:left="709" w:right="709"/>
        <w:contextualSpacing/>
        <w:jc w:val="both"/>
        <w:rPr>
          <w:rFonts w:ascii="Verdana" w:eastAsia="Calibri" w:hAnsi="Verdana" w:cs="Arial"/>
          <w:color w:val="000000"/>
          <w:sz w:val="21"/>
          <w:szCs w:val="21"/>
          <w:lang w:val="es-MX" w:eastAsia="en-GB"/>
        </w:rPr>
      </w:pPr>
    </w:p>
    <w:p w14:paraId="0FC543DF" w14:textId="77777777" w:rsidR="00BB4624" w:rsidRPr="00BB4624" w:rsidRDefault="00BB4624" w:rsidP="00BB4624">
      <w:pPr>
        <w:spacing w:after="0" w:line="240" w:lineRule="auto"/>
        <w:ind w:left="709" w:right="709"/>
        <w:contextualSpacing/>
        <w:jc w:val="both"/>
        <w:rPr>
          <w:rFonts w:ascii="Verdana" w:eastAsia="Calibri" w:hAnsi="Verdana" w:cs="Arial"/>
          <w:color w:val="000000"/>
          <w:sz w:val="21"/>
          <w:szCs w:val="21"/>
          <w:lang w:val="es-MX" w:eastAsia="en-GB"/>
        </w:rPr>
      </w:pPr>
      <w:r w:rsidRPr="00BB4624">
        <w:rPr>
          <w:rFonts w:ascii="Verdana" w:eastAsia="Calibri" w:hAnsi="Verdana" w:cs="Arial"/>
          <w:color w:val="000000"/>
          <w:sz w:val="21"/>
          <w:szCs w:val="21"/>
          <w:lang w:val="es-MX" w:eastAsia="en-GB"/>
        </w:rPr>
        <w:t>Para establecer la capacidad residual del proponente o K de contratación, se deberán considerar todos los contratos que tenga en ejecución el proponente al momento de presentar la oferta. El desarrollo y ejecución del contrato podrá dar lugar a que los valores que sean cancelados al contratista se consideren para establecer el real K de contratación, en cada oportunidad. El Gobierno Nacional reglamentará la materia”.</w:t>
      </w:r>
    </w:p>
    <w:p w14:paraId="1DC97C88" w14:textId="77777777" w:rsidR="00BB4624" w:rsidRPr="00BB4624" w:rsidRDefault="00BB4624" w:rsidP="00BB4624">
      <w:pPr>
        <w:spacing w:after="0" w:line="276" w:lineRule="auto"/>
        <w:ind w:right="709"/>
        <w:jc w:val="both"/>
        <w:rPr>
          <w:rFonts w:ascii="Verdana" w:eastAsia="Calibri" w:hAnsi="Verdana" w:cs="Arial"/>
          <w:color w:val="000000"/>
          <w:lang w:val="es-MX" w:eastAsia="en-GB"/>
        </w:rPr>
      </w:pPr>
    </w:p>
    <w:p w14:paraId="55BB41ED" w14:textId="77777777" w:rsidR="00BB4624" w:rsidRPr="00BB4624" w:rsidRDefault="00BB4624" w:rsidP="00BB4624">
      <w:pPr>
        <w:spacing w:after="120" w:line="276" w:lineRule="auto"/>
        <w:ind w:firstLine="709"/>
        <w:jc w:val="both"/>
        <w:rPr>
          <w:rFonts w:ascii="Verdana" w:eastAsia="Calibri" w:hAnsi="Verdana" w:cs="Arial"/>
          <w:color w:val="000000"/>
          <w:lang w:eastAsia="en-GB"/>
        </w:rPr>
      </w:pPr>
      <w:r w:rsidRPr="00BB4624">
        <w:rPr>
          <w:rFonts w:ascii="Verdana" w:eastAsia="Calibri" w:hAnsi="Verdana" w:cs="Arial"/>
          <w:color w:val="000000"/>
          <w:lang w:val="es-MX" w:eastAsia="en-GB"/>
        </w:rPr>
        <w:t xml:space="preserve">De acuerdo con </w:t>
      </w:r>
      <w:r w:rsidRPr="00BB4624">
        <w:rPr>
          <w:rFonts w:ascii="Verdana" w:eastAsia="Calibri" w:hAnsi="Verdana" w:cs="Arial"/>
          <w:color w:val="000000"/>
          <w:lang w:eastAsia="en-GB"/>
        </w:rPr>
        <w:t>el artículo 72 de la Ley 1682 de 2013, la “capacidad residual de contratación cuando se realicen contratos de obra pública se obtendrá de sustraer de la capacidad de contratación, el saldo del valor de los contratos en ejecución”. La “capacidad de contratación”, según se desprende de la misma disposición, “[…] se deberá calcular mediante la evaluación de los siguientes factores: Experiencia (E), Capacidad Financiera (CF), Capacidad Técnica (CT), y Capacidad de Organización (CO)”.</w:t>
      </w:r>
    </w:p>
    <w:p w14:paraId="0BDCF6BF" w14:textId="77777777" w:rsidR="00BB4624" w:rsidRPr="00BB4624" w:rsidRDefault="00BB4624" w:rsidP="00BB4624">
      <w:pPr>
        <w:spacing w:after="120" w:line="276" w:lineRule="auto"/>
        <w:ind w:firstLine="709"/>
        <w:jc w:val="both"/>
        <w:rPr>
          <w:rFonts w:ascii="Verdana" w:eastAsia="Calibri" w:hAnsi="Verdana" w:cs="Arial"/>
          <w:color w:val="000000"/>
          <w:lang w:val="es-MX" w:eastAsia="en-GB"/>
        </w:rPr>
      </w:pPr>
      <w:bookmarkStart w:id="1" w:name="_Hlk103608376"/>
      <w:r w:rsidRPr="00BB4624">
        <w:rPr>
          <w:rFonts w:ascii="Verdana" w:eastAsia="Calibri" w:hAnsi="Verdana" w:cs="Arial"/>
          <w:color w:val="000000"/>
          <w:lang w:val="es-MX" w:eastAsia="en-GB"/>
        </w:rPr>
        <w:t>Por su parte, el artículo 2.2.1.1.1.6.4 del Decreto 1082 de 2015 dispone que las Entidades Estatales deberán calcular la Capacidad Residual conforme a la metodología definida por la Agencia Nacional de Contratación Pública – Colombia Compra Eficiente. Para tales fines, resulta necesario tener en cuenta los factores de: i) Experiencia –E–, ii) Capacidad Financiera –CF–, iii) Capacidad Técnica –CT–, iv) Capacidad de Organización y v) los Saldos de los Contratos en Ejecución –SCE–.</w:t>
      </w:r>
    </w:p>
    <w:p w14:paraId="36F2A21A" w14:textId="77777777" w:rsidR="00BB4624" w:rsidRPr="00BB4624" w:rsidRDefault="00BB4624" w:rsidP="00BB4624">
      <w:pPr>
        <w:snapToGrid w:val="0"/>
        <w:spacing w:after="120" w:line="276" w:lineRule="auto"/>
        <w:ind w:firstLine="709"/>
        <w:jc w:val="both"/>
        <w:rPr>
          <w:rFonts w:ascii="Verdana" w:eastAsia="Calibri" w:hAnsi="Verdana" w:cs="Arial"/>
          <w:lang w:val="es-MX" w:eastAsia="en-GB"/>
        </w:rPr>
      </w:pPr>
      <w:r w:rsidRPr="00BB4624">
        <w:rPr>
          <w:rFonts w:ascii="Verdana" w:eastAsia="Calibri" w:hAnsi="Verdana" w:cs="Arial"/>
          <w:color w:val="000000"/>
          <w:lang w:val="es-MX" w:eastAsia="en-GB"/>
        </w:rPr>
        <w:t xml:space="preserve">De igual manera, </w:t>
      </w:r>
      <w:r w:rsidRPr="00BB4624">
        <w:rPr>
          <w:rFonts w:ascii="Verdana" w:eastAsia="Calibri" w:hAnsi="Verdana" w:cs="Arial"/>
          <w:lang w:val="es-MX" w:eastAsia="en-GB"/>
        </w:rPr>
        <w:t xml:space="preserve">establece que el interesado en celebrar contratos de obra pública acreditará su Capacidad Residual con los siguientes documentos: i) la lista de los contratos de obras civiles en ejecución suscritos con Entidades Estatales y con entidades privadas; ii) la lista de contratos de obras civiles en ejecución, suscritos por sociedades, consorcios o uniones temporales, en los cuales el proponente tenga participación, con Entidades Estatales y con entidades privadas; y finalmente iii) el balance general auditado del año </w:t>
      </w:r>
      <w:r w:rsidRPr="00BB4624">
        <w:rPr>
          <w:rFonts w:ascii="Verdana" w:eastAsia="Calibri" w:hAnsi="Verdana" w:cs="Arial"/>
          <w:lang w:val="es-MX" w:eastAsia="en-GB"/>
        </w:rPr>
        <w:lastRenderedPageBreak/>
        <w:t xml:space="preserve">inmediatamente anterior y </w:t>
      </w:r>
      <w:r w:rsidRPr="00BB4624">
        <w:rPr>
          <w:rFonts w:ascii="Verdana" w:eastAsia="Calibri" w:hAnsi="Verdana" w:cs="Arial"/>
          <w:i/>
          <w:iCs/>
          <w:u w:val="single"/>
          <w:lang w:val="es-MX" w:eastAsia="en-GB"/>
        </w:rPr>
        <w:t>estado de resultados auditado</w:t>
      </w:r>
      <w:r w:rsidRPr="00BB4624">
        <w:rPr>
          <w:rFonts w:ascii="Verdana" w:eastAsia="Calibri" w:hAnsi="Verdana" w:cs="Arial"/>
          <w:lang w:val="es-MX" w:eastAsia="en-GB"/>
        </w:rPr>
        <w:t xml:space="preserve"> del año en que haya obtenido el mayor ingreso operacional en los últimos cinco (5) años</w:t>
      </w:r>
      <w:bookmarkEnd w:id="1"/>
      <w:r w:rsidRPr="00BB4624">
        <w:rPr>
          <w:rFonts w:ascii="Verdana" w:eastAsia="Calibri" w:hAnsi="Verdana" w:cs="Arial"/>
          <w:vertAlign w:val="superscript"/>
          <w:lang w:val="es-MX" w:eastAsia="en-GB"/>
        </w:rPr>
        <w:footnoteReference w:id="4"/>
      </w:r>
      <w:r w:rsidRPr="00BB4624">
        <w:rPr>
          <w:rFonts w:ascii="Verdana" w:eastAsia="Calibri" w:hAnsi="Verdana" w:cs="Arial"/>
          <w:lang w:val="es-MX" w:eastAsia="en-GB"/>
        </w:rPr>
        <w:t xml:space="preserve">. </w:t>
      </w:r>
    </w:p>
    <w:p w14:paraId="15419970" w14:textId="77777777" w:rsidR="00BB4624" w:rsidRPr="00BB4624" w:rsidRDefault="00BB4624" w:rsidP="00BB4624">
      <w:pPr>
        <w:snapToGrid w:val="0"/>
        <w:spacing w:after="0" w:line="276" w:lineRule="auto"/>
        <w:ind w:firstLine="709"/>
        <w:jc w:val="both"/>
        <w:rPr>
          <w:rFonts w:ascii="Verdana" w:eastAsia="Aptos" w:hAnsi="Verdana" w:cs="Times New Roman"/>
          <w:color w:val="000000"/>
        </w:rPr>
      </w:pPr>
      <w:r w:rsidRPr="00BB4624">
        <w:rPr>
          <w:rFonts w:ascii="Verdana" w:eastAsia="Aptos" w:hAnsi="Verdana" w:cs="Times New Roman"/>
          <w:color w:val="000000"/>
        </w:rPr>
        <w:t>Este mismo artículo en párrafos posteriores establece de forma textual que la Agencia Nacional de Contratación Pública – Colombia Compra Eficiente definirá la metodología con la cual las Entidades Estatales deberán calcular la Capacidad Residual del proponente durante el desarrollo del proceso de selección:</w:t>
      </w:r>
    </w:p>
    <w:p w14:paraId="10A816F0" w14:textId="77777777" w:rsidR="00BB4624" w:rsidRPr="00BB4624" w:rsidRDefault="00BB4624" w:rsidP="00BB4624">
      <w:pPr>
        <w:snapToGrid w:val="0"/>
        <w:spacing w:after="0" w:line="276" w:lineRule="auto"/>
        <w:ind w:firstLine="709"/>
        <w:jc w:val="both"/>
        <w:rPr>
          <w:rFonts w:ascii="Verdana" w:eastAsia="Aptos" w:hAnsi="Verdana" w:cs="Times New Roman"/>
          <w:color w:val="000000"/>
        </w:rPr>
      </w:pPr>
    </w:p>
    <w:p w14:paraId="1B849FF9" w14:textId="77777777" w:rsidR="00BB4624" w:rsidRPr="00BB4624" w:rsidRDefault="00BB4624" w:rsidP="00BB4624">
      <w:pPr>
        <w:snapToGrid w:val="0"/>
        <w:spacing w:after="0" w:line="240" w:lineRule="auto"/>
        <w:ind w:left="709" w:right="709"/>
        <w:jc w:val="both"/>
        <w:rPr>
          <w:rFonts w:ascii="Verdana" w:eastAsia="Aptos" w:hAnsi="Verdana" w:cs="Times New Roman"/>
          <w:color w:val="000000"/>
          <w:sz w:val="21"/>
          <w:szCs w:val="21"/>
        </w:rPr>
      </w:pPr>
      <w:r w:rsidRPr="00BB4624">
        <w:rPr>
          <w:rFonts w:ascii="Verdana" w:eastAsia="Aptos" w:hAnsi="Verdana" w:cs="Times New Roman"/>
          <w:color w:val="000000"/>
          <w:sz w:val="21"/>
          <w:szCs w:val="21"/>
        </w:rPr>
        <w:t>“La Entidad Estatal debe calcular la Capacidad Residual del proponente de acuerdo con la metodología que defina Colombia Compra Eficiente, teniendo en cuenta los factores de: Experiencia (E), Capacidad Financiera (CF), Capacidad Técnica (CT), Capacidad de Organización (CO), y los saldos de los contratos en ejecución (SCE).”</w:t>
      </w:r>
    </w:p>
    <w:p w14:paraId="49F9E26E" w14:textId="77777777" w:rsidR="00BB4624" w:rsidRPr="00BB4624" w:rsidRDefault="00BB4624" w:rsidP="00BB4624">
      <w:pPr>
        <w:snapToGrid w:val="0"/>
        <w:spacing w:after="0" w:line="276" w:lineRule="auto"/>
        <w:ind w:left="709" w:right="709"/>
        <w:jc w:val="both"/>
        <w:rPr>
          <w:rFonts w:ascii="Verdana" w:eastAsia="Aptos" w:hAnsi="Verdana" w:cs="Times New Roman"/>
          <w:color w:val="000000"/>
        </w:rPr>
      </w:pPr>
    </w:p>
    <w:p w14:paraId="12708109" w14:textId="77777777" w:rsidR="00BB4624" w:rsidRPr="00BB4624" w:rsidRDefault="00BB4624" w:rsidP="00BB4624">
      <w:pPr>
        <w:snapToGrid w:val="0"/>
        <w:spacing w:after="120" w:line="276" w:lineRule="auto"/>
        <w:ind w:firstLine="709"/>
        <w:jc w:val="both"/>
        <w:rPr>
          <w:rFonts w:ascii="Verdana" w:eastAsia="Aptos" w:hAnsi="Verdana" w:cs="Times New Roman"/>
          <w:color w:val="000000"/>
        </w:rPr>
      </w:pPr>
      <w:r w:rsidRPr="00BB4624">
        <w:rPr>
          <w:rFonts w:ascii="Verdana" w:eastAsia="Aptos" w:hAnsi="Verdana" w:cs="Times New Roman"/>
          <w:color w:val="000000"/>
        </w:rPr>
        <w:t>Con fundamento en el mencionado artículo, la Agencia Nacional de Contratación Pública expidió la “GUÍA PARA DETERMINAR Y VERIFICAR LA CAPACIDAD RESIDUAL DEL PROPONENTE EN LOS PROCESOS DE CONTRATACIÓN DE OBRA PÚBLICA”</w:t>
      </w:r>
      <w:r w:rsidRPr="00BB4624">
        <w:rPr>
          <w:rFonts w:ascii="Verdana" w:eastAsia="Aptos" w:hAnsi="Verdana" w:cs="Times New Roman"/>
          <w:color w:val="000000"/>
          <w:vertAlign w:val="superscript"/>
        </w:rPr>
        <w:footnoteReference w:id="5"/>
      </w:r>
      <w:r w:rsidRPr="00BB4624">
        <w:rPr>
          <w:rFonts w:ascii="Verdana" w:eastAsia="Aptos" w:hAnsi="Verdana" w:cs="Times New Roman"/>
          <w:color w:val="000000"/>
        </w:rPr>
        <w:t xml:space="preserve">, en la que estableció la metodología para el cálculo de la capacidad residual, la cual resulta de obligatoria observancia </w:t>
      </w:r>
      <w:r w:rsidRPr="00BB4624">
        <w:rPr>
          <w:rFonts w:ascii="Verdana" w:eastAsia="Aptos" w:hAnsi="Verdana" w:cs="Times New Roman"/>
          <w:color w:val="000000"/>
        </w:rPr>
        <w:lastRenderedPageBreak/>
        <w:t xml:space="preserve">tanto para entidades como oferentes en los Procesos de Contratación de obra pública. </w:t>
      </w:r>
    </w:p>
    <w:p w14:paraId="0112FF67" w14:textId="77777777" w:rsidR="00BB4624" w:rsidRPr="00BB4624" w:rsidRDefault="00BB4624" w:rsidP="00BB4624">
      <w:pPr>
        <w:snapToGrid w:val="0"/>
        <w:spacing w:after="0" w:line="276" w:lineRule="auto"/>
        <w:ind w:firstLine="709"/>
        <w:jc w:val="both"/>
        <w:rPr>
          <w:rFonts w:ascii="Verdana" w:eastAsia="Aptos" w:hAnsi="Verdana" w:cs="Times New Roman"/>
          <w:color w:val="000000"/>
        </w:rPr>
      </w:pPr>
      <w:r w:rsidRPr="00BB4624">
        <w:rPr>
          <w:rFonts w:ascii="Verdana" w:eastAsia="Aptos" w:hAnsi="Verdana" w:cs="Times New Roman"/>
          <w:color w:val="000000"/>
        </w:rPr>
        <w:t>Respecto a los documentos con los cuales los proponentes acreditan su Capacidad Residual o K de Contratación, la Guía en mención desarrolla de forma más específica cada uno de ellos; particularmente, y con el objetivo de atender su consulta, a continuación se precisan los documentos indicados en la Guía mediante los cuales se acreditan los componentes de Capacidad de Organización y Capacidad Financiera necesarios para el cálculo de la Capacidad Residual:</w:t>
      </w:r>
    </w:p>
    <w:p w14:paraId="50DCD0AF" w14:textId="77777777" w:rsidR="00BB4624" w:rsidRPr="00BB4624" w:rsidRDefault="00BB4624" w:rsidP="00BB4624">
      <w:pPr>
        <w:snapToGrid w:val="0"/>
        <w:spacing w:after="0" w:line="276" w:lineRule="auto"/>
        <w:ind w:firstLine="709"/>
        <w:jc w:val="both"/>
        <w:rPr>
          <w:rFonts w:ascii="Verdana" w:eastAsia="Aptos" w:hAnsi="Verdana" w:cs="Times New Roman"/>
          <w:color w:val="000000"/>
        </w:rPr>
      </w:pPr>
    </w:p>
    <w:p w14:paraId="423EA13E" w14:textId="77777777" w:rsidR="00BB4624" w:rsidRPr="00BB4624" w:rsidRDefault="00BB4624" w:rsidP="00BB4624">
      <w:pPr>
        <w:spacing w:after="0" w:line="240" w:lineRule="auto"/>
        <w:ind w:left="709" w:right="709"/>
        <w:jc w:val="both"/>
        <w:rPr>
          <w:rFonts w:ascii="Verdana" w:eastAsia="Aptos" w:hAnsi="Verdana" w:cs="Times New Roman"/>
          <w:i/>
          <w:iCs/>
          <w:color w:val="000000"/>
          <w:sz w:val="21"/>
          <w:szCs w:val="21"/>
        </w:rPr>
      </w:pPr>
      <w:r w:rsidRPr="00BB4624">
        <w:rPr>
          <w:rFonts w:ascii="Verdana" w:eastAsia="Aptos" w:hAnsi="Verdana" w:cs="Times New Roman"/>
          <w:i/>
          <w:iCs/>
          <w:color w:val="000000"/>
          <w:sz w:val="21"/>
          <w:szCs w:val="21"/>
        </w:rPr>
        <w:t>“3. El estado de resultados auditado que contiene el mejor ingreso operacional de los últimos cinco (5) años y el balance general auditado del último año, suscrito por el interesado o su representante legal y el revisor fiscal si está obligado a tenerlo, o el auditor o contador si no está obligado a tener revisor fiscal. Si se trata de proponentes obligados a tener Registro Único de Proponentes (RUP), las Entidades Estatales solo deben solicitar como documento adicional el estado de resultados que contiene el mejor ingreso operacional de los últimos cinco (5) años puesto que la información de la liquidez se encuentra contenida en el RUP”.</w:t>
      </w:r>
    </w:p>
    <w:p w14:paraId="77BC9A64" w14:textId="77777777" w:rsidR="00BB4624" w:rsidRPr="00BB4624" w:rsidRDefault="00BB4624" w:rsidP="00BB4624">
      <w:pPr>
        <w:spacing w:after="0" w:line="276" w:lineRule="auto"/>
        <w:ind w:left="709" w:right="709"/>
        <w:jc w:val="both"/>
        <w:rPr>
          <w:rFonts w:ascii="Verdana" w:eastAsia="Aptos" w:hAnsi="Verdana" w:cs="Times New Roman"/>
          <w:i/>
          <w:iCs/>
          <w:color w:val="000000"/>
        </w:rPr>
      </w:pPr>
    </w:p>
    <w:p w14:paraId="197BEA7D" w14:textId="77777777" w:rsidR="00BB4624" w:rsidRPr="00BB4624" w:rsidRDefault="00BB4624" w:rsidP="00BB4624">
      <w:pPr>
        <w:snapToGrid w:val="0"/>
        <w:spacing w:after="0" w:line="276" w:lineRule="auto"/>
        <w:ind w:firstLine="709"/>
        <w:jc w:val="both"/>
        <w:rPr>
          <w:rFonts w:ascii="Verdana" w:eastAsia="Aptos" w:hAnsi="Verdana" w:cs="Times New Roman"/>
          <w:color w:val="000000"/>
        </w:rPr>
      </w:pPr>
      <w:r w:rsidRPr="00BB4624">
        <w:rPr>
          <w:rFonts w:ascii="Verdana" w:eastAsia="Aptos" w:hAnsi="Verdana" w:cs="Times New Roman"/>
          <w:color w:val="000000"/>
        </w:rPr>
        <w:t xml:space="preserve">Posteriormente, y con el objetivo de definir la metodología para establecer el componente “Capacidad de organización” (uno de los componentes para calcular la capacidad residual, el cual se acreditará a través del Estado de resultados auditado), la Guía desarrolla el numeral </w:t>
      </w:r>
      <w:r w:rsidRPr="00BB4624">
        <w:rPr>
          <w:rFonts w:ascii="Verdana" w:eastAsia="Aptos" w:hAnsi="Verdana" w:cs="Times New Roman"/>
          <w:i/>
          <w:iCs/>
          <w:color w:val="000000"/>
        </w:rPr>
        <w:t>9.1 ¿Cómo calcular la Capacidad de Organización (CO)?</w:t>
      </w:r>
      <w:r w:rsidRPr="00BB4624">
        <w:rPr>
          <w:rFonts w:ascii="Verdana" w:eastAsia="Aptos" w:hAnsi="Verdana" w:cs="Times New Roman"/>
          <w:color w:val="000000"/>
        </w:rPr>
        <w:t xml:space="preserve"> En este numeral, la Guía describe a qué corresponde la Capacidad de Organización y su forma de acreditarla de forma más detallada a través del </w:t>
      </w:r>
      <w:r w:rsidRPr="00BB4624">
        <w:rPr>
          <w:rFonts w:ascii="Verdana" w:eastAsia="Aptos" w:hAnsi="Verdana" w:cs="Times New Roman"/>
          <w:i/>
          <w:iCs/>
          <w:color w:val="000000"/>
        </w:rPr>
        <w:t>Estado de resultados auditado</w:t>
      </w:r>
      <w:r w:rsidRPr="00BB4624">
        <w:rPr>
          <w:rFonts w:ascii="Verdana" w:eastAsia="Aptos" w:hAnsi="Verdana" w:cs="Times New Roman"/>
          <w:color w:val="000000"/>
        </w:rPr>
        <w:t>, tal y como se puede ver a continuación:</w:t>
      </w:r>
    </w:p>
    <w:p w14:paraId="41DF7023" w14:textId="77777777" w:rsidR="00BB4624" w:rsidRPr="00BB4624" w:rsidRDefault="00BB4624" w:rsidP="00BB4624">
      <w:pPr>
        <w:snapToGrid w:val="0"/>
        <w:spacing w:after="0" w:line="276" w:lineRule="auto"/>
        <w:ind w:firstLine="709"/>
        <w:jc w:val="both"/>
        <w:rPr>
          <w:rFonts w:ascii="Verdana" w:eastAsia="Aptos" w:hAnsi="Verdana" w:cs="Times New Roman"/>
          <w:color w:val="000000"/>
        </w:rPr>
      </w:pPr>
    </w:p>
    <w:p w14:paraId="33DDC76E" w14:textId="77777777" w:rsidR="00BB4624" w:rsidRPr="00BB4624" w:rsidRDefault="00BB4624" w:rsidP="00BB4624">
      <w:pPr>
        <w:spacing w:line="240" w:lineRule="auto"/>
        <w:ind w:left="709" w:right="709"/>
        <w:jc w:val="both"/>
        <w:rPr>
          <w:rFonts w:ascii="Verdana" w:eastAsia="Aptos" w:hAnsi="Verdana" w:cs="Times New Roman"/>
          <w:i/>
          <w:iCs/>
          <w:color w:val="000000"/>
          <w:sz w:val="21"/>
          <w:szCs w:val="21"/>
        </w:rPr>
      </w:pPr>
      <w:r w:rsidRPr="00BB4624">
        <w:rPr>
          <w:rFonts w:ascii="Verdana" w:eastAsia="Aptos" w:hAnsi="Verdana" w:cs="Times New Roman"/>
          <w:i/>
          <w:iCs/>
          <w:color w:val="000000"/>
          <w:sz w:val="21"/>
          <w:szCs w:val="21"/>
        </w:rPr>
        <w:t>“La Capacidad de Organización (CO) corresponde a los ingresos operacionales teniendo en cuenta lo siguiente:</w:t>
      </w:r>
    </w:p>
    <w:p w14:paraId="5E38A332" w14:textId="77777777" w:rsidR="00BB4624" w:rsidRPr="00BB4624" w:rsidRDefault="00BB4624" w:rsidP="00BB4624">
      <w:pPr>
        <w:spacing w:line="240" w:lineRule="auto"/>
        <w:ind w:left="709" w:right="709"/>
        <w:jc w:val="center"/>
        <w:rPr>
          <w:rFonts w:ascii="Verdana" w:eastAsia="Aptos" w:hAnsi="Verdana" w:cs="Times New Roman"/>
          <w:i/>
          <w:iCs/>
          <w:color w:val="000000"/>
          <w:sz w:val="21"/>
          <w:szCs w:val="21"/>
        </w:rPr>
      </w:pPr>
      <w:r w:rsidRPr="00BB4624">
        <w:rPr>
          <w:rFonts w:ascii="Arial" w:eastAsia="Aptos" w:hAnsi="Arial" w:cs="Times New Roman"/>
          <w:i/>
          <w:iCs/>
          <w:noProof/>
          <w:color w:val="000000"/>
          <w:sz w:val="21"/>
          <w:szCs w:val="21"/>
          <w14:ligatures w14:val="standardContextual"/>
        </w:rPr>
        <w:drawing>
          <wp:inline distT="0" distB="0" distL="0" distR="0" wp14:anchorId="05745AE9" wp14:editId="5BD0542A">
            <wp:extent cx="4155587" cy="1233377"/>
            <wp:effectExtent l="0" t="0" r="0" b="5080"/>
            <wp:docPr id="49539454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394549" name=""/>
                    <pic:cNvPicPr/>
                  </pic:nvPicPr>
                  <pic:blipFill rotWithShape="1">
                    <a:blip r:embed="rId11"/>
                    <a:srcRect l="24080" t="37741" r="25481" b="35632"/>
                    <a:stretch>
                      <a:fillRect/>
                    </a:stretch>
                  </pic:blipFill>
                  <pic:spPr bwMode="auto">
                    <a:xfrm>
                      <a:off x="0" y="0"/>
                      <a:ext cx="4192106" cy="1244216"/>
                    </a:xfrm>
                    <a:prstGeom prst="rect">
                      <a:avLst/>
                    </a:prstGeom>
                    <a:ln>
                      <a:noFill/>
                    </a:ln>
                    <a:extLst>
                      <a:ext uri="{53640926-AAD7-44D8-BBD7-CCE9431645EC}">
                        <a14:shadowObscured xmlns:a14="http://schemas.microsoft.com/office/drawing/2010/main"/>
                      </a:ext>
                    </a:extLst>
                  </pic:spPr>
                </pic:pic>
              </a:graphicData>
            </a:graphic>
          </wp:inline>
        </w:drawing>
      </w:r>
    </w:p>
    <w:p w14:paraId="3DD9A602" w14:textId="77777777" w:rsidR="00BB4624" w:rsidRPr="00BB4624" w:rsidRDefault="00BB4624" w:rsidP="00BB4624">
      <w:pPr>
        <w:spacing w:line="240" w:lineRule="auto"/>
        <w:ind w:left="709" w:right="709"/>
        <w:jc w:val="both"/>
        <w:rPr>
          <w:rFonts w:ascii="Verdana" w:eastAsia="Aptos" w:hAnsi="Verdana" w:cs="Times New Roman"/>
          <w:i/>
          <w:iCs/>
          <w:color w:val="000000"/>
          <w:sz w:val="21"/>
          <w:szCs w:val="21"/>
        </w:rPr>
      </w:pPr>
      <w:r w:rsidRPr="00BB4624">
        <w:rPr>
          <w:rFonts w:ascii="Verdana" w:eastAsia="Aptos" w:hAnsi="Verdana" w:cs="Times New Roman"/>
          <w:i/>
          <w:iCs/>
          <w:color w:val="000000"/>
          <w:sz w:val="21"/>
          <w:szCs w:val="21"/>
        </w:rPr>
        <w:lastRenderedPageBreak/>
        <w:t xml:space="preserve">Si los ingresos operacionales del proponente con uno (1) o más años de información financiera es menor a USD 125.000, la Capacidad de Organización (CO) del proponente es igual a USD 125.000.  Para acreditar el factor (CO) el proponente obligado a tener RUP debe presentar los siguientes documentos:  </w:t>
      </w:r>
    </w:p>
    <w:p w14:paraId="61C26355" w14:textId="77777777" w:rsidR="00BB4624" w:rsidRPr="00BB4624" w:rsidRDefault="00BB4624" w:rsidP="00BB4624">
      <w:pPr>
        <w:numPr>
          <w:ilvl w:val="0"/>
          <w:numId w:val="18"/>
        </w:numPr>
        <w:spacing w:after="0" w:line="240" w:lineRule="auto"/>
        <w:ind w:left="709" w:right="709" w:firstLine="0"/>
        <w:contextualSpacing/>
        <w:jc w:val="both"/>
        <w:rPr>
          <w:rFonts w:ascii="Verdana" w:eastAsia="Aptos" w:hAnsi="Verdana" w:cs="Times New Roman"/>
          <w:i/>
          <w:iCs/>
          <w:color w:val="000000"/>
          <w:sz w:val="21"/>
          <w:szCs w:val="21"/>
        </w:rPr>
      </w:pPr>
      <w:r w:rsidRPr="00BB4624">
        <w:rPr>
          <w:rFonts w:ascii="Verdana" w:eastAsia="Aptos" w:hAnsi="Verdana" w:cs="Times New Roman"/>
          <w:i/>
          <w:iCs/>
          <w:color w:val="000000"/>
          <w:sz w:val="21"/>
          <w:szCs w:val="21"/>
        </w:rPr>
        <w:t xml:space="preserve">Estado de resultados integral (estado de resultado o pérdida o ganancias) del año en que hayan obtenido el mayor ingreso operacional en los últimos cinco (5) años o de los años de vida del oferente, según corresponda, debidamente firmado por el representante legal y el contador público bajo cuya responsabilidad se han preparado y por el revisor fiscal o, en caso de no haberlo, por no estar obligado a tenerlo, por contador público independiente, acompañados de su dictamen u opinión de conformidad con el artículo 38 de la Ley 222 de 1995. </w:t>
      </w:r>
    </w:p>
    <w:p w14:paraId="79698E17" w14:textId="77777777" w:rsidR="00BB4624" w:rsidRPr="00BB4624" w:rsidRDefault="00BB4624" w:rsidP="00BB4624">
      <w:pPr>
        <w:spacing w:line="240" w:lineRule="auto"/>
        <w:ind w:left="709" w:right="709"/>
        <w:contextualSpacing/>
        <w:jc w:val="both"/>
        <w:rPr>
          <w:rFonts w:ascii="Verdana" w:eastAsia="Aptos" w:hAnsi="Verdana" w:cs="Times New Roman"/>
          <w:i/>
          <w:iCs/>
          <w:color w:val="000000"/>
          <w:sz w:val="21"/>
          <w:szCs w:val="21"/>
        </w:rPr>
      </w:pPr>
    </w:p>
    <w:p w14:paraId="617CFCDE" w14:textId="77777777" w:rsidR="00BB4624" w:rsidRPr="00BB4624" w:rsidRDefault="00BB4624" w:rsidP="00BB4624">
      <w:pPr>
        <w:numPr>
          <w:ilvl w:val="0"/>
          <w:numId w:val="18"/>
        </w:numPr>
        <w:spacing w:after="0" w:line="240" w:lineRule="auto"/>
        <w:ind w:left="709" w:right="709" w:firstLine="0"/>
        <w:contextualSpacing/>
        <w:jc w:val="both"/>
        <w:rPr>
          <w:rFonts w:ascii="Verdana" w:eastAsia="Aptos" w:hAnsi="Verdana" w:cs="Times New Roman"/>
          <w:i/>
          <w:iCs/>
          <w:color w:val="000000"/>
          <w:sz w:val="21"/>
          <w:szCs w:val="21"/>
        </w:rPr>
      </w:pPr>
      <w:r w:rsidRPr="00BB4624">
        <w:rPr>
          <w:rFonts w:ascii="Verdana" w:eastAsia="Aptos" w:hAnsi="Verdana" w:cs="Times New Roman"/>
          <w:i/>
          <w:iCs/>
          <w:color w:val="000000"/>
          <w:sz w:val="21"/>
          <w:szCs w:val="21"/>
        </w:rPr>
        <w:t>Copia de la tarjeta profesional y certificado de antecedentes disciplinarios vigentes de los Contadores Públicos, Revisores Fiscales, Contadores independientes (externos), quienes suscribieron los documentos señalados en el presente literal”.</w:t>
      </w:r>
    </w:p>
    <w:p w14:paraId="12FDBBE0" w14:textId="77777777" w:rsidR="00BB4624" w:rsidRPr="00BB4624" w:rsidRDefault="00BB4624" w:rsidP="00BB4624">
      <w:pPr>
        <w:spacing w:after="0" w:line="276" w:lineRule="auto"/>
        <w:ind w:right="709"/>
        <w:contextualSpacing/>
        <w:jc w:val="both"/>
        <w:rPr>
          <w:rFonts w:ascii="Verdana" w:eastAsia="Aptos" w:hAnsi="Verdana" w:cs="Times New Roman"/>
          <w:i/>
          <w:iCs/>
          <w:color w:val="000000"/>
        </w:rPr>
      </w:pPr>
    </w:p>
    <w:p w14:paraId="2B1D3114" w14:textId="77777777" w:rsidR="00BB4624" w:rsidRPr="00BB4624" w:rsidRDefault="00BB4624" w:rsidP="00BB4624">
      <w:pPr>
        <w:snapToGrid w:val="0"/>
        <w:spacing w:after="120" w:line="276" w:lineRule="auto"/>
        <w:ind w:firstLine="709"/>
        <w:jc w:val="both"/>
        <w:rPr>
          <w:rFonts w:ascii="Verdana" w:eastAsia="Aptos" w:hAnsi="Verdana" w:cs="Times New Roman"/>
          <w:color w:val="000000"/>
        </w:rPr>
      </w:pPr>
      <w:r w:rsidRPr="00BB4624">
        <w:rPr>
          <w:rFonts w:ascii="Verdana" w:eastAsia="Aptos" w:hAnsi="Verdana" w:cs="Times New Roman"/>
          <w:color w:val="000000"/>
        </w:rPr>
        <w:t xml:space="preserve">De acuerdo con lo definido en el numeral I, el Estado de Resultados Integral requerido para acreditar el mayor ingreso operacional debe estar acompañado del dictamen u opinión del </w:t>
      </w:r>
      <w:r w:rsidRPr="00BB4624">
        <w:rPr>
          <w:rFonts w:ascii="Verdana" w:eastAsia="Aptos" w:hAnsi="Verdana" w:cs="Times New Roman"/>
          <w:i/>
          <w:iCs/>
          <w:color w:val="000000"/>
        </w:rPr>
        <w:t>revisor fiscal</w:t>
      </w:r>
      <w:r w:rsidRPr="00BB4624">
        <w:rPr>
          <w:rFonts w:ascii="Verdana" w:eastAsia="Aptos" w:hAnsi="Verdana" w:cs="Times New Roman"/>
          <w:color w:val="000000"/>
        </w:rPr>
        <w:t xml:space="preserve">, cuando el proponente está obligado a tenerlo, o de un </w:t>
      </w:r>
      <w:r w:rsidRPr="00BB4624">
        <w:rPr>
          <w:rFonts w:ascii="Verdana" w:eastAsia="Aptos" w:hAnsi="Verdana" w:cs="Times New Roman"/>
          <w:i/>
          <w:iCs/>
          <w:color w:val="000000"/>
        </w:rPr>
        <w:t>contador público independiente</w:t>
      </w:r>
      <w:r w:rsidRPr="00BB4624">
        <w:rPr>
          <w:rFonts w:ascii="Verdana" w:eastAsia="Aptos" w:hAnsi="Verdana" w:cs="Times New Roman"/>
          <w:color w:val="000000"/>
        </w:rPr>
        <w:t xml:space="preserve"> de conformidad con el artículo 38 de la Ley 222 de 1995. </w:t>
      </w:r>
    </w:p>
    <w:p w14:paraId="19F0A8A8" w14:textId="77777777" w:rsidR="00BB4624" w:rsidRPr="00BB4624" w:rsidRDefault="00BB4624" w:rsidP="00BB4624">
      <w:pPr>
        <w:snapToGrid w:val="0"/>
        <w:spacing w:after="0" w:line="276" w:lineRule="auto"/>
        <w:ind w:firstLine="709"/>
        <w:jc w:val="both"/>
        <w:rPr>
          <w:rFonts w:ascii="Verdana" w:eastAsia="Aptos" w:hAnsi="Verdana" w:cs="Times New Roman"/>
          <w:color w:val="000000"/>
        </w:rPr>
      </w:pPr>
      <w:r w:rsidRPr="00BB4624">
        <w:rPr>
          <w:rFonts w:ascii="Verdana" w:eastAsia="Aptos" w:hAnsi="Verdana" w:cs="Times New Roman"/>
          <w:color w:val="000000"/>
        </w:rPr>
        <w:t xml:space="preserve">Como se puede evidenciar, el Decreto 1082 de 2015 en su artículo 2.2.1.1.1.6.4 indicó que para efectos de acreditar la capacidad de organización del proponente, este debe presentar el </w:t>
      </w:r>
      <w:r w:rsidRPr="00BB4624">
        <w:rPr>
          <w:rFonts w:ascii="Verdana" w:eastAsia="Aptos" w:hAnsi="Verdana" w:cs="Times New Roman"/>
          <w:i/>
          <w:iCs/>
          <w:color w:val="000000"/>
          <w:u w:val="single"/>
        </w:rPr>
        <w:t>estado de resultados auditado</w:t>
      </w:r>
      <w:r w:rsidRPr="00BB4624">
        <w:rPr>
          <w:rFonts w:ascii="Verdana" w:eastAsia="Aptos" w:hAnsi="Verdana" w:cs="Times New Roman"/>
          <w:color w:val="000000"/>
        </w:rPr>
        <w:t xml:space="preserve"> del año en que haya obtenido el mayor ingreso operacional en los últimos cinco (5) años. Es importante resaltar la precisión que hace el Decreto 1082 de 2015 respecto a la necesidad que dichos estados de resultados sean auditados; por lo anterior, y en línea con lo definido por el decreto mencionado, la “GUÍA PARA DETERMINAR Y VERIFICAR LA CAPACIDAD RESIDUAL DEL PROPONENTE EN LOS PROCESOS DE CONTRATACIÓN DE OBRA PÚBLICA” precisó</w:t>
      </w:r>
      <w:r w:rsidRPr="00BB4624">
        <w:rPr>
          <w:rFonts w:ascii="Verdana" w:eastAsia="Aptos" w:hAnsi="Verdana" w:cs="Times New Roman"/>
          <w:b/>
          <w:bCs/>
          <w:color w:val="000000"/>
        </w:rPr>
        <w:t xml:space="preserve"> </w:t>
      </w:r>
      <w:r w:rsidRPr="00BB4624">
        <w:rPr>
          <w:rFonts w:ascii="Verdana" w:eastAsia="Aptos" w:hAnsi="Verdana" w:cs="Times New Roman"/>
          <w:color w:val="000000"/>
        </w:rPr>
        <w:t>que</w:t>
      </w:r>
      <w:r w:rsidRPr="00BB4624">
        <w:rPr>
          <w:rFonts w:ascii="Verdana" w:eastAsia="Aptos" w:hAnsi="Verdana" w:cs="Times New Roman"/>
          <w:b/>
          <w:bCs/>
          <w:color w:val="000000"/>
        </w:rPr>
        <w:t xml:space="preserve"> </w:t>
      </w:r>
      <w:r w:rsidRPr="00BB4624">
        <w:rPr>
          <w:rFonts w:ascii="Verdana" w:eastAsia="Aptos" w:hAnsi="Verdana" w:cs="Times New Roman"/>
          <w:color w:val="000000"/>
        </w:rPr>
        <w:t xml:space="preserve">los Estados de Resultados deben venir firmados por el representante legal y el contador público bajo cuya responsabilidad se han </w:t>
      </w:r>
      <w:r w:rsidRPr="00BB4624">
        <w:rPr>
          <w:rFonts w:ascii="Verdana" w:eastAsia="Aptos" w:hAnsi="Verdana" w:cs="Times New Roman"/>
          <w:i/>
          <w:iCs/>
          <w:color w:val="000000"/>
          <w:u w:val="single"/>
        </w:rPr>
        <w:t>preparado</w:t>
      </w:r>
      <w:r w:rsidRPr="00BB4624">
        <w:rPr>
          <w:rFonts w:ascii="Verdana" w:eastAsia="Aptos" w:hAnsi="Verdana" w:cs="Times New Roman"/>
          <w:color w:val="000000"/>
        </w:rPr>
        <w:t xml:space="preserve">, e igualmente deberán venir </w:t>
      </w:r>
      <w:r w:rsidRPr="00BB4624">
        <w:rPr>
          <w:rFonts w:ascii="Verdana" w:eastAsia="Aptos" w:hAnsi="Verdana" w:cs="Times New Roman"/>
          <w:i/>
          <w:iCs/>
          <w:color w:val="000000"/>
          <w:u w:val="single"/>
        </w:rPr>
        <w:t>acompañados del  dictamen u opinión</w:t>
      </w:r>
      <w:r w:rsidRPr="00BB4624">
        <w:rPr>
          <w:rFonts w:ascii="Verdana" w:eastAsia="Aptos" w:hAnsi="Verdana" w:cs="Times New Roman"/>
          <w:i/>
          <w:iCs/>
          <w:color w:val="000000"/>
        </w:rPr>
        <w:t xml:space="preserve"> </w:t>
      </w:r>
      <w:r w:rsidRPr="00BB4624">
        <w:rPr>
          <w:rFonts w:ascii="Verdana" w:eastAsia="Aptos" w:hAnsi="Verdana" w:cs="Times New Roman"/>
          <w:color w:val="000000"/>
        </w:rPr>
        <w:t>del</w:t>
      </w:r>
      <w:r w:rsidRPr="00BB4624">
        <w:rPr>
          <w:rFonts w:ascii="Verdana" w:eastAsia="Aptos" w:hAnsi="Verdana" w:cs="Times New Roman"/>
          <w:i/>
          <w:iCs/>
          <w:color w:val="000000"/>
        </w:rPr>
        <w:t xml:space="preserve"> </w:t>
      </w:r>
      <w:r w:rsidRPr="00BB4624">
        <w:rPr>
          <w:rFonts w:ascii="Verdana" w:eastAsia="Aptos" w:hAnsi="Verdana" w:cs="Times New Roman"/>
          <w:color w:val="000000"/>
        </w:rPr>
        <w:t>revisor fiscal o, en caso de no haberlo, por no estar obligado a tenerlo, por contador público independiente de conformidad con el artículo 38 de la Ley 222 de 1995</w:t>
      </w:r>
      <w:r w:rsidRPr="00BB4624">
        <w:rPr>
          <w:rFonts w:ascii="Verdana" w:eastAsia="Aptos" w:hAnsi="Verdana" w:cs="Times New Roman"/>
          <w:i/>
          <w:iCs/>
          <w:color w:val="000000"/>
        </w:rPr>
        <w:t>.</w:t>
      </w:r>
    </w:p>
    <w:p w14:paraId="4082E715" w14:textId="77777777" w:rsidR="00BB4624" w:rsidRPr="00BB4624" w:rsidRDefault="00BB4624" w:rsidP="00BB4624">
      <w:pPr>
        <w:spacing w:after="0" w:line="276" w:lineRule="auto"/>
        <w:jc w:val="both"/>
        <w:rPr>
          <w:rFonts w:ascii="Verdana" w:eastAsia="Aptos" w:hAnsi="Verdana" w:cs="Times New Roman"/>
          <w:kern w:val="2"/>
          <w14:ligatures w14:val="standardContextual"/>
        </w:rPr>
      </w:pPr>
    </w:p>
    <w:p w14:paraId="78E7F75A" w14:textId="77777777" w:rsidR="00BB4624" w:rsidRPr="00BB4624" w:rsidRDefault="00BB4624" w:rsidP="00BB4624">
      <w:pPr>
        <w:numPr>
          <w:ilvl w:val="0"/>
          <w:numId w:val="16"/>
        </w:numPr>
        <w:tabs>
          <w:tab w:val="left" w:pos="142"/>
          <w:tab w:val="left" w:pos="284"/>
        </w:tabs>
        <w:snapToGrid w:val="0"/>
        <w:spacing w:after="0" w:line="276" w:lineRule="auto"/>
        <w:ind w:left="357" w:hanging="357"/>
        <w:contextualSpacing/>
        <w:jc w:val="both"/>
        <w:rPr>
          <w:rFonts w:ascii="Verdana" w:eastAsia="Century Gothic" w:hAnsi="Verdana" w:cs="Century Gothic"/>
          <w:b/>
          <w:bCs/>
          <w:lang w:val="es-ES_tradnl"/>
        </w:rPr>
      </w:pPr>
      <w:r w:rsidRPr="00BB4624">
        <w:rPr>
          <w:rFonts w:ascii="Verdana" w:eastAsia="Century Gothic" w:hAnsi="Verdana" w:cs="Century Gothic"/>
          <w:b/>
          <w:bCs/>
          <w:lang w:val="es-ES_tradnl"/>
        </w:rPr>
        <w:t>Referencias normativas, jurisprudenciales y otras fuentes:</w:t>
      </w:r>
    </w:p>
    <w:p w14:paraId="76093905" w14:textId="77777777" w:rsidR="00BB4624" w:rsidRPr="00BB4624" w:rsidRDefault="00BB4624" w:rsidP="00BB4624">
      <w:pPr>
        <w:widowControl w:val="0"/>
        <w:autoSpaceDE w:val="0"/>
        <w:autoSpaceDN w:val="0"/>
        <w:snapToGrid w:val="0"/>
        <w:spacing w:after="0" w:line="276" w:lineRule="auto"/>
        <w:jc w:val="both"/>
        <w:rPr>
          <w:rFonts w:ascii="Verdana" w:eastAsia="Calibri" w:hAnsi="Verdana" w:cs="Arial"/>
          <w:lang w:val="es-ES_tradnl"/>
        </w:rPr>
      </w:pPr>
    </w:p>
    <w:tbl>
      <w:tblPr>
        <w:tblStyle w:val="Tablaconcuadrcula1"/>
        <w:tblW w:w="8647" w:type="dxa"/>
        <w:tblInd w:w="137" w:type="dxa"/>
        <w:tblBorders>
          <w:top w:val="dotted" w:sz="4" w:space="0" w:color="auto"/>
          <w:left w:val="dotted" w:sz="4" w:space="0" w:color="auto"/>
          <w:bottom w:val="dotted" w:sz="4" w:space="0" w:color="auto"/>
          <w:right w:val="dotted" w:sz="4" w:space="0" w:color="auto"/>
          <w:insideH w:val="none" w:sz="0" w:space="0" w:color="auto"/>
          <w:insideV w:val="none" w:sz="0" w:space="0" w:color="auto"/>
        </w:tblBorders>
        <w:tblLayout w:type="fixed"/>
        <w:tblLook w:val="04A0" w:firstRow="1" w:lastRow="0" w:firstColumn="1" w:lastColumn="0" w:noHBand="0" w:noVBand="1"/>
      </w:tblPr>
      <w:tblGrid>
        <w:gridCol w:w="8647"/>
      </w:tblGrid>
      <w:tr w:rsidR="00BB4624" w:rsidRPr="00BB4624" w14:paraId="45DE3BC7" w14:textId="77777777" w:rsidTr="006C7054">
        <w:trPr>
          <w:trHeight w:val="870"/>
        </w:trPr>
        <w:tc>
          <w:tcPr>
            <w:tcW w:w="8647" w:type="dxa"/>
          </w:tcPr>
          <w:p w14:paraId="5ADD626F" w14:textId="77777777" w:rsidR="00BB4624" w:rsidRPr="00BB4624" w:rsidRDefault="00BB4624" w:rsidP="00BB4624">
            <w:pPr>
              <w:widowControl w:val="0"/>
              <w:numPr>
                <w:ilvl w:val="0"/>
                <w:numId w:val="17"/>
              </w:numPr>
              <w:autoSpaceDE w:val="0"/>
              <w:autoSpaceDN w:val="0"/>
              <w:snapToGrid w:val="0"/>
              <w:spacing w:after="120" w:line="276" w:lineRule="auto"/>
              <w:ind w:left="714" w:hanging="357"/>
              <w:jc w:val="both"/>
              <w:rPr>
                <w:rFonts w:ascii="Verdana" w:eastAsia="Calibri" w:hAnsi="Verdana" w:cs="Arial"/>
                <w:lang w:val="es-ES_tradnl" w:eastAsia="es-CO"/>
              </w:rPr>
            </w:pPr>
            <w:r w:rsidRPr="00BB4624">
              <w:rPr>
                <w:rFonts w:ascii="Verdana" w:eastAsia="Calibri" w:hAnsi="Verdana" w:cs="Arial"/>
                <w:lang w:val="es-ES_tradnl" w:eastAsia="es-CO"/>
              </w:rPr>
              <w:t xml:space="preserve">Ley 2022 de 2020, artículo 1. </w:t>
            </w:r>
          </w:p>
          <w:p w14:paraId="7A1632A2" w14:textId="77777777" w:rsidR="00BB4624" w:rsidRPr="00BB4624" w:rsidRDefault="00BB4624" w:rsidP="00BB4624">
            <w:pPr>
              <w:widowControl w:val="0"/>
              <w:numPr>
                <w:ilvl w:val="0"/>
                <w:numId w:val="17"/>
              </w:numPr>
              <w:autoSpaceDE w:val="0"/>
              <w:autoSpaceDN w:val="0"/>
              <w:snapToGrid w:val="0"/>
              <w:spacing w:after="120" w:line="276" w:lineRule="auto"/>
              <w:jc w:val="both"/>
              <w:rPr>
                <w:rFonts w:ascii="Verdana" w:eastAsia="Calibri" w:hAnsi="Verdana" w:cs="Arial"/>
                <w:lang w:val="es-ES_tradnl" w:eastAsia="es-CO"/>
              </w:rPr>
            </w:pPr>
            <w:r w:rsidRPr="00BB4624">
              <w:rPr>
                <w:rFonts w:ascii="Verdana" w:eastAsia="Calibri" w:hAnsi="Verdana" w:cs="Arial"/>
                <w:lang w:val="es-ES_tradnl" w:eastAsia="es-CO"/>
              </w:rPr>
              <w:t>Ley 1682 de 2013, artículo 72.</w:t>
            </w:r>
          </w:p>
          <w:p w14:paraId="40A169C9" w14:textId="77777777" w:rsidR="00BB4624" w:rsidRPr="00BB4624" w:rsidRDefault="00BB4624" w:rsidP="00BB4624">
            <w:pPr>
              <w:widowControl w:val="0"/>
              <w:numPr>
                <w:ilvl w:val="0"/>
                <w:numId w:val="17"/>
              </w:numPr>
              <w:autoSpaceDE w:val="0"/>
              <w:autoSpaceDN w:val="0"/>
              <w:snapToGrid w:val="0"/>
              <w:spacing w:after="120" w:line="276" w:lineRule="auto"/>
              <w:jc w:val="both"/>
              <w:rPr>
                <w:rFonts w:ascii="Verdana" w:eastAsia="Calibri" w:hAnsi="Verdana" w:cs="Arial"/>
                <w:lang w:val="es-ES_tradnl" w:eastAsia="es-CO"/>
              </w:rPr>
            </w:pPr>
            <w:r w:rsidRPr="00BB4624">
              <w:rPr>
                <w:rFonts w:ascii="Verdana" w:eastAsia="Calibri" w:hAnsi="Verdana" w:cs="Arial"/>
                <w:lang w:val="es-ES_tradnl" w:eastAsia="es-CO"/>
              </w:rPr>
              <w:t>Ley 1150 de 2007, artículo 6.</w:t>
            </w:r>
          </w:p>
          <w:p w14:paraId="0B642475" w14:textId="77777777" w:rsidR="00BB4624" w:rsidRPr="00BB4624" w:rsidRDefault="00BB4624" w:rsidP="00BB4624">
            <w:pPr>
              <w:widowControl w:val="0"/>
              <w:numPr>
                <w:ilvl w:val="0"/>
                <w:numId w:val="17"/>
              </w:numPr>
              <w:autoSpaceDE w:val="0"/>
              <w:autoSpaceDN w:val="0"/>
              <w:snapToGrid w:val="0"/>
              <w:spacing w:after="120" w:line="276" w:lineRule="auto"/>
              <w:jc w:val="both"/>
              <w:rPr>
                <w:rFonts w:ascii="Verdana" w:eastAsia="Calibri" w:hAnsi="Verdana" w:cs="Arial"/>
                <w:lang w:val="es-ES_tradnl" w:eastAsia="es-CO"/>
              </w:rPr>
            </w:pPr>
            <w:r w:rsidRPr="00BB4624">
              <w:rPr>
                <w:rFonts w:ascii="Verdana" w:eastAsia="Calibri" w:hAnsi="Verdana" w:cs="Arial"/>
                <w:lang w:val="es-ES_tradnl" w:eastAsia="es-CO"/>
              </w:rPr>
              <w:t>Decreto 1082 de 2015, artículos 2.2.1.1.1.3.1 y 2.2.1.1.1.6.4.</w:t>
            </w:r>
          </w:p>
          <w:p w14:paraId="1BD74737" w14:textId="77777777" w:rsidR="00BB4624" w:rsidRPr="00BB4624" w:rsidRDefault="00BB4624" w:rsidP="00BB4624">
            <w:pPr>
              <w:widowControl w:val="0"/>
              <w:numPr>
                <w:ilvl w:val="0"/>
                <w:numId w:val="17"/>
              </w:numPr>
              <w:autoSpaceDE w:val="0"/>
              <w:autoSpaceDN w:val="0"/>
              <w:snapToGrid w:val="0"/>
              <w:spacing w:after="120" w:line="276" w:lineRule="auto"/>
              <w:jc w:val="both"/>
              <w:rPr>
                <w:rFonts w:ascii="Verdana" w:eastAsia="Calibri" w:hAnsi="Verdana" w:cs="Arial"/>
                <w:lang w:val="es-ES_tradnl" w:eastAsia="es-CO"/>
              </w:rPr>
            </w:pPr>
            <w:r w:rsidRPr="00BB4624">
              <w:rPr>
                <w:rFonts w:ascii="Verdana" w:eastAsia="Calibri" w:hAnsi="Verdana" w:cs="Arial"/>
                <w:lang w:val="es-ES_tradnl" w:eastAsia="es-CO"/>
              </w:rPr>
              <w:t>Consejo de Estado. Sección Tercera. Sentencia del 26 de junio de 2003. Rad. 13.354. C.P. María Elena Giraldo Gómez.</w:t>
            </w:r>
          </w:p>
          <w:p w14:paraId="2CD3D0FD" w14:textId="77777777" w:rsidR="00BB4624" w:rsidRPr="00BB4624" w:rsidRDefault="00BB4624" w:rsidP="00BB4624">
            <w:pPr>
              <w:widowControl w:val="0"/>
              <w:numPr>
                <w:ilvl w:val="0"/>
                <w:numId w:val="17"/>
              </w:numPr>
              <w:autoSpaceDE w:val="0"/>
              <w:autoSpaceDN w:val="0"/>
              <w:snapToGrid w:val="0"/>
              <w:spacing w:after="120" w:line="276" w:lineRule="auto"/>
              <w:ind w:left="714" w:hanging="357"/>
              <w:jc w:val="both"/>
              <w:rPr>
                <w:rFonts w:ascii="Verdana" w:eastAsia="Calibri" w:hAnsi="Verdana" w:cs="Arial"/>
                <w:lang w:val="es-ES_tradnl" w:eastAsia="es-CO"/>
              </w:rPr>
            </w:pPr>
            <w:r w:rsidRPr="00BB4624">
              <w:rPr>
                <w:rFonts w:ascii="Verdana" w:eastAsia="Calibri" w:hAnsi="Verdana" w:cs="Arial"/>
                <w:lang w:val="es-ES_tradnl" w:eastAsia="es-CO"/>
              </w:rPr>
              <w:t xml:space="preserve">Documentos Tipo expedidos por la Agencia Nacional de Contratación Pública – Colombia Compra Eficiente. Disponibles en: </w:t>
            </w:r>
            <w:hyperlink r:id="rId12" w:history="1">
              <w:r w:rsidRPr="00BB4624">
                <w:rPr>
                  <w:rFonts w:ascii="Verdana" w:eastAsia="Calibri" w:hAnsi="Verdana" w:cs="Arial"/>
                  <w:color w:val="467886"/>
                  <w:u w:val="single"/>
                  <w:lang w:val="es-ES_tradnl" w:eastAsia="es-CO"/>
                </w:rPr>
                <w:t>https://www.colombiacompra.gov.co/normativa-y-relatoria/documentos-tipo</w:t>
              </w:r>
            </w:hyperlink>
            <w:r w:rsidRPr="00BB4624">
              <w:rPr>
                <w:rFonts w:ascii="Verdana" w:eastAsia="Calibri" w:hAnsi="Verdana" w:cs="Arial"/>
                <w:lang w:val="es-ES_tradnl" w:eastAsia="es-CO"/>
              </w:rPr>
              <w:t xml:space="preserve">. </w:t>
            </w:r>
          </w:p>
          <w:p w14:paraId="550542BD" w14:textId="77777777" w:rsidR="00BB4624" w:rsidRPr="00BB4624" w:rsidRDefault="00BB4624" w:rsidP="00BB4624">
            <w:pPr>
              <w:widowControl w:val="0"/>
              <w:numPr>
                <w:ilvl w:val="0"/>
                <w:numId w:val="17"/>
              </w:numPr>
              <w:autoSpaceDE w:val="0"/>
              <w:autoSpaceDN w:val="0"/>
              <w:snapToGrid w:val="0"/>
              <w:spacing w:after="120" w:line="276" w:lineRule="auto"/>
              <w:ind w:left="714" w:hanging="357"/>
              <w:jc w:val="both"/>
              <w:rPr>
                <w:rFonts w:ascii="Verdana" w:eastAsia="Calibri" w:hAnsi="Verdana" w:cs="Arial"/>
                <w:lang w:val="es-ES_tradnl" w:eastAsia="es-CO"/>
              </w:rPr>
            </w:pPr>
            <w:r w:rsidRPr="00BB4624">
              <w:rPr>
                <w:rFonts w:ascii="Verdana" w:eastAsia="Calibri" w:hAnsi="Verdana" w:cs="Arial"/>
                <w:color w:val="000000"/>
                <w:lang w:val="es-MX" w:eastAsia="en-GB"/>
              </w:rPr>
              <w:t xml:space="preserve">Guía para Determinar y Verificar la Capacidad Residual del Proponente en los Procesos de Contratación de Obra Pública. </w:t>
            </w:r>
            <w:r w:rsidRPr="00BB4624">
              <w:rPr>
                <w:rFonts w:ascii="Verdana" w:eastAsia="Calibri" w:hAnsi="Verdana" w:cs="Arial"/>
                <w:lang w:val="es-ES_tradnl" w:eastAsia="es-CO"/>
              </w:rPr>
              <w:t xml:space="preserve">Agencia Nacional de Contratación Pública – Colombia Compra Eficiente. Disponible en: </w:t>
            </w:r>
            <w:hyperlink r:id="rId13" w:history="1">
              <w:r w:rsidRPr="00BB4624">
                <w:rPr>
                  <w:rFonts w:ascii="Verdana" w:eastAsia="Calibri" w:hAnsi="Verdana" w:cs="Arial"/>
                  <w:color w:val="0000FF"/>
                  <w:u w:val="single"/>
                  <w:lang w:val="es-ES_tradnl" w:eastAsia="es-CO"/>
                </w:rPr>
                <w:t>https://www.colombiacompra.gov.co/normativa-y-relatoria/guias-y-manuales</w:t>
              </w:r>
            </w:hyperlink>
            <w:r w:rsidRPr="00BB4624">
              <w:rPr>
                <w:rFonts w:ascii="Verdana" w:eastAsia="Calibri" w:hAnsi="Verdana" w:cs="Arial"/>
                <w:lang w:val="es-ES_tradnl" w:eastAsia="es-CO"/>
              </w:rPr>
              <w:t xml:space="preserve">. </w:t>
            </w:r>
          </w:p>
        </w:tc>
      </w:tr>
    </w:tbl>
    <w:p w14:paraId="79A82971" w14:textId="77777777" w:rsidR="00BB4624" w:rsidRPr="00BB4624" w:rsidRDefault="00BB4624" w:rsidP="00BB4624">
      <w:pPr>
        <w:widowControl w:val="0"/>
        <w:autoSpaceDE w:val="0"/>
        <w:autoSpaceDN w:val="0"/>
        <w:snapToGrid w:val="0"/>
        <w:spacing w:after="0" w:line="276" w:lineRule="auto"/>
        <w:jc w:val="both"/>
        <w:rPr>
          <w:rFonts w:ascii="Verdana" w:eastAsia="Calibri" w:hAnsi="Verdana" w:cs="Arial"/>
          <w:lang w:val="es-ES_tradnl"/>
        </w:rPr>
      </w:pPr>
    </w:p>
    <w:p w14:paraId="434AC053" w14:textId="77777777" w:rsidR="00BB4624" w:rsidRPr="00BB4624" w:rsidRDefault="00BB4624" w:rsidP="00BB4624">
      <w:pPr>
        <w:numPr>
          <w:ilvl w:val="0"/>
          <w:numId w:val="16"/>
        </w:numPr>
        <w:tabs>
          <w:tab w:val="left" w:pos="142"/>
          <w:tab w:val="left" w:pos="284"/>
        </w:tabs>
        <w:snapToGrid w:val="0"/>
        <w:spacing w:after="0" w:line="276" w:lineRule="auto"/>
        <w:ind w:left="357" w:hanging="357"/>
        <w:jc w:val="both"/>
        <w:rPr>
          <w:rFonts w:ascii="Verdana" w:eastAsia="Century Gothic" w:hAnsi="Verdana" w:cs="Century Gothic"/>
          <w:b/>
          <w:bCs/>
          <w:lang w:val="es-ES_tradnl"/>
        </w:rPr>
      </w:pPr>
      <w:r w:rsidRPr="00BB4624">
        <w:rPr>
          <w:rFonts w:ascii="Verdana" w:eastAsia="Century Gothic" w:hAnsi="Verdana" w:cs="Century Gothic"/>
          <w:b/>
          <w:bCs/>
          <w:lang w:val="es-ES_tradnl"/>
        </w:rPr>
        <w:t>Doctrina de la Agencia Nacional de Contratación Pública:</w:t>
      </w:r>
    </w:p>
    <w:p w14:paraId="25C0F5C3" w14:textId="77777777" w:rsidR="00BB4624" w:rsidRPr="00BB4624" w:rsidRDefault="00BB4624" w:rsidP="00BB4624">
      <w:pPr>
        <w:widowControl w:val="0"/>
        <w:autoSpaceDE w:val="0"/>
        <w:autoSpaceDN w:val="0"/>
        <w:snapToGrid w:val="0"/>
        <w:spacing w:after="0" w:line="276" w:lineRule="auto"/>
        <w:jc w:val="both"/>
        <w:rPr>
          <w:rFonts w:ascii="Verdana" w:eastAsia="Calibri" w:hAnsi="Verdana" w:cs="Arial"/>
          <w:lang w:val="es-ES_tradnl"/>
        </w:rPr>
      </w:pPr>
    </w:p>
    <w:p w14:paraId="76A109DC" w14:textId="77777777" w:rsidR="00BB4624" w:rsidRPr="00BB4624" w:rsidRDefault="00BB4624" w:rsidP="00BB4624">
      <w:pPr>
        <w:spacing w:after="0" w:line="276" w:lineRule="auto"/>
        <w:jc w:val="both"/>
        <w:textAlignment w:val="baseline"/>
        <w:rPr>
          <w:rFonts w:ascii="Verdana" w:eastAsia="Calibri" w:hAnsi="Verdana" w:cs="Arial"/>
          <w:kern w:val="2"/>
          <w:shd w:val="clear" w:color="auto" w:fill="FFFFFF"/>
          <w:lang w:val="es-ES_tradnl"/>
          <w14:ligatures w14:val="standardContextual"/>
        </w:rPr>
      </w:pPr>
      <w:r w:rsidRPr="00BB4624">
        <w:rPr>
          <w:rFonts w:ascii="Verdana" w:eastAsia="Calibri" w:hAnsi="Verdana" w:cs="Arial"/>
          <w:kern w:val="2"/>
          <w:shd w:val="clear" w:color="auto" w:fill="FFFFFF"/>
          <w:lang w:val="es-ES"/>
          <w14:ligatures w14:val="standardContextual"/>
        </w:rPr>
        <w:t>La Agencia Nacional de Contratación Pública – Colombia Compra Eficiente se pronunció</w:t>
      </w:r>
      <w:r w:rsidRPr="00BB4624">
        <w:rPr>
          <w:rFonts w:ascii="Aptos" w:eastAsia="Aptos" w:hAnsi="Aptos" w:cs="Times New Roman"/>
          <w:kern w:val="2"/>
          <w:sz w:val="24"/>
          <w:szCs w:val="24"/>
          <w:lang w:val="es-ES_tradnl"/>
          <w14:ligatures w14:val="standardContextual"/>
        </w:rPr>
        <w:t xml:space="preserve"> </w:t>
      </w:r>
      <w:r w:rsidRPr="00BB4624">
        <w:rPr>
          <w:rFonts w:ascii="Verdana" w:eastAsia="Calibri" w:hAnsi="Verdana" w:cs="Arial"/>
          <w:kern w:val="2"/>
          <w:shd w:val="clear" w:color="auto" w:fill="FFFFFF"/>
          <w:lang w:val="es-ES"/>
          <w14:ligatures w14:val="standardContextual"/>
        </w:rPr>
        <w:t xml:space="preserve">sobre la capacidad residual y la forma como esta se debe acreditar, en los conceptos 2201913000006275 del 27 de agosto de 2019, 2201913000009465 del 20 de diciembre de 2019, 2201913000009642 y 2201913000009640 del 26 de diciembre de 2019; así como en los conceptos C–022 del 20 de febrero de 2020, C–089 del 4 de marzo de 2020, C–112 del 16 de marzo de 2020, C–133 del 25 de marzo de 2020, C–194 del 21 de abril de 2020, C–326 del 9 de junio de 2020, C–446 del 6 de julio de 2020, C-461 del 13 de julio de 2020, C–668 del 20 de noviembre de 2020, C–742 del 16 de diciembre de 2020, C–045 del 5 de marzo de 2021, C–003 del 26 de marzo de 2021, C–121 del 31 de marzo de 2021, C–143 del 9 de abril de 2021, C–202 del 7 de mayo de 2021, C–219 del 19 de mayo de 2021, C–368 del 28 de julio de 2021, C–392 del 5 de agosto de 2021, C–513 del 23 de septiembre de 2021, C–590 </w:t>
      </w:r>
      <w:r w:rsidRPr="00BB4624">
        <w:rPr>
          <w:rFonts w:ascii="Verdana" w:eastAsia="Calibri" w:hAnsi="Verdana" w:cs="Arial"/>
          <w:kern w:val="2"/>
          <w:shd w:val="clear" w:color="auto" w:fill="FFFFFF"/>
          <w:lang w:val="es-ES"/>
          <w14:ligatures w14:val="standardContextual"/>
        </w:rPr>
        <w:lastRenderedPageBreak/>
        <w:t>del 12 de octubre de 2021, C-068 del 9 de marzo de 2022, C-220 del 22 de abril de 2022, C-351 del 23 de mayo de 2022, C-392 del 16 de junio de 2022, C-411 del 4 de diciembre de 2023, C-486 del 29 de mayo de 2025, C-687 del 5 de junio de 2026, entre otros.</w:t>
      </w:r>
    </w:p>
    <w:p w14:paraId="1B043CD4" w14:textId="77777777" w:rsidR="00BB4624" w:rsidRPr="00BB4624" w:rsidRDefault="00BB4624" w:rsidP="00BB4624">
      <w:pPr>
        <w:spacing w:after="0" w:line="276" w:lineRule="auto"/>
        <w:jc w:val="both"/>
        <w:textAlignment w:val="baseline"/>
        <w:rPr>
          <w:rFonts w:ascii="Verdana" w:eastAsia="Calibri" w:hAnsi="Verdana" w:cs="Arial"/>
          <w:kern w:val="2"/>
          <w:shd w:val="clear" w:color="auto" w:fill="FFFFFF"/>
          <w:lang w:val="es-ES_tradnl"/>
          <w14:ligatures w14:val="standardContextual"/>
        </w:rPr>
      </w:pPr>
    </w:p>
    <w:p w14:paraId="0C9E46E4" w14:textId="77777777" w:rsidR="00BB4624" w:rsidRPr="00BB4624" w:rsidRDefault="00BB4624" w:rsidP="00BB4624">
      <w:pPr>
        <w:widowControl w:val="0"/>
        <w:autoSpaceDE w:val="0"/>
        <w:autoSpaceDN w:val="0"/>
        <w:spacing w:after="0" w:line="276" w:lineRule="auto"/>
        <w:jc w:val="both"/>
        <w:rPr>
          <w:rFonts w:ascii="Verdana" w:eastAsia="Times New Roman" w:hAnsi="Verdana" w:cs="Arial"/>
          <w:shd w:val="clear" w:color="auto" w:fill="FFFFFF"/>
          <w:lang w:val="es-ES"/>
        </w:rPr>
      </w:pPr>
      <w:r w:rsidRPr="00BB4624">
        <w:rPr>
          <w:rFonts w:ascii="Verdana" w:eastAsia="Calibri" w:hAnsi="Verdana" w:cs="Arial"/>
          <w:color w:val="000000"/>
          <w:shd w:val="clear" w:color="auto" w:fill="FFFFFF"/>
        </w:rPr>
        <w:t xml:space="preserve">Estos y otros conceptos se encuentran disponibles para consulta en el Sistema de Relatoría de la Agencia, en el cual también podrá encontrar jurisprudencia del Consejo de Estado, laudos arbitrales y la normativa de la contratación concordada con la doctrina de la Subdirección de Gestión Contractual. Acceda a través del siguiente enlace: </w:t>
      </w:r>
      <w:hyperlink r:id="rId14" w:history="1">
        <w:r w:rsidRPr="00BB4624">
          <w:rPr>
            <w:rFonts w:ascii="Verdana" w:eastAsia="Aptos" w:hAnsi="Verdana" w:cs="Arial"/>
            <w:color w:val="0000FF"/>
            <w:kern w:val="2"/>
            <w:u w:val="single"/>
            <w:shd w:val="clear" w:color="auto" w:fill="FFFFFF"/>
            <w14:ligatures w14:val="standardContextual"/>
          </w:rPr>
          <w:t>https://relatoria.colombiacompra.gov.co/busqueda/conceptos</w:t>
        </w:r>
      </w:hyperlink>
      <w:r w:rsidRPr="00BB4624">
        <w:rPr>
          <w:rFonts w:ascii="Verdana" w:eastAsia="Aptos" w:hAnsi="Verdana" w:cs="Arial"/>
          <w:kern w:val="2"/>
          <w:shd w:val="clear" w:color="auto" w:fill="FFFFFF"/>
          <w14:ligatures w14:val="standardContextual"/>
        </w:rPr>
        <w:t xml:space="preserve">. </w:t>
      </w:r>
      <w:r w:rsidRPr="00BB4624">
        <w:rPr>
          <w:rFonts w:ascii="Verdana" w:eastAsia="Aptos" w:hAnsi="Verdana" w:cs="Arial"/>
          <w:color w:val="FF0000"/>
          <w:kern w:val="2"/>
          <w:shd w:val="clear" w:color="auto" w:fill="FFFFFF"/>
          <w:lang w:val="es-ES"/>
          <w14:ligatures w14:val="standardContextual"/>
        </w:rPr>
        <w:t xml:space="preserve">  </w:t>
      </w:r>
    </w:p>
    <w:p w14:paraId="2F12634F" w14:textId="77777777" w:rsidR="00BB4624" w:rsidRPr="00BB4624" w:rsidRDefault="00BB4624" w:rsidP="00BB4624">
      <w:pPr>
        <w:spacing w:after="0" w:line="240" w:lineRule="auto"/>
        <w:jc w:val="both"/>
        <w:rPr>
          <w:rFonts w:ascii="Verdana" w:eastAsia="Calibri" w:hAnsi="Verdana" w:cs="Arial"/>
          <w:color w:val="000000"/>
          <w:shd w:val="clear" w:color="auto" w:fill="FFFFFF"/>
        </w:rPr>
      </w:pPr>
    </w:p>
    <w:p w14:paraId="6F78964D" w14:textId="77777777" w:rsidR="00BB4624" w:rsidRPr="00BB4624" w:rsidRDefault="00BB4624" w:rsidP="00BB4624">
      <w:pPr>
        <w:widowControl w:val="0"/>
        <w:autoSpaceDE w:val="0"/>
        <w:autoSpaceDN w:val="0"/>
        <w:spacing w:after="0" w:line="276" w:lineRule="auto"/>
        <w:jc w:val="both"/>
        <w:rPr>
          <w:rFonts w:ascii="Verdana" w:eastAsia="Calibri" w:hAnsi="Verdana" w:cs="Arial"/>
          <w:kern w:val="2"/>
          <w:shd w:val="clear" w:color="auto" w:fill="FFFFFF"/>
          <w:lang w:val="es-ES_tradnl"/>
          <w14:ligatures w14:val="standardContextual"/>
        </w:rPr>
      </w:pPr>
      <w:r w:rsidRPr="00BB4624">
        <w:rPr>
          <w:rFonts w:ascii="Verdana" w:eastAsia="Calibri" w:hAnsi="Verdana" w:cs="Arial"/>
          <w:kern w:val="2"/>
          <w:shd w:val="clear" w:color="auto" w:fill="FFFFFF"/>
          <w:lang w:val="es-ES_tradnl"/>
          <w14:ligatures w14:val="standardContextual"/>
        </w:rPr>
        <w:t>La</w:t>
      </w:r>
      <w:r w:rsidRPr="00BB4624">
        <w:rPr>
          <w:rFonts w:ascii="Verdana" w:eastAsia="Calibri" w:hAnsi="Verdana" w:cs="Arial"/>
          <w:b/>
          <w:bCs/>
          <w:kern w:val="2"/>
          <w:shd w:val="clear" w:color="auto" w:fill="FFFFFF"/>
          <w:lang w:val="es-ES_tradnl"/>
          <w14:ligatures w14:val="standardContextual"/>
        </w:rPr>
        <w:t xml:space="preserve"> Agencia Nacional de Contratación Pública - Colombia Compra Eficiente</w:t>
      </w:r>
      <w:r w:rsidRPr="00BB4624">
        <w:rPr>
          <w:rFonts w:ascii="Verdana" w:eastAsia="Calibri" w:hAnsi="Verdana" w:cs="Arial"/>
          <w:kern w:val="2"/>
          <w:shd w:val="clear" w:color="auto" w:fill="FFFFFF"/>
          <w:lang w:val="es-ES_tradnl"/>
          <w14:ligatures w14:val="standardContextual"/>
        </w:rPr>
        <w:t> recomienda a todas las entidades públicas, independientemente de su naturaleza, que gestionan recursos públicos, la aplicación de los </w:t>
      </w:r>
      <w:r w:rsidRPr="00BB4624">
        <w:rPr>
          <w:rFonts w:ascii="Verdana" w:eastAsia="Calibri" w:hAnsi="Verdana" w:cs="Arial"/>
          <w:b/>
          <w:bCs/>
          <w:kern w:val="2"/>
          <w:shd w:val="clear" w:color="auto" w:fill="FFFFFF"/>
          <w:lang w:val="es-ES_tradnl"/>
          <w14:ligatures w14:val="standardContextual"/>
        </w:rPr>
        <w:t>Documentos Tipo</w:t>
      </w:r>
      <w:r w:rsidRPr="00BB4624">
        <w:rPr>
          <w:rFonts w:ascii="Verdana" w:eastAsia="Calibri" w:hAnsi="Verdana" w:cs="Arial"/>
          <w:kern w:val="2"/>
          <w:shd w:val="clear" w:color="auto" w:fill="FFFFFF"/>
          <w:lang w:val="es-ES_tradnl"/>
          <w14:ligatures w14:val="standardContextual"/>
        </w:rPr>
        <w:t>. Esta recomendación es válida tanto para su uso obligatorio, cuando así lo establezca la normatividad vigente, como para su implementación como una buena práctica. El objetivo es garantizar la </w:t>
      </w:r>
      <w:r w:rsidRPr="00BB4624">
        <w:rPr>
          <w:rFonts w:ascii="Verdana" w:eastAsia="Calibri" w:hAnsi="Verdana" w:cs="Arial"/>
          <w:b/>
          <w:bCs/>
          <w:kern w:val="2"/>
          <w:shd w:val="clear" w:color="auto" w:fill="FFFFFF"/>
          <w:lang w:val="es-ES_tradnl"/>
          <w14:ligatures w14:val="standardContextual"/>
        </w:rPr>
        <w:t>transparencia</w:t>
      </w:r>
      <w:r w:rsidRPr="00BB4624">
        <w:rPr>
          <w:rFonts w:ascii="Verdana" w:eastAsia="Calibri" w:hAnsi="Verdana" w:cs="Arial"/>
          <w:kern w:val="2"/>
          <w:shd w:val="clear" w:color="auto" w:fill="FFFFFF"/>
          <w:lang w:val="es-ES_tradnl"/>
          <w14:ligatures w14:val="standardContextual"/>
        </w:rPr>
        <w:t> y promover un proceso de </w:t>
      </w:r>
      <w:r w:rsidRPr="00BB4624">
        <w:rPr>
          <w:rFonts w:ascii="Verdana" w:eastAsia="Calibri" w:hAnsi="Verdana" w:cs="Arial"/>
          <w:b/>
          <w:bCs/>
          <w:kern w:val="2"/>
          <w:shd w:val="clear" w:color="auto" w:fill="FFFFFF"/>
          <w:lang w:val="es-ES_tradnl"/>
          <w14:ligatures w14:val="standardContextual"/>
        </w:rPr>
        <w:t>selección objetiva</w:t>
      </w:r>
      <w:r w:rsidRPr="00BB4624">
        <w:rPr>
          <w:rFonts w:ascii="Verdana" w:eastAsia="Calibri" w:hAnsi="Verdana" w:cs="Arial"/>
          <w:kern w:val="2"/>
          <w:shd w:val="clear" w:color="auto" w:fill="FFFFFF"/>
          <w:lang w:val="es-ES_tradnl"/>
          <w14:ligatures w14:val="standardContextual"/>
        </w:rPr>
        <w:t> en la contratación pública, contribuyendo así a mejorar la eficiencia, la competencia y la confianza en el manejo de los recursos del Estado.</w:t>
      </w:r>
    </w:p>
    <w:p w14:paraId="002B088E" w14:textId="77777777" w:rsidR="00BB4624" w:rsidRPr="00BB4624" w:rsidRDefault="00BB4624" w:rsidP="00BB4624">
      <w:pPr>
        <w:widowControl w:val="0"/>
        <w:autoSpaceDE w:val="0"/>
        <w:autoSpaceDN w:val="0"/>
        <w:spacing w:after="0" w:line="276" w:lineRule="auto"/>
        <w:jc w:val="both"/>
        <w:rPr>
          <w:rFonts w:ascii="Verdana" w:eastAsia="Calibri" w:hAnsi="Verdana" w:cs="Arial"/>
          <w:kern w:val="2"/>
          <w:shd w:val="clear" w:color="auto" w:fill="FFFFFF"/>
          <w:lang w:val="es-ES_tradnl"/>
          <w14:ligatures w14:val="standardContextual"/>
        </w:rPr>
      </w:pPr>
    </w:p>
    <w:p w14:paraId="0DF3D760" w14:textId="77777777" w:rsidR="00BB4624" w:rsidRPr="00BB4624" w:rsidRDefault="00BB4624" w:rsidP="00BB4624">
      <w:pPr>
        <w:spacing w:after="0" w:line="276" w:lineRule="auto"/>
        <w:jc w:val="both"/>
        <w:rPr>
          <w:rFonts w:ascii="Verdana" w:eastAsia="Aptos" w:hAnsi="Verdana" w:cs="Times New Roman"/>
          <w:kern w:val="2"/>
          <w:lang w:val="es-ES_tradnl"/>
          <w14:ligatures w14:val="standardContextual"/>
        </w:rPr>
      </w:pPr>
      <w:r w:rsidRPr="00BB4624">
        <w:rPr>
          <w:rFonts w:ascii="Verdana" w:eastAsia="Aptos" w:hAnsi="Verdana" w:cs="Times New Roman"/>
          <w:kern w:val="2"/>
          <w14:ligatures w14:val="standardContextual"/>
        </w:rPr>
        <w:t>Las garantías no son un requisito formal: son el instrumento con el que se protege el patrimonio público frente a los riesgos del contrato. Por ello, la Agencia Nacional de Contratación Pública –Colombia Compra Eficiente– le invita a consultar la nueva versión de la </w:t>
      </w:r>
      <w:r w:rsidRPr="00BB4624">
        <w:rPr>
          <w:rFonts w:ascii="Verdana" w:eastAsia="Aptos" w:hAnsi="Verdana" w:cs="Times New Roman"/>
          <w:b/>
          <w:bCs/>
          <w:kern w:val="2"/>
          <w14:ligatures w14:val="standardContextual"/>
        </w:rPr>
        <w:t>Guía para la Exigencia y Constitución de Garantías en los Procesos de Contratación</w:t>
      </w:r>
      <w:r w:rsidRPr="00BB4624">
        <w:rPr>
          <w:rFonts w:ascii="Verdana" w:eastAsia="Aptos" w:hAnsi="Verdana" w:cs="Times New Roman"/>
          <w:kern w:val="2"/>
          <w14:ligatures w14:val="standardContextual"/>
        </w:rPr>
        <w:t>, dirigida a las entidades sometidas al EGCAP y a las de regímenes exceptuados, así como a proveedores y órganos de control. Encontrará orientaciones sobre las clases de garantías admisibles, la correspondencia entre riesgos asignados y amparos exigidos, su suficiencia y vigencia, y el procedimiento para hacerlas efectivas. Consúltela aquí: </w:t>
      </w:r>
      <w:hyperlink r:id="rId15" w:tgtFrame="_blank" w:tooltip="Original URL: https://www.colombiacompra.gov.co/archivos/manual/guia-de-garantias-en-procesos-de-contratacion. Click or tap if you trust this link." w:history="1">
        <w:r w:rsidRPr="00BB4624">
          <w:rPr>
            <w:rFonts w:ascii="Verdana" w:eastAsia="Aptos" w:hAnsi="Verdana" w:cs="Times New Roman"/>
            <w:color w:val="0000FF"/>
            <w:kern w:val="2"/>
            <w:u w:val="single"/>
            <w14:ligatures w14:val="standardContextual"/>
          </w:rPr>
          <w:t>https://www.colombiacompra.gov.co/archivos/manual/guia-de-garantias-en-procesos-de-contratacion</w:t>
        </w:r>
      </w:hyperlink>
    </w:p>
    <w:p w14:paraId="5E9A42A9" w14:textId="77777777" w:rsidR="00BB4624" w:rsidRPr="00BB4624" w:rsidRDefault="00BB4624" w:rsidP="00BB4624">
      <w:pPr>
        <w:spacing w:after="0" w:line="276" w:lineRule="auto"/>
        <w:jc w:val="both"/>
        <w:rPr>
          <w:rFonts w:ascii="Verdana" w:eastAsia="Aptos" w:hAnsi="Verdana" w:cs="Times New Roman"/>
          <w:kern w:val="2"/>
          <w14:ligatures w14:val="standardContextual"/>
        </w:rPr>
      </w:pPr>
    </w:p>
    <w:p w14:paraId="5EFC2BDC" w14:textId="77777777" w:rsidR="00BB4624" w:rsidRPr="00BB4624" w:rsidRDefault="00BB4624" w:rsidP="00BB4624">
      <w:pPr>
        <w:spacing w:after="0" w:line="276" w:lineRule="auto"/>
        <w:jc w:val="both"/>
        <w:rPr>
          <w:rFonts w:ascii="Verdana" w:eastAsia="Aptos" w:hAnsi="Verdana" w:cs="Times New Roman"/>
          <w:kern w:val="2"/>
          <w:lang w:val="es-ES_tradnl"/>
          <w14:ligatures w14:val="standardContextual"/>
        </w:rPr>
      </w:pPr>
      <w:r w:rsidRPr="00BB4624">
        <w:rPr>
          <w:rFonts w:ascii="Verdana" w:eastAsia="Aptos" w:hAnsi="Verdana" w:cs="Times New Roman"/>
          <w:kern w:val="2"/>
          <w14:ligatures w14:val="standardContextual"/>
        </w:rPr>
        <w:t xml:space="preserve">De otro lado, le contamos que el Decreto 287 del 19 de marzo de 2026 sustituyó los artículos 2.2.1.2.4.2.6., 2.2.1.2.4.2.7. y 2.2.1.2.4.2.8. del Decreto 1082 de </w:t>
      </w:r>
      <w:r w:rsidRPr="00BB4624">
        <w:rPr>
          <w:rFonts w:ascii="Verdana" w:eastAsia="Aptos" w:hAnsi="Verdana" w:cs="Times New Roman"/>
          <w:kern w:val="2"/>
          <w14:ligatures w14:val="standardContextual"/>
        </w:rPr>
        <w:lastRenderedPageBreak/>
        <w:t>2015 y estructuró el </w:t>
      </w:r>
      <w:r w:rsidRPr="00BB4624">
        <w:rPr>
          <w:rFonts w:ascii="Verdana" w:eastAsia="Aptos" w:hAnsi="Verdana" w:cs="Times New Roman"/>
          <w:b/>
          <w:bCs/>
          <w:kern w:val="2"/>
          <w14:ligatures w14:val="standardContextual"/>
        </w:rPr>
        <w:t>Sistema Integral de Preferencias en favor de las personas con discapacidad</w:t>
      </w:r>
      <w:r w:rsidRPr="00BB4624">
        <w:rPr>
          <w:rFonts w:ascii="Verdana" w:eastAsia="Aptos" w:hAnsi="Verdana" w:cs="Times New Roman"/>
          <w:kern w:val="2"/>
          <w14:ligatures w14:val="standardContextual"/>
        </w:rPr>
        <w:t>, en cumplimiento del artículo 13 de la Ley Estatutaria 1618 de 2013. Para orientar su aplicación, esta Agencia expidió la </w:t>
      </w:r>
      <w:r w:rsidRPr="00BB4624">
        <w:rPr>
          <w:rFonts w:ascii="Verdana" w:eastAsia="Aptos" w:hAnsi="Verdana" w:cs="Times New Roman"/>
          <w:b/>
          <w:bCs/>
          <w:kern w:val="2"/>
          <w14:ligatures w14:val="standardContextual"/>
        </w:rPr>
        <w:t>Circular Externa 003 del 12 de mayo de 2026, </w:t>
      </w:r>
      <w:r w:rsidRPr="00BB4624">
        <w:rPr>
          <w:rFonts w:ascii="Verdana" w:eastAsia="Aptos" w:hAnsi="Verdana" w:cs="Times New Roman"/>
          <w:kern w:val="2"/>
          <w14:ligatures w14:val="standardContextual"/>
        </w:rPr>
        <w:t>en la que precisa quiénes son los beneficiarios, las cinco medidas que integran el sistema y su obligatoriedad según la modalidad de selección, y el régimen de transición aplicable a los procesos en curso. Consúltela aquí: </w:t>
      </w:r>
      <w:hyperlink r:id="rId16" w:tgtFrame="_blank" w:tooltip="Original URL: https://www.colombiacompra.gov.co/archivos/circular/circular-externa-003-de-2026. Click or tap if you trust this link." w:history="1">
        <w:r w:rsidRPr="00BB4624">
          <w:rPr>
            <w:rFonts w:ascii="Verdana" w:eastAsia="Aptos" w:hAnsi="Verdana" w:cs="Times New Roman"/>
            <w:color w:val="0000FF"/>
            <w:kern w:val="2"/>
            <w:u w:val="single"/>
            <w14:ligatures w14:val="standardContextual"/>
          </w:rPr>
          <w:t>https://www.colombiacompra.gov.co/archivos/circular/circular-externa-003-de-2026</w:t>
        </w:r>
      </w:hyperlink>
    </w:p>
    <w:p w14:paraId="0B2B7A81" w14:textId="77777777" w:rsidR="00BB4624" w:rsidRPr="00BB4624" w:rsidRDefault="00BB4624" w:rsidP="00BB4624">
      <w:pPr>
        <w:spacing w:after="0" w:line="276" w:lineRule="auto"/>
        <w:jc w:val="both"/>
        <w:rPr>
          <w:rFonts w:ascii="Verdana" w:eastAsia="Aptos" w:hAnsi="Verdana" w:cs="Times New Roman"/>
          <w:kern w:val="2"/>
          <w14:ligatures w14:val="standardContextual"/>
        </w:rPr>
      </w:pPr>
    </w:p>
    <w:p w14:paraId="1E0769B4" w14:textId="77777777" w:rsidR="00BB4624" w:rsidRPr="00BB4624" w:rsidRDefault="00BB4624" w:rsidP="00BB4624">
      <w:pPr>
        <w:spacing w:after="0" w:line="276" w:lineRule="auto"/>
        <w:jc w:val="both"/>
        <w:rPr>
          <w:rFonts w:ascii="Verdana" w:eastAsia="Aptos" w:hAnsi="Verdana" w:cs="Times New Roman"/>
          <w:kern w:val="2"/>
          <w:lang w:val="es-ES_tradnl"/>
          <w14:ligatures w14:val="standardContextual"/>
        </w:rPr>
      </w:pPr>
      <w:r w:rsidRPr="00BB4624">
        <w:rPr>
          <w:rFonts w:ascii="Verdana" w:eastAsia="Aptos" w:hAnsi="Verdana" w:cs="Times New Roman"/>
          <w:kern w:val="2"/>
          <w14:ligatures w14:val="standardContextual"/>
        </w:rPr>
        <w:t>Recuerde también que la</w:t>
      </w:r>
      <w:r w:rsidRPr="00BB4624">
        <w:rPr>
          <w:rFonts w:ascii="Verdana" w:eastAsia="Aptos" w:hAnsi="Verdana" w:cs="Times New Roman"/>
          <w:b/>
          <w:bCs/>
          <w:kern w:val="2"/>
          <w14:ligatures w14:val="standardContextual"/>
        </w:rPr>
        <w:t> información sobre sanciones e inhabilidades </w:t>
      </w:r>
      <w:r w:rsidRPr="00BB4624">
        <w:rPr>
          <w:rFonts w:ascii="Verdana" w:eastAsia="Aptos" w:hAnsi="Verdana" w:cs="Times New Roman"/>
          <w:kern w:val="2"/>
          <w14:ligatures w14:val="standardContextual"/>
        </w:rPr>
        <w:t>solo cumple su función preventiva si llega oportunamente a los registros públicos. Sobre este deber, esta Agencia expidió la </w:t>
      </w:r>
      <w:r w:rsidRPr="00BB4624">
        <w:rPr>
          <w:rFonts w:ascii="Verdana" w:eastAsia="Aptos" w:hAnsi="Verdana" w:cs="Times New Roman"/>
          <w:b/>
          <w:bCs/>
          <w:kern w:val="2"/>
          <w14:ligatures w14:val="standardContextual"/>
        </w:rPr>
        <w:t>Circular Externa 002 del 5 de mayo de 2026,</w:t>
      </w:r>
      <w:r w:rsidRPr="00BB4624">
        <w:rPr>
          <w:rFonts w:ascii="Verdana" w:eastAsia="Aptos" w:hAnsi="Verdana" w:cs="Times New Roman"/>
          <w:kern w:val="2"/>
          <w14:ligatures w14:val="standardContextual"/>
        </w:rPr>
        <w:t>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7" w:tgtFrame="_blank" w:tooltip="Original URL: https://www.colombiacompra.gov.co/archivos/circular/circular-externa-002-de-2026. Click or tap if you trust this link." w:history="1">
        <w:r w:rsidRPr="00BB4624">
          <w:rPr>
            <w:rFonts w:ascii="Verdana" w:eastAsia="Aptos" w:hAnsi="Verdana" w:cs="Times New Roman"/>
            <w:color w:val="0000FF"/>
            <w:kern w:val="2"/>
            <w:u w:val="single"/>
            <w14:ligatures w14:val="standardContextual"/>
          </w:rPr>
          <w:t>https://www.colombiacompra.gov.co/archivos/circular/circular-externa-002-de-2026</w:t>
        </w:r>
      </w:hyperlink>
    </w:p>
    <w:p w14:paraId="1D6ED2C5" w14:textId="77777777" w:rsidR="00BB4624" w:rsidRPr="00BB4624" w:rsidRDefault="00BB4624" w:rsidP="00BB4624">
      <w:pPr>
        <w:spacing w:after="0" w:line="276" w:lineRule="auto"/>
        <w:jc w:val="both"/>
        <w:rPr>
          <w:rFonts w:ascii="Verdana" w:eastAsia="Aptos" w:hAnsi="Verdana" w:cs="Times New Roman"/>
          <w:kern w:val="2"/>
          <w14:ligatures w14:val="standardContextual"/>
        </w:rPr>
      </w:pPr>
    </w:p>
    <w:p w14:paraId="3F9881C5" w14:textId="77777777" w:rsidR="00BB4624" w:rsidRPr="00BB4624" w:rsidRDefault="00BB4624" w:rsidP="00BB4624">
      <w:pPr>
        <w:spacing w:after="0" w:line="276" w:lineRule="auto"/>
        <w:jc w:val="both"/>
        <w:rPr>
          <w:rFonts w:ascii="Verdana" w:eastAsia="Aptos" w:hAnsi="Verdana" w:cs="Times New Roman"/>
          <w:kern w:val="2"/>
          <w14:ligatures w14:val="standardContextual"/>
        </w:rPr>
      </w:pPr>
      <w:r w:rsidRPr="00BB4624">
        <w:rPr>
          <w:rFonts w:ascii="Verdana" w:eastAsia="Aptos" w:hAnsi="Verdana" w:cs="Times New Roman"/>
          <w:kern w:val="2"/>
          <w14:ligatures w14:val="standardContextual"/>
        </w:rPr>
        <w:t>Finalmente, si quiere seguir de cerca la actividad de la Agencia, la tercera edición de 2026 del</w:t>
      </w:r>
      <w:r w:rsidRPr="00BB4624">
        <w:rPr>
          <w:rFonts w:ascii="Verdana" w:eastAsia="Aptos" w:hAnsi="Verdana" w:cs="Times New Roman"/>
          <w:b/>
          <w:bCs/>
          <w:kern w:val="2"/>
          <w14:ligatures w14:val="standardContextual"/>
        </w:rPr>
        <w:t> Radar de la Compra Pública</w:t>
      </w:r>
      <w:r w:rsidRPr="00BB4624">
        <w:rPr>
          <w:rFonts w:ascii="Verdana" w:eastAsia="Aptos" w:hAnsi="Verdana" w:cs="Times New Roman"/>
          <w:kern w:val="2"/>
          <w14:ligatures w14:val="standardContextual"/>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Descárguelo aquí: </w:t>
      </w:r>
      <w:hyperlink r:id="rId18" w:tgtFrame="_blank" w:tooltip="Original URL: https://www.colombiacompra.gov.co/archivos/boletin/boletin-edicion-n-3-de-2026-radar-de-la-compra-publica. Click or tap if you trust this link." w:history="1">
        <w:r w:rsidRPr="00BB4624">
          <w:rPr>
            <w:rFonts w:ascii="Verdana" w:eastAsia="Aptos" w:hAnsi="Verdana" w:cs="Times New Roman"/>
            <w:color w:val="0000FF"/>
            <w:kern w:val="2"/>
            <w:u w:val="single"/>
            <w14:ligatures w14:val="standardContextual"/>
          </w:rPr>
          <w:t>https://www.colombiacompra.gov.co/archivos/boletin/boletin-edicion-n-3-de-2026-radar-de-la-compra-publica</w:t>
        </w:r>
      </w:hyperlink>
    </w:p>
    <w:p w14:paraId="58B730DE" w14:textId="77777777" w:rsidR="00BB4624" w:rsidRPr="00BB4624" w:rsidRDefault="00BB4624" w:rsidP="00BB4624">
      <w:pPr>
        <w:widowControl w:val="0"/>
        <w:autoSpaceDE w:val="0"/>
        <w:autoSpaceDN w:val="0"/>
        <w:spacing w:after="0" w:line="276" w:lineRule="auto"/>
        <w:jc w:val="both"/>
        <w:rPr>
          <w:rFonts w:ascii="Verdana" w:eastAsia="Calibri" w:hAnsi="Verdana" w:cs="Arial"/>
          <w:shd w:val="clear" w:color="auto" w:fill="FFFFFF"/>
          <w:lang w:val="es-ES_tradnl"/>
        </w:rPr>
      </w:pPr>
    </w:p>
    <w:p w14:paraId="06DA8760" w14:textId="77777777" w:rsidR="00BB4624" w:rsidRPr="00BB4624" w:rsidRDefault="00BB4624" w:rsidP="00BB4624">
      <w:pPr>
        <w:spacing w:after="0" w:line="276" w:lineRule="auto"/>
        <w:jc w:val="both"/>
        <w:rPr>
          <w:rFonts w:ascii="Verdana" w:eastAsia="Calibri" w:hAnsi="Verdana" w:cs="Times New Roman"/>
          <w:lang w:val="es-ES_tradnl"/>
        </w:rPr>
      </w:pPr>
      <w:r w:rsidRPr="00BB4624">
        <w:rPr>
          <w:rFonts w:ascii="Verdana" w:eastAsia="Calibri" w:hAnsi="Verdana" w:cs="Times New Roman"/>
          <w:lang w:val="es-ES_tradnl"/>
        </w:rPr>
        <w:t xml:space="preserve">Por último, los invitamos a seguirnos en las redes sociales, en las cuales se difunde información institucional: </w:t>
      </w:r>
    </w:p>
    <w:p w14:paraId="08880F5F" w14:textId="77777777" w:rsidR="00BB4624" w:rsidRPr="00BB4624" w:rsidRDefault="00BB4624" w:rsidP="00BB4624">
      <w:pPr>
        <w:spacing w:after="0" w:line="240" w:lineRule="auto"/>
        <w:jc w:val="both"/>
        <w:rPr>
          <w:rFonts w:ascii="Verdana" w:eastAsia="Calibri" w:hAnsi="Verdana" w:cs="Times New Roman"/>
          <w:kern w:val="2"/>
          <w:lang w:val="es-ES_tradnl"/>
          <w14:ligatures w14:val="standardContextual"/>
        </w:rPr>
      </w:pPr>
    </w:p>
    <w:p w14:paraId="66C26A67" w14:textId="77777777" w:rsidR="00BB4624" w:rsidRPr="00BB4624" w:rsidRDefault="00BB4624" w:rsidP="00BB4624">
      <w:pPr>
        <w:spacing w:after="0" w:line="240" w:lineRule="auto"/>
        <w:jc w:val="both"/>
        <w:rPr>
          <w:rFonts w:ascii="Verdana" w:eastAsia="Calibri" w:hAnsi="Verdana" w:cs="Times New Roman"/>
          <w:kern w:val="2"/>
          <w:lang w:val="es-ES_tradnl"/>
          <w14:ligatures w14:val="standardContextual"/>
        </w:rPr>
      </w:pPr>
      <w:r w:rsidRPr="00BB4624">
        <w:rPr>
          <w:rFonts w:ascii="Verdana" w:eastAsia="Calibri" w:hAnsi="Verdana" w:cs="Times New Roman"/>
          <w:kern w:val="2"/>
          <w:lang w:val="es-ES_tradnl"/>
          <w14:ligatures w14:val="standardContextual"/>
        </w:rPr>
        <w:t xml:space="preserve">X: </w:t>
      </w:r>
      <w:r w:rsidRPr="00BB4624">
        <w:rPr>
          <w:rFonts w:ascii="Verdana" w:eastAsia="Calibri" w:hAnsi="Verdana" w:cs="Times New Roman"/>
          <w:kern w:val="2"/>
          <w:u w:val="single"/>
          <w:lang w:val="es-ES_tradnl"/>
          <w14:ligatures w14:val="standardContextual"/>
        </w:rPr>
        <w:t>@colombiacompra</w:t>
      </w:r>
      <w:r w:rsidRPr="00BB4624">
        <w:rPr>
          <w:rFonts w:ascii="Verdana" w:eastAsia="Calibri" w:hAnsi="Verdana" w:cs="Times New Roman"/>
          <w:kern w:val="2"/>
          <w:lang w:val="es-ES_tradnl"/>
          <w14:ligatures w14:val="standardContextual"/>
        </w:rPr>
        <w:t xml:space="preserve"> </w:t>
      </w:r>
    </w:p>
    <w:p w14:paraId="4B78E8C7" w14:textId="77777777" w:rsidR="00BB4624" w:rsidRPr="00BB4624" w:rsidRDefault="00BB4624" w:rsidP="00BB4624">
      <w:pPr>
        <w:spacing w:after="0" w:line="240" w:lineRule="auto"/>
        <w:jc w:val="both"/>
        <w:rPr>
          <w:rFonts w:ascii="Verdana" w:eastAsia="Calibri" w:hAnsi="Verdana" w:cs="Times New Roman"/>
          <w:kern w:val="2"/>
          <w:lang w:val="es-ES"/>
          <w14:ligatures w14:val="standardContextual"/>
        </w:rPr>
      </w:pPr>
      <w:r w:rsidRPr="00BB4624">
        <w:rPr>
          <w:rFonts w:ascii="Verdana" w:eastAsia="Calibri" w:hAnsi="Verdana" w:cs="Times New Roman"/>
          <w:kern w:val="2"/>
          <w:lang w:val="es-ES"/>
          <w14:ligatures w14:val="standardContextual"/>
        </w:rPr>
        <w:t xml:space="preserve">Facebook: </w:t>
      </w:r>
      <w:proofErr w:type="spellStart"/>
      <w:r w:rsidRPr="00BB4624">
        <w:rPr>
          <w:rFonts w:ascii="Verdana" w:eastAsia="Calibri" w:hAnsi="Verdana" w:cs="Times New Roman"/>
          <w:kern w:val="2"/>
          <w:u w:val="single"/>
          <w:lang w:val="es-ES"/>
          <w14:ligatures w14:val="standardContextual"/>
        </w:rPr>
        <w:t>ColombiaCompraEficiente</w:t>
      </w:r>
      <w:proofErr w:type="spellEnd"/>
    </w:p>
    <w:p w14:paraId="788701B1" w14:textId="77777777" w:rsidR="00BB4624" w:rsidRPr="00BB4624" w:rsidRDefault="00BB4624" w:rsidP="00BB4624">
      <w:pPr>
        <w:spacing w:after="0" w:line="240" w:lineRule="auto"/>
        <w:jc w:val="both"/>
        <w:rPr>
          <w:rFonts w:ascii="Verdana" w:eastAsia="Calibri" w:hAnsi="Verdana" w:cs="Times New Roman"/>
          <w:kern w:val="2"/>
          <w:lang w:val="es-ES_tradnl"/>
          <w14:ligatures w14:val="standardContextual"/>
        </w:rPr>
      </w:pPr>
      <w:r w:rsidRPr="00BB4624">
        <w:rPr>
          <w:rFonts w:ascii="Verdana" w:eastAsia="Calibri" w:hAnsi="Verdana" w:cs="Times New Roman"/>
          <w:kern w:val="2"/>
          <w:lang w:val="es-ES_tradnl"/>
          <w14:ligatures w14:val="standardContextual"/>
        </w:rPr>
        <w:lastRenderedPageBreak/>
        <w:t xml:space="preserve">LinkedIn: </w:t>
      </w:r>
      <w:r w:rsidRPr="00BB4624">
        <w:rPr>
          <w:rFonts w:ascii="Verdana" w:eastAsia="Calibri" w:hAnsi="Verdana" w:cs="Times New Roman"/>
          <w:kern w:val="2"/>
          <w:u w:val="single"/>
          <w:lang w:val="es-ES_tradnl"/>
          <w14:ligatures w14:val="standardContextual"/>
        </w:rPr>
        <w:t>Agencia Nacional de Contratación Pública - Colombia Compra Eficiente</w:t>
      </w:r>
      <w:r w:rsidRPr="00BB4624">
        <w:rPr>
          <w:rFonts w:ascii="Verdana" w:eastAsia="Calibri" w:hAnsi="Verdana" w:cs="Times New Roman"/>
          <w:kern w:val="2"/>
          <w:lang w:val="es-ES_tradnl"/>
          <w14:ligatures w14:val="standardContextual"/>
        </w:rPr>
        <w:t xml:space="preserve"> Instagram: </w:t>
      </w:r>
      <w:r w:rsidRPr="00BB4624">
        <w:rPr>
          <w:rFonts w:ascii="Verdana" w:eastAsia="Calibri" w:hAnsi="Verdana" w:cs="Times New Roman"/>
          <w:kern w:val="2"/>
          <w:u w:val="single"/>
          <w:lang w:val="es-ES_tradnl"/>
          <w14:ligatures w14:val="standardContextual"/>
        </w:rPr>
        <w:t>@colombiacompraeficiente_cce</w:t>
      </w:r>
    </w:p>
    <w:p w14:paraId="6E58D69D" w14:textId="77777777" w:rsidR="00BB4624" w:rsidRPr="00BB4624" w:rsidRDefault="00BB4624" w:rsidP="00BB4624">
      <w:pPr>
        <w:spacing w:after="0" w:line="240" w:lineRule="auto"/>
        <w:jc w:val="both"/>
        <w:rPr>
          <w:rFonts w:ascii="Verdana" w:eastAsia="Calibri" w:hAnsi="Verdana" w:cs="Times New Roman"/>
          <w:kern w:val="2"/>
          <w:lang w:val="es-ES_tradnl"/>
          <w14:ligatures w14:val="standardContextual"/>
        </w:rPr>
      </w:pPr>
    </w:p>
    <w:p w14:paraId="612E33DA" w14:textId="77777777" w:rsidR="00BB4624" w:rsidRPr="00BB4624" w:rsidRDefault="00BB4624" w:rsidP="00BB4624">
      <w:pPr>
        <w:widowControl w:val="0"/>
        <w:autoSpaceDE w:val="0"/>
        <w:autoSpaceDN w:val="0"/>
        <w:spacing w:after="0" w:line="276" w:lineRule="auto"/>
        <w:jc w:val="both"/>
        <w:rPr>
          <w:rFonts w:ascii="Verdana" w:eastAsia="Calibri" w:hAnsi="Verdana" w:cs="Arial"/>
          <w:kern w:val="2"/>
          <w:lang w:val="es-ES_tradnl"/>
          <w14:ligatures w14:val="standardContextual"/>
        </w:rPr>
      </w:pPr>
      <w:r w:rsidRPr="00BB4624">
        <w:rPr>
          <w:rFonts w:ascii="Verdana" w:eastAsia="Calibri" w:hAnsi="Verdana" w:cs="Arial"/>
          <w:kern w:val="2"/>
          <w:lang w:val="es-ES_tradnl"/>
          <w14:ligatures w14:val="standardContextual"/>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448824E9" w14:textId="77777777" w:rsidR="00BB4624" w:rsidRPr="00BB4624" w:rsidRDefault="00BB4624" w:rsidP="00BB4624">
      <w:pPr>
        <w:widowControl w:val="0"/>
        <w:autoSpaceDE w:val="0"/>
        <w:autoSpaceDN w:val="0"/>
        <w:spacing w:after="0" w:line="276" w:lineRule="auto"/>
        <w:jc w:val="both"/>
        <w:rPr>
          <w:rFonts w:ascii="Verdana" w:eastAsia="Calibri" w:hAnsi="Verdana" w:cs="Arial"/>
          <w:lang w:val="es-ES_tradnl"/>
        </w:rPr>
      </w:pPr>
    </w:p>
    <w:p w14:paraId="35FCDC02" w14:textId="77777777" w:rsidR="00BB4624" w:rsidRPr="00BB4624" w:rsidRDefault="00BB4624" w:rsidP="00BB4624">
      <w:pPr>
        <w:spacing w:after="0" w:line="240" w:lineRule="auto"/>
        <w:rPr>
          <w:rFonts w:ascii="Verdana" w:eastAsia="Calibri" w:hAnsi="Verdana" w:cs="Arial"/>
          <w:lang w:val="es-ES_tradnl" w:eastAsia="es-CO"/>
        </w:rPr>
      </w:pPr>
      <w:r w:rsidRPr="00BB4624">
        <w:rPr>
          <w:rFonts w:ascii="Verdana" w:eastAsia="Times New Roman" w:hAnsi="Verdana" w:cs="Arial"/>
          <w:lang w:val="es-ES_tradnl" w:eastAsia="es-CO"/>
        </w:rPr>
        <w:t>Atentamente,</w:t>
      </w:r>
      <w:r w:rsidRPr="00BB4624">
        <w:rPr>
          <w:rFonts w:ascii="Verdana" w:eastAsia="Calibri" w:hAnsi="Verdana" w:cs="Arial"/>
          <w:lang w:val="es-ES_tradnl" w:eastAsia="es-CO"/>
        </w:rPr>
        <w:t xml:space="preserve"> </w:t>
      </w:r>
    </w:p>
    <w:p w14:paraId="4090F8A4" w14:textId="4C126EE0" w:rsidR="00BB4624" w:rsidRPr="00BB4624" w:rsidRDefault="00F23EE5" w:rsidP="00BB4624">
      <w:pPr>
        <w:spacing w:line="276" w:lineRule="auto"/>
        <w:jc w:val="center"/>
        <w:rPr>
          <w:rFonts w:ascii="Verdana" w:eastAsia="Calibri" w:hAnsi="Verdana" w:cs="Arial"/>
          <w:lang w:val="es-ES_tradnl" w:eastAsia="es-CO"/>
        </w:rPr>
      </w:pPr>
      <w:r w:rsidRPr="002C3AD6">
        <w:rPr>
          <w:rFonts w:ascii="Century Gothic" w:hAnsi="Century Gothic"/>
          <w:noProof/>
        </w:rPr>
        <w:drawing>
          <wp:inline distT="0" distB="0" distL="0" distR="0" wp14:anchorId="7A347105" wp14:editId="48E0D15D">
            <wp:extent cx="3200400" cy="1188026"/>
            <wp:effectExtent l="0" t="0" r="0" b="0"/>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pic:nvPicPr>
                  <pic:blipFill>
                    <a:blip r:embed="rId19"/>
                    <a:stretch>
                      <a:fillRect/>
                    </a:stretch>
                  </pic:blipFill>
                  <pic:spPr>
                    <a:xfrm>
                      <a:off x="0" y="0"/>
                      <a:ext cx="3219498" cy="1195115"/>
                    </a:xfrm>
                    <a:prstGeom prst="rect">
                      <a:avLst/>
                    </a:prstGeom>
                  </pic:spPr>
                </pic:pic>
              </a:graphicData>
            </a:graphic>
          </wp:inline>
        </w:drawing>
      </w:r>
    </w:p>
    <w:tbl>
      <w:tblPr>
        <w:tblStyle w:val="Tablaconcuadrcula1"/>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BB4624" w:rsidRPr="00BB4624" w14:paraId="78E1BAE7" w14:textId="77777777" w:rsidTr="006C7054">
        <w:trPr>
          <w:trHeight w:val="315"/>
        </w:trPr>
        <w:tc>
          <w:tcPr>
            <w:tcW w:w="893" w:type="dxa"/>
            <w:vAlign w:val="center"/>
            <w:hideMark/>
          </w:tcPr>
          <w:p w14:paraId="149F8319" w14:textId="77777777" w:rsidR="00BB4624" w:rsidRPr="00BB4624" w:rsidRDefault="00BB4624" w:rsidP="00BB4624">
            <w:pPr>
              <w:rPr>
                <w:rFonts w:ascii="Verdana" w:eastAsia="Calibri" w:hAnsi="Verdana" w:cs="Arial"/>
                <w:sz w:val="16"/>
                <w:szCs w:val="16"/>
                <w:lang w:val="es-ES_tradnl" w:eastAsia="es-ES"/>
              </w:rPr>
            </w:pPr>
            <w:r w:rsidRPr="00BB4624">
              <w:rPr>
                <w:rFonts w:ascii="Verdana" w:eastAsia="Calibri" w:hAnsi="Verdana" w:cs="Arial"/>
                <w:sz w:val="16"/>
                <w:szCs w:val="16"/>
                <w:lang w:val="es-ES_tradnl" w:eastAsia="es-ES"/>
              </w:rPr>
              <w:t>Elaboró:</w:t>
            </w:r>
          </w:p>
        </w:tc>
        <w:tc>
          <w:tcPr>
            <w:tcW w:w="5628" w:type="dxa"/>
            <w:tcBorders>
              <w:top w:val="nil"/>
              <w:left w:val="nil"/>
              <w:bottom w:val="dotted" w:sz="4" w:space="0" w:color="7F7F7F"/>
              <w:right w:val="nil"/>
            </w:tcBorders>
            <w:vAlign w:val="center"/>
            <w:hideMark/>
          </w:tcPr>
          <w:p w14:paraId="46750F8D" w14:textId="77777777" w:rsidR="00BB4624" w:rsidRPr="00BB4624" w:rsidRDefault="00BB4624" w:rsidP="00BB4624">
            <w:pPr>
              <w:rPr>
                <w:rFonts w:ascii="Verdana" w:eastAsia="Arial" w:hAnsi="Verdana" w:cs="Arial"/>
                <w:sz w:val="16"/>
                <w:szCs w:val="16"/>
                <w:lang w:val="es-ES_tradnl" w:eastAsia="es-CO"/>
              </w:rPr>
            </w:pPr>
            <w:r w:rsidRPr="00BB4624">
              <w:rPr>
                <w:rFonts w:ascii="Verdana" w:eastAsia="Arial" w:hAnsi="Verdana" w:cs="Arial"/>
                <w:sz w:val="16"/>
                <w:szCs w:val="16"/>
                <w:lang w:val="es-ES_tradnl" w:eastAsia="es-CO"/>
              </w:rPr>
              <w:t>Kevin Arlid Herrera Santa</w:t>
            </w:r>
          </w:p>
          <w:p w14:paraId="13E27A47" w14:textId="77777777" w:rsidR="00BB4624" w:rsidRPr="00BB4624" w:rsidRDefault="00BB4624" w:rsidP="00BB4624">
            <w:pPr>
              <w:rPr>
                <w:rFonts w:ascii="Verdana" w:eastAsia="Arial" w:hAnsi="Verdana" w:cs="Arial"/>
                <w:sz w:val="16"/>
                <w:szCs w:val="16"/>
                <w:lang w:val="es-ES_tradnl" w:eastAsia="es-CO"/>
              </w:rPr>
            </w:pPr>
            <w:r w:rsidRPr="00BB4624">
              <w:rPr>
                <w:rFonts w:ascii="Verdana" w:eastAsia="Arial" w:hAnsi="Verdana" w:cs="Arial"/>
                <w:sz w:val="16"/>
                <w:szCs w:val="16"/>
                <w:lang w:val="es-ES_tradnl" w:eastAsia="es-CO"/>
              </w:rPr>
              <w:t xml:space="preserve">Contratista de la Subdirección de Gestión Contractual </w:t>
            </w:r>
          </w:p>
          <w:p w14:paraId="7279B867" w14:textId="77777777" w:rsidR="00BB4624" w:rsidRPr="00BB4624" w:rsidRDefault="00BB4624" w:rsidP="00BB4624">
            <w:pPr>
              <w:rPr>
                <w:rFonts w:ascii="Verdana" w:eastAsia="Arial" w:hAnsi="Verdana" w:cs="Arial"/>
                <w:sz w:val="16"/>
                <w:szCs w:val="16"/>
                <w:lang w:val="es-ES_tradnl" w:eastAsia="es-CO"/>
              </w:rPr>
            </w:pPr>
            <w:r w:rsidRPr="00BB4624">
              <w:rPr>
                <w:rFonts w:ascii="Verdana" w:eastAsia="Arial" w:hAnsi="Verdana" w:cs="Arial"/>
                <w:sz w:val="16"/>
                <w:szCs w:val="16"/>
                <w:lang w:val="es-ES_tradnl" w:eastAsia="es-CO"/>
              </w:rPr>
              <w:t>Alejandro Gamboa Cárdenas</w:t>
            </w:r>
          </w:p>
          <w:p w14:paraId="42A4339D" w14:textId="77777777" w:rsidR="00BB4624" w:rsidRPr="00BB4624" w:rsidRDefault="00BB4624" w:rsidP="00BB4624">
            <w:pPr>
              <w:rPr>
                <w:rFonts w:ascii="Verdana" w:eastAsia="Arial" w:hAnsi="Verdana" w:cs="Arial"/>
                <w:sz w:val="16"/>
                <w:szCs w:val="16"/>
                <w:lang w:val="es-ES_tradnl" w:eastAsia="es-CO"/>
              </w:rPr>
            </w:pPr>
            <w:r w:rsidRPr="00BB4624">
              <w:rPr>
                <w:rFonts w:ascii="Verdana" w:eastAsia="Arial" w:hAnsi="Verdana" w:cs="Arial"/>
                <w:sz w:val="16"/>
                <w:szCs w:val="16"/>
                <w:lang w:val="es-ES_tradnl" w:eastAsia="es-CO"/>
              </w:rPr>
              <w:t xml:space="preserve">Contratista de la Subdirección de Gestión Contractual </w:t>
            </w:r>
          </w:p>
          <w:p w14:paraId="305CF2F7" w14:textId="77777777" w:rsidR="00BB4624" w:rsidRPr="00BB4624" w:rsidRDefault="00BB4624" w:rsidP="00BB4624">
            <w:pPr>
              <w:rPr>
                <w:rFonts w:ascii="Verdana" w:eastAsia="Arial" w:hAnsi="Verdana" w:cs="Arial"/>
                <w:sz w:val="16"/>
                <w:szCs w:val="16"/>
                <w:lang w:val="es-ES_tradnl" w:eastAsia="es-CO"/>
              </w:rPr>
            </w:pPr>
          </w:p>
        </w:tc>
      </w:tr>
      <w:tr w:rsidR="00BB4624" w:rsidRPr="00BB4624" w14:paraId="214C376D" w14:textId="77777777" w:rsidTr="006C7054">
        <w:trPr>
          <w:trHeight w:val="330"/>
        </w:trPr>
        <w:tc>
          <w:tcPr>
            <w:tcW w:w="893" w:type="dxa"/>
            <w:vAlign w:val="center"/>
            <w:hideMark/>
          </w:tcPr>
          <w:p w14:paraId="06CC3392" w14:textId="77777777" w:rsidR="00BB4624" w:rsidRPr="00BB4624" w:rsidRDefault="00BB4624" w:rsidP="00BB4624">
            <w:pPr>
              <w:rPr>
                <w:rFonts w:ascii="Verdana" w:eastAsia="Calibri" w:hAnsi="Verdana" w:cs="Arial"/>
                <w:sz w:val="16"/>
                <w:szCs w:val="16"/>
                <w:lang w:val="es-ES_tradnl" w:eastAsia="es-ES"/>
              </w:rPr>
            </w:pPr>
            <w:r w:rsidRPr="00BB4624">
              <w:rPr>
                <w:rFonts w:ascii="Verdana" w:eastAsia="Calibri" w:hAnsi="Verdana" w:cs="Arial"/>
                <w:sz w:val="16"/>
                <w:szCs w:val="16"/>
                <w:lang w:val="es-ES_tradnl" w:eastAsia="es-ES"/>
              </w:rPr>
              <w:t>Revisó:</w:t>
            </w:r>
          </w:p>
        </w:tc>
        <w:tc>
          <w:tcPr>
            <w:tcW w:w="5628" w:type="dxa"/>
            <w:tcBorders>
              <w:top w:val="dotted" w:sz="4" w:space="0" w:color="7F7F7F"/>
              <w:left w:val="nil"/>
              <w:bottom w:val="dotted" w:sz="4" w:space="0" w:color="7F7F7F"/>
              <w:right w:val="nil"/>
            </w:tcBorders>
            <w:vAlign w:val="center"/>
            <w:hideMark/>
          </w:tcPr>
          <w:p w14:paraId="62E3210F" w14:textId="77777777" w:rsidR="00BB4624" w:rsidRPr="00BB4624" w:rsidRDefault="00BB4624" w:rsidP="00BB4624">
            <w:pPr>
              <w:textAlignment w:val="baseline"/>
              <w:rPr>
                <w:rFonts w:ascii="Verdana" w:eastAsia="Times New Roman" w:hAnsi="Verdana" w:cs="Segoe UI"/>
                <w:sz w:val="16"/>
                <w:szCs w:val="16"/>
                <w:lang w:val="es-ES_tradnl" w:eastAsia="es-ES_tradnl"/>
              </w:rPr>
            </w:pPr>
            <w:r w:rsidRPr="00BB4624">
              <w:rPr>
                <w:rFonts w:ascii="Verdana" w:eastAsia="Times New Roman" w:hAnsi="Verdana" w:cs="Segoe UI"/>
                <w:sz w:val="16"/>
                <w:szCs w:val="16"/>
                <w:lang w:val="es-ES_tradnl" w:eastAsia="es-ES_tradnl"/>
              </w:rPr>
              <w:t>Martha Alicia Romero Vargas</w:t>
            </w:r>
          </w:p>
          <w:p w14:paraId="3E781F0E" w14:textId="77777777" w:rsidR="00BB4624" w:rsidRPr="00BB4624" w:rsidRDefault="00BB4624" w:rsidP="00BB4624">
            <w:pPr>
              <w:textAlignment w:val="baseline"/>
              <w:rPr>
                <w:rFonts w:ascii="Verdana" w:eastAsia="Times New Roman" w:hAnsi="Verdana" w:cs="Segoe UI"/>
                <w:sz w:val="16"/>
                <w:szCs w:val="16"/>
                <w:lang w:val="es-ES_tradnl" w:eastAsia="es-ES_tradnl"/>
              </w:rPr>
            </w:pPr>
            <w:r w:rsidRPr="00BB4624">
              <w:rPr>
                <w:rFonts w:ascii="Verdana" w:eastAsia="Times New Roman" w:hAnsi="Verdana" w:cs="Arial"/>
                <w:sz w:val="16"/>
                <w:szCs w:val="16"/>
                <w:lang w:val="es-ES_tradnl" w:eastAsia="es-ES_tradnl"/>
              </w:rPr>
              <w:t>Gestor T1-15 de la Subdirección de Gestión Contractual </w:t>
            </w:r>
          </w:p>
        </w:tc>
      </w:tr>
      <w:tr w:rsidR="00BB4624" w:rsidRPr="00BB4624" w14:paraId="69EF8390" w14:textId="77777777" w:rsidTr="006C7054">
        <w:trPr>
          <w:trHeight w:val="300"/>
        </w:trPr>
        <w:tc>
          <w:tcPr>
            <w:tcW w:w="893" w:type="dxa"/>
            <w:vAlign w:val="center"/>
          </w:tcPr>
          <w:p w14:paraId="03F71430" w14:textId="77777777" w:rsidR="00BB4624" w:rsidRPr="00BB4624" w:rsidRDefault="00BB4624" w:rsidP="00BB4624">
            <w:pPr>
              <w:rPr>
                <w:rFonts w:ascii="Verdana" w:eastAsia="Calibri" w:hAnsi="Verdana" w:cs="Arial"/>
                <w:sz w:val="16"/>
                <w:szCs w:val="16"/>
                <w:lang w:val="es-ES_tradnl" w:eastAsia="es-ES"/>
              </w:rPr>
            </w:pPr>
            <w:r w:rsidRPr="00BB4624">
              <w:rPr>
                <w:rFonts w:ascii="Verdana" w:eastAsia="Calibri" w:hAnsi="Verdana" w:cs="Arial"/>
                <w:sz w:val="16"/>
                <w:szCs w:val="16"/>
                <w:lang w:val="es-ES_tradnl" w:eastAsia="es-ES"/>
              </w:rPr>
              <w:t>Aprobó:</w:t>
            </w:r>
          </w:p>
        </w:tc>
        <w:tc>
          <w:tcPr>
            <w:tcW w:w="5628" w:type="dxa"/>
            <w:tcBorders>
              <w:top w:val="dotted" w:sz="4" w:space="0" w:color="7F7F7F"/>
              <w:left w:val="nil"/>
              <w:bottom w:val="dotted" w:sz="4" w:space="0" w:color="7F7F7F"/>
              <w:right w:val="nil"/>
            </w:tcBorders>
            <w:vAlign w:val="center"/>
          </w:tcPr>
          <w:p w14:paraId="38CE22C5" w14:textId="77777777" w:rsidR="00BB4624" w:rsidRPr="00BB4624" w:rsidRDefault="00BB4624" w:rsidP="00BB4624">
            <w:pPr>
              <w:rPr>
                <w:rFonts w:ascii="Verdana" w:eastAsia="Calibri" w:hAnsi="Verdana" w:cs="Arial"/>
                <w:sz w:val="16"/>
                <w:szCs w:val="16"/>
                <w:lang w:val="es-ES" w:eastAsia="es-ES"/>
              </w:rPr>
            </w:pPr>
            <w:r w:rsidRPr="00BB4624">
              <w:rPr>
                <w:rFonts w:ascii="Verdana" w:eastAsia="Calibri" w:hAnsi="Verdana" w:cs="Arial"/>
                <w:sz w:val="16"/>
                <w:szCs w:val="16"/>
                <w:lang w:val="es-ES" w:eastAsia="es-ES"/>
              </w:rPr>
              <w:t>Carolina Quintero Gacharná</w:t>
            </w:r>
          </w:p>
          <w:p w14:paraId="5718B549" w14:textId="77777777" w:rsidR="00BB4624" w:rsidRPr="00BB4624" w:rsidRDefault="00BB4624" w:rsidP="00BB4624">
            <w:pPr>
              <w:rPr>
                <w:rFonts w:ascii="Verdana" w:eastAsia="Calibri" w:hAnsi="Verdana" w:cs="Arial"/>
                <w:sz w:val="16"/>
                <w:szCs w:val="16"/>
                <w:lang w:val="es-ES_tradnl" w:eastAsia="es-ES"/>
              </w:rPr>
            </w:pPr>
            <w:r w:rsidRPr="00BB4624">
              <w:rPr>
                <w:rFonts w:ascii="Verdana" w:eastAsia="Calibri" w:hAnsi="Verdana" w:cs="Arial"/>
                <w:sz w:val="16"/>
                <w:szCs w:val="16"/>
                <w:lang w:val="es-ES_tradnl" w:eastAsia="es-ES"/>
              </w:rPr>
              <w:t>Subdirectora de Gestión Contractual ANCP – CCE</w:t>
            </w:r>
          </w:p>
        </w:tc>
      </w:tr>
    </w:tbl>
    <w:p w14:paraId="55D4DF7A" w14:textId="24F49FD5" w:rsidR="00BB4624" w:rsidRPr="009D44ED" w:rsidRDefault="00BB4624" w:rsidP="009D44ED">
      <w:pPr>
        <w:spacing w:after="0" w:line="240" w:lineRule="auto"/>
        <w:textAlignment w:val="baseline"/>
        <w:rPr>
          <w:rFonts w:ascii="Verdana" w:eastAsia="Verdana" w:hAnsi="Verdana" w:cs="Verdana"/>
          <w:lang w:eastAsia="es-CO"/>
        </w:rPr>
      </w:pPr>
      <w:r w:rsidRPr="00BB4624">
        <w:rPr>
          <w:rFonts w:ascii="Verdana" w:eastAsia="Verdana" w:hAnsi="Verdana" w:cs="Verdana"/>
          <w:lang w:eastAsia="es-CO"/>
        </w:rPr>
        <w:t> </w:t>
      </w:r>
    </w:p>
    <w:p w14:paraId="69BC4D14" w14:textId="7695EA1B" w:rsidR="00C15139" w:rsidRPr="000E2B93" w:rsidRDefault="00C15139" w:rsidP="30821638">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bookmarkEnd w:id="0"/>
    </w:p>
    <w:sectPr w:rsidR="00C15139" w:rsidRPr="000E2B93" w:rsidSect="007C0C0F">
      <w:headerReference w:type="default" r:id="rId20"/>
      <w:footerReference w:type="default" r:id="rId21"/>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5B273D6" w14:textId="77777777" w:rsidR="004B35BD" w:rsidRDefault="004B35BD" w:rsidP="004A1847">
      <w:pPr>
        <w:spacing w:after="0" w:line="240" w:lineRule="auto"/>
      </w:pPr>
      <w:r>
        <w:separator/>
      </w:r>
    </w:p>
  </w:endnote>
  <w:endnote w:type="continuationSeparator" w:id="0">
    <w:p w14:paraId="68E7007B" w14:textId="77777777" w:rsidR="004B35BD" w:rsidRDefault="004B35BD"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20B0604020202020204"/>
    <w:charset w:val="00"/>
    <w:family w:val="modern"/>
    <w:notTrueType/>
    <w:pitch w:val="variable"/>
    <w:sig w:usb0="A000002F" w:usb1="1000004A" w:usb2="00000000" w:usb3="00000000" w:csb0="00000193" w:csb1="00000000"/>
  </w:font>
  <w:font w:name="Geomanist">
    <w:altName w:val="Calibri"/>
    <w:panose1 w:val="020B0604020202020204"/>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10006FF" w:usb1="4000205B" w:usb2="00000010" w:usb3="00000000" w:csb0="0000019F" w:csb1="00000000"/>
  </w:font>
  <w:font w:name="Aptos">
    <w:panose1 w:val="020B0004020202020204"/>
    <w:charset w:val="00"/>
    <w:family w:val="swiss"/>
    <w:pitch w:val="variable"/>
    <w:sig w:usb0="20000287" w:usb1="00000003" w:usb2="00000000" w:usb3="00000000" w:csb0="0000019F" w:csb1="00000000"/>
  </w:font>
  <w:font w:name="Arial MT">
    <w:altName w:val="Arial"/>
    <w:panose1 w:val="020B0604020202020204"/>
    <w:charset w:val="01"/>
    <w:family w:val="swiss"/>
    <w:pitch w:val="variable"/>
  </w:font>
  <w:font w:name="Century Gothic">
    <w:altName w:val="Century Gothic"/>
    <w:panose1 w:val="020B0502020202020204"/>
    <w:charset w:val="00"/>
    <w:family w:val="swiss"/>
    <w:pitch w:val="variable"/>
    <w:sig w:usb0="00000287" w:usb1="00000000" w:usb2="00000000" w:usb3="00000000" w:csb0="0000009F" w:csb1="00000000"/>
  </w:font>
  <w:font w:name="Segoe UI">
    <w:panose1 w:val="020B0604020202020204"/>
    <w:charset w:val="00"/>
    <w:family w:val="swiss"/>
    <w:pitch w:val="variable"/>
    <w:sig w:usb0="E4002EFF" w:usb1="C000E47F" w:usb2="00000009" w:usb3="00000000" w:csb0="000001FF" w:csb1="00000000"/>
  </w:font>
  <w:font w:name="Geomanist Bold">
    <w:altName w:val="Calibri"/>
    <w:panose1 w:val="020B0604020202020204"/>
    <w:charset w:val="00"/>
    <w:family w:val="modern"/>
    <w:notTrueType/>
    <w:pitch w:val="variable"/>
    <w:sig w:usb0="A000002F" w:usb1="1000004A" w:usb2="00000000" w:usb3="00000000" w:csb0="00000193" w:csb1="00000000"/>
  </w:font>
  <w:font w:name="Geo">
    <w:altName w:val="Calibri"/>
    <w:panose1 w:val="020B0604020202020204"/>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F4A8B94" w14:textId="77777777" w:rsidR="004B35BD" w:rsidRDefault="004B35BD" w:rsidP="004A1847">
      <w:pPr>
        <w:spacing w:after="0" w:line="240" w:lineRule="auto"/>
      </w:pPr>
      <w:r>
        <w:separator/>
      </w:r>
    </w:p>
  </w:footnote>
  <w:footnote w:type="continuationSeparator" w:id="0">
    <w:p w14:paraId="19E55049" w14:textId="77777777" w:rsidR="004B35BD" w:rsidRDefault="004B35BD" w:rsidP="004A1847">
      <w:pPr>
        <w:spacing w:after="0" w:line="240" w:lineRule="auto"/>
      </w:pPr>
      <w:r>
        <w:continuationSeparator/>
      </w:r>
    </w:p>
  </w:footnote>
  <w:footnote w:id="1">
    <w:p w14:paraId="0F7CEF29" w14:textId="77777777" w:rsidR="00BB4624" w:rsidRPr="007C24C0" w:rsidRDefault="00BB4624" w:rsidP="00BB4624">
      <w:pPr>
        <w:pStyle w:val="Textonotapie"/>
        <w:ind w:firstLine="709"/>
        <w:jc w:val="both"/>
        <w:rPr>
          <w:rFonts w:ascii="Verdana" w:hAnsi="Verdana"/>
          <w:sz w:val="18"/>
          <w:szCs w:val="18"/>
        </w:rPr>
      </w:pPr>
      <w:r w:rsidRPr="007C24C0">
        <w:rPr>
          <w:rStyle w:val="Refdenotaalpie"/>
          <w:rFonts w:ascii="Verdana" w:hAnsi="Verdana"/>
          <w:sz w:val="18"/>
          <w:szCs w:val="18"/>
        </w:rPr>
        <w:footnoteRef/>
      </w:r>
      <w:r w:rsidRPr="007C24C0">
        <w:rPr>
          <w:rFonts w:ascii="Verdana" w:hAnsi="Verdana"/>
          <w:sz w:val="18"/>
          <w:szCs w:val="18"/>
        </w:rPr>
        <w:t xml:space="preserve"> Disponible en: </w:t>
      </w:r>
      <w:hyperlink r:id="rId1" w:history="1">
        <w:r w:rsidRPr="007C24C0">
          <w:rPr>
            <w:rStyle w:val="Hipervnculo"/>
            <w:rFonts w:ascii="Verdana" w:hAnsi="Verdana"/>
            <w:sz w:val="18"/>
            <w:szCs w:val="18"/>
          </w:rPr>
          <w:t>https://www.colombiacompra.gov.co/wp-content/uploads/2024/08/2023-Guia-para-determinar-y-verificar-la-Capacidad-Residual-del-proponente-en-los-Procesos-de-Contratacion-de-obra-publica-CCE-REC-GI-22.pdf</w:t>
        </w:r>
      </w:hyperlink>
      <w:r w:rsidRPr="007C24C0">
        <w:rPr>
          <w:rFonts w:ascii="Verdana" w:hAnsi="Verdana"/>
          <w:sz w:val="18"/>
          <w:szCs w:val="18"/>
        </w:rPr>
        <w:t xml:space="preserve"> </w:t>
      </w:r>
    </w:p>
  </w:footnote>
  <w:footnote w:id="2">
    <w:p w14:paraId="46EF9EEF" w14:textId="77777777" w:rsidR="00BB4624" w:rsidRPr="007C24C0" w:rsidRDefault="00BB4624" w:rsidP="00BB4624">
      <w:pPr>
        <w:pStyle w:val="fn1"/>
        <w:ind w:firstLine="709"/>
        <w:contextualSpacing/>
        <w:jc w:val="both"/>
        <w:rPr>
          <w:rFonts w:ascii="Verdana" w:eastAsia="Calibri" w:hAnsi="Verdana" w:cs="Arial"/>
          <w:color w:val="000000"/>
          <w:sz w:val="18"/>
          <w:szCs w:val="18"/>
        </w:rPr>
      </w:pPr>
      <w:r w:rsidRPr="007C24C0">
        <w:rPr>
          <w:rStyle w:val="Refdenotaalpie"/>
          <w:rFonts w:ascii="Verdana" w:hAnsi="Verdana" w:cs="Arial"/>
          <w:color w:val="000000"/>
          <w:sz w:val="18"/>
          <w:szCs w:val="18"/>
        </w:rPr>
        <w:footnoteRef/>
      </w:r>
      <w:r w:rsidRPr="007C24C0">
        <w:rPr>
          <w:rFonts w:ascii="Verdana" w:hAnsi="Verdana" w:cs="Arial"/>
          <w:color w:val="000000"/>
          <w:sz w:val="18"/>
          <w:szCs w:val="18"/>
        </w:rPr>
        <w:t xml:space="preserve"> </w:t>
      </w:r>
      <w:r w:rsidRPr="007C24C0">
        <w:rPr>
          <w:rFonts w:ascii="Verdana" w:eastAsia="Calibri" w:hAnsi="Verdana" w:cs="Arial"/>
          <w:color w:val="000000"/>
          <w:sz w:val="18"/>
          <w:szCs w:val="18"/>
        </w:rPr>
        <w:t xml:space="preserve">Decreto 1082 de 2015: “Articulo 2.2.1.1.1.3.1. Definiciones. Los términos no definidos en el Título I de la Parte 2 del presente decreto y utilizados frecuentemente deben entenderse de acuerdo con su significado natural y obvio. Para la interpretación del presente Título I, las expresiones aquí utilizadas con mayúscula inicial deben ser entendidas con el significado que a continuación se indica. Los términos definidos son utilizados en singular y en plural de acuerdo como lo requiera el contexto en el cual son utilizados. </w:t>
      </w:r>
    </w:p>
    <w:p w14:paraId="71B102A6" w14:textId="77777777" w:rsidR="00BB4624" w:rsidRPr="007C24C0" w:rsidRDefault="00BB4624" w:rsidP="00BB4624">
      <w:pPr>
        <w:pStyle w:val="fn1"/>
        <w:ind w:firstLine="709"/>
        <w:contextualSpacing/>
        <w:jc w:val="both"/>
        <w:rPr>
          <w:rFonts w:ascii="Verdana" w:eastAsia="Calibri" w:hAnsi="Verdana" w:cs="Arial"/>
          <w:color w:val="000000"/>
          <w:sz w:val="18"/>
          <w:szCs w:val="18"/>
        </w:rPr>
      </w:pPr>
      <w:r w:rsidRPr="007C24C0">
        <w:rPr>
          <w:rFonts w:ascii="Verdana" w:eastAsia="Calibri" w:hAnsi="Verdana" w:cs="Arial"/>
          <w:color w:val="000000"/>
          <w:sz w:val="18"/>
          <w:szCs w:val="18"/>
        </w:rPr>
        <w:t>[…]</w:t>
      </w:r>
    </w:p>
    <w:p w14:paraId="2EBF939D" w14:textId="77777777" w:rsidR="00BB4624" w:rsidRPr="007C24C0" w:rsidRDefault="00BB4624" w:rsidP="00BB4624">
      <w:pPr>
        <w:pStyle w:val="fn1"/>
        <w:ind w:firstLine="709"/>
        <w:contextualSpacing/>
        <w:jc w:val="both"/>
        <w:rPr>
          <w:rFonts w:ascii="Verdana" w:hAnsi="Verdana" w:cs="Arial"/>
          <w:color w:val="000000"/>
          <w:sz w:val="18"/>
          <w:szCs w:val="18"/>
          <w:lang w:val="es-CO"/>
        </w:rPr>
      </w:pPr>
      <w:r w:rsidRPr="007C24C0">
        <w:rPr>
          <w:rFonts w:ascii="Verdana" w:eastAsia="Calibri" w:hAnsi="Verdana" w:cs="Arial"/>
          <w:color w:val="000000"/>
          <w:sz w:val="18"/>
          <w:szCs w:val="18"/>
        </w:rPr>
        <w:t>Capacidad Residual o K de Contratación: Aptitud de un oferente para cumplir oportuna y cabalmente con el objeto de un contrato de obra, sin que sus otros compromisos contractuales afecten su habilidad de cumplir con el contrato que está en proceso de selección”.</w:t>
      </w:r>
      <w:r w:rsidRPr="007C24C0">
        <w:rPr>
          <w:rFonts w:ascii="Verdana" w:hAnsi="Verdana" w:cs="Arial"/>
          <w:color w:val="000000"/>
          <w:sz w:val="18"/>
          <w:szCs w:val="18"/>
          <w:lang w:val="es-CO"/>
        </w:rPr>
        <w:t xml:space="preserve"> </w:t>
      </w:r>
    </w:p>
  </w:footnote>
  <w:footnote w:id="3">
    <w:p w14:paraId="068ECAE0" w14:textId="77777777" w:rsidR="00BB4624" w:rsidRPr="007C24C0" w:rsidRDefault="00BB4624" w:rsidP="00BB4624">
      <w:pPr>
        <w:pStyle w:val="fn1"/>
        <w:ind w:firstLine="709"/>
        <w:contextualSpacing/>
        <w:jc w:val="both"/>
        <w:rPr>
          <w:rFonts w:ascii="Verdana" w:hAnsi="Verdana" w:cs="Arial"/>
          <w:color w:val="000000"/>
          <w:sz w:val="18"/>
          <w:szCs w:val="18"/>
          <w:lang w:val="es-CO"/>
        </w:rPr>
      </w:pPr>
      <w:r w:rsidRPr="007C24C0">
        <w:rPr>
          <w:rFonts w:ascii="Verdana" w:eastAsia="Calibri" w:hAnsi="Verdana" w:cs="Arial"/>
          <w:color w:val="000000"/>
          <w:sz w:val="18"/>
          <w:szCs w:val="18"/>
          <w:vertAlign w:val="superscript"/>
        </w:rPr>
        <w:footnoteRef/>
      </w:r>
      <w:r w:rsidRPr="007C24C0">
        <w:rPr>
          <w:rFonts w:ascii="Verdana" w:eastAsia="Calibri" w:hAnsi="Verdana" w:cs="Arial"/>
          <w:color w:val="000000"/>
          <w:sz w:val="18"/>
          <w:szCs w:val="18"/>
          <w:vertAlign w:val="superscript"/>
        </w:rPr>
        <w:t xml:space="preserve"> </w:t>
      </w:r>
      <w:r w:rsidRPr="007C24C0">
        <w:rPr>
          <w:rFonts w:ascii="Verdana" w:eastAsia="Calibri" w:hAnsi="Verdana" w:cs="Arial"/>
          <w:color w:val="000000"/>
          <w:sz w:val="18"/>
          <w:szCs w:val="18"/>
        </w:rPr>
        <w:t xml:space="preserve">Consejo de Estado. Sección Tercera. Sentencia del 26 de junio de 2003. Rad. 13.354. C.P. María Elena Giraldo Gómez. </w:t>
      </w:r>
    </w:p>
  </w:footnote>
  <w:footnote w:id="4">
    <w:p w14:paraId="2F09A8E0" w14:textId="77777777" w:rsidR="00BB4624" w:rsidRPr="007C24C0" w:rsidRDefault="00BB4624" w:rsidP="00BB4624">
      <w:pPr>
        <w:pStyle w:val="NormalWeb1"/>
        <w:shd w:val="clear" w:color="auto" w:fill="FFFFFF"/>
        <w:ind w:firstLine="709"/>
        <w:contextualSpacing/>
        <w:jc w:val="both"/>
        <w:rPr>
          <w:rFonts w:ascii="Verdana" w:hAnsi="Verdana" w:cs="Arial"/>
          <w:sz w:val="18"/>
          <w:szCs w:val="18"/>
        </w:rPr>
      </w:pPr>
      <w:r w:rsidRPr="007C24C0">
        <w:rPr>
          <w:rStyle w:val="Refdenotaalpie"/>
          <w:rFonts w:ascii="Verdana" w:eastAsia="Times New Roman" w:hAnsi="Verdana" w:cs="Arial"/>
          <w:sz w:val="18"/>
          <w:szCs w:val="18"/>
        </w:rPr>
        <w:footnoteRef/>
      </w:r>
      <w:r w:rsidRPr="007C24C0">
        <w:rPr>
          <w:rStyle w:val="Refdenotaalpie"/>
          <w:rFonts w:ascii="Verdana" w:eastAsia="Times New Roman" w:hAnsi="Verdana" w:cs="Arial"/>
          <w:sz w:val="18"/>
          <w:szCs w:val="18"/>
        </w:rPr>
        <w:t xml:space="preserve"> </w:t>
      </w:r>
      <w:r w:rsidRPr="007C24C0">
        <w:rPr>
          <w:rFonts w:ascii="Verdana" w:eastAsia="Times New Roman" w:hAnsi="Verdana" w:cs="Arial"/>
          <w:sz w:val="18"/>
          <w:szCs w:val="18"/>
        </w:rPr>
        <w:t xml:space="preserve">Decreto 1082 de 2015: </w:t>
      </w:r>
      <w:r w:rsidRPr="007C24C0">
        <w:rPr>
          <w:rFonts w:ascii="Verdana" w:hAnsi="Verdana" w:cs="Arial"/>
          <w:sz w:val="18"/>
          <w:szCs w:val="18"/>
        </w:rPr>
        <w:t>“Artículo 2.2.1.1.1.6.4. Capacidad Residual: El interesado en celebrar contratos de obra pública con Entidades Estatales debe acreditar su Capacidad Residual o K de Contratación con los siguientes documentos:</w:t>
      </w:r>
    </w:p>
    <w:p w14:paraId="20A06761" w14:textId="77777777" w:rsidR="00BB4624" w:rsidRPr="007C24C0" w:rsidRDefault="00BB4624" w:rsidP="00BB4624">
      <w:pPr>
        <w:shd w:val="clear" w:color="auto" w:fill="FFFFFF"/>
        <w:ind w:firstLine="709"/>
        <w:contextualSpacing/>
        <w:jc w:val="both"/>
        <w:rPr>
          <w:rFonts w:ascii="Verdana" w:hAnsi="Verdana" w:cs="Arial"/>
          <w:sz w:val="18"/>
          <w:szCs w:val="18"/>
        </w:rPr>
      </w:pPr>
      <w:r w:rsidRPr="007C24C0">
        <w:rPr>
          <w:rFonts w:ascii="Verdana" w:hAnsi="Verdana" w:cs="Arial"/>
          <w:sz w:val="18"/>
          <w:szCs w:val="18"/>
        </w:rPr>
        <w:t>1. La lista de los contratos de obras civiles en ejecución suscritos con Entidades Estatales y con entidades privadas, así como el valor y plazo de tales contratos, incluyendo contratos de concesión y los contratos de obra suscritos con concesionarios.</w:t>
      </w:r>
    </w:p>
    <w:p w14:paraId="44AAAB16" w14:textId="77777777" w:rsidR="00BB4624" w:rsidRPr="007C24C0" w:rsidRDefault="00BB4624" w:rsidP="00BB4624">
      <w:pPr>
        <w:shd w:val="clear" w:color="auto" w:fill="FFFFFF"/>
        <w:ind w:firstLine="709"/>
        <w:contextualSpacing/>
        <w:jc w:val="both"/>
        <w:rPr>
          <w:rFonts w:ascii="Verdana" w:hAnsi="Verdana" w:cs="Arial"/>
          <w:sz w:val="18"/>
          <w:szCs w:val="18"/>
        </w:rPr>
      </w:pPr>
      <w:r w:rsidRPr="007C24C0">
        <w:rPr>
          <w:rFonts w:ascii="Verdana" w:hAnsi="Verdana" w:cs="Arial"/>
          <w:sz w:val="18"/>
          <w:szCs w:val="18"/>
        </w:rPr>
        <w:t>2. La lista de los contratos de obras civiles en ejecución, suscritos por sociedades, consorcios o uniones temporales, en los cuales el proponente tenga participación, con Entidades Estatales y con entidades privadas, así como el valor y plazo de tales contratos, incluyendo los contratos de concesión y los contratos de obra suscritos con concesionarios.</w:t>
      </w:r>
    </w:p>
    <w:p w14:paraId="62724355" w14:textId="77777777" w:rsidR="00BB4624" w:rsidRPr="007C24C0" w:rsidRDefault="00BB4624" w:rsidP="00BB4624">
      <w:pPr>
        <w:shd w:val="clear" w:color="auto" w:fill="FFFFFF"/>
        <w:ind w:firstLine="709"/>
        <w:contextualSpacing/>
        <w:jc w:val="both"/>
        <w:rPr>
          <w:rFonts w:ascii="Verdana" w:hAnsi="Verdana" w:cs="Arial"/>
          <w:sz w:val="18"/>
          <w:szCs w:val="18"/>
        </w:rPr>
      </w:pPr>
      <w:r w:rsidRPr="007C24C0">
        <w:rPr>
          <w:rFonts w:ascii="Verdana" w:hAnsi="Verdana" w:cs="Arial"/>
          <w:sz w:val="18"/>
          <w:szCs w:val="18"/>
        </w:rPr>
        <w:t>3. Balance general auditado del año inmediatamente anterior y estado de resultados auditado del año en que haya obtenido el mayor ingreso operacional en los últimos cinco (5) años. Los estados financieros deben estar suscritos por el interesado o su representante legal y el revisor fiscal si está obligado a tenerlo, o el auditor o contador si no está obligado a tener revisor fiscal. Si se trata de proponentes obligados a tener RUP, las Entidades Estatales solo deben solicitar como documento adicional el estado de resultados del año en que el proponente obtuvo el mayor ingreso operacional en los últimos cinco (5) años”.</w:t>
      </w:r>
    </w:p>
  </w:footnote>
  <w:footnote w:id="5">
    <w:p w14:paraId="548DF3A3" w14:textId="77777777" w:rsidR="00BB4624" w:rsidRPr="007C24C0" w:rsidRDefault="00BB4624" w:rsidP="00BB4624">
      <w:pPr>
        <w:pStyle w:val="Textonotapie"/>
        <w:ind w:firstLine="709"/>
        <w:jc w:val="both"/>
        <w:rPr>
          <w:rFonts w:ascii="Verdana" w:hAnsi="Verdana"/>
          <w:sz w:val="18"/>
          <w:szCs w:val="18"/>
        </w:rPr>
      </w:pPr>
      <w:r w:rsidRPr="007C24C0">
        <w:rPr>
          <w:rStyle w:val="Refdenotaalpie"/>
          <w:rFonts w:ascii="Verdana" w:hAnsi="Verdana"/>
          <w:sz w:val="18"/>
          <w:szCs w:val="18"/>
        </w:rPr>
        <w:footnoteRef/>
      </w:r>
      <w:r w:rsidRPr="007C24C0">
        <w:rPr>
          <w:rFonts w:ascii="Verdana" w:hAnsi="Verdana"/>
          <w:sz w:val="18"/>
          <w:szCs w:val="18"/>
        </w:rPr>
        <w:t xml:space="preserve"> Disponible en: </w:t>
      </w:r>
      <w:hyperlink r:id="rId2" w:history="1">
        <w:r w:rsidRPr="007C24C0">
          <w:rPr>
            <w:rStyle w:val="Hipervnculo"/>
            <w:rFonts w:ascii="Verdana" w:hAnsi="Verdana"/>
            <w:sz w:val="18"/>
            <w:szCs w:val="18"/>
          </w:rPr>
          <w:t>https://www.colombiacompra.gov.co/wp-content/uploads/2024/08/2023-Guia-para-determinar-y-verificar-la-Capacidad-Residual-del-proponente-en-los-Procesos-de-Contratacion-de-obra-publica-CCE-REC-GI-22.pdf</w:t>
        </w:r>
      </w:hyperlink>
      <w:r w:rsidRPr="007C24C0">
        <w:rPr>
          <w:rFonts w:ascii="Verdana" w:hAnsi="Verdana"/>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75pt;height:11.75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6601"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1CEE7FE6"/>
    <w:multiLevelType w:val="hybridMultilevel"/>
    <w:tmpl w:val="4D787364"/>
    <w:lvl w:ilvl="0" w:tplc="9ED4BCA2">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2"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7"/>
  </w:num>
  <w:num w:numId="2" w16cid:durableId="19822139">
    <w:abstractNumId w:val="2"/>
  </w:num>
  <w:num w:numId="3" w16cid:durableId="876742304">
    <w:abstractNumId w:val="5"/>
  </w:num>
  <w:num w:numId="4" w16cid:durableId="2451864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4"/>
  </w:num>
  <w:num w:numId="7" w16cid:durableId="1946422806">
    <w:abstractNumId w:val="6"/>
  </w:num>
  <w:num w:numId="8" w16cid:durableId="152644682">
    <w:abstractNumId w:val="13"/>
  </w:num>
  <w:num w:numId="9" w16cid:durableId="1317221377">
    <w:abstractNumId w:val="8"/>
  </w:num>
  <w:num w:numId="10" w16cid:durableId="1471245386">
    <w:abstractNumId w:val="12"/>
  </w:num>
  <w:num w:numId="11" w16cid:durableId="289172385">
    <w:abstractNumId w:val="9"/>
  </w:num>
  <w:num w:numId="12" w16cid:durableId="1470781324">
    <w:abstractNumId w:val="1"/>
  </w:num>
  <w:num w:numId="13" w16cid:durableId="1512908409">
    <w:abstractNumId w:val="4"/>
  </w:num>
  <w:num w:numId="14" w16cid:durableId="895897244">
    <w:abstractNumId w:val="15"/>
  </w:num>
  <w:num w:numId="15" w16cid:durableId="390349800">
    <w:abstractNumId w:val="11"/>
  </w:num>
  <w:num w:numId="16" w16cid:durableId="341274352">
    <w:abstractNumId w:val="0"/>
  </w:num>
  <w:num w:numId="17" w16cid:durableId="679089576">
    <w:abstractNumId w:val="10"/>
  </w:num>
  <w:num w:numId="18" w16cid:durableId="753819122">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8"/>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042FE"/>
    <w:rsid w:val="00016F78"/>
    <w:rsid w:val="00046945"/>
    <w:rsid w:val="00061B2A"/>
    <w:rsid w:val="00082362"/>
    <w:rsid w:val="000A683E"/>
    <w:rsid w:val="000B19B9"/>
    <w:rsid w:val="000D0334"/>
    <w:rsid w:val="000D5DA7"/>
    <w:rsid w:val="000F6486"/>
    <w:rsid w:val="00116940"/>
    <w:rsid w:val="00116B93"/>
    <w:rsid w:val="00125105"/>
    <w:rsid w:val="00127233"/>
    <w:rsid w:val="00140EC7"/>
    <w:rsid w:val="0015699B"/>
    <w:rsid w:val="001A33BF"/>
    <w:rsid w:val="001D5B15"/>
    <w:rsid w:val="001E4177"/>
    <w:rsid w:val="001F0B24"/>
    <w:rsid w:val="001F7DC6"/>
    <w:rsid w:val="0022400B"/>
    <w:rsid w:val="00235E48"/>
    <w:rsid w:val="002421BB"/>
    <w:rsid w:val="0025796E"/>
    <w:rsid w:val="0026527D"/>
    <w:rsid w:val="002707A2"/>
    <w:rsid w:val="002951A0"/>
    <w:rsid w:val="002962BC"/>
    <w:rsid w:val="002A093D"/>
    <w:rsid w:val="002A0DD0"/>
    <w:rsid w:val="002A49AC"/>
    <w:rsid w:val="002A64FD"/>
    <w:rsid w:val="002C7A84"/>
    <w:rsid w:val="002E2BF8"/>
    <w:rsid w:val="002E4FD9"/>
    <w:rsid w:val="0030657A"/>
    <w:rsid w:val="00322A85"/>
    <w:rsid w:val="00324168"/>
    <w:rsid w:val="00330834"/>
    <w:rsid w:val="0033370F"/>
    <w:rsid w:val="003448F4"/>
    <w:rsid w:val="00374F5E"/>
    <w:rsid w:val="00377E3E"/>
    <w:rsid w:val="003A779E"/>
    <w:rsid w:val="003D0F4D"/>
    <w:rsid w:val="003D5B0D"/>
    <w:rsid w:val="003E0499"/>
    <w:rsid w:val="003E4F80"/>
    <w:rsid w:val="003E6439"/>
    <w:rsid w:val="003F3941"/>
    <w:rsid w:val="00406575"/>
    <w:rsid w:val="00414C74"/>
    <w:rsid w:val="0042722E"/>
    <w:rsid w:val="0044528D"/>
    <w:rsid w:val="00466E39"/>
    <w:rsid w:val="004A1847"/>
    <w:rsid w:val="004A305D"/>
    <w:rsid w:val="004B35BD"/>
    <w:rsid w:val="004F21C4"/>
    <w:rsid w:val="004F685F"/>
    <w:rsid w:val="00535C9B"/>
    <w:rsid w:val="005566E8"/>
    <w:rsid w:val="00574867"/>
    <w:rsid w:val="00591460"/>
    <w:rsid w:val="005A65E0"/>
    <w:rsid w:val="005C3777"/>
    <w:rsid w:val="005C5CDC"/>
    <w:rsid w:val="005D476C"/>
    <w:rsid w:val="006200BF"/>
    <w:rsid w:val="006219F8"/>
    <w:rsid w:val="006302F7"/>
    <w:rsid w:val="00646B9F"/>
    <w:rsid w:val="00665D70"/>
    <w:rsid w:val="006900D9"/>
    <w:rsid w:val="00706C16"/>
    <w:rsid w:val="007340C3"/>
    <w:rsid w:val="0075235A"/>
    <w:rsid w:val="00753DB8"/>
    <w:rsid w:val="00756841"/>
    <w:rsid w:val="007649AB"/>
    <w:rsid w:val="00771D0C"/>
    <w:rsid w:val="007833AC"/>
    <w:rsid w:val="007B268C"/>
    <w:rsid w:val="007B7171"/>
    <w:rsid w:val="007C0C0F"/>
    <w:rsid w:val="007C3DC2"/>
    <w:rsid w:val="007E5497"/>
    <w:rsid w:val="00806F5F"/>
    <w:rsid w:val="00820278"/>
    <w:rsid w:val="008258C9"/>
    <w:rsid w:val="00844AE9"/>
    <w:rsid w:val="00867F95"/>
    <w:rsid w:val="00870E75"/>
    <w:rsid w:val="00881A6F"/>
    <w:rsid w:val="008843B6"/>
    <w:rsid w:val="00891928"/>
    <w:rsid w:val="008A446D"/>
    <w:rsid w:val="008B25F1"/>
    <w:rsid w:val="008D180B"/>
    <w:rsid w:val="008F0EA7"/>
    <w:rsid w:val="00923EEF"/>
    <w:rsid w:val="009419F9"/>
    <w:rsid w:val="009537B7"/>
    <w:rsid w:val="0095685E"/>
    <w:rsid w:val="00961B09"/>
    <w:rsid w:val="00965334"/>
    <w:rsid w:val="0097093E"/>
    <w:rsid w:val="009A0DFA"/>
    <w:rsid w:val="009A1C6F"/>
    <w:rsid w:val="009B2D26"/>
    <w:rsid w:val="009C71FA"/>
    <w:rsid w:val="009C72E7"/>
    <w:rsid w:val="009C7F7E"/>
    <w:rsid w:val="009D3058"/>
    <w:rsid w:val="009D44ED"/>
    <w:rsid w:val="009F3A13"/>
    <w:rsid w:val="00A122D3"/>
    <w:rsid w:val="00A14468"/>
    <w:rsid w:val="00A17F13"/>
    <w:rsid w:val="00A20739"/>
    <w:rsid w:val="00A23AF9"/>
    <w:rsid w:val="00A33C78"/>
    <w:rsid w:val="00AB0ADB"/>
    <w:rsid w:val="00B00C0E"/>
    <w:rsid w:val="00B01B1A"/>
    <w:rsid w:val="00B0381D"/>
    <w:rsid w:val="00B44A47"/>
    <w:rsid w:val="00B72CD3"/>
    <w:rsid w:val="00B72FFF"/>
    <w:rsid w:val="00BB4624"/>
    <w:rsid w:val="00BC3D36"/>
    <w:rsid w:val="00BD54A6"/>
    <w:rsid w:val="00BD7F72"/>
    <w:rsid w:val="00BF7425"/>
    <w:rsid w:val="00C04FB3"/>
    <w:rsid w:val="00C079BC"/>
    <w:rsid w:val="00C11D8B"/>
    <w:rsid w:val="00C15139"/>
    <w:rsid w:val="00C244C8"/>
    <w:rsid w:val="00C27EB6"/>
    <w:rsid w:val="00C330EB"/>
    <w:rsid w:val="00C50D69"/>
    <w:rsid w:val="00C5365C"/>
    <w:rsid w:val="00C754BE"/>
    <w:rsid w:val="00C76B1C"/>
    <w:rsid w:val="00C925AC"/>
    <w:rsid w:val="00CB6357"/>
    <w:rsid w:val="00CC1B26"/>
    <w:rsid w:val="00CF115E"/>
    <w:rsid w:val="00D361FD"/>
    <w:rsid w:val="00D423A2"/>
    <w:rsid w:val="00D44E26"/>
    <w:rsid w:val="00D520D8"/>
    <w:rsid w:val="00D63AC2"/>
    <w:rsid w:val="00D7383B"/>
    <w:rsid w:val="00D73EB1"/>
    <w:rsid w:val="00D7788A"/>
    <w:rsid w:val="00DA231B"/>
    <w:rsid w:val="00DC39FC"/>
    <w:rsid w:val="00DF5254"/>
    <w:rsid w:val="00E02524"/>
    <w:rsid w:val="00E16408"/>
    <w:rsid w:val="00E20894"/>
    <w:rsid w:val="00E245AB"/>
    <w:rsid w:val="00E2764C"/>
    <w:rsid w:val="00E27F2E"/>
    <w:rsid w:val="00E50AFE"/>
    <w:rsid w:val="00E75C92"/>
    <w:rsid w:val="00E771DC"/>
    <w:rsid w:val="00E8772A"/>
    <w:rsid w:val="00E90F6B"/>
    <w:rsid w:val="00E92C27"/>
    <w:rsid w:val="00EA0E3D"/>
    <w:rsid w:val="00EC38A7"/>
    <w:rsid w:val="00EE1AA8"/>
    <w:rsid w:val="00F23EE5"/>
    <w:rsid w:val="00F23FEA"/>
    <w:rsid w:val="00F31EDC"/>
    <w:rsid w:val="00F462B3"/>
    <w:rsid w:val="00F5664F"/>
    <w:rsid w:val="00F666C4"/>
    <w:rsid w:val="00F76AFC"/>
    <w:rsid w:val="00FA47C0"/>
    <w:rsid w:val="00FA5741"/>
    <w:rsid w:val="00FB5DD1"/>
    <w:rsid w:val="00FC2B5D"/>
    <w:rsid w:val="00FF1449"/>
    <w:rsid w:val="00FF1E1D"/>
    <w:rsid w:val="00FF7963"/>
    <w:rsid w:val="071B8F93"/>
    <w:rsid w:val="07C73DD1"/>
    <w:rsid w:val="09908A09"/>
    <w:rsid w:val="0E0AF0F4"/>
    <w:rsid w:val="0EFE6349"/>
    <w:rsid w:val="0FF4CCA8"/>
    <w:rsid w:val="13CFC91B"/>
    <w:rsid w:val="19A2EC2C"/>
    <w:rsid w:val="21779BE6"/>
    <w:rsid w:val="21F65690"/>
    <w:rsid w:val="2859CA1B"/>
    <w:rsid w:val="2C4D2425"/>
    <w:rsid w:val="2EE1E026"/>
    <w:rsid w:val="2F44F38F"/>
    <w:rsid w:val="30821638"/>
    <w:rsid w:val="32A4F9CF"/>
    <w:rsid w:val="33A1FF93"/>
    <w:rsid w:val="356CEDFD"/>
    <w:rsid w:val="3C591AFD"/>
    <w:rsid w:val="3FFA59DB"/>
    <w:rsid w:val="42183F0A"/>
    <w:rsid w:val="545B112A"/>
    <w:rsid w:val="5BEB1497"/>
    <w:rsid w:val="5F015942"/>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fn1">
    <w:name w:val="fn1"/>
    <w:basedOn w:val="Normal"/>
    <w:next w:val="Textonotapie"/>
    <w:uiPriority w:val="99"/>
    <w:unhideWhenUsed/>
    <w:qFormat/>
    <w:rsid w:val="00BB4624"/>
    <w:pPr>
      <w:spacing w:after="0" w:line="240" w:lineRule="auto"/>
    </w:pPr>
    <w:rPr>
      <w:sz w:val="20"/>
      <w:szCs w:val="20"/>
      <w:lang w:val="es-MX"/>
    </w:rPr>
  </w:style>
  <w:style w:type="table" w:customStyle="1" w:styleId="Tablaconcuadrcula1">
    <w:name w:val="Tabla con cuadrícula1"/>
    <w:basedOn w:val="Tablanormal"/>
    <w:next w:val="Tablaconcuadrcula"/>
    <w:uiPriority w:val="39"/>
    <w:qFormat/>
    <w:rsid w:val="00BB46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lnotedebasde">
    <w:name w:val="Appel note de bas de..."/>
    <w:basedOn w:val="Normal"/>
    <w:link w:val="Refdenotaalpie"/>
    <w:uiPriority w:val="99"/>
    <w:rsid w:val="00BB4624"/>
    <w:pPr>
      <w:spacing w:line="240" w:lineRule="exact"/>
    </w:pPr>
    <w:rPr>
      <w:vertAlign w:val="superscript"/>
    </w:rPr>
  </w:style>
  <w:style w:type="paragraph" w:customStyle="1" w:styleId="NormalWeb1">
    <w:name w:val="Normal (Web)1"/>
    <w:basedOn w:val="Normal"/>
    <w:next w:val="NormalWeb"/>
    <w:uiPriority w:val="99"/>
    <w:semiHidden/>
    <w:unhideWhenUsed/>
    <w:rsid w:val="00BB4624"/>
    <w:pPr>
      <w:spacing w:after="0" w:line="240" w:lineRule="auto"/>
    </w:pPr>
    <w:rPr>
      <w:rFonts w:ascii="Times New Roman" w:hAnsi="Times New Roman" w:cs="Times New Roman"/>
      <w:kern w:val="2"/>
      <w:sz w:val="24"/>
      <w:szCs w:val="24"/>
      <w:lang w:val="es-ES_tradnl"/>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olombiacompra.gov.co/normativa-y-relatoria/guias-y-manuales" TargetMode="External"/><Relationship Id="rId18" Type="http://schemas.openxmlformats.org/officeDocument/2006/relationships/hyperlink" Target="https://nam02.safelinks.protection.outlook.com/?url=https%3A%2F%2Fwww.colombiacompra.gov.co%2Farchivos%2Fboletin%2Fboletin-edicion-n-3-de-2026-radar-de-la-compra-publica&amp;data=05%7C02%7Ckevin.herrera%40colombiacompra.gov.co%7C7128555136e04fa6887d08dee99e1b50%7C7b09041e245149d08cb179d5e3d8c1be%7C0%7C0%7C639205062456193009%7CUnknown%7CTWFpbGZsb3d8eyJFbXB0eU1hcGkiOnRydWUsIlYiOiIwLjAuMDAwMCIsIlAiOiJXaW4zMiIsIkFOIjoiTWFpbCIsIldUIjoyfQ%3D%3D%7C0%7C%7C%7C&amp;sdata=UzfkgEtiaYEyHEetqxt855f8AuP5LYxtk7vvEUZbYA4%3D&amp;reserved=0"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www.colombiacompra.gov.co/normativa-y-relatoria/documentos-tipo" TargetMode="External"/><Relationship Id="rId17" Type="http://schemas.openxmlformats.org/officeDocument/2006/relationships/hyperlink" Target="https://nam02.safelinks.protection.outlook.com/?url=https%3A%2F%2Fwww.colombiacompra.gov.co%2Farchivos%2Fcircular%2Fcircular-externa-002-de-2026&amp;data=05%7C02%7Ckevin.herrera%40colombiacompra.gov.co%7C7128555136e04fa6887d08dee99e1b50%7C7b09041e245149d08cb179d5e3d8c1be%7C0%7C0%7C639205062456173273%7CUnknown%7CTWFpbGZsb3d8eyJFbXB0eU1hcGkiOnRydWUsIlYiOiIwLjAuMDAwMCIsIlAiOiJXaW4zMiIsIkFOIjoiTWFpbCIsIldUIjoyfQ%3D%3D%7C0%7C%7C%7C&amp;sdata=pFF2weTDwTja7q6Ap9s%2BCx5YiMno7NDP4mFhEzjkVKM%3D&amp;reserved=0" TargetMode="External"/><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circular%2Fcircular-externa-003-de-2026&amp;data=05%7C02%7Ckevin.herrera%40colombiacompra.gov.co%7C7128555136e04fa6887d08dee99e1b50%7C7b09041e245149d08cb179d5e3d8c1be%7C0%7C0%7C639205062456152838%7CUnknown%7CTWFpbGZsb3d8eyJFbXB0eU1hcGkiOnRydWUsIlYiOiIwLjAuMDAwMCIsIlAiOiJXaW4zMiIsIkFOIjoiTWFpbCIsIldUIjoyfQ%3D%3D%7C0%7C%7C%7C&amp;sdata=bgDPR1P0CVRLi6mk9%2BWdCPNYTnkaFQJscHNWdb%2FEGkw%3D&amp;reserved=0"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5" Type="http://schemas.openxmlformats.org/officeDocument/2006/relationships/styles" Target="styles.xml"/><Relationship Id="rId15" Type="http://schemas.openxmlformats.org/officeDocument/2006/relationships/hyperlink" Target="https://nam02.safelinks.protection.outlook.com/?url=https%3A%2F%2Fwww.colombiacompra.gov.co%2Farchivos%2Fmanual%2Fguia-de-garantias-en-procesos-de-contratacion&amp;data=05%7C02%7Ckevin.herrera%40colombiacompra.gov.co%7C7128555136e04fa6887d08dee99e1b50%7C7b09041e245149d08cb179d5e3d8c1be%7C0%7C0%7C639205062456125663%7CUnknown%7CTWFpbGZsb3d8eyJFbXB0eU1hcGkiOnRydWUsIlYiOiIwLjAuMDAwMCIsIlAiOiJXaW4zMiIsIkFOIjoiTWFpbCIsIldUIjoyfQ%3D%3D%7C0%7C%7C%7C&amp;sdata=Ldbf5hiM2miaBuoT6GaOxk01ChsdPNYZcsyx%2BC3HcKE%3D&amp;reserved=0"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4.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relatoria.colombiacompra.gov.co/busqueda/conceptos"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colombiacompra.gov.co/wp-content/uploads/2024/08/2023-Guia-para-determinar-y-verificar-la-Capacidad-Residual-del-proponente-en-los-Procesos-de-Contratacion-de-obra-publica-CCE-REC-GI-22.pdf" TargetMode="External"/><Relationship Id="rId1" Type="http://schemas.openxmlformats.org/officeDocument/2006/relationships/hyperlink" Target="https://www.colombiacompra.gov.co/wp-content/uploads/2024/08/2023-Guia-para-determinar-y-verificar-la-Capacidad-Residual-del-proponente-en-los-Procesos-de-Contratacion-de-obra-publica-CCE-REC-GI-22.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5A825D-AE30-4E74-A14D-B644331D33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3.xml><?xml version="1.0" encoding="utf-8"?>
<ds:datastoreItem xmlns:ds="http://schemas.openxmlformats.org/officeDocument/2006/customXml" ds:itemID="{19B0637E-D058-473B-8FE7-AA861F69C797}">
  <ds:schemaRefs>
    <ds:schemaRef ds:uri="http://schemas.microsoft.com/sharepoint/v3/contenttype/forms"/>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15</Pages>
  <Words>4612</Words>
  <Characters>25368</Characters>
  <Application>Microsoft Office Word</Application>
  <DocSecurity>0</DocSecurity>
  <Lines>211</Lines>
  <Paragraphs>59</Paragraphs>
  <ScaleCrop>false</ScaleCrop>
  <Company/>
  <LinksUpToDate>false</LinksUpToDate>
  <CharactersWithSpaces>29921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Kevin Arlid Herrera Santa</cp:lastModifiedBy>
  <cp:revision>7</cp:revision>
  <cp:lastPrinted>2023-01-10T21:18:00Z</cp:lastPrinted>
  <dcterms:created xsi:type="dcterms:W3CDTF">2026-08-27T20:12:00Z</dcterms:created>
  <dcterms:modified xsi:type="dcterms:W3CDTF">2026-08-31T15:57:00Z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