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F7EC3" w14:textId="77777777" w:rsidR="00315F9A" w:rsidRPr="00694307" w:rsidRDefault="00315F9A" w:rsidP="00315F9A">
      <w:pPr>
        <w:spacing w:after="0" w:line="240" w:lineRule="auto"/>
        <w:contextualSpacing/>
        <w:jc w:val="both"/>
        <w:rPr>
          <w:rFonts w:ascii="Verdana" w:hAnsi="Verdana"/>
          <w:b/>
          <w:bCs/>
        </w:rPr>
      </w:pPr>
      <w:bookmarkStart w:id="0" w:name="_Hlk181166130"/>
      <w:r w:rsidRPr="00694307">
        <w:rPr>
          <w:rFonts w:ascii="Verdana" w:hAnsi="Verdana"/>
          <w:b/>
          <w:bCs/>
        </w:rPr>
        <w:t xml:space="preserve">PRINCIPIO DE PUBLICIDAD – Fundamento constitucional </w:t>
      </w:r>
    </w:p>
    <w:p w14:paraId="3ADEF1A1" w14:textId="77777777" w:rsidR="00315F9A" w:rsidRPr="00694307" w:rsidRDefault="00315F9A" w:rsidP="00315F9A">
      <w:pPr>
        <w:spacing w:after="0" w:line="240" w:lineRule="auto"/>
        <w:contextualSpacing/>
        <w:jc w:val="both"/>
        <w:rPr>
          <w:rFonts w:ascii="Verdana" w:hAnsi="Verdana"/>
          <w:b/>
          <w:bCs/>
          <w:sz w:val="20"/>
          <w:szCs w:val="20"/>
        </w:rPr>
      </w:pPr>
    </w:p>
    <w:p w14:paraId="15E891D2" w14:textId="77777777" w:rsidR="00315F9A" w:rsidRPr="00694307" w:rsidRDefault="00315F9A" w:rsidP="00315F9A">
      <w:pPr>
        <w:spacing w:after="0" w:line="240" w:lineRule="auto"/>
        <w:contextualSpacing/>
        <w:jc w:val="both"/>
        <w:rPr>
          <w:rFonts w:ascii="Verdana" w:hAnsi="Verdana"/>
          <w:b/>
          <w:bCs/>
          <w:sz w:val="20"/>
          <w:szCs w:val="20"/>
        </w:rPr>
      </w:pPr>
      <w:r w:rsidRPr="00694307">
        <w:rPr>
          <w:rFonts w:ascii="Verdana" w:hAnsi="Verdana"/>
          <w:sz w:val="20"/>
          <w:szCs w:val="20"/>
          <w:lang w:val="es-ES_tradnl"/>
        </w:rPr>
        <w:t xml:space="preserve">La Constitución Política de 1991 consagra en varios artículos la </w:t>
      </w:r>
      <w:r w:rsidRPr="00694307">
        <w:rPr>
          <w:rFonts w:ascii="Verdana" w:hAnsi="Verdana"/>
          <w:i/>
          <w:iCs/>
          <w:sz w:val="20"/>
          <w:szCs w:val="20"/>
          <w:lang w:val="es-ES_tradnl"/>
        </w:rPr>
        <w:t>publicidad</w:t>
      </w:r>
      <w:r w:rsidRPr="00694307">
        <w:rPr>
          <w:rFonts w:ascii="Verdana" w:hAnsi="Verdana"/>
          <w:sz w:val="20"/>
          <w:szCs w:val="20"/>
          <w:lang w:val="es-ES_tradnl"/>
        </w:rPr>
        <w:t xml:space="preserve"> como un principio rector del Estado colombiano. Entre los más destacados, puede mencionarse el 209, que afirma que la publicidad es uno de los principios que fundamentan el ejercicio de la función administrativa. Asimismo, </w:t>
      </w:r>
      <w:r w:rsidRPr="00694307">
        <w:rPr>
          <w:rFonts w:ascii="Verdana" w:hAnsi="Verdana"/>
          <w:sz w:val="20"/>
          <w:szCs w:val="20"/>
          <w:lang w:val="es-ES"/>
        </w:rPr>
        <w:t>el artículo 74 de la Constitución Política establece que: “Todas las personas tienen derecho a acceder a los documentos públicos salvo los casos que establezca la ley”.</w:t>
      </w:r>
    </w:p>
    <w:p w14:paraId="162EE116" w14:textId="77777777" w:rsidR="00315F9A" w:rsidRPr="00694307" w:rsidRDefault="00315F9A" w:rsidP="00315F9A">
      <w:pPr>
        <w:spacing w:after="0" w:line="240" w:lineRule="auto"/>
        <w:jc w:val="both"/>
        <w:rPr>
          <w:rFonts w:ascii="Verdana" w:hAnsi="Verdana"/>
          <w:sz w:val="20"/>
          <w:szCs w:val="20"/>
        </w:rPr>
      </w:pPr>
    </w:p>
    <w:p w14:paraId="1F7DBA86" w14:textId="77777777" w:rsidR="00315F9A" w:rsidRPr="00694307" w:rsidRDefault="00315F9A" w:rsidP="00315F9A">
      <w:pPr>
        <w:spacing w:after="0" w:line="240" w:lineRule="auto"/>
        <w:jc w:val="both"/>
        <w:rPr>
          <w:rFonts w:ascii="Verdana" w:hAnsi="Verdana"/>
          <w:b/>
          <w:bCs/>
          <w:lang w:val="es-MX"/>
        </w:rPr>
      </w:pPr>
      <w:r w:rsidRPr="00694307">
        <w:rPr>
          <w:rFonts w:ascii="Verdana" w:hAnsi="Verdana"/>
          <w:b/>
          <w:bCs/>
        </w:rPr>
        <w:t xml:space="preserve">PRINCIPIO DE PUBLICIDAD - </w:t>
      </w:r>
      <w:r w:rsidRPr="00694307">
        <w:rPr>
          <w:rFonts w:ascii="Verdana" w:hAnsi="Verdana"/>
          <w:b/>
          <w:bCs/>
          <w:lang w:val="es-MX"/>
        </w:rPr>
        <w:t>Acceso – Información pública – Actuaciones contractuales</w:t>
      </w:r>
    </w:p>
    <w:p w14:paraId="35695CA1" w14:textId="77777777" w:rsidR="00315F9A" w:rsidRPr="00694307" w:rsidRDefault="00315F9A" w:rsidP="00315F9A">
      <w:pPr>
        <w:spacing w:after="0" w:line="240" w:lineRule="auto"/>
        <w:jc w:val="both"/>
        <w:rPr>
          <w:rFonts w:ascii="Verdana" w:hAnsi="Verdana"/>
          <w:b/>
          <w:bCs/>
          <w:sz w:val="20"/>
          <w:szCs w:val="20"/>
          <w:lang w:val="es-MX"/>
        </w:rPr>
      </w:pPr>
    </w:p>
    <w:p w14:paraId="26135DF0" w14:textId="77777777" w:rsidR="00315F9A" w:rsidRPr="00694307" w:rsidRDefault="00315F9A" w:rsidP="00315F9A">
      <w:pPr>
        <w:spacing w:after="0" w:line="240" w:lineRule="auto"/>
        <w:jc w:val="both"/>
        <w:rPr>
          <w:rFonts w:ascii="Verdana" w:hAnsi="Verdana"/>
          <w:sz w:val="20"/>
          <w:szCs w:val="20"/>
          <w:lang w:val="es-ES"/>
        </w:rPr>
      </w:pPr>
      <w:r w:rsidRPr="00694307">
        <w:rPr>
          <w:rFonts w:ascii="Verdana" w:hAnsi="Verdana"/>
          <w:sz w:val="20"/>
          <w:szCs w:val="20"/>
          <w:lang w:val="es-ES"/>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Pr>
          <w:rFonts w:ascii="Verdana" w:hAnsi="Verdana"/>
          <w:sz w:val="20"/>
          <w:szCs w:val="20"/>
          <w:lang w:val="es-ES"/>
        </w:rPr>
        <w:t>”</w:t>
      </w:r>
      <w:r w:rsidRPr="00694307">
        <w:rPr>
          <w:rFonts w:ascii="Verdana" w:hAnsi="Verdana"/>
          <w:sz w:val="20"/>
          <w:szCs w:val="20"/>
          <w:lang w:val="es-ES"/>
        </w:rPr>
        <w:t>.</w:t>
      </w:r>
    </w:p>
    <w:p w14:paraId="500784AC" w14:textId="77777777" w:rsidR="00315F9A" w:rsidRPr="00694307" w:rsidRDefault="00315F9A" w:rsidP="00315F9A">
      <w:pPr>
        <w:spacing w:after="0" w:line="240" w:lineRule="auto"/>
        <w:rPr>
          <w:rFonts w:ascii="Verdana" w:hAnsi="Verdana"/>
          <w:sz w:val="20"/>
          <w:szCs w:val="20"/>
          <w:lang w:val="es-ES"/>
        </w:rPr>
      </w:pPr>
    </w:p>
    <w:p w14:paraId="4B799513" w14:textId="77777777" w:rsidR="00315F9A" w:rsidRPr="00694307" w:rsidRDefault="00315F9A" w:rsidP="00315F9A">
      <w:pPr>
        <w:spacing w:after="0" w:line="240" w:lineRule="auto"/>
        <w:jc w:val="both"/>
        <w:rPr>
          <w:rFonts w:ascii="Verdana" w:hAnsi="Verdana"/>
          <w:sz w:val="20"/>
          <w:szCs w:val="20"/>
          <w:lang w:val="es-ES"/>
        </w:rPr>
      </w:pPr>
      <w:r w:rsidRPr="00694307">
        <w:rPr>
          <w:rFonts w:ascii="Verdana" w:hAnsi="Verdana"/>
          <w:sz w:val="20"/>
          <w:szCs w:val="20"/>
          <w:lang w:val="es-ES"/>
        </w:rPr>
        <w:t>Del artículo 3 de la Ley 1150 de 2007 se desprende un deber de publicar las actuaciones contractuales, el cual implica que todas las entidades estatales, publiquen los documentos en los que se evidencia el desarrollo de sus procesos de contratación. Esto, como quiera que el objetivo del deber de dar publicidad a las actuaciones contractuales es materializar el derecho a conocer e intervenir de las decisiones de la Administración Pública.</w:t>
      </w:r>
    </w:p>
    <w:p w14:paraId="1258C489" w14:textId="77777777" w:rsidR="00315F9A" w:rsidRPr="00694307" w:rsidRDefault="00315F9A" w:rsidP="00315F9A">
      <w:pPr>
        <w:spacing w:after="0" w:line="240" w:lineRule="auto"/>
        <w:jc w:val="both"/>
        <w:rPr>
          <w:rFonts w:ascii="Verdana" w:hAnsi="Verdana"/>
          <w:lang w:val="es-ES"/>
        </w:rPr>
      </w:pPr>
    </w:p>
    <w:p w14:paraId="72786BF2" w14:textId="77777777" w:rsidR="00315F9A" w:rsidRPr="00694307" w:rsidRDefault="00315F9A" w:rsidP="00315F9A">
      <w:pPr>
        <w:spacing w:after="0" w:line="240" w:lineRule="auto"/>
        <w:jc w:val="both"/>
        <w:rPr>
          <w:rFonts w:ascii="Verdana" w:hAnsi="Verdana"/>
          <w:b/>
          <w:bCs/>
          <w:sz w:val="20"/>
          <w:szCs w:val="20"/>
          <w:lang w:val="es-ES"/>
        </w:rPr>
      </w:pPr>
      <w:r w:rsidRPr="00694307">
        <w:rPr>
          <w:rFonts w:ascii="Verdana" w:hAnsi="Verdana"/>
          <w:b/>
          <w:bCs/>
          <w:lang w:val="es-ES"/>
        </w:rPr>
        <w:t xml:space="preserve">PRINCIPIO DE TRANSPARENCIA – Ley 1712 de 2014 – Documentos públicos </w:t>
      </w:r>
    </w:p>
    <w:p w14:paraId="10D21B41" w14:textId="77777777" w:rsidR="00315F9A" w:rsidRPr="00694307" w:rsidRDefault="00315F9A" w:rsidP="00315F9A">
      <w:pPr>
        <w:spacing w:after="0" w:line="240" w:lineRule="auto"/>
        <w:rPr>
          <w:rFonts w:ascii="Verdana" w:hAnsi="Verdana"/>
          <w:sz w:val="20"/>
          <w:szCs w:val="20"/>
        </w:rPr>
      </w:pPr>
    </w:p>
    <w:p w14:paraId="676C354C" w14:textId="77777777" w:rsidR="00315F9A" w:rsidRPr="00694307" w:rsidRDefault="00315F9A" w:rsidP="00315F9A">
      <w:pPr>
        <w:spacing w:after="0" w:line="240" w:lineRule="auto"/>
        <w:jc w:val="both"/>
        <w:rPr>
          <w:rFonts w:ascii="Verdana" w:eastAsia="Times New Roman" w:hAnsi="Verdana" w:cs="Arial"/>
          <w:sz w:val="20"/>
          <w:szCs w:val="20"/>
          <w:lang w:eastAsia="es-CO"/>
        </w:rPr>
      </w:pPr>
      <w:r w:rsidRPr="00694307">
        <w:rPr>
          <w:rFonts w:ascii="Verdana" w:eastAsia="Arial" w:hAnsi="Verdana" w:cs="Arial"/>
          <w:sz w:val="20"/>
          <w:szCs w:val="20"/>
          <w:lang w:val="es-ES"/>
        </w:rPr>
        <w:t>La Ley 1712 de 2014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r w:rsidRPr="00694307">
        <w:rPr>
          <w:rFonts w:ascii="Verdana" w:eastAsia="Times New Roman" w:hAnsi="Verdana" w:cs="Arial"/>
          <w:sz w:val="20"/>
          <w:szCs w:val="20"/>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p>
    <w:p w14:paraId="3D4596A7" w14:textId="77777777" w:rsidR="00315F9A" w:rsidRPr="00694307" w:rsidRDefault="00315F9A" w:rsidP="00315F9A">
      <w:pPr>
        <w:spacing w:after="0" w:line="240" w:lineRule="auto"/>
        <w:jc w:val="both"/>
        <w:rPr>
          <w:rFonts w:ascii="Verdana" w:eastAsia="Times New Roman" w:hAnsi="Verdana" w:cs="Arial"/>
          <w:sz w:val="20"/>
          <w:szCs w:val="20"/>
          <w:lang w:eastAsia="es-CO"/>
        </w:rPr>
      </w:pPr>
    </w:p>
    <w:p w14:paraId="31B149AE" w14:textId="77777777" w:rsidR="00315F9A" w:rsidRPr="00694307" w:rsidRDefault="00315F9A" w:rsidP="00315F9A">
      <w:pPr>
        <w:spacing w:after="0" w:line="240" w:lineRule="auto"/>
        <w:jc w:val="both"/>
        <w:rPr>
          <w:rFonts w:ascii="Verdana" w:hAnsi="Verdana"/>
          <w:b/>
          <w:bCs/>
        </w:rPr>
      </w:pPr>
      <w:r w:rsidRPr="00694307">
        <w:rPr>
          <w:rFonts w:ascii="Verdana" w:hAnsi="Verdana"/>
          <w:b/>
          <w:bCs/>
        </w:rPr>
        <w:t>CIRCULAR ÚNICA EXTERNA – Deber de publicar oportunamente la actividad contractual en SECOP</w:t>
      </w:r>
      <w:r>
        <w:rPr>
          <w:rFonts w:ascii="Verdana" w:hAnsi="Verdana"/>
          <w:b/>
          <w:bCs/>
        </w:rPr>
        <w:t>.</w:t>
      </w:r>
    </w:p>
    <w:p w14:paraId="796456D9" w14:textId="77777777" w:rsidR="00315F9A" w:rsidRPr="00694307" w:rsidRDefault="00315F9A" w:rsidP="00315F9A">
      <w:pPr>
        <w:spacing w:after="0" w:line="240" w:lineRule="auto"/>
        <w:jc w:val="both"/>
        <w:rPr>
          <w:rFonts w:ascii="Verdana" w:hAnsi="Verdana"/>
          <w:sz w:val="20"/>
          <w:szCs w:val="20"/>
        </w:rPr>
      </w:pPr>
    </w:p>
    <w:p w14:paraId="1964BD58" w14:textId="77777777" w:rsidR="00315F9A" w:rsidRPr="00694307" w:rsidRDefault="00315F9A" w:rsidP="00315F9A">
      <w:pPr>
        <w:spacing w:after="0" w:line="240" w:lineRule="auto"/>
        <w:jc w:val="both"/>
        <w:rPr>
          <w:rFonts w:ascii="Verdana" w:hAnsi="Verdana"/>
          <w:sz w:val="20"/>
          <w:szCs w:val="20"/>
        </w:rPr>
      </w:pPr>
      <w:r w:rsidRPr="00694307">
        <w:rPr>
          <w:rFonts w:ascii="Verdana" w:hAnsi="Verdana"/>
          <w:sz w:val="20"/>
          <w:szCs w:val="20"/>
        </w:rPr>
        <w:lastRenderedPageBreak/>
        <w:t>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p>
    <w:p w14:paraId="48C08BD8" w14:textId="77777777" w:rsidR="00315F9A" w:rsidRPr="00694307" w:rsidRDefault="00315F9A" w:rsidP="00315F9A">
      <w:pPr>
        <w:spacing w:after="0" w:line="240" w:lineRule="auto"/>
        <w:jc w:val="both"/>
        <w:rPr>
          <w:rFonts w:ascii="Verdana" w:hAnsi="Verdana"/>
          <w:sz w:val="20"/>
          <w:szCs w:val="20"/>
        </w:rPr>
      </w:pPr>
    </w:p>
    <w:p w14:paraId="1DC1C41F" w14:textId="77777777" w:rsidR="00315F9A" w:rsidRPr="00694307" w:rsidRDefault="00315F9A" w:rsidP="00315F9A">
      <w:pPr>
        <w:spacing w:after="0" w:line="240" w:lineRule="auto"/>
        <w:jc w:val="both"/>
        <w:rPr>
          <w:rFonts w:ascii="Verdana" w:hAnsi="Verdana"/>
          <w:sz w:val="20"/>
          <w:szCs w:val="20"/>
        </w:rPr>
      </w:pPr>
      <w:r w:rsidRPr="00694307">
        <w:rPr>
          <w:rFonts w:ascii="Verdana" w:hAnsi="Verdana"/>
          <w:sz w:val="20"/>
          <w:szCs w:val="20"/>
        </w:rPr>
        <w:t>Así mismo, en la Circular única Externa se indicó que “Las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2D8DAD42" w14:textId="77777777" w:rsidR="00315F9A" w:rsidRPr="00694307" w:rsidRDefault="00315F9A" w:rsidP="00315F9A">
      <w:pPr>
        <w:spacing w:after="0" w:line="240" w:lineRule="auto"/>
        <w:jc w:val="both"/>
        <w:rPr>
          <w:rFonts w:ascii="Verdana" w:hAnsi="Verdana"/>
          <w:sz w:val="20"/>
          <w:szCs w:val="20"/>
        </w:rPr>
      </w:pPr>
    </w:p>
    <w:p w14:paraId="2F3C8835" w14:textId="77777777" w:rsidR="00315F9A" w:rsidRPr="00694307" w:rsidRDefault="00315F9A" w:rsidP="00315F9A">
      <w:pPr>
        <w:spacing w:after="0" w:line="240" w:lineRule="auto"/>
        <w:jc w:val="both"/>
        <w:rPr>
          <w:rFonts w:ascii="Verdana" w:hAnsi="Verdana"/>
          <w:sz w:val="20"/>
          <w:szCs w:val="20"/>
        </w:rPr>
      </w:pPr>
    </w:p>
    <w:p w14:paraId="40421AD1" w14:textId="77777777" w:rsidR="00315F9A" w:rsidRPr="00694307" w:rsidRDefault="00315F9A" w:rsidP="00315F9A">
      <w:pPr>
        <w:spacing w:after="0" w:line="240" w:lineRule="auto"/>
        <w:jc w:val="both"/>
        <w:rPr>
          <w:rFonts w:ascii="Verdana" w:hAnsi="Verdana"/>
          <w:b/>
          <w:bCs/>
        </w:rPr>
      </w:pPr>
      <w:r w:rsidRPr="00694307">
        <w:rPr>
          <w:rFonts w:ascii="Verdana" w:hAnsi="Verdana"/>
          <w:b/>
          <w:bCs/>
        </w:rPr>
        <w:t xml:space="preserve">DEBER DE PUBLICIDAD – SECOP II – Entidades con régimen especial de contratación – DEBER DE PUBLICIDAD - Procesos de contratación  </w:t>
      </w:r>
    </w:p>
    <w:p w14:paraId="430B9B4B" w14:textId="77777777" w:rsidR="00315F9A" w:rsidRPr="00694307" w:rsidRDefault="00315F9A" w:rsidP="00315F9A">
      <w:pPr>
        <w:spacing w:after="0" w:line="240" w:lineRule="auto"/>
        <w:jc w:val="both"/>
        <w:rPr>
          <w:rFonts w:ascii="Verdana" w:hAnsi="Verdana"/>
          <w:sz w:val="20"/>
          <w:szCs w:val="20"/>
        </w:rPr>
      </w:pPr>
    </w:p>
    <w:p w14:paraId="2F515E25" w14:textId="77777777" w:rsidR="00315F9A" w:rsidRPr="00694307" w:rsidRDefault="00315F9A" w:rsidP="00315F9A">
      <w:pPr>
        <w:spacing w:after="0" w:line="240" w:lineRule="auto"/>
        <w:jc w:val="both"/>
        <w:rPr>
          <w:rFonts w:ascii="Verdana" w:hAnsi="Verdana"/>
          <w:sz w:val="20"/>
          <w:szCs w:val="20"/>
        </w:rPr>
      </w:pPr>
      <w:r w:rsidRPr="00694307">
        <w:rPr>
          <w:rFonts w:ascii="Verdana" w:hAnsi="Verdana"/>
          <w:sz w:val="20"/>
          <w:szCs w:val="20"/>
        </w:rPr>
        <w:t>Frente a la obligación de publicar los Procesos de Contratación en el SECOP II, el 18 de enero de 2022 fue expedida la Ley 2195 de 2022 “Por medio de la cual se adoptan medidas en materia de transparencia, prevención y lucha contra la corrupción y se dictan otras disposiciones”, mediante la cual se introdujeron, a través del artículo 53, los incisos 2° y 3° al artículo 13 de la Ley 1150 de 2007, los cuales establecen la obligación, para las entidades públicas que por disposición legal cuenten con un régimen especial de contratación, de publicar su actividad contractual a través del Sistema Electrónico para la Contratación Pública en su versión transaccional, es decir en la plataforma SECOP II.</w:t>
      </w:r>
    </w:p>
    <w:p w14:paraId="5F95795F" w14:textId="77777777" w:rsidR="00315F9A" w:rsidRPr="00694307" w:rsidRDefault="00315F9A" w:rsidP="00315F9A">
      <w:pPr>
        <w:spacing w:after="0" w:line="240" w:lineRule="auto"/>
        <w:jc w:val="both"/>
        <w:rPr>
          <w:rFonts w:ascii="Verdana" w:hAnsi="Verdana"/>
          <w:sz w:val="20"/>
          <w:szCs w:val="20"/>
        </w:rPr>
      </w:pPr>
    </w:p>
    <w:p w14:paraId="045E19BE" w14:textId="77777777" w:rsidR="00315F9A" w:rsidRDefault="00315F9A" w:rsidP="00315F9A">
      <w:pPr>
        <w:spacing w:after="0" w:line="240" w:lineRule="auto"/>
        <w:jc w:val="both"/>
        <w:rPr>
          <w:rFonts w:ascii="Verdana" w:hAnsi="Verdana"/>
          <w:b/>
          <w:bCs/>
        </w:rPr>
      </w:pPr>
      <w:r w:rsidRPr="00694307">
        <w:rPr>
          <w:rFonts w:ascii="Verdana" w:hAnsi="Verdana"/>
          <w:b/>
          <w:bCs/>
        </w:rPr>
        <w:t xml:space="preserve">DATOS SENSIBLES – Restricción de la publicidad – CONFIDENCIALIDAD </w:t>
      </w:r>
    </w:p>
    <w:p w14:paraId="290E348A" w14:textId="77777777" w:rsidR="00315F9A" w:rsidRPr="00694307" w:rsidRDefault="00315F9A" w:rsidP="00315F9A">
      <w:pPr>
        <w:spacing w:after="0" w:line="240" w:lineRule="auto"/>
        <w:jc w:val="both"/>
        <w:rPr>
          <w:rFonts w:ascii="Verdana" w:hAnsi="Verdana"/>
          <w:b/>
          <w:bCs/>
        </w:rPr>
      </w:pPr>
    </w:p>
    <w:p w14:paraId="2102538C" w14:textId="77777777" w:rsidR="00315F9A" w:rsidRPr="00694307" w:rsidRDefault="00315F9A" w:rsidP="00315F9A">
      <w:pPr>
        <w:spacing w:after="0" w:line="240" w:lineRule="auto"/>
        <w:jc w:val="both"/>
        <w:rPr>
          <w:rFonts w:ascii="Verdana" w:eastAsia="Arial" w:hAnsi="Verdana" w:cs="Arial"/>
          <w:color w:val="000000" w:themeColor="text1"/>
          <w:sz w:val="20"/>
          <w:szCs w:val="20"/>
        </w:rPr>
      </w:pPr>
      <w:r w:rsidRPr="00694307">
        <w:rPr>
          <w:rFonts w:ascii="Verdana" w:eastAsia="Arial" w:hAnsi="Verdana" w:cs="Arial"/>
          <w:color w:val="000000" w:themeColor="text1"/>
          <w:sz w:val="20"/>
          <w:szCs w:val="20"/>
        </w:rPr>
        <w:t>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 o las partes pertinentes en las que se evidencie este tipo de información. Para dichos eventos, la plataforma SECOP II, antes de publicar las ofertas, brinda a las entidades la opción de calificar dicha información como confidencial, lo cual impide que los documentos se publiquen.</w:t>
      </w:r>
    </w:p>
    <w:p w14:paraId="714BEB49" w14:textId="77777777" w:rsidR="00315F9A" w:rsidRPr="00694307" w:rsidRDefault="00315F9A" w:rsidP="00315F9A">
      <w:pPr>
        <w:spacing w:after="0" w:line="240" w:lineRule="auto"/>
        <w:jc w:val="both"/>
        <w:rPr>
          <w:rFonts w:ascii="Verdana" w:eastAsia="Arial" w:hAnsi="Verdana" w:cs="Arial"/>
          <w:color w:val="000000" w:themeColor="text1"/>
          <w:sz w:val="20"/>
          <w:szCs w:val="20"/>
        </w:rPr>
      </w:pPr>
    </w:p>
    <w:p w14:paraId="088E5006" w14:textId="77777777" w:rsidR="00315F9A" w:rsidRPr="00694307" w:rsidRDefault="00315F9A" w:rsidP="00315F9A">
      <w:pPr>
        <w:spacing w:after="0" w:line="240" w:lineRule="auto"/>
        <w:jc w:val="both"/>
        <w:rPr>
          <w:rFonts w:ascii="Verdana" w:eastAsia="Arial" w:hAnsi="Verdana" w:cs="Arial"/>
          <w:color w:val="000000" w:themeColor="text1"/>
          <w:sz w:val="20"/>
          <w:szCs w:val="20"/>
        </w:rPr>
      </w:pPr>
      <w:r w:rsidRPr="00694307">
        <w:rPr>
          <w:rFonts w:ascii="Verdana" w:eastAsia="Arial" w:hAnsi="Verdana" w:cs="Arial"/>
          <w:color w:val="000000" w:themeColor="text1"/>
          <w:sz w:val="20"/>
          <w:szCs w:val="20"/>
        </w:rPr>
        <w:t xml:space="preserve">En otras palabras, aun cuando el artículo 74 de la Constitución establezca que la información pública debe ser dada a conocer a la ciudadanía y así los documentos que hagan parte de la actividad contractual puedan catalogarse, </w:t>
      </w:r>
      <w:r w:rsidRPr="00694307">
        <w:rPr>
          <w:rFonts w:ascii="Verdana" w:eastAsia="Arial" w:hAnsi="Verdana" w:cs="Arial"/>
          <w:i/>
          <w:iCs/>
          <w:color w:val="000000" w:themeColor="text1"/>
          <w:sz w:val="20"/>
          <w:szCs w:val="20"/>
        </w:rPr>
        <w:t>prima facie</w:t>
      </w:r>
      <w:r w:rsidRPr="00694307">
        <w:rPr>
          <w:rFonts w:ascii="Verdana" w:eastAsia="Arial" w:hAnsi="Verdana" w:cs="Arial"/>
          <w:color w:val="000000" w:themeColor="text1"/>
          <w:sz w:val="20"/>
          <w:szCs w:val="20"/>
        </w:rPr>
        <w:t xml:space="preserve">, como información pública, cuando dicha documentación contenga datos sensibles, operan </w:t>
      </w:r>
      <w:r w:rsidRPr="00694307">
        <w:rPr>
          <w:rFonts w:ascii="Verdana" w:eastAsia="Arial" w:hAnsi="Verdana" w:cs="Arial"/>
          <w:color w:val="000000" w:themeColor="text1"/>
          <w:sz w:val="20"/>
          <w:szCs w:val="20"/>
        </w:rPr>
        <w:lastRenderedPageBreak/>
        <w:t>algunas restricciones a su publicidad. Sin embargo, esto no necesariamente convierte el documento completo en reservado, es decir, en un documento que no puede publicarse.</w:t>
      </w:r>
    </w:p>
    <w:p w14:paraId="56A0BD6F" w14:textId="77777777" w:rsidR="00315F9A" w:rsidRPr="00694307" w:rsidRDefault="00315F9A" w:rsidP="00315F9A">
      <w:pPr>
        <w:spacing w:after="0" w:line="240" w:lineRule="auto"/>
        <w:jc w:val="both"/>
        <w:rPr>
          <w:rFonts w:ascii="Verdana" w:eastAsia="Calibri" w:hAnsi="Verdana" w:cs="Arial"/>
          <w:color w:val="000000"/>
          <w:sz w:val="20"/>
          <w:szCs w:val="20"/>
          <w:lang w:val="es-ES_tradnl" w:eastAsia="en-GB"/>
        </w:rPr>
      </w:pPr>
    </w:p>
    <w:p w14:paraId="6F90418F" w14:textId="77777777" w:rsidR="00315F9A" w:rsidRPr="00694307" w:rsidRDefault="00315F9A" w:rsidP="00315F9A">
      <w:pPr>
        <w:spacing w:after="0" w:line="240" w:lineRule="auto"/>
        <w:jc w:val="both"/>
        <w:rPr>
          <w:rFonts w:ascii="Verdana" w:eastAsia="Arial" w:hAnsi="Verdana" w:cs="Arial"/>
          <w:color w:val="000000" w:themeColor="text1"/>
          <w:sz w:val="20"/>
          <w:szCs w:val="20"/>
        </w:rPr>
      </w:pPr>
      <w:r w:rsidRPr="00694307">
        <w:rPr>
          <w:rFonts w:ascii="Verdana" w:eastAsia="Arial" w:hAnsi="Verdana" w:cs="Arial"/>
          <w:color w:val="000000" w:themeColor="text1"/>
          <w:sz w:val="20"/>
          <w:szCs w:val="20"/>
        </w:rPr>
        <w:t xml:space="preserve">El enunciado constitucional, en armonía con los artículos 18 y 19 de la Ley 1712 de 2014 y los artículos 24 y 25 de la Ley 1437 de 2011,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w:t>
      </w:r>
    </w:p>
    <w:p w14:paraId="0C2FFCEB" w14:textId="77777777" w:rsidR="00315F9A" w:rsidRPr="00694307" w:rsidRDefault="00315F9A" w:rsidP="00315F9A">
      <w:pPr>
        <w:spacing w:after="0" w:line="240" w:lineRule="auto"/>
        <w:jc w:val="both"/>
        <w:rPr>
          <w:rFonts w:ascii="Verdana" w:eastAsia="Arial" w:hAnsi="Verdana" w:cs="Arial"/>
          <w:color w:val="000000" w:themeColor="text1"/>
          <w:sz w:val="20"/>
          <w:szCs w:val="20"/>
        </w:rPr>
      </w:pPr>
    </w:p>
    <w:p w14:paraId="2806817D" w14:textId="77777777" w:rsidR="00315F9A" w:rsidRPr="00694307" w:rsidRDefault="00315F9A" w:rsidP="00315F9A">
      <w:pPr>
        <w:spacing w:after="0" w:line="240" w:lineRule="auto"/>
        <w:jc w:val="both"/>
        <w:rPr>
          <w:rFonts w:ascii="Verdana" w:eastAsia="Arial" w:hAnsi="Verdana" w:cs="Arial"/>
          <w:color w:val="000000" w:themeColor="text1"/>
          <w:sz w:val="20"/>
          <w:szCs w:val="20"/>
        </w:rPr>
      </w:pPr>
      <w:r w:rsidRPr="00694307">
        <w:rPr>
          <w:rFonts w:ascii="Verdana" w:eastAsia="Arial" w:hAnsi="Verdana" w:cs="Arial"/>
          <w:color w:val="000000" w:themeColor="text1"/>
          <w:sz w:val="20"/>
          <w:szCs w:val="20"/>
        </w:rPr>
        <w:t>Cuando el documento contractual tenga información sensible, clasificada o reservada, para proteger la información, las autoridades deben abstenerse de publicar en el SECOP la información que tiene protección especial. Por ello, la entidad estatal deberá excluir del documento entregado por el proponente o del contratista, la información que contenga datos sensibles, clasificados o reservados, para no divulgarla, pero debe publicar las demás piezas o los apartados que no gozan de reserva o que no están protegidos por las disposiciones de habeas data.</w:t>
      </w:r>
    </w:p>
    <w:p w14:paraId="1CA26224" w14:textId="77777777" w:rsidR="00315F9A" w:rsidRPr="000E1704" w:rsidRDefault="00315F9A" w:rsidP="00315F9A">
      <w:pPr>
        <w:spacing w:after="0"/>
        <w:ind w:firstLine="708"/>
        <w:jc w:val="both"/>
        <w:rPr>
          <w:rFonts w:ascii="Verdana" w:eastAsia="Calibri" w:hAnsi="Verdana" w:cs="Arial"/>
          <w:b/>
          <w:lang w:val="es-ES" w:eastAsia="es-ES"/>
        </w:rPr>
      </w:pPr>
    </w:p>
    <w:p w14:paraId="1C9BCEBB" w14:textId="77777777" w:rsidR="00315F9A" w:rsidRDefault="00315F9A" w:rsidP="00315F9A">
      <w:pPr>
        <w:spacing w:after="0" w:line="240" w:lineRule="auto"/>
        <w:jc w:val="both"/>
        <w:rPr>
          <w:rFonts w:ascii="Verdana" w:eastAsia="Aptos" w:hAnsi="Verdana" w:cs="Times New Roman"/>
          <w:sz w:val="20"/>
          <w:szCs w:val="20"/>
        </w:rPr>
      </w:pPr>
    </w:p>
    <w:p w14:paraId="205692A2" w14:textId="77777777" w:rsidR="00315F9A" w:rsidRDefault="00315F9A" w:rsidP="00315F9A">
      <w:pPr>
        <w:spacing w:after="0" w:line="240" w:lineRule="auto"/>
        <w:jc w:val="both"/>
        <w:rPr>
          <w:rFonts w:ascii="Verdana" w:eastAsia="Aptos" w:hAnsi="Verdana" w:cs="Times New Roman"/>
          <w:sz w:val="20"/>
          <w:szCs w:val="20"/>
        </w:rPr>
      </w:pPr>
    </w:p>
    <w:p w14:paraId="34441B42" w14:textId="77777777" w:rsidR="00315F9A" w:rsidRDefault="00315F9A" w:rsidP="00315F9A">
      <w:pPr>
        <w:spacing w:after="0" w:line="240" w:lineRule="auto"/>
        <w:jc w:val="both"/>
        <w:rPr>
          <w:rFonts w:ascii="Verdana" w:eastAsia="Aptos" w:hAnsi="Verdana" w:cs="Times New Roman"/>
          <w:sz w:val="20"/>
          <w:szCs w:val="20"/>
        </w:rPr>
      </w:pPr>
    </w:p>
    <w:p w14:paraId="33D6749D" w14:textId="77777777" w:rsidR="00315F9A" w:rsidRDefault="00315F9A" w:rsidP="00315F9A">
      <w:pPr>
        <w:spacing w:after="0" w:line="240" w:lineRule="auto"/>
        <w:jc w:val="both"/>
        <w:rPr>
          <w:rFonts w:ascii="Verdana" w:eastAsia="Aptos" w:hAnsi="Verdana" w:cs="Times New Roman"/>
          <w:sz w:val="20"/>
          <w:szCs w:val="20"/>
        </w:rPr>
      </w:pPr>
    </w:p>
    <w:p w14:paraId="4544895F" w14:textId="77777777" w:rsidR="00315F9A" w:rsidRDefault="00315F9A" w:rsidP="00315F9A">
      <w:pPr>
        <w:spacing w:after="0" w:line="240" w:lineRule="auto"/>
        <w:jc w:val="both"/>
        <w:rPr>
          <w:rFonts w:ascii="Verdana" w:eastAsia="Aptos" w:hAnsi="Verdana" w:cs="Times New Roman"/>
          <w:sz w:val="20"/>
          <w:szCs w:val="20"/>
        </w:rPr>
      </w:pPr>
    </w:p>
    <w:p w14:paraId="7156CF49" w14:textId="77777777" w:rsidR="00315F9A" w:rsidRDefault="00315F9A" w:rsidP="00315F9A">
      <w:pPr>
        <w:spacing w:after="0" w:line="240" w:lineRule="auto"/>
        <w:jc w:val="both"/>
        <w:rPr>
          <w:rFonts w:ascii="Verdana" w:eastAsia="Aptos" w:hAnsi="Verdana" w:cs="Times New Roman"/>
          <w:sz w:val="20"/>
          <w:szCs w:val="20"/>
        </w:rPr>
      </w:pPr>
    </w:p>
    <w:p w14:paraId="2A5B1231" w14:textId="77777777" w:rsidR="00315F9A" w:rsidRDefault="00315F9A" w:rsidP="00315F9A">
      <w:pPr>
        <w:spacing w:after="0" w:line="240" w:lineRule="auto"/>
        <w:jc w:val="both"/>
        <w:rPr>
          <w:rFonts w:ascii="Verdana" w:eastAsia="Aptos" w:hAnsi="Verdana" w:cs="Times New Roman"/>
          <w:sz w:val="20"/>
          <w:szCs w:val="20"/>
        </w:rPr>
      </w:pPr>
    </w:p>
    <w:p w14:paraId="02D5A038" w14:textId="77777777" w:rsidR="00315F9A" w:rsidRDefault="00315F9A" w:rsidP="00315F9A">
      <w:pPr>
        <w:spacing w:after="0" w:line="240" w:lineRule="auto"/>
        <w:jc w:val="both"/>
        <w:rPr>
          <w:rFonts w:ascii="Verdana" w:eastAsia="Aptos" w:hAnsi="Verdana" w:cs="Times New Roman"/>
          <w:sz w:val="20"/>
          <w:szCs w:val="20"/>
        </w:rPr>
      </w:pPr>
    </w:p>
    <w:p w14:paraId="58704395" w14:textId="77777777" w:rsidR="00315F9A" w:rsidRDefault="00315F9A" w:rsidP="00315F9A">
      <w:pPr>
        <w:spacing w:after="0" w:line="240" w:lineRule="auto"/>
        <w:jc w:val="both"/>
        <w:rPr>
          <w:rFonts w:ascii="Verdana" w:eastAsia="Aptos" w:hAnsi="Verdana" w:cs="Times New Roman"/>
          <w:sz w:val="20"/>
          <w:szCs w:val="20"/>
        </w:rPr>
      </w:pPr>
    </w:p>
    <w:p w14:paraId="65DD90A8" w14:textId="77777777" w:rsidR="00315F9A" w:rsidRDefault="00315F9A" w:rsidP="00315F9A">
      <w:pPr>
        <w:spacing w:after="0" w:line="240" w:lineRule="auto"/>
        <w:jc w:val="both"/>
        <w:rPr>
          <w:rFonts w:ascii="Verdana" w:eastAsia="Aptos" w:hAnsi="Verdana" w:cs="Times New Roman"/>
          <w:sz w:val="20"/>
          <w:szCs w:val="20"/>
        </w:rPr>
      </w:pPr>
    </w:p>
    <w:p w14:paraId="00037299" w14:textId="77777777" w:rsidR="00315F9A" w:rsidRDefault="00315F9A" w:rsidP="00315F9A">
      <w:pPr>
        <w:spacing w:after="0" w:line="240" w:lineRule="auto"/>
        <w:jc w:val="both"/>
        <w:rPr>
          <w:rFonts w:ascii="Verdana" w:eastAsia="Aptos" w:hAnsi="Verdana" w:cs="Times New Roman"/>
          <w:sz w:val="20"/>
          <w:szCs w:val="20"/>
        </w:rPr>
      </w:pPr>
    </w:p>
    <w:p w14:paraId="1F500AD6" w14:textId="77777777" w:rsidR="00315F9A" w:rsidRDefault="00315F9A" w:rsidP="00315F9A">
      <w:pPr>
        <w:spacing w:after="0" w:line="240" w:lineRule="auto"/>
        <w:jc w:val="both"/>
        <w:rPr>
          <w:rFonts w:ascii="Verdana" w:eastAsia="Aptos" w:hAnsi="Verdana" w:cs="Times New Roman"/>
          <w:sz w:val="20"/>
          <w:szCs w:val="20"/>
        </w:rPr>
      </w:pPr>
    </w:p>
    <w:p w14:paraId="5CBC7082" w14:textId="77777777" w:rsidR="00315F9A" w:rsidRDefault="00315F9A" w:rsidP="00315F9A">
      <w:pPr>
        <w:spacing w:after="0" w:line="240" w:lineRule="auto"/>
        <w:jc w:val="both"/>
        <w:rPr>
          <w:rFonts w:ascii="Verdana" w:eastAsia="Aptos" w:hAnsi="Verdana" w:cs="Times New Roman"/>
          <w:sz w:val="20"/>
          <w:szCs w:val="20"/>
        </w:rPr>
      </w:pPr>
    </w:p>
    <w:p w14:paraId="44351ECE" w14:textId="77777777" w:rsidR="00315F9A" w:rsidRDefault="00315F9A" w:rsidP="00315F9A">
      <w:pPr>
        <w:spacing w:after="0" w:line="240" w:lineRule="auto"/>
        <w:jc w:val="both"/>
        <w:rPr>
          <w:rFonts w:ascii="Verdana" w:eastAsia="Aptos" w:hAnsi="Verdana" w:cs="Times New Roman"/>
          <w:sz w:val="20"/>
          <w:szCs w:val="20"/>
        </w:rPr>
      </w:pPr>
    </w:p>
    <w:p w14:paraId="44EB9276" w14:textId="77777777" w:rsidR="00315F9A" w:rsidRDefault="00315F9A" w:rsidP="00315F9A">
      <w:pPr>
        <w:spacing w:after="0" w:line="240" w:lineRule="auto"/>
        <w:jc w:val="both"/>
        <w:rPr>
          <w:rFonts w:ascii="Verdana" w:eastAsia="Aptos" w:hAnsi="Verdana" w:cs="Times New Roman"/>
          <w:sz w:val="20"/>
          <w:szCs w:val="20"/>
        </w:rPr>
      </w:pPr>
    </w:p>
    <w:p w14:paraId="1C5E999A" w14:textId="77777777" w:rsidR="00315F9A" w:rsidRDefault="00315F9A" w:rsidP="00315F9A">
      <w:pPr>
        <w:spacing w:after="0" w:line="240" w:lineRule="auto"/>
        <w:jc w:val="both"/>
        <w:rPr>
          <w:rFonts w:ascii="Verdana" w:eastAsia="Aptos" w:hAnsi="Verdana" w:cs="Times New Roman"/>
          <w:sz w:val="20"/>
          <w:szCs w:val="20"/>
        </w:rPr>
      </w:pPr>
    </w:p>
    <w:p w14:paraId="74376F86" w14:textId="77777777" w:rsidR="00315F9A" w:rsidRDefault="00315F9A" w:rsidP="00315F9A">
      <w:pPr>
        <w:spacing w:after="0" w:line="240" w:lineRule="auto"/>
        <w:jc w:val="both"/>
        <w:rPr>
          <w:rFonts w:ascii="Verdana" w:eastAsia="Aptos" w:hAnsi="Verdana" w:cs="Times New Roman"/>
          <w:sz w:val="20"/>
          <w:szCs w:val="20"/>
        </w:rPr>
      </w:pPr>
    </w:p>
    <w:p w14:paraId="0DBE6BEE" w14:textId="77777777" w:rsidR="00315F9A" w:rsidRDefault="00315F9A" w:rsidP="00315F9A">
      <w:pPr>
        <w:spacing w:after="0" w:line="240" w:lineRule="auto"/>
        <w:jc w:val="both"/>
        <w:rPr>
          <w:rFonts w:ascii="Verdana" w:eastAsia="Aptos" w:hAnsi="Verdana" w:cs="Times New Roman"/>
          <w:sz w:val="20"/>
          <w:szCs w:val="20"/>
        </w:rPr>
      </w:pPr>
    </w:p>
    <w:p w14:paraId="5D3F53DD" w14:textId="77777777" w:rsidR="00315F9A" w:rsidRDefault="00315F9A" w:rsidP="00315F9A">
      <w:pPr>
        <w:spacing w:after="0" w:line="240" w:lineRule="auto"/>
        <w:jc w:val="both"/>
        <w:rPr>
          <w:rFonts w:ascii="Verdana" w:eastAsia="Aptos" w:hAnsi="Verdana" w:cs="Times New Roman"/>
          <w:sz w:val="20"/>
          <w:szCs w:val="20"/>
        </w:rPr>
      </w:pPr>
    </w:p>
    <w:p w14:paraId="61812D49" w14:textId="77777777" w:rsidR="00315F9A" w:rsidRDefault="00315F9A" w:rsidP="00315F9A">
      <w:pPr>
        <w:spacing w:after="0" w:line="240" w:lineRule="auto"/>
        <w:jc w:val="both"/>
        <w:rPr>
          <w:rFonts w:ascii="Verdana" w:eastAsia="Aptos" w:hAnsi="Verdana" w:cs="Times New Roman"/>
          <w:sz w:val="20"/>
          <w:szCs w:val="20"/>
        </w:rPr>
      </w:pPr>
    </w:p>
    <w:p w14:paraId="33B327DB" w14:textId="77777777" w:rsidR="00315F9A" w:rsidRDefault="00315F9A" w:rsidP="00315F9A">
      <w:pPr>
        <w:spacing w:after="0" w:line="240" w:lineRule="auto"/>
        <w:jc w:val="both"/>
        <w:rPr>
          <w:rFonts w:ascii="Verdana" w:eastAsia="Aptos" w:hAnsi="Verdana" w:cs="Times New Roman"/>
          <w:sz w:val="20"/>
          <w:szCs w:val="20"/>
        </w:rPr>
      </w:pPr>
    </w:p>
    <w:p w14:paraId="7B0CCA55" w14:textId="77777777" w:rsidR="00315F9A" w:rsidRDefault="00315F9A" w:rsidP="00315F9A">
      <w:pPr>
        <w:spacing w:after="0" w:line="240" w:lineRule="auto"/>
        <w:jc w:val="both"/>
        <w:rPr>
          <w:rFonts w:ascii="Verdana" w:eastAsia="Aptos" w:hAnsi="Verdana" w:cs="Times New Roman"/>
          <w:sz w:val="20"/>
          <w:szCs w:val="20"/>
        </w:rPr>
      </w:pPr>
    </w:p>
    <w:p w14:paraId="34BB0D8D" w14:textId="77777777" w:rsidR="00315F9A" w:rsidRDefault="00315F9A" w:rsidP="00315F9A">
      <w:pPr>
        <w:spacing w:after="0" w:line="240" w:lineRule="auto"/>
        <w:jc w:val="both"/>
        <w:rPr>
          <w:rFonts w:ascii="Verdana" w:eastAsia="Aptos" w:hAnsi="Verdana" w:cs="Times New Roman"/>
          <w:sz w:val="20"/>
          <w:szCs w:val="20"/>
        </w:rPr>
      </w:pPr>
    </w:p>
    <w:p w14:paraId="070398A4" w14:textId="77777777" w:rsidR="00315F9A" w:rsidRDefault="00315F9A" w:rsidP="00315F9A">
      <w:pPr>
        <w:spacing w:after="0" w:line="240" w:lineRule="auto"/>
        <w:jc w:val="both"/>
        <w:rPr>
          <w:rFonts w:ascii="Verdana" w:eastAsia="Aptos" w:hAnsi="Verdana" w:cs="Times New Roman"/>
          <w:sz w:val="20"/>
          <w:szCs w:val="20"/>
        </w:rPr>
      </w:pPr>
    </w:p>
    <w:p w14:paraId="30038AD2" w14:textId="77777777" w:rsidR="00315F9A" w:rsidRDefault="00315F9A" w:rsidP="00315F9A">
      <w:pPr>
        <w:spacing w:after="0"/>
        <w:rPr>
          <w:rFonts w:ascii="Verdana" w:hAnsi="Verdana"/>
        </w:rPr>
      </w:pPr>
      <w:bookmarkStart w:id="1" w:name="_Hlk180638295"/>
      <w:bookmarkEnd w:id="0"/>
    </w:p>
    <w:p w14:paraId="18DF83FD" w14:textId="5C54584A" w:rsidR="00315F9A" w:rsidRPr="00197823" w:rsidRDefault="00197823" w:rsidP="00315F9A">
      <w:pPr>
        <w:spacing w:after="0" w:line="240" w:lineRule="auto"/>
        <w:jc w:val="both"/>
        <w:rPr>
          <w:rFonts w:ascii="Verdana" w:eastAsia="Calibri" w:hAnsi="Verdana" w:cs="Arial"/>
          <w:lang w:eastAsia="es-ES"/>
        </w:rPr>
      </w:pPr>
      <w:bookmarkStart w:id="2" w:name="_Hlk143780582"/>
      <w:bookmarkStart w:id="3" w:name="_Hlk181166167"/>
      <w:r w:rsidRPr="00197823">
        <w:rPr>
          <w:rFonts w:ascii="Verdana" w:hAnsi="Verdana"/>
        </w:rPr>
        <w:lastRenderedPageBreak/>
        <w:t xml:space="preserve">Bogotá D.C., 18 </w:t>
      </w:r>
      <w:r w:rsidRPr="00197823">
        <w:rPr>
          <w:rFonts w:ascii="Verdana" w:hAnsi="Verdana"/>
        </w:rPr>
        <w:t>agosto</w:t>
      </w:r>
      <w:r w:rsidRPr="00197823">
        <w:rPr>
          <w:rFonts w:ascii="Verdana" w:hAnsi="Verdana"/>
        </w:rPr>
        <w:t xml:space="preserve"> 2026</w:t>
      </w:r>
      <w:r w:rsidRPr="00197823">
        <w:rPr>
          <w:rFonts w:ascii="Verdana" w:hAnsi="Verdana"/>
        </w:rPr>
        <w:t xml:space="preserve"> </w:t>
      </w:r>
      <w:r w:rsidR="00315F9A" w:rsidRPr="00197823">
        <w:rPr>
          <w:rFonts w:ascii="Verdana" w:hAnsi="Verdana"/>
        </w:rPr>
        <w:tab/>
      </w:r>
      <w:r w:rsidR="00315F9A" w:rsidRPr="00197823">
        <w:rPr>
          <w:rFonts w:ascii="Verdana" w:hAnsi="Verdana"/>
        </w:rPr>
        <w:br/>
      </w:r>
      <w:bookmarkEnd w:id="2"/>
    </w:p>
    <w:p w14:paraId="02767647" w14:textId="79331042" w:rsidR="00197823" w:rsidRDefault="00197823" w:rsidP="00315F9A">
      <w:pPr>
        <w:spacing w:after="0" w:line="240" w:lineRule="auto"/>
        <w:jc w:val="both"/>
        <w:rPr>
          <w:rFonts w:ascii="Verdana" w:eastAsia="Calibri" w:hAnsi="Verdana" w:cs="Arial"/>
          <w:lang w:eastAsia="es-ES"/>
        </w:rPr>
      </w:pPr>
      <w:r w:rsidRPr="00197823">
        <w:rPr>
          <w:rFonts w:ascii="Verdana" w:eastAsia="Calibri" w:hAnsi="Verdana" w:cs="Arial"/>
          <w:lang w:eastAsia="es-ES"/>
        </w:rPr>
        <w:drawing>
          <wp:anchor distT="0" distB="0" distL="114300" distR="114300" simplePos="0" relativeHeight="251658240" behindDoc="1" locked="0" layoutInCell="1" allowOverlap="1" wp14:anchorId="5887DBF4" wp14:editId="603C5F46">
            <wp:simplePos x="0" y="0"/>
            <wp:positionH relativeFrom="column">
              <wp:posOffset>3377517</wp:posOffset>
            </wp:positionH>
            <wp:positionV relativeFrom="paragraph">
              <wp:posOffset>156356</wp:posOffset>
            </wp:positionV>
            <wp:extent cx="2505075" cy="742950"/>
            <wp:effectExtent l="0" t="0" r="9525" b="0"/>
            <wp:wrapTight wrapText="bothSides">
              <wp:wrapPolygon edited="0">
                <wp:start x="0" y="0"/>
                <wp:lineTo x="0" y="21046"/>
                <wp:lineTo x="21518" y="21046"/>
                <wp:lineTo x="21518" y="0"/>
                <wp:lineTo x="0" y="0"/>
              </wp:wrapPolygon>
            </wp:wrapTight>
            <wp:docPr id="1121860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60468" name=""/>
                    <pic:cNvPicPr/>
                  </pic:nvPicPr>
                  <pic:blipFill>
                    <a:blip r:embed="rId10">
                      <a:extLst>
                        <a:ext uri="{28A0092B-C50C-407E-A947-70E740481C1C}">
                          <a14:useLocalDpi xmlns:a14="http://schemas.microsoft.com/office/drawing/2010/main" val="0"/>
                        </a:ext>
                      </a:extLst>
                    </a:blip>
                    <a:stretch>
                      <a:fillRect/>
                    </a:stretch>
                  </pic:blipFill>
                  <pic:spPr>
                    <a:xfrm>
                      <a:off x="0" y="0"/>
                      <a:ext cx="2505075" cy="742950"/>
                    </a:xfrm>
                    <a:prstGeom prst="rect">
                      <a:avLst/>
                    </a:prstGeom>
                  </pic:spPr>
                </pic:pic>
              </a:graphicData>
            </a:graphic>
          </wp:anchor>
        </w:drawing>
      </w:r>
    </w:p>
    <w:p w14:paraId="12F15975" w14:textId="628DE911" w:rsidR="00315F9A" w:rsidRDefault="00315F9A" w:rsidP="00315F9A">
      <w:pPr>
        <w:spacing w:after="0" w:line="240" w:lineRule="auto"/>
        <w:jc w:val="both"/>
        <w:rPr>
          <w:rFonts w:ascii="Verdana" w:eastAsia="Calibri" w:hAnsi="Verdana" w:cs="Arial"/>
          <w:lang w:eastAsia="es-ES"/>
        </w:rPr>
      </w:pPr>
      <w:r w:rsidRPr="005E62E2">
        <w:rPr>
          <w:rFonts w:ascii="Verdana" w:eastAsia="Calibri" w:hAnsi="Verdana" w:cs="Arial"/>
          <w:lang w:eastAsia="es-ES"/>
        </w:rPr>
        <w:t>Señor</w:t>
      </w:r>
      <w:r w:rsidRPr="005E62E2">
        <w:rPr>
          <w:rFonts w:ascii="Verdana" w:eastAsia="Calibri" w:hAnsi="Verdana" w:cs="Arial"/>
          <w:lang w:eastAsia="es-ES"/>
        </w:rPr>
        <w:tab/>
      </w:r>
    </w:p>
    <w:p w14:paraId="500195B3" w14:textId="77777777" w:rsidR="00315F9A" w:rsidRDefault="00315F9A" w:rsidP="00315F9A">
      <w:pPr>
        <w:spacing w:after="0" w:line="240" w:lineRule="auto"/>
        <w:rPr>
          <w:rFonts w:ascii="Verdana" w:eastAsia="Calibri" w:hAnsi="Verdana" w:cs="Arial"/>
          <w:b/>
          <w:bCs/>
          <w:lang w:eastAsia="es-ES"/>
        </w:rPr>
      </w:pPr>
      <w:r>
        <w:rPr>
          <w:rFonts w:ascii="Verdana" w:eastAsia="Calibri" w:hAnsi="Verdana" w:cs="Arial"/>
          <w:b/>
          <w:bCs/>
          <w:lang w:eastAsia="es-ES"/>
        </w:rPr>
        <w:t>Lucumi Ortiz</w:t>
      </w:r>
    </w:p>
    <w:p w14:paraId="67D8D6B5" w14:textId="77777777" w:rsidR="00315F9A" w:rsidRDefault="00315F9A" w:rsidP="00315F9A">
      <w:pPr>
        <w:spacing w:after="0" w:line="240" w:lineRule="auto"/>
        <w:rPr>
          <w:rFonts w:ascii="Verdana" w:eastAsia="Calibri" w:hAnsi="Verdana" w:cs="Arial"/>
          <w:lang w:eastAsia="es-ES"/>
        </w:rPr>
      </w:pPr>
      <w:hyperlink r:id="rId11" w:history="1">
        <w:r w:rsidRPr="00062272">
          <w:rPr>
            <w:rStyle w:val="Hipervnculo"/>
            <w:rFonts w:ascii="Verdana" w:eastAsia="Calibri" w:hAnsi="Verdana" w:cs="Arial"/>
            <w:lang w:eastAsia="es-ES"/>
          </w:rPr>
          <w:t>yesidlo1999@gmail.com</w:t>
        </w:r>
      </w:hyperlink>
    </w:p>
    <w:p w14:paraId="04B1C010" w14:textId="77777777" w:rsidR="00315F9A" w:rsidRPr="00244779" w:rsidRDefault="00315F9A" w:rsidP="00315F9A">
      <w:pPr>
        <w:spacing w:after="0" w:line="240" w:lineRule="auto"/>
        <w:rPr>
          <w:rFonts w:ascii="Verdana" w:eastAsia="Calibri" w:hAnsi="Verdana" w:cs="Arial"/>
          <w:lang w:eastAsia="es-ES"/>
        </w:rPr>
      </w:pPr>
      <w:r>
        <w:rPr>
          <w:rFonts w:ascii="Verdana" w:eastAsia="Calibri" w:hAnsi="Verdana" w:cs="Arial"/>
          <w:lang w:eastAsia="es-ES"/>
        </w:rPr>
        <w:t>Ciudad</w:t>
      </w:r>
    </w:p>
    <w:p w14:paraId="3221E547" w14:textId="77777777" w:rsidR="00315F9A" w:rsidRPr="0032557F" w:rsidRDefault="00315F9A" w:rsidP="00315F9A">
      <w:pPr>
        <w:spacing w:after="0" w:line="240" w:lineRule="auto"/>
        <w:rPr>
          <w:rFonts w:ascii="Verdana" w:eastAsia="Calibri" w:hAnsi="Verdana" w:cs="Arial"/>
          <w:color w:val="000000"/>
          <w:lang w:val="en-US"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315F9A" w:rsidRPr="00593A5F" w14:paraId="0F2A1528" w14:textId="77777777" w:rsidTr="00EE7194">
        <w:trPr>
          <w:trHeight w:val="202"/>
        </w:trPr>
        <w:tc>
          <w:tcPr>
            <w:tcW w:w="2410" w:type="dxa"/>
          </w:tcPr>
          <w:p w14:paraId="5965A8DC" w14:textId="77777777" w:rsidR="00315F9A" w:rsidRPr="0032557F" w:rsidRDefault="00315F9A" w:rsidP="00EE7194">
            <w:pPr>
              <w:jc w:val="both"/>
              <w:rPr>
                <w:rFonts w:ascii="Verdana" w:eastAsia="Calibri" w:hAnsi="Verdana" w:cs="Arial"/>
                <w:b/>
                <w:bCs/>
                <w:color w:val="7030A0"/>
                <w:lang w:val="en-US" w:eastAsia="es-ES_tradnl"/>
              </w:rPr>
            </w:pPr>
          </w:p>
        </w:tc>
        <w:tc>
          <w:tcPr>
            <w:tcW w:w="6804" w:type="dxa"/>
            <w:gridSpan w:val="2"/>
          </w:tcPr>
          <w:p w14:paraId="2C0BF87C" w14:textId="77777777" w:rsidR="00315F9A" w:rsidRDefault="00315F9A" w:rsidP="00EE7194">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1131 </w:t>
            </w:r>
            <w:r w:rsidRPr="00E5644F">
              <w:rPr>
                <w:rFonts w:ascii="Verdana" w:eastAsia="Calibri" w:hAnsi="Verdana" w:cs="Arial"/>
                <w:b/>
                <w:bCs/>
                <w:lang w:val="es-ES" w:eastAsia="es-ES"/>
              </w:rPr>
              <w:t>de 202</w:t>
            </w:r>
            <w:r>
              <w:rPr>
                <w:rFonts w:ascii="Verdana" w:eastAsia="Calibri" w:hAnsi="Verdana" w:cs="Arial"/>
                <w:b/>
                <w:bCs/>
                <w:lang w:val="es-ES" w:eastAsia="es-ES"/>
              </w:rPr>
              <w:t>6</w:t>
            </w:r>
          </w:p>
          <w:p w14:paraId="62486A7C" w14:textId="77777777" w:rsidR="00315F9A" w:rsidRPr="00E5644F" w:rsidRDefault="00315F9A" w:rsidP="00EE7194">
            <w:pPr>
              <w:jc w:val="both"/>
              <w:rPr>
                <w:rFonts w:ascii="Verdana" w:eastAsia="Calibri" w:hAnsi="Verdana" w:cs="Arial"/>
                <w:b/>
                <w:bCs/>
                <w:color w:val="7030A0"/>
                <w:lang w:val="es-ES" w:eastAsia="es-ES"/>
              </w:rPr>
            </w:pPr>
          </w:p>
        </w:tc>
      </w:tr>
      <w:tr w:rsidR="00315F9A" w:rsidRPr="00A52DE7" w14:paraId="3F747B9E" w14:textId="77777777" w:rsidTr="00EE7194">
        <w:trPr>
          <w:trHeight w:val="884"/>
        </w:trPr>
        <w:tc>
          <w:tcPr>
            <w:tcW w:w="2410" w:type="dxa"/>
          </w:tcPr>
          <w:p w14:paraId="5C7A478B" w14:textId="77777777" w:rsidR="00315F9A" w:rsidRPr="00593A5F" w:rsidRDefault="00315F9A" w:rsidP="00EE719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A17792F" w14:textId="77777777" w:rsidR="00315F9A" w:rsidRPr="0003371F" w:rsidRDefault="00315F9A" w:rsidP="00EE7194">
            <w:pPr>
              <w:contextualSpacing/>
              <w:jc w:val="both"/>
              <w:rPr>
                <w:rFonts w:ascii="Verdana" w:eastAsia="Calibri" w:hAnsi="Verdana" w:cs="Arial"/>
                <w:bCs/>
                <w:lang w:val="es-ES_tradnl"/>
              </w:rPr>
            </w:pPr>
            <w:r>
              <w:rPr>
                <w:rFonts w:ascii="Verdana" w:eastAsia="Calibri" w:hAnsi="Verdana" w:cs="Arial"/>
                <w:lang w:eastAsia="es-ES"/>
              </w:rPr>
              <w:t xml:space="preserve">PRINCIPIO DE </w:t>
            </w:r>
            <w:r w:rsidRPr="009E1037">
              <w:rPr>
                <w:rFonts w:ascii="Verdana" w:eastAsia="Calibri" w:hAnsi="Verdana" w:cs="Arial"/>
              </w:rPr>
              <w:t>PUBLICIDAD –</w:t>
            </w:r>
            <w:r>
              <w:rPr>
                <w:rFonts w:ascii="Verdana" w:eastAsia="Calibri" w:hAnsi="Verdana" w:cs="Arial"/>
              </w:rPr>
              <w:t xml:space="preserve"> </w:t>
            </w:r>
            <w:r w:rsidRPr="0003371F">
              <w:rPr>
                <w:rFonts w:ascii="Verdana" w:eastAsia="Arial" w:hAnsi="Verdana" w:cs="Arial"/>
                <w:color w:val="000000" w:themeColor="text1"/>
                <w:lang w:val="es-ES"/>
              </w:rPr>
              <w:t>Derecho fundamental</w:t>
            </w:r>
            <w:r>
              <w:rPr>
                <w:rFonts w:ascii="Verdana" w:eastAsia="Arial" w:hAnsi="Verdana" w:cs="Arial"/>
                <w:color w:val="000000" w:themeColor="text1"/>
                <w:lang w:val="es-ES"/>
              </w:rPr>
              <w:t>-</w:t>
            </w:r>
            <w:r w:rsidRPr="009E1037">
              <w:rPr>
                <w:rFonts w:ascii="Verdana" w:eastAsia="Calibri" w:hAnsi="Verdana" w:cs="Arial"/>
              </w:rPr>
              <w:t xml:space="preserve"> Transparencia – </w:t>
            </w:r>
            <w:r>
              <w:rPr>
                <w:rFonts w:ascii="Verdana" w:eastAsia="Calibri" w:hAnsi="Verdana" w:cs="Arial"/>
              </w:rPr>
              <w:t xml:space="preserve">Ley 1150 de 2007 / PRINCIPIO DE PUBLICIDAD - </w:t>
            </w:r>
            <w:r w:rsidRPr="009E1037">
              <w:rPr>
                <w:rFonts w:ascii="Verdana" w:eastAsia="Calibri" w:hAnsi="Verdana" w:cs="Arial"/>
              </w:rPr>
              <w:t xml:space="preserve">Ley 1712 de 2014 </w:t>
            </w:r>
            <w:r w:rsidRPr="0003371F">
              <w:rPr>
                <w:rFonts w:ascii="Verdana" w:eastAsia="Calibri" w:hAnsi="Verdana" w:cs="Arial"/>
                <w:bCs/>
                <w:lang w:val="es-ES_tradnl"/>
              </w:rPr>
              <w:t xml:space="preserve">/ </w:t>
            </w:r>
            <w:r w:rsidRPr="0003371F">
              <w:rPr>
                <w:rFonts w:ascii="Verdana" w:eastAsia="Arial" w:hAnsi="Verdana" w:cs="Arial"/>
                <w:color w:val="000000" w:themeColor="text1"/>
                <w:lang w:val="es-ES"/>
              </w:rPr>
              <w:t xml:space="preserve">ACCESO A DOCUMENTACIÓN PÚBLICA </w:t>
            </w:r>
            <w:r>
              <w:rPr>
                <w:rFonts w:ascii="Verdana" w:eastAsia="Arial" w:hAnsi="Verdana" w:cs="Arial"/>
                <w:color w:val="000000" w:themeColor="text1"/>
                <w:lang w:val="es-ES"/>
              </w:rPr>
              <w:t>-</w:t>
            </w:r>
            <w:r w:rsidRPr="0003371F">
              <w:rPr>
                <w:rFonts w:ascii="Verdana" w:eastAsia="Arial" w:hAnsi="Verdana" w:cs="Arial"/>
                <w:color w:val="000000" w:themeColor="text1"/>
                <w:lang w:val="es-ES"/>
              </w:rPr>
              <w:t>Transparencia – Información contractual / SECOP – Deber de publicación – Información contractual</w:t>
            </w:r>
            <w:r>
              <w:rPr>
                <w:rFonts w:ascii="Verdana" w:eastAsia="Arial" w:hAnsi="Verdana" w:cs="Arial"/>
                <w:color w:val="000000" w:themeColor="text1"/>
                <w:lang w:val="es-ES"/>
              </w:rPr>
              <w:t xml:space="preserve"> / Ley 1150 de 2007 /</w:t>
            </w:r>
            <w:r w:rsidRPr="0003371F">
              <w:rPr>
                <w:rFonts w:ascii="Verdana" w:eastAsia="Arial" w:hAnsi="Verdana" w:cs="Arial"/>
                <w:color w:val="000000" w:themeColor="text1"/>
                <w:lang w:val="es-ES"/>
              </w:rPr>
              <w:t>DATOS SENSIBLES – Reserva – Excepción – SECOP</w:t>
            </w:r>
            <w:r>
              <w:rPr>
                <w:rFonts w:ascii="Verdana" w:eastAsia="Arial" w:hAnsi="Verdana" w:cs="Arial"/>
                <w:color w:val="000000" w:themeColor="text1"/>
                <w:lang w:val="es-ES"/>
              </w:rPr>
              <w:t xml:space="preserve"> </w:t>
            </w:r>
          </w:p>
          <w:p w14:paraId="5190EA2C" w14:textId="77777777" w:rsidR="00315F9A" w:rsidRPr="00A52DE7" w:rsidRDefault="00315F9A" w:rsidP="00EE7194">
            <w:pPr>
              <w:jc w:val="both"/>
              <w:rPr>
                <w:rFonts w:ascii="Verdana" w:eastAsia="Calibri" w:hAnsi="Verdana" w:cs="Arial"/>
                <w:b/>
                <w:highlight w:val="yellow"/>
                <w:lang w:val="es-ES" w:eastAsia="es-ES"/>
              </w:rPr>
            </w:pPr>
          </w:p>
        </w:tc>
      </w:tr>
      <w:tr w:rsidR="00315F9A" w:rsidRPr="00593A5F" w14:paraId="263B2148" w14:textId="77777777" w:rsidTr="00EE7194">
        <w:tc>
          <w:tcPr>
            <w:tcW w:w="2410" w:type="dxa"/>
          </w:tcPr>
          <w:p w14:paraId="72B729DF" w14:textId="77777777" w:rsidR="00315F9A" w:rsidRPr="006730E9" w:rsidRDefault="00315F9A" w:rsidP="00EE719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7CE492B" w14:textId="77777777" w:rsidR="00315F9A" w:rsidRPr="00244779" w:rsidRDefault="00315F9A" w:rsidP="00EE719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Pr>
                <w:rFonts w:ascii="Verdana" w:hAnsi="Verdana" w:cs="Calibri"/>
                <w:color w:val="000000"/>
              </w:rPr>
              <w:t>1_2026_07_14_009308</w:t>
            </w:r>
          </w:p>
          <w:p w14:paraId="3FD9EBE2" w14:textId="77777777" w:rsidR="00315F9A" w:rsidRPr="006730E9" w:rsidRDefault="00315F9A" w:rsidP="00EE7194">
            <w:pPr>
              <w:jc w:val="both"/>
              <w:rPr>
                <w:rFonts w:ascii="Verdana" w:eastAsia="Calibri" w:hAnsi="Verdana" w:cs="Arial"/>
                <w:lang w:val="es-ES_tradnl" w:eastAsia="es-ES_tradnl"/>
              </w:rPr>
            </w:pPr>
          </w:p>
        </w:tc>
      </w:tr>
      <w:tr w:rsidR="00315F9A" w:rsidRPr="00DB23D2" w14:paraId="3EED9202" w14:textId="77777777" w:rsidTr="00EE7194">
        <w:trPr>
          <w:gridAfter w:val="1"/>
          <w:wAfter w:w="336" w:type="dxa"/>
          <w:trHeight w:val="233"/>
        </w:trPr>
        <w:tc>
          <w:tcPr>
            <w:tcW w:w="8878" w:type="dxa"/>
            <w:gridSpan w:val="2"/>
          </w:tcPr>
          <w:p w14:paraId="45789B60" w14:textId="77777777" w:rsidR="00315F9A" w:rsidRPr="00DB23D2" w:rsidRDefault="00315F9A" w:rsidP="00EE7194">
            <w:pPr>
              <w:spacing w:after="120" w:line="276" w:lineRule="auto"/>
              <w:jc w:val="both"/>
              <w:rPr>
                <w:rFonts w:ascii="Verdana" w:eastAsia="Calibri" w:hAnsi="Verdana" w:cs="Arial"/>
                <w:lang w:val="es-ES_tradnl" w:eastAsia="es-ES"/>
              </w:rPr>
            </w:pPr>
          </w:p>
        </w:tc>
      </w:tr>
    </w:tbl>
    <w:p w14:paraId="3B07324A" w14:textId="77777777" w:rsidR="00315F9A" w:rsidRPr="006730E9" w:rsidRDefault="00315F9A" w:rsidP="00315F9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o señor Lucumi;</w:t>
      </w:r>
    </w:p>
    <w:p w14:paraId="1E211960" w14:textId="77777777" w:rsidR="00315F9A" w:rsidRDefault="00315F9A" w:rsidP="00315F9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6D73F34" w14:textId="5E285E2E" w:rsidR="00315F9A" w:rsidRDefault="00315F9A" w:rsidP="00315F9A">
      <w:pPr>
        <w:tabs>
          <w:tab w:val="left" w:pos="6015"/>
        </w:tabs>
        <w:spacing w:after="0" w:line="240" w:lineRule="auto"/>
        <w:jc w:val="both"/>
        <w:rPr>
          <w:rFonts w:ascii="Verdana" w:eastAsia="Calibri" w:hAnsi="Verdana" w:cs="Arial"/>
          <w:color w:val="000000"/>
          <w:lang w:val="es-ES_tradnl" w:eastAsia="es-ES_tradnl"/>
        </w:rPr>
      </w:pPr>
      <w:bookmarkStart w:id="4" w:name="_Hlk95313578"/>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14</w:t>
      </w:r>
      <w:r w:rsidRPr="00AF6D58">
        <w:rPr>
          <w:rFonts w:ascii="Verdana" w:eastAsia="Calibri" w:hAnsi="Verdana" w:cs="Arial"/>
          <w:lang w:eastAsia="es-ES"/>
        </w:rPr>
        <w:t xml:space="preserve"> de </w:t>
      </w:r>
      <w:r>
        <w:rPr>
          <w:rFonts w:ascii="Verdana" w:eastAsia="Calibri" w:hAnsi="Verdana" w:cs="Arial"/>
          <w:lang w:eastAsia="es-ES"/>
        </w:rPr>
        <w:t>julio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r>
        <w:rPr>
          <w:rFonts w:ascii="Verdana" w:eastAsia="Calibri" w:hAnsi="Verdana" w:cs="Arial"/>
          <w:lang w:eastAsia="es-ES"/>
        </w:rPr>
        <w:t>:</w:t>
      </w:r>
    </w:p>
    <w:p w14:paraId="3AA0AB19" w14:textId="77777777" w:rsidR="00315F9A" w:rsidRPr="00326382" w:rsidRDefault="00315F9A" w:rsidP="00315F9A">
      <w:pPr>
        <w:spacing w:after="0" w:line="240" w:lineRule="auto"/>
        <w:ind w:left="709" w:right="474"/>
        <w:jc w:val="both"/>
        <w:rPr>
          <w:rFonts w:ascii="Verdana" w:hAnsi="Verdana" w:cs="Arial"/>
          <w:sz w:val="20"/>
          <w:szCs w:val="20"/>
          <w:shd w:val="clear" w:color="auto" w:fill="FFFFFF"/>
        </w:rPr>
      </w:pPr>
    </w:p>
    <w:bookmarkEnd w:id="4"/>
    <w:p w14:paraId="40D0A5A4" w14:textId="77777777" w:rsidR="00315F9A" w:rsidRPr="00244779" w:rsidRDefault="00315F9A" w:rsidP="00315F9A">
      <w:pPr>
        <w:tabs>
          <w:tab w:val="left" w:pos="142"/>
          <w:tab w:val="left" w:pos="567"/>
        </w:tabs>
        <w:spacing w:after="0" w:line="240" w:lineRule="auto"/>
        <w:ind w:left="709" w:right="709"/>
        <w:jc w:val="both"/>
        <w:rPr>
          <w:rFonts w:ascii="Verdana" w:eastAsia="Calibri" w:hAnsi="Verdana" w:cs="Arial"/>
          <w:i/>
          <w:iCs/>
          <w:color w:val="000000" w:themeColor="text1"/>
          <w:sz w:val="20"/>
          <w:szCs w:val="20"/>
        </w:rPr>
      </w:pPr>
    </w:p>
    <w:p w14:paraId="1F6F49F7" w14:textId="77777777" w:rsidR="00315F9A" w:rsidRPr="00244779" w:rsidRDefault="00315F9A" w:rsidP="00315F9A">
      <w:pPr>
        <w:tabs>
          <w:tab w:val="left" w:pos="142"/>
          <w:tab w:val="left" w:pos="567"/>
        </w:tabs>
        <w:spacing w:after="0" w:line="240" w:lineRule="auto"/>
        <w:ind w:left="737" w:right="737"/>
        <w:jc w:val="both"/>
        <w:rPr>
          <w:rFonts w:ascii="Verdana" w:eastAsia="Calibri" w:hAnsi="Verdana" w:cs="Arial"/>
          <w:i/>
          <w:iCs/>
          <w:color w:val="000000" w:themeColor="text1"/>
          <w:sz w:val="20"/>
          <w:szCs w:val="20"/>
        </w:rPr>
      </w:pPr>
      <w:r>
        <w:rPr>
          <w:rFonts w:ascii="Verdana" w:eastAsia="Calibri" w:hAnsi="Verdana" w:cs="Arial"/>
          <w:i/>
          <w:iCs/>
          <w:color w:val="000000" w:themeColor="text1"/>
          <w:sz w:val="20"/>
          <w:szCs w:val="20"/>
        </w:rPr>
        <w:t>“</w:t>
      </w:r>
      <w:r w:rsidRPr="00244779">
        <w:rPr>
          <w:rFonts w:ascii="Verdana" w:eastAsia="Calibri" w:hAnsi="Verdana" w:cs="Arial"/>
          <w:i/>
          <w:iCs/>
          <w:color w:val="000000" w:themeColor="text1"/>
          <w:sz w:val="20"/>
          <w:szCs w:val="20"/>
        </w:rPr>
        <w:t>La presente solicitud tiene como finalidad obtener un criterio jurídico que permita a las entidades estatales cumplir adecuadamente con el principio de publicidad de la contratación pública sin desconocer el derecho fundamental a la protección de los  datos personales y las obligaciones previstas en la Ley 1581 de 2012.</w:t>
      </w:r>
      <w:r>
        <w:rPr>
          <w:rFonts w:ascii="Verdana" w:eastAsia="Calibri" w:hAnsi="Verdana" w:cs="Arial"/>
          <w:i/>
          <w:iCs/>
          <w:color w:val="000000" w:themeColor="text1"/>
          <w:sz w:val="20"/>
          <w:szCs w:val="20"/>
        </w:rPr>
        <w:t>”</w:t>
      </w:r>
    </w:p>
    <w:p w14:paraId="0B7543DA" w14:textId="77777777" w:rsidR="00315F9A" w:rsidRDefault="00315F9A" w:rsidP="00315F9A">
      <w:pPr>
        <w:spacing w:after="0" w:line="276" w:lineRule="auto"/>
        <w:ind w:firstLine="709"/>
        <w:jc w:val="both"/>
        <w:rPr>
          <w:rFonts w:ascii="Verdana" w:eastAsia="Calibri" w:hAnsi="Verdana" w:cs="Arial"/>
          <w:lang w:val="es-ES" w:eastAsia="es-ES"/>
        </w:rPr>
      </w:pPr>
    </w:p>
    <w:p w14:paraId="2CB8C1BC" w14:textId="77777777" w:rsidR="00315F9A" w:rsidRPr="00AA3B9F" w:rsidRDefault="00315F9A" w:rsidP="00315F9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AA3B9F">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6ED2456" w14:textId="77777777" w:rsidR="00315F9A" w:rsidRPr="00AA3B9F" w:rsidRDefault="00315F9A" w:rsidP="00315F9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el </w:t>
      </w:r>
      <w:r w:rsidRPr="00AA3B9F">
        <w:rPr>
          <w:rFonts w:ascii="Verdana" w:eastAsia="Calibri" w:hAnsi="Verdana" w:cs="Arial"/>
          <w:lang w:val="es-ES" w:eastAsia="es-ES"/>
        </w:rPr>
        <w:t>problema jurídico de su consulta.</w:t>
      </w:r>
      <w:r w:rsidRPr="00E21BD1">
        <w:t xml:space="preserve"> </w:t>
      </w:r>
    </w:p>
    <w:p w14:paraId="1297C552" w14:textId="77777777" w:rsidR="00315F9A" w:rsidRDefault="00315F9A" w:rsidP="00315F9A">
      <w:pPr>
        <w:pStyle w:val="Prrafodelista"/>
        <w:tabs>
          <w:tab w:val="left" w:pos="142"/>
          <w:tab w:val="left" w:pos="284"/>
        </w:tabs>
        <w:spacing w:after="0" w:line="276" w:lineRule="auto"/>
        <w:ind w:left="425" w:right="1185"/>
        <w:jc w:val="both"/>
        <w:rPr>
          <w:rFonts w:ascii="Verdana" w:eastAsia="Century Gothic" w:hAnsi="Verdana" w:cs="Century Gothic"/>
          <w:i/>
          <w:iCs/>
          <w:lang w:val="es-CO"/>
        </w:rPr>
      </w:pPr>
    </w:p>
    <w:p w14:paraId="6379989A" w14:textId="77777777" w:rsidR="00315F9A" w:rsidRDefault="00315F9A" w:rsidP="00315F9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4AE04687" w14:textId="77777777" w:rsidR="00315F9A" w:rsidRDefault="00315F9A" w:rsidP="00315F9A">
      <w:pPr>
        <w:pStyle w:val="Prrafodelista"/>
        <w:tabs>
          <w:tab w:val="left" w:pos="142"/>
          <w:tab w:val="left" w:pos="284"/>
        </w:tabs>
        <w:spacing w:after="0" w:line="276" w:lineRule="auto"/>
        <w:ind w:left="0"/>
        <w:jc w:val="both"/>
        <w:rPr>
          <w:rFonts w:ascii="Verdana" w:eastAsia="Century Gothic" w:hAnsi="Verdana" w:cs="Century Gothic"/>
          <w:b/>
          <w:bCs/>
        </w:rPr>
      </w:pPr>
    </w:p>
    <w:p w14:paraId="18FE892E" w14:textId="1E2153D8" w:rsidR="00315F9A" w:rsidRDefault="00315F9A" w:rsidP="00315F9A">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5" w:name="_Hlk196737317"/>
      <w:r>
        <w:rPr>
          <w:rFonts w:ascii="Verdana" w:eastAsia="Calibri" w:hAnsi="Verdana" w:cs="Arial"/>
          <w:lang w:eastAsia="es-ES"/>
        </w:rPr>
        <w:t xml:space="preserve"> ¿i) Como deben las entidades estatales garantizar el principio de publicidad en la contratación pública sin vulnerar el derecho fundamental a la protección de los datos personales y las disposiciones de la Ley 1581 de 2012?</w:t>
      </w:r>
    </w:p>
    <w:p w14:paraId="77E15EE8" w14:textId="77777777" w:rsidR="00315F9A" w:rsidRDefault="00315F9A" w:rsidP="00315F9A">
      <w:pPr>
        <w:pStyle w:val="Prrafodelista"/>
        <w:tabs>
          <w:tab w:val="left" w:pos="142"/>
          <w:tab w:val="left" w:pos="284"/>
        </w:tabs>
        <w:spacing w:after="0" w:line="276" w:lineRule="auto"/>
        <w:ind w:left="0"/>
        <w:jc w:val="both"/>
        <w:rPr>
          <w:rFonts w:ascii="Verdana" w:eastAsia="Century Gothic" w:hAnsi="Verdana" w:cs="Century Gothic"/>
        </w:rPr>
      </w:pPr>
    </w:p>
    <w:p w14:paraId="1C02E923" w14:textId="77777777" w:rsidR="00315F9A" w:rsidRDefault="00315F9A" w:rsidP="00315F9A">
      <w:pPr>
        <w:pStyle w:val="Prrafodelista"/>
        <w:tabs>
          <w:tab w:val="left" w:pos="142"/>
          <w:tab w:val="left" w:pos="284"/>
        </w:tabs>
        <w:spacing w:after="0" w:line="276" w:lineRule="auto"/>
        <w:ind w:left="0"/>
        <w:jc w:val="both"/>
        <w:rPr>
          <w:rFonts w:ascii="Verdana" w:eastAsia="Calibri" w:hAnsi="Verdana" w:cs="Arial"/>
          <w:lang w:val="es-CO" w:eastAsia="es-ES"/>
        </w:rPr>
      </w:pPr>
    </w:p>
    <w:bookmarkEnd w:id="5"/>
    <w:p w14:paraId="36B6AB1F" w14:textId="77777777" w:rsidR="00315F9A" w:rsidRPr="00593A5F" w:rsidRDefault="00315F9A" w:rsidP="00315F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8CFA213" w14:textId="77777777" w:rsidR="00315F9A" w:rsidRPr="00593A5F" w:rsidRDefault="00315F9A" w:rsidP="00315F9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5F9A" w:rsidRPr="00593A5F" w14:paraId="182F2720" w14:textId="77777777" w:rsidTr="00EE7194">
        <w:tc>
          <w:tcPr>
            <w:tcW w:w="8828" w:type="dxa"/>
          </w:tcPr>
          <w:p w14:paraId="70897643" w14:textId="6E5D340C" w:rsidR="00315F9A" w:rsidRPr="00AD6B46" w:rsidRDefault="00315F9A" w:rsidP="00EE7194">
            <w:pPr>
              <w:spacing w:line="276" w:lineRule="auto"/>
              <w:jc w:val="both"/>
              <w:rPr>
                <w:rFonts w:ascii="Verdana" w:eastAsia="Calibri" w:hAnsi="Verdana" w:cs="Arial"/>
                <w:lang w:val="es-ES" w:eastAsia="es-ES_tradnl"/>
              </w:rPr>
            </w:pPr>
            <w:r w:rsidRPr="00AD6B46">
              <w:rPr>
                <w:rFonts w:ascii="Verdana" w:eastAsia="Calibri" w:hAnsi="Verdana" w:cs="Arial"/>
                <w:lang w:val="es-ES" w:eastAsia="es-ES_tradnl"/>
              </w:rPr>
              <w:t>Respecto a</w:t>
            </w:r>
            <w:r>
              <w:rPr>
                <w:rFonts w:ascii="Verdana" w:eastAsia="Calibri" w:hAnsi="Verdana" w:cs="Arial"/>
                <w:lang w:val="es-ES" w:eastAsia="es-ES_tradnl"/>
              </w:rPr>
              <w:t xml:space="preserve">l </w:t>
            </w:r>
            <w:r w:rsidRPr="00AD6B46">
              <w:rPr>
                <w:rFonts w:ascii="Verdana" w:eastAsia="Calibri" w:hAnsi="Verdana" w:cs="Arial"/>
                <w:lang w:val="es-ES" w:eastAsia="es-ES_tradnl"/>
              </w:rPr>
              <w:t>problema jurídico, objeto de su consulta, se expresa lo siguiente:</w:t>
            </w:r>
          </w:p>
          <w:p w14:paraId="648ACD7E" w14:textId="77777777" w:rsidR="00315F9A" w:rsidRDefault="00315F9A" w:rsidP="00EE7194">
            <w:pPr>
              <w:spacing w:line="276" w:lineRule="auto"/>
              <w:jc w:val="both"/>
              <w:rPr>
                <w:rFonts w:ascii="Verdana" w:eastAsia="Calibri" w:hAnsi="Verdana" w:cs="Arial"/>
                <w:lang w:val="es-ES" w:eastAsia="es-ES_tradnl"/>
              </w:rPr>
            </w:pPr>
          </w:p>
          <w:p w14:paraId="3BFA3D01" w14:textId="77777777" w:rsidR="00315F9A" w:rsidRPr="00AD6B46" w:rsidRDefault="00315F9A" w:rsidP="00EE7194">
            <w:pPr>
              <w:spacing w:after="120" w:line="276" w:lineRule="auto"/>
              <w:jc w:val="both"/>
              <w:rPr>
                <w:rFonts w:ascii="Verdana" w:eastAsia="Times New Roman" w:hAnsi="Verdana" w:cs="Arial"/>
                <w:lang w:val="es-ES_tradnl" w:eastAsia="es-ES_tradnl"/>
                <w14:ligatures w14:val="standardContextual"/>
              </w:rPr>
            </w:pPr>
            <w:r w:rsidRPr="00AD6B46">
              <w:rPr>
                <w:rFonts w:ascii="Verdana" w:eastAsia="Calibri" w:hAnsi="Verdana" w:cs="Arial"/>
                <w:lang w:val="es-ES" w:eastAsia="es-ES_tradnl"/>
              </w:rPr>
              <w:t>i</w:t>
            </w:r>
            <w:r>
              <w:rPr>
                <w:rFonts w:ascii="Verdana" w:eastAsia="Calibri" w:hAnsi="Verdana" w:cs="Arial"/>
                <w:lang w:val="es-ES" w:eastAsia="es-ES_tradnl"/>
              </w:rPr>
              <w:t>) L</w:t>
            </w:r>
            <w:r w:rsidRPr="00AD6B46">
              <w:rPr>
                <w:rFonts w:ascii="Verdana" w:eastAsia="Times New Roman" w:hAnsi="Verdana" w:cs="Arial"/>
                <w:lang w:val="es-ES_tradnl" w:eastAsia="es-ES_tradnl"/>
                <w14:ligatures w14:val="standardContextual"/>
              </w:rPr>
              <w:t>as entidades estatales, conforme al artículo 2.2.1.1.1.7.1 del Decreto 1082 de 2015, tienen la obligación de publicar en el SECOP “[…] los Documentos del Proceso y los actos administrativos del Proceso de Contratación, dentro de los tres (3) días siguientes a su expedición […]”. Al respecto, la</w:t>
            </w:r>
            <w:r w:rsidRPr="00AD6B46">
              <w:rPr>
                <w:rFonts w:ascii="Verdana" w:hAnsi="Verdana" w:cs="Arial"/>
                <w:shd w:val="clear" w:color="auto" w:fill="FFFFFF"/>
              </w:rPr>
              <w:t xml:space="preserve"> expresión </w:t>
            </w:r>
            <w:r w:rsidRPr="00AD6B46">
              <w:rPr>
                <w:rFonts w:ascii="Verdana" w:hAnsi="Verdana" w:cs="Arial"/>
                <w:i/>
                <w:iCs/>
                <w:shd w:val="clear" w:color="auto" w:fill="FFFFFF"/>
              </w:rPr>
              <w:t xml:space="preserve">Documentos del Proceso </w:t>
            </w:r>
            <w:r w:rsidRPr="00AD6B4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AD6B46">
              <w:rPr>
                <w:rFonts w:ascii="Verdana" w:hAnsi="Verdana" w:cs="Arial"/>
                <w:i/>
                <w:iCs/>
                <w:shd w:val="clear" w:color="auto" w:fill="FFFFFF"/>
              </w:rPr>
              <w:t>y cualquier otro documento expedido por la Entidad Estatal durante el Proceso de Contratación</w:t>
            </w:r>
            <w:r w:rsidRPr="00AD6B46">
              <w:rPr>
                <w:rFonts w:ascii="Verdana" w:hAnsi="Verdana" w:cs="Arial"/>
                <w:shd w:val="clear" w:color="auto" w:fill="FFFFFF"/>
              </w:rPr>
              <w:t>”. [Énfasis fuera de texto]</w:t>
            </w:r>
          </w:p>
          <w:p w14:paraId="0A032E3A" w14:textId="77777777" w:rsidR="00315F9A" w:rsidRDefault="00315F9A" w:rsidP="00EE7194">
            <w:pPr>
              <w:tabs>
                <w:tab w:val="left" w:pos="709"/>
              </w:tabs>
              <w:spacing w:after="120" w:line="276" w:lineRule="auto"/>
              <w:ind w:firstLine="709"/>
              <w:jc w:val="both"/>
              <w:rPr>
                <w:rFonts w:ascii="Verdana" w:hAnsi="Verdana" w:cs="Arial"/>
                <w:shd w:val="clear" w:color="auto" w:fill="FFFFFF"/>
              </w:rPr>
            </w:pPr>
            <w:r w:rsidRPr="00AD6B46">
              <w:rPr>
                <w:rFonts w:ascii="Verdana" w:hAnsi="Verdana" w:cs="Arial"/>
                <w:shd w:val="clear" w:color="auto" w:fill="FFFFFF"/>
              </w:rPr>
              <w:lastRenderedPageBreak/>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 </w:t>
            </w:r>
          </w:p>
          <w:p w14:paraId="371118E6" w14:textId="77777777" w:rsidR="00315F9A" w:rsidRDefault="00315F9A" w:rsidP="00EE7194">
            <w:pPr>
              <w:tabs>
                <w:tab w:val="left" w:pos="709"/>
              </w:tabs>
              <w:spacing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En ese sentido, </w:t>
            </w:r>
            <w:r>
              <w:rPr>
                <w:rFonts w:ascii="Verdana" w:hAnsi="Verdana" w:cs="Arial"/>
                <w:shd w:val="clear" w:color="auto" w:fill="FFFFFF"/>
              </w:rPr>
              <w:t xml:space="preserve">se concluye que, </w:t>
            </w:r>
            <w:r w:rsidRPr="00AD6B46">
              <w:rPr>
                <w:rFonts w:ascii="Verdana" w:hAnsi="Verdana" w:cs="Arial"/>
                <w:shd w:val="clear" w:color="auto" w:fill="FFFFFF"/>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w:t>
            </w:r>
            <w:r>
              <w:rPr>
                <w:rFonts w:ascii="Verdana" w:hAnsi="Verdana" w:cs="Arial"/>
                <w:shd w:val="clear" w:color="auto" w:fill="FFFFFF"/>
              </w:rPr>
              <w:t xml:space="preserve">. </w:t>
            </w:r>
            <w:r w:rsidRPr="00AD6B46">
              <w:rPr>
                <w:rFonts w:ascii="Verdana" w:hAnsi="Verdana" w:cs="Arial"/>
                <w:shd w:val="clear" w:color="auto" w:fill="FFFFFF"/>
              </w:rPr>
              <w:t xml:space="preserve">Es decir, que todos los documentos expedidos por la entidad durante las etapas precontractual, de ejecución y </w:t>
            </w:r>
            <w:proofErr w:type="spellStart"/>
            <w:r w:rsidRPr="00AD6B46">
              <w:rPr>
                <w:rFonts w:ascii="Verdana" w:hAnsi="Verdana" w:cs="Arial"/>
                <w:shd w:val="clear" w:color="auto" w:fill="FFFFFF"/>
              </w:rPr>
              <w:t>postcontractual</w:t>
            </w:r>
            <w:proofErr w:type="spellEnd"/>
            <w:r w:rsidRPr="00AD6B46">
              <w:rPr>
                <w:rFonts w:ascii="Verdana" w:hAnsi="Verdana" w:cs="Arial"/>
                <w:shd w:val="clear" w:color="auto" w:fill="FFFFFF"/>
              </w:rPr>
              <w:t xml:space="preserve"> deberán publicarse en SECOP dentro de los tres (3) días siguientes a su expedición, para cumplir el deber de publicidad regulado por el artículo 2.2.1.1.1.7.1. del Decreto 1082 de 2015.</w:t>
            </w:r>
            <w:r>
              <w:rPr>
                <w:rFonts w:ascii="Verdana" w:hAnsi="Verdana" w:cs="Arial"/>
                <w:shd w:val="clear" w:color="auto" w:fill="FFFFFF"/>
              </w:rPr>
              <w:t xml:space="preserve"> Dentro de esos documentos se encuentran de la ejecución contractual se encuentra la </w:t>
            </w:r>
            <w:r w:rsidRPr="00123B54">
              <w:rPr>
                <w:rFonts w:ascii="Verdana" w:hAnsi="Verdana" w:cs="Arial"/>
                <w:shd w:val="clear" w:color="auto" w:fill="FFFFFF"/>
              </w:rPr>
              <w:t>constancia de pago, es decir</w:t>
            </w:r>
            <w:r>
              <w:rPr>
                <w:rFonts w:ascii="Verdana" w:hAnsi="Verdana" w:cs="Arial"/>
                <w:shd w:val="clear" w:color="auto" w:fill="FFFFFF"/>
              </w:rPr>
              <w:t>,</w:t>
            </w:r>
            <w:r w:rsidRPr="00123B54">
              <w:rPr>
                <w:rFonts w:ascii="Verdana" w:hAnsi="Verdana" w:cs="Arial"/>
                <w:shd w:val="clear" w:color="auto" w:fill="FFFFFF"/>
              </w:rPr>
              <w:t xml:space="preserve"> la orden de pago que arroja la plataforma SIIF</w:t>
            </w:r>
            <w:r>
              <w:rPr>
                <w:rFonts w:ascii="Verdana" w:hAnsi="Verdana" w:cs="Arial"/>
                <w:shd w:val="clear" w:color="auto" w:fill="FFFFFF"/>
              </w:rPr>
              <w:t xml:space="preserve">. </w:t>
            </w:r>
          </w:p>
          <w:p w14:paraId="25F50161" w14:textId="77777777" w:rsidR="00315F9A" w:rsidRDefault="00315F9A" w:rsidP="00EE7194">
            <w:pPr>
              <w:spacing w:line="276" w:lineRule="auto"/>
              <w:jc w:val="both"/>
              <w:rPr>
                <w:rFonts w:ascii="Verdana" w:eastAsia="Calibri" w:hAnsi="Verdana" w:cs="Arial"/>
                <w:lang w:eastAsia="es-ES"/>
              </w:rPr>
            </w:pPr>
          </w:p>
          <w:p w14:paraId="4342A734" w14:textId="77777777" w:rsidR="00315F9A" w:rsidRPr="001C5618" w:rsidRDefault="00315F9A" w:rsidP="00EE7194">
            <w:pPr>
              <w:spacing w:after="120" w:line="276" w:lineRule="auto"/>
              <w:jc w:val="both"/>
              <w:rPr>
                <w:rFonts w:ascii="Verdana" w:eastAsia="Calibri" w:hAnsi="Verdana" w:cs="Arial"/>
                <w:lang w:val="es-ES" w:eastAsia="es-ES"/>
              </w:rPr>
            </w:pPr>
            <w:proofErr w:type="spellStart"/>
            <w:r>
              <w:rPr>
                <w:rFonts w:ascii="Verdana" w:eastAsia="Calibri" w:hAnsi="Verdana" w:cs="Arial"/>
                <w:lang w:eastAsia="es-ES"/>
              </w:rPr>
              <w:t>ii</w:t>
            </w:r>
            <w:proofErr w:type="spellEnd"/>
            <w:r>
              <w:rPr>
                <w:rFonts w:ascii="Verdana" w:eastAsia="Calibri" w:hAnsi="Verdana" w:cs="Arial"/>
                <w:lang w:eastAsia="es-ES"/>
              </w:rPr>
              <w:t xml:space="preserve">) </w:t>
            </w:r>
            <w:r>
              <w:rPr>
                <w:rFonts w:ascii="Verdana" w:eastAsia="Calibri" w:hAnsi="Verdana" w:cs="Arial"/>
                <w:lang w:val="es-ES" w:eastAsia="es-ES"/>
              </w:rPr>
              <w:t>E</w:t>
            </w:r>
            <w:r w:rsidRPr="001C5618">
              <w:rPr>
                <w:rFonts w:ascii="Verdana" w:eastAsia="Calibri" w:hAnsi="Verdana" w:cs="Arial"/>
                <w:lang w:val="es-ES" w:eastAsia="es-ES"/>
              </w:rPr>
              <w:t>l cumplimiento del deber de publicación de la documentación contractual debe armonizarse con las normas aplicables al tipo de información que estas contienen.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 Sin perjuicio de lo anterior, es posible que el contenido de todo el documento o expediente no deba ser objeto de publicidad por estar amparado de forma íntegra por la reserva, dada su conexión con las causales establecidas en la Constitución o la ley.</w:t>
            </w:r>
          </w:p>
          <w:p w14:paraId="6F153BDF" w14:textId="77777777" w:rsidR="00315F9A" w:rsidRPr="001C5618" w:rsidRDefault="00315F9A" w:rsidP="00EE7194">
            <w:pPr>
              <w:spacing w:after="120" w:line="276" w:lineRule="auto"/>
              <w:ind w:firstLine="709"/>
              <w:jc w:val="both"/>
              <w:rPr>
                <w:rFonts w:ascii="Verdana" w:eastAsia="Calibri" w:hAnsi="Verdana" w:cs="Arial"/>
                <w:lang w:val="es-ES" w:eastAsia="es-ES"/>
              </w:rPr>
            </w:pPr>
            <w:r w:rsidRPr="001C5618">
              <w:rPr>
                <w:rFonts w:ascii="Verdana" w:eastAsia="Calibri" w:hAnsi="Verdana" w:cs="Arial"/>
                <w:lang w:val="es-ES" w:eastAsia="es-ES"/>
              </w:rPr>
              <w:lastRenderedPageBreak/>
              <w:t>El enunciado constitucional, en armonía con los artículos 18 y 19 de la Ley 1712 de 2014 y los artículos 24 y 25 de la Ley 1437 de 2011,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Pero esto no quiere decir que todo el documento se convierta en reservado, sino que se debe proceder como se indica a continuación.</w:t>
            </w:r>
          </w:p>
          <w:p w14:paraId="1CA6CCE1" w14:textId="77777777" w:rsidR="00315F9A" w:rsidRPr="001C5618" w:rsidRDefault="00315F9A" w:rsidP="00EE7194">
            <w:pPr>
              <w:spacing w:after="120" w:line="276" w:lineRule="auto"/>
              <w:ind w:firstLine="709"/>
              <w:jc w:val="both"/>
              <w:rPr>
                <w:rFonts w:ascii="Verdana" w:eastAsia="Calibri" w:hAnsi="Verdana" w:cs="Arial"/>
                <w:lang w:val="es-ES" w:eastAsia="es-ES"/>
              </w:rPr>
            </w:pPr>
            <w:r w:rsidRPr="001C5618">
              <w:rPr>
                <w:rFonts w:ascii="Verdana" w:eastAsia="Calibri" w:hAnsi="Verdana" w:cs="Arial"/>
                <w:lang w:val="es-ES" w:eastAsia="es-ES"/>
              </w:rPr>
              <w:t>Cuando el documento contractual tenga información sensible, clasificada o reservada, para proteger la información, las autoridades deben abstenerse de publicar en el SECOP la información que tiene protección especial. Por ello, la entidad estatal deberá excluir del documento entregado por el proponente o del contratista, la información que contenga datos sensibles, clasificados o reservados, para no divulgarla, pero debe publicar las demás piezas o los apartados que no gozan de reserva o que no están protegidos por las disposiciones de habeas data.</w:t>
            </w:r>
          </w:p>
          <w:p w14:paraId="460E98BF" w14:textId="77777777" w:rsidR="00315F9A" w:rsidRDefault="00315F9A" w:rsidP="00EE7194">
            <w:pPr>
              <w:spacing w:after="120" w:line="276" w:lineRule="auto"/>
              <w:ind w:firstLine="709"/>
              <w:jc w:val="both"/>
              <w:rPr>
                <w:rFonts w:ascii="Verdana" w:eastAsia="Calibri" w:hAnsi="Verdana" w:cs="Arial"/>
                <w:lang w:val="es-ES" w:eastAsia="es-ES"/>
              </w:rPr>
            </w:pPr>
            <w:r w:rsidRPr="001C5618">
              <w:rPr>
                <w:rFonts w:ascii="Verdana" w:eastAsia="Calibri" w:hAnsi="Verdana" w:cs="Arial"/>
                <w:lang w:val="es-ES" w:eastAsia="es-ES"/>
              </w:rPr>
              <w:t>A manera de ejemplo, podrían considerarse documentos con datos sensibles, clasificados o reservados, por ejemplo la hoja de vida, la cédula de ciudadanía, la tarjeta profesional, si aplica, el RUT, el certificado bancario, el examen médico ocupacional, la declaración de conflicto de intereses, el certificado REDAM, por lo que deben clasificarse y dejarse marcados en la plataforma SECOP II como “solicitud de confidencialidad”  por el proponente y, “confidencialidad“ por la entidad, sin embargo, se deben publicar las demás piezas de la oferta o los apartados que no gozan de reserva o que no están protegidos por las disposiciones de habeas data.</w:t>
            </w:r>
            <w:r>
              <w:t xml:space="preserve"> </w:t>
            </w:r>
          </w:p>
          <w:p w14:paraId="3906BC64" w14:textId="77777777" w:rsidR="00315F9A" w:rsidRDefault="00315F9A" w:rsidP="00EE7194">
            <w:pPr>
              <w:spacing w:after="120" w:line="276" w:lineRule="auto"/>
              <w:ind w:firstLine="709"/>
              <w:jc w:val="both"/>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w:t>
            </w:r>
            <w:r w:rsidRPr="00DB4737">
              <w:rPr>
                <w:rFonts w:ascii="Verdana" w:eastAsia="Calibri" w:hAnsi="Verdana" w:cs="Times New Roman"/>
                <w:lang w:val="es-ES"/>
              </w:rPr>
              <w:lastRenderedPageBreak/>
              <w:t>interesados de adoptar la decisión y, en caso de conflicto, a las autoridades judiciales, fiscales y disciplinarias.</w:t>
            </w:r>
            <w:r>
              <w:t xml:space="preserve"> </w:t>
            </w:r>
          </w:p>
          <w:p w14:paraId="52761C79" w14:textId="77777777" w:rsidR="00315F9A" w:rsidRPr="00831CDD" w:rsidRDefault="00315F9A" w:rsidP="00EE7194">
            <w:pPr>
              <w:spacing w:line="276" w:lineRule="auto"/>
              <w:ind w:firstLine="709"/>
              <w:jc w:val="both"/>
              <w:rPr>
                <w:rFonts w:ascii="Verdana" w:hAnsi="Verdana" w:cs="Arial"/>
                <w:bCs/>
                <w:color w:val="000000" w:themeColor="text1"/>
              </w:rPr>
            </w:pPr>
            <w:r w:rsidRPr="00521FBA">
              <w:rPr>
                <w:rFonts w:ascii="Verdana" w:eastAsia="Calibri" w:hAnsi="Verdana" w:cs="Arial"/>
                <w:lang w:val="es-ES" w:eastAsia="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63FCAFF1" w14:textId="77777777" w:rsidR="00315F9A" w:rsidRDefault="00315F9A" w:rsidP="00315F9A">
      <w:pPr>
        <w:tabs>
          <w:tab w:val="left" w:pos="142"/>
          <w:tab w:val="left" w:pos="284"/>
        </w:tabs>
        <w:spacing w:after="0" w:line="276" w:lineRule="auto"/>
        <w:jc w:val="both"/>
        <w:rPr>
          <w:rFonts w:ascii="Verdana" w:eastAsia="Century Gothic" w:hAnsi="Verdana" w:cs="Century Gothic"/>
          <w:b/>
          <w:bCs/>
          <w:lang w:val="es-ES"/>
        </w:rPr>
      </w:pPr>
    </w:p>
    <w:p w14:paraId="6FF6AF07" w14:textId="77777777" w:rsidR="00315F9A" w:rsidRPr="00593A5F" w:rsidRDefault="00315F9A" w:rsidP="00315F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5A590C2" w14:textId="77777777" w:rsidR="00315F9A" w:rsidRDefault="00315F9A" w:rsidP="00315F9A">
      <w:pPr>
        <w:spacing w:after="0" w:line="276" w:lineRule="auto"/>
        <w:ind w:firstLine="708"/>
        <w:jc w:val="both"/>
        <w:rPr>
          <w:rFonts w:ascii="Verdana" w:eastAsia="Calibri" w:hAnsi="Verdana" w:cs="Arial"/>
          <w:lang w:val="es-ES"/>
        </w:rPr>
      </w:pPr>
    </w:p>
    <w:p w14:paraId="1BAF4E00" w14:textId="77777777" w:rsidR="00315F9A" w:rsidRPr="00D4693F" w:rsidRDefault="00315F9A" w:rsidP="00315F9A">
      <w:pPr>
        <w:spacing w:after="120" w:line="276" w:lineRule="auto"/>
        <w:jc w:val="both"/>
        <w:rPr>
          <w:rFonts w:ascii="Verdana" w:eastAsia="Arial" w:hAnsi="Verdana" w:cs="Arial"/>
          <w:lang w:val="es-ES"/>
        </w:rPr>
      </w:pPr>
      <w:r>
        <w:rPr>
          <w:rFonts w:ascii="Verdana" w:eastAsia="Calibri" w:hAnsi="Verdana" w:cs="Arial"/>
          <w:lang w:val="es-ES_tradnl"/>
        </w:rPr>
        <w:t xml:space="preserve">i) </w:t>
      </w:r>
      <w:r w:rsidRPr="00AD58E3">
        <w:rPr>
          <w:rFonts w:ascii="Verdana" w:eastAsia="Calibri" w:hAnsi="Verdana" w:cs="Arial"/>
          <w:lang w:val="es-ES_tradnl"/>
        </w:rPr>
        <w:t xml:space="preserve">La Constitución Política de 1991 consagra en varios artículos la </w:t>
      </w:r>
      <w:r w:rsidRPr="00AD58E3">
        <w:rPr>
          <w:rFonts w:ascii="Verdana" w:eastAsia="Calibri" w:hAnsi="Verdana" w:cs="Arial"/>
          <w:i/>
          <w:iCs/>
          <w:lang w:val="es-ES_tradnl"/>
        </w:rPr>
        <w:t>publicidad</w:t>
      </w:r>
      <w:r w:rsidRPr="00AD58E3">
        <w:rPr>
          <w:rFonts w:ascii="Verdana" w:eastAsia="Calibri" w:hAnsi="Verdana" w:cs="Arial"/>
          <w:lang w:val="es-ES_tradnl"/>
        </w:rPr>
        <w:t xml:space="preserve"> como un principio rector del Estado colombiano. Entre </w:t>
      </w:r>
      <w:r w:rsidRPr="00AD58E3">
        <w:rPr>
          <w:rFonts w:ascii="Verdana" w:eastAsia="Calibri" w:hAnsi="Verdana" w:cs="Arial"/>
          <w:color w:val="000000" w:themeColor="text1"/>
          <w:lang w:val="es-ES_tradnl"/>
        </w:rPr>
        <w:t xml:space="preserve">los más destacados, puede mencionarse el 209, que afirma que la publicidad es uno de los principios que fundamentan el ejercicio de la función administrativa. Asimismo, </w:t>
      </w:r>
      <w:r w:rsidRPr="00D4693F">
        <w:rPr>
          <w:rFonts w:ascii="Verdana" w:eastAsia="Arial" w:hAnsi="Verdana" w:cs="Arial"/>
          <w:lang w:val="es-ES"/>
        </w:rPr>
        <w:t xml:space="preserve">el artículo 74 de la Constitución Política establece que: “Todas las personas tienen derecho a acceder a los documentos públicos salvo los casos que establezca la ley”. Esta disposición constitucional consagra la garantía fundamental de acceso a la información y a la documentación pública, salvo causal de reserva expresamente prevista en la Constitución o en la Ley. </w:t>
      </w:r>
    </w:p>
    <w:p w14:paraId="2F502294" w14:textId="77777777" w:rsidR="00315F9A" w:rsidRPr="00816504" w:rsidRDefault="00315F9A" w:rsidP="00315F9A">
      <w:pPr>
        <w:spacing w:after="120" w:line="276" w:lineRule="auto"/>
        <w:ind w:firstLine="709"/>
        <w:jc w:val="both"/>
        <w:rPr>
          <w:rFonts w:ascii="Verdana" w:eastAsia="Arial" w:hAnsi="Verdana" w:cs="Arial"/>
          <w:lang w:val="es-ES"/>
        </w:rPr>
      </w:pPr>
      <w:r w:rsidRPr="00D4693F">
        <w:rPr>
          <w:rFonts w:ascii="Verdana" w:eastAsia="Arial" w:hAnsi="Verdana" w:cs="Arial"/>
          <w:lang w:val="es-ES"/>
        </w:rPr>
        <w:t>El principio de publicidad impone a las autoridades administrativas el deber de dar a conocer sus actos, contratos y decisiones, para que se divulguen y, eventualmente, se controlen las actuaciones</w:t>
      </w:r>
      <w:r>
        <w:rPr>
          <w:rStyle w:val="Refdenotaalpie"/>
          <w:rFonts w:ascii="Verdana" w:eastAsia="Arial" w:hAnsi="Verdana" w:cs="Arial"/>
          <w:lang w:val="es-ES"/>
        </w:rPr>
        <w:footnoteReference w:id="1"/>
      </w:r>
      <w:r w:rsidRPr="00D4693F">
        <w:rPr>
          <w:rFonts w:ascii="Verdana" w:eastAsia="Arial" w:hAnsi="Verdana" w:cs="Arial"/>
          <w:lang w:val="es-ES"/>
        </w:rPr>
        <w:t xml:space="preserve">. </w:t>
      </w:r>
      <w:r>
        <w:rPr>
          <w:rFonts w:ascii="Verdana" w:eastAsia="Arial" w:hAnsi="Verdana" w:cs="Arial"/>
          <w:lang w:val="es-ES"/>
        </w:rPr>
        <w:t>Por ello, en materia de contratación estatal, e</w:t>
      </w:r>
      <w:r w:rsidRPr="00D4693F">
        <w:rPr>
          <w:rFonts w:ascii="Verdana" w:eastAsia="Arial" w:hAnsi="Verdana" w:cs="Arial"/>
          <w:lang w:val="es-ES"/>
        </w:rPr>
        <w:t xml:space="preserve">l literal c) del artículo 3 de la Ley 1150 de 2007 establece que el Sistema Electrónico para la Contratación Pública –SECOP– “contará con la información oficial de la contratación realizada con dineros públicos, para lo </w:t>
      </w:r>
      <w:r w:rsidRPr="00D4693F">
        <w:rPr>
          <w:rFonts w:ascii="Verdana" w:eastAsia="Arial" w:hAnsi="Verdana" w:cs="Arial"/>
          <w:lang w:val="es-ES"/>
        </w:rPr>
        <w:lastRenderedPageBreak/>
        <w:t>cual establecerá los patrones a que haya lugar y se encargará de su difusión a través de canales electrónicos”</w:t>
      </w:r>
      <w:r w:rsidRPr="00816504">
        <w:rPr>
          <w:rFonts w:ascii="Verdana" w:eastAsia="Arial" w:hAnsi="Verdana" w:cs="Arial"/>
          <w:lang w:val="es-ES"/>
        </w:rPr>
        <w:t>.</w:t>
      </w:r>
    </w:p>
    <w:p w14:paraId="304B53AB" w14:textId="77777777" w:rsidR="00315F9A" w:rsidRPr="00D4693F" w:rsidRDefault="00315F9A" w:rsidP="00315F9A">
      <w:pPr>
        <w:spacing w:after="120" w:line="276" w:lineRule="auto"/>
        <w:ind w:firstLine="709"/>
        <w:jc w:val="both"/>
        <w:rPr>
          <w:rFonts w:ascii="Verdana" w:eastAsia="Arial" w:hAnsi="Verdana" w:cs="Arial"/>
          <w:lang w:val="es-ES"/>
        </w:rPr>
      </w:pPr>
      <w:r>
        <w:rPr>
          <w:rFonts w:ascii="Verdana" w:eastAsia="Arial" w:hAnsi="Verdana" w:cs="Arial"/>
          <w:lang w:val="es-ES"/>
        </w:rPr>
        <w:t>De este modo, d</w:t>
      </w:r>
      <w:r w:rsidRPr="00D4693F">
        <w:rPr>
          <w:rFonts w:ascii="Verdana" w:eastAsia="Arial" w:hAnsi="Verdana" w:cs="Arial"/>
          <w:lang w:val="es-ES"/>
        </w:rPr>
        <w:t>el artículo 3 de la Ley 1150 de 2007 se desprende un deber de publicar las actuaciones contractuales, el cual implica que todas las entidades estatales, publiquen los documentos en los que se evidencia el desarrollo de sus procesos de contratación. Esto, como quiera que el objetivo del deber de dar publicidad a las actuaciones contractuales es materializar el derecho a conocer e intervenir de las decisiones de la Administración Pública.</w:t>
      </w:r>
    </w:p>
    <w:p w14:paraId="54D5A109" w14:textId="77777777" w:rsidR="00315F9A" w:rsidRPr="00AD58E3" w:rsidRDefault="00315F9A" w:rsidP="00315F9A">
      <w:pPr>
        <w:spacing w:after="120" w:line="276" w:lineRule="auto"/>
        <w:ind w:firstLine="708"/>
        <w:jc w:val="both"/>
        <w:rPr>
          <w:rFonts w:ascii="Verdana" w:eastAsia="Times New Roman" w:hAnsi="Verdana" w:cs="Arial"/>
          <w:lang w:eastAsia="es-CO"/>
        </w:rPr>
      </w:pPr>
      <w:r w:rsidRPr="00D4693F">
        <w:rPr>
          <w:rFonts w:ascii="Verdana" w:eastAsia="Arial" w:hAnsi="Verdana" w:cs="Arial"/>
          <w:lang w:val="es-ES"/>
        </w:rPr>
        <w:t>De otra parte, la Ley 1712 de 2014</w:t>
      </w:r>
      <w:r>
        <w:rPr>
          <w:rStyle w:val="Refdenotaalpie"/>
          <w:rFonts w:ascii="Verdana" w:eastAsia="Arial" w:hAnsi="Verdana" w:cs="Arial"/>
          <w:lang w:val="es-ES"/>
        </w:rPr>
        <w:footnoteReference w:id="2"/>
      </w:r>
      <w:r w:rsidRPr="00D4693F">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Pr>
          <w:rStyle w:val="Refdenotaalpie"/>
          <w:rFonts w:ascii="Verdana" w:eastAsia="Arial" w:hAnsi="Verdana" w:cs="Arial"/>
          <w:lang w:val="es-ES"/>
        </w:rPr>
        <w:footnoteReference w:id="3"/>
      </w:r>
      <w:r w:rsidRPr="00D4693F">
        <w:rPr>
          <w:rFonts w:ascii="Verdana" w:eastAsia="Arial" w:hAnsi="Verdana" w:cs="Arial"/>
          <w:lang w:val="es-ES"/>
        </w:rPr>
        <w:t>. El principio de transparencia en la información alude al deber de los sujetos de proporcionar y facilitar el acceso a la misma en los términos más amplios posibles y</w:t>
      </w:r>
      <w:r>
        <w:rPr>
          <w:rFonts w:ascii="Verdana" w:eastAsia="Arial" w:hAnsi="Verdana" w:cs="Arial"/>
          <w:lang w:val="es-ES"/>
        </w:rPr>
        <w:t>,</w:t>
      </w:r>
      <w:r w:rsidRPr="00D4693F">
        <w:rPr>
          <w:rFonts w:ascii="Verdana" w:eastAsia="Arial" w:hAnsi="Verdana" w:cs="Arial"/>
          <w:lang w:val="es-ES"/>
        </w:rPr>
        <w:t xml:space="preserve"> a través de los medios y procedimientos que establezca la ley</w:t>
      </w:r>
      <w:r w:rsidRPr="00AD58E3">
        <w:rPr>
          <w:rFonts w:ascii="Verdana" w:eastAsia="Times New Roman" w:hAnsi="Verdana" w:cs="Arial"/>
          <w:vertAlign w:val="superscript"/>
          <w:lang w:eastAsia="es-CO"/>
        </w:rPr>
        <w:footnoteReference w:id="4"/>
      </w:r>
      <w:r w:rsidRPr="00AD58E3">
        <w:rPr>
          <w:rFonts w:ascii="Verdana" w:eastAsia="Times New Roman" w:hAnsi="Verdana"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AD58E3">
        <w:rPr>
          <w:rFonts w:ascii="Verdana" w:eastAsia="Times New Roman" w:hAnsi="Verdana" w:cs="Arial"/>
          <w:vertAlign w:val="superscript"/>
          <w:lang w:eastAsia="es-CO"/>
        </w:rPr>
        <w:footnoteReference w:id="5"/>
      </w:r>
      <w:r w:rsidRPr="00AD58E3">
        <w:rPr>
          <w:rFonts w:ascii="Verdana" w:eastAsia="Times New Roman" w:hAnsi="Verdana" w:cs="Arial"/>
          <w:lang w:eastAsia="es-CO"/>
        </w:rPr>
        <w:t xml:space="preserve">. </w:t>
      </w:r>
    </w:p>
    <w:p w14:paraId="228FAEE9" w14:textId="77777777" w:rsidR="00315F9A" w:rsidRDefault="00315F9A" w:rsidP="00315F9A">
      <w:pPr>
        <w:spacing w:after="120" w:line="276" w:lineRule="auto"/>
        <w:ind w:firstLine="709"/>
        <w:jc w:val="both"/>
        <w:rPr>
          <w:rFonts w:ascii="Verdana" w:eastAsia="Arial" w:hAnsi="Verdana" w:cs="Arial"/>
          <w:lang w:val="es-ES"/>
        </w:rPr>
      </w:pPr>
      <w:r w:rsidRPr="00D4693F">
        <w:rPr>
          <w:rFonts w:ascii="Verdana" w:eastAsia="Arial" w:hAnsi="Verdana" w:cs="Arial"/>
          <w:lang w:val="es-ES"/>
        </w:rPr>
        <w:t xml:space="preserve">La ley citada establece, en el literal e) del artículo 9, que los sujetos obligados, que son todas las entidades públicas, deben publicar la información </w:t>
      </w:r>
      <w:r w:rsidRPr="00D4693F">
        <w:rPr>
          <w:rFonts w:ascii="Verdana" w:eastAsia="Arial" w:hAnsi="Verdana" w:cs="Arial"/>
          <w:lang w:val="es-ES"/>
        </w:rPr>
        <w:lastRenderedPageBreak/>
        <w:t>relativa a su contratación</w:t>
      </w:r>
      <w:r w:rsidRPr="00AD58E3">
        <w:rPr>
          <w:rFonts w:ascii="Verdana" w:eastAsia="Times New Roman" w:hAnsi="Verdana" w:cs="Arial"/>
          <w:vertAlign w:val="superscript"/>
          <w:lang w:eastAsia="es-CO"/>
        </w:rPr>
        <w:footnoteReference w:id="6"/>
      </w:r>
      <w:r w:rsidRPr="00D4693F">
        <w:rPr>
          <w:rFonts w:ascii="Verdana" w:eastAsia="Arial" w:hAnsi="Verdana" w:cs="Arial"/>
          <w:lang w:val="es-ES"/>
        </w:rPr>
        <w:t xml:space="preserve">. </w:t>
      </w:r>
      <w:r w:rsidRPr="00AD58E3">
        <w:rPr>
          <w:rFonts w:ascii="Verdana" w:eastAsia="Arial MT" w:hAnsi="Verdana" w:cs="Arial"/>
          <w:lang w:val="es-ES"/>
        </w:rPr>
        <w:t xml:space="preserve">El artículo 5 </w:t>
      </w:r>
      <w:r w:rsidRPr="00AD58E3">
        <w:rPr>
          <w:rFonts w:ascii="Verdana" w:eastAsia="Arial MT" w:hAnsi="Verdana" w:cs="Arial"/>
          <w:i/>
          <w:iCs/>
          <w:lang w:val="es-ES"/>
        </w:rPr>
        <w:t>ibidem</w:t>
      </w:r>
      <w:r w:rsidRPr="00AD58E3">
        <w:rPr>
          <w:rFonts w:ascii="Verdana" w:eastAsia="Arial MT" w:hAnsi="Verdana" w:cs="Arial"/>
          <w:lang w:val="es-ES"/>
        </w:rPr>
        <w:t>, al describir qué se entiende por sujetos obligados, consagra una lista cuyo propósito es incluir a cualquier entidad, órgano, organismo, o persona natural que desempeñe funciones públicas o administre recursos públicos</w:t>
      </w:r>
      <w:r w:rsidRPr="00AD58E3">
        <w:rPr>
          <w:rFonts w:ascii="Verdana" w:eastAsia="Times New Roman" w:hAnsi="Verdana" w:cs="Arial"/>
          <w:vertAlign w:val="superscript"/>
          <w:lang w:eastAsia="es-CO"/>
        </w:rPr>
        <w:footnoteReference w:id="7"/>
      </w:r>
      <w:r w:rsidRPr="00AD58E3">
        <w:rPr>
          <w:rFonts w:ascii="Verdana" w:eastAsia="Arial MT" w:hAnsi="Verdana" w:cs="Arial"/>
          <w:lang w:val="es-ES"/>
        </w:rPr>
        <w:t>.</w:t>
      </w:r>
      <w:r w:rsidRPr="00AD58E3">
        <w:rPr>
          <w:rFonts w:ascii="Verdana" w:eastAsia="Times New Roman" w:hAnsi="Verdana" w:cs="Arial"/>
          <w:lang w:eastAsia="es-CO"/>
        </w:rPr>
        <w:t xml:space="preserve"> </w:t>
      </w:r>
      <w:r w:rsidRPr="00D4693F">
        <w:rPr>
          <w:rFonts w:ascii="Verdana" w:eastAsia="Arial" w:hAnsi="Verdana" w:cs="Arial"/>
          <w:lang w:val="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7D35F5E9" w14:textId="77777777" w:rsidR="00315F9A" w:rsidRPr="00CA409A" w:rsidRDefault="00315F9A" w:rsidP="00315F9A">
      <w:pPr>
        <w:spacing w:before="160" w:after="0" w:line="276" w:lineRule="auto"/>
        <w:ind w:firstLine="709"/>
        <w:jc w:val="both"/>
        <w:rPr>
          <w:rFonts w:ascii="Verdana" w:hAnsi="Verdana"/>
        </w:rPr>
      </w:pPr>
      <w:r w:rsidRPr="00CA409A">
        <w:rPr>
          <w:rFonts w:ascii="Verdana" w:hAnsi="Verdana"/>
        </w:rPr>
        <w:t>A</w:t>
      </w:r>
      <w:r>
        <w:rPr>
          <w:rFonts w:ascii="Verdana" w:hAnsi="Verdana"/>
        </w:rPr>
        <w:t xml:space="preserve">l anterior marco normativo se suma </w:t>
      </w:r>
      <w:r w:rsidRPr="00CA409A">
        <w:rPr>
          <w:rFonts w:ascii="Verdana" w:hAnsi="Verdana"/>
        </w:rPr>
        <w:t>el</w:t>
      </w:r>
      <w:r w:rsidRPr="00CA409A">
        <w:rPr>
          <w:rFonts w:ascii="Verdana" w:hAnsi="Verdana"/>
          <w:spacing w:val="-5"/>
        </w:rPr>
        <w:t xml:space="preserve"> </w:t>
      </w:r>
      <w:r w:rsidRPr="00CA409A">
        <w:rPr>
          <w:rFonts w:ascii="Verdana" w:hAnsi="Verdana"/>
        </w:rPr>
        <w:t>artículo</w:t>
      </w:r>
      <w:r w:rsidRPr="00CA409A">
        <w:rPr>
          <w:rFonts w:ascii="Verdana" w:hAnsi="Verdana"/>
          <w:spacing w:val="-4"/>
        </w:rPr>
        <w:t xml:space="preserve"> </w:t>
      </w:r>
      <w:r w:rsidRPr="00CA409A">
        <w:rPr>
          <w:rFonts w:ascii="Verdana" w:hAnsi="Verdana"/>
        </w:rPr>
        <w:t>53</w:t>
      </w:r>
      <w:r w:rsidRPr="00CA409A">
        <w:rPr>
          <w:rFonts w:ascii="Verdana" w:hAnsi="Verdana"/>
          <w:spacing w:val="-3"/>
        </w:rPr>
        <w:t xml:space="preserve"> </w:t>
      </w:r>
      <w:r w:rsidRPr="00CA409A">
        <w:rPr>
          <w:rFonts w:ascii="Verdana" w:hAnsi="Verdana"/>
        </w:rPr>
        <w:t>de</w:t>
      </w:r>
      <w:r w:rsidRPr="00CA409A">
        <w:rPr>
          <w:rFonts w:ascii="Verdana" w:hAnsi="Verdana"/>
          <w:spacing w:val="-4"/>
        </w:rPr>
        <w:t xml:space="preserve"> </w:t>
      </w:r>
      <w:r w:rsidRPr="00CA409A">
        <w:rPr>
          <w:rFonts w:ascii="Verdana" w:hAnsi="Verdana"/>
        </w:rPr>
        <w:t>la</w:t>
      </w:r>
      <w:r w:rsidRPr="00CA409A">
        <w:rPr>
          <w:rFonts w:ascii="Verdana" w:hAnsi="Verdana"/>
          <w:spacing w:val="-5"/>
        </w:rPr>
        <w:t xml:space="preserve"> </w:t>
      </w:r>
      <w:r w:rsidRPr="00CA409A">
        <w:rPr>
          <w:rFonts w:ascii="Verdana" w:hAnsi="Verdana"/>
        </w:rPr>
        <w:t>Ley</w:t>
      </w:r>
      <w:r w:rsidRPr="00CA409A">
        <w:rPr>
          <w:rFonts w:ascii="Verdana" w:hAnsi="Verdana"/>
          <w:spacing w:val="-6"/>
        </w:rPr>
        <w:t xml:space="preserve"> </w:t>
      </w:r>
      <w:r w:rsidRPr="00CA409A">
        <w:rPr>
          <w:rFonts w:ascii="Verdana" w:hAnsi="Verdana"/>
        </w:rPr>
        <w:t>2195</w:t>
      </w:r>
      <w:r w:rsidRPr="00CA409A">
        <w:rPr>
          <w:rFonts w:ascii="Verdana" w:hAnsi="Verdana"/>
          <w:spacing w:val="-3"/>
        </w:rPr>
        <w:t xml:space="preserve"> </w:t>
      </w:r>
      <w:r w:rsidRPr="00CA409A">
        <w:rPr>
          <w:rFonts w:ascii="Verdana" w:hAnsi="Verdana"/>
        </w:rPr>
        <w:t>de</w:t>
      </w:r>
      <w:r w:rsidRPr="00CA409A">
        <w:rPr>
          <w:rFonts w:ascii="Verdana" w:hAnsi="Verdana"/>
          <w:spacing w:val="-6"/>
        </w:rPr>
        <w:t xml:space="preserve"> </w:t>
      </w:r>
      <w:r w:rsidRPr="00CA409A">
        <w:rPr>
          <w:rFonts w:ascii="Verdana" w:hAnsi="Verdana"/>
        </w:rPr>
        <w:t>2022</w:t>
      </w:r>
      <w:r>
        <w:rPr>
          <w:rFonts w:ascii="Verdana" w:hAnsi="Verdana"/>
          <w:spacing w:val="-3"/>
        </w:rPr>
        <w:t xml:space="preserve">, aplicable </w:t>
      </w:r>
      <w:r w:rsidRPr="00CA409A">
        <w:rPr>
          <w:rFonts w:ascii="Verdana" w:hAnsi="Verdana"/>
        </w:rPr>
        <w:t xml:space="preserve">a las entidades estatales </w:t>
      </w:r>
      <w:r>
        <w:rPr>
          <w:rFonts w:ascii="Verdana" w:hAnsi="Verdana"/>
          <w:i/>
        </w:rPr>
        <w:t>“</w:t>
      </w:r>
      <w:r w:rsidRPr="00CA409A">
        <w:rPr>
          <w:rFonts w:ascii="Verdana" w:hAnsi="Verdana"/>
          <w:i/>
        </w:rPr>
        <w:t>que por disposición legal cuenten con un régimen contractual excepcional al del Estatuto General de Contratación de la Administración Pública</w:t>
      </w:r>
      <w:r>
        <w:rPr>
          <w:rFonts w:ascii="Verdana" w:hAnsi="Verdana"/>
          <w:i/>
        </w:rPr>
        <w:t>”</w:t>
      </w:r>
      <w:r>
        <w:rPr>
          <w:rFonts w:ascii="Verdana" w:hAnsi="Verdana"/>
        </w:rPr>
        <w:t xml:space="preserve">. Dicha disposición señala: </w:t>
      </w:r>
    </w:p>
    <w:p w14:paraId="1A27E09C" w14:textId="77777777" w:rsidR="00315F9A" w:rsidRPr="0032557F" w:rsidRDefault="00315F9A" w:rsidP="00315F9A">
      <w:pPr>
        <w:spacing w:after="0" w:line="276" w:lineRule="auto"/>
        <w:ind w:left="709" w:right="709"/>
        <w:jc w:val="both"/>
        <w:rPr>
          <w:rFonts w:ascii="Verdana" w:eastAsia="Arial" w:hAnsi="Verdana" w:cs="Arial"/>
        </w:rPr>
      </w:pPr>
    </w:p>
    <w:p w14:paraId="06E088FB" w14:textId="77777777" w:rsidR="00315F9A" w:rsidRPr="0032557F" w:rsidRDefault="00315F9A" w:rsidP="00315F9A">
      <w:pPr>
        <w:spacing w:after="0" w:line="240" w:lineRule="auto"/>
        <w:ind w:left="709" w:right="709"/>
        <w:jc w:val="both"/>
        <w:rPr>
          <w:rFonts w:ascii="Verdana" w:eastAsia="Arial" w:hAnsi="Verdana" w:cs="Arial"/>
          <w:sz w:val="20"/>
          <w:szCs w:val="20"/>
        </w:rPr>
      </w:pPr>
      <w:r w:rsidRPr="0032557F">
        <w:rPr>
          <w:rFonts w:ascii="Verdana" w:eastAsia="Arial" w:hAnsi="Verdana" w:cs="Arial"/>
          <w:sz w:val="20"/>
          <w:szCs w:val="20"/>
        </w:rPr>
        <w:t>“</w:t>
      </w:r>
      <w:r w:rsidRPr="0032557F">
        <w:rPr>
          <w:rFonts w:ascii="Verdana" w:eastAsia="Arial" w:hAnsi="Verdana" w:cs="Arial"/>
          <w:b/>
          <w:bCs/>
          <w:sz w:val="20"/>
          <w:szCs w:val="20"/>
        </w:rPr>
        <w:t>ARTÍCULO</w:t>
      </w:r>
      <w:bookmarkStart w:id="8" w:name="53"/>
      <w:bookmarkEnd w:id="8"/>
      <w:r w:rsidRPr="0032557F">
        <w:rPr>
          <w:rFonts w:ascii="Verdana" w:eastAsia="Arial" w:hAnsi="Verdana" w:cs="Arial"/>
          <w:b/>
          <w:bCs/>
          <w:sz w:val="20"/>
          <w:szCs w:val="20"/>
        </w:rPr>
        <w:t> 53.</w:t>
      </w:r>
      <w:r w:rsidRPr="0032557F">
        <w:rPr>
          <w:rFonts w:ascii="Verdana" w:eastAsia="Arial" w:hAnsi="Verdana" w:cs="Arial"/>
          <w:sz w:val="20"/>
          <w:szCs w:val="20"/>
        </w:rPr>
        <w:t> Adiciónese los siguientes incisos al Artículo </w:t>
      </w:r>
      <w:hyperlink r:id="rId12" w:anchor="13" w:history="1">
        <w:r w:rsidRPr="0032557F">
          <w:rPr>
            <w:rStyle w:val="Hipervnculo"/>
            <w:rFonts w:ascii="Verdana" w:eastAsia="Arial" w:hAnsi="Verdana" w:cs="Arial"/>
            <w:color w:val="auto"/>
            <w:sz w:val="20"/>
            <w:szCs w:val="20"/>
            <w:u w:val="none"/>
          </w:rPr>
          <w:t>13</w:t>
        </w:r>
        <w:r w:rsidRPr="0032557F">
          <w:rPr>
            <w:rStyle w:val="Hipervnculo"/>
            <w:rFonts w:ascii="Verdana" w:eastAsia="Arial" w:hAnsi="Verdana" w:cs="Arial"/>
            <w:color w:val="auto"/>
            <w:sz w:val="20"/>
            <w:szCs w:val="20"/>
          </w:rPr>
          <w:t> </w:t>
        </w:r>
      </w:hyperlink>
      <w:r w:rsidRPr="0032557F">
        <w:rPr>
          <w:rFonts w:ascii="Verdana" w:eastAsia="Arial" w:hAnsi="Verdana" w:cs="Arial"/>
          <w:sz w:val="20"/>
          <w:szCs w:val="20"/>
        </w:rPr>
        <w:t>de la Ley </w:t>
      </w:r>
      <w:hyperlink r:id="rId13" w:anchor="0" w:history="1">
        <w:r w:rsidRPr="0032557F">
          <w:rPr>
            <w:rStyle w:val="Hipervnculo"/>
            <w:rFonts w:ascii="Verdana" w:eastAsia="Arial" w:hAnsi="Verdana" w:cs="Arial"/>
            <w:color w:val="auto"/>
            <w:sz w:val="20"/>
            <w:szCs w:val="20"/>
            <w:u w:val="none"/>
          </w:rPr>
          <w:t>1150</w:t>
        </w:r>
      </w:hyperlink>
      <w:r w:rsidRPr="0032557F">
        <w:rPr>
          <w:rFonts w:ascii="Verdana" w:eastAsia="Arial" w:hAnsi="Verdana" w:cs="Arial"/>
          <w:sz w:val="20"/>
          <w:szCs w:val="20"/>
        </w:rPr>
        <w:t> de 2007, el cual quedara así:</w:t>
      </w:r>
    </w:p>
    <w:p w14:paraId="6EF3C385" w14:textId="77777777" w:rsidR="00315F9A" w:rsidRPr="00DF2912" w:rsidRDefault="00315F9A" w:rsidP="00315F9A">
      <w:pPr>
        <w:spacing w:after="0" w:line="240" w:lineRule="auto"/>
        <w:ind w:left="709" w:right="709"/>
        <w:jc w:val="both"/>
        <w:rPr>
          <w:rFonts w:ascii="Verdana" w:eastAsia="Arial" w:hAnsi="Verdana" w:cs="Arial"/>
          <w:sz w:val="20"/>
          <w:szCs w:val="20"/>
        </w:rPr>
      </w:pPr>
    </w:p>
    <w:p w14:paraId="18A0CA51" w14:textId="77777777" w:rsidR="00315F9A" w:rsidRPr="0032557F" w:rsidRDefault="00315F9A" w:rsidP="00315F9A">
      <w:pPr>
        <w:spacing w:after="0" w:line="240" w:lineRule="auto"/>
        <w:ind w:left="709" w:right="709"/>
        <w:jc w:val="both"/>
        <w:rPr>
          <w:rFonts w:ascii="Verdana" w:eastAsia="Arial" w:hAnsi="Verdana" w:cs="Arial"/>
          <w:sz w:val="20"/>
          <w:szCs w:val="20"/>
        </w:rPr>
      </w:pPr>
      <w:r w:rsidRPr="0032557F">
        <w:rPr>
          <w:rFonts w:ascii="Verdana" w:eastAsia="Arial" w:hAnsi="Verdana" w:cs="Arial"/>
          <w:sz w:val="20"/>
          <w:szCs w:val="20"/>
        </w:rPr>
        <w:t>Artículo </w:t>
      </w:r>
      <w:hyperlink r:id="rId14" w:anchor="13" w:history="1">
        <w:r w:rsidRPr="0032557F">
          <w:rPr>
            <w:rStyle w:val="Hipervnculo"/>
            <w:rFonts w:ascii="Verdana" w:eastAsia="Arial" w:hAnsi="Verdana" w:cs="Arial"/>
            <w:color w:val="auto"/>
            <w:sz w:val="20"/>
            <w:szCs w:val="20"/>
          </w:rPr>
          <w:t>13</w:t>
        </w:r>
      </w:hyperlink>
      <w:r w:rsidRPr="0032557F">
        <w:rPr>
          <w:rFonts w:ascii="Verdana" w:eastAsia="Arial" w:hAnsi="Verdana" w:cs="Arial"/>
          <w:sz w:val="20"/>
          <w:szCs w:val="20"/>
        </w:rPr>
        <w:t xml:space="preserve">. PRINCIPIOS GENERALES DE LA ACTIVIDAD CONTRACTUAL PARA ENTIDADES NO SOMETIDAS AL ESTATUTO GENERAL DE CONTRATACION DE LA ADMINISTRACION PUBLICA. Las entidades estatales que por disposición legal cuenten con un régimen contractual excepcional al del Estatuto General de Contratación de la Administración </w:t>
      </w:r>
      <w:proofErr w:type="spellStart"/>
      <w:r w:rsidRPr="0032557F">
        <w:rPr>
          <w:rFonts w:ascii="Verdana" w:eastAsia="Arial" w:hAnsi="Verdana" w:cs="Arial"/>
          <w:sz w:val="20"/>
          <w:szCs w:val="20"/>
        </w:rPr>
        <w:t>Publica</w:t>
      </w:r>
      <w:proofErr w:type="spellEnd"/>
      <w:r w:rsidRPr="0032557F">
        <w:rPr>
          <w:rFonts w:ascii="Verdana" w:eastAsia="Arial" w:hAnsi="Verdana" w:cs="Arial"/>
          <w:sz w:val="20"/>
          <w:szCs w:val="20"/>
        </w:rPr>
        <w:t>, aplicaran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B7E48C9" w14:textId="77777777" w:rsidR="00315F9A" w:rsidRPr="00DF2912" w:rsidRDefault="00315F9A" w:rsidP="00315F9A">
      <w:pPr>
        <w:spacing w:after="0" w:line="240" w:lineRule="auto"/>
        <w:ind w:left="709" w:right="709"/>
        <w:jc w:val="both"/>
        <w:rPr>
          <w:rFonts w:ascii="Verdana" w:eastAsia="Arial" w:hAnsi="Verdana" w:cs="Arial"/>
          <w:sz w:val="20"/>
          <w:szCs w:val="20"/>
        </w:rPr>
      </w:pPr>
    </w:p>
    <w:p w14:paraId="66BB2C2C" w14:textId="77777777" w:rsidR="00315F9A" w:rsidRPr="0032557F" w:rsidRDefault="00315F9A" w:rsidP="00315F9A">
      <w:pPr>
        <w:spacing w:after="0" w:line="240" w:lineRule="auto"/>
        <w:ind w:left="709" w:right="709"/>
        <w:jc w:val="both"/>
        <w:rPr>
          <w:rFonts w:ascii="Verdana" w:eastAsia="Arial" w:hAnsi="Verdana" w:cs="Arial"/>
          <w:sz w:val="20"/>
          <w:szCs w:val="20"/>
        </w:rPr>
      </w:pPr>
      <w:r w:rsidRPr="0032557F">
        <w:rPr>
          <w:rFonts w:ascii="Verdana" w:eastAsia="Arial" w:hAnsi="Verdana" w:cs="Arial"/>
          <w:sz w:val="20"/>
          <w:szCs w:val="20"/>
        </w:rPr>
        <w:lastRenderedPageBreak/>
        <w:t xml:space="preserve">En desarrollo de los anteriores principios, deberán publicar los documentos relacionados con su actividad contractual en el Sistema Electrónico para la Contratación </w:t>
      </w:r>
      <w:proofErr w:type="spellStart"/>
      <w:r w:rsidRPr="0032557F">
        <w:rPr>
          <w:rFonts w:ascii="Verdana" w:eastAsia="Arial" w:hAnsi="Verdana" w:cs="Arial"/>
          <w:sz w:val="20"/>
          <w:szCs w:val="20"/>
        </w:rPr>
        <w:t>Publica</w:t>
      </w:r>
      <w:proofErr w:type="spellEnd"/>
      <w:r w:rsidRPr="0032557F">
        <w:rPr>
          <w:rFonts w:ascii="Verdana" w:eastAsia="Arial" w:hAnsi="Verdana" w:cs="Arial"/>
          <w:sz w:val="20"/>
          <w:szCs w:val="20"/>
        </w:rPr>
        <w:t xml:space="preserve"> -SECOP 11-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32557F">
        <w:rPr>
          <w:rFonts w:ascii="Verdana" w:eastAsia="Arial" w:hAnsi="Verdana" w:cs="Arial"/>
          <w:sz w:val="20"/>
          <w:szCs w:val="20"/>
        </w:rPr>
        <w:t>postcontractual</w:t>
      </w:r>
      <w:proofErr w:type="spellEnd"/>
      <w:r w:rsidRPr="0032557F">
        <w:rPr>
          <w:rFonts w:ascii="Verdana" w:eastAsia="Arial" w:hAnsi="Verdana" w:cs="Arial"/>
          <w:sz w:val="20"/>
          <w:szCs w:val="20"/>
        </w:rPr>
        <w:t>.</w:t>
      </w:r>
    </w:p>
    <w:p w14:paraId="359A7637" w14:textId="77777777" w:rsidR="00315F9A" w:rsidRPr="00DF2912" w:rsidRDefault="00315F9A" w:rsidP="00315F9A">
      <w:pPr>
        <w:spacing w:after="0" w:line="240" w:lineRule="auto"/>
        <w:ind w:left="709" w:right="709"/>
        <w:jc w:val="both"/>
        <w:rPr>
          <w:rFonts w:ascii="Verdana" w:eastAsia="Arial" w:hAnsi="Verdana" w:cs="Arial"/>
          <w:sz w:val="20"/>
          <w:szCs w:val="20"/>
        </w:rPr>
      </w:pPr>
    </w:p>
    <w:p w14:paraId="01B5FAD8" w14:textId="77777777" w:rsidR="00315F9A" w:rsidRDefault="00315F9A" w:rsidP="00315F9A">
      <w:pPr>
        <w:spacing w:after="0" w:line="240" w:lineRule="auto"/>
        <w:ind w:left="709" w:right="709"/>
        <w:jc w:val="both"/>
        <w:rPr>
          <w:rFonts w:ascii="Verdana" w:eastAsia="Arial" w:hAnsi="Verdana" w:cs="Arial"/>
        </w:rPr>
      </w:pPr>
      <w:r w:rsidRPr="0032557F">
        <w:rPr>
          <w:rFonts w:ascii="Verdana" w:eastAsia="Arial" w:hAnsi="Verdana" w:cs="Arial"/>
          <w:sz w:val="20"/>
          <w:szCs w:val="20"/>
        </w:rPr>
        <w:t>A partir de la entrada en vigencia de la presente Ley, se establecerá un periodo de transición de seis (6) meses, para que las entidades den cumplimiento efectivo a lo aquí establecido</w:t>
      </w:r>
      <w:r w:rsidRPr="00DF2912">
        <w:rPr>
          <w:rFonts w:ascii="Verdana" w:eastAsia="Arial" w:hAnsi="Verdana" w:cs="Arial"/>
        </w:rPr>
        <w:t>”.</w:t>
      </w:r>
    </w:p>
    <w:p w14:paraId="3D64E24C" w14:textId="77777777" w:rsidR="00315F9A" w:rsidRPr="0032557F" w:rsidRDefault="00315F9A" w:rsidP="00315F9A">
      <w:pPr>
        <w:spacing w:after="0" w:line="276" w:lineRule="auto"/>
        <w:ind w:left="709" w:right="709"/>
        <w:jc w:val="both"/>
        <w:rPr>
          <w:rFonts w:ascii="Verdana" w:eastAsia="Arial" w:hAnsi="Verdana" w:cs="Arial"/>
        </w:rPr>
      </w:pPr>
    </w:p>
    <w:p w14:paraId="624A4F6F" w14:textId="77777777" w:rsidR="00315F9A" w:rsidRPr="00CA409A" w:rsidRDefault="00315F9A" w:rsidP="00315F9A">
      <w:pPr>
        <w:pStyle w:val="Textoindependiente"/>
        <w:spacing w:line="276" w:lineRule="auto"/>
        <w:ind w:firstLine="709"/>
        <w:jc w:val="both"/>
        <w:rPr>
          <w:rFonts w:ascii="Verdana" w:hAnsi="Verdana"/>
        </w:rPr>
      </w:pPr>
      <w:r w:rsidRPr="00CA409A">
        <w:rPr>
          <w:rFonts w:ascii="Verdana" w:hAnsi="Verdana"/>
        </w:rPr>
        <w:t>Así las cosas, en virtud de esta disposición normativa, todas las entidades que tienen un régimen de contratación exceptuado del Estatuto General de Contratación de la Administración Pública, a partir del 18 de julio de 2022, están</w:t>
      </w:r>
      <w:r w:rsidRPr="00CA409A">
        <w:rPr>
          <w:rFonts w:ascii="Verdana" w:hAnsi="Verdana"/>
          <w:spacing w:val="-11"/>
        </w:rPr>
        <w:t xml:space="preserve"> </w:t>
      </w:r>
      <w:r w:rsidRPr="00CA409A">
        <w:rPr>
          <w:rFonts w:ascii="Verdana" w:hAnsi="Verdana"/>
        </w:rPr>
        <w:t>obligados</w:t>
      </w:r>
      <w:r w:rsidRPr="00CA409A">
        <w:rPr>
          <w:rFonts w:ascii="Verdana" w:hAnsi="Verdana"/>
          <w:spacing w:val="-10"/>
        </w:rPr>
        <w:t xml:space="preserve"> </w:t>
      </w:r>
      <w:r w:rsidRPr="00CA409A">
        <w:rPr>
          <w:rFonts w:ascii="Verdana" w:hAnsi="Verdana"/>
        </w:rPr>
        <w:t>a</w:t>
      </w:r>
      <w:r w:rsidRPr="00CA409A">
        <w:rPr>
          <w:rFonts w:ascii="Verdana" w:hAnsi="Verdana"/>
          <w:spacing w:val="-11"/>
        </w:rPr>
        <w:t xml:space="preserve"> </w:t>
      </w:r>
      <w:r w:rsidRPr="00CA409A">
        <w:rPr>
          <w:rFonts w:ascii="Verdana" w:hAnsi="Verdana"/>
        </w:rPr>
        <w:t>publicar</w:t>
      </w:r>
      <w:r w:rsidRPr="00CA409A">
        <w:rPr>
          <w:rFonts w:ascii="Verdana" w:hAnsi="Verdana"/>
          <w:spacing w:val="-12"/>
        </w:rPr>
        <w:t xml:space="preserve"> </w:t>
      </w:r>
      <w:r w:rsidRPr="00CA409A">
        <w:rPr>
          <w:rFonts w:ascii="Verdana" w:hAnsi="Verdana"/>
        </w:rPr>
        <w:t>su</w:t>
      </w:r>
      <w:r w:rsidRPr="00CA409A">
        <w:rPr>
          <w:rFonts w:ascii="Verdana" w:hAnsi="Verdana"/>
          <w:spacing w:val="-13"/>
        </w:rPr>
        <w:t xml:space="preserve"> </w:t>
      </w:r>
      <w:r w:rsidRPr="00CA409A">
        <w:rPr>
          <w:rFonts w:ascii="Verdana" w:hAnsi="Verdana"/>
        </w:rPr>
        <w:t>actividad</w:t>
      </w:r>
      <w:r w:rsidRPr="00CA409A">
        <w:rPr>
          <w:rFonts w:ascii="Verdana" w:hAnsi="Verdana"/>
          <w:spacing w:val="-9"/>
        </w:rPr>
        <w:t xml:space="preserve"> </w:t>
      </w:r>
      <w:r w:rsidRPr="00CA409A">
        <w:rPr>
          <w:rFonts w:ascii="Verdana" w:hAnsi="Verdana"/>
        </w:rPr>
        <w:t>contractual</w:t>
      </w:r>
      <w:r w:rsidRPr="00CA409A">
        <w:rPr>
          <w:rFonts w:ascii="Verdana" w:hAnsi="Verdana"/>
          <w:spacing w:val="-11"/>
        </w:rPr>
        <w:t xml:space="preserve"> </w:t>
      </w:r>
      <w:r w:rsidRPr="00CA409A">
        <w:rPr>
          <w:rFonts w:ascii="Verdana" w:hAnsi="Verdana"/>
        </w:rPr>
        <w:t>en</w:t>
      </w:r>
      <w:r w:rsidRPr="00CA409A">
        <w:rPr>
          <w:rFonts w:ascii="Verdana" w:hAnsi="Verdana"/>
          <w:spacing w:val="-10"/>
        </w:rPr>
        <w:t xml:space="preserve"> </w:t>
      </w:r>
      <w:r w:rsidRPr="00CA409A">
        <w:rPr>
          <w:rFonts w:ascii="Verdana" w:hAnsi="Verdana"/>
        </w:rPr>
        <w:t>la</w:t>
      </w:r>
      <w:r w:rsidRPr="00CA409A">
        <w:rPr>
          <w:rFonts w:ascii="Verdana" w:hAnsi="Verdana"/>
          <w:spacing w:val="-11"/>
        </w:rPr>
        <w:t xml:space="preserve"> </w:t>
      </w:r>
      <w:r w:rsidRPr="00CA409A">
        <w:rPr>
          <w:rFonts w:ascii="Verdana" w:hAnsi="Verdana"/>
        </w:rPr>
        <w:t>plataforma</w:t>
      </w:r>
      <w:r w:rsidRPr="00CA409A">
        <w:rPr>
          <w:rFonts w:ascii="Verdana" w:hAnsi="Verdana"/>
          <w:spacing w:val="-11"/>
        </w:rPr>
        <w:t xml:space="preserve"> </w:t>
      </w:r>
      <w:r w:rsidRPr="00CA409A">
        <w:rPr>
          <w:rFonts w:ascii="Verdana" w:hAnsi="Verdana"/>
        </w:rPr>
        <w:t>SECOP</w:t>
      </w:r>
      <w:r w:rsidRPr="00CA409A">
        <w:rPr>
          <w:rFonts w:ascii="Verdana" w:hAnsi="Verdana"/>
          <w:spacing w:val="-9"/>
        </w:rPr>
        <w:t xml:space="preserve"> </w:t>
      </w:r>
      <w:r w:rsidRPr="00CA409A">
        <w:rPr>
          <w:rFonts w:ascii="Verdana" w:hAnsi="Verdana"/>
        </w:rPr>
        <w:t>II o en la plataforma transaccional que haga sus veces.</w:t>
      </w:r>
    </w:p>
    <w:p w14:paraId="57D62D4A" w14:textId="77777777" w:rsidR="00315F9A" w:rsidRPr="00CA409A" w:rsidRDefault="00315F9A" w:rsidP="00315F9A">
      <w:pPr>
        <w:spacing w:after="120" w:line="276" w:lineRule="auto"/>
        <w:ind w:firstLine="709"/>
        <w:jc w:val="both"/>
        <w:rPr>
          <w:rFonts w:ascii="Verdana" w:hAnsi="Verdana"/>
          <w:i/>
        </w:rPr>
      </w:pPr>
      <w:r w:rsidRPr="00CA409A">
        <w:rPr>
          <w:rFonts w:ascii="Verdana" w:hAnsi="Verdana"/>
        </w:rPr>
        <w:t>De</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misma</w:t>
      </w:r>
      <w:r w:rsidRPr="00CA409A">
        <w:rPr>
          <w:rFonts w:ascii="Verdana" w:hAnsi="Verdana"/>
          <w:spacing w:val="-19"/>
        </w:rPr>
        <w:t xml:space="preserve"> </w:t>
      </w:r>
      <w:r w:rsidRPr="00CA409A">
        <w:rPr>
          <w:rFonts w:ascii="Verdana" w:hAnsi="Verdana"/>
        </w:rPr>
        <w:t>manera,</w:t>
      </w:r>
      <w:r w:rsidRPr="00CA409A">
        <w:rPr>
          <w:rFonts w:ascii="Verdana" w:hAnsi="Verdana"/>
          <w:spacing w:val="-18"/>
        </w:rPr>
        <w:t xml:space="preserve"> </w:t>
      </w:r>
      <w:r w:rsidRPr="00CA409A">
        <w:rPr>
          <w:rFonts w:ascii="Verdana" w:hAnsi="Verdana"/>
        </w:rPr>
        <w:t>la</w:t>
      </w:r>
      <w:r w:rsidRPr="00CA409A">
        <w:rPr>
          <w:rFonts w:ascii="Verdana" w:hAnsi="Verdana"/>
          <w:spacing w:val="-19"/>
        </w:rPr>
        <w:t xml:space="preserve"> </w:t>
      </w:r>
      <w:r w:rsidRPr="00CA409A">
        <w:rPr>
          <w:rFonts w:ascii="Verdana" w:hAnsi="Verdana"/>
        </w:rPr>
        <w:t>norma</w:t>
      </w:r>
      <w:r w:rsidRPr="00CA409A">
        <w:rPr>
          <w:rFonts w:ascii="Verdana" w:hAnsi="Verdana"/>
          <w:spacing w:val="-19"/>
        </w:rPr>
        <w:t xml:space="preserve"> </w:t>
      </w:r>
      <w:r w:rsidRPr="00CA409A">
        <w:rPr>
          <w:rFonts w:ascii="Verdana" w:hAnsi="Verdana"/>
        </w:rPr>
        <w:t>en</w:t>
      </w:r>
      <w:r w:rsidRPr="00CA409A">
        <w:rPr>
          <w:rFonts w:ascii="Verdana" w:hAnsi="Verdana"/>
          <w:spacing w:val="-19"/>
        </w:rPr>
        <w:t xml:space="preserve"> </w:t>
      </w:r>
      <w:r w:rsidRPr="00CA409A">
        <w:rPr>
          <w:rFonts w:ascii="Verdana" w:hAnsi="Verdana"/>
        </w:rPr>
        <w:t>mención</w:t>
      </w:r>
      <w:r w:rsidRPr="00CA409A">
        <w:rPr>
          <w:rFonts w:ascii="Verdana" w:hAnsi="Verdana"/>
          <w:spacing w:val="-19"/>
        </w:rPr>
        <w:t xml:space="preserve"> </w:t>
      </w:r>
      <w:r w:rsidRPr="00CA409A">
        <w:rPr>
          <w:rFonts w:ascii="Verdana" w:hAnsi="Verdana"/>
        </w:rPr>
        <w:t>precisa</w:t>
      </w:r>
      <w:r w:rsidRPr="00CA409A">
        <w:rPr>
          <w:rFonts w:ascii="Verdana" w:hAnsi="Verdana"/>
          <w:spacing w:val="-19"/>
        </w:rPr>
        <w:t xml:space="preserve"> </w:t>
      </w:r>
      <w:r w:rsidRPr="00CA409A">
        <w:rPr>
          <w:rFonts w:ascii="Verdana" w:hAnsi="Verdana"/>
        </w:rPr>
        <w:t>el</w:t>
      </w:r>
      <w:r w:rsidRPr="00CA409A">
        <w:rPr>
          <w:rFonts w:ascii="Verdana" w:hAnsi="Verdana"/>
          <w:spacing w:val="-19"/>
        </w:rPr>
        <w:t xml:space="preserve"> </w:t>
      </w:r>
      <w:r w:rsidRPr="00CA409A">
        <w:rPr>
          <w:rFonts w:ascii="Verdana" w:hAnsi="Verdana"/>
        </w:rPr>
        <w:t>entendimiento</w:t>
      </w:r>
      <w:r w:rsidRPr="00CA409A">
        <w:rPr>
          <w:rFonts w:ascii="Verdana" w:hAnsi="Verdana"/>
          <w:spacing w:val="-19"/>
        </w:rPr>
        <w:t xml:space="preserve"> </w:t>
      </w:r>
      <w:r w:rsidRPr="00CA409A">
        <w:rPr>
          <w:rFonts w:ascii="Verdana" w:hAnsi="Verdana"/>
        </w:rPr>
        <w:t>que</w:t>
      </w:r>
      <w:r w:rsidRPr="00CA409A">
        <w:rPr>
          <w:rFonts w:ascii="Verdana" w:hAnsi="Verdana"/>
          <w:spacing w:val="-19"/>
        </w:rPr>
        <w:t xml:space="preserve"> </w:t>
      </w:r>
      <w:r w:rsidRPr="00CA409A">
        <w:rPr>
          <w:rFonts w:ascii="Verdana" w:hAnsi="Verdana"/>
        </w:rPr>
        <w:t>debe dársele</w:t>
      </w:r>
      <w:r w:rsidRPr="00CA409A">
        <w:rPr>
          <w:rFonts w:ascii="Verdana" w:hAnsi="Verdana"/>
          <w:spacing w:val="-7"/>
        </w:rPr>
        <w:t xml:space="preserve"> </w:t>
      </w:r>
      <w:r w:rsidRPr="00CA409A">
        <w:rPr>
          <w:rFonts w:ascii="Verdana" w:hAnsi="Verdana"/>
        </w:rPr>
        <w:t>a</w:t>
      </w:r>
      <w:r w:rsidRPr="00CA409A">
        <w:rPr>
          <w:rFonts w:ascii="Verdana" w:hAnsi="Verdana"/>
          <w:spacing w:val="-8"/>
        </w:rPr>
        <w:t xml:space="preserve"> </w:t>
      </w:r>
      <w:r w:rsidRPr="00CA409A">
        <w:rPr>
          <w:rFonts w:ascii="Verdana" w:hAnsi="Verdana"/>
        </w:rPr>
        <w:t>la</w:t>
      </w:r>
      <w:r w:rsidRPr="00CA409A">
        <w:rPr>
          <w:rFonts w:ascii="Verdana" w:hAnsi="Verdana"/>
          <w:spacing w:val="-8"/>
        </w:rPr>
        <w:t xml:space="preserve"> </w:t>
      </w:r>
      <w:r w:rsidRPr="00CA409A">
        <w:rPr>
          <w:rFonts w:ascii="Verdana" w:hAnsi="Verdana"/>
        </w:rPr>
        <w:t>expresión</w:t>
      </w:r>
      <w:r w:rsidRPr="00CA409A">
        <w:rPr>
          <w:rFonts w:ascii="Verdana" w:hAnsi="Verdana"/>
          <w:spacing w:val="-8"/>
        </w:rPr>
        <w:t xml:space="preserve"> </w:t>
      </w:r>
      <w:r>
        <w:rPr>
          <w:rFonts w:ascii="Verdana" w:hAnsi="Verdana"/>
          <w:spacing w:val="-8"/>
        </w:rPr>
        <w:t>“</w:t>
      </w:r>
      <w:r w:rsidRPr="00CA409A">
        <w:rPr>
          <w:rFonts w:ascii="Verdana" w:hAnsi="Verdana"/>
          <w:spacing w:val="-8"/>
        </w:rPr>
        <w:t>actividad</w:t>
      </w:r>
      <w:r w:rsidRPr="00CA409A">
        <w:rPr>
          <w:rFonts w:ascii="Verdana" w:hAnsi="Verdana"/>
          <w:spacing w:val="-9"/>
        </w:rPr>
        <w:t xml:space="preserve"> </w:t>
      </w:r>
      <w:r w:rsidRPr="00CA409A">
        <w:rPr>
          <w:rFonts w:ascii="Verdana" w:hAnsi="Verdana"/>
        </w:rPr>
        <w:t>contractual</w:t>
      </w:r>
      <w:r>
        <w:rPr>
          <w:rFonts w:ascii="Verdana" w:hAnsi="Verdana"/>
        </w:rPr>
        <w:t>”</w:t>
      </w:r>
      <w:r w:rsidRPr="00CA409A">
        <w:rPr>
          <w:rFonts w:ascii="Verdana" w:hAnsi="Verdana"/>
          <w:spacing w:val="-9"/>
        </w:rPr>
        <w:t xml:space="preserve"> </w:t>
      </w:r>
      <w:r w:rsidRPr="00CA409A">
        <w:rPr>
          <w:rFonts w:ascii="Verdana" w:hAnsi="Verdana"/>
        </w:rPr>
        <w:t>y</w:t>
      </w:r>
      <w:r w:rsidRPr="00CA409A">
        <w:rPr>
          <w:rFonts w:ascii="Verdana" w:hAnsi="Verdana"/>
          <w:spacing w:val="-9"/>
        </w:rPr>
        <w:t xml:space="preserve"> </w:t>
      </w:r>
      <w:r w:rsidRPr="00CA409A">
        <w:rPr>
          <w:rFonts w:ascii="Verdana" w:hAnsi="Verdana"/>
        </w:rPr>
        <w:t>que</w:t>
      </w:r>
      <w:r w:rsidRPr="00CA409A">
        <w:rPr>
          <w:rFonts w:ascii="Verdana" w:hAnsi="Verdana"/>
          <w:spacing w:val="-8"/>
        </w:rPr>
        <w:t xml:space="preserve"> </w:t>
      </w:r>
      <w:r w:rsidRPr="00CA409A">
        <w:rPr>
          <w:rFonts w:ascii="Verdana" w:hAnsi="Verdana"/>
        </w:rPr>
        <w:t>permitirá</w:t>
      </w:r>
      <w:r w:rsidRPr="00CA409A">
        <w:rPr>
          <w:rFonts w:ascii="Verdana" w:hAnsi="Verdana"/>
          <w:spacing w:val="-8"/>
        </w:rPr>
        <w:t xml:space="preserve"> </w:t>
      </w:r>
      <w:r w:rsidRPr="00CA409A">
        <w:rPr>
          <w:rFonts w:ascii="Verdana" w:hAnsi="Verdana"/>
        </w:rPr>
        <w:t>determinar</w:t>
      </w:r>
      <w:r w:rsidRPr="00CA409A">
        <w:rPr>
          <w:rFonts w:ascii="Verdana" w:hAnsi="Verdana"/>
          <w:spacing w:val="-8"/>
        </w:rPr>
        <w:t xml:space="preserve"> </w:t>
      </w:r>
      <w:r w:rsidRPr="00CA409A">
        <w:rPr>
          <w:rFonts w:ascii="Verdana" w:hAnsi="Verdana"/>
        </w:rPr>
        <w:t>los documentos que deben publicar en la plataforma SECOP II estas entidades. En ese sentido, las entidades que tienen un régimen de contratación exceptuado</w:t>
      </w:r>
      <w:r w:rsidRPr="00CA409A">
        <w:rPr>
          <w:rFonts w:ascii="Verdana" w:hAnsi="Verdana"/>
          <w:spacing w:val="-16"/>
        </w:rPr>
        <w:t xml:space="preserve"> </w:t>
      </w:r>
      <w:r w:rsidRPr="00CA409A">
        <w:rPr>
          <w:rFonts w:ascii="Verdana" w:hAnsi="Verdana"/>
        </w:rPr>
        <w:t>del</w:t>
      </w:r>
      <w:r w:rsidRPr="00CA409A">
        <w:rPr>
          <w:rFonts w:ascii="Verdana" w:hAnsi="Verdana"/>
          <w:spacing w:val="-16"/>
        </w:rPr>
        <w:t xml:space="preserve"> </w:t>
      </w:r>
      <w:r w:rsidRPr="00CA409A">
        <w:rPr>
          <w:rFonts w:ascii="Verdana" w:hAnsi="Verdana"/>
        </w:rPr>
        <w:t>Estatuto</w:t>
      </w:r>
      <w:r w:rsidRPr="00CA409A">
        <w:rPr>
          <w:rFonts w:ascii="Verdana" w:hAnsi="Verdana"/>
          <w:spacing w:val="-16"/>
        </w:rPr>
        <w:t xml:space="preserve"> </w:t>
      </w:r>
      <w:r w:rsidRPr="00CA409A">
        <w:rPr>
          <w:rFonts w:ascii="Verdana" w:hAnsi="Verdana"/>
        </w:rPr>
        <w:t>General</w:t>
      </w:r>
      <w:r w:rsidRPr="00CA409A">
        <w:rPr>
          <w:rFonts w:ascii="Verdana" w:hAnsi="Verdana"/>
          <w:spacing w:val="-17"/>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Contratación</w:t>
      </w:r>
      <w:r w:rsidRPr="00CA409A">
        <w:rPr>
          <w:rFonts w:ascii="Verdana" w:hAnsi="Verdana"/>
          <w:spacing w:val="-16"/>
        </w:rPr>
        <w:t xml:space="preserve"> </w:t>
      </w:r>
      <w:r w:rsidRPr="00CA409A">
        <w:rPr>
          <w:rFonts w:ascii="Verdana" w:hAnsi="Verdana"/>
        </w:rPr>
        <w:t>de</w:t>
      </w:r>
      <w:r w:rsidRPr="00CA409A">
        <w:rPr>
          <w:rFonts w:ascii="Verdana" w:hAnsi="Verdana"/>
          <w:spacing w:val="-16"/>
        </w:rPr>
        <w:t xml:space="preserve"> </w:t>
      </w:r>
      <w:r w:rsidRPr="00CA409A">
        <w:rPr>
          <w:rFonts w:ascii="Verdana" w:hAnsi="Verdana"/>
        </w:rPr>
        <w:t>la</w:t>
      </w:r>
      <w:r w:rsidRPr="00CA409A">
        <w:rPr>
          <w:rFonts w:ascii="Verdana" w:hAnsi="Verdana"/>
          <w:spacing w:val="-17"/>
        </w:rPr>
        <w:t xml:space="preserve"> </w:t>
      </w:r>
      <w:r w:rsidRPr="00CA409A">
        <w:rPr>
          <w:rFonts w:ascii="Verdana" w:hAnsi="Verdana"/>
        </w:rPr>
        <w:t>Administración</w:t>
      </w:r>
      <w:r w:rsidRPr="00CA409A">
        <w:rPr>
          <w:rFonts w:ascii="Verdana" w:hAnsi="Verdana"/>
          <w:spacing w:val="-16"/>
        </w:rPr>
        <w:t xml:space="preserve"> </w:t>
      </w:r>
      <w:r w:rsidRPr="00CA409A">
        <w:rPr>
          <w:rFonts w:ascii="Verdana" w:hAnsi="Verdana"/>
        </w:rPr>
        <w:t xml:space="preserve">Pública tendrán la obligación de publicar </w:t>
      </w:r>
      <w:r>
        <w:rPr>
          <w:rFonts w:ascii="Verdana" w:hAnsi="Verdana"/>
          <w:i/>
        </w:rPr>
        <w:t>“</w:t>
      </w:r>
      <w:r w:rsidRPr="00CA409A">
        <w:rPr>
          <w:rFonts w:ascii="Verdana" w:hAnsi="Verdana"/>
          <w:i/>
        </w:rPr>
        <w:t>los documentos, contratos, actos e información</w:t>
      </w:r>
      <w:r w:rsidRPr="00CA409A">
        <w:rPr>
          <w:rFonts w:ascii="Verdana" w:hAnsi="Verdana"/>
          <w:i/>
          <w:spacing w:val="26"/>
        </w:rPr>
        <w:t xml:space="preserve"> </w:t>
      </w:r>
      <w:r w:rsidRPr="00CA409A">
        <w:rPr>
          <w:rFonts w:ascii="Verdana" w:hAnsi="Verdana"/>
          <w:i/>
        </w:rPr>
        <w:t>generada</w:t>
      </w:r>
      <w:r w:rsidRPr="00CA409A">
        <w:rPr>
          <w:rFonts w:ascii="Verdana" w:hAnsi="Verdana"/>
          <w:i/>
          <w:spacing w:val="28"/>
        </w:rPr>
        <w:t xml:space="preserve"> </w:t>
      </w:r>
      <w:r w:rsidRPr="00CA409A">
        <w:rPr>
          <w:rFonts w:ascii="Verdana" w:hAnsi="Verdana"/>
          <w:i/>
        </w:rPr>
        <w:t>por</w:t>
      </w:r>
      <w:r w:rsidRPr="00CA409A">
        <w:rPr>
          <w:rFonts w:ascii="Verdana" w:hAnsi="Verdana"/>
          <w:i/>
          <w:spacing w:val="28"/>
        </w:rPr>
        <w:t xml:space="preserve"> </w:t>
      </w:r>
      <w:r w:rsidRPr="00CA409A">
        <w:rPr>
          <w:rFonts w:ascii="Verdana" w:hAnsi="Verdana"/>
          <w:i/>
        </w:rPr>
        <w:t>oferentes,</w:t>
      </w:r>
      <w:r w:rsidRPr="00CA409A">
        <w:rPr>
          <w:rFonts w:ascii="Verdana" w:hAnsi="Verdana"/>
          <w:i/>
          <w:spacing w:val="30"/>
        </w:rPr>
        <w:t xml:space="preserve"> </w:t>
      </w:r>
      <w:r w:rsidRPr="00CA409A">
        <w:rPr>
          <w:rFonts w:ascii="Verdana" w:hAnsi="Verdana"/>
          <w:i/>
        </w:rPr>
        <w:t>contratista,</w:t>
      </w:r>
      <w:r w:rsidRPr="00CA409A">
        <w:rPr>
          <w:rFonts w:ascii="Verdana" w:hAnsi="Verdana"/>
          <w:i/>
          <w:spacing w:val="29"/>
        </w:rPr>
        <w:t xml:space="preserve"> </w:t>
      </w:r>
      <w:r w:rsidRPr="00CA409A">
        <w:rPr>
          <w:rFonts w:ascii="Verdana" w:hAnsi="Verdana"/>
          <w:i/>
        </w:rPr>
        <w:t>contratante,</w:t>
      </w:r>
      <w:r w:rsidRPr="00CA409A">
        <w:rPr>
          <w:rFonts w:ascii="Verdana" w:hAnsi="Verdana"/>
          <w:i/>
          <w:spacing w:val="30"/>
        </w:rPr>
        <w:t xml:space="preserve"> </w:t>
      </w:r>
      <w:r w:rsidRPr="00CA409A">
        <w:rPr>
          <w:rFonts w:ascii="Verdana" w:hAnsi="Verdana"/>
          <w:i/>
        </w:rPr>
        <w:t>supervisor</w:t>
      </w:r>
      <w:r w:rsidRPr="00CA409A">
        <w:rPr>
          <w:rFonts w:ascii="Verdana" w:hAnsi="Verdana"/>
          <w:i/>
          <w:spacing w:val="27"/>
        </w:rPr>
        <w:t xml:space="preserve"> </w:t>
      </w:r>
      <w:r w:rsidRPr="00CA409A">
        <w:rPr>
          <w:rFonts w:ascii="Verdana" w:hAnsi="Verdana"/>
          <w:i/>
          <w:spacing w:val="-10"/>
        </w:rPr>
        <w:t>o</w:t>
      </w:r>
      <w:r>
        <w:rPr>
          <w:rFonts w:ascii="Verdana" w:hAnsi="Verdana"/>
          <w:i/>
        </w:rPr>
        <w:t xml:space="preserve"> </w:t>
      </w:r>
      <w:r w:rsidRPr="00CA409A">
        <w:rPr>
          <w:rFonts w:ascii="Verdana" w:hAnsi="Verdana"/>
          <w:i/>
        </w:rPr>
        <w:t xml:space="preserve">interventor, tanto en la etapa precontractual, como en la contractual y la </w:t>
      </w:r>
      <w:proofErr w:type="spellStart"/>
      <w:r w:rsidRPr="00CA409A">
        <w:rPr>
          <w:rFonts w:ascii="Verdana" w:hAnsi="Verdana"/>
          <w:i/>
          <w:spacing w:val="-2"/>
        </w:rPr>
        <w:t>postcontractual</w:t>
      </w:r>
      <w:proofErr w:type="spellEnd"/>
      <w:r>
        <w:rPr>
          <w:rFonts w:ascii="Verdana" w:hAnsi="Verdana"/>
          <w:i/>
          <w:spacing w:val="-2"/>
        </w:rPr>
        <w:t>”</w:t>
      </w:r>
      <w:r w:rsidRPr="00CA409A">
        <w:rPr>
          <w:rFonts w:ascii="Verdana" w:hAnsi="Verdana"/>
          <w:spacing w:val="-2"/>
        </w:rPr>
        <w:t>.</w:t>
      </w:r>
    </w:p>
    <w:p w14:paraId="4E94532A" w14:textId="77777777" w:rsidR="00315F9A" w:rsidRPr="00CA409A" w:rsidRDefault="00315F9A" w:rsidP="00315F9A">
      <w:pPr>
        <w:pStyle w:val="Textoindependiente"/>
        <w:spacing w:line="276" w:lineRule="auto"/>
        <w:ind w:firstLine="709"/>
        <w:jc w:val="both"/>
        <w:rPr>
          <w:rFonts w:ascii="Verdana" w:hAnsi="Verdana"/>
        </w:rPr>
      </w:pPr>
      <w:r w:rsidRPr="00CA409A">
        <w:rPr>
          <w:rFonts w:ascii="Verdana" w:hAnsi="Verdana"/>
        </w:rPr>
        <w:t>Respecto a</w:t>
      </w:r>
      <w:r>
        <w:rPr>
          <w:rFonts w:ascii="Verdana" w:hAnsi="Verdana"/>
        </w:rPr>
        <w:t>l primer problema jurídico planteado en la presente consulta, relacionado</w:t>
      </w:r>
      <w:r w:rsidRPr="00CA409A">
        <w:rPr>
          <w:rFonts w:ascii="Verdana" w:hAnsi="Verdana"/>
        </w:rPr>
        <w:t xml:space="preserve"> los documentos que deben publicarse</w:t>
      </w:r>
      <w:r>
        <w:rPr>
          <w:rFonts w:ascii="Verdana" w:hAnsi="Verdana"/>
        </w:rPr>
        <w:t>, debe señalarse que, de acuerdo con lo previsto</w:t>
      </w:r>
      <w:r w:rsidRPr="00CA409A">
        <w:rPr>
          <w:rFonts w:ascii="Verdana" w:hAnsi="Verdana"/>
          <w:spacing w:val="-7"/>
        </w:rPr>
        <w:t xml:space="preserve"> </w:t>
      </w:r>
      <w:r w:rsidRPr="00CA409A">
        <w:rPr>
          <w:rFonts w:ascii="Verdana" w:hAnsi="Verdana"/>
        </w:rPr>
        <w:t>lo</w:t>
      </w:r>
      <w:r w:rsidRPr="00CA409A">
        <w:rPr>
          <w:rFonts w:ascii="Verdana" w:hAnsi="Verdana"/>
          <w:spacing w:val="-6"/>
        </w:rPr>
        <w:t xml:space="preserve"> </w:t>
      </w:r>
      <w:r w:rsidRPr="00CA409A">
        <w:rPr>
          <w:rFonts w:ascii="Verdana" w:hAnsi="Verdana"/>
        </w:rPr>
        <w:t>previsto</w:t>
      </w:r>
      <w:r w:rsidRPr="00CA409A">
        <w:rPr>
          <w:rFonts w:ascii="Verdana" w:hAnsi="Verdana"/>
          <w:spacing w:val="-7"/>
        </w:rPr>
        <w:t xml:space="preserve"> </w:t>
      </w:r>
      <w:r w:rsidRPr="00CA409A">
        <w:rPr>
          <w:rFonts w:ascii="Verdana" w:hAnsi="Verdana"/>
        </w:rPr>
        <w:t>en</w:t>
      </w:r>
      <w:r w:rsidRPr="00CA409A">
        <w:rPr>
          <w:rFonts w:ascii="Verdana" w:hAnsi="Verdana"/>
          <w:spacing w:val="-7"/>
        </w:rPr>
        <w:t xml:space="preserve"> </w:t>
      </w:r>
      <w:r w:rsidRPr="00CA409A">
        <w:rPr>
          <w:rFonts w:ascii="Verdana" w:hAnsi="Verdana"/>
        </w:rPr>
        <w:t>la</w:t>
      </w:r>
      <w:r w:rsidRPr="00CA409A">
        <w:rPr>
          <w:rFonts w:ascii="Verdana" w:hAnsi="Verdana"/>
          <w:spacing w:val="-7"/>
        </w:rPr>
        <w:t xml:space="preserve"> </w:t>
      </w:r>
      <w:r>
        <w:rPr>
          <w:rFonts w:ascii="Verdana" w:hAnsi="Verdana"/>
          <w:spacing w:val="-7"/>
        </w:rPr>
        <w:t xml:space="preserve">Ley 1150 de 2007 y la </w:t>
      </w:r>
      <w:r w:rsidRPr="00CA409A">
        <w:rPr>
          <w:rFonts w:ascii="Verdana" w:hAnsi="Verdana"/>
        </w:rPr>
        <w:t>Ley</w:t>
      </w:r>
      <w:r w:rsidRPr="00CA409A">
        <w:rPr>
          <w:rFonts w:ascii="Verdana" w:hAnsi="Verdana"/>
          <w:spacing w:val="-8"/>
        </w:rPr>
        <w:t xml:space="preserve"> </w:t>
      </w:r>
      <w:r w:rsidRPr="00CA409A">
        <w:rPr>
          <w:rFonts w:ascii="Verdana" w:hAnsi="Verdana"/>
        </w:rPr>
        <w:t>1712</w:t>
      </w:r>
      <w:r w:rsidRPr="00CA409A">
        <w:rPr>
          <w:rFonts w:ascii="Verdana" w:hAnsi="Verdana"/>
          <w:spacing w:val="-6"/>
        </w:rPr>
        <w:t xml:space="preserve"> </w:t>
      </w:r>
      <w:r w:rsidRPr="00CA409A">
        <w:rPr>
          <w:rFonts w:ascii="Verdana" w:hAnsi="Verdana"/>
        </w:rPr>
        <w:t>de</w:t>
      </w:r>
      <w:r w:rsidRPr="00CA409A">
        <w:rPr>
          <w:rFonts w:ascii="Verdana" w:hAnsi="Verdana"/>
          <w:spacing w:val="-9"/>
        </w:rPr>
        <w:t xml:space="preserve"> </w:t>
      </w:r>
      <w:r w:rsidRPr="00CA409A">
        <w:rPr>
          <w:rFonts w:ascii="Verdana" w:hAnsi="Verdana"/>
        </w:rPr>
        <w:t>2014</w:t>
      </w:r>
      <w:r>
        <w:rPr>
          <w:rFonts w:ascii="Verdana" w:hAnsi="Verdana"/>
        </w:rPr>
        <w:t>,</w:t>
      </w:r>
      <w:r w:rsidRPr="00CA409A">
        <w:rPr>
          <w:rFonts w:ascii="Verdana" w:hAnsi="Verdana"/>
          <w:spacing w:val="-7"/>
        </w:rPr>
        <w:t xml:space="preserve"> </w:t>
      </w:r>
      <w:r w:rsidRPr="00CA409A">
        <w:rPr>
          <w:rFonts w:ascii="Verdana" w:hAnsi="Verdana"/>
        </w:rPr>
        <w:t>se</w:t>
      </w:r>
      <w:r w:rsidRPr="00CA409A">
        <w:rPr>
          <w:rFonts w:ascii="Verdana" w:hAnsi="Verdana"/>
          <w:spacing w:val="-6"/>
        </w:rPr>
        <w:t xml:space="preserve"> </w:t>
      </w:r>
      <w:r w:rsidRPr="00CA409A">
        <w:rPr>
          <w:rFonts w:ascii="Verdana" w:hAnsi="Verdana"/>
        </w:rPr>
        <w:t>publicará</w:t>
      </w:r>
      <w:r w:rsidRPr="00CA409A">
        <w:rPr>
          <w:rFonts w:ascii="Verdana" w:hAnsi="Verdana"/>
          <w:spacing w:val="-7"/>
        </w:rPr>
        <w:t xml:space="preserve"> </w:t>
      </w:r>
      <w:r w:rsidRPr="00CA409A">
        <w:rPr>
          <w:rFonts w:ascii="Verdana" w:hAnsi="Verdana"/>
        </w:rPr>
        <w:t>toda la</w:t>
      </w:r>
      <w:r w:rsidRPr="00CA409A">
        <w:rPr>
          <w:rFonts w:ascii="Verdana" w:hAnsi="Verdana"/>
          <w:spacing w:val="-3"/>
        </w:rPr>
        <w:t xml:space="preserve"> </w:t>
      </w:r>
      <w:r w:rsidRPr="00CA409A">
        <w:rPr>
          <w:rFonts w:ascii="Verdana" w:hAnsi="Verdana"/>
        </w:rPr>
        <w:t>información</w:t>
      </w:r>
      <w:r w:rsidRPr="00CA409A">
        <w:rPr>
          <w:rFonts w:ascii="Verdana" w:hAnsi="Verdana"/>
          <w:spacing w:val="-2"/>
        </w:rPr>
        <w:t xml:space="preserve"> </w:t>
      </w:r>
      <w:r w:rsidRPr="00CA409A">
        <w:rPr>
          <w:rFonts w:ascii="Verdana" w:hAnsi="Verdana"/>
        </w:rPr>
        <w:t>que</w:t>
      </w:r>
      <w:r w:rsidRPr="00CA409A">
        <w:rPr>
          <w:rFonts w:ascii="Verdana" w:hAnsi="Verdana"/>
          <w:spacing w:val="-2"/>
        </w:rPr>
        <w:t xml:space="preserve"> </w:t>
      </w:r>
      <w:r w:rsidRPr="00CA409A">
        <w:rPr>
          <w:rFonts w:ascii="Verdana" w:hAnsi="Verdana"/>
        </w:rPr>
        <w:t>se</w:t>
      </w:r>
      <w:r w:rsidRPr="00CA409A">
        <w:rPr>
          <w:rFonts w:ascii="Verdana" w:hAnsi="Verdana"/>
          <w:spacing w:val="-4"/>
        </w:rPr>
        <w:t xml:space="preserve"> </w:t>
      </w:r>
      <w:r w:rsidRPr="00CA409A">
        <w:rPr>
          <w:rFonts w:ascii="Verdana" w:hAnsi="Verdana"/>
        </w:rPr>
        <w:t>genere</w:t>
      </w:r>
      <w:r w:rsidRPr="00CA409A">
        <w:rPr>
          <w:rFonts w:ascii="Verdana" w:hAnsi="Verdana"/>
          <w:spacing w:val="-2"/>
        </w:rPr>
        <w:t xml:space="preserve"> </w:t>
      </w:r>
      <w:r w:rsidRPr="00CA409A">
        <w:rPr>
          <w:rFonts w:ascii="Verdana" w:hAnsi="Verdana"/>
        </w:rPr>
        <w:t>en</w:t>
      </w:r>
      <w:r w:rsidRPr="00CA409A">
        <w:rPr>
          <w:rFonts w:ascii="Verdana" w:hAnsi="Verdana"/>
          <w:spacing w:val="-2"/>
        </w:rPr>
        <w:t xml:space="preserve"> </w:t>
      </w:r>
      <w:r w:rsidRPr="00CA409A">
        <w:rPr>
          <w:rFonts w:ascii="Verdana" w:hAnsi="Verdana"/>
        </w:rPr>
        <w:t>la</w:t>
      </w:r>
      <w:r w:rsidRPr="00CA409A">
        <w:rPr>
          <w:rFonts w:ascii="Verdana" w:hAnsi="Verdana"/>
          <w:spacing w:val="-5"/>
        </w:rPr>
        <w:t xml:space="preserve"> </w:t>
      </w:r>
      <w:r w:rsidRPr="00CA409A">
        <w:rPr>
          <w:rFonts w:ascii="Verdana" w:hAnsi="Verdana"/>
        </w:rPr>
        <w:t>actividad</w:t>
      </w:r>
      <w:r w:rsidRPr="00CA409A">
        <w:rPr>
          <w:rFonts w:ascii="Verdana" w:hAnsi="Verdana"/>
          <w:spacing w:val="-3"/>
        </w:rPr>
        <w:t xml:space="preserve"> </w:t>
      </w:r>
      <w:r w:rsidRPr="00CA409A">
        <w:rPr>
          <w:rFonts w:ascii="Verdana" w:hAnsi="Verdana"/>
        </w:rPr>
        <w:t>contractual,</w:t>
      </w:r>
      <w:r w:rsidRPr="00CA409A">
        <w:rPr>
          <w:rFonts w:ascii="Verdana" w:hAnsi="Verdana"/>
          <w:spacing w:val="-2"/>
        </w:rPr>
        <w:t xml:space="preserve"> </w:t>
      </w:r>
      <w:r w:rsidRPr="00CA409A">
        <w:rPr>
          <w:rFonts w:ascii="Verdana" w:hAnsi="Verdana"/>
        </w:rPr>
        <w:t>salvo</w:t>
      </w:r>
      <w:r w:rsidRPr="00CA409A">
        <w:rPr>
          <w:rFonts w:ascii="Verdana" w:hAnsi="Verdana"/>
          <w:spacing w:val="-2"/>
        </w:rPr>
        <w:t xml:space="preserve"> </w:t>
      </w:r>
      <w:r w:rsidRPr="00CA409A">
        <w:rPr>
          <w:rFonts w:ascii="Verdana" w:hAnsi="Verdana"/>
        </w:rPr>
        <w:t>a</w:t>
      </w:r>
      <w:r w:rsidRPr="00CA409A">
        <w:rPr>
          <w:rFonts w:ascii="Verdana" w:hAnsi="Verdana"/>
          <w:spacing w:val="-3"/>
        </w:rPr>
        <w:t xml:space="preserve"> </w:t>
      </w:r>
      <w:r w:rsidRPr="00CA409A">
        <w:rPr>
          <w:rFonts w:ascii="Verdana" w:hAnsi="Verdana"/>
        </w:rPr>
        <w:t>aquello</w:t>
      </w:r>
      <w:r w:rsidRPr="00CA409A">
        <w:rPr>
          <w:rFonts w:ascii="Verdana" w:hAnsi="Verdana"/>
          <w:spacing w:val="-2"/>
        </w:rPr>
        <w:t xml:space="preserve"> </w:t>
      </w:r>
      <w:r w:rsidRPr="00CA409A">
        <w:rPr>
          <w:rFonts w:ascii="Verdana" w:hAnsi="Verdana"/>
        </w:rPr>
        <w:t>que sea sujeto a reserva legal.</w:t>
      </w:r>
    </w:p>
    <w:p w14:paraId="2B473F96" w14:textId="77777777" w:rsidR="00315F9A" w:rsidRPr="00AD6B46" w:rsidRDefault="00315F9A" w:rsidP="00315F9A">
      <w:pPr>
        <w:spacing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675F2259" w14:textId="77777777" w:rsidR="00315F9A" w:rsidRPr="00AD6B46" w:rsidRDefault="00315F9A" w:rsidP="00315F9A">
      <w:pPr>
        <w:tabs>
          <w:tab w:val="left" w:pos="709"/>
        </w:tabs>
        <w:spacing w:after="12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La expresión </w:t>
      </w:r>
      <w:r w:rsidRPr="00AD6B46">
        <w:rPr>
          <w:rFonts w:ascii="Verdana" w:hAnsi="Verdana" w:cs="Arial"/>
          <w:i/>
          <w:iCs/>
          <w:shd w:val="clear" w:color="auto" w:fill="FFFFFF"/>
        </w:rPr>
        <w:t xml:space="preserve">Documentos del Proceso </w:t>
      </w:r>
      <w:r w:rsidRPr="00AD6B4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w:t>
      </w:r>
      <w:r w:rsidRPr="00AD6B46">
        <w:rPr>
          <w:rFonts w:ascii="Verdana" w:hAnsi="Verdana" w:cs="Arial"/>
          <w:shd w:val="clear" w:color="auto" w:fill="FFFFFF"/>
        </w:rPr>
        <w:lastRenderedPageBreak/>
        <w:t xml:space="preserve">evaluación; (g) el contrato; </w:t>
      </w:r>
      <w:r w:rsidRPr="00AD6B46">
        <w:rPr>
          <w:rFonts w:ascii="Verdana" w:hAnsi="Verdana" w:cs="Arial"/>
          <w:i/>
          <w:iCs/>
          <w:shd w:val="clear" w:color="auto" w:fill="FFFFFF"/>
        </w:rPr>
        <w:t>y cualquier otro documento expedido por la Entidad Estatal durante el Proceso de Contratación</w:t>
      </w:r>
      <w:r w:rsidRPr="00AD6B46">
        <w:rPr>
          <w:rFonts w:ascii="Verdana" w:hAnsi="Verdana" w:cs="Arial"/>
          <w:shd w:val="clear" w:color="auto" w:fill="FFFFFF"/>
        </w:rPr>
        <w:t>”. [Énfasis fuera de texto]</w:t>
      </w:r>
    </w:p>
    <w:p w14:paraId="47B5ADC3" w14:textId="77777777" w:rsidR="00315F9A" w:rsidRPr="00AD6B46" w:rsidRDefault="00315F9A" w:rsidP="00315F9A">
      <w:pPr>
        <w:tabs>
          <w:tab w:val="left" w:pos="709"/>
        </w:tabs>
        <w:spacing w:after="12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AD6B46">
        <w:rPr>
          <w:rFonts w:ascii="Verdana" w:hAnsi="Verdana" w:cs="Arial"/>
          <w:i/>
          <w:iCs/>
          <w:shd w:val="clear" w:color="auto" w:fill="FFFFFF"/>
        </w:rPr>
        <w:t>Ibidem</w:t>
      </w:r>
      <w:r w:rsidRPr="00AD6B46">
        <w:rPr>
          <w:rFonts w:ascii="Verdana" w:hAnsi="Verdana" w:cs="Arial"/>
          <w:shd w:val="clear" w:color="auto" w:fill="FFFFFF"/>
        </w:rPr>
        <w:t xml:space="preserve"> recoge en la noción de documentos del proceso “cualquier otro documento expedido por la Entidad Estatal durante el Proceso de Contratación”. </w:t>
      </w:r>
    </w:p>
    <w:p w14:paraId="1FD7EE3B" w14:textId="77777777" w:rsidR="00315F9A" w:rsidRPr="00AD6B46" w:rsidRDefault="00315F9A" w:rsidP="00315F9A">
      <w:pPr>
        <w:tabs>
          <w:tab w:val="left" w:pos="709"/>
        </w:tabs>
        <w:spacing w:after="120" w:line="276" w:lineRule="auto"/>
        <w:ind w:firstLine="709"/>
        <w:jc w:val="both"/>
        <w:rPr>
          <w:rFonts w:ascii="Verdana" w:hAnsi="Verdana" w:cs="Arial"/>
          <w:shd w:val="clear" w:color="auto" w:fill="FFFFFF"/>
        </w:rPr>
      </w:pPr>
      <w:r w:rsidRPr="00AD6B46">
        <w:rPr>
          <w:rFonts w:ascii="Verdana"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39DAFF7D" w14:textId="77777777" w:rsidR="00315F9A" w:rsidRDefault="00315F9A" w:rsidP="00315F9A">
      <w:pPr>
        <w:tabs>
          <w:tab w:val="left" w:pos="709"/>
        </w:tabs>
        <w:spacing w:after="120" w:line="276" w:lineRule="auto"/>
        <w:ind w:firstLine="709"/>
        <w:jc w:val="both"/>
        <w:rPr>
          <w:rFonts w:ascii="Verdana" w:hAnsi="Verdana" w:cs="Arial"/>
          <w:shd w:val="clear" w:color="auto" w:fill="FFFFFF"/>
        </w:rPr>
      </w:pPr>
      <w:r w:rsidRPr="00AD6B46">
        <w:rPr>
          <w:rFonts w:ascii="Verdana" w:hAnsi="Verdana" w:cs="Arial"/>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w:t>
      </w:r>
      <w:r w:rsidRPr="0032557F">
        <w:rPr>
          <w:rFonts w:ascii="Verdana" w:hAnsi="Verdana" w:cs="Arial"/>
          <w:i/>
          <w:iCs/>
          <w:shd w:val="clear" w:color="auto" w:fill="FFFFFF"/>
        </w:rPr>
        <w:t>ejecución</w:t>
      </w:r>
      <w:r w:rsidRPr="00AD6B46">
        <w:rPr>
          <w:rFonts w:ascii="Verdana" w:hAnsi="Verdana" w:cs="Arial"/>
          <w:shd w:val="clear" w:color="auto" w:fill="FFFFFF"/>
        </w:rPr>
        <w:t xml:space="preserve"> y </w:t>
      </w:r>
      <w:proofErr w:type="spellStart"/>
      <w:r w:rsidRPr="00AD6B46">
        <w:rPr>
          <w:rFonts w:ascii="Verdana" w:hAnsi="Verdana" w:cs="Arial"/>
          <w:shd w:val="clear" w:color="auto" w:fill="FFFFFF"/>
        </w:rPr>
        <w:t>postcontractual</w:t>
      </w:r>
      <w:proofErr w:type="spellEnd"/>
      <w:r w:rsidRPr="00AD6B46">
        <w:rPr>
          <w:rFonts w:ascii="Verdana" w:hAnsi="Verdana" w:cs="Arial"/>
          <w:shd w:val="clear" w:color="auto" w:fill="FFFFFF"/>
        </w:rPr>
        <w:t xml:space="preserve"> deberán publicarse en SECOP dentro de los tres (3) días siguientes a su expedición, para cumplir el deber de publicidad regulado por el artículo 2.2.1.1.1.7.1. del Decreto 1082 de 2015.</w:t>
      </w:r>
      <w:r>
        <w:rPr>
          <w:rFonts w:ascii="Verdana" w:hAnsi="Verdana" w:cs="Arial"/>
          <w:shd w:val="clear" w:color="auto" w:fill="FFFFFF"/>
        </w:rPr>
        <w:t xml:space="preserve"> Dentro de esos documentos se encuentran de la ejecución contractual se encuentra la </w:t>
      </w:r>
      <w:r w:rsidRPr="00123B54">
        <w:rPr>
          <w:rFonts w:ascii="Verdana" w:hAnsi="Verdana" w:cs="Arial"/>
          <w:shd w:val="clear" w:color="auto" w:fill="FFFFFF"/>
        </w:rPr>
        <w:t>constancia de pago, es decir</w:t>
      </w:r>
      <w:r>
        <w:rPr>
          <w:rFonts w:ascii="Verdana" w:hAnsi="Verdana" w:cs="Arial"/>
          <w:shd w:val="clear" w:color="auto" w:fill="FFFFFF"/>
        </w:rPr>
        <w:t>,</w:t>
      </w:r>
      <w:r w:rsidRPr="00123B54">
        <w:rPr>
          <w:rFonts w:ascii="Verdana" w:hAnsi="Verdana" w:cs="Arial"/>
          <w:shd w:val="clear" w:color="auto" w:fill="FFFFFF"/>
        </w:rPr>
        <w:t xml:space="preserve"> la orden de pago que arroja la plataforma SIIF</w:t>
      </w:r>
      <w:r>
        <w:rPr>
          <w:rFonts w:ascii="Verdana" w:hAnsi="Verdana" w:cs="Arial"/>
          <w:shd w:val="clear" w:color="auto" w:fill="FFFFFF"/>
        </w:rPr>
        <w:t xml:space="preserve">. </w:t>
      </w:r>
    </w:p>
    <w:p w14:paraId="21881EC7" w14:textId="77777777" w:rsidR="00315F9A" w:rsidRDefault="00315F9A" w:rsidP="00315F9A">
      <w:pPr>
        <w:tabs>
          <w:tab w:val="left" w:pos="709"/>
        </w:tabs>
        <w:spacing w:before="120" w:after="0" w:line="276" w:lineRule="auto"/>
        <w:jc w:val="both"/>
        <w:rPr>
          <w:rFonts w:ascii="Verdana" w:eastAsia="Calibri" w:hAnsi="Verdana" w:cs="Arial"/>
          <w:color w:val="000000"/>
          <w:lang w:val="es-ES_tradnl" w:eastAsia="en-GB"/>
        </w:rPr>
      </w:pPr>
      <w:r>
        <w:rPr>
          <w:rFonts w:ascii="Verdana" w:hAnsi="Verdana" w:cs="Arial"/>
          <w:shd w:val="clear" w:color="auto" w:fill="FFFFFF"/>
        </w:rPr>
        <w:tab/>
        <w:t xml:space="preserve">No obstante, como se abordará a continuación, </w:t>
      </w:r>
      <w:r>
        <w:rPr>
          <w:rFonts w:ascii="Verdana" w:hAnsi="Verdana"/>
        </w:rPr>
        <w:t xml:space="preserve">el proveedor o contratista </w:t>
      </w:r>
      <w:r>
        <w:rPr>
          <w:rFonts w:ascii="Verdana" w:eastAsia="Calibri" w:hAnsi="Verdana" w:cs="Arial"/>
          <w:color w:val="000000"/>
          <w:lang w:val="es-ES_tradnl" w:eastAsia="en-GB"/>
        </w:rPr>
        <w:t xml:space="preserve">puede solicitar la confidencialidad sobre algún documento. Los documentos marcados como confidenciales no serán públicos, es decir, solo serán visibles para la entidad y el proveedor. Por lo cual, la opción de confidencialidad sobre los documentos del proveedor es una responsabilidad de las partes. Así mismo, </w:t>
      </w:r>
      <w:r>
        <w:rPr>
          <w:rFonts w:ascii="Verdana" w:eastAsia="Calibri" w:hAnsi="Verdana" w:cs="Arial"/>
          <w:color w:val="000000"/>
          <w:lang w:val="es-ES_tradnl" w:eastAsia="en-GB"/>
        </w:rPr>
        <w:lastRenderedPageBreak/>
        <w:t>como entidad estatal también podrá seleccionar la confidencialidad sobre algún documento de carácter confidencial, reservado con información sensible</w:t>
      </w:r>
      <w:r>
        <w:rPr>
          <w:rStyle w:val="Refdenotaalpie"/>
          <w:rFonts w:ascii="Verdana" w:eastAsia="Calibri" w:hAnsi="Verdana" w:cs="Arial"/>
          <w:color w:val="000000"/>
          <w:lang w:val="es-ES_tradnl" w:eastAsia="en-GB"/>
        </w:rPr>
        <w:footnoteReference w:id="8"/>
      </w:r>
      <w:r>
        <w:rPr>
          <w:rFonts w:ascii="Verdana" w:eastAsia="Calibri" w:hAnsi="Verdana" w:cs="Arial"/>
          <w:color w:val="000000"/>
          <w:lang w:val="es-ES_tradnl" w:eastAsia="en-GB"/>
        </w:rPr>
        <w:t xml:space="preserve">.  </w:t>
      </w:r>
    </w:p>
    <w:p w14:paraId="7E116CE4" w14:textId="77777777" w:rsidR="00315F9A" w:rsidRPr="008C5FD3" w:rsidRDefault="00315F9A" w:rsidP="00315F9A">
      <w:pPr>
        <w:tabs>
          <w:tab w:val="left" w:pos="426"/>
        </w:tabs>
        <w:spacing w:after="0" w:line="240" w:lineRule="auto"/>
        <w:ind w:firstLine="709"/>
        <w:jc w:val="both"/>
        <w:rPr>
          <w:rFonts w:ascii="Verdana" w:eastAsia="Calibri" w:hAnsi="Verdana" w:cs="Arial"/>
          <w:color w:val="000000"/>
          <w:lang w:val="es-ES_tradnl" w:eastAsia="en-GB"/>
        </w:rPr>
      </w:pPr>
    </w:p>
    <w:p w14:paraId="7D8B544C" w14:textId="77777777" w:rsidR="00315F9A" w:rsidRPr="00DD49A2" w:rsidRDefault="00315F9A" w:rsidP="00315F9A">
      <w:pPr>
        <w:spacing w:after="120" w:line="276" w:lineRule="auto"/>
        <w:jc w:val="both"/>
        <w:rPr>
          <w:rFonts w:ascii="Verdana" w:eastAsia="Arial" w:hAnsi="Verdana" w:cs="Arial"/>
          <w:color w:val="000000" w:themeColor="text1"/>
        </w:rPr>
      </w:pPr>
      <w:proofErr w:type="spellStart"/>
      <w:r>
        <w:rPr>
          <w:rFonts w:ascii="Verdana" w:hAnsi="Verdana"/>
        </w:rPr>
        <w:t>ii</w:t>
      </w:r>
      <w:proofErr w:type="spellEnd"/>
      <w:r>
        <w:rPr>
          <w:rFonts w:ascii="Verdana" w:hAnsi="Verdana"/>
        </w:rPr>
        <w:t xml:space="preserve">) </w:t>
      </w:r>
      <w:r w:rsidRPr="00DD49A2">
        <w:rPr>
          <w:rFonts w:ascii="Verdana" w:eastAsia="Arial" w:hAnsi="Verdana" w:cs="Arial"/>
          <w:lang w:val="es"/>
        </w:rPr>
        <w:t xml:space="preserve">Sin perjuicio de lo expresado </w:t>
      </w:r>
      <w:r>
        <w:rPr>
          <w:rFonts w:ascii="Verdana" w:eastAsia="Arial" w:hAnsi="Verdana" w:cs="Arial"/>
          <w:lang w:val="es"/>
        </w:rPr>
        <w:t>en líneas anteriores</w:t>
      </w:r>
      <w:r w:rsidRPr="00DD49A2">
        <w:rPr>
          <w:rFonts w:ascii="Verdana" w:eastAsia="Arial" w:hAnsi="Verdana" w:cs="Arial"/>
          <w:color w:val="000000" w:themeColor="text1"/>
        </w:rPr>
        <w:t>,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absteniéndose, de ser el caso, de publicar las ofertas, o las partes pertinentes en las que se evidencie este tipo de información. Para dichos eventos, la plataforma SECOP II, antes de publicar las ofertas, brinda a las entidades la opción de calificar dicha información como confidencial, lo cual impide que los documentos se publiquen.</w:t>
      </w:r>
    </w:p>
    <w:p w14:paraId="652DCFFC" w14:textId="77777777" w:rsidR="00315F9A" w:rsidRDefault="00315F9A" w:rsidP="00315F9A">
      <w:pPr>
        <w:spacing w:after="120" w:line="276" w:lineRule="auto"/>
        <w:ind w:firstLine="709"/>
        <w:jc w:val="both"/>
        <w:rPr>
          <w:rFonts w:ascii="Verdana" w:eastAsia="Arial" w:hAnsi="Verdana" w:cs="Arial"/>
          <w:color w:val="000000" w:themeColor="text1"/>
        </w:rPr>
      </w:pPr>
      <w:r w:rsidRPr="00DD49A2">
        <w:rPr>
          <w:rFonts w:ascii="Verdana" w:eastAsia="Arial" w:hAnsi="Verdana" w:cs="Arial"/>
          <w:color w:val="000000" w:themeColor="text1"/>
        </w:rPr>
        <w:t xml:space="preserve">En otras palabras, </w:t>
      </w:r>
      <w:r>
        <w:rPr>
          <w:rFonts w:ascii="Verdana" w:eastAsia="Arial" w:hAnsi="Verdana" w:cs="Arial"/>
          <w:color w:val="000000" w:themeColor="text1"/>
        </w:rPr>
        <w:t>aun cuando el artículo</w:t>
      </w:r>
      <w:r w:rsidRPr="00DD49A2">
        <w:rPr>
          <w:rFonts w:ascii="Verdana" w:eastAsia="Arial" w:hAnsi="Verdana" w:cs="Arial"/>
          <w:color w:val="000000" w:themeColor="text1"/>
        </w:rPr>
        <w:t xml:space="preserve"> 74 de la Constitución establezca que la información pública debe ser dada a conocer a la ciudadanía y así los documentos que hagan parte de la actividad contractual puedan catalogarse, </w:t>
      </w:r>
      <w:r w:rsidRPr="00DD49A2">
        <w:rPr>
          <w:rFonts w:ascii="Verdana" w:eastAsia="Arial" w:hAnsi="Verdana" w:cs="Arial"/>
          <w:i/>
          <w:iCs/>
          <w:color w:val="000000" w:themeColor="text1"/>
        </w:rPr>
        <w:t>prima facie</w:t>
      </w:r>
      <w:r w:rsidRPr="00DD49A2">
        <w:rPr>
          <w:rFonts w:ascii="Verdana" w:eastAsia="Arial" w:hAnsi="Verdana" w:cs="Arial"/>
          <w:color w:val="000000" w:themeColor="text1"/>
        </w:rPr>
        <w:t>, como información pública, cuando dicha documentación contenga datos sensibles, operan algunas restricciones a su publicidad. Sin embargo, esto no necesariamente convierte el documento completo en reservado, es decir, en un documento que no puede publicarse.</w:t>
      </w:r>
    </w:p>
    <w:p w14:paraId="2990D170" w14:textId="77777777" w:rsidR="00315F9A" w:rsidRPr="004D5D03" w:rsidRDefault="00315F9A" w:rsidP="00315F9A">
      <w:pPr>
        <w:spacing w:after="120" w:line="276" w:lineRule="auto"/>
        <w:ind w:firstLine="709"/>
        <w:jc w:val="both"/>
        <w:rPr>
          <w:rFonts w:ascii="Verdana" w:eastAsia="Calibri" w:hAnsi="Verdana" w:cs="Arial"/>
          <w:color w:val="000000"/>
          <w:lang w:val="es-ES" w:eastAsia="en-GB"/>
        </w:rPr>
      </w:pPr>
      <w:r w:rsidRPr="2AB8B192">
        <w:rPr>
          <w:rFonts w:ascii="Verdana" w:eastAsia="Calibri" w:hAnsi="Verdana" w:cs="Arial"/>
          <w:color w:val="000000"/>
          <w:lang w:val="es-ES" w:eastAsia="en-GB"/>
        </w:rPr>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2AB8B192">
        <w:rPr>
          <w:rFonts w:ascii="Verdana" w:eastAsia="Calibri" w:hAnsi="Verdana" w:cs="Arial"/>
          <w:color w:val="000000"/>
          <w:vertAlign w:val="superscript"/>
          <w:lang w:val="es-ES" w:eastAsia="en-GB"/>
        </w:rPr>
        <w:footnoteReference w:id="9"/>
      </w:r>
      <w:r w:rsidRPr="2AB8B192">
        <w:rPr>
          <w:rFonts w:ascii="Verdana" w:eastAsia="Calibri" w:hAnsi="Verdana" w:cs="Arial"/>
          <w:color w:val="000000"/>
          <w:lang w:val="es-ES" w:eastAsia="en-GB"/>
        </w:rPr>
        <w:t xml:space="preserve">. Sin perjuicio de lo anterior, es posible que el </w:t>
      </w:r>
      <w:r w:rsidRPr="2AB8B192">
        <w:rPr>
          <w:rFonts w:ascii="Verdana" w:eastAsia="Calibri" w:hAnsi="Verdana" w:cs="Arial"/>
          <w:color w:val="000000"/>
          <w:lang w:val="es-ES" w:eastAsia="en-GB"/>
        </w:rPr>
        <w:lastRenderedPageBreak/>
        <w:t>contenido de todo el documento o expediente no deba ser objeto de publicidad por estar amparado de forma íntegra por la reserva, dada su conexión con las causales establecidas en la Constitución o la ley.</w:t>
      </w:r>
    </w:p>
    <w:p w14:paraId="33BF75D4" w14:textId="77777777" w:rsidR="00315F9A" w:rsidRPr="00DD49A2" w:rsidRDefault="00315F9A" w:rsidP="00315F9A">
      <w:pPr>
        <w:spacing w:after="120" w:line="276" w:lineRule="auto"/>
        <w:ind w:firstLine="709"/>
        <w:jc w:val="both"/>
        <w:rPr>
          <w:rFonts w:ascii="Verdana" w:eastAsia="Arial" w:hAnsi="Verdana" w:cs="Arial"/>
          <w:color w:val="000000" w:themeColor="text1"/>
        </w:rPr>
      </w:pPr>
      <w:r w:rsidRPr="00DD49A2">
        <w:rPr>
          <w:rFonts w:ascii="Verdana" w:eastAsia="Arial" w:hAnsi="Verdana" w:cs="Arial"/>
          <w:color w:val="000000" w:themeColor="text1"/>
        </w:rPr>
        <w:t>El enunciado constitucional, en armonía con los artículos 18 y 19 de la Ley 1712 de 2014 y los artículos 24</w:t>
      </w:r>
      <w:r>
        <w:rPr>
          <w:rStyle w:val="Refdenotaalpie"/>
          <w:rFonts w:ascii="Verdana" w:eastAsia="Arial" w:hAnsi="Verdana" w:cs="Arial"/>
          <w:color w:val="000000" w:themeColor="text1"/>
        </w:rPr>
        <w:footnoteReference w:id="10"/>
      </w:r>
      <w:r w:rsidRPr="00DD49A2">
        <w:rPr>
          <w:rFonts w:ascii="Verdana" w:eastAsia="Arial" w:hAnsi="Verdana" w:cs="Arial"/>
          <w:color w:val="000000" w:themeColor="text1"/>
        </w:rPr>
        <w:t xml:space="preserve"> y 25 de la Ley 1437 de 2011,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numeral 3° del artículo 3° del Decreto 1377 de 2013, solo podrá divulgarse según las reglas establecidas en dichas normas. Pero esto no quiere decir que todo el documento se convierta en reservado, sino que se debe proceder como se indica a continuación.</w:t>
      </w:r>
    </w:p>
    <w:p w14:paraId="53180C13" w14:textId="77777777" w:rsidR="00315F9A" w:rsidRDefault="00315F9A" w:rsidP="00315F9A">
      <w:pPr>
        <w:spacing w:after="120" w:line="276" w:lineRule="auto"/>
        <w:ind w:firstLine="709"/>
        <w:jc w:val="both"/>
        <w:rPr>
          <w:rFonts w:ascii="Verdana" w:eastAsia="Arial" w:hAnsi="Verdana" w:cs="Arial"/>
          <w:color w:val="000000" w:themeColor="text1"/>
        </w:rPr>
      </w:pPr>
      <w:r w:rsidRPr="00DD49A2">
        <w:rPr>
          <w:rFonts w:ascii="Verdana" w:eastAsia="Arial" w:hAnsi="Verdana" w:cs="Arial"/>
          <w:color w:val="000000" w:themeColor="text1"/>
        </w:rPr>
        <w:t>Cuando el documento contractual tenga información sensible, clasificada o reservada, para proteger la información, las autoridades deben abstenerse de publicar en el SECOP la información que tiene protección especial, tal como sucede</w:t>
      </w:r>
      <w:r>
        <w:rPr>
          <w:rFonts w:ascii="Verdana" w:eastAsia="Arial" w:hAnsi="Verdana" w:cs="Arial"/>
          <w:color w:val="000000" w:themeColor="text1"/>
        </w:rPr>
        <w:t>,</w:t>
      </w:r>
      <w:r w:rsidRPr="00DD49A2">
        <w:rPr>
          <w:rFonts w:ascii="Verdana" w:eastAsia="Arial" w:hAnsi="Verdana" w:cs="Arial"/>
          <w:color w:val="000000" w:themeColor="text1"/>
        </w:rPr>
        <w:t xml:space="preserve"> </w:t>
      </w:r>
      <w:r>
        <w:rPr>
          <w:rFonts w:ascii="Verdana" w:eastAsia="Arial" w:hAnsi="Verdana" w:cs="Arial"/>
          <w:color w:val="000000" w:themeColor="text1"/>
        </w:rPr>
        <w:t xml:space="preserve">por ejemplo, </w:t>
      </w:r>
      <w:r w:rsidRPr="00DD49A2">
        <w:rPr>
          <w:rFonts w:ascii="Verdana" w:eastAsia="Arial" w:hAnsi="Verdana" w:cs="Arial"/>
          <w:color w:val="000000" w:themeColor="text1"/>
        </w:rPr>
        <w:t>con los derechos de los menores, de conformidad con</w:t>
      </w:r>
      <w:r>
        <w:rPr>
          <w:rFonts w:ascii="Verdana" w:eastAsia="Arial" w:hAnsi="Verdana" w:cs="Arial"/>
          <w:color w:val="000000" w:themeColor="text1"/>
        </w:rPr>
        <w:t xml:space="preserve"> lo </w:t>
      </w:r>
      <w:r>
        <w:rPr>
          <w:rFonts w:ascii="Verdana" w:eastAsia="Arial" w:hAnsi="Verdana" w:cs="Arial"/>
          <w:color w:val="000000" w:themeColor="text1"/>
        </w:rPr>
        <w:lastRenderedPageBreak/>
        <w:t>establecido en</w:t>
      </w:r>
      <w:r w:rsidRPr="00DD49A2">
        <w:rPr>
          <w:rFonts w:ascii="Verdana" w:eastAsia="Arial" w:hAnsi="Verdana" w:cs="Arial"/>
          <w:color w:val="000000" w:themeColor="text1"/>
        </w:rPr>
        <w:t xml:space="preserve"> el artículo 7° de la Ley 1581 de 2012 y el artículo 2.1.1.4.1.2 del Decreto 1081 de 2015. Sin embargo, de acuerdo con el segundo inciso del artículo 25 de la Ley 1437 de 2011 “La restricción por reserva legal no se extenderá a otras piezas del respectivo expediente o actuación que no estén cubiertas por ella”. Por ello, la entidad estatal deberá excluir del documento entregado por el proponente </w:t>
      </w:r>
      <w:r>
        <w:rPr>
          <w:rFonts w:ascii="Verdana" w:eastAsia="Arial" w:hAnsi="Verdana" w:cs="Arial"/>
          <w:color w:val="000000" w:themeColor="text1"/>
        </w:rPr>
        <w:t xml:space="preserve">o del contratista, </w:t>
      </w:r>
      <w:r w:rsidRPr="00DD49A2">
        <w:rPr>
          <w:rFonts w:ascii="Verdana" w:eastAsia="Arial" w:hAnsi="Verdana" w:cs="Arial"/>
          <w:color w:val="000000" w:themeColor="text1"/>
        </w:rPr>
        <w:t xml:space="preserve">la información que contenga datos sensibles, clasificados o reservados, para no divulgarla, pero debe publicar las demás piezas o los apartados que no gozan de reserva o que no están protegidos por las </w:t>
      </w:r>
      <w:r w:rsidRPr="000A5966">
        <w:rPr>
          <w:rFonts w:ascii="Verdana" w:eastAsia="Arial" w:hAnsi="Verdana" w:cs="Arial"/>
          <w:color w:val="000000" w:themeColor="text1"/>
        </w:rPr>
        <w:t>disposiciones de habeas data.</w:t>
      </w:r>
    </w:p>
    <w:p w14:paraId="5C94085F" w14:textId="77777777" w:rsidR="00315F9A" w:rsidRDefault="00315F9A" w:rsidP="00315F9A">
      <w:pPr>
        <w:tabs>
          <w:tab w:val="left" w:pos="426"/>
        </w:tabs>
        <w:spacing w:after="120" w:line="276" w:lineRule="auto"/>
        <w:ind w:firstLine="709"/>
        <w:jc w:val="both"/>
        <w:rPr>
          <w:rFonts w:ascii="Verdana" w:eastAsia="Calibri" w:hAnsi="Verdana" w:cs="Arial"/>
          <w:color w:val="000000"/>
          <w:lang w:val="es-ES_tradnl" w:eastAsia="en-GB"/>
        </w:rPr>
      </w:pPr>
      <w:r w:rsidRPr="00A9405A">
        <w:rPr>
          <w:rFonts w:ascii="Verdana" w:eastAsia="Calibri" w:hAnsi="Verdana" w:cs="Arial"/>
          <w:color w:val="000000"/>
          <w:lang w:val="es-ES_tradnl" w:eastAsia="en-GB"/>
        </w:rPr>
        <w:t xml:space="preserve">En efecto, de conformidad con la Constitución y la jurisprudencia de las altas cortes, la reserva de información pública solo puede crearla el constituyente o el legislador. </w:t>
      </w:r>
      <w:r>
        <w:rPr>
          <w:rFonts w:ascii="Verdana" w:eastAsia="Calibri" w:hAnsi="Verdana" w:cs="Arial"/>
          <w:color w:val="000000"/>
          <w:lang w:val="es-ES_tradnl" w:eastAsia="en-GB"/>
        </w:rPr>
        <w:t>En efecto,</w:t>
      </w:r>
      <w:r w:rsidRPr="00A9405A">
        <w:rPr>
          <w:rFonts w:ascii="Verdana" w:eastAsia="Calibri" w:hAnsi="Verdana" w:cs="Arial"/>
          <w:color w:val="000000"/>
          <w:lang w:val="es-ES_tradnl" w:eastAsia="en-GB"/>
        </w:rPr>
        <w:t xml:space="preserve"> las Leyes estatutarias 1712 de 2014 y la 1755 de 2015 –que sustituyó los artículos 13 a 33 de la Ley 1437 de 2011– establecen reservas particulares de información pública. </w:t>
      </w:r>
    </w:p>
    <w:p w14:paraId="36120BB0" w14:textId="77777777" w:rsidR="00315F9A" w:rsidRPr="00AD6B46" w:rsidRDefault="00315F9A" w:rsidP="00315F9A">
      <w:pPr>
        <w:spacing w:after="120" w:line="276" w:lineRule="auto"/>
        <w:ind w:firstLine="709"/>
        <w:jc w:val="both"/>
        <w:rPr>
          <w:rFonts w:ascii="Verdana" w:eastAsia="Calibri" w:hAnsi="Verdana" w:cs="Arial"/>
          <w:color w:val="000000"/>
        </w:rPr>
      </w:pPr>
      <w:r>
        <w:rPr>
          <w:rFonts w:ascii="Verdana" w:eastAsia="Calibri" w:hAnsi="Verdana" w:cs="Arial"/>
          <w:color w:val="000000"/>
        </w:rPr>
        <w:t>D</w:t>
      </w:r>
      <w:r w:rsidRPr="00AD6B46">
        <w:rPr>
          <w:rFonts w:ascii="Verdana" w:eastAsia="Calibri" w:hAnsi="Verdana" w:cs="Arial"/>
          <w:color w:val="000000"/>
        </w:rPr>
        <w:t xml:space="preserve">e acuerdo con el segundo inciso del artículo 25 de la Ley 1437 de 2011 “La restricción por reserva legal no se extenderá a otras piezas del respectivo expediente o actuación que no estén cubiertas por ella”. Por ello, la entidad estatal puede no publicar o suministrar algún documento del proceso o aparte del mismo que contenga información clasificada o reservada, para no divulgarlo, pero debe publicar los demás documentos o los apartados de estos, en caso de que estos no gocen de reserva. Lo anterior, sin perjuicio de que, dependiendo de la información en específico, todo el documento o expediente no pueda publicarse o suministrarse, por ampararse en su integridad en alguna causal de reserva, dada la conexión de su contenido con la información que el constituyente o el legislador decidió limitar en cuanto a su publicidad o suministro. De este modo, cuando el documento contractual tenga información clasificada o reservada, las autoridades deben abstenerse de publicar en el SECOP la información que tenga dicho carácter, por tanto, deberá publicar la información de forma parcial. </w:t>
      </w:r>
    </w:p>
    <w:p w14:paraId="6D573D58" w14:textId="77777777" w:rsidR="00315F9A" w:rsidRPr="00AD6B46" w:rsidRDefault="00315F9A" w:rsidP="00315F9A">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t xml:space="preserve">En línea con todo lo expuesto, el Decreto 1081 de 2015 en su artículo 2.1.1.4.3.2 establece que, si un mismo acto o documento contiene información que puede divulgarse y a su vez, información clasificada o reservada, la entidad debe revelar los datos no protegidos y presentar los fundamentos constitucionales y legales por los que retiene los datos que no puede divulgar. De igual modo, deben revisar si los documentos contienen datos que no deban divulgarse, conforme a los fundamentos constitucionales y legales, y por tanto, </w:t>
      </w:r>
      <w:r w:rsidRPr="00AD6B46">
        <w:rPr>
          <w:rFonts w:ascii="Verdana" w:eastAsia="Calibri" w:hAnsi="Verdana" w:cs="Arial"/>
          <w:color w:val="000000"/>
        </w:rPr>
        <w:lastRenderedPageBreak/>
        <w:t>tachar los apartes clasificados o reservados del documento, anonimizar, transliterar o editar el documento para suprimir la información que no puede difundirse; así como abrir un nuevo expediente con la información pública que pueda divulgar; o en su defecto, acudir a las acciones que sean necesarias para cumplir con su deber de permitir el acceso a toda aquella información que no esté clasificada o reservada, teniendo en cuenta el formato y medio de conservación de la información.</w:t>
      </w:r>
    </w:p>
    <w:p w14:paraId="46D95413" w14:textId="77777777" w:rsidR="00315F9A" w:rsidRDefault="00315F9A" w:rsidP="00315F9A">
      <w:pPr>
        <w:spacing w:after="0" w:line="276" w:lineRule="auto"/>
        <w:ind w:firstLine="708"/>
        <w:jc w:val="both"/>
        <w:rPr>
          <w:rFonts w:ascii="Verdana" w:hAnsi="Verdana"/>
        </w:rPr>
      </w:pPr>
      <w:r w:rsidRPr="00AD6B46">
        <w:rPr>
          <w:rFonts w:ascii="Verdana" w:eastAsia="Calibri" w:hAnsi="Verdana" w:cs="Arial"/>
          <w:color w:val="000000"/>
        </w:rPr>
        <w:t>Así mismo, el Archivo General de la Nación como entidad encargada de liderar la Política de archivo y gestión documental a nivel nacional, expidió el Acuerdo 001 de 2024 “Por el cual se establece el Acuerdo Único de la Función Archivística, se definen los criterios técnicos y jurídicos para su implementación en el Estado Colombiano y se fijan otras disposiciones”, que en su artículo 7.1.3.</w:t>
      </w:r>
      <w:r w:rsidRPr="00AD6B46">
        <w:rPr>
          <w:rFonts w:ascii="Verdana" w:eastAsia="Calibri" w:hAnsi="Verdana" w:cs="Arial"/>
          <w:color w:val="000000"/>
          <w:vertAlign w:val="superscript"/>
        </w:rPr>
        <w:footnoteReference w:id="11"/>
      </w:r>
      <w:r w:rsidRPr="00AD6B46">
        <w:rPr>
          <w:rFonts w:ascii="Verdana" w:eastAsia="Calibri" w:hAnsi="Verdana" w:cs="Arial"/>
          <w:color w:val="000000"/>
        </w:rPr>
        <w:t xml:space="preserve"> preciso que </w:t>
      </w:r>
      <w:r w:rsidRPr="00AD6B46">
        <w:rPr>
          <w:rFonts w:ascii="Verdana" w:hAnsi="Verdana"/>
        </w:rPr>
        <w:t>la reserva aplica a la información, no a los documentos, para lo cual el responsable de la información verificará qué información está sometida a reserva, y elaborará una versión pública que mantenga la reserva de los titulares de los datos, con el fin de garantizar el principio de máxima publicidad y conforme a las disposiciones legales sobre el acceso a la información. Al respecto, el parágrafo primero del referenciado artículo dispone algunos criterios para la reserva información:</w:t>
      </w:r>
    </w:p>
    <w:p w14:paraId="1A7B4787" w14:textId="77777777" w:rsidR="00315F9A" w:rsidRPr="00AD6B46" w:rsidRDefault="00315F9A" w:rsidP="00315F9A">
      <w:pPr>
        <w:spacing w:after="0" w:line="276" w:lineRule="auto"/>
        <w:ind w:firstLine="708"/>
        <w:jc w:val="both"/>
        <w:rPr>
          <w:rFonts w:ascii="Verdana" w:hAnsi="Verdana"/>
        </w:rPr>
      </w:pPr>
    </w:p>
    <w:p w14:paraId="0673CBBB" w14:textId="77777777" w:rsidR="00315F9A" w:rsidRPr="0032557F" w:rsidRDefault="00315F9A" w:rsidP="00315F9A">
      <w:pPr>
        <w:spacing w:after="0" w:line="276" w:lineRule="auto"/>
        <w:ind w:left="709" w:right="709"/>
        <w:jc w:val="both"/>
        <w:rPr>
          <w:rFonts w:ascii="Verdana" w:hAnsi="Verdana"/>
          <w:sz w:val="20"/>
          <w:szCs w:val="20"/>
        </w:rPr>
      </w:pPr>
      <w:r w:rsidRPr="0032557F">
        <w:rPr>
          <w:rFonts w:ascii="Verdana" w:hAnsi="Verdana"/>
          <w:sz w:val="20"/>
          <w:szCs w:val="20"/>
        </w:rPr>
        <w:t xml:space="preserve">Parágrafo 1. De existir reserva legal, se aplicarán, como mínimo, los siguientes criterios: </w:t>
      </w:r>
    </w:p>
    <w:p w14:paraId="235B7590" w14:textId="77777777" w:rsidR="00315F9A" w:rsidRPr="0032557F" w:rsidRDefault="00315F9A" w:rsidP="00315F9A">
      <w:pPr>
        <w:spacing w:after="0" w:line="240" w:lineRule="auto"/>
        <w:ind w:left="709" w:right="709"/>
        <w:jc w:val="both"/>
        <w:rPr>
          <w:rFonts w:ascii="Verdana" w:hAnsi="Verdana"/>
          <w:sz w:val="20"/>
          <w:szCs w:val="20"/>
        </w:rPr>
      </w:pPr>
      <w:r w:rsidRPr="0032557F">
        <w:rPr>
          <w:rFonts w:ascii="Verdana" w:hAnsi="Verdana"/>
          <w:sz w:val="20"/>
          <w:szCs w:val="20"/>
        </w:rPr>
        <w:t>1. La reserva opera sobre el contenido del documento, no sobre la existencia de este. Estos documentos deben ser identificados de manera clara en los instrumentos de la gestión de información pública.</w:t>
      </w:r>
    </w:p>
    <w:p w14:paraId="06B9EABC" w14:textId="77777777" w:rsidR="00315F9A" w:rsidRPr="0032557F" w:rsidRDefault="00315F9A" w:rsidP="00315F9A">
      <w:pPr>
        <w:spacing w:after="0" w:line="240" w:lineRule="auto"/>
        <w:ind w:left="709" w:right="709"/>
        <w:jc w:val="both"/>
        <w:rPr>
          <w:rFonts w:ascii="Verdana" w:hAnsi="Verdana"/>
          <w:sz w:val="20"/>
          <w:szCs w:val="20"/>
        </w:rPr>
      </w:pPr>
      <w:r w:rsidRPr="0032557F">
        <w:rPr>
          <w:rFonts w:ascii="Verdana" w:hAnsi="Verdana"/>
          <w:sz w:val="20"/>
          <w:szCs w:val="20"/>
        </w:rPr>
        <w:lastRenderedPageBreak/>
        <w:t xml:space="preserve"> </w:t>
      </w:r>
    </w:p>
    <w:p w14:paraId="256EE479" w14:textId="77777777" w:rsidR="00315F9A" w:rsidRPr="0032557F" w:rsidRDefault="00315F9A" w:rsidP="00315F9A">
      <w:pPr>
        <w:spacing w:after="0" w:line="240" w:lineRule="auto"/>
        <w:ind w:left="709" w:right="709"/>
        <w:jc w:val="both"/>
        <w:rPr>
          <w:rFonts w:ascii="Verdana" w:hAnsi="Verdana"/>
          <w:sz w:val="20"/>
          <w:szCs w:val="20"/>
        </w:rPr>
      </w:pPr>
      <w:r w:rsidRPr="0032557F">
        <w:rPr>
          <w:rFonts w:ascii="Verdana" w:hAnsi="Verdana"/>
          <w:sz w:val="20"/>
          <w:szCs w:val="20"/>
        </w:rPr>
        <w:t>2. La reserva legal solo opera sobre la información que compromete derechos fundamentales o bienes constitucionales, no sobre los procesos o actuaciones de los que hace parte. Para tal efecto se realizarán versiones públicas de estos documentos, que impidan la identificación de los titulares de los datos personales, como lo ordena la normativa vigente.</w:t>
      </w:r>
    </w:p>
    <w:p w14:paraId="2A3FB5F3" w14:textId="77777777" w:rsidR="00315F9A" w:rsidRPr="0032557F" w:rsidRDefault="00315F9A" w:rsidP="00315F9A">
      <w:pPr>
        <w:spacing w:after="0" w:line="240" w:lineRule="auto"/>
        <w:ind w:left="709" w:right="709"/>
        <w:jc w:val="both"/>
        <w:rPr>
          <w:rFonts w:ascii="Verdana" w:hAnsi="Verdana"/>
          <w:sz w:val="20"/>
          <w:szCs w:val="20"/>
        </w:rPr>
      </w:pPr>
      <w:r w:rsidRPr="0032557F">
        <w:rPr>
          <w:rFonts w:ascii="Verdana" w:hAnsi="Verdana"/>
          <w:sz w:val="20"/>
          <w:szCs w:val="20"/>
        </w:rPr>
        <w:t xml:space="preserve"> </w:t>
      </w:r>
    </w:p>
    <w:p w14:paraId="6933E365" w14:textId="77777777" w:rsidR="00315F9A" w:rsidRPr="0032557F" w:rsidRDefault="00315F9A" w:rsidP="00315F9A">
      <w:pPr>
        <w:spacing w:after="0" w:line="240" w:lineRule="auto"/>
        <w:ind w:left="709" w:right="709"/>
        <w:jc w:val="both"/>
        <w:rPr>
          <w:rFonts w:ascii="Verdana" w:hAnsi="Verdana"/>
          <w:sz w:val="20"/>
          <w:szCs w:val="20"/>
        </w:rPr>
      </w:pPr>
      <w:r w:rsidRPr="0032557F">
        <w:rPr>
          <w:rFonts w:ascii="Verdana" w:hAnsi="Verdana"/>
          <w:sz w:val="20"/>
          <w:szCs w:val="20"/>
        </w:rPr>
        <w:t xml:space="preserve">3. La reserva deberá ser temporal, como lo determine la Ley. </w:t>
      </w:r>
    </w:p>
    <w:p w14:paraId="06A79BC5" w14:textId="77777777" w:rsidR="00315F9A" w:rsidRPr="00AD6B46" w:rsidRDefault="00315F9A" w:rsidP="00315F9A">
      <w:pPr>
        <w:spacing w:after="0" w:line="276" w:lineRule="auto"/>
        <w:ind w:firstLine="708"/>
        <w:jc w:val="both"/>
        <w:rPr>
          <w:rFonts w:ascii="Verdana" w:eastAsia="Calibri" w:hAnsi="Verdana" w:cs="Arial"/>
          <w:color w:val="000000"/>
        </w:rPr>
      </w:pPr>
    </w:p>
    <w:p w14:paraId="670F94A1" w14:textId="77777777" w:rsidR="00315F9A" w:rsidRPr="00AD6B46" w:rsidRDefault="00315F9A" w:rsidP="00315F9A">
      <w:pPr>
        <w:spacing w:after="120" w:line="276" w:lineRule="auto"/>
        <w:ind w:firstLine="708"/>
        <w:jc w:val="both"/>
        <w:rPr>
          <w:rFonts w:ascii="Verdana" w:eastAsia="Calibri" w:hAnsi="Verdana" w:cs="Arial"/>
          <w:color w:val="000000"/>
          <w:lang w:val="es-ES"/>
        </w:rPr>
      </w:pPr>
      <w:r w:rsidRPr="00AD6B46">
        <w:rPr>
          <w:rFonts w:ascii="Verdana" w:eastAsia="Calibri" w:hAnsi="Verdana" w:cs="Arial"/>
          <w:color w:val="000000"/>
        </w:rPr>
        <w:t>Ahora bien, para elaborar estas versiones públicas</w:t>
      </w:r>
      <w:r w:rsidRPr="00AD6B46">
        <w:rPr>
          <w:rFonts w:ascii="Verdana" w:hAnsi="Verdana"/>
          <w:sz w:val="16"/>
          <w:szCs w:val="16"/>
        </w:rPr>
        <w:t xml:space="preserve"> </w:t>
      </w:r>
      <w:r w:rsidRPr="00AD6B46">
        <w:rPr>
          <w:rFonts w:ascii="Verdana" w:eastAsia="Calibri" w:hAnsi="Verdana" w:cs="Arial"/>
          <w:color w:val="000000"/>
        </w:rPr>
        <w:t xml:space="preserve">que contengan información clasificada o reservada, la entidad debe aplicar estándares para la anonimización de datos, teniendo en cuenta la normativa vigente para la protección de datos personales y acceso a la información, como lo dispone el parágrafo segundo del artículo 7.1.3. del Acuerdo 001 del Archivo General de la Nación.  </w:t>
      </w:r>
    </w:p>
    <w:p w14:paraId="5BC5C9F1" w14:textId="77777777" w:rsidR="00315F9A" w:rsidRDefault="00315F9A" w:rsidP="00315F9A">
      <w:pPr>
        <w:spacing w:after="120" w:line="276" w:lineRule="auto"/>
        <w:ind w:firstLine="709"/>
        <w:jc w:val="both"/>
        <w:rPr>
          <w:rFonts w:ascii="Verdana" w:eastAsia="Times New Roman" w:hAnsi="Verdana" w:cs="Arial"/>
          <w:lang w:val="es-ES" w:eastAsia="es-ES"/>
        </w:rPr>
      </w:pPr>
      <w:r>
        <w:rPr>
          <w:rFonts w:ascii="Verdana" w:eastAsia="Calibri" w:hAnsi="Verdana" w:cs="Arial"/>
          <w:color w:val="000000"/>
          <w:lang w:val="es-ES_tradnl" w:eastAsia="en-GB"/>
        </w:rPr>
        <w:t xml:space="preserve">A manera de ejemplo, podrían considerarse documentos con datos sensibles, clasificados o reservados, por ejemplo confidencialidad” cedula de ciudadanía, la tarjeta profesional, si aplica, el RUT, el certificado bancario, el examen médico ocupacional, la declaración de conflicto de intereses, el certificado REDAM, </w:t>
      </w:r>
      <w:r w:rsidRPr="00D4693F">
        <w:rPr>
          <w:rFonts w:ascii="Verdana" w:eastAsia="Arial" w:hAnsi="Verdana" w:cs="Arial"/>
          <w:lang w:val="es"/>
        </w:rPr>
        <w:t>por lo que deben clasificarse y dejarse marcados en la plataforma SECOP</w:t>
      </w:r>
      <w:r>
        <w:rPr>
          <w:rFonts w:ascii="Verdana" w:eastAsia="Arial" w:hAnsi="Verdana" w:cs="Arial"/>
          <w:lang w:val="es"/>
        </w:rPr>
        <w:t xml:space="preserve"> </w:t>
      </w:r>
      <w:r w:rsidRPr="00D4693F">
        <w:rPr>
          <w:rFonts w:ascii="Verdana" w:eastAsia="Arial" w:hAnsi="Verdana" w:cs="Arial"/>
          <w:lang w:val="es"/>
        </w:rPr>
        <w:t>II como “solicitud de confidencialidad”  por el proponente y, “confidencialidad“ por la entidad, sin embargo, se deben publicar las demás piezas de la oferta o los apartados que no gozan de reserva o que no están protegidos por las disposiciones de habeas data</w:t>
      </w:r>
      <w:r w:rsidRPr="00D4693F">
        <w:rPr>
          <w:rFonts w:ascii="Verdana" w:eastAsia="Times New Roman" w:hAnsi="Verdana" w:cs="Arial"/>
          <w:lang w:val="es-ES" w:eastAsia="es-ES"/>
        </w:rPr>
        <w:t xml:space="preserve">. </w:t>
      </w:r>
    </w:p>
    <w:p w14:paraId="4DE0FA24" w14:textId="77777777" w:rsidR="00315F9A" w:rsidRDefault="00315F9A" w:rsidP="00315F9A">
      <w:pPr>
        <w:spacing w:after="120" w:line="276" w:lineRule="auto"/>
        <w:ind w:firstLine="708"/>
        <w:jc w:val="both"/>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AE91DE1" w14:textId="77777777" w:rsidR="00315F9A" w:rsidRDefault="00315F9A" w:rsidP="00315F9A">
      <w:pPr>
        <w:widowControl w:val="0"/>
        <w:autoSpaceDE w:val="0"/>
        <w:autoSpaceDN w:val="0"/>
        <w:spacing w:after="0" w:line="276" w:lineRule="auto"/>
        <w:ind w:firstLine="709"/>
        <w:jc w:val="both"/>
        <w:rPr>
          <w:rFonts w:ascii="Verdana" w:eastAsia="Calibri" w:hAnsi="Verdana" w:cs="Arial"/>
        </w:rPr>
      </w:pPr>
      <w:r>
        <w:rPr>
          <w:rFonts w:ascii="Verdana" w:eastAsia="Calibri" w:hAnsi="Verdana" w:cs="Times New Roman"/>
          <w:lang w:val="es-ES"/>
        </w:rPr>
        <w:t>Finalmente</w:t>
      </w:r>
      <w:r w:rsidRPr="00DB4737">
        <w:rPr>
          <w:rFonts w:ascii="Verdana" w:eastAsia="Calibri" w:hAnsi="Verdana" w:cs="Times New Roman"/>
          <w:lang w:val="es-ES"/>
        </w:rPr>
        <w:t>,</w:t>
      </w:r>
      <w:r>
        <w:rPr>
          <w:rFonts w:ascii="Verdana" w:eastAsia="Calibri" w:hAnsi="Verdana" w:cs="Times New Roman"/>
          <w:lang w:val="es-ES"/>
        </w:rPr>
        <w:t xml:space="preserve"> debe advertirse que</w:t>
      </w:r>
      <w:r w:rsidRPr="00DB4737">
        <w:rPr>
          <w:rFonts w:ascii="Verdana" w:eastAsia="Calibri" w:hAnsi="Verdana" w:cs="Times New Roman"/>
          <w:lang w:val="es-ES"/>
        </w:rPr>
        <w:t xml:space="preserve">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DB4737">
        <w:rPr>
          <w:rFonts w:ascii="Verdana" w:eastAsia="Calibri" w:hAnsi="Verdana" w:cs="Times New Roman"/>
          <w:lang w:val="es-ES"/>
        </w:rPr>
        <w:lastRenderedPageBreak/>
        <w:t>gestión contractual, sin que sea atribución de la Agencia Nacional de Contratación Pública – Colombia Compra Eficiente, validar sus actuaciones.</w:t>
      </w:r>
      <w:r w:rsidRPr="00BE1034">
        <w:rPr>
          <w:rFonts w:ascii="Verdana" w:eastAsia="Calibri" w:hAnsi="Verdana" w:cs="Arial"/>
        </w:rPr>
        <w:t xml:space="preserve"> </w:t>
      </w:r>
    </w:p>
    <w:p w14:paraId="6C2C22AB" w14:textId="77777777" w:rsidR="00315F9A" w:rsidRDefault="00315F9A" w:rsidP="00315F9A">
      <w:pPr>
        <w:spacing w:after="0" w:line="276" w:lineRule="auto"/>
        <w:jc w:val="both"/>
        <w:rPr>
          <w:rFonts w:ascii="Verdana" w:eastAsia="Calibri" w:hAnsi="Verdana" w:cs="Arial"/>
          <w:lang w:val="es-ES"/>
        </w:rPr>
      </w:pPr>
    </w:p>
    <w:p w14:paraId="743AE378" w14:textId="77777777" w:rsidR="00315F9A" w:rsidRPr="0060676F" w:rsidRDefault="00315F9A" w:rsidP="00315F9A">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2355B6C" w14:textId="77777777" w:rsidR="00315F9A" w:rsidRPr="00593A5F" w:rsidRDefault="00315F9A" w:rsidP="00315F9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5F9A" w:rsidRPr="00593A5F" w14:paraId="3350879C" w14:textId="77777777" w:rsidTr="00EE7194">
        <w:trPr>
          <w:trHeight w:val="870"/>
        </w:trPr>
        <w:tc>
          <w:tcPr>
            <w:tcW w:w="8647" w:type="dxa"/>
          </w:tcPr>
          <w:p w14:paraId="2400F635"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eastAsia="Calibri" w:hAnsi="Verdana" w:cs="Arial"/>
                <w:lang w:val="es-ES_tradnl"/>
              </w:rPr>
            </w:pPr>
            <w:r w:rsidRPr="00A216B9">
              <w:rPr>
                <w:rFonts w:ascii="Verdana" w:eastAsia="Calibri" w:hAnsi="Verdana" w:cs="Arial"/>
                <w:lang w:val="es-ES_tradnl"/>
              </w:rPr>
              <w:t>Constitución Política. Artículos 74 y 209.</w:t>
            </w:r>
          </w:p>
          <w:p w14:paraId="53F21D07"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hAnsi="Verdana"/>
              </w:rPr>
              <w:t xml:space="preserve">Ley 1150 de 2007. Artículo 3 literal c), artículo 13. </w:t>
            </w:r>
          </w:p>
          <w:p w14:paraId="0A508437"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eastAsia="Arial" w:hAnsi="Verdana" w:cs="Arial"/>
                <w:color w:val="000000" w:themeColor="text1"/>
              </w:rPr>
              <w:t>Ley 1266 de 2008. Artículos 3 literales g) y h).</w:t>
            </w:r>
            <w:r w:rsidRPr="00A216B9">
              <w:rPr>
                <w:rFonts w:ascii="Verdana" w:eastAsia="Calibri" w:hAnsi="Verdana" w:cs="Arial"/>
                <w:lang w:val="es-CO"/>
              </w:rPr>
              <w:t>Ley 2195 de 2022. Artículo 53.</w:t>
            </w:r>
          </w:p>
          <w:p w14:paraId="4DECF052"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eastAsia="Calibri" w:hAnsi="Verdana" w:cs="Arial"/>
                <w:lang w:val="es-MX"/>
              </w:rPr>
              <w:t>Ley 1437 de 2011 Artículos: 24 y 25.</w:t>
            </w:r>
          </w:p>
          <w:p w14:paraId="15CC586D"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eastAsia="Arial" w:hAnsi="Verdana" w:cs="Arial"/>
                <w:color w:val="000000" w:themeColor="text1"/>
              </w:rPr>
              <w:t xml:space="preserve">Ley 1581 de 2012. Artículos: 3, 5 y 7. </w:t>
            </w:r>
          </w:p>
          <w:p w14:paraId="5B6910E2"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hAnsi="Verdana"/>
              </w:rPr>
              <w:t xml:space="preserve">Ley 1712 de 2024. Artículos: 2, 3, 5, 9 literal e), 11 literal g), 18, 19, 21. </w:t>
            </w:r>
          </w:p>
          <w:p w14:paraId="68B98C49"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eastAsia="Arial" w:hAnsi="Verdana" w:cs="Arial"/>
                <w:color w:val="000000" w:themeColor="text1"/>
              </w:rPr>
              <w:t xml:space="preserve">Decreto 1377 de 2013. Artículo 3 numeral 3. </w:t>
            </w:r>
          </w:p>
          <w:p w14:paraId="3147B2B9" w14:textId="77777777" w:rsidR="00315F9A" w:rsidRPr="0032557F"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eastAsia="Arial" w:hAnsi="Verdana" w:cs="Arial"/>
                <w:color w:val="000000" w:themeColor="text1"/>
              </w:rPr>
              <w:t>Decreto 1081 de 2015. Artículo 2.1.1.4.1.2.</w:t>
            </w:r>
          </w:p>
          <w:p w14:paraId="26A033C2" w14:textId="77777777" w:rsidR="00315F9A" w:rsidRPr="0032557F" w:rsidRDefault="00315F9A" w:rsidP="00EE7194">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D6B46">
              <w:rPr>
                <w:rFonts w:ascii="Verdana" w:hAnsi="Verdana" w:cs="Arial"/>
                <w:lang w:val="es-ES_tradnl"/>
              </w:rPr>
              <w:t>Decreto 1082 de 2015</w:t>
            </w:r>
            <w:r>
              <w:rPr>
                <w:rFonts w:ascii="Verdana" w:hAnsi="Verdana" w:cs="Arial"/>
                <w:lang w:val="es-ES_tradnl"/>
              </w:rPr>
              <w:t>. A</w:t>
            </w:r>
            <w:r w:rsidRPr="00AD6B46">
              <w:rPr>
                <w:rFonts w:ascii="Verdana" w:hAnsi="Verdana" w:cs="Arial"/>
                <w:lang w:val="es-ES_tradnl"/>
              </w:rPr>
              <w:t>rtículos 2.2.1.1.1.7.1, 2.2.1.1.1.3.1., 2.2.2.1.8.3., 2.2.2.1.5.11., 2.2.2.1.12.7.</w:t>
            </w:r>
          </w:p>
          <w:p w14:paraId="6AEE5711"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hAnsi="Verdana"/>
              </w:rPr>
              <w:t>Corte Constitucional. Sentencia C- 341 del 4 de junio de 2014. M. P. Mauricio González Cuervo.</w:t>
            </w:r>
          </w:p>
          <w:p w14:paraId="548F0CDA" w14:textId="77777777" w:rsidR="00315F9A" w:rsidRPr="00A216B9" w:rsidRDefault="00315F9A" w:rsidP="00EE7194">
            <w:pPr>
              <w:pStyle w:val="Prrafodelista"/>
              <w:numPr>
                <w:ilvl w:val="0"/>
                <w:numId w:val="17"/>
              </w:numPr>
              <w:spacing w:after="120" w:line="276" w:lineRule="auto"/>
              <w:ind w:left="714" w:hanging="357"/>
              <w:contextualSpacing w:val="0"/>
              <w:jc w:val="both"/>
              <w:rPr>
                <w:rFonts w:ascii="Verdana" w:hAnsi="Verdana"/>
              </w:rPr>
            </w:pPr>
            <w:r w:rsidRPr="00A216B9">
              <w:rPr>
                <w:rFonts w:ascii="Verdana" w:hAnsi="Verdana" w:cs="Arial"/>
                <w:lang w:val="es-ES_tradnl"/>
              </w:rPr>
              <w:t xml:space="preserve">Consejo de Estado. Sección Tercera. Subsección C. Auto del 14 de agosto de 2017. </w:t>
            </w:r>
            <w:proofErr w:type="spellStart"/>
            <w:r w:rsidRPr="00A216B9">
              <w:rPr>
                <w:rFonts w:ascii="Verdana" w:hAnsi="Verdana" w:cs="Arial"/>
                <w:lang w:val="es-ES_tradnl"/>
              </w:rPr>
              <w:t>Exp</w:t>
            </w:r>
            <w:proofErr w:type="spellEnd"/>
            <w:r w:rsidRPr="00A216B9">
              <w:rPr>
                <w:rFonts w:ascii="Verdana" w:hAnsi="Verdana" w:cs="Arial"/>
                <w:lang w:val="es-ES_tradnl"/>
              </w:rPr>
              <w:t>. 58.820. C.P. Jaime Orlando Santofimio Gamboa.</w:t>
            </w:r>
          </w:p>
          <w:p w14:paraId="0EECF3C5" w14:textId="77777777" w:rsidR="00315F9A" w:rsidRPr="0032557F" w:rsidRDefault="00315F9A" w:rsidP="00EE7194">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A216B9">
              <w:rPr>
                <w:rFonts w:ascii="Verdana" w:hAnsi="Verdana"/>
              </w:rPr>
              <w:t xml:space="preserve">Circular Única Externa de la Agencia Nacional de Contratación Pública. </w:t>
            </w:r>
            <w:r w:rsidRPr="00BF13A6">
              <w:rPr>
                <w:rFonts w:ascii="Verdana" w:hAnsi="Verdana"/>
              </w:rPr>
              <w:t>https://www.colombiacompra.gov.co/wp-content/uploads/2024/08/circular_externa_unica_version_3_vf49.pdf</w:t>
            </w:r>
            <w:r>
              <w:rPr>
                <w:rFonts w:ascii="Verdana" w:hAnsi="Verdana"/>
              </w:rPr>
              <w:t xml:space="preserve">  </w:t>
            </w:r>
            <w:r w:rsidRPr="00AD6B46">
              <w:rPr>
                <w:rFonts w:ascii="Verdana" w:eastAsia="Calibri" w:hAnsi="Verdana" w:cs="Arial"/>
                <w:color w:val="000000"/>
                <w:lang w:val="es-ES"/>
              </w:rPr>
              <w:t>Acuerdo 001 de 2024 “Por el cual se establece el Acuerdo Único de la Función Archivística, se definen los criterios técnicos y jurídicos para su implementación en el Estado Colombiano y se fijan otras disposiciones”</w:t>
            </w:r>
            <w:r>
              <w:rPr>
                <w:rFonts w:ascii="Verdana" w:eastAsia="Calibri" w:hAnsi="Verdana" w:cs="Arial"/>
                <w:color w:val="000000"/>
                <w:lang w:val="es-ES"/>
              </w:rPr>
              <w:t>. A</w:t>
            </w:r>
            <w:r w:rsidRPr="00AD6B46">
              <w:rPr>
                <w:rFonts w:ascii="Verdana" w:eastAsia="Calibri" w:hAnsi="Verdana" w:cs="Arial"/>
                <w:color w:val="000000"/>
                <w:lang w:val="es-ES"/>
              </w:rPr>
              <w:t xml:space="preserve">rtículo 7.1.3. </w:t>
            </w:r>
          </w:p>
        </w:tc>
      </w:tr>
    </w:tbl>
    <w:p w14:paraId="336F4A9B" w14:textId="77777777" w:rsidR="00315F9A" w:rsidRDefault="00315F9A" w:rsidP="00315F9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F8DFB78" w14:textId="77777777" w:rsidR="00315F9A" w:rsidRDefault="00315F9A" w:rsidP="00315F9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4F4F84C" w14:textId="77777777" w:rsidR="00315F9A" w:rsidRPr="00593A5F" w:rsidRDefault="00315F9A" w:rsidP="00315F9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4E63CF3" w14:textId="77777777" w:rsidR="00315F9A" w:rsidRPr="00AE7E03" w:rsidRDefault="00315F9A" w:rsidP="00315F9A">
      <w:pPr>
        <w:widowControl w:val="0"/>
        <w:autoSpaceDE w:val="0"/>
        <w:autoSpaceDN w:val="0"/>
        <w:spacing w:after="0" w:line="276" w:lineRule="auto"/>
        <w:jc w:val="both"/>
        <w:rPr>
          <w:rFonts w:ascii="Verdana" w:eastAsia="Arial" w:hAnsi="Verdana" w:cs="Arial"/>
          <w:lang w:val="es-MX" w:eastAsia="es-ES_tradnl"/>
        </w:rPr>
      </w:pPr>
      <w:r w:rsidRPr="002C1A73">
        <w:rPr>
          <w:rFonts w:ascii="Verdana" w:hAnsi="Verdana" w:cs="Arial"/>
          <w:shd w:val="clear" w:color="auto" w:fill="FFFFFF"/>
          <w:lang w:val="es-ES"/>
        </w:rPr>
        <w:t xml:space="preserve">Sobre el acceso a la documentación pública y los límites a su publicación por contener reserva legal, esta Subdirección se ha referido en los </w:t>
      </w:r>
      <w:r w:rsidRPr="002C1A73">
        <w:rPr>
          <w:rFonts w:ascii="Verdana" w:eastAsia="Arial" w:hAnsi="Verdana" w:cs="Arial"/>
          <w:lang w:val="es-MX" w:eastAsia="es-ES_tradnl"/>
        </w:rPr>
        <w:t>conceptos</w:t>
      </w:r>
      <w:r>
        <w:rPr>
          <w:rFonts w:ascii="Verdana" w:eastAsia="Arial" w:hAnsi="Verdana" w:cs="Arial"/>
          <w:lang w:val="es-MX" w:eastAsia="es-ES_tradnl"/>
        </w:rPr>
        <w:t xml:space="preserve"> C-273 </w:t>
      </w:r>
      <w:r>
        <w:rPr>
          <w:rFonts w:ascii="Verdana" w:eastAsia="Arial" w:hAnsi="Verdana" w:cs="Arial"/>
          <w:lang w:val="es-MX" w:eastAsia="es-ES_tradnl"/>
        </w:rPr>
        <w:lastRenderedPageBreak/>
        <w:t xml:space="preserve">del 30 de abril de 2025, C-311 del 24 de abril de 2025, C- 235 del 3 de abril </w:t>
      </w:r>
      <w:r w:rsidRPr="002C1A73">
        <w:rPr>
          <w:rFonts w:ascii="Verdana" w:eastAsia="Arial" w:hAnsi="Verdana" w:cs="Arial"/>
          <w:lang w:val="es-MX" w:eastAsia="es-ES_tradnl"/>
        </w:rPr>
        <w:t>de 2025, C- 373 del 3 de septiembre de 2024</w:t>
      </w:r>
      <w:r>
        <w:rPr>
          <w:rFonts w:ascii="Verdana" w:eastAsia="Arial" w:hAnsi="Verdana" w:cs="Arial"/>
          <w:lang w:val="es-MX" w:eastAsia="es-ES_tradnl"/>
        </w:rPr>
        <w:t>,</w:t>
      </w:r>
      <w:r w:rsidRPr="002C1A73">
        <w:rPr>
          <w:rFonts w:ascii="Verdana" w:eastAsia="Arial" w:hAnsi="Verdana" w:cs="Arial"/>
          <w:lang w:val="es-MX" w:eastAsia="es-ES_tradnl"/>
        </w:rPr>
        <w:t xml:space="preserve"> C-327 del 18 de septiembre de 2023</w:t>
      </w:r>
      <w:r>
        <w:rPr>
          <w:rFonts w:ascii="Verdana" w:eastAsia="Arial" w:hAnsi="Verdana" w:cs="Arial"/>
          <w:lang w:val="es-MX" w:eastAsia="es-ES_tradnl"/>
        </w:rPr>
        <w:t xml:space="preserve">, C-649 del 9 de septiembre de 2022, </w:t>
      </w:r>
      <w:r w:rsidRPr="002C1A73">
        <w:rPr>
          <w:rFonts w:ascii="Verdana" w:eastAsia="Aptos" w:hAnsi="Verdana" w:cs="Segoe UI"/>
          <w:kern w:val="2"/>
          <w14:ligatures w14:val="standardContextual"/>
        </w:rPr>
        <w:t>C-135 del 28 de marzo de 2022</w:t>
      </w:r>
      <w:r>
        <w:rPr>
          <w:rFonts w:ascii="Verdana" w:eastAsia="Aptos" w:hAnsi="Verdana" w:cs="Segoe UI"/>
          <w:kern w:val="2"/>
          <w14:ligatures w14:val="standardContextual"/>
        </w:rPr>
        <w:t>, C-468 del 19 de mayo de 2025, entre otros</w:t>
      </w:r>
      <w:r>
        <w:rPr>
          <w:rFonts w:ascii="Verdana" w:eastAsia="Calibri" w:hAnsi="Verdana" w:cs="Times New Roman"/>
        </w:rPr>
        <w:t xml:space="preserve">. 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FBCF8BD" w14:textId="77777777" w:rsidR="00315F9A" w:rsidRPr="0065720B" w:rsidRDefault="00315F9A" w:rsidP="00315F9A">
      <w:pPr>
        <w:widowControl w:val="0"/>
        <w:autoSpaceDE w:val="0"/>
        <w:autoSpaceDN w:val="0"/>
        <w:spacing w:after="0" w:line="276" w:lineRule="auto"/>
        <w:jc w:val="both"/>
        <w:rPr>
          <w:rStyle w:val="normaltextrun"/>
          <w:rFonts w:ascii="Verdana" w:eastAsia="Calibri" w:hAnsi="Verdana" w:cs="Arial"/>
          <w:lang w:val="es-ES_tradnl" w:eastAsia="en-GB"/>
        </w:rPr>
      </w:pPr>
      <w:hyperlink r:id="rId15"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6F9F48EB" w14:textId="77777777" w:rsidR="00315F9A" w:rsidRDefault="00315F9A" w:rsidP="00315F9A">
      <w:pPr>
        <w:widowControl w:val="0"/>
        <w:autoSpaceDE w:val="0"/>
        <w:autoSpaceDN w:val="0"/>
        <w:spacing w:after="0" w:line="276" w:lineRule="auto"/>
        <w:jc w:val="both"/>
      </w:pPr>
    </w:p>
    <w:p w14:paraId="4CBD4C8B" w14:textId="77777777" w:rsidR="00315F9A" w:rsidRPr="00144EB3" w:rsidRDefault="00315F9A" w:rsidP="00315F9A">
      <w:pPr>
        <w:spacing w:after="0" w:line="276"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6" w:tgtFrame="_new" w:history="1">
        <w:r w:rsidRPr="00144EB3">
          <w:rPr>
            <w:rFonts w:ascii="Verdana" w:eastAsia="Calibri" w:hAnsi="Verdana" w:cs="Arial"/>
            <w:color w:val="0000FF"/>
            <w:u w:val="single"/>
          </w:rPr>
          <w:t>https://formacionvirtual.colombiacompra.gov.co/mod/page/view.php?id=3718</w:t>
        </w:r>
      </w:hyperlink>
    </w:p>
    <w:p w14:paraId="152E3D00" w14:textId="77777777" w:rsidR="00315F9A" w:rsidRDefault="00315F9A" w:rsidP="00315F9A">
      <w:pPr>
        <w:spacing w:after="0" w:line="276" w:lineRule="auto"/>
        <w:jc w:val="both"/>
        <w:rPr>
          <w:rFonts w:ascii="Verdana" w:eastAsia="Calibri" w:hAnsi="Verdana" w:cs="Arial"/>
        </w:rPr>
      </w:pPr>
    </w:p>
    <w:p w14:paraId="29E6EDF0" w14:textId="77777777" w:rsidR="00315F9A" w:rsidRPr="00144EB3" w:rsidRDefault="00315F9A" w:rsidP="00315F9A">
      <w:pPr>
        <w:spacing w:after="0" w:line="276"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144EB3">
          <w:rPr>
            <w:rFonts w:ascii="Verdana" w:eastAsia="Calibri" w:hAnsi="Verdana" w:cs="Arial"/>
            <w:color w:val="0000FF"/>
            <w:u w:val="single"/>
          </w:rPr>
          <w:t>https://www.colombiacompra.gov.co/normativa-y-relatoria/documentos-tipo</w:t>
        </w:r>
      </w:hyperlink>
    </w:p>
    <w:p w14:paraId="1B42C7DD" w14:textId="77777777" w:rsidR="00315F9A" w:rsidRPr="00144EB3" w:rsidRDefault="00315F9A" w:rsidP="00315F9A">
      <w:pPr>
        <w:spacing w:after="0" w:line="276" w:lineRule="auto"/>
        <w:jc w:val="both"/>
        <w:rPr>
          <w:rFonts w:ascii="Verdana" w:eastAsia="Calibri" w:hAnsi="Verdana" w:cs="Arial"/>
        </w:rPr>
      </w:pPr>
    </w:p>
    <w:p w14:paraId="6BFA1B2F" w14:textId="77777777" w:rsidR="00315F9A" w:rsidRPr="00144EB3" w:rsidRDefault="00315F9A" w:rsidP="00315F9A">
      <w:pPr>
        <w:spacing w:after="0" w:line="276"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w:t>
      </w:r>
      <w:r w:rsidRPr="00144EB3">
        <w:rPr>
          <w:rFonts w:ascii="Verdana" w:eastAsia="Calibri" w:hAnsi="Verdana" w:cs="Arial"/>
        </w:rPr>
        <w:lastRenderedPageBreak/>
        <w:t>implementación de los criterios ambientales y sociales incluidos en los documentos tipo: Consulta la guía aquí:</w:t>
      </w:r>
      <w:r w:rsidRPr="00144EB3">
        <w:rPr>
          <w:rFonts w:ascii="Verdana" w:eastAsia="Calibri" w:hAnsi="Verdana" w:cs="Arial"/>
        </w:rPr>
        <w:br/>
      </w:r>
      <w:hyperlink r:id="rId18"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74F1D93A" w14:textId="77777777" w:rsidR="00315F9A" w:rsidRPr="00144EB3" w:rsidRDefault="00315F9A" w:rsidP="00315F9A">
      <w:pPr>
        <w:spacing w:after="0" w:line="276"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7D276959" w14:textId="77777777" w:rsidR="00315F9A" w:rsidRPr="00144EB3" w:rsidRDefault="00315F9A" w:rsidP="00315F9A">
      <w:pPr>
        <w:spacing w:after="0" w:line="276" w:lineRule="auto"/>
        <w:jc w:val="both"/>
        <w:rPr>
          <w:rFonts w:ascii="Verdana" w:eastAsia="Calibri" w:hAnsi="Verdana" w:cs="Arial"/>
          <w:shd w:val="clear" w:color="auto" w:fill="FFFFFF"/>
        </w:rPr>
      </w:pPr>
    </w:p>
    <w:p w14:paraId="6C016F18" w14:textId="77777777" w:rsidR="00315F9A" w:rsidRPr="00144EB3" w:rsidRDefault="00315F9A" w:rsidP="00315F9A">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0E0FDDFD" w14:textId="77777777" w:rsidR="00315F9A" w:rsidRPr="00144EB3" w:rsidRDefault="00315F9A" w:rsidP="00315F9A">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11C3E68A" w14:textId="77777777" w:rsidR="00315F9A" w:rsidRPr="00144EB3" w:rsidRDefault="00315F9A" w:rsidP="00315F9A">
      <w:pPr>
        <w:spacing w:after="0" w:line="276"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236FF561" w14:textId="77777777" w:rsidR="00315F9A" w:rsidRPr="00144EB3" w:rsidRDefault="00315F9A" w:rsidP="00315F9A">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19255B63" w14:textId="77777777" w:rsidR="00315F9A" w:rsidRPr="00144EB3" w:rsidRDefault="00315F9A" w:rsidP="00315F9A">
      <w:pPr>
        <w:widowControl w:val="0"/>
        <w:autoSpaceDE w:val="0"/>
        <w:autoSpaceDN w:val="0"/>
        <w:spacing w:after="0" w:line="276" w:lineRule="auto"/>
        <w:jc w:val="both"/>
        <w:rPr>
          <w:rFonts w:ascii="Verdana" w:eastAsia="Calibri" w:hAnsi="Verdana" w:cs="Arial"/>
          <w:lang w:val="es-ES"/>
        </w:rPr>
      </w:pPr>
    </w:p>
    <w:p w14:paraId="492FB3F0" w14:textId="77777777" w:rsidR="00315F9A" w:rsidRPr="00144EB3" w:rsidRDefault="00315F9A" w:rsidP="00315F9A">
      <w:pPr>
        <w:widowControl w:val="0"/>
        <w:autoSpaceDE w:val="0"/>
        <w:autoSpaceDN w:val="0"/>
        <w:spacing w:after="0" w:line="276"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616E943" w14:textId="77777777" w:rsidR="00315F9A" w:rsidRPr="00144EB3" w:rsidRDefault="00315F9A" w:rsidP="00315F9A">
      <w:pPr>
        <w:spacing w:after="0" w:line="276" w:lineRule="auto"/>
        <w:jc w:val="both"/>
        <w:rPr>
          <w:rFonts w:ascii="Verdana" w:eastAsia="Verdana" w:hAnsi="Verdana" w:cs="Verdana"/>
        </w:rPr>
      </w:pPr>
    </w:p>
    <w:p w14:paraId="77FF7877" w14:textId="77777777" w:rsidR="00315F9A" w:rsidRPr="00144EB3" w:rsidRDefault="00315F9A" w:rsidP="00315F9A">
      <w:pPr>
        <w:spacing w:after="0" w:line="276"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9"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65B9FA72" w14:textId="77777777" w:rsidR="00315F9A" w:rsidRPr="00505CD6" w:rsidRDefault="00315F9A" w:rsidP="00315F9A">
      <w:pPr>
        <w:widowControl w:val="0"/>
        <w:autoSpaceDE w:val="0"/>
        <w:autoSpaceDN w:val="0"/>
        <w:spacing w:after="0" w:line="276" w:lineRule="auto"/>
        <w:jc w:val="both"/>
        <w:rPr>
          <w:rFonts w:ascii="Verdana" w:hAnsi="Verdana" w:cs="Arial"/>
        </w:rPr>
      </w:pPr>
    </w:p>
    <w:p w14:paraId="2AC9DC27" w14:textId="77777777" w:rsidR="00315F9A" w:rsidRPr="0032557F" w:rsidRDefault="00315F9A" w:rsidP="00315F9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bookmarkEnd w:id="1"/>
    <w:bookmarkEnd w:id="3"/>
    <w:p w14:paraId="3FB042AA" w14:textId="77777777" w:rsidR="00315F9A" w:rsidRDefault="00315F9A" w:rsidP="00315F9A">
      <w:pPr>
        <w:spacing w:after="120" w:line="276" w:lineRule="auto"/>
        <w:contextualSpacing/>
        <w:jc w:val="both"/>
        <w:rPr>
          <w:rFonts w:ascii="Verdana" w:eastAsia="Aptos" w:hAnsi="Verdana" w:cs="Arial"/>
          <w:shd w:val="clear" w:color="auto" w:fill="FFFFFF"/>
          <w:lang w:val="es-ES"/>
        </w:rPr>
      </w:pPr>
    </w:p>
    <w:p w14:paraId="517C3F18" w14:textId="34E17238" w:rsidR="00315F9A" w:rsidRPr="00197823" w:rsidRDefault="00197823" w:rsidP="00197823">
      <w:pPr>
        <w:spacing w:after="120" w:line="276" w:lineRule="auto"/>
        <w:contextualSpacing/>
        <w:jc w:val="center"/>
        <w:rPr>
          <w:rFonts w:ascii="Verdana" w:eastAsia="Aptos" w:hAnsi="Verdana" w:cs="Arial"/>
          <w:shd w:val="clear" w:color="auto" w:fill="FFFFFF"/>
          <w:lang w:val="es-ES"/>
        </w:rPr>
      </w:pPr>
      <w:r w:rsidRPr="0047203D">
        <w:rPr>
          <w:rFonts w:ascii="Verdana" w:hAnsi="Verdana"/>
          <w:noProof/>
        </w:rPr>
        <w:drawing>
          <wp:inline distT="0" distB="0" distL="0" distR="0" wp14:anchorId="6F369E2D" wp14:editId="1D5F1411">
            <wp:extent cx="3771900" cy="1403350"/>
            <wp:effectExtent l="0" t="0" r="0" b="6350"/>
            <wp:docPr id="18268738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335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5F9A" w:rsidRPr="008278B1" w14:paraId="5E20A10D" w14:textId="77777777" w:rsidTr="00EE7194">
        <w:trPr>
          <w:trHeight w:val="315"/>
        </w:trPr>
        <w:tc>
          <w:tcPr>
            <w:tcW w:w="893" w:type="dxa"/>
            <w:vAlign w:val="center"/>
            <w:hideMark/>
          </w:tcPr>
          <w:p w14:paraId="268D61FF" w14:textId="77777777" w:rsidR="00315F9A" w:rsidRPr="008278B1" w:rsidRDefault="00315F9A" w:rsidP="00EE7194">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8F54B28" w14:textId="77777777" w:rsidR="00315F9A" w:rsidRPr="00860461" w:rsidRDefault="00315F9A" w:rsidP="00EE7194">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1550F701" w14:textId="77777777" w:rsidR="00315F9A" w:rsidRPr="00860461" w:rsidRDefault="00315F9A" w:rsidP="00EE7194">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315F9A" w:rsidRPr="00F84F36" w14:paraId="7B99745E" w14:textId="77777777" w:rsidTr="00EE7194">
        <w:trPr>
          <w:trHeight w:val="330"/>
        </w:trPr>
        <w:tc>
          <w:tcPr>
            <w:tcW w:w="893" w:type="dxa"/>
            <w:vAlign w:val="center"/>
            <w:hideMark/>
          </w:tcPr>
          <w:p w14:paraId="24CF58B3" w14:textId="77777777" w:rsidR="00315F9A" w:rsidRPr="0025661F" w:rsidRDefault="00315F9A" w:rsidP="00EE7194">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8A90DC" w14:textId="0EDF1624" w:rsidR="00315F9A" w:rsidRPr="00D62D2E" w:rsidRDefault="00315F9A" w:rsidP="00EE7194">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Juan David Cárdenas Cabeza</w:t>
            </w:r>
          </w:p>
          <w:p w14:paraId="7BE42CD9" w14:textId="77777777" w:rsidR="00315F9A" w:rsidRPr="0025661F" w:rsidRDefault="00315F9A" w:rsidP="00EE7194">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315F9A" w:rsidRPr="00F84F36" w14:paraId="5DE222FB" w14:textId="77777777" w:rsidTr="00EE7194">
        <w:trPr>
          <w:trHeight w:val="300"/>
        </w:trPr>
        <w:tc>
          <w:tcPr>
            <w:tcW w:w="893" w:type="dxa"/>
            <w:vAlign w:val="center"/>
          </w:tcPr>
          <w:p w14:paraId="49123DF2" w14:textId="77777777" w:rsidR="00315F9A" w:rsidRPr="008278B1" w:rsidRDefault="00315F9A" w:rsidP="00EE7194">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DF5A3C" w14:textId="77777777" w:rsidR="00315F9A" w:rsidRPr="008278B1" w:rsidRDefault="00315F9A" w:rsidP="00EE7194">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22958A2A" w14:textId="77777777" w:rsidR="00315F9A" w:rsidRPr="008278B1" w:rsidRDefault="00315F9A" w:rsidP="00EE7194">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13DC4D37" w14:textId="77777777" w:rsidR="00315F9A" w:rsidRPr="0015699B" w:rsidRDefault="00315F9A" w:rsidP="00315F9A">
      <w:pPr>
        <w:spacing w:after="0"/>
        <w:rPr>
          <w:rFonts w:ascii="Verdana" w:eastAsia="Verdana" w:hAnsi="Verdana" w:cs="Verdana"/>
          <w:lang w:eastAsia="es-CO"/>
        </w:rPr>
      </w:pPr>
    </w:p>
    <w:sectPr w:rsidR="00315F9A" w:rsidRPr="0015699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75B7" w14:textId="77777777" w:rsidR="00771552" w:rsidRDefault="00771552" w:rsidP="004A1847">
      <w:pPr>
        <w:spacing w:after="0" w:line="240" w:lineRule="auto"/>
      </w:pPr>
      <w:r>
        <w:separator/>
      </w:r>
    </w:p>
  </w:endnote>
  <w:endnote w:type="continuationSeparator" w:id="0">
    <w:p w14:paraId="20759725" w14:textId="77777777" w:rsidR="00771552" w:rsidRDefault="0077155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18A5" w14:textId="77777777" w:rsidR="00771552" w:rsidRDefault="00771552" w:rsidP="004A1847">
      <w:pPr>
        <w:spacing w:after="0" w:line="240" w:lineRule="auto"/>
      </w:pPr>
      <w:r>
        <w:separator/>
      </w:r>
    </w:p>
  </w:footnote>
  <w:footnote w:type="continuationSeparator" w:id="0">
    <w:p w14:paraId="46D69FA1" w14:textId="77777777" w:rsidR="00771552" w:rsidRDefault="00771552" w:rsidP="004A1847">
      <w:pPr>
        <w:spacing w:after="0" w:line="240" w:lineRule="auto"/>
      </w:pPr>
      <w:r>
        <w:continuationSeparator/>
      </w:r>
    </w:p>
  </w:footnote>
  <w:footnote w:id="1">
    <w:p w14:paraId="52F9305C" w14:textId="77777777" w:rsidR="00315F9A" w:rsidRPr="0032557F" w:rsidRDefault="00315F9A" w:rsidP="00315F9A">
      <w:pPr>
        <w:pStyle w:val="Textonotapie"/>
        <w:ind w:firstLine="709"/>
        <w:contextualSpacing/>
        <w:jc w:val="both"/>
        <w:rPr>
          <w:rFonts w:ascii="Verdana" w:hAnsi="Verdana"/>
          <w:sz w:val="16"/>
          <w:szCs w:val="16"/>
          <w:lang w:val="es-CO"/>
        </w:rPr>
      </w:pPr>
      <w:r w:rsidRPr="0032557F">
        <w:rPr>
          <w:rStyle w:val="Refdenotaalpie"/>
          <w:rFonts w:ascii="Verdana" w:hAnsi="Verdana"/>
          <w:sz w:val="16"/>
          <w:szCs w:val="16"/>
        </w:rPr>
        <w:footnoteRef/>
      </w:r>
      <w:r w:rsidRPr="0032557F">
        <w:rPr>
          <w:rFonts w:ascii="Verdana" w:hAnsi="Verdana"/>
          <w:sz w:val="16"/>
          <w:szCs w:val="16"/>
        </w:rPr>
        <w:t xml:space="preserve"> </w:t>
      </w:r>
      <w:r w:rsidRPr="0032557F">
        <w:rPr>
          <w:rFonts w:ascii="Verdana" w:hAnsi="Verdana" w:cs="Arial"/>
          <w:sz w:val="16"/>
          <w:szCs w:val="16"/>
        </w:rPr>
        <w:t xml:space="preserve">Para la Corte Constitucional, el principio de publicidad es la garantía que tienen las personas de conocer las actuaciones judiciales y administrativas y con base en ese conocimiento tener la posibilidad de exigir que se surtan conforme a la ley: «El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y, a través de ese conocimiento, a exigir que ellas se surtan conforme a la ley». </w:t>
      </w:r>
      <w:bookmarkStart w:id="6" w:name="_Hlk202777591"/>
      <w:r w:rsidRPr="0032557F">
        <w:rPr>
          <w:rFonts w:ascii="Verdana" w:hAnsi="Verdana" w:cs="Arial"/>
          <w:sz w:val="16"/>
          <w:szCs w:val="16"/>
        </w:rPr>
        <w:t>Corte Constitucional. Sentencia C- 341 del 4 de junio de 2014. M. P. Mauricio González Cuervo.</w:t>
      </w:r>
    </w:p>
    <w:bookmarkEnd w:id="6"/>
  </w:footnote>
  <w:footnote w:id="2">
    <w:p w14:paraId="3CC11DFA" w14:textId="77777777" w:rsidR="00315F9A" w:rsidRPr="0032557F" w:rsidRDefault="00315F9A" w:rsidP="00315F9A">
      <w:pPr>
        <w:pStyle w:val="Textonotapie"/>
        <w:ind w:firstLine="709"/>
        <w:contextualSpacing/>
        <w:jc w:val="both"/>
        <w:rPr>
          <w:rFonts w:ascii="Verdana" w:hAnsi="Verdana"/>
          <w:sz w:val="16"/>
          <w:szCs w:val="16"/>
          <w:lang w:val="es-ES"/>
        </w:rPr>
      </w:pPr>
      <w:r w:rsidRPr="0032557F">
        <w:rPr>
          <w:rStyle w:val="Refdenotaalpie"/>
          <w:rFonts w:ascii="Verdana" w:hAnsi="Verdana"/>
          <w:sz w:val="16"/>
          <w:szCs w:val="16"/>
        </w:rPr>
        <w:footnoteRef/>
      </w:r>
      <w:r w:rsidRPr="0032557F">
        <w:rPr>
          <w:rFonts w:ascii="Verdana" w:hAnsi="Verdana"/>
          <w:sz w:val="16"/>
          <w:szCs w:val="16"/>
        </w:rPr>
        <w:t xml:space="preserve"> Por medio de la cual se crea la Ley de Transparencia y del Derecho de Acceso a la Información Pública Nacional y se dictan otras disposiciones.</w:t>
      </w:r>
    </w:p>
  </w:footnote>
  <w:footnote w:id="3">
    <w:p w14:paraId="57A7D084" w14:textId="77777777" w:rsidR="00315F9A" w:rsidRPr="0032557F" w:rsidRDefault="00315F9A" w:rsidP="00315F9A">
      <w:pPr>
        <w:pStyle w:val="Textonotapie"/>
        <w:ind w:firstLine="709"/>
        <w:contextualSpacing/>
        <w:jc w:val="both"/>
        <w:rPr>
          <w:rFonts w:ascii="Verdana" w:hAnsi="Verdana"/>
          <w:sz w:val="16"/>
          <w:szCs w:val="16"/>
        </w:rPr>
      </w:pPr>
      <w:r w:rsidRPr="0032557F">
        <w:rPr>
          <w:rStyle w:val="Refdenotaalpie"/>
          <w:rFonts w:ascii="Verdana" w:hAnsi="Verdana"/>
          <w:sz w:val="16"/>
          <w:szCs w:val="16"/>
        </w:rPr>
        <w:footnoteRef/>
      </w:r>
      <w:r w:rsidRPr="0032557F">
        <w:rPr>
          <w:rFonts w:ascii="Verdana" w:hAnsi="Verdana"/>
          <w:sz w:val="16"/>
          <w:szCs w:val="16"/>
        </w:rPr>
        <w:t xml:space="preserve"> </w:t>
      </w:r>
      <w:r w:rsidRPr="0032557F">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footnote>
  <w:footnote w:id="4">
    <w:p w14:paraId="5BF749D8" w14:textId="77777777" w:rsidR="00315F9A" w:rsidRPr="0032557F" w:rsidRDefault="00315F9A" w:rsidP="00315F9A">
      <w:pPr>
        <w:pStyle w:val="Textonotapie"/>
        <w:ind w:firstLine="707"/>
        <w:contextualSpacing/>
        <w:jc w:val="both"/>
        <w:rPr>
          <w:rFonts w:ascii="Verdana" w:hAnsi="Verdana" w:cs="Arial"/>
          <w:sz w:val="16"/>
          <w:szCs w:val="16"/>
          <w:lang w:val="es-CO"/>
        </w:rPr>
      </w:pPr>
      <w:r w:rsidRPr="0032557F">
        <w:rPr>
          <w:rStyle w:val="Refdenotaalpie"/>
          <w:rFonts w:ascii="Verdana" w:hAnsi="Verdana" w:cs="Arial"/>
          <w:sz w:val="16"/>
          <w:szCs w:val="16"/>
        </w:rPr>
        <w:footnoteRef/>
      </w:r>
      <w:r w:rsidRPr="0032557F">
        <w:rPr>
          <w:rFonts w:ascii="Verdana" w:hAnsi="Verdana" w:cs="Arial"/>
          <w:sz w:val="16"/>
          <w:szCs w:val="16"/>
          <w:vertAlign w:val="superscript"/>
        </w:rPr>
        <w:t xml:space="preserve"> </w:t>
      </w:r>
      <w:r w:rsidRPr="0032557F">
        <w:rPr>
          <w:rFonts w:ascii="Verdana" w:hAnsi="Verdana" w:cs="Arial"/>
          <w:sz w:val="16"/>
          <w:szCs w:val="16"/>
        </w:rPr>
        <w:t xml:space="preserve">Ley 1712 de 2014: “Artículo 3. </w:t>
      </w:r>
      <w:bookmarkStart w:id="7" w:name="3"/>
      <w:r w:rsidRPr="0032557F">
        <w:rPr>
          <w:rFonts w:ascii="Verdana" w:hAnsi="Verdana" w:cs="Arial"/>
          <w:sz w:val="16"/>
          <w:szCs w:val="16"/>
          <w:lang w:val="es-CO"/>
        </w:rPr>
        <w:t>Otros principios de la transparencia y acceso a la información pública.</w:t>
      </w:r>
      <w:bookmarkEnd w:id="7"/>
      <w:r w:rsidRPr="0032557F">
        <w:rPr>
          <w:rFonts w:ascii="Verdana" w:hAnsi="Verdana" w:cs="Arial"/>
          <w:sz w:val="16"/>
          <w:szCs w:val="16"/>
          <w:lang w:val="es-CO"/>
        </w:rPr>
        <w:t> </w:t>
      </w:r>
    </w:p>
    <w:p w14:paraId="38D8C0E8" w14:textId="77777777" w:rsidR="00315F9A" w:rsidRPr="0032557F" w:rsidRDefault="00315F9A" w:rsidP="00315F9A">
      <w:pPr>
        <w:pStyle w:val="Textonotapie"/>
        <w:ind w:firstLine="707"/>
        <w:contextualSpacing/>
        <w:jc w:val="both"/>
        <w:rPr>
          <w:rFonts w:ascii="Verdana" w:hAnsi="Verdana" w:cs="Arial"/>
          <w:sz w:val="16"/>
          <w:szCs w:val="16"/>
          <w:lang w:val="es-CO"/>
        </w:rPr>
      </w:pPr>
      <w:r w:rsidRPr="0032557F">
        <w:rPr>
          <w:rFonts w:ascii="Verdana" w:hAnsi="Verdana" w:cs="Arial"/>
          <w:sz w:val="16"/>
          <w:szCs w:val="16"/>
          <w:lang w:val="es-CO"/>
        </w:rPr>
        <w:t>[…]</w:t>
      </w:r>
    </w:p>
    <w:p w14:paraId="6E6D4B29" w14:textId="77777777" w:rsidR="00315F9A" w:rsidRPr="0032557F" w:rsidRDefault="00315F9A" w:rsidP="00315F9A">
      <w:pPr>
        <w:pStyle w:val="Textonotapie"/>
        <w:ind w:firstLine="707"/>
        <w:contextualSpacing/>
        <w:jc w:val="both"/>
        <w:rPr>
          <w:rFonts w:ascii="Verdana" w:hAnsi="Verdana" w:cs="Arial"/>
          <w:sz w:val="16"/>
          <w:szCs w:val="16"/>
          <w:lang w:val="es-CO"/>
        </w:rPr>
      </w:pPr>
      <w:r w:rsidRPr="0032557F">
        <w:rPr>
          <w:rStyle w:val="baj"/>
          <w:rFonts w:ascii="Verdana" w:hAnsi="Verdana" w:cs="Arial"/>
          <w:sz w:val="16"/>
          <w:szCs w:val="16"/>
        </w:rPr>
        <w:t>Principio de transparencia</w:t>
      </w:r>
      <w:r w:rsidRPr="0032557F">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footnote>
  <w:footnote w:id="5">
    <w:p w14:paraId="71E95DA6" w14:textId="77777777" w:rsidR="00315F9A" w:rsidRPr="0032557F" w:rsidRDefault="00315F9A" w:rsidP="00315F9A">
      <w:pPr>
        <w:pStyle w:val="Textonotapie"/>
        <w:ind w:firstLine="707"/>
        <w:contextualSpacing/>
        <w:jc w:val="both"/>
        <w:rPr>
          <w:rFonts w:ascii="Verdana" w:hAnsi="Verdana" w:cs="Arial"/>
          <w:sz w:val="16"/>
          <w:szCs w:val="16"/>
          <w:lang w:val="es-CO"/>
        </w:rPr>
      </w:pPr>
      <w:r w:rsidRPr="0032557F">
        <w:rPr>
          <w:rStyle w:val="Refdenotaalpie"/>
          <w:rFonts w:ascii="Verdana" w:hAnsi="Verdana" w:cs="Arial"/>
          <w:sz w:val="16"/>
          <w:szCs w:val="16"/>
        </w:rPr>
        <w:footnoteRef/>
      </w:r>
      <w:r w:rsidRPr="0032557F">
        <w:rPr>
          <w:rFonts w:ascii="Verdana" w:hAnsi="Verdana" w:cs="Arial"/>
          <w:sz w:val="16"/>
          <w:szCs w:val="16"/>
          <w:vertAlign w:val="superscript"/>
        </w:rPr>
        <w:t xml:space="preserve"> </w:t>
      </w:r>
      <w:r w:rsidRPr="0032557F">
        <w:rPr>
          <w:rFonts w:ascii="Verdana" w:hAnsi="Verdana" w:cs="Arial"/>
          <w:sz w:val="16"/>
          <w:szCs w:val="16"/>
        </w:rPr>
        <w:t xml:space="preserve">Ley 1712 de 2014: “Artículo 3. </w:t>
      </w:r>
      <w:r w:rsidRPr="0032557F">
        <w:rPr>
          <w:rFonts w:ascii="Verdana" w:hAnsi="Verdana" w:cs="Arial"/>
          <w:sz w:val="16"/>
          <w:szCs w:val="16"/>
          <w:lang w:val="es-CO"/>
        </w:rPr>
        <w:t>Otros principios de la transparencia y acceso a la información pública. </w:t>
      </w:r>
    </w:p>
    <w:p w14:paraId="20BAAFF4" w14:textId="77777777" w:rsidR="00315F9A" w:rsidRPr="0032557F" w:rsidRDefault="00315F9A" w:rsidP="00315F9A">
      <w:pPr>
        <w:pStyle w:val="Textonotapie"/>
        <w:ind w:firstLine="707"/>
        <w:contextualSpacing/>
        <w:jc w:val="both"/>
        <w:rPr>
          <w:rFonts w:ascii="Verdana" w:hAnsi="Verdana" w:cs="Arial"/>
          <w:sz w:val="16"/>
          <w:szCs w:val="16"/>
          <w:lang w:val="es-ES"/>
        </w:rPr>
      </w:pPr>
      <w:r w:rsidRPr="0032557F">
        <w:rPr>
          <w:rFonts w:ascii="Verdana" w:hAnsi="Verdana" w:cs="Arial"/>
          <w:sz w:val="16"/>
          <w:szCs w:val="16"/>
          <w:lang w:val="es-ES"/>
        </w:rPr>
        <w:t>[…]</w:t>
      </w:r>
    </w:p>
    <w:p w14:paraId="34FCE6DA" w14:textId="77777777" w:rsidR="00315F9A" w:rsidRPr="0032557F" w:rsidRDefault="00315F9A" w:rsidP="00315F9A">
      <w:pPr>
        <w:pStyle w:val="Textonotapie"/>
        <w:ind w:firstLine="707"/>
        <w:contextualSpacing/>
        <w:jc w:val="both"/>
        <w:rPr>
          <w:rFonts w:ascii="Verdana" w:hAnsi="Verdana" w:cs="Arial"/>
          <w:sz w:val="16"/>
          <w:szCs w:val="16"/>
          <w:lang w:val="es-ES"/>
        </w:rPr>
      </w:pPr>
      <w:r w:rsidRPr="0032557F">
        <w:rPr>
          <w:rStyle w:val="baj"/>
          <w:rFonts w:ascii="Verdana" w:hAnsi="Verdana" w:cs="Arial"/>
          <w:sz w:val="16"/>
          <w:szCs w:val="16"/>
        </w:rPr>
        <w:t>Principio de buena fe</w:t>
      </w:r>
      <w:r w:rsidRPr="0032557F">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6">
    <w:p w14:paraId="65311069" w14:textId="77777777" w:rsidR="00315F9A" w:rsidRPr="0032557F" w:rsidRDefault="00315F9A" w:rsidP="00315F9A">
      <w:pPr>
        <w:pStyle w:val="Textonotapie"/>
        <w:ind w:firstLine="707"/>
        <w:contextualSpacing/>
        <w:jc w:val="both"/>
        <w:rPr>
          <w:rFonts w:ascii="Verdana" w:hAnsi="Verdana" w:cs="Arial"/>
          <w:sz w:val="16"/>
          <w:szCs w:val="16"/>
          <w:shd w:val="clear" w:color="auto" w:fill="FFFFFF"/>
        </w:rPr>
      </w:pPr>
      <w:r w:rsidRPr="0032557F">
        <w:rPr>
          <w:rStyle w:val="Refdenotaalpie"/>
          <w:rFonts w:ascii="Verdana" w:hAnsi="Verdana" w:cs="Arial"/>
          <w:sz w:val="16"/>
          <w:szCs w:val="16"/>
        </w:rPr>
        <w:footnoteRef/>
      </w:r>
      <w:r w:rsidRPr="0032557F">
        <w:rPr>
          <w:rFonts w:ascii="Verdana" w:hAnsi="Verdana" w:cs="Arial"/>
          <w:sz w:val="16"/>
          <w:szCs w:val="16"/>
        </w:rPr>
        <w:t xml:space="preserve"> Ley 1712 de 2014: “Artículo 9. </w:t>
      </w:r>
      <w:r w:rsidRPr="0032557F">
        <w:rPr>
          <w:rFonts w:ascii="Verdana" w:hAnsi="Verdana" w:cs="Arial"/>
          <w:sz w:val="16"/>
          <w:szCs w:val="16"/>
          <w:shd w:val="clear" w:color="auto" w:fill="FFFFFF"/>
        </w:rPr>
        <w:t> </w:t>
      </w:r>
      <w:r w:rsidRPr="0032557F">
        <w:rPr>
          <w:rStyle w:val="nfasis"/>
          <w:rFonts w:ascii="Verdana" w:hAnsi="Verdana" w:cs="Arial"/>
          <w:sz w:val="16"/>
          <w:szCs w:val="16"/>
          <w:shd w:val="clear" w:color="auto" w:fill="FFFFFF"/>
        </w:rPr>
        <w:t>Información mínima obligatoria respecto a la estructura del sujeto obligado. </w:t>
      </w:r>
      <w:r w:rsidRPr="0032557F">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p>
    <w:p w14:paraId="264F7678" w14:textId="77777777" w:rsidR="00315F9A" w:rsidRPr="0032557F" w:rsidRDefault="00315F9A" w:rsidP="00315F9A">
      <w:pPr>
        <w:pStyle w:val="Textonotapie"/>
        <w:ind w:firstLine="707"/>
        <w:contextualSpacing/>
        <w:jc w:val="both"/>
        <w:rPr>
          <w:rFonts w:ascii="Verdana" w:hAnsi="Verdana" w:cs="Arial"/>
          <w:sz w:val="16"/>
          <w:szCs w:val="16"/>
          <w:shd w:val="clear" w:color="auto" w:fill="FFFFFF"/>
        </w:rPr>
      </w:pPr>
      <w:r w:rsidRPr="0032557F">
        <w:rPr>
          <w:rFonts w:ascii="Verdana" w:hAnsi="Verdana" w:cs="Arial"/>
          <w:sz w:val="16"/>
          <w:szCs w:val="16"/>
          <w:shd w:val="clear" w:color="auto" w:fill="FFFFFF"/>
        </w:rPr>
        <w:t>[…]</w:t>
      </w:r>
    </w:p>
    <w:p w14:paraId="5180A9C4" w14:textId="77777777" w:rsidR="00315F9A" w:rsidRPr="0032557F" w:rsidRDefault="00315F9A" w:rsidP="00315F9A">
      <w:pPr>
        <w:pStyle w:val="Textonotapie"/>
        <w:ind w:firstLine="707"/>
        <w:contextualSpacing/>
        <w:jc w:val="both"/>
        <w:rPr>
          <w:rFonts w:ascii="Verdana" w:hAnsi="Verdana" w:cs="Arial"/>
          <w:sz w:val="16"/>
          <w:szCs w:val="16"/>
          <w:lang w:val="es-ES"/>
        </w:rPr>
      </w:pPr>
      <w:r w:rsidRPr="0032557F">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32557F">
        <w:rPr>
          <w:rFonts w:ascii="Verdana" w:hAnsi="Verdana" w:cs="Arial"/>
          <w:sz w:val="16"/>
          <w:szCs w:val="16"/>
        </w:rPr>
        <w:t xml:space="preserve"> </w:t>
      </w:r>
      <w:r w:rsidRPr="0032557F">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32557F">
        <w:rPr>
          <w:rFonts w:ascii="Verdana" w:hAnsi="Verdana" w:cs="Arial"/>
          <w:sz w:val="16"/>
          <w:szCs w:val="16"/>
        </w:rPr>
        <w:t>”.</w:t>
      </w:r>
    </w:p>
  </w:footnote>
  <w:footnote w:id="7">
    <w:p w14:paraId="4FFDABAE" w14:textId="77777777" w:rsidR="00315F9A" w:rsidRPr="0032557F" w:rsidRDefault="00315F9A" w:rsidP="00315F9A">
      <w:pPr>
        <w:spacing w:after="0" w:line="240" w:lineRule="auto"/>
        <w:ind w:firstLine="707"/>
        <w:contextualSpacing/>
        <w:jc w:val="both"/>
        <w:rPr>
          <w:rFonts w:ascii="Verdana" w:hAnsi="Verdana" w:cs="Arial"/>
          <w:sz w:val="16"/>
          <w:szCs w:val="16"/>
        </w:rPr>
      </w:pPr>
      <w:r w:rsidRPr="0032557F">
        <w:rPr>
          <w:rStyle w:val="Refdenotaalpie"/>
          <w:rFonts w:ascii="Verdana" w:hAnsi="Verdana" w:cs="Arial"/>
          <w:sz w:val="16"/>
          <w:szCs w:val="16"/>
        </w:rPr>
        <w:footnoteRef/>
      </w:r>
      <w:r w:rsidRPr="0032557F">
        <w:rPr>
          <w:rFonts w:ascii="Verdana" w:hAnsi="Verdana" w:cs="Arial"/>
          <w:sz w:val="16"/>
          <w:szCs w:val="16"/>
        </w:rPr>
        <w:t xml:space="preserve"> Ley 1712 de 2014: “Artículo 5. Ámbito de aplicación. Las disposiciones de esta ley serán aplicables a las siguientes personas en calidad de sujetos obligados:</w:t>
      </w:r>
    </w:p>
    <w:p w14:paraId="51B00621" w14:textId="77777777" w:rsidR="00315F9A" w:rsidRPr="0032557F" w:rsidRDefault="00315F9A" w:rsidP="00315F9A">
      <w:pPr>
        <w:spacing w:after="0" w:line="240" w:lineRule="auto"/>
        <w:ind w:firstLine="707"/>
        <w:contextualSpacing/>
        <w:jc w:val="both"/>
      </w:pPr>
      <w:r w:rsidRPr="0032557F">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8">
    <w:p w14:paraId="68E80A9C" w14:textId="77777777" w:rsidR="00315F9A" w:rsidRPr="0032557F" w:rsidRDefault="00315F9A" w:rsidP="00315F9A">
      <w:pPr>
        <w:pStyle w:val="Textonotapie"/>
        <w:ind w:firstLine="709"/>
        <w:contextualSpacing/>
        <w:jc w:val="both"/>
        <w:rPr>
          <w:rFonts w:ascii="Verdana" w:hAnsi="Verdana"/>
          <w:sz w:val="16"/>
          <w:szCs w:val="16"/>
          <w:lang w:val="es-ES"/>
        </w:rPr>
      </w:pPr>
      <w:r w:rsidRPr="0032557F">
        <w:rPr>
          <w:rStyle w:val="Refdenotaalpie"/>
          <w:rFonts w:ascii="Verdana" w:hAnsi="Verdana"/>
          <w:sz w:val="16"/>
          <w:szCs w:val="16"/>
        </w:rPr>
        <w:footnoteRef/>
      </w:r>
      <w:r w:rsidRPr="0032557F">
        <w:rPr>
          <w:rFonts w:ascii="Verdana" w:hAnsi="Verdana"/>
          <w:sz w:val="16"/>
          <w:szCs w:val="16"/>
        </w:rPr>
        <w:t xml:space="preserve"> En </w:t>
      </w:r>
      <w:hyperlink r:id="rId1" w:history="1">
        <w:r w:rsidRPr="0032557F">
          <w:rPr>
            <w:rStyle w:val="Hipervnculo"/>
            <w:rFonts w:ascii="Verdana" w:hAnsi="Verdana"/>
            <w:sz w:val="16"/>
            <w:szCs w:val="16"/>
            <w:lang w:val="es-CO"/>
          </w:rPr>
          <w:t>cce-sec-gi-22guiasecopii_eemcregimenespecialsinofertas20-04-2022.pdf</w:t>
        </w:r>
      </w:hyperlink>
    </w:p>
  </w:footnote>
  <w:footnote w:id="9">
    <w:p w14:paraId="28EBEEB8" w14:textId="77777777" w:rsidR="00315F9A" w:rsidRPr="0032557F" w:rsidRDefault="00315F9A" w:rsidP="00315F9A">
      <w:pPr>
        <w:pStyle w:val="Textonotapie"/>
        <w:ind w:firstLine="708"/>
        <w:contextualSpacing/>
        <w:jc w:val="both"/>
        <w:rPr>
          <w:rFonts w:ascii="Verdana" w:hAnsi="Verdana" w:cs="Arial"/>
          <w:sz w:val="16"/>
          <w:szCs w:val="16"/>
        </w:rPr>
      </w:pPr>
      <w:r w:rsidRPr="0032557F">
        <w:rPr>
          <w:rStyle w:val="Refdenotaalpie"/>
          <w:rFonts w:ascii="Verdana" w:hAnsi="Verdana" w:cs="Arial"/>
          <w:sz w:val="16"/>
          <w:szCs w:val="16"/>
        </w:rPr>
        <w:footnoteRef/>
      </w:r>
      <w:r w:rsidRPr="0032557F">
        <w:rPr>
          <w:rFonts w:ascii="Verdana" w:hAnsi="Verdana" w:cs="Arial"/>
          <w:sz w:val="16"/>
          <w:szCs w:val="16"/>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7E31DFD5" w14:textId="77777777" w:rsidR="00315F9A" w:rsidRPr="0032557F" w:rsidRDefault="00315F9A" w:rsidP="00315F9A">
      <w:pPr>
        <w:pStyle w:val="Textonotapie"/>
        <w:ind w:firstLine="708"/>
        <w:contextualSpacing/>
        <w:jc w:val="both"/>
        <w:rPr>
          <w:rFonts w:ascii="Verdana" w:hAnsi="Verdana" w:cs="Arial"/>
          <w:sz w:val="16"/>
          <w:szCs w:val="16"/>
        </w:rPr>
      </w:pPr>
      <w:r w:rsidRPr="0032557F">
        <w:rPr>
          <w:rFonts w:ascii="Verdana" w:hAnsi="Verdana" w:cs="Arial"/>
          <w:sz w:val="16"/>
          <w:szCs w:val="16"/>
        </w:rPr>
        <w:t>Ninguna autoridad pública puede negarse a indicar si un documento obra o no en su poder o negar la divulgación de un documento, salvo que el daño causado al interés protegido sea mayor al interés público de obtener acceso a la información.</w:t>
      </w:r>
    </w:p>
    <w:p w14:paraId="5A64EA29" w14:textId="77777777" w:rsidR="00315F9A" w:rsidRPr="0032557F" w:rsidRDefault="00315F9A" w:rsidP="00315F9A">
      <w:pPr>
        <w:pStyle w:val="Textonotapie"/>
        <w:ind w:firstLine="708"/>
        <w:contextualSpacing/>
        <w:jc w:val="both"/>
        <w:rPr>
          <w:rFonts w:ascii="Verdana" w:hAnsi="Verdana" w:cs="Arial"/>
          <w:sz w:val="16"/>
          <w:szCs w:val="16"/>
          <w:lang w:val="es-CO"/>
        </w:rPr>
      </w:pPr>
      <w:r w:rsidRPr="0032557F">
        <w:rPr>
          <w:rFonts w:ascii="Verdana" w:hAnsi="Verdana" w:cs="Arial"/>
          <w:sz w:val="16"/>
          <w:szCs w:val="16"/>
        </w:rPr>
        <w:t>Las excepciones de acceso a la información contenidas en la presente ley no aplican en casos de violación de derechos humanos o delitos de lesa humanidad, y en todo caso deberán protegerse los derechos de las víctimas de dichas violaciones”.</w:t>
      </w:r>
    </w:p>
  </w:footnote>
  <w:footnote w:id="10">
    <w:p w14:paraId="6C78036E" w14:textId="77777777" w:rsidR="00315F9A" w:rsidRPr="0032557F" w:rsidRDefault="00315F9A" w:rsidP="00315F9A">
      <w:pPr>
        <w:spacing w:after="0" w:line="240" w:lineRule="auto"/>
        <w:ind w:firstLine="708"/>
        <w:contextualSpacing/>
        <w:jc w:val="both"/>
        <w:rPr>
          <w:rFonts w:ascii="Verdana" w:eastAsia="Arial" w:hAnsi="Verdana" w:cs="Arial"/>
          <w:sz w:val="16"/>
          <w:szCs w:val="16"/>
          <w:lang w:val="es"/>
        </w:rPr>
      </w:pPr>
      <w:r w:rsidRPr="0032557F">
        <w:rPr>
          <w:rStyle w:val="Refdenotaalpie"/>
          <w:rFonts w:ascii="Verdana" w:hAnsi="Verdana"/>
          <w:sz w:val="16"/>
          <w:szCs w:val="16"/>
        </w:rPr>
        <w:footnoteRef/>
      </w:r>
      <w:r w:rsidRPr="0032557F">
        <w:rPr>
          <w:rFonts w:ascii="Verdana" w:hAnsi="Verdana"/>
          <w:sz w:val="16"/>
          <w:szCs w:val="16"/>
        </w:rPr>
        <w:t xml:space="preserve"> </w:t>
      </w:r>
      <w:r w:rsidRPr="0032557F">
        <w:rPr>
          <w:rFonts w:ascii="Verdana" w:eastAsia="Arial" w:hAnsi="Verdana" w:cs="Arial"/>
          <w:sz w:val="16"/>
          <w:szCs w:val="16"/>
          <w:lang w:val="es"/>
        </w:rPr>
        <w:t>Ley 1437 de 2011 “Artículo 24. Informaciones y documentos reservados. Solo tendrán carácter reservado las informaciones y documentos expresamente sometidos a reserva por la Constitución Política o la ley, y en especial:</w:t>
      </w:r>
    </w:p>
    <w:p w14:paraId="53287950" w14:textId="77777777" w:rsidR="00315F9A" w:rsidRPr="0032557F" w:rsidRDefault="00315F9A" w:rsidP="00315F9A">
      <w:pPr>
        <w:spacing w:after="0" w:line="240" w:lineRule="auto"/>
        <w:ind w:firstLine="709"/>
        <w:contextualSpacing/>
        <w:jc w:val="both"/>
        <w:rPr>
          <w:rFonts w:ascii="Verdana" w:eastAsia="Arial" w:hAnsi="Verdana" w:cs="Arial"/>
          <w:sz w:val="16"/>
          <w:szCs w:val="16"/>
          <w:lang w:val="es"/>
        </w:rPr>
      </w:pPr>
      <w:r w:rsidRPr="0032557F">
        <w:rPr>
          <w:rFonts w:ascii="Verdana" w:eastAsia="Arial" w:hAnsi="Verdana" w:cs="Arial"/>
          <w:sz w:val="16"/>
          <w:szCs w:val="16"/>
          <w:lang w:val="es"/>
        </w:rPr>
        <w:t>"1. Los relacionados con la defensa o seguridad nacionales.</w:t>
      </w:r>
    </w:p>
    <w:p w14:paraId="52C2D0B2" w14:textId="77777777" w:rsidR="00315F9A" w:rsidRPr="0032557F" w:rsidRDefault="00315F9A" w:rsidP="00315F9A">
      <w:pPr>
        <w:spacing w:after="0" w:line="240" w:lineRule="auto"/>
        <w:ind w:firstLine="709"/>
        <w:contextualSpacing/>
        <w:jc w:val="both"/>
        <w:rPr>
          <w:rFonts w:ascii="Verdana" w:eastAsia="Arial" w:hAnsi="Verdana" w:cs="Arial"/>
          <w:sz w:val="16"/>
          <w:szCs w:val="16"/>
          <w:lang w:val="es"/>
        </w:rPr>
      </w:pPr>
      <w:r w:rsidRPr="0032557F">
        <w:rPr>
          <w:rFonts w:ascii="Verdana" w:eastAsia="Arial" w:hAnsi="Verdana" w:cs="Arial"/>
          <w:sz w:val="16"/>
          <w:szCs w:val="16"/>
          <w:lang w:val="es"/>
        </w:rPr>
        <w:t>“2. Las instrucciones en materia diplomática o sobre negociaciones reservadas.</w:t>
      </w:r>
    </w:p>
    <w:p w14:paraId="16CD2651" w14:textId="77777777" w:rsidR="00315F9A" w:rsidRPr="0032557F" w:rsidRDefault="00315F9A" w:rsidP="00315F9A">
      <w:pPr>
        <w:spacing w:after="0" w:line="240" w:lineRule="auto"/>
        <w:ind w:firstLine="708"/>
        <w:contextualSpacing/>
        <w:jc w:val="both"/>
        <w:rPr>
          <w:rFonts w:ascii="Verdana" w:eastAsia="Arial" w:hAnsi="Verdana" w:cs="Arial"/>
          <w:sz w:val="16"/>
          <w:szCs w:val="16"/>
          <w:lang w:val="es"/>
        </w:rPr>
      </w:pPr>
      <w:r w:rsidRPr="0032557F">
        <w:rPr>
          <w:rFonts w:ascii="Verdana" w:eastAsia="Arial" w:hAnsi="Verdana" w:cs="Arial"/>
          <w:sz w:val="16"/>
          <w:szCs w:val="16"/>
          <w:lang w:val="es"/>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w:t>
      </w:r>
    </w:p>
    <w:p w14:paraId="5743A93F" w14:textId="77777777" w:rsidR="00315F9A" w:rsidRPr="0032557F" w:rsidRDefault="00315F9A" w:rsidP="00315F9A">
      <w:pPr>
        <w:spacing w:after="0" w:line="240" w:lineRule="auto"/>
        <w:ind w:firstLine="708"/>
        <w:contextualSpacing/>
        <w:jc w:val="both"/>
        <w:rPr>
          <w:rFonts w:ascii="Verdana" w:eastAsia="Arial" w:hAnsi="Verdana" w:cs="Arial"/>
          <w:sz w:val="16"/>
          <w:szCs w:val="16"/>
          <w:lang w:val="es"/>
        </w:rPr>
      </w:pPr>
      <w:r w:rsidRPr="0032557F">
        <w:rPr>
          <w:rFonts w:ascii="Verdana" w:eastAsia="Arial" w:hAnsi="Verdana" w:cs="Arial"/>
          <w:sz w:val="16"/>
          <w:szCs w:val="16"/>
          <w:lang w:val="es"/>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w:t>
      </w:r>
    </w:p>
    <w:p w14:paraId="59C0BC16" w14:textId="77777777" w:rsidR="00315F9A" w:rsidRPr="0032557F" w:rsidRDefault="00315F9A" w:rsidP="00315F9A">
      <w:pPr>
        <w:spacing w:after="0" w:line="240" w:lineRule="auto"/>
        <w:ind w:firstLine="709"/>
        <w:contextualSpacing/>
        <w:jc w:val="both"/>
        <w:rPr>
          <w:rFonts w:ascii="Verdana" w:eastAsia="Arial" w:hAnsi="Verdana" w:cs="Arial"/>
          <w:sz w:val="16"/>
          <w:szCs w:val="16"/>
          <w:lang w:val="es"/>
        </w:rPr>
      </w:pPr>
      <w:r w:rsidRPr="0032557F">
        <w:rPr>
          <w:rFonts w:ascii="Verdana" w:eastAsia="Arial" w:hAnsi="Verdana" w:cs="Arial"/>
          <w:sz w:val="16"/>
          <w:szCs w:val="16"/>
          <w:lang w:val="es"/>
        </w:rPr>
        <w:t>“5. Los datos referentes a la información financiera y comercial, en los términos de la Ley Estatutaria 1266 de 2008.</w:t>
      </w:r>
    </w:p>
    <w:p w14:paraId="51FC8EE7" w14:textId="77777777" w:rsidR="00315F9A" w:rsidRPr="0032557F" w:rsidRDefault="00315F9A" w:rsidP="00315F9A">
      <w:pPr>
        <w:spacing w:after="0" w:line="240" w:lineRule="auto"/>
        <w:ind w:firstLine="709"/>
        <w:contextualSpacing/>
        <w:jc w:val="both"/>
        <w:rPr>
          <w:rFonts w:ascii="Verdana" w:eastAsia="Arial" w:hAnsi="Verdana" w:cs="Arial"/>
          <w:sz w:val="16"/>
          <w:szCs w:val="16"/>
          <w:lang w:val="es"/>
        </w:rPr>
      </w:pPr>
      <w:r w:rsidRPr="0032557F">
        <w:rPr>
          <w:rFonts w:ascii="Verdana" w:eastAsia="Arial" w:hAnsi="Verdana" w:cs="Arial"/>
          <w:sz w:val="16"/>
          <w:szCs w:val="16"/>
          <w:lang w:val="es"/>
        </w:rPr>
        <w:t>“6. Los protegidos por el secreto comercial o industrial, así como los planes estratégicos de las empresas públicas de servicios públicos.</w:t>
      </w:r>
    </w:p>
    <w:p w14:paraId="610317DF" w14:textId="77777777" w:rsidR="00315F9A" w:rsidRPr="0032557F" w:rsidRDefault="00315F9A" w:rsidP="00315F9A">
      <w:pPr>
        <w:spacing w:after="0" w:line="240" w:lineRule="auto"/>
        <w:ind w:firstLine="709"/>
        <w:contextualSpacing/>
        <w:jc w:val="both"/>
        <w:rPr>
          <w:rFonts w:ascii="Verdana" w:eastAsia="Arial" w:hAnsi="Verdana" w:cs="Arial"/>
          <w:sz w:val="16"/>
          <w:szCs w:val="16"/>
          <w:lang w:val="es"/>
        </w:rPr>
      </w:pPr>
      <w:r w:rsidRPr="0032557F">
        <w:rPr>
          <w:rFonts w:ascii="Verdana" w:eastAsia="Arial" w:hAnsi="Verdana" w:cs="Arial"/>
          <w:sz w:val="16"/>
          <w:szCs w:val="16"/>
          <w:lang w:val="es"/>
        </w:rPr>
        <w:t xml:space="preserve">“7. Los amparados por el secreto profesional. </w:t>
      </w:r>
    </w:p>
    <w:p w14:paraId="4EB7ABB0" w14:textId="77777777" w:rsidR="00315F9A" w:rsidRPr="0032557F" w:rsidRDefault="00315F9A" w:rsidP="00315F9A">
      <w:pPr>
        <w:spacing w:after="0" w:line="240" w:lineRule="auto"/>
        <w:ind w:firstLine="709"/>
        <w:contextualSpacing/>
        <w:jc w:val="both"/>
        <w:rPr>
          <w:rFonts w:ascii="Verdana" w:eastAsia="Arial" w:hAnsi="Verdana" w:cs="Arial"/>
          <w:sz w:val="16"/>
          <w:szCs w:val="16"/>
          <w:lang w:val="es"/>
        </w:rPr>
      </w:pPr>
      <w:r w:rsidRPr="0032557F">
        <w:rPr>
          <w:rFonts w:ascii="Verdana" w:eastAsia="Arial" w:hAnsi="Verdana" w:cs="Arial"/>
          <w:sz w:val="16"/>
          <w:szCs w:val="16"/>
          <w:lang w:val="es"/>
        </w:rPr>
        <w:t>“8. Los datos genéticos humanos.</w:t>
      </w:r>
    </w:p>
    <w:p w14:paraId="77426B6E" w14:textId="77777777" w:rsidR="00315F9A" w:rsidRPr="00A216B9" w:rsidRDefault="00315F9A" w:rsidP="00315F9A">
      <w:pPr>
        <w:spacing w:after="0" w:line="240" w:lineRule="auto"/>
        <w:ind w:firstLine="709"/>
        <w:contextualSpacing/>
        <w:jc w:val="both"/>
        <w:rPr>
          <w:lang w:val="es"/>
        </w:rPr>
      </w:pPr>
      <w:r w:rsidRPr="0032557F">
        <w:rPr>
          <w:rFonts w:ascii="Verdana" w:eastAsia="Arial" w:hAnsi="Verdana" w:cs="Arial"/>
          <w:sz w:val="16"/>
          <w:szCs w:val="16"/>
          <w:lang w:val="es"/>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footnote>
  <w:footnote w:id="11">
    <w:p w14:paraId="4A205BC3" w14:textId="77777777" w:rsidR="00315F9A" w:rsidRPr="0032557F" w:rsidRDefault="00315F9A" w:rsidP="00315F9A">
      <w:pPr>
        <w:pStyle w:val="Textonotapie"/>
        <w:ind w:firstLine="708"/>
        <w:contextualSpacing/>
        <w:jc w:val="both"/>
        <w:rPr>
          <w:rFonts w:ascii="Verdana" w:hAnsi="Verdana"/>
          <w:sz w:val="16"/>
          <w:szCs w:val="16"/>
          <w:lang w:val="es-CO"/>
        </w:rPr>
      </w:pPr>
      <w:r w:rsidRPr="0032557F">
        <w:rPr>
          <w:rStyle w:val="Refdenotaalpie"/>
          <w:rFonts w:ascii="Verdana" w:hAnsi="Verdana"/>
          <w:sz w:val="16"/>
          <w:szCs w:val="16"/>
        </w:rPr>
        <w:footnoteRef/>
      </w:r>
      <w:r w:rsidRPr="0032557F">
        <w:rPr>
          <w:rFonts w:ascii="Verdana" w:hAnsi="Verdana"/>
          <w:sz w:val="16"/>
          <w:szCs w:val="16"/>
        </w:rPr>
        <w:t xml:space="preserve"> </w:t>
      </w:r>
      <w:r w:rsidRPr="0032557F">
        <w:rPr>
          <w:rFonts w:ascii="Verdana" w:hAnsi="Verdana"/>
          <w:sz w:val="16"/>
          <w:szCs w:val="16"/>
          <w:lang w:val="es-CO"/>
        </w:rPr>
        <w:t>Artículo 7.1.3. Reserva de la información. Criterios. En concordancia con lo establecido en la Ley 1712 de 2014, Ley de transparencia y de Acceso a la Información Pública, la reserva aplica a la información, no a los documentos, para lo cual el responsable de la información verificará qué información está sometida a reserva y cuál no, y elaborará una versión pública que mantenga la reserva de los titulares de los datos, para garantizar el principio de máxima publicidad y conforme a las disposiciones legales vigentes sobre el acceso a la información.</w:t>
      </w:r>
    </w:p>
    <w:p w14:paraId="566D2AF8" w14:textId="77777777" w:rsidR="00315F9A" w:rsidRPr="0032557F" w:rsidRDefault="00315F9A" w:rsidP="00315F9A">
      <w:pPr>
        <w:pStyle w:val="Textonotapie"/>
        <w:ind w:firstLine="708"/>
        <w:contextualSpacing/>
        <w:jc w:val="both"/>
        <w:rPr>
          <w:rFonts w:ascii="Verdana" w:hAnsi="Verdana"/>
          <w:sz w:val="16"/>
          <w:szCs w:val="16"/>
          <w:lang w:val="es-CO"/>
        </w:rPr>
      </w:pPr>
      <w:r w:rsidRPr="0032557F">
        <w:rPr>
          <w:rFonts w:ascii="Verdana" w:hAnsi="Verdana"/>
          <w:sz w:val="16"/>
          <w:szCs w:val="16"/>
          <w:lang w:val="es-CO"/>
        </w:rPr>
        <w:t xml:space="preserve">Parágrafo 1. De existir reserva legal, se aplicarán, como mínimo, los siguientes criterios: </w:t>
      </w:r>
    </w:p>
    <w:p w14:paraId="351651D9" w14:textId="77777777" w:rsidR="00315F9A" w:rsidRPr="0032557F" w:rsidRDefault="00315F9A" w:rsidP="00315F9A">
      <w:pPr>
        <w:pStyle w:val="Textonotapie"/>
        <w:ind w:firstLine="708"/>
        <w:contextualSpacing/>
        <w:jc w:val="both"/>
        <w:rPr>
          <w:rFonts w:ascii="Verdana" w:hAnsi="Verdana"/>
          <w:sz w:val="16"/>
          <w:szCs w:val="16"/>
          <w:lang w:val="es-CO"/>
        </w:rPr>
      </w:pPr>
      <w:r w:rsidRPr="0032557F">
        <w:rPr>
          <w:rFonts w:ascii="Verdana" w:hAnsi="Verdana"/>
          <w:sz w:val="16"/>
          <w:szCs w:val="16"/>
          <w:lang w:val="es-CO"/>
        </w:rPr>
        <w:t xml:space="preserve">1. La reserva opera sobre el contenido del documento, no sobre la existencia de este. Estos documentos deben ser identificados de manera clara en los instrumentos de la gestión de información pública. </w:t>
      </w:r>
    </w:p>
    <w:p w14:paraId="344EBEEF" w14:textId="77777777" w:rsidR="00315F9A" w:rsidRPr="0032557F" w:rsidRDefault="00315F9A" w:rsidP="00315F9A">
      <w:pPr>
        <w:pStyle w:val="Textonotapie"/>
        <w:ind w:firstLine="708"/>
        <w:contextualSpacing/>
        <w:jc w:val="both"/>
        <w:rPr>
          <w:rFonts w:ascii="Verdana" w:hAnsi="Verdana"/>
          <w:sz w:val="16"/>
          <w:szCs w:val="16"/>
          <w:lang w:val="es-CO"/>
        </w:rPr>
      </w:pPr>
      <w:r w:rsidRPr="0032557F">
        <w:rPr>
          <w:rFonts w:ascii="Verdana" w:hAnsi="Verdana"/>
          <w:sz w:val="16"/>
          <w:szCs w:val="16"/>
          <w:lang w:val="es-CO"/>
        </w:rPr>
        <w:t xml:space="preserve">2. La reserva legal solo opera sobre la información que compromete derechos fundamentales o bienes constitucionales, no sobre los procesos o actuaciones de los que hace parte. Para tal efecto se realizarán versiones públicas de estos documentos, que impidan la identificación de los titulares de los datos personales, como lo ordena la normativa vigente. </w:t>
      </w:r>
    </w:p>
    <w:p w14:paraId="4BFFAD24" w14:textId="77777777" w:rsidR="00315F9A" w:rsidRPr="0032557F" w:rsidRDefault="00315F9A" w:rsidP="00315F9A">
      <w:pPr>
        <w:pStyle w:val="Textonotapie"/>
        <w:ind w:firstLine="708"/>
        <w:contextualSpacing/>
        <w:jc w:val="both"/>
        <w:rPr>
          <w:rFonts w:ascii="Verdana" w:hAnsi="Verdana"/>
          <w:sz w:val="16"/>
          <w:szCs w:val="16"/>
          <w:lang w:val="es-CO"/>
        </w:rPr>
      </w:pPr>
      <w:r w:rsidRPr="0032557F">
        <w:rPr>
          <w:rFonts w:ascii="Verdana" w:hAnsi="Verdana"/>
          <w:sz w:val="16"/>
          <w:szCs w:val="16"/>
          <w:lang w:val="es-CO"/>
        </w:rPr>
        <w:t>3. La reserva deberá ser temporal, como lo determine la Ley.</w:t>
      </w:r>
    </w:p>
    <w:p w14:paraId="2AA22182" w14:textId="77777777" w:rsidR="00315F9A" w:rsidRPr="0032557F" w:rsidRDefault="00315F9A" w:rsidP="00315F9A">
      <w:pPr>
        <w:pStyle w:val="Textonotapie"/>
        <w:ind w:firstLine="708"/>
        <w:contextualSpacing/>
        <w:jc w:val="both"/>
        <w:rPr>
          <w:rFonts w:ascii="Verdana" w:hAnsi="Verdana"/>
          <w:sz w:val="16"/>
          <w:szCs w:val="16"/>
          <w:lang w:val="es-ES"/>
        </w:rPr>
      </w:pPr>
      <w:r w:rsidRPr="0032557F">
        <w:rPr>
          <w:rFonts w:ascii="Verdana" w:hAnsi="Verdana"/>
          <w:sz w:val="16"/>
          <w:szCs w:val="16"/>
          <w:lang w:val="es-CO"/>
        </w:rPr>
        <w:t xml:space="preserve"> Parágrafo 2. Para elaborar versiones públicas de documentos que contengan información clasificada o reservada, la entidad aplicará estándares para la anonimización de datos. El proceso de anonimización de datos requiere una adecuada comprensión del propósito final y uso de la información. Por tal motivo, es importante que el administrador de los documentos identifique los datos objeto de anonimización en articulación con la normativa vigente para la protección de datos personales y acceso a la información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4C4DAC52"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08" w:hanging="360"/>
      </w:pPr>
      <w:rPr>
        <w:rFonts w:ascii="Symbol" w:hAnsi="Symbol" w:hint="default"/>
      </w:rPr>
    </w:lvl>
    <w:lvl w:ilvl="1" w:tplc="040A0003" w:tentative="1">
      <w:start w:val="1"/>
      <w:numFmt w:val="bullet"/>
      <w:lvlText w:val="o"/>
      <w:lvlJc w:val="left"/>
      <w:pPr>
        <w:ind w:left="12" w:hanging="360"/>
      </w:pPr>
      <w:rPr>
        <w:rFonts w:ascii="Courier New" w:hAnsi="Courier New" w:cs="Courier New" w:hint="default"/>
      </w:rPr>
    </w:lvl>
    <w:lvl w:ilvl="2" w:tplc="040A0005" w:tentative="1">
      <w:start w:val="1"/>
      <w:numFmt w:val="bullet"/>
      <w:lvlText w:val=""/>
      <w:lvlJc w:val="left"/>
      <w:pPr>
        <w:ind w:left="732" w:hanging="360"/>
      </w:pPr>
      <w:rPr>
        <w:rFonts w:ascii="Wingdings" w:hAnsi="Wingdings" w:hint="default"/>
      </w:rPr>
    </w:lvl>
    <w:lvl w:ilvl="3" w:tplc="040A0001" w:tentative="1">
      <w:start w:val="1"/>
      <w:numFmt w:val="bullet"/>
      <w:lvlText w:val=""/>
      <w:lvlJc w:val="left"/>
      <w:pPr>
        <w:ind w:left="1452" w:hanging="360"/>
      </w:pPr>
      <w:rPr>
        <w:rFonts w:ascii="Symbol" w:hAnsi="Symbol" w:hint="default"/>
      </w:rPr>
    </w:lvl>
    <w:lvl w:ilvl="4" w:tplc="040A0003" w:tentative="1">
      <w:start w:val="1"/>
      <w:numFmt w:val="bullet"/>
      <w:lvlText w:val="o"/>
      <w:lvlJc w:val="left"/>
      <w:pPr>
        <w:ind w:left="2172" w:hanging="360"/>
      </w:pPr>
      <w:rPr>
        <w:rFonts w:ascii="Courier New" w:hAnsi="Courier New" w:cs="Courier New" w:hint="default"/>
      </w:rPr>
    </w:lvl>
    <w:lvl w:ilvl="5" w:tplc="040A0005" w:tentative="1">
      <w:start w:val="1"/>
      <w:numFmt w:val="bullet"/>
      <w:lvlText w:val=""/>
      <w:lvlJc w:val="left"/>
      <w:pPr>
        <w:ind w:left="2892" w:hanging="360"/>
      </w:pPr>
      <w:rPr>
        <w:rFonts w:ascii="Wingdings" w:hAnsi="Wingdings" w:hint="default"/>
      </w:rPr>
    </w:lvl>
    <w:lvl w:ilvl="6" w:tplc="040A0001" w:tentative="1">
      <w:start w:val="1"/>
      <w:numFmt w:val="bullet"/>
      <w:lvlText w:val=""/>
      <w:lvlJc w:val="left"/>
      <w:pPr>
        <w:ind w:left="3612" w:hanging="360"/>
      </w:pPr>
      <w:rPr>
        <w:rFonts w:ascii="Symbol" w:hAnsi="Symbol" w:hint="default"/>
      </w:rPr>
    </w:lvl>
    <w:lvl w:ilvl="7" w:tplc="040A0003" w:tentative="1">
      <w:start w:val="1"/>
      <w:numFmt w:val="bullet"/>
      <w:lvlText w:val="o"/>
      <w:lvlJc w:val="left"/>
      <w:pPr>
        <w:ind w:left="4332" w:hanging="360"/>
      </w:pPr>
      <w:rPr>
        <w:rFonts w:ascii="Courier New" w:hAnsi="Courier New" w:cs="Courier New" w:hint="default"/>
      </w:rPr>
    </w:lvl>
    <w:lvl w:ilvl="8" w:tplc="040A0005" w:tentative="1">
      <w:start w:val="1"/>
      <w:numFmt w:val="bullet"/>
      <w:lvlText w:val=""/>
      <w:lvlJc w:val="left"/>
      <w:pPr>
        <w:ind w:left="5052"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73424267">
    <w:abstractNumId w:val="0"/>
  </w:num>
  <w:num w:numId="17" w16cid:durableId="12752827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7823"/>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5F9A"/>
    <w:rsid w:val="00322A85"/>
    <w:rsid w:val="00324168"/>
    <w:rsid w:val="00330834"/>
    <w:rsid w:val="003448F4"/>
    <w:rsid w:val="00367209"/>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3B5B"/>
    <w:rsid w:val="004F21C4"/>
    <w:rsid w:val="004F685F"/>
    <w:rsid w:val="005566E8"/>
    <w:rsid w:val="00566D65"/>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552"/>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7044"/>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75A38"/>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93E"/>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15F9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15F9A"/>
    <w:rPr>
      <w:rFonts w:ascii="Geomanist Light" w:hAnsi="Geomanist Light"/>
      <w:lang w:val="es-ES"/>
    </w:rPr>
  </w:style>
  <w:style w:type="paragraph" w:styleId="Textoindependiente">
    <w:name w:val="Body Text"/>
    <w:basedOn w:val="Normal"/>
    <w:link w:val="TextoindependienteCar"/>
    <w:uiPriority w:val="1"/>
    <w:unhideWhenUsed/>
    <w:qFormat/>
    <w:rsid w:val="00315F9A"/>
    <w:pPr>
      <w:spacing w:after="120"/>
    </w:pPr>
  </w:style>
  <w:style w:type="character" w:customStyle="1" w:styleId="TextoindependienteCar">
    <w:name w:val="Texto independiente Car"/>
    <w:basedOn w:val="Fuentedeprrafopredeter"/>
    <w:link w:val="Textoindependiente"/>
    <w:uiPriority w:val="1"/>
    <w:rsid w:val="00315F9A"/>
  </w:style>
  <w:style w:type="character" w:customStyle="1" w:styleId="baj">
    <w:name w:val="b_aj"/>
    <w:basedOn w:val="Fuentedeprrafopredeter"/>
    <w:rsid w:val="00315F9A"/>
  </w:style>
  <w:style w:type="character" w:styleId="nfasis">
    <w:name w:val="Emphasis"/>
    <w:basedOn w:val="Fuentedeprrafopredeter"/>
    <w:uiPriority w:val="20"/>
    <w:qFormat/>
    <w:rsid w:val="00315F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5678"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funcionpublica.gov.co/eva/gestornormativo/norma.php?i=25678" TargetMode="External"/><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esidlo1999@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2567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step/cce-sec-gi-22guiasecopii_eemcregimenespecialsinofertas20-04-202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AED3D3-57A7-413C-BC3D-6730DDDA86B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20</Pages>
  <Words>6662</Words>
  <Characters>36642</Characters>
  <Application>Microsoft Office Word</Application>
  <DocSecurity>0</DocSecurity>
  <Lines>305</Lines>
  <Paragraphs>86</Paragraphs>
  <ScaleCrop>false</ScaleCrop>
  <Company/>
  <LinksUpToDate>false</LinksUpToDate>
  <CharactersWithSpaces>43218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2026-08-14T19:56:00Z</dcterms:created>
  <dcterms:modified xsi:type="dcterms:W3CDTF">2026-08-18T19:54:00Z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