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5FBA3" w14:textId="77777777" w:rsidR="0070198B" w:rsidRPr="007653BB" w:rsidRDefault="0070198B" w:rsidP="0070198B">
      <w:pPr>
        <w:spacing w:after="0" w:line="240" w:lineRule="auto"/>
        <w:jc w:val="both"/>
        <w:rPr>
          <w:rFonts w:ascii="Verdana" w:hAnsi="Verdana"/>
          <w:b/>
          <w:bCs/>
          <w:sz w:val="20"/>
          <w:szCs w:val="20"/>
          <w:lang w:val="es-ES"/>
        </w:rPr>
      </w:pPr>
      <w:bookmarkStart w:id="0" w:name="_Hlk143780582"/>
      <w:r>
        <w:rPr>
          <w:rFonts w:ascii="Verdana" w:hAnsi="Verdana"/>
          <w:b/>
          <w:bCs/>
          <w:lang w:val="es-ES"/>
        </w:rPr>
        <w:t xml:space="preserve">TRATO NACIONAL – Noción – Aplicación contratación pública </w:t>
      </w:r>
    </w:p>
    <w:p w14:paraId="4D2360B3" w14:textId="77777777" w:rsidR="0070198B" w:rsidRPr="007653BB" w:rsidRDefault="0070198B" w:rsidP="0070198B">
      <w:pPr>
        <w:spacing w:after="0" w:line="240" w:lineRule="auto"/>
        <w:jc w:val="both"/>
        <w:rPr>
          <w:rFonts w:ascii="Verdana" w:hAnsi="Verdana"/>
          <w:sz w:val="20"/>
          <w:szCs w:val="20"/>
          <w:lang w:val="es-ES"/>
        </w:rPr>
      </w:pPr>
    </w:p>
    <w:p w14:paraId="61418D9D" w14:textId="77777777" w:rsidR="0070198B" w:rsidRPr="007653BB" w:rsidRDefault="0070198B" w:rsidP="0070198B">
      <w:pPr>
        <w:spacing w:after="0" w:line="240" w:lineRule="auto"/>
        <w:jc w:val="both"/>
        <w:rPr>
          <w:rFonts w:ascii="Verdana" w:hAnsi="Verdana"/>
          <w:sz w:val="20"/>
          <w:szCs w:val="20"/>
          <w:lang w:val="es-ES"/>
        </w:rPr>
      </w:pPr>
      <w:r w:rsidRPr="007653BB">
        <w:rPr>
          <w:rFonts w:ascii="Verdana" w:hAnsi="Verdana"/>
          <w:sz w:val="20"/>
          <w:szCs w:val="20"/>
          <w:lang w:val="es-ES"/>
        </w:rPr>
        <w:t>[…] el trato nacional consiste en la consideración especial en la asignación de puntaje que se tiene sobre los oferentes, bienes y servicios colombianos y que, en virtud de la reciprocidad, se extiende a los extranjeros; privilegio que puede provenir de un tratado o acuerdo comercial, de un certificado de reciprocidad o de la regulación andina.</w:t>
      </w:r>
    </w:p>
    <w:p w14:paraId="2AE2B107" w14:textId="77777777" w:rsidR="0070198B" w:rsidRDefault="0070198B" w:rsidP="0070198B">
      <w:pPr>
        <w:spacing w:after="0" w:line="240" w:lineRule="auto"/>
        <w:rPr>
          <w:rFonts w:ascii="Verdana" w:hAnsi="Verdana"/>
          <w:sz w:val="20"/>
          <w:szCs w:val="20"/>
          <w:lang w:val="es-ES"/>
        </w:rPr>
      </w:pPr>
      <w:r w:rsidRPr="007653BB">
        <w:rPr>
          <w:rFonts w:ascii="Verdana" w:hAnsi="Verdana"/>
          <w:sz w:val="20"/>
          <w:szCs w:val="20"/>
          <w:lang w:val="es-ES"/>
        </w:rPr>
        <w:t>[…]</w:t>
      </w:r>
    </w:p>
    <w:p w14:paraId="55AE3016" w14:textId="77777777" w:rsidR="0070198B" w:rsidRPr="007653BB" w:rsidRDefault="0070198B" w:rsidP="0070198B">
      <w:pPr>
        <w:spacing w:after="0" w:line="240" w:lineRule="auto"/>
        <w:jc w:val="both"/>
        <w:rPr>
          <w:rFonts w:ascii="Verdana" w:hAnsi="Verdana"/>
          <w:sz w:val="20"/>
          <w:szCs w:val="20"/>
          <w:lang w:val="es-ES"/>
        </w:rPr>
      </w:pPr>
      <w:r w:rsidRPr="007653BB">
        <w:rPr>
          <w:rFonts w:ascii="Verdana" w:hAnsi="Verdana"/>
          <w:sz w:val="20"/>
          <w:szCs w:val="20"/>
          <w:lang w:val="es-ES"/>
        </w:rPr>
        <w:t>En materia de contratación pública, dicho trato nacional es aplicable a los proponentes que ofrezcan bienes y servicios nacionales, de conformidad con las definiciones del artículo 2.2.1.1.1.3.1 del Decreto 1082 de 2015, así como a los extranjeros que cumplan con los criterios que se encuentran regulados en el artículo 2.2.1.2.4.1.3. del mismo Decreto, en el que se establece la forma como se debe acreditar la existencia de trato nacional para extranjeros, dependiendo del fundamento de este y exigiendo el certificado expedido por el Ministerio de Relaciones Exteriores, cuando no exista tratado, ni regulación andina aplicable.</w:t>
      </w:r>
    </w:p>
    <w:p w14:paraId="16778DF7" w14:textId="77777777" w:rsidR="0070198B" w:rsidRPr="000E478A" w:rsidRDefault="0070198B" w:rsidP="0070198B">
      <w:pPr>
        <w:spacing w:after="0" w:line="240" w:lineRule="auto"/>
        <w:rPr>
          <w:rFonts w:ascii="Verdana" w:hAnsi="Verdana"/>
          <w:lang w:val="es-ES"/>
        </w:rPr>
      </w:pPr>
    </w:p>
    <w:p w14:paraId="038E0BA2" w14:textId="77777777" w:rsidR="0070198B" w:rsidRPr="007653BB" w:rsidRDefault="0070198B" w:rsidP="0070198B">
      <w:pPr>
        <w:spacing w:after="0" w:line="240" w:lineRule="auto"/>
        <w:rPr>
          <w:rFonts w:ascii="Verdana" w:hAnsi="Verdana"/>
          <w:b/>
          <w:bCs/>
          <w:lang w:val="es-ES"/>
        </w:rPr>
      </w:pPr>
      <w:r>
        <w:rPr>
          <w:rFonts w:ascii="Verdana" w:hAnsi="Verdana"/>
          <w:b/>
          <w:bCs/>
          <w:lang w:val="es-ES"/>
        </w:rPr>
        <w:t>APOYO A LA INDUSTRIA NACIONAL – Criterio de calificación – Puntaje adicional – Discrecionalidad de la entidad estatal</w:t>
      </w:r>
    </w:p>
    <w:p w14:paraId="7B610397" w14:textId="77777777" w:rsidR="0070198B" w:rsidRPr="000E478A" w:rsidRDefault="0070198B" w:rsidP="0070198B">
      <w:pPr>
        <w:spacing w:after="0" w:line="240" w:lineRule="auto"/>
        <w:rPr>
          <w:rFonts w:ascii="Verdana" w:hAnsi="Verdana"/>
          <w:lang w:val="es-ES"/>
        </w:rPr>
      </w:pPr>
    </w:p>
    <w:p w14:paraId="53D3AB78" w14:textId="77777777" w:rsidR="0070198B" w:rsidRDefault="0070198B" w:rsidP="0070198B">
      <w:pPr>
        <w:spacing w:after="0" w:line="240" w:lineRule="auto"/>
        <w:jc w:val="both"/>
        <w:rPr>
          <w:rFonts w:ascii="Verdana" w:hAnsi="Verdana"/>
          <w:sz w:val="20"/>
          <w:szCs w:val="20"/>
          <w:lang w:val="es-ES"/>
        </w:rPr>
      </w:pPr>
      <w:r>
        <w:rPr>
          <w:rFonts w:ascii="Verdana" w:hAnsi="Verdana"/>
          <w:sz w:val="20"/>
          <w:szCs w:val="20"/>
          <w:lang w:val="es-ES"/>
        </w:rPr>
        <w:t>[…]</w:t>
      </w:r>
      <w:r w:rsidRPr="007653BB">
        <w:rPr>
          <w:rFonts w:ascii="Verdana" w:hAnsi="Verdana"/>
          <w:sz w:val="20"/>
          <w:szCs w:val="20"/>
          <w:lang w:val="es-ES"/>
        </w:rPr>
        <w:t xml:space="preserve">las entidades estatales deben aplicar en sus procedimientos de selección lo previsto en el artículo 2 de la Ley 816 de 2003, que establece un criterio de calificación </w:t>
      </w:r>
      <w:proofErr w:type="gramStart"/>
      <w:r w:rsidRPr="007653BB">
        <w:rPr>
          <w:rFonts w:ascii="Verdana" w:hAnsi="Verdana"/>
          <w:sz w:val="20"/>
          <w:szCs w:val="20"/>
          <w:lang w:val="es-ES"/>
        </w:rPr>
        <w:t>diferencial</w:t>
      </w:r>
      <w:r>
        <w:rPr>
          <w:rFonts w:ascii="Verdana" w:hAnsi="Verdana"/>
          <w:sz w:val="20"/>
          <w:szCs w:val="20"/>
          <w:lang w:val="es-ES"/>
        </w:rPr>
        <w:t>[</w:t>
      </w:r>
      <w:proofErr w:type="gramEnd"/>
      <w:r>
        <w:rPr>
          <w:rFonts w:ascii="Verdana" w:hAnsi="Verdana"/>
          <w:sz w:val="20"/>
          <w:szCs w:val="20"/>
          <w:lang w:val="es-ES"/>
        </w:rPr>
        <w:t>…]</w:t>
      </w:r>
    </w:p>
    <w:p w14:paraId="7A65FEEB" w14:textId="77777777" w:rsidR="0070198B" w:rsidRPr="007653BB" w:rsidRDefault="0070198B" w:rsidP="0070198B">
      <w:pPr>
        <w:spacing w:after="0" w:line="240" w:lineRule="auto"/>
        <w:jc w:val="both"/>
        <w:rPr>
          <w:rFonts w:ascii="Verdana" w:hAnsi="Verdana"/>
          <w:sz w:val="20"/>
          <w:szCs w:val="20"/>
          <w:lang w:val="es-ES"/>
        </w:rPr>
      </w:pPr>
      <w:r>
        <w:rPr>
          <w:rFonts w:ascii="Verdana" w:hAnsi="Verdana"/>
          <w:sz w:val="20"/>
          <w:szCs w:val="20"/>
          <w:lang w:val="es-ES"/>
        </w:rPr>
        <w:t>[…]</w:t>
      </w:r>
    </w:p>
    <w:p w14:paraId="35F185E4" w14:textId="77777777" w:rsidR="0070198B" w:rsidRPr="007653BB" w:rsidRDefault="0070198B" w:rsidP="0070198B">
      <w:pPr>
        <w:spacing w:after="0" w:line="240" w:lineRule="auto"/>
        <w:jc w:val="both"/>
        <w:rPr>
          <w:rFonts w:ascii="Verdana" w:hAnsi="Verdana"/>
          <w:sz w:val="20"/>
          <w:szCs w:val="20"/>
          <w:lang w:val="es-ES"/>
        </w:rPr>
      </w:pPr>
      <w:r w:rsidRPr="007653BB">
        <w:rPr>
          <w:rFonts w:ascii="Verdana" w:hAnsi="Verdana"/>
          <w:sz w:val="20"/>
          <w:szCs w:val="20"/>
          <w:lang w:val="es-ES"/>
        </w:rPr>
        <w:t>De acuerdo con esta norma, las ofertas de bienes y servicios nacionales —o extranjeros con derecho a trato nacional— deben beneficiarse de un puntaje entre el 10% y el 20% del total de los puntos, según lo haya definido la entidad estatal contratante en el pliego de condiciones o documento equivalente, con la finalidad de incentivar la industria nacional.</w:t>
      </w:r>
    </w:p>
    <w:p w14:paraId="0DAA53DF" w14:textId="77777777" w:rsidR="0070198B" w:rsidRPr="00FF20E0" w:rsidRDefault="0070198B" w:rsidP="0070198B">
      <w:pPr>
        <w:spacing w:after="0" w:line="240" w:lineRule="auto"/>
        <w:jc w:val="both"/>
        <w:rPr>
          <w:rFonts w:ascii="Verdana" w:hAnsi="Verdana"/>
          <w:sz w:val="20"/>
          <w:szCs w:val="20"/>
          <w:lang w:val="es-ES"/>
        </w:rPr>
      </w:pPr>
      <w:r w:rsidRPr="00FF20E0">
        <w:rPr>
          <w:rFonts w:ascii="Verdana" w:hAnsi="Verdana"/>
          <w:sz w:val="20"/>
          <w:szCs w:val="20"/>
          <w:lang w:val="es-ES"/>
        </w:rPr>
        <w:t>[…]Conviene señalar que corresponde a la entidad pública fijar en el pliego de condiciones los criterios de asignación del puntaje o factores de evaluación. En consecuencia, la entidad cuenta con discrecionalidad administrativa para determinar los elementos o circunstancias que utilizará para la calificación de las propuestas. No obstante, dicha discrecionalidad no es absoluta, pues se encuentra limitada por las normas de orden público, incluidas las reglas imperativas para la elaboración del pliego de condiciones y el deber de selección objetiva.</w:t>
      </w:r>
    </w:p>
    <w:p w14:paraId="5A6055E5" w14:textId="77777777" w:rsidR="0070198B" w:rsidRDefault="0070198B" w:rsidP="0070198B">
      <w:pPr>
        <w:spacing w:after="0" w:line="240" w:lineRule="auto"/>
        <w:rPr>
          <w:rFonts w:ascii="Verdana" w:hAnsi="Verdana"/>
          <w:lang w:val="es-ES"/>
        </w:rPr>
      </w:pPr>
    </w:p>
    <w:p w14:paraId="3CCC21C3" w14:textId="77777777" w:rsidR="0070198B" w:rsidRPr="00FF20E0" w:rsidRDefault="0070198B" w:rsidP="0070198B">
      <w:pPr>
        <w:spacing w:after="0" w:line="240" w:lineRule="auto"/>
        <w:jc w:val="both"/>
        <w:rPr>
          <w:rFonts w:ascii="Verdana" w:hAnsi="Verdana"/>
          <w:b/>
          <w:bCs/>
          <w:lang w:val="es-ES"/>
        </w:rPr>
      </w:pPr>
      <w:r>
        <w:rPr>
          <w:rFonts w:ascii="Verdana" w:hAnsi="Verdana"/>
          <w:b/>
          <w:bCs/>
          <w:lang w:val="es-ES"/>
        </w:rPr>
        <w:t xml:space="preserve">APOYO A LA INDUSTRIA NACIONAL – Acceso al puntaje adicional – Acreditación – Discrecionalidad de la entidad estatal </w:t>
      </w:r>
    </w:p>
    <w:p w14:paraId="7E37FB12" w14:textId="77777777" w:rsidR="0070198B" w:rsidRPr="000E478A" w:rsidRDefault="0070198B" w:rsidP="0070198B">
      <w:pPr>
        <w:spacing w:after="0" w:line="240" w:lineRule="auto"/>
        <w:rPr>
          <w:rFonts w:ascii="Verdana" w:hAnsi="Verdana"/>
          <w:lang w:val="es-ES"/>
        </w:rPr>
      </w:pPr>
    </w:p>
    <w:p w14:paraId="44A7DB73" w14:textId="77777777" w:rsidR="0070198B" w:rsidRPr="00FF20E0" w:rsidRDefault="0070198B" w:rsidP="0070198B">
      <w:pPr>
        <w:spacing w:after="0" w:line="240" w:lineRule="auto"/>
        <w:jc w:val="both"/>
        <w:rPr>
          <w:rFonts w:ascii="Verdana" w:hAnsi="Verdana"/>
          <w:sz w:val="20"/>
          <w:szCs w:val="20"/>
          <w:lang w:val="es-ES"/>
        </w:rPr>
      </w:pPr>
      <w:r w:rsidRPr="00FF20E0">
        <w:rPr>
          <w:rFonts w:ascii="Verdana" w:hAnsi="Verdana"/>
          <w:sz w:val="20"/>
          <w:szCs w:val="20"/>
          <w:lang w:val="es-ES"/>
        </w:rPr>
        <w:t xml:space="preserve">[…]El puntaje solo debe concederse al proponente que acredite el cumplimiento de los requisitos normativos, ya sea mediante la incorporación de bienes nacionales relevantes o mediante la vinculación del personal colombiano exigido. En consecuencia, la posibilidad de acceder al puntaje por apoyo a la industria nacional no depende exclusivamente de la composición del capital social, sino del cumplimiento de la regla de </w:t>
      </w:r>
      <w:r w:rsidRPr="00FF20E0">
        <w:rPr>
          <w:rFonts w:ascii="Verdana" w:hAnsi="Verdana"/>
          <w:sz w:val="20"/>
          <w:szCs w:val="20"/>
          <w:lang w:val="es-ES"/>
        </w:rPr>
        <w:lastRenderedPageBreak/>
        <w:t>origen y de las condiciones previstas en la Ley 816 de 2003 y su reglamentación, cuya verificación corresponde a la entidad estatal en cada proceso de contratación.</w:t>
      </w:r>
    </w:p>
    <w:p w14:paraId="769A92A1" w14:textId="77777777" w:rsidR="0070198B" w:rsidRPr="00FF20E0" w:rsidRDefault="0070198B" w:rsidP="0070198B">
      <w:pPr>
        <w:spacing w:after="0" w:line="240" w:lineRule="auto"/>
        <w:jc w:val="both"/>
        <w:rPr>
          <w:rFonts w:ascii="Verdana" w:hAnsi="Verdana"/>
          <w:sz w:val="20"/>
          <w:szCs w:val="20"/>
          <w:lang w:val="es-ES"/>
        </w:rPr>
      </w:pPr>
    </w:p>
    <w:p w14:paraId="22F8321C" w14:textId="77777777" w:rsidR="0070198B" w:rsidRPr="00FF20E0" w:rsidRDefault="0070198B" w:rsidP="0070198B">
      <w:pPr>
        <w:spacing w:after="0" w:line="240" w:lineRule="auto"/>
        <w:jc w:val="both"/>
        <w:rPr>
          <w:rFonts w:ascii="Verdana" w:hAnsi="Verdana"/>
          <w:sz w:val="20"/>
          <w:szCs w:val="20"/>
          <w:lang w:val="es-ES"/>
        </w:rPr>
      </w:pPr>
      <w:r w:rsidRPr="00FF20E0">
        <w:rPr>
          <w:rFonts w:ascii="Verdana" w:hAnsi="Verdana"/>
          <w:sz w:val="20"/>
          <w:szCs w:val="20"/>
          <w:lang w:val="es-ES"/>
        </w:rPr>
        <w:t>En este contexto, y al no establecer dicha ley ni su reglamento la forma en la que propiamente podrán acreditar los oferentes tales condiciones, será un asunto que le corresponderá definir a la Entidad Estatal que se encuentre adelantando el proceso de contratación en el pliego de condiciones o documento equivalente.</w:t>
      </w:r>
    </w:p>
    <w:p w14:paraId="26A72D52" w14:textId="77777777" w:rsidR="0070198B" w:rsidRPr="00116042" w:rsidRDefault="0070198B" w:rsidP="0070198B">
      <w:pPr>
        <w:spacing w:after="0" w:line="240" w:lineRule="auto"/>
        <w:rPr>
          <w:rFonts w:ascii="Verdana" w:eastAsia="Aptos" w:hAnsi="Verdana" w:cs="Times New Roman"/>
          <w:sz w:val="20"/>
          <w:szCs w:val="20"/>
        </w:rPr>
      </w:pPr>
    </w:p>
    <w:p w14:paraId="768271C3" w14:textId="77777777" w:rsidR="0070198B" w:rsidRPr="00116042" w:rsidRDefault="0070198B" w:rsidP="0070198B">
      <w:pPr>
        <w:spacing w:after="0" w:line="240" w:lineRule="auto"/>
        <w:rPr>
          <w:rFonts w:ascii="Verdana" w:eastAsia="Aptos" w:hAnsi="Verdana" w:cs="Times New Roman"/>
          <w:sz w:val="20"/>
          <w:szCs w:val="20"/>
        </w:rPr>
      </w:pPr>
    </w:p>
    <w:p w14:paraId="055330EB" w14:textId="77777777" w:rsidR="0070198B" w:rsidRPr="00116042" w:rsidRDefault="0070198B" w:rsidP="0070198B">
      <w:pPr>
        <w:spacing w:after="0" w:line="240" w:lineRule="auto"/>
        <w:rPr>
          <w:rFonts w:ascii="Verdana" w:eastAsia="Aptos" w:hAnsi="Verdana" w:cs="Times New Roman"/>
          <w:sz w:val="20"/>
          <w:szCs w:val="20"/>
        </w:rPr>
      </w:pPr>
    </w:p>
    <w:p w14:paraId="63884A36" w14:textId="77777777" w:rsidR="0070198B" w:rsidRPr="00116042" w:rsidRDefault="0070198B" w:rsidP="0070198B">
      <w:pPr>
        <w:spacing w:after="0" w:line="240" w:lineRule="auto"/>
        <w:rPr>
          <w:rFonts w:ascii="Verdana" w:eastAsia="Aptos" w:hAnsi="Verdana" w:cs="Times New Roman"/>
          <w:sz w:val="20"/>
          <w:szCs w:val="20"/>
        </w:rPr>
      </w:pPr>
    </w:p>
    <w:p w14:paraId="7E93E536" w14:textId="77777777" w:rsidR="0070198B" w:rsidRDefault="0070198B" w:rsidP="0070198B">
      <w:pPr>
        <w:spacing w:after="0" w:line="240" w:lineRule="auto"/>
        <w:rPr>
          <w:rFonts w:ascii="Verdana" w:eastAsia="Aptos" w:hAnsi="Verdana" w:cs="Times New Roman"/>
          <w:sz w:val="20"/>
          <w:szCs w:val="20"/>
        </w:rPr>
      </w:pPr>
    </w:p>
    <w:p w14:paraId="0ACD4287" w14:textId="77777777" w:rsidR="0070198B" w:rsidRDefault="0070198B" w:rsidP="0070198B">
      <w:pPr>
        <w:spacing w:after="0" w:line="240" w:lineRule="auto"/>
        <w:rPr>
          <w:rFonts w:ascii="Verdana" w:eastAsia="Aptos" w:hAnsi="Verdana" w:cs="Times New Roman"/>
          <w:sz w:val="20"/>
          <w:szCs w:val="20"/>
        </w:rPr>
      </w:pPr>
    </w:p>
    <w:p w14:paraId="7F7DFCE5" w14:textId="77777777" w:rsidR="0070198B" w:rsidRDefault="0070198B" w:rsidP="0070198B">
      <w:pPr>
        <w:spacing w:after="0" w:line="240" w:lineRule="auto"/>
        <w:rPr>
          <w:rFonts w:ascii="Verdana" w:eastAsia="Aptos" w:hAnsi="Verdana" w:cs="Times New Roman"/>
          <w:sz w:val="20"/>
          <w:szCs w:val="20"/>
        </w:rPr>
      </w:pPr>
    </w:p>
    <w:p w14:paraId="1F5BE4D0" w14:textId="77777777" w:rsidR="0070198B" w:rsidRDefault="0070198B" w:rsidP="0070198B">
      <w:pPr>
        <w:spacing w:after="0" w:line="240" w:lineRule="auto"/>
        <w:rPr>
          <w:rFonts w:ascii="Verdana" w:eastAsia="Aptos" w:hAnsi="Verdana" w:cs="Times New Roman"/>
          <w:sz w:val="20"/>
          <w:szCs w:val="20"/>
        </w:rPr>
      </w:pPr>
    </w:p>
    <w:p w14:paraId="2365D0B6" w14:textId="77777777" w:rsidR="0070198B" w:rsidRDefault="0070198B" w:rsidP="0070198B">
      <w:pPr>
        <w:spacing w:after="0" w:line="240" w:lineRule="auto"/>
        <w:rPr>
          <w:rFonts w:ascii="Verdana" w:eastAsia="Aptos" w:hAnsi="Verdana" w:cs="Times New Roman"/>
          <w:sz w:val="20"/>
          <w:szCs w:val="20"/>
        </w:rPr>
      </w:pPr>
    </w:p>
    <w:p w14:paraId="1404A518" w14:textId="77777777" w:rsidR="0070198B" w:rsidRDefault="0070198B" w:rsidP="0070198B">
      <w:pPr>
        <w:spacing w:after="0" w:line="240" w:lineRule="auto"/>
        <w:rPr>
          <w:rFonts w:ascii="Verdana" w:eastAsia="Aptos" w:hAnsi="Verdana" w:cs="Times New Roman"/>
          <w:sz w:val="20"/>
          <w:szCs w:val="20"/>
        </w:rPr>
      </w:pPr>
    </w:p>
    <w:p w14:paraId="113E4E6E" w14:textId="77777777" w:rsidR="0070198B" w:rsidRDefault="0070198B" w:rsidP="0070198B">
      <w:pPr>
        <w:spacing w:after="0" w:line="240" w:lineRule="auto"/>
        <w:rPr>
          <w:rFonts w:ascii="Verdana" w:eastAsia="Aptos" w:hAnsi="Verdana" w:cs="Times New Roman"/>
          <w:sz w:val="20"/>
          <w:szCs w:val="20"/>
        </w:rPr>
      </w:pPr>
    </w:p>
    <w:p w14:paraId="1E539B18" w14:textId="77777777" w:rsidR="0070198B" w:rsidRDefault="0070198B" w:rsidP="0070198B">
      <w:pPr>
        <w:spacing w:after="0" w:line="240" w:lineRule="auto"/>
        <w:rPr>
          <w:rFonts w:ascii="Verdana" w:eastAsia="Aptos" w:hAnsi="Verdana" w:cs="Times New Roman"/>
          <w:sz w:val="20"/>
          <w:szCs w:val="20"/>
        </w:rPr>
      </w:pPr>
    </w:p>
    <w:p w14:paraId="0871A5FD" w14:textId="77777777" w:rsidR="0070198B" w:rsidRDefault="0070198B" w:rsidP="0070198B">
      <w:pPr>
        <w:spacing w:after="0" w:line="240" w:lineRule="auto"/>
        <w:rPr>
          <w:rFonts w:ascii="Verdana" w:eastAsia="Aptos" w:hAnsi="Verdana" w:cs="Times New Roman"/>
          <w:sz w:val="20"/>
          <w:szCs w:val="20"/>
        </w:rPr>
      </w:pPr>
    </w:p>
    <w:p w14:paraId="0AF98C37" w14:textId="77777777" w:rsidR="0070198B" w:rsidRDefault="0070198B" w:rsidP="0070198B">
      <w:pPr>
        <w:spacing w:after="0" w:line="240" w:lineRule="auto"/>
        <w:rPr>
          <w:rFonts w:ascii="Verdana" w:eastAsia="Aptos" w:hAnsi="Verdana" w:cs="Times New Roman"/>
          <w:sz w:val="20"/>
          <w:szCs w:val="20"/>
        </w:rPr>
      </w:pPr>
    </w:p>
    <w:p w14:paraId="2284E164" w14:textId="77777777" w:rsidR="0070198B" w:rsidRDefault="0070198B" w:rsidP="0070198B">
      <w:pPr>
        <w:spacing w:after="0" w:line="240" w:lineRule="auto"/>
        <w:rPr>
          <w:rFonts w:ascii="Verdana" w:eastAsia="Aptos" w:hAnsi="Verdana" w:cs="Times New Roman"/>
          <w:sz w:val="20"/>
          <w:szCs w:val="20"/>
        </w:rPr>
      </w:pPr>
    </w:p>
    <w:p w14:paraId="5EC770C6" w14:textId="77777777" w:rsidR="0070198B" w:rsidRDefault="0070198B" w:rsidP="0070198B">
      <w:pPr>
        <w:spacing w:after="0" w:line="240" w:lineRule="auto"/>
        <w:rPr>
          <w:rFonts w:ascii="Verdana" w:eastAsia="Aptos" w:hAnsi="Verdana" w:cs="Times New Roman"/>
          <w:sz w:val="20"/>
          <w:szCs w:val="20"/>
        </w:rPr>
      </w:pPr>
    </w:p>
    <w:p w14:paraId="243E45A8" w14:textId="77777777" w:rsidR="0070198B" w:rsidRDefault="0070198B" w:rsidP="0070198B">
      <w:pPr>
        <w:spacing w:after="0" w:line="240" w:lineRule="auto"/>
        <w:rPr>
          <w:rFonts w:ascii="Verdana" w:eastAsia="Aptos" w:hAnsi="Verdana" w:cs="Times New Roman"/>
          <w:sz w:val="20"/>
          <w:szCs w:val="20"/>
        </w:rPr>
      </w:pPr>
    </w:p>
    <w:p w14:paraId="0402FCD3" w14:textId="77777777" w:rsidR="0070198B" w:rsidRDefault="0070198B" w:rsidP="0070198B">
      <w:pPr>
        <w:spacing w:after="0" w:line="240" w:lineRule="auto"/>
        <w:rPr>
          <w:rFonts w:ascii="Verdana" w:eastAsia="Aptos" w:hAnsi="Verdana" w:cs="Times New Roman"/>
          <w:sz w:val="20"/>
          <w:szCs w:val="20"/>
        </w:rPr>
      </w:pPr>
    </w:p>
    <w:p w14:paraId="01A9E660" w14:textId="77777777" w:rsidR="0070198B" w:rsidRDefault="0070198B" w:rsidP="0070198B">
      <w:pPr>
        <w:spacing w:after="0" w:line="240" w:lineRule="auto"/>
        <w:rPr>
          <w:rFonts w:ascii="Verdana" w:eastAsia="Aptos" w:hAnsi="Verdana" w:cs="Times New Roman"/>
          <w:sz w:val="20"/>
          <w:szCs w:val="20"/>
        </w:rPr>
      </w:pPr>
    </w:p>
    <w:p w14:paraId="6DF79B6F" w14:textId="77777777" w:rsidR="0070198B" w:rsidRDefault="0070198B" w:rsidP="0070198B">
      <w:pPr>
        <w:spacing w:after="0" w:line="240" w:lineRule="auto"/>
        <w:rPr>
          <w:rFonts w:ascii="Verdana" w:eastAsia="Aptos" w:hAnsi="Verdana" w:cs="Times New Roman"/>
          <w:sz w:val="20"/>
          <w:szCs w:val="20"/>
        </w:rPr>
      </w:pPr>
    </w:p>
    <w:p w14:paraId="4F12D1C2" w14:textId="77777777" w:rsidR="0070198B" w:rsidRDefault="0070198B" w:rsidP="0070198B">
      <w:pPr>
        <w:spacing w:after="0" w:line="240" w:lineRule="auto"/>
        <w:rPr>
          <w:rFonts w:ascii="Verdana" w:eastAsia="Aptos" w:hAnsi="Verdana" w:cs="Times New Roman"/>
          <w:sz w:val="20"/>
          <w:szCs w:val="20"/>
        </w:rPr>
      </w:pPr>
    </w:p>
    <w:p w14:paraId="2005DC2A" w14:textId="77777777" w:rsidR="0070198B" w:rsidRDefault="0070198B" w:rsidP="0070198B">
      <w:pPr>
        <w:spacing w:after="0" w:line="240" w:lineRule="auto"/>
        <w:rPr>
          <w:rFonts w:ascii="Verdana" w:eastAsia="Aptos" w:hAnsi="Verdana" w:cs="Times New Roman"/>
          <w:sz w:val="20"/>
          <w:szCs w:val="20"/>
        </w:rPr>
      </w:pPr>
    </w:p>
    <w:p w14:paraId="1BDC0530" w14:textId="77777777" w:rsidR="0070198B" w:rsidRDefault="0070198B" w:rsidP="0070198B">
      <w:pPr>
        <w:spacing w:after="0" w:line="240" w:lineRule="auto"/>
        <w:rPr>
          <w:rFonts w:ascii="Verdana" w:eastAsia="Aptos" w:hAnsi="Verdana" w:cs="Times New Roman"/>
          <w:sz w:val="20"/>
          <w:szCs w:val="20"/>
        </w:rPr>
      </w:pPr>
    </w:p>
    <w:p w14:paraId="62BFB251" w14:textId="77777777" w:rsidR="0070198B" w:rsidRDefault="0070198B" w:rsidP="0070198B">
      <w:pPr>
        <w:spacing w:after="0" w:line="240" w:lineRule="auto"/>
        <w:rPr>
          <w:rFonts w:ascii="Verdana" w:eastAsia="Aptos" w:hAnsi="Verdana" w:cs="Times New Roman"/>
          <w:sz w:val="20"/>
          <w:szCs w:val="20"/>
        </w:rPr>
      </w:pPr>
    </w:p>
    <w:p w14:paraId="6F28A9E2" w14:textId="77777777" w:rsidR="0070198B" w:rsidRDefault="0070198B" w:rsidP="0070198B">
      <w:pPr>
        <w:spacing w:after="0" w:line="240" w:lineRule="auto"/>
        <w:rPr>
          <w:rFonts w:ascii="Verdana" w:eastAsia="Aptos" w:hAnsi="Verdana" w:cs="Times New Roman"/>
          <w:sz w:val="20"/>
          <w:szCs w:val="20"/>
        </w:rPr>
      </w:pPr>
    </w:p>
    <w:p w14:paraId="060A48DA" w14:textId="77777777" w:rsidR="0070198B" w:rsidRDefault="0070198B" w:rsidP="0070198B">
      <w:pPr>
        <w:spacing w:after="0" w:line="240" w:lineRule="auto"/>
        <w:rPr>
          <w:rFonts w:ascii="Verdana" w:eastAsia="Aptos" w:hAnsi="Verdana" w:cs="Times New Roman"/>
          <w:sz w:val="20"/>
          <w:szCs w:val="20"/>
        </w:rPr>
      </w:pPr>
    </w:p>
    <w:p w14:paraId="53998F83" w14:textId="77777777" w:rsidR="0070198B" w:rsidRDefault="0070198B" w:rsidP="0070198B">
      <w:pPr>
        <w:spacing w:after="0" w:line="240" w:lineRule="auto"/>
        <w:rPr>
          <w:rFonts w:ascii="Verdana" w:eastAsia="Aptos" w:hAnsi="Verdana" w:cs="Times New Roman"/>
          <w:sz w:val="20"/>
          <w:szCs w:val="20"/>
        </w:rPr>
      </w:pPr>
    </w:p>
    <w:p w14:paraId="452376E5" w14:textId="77777777" w:rsidR="0070198B" w:rsidRDefault="0070198B" w:rsidP="0070198B">
      <w:pPr>
        <w:spacing w:after="0" w:line="240" w:lineRule="auto"/>
        <w:rPr>
          <w:rFonts w:ascii="Verdana" w:eastAsia="Aptos" w:hAnsi="Verdana" w:cs="Times New Roman"/>
          <w:sz w:val="20"/>
          <w:szCs w:val="20"/>
        </w:rPr>
      </w:pPr>
    </w:p>
    <w:p w14:paraId="7C951504" w14:textId="77777777" w:rsidR="0070198B" w:rsidRDefault="0070198B" w:rsidP="0070198B">
      <w:pPr>
        <w:spacing w:after="0" w:line="240" w:lineRule="auto"/>
        <w:rPr>
          <w:rFonts w:ascii="Verdana" w:eastAsia="Aptos" w:hAnsi="Verdana" w:cs="Times New Roman"/>
          <w:sz w:val="20"/>
          <w:szCs w:val="20"/>
        </w:rPr>
      </w:pPr>
    </w:p>
    <w:p w14:paraId="7E5434E2" w14:textId="77777777" w:rsidR="0070198B" w:rsidRDefault="0070198B" w:rsidP="0070198B">
      <w:pPr>
        <w:spacing w:after="0" w:line="240" w:lineRule="auto"/>
        <w:rPr>
          <w:rFonts w:ascii="Verdana" w:eastAsia="Aptos" w:hAnsi="Verdana" w:cs="Times New Roman"/>
          <w:sz w:val="20"/>
          <w:szCs w:val="20"/>
        </w:rPr>
      </w:pPr>
    </w:p>
    <w:p w14:paraId="7F7DBACF" w14:textId="77777777" w:rsidR="0070198B" w:rsidRPr="00116042" w:rsidRDefault="0070198B" w:rsidP="0070198B">
      <w:pPr>
        <w:spacing w:after="0" w:line="240" w:lineRule="auto"/>
        <w:rPr>
          <w:rFonts w:ascii="Verdana" w:eastAsia="Aptos" w:hAnsi="Verdana" w:cs="Times New Roman"/>
          <w:sz w:val="20"/>
          <w:szCs w:val="20"/>
        </w:rPr>
      </w:pPr>
    </w:p>
    <w:p w14:paraId="15748905" w14:textId="77777777" w:rsidR="0070198B" w:rsidRPr="00116042" w:rsidRDefault="0070198B" w:rsidP="0070198B">
      <w:pPr>
        <w:spacing w:after="0" w:line="240" w:lineRule="auto"/>
        <w:rPr>
          <w:rFonts w:ascii="Verdana" w:eastAsia="Aptos" w:hAnsi="Verdana" w:cs="Times New Roman"/>
          <w:sz w:val="20"/>
          <w:szCs w:val="20"/>
        </w:rPr>
      </w:pPr>
    </w:p>
    <w:p w14:paraId="32B934FF" w14:textId="77777777" w:rsidR="0070198B" w:rsidRPr="00116042" w:rsidRDefault="0070198B" w:rsidP="0070198B">
      <w:pPr>
        <w:spacing w:after="0" w:line="240" w:lineRule="auto"/>
        <w:rPr>
          <w:rFonts w:ascii="Verdana" w:eastAsia="Aptos" w:hAnsi="Verdana" w:cs="Times New Roman"/>
          <w:sz w:val="20"/>
          <w:szCs w:val="20"/>
        </w:rPr>
      </w:pPr>
    </w:p>
    <w:p w14:paraId="0632EC9D" w14:textId="77777777" w:rsidR="0070198B" w:rsidRPr="00116042" w:rsidRDefault="0070198B" w:rsidP="0070198B">
      <w:pPr>
        <w:spacing w:after="0" w:line="240" w:lineRule="auto"/>
        <w:rPr>
          <w:rFonts w:ascii="Verdana" w:eastAsia="Aptos" w:hAnsi="Verdana" w:cs="Times New Roman"/>
          <w:sz w:val="20"/>
          <w:szCs w:val="20"/>
        </w:rPr>
      </w:pPr>
    </w:p>
    <w:p w14:paraId="6AABEB92" w14:textId="77777777" w:rsidR="0070198B" w:rsidRPr="00116042" w:rsidRDefault="0070198B" w:rsidP="0070198B">
      <w:pPr>
        <w:spacing w:after="0" w:line="240" w:lineRule="auto"/>
        <w:rPr>
          <w:rFonts w:ascii="Verdana" w:eastAsia="Aptos" w:hAnsi="Verdana" w:cs="Times New Roman"/>
          <w:sz w:val="20"/>
          <w:szCs w:val="20"/>
        </w:rPr>
      </w:pPr>
    </w:p>
    <w:p w14:paraId="60792424" w14:textId="77777777" w:rsidR="0070198B" w:rsidRPr="00116042" w:rsidRDefault="0070198B" w:rsidP="0070198B">
      <w:pPr>
        <w:spacing w:after="0" w:line="240" w:lineRule="auto"/>
        <w:rPr>
          <w:rFonts w:ascii="Verdana" w:eastAsia="Aptos" w:hAnsi="Verdana" w:cs="Times New Roman"/>
          <w:sz w:val="20"/>
          <w:szCs w:val="20"/>
        </w:rPr>
      </w:pPr>
    </w:p>
    <w:p w14:paraId="226C6CB2" w14:textId="77777777" w:rsidR="0070198B" w:rsidRPr="00116042" w:rsidRDefault="0070198B" w:rsidP="0070198B">
      <w:pPr>
        <w:spacing w:after="0" w:line="240" w:lineRule="auto"/>
        <w:rPr>
          <w:rFonts w:ascii="Verdana" w:eastAsia="Aptos" w:hAnsi="Verdana" w:cs="Times New Roman"/>
          <w:sz w:val="20"/>
          <w:szCs w:val="20"/>
        </w:rPr>
      </w:pPr>
    </w:p>
    <w:p w14:paraId="3492A68E" w14:textId="77777777" w:rsidR="0070198B" w:rsidRPr="00116042" w:rsidRDefault="0070198B" w:rsidP="0070198B">
      <w:pPr>
        <w:spacing w:after="0" w:line="240" w:lineRule="auto"/>
        <w:rPr>
          <w:rFonts w:ascii="Verdana" w:eastAsia="Aptos" w:hAnsi="Verdana" w:cs="Times New Roman"/>
          <w:sz w:val="20"/>
          <w:szCs w:val="20"/>
        </w:rPr>
      </w:pPr>
    </w:p>
    <w:p w14:paraId="790C70C5" w14:textId="77777777" w:rsidR="0070198B" w:rsidRPr="00116042" w:rsidRDefault="0070198B" w:rsidP="0070198B">
      <w:pPr>
        <w:spacing w:after="0" w:line="240" w:lineRule="auto"/>
        <w:rPr>
          <w:rFonts w:ascii="Verdana" w:eastAsia="Aptos" w:hAnsi="Verdana" w:cs="Times New Roman"/>
          <w:sz w:val="20"/>
          <w:szCs w:val="20"/>
        </w:rPr>
      </w:pPr>
    </w:p>
    <w:p w14:paraId="6D4F37F0" w14:textId="43AD0B4B" w:rsidR="0070198B" w:rsidRPr="00D00D2E" w:rsidRDefault="0070198B" w:rsidP="0070198B">
      <w:pPr>
        <w:spacing w:after="0" w:line="240" w:lineRule="auto"/>
        <w:rPr>
          <w:rFonts w:ascii="Verdana" w:eastAsia="Geomanist Light" w:hAnsi="Verdana" w:cs="Arial"/>
          <w:lang w:val="es-MX"/>
        </w:rPr>
      </w:pPr>
      <w:r w:rsidRPr="00D00D2E">
        <w:rPr>
          <w:rFonts w:ascii="Verdana" w:eastAsia="Geomanist Light" w:hAnsi="Verdana" w:cs="Arial"/>
          <w:lang w:val="es-MX"/>
        </w:rPr>
        <w:lastRenderedPageBreak/>
        <w:t>Bogotá D.C., </w:t>
      </w:r>
      <w:r w:rsidR="00EF7527">
        <w:rPr>
          <w:rFonts w:ascii="Verdana" w:eastAsia="Geomanist Light" w:hAnsi="Verdana" w:cs="Arial"/>
          <w:lang w:val="es-MX"/>
        </w:rPr>
        <w:t>26 de agosto de 2026</w:t>
      </w:r>
    </w:p>
    <w:p w14:paraId="1321F47E" w14:textId="77777777" w:rsidR="0070198B" w:rsidRPr="00116042" w:rsidRDefault="0070198B" w:rsidP="0070198B">
      <w:pPr>
        <w:spacing w:after="0" w:line="240" w:lineRule="auto"/>
        <w:jc w:val="both"/>
        <w:rPr>
          <w:rFonts w:ascii="Verdana" w:eastAsia="Calibri" w:hAnsi="Verdana" w:cs="Arial"/>
          <w:lang w:val="es-ES"/>
        </w:rPr>
      </w:pPr>
    </w:p>
    <w:p w14:paraId="18AD3475" w14:textId="61A12600" w:rsidR="0070198B" w:rsidRPr="00116042" w:rsidRDefault="00EF7527" w:rsidP="0070198B">
      <w:pPr>
        <w:spacing w:after="0" w:line="240" w:lineRule="auto"/>
        <w:jc w:val="right"/>
        <w:rPr>
          <w:rFonts w:ascii="Verdana" w:eastAsia="Calibri" w:hAnsi="Verdana" w:cs="Arial"/>
          <w:lang w:val="es-ES"/>
        </w:rPr>
      </w:pPr>
      <w:r w:rsidRPr="00EF7527">
        <w:rPr>
          <w:rFonts w:ascii="Verdana" w:eastAsia="Calibri" w:hAnsi="Verdana" w:cs="Arial"/>
          <w:lang w:val="es-ES"/>
        </w:rPr>
        <w:drawing>
          <wp:inline distT="0" distB="0" distL="0" distR="0" wp14:anchorId="7E3BCB34" wp14:editId="56EF77BC">
            <wp:extent cx="2514951" cy="695422"/>
            <wp:effectExtent l="0" t="0" r="0" b="9525"/>
            <wp:docPr id="16285812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581281" name=""/>
                    <pic:cNvPicPr/>
                  </pic:nvPicPr>
                  <pic:blipFill>
                    <a:blip r:embed="rId10"/>
                    <a:stretch>
                      <a:fillRect/>
                    </a:stretch>
                  </pic:blipFill>
                  <pic:spPr>
                    <a:xfrm>
                      <a:off x="0" y="0"/>
                      <a:ext cx="2514951" cy="695422"/>
                    </a:xfrm>
                    <a:prstGeom prst="rect">
                      <a:avLst/>
                    </a:prstGeom>
                  </pic:spPr>
                </pic:pic>
              </a:graphicData>
            </a:graphic>
          </wp:inline>
        </w:drawing>
      </w:r>
    </w:p>
    <w:p w14:paraId="47C22633" w14:textId="77777777" w:rsidR="0070198B" w:rsidRPr="00116042" w:rsidRDefault="0070198B" w:rsidP="0070198B">
      <w:pPr>
        <w:spacing w:after="0" w:line="240" w:lineRule="auto"/>
        <w:jc w:val="both"/>
        <w:rPr>
          <w:rFonts w:ascii="Verdana" w:eastAsia="Calibri" w:hAnsi="Verdana" w:cs="Arial"/>
          <w:lang w:val="es-ES" w:eastAsia="es-ES"/>
        </w:rPr>
      </w:pPr>
      <w:r w:rsidRPr="00116042">
        <w:rPr>
          <w:rFonts w:ascii="Verdana" w:eastAsia="Calibri" w:hAnsi="Verdana" w:cs="Arial"/>
          <w:lang w:val="es-ES" w:eastAsia="es-ES"/>
        </w:rPr>
        <w:t>Señor</w:t>
      </w:r>
      <w:r>
        <w:rPr>
          <w:rFonts w:ascii="Verdana" w:eastAsia="Calibri" w:hAnsi="Verdana" w:cs="Arial"/>
          <w:lang w:val="es-ES" w:eastAsia="es-ES"/>
        </w:rPr>
        <w:t>a</w:t>
      </w:r>
    </w:p>
    <w:p w14:paraId="7E40471E" w14:textId="77777777" w:rsidR="0070198B" w:rsidRPr="00116042" w:rsidRDefault="0070198B" w:rsidP="0070198B">
      <w:pPr>
        <w:spacing w:after="0" w:line="240" w:lineRule="auto"/>
        <w:jc w:val="both"/>
        <w:rPr>
          <w:rFonts w:ascii="Verdana" w:eastAsia="Calibri" w:hAnsi="Verdana" w:cs="Arial"/>
          <w:b/>
          <w:bCs/>
          <w:lang w:val="es-ES" w:eastAsia="es-ES"/>
        </w:rPr>
      </w:pPr>
      <w:r>
        <w:rPr>
          <w:rFonts w:ascii="Verdana" w:eastAsia="Calibri" w:hAnsi="Verdana" w:cs="Arial"/>
          <w:b/>
          <w:bCs/>
          <w:lang w:val="es-ES" w:eastAsia="es-ES"/>
        </w:rPr>
        <w:t>Nicole Remedios Ortiz Ochoa</w:t>
      </w:r>
    </w:p>
    <w:p w14:paraId="02F54CE1" w14:textId="77777777" w:rsidR="0070198B" w:rsidRPr="00710A66" w:rsidRDefault="0070198B" w:rsidP="0070198B">
      <w:pPr>
        <w:spacing w:after="0" w:line="240" w:lineRule="auto"/>
        <w:rPr>
          <w:rFonts w:ascii="Verdana" w:hAnsi="Verdana"/>
        </w:rPr>
      </w:pPr>
      <w:hyperlink r:id="rId11" w:history="1">
        <w:r w:rsidRPr="00710A66">
          <w:rPr>
            <w:rStyle w:val="Hipervnculo"/>
            <w:rFonts w:ascii="Verdana" w:hAnsi="Verdana"/>
          </w:rPr>
          <w:t>nicole.ortizprofesional@gmail.com</w:t>
        </w:r>
      </w:hyperlink>
      <w:r w:rsidRPr="00710A66">
        <w:rPr>
          <w:rFonts w:ascii="Verdana" w:hAnsi="Verdana"/>
        </w:rPr>
        <w:t xml:space="preserve"> </w:t>
      </w:r>
    </w:p>
    <w:p w14:paraId="1792F456" w14:textId="77777777" w:rsidR="0070198B" w:rsidRDefault="0070198B" w:rsidP="0070198B">
      <w:pPr>
        <w:spacing w:after="0" w:line="240" w:lineRule="auto"/>
        <w:rPr>
          <w:rFonts w:ascii="Verdana" w:eastAsia="Calibri" w:hAnsi="Verdana" w:cs="Arial"/>
          <w:lang w:val="es-ES" w:eastAsia="es-ES"/>
        </w:rPr>
      </w:pPr>
      <w:r>
        <w:rPr>
          <w:rFonts w:ascii="Verdana" w:eastAsia="Calibri" w:hAnsi="Verdana" w:cs="Arial"/>
          <w:lang w:val="es-ES" w:eastAsia="es-ES"/>
        </w:rPr>
        <w:t>Barranquilla, Atlántico</w:t>
      </w:r>
    </w:p>
    <w:p w14:paraId="7BB43B3E" w14:textId="77777777" w:rsidR="0070198B" w:rsidRDefault="0070198B" w:rsidP="0070198B">
      <w:pPr>
        <w:spacing w:after="0" w:line="240" w:lineRule="auto"/>
        <w:rPr>
          <w:rFonts w:ascii="Verdana" w:eastAsia="Calibri" w:hAnsi="Verdana" w:cs="Arial"/>
          <w:b/>
          <w:bCs/>
          <w:lang w:val="es-ES" w:eastAsia="es-ES"/>
        </w:rPr>
      </w:pPr>
    </w:p>
    <w:p w14:paraId="4C51AC9D" w14:textId="77777777" w:rsidR="0070198B" w:rsidRDefault="0070198B" w:rsidP="0070198B">
      <w:pPr>
        <w:spacing w:after="0" w:line="240" w:lineRule="auto"/>
        <w:rPr>
          <w:rFonts w:ascii="Verdana" w:eastAsia="Calibri" w:hAnsi="Verdana" w:cs="Arial"/>
          <w:b/>
          <w:bCs/>
          <w:lang w:val="es-ES" w:eastAsia="es-ES"/>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70198B" w:rsidRPr="00F50E68" w14:paraId="380258E6" w14:textId="77777777" w:rsidTr="00FF1A07">
        <w:trPr>
          <w:trHeight w:val="884"/>
        </w:trPr>
        <w:tc>
          <w:tcPr>
            <w:tcW w:w="2689" w:type="dxa"/>
          </w:tcPr>
          <w:p w14:paraId="7457DCDF" w14:textId="77777777" w:rsidR="0070198B" w:rsidRPr="00F50E68" w:rsidRDefault="0070198B" w:rsidP="00FF1A07">
            <w:pPr>
              <w:jc w:val="both"/>
              <w:rPr>
                <w:rFonts w:ascii="Verdana" w:eastAsia="Calibri" w:hAnsi="Verdana" w:cs="Arial"/>
                <w:b/>
                <w:bCs/>
                <w:lang w:val="es-ES_tradnl" w:eastAsia="es-ES_tradnl"/>
              </w:rPr>
            </w:pPr>
          </w:p>
        </w:tc>
        <w:tc>
          <w:tcPr>
            <w:tcW w:w="6100" w:type="dxa"/>
          </w:tcPr>
          <w:p w14:paraId="69C14F0B" w14:textId="77777777" w:rsidR="0070198B" w:rsidRPr="00F50E68" w:rsidRDefault="0070198B" w:rsidP="00FF1A07">
            <w:pPr>
              <w:jc w:val="both"/>
              <w:rPr>
                <w:rFonts w:ascii="Verdana" w:eastAsia="Calibri" w:hAnsi="Verdana" w:cs="Arial"/>
                <w:b/>
                <w:bCs/>
                <w:lang w:val="es-ES" w:eastAsia="es-ES"/>
              </w:rPr>
            </w:pPr>
            <w:r w:rsidRPr="00F50E68">
              <w:rPr>
                <w:rFonts w:ascii="Verdana" w:eastAsia="Calibri" w:hAnsi="Verdana" w:cs="Arial"/>
                <w:b/>
                <w:bCs/>
                <w:lang w:val="es-ES" w:eastAsia="es-ES"/>
              </w:rPr>
              <w:t>Concepto C-</w:t>
            </w:r>
            <w:r>
              <w:rPr>
                <w:rFonts w:ascii="Verdana" w:eastAsia="Calibri" w:hAnsi="Verdana" w:cs="Arial"/>
                <w:b/>
                <w:bCs/>
                <w:lang w:val="es-ES" w:eastAsia="es-ES"/>
              </w:rPr>
              <w:t>1133</w:t>
            </w:r>
            <w:r w:rsidRPr="00F50E68">
              <w:rPr>
                <w:rFonts w:ascii="Verdana" w:eastAsia="Calibri" w:hAnsi="Verdana" w:cs="Arial"/>
                <w:b/>
                <w:bCs/>
                <w:lang w:val="es-ES" w:eastAsia="es-ES"/>
              </w:rPr>
              <w:t xml:space="preserve"> de 2026</w:t>
            </w:r>
          </w:p>
        </w:tc>
      </w:tr>
      <w:tr w:rsidR="0070198B" w:rsidRPr="00F50E68" w14:paraId="397F48DC" w14:textId="77777777" w:rsidTr="00FF1A07">
        <w:trPr>
          <w:trHeight w:val="884"/>
        </w:trPr>
        <w:tc>
          <w:tcPr>
            <w:tcW w:w="2689" w:type="dxa"/>
          </w:tcPr>
          <w:p w14:paraId="4D194BB7" w14:textId="77777777" w:rsidR="0070198B" w:rsidRPr="00F50E68" w:rsidRDefault="0070198B" w:rsidP="00FF1A07">
            <w:pPr>
              <w:jc w:val="both"/>
              <w:rPr>
                <w:rFonts w:ascii="Verdana" w:eastAsia="Calibri" w:hAnsi="Verdana" w:cs="Arial"/>
                <w:lang w:val="es-ES_tradnl" w:eastAsia="es-ES_tradnl"/>
              </w:rPr>
            </w:pPr>
            <w:r w:rsidRPr="00F50E68">
              <w:rPr>
                <w:rFonts w:ascii="Verdana" w:eastAsia="Calibri" w:hAnsi="Verdana" w:cs="Arial"/>
                <w:b/>
                <w:lang w:val="es-ES_tradnl" w:eastAsia="es-ES_tradnl"/>
              </w:rPr>
              <w:t>Temas:</w:t>
            </w:r>
            <w:r w:rsidRPr="00F50E68">
              <w:rPr>
                <w:rFonts w:ascii="Verdana" w:eastAsia="Calibri" w:hAnsi="Verdana" w:cs="Arial"/>
                <w:lang w:val="es-ES_tradnl" w:eastAsia="es-ES_tradnl"/>
              </w:rPr>
              <w:t xml:space="preserve">                   </w:t>
            </w:r>
          </w:p>
        </w:tc>
        <w:tc>
          <w:tcPr>
            <w:tcW w:w="6100" w:type="dxa"/>
          </w:tcPr>
          <w:p w14:paraId="5E7A955A" w14:textId="77777777" w:rsidR="0070198B" w:rsidRDefault="0070198B" w:rsidP="00FF1A07">
            <w:pPr>
              <w:spacing w:line="276" w:lineRule="auto"/>
              <w:jc w:val="both"/>
              <w:rPr>
                <w:rFonts w:ascii="Verdana" w:eastAsia="Calibri" w:hAnsi="Verdana" w:cs="Arial"/>
                <w:lang w:val="es-ES" w:eastAsia="es-ES"/>
              </w:rPr>
            </w:pPr>
            <w:r w:rsidRPr="00A02347">
              <w:rPr>
                <w:rFonts w:ascii="Verdana" w:eastAsia="Calibri" w:hAnsi="Verdana" w:cs="Arial"/>
                <w:lang w:val="es-ES" w:eastAsia="es-ES"/>
              </w:rPr>
              <w:t xml:space="preserve">TRATO NACIONAL – Noción – Aplicación contratación </w:t>
            </w:r>
            <w:r>
              <w:rPr>
                <w:rFonts w:ascii="Verdana" w:eastAsia="Calibri" w:hAnsi="Verdana" w:cs="Arial"/>
                <w:lang w:val="es-ES" w:eastAsia="es-ES"/>
              </w:rPr>
              <w:t xml:space="preserve">pública / </w:t>
            </w:r>
            <w:r w:rsidRPr="00DE7529">
              <w:rPr>
                <w:rFonts w:ascii="Verdana" w:eastAsia="Calibri" w:hAnsi="Verdana" w:cs="Arial"/>
                <w:lang w:val="es-ES" w:eastAsia="es-ES"/>
              </w:rPr>
              <w:t>APOYO A LA INDUSTRIA NACIONAL – Criterio de calificación – Puntaje adicional – Discrecionalidad de la entidad estatal</w:t>
            </w:r>
            <w:r>
              <w:rPr>
                <w:rFonts w:ascii="Verdana" w:eastAsia="Calibri" w:hAnsi="Verdana" w:cs="Arial"/>
                <w:lang w:val="es-ES" w:eastAsia="es-ES"/>
              </w:rPr>
              <w:t xml:space="preserve"> / </w:t>
            </w:r>
            <w:r w:rsidRPr="007132D0">
              <w:rPr>
                <w:rFonts w:ascii="Verdana" w:eastAsia="Calibri" w:hAnsi="Verdana" w:cs="Arial"/>
                <w:lang w:val="es-ES" w:eastAsia="es-ES"/>
              </w:rPr>
              <w:t>APOYO A LA INDUSTRIA NACIONAL – Acceso al puntaje adicional – Acreditación – Discrecionalidad de la entidad estatal</w:t>
            </w:r>
          </w:p>
          <w:p w14:paraId="1FC090CA" w14:textId="77777777" w:rsidR="0070198B" w:rsidRPr="00F50E68" w:rsidRDefault="0070198B" w:rsidP="00FF1A07">
            <w:pPr>
              <w:spacing w:line="276" w:lineRule="auto"/>
              <w:jc w:val="both"/>
              <w:rPr>
                <w:rFonts w:ascii="Verdana" w:eastAsia="Calibri" w:hAnsi="Verdana" w:cs="Arial"/>
                <w:lang w:val="es-ES" w:eastAsia="es-ES"/>
              </w:rPr>
            </w:pPr>
          </w:p>
        </w:tc>
      </w:tr>
      <w:tr w:rsidR="0070198B" w:rsidRPr="00F50E68" w14:paraId="43E987E6" w14:textId="77777777" w:rsidTr="00FF1A07">
        <w:tc>
          <w:tcPr>
            <w:tcW w:w="2689" w:type="dxa"/>
          </w:tcPr>
          <w:p w14:paraId="631AF198" w14:textId="77777777" w:rsidR="0070198B" w:rsidRPr="00F50E68" w:rsidRDefault="0070198B" w:rsidP="00FF1A07">
            <w:pPr>
              <w:jc w:val="both"/>
              <w:rPr>
                <w:rFonts w:ascii="Verdana" w:eastAsia="Calibri" w:hAnsi="Verdana" w:cs="Arial"/>
                <w:b/>
                <w:lang w:val="es-ES_tradnl" w:eastAsia="es-ES_tradnl"/>
              </w:rPr>
            </w:pPr>
            <w:r w:rsidRPr="00F50E68">
              <w:rPr>
                <w:rFonts w:ascii="Verdana" w:eastAsia="Calibri" w:hAnsi="Verdana" w:cs="Arial"/>
                <w:b/>
                <w:lang w:val="es-ES_tradnl" w:eastAsia="es-ES_tradnl"/>
              </w:rPr>
              <w:t>Radicación:</w:t>
            </w:r>
            <w:r w:rsidRPr="00F50E68">
              <w:rPr>
                <w:rFonts w:ascii="Verdana" w:eastAsia="Calibri" w:hAnsi="Verdana" w:cs="Arial"/>
                <w:lang w:val="es-ES_tradnl" w:eastAsia="es-ES_tradnl"/>
              </w:rPr>
              <w:t xml:space="preserve">               </w:t>
            </w:r>
          </w:p>
        </w:tc>
        <w:tc>
          <w:tcPr>
            <w:tcW w:w="6100" w:type="dxa"/>
          </w:tcPr>
          <w:p w14:paraId="1BB32D9C" w14:textId="77777777" w:rsidR="0070198B" w:rsidRPr="00F50E68" w:rsidRDefault="0070198B" w:rsidP="00FF1A07">
            <w:pPr>
              <w:jc w:val="both"/>
              <w:rPr>
                <w:rFonts w:ascii="Verdana" w:eastAsia="Calibri" w:hAnsi="Verdana" w:cs="Arial"/>
                <w:lang w:val="es-ES" w:eastAsia="es-ES"/>
              </w:rPr>
            </w:pPr>
            <w:r w:rsidRPr="54A7A71A">
              <w:rPr>
                <w:rFonts w:ascii="Verdana" w:eastAsia="Calibri" w:hAnsi="Verdana" w:cs="Arial"/>
                <w:lang w:val="es-ES" w:eastAsia="es-ES"/>
              </w:rPr>
              <w:t xml:space="preserve">Respuesta a consulta con radicado No. </w:t>
            </w:r>
            <w:r w:rsidRPr="000328A8">
              <w:rPr>
                <w:rFonts w:ascii="Verdana" w:eastAsia="Calibri" w:hAnsi="Verdana" w:cs="Arial"/>
                <w:lang w:eastAsia="es-ES_tradnl"/>
              </w:rPr>
              <w:t>1_2026_07_15_009373</w:t>
            </w:r>
          </w:p>
        </w:tc>
      </w:tr>
    </w:tbl>
    <w:p w14:paraId="710F4E4E" w14:textId="77777777" w:rsidR="0070198B" w:rsidRDefault="0070198B" w:rsidP="0070198B">
      <w:pPr>
        <w:spacing w:after="0" w:line="240" w:lineRule="auto"/>
        <w:jc w:val="both"/>
        <w:rPr>
          <w:rFonts w:ascii="Verdana" w:eastAsia="Calibri" w:hAnsi="Verdana" w:cs="Arial"/>
          <w:lang w:val="es-ES_tradnl" w:eastAsia="es-ES_tradnl"/>
        </w:rPr>
      </w:pPr>
    </w:p>
    <w:p w14:paraId="733BF8AC" w14:textId="77777777" w:rsidR="0070198B" w:rsidRPr="00116042" w:rsidRDefault="0070198B" w:rsidP="0070198B">
      <w:pPr>
        <w:spacing w:after="0" w:line="240" w:lineRule="auto"/>
        <w:jc w:val="both"/>
        <w:rPr>
          <w:rFonts w:ascii="Verdana" w:eastAsia="Calibri" w:hAnsi="Verdana" w:cs="Arial"/>
          <w:lang w:val="es-ES_tradnl" w:eastAsia="es-ES_tradnl"/>
        </w:rPr>
      </w:pPr>
    </w:p>
    <w:p w14:paraId="5EBFE5E1" w14:textId="77777777" w:rsidR="0070198B" w:rsidRPr="00116042" w:rsidRDefault="0070198B" w:rsidP="0070198B">
      <w:pPr>
        <w:spacing w:after="0" w:line="276" w:lineRule="auto"/>
        <w:jc w:val="both"/>
        <w:rPr>
          <w:rFonts w:ascii="Verdana" w:eastAsia="Calibri" w:hAnsi="Verdana" w:cs="Arial"/>
          <w:lang w:val="es-ES" w:eastAsia="es-ES"/>
        </w:rPr>
      </w:pPr>
      <w:r w:rsidRPr="00116042">
        <w:rPr>
          <w:rFonts w:ascii="Verdana" w:eastAsia="Calibri" w:hAnsi="Verdana" w:cs="Arial"/>
          <w:lang w:val="es-ES" w:eastAsia="es-ES"/>
        </w:rPr>
        <w:t>Estimad</w:t>
      </w:r>
      <w:r>
        <w:rPr>
          <w:rFonts w:ascii="Verdana" w:eastAsia="Calibri" w:hAnsi="Verdana" w:cs="Arial"/>
          <w:lang w:val="es-ES" w:eastAsia="es-ES"/>
        </w:rPr>
        <w:t>a</w:t>
      </w:r>
      <w:r w:rsidRPr="00116042">
        <w:rPr>
          <w:rFonts w:ascii="Verdana" w:eastAsia="Calibri" w:hAnsi="Verdana" w:cs="Arial"/>
          <w:lang w:val="es-ES" w:eastAsia="es-ES"/>
        </w:rPr>
        <w:t xml:space="preserve"> Señor</w:t>
      </w:r>
      <w:r>
        <w:rPr>
          <w:rFonts w:ascii="Verdana" w:eastAsia="Calibri" w:hAnsi="Verdana" w:cs="Arial"/>
          <w:lang w:val="es-ES" w:eastAsia="es-ES"/>
        </w:rPr>
        <w:t>a</w:t>
      </w:r>
      <w:r w:rsidRPr="00116042">
        <w:rPr>
          <w:rFonts w:ascii="Verdana" w:eastAsia="Calibri" w:hAnsi="Verdana" w:cs="Arial"/>
          <w:lang w:val="es-ES" w:eastAsia="es-ES"/>
        </w:rPr>
        <w:t xml:space="preserve"> </w:t>
      </w:r>
      <w:r>
        <w:rPr>
          <w:rFonts w:ascii="Verdana" w:eastAsia="Calibri" w:hAnsi="Verdana" w:cs="Arial"/>
          <w:lang w:val="es-ES" w:eastAsia="es-ES"/>
        </w:rPr>
        <w:t>Ortiz</w:t>
      </w:r>
      <w:r w:rsidRPr="00116042">
        <w:rPr>
          <w:rFonts w:ascii="Verdana" w:eastAsia="Calibri" w:hAnsi="Verdana" w:cs="Arial"/>
          <w:lang w:val="es-ES" w:eastAsia="es-ES"/>
        </w:rPr>
        <w:t xml:space="preserve">: </w:t>
      </w:r>
    </w:p>
    <w:p w14:paraId="02E2CB46" w14:textId="77777777" w:rsidR="0070198B" w:rsidRPr="00116042" w:rsidRDefault="0070198B" w:rsidP="0070198B">
      <w:pPr>
        <w:tabs>
          <w:tab w:val="left" w:pos="3768"/>
        </w:tabs>
        <w:spacing w:after="0" w:line="276" w:lineRule="auto"/>
        <w:jc w:val="both"/>
        <w:rPr>
          <w:rFonts w:ascii="Verdana" w:eastAsia="Calibri" w:hAnsi="Verdana" w:cs="Arial"/>
          <w:lang w:val="es-ES" w:eastAsia="es-ES"/>
        </w:rPr>
      </w:pPr>
    </w:p>
    <w:p w14:paraId="519CEA6F" w14:textId="77777777" w:rsidR="0070198B" w:rsidRPr="00116042" w:rsidRDefault="0070198B" w:rsidP="0070198B">
      <w:pPr>
        <w:spacing w:after="0" w:line="276" w:lineRule="auto"/>
        <w:jc w:val="both"/>
        <w:rPr>
          <w:rFonts w:ascii="Verdana" w:eastAsia="Calibri" w:hAnsi="Verdana" w:cs="Arial"/>
          <w:lang w:val="es-ES" w:eastAsia="es-ES"/>
        </w:rPr>
      </w:pPr>
      <w:r w:rsidRPr="00116042">
        <w:rPr>
          <w:rFonts w:ascii="Verdana" w:eastAsia="Calibri" w:hAnsi="Verdana" w:cs="Arial"/>
          <w:lang w:val="es-ES" w:eastAsia="es-ES"/>
        </w:rPr>
        <w:t>En ejercicio de la competencia otorgada por los artículos 3, numeral 5º, y 11, numeral 8º, del Decreto Ley 4170 de 2011,</w:t>
      </w:r>
      <w:r w:rsidRPr="00116042">
        <w:rPr>
          <w:rFonts w:ascii="Verdana" w:eastAsia="Arial MT" w:hAnsi="Verdana" w:cs="Arial MT"/>
          <w:lang w:val="es-ES" w:eastAsia="es-ES"/>
        </w:rPr>
        <w:t xml:space="preserve"> </w:t>
      </w:r>
      <w:r w:rsidRPr="00116042">
        <w:rPr>
          <w:rFonts w:ascii="Verdana" w:eastAsia="Aptos" w:hAnsi="Verdana" w:cs="Arial"/>
        </w:rPr>
        <w:t xml:space="preserve">así como lo establecido en el artículo 4 de la Resolución 1707 de 2018 expedida por esta Entidad, </w:t>
      </w:r>
      <w:r w:rsidRPr="00116042">
        <w:rPr>
          <w:rFonts w:ascii="Verdana" w:eastAsia="Calibri" w:hAnsi="Verdana" w:cs="Arial"/>
          <w:lang w:val="es-ES" w:eastAsia="es-ES"/>
        </w:rPr>
        <w:t xml:space="preserve">la Agencia Nacional de Contratación Pública – Colombia Compra Eficiente– responde su petición del </w:t>
      </w:r>
      <w:r>
        <w:rPr>
          <w:rFonts w:ascii="Verdana" w:eastAsia="Calibri" w:hAnsi="Verdana" w:cs="Arial"/>
          <w:lang w:val="es-ES" w:eastAsia="es-ES"/>
        </w:rPr>
        <w:t>15 de julio</w:t>
      </w:r>
      <w:r w:rsidRPr="00116042">
        <w:rPr>
          <w:rFonts w:ascii="Verdana" w:eastAsia="Calibri" w:hAnsi="Verdana" w:cs="Arial"/>
          <w:lang w:val="es-ES" w:eastAsia="es-ES"/>
        </w:rPr>
        <w:t xml:space="preserve"> de 2026, en la que solicita lo siguiente: </w:t>
      </w:r>
    </w:p>
    <w:p w14:paraId="0BDA9266" w14:textId="77777777" w:rsidR="0070198B" w:rsidRPr="00116042" w:rsidRDefault="0070198B" w:rsidP="0070198B">
      <w:pPr>
        <w:spacing w:after="0" w:line="276" w:lineRule="auto"/>
        <w:jc w:val="both"/>
        <w:rPr>
          <w:rFonts w:ascii="Verdana" w:eastAsia="Calibri" w:hAnsi="Verdana" w:cs="Arial"/>
          <w:lang w:val="es-ES" w:eastAsia="es-ES"/>
        </w:rPr>
      </w:pPr>
    </w:p>
    <w:p w14:paraId="5B2F1703" w14:textId="77777777" w:rsidR="0070198B" w:rsidRDefault="0070198B" w:rsidP="0070198B">
      <w:pPr>
        <w:spacing w:after="0" w:line="240" w:lineRule="auto"/>
        <w:ind w:left="709" w:right="709"/>
        <w:jc w:val="both"/>
        <w:rPr>
          <w:rFonts w:ascii="Verdana" w:eastAsia="Calibri" w:hAnsi="Verdana" w:cs="Arial"/>
          <w:sz w:val="20"/>
          <w:szCs w:val="20"/>
          <w:lang w:val="es-MX"/>
        </w:rPr>
      </w:pPr>
      <w:r w:rsidRPr="00116042">
        <w:rPr>
          <w:rFonts w:ascii="Verdana" w:eastAsia="Calibri" w:hAnsi="Verdana" w:cs="Arial"/>
          <w:sz w:val="20"/>
          <w:szCs w:val="20"/>
          <w:lang w:val="es-MX"/>
        </w:rPr>
        <w:t>“</w:t>
      </w:r>
      <w:r>
        <w:rPr>
          <w:rFonts w:ascii="Verdana" w:eastAsia="Calibri" w:hAnsi="Verdana" w:cs="Arial"/>
          <w:sz w:val="20"/>
          <w:szCs w:val="20"/>
          <w:lang w:val="es-MX"/>
        </w:rPr>
        <w:t xml:space="preserve">En ejercicio de las funciones de orientación e interpretación que esa Agencia Nacional de Contratación Pública desarrolla respecto del Sistema de Compra Pública, respetuosamente solicitamos emitir un concepto orientador sobre la forma de acreditación del incentivo denominado Apoyo </w:t>
      </w:r>
      <w:r>
        <w:rPr>
          <w:rFonts w:ascii="Verdana" w:eastAsia="Calibri" w:hAnsi="Verdana" w:cs="Arial"/>
          <w:sz w:val="20"/>
          <w:szCs w:val="20"/>
          <w:lang w:val="es-MX"/>
        </w:rPr>
        <w:lastRenderedPageBreak/>
        <w:t>a la Industria Nacional, previsto en el artículo 2.2.1.2.4.2.1 del Decreto 1082 de 2015, modificado por el Decreto 680 de 2021.</w:t>
      </w:r>
    </w:p>
    <w:p w14:paraId="3892C4A1" w14:textId="77777777" w:rsidR="0070198B" w:rsidRPr="000328A8" w:rsidRDefault="0070198B" w:rsidP="0070198B">
      <w:pPr>
        <w:spacing w:after="0" w:line="240" w:lineRule="auto"/>
        <w:ind w:left="709" w:right="709"/>
        <w:jc w:val="both"/>
        <w:rPr>
          <w:rFonts w:ascii="Verdana" w:eastAsia="Calibri" w:hAnsi="Verdana" w:cs="Arial"/>
          <w:lang w:val="es-ES" w:eastAsia="es-ES"/>
        </w:rPr>
      </w:pPr>
      <w:r>
        <w:rPr>
          <w:rFonts w:ascii="Verdana" w:eastAsia="Calibri" w:hAnsi="Verdana" w:cs="Arial"/>
          <w:sz w:val="20"/>
          <w:szCs w:val="20"/>
          <w:lang w:val="es-MX"/>
        </w:rPr>
        <w:t>[…]” [sic]</w:t>
      </w:r>
      <w:r>
        <w:rPr>
          <w:rFonts w:ascii="Verdana" w:eastAsia="Calibri" w:hAnsi="Verdana" w:cs="Arial"/>
          <w:b/>
          <w:bCs/>
          <w:sz w:val="20"/>
          <w:szCs w:val="20"/>
          <w:lang w:val="es-MX"/>
        </w:rPr>
        <w:t xml:space="preserve"> </w:t>
      </w:r>
    </w:p>
    <w:p w14:paraId="718E1599" w14:textId="77777777" w:rsidR="0070198B" w:rsidRPr="00116042" w:rsidRDefault="0070198B" w:rsidP="0070198B">
      <w:pPr>
        <w:pStyle w:val="Prrafodelista"/>
        <w:spacing w:after="0" w:line="240" w:lineRule="auto"/>
        <w:ind w:left="1069" w:right="709"/>
        <w:jc w:val="both"/>
        <w:rPr>
          <w:rFonts w:ascii="Verdana" w:eastAsia="Calibri" w:hAnsi="Verdana" w:cs="Arial"/>
          <w:lang w:eastAsia="es-ES"/>
        </w:rPr>
      </w:pPr>
    </w:p>
    <w:p w14:paraId="72DF88DD" w14:textId="77777777" w:rsidR="0070198B" w:rsidRPr="00116042" w:rsidRDefault="0070198B" w:rsidP="0070198B">
      <w:pPr>
        <w:spacing w:after="120" w:line="276" w:lineRule="auto"/>
        <w:jc w:val="both"/>
        <w:rPr>
          <w:rFonts w:ascii="Verdana" w:eastAsia="Calibri" w:hAnsi="Verdana" w:cs="Arial"/>
          <w:lang w:val="es-ES" w:eastAsia="es-ES"/>
        </w:rPr>
      </w:pPr>
      <w:r w:rsidRPr="00116042">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y Contratación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049270E9" w14:textId="77777777" w:rsidR="0070198B" w:rsidRPr="00116042" w:rsidRDefault="0070198B" w:rsidP="0070198B">
      <w:pPr>
        <w:spacing w:after="0" w:line="276" w:lineRule="auto"/>
        <w:ind w:firstLine="709"/>
        <w:jc w:val="both"/>
        <w:rPr>
          <w:rFonts w:ascii="Verdana" w:eastAsia="Calibri" w:hAnsi="Verdana" w:cs="Arial"/>
          <w:lang w:val="es-ES" w:eastAsia="es-ES"/>
        </w:rPr>
      </w:pPr>
      <w:r w:rsidRPr="00116042">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01026068" w14:textId="77777777" w:rsidR="0070198B" w:rsidRPr="00116042" w:rsidRDefault="0070198B" w:rsidP="0070198B">
      <w:pPr>
        <w:spacing w:after="0" w:line="276" w:lineRule="auto"/>
        <w:ind w:firstLine="709"/>
        <w:jc w:val="both"/>
        <w:rPr>
          <w:rFonts w:ascii="Verdana" w:eastAsia="Calibri" w:hAnsi="Verdana" w:cs="Arial"/>
          <w:lang w:val="es-ES" w:eastAsia="es-ES"/>
        </w:rPr>
      </w:pPr>
    </w:p>
    <w:p w14:paraId="53392D61" w14:textId="77777777" w:rsidR="0070198B" w:rsidRPr="00116042" w:rsidRDefault="0070198B" w:rsidP="0070198B">
      <w:pPr>
        <w:widowControl w:val="0"/>
        <w:autoSpaceDE w:val="0"/>
        <w:autoSpaceDN w:val="0"/>
        <w:spacing w:before="1" w:after="0" w:line="240" w:lineRule="auto"/>
        <w:ind w:left="360" w:hanging="360"/>
        <w:jc w:val="both"/>
        <w:outlineLvl w:val="0"/>
        <w:rPr>
          <w:rFonts w:ascii="Verdana" w:eastAsia="Arial" w:hAnsi="Verdana" w:cs="Arial"/>
          <w:b/>
          <w:bCs/>
          <w:lang w:val="es-ES"/>
        </w:rPr>
      </w:pPr>
      <w:r w:rsidRPr="00116042">
        <w:rPr>
          <w:rFonts w:ascii="Verdana" w:eastAsia="Arial" w:hAnsi="Verdana" w:cs="Arial"/>
          <w:b/>
          <w:bCs/>
          <w:lang w:val="es-ES"/>
        </w:rPr>
        <w:t>1. Problema planteado:</w:t>
      </w:r>
    </w:p>
    <w:p w14:paraId="538EB389" w14:textId="77777777" w:rsidR="0070198B" w:rsidRPr="00116042" w:rsidRDefault="0070198B" w:rsidP="0070198B">
      <w:pPr>
        <w:tabs>
          <w:tab w:val="left" w:pos="426"/>
        </w:tabs>
        <w:spacing w:after="0" w:line="276" w:lineRule="auto"/>
        <w:jc w:val="both"/>
        <w:rPr>
          <w:rFonts w:ascii="Verdana" w:eastAsia="Century Gothic" w:hAnsi="Verdana" w:cs="Century Gothic"/>
          <w:lang w:val="es-ES"/>
        </w:rPr>
      </w:pPr>
    </w:p>
    <w:p w14:paraId="248A7726" w14:textId="77777777" w:rsidR="0070198B" w:rsidRPr="00116042" w:rsidRDefault="0070198B" w:rsidP="0070198B">
      <w:pPr>
        <w:spacing w:after="0" w:line="276" w:lineRule="auto"/>
        <w:jc w:val="both"/>
        <w:rPr>
          <w:rFonts w:ascii="Verdana" w:eastAsia="Century Gothic" w:hAnsi="Verdana" w:cs="Century Gothic"/>
        </w:rPr>
      </w:pPr>
      <w:r w:rsidRPr="00116042">
        <w:rPr>
          <w:rFonts w:ascii="Verdana" w:eastAsia="Century Gothic" w:hAnsi="Verdana" w:cs="Century Gothic"/>
        </w:rPr>
        <w:t xml:space="preserve">De acuerdo con el contenido de su solicitud, le informamos que la misma se resolverá desde </w:t>
      </w:r>
      <w:bookmarkStart w:id="1" w:name="_Hlk171070029"/>
      <w:r>
        <w:rPr>
          <w:rFonts w:ascii="Verdana" w:eastAsia="Century Gothic" w:hAnsi="Verdana" w:cs="Century Gothic"/>
        </w:rPr>
        <w:t>el siguiente interrogante</w:t>
      </w:r>
      <w:r w:rsidRPr="00116042">
        <w:rPr>
          <w:rFonts w:ascii="Verdana" w:eastAsia="Century Gothic" w:hAnsi="Verdana" w:cs="Century Gothic"/>
        </w:rPr>
        <w:t xml:space="preserve">: </w:t>
      </w:r>
      <w:r>
        <w:rPr>
          <w:rFonts w:ascii="Verdana" w:eastAsia="Century Gothic" w:hAnsi="Verdana" w:cs="Century Gothic"/>
        </w:rPr>
        <w:t>¿Cómo pueden acreditarse los requisitos normativos dispuestos para la asignación de puntaje adicional por apoyo a la industria nacional?</w:t>
      </w:r>
    </w:p>
    <w:p w14:paraId="6F09A140" w14:textId="77777777" w:rsidR="0070198B" w:rsidRPr="00116042" w:rsidRDefault="0070198B" w:rsidP="0070198B">
      <w:pPr>
        <w:spacing w:after="0"/>
        <w:jc w:val="both"/>
        <w:rPr>
          <w:rFonts w:ascii="Verdana" w:eastAsia="Aptos" w:hAnsi="Verdana" w:cs="Arial"/>
        </w:rPr>
      </w:pPr>
    </w:p>
    <w:bookmarkEnd w:id="1"/>
    <w:p w14:paraId="5F7C1A25" w14:textId="77777777" w:rsidR="0070198B" w:rsidRPr="00116042" w:rsidRDefault="0070198B" w:rsidP="0070198B">
      <w:pPr>
        <w:widowControl w:val="0"/>
        <w:autoSpaceDE w:val="0"/>
        <w:autoSpaceDN w:val="0"/>
        <w:spacing w:before="1" w:after="0" w:line="240" w:lineRule="auto"/>
        <w:jc w:val="both"/>
        <w:outlineLvl w:val="0"/>
        <w:rPr>
          <w:rFonts w:ascii="Verdana" w:eastAsia="Arial" w:hAnsi="Verdana" w:cs="Arial"/>
          <w:b/>
          <w:bCs/>
          <w:lang w:val="es-ES"/>
        </w:rPr>
      </w:pPr>
      <w:r w:rsidRPr="00116042">
        <w:rPr>
          <w:rFonts w:ascii="Verdana" w:eastAsia="Arial" w:hAnsi="Verdana" w:cs="Arial"/>
          <w:b/>
          <w:bCs/>
          <w:lang w:val="es-ES"/>
        </w:rPr>
        <w:t>2. Respuesta:</w:t>
      </w:r>
    </w:p>
    <w:p w14:paraId="3703EE0F" w14:textId="77777777" w:rsidR="0070198B" w:rsidRPr="00116042" w:rsidRDefault="0070198B" w:rsidP="0070198B">
      <w:pPr>
        <w:spacing w:after="0"/>
        <w:rPr>
          <w:rFonts w:ascii="Verdana" w:eastAsia="Aptos" w:hAnsi="Verdana" w:cs="Times New Roman"/>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70198B" w:rsidRPr="00116042" w14:paraId="4214C8A7" w14:textId="77777777" w:rsidTr="00FF1A07">
        <w:tc>
          <w:tcPr>
            <w:tcW w:w="8828" w:type="dxa"/>
          </w:tcPr>
          <w:p w14:paraId="2CD08F84" w14:textId="77777777" w:rsidR="0070198B" w:rsidRPr="00870507" w:rsidRDefault="0070198B" w:rsidP="00FF1A07">
            <w:pPr>
              <w:tabs>
                <w:tab w:val="left" w:pos="0"/>
              </w:tabs>
              <w:spacing w:after="120" w:line="276" w:lineRule="auto"/>
              <w:jc w:val="both"/>
              <w:rPr>
                <w:rFonts w:ascii="Verdana" w:eastAsia="Calibri" w:hAnsi="Verdana" w:cs="Arial"/>
                <w:bCs/>
                <w:color w:val="000000"/>
                <w:lang w:val="es-ES"/>
              </w:rPr>
            </w:pPr>
            <w:bookmarkStart w:id="2" w:name="_Hlk171067516"/>
            <w:r w:rsidRPr="00870507">
              <w:rPr>
                <w:rFonts w:ascii="Verdana" w:eastAsia="Calibri" w:hAnsi="Verdana" w:cs="Arial"/>
                <w:bCs/>
                <w:color w:val="000000"/>
                <w:lang w:val="es-ES"/>
              </w:rPr>
              <w:t xml:space="preserve">El puntaje solo debe concederse al proponente que acredite el cumplimiento de los requisitos normativos, ya sea mediante la incorporación de bienes nacionales relevantes o mediante la vinculación del personal colombiano exigido. En consecuencia, la posibilidad de acceder al puntaje por apoyo a la </w:t>
            </w:r>
            <w:r w:rsidRPr="00870507">
              <w:rPr>
                <w:rFonts w:ascii="Verdana" w:eastAsia="Calibri" w:hAnsi="Verdana" w:cs="Arial"/>
                <w:bCs/>
                <w:color w:val="000000"/>
                <w:lang w:val="es-ES"/>
              </w:rPr>
              <w:lastRenderedPageBreak/>
              <w:t>industria nacional no depende exclusivamente de la composición del capital social, sino del cumplimiento de la regla de origen y de las condiciones previstas en la Ley 816 de 2003 y su reglamentación, cuya verificación corresponde a la entidad estatal en cada proceso de contratación.</w:t>
            </w:r>
          </w:p>
          <w:p w14:paraId="581E7B2A" w14:textId="77777777" w:rsidR="0070198B" w:rsidRPr="007548F6" w:rsidRDefault="0070198B" w:rsidP="00FF1A07">
            <w:pPr>
              <w:tabs>
                <w:tab w:val="left" w:pos="0"/>
              </w:tabs>
              <w:spacing w:after="120" w:line="276" w:lineRule="auto"/>
              <w:ind w:firstLine="709"/>
              <w:jc w:val="both"/>
              <w:rPr>
                <w:rFonts w:ascii="Verdana" w:eastAsia="Calibri" w:hAnsi="Verdana" w:cs="Arial"/>
                <w:bCs/>
                <w:color w:val="000000"/>
                <w:lang w:val="es-ES"/>
              </w:rPr>
            </w:pPr>
            <w:r w:rsidRPr="00870507">
              <w:rPr>
                <w:rFonts w:ascii="Verdana" w:eastAsia="Calibri" w:hAnsi="Verdana" w:cs="Arial"/>
                <w:bCs/>
                <w:color w:val="000000"/>
                <w:lang w:val="es-ES"/>
              </w:rPr>
              <w:t>En este contexto, y al no establecer dicha ley ni su</w:t>
            </w:r>
            <w:r>
              <w:rPr>
                <w:rFonts w:ascii="Verdana" w:eastAsia="Calibri" w:hAnsi="Verdana" w:cs="Arial"/>
                <w:bCs/>
                <w:color w:val="000000"/>
                <w:lang w:val="es-ES"/>
              </w:rPr>
              <w:t xml:space="preserve"> reglamento la forma en la que propiamente podrán acreditar los oferentes tales condiciones, será un asunto que le corresponderá definir a la Entidad Estatal que se encuentre adelantando el proceso de contratación en el pliego de condiciones o documento equivalente. </w:t>
            </w:r>
          </w:p>
          <w:p w14:paraId="2467EDA6" w14:textId="77777777" w:rsidR="0070198B" w:rsidRPr="00116042" w:rsidRDefault="0070198B" w:rsidP="00FF1A07">
            <w:pPr>
              <w:tabs>
                <w:tab w:val="left" w:pos="709"/>
              </w:tabs>
              <w:spacing w:before="120" w:line="276" w:lineRule="auto"/>
              <w:ind w:firstLine="709"/>
              <w:jc w:val="both"/>
              <w:rPr>
                <w:rFonts w:ascii="Verdana" w:eastAsia="Calibri" w:hAnsi="Verdana" w:cs="Arial"/>
              </w:rPr>
            </w:pPr>
            <w:r w:rsidRPr="00116042">
              <w:rPr>
                <w:rFonts w:ascii="Verdana" w:eastAsia="Calibri" w:hAnsi="Verdana" w:cs="Arial"/>
              </w:rPr>
              <w:t>Finalmente se precisa, que el análisis sobre situaciones derivadas de la gestión contractual de las Entidades Estatales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tc>
      </w:tr>
      <w:bookmarkEnd w:id="2"/>
    </w:tbl>
    <w:p w14:paraId="32629638" w14:textId="77777777" w:rsidR="0070198B" w:rsidRPr="00116042" w:rsidRDefault="0070198B" w:rsidP="0070198B">
      <w:pPr>
        <w:widowControl w:val="0"/>
        <w:autoSpaceDE w:val="0"/>
        <w:autoSpaceDN w:val="0"/>
        <w:spacing w:before="1" w:after="0" w:line="240" w:lineRule="auto"/>
        <w:ind w:left="360" w:hanging="360"/>
        <w:outlineLvl w:val="0"/>
        <w:rPr>
          <w:rFonts w:ascii="Verdana" w:eastAsia="Arial" w:hAnsi="Verdana" w:cs="Arial"/>
          <w:b/>
        </w:rPr>
      </w:pPr>
    </w:p>
    <w:p w14:paraId="0B29BD3C" w14:textId="77777777" w:rsidR="0070198B" w:rsidRPr="00116042" w:rsidRDefault="0070198B" w:rsidP="0070198B">
      <w:pPr>
        <w:widowControl w:val="0"/>
        <w:autoSpaceDE w:val="0"/>
        <w:autoSpaceDN w:val="0"/>
        <w:spacing w:before="1" w:after="0" w:line="240" w:lineRule="auto"/>
        <w:ind w:left="360" w:hanging="360"/>
        <w:outlineLvl w:val="0"/>
        <w:rPr>
          <w:rFonts w:ascii="Verdana" w:eastAsia="Arial" w:hAnsi="Verdana" w:cs="Arial"/>
          <w:b/>
          <w:bCs/>
          <w:lang w:val="es-ES"/>
        </w:rPr>
      </w:pPr>
      <w:r w:rsidRPr="00116042">
        <w:rPr>
          <w:rFonts w:ascii="Verdana" w:eastAsia="Arial" w:hAnsi="Verdana" w:cs="Arial"/>
          <w:b/>
          <w:bCs/>
          <w:lang w:val="es-ES"/>
        </w:rPr>
        <w:t>3. Razones de la respuesta</w:t>
      </w:r>
    </w:p>
    <w:p w14:paraId="5B4D66EF" w14:textId="77777777" w:rsidR="0070198B" w:rsidRPr="00116042" w:rsidRDefault="0070198B" w:rsidP="0070198B">
      <w:pPr>
        <w:spacing w:after="0" w:line="276" w:lineRule="auto"/>
        <w:jc w:val="both"/>
        <w:rPr>
          <w:rFonts w:ascii="Verdana" w:eastAsia="Calibri" w:hAnsi="Verdana" w:cs="Arial"/>
          <w:lang w:val="es-ES"/>
        </w:rPr>
      </w:pPr>
    </w:p>
    <w:p w14:paraId="4372CB3F" w14:textId="77777777" w:rsidR="0070198B" w:rsidRPr="00116042" w:rsidRDefault="0070198B" w:rsidP="0070198B">
      <w:pPr>
        <w:spacing w:after="0" w:line="276" w:lineRule="auto"/>
        <w:jc w:val="both"/>
        <w:rPr>
          <w:rFonts w:ascii="Verdana" w:eastAsia="Calibri" w:hAnsi="Verdana" w:cs="Arial"/>
          <w:lang w:val="es-ES"/>
        </w:rPr>
      </w:pPr>
      <w:r w:rsidRPr="00116042">
        <w:rPr>
          <w:rFonts w:ascii="Verdana" w:eastAsia="Calibri" w:hAnsi="Verdana" w:cs="Arial"/>
          <w:lang w:val="es-ES"/>
        </w:rPr>
        <w:t xml:space="preserve">Las respuestas anteriores se sustentan en las siguientes consideraciones: </w:t>
      </w:r>
    </w:p>
    <w:p w14:paraId="25EC035C" w14:textId="77777777" w:rsidR="0070198B" w:rsidRDefault="0070198B" w:rsidP="0070198B">
      <w:pPr>
        <w:spacing w:after="0" w:line="276" w:lineRule="auto"/>
        <w:jc w:val="both"/>
        <w:rPr>
          <w:rFonts w:ascii="Verdana" w:eastAsia="Calibri" w:hAnsi="Verdana" w:cs="Arial"/>
          <w:lang w:val="es-ES"/>
        </w:rPr>
      </w:pPr>
    </w:p>
    <w:p w14:paraId="6A49A13C" w14:textId="77777777" w:rsidR="0070198B" w:rsidRPr="007548F6" w:rsidRDefault="0070198B" w:rsidP="0070198B">
      <w:pPr>
        <w:spacing w:after="0" w:line="276" w:lineRule="auto"/>
        <w:jc w:val="both"/>
        <w:rPr>
          <w:rFonts w:ascii="Verdana" w:hAnsi="Verdana"/>
          <w:lang w:val="es-ES"/>
        </w:rPr>
      </w:pPr>
      <w:r w:rsidRPr="007548F6">
        <w:rPr>
          <w:rFonts w:ascii="Verdana" w:hAnsi="Verdana" w:cs="Arial"/>
          <w:lang w:val="es-ES"/>
        </w:rPr>
        <w:t>En concordancia</w:t>
      </w:r>
      <w:r>
        <w:rPr>
          <w:rFonts w:ascii="Verdana" w:hAnsi="Verdana" w:cs="Arial"/>
          <w:lang w:val="es-ES"/>
        </w:rPr>
        <w:t xml:space="preserve"> con </w:t>
      </w:r>
      <w:r w:rsidRPr="007548F6">
        <w:rPr>
          <w:rFonts w:ascii="Verdana" w:hAnsi="Verdana" w:cs="Arial"/>
          <w:lang w:val="es-ES"/>
        </w:rPr>
        <w:t>el artículo 2.2.1.2.4.1.3 del Decreto 1082 de 2015</w:t>
      </w:r>
      <w:r>
        <w:rPr>
          <w:rFonts w:ascii="Verdana" w:hAnsi="Verdana" w:cs="Arial"/>
          <w:lang w:val="es-ES"/>
        </w:rPr>
        <w:t>,</w:t>
      </w:r>
      <w:r w:rsidRPr="007548F6">
        <w:rPr>
          <w:rFonts w:ascii="Verdana" w:hAnsi="Verdana" w:cs="Arial"/>
          <w:lang w:val="es-ES"/>
        </w:rPr>
        <w:t xml:space="preserve"> dispone que la Entidad Estatal debe conceder trato nacional a los oferentes, bienes y servicios provenientes de Estados con los cuales Colombia tenga Acuerdos Comerciales, en los términos establecidos en tales Acuerdos. Como lo ha explicado la Agencia, el trato nacional consiste en la consideración especial en la asignación de puntaje que se tiene sobre los oferentes, bienes y servicios colombianos y que, en virtud de la reciprocidad, se extiende a los extranjeros; privilegio que puede provenir de un tratado o acuerdo comercial, de un certificado de reciprocidad o de la regulación andina.</w:t>
      </w:r>
    </w:p>
    <w:p w14:paraId="25BB5935" w14:textId="77777777" w:rsidR="0070198B" w:rsidRPr="007548F6" w:rsidRDefault="0070198B" w:rsidP="0070198B">
      <w:pPr>
        <w:spacing w:before="120" w:after="120" w:line="276" w:lineRule="auto"/>
        <w:ind w:right="51" w:firstLine="708"/>
        <w:jc w:val="both"/>
        <w:rPr>
          <w:rFonts w:ascii="Verdana" w:eastAsia="Arial" w:hAnsi="Verdana" w:cs="Arial"/>
          <w:lang w:val="es-ES"/>
        </w:rPr>
      </w:pPr>
      <w:r w:rsidRPr="007548F6">
        <w:rPr>
          <w:rFonts w:ascii="Verdana" w:eastAsia="Arial" w:hAnsi="Verdana" w:cs="Arial"/>
          <w:color w:val="000000"/>
          <w:lang w:val="es-ES" w:eastAsia="es-CO"/>
        </w:rPr>
        <w:t xml:space="preserve">La Ley 816 de 2003, “por medio de la cual se apoya a la industria nacional a través de la contratación pública”, tiene como objetivo promover una mayor participación de los proveedores de bienes y servicios de origen colombiano en </w:t>
      </w:r>
      <w:r w:rsidRPr="007548F6">
        <w:rPr>
          <w:rFonts w:ascii="Verdana" w:eastAsia="Arial" w:hAnsi="Verdana" w:cs="Arial"/>
          <w:color w:val="000000"/>
          <w:lang w:val="es-ES" w:eastAsia="es-CO"/>
        </w:rPr>
        <w:lastRenderedPageBreak/>
        <w:t>las compras de las entidades públicas. Asimismo, fue adoptada con el propósito de crear un factor de preferencia para las propuestas que ofrezcan productos o servicios nacionales.</w:t>
      </w:r>
    </w:p>
    <w:p w14:paraId="1F5A1B00" w14:textId="77777777" w:rsidR="0070198B" w:rsidRPr="007548F6" w:rsidRDefault="0070198B" w:rsidP="0070198B">
      <w:pPr>
        <w:spacing w:after="0" w:line="276" w:lineRule="auto"/>
        <w:ind w:right="51" w:firstLine="708"/>
        <w:jc w:val="both"/>
        <w:rPr>
          <w:rFonts w:ascii="Verdana" w:eastAsia="Arial" w:hAnsi="Verdana" w:cs="Arial"/>
          <w:lang w:val="es-ES"/>
        </w:rPr>
      </w:pPr>
      <w:r w:rsidRPr="007548F6">
        <w:rPr>
          <w:rFonts w:ascii="Verdana" w:eastAsia="Arial" w:hAnsi="Verdana" w:cs="Arial"/>
          <w:color w:val="000000"/>
          <w:lang w:val="es-ES" w:eastAsia="es-CO"/>
        </w:rPr>
        <w:t>Para ello, el artículo 1 dispone que las entidades estatales, en los procedimientos de selección que realicen e independientemente del régimen contractual que les sea aplicable, deben adoptar criterios que apoyen la industria nacional. En consonancia con lo anterior, el parágrafo de dicho artículo indica que:</w:t>
      </w:r>
    </w:p>
    <w:p w14:paraId="5ECA932F" w14:textId="77777777" w:rsidR="0070198B" w:rsidRPr="007548F6" w:rsidRDefault="0070198B" w:rsidP="0070198B">
      <w:pPr>
        <w:tabs>
          <w:tab w:val="left" w:pos="0"/>
        </w:tabs>
        <w:spacing w:after="0" w:line="240" w:lineRule="auto"/>
        <w:ind w:left="709" w:right="709"/>
        <w:jc w:val="both"/>
        <w:rPr>
          <w:rFonts w:ascii="Arial" w:eastAsia="Calibri" w:hAnsi="Arial" w:cs="Arial"/>
          <w:bCs/>
          <w:color w:val="000000"/>
          <w:sz w:val="21"/>
          <w:szCs w:val="21"/>
          <w:lang w:val="es-ES"/>
        </w:rPr>
      </w:pPr>
    </w:p>
    <w:p w14:paraId="1C7D5728" w14:textId="77777777" w:rsidR="0070198B" w:rsidRPr="007548F6" w:rsidRDefault="0070198B" w:rsidP="0070198B">
      <w:pPr>
        <w:spacing w:after="0" w:line="240" w:lineRule="auto"/>
        <w:ind w:left="709" w:right="709"/>
        <w:jc w:val="both"/>
        <w:rPr>
          <w:rFonts w:ascii="Verdana" w:eastAsia="Calibri" w:hAnsi="Verdana" w:cs="Arial"/>
          <w:color w:val="000000" w:themeColor="text1"/>
          <w:sz w:val="20"/>
          <w:szCs w:val="20"/>
          <w:lang w:val="es-ES"/>
        </w:rPr>
      </w:pPr>
      <w:r w:rsidRPr="007548F6">
        <w:rPr>
          <w:rFonts w:ascii="Verdana" w:eastAsia="Calibri" w:hAnsi="Verdana" w:cs="Arial"/>
          <w:color w:val="000000" w:themeColor="text1"/>
          <w:sz w:val="20"/>
          <w:szCs w:val="20"/>
          <w:lang w:val="es-ES"/>
        </w:rPr>
        <w:t>“Se otorgará tratamiento de bienes y servicios nacionales a aquellos bienes y servicios originarios de los países con los que Colombia ha negociado trato nacional en materia de compras estatales y de aquellos países en los cuales a las ofertas de bienes y servicios colombianos se les conceda el mismo tratamiento otorgado a sus bienes y servicios nacionales. La acreditación o demostración de tal circunstancia se hará en los términos que señale el reglamento”.</w:t>
      </w:r>
    </w:p>
    <w:p w14:paraId="0F854E49" w14:textId="77777777" w:rsidR="0070198B" w:rsidRPr="007548F6" w:rsidRDefault="0070198B" w:rsidP="0070198B">
      <w:pPr>
        <w:spacing w:after="0" w:line="240" w:lineRule="auto"/>
        <w:ind w:left="709" w:right="709"/>
        <w:jc w:val="both"/>
        <w:rPr>
          <w:rFonts w:ascii="Verdana" w:eastAsia="Calibri" w:hAnsi="Verdana" w:cs="Arial"/>
          <w:color w:val="000000"/>
          <w:sz w:val="20"/>
          <w:szCs w:val="20"/>
          <w:lang w:val="es-ES"/>
        </w:rPr>
      </w:pPr>
    </w:p>
    <w:p w14:paraId="0818F534" w14:textId="77777777" w:rsidR="0070198B" w:rsidRPr="007548F6" w:rsidRDefault="0070198B" w:rsidP="0070198B">
      <w:pPr>
        <w:spacing w:after="120" w:line="276" w:lineRule="auto"/>
        <w:ind w:firstLine="709"/>
        <w:jc w:val="both"/>
        <w:rPr>
          <w:rFonts w:ascii="Verdana" w:eastAsia="Calibri" w:hAnsi="Verdana" w:cs="Arial"/>
          <w:color w:val="000000"/>
          <w:lang w:val="es-ES"/>
        </w:rPr>
      </w:pPr>
      <w:r w:rsidRPr="007548F6">
        <w:rPr>
          <w:rFonts w:ascii="Verdana" w:eastAsia="Calibri" w:hAnsi="Verdana" w:cs="Arial"/>
          <w:color w:val="000000"/>
          <w:lang w:val="es-ES"/>
        </w:rPr>
        <w:t>En materia de contratación pública, dicho trato nacional es aplicable a los proponentes que ofrezcan bienes y servicios nacionales, de conformidad con las definiciones del artículo 2.2.1.1.1.3.1 del Decreto 1082 de 2015, así como a los extranjeros que cumplan con los criterios que se encuentran regulados en el artículo 2.2.1.2.4.1.3. del mismo Decreto</w:t>
      </w:r>
      <w:r w:rsidRPr="007548F6">
        <w:rPr>
          <w:rFonts w:ascii="Verdana" w:eastAsia="Calibri" w:hAnsi="Verdana" w:cs="Arial"/>
          <w:color w:val="000000"/>
          <w:vertAlign w:val="superscript"/>
          <w:lang w:val="es-ES"/>
        </w:rPr>
        <w:footnoteReference w:id="1"/>
      </w:r>
      <w:r w:rsidRPr="007548F6">
        <w:rPr>
          <w:rFonts w:ascii="Verdana" w:eastAsia="Calibri" w:hAnsi="Verdana" w:cs="Arial"/>
          <w:color w:val="000000"/>
          <w:lang w:val="es-ES"/>
        </w:rPr>
        <w:t xml:space="preserve">, en el que se establece la forma como se debe acreditar la existencia de trato nacional para extranjeros, dependiendo del fundamento de este y exigiendo el certificado expedido por el Ministerio de Relaciones Exteriores, cuando no exista tratado, ni regulación andina aplicable. </w:t>
      </w:r>
    </w:p>
    <w:p w14:paraId="40838596" w14:textId="77777777" w:rsidR="0070198B" w:rsidRPr="007548F6" w:rsidRDefault="0070198B" w:rsidP="0070198B">
      <w:pPr>
        <w:spacing w:after="0" w:line="276" w:lineRule="auto"/>
        <w:ind w:firstLine="709"/>
        <w:jc w:val="both"/>
        <w:rPr>
          <w:rFonts w:ascii="Verdana" w:eastAsia="Calibri" w:hAnsi="Verdana" w:cs="Arial"/>
          <w:color w:val="000000"/>
          <w:lang w:val="es-ES"/>
        </w:rPr>
      </w:pPr>
      <w:r w:rsidRPr="007548F6">
        <w:rPr>
          <w:rFonts w:ascii="Verdana" w:eastAsia="Calibri" w:hAnsi="Verdana" w:cs="Arial"/>
          <w:color w:val="000000"/>
          <w:lang w:val="es-ES"/>
        </w:rPr>
        <w:t>Por otra parte, las entidades estatales deben aplicar en sus</w:t>
      </w:r>
      <w:r w:rsidRPr="007548F6">
        <w:rPr>
          <w:rFonts w:ascii="Arial" w:eastAsia="Calibri" w:hAnsi="Arial" w:cs="Arial"/>
          <w:color w:val="000000"/>
          <w:lang w:val="es-ES"/>
        </w:rPr>
        <w:t xml:space="preserve"> </w:t>
      </w:r>
      <w:r w:rsidRPr="007548F6">
        <w:rPr>
          <w:rFonts w:ascii="Verdana" w:eastAsia="Calibri" w:hAnsi="Verdana" w:cs="Arial"/>
          <w:color w:val="000000"/>
          <w:lang w:val="es-ES"/>
        </w:rPr>
        <w:t>procedimientos de selección lo previsto en el artículo 2 de la Ley 816 de 2003, que establece un criterio de calificación diferencial, en los siguientes términos:</w:t>
      </w:r>
    </w:p>
    <w:p w14:paraId="10A8A017" w14:textId="77777777" w:rsidR="0070198B" w:rsidRPr="007548F6" w:rsidRDefault="0070198B" w:rsidP="0070198B">
      <w:pPr>
        <w:tabs>
          <w:tab w:val="left" w:pos="0"/>
        </w:tabs>
        <w:spacing w:after="0" w:line="240" w:lineRule="auto"/>
        <w:ind w:left="709" w:right="709"/>
        <w:jc w:val="both"/>
        <w:rPr>
          <w:rFonts w:ascii="Verdana" w:eastAsia="Calibri" w:hAnsi="Verdana" w:cs="Arial"/>
          <w:bCs/>
          <w:color w:val="000000"/>
          <w:sz w:val="21"/>
          <w:szCs w:val="21"/>
          <w:lang w:val="es-ES"/>
        </w:rPr>
      </w:pPr>
    </w:p>
    <w:p w14:paraId="3012489B" w14:textId="77777777" w:rsidR="0070198B" w:rsidRPr="007548F6" w:rsidRDefault="0070198B" w:rsidP="0070198B">
      <w:pPr>
        <w:tabs>
          <w:tab w:val="left" w:pos="0"/>
        </w:tabs>
        <w:spacing w:after="120" w:line="240" w:lineRule="auto"/>
        <w:ind w:left="709" w:right="709"/>
        <w:jc w:val="both"/>
        <w:rPr>
          <w:rFonts w:ascii="Verdana" w:eastAsia="Calibri" w:hAnsi="Verdana" w:cs="Arial"/>
          <w:color w:val="000000"/>
          <w:sz w:val="20"/>
          <w:szCs w:val="20"/>
          <w:lang w:val="es-ES"/>
        </w:rPr>
      </w:pPr>
      <w:r w:rsidRPr="007548F6">
        <w:rPr>
          <w:rFonts w:ascii="Verdana" w:eastAsia="Calibri" w:hAnsi="Verdana" w:cs="Arial"/>
          <w:color w:val="000000"/>
          <w:sz w:val="20"/>
          <w:szCs w:val="20"/>
          <w:lang w:val="es-ES"/>
        </w:rPr>
        <w:t>“Las entidades de que trata el artículo 1o asignarán, dentro de los criterios de calificación de las propuestas, un puntaje comprendido entre el diez (10) y el veinte por ciento (20%), para estimular la industria colombiana cuando los proponentes oferten bienes o servicios nacionales.</w:t>
      </w:r>
    </w:p>
    <w:p w14:paraId="48782944" w14:textId="77777777" w:rsidR="0070198B" w:rsidRPr="007548F6" w:rsidRDefault="0070198B" w:rsidP="0070198B">
      <w:pPr>
        <w:tabs>
          <w:tab w:val="left" w:pos="0"/>
        </w:tabs>
        <w:spacing w:after="120" w:line="240" w:lineRule="auto"/>
        <w:ind w:left="709" w:right="709"/>
        <w:jc w:val="both"/>
        <w:rPr>
          <w:rFonts w:ascii="Verdana" w:eastAsia="Calibri" w:hAnsi="Verdana" w:cs="Arial"/>
          <w:color w:val="000000"/>
          <w:sz w:val="20"/>
          <w:szCs w:val="20"/>
          <w:lang w:val="es-ES"/>
        </w:rPr>
      </w:pPr>
      <w:r w:rsidRPr="007548F6">
        <w:rPr>
          <w:rFonts w:ascii="Verdana" w:eastAsia="Calibri" w:hAnsi="Verdana" w:cs="Arial"/>
          <w:color w:val="000000"/>
          <w:sz w:val="20"/>
          <w:szCs w:val="20"/>
          <w:lang w:val="es-ES"/>
        </w:rPr>
        <w:t xml:space="preserve">Tratándose de bienes o servicios extranjeros, la entidad contratante establecerá un puntaje comprendido entre el cinco (5) y el quince por </w:t>
      </w:r>
      <w:r w:rsidRPr="007548F6">
        <w:rPr>
          <w:rFonts w:ascii="Verdana" w:eastAsia="Calibri" w:hAnsi="Verdana" w:cs="Arial"/>
          <w:color w:val="000000"/>
          <w:sz w:val="20"/>
          <w:szCs w:val="20"/>
          <w:lang w:val="es-ES"/>
        </w:rPr>
        <w:lastRenderedPageBreak/>
        <w:t>ciento (15%), para incentivar la incorporación de componente colombiano de bienes y servicios profesionales, técnicos y operativos.</w:t>
      </w:r>
    </w:p>
    <w:p w14:paraId="44D3F011" w14:textId="77777777" w:rsidR="0070198B" w:rsidRPr="007548F6" w:rsidRDefault="0070198B" w:rsidP="0070198B">
      <w:pPr>
        <w:tabs>
          <w:tab w:val="left" w:pos="0"/>
        </w:tabs>
        <w:spacing w:after="0" w:line="240" w:lineRule="auto"/>
        <w:ind w:left="709" w:right="709"/>
        <w:jc w:val="both"/>
        <w:rPr>
          <w:rFonts w:ascii="Verdana" w:eastAsia="Calibri" w:hAnsi="Verdana" w:cs="Arial"/>
          <w:color w:val="000000"/>
          <w:sz w:val="20"/>
          <w:szCs w:val="20"/>
          <w:lang w:val="es-ES"/>
        </w:rPr>
      </w:pPr>
      <w:r w:rsidRPr="007548F6">
        <w:rPr>
          <w:rFonts w:ascii="Verdana" w:eastAsia="Calibri" w:hAnsi="Verdana" w:cs="Arial"/>
          <w:color w:val="000000"/>
          <w:sz w:val="20"/>
          <w:szCs w:val="20"/>
          <w:lang w:val="es-ES"/>
        </w:rPr>
        <w:t>Si una vez efectuada la calificación correspondiente, la oferta de un proponente extranjero se encuentra en igualdad de condiciones con la de un proponente nacional, se adjudicará al nacional”.</w:t>
      </w:r>
    </w:p>
    <w:p w14:paraId="11AD9844" w14:textId="77777777" w:rsidR="0070198B" w:rsidRPr="007548F6" w:rsidRDefault="0070198B" w:rsidP="0070198B">
      <w:pPr>
        <w:tabs>
          <w:tab w:val="left" w:pos="0"/>
        </w:tabs>
        <w:spacing w:after="0" w:line="276" w:lineRule="auto"/>
        <w:jc w:val="both"/>
        <w:rPr>
          <w:rFonts w:ascii="Verdana" w:eastAsia="Calibri" w:hAnsi="Verdana" w:cs="Arial"/>
          <w:bCs/>
          <w:color w:val="000000"/>
          <w:lang w:val="es-ES"/>
        </w:rPr>
      </w:pPr>
      <w:r w:rsidRPr="007548F6">
        <w:rPr>
          <w:rFonts w:ascii="Verdana" w:eastAsia="Calibri" w:hAnsi="Verdana" w:cs="Arial"/>
          <w:bCs/>
          <w:color w:val="000000"/>
          <w:lang w:val="es-ES"/>
        </w:rPr>
        <w:tab/>
      </w:r>
    </w:p>
    <w:p w14:paraId="4BB7253F" w14:textId="77777777" w:rsidR="0070198B" w:rsidRPr="007548F6" w:rsidRDefault="0070198B" w:rsidP="0070198B">
      <w:pPr>
        <w:tabs>
          <w:tab w:val="left" w:pos="851"/>
        </w:tabs>
        <w:spacing w:after="120" w:line="276" w:lineRule="auto"/>
        <w:jc w:val="both"/>
        <w:rPr>
          <w:rFonts w:ascii="Verdana" w:eastAsia="Calibri" w:hAnsi="Verdana" w:cs="Arial"/>
          <w:bCs/>
          <w:color w:val="000000"/>
          <w:lang w:val="es-ES"/>
        </w:rPr>
      </w:pPr>
      <w:r w:rsidRPr="007548F6">
        <w:rPr>
          <w:rFonts w:ascii="Verdana" w:eastAsia="Calibri" w:hAnsi="Verdana" w:cs="Arial"/>
          <w:bCs/>
          <w:color w:val="000000"/>
          <w:lang w:val="es-ES"/>
        </w:rPr>
        <w:tab/>
        <w:t>De acuerdo con esta norma, las ofertas de bienes y servicios nacionales —o extranjeros con derecho a trato nacional— deben beneficiarse de un puntaje entre el 10% y el 20% del total de los puntos, según lo haya definido la entidad estatal contratante en el pliego de condiciones o documento equivalente, con la finalidad de incentivar la industria nacional.</w:t>
      </w:r>
    </w:p>
    <w:p w14:paraId="4C1CB2BC" w14:textId="77777777" w:rsidR="0070198B" w:rsidRPr="007548F6" w:rsidRDefault="0070198B" w:rsidP="0070198B">
      <w:pPr>
        <w:tabs>
          <w:tab w:val="left" w:pos="851"/>
        </w:tabs>
        <w:spacing w:after="120" w:line="276" w:lineRule="auto"/>
        <w:jc w:val="both"/>
        <w:rPr>
          <w:rFonts w:ascii="Verdana" w:eastAsia="Calibri" w:hAnsi="Verdana" w:cs="Arial"/>
          <w:bCs/>
          <w:color w:val="000000"/>
          <w:lang w:val="es-ES"/>
        </w:rPr>
      </w:pPr>
      <w:r w:rsidRPr="007548F6">
        <w:rPr>
          <w:rFonts w:ascii="Verdana" w:eastAsia="Calibri" w:hAnsi="Verdana" w:cs="Arial"/>
          <w:bCs/>
          <w:color w:val="000000"/>
          <w:lang w:val="es-ES"/>
        </w:rPr>
        <w:tab/>
        <w:t>Conviene señalar que corresponde a la entidad pública fijar en el pliego de condiciones los criterios de asignación del puntaje o factores de evaluación. En consecuencia, la entidad cuenta con discrecionalidad administrativa para determinar los elementos o circunstancias que utilizará para la calificación de las propuestas. No obstante, dicha discrecionalidad no es absoluta, pues se encuentra limitada por las normas de orden público, incluidas las reglas imperativas para la elaboración del pliego de condiciones y el deber de selección objetiva.</w:t>
      </w:r>
    </w:p>
    <w:p w14:paraId="0401AFC4" w14:textId="77777777" w:rsidR="0070198B" w:rsidRPr="007548F6" w:rsidRDefault="0070198B" w:rsidP="0070198B">
      <w:pPr>
        <w:tabs>
          <w:tab w:val="left" w:pos="851"/>
        </w:tabs>
        <w:spacing w:after="120" w:line="276" w:lineRule="auto"/>
        <w:jc w:val="both"/>
        <w:rPr>
          <w:rFonts w:ascii="Verdana" w:eastAsia="Calibri" w:hAnsi="Verdana" w:cs="Arial"/>
          <w:bCs/>
          <w:color w:val="000000"/>
          <w:lang w:val="es-ES"/>
        </w:rPr>
      </w:pPr>
      <w:r w:rsidRPr="007548F6">
        <w:rPr>
          <w:rFonts w:ascii="Verdana" w:eastAsia="Calibri" w:hAnsi="Verdana" w:cs="Arial"/>
          <w:bCs/>
          <w:color w:val="000000"/>
          <w:lang w:val="es-ES"/>
        </w:rPr>
        <w:tab/>
        <w:t>Dentro de las reglas que restringen la discrecionalidad administrativa de las entidades estatales en la elaboración del pliego de condiciones se encuentra el artículo 2 de la Ley 816 de 2003. En efecto, este enunciado normativo establece que las entidades de la administración pública a las que se refiere el artículo 1 de la misma Ley deben incluir “</w:t>
      </w:r>
      <w:r w:rsidRPr="007548F6">
        <w:rPr>
          <w:rFonts w:ascii="Verdana" w:eastAsia="Calibri" w:hAnsi="Verdana" w:cs="Arial"/>
          <w:lang w:val="es-ES"/>
        </w:rPr>
        <w:t xml:space="preserve">[…] </w:t>
      </w:r>
      <w:r w:rsidRPr="007548F6">
        <w:rPr>
          <w:rFonts w:ascii="Verdana" w:eastAsia="Calibri" w:hAnsi="Verdana" w:cs="Arial"/>
          <w:bCs/>
          <w:color w:val="000000"/>
          <w:lang w:val="es-ES"/>
        </w:rPr>
        <w:t xml:space="preserve">un puntaje comprendido entre el diez (10) y el veinte por ciento (20%)” para estimular la industria nacional, cuando se oferten bienes o servicios nacionales” –inciso primero o “Franja 1”–. Adicionalmente, la norma indica que si no se ofertan bienes o servicios nacionales, sino bienes o servicios </w:t>
      </w:r>
      <w:r w:rsidRPr="007548F6">
        <w:rPr>
          <w:rFonts w:ascii="Verdana" w:eastAsia="Calibri" w:hAnsi="Verdana" w:cs="Arial"/>
          <w:bCs/>
          <w:i/>
          <w:iCs/>
          <w:color w:val="000000"/>
          <w:lang w:val="es-ES"/>
        </w:rPr>
        <w:t>extranjeros</w:t>
      </w:r>
      <w:r w:rsidRPr="007548F6">
        <w:rPr>
          <w:rFonts w:ascii="Verdana" w:eastAsia="Calibri" w:hAnsi="Verdana" w:cs="Arial"/>
          <w:bCs/>
          <w:color w:val="000000"/>
          <w:lang w:val="es-ES"/>
        </w:rPr>
        <w:t xml:space="preserve">, “[…] la entidad contratante establecerá un puntaje comprendido entre el cinco (5) y el quince por ciento (15%), para incentivar la incorporación de componente colombiano de bienes y servicios profesionales, técnicos y operativos” –inciso segundo o “Franja 2”–. </w:t>
      </w:r>
    </w:p>
    <w:p w14:paraId="4FC0A108" w14:textId="77777777" w:rsidR="0070198B" w:rsidRPr="007548F6" w:rsidRDefault="0070198B" w:rsidP="0070198B">
      <w:pPr>
        <w:spacing w:before="120" w:after="0" w:line="276" w:lineRule="auto"/>
        <w:ind w:firstLine="708"/>
        <w:jc w:val="both"/>
        <w:rPr>
          <w:rFonts w:ascii="Verdana" w:eastAsia="Calibri" w:hAnsi="Verdana" w:cs="Arial"/>
          <w:color w:val="000000"/>
          <w:lang w:val="es-ES"/>
        </w:rPr>
      </w:pPr>
      <w:r w:rsidRPr="007548F6">
        <w:rPr>
          <w:rFonts w:ascii="Verdana" w:eastAsia="Calibri" w:hAnsi="Verdana" w:cs="Arial"/>
          <w:color w:val="000000"/>
          <w:lang w:val="es-ES"/>
        </w:rPr>
        <w:t xml:space="preserve">La aplicación del puntaje al que se refiere el artículo 2 de la Ley 816 de 2003 fue reglamentada mediante el Decreto 680 de 2021. El artículo 1 del mencionado Decreto modificó parcialmente el artículo 2.2.1.1.1.3.1. del Decreto 1082 de 2015 para definir los </w:t>
      </w:r>
      <w:r w:rsidRPr="007548F6">
        <w:rPr>
          <w:rFonts w:ascii="Verdana" w:eastAsia="Calibri" w:hAnsi="Verdana" w:cs="Arial"/>
          <w:i/>
          <w:iCs/>
          <w:color w:val="000000"/>
          <w:lang w:val="es-ES"/>
        </w:rPr>
        <w:t>Servicios Nacionales</w:t>
      </w:r>
      <w:r w:rsidRPr="007548F6">
        <w:rPr>
          <w:rFonts w:ascii="Verdana" w:eastAsia="Calibri" w:hAnsi="Verdana" w:cs="Arial"/>
          <w:color w:val="000000"/>
          <w:lang w:val="es-ES"/>
        </w:rPr>
        <w:t xml:space="preserve"> en los siguientes términos:</w:t>
      </w:r>
    </w:p>
    <w:p w14:paraId="2BEE9DE7" w14:textId="77777777" w:rsidR="0070198B" w:rsidRPr="007548F6" w:rsidRDefault="0070198B" w:rsidP="0070198B">
      <w:pPr>
        <w:tabs>
          <w:tab w:val="left" w:pos="0"/>
        </w:tabs>
        <w:spacing w:after="0" w:line="240" w:lineRule="auto"/>
        <w:ind w:left="709" w:right="709"/>
        <w:jc w:val="both"/>
        <w:rPr>
          <w:rFonts w:ascii="Verdana" w:eastAsia="Calibri" w:hAnsi="Verdana" w:cs="Arial"/>
          <w:bCs/>
          <w:color w:val="000000"/>
          <w:sz w:val="21"/>
          <w:szCs w:val="21"/>
          <w:lang w:val="es-ES"/>
        </w:rPr>
      </w:pPr>
    </w:p>
    <w:p w14:paraId="7C2C7344" w14:textId="77777777" w:rsidR="0070198B" w:rsidRPr="007548F6" w:rsidRDefault="0070198B" w:rsidP="0070198B">
      <w:pPr>
        <w:tabs>
          <w:tab w:val="left" w:pos="0"/>
        </w:tabs>
        <w:spacing w:after="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lastRenderedPageBreak/>
        <w:t>“En los contratos que deban cumplirse en Colombia, un servicio es colombiano si además de ser prestado por una persona natural colombiana o por un residente en Colombia, por una persona jurídica constituida de conformidad con la legislación colombiana o por un proponente plural conformado por estos o por estos y un extranjero con trato nacional, usa los bienes nacionales relevantes definidos por la Entidad Estatal para la prestación del servicio que será objeto del Proceso de Contratación o vinculen el porcentaje mínimo de personal colombiano según corresponda.</w:t>
      </w:r>
    </w:p>
    <w:p w14:paraId="504EFB6D" w14:textId="77777777" w:rsidR="0070198B" w:rsidRPr="007548F6" w:rsidRDefault="0070198B" w:rsidP="0070198B">
      <w:pPr>
        <w:tabs>
          <w:tab w:val="left" w:pos="0"/>
        </w:tabs>
        <w:spacing w:after="0" w:line="240" w:lineRule="auto"/>
        <w:ind w:left="709" w:right="709"/>
        <w:jc w:val="both"/>
        <w:rPr>
          <w:rFonts w:ascii="Verdana" w:eastAsia="Calibri" w:hAnsi="Verdana" w:cs="Arial"/>
          <w:bCs/>
          <w:color w:val="000000"/>
          <w:sz w:val="20"/>
          <w:szCs w:val="20"/>
          <w:lang w:val="es-ES"/>
        </w:rPr>
      </w:pPr>
    </w:p>
    <w:p w14:paraId="01106B07" w14:textId="77777777" w:rsidR="0070198B" w:rsidRPr="007548F6" w:rsidRDefault="0070198B" w:rsidP="0070198B">
      <w:pPr>
        <w:tabs>
          <w:tab w:val="left" w:pos="0"/>
        </w:tabs>
        <w:spacing w:after="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En los contratos que no deban cumplirse en Colombia, que sean prestados en el extranjero y estén sometidos a la legislación colombiana, un servicio es colombiano si es prestado por una persona natural colombiana o por un residente en Colombia, por una persona jurídica constituida de conformidad con la legislación colombiana o un proponente plural conformado por estos, sin que sea necesario el uso de bienes colombianos o la vinculación de personal colombiano.</w:t>
      </w:r>
    </w:p>
    <w:p w14:paraId="6DE6AAA1" w14:textId="77777777" w:rsidR="0070198B" w:rsidRPr="007548F6" w:rsidRDefault="0070198B" w:rsidP="0070198B">
      <w:pPr>
        <w:tabs>
          <w:tab w:val="left" w:pos="0"/>
        </w:tabs>
        <w:spacing w:after="0" w:line="240" w:lineRule="auto"/>
        <w:ind w:left="709" w:right="709"/>
        <w:jc w:val="both"/>
        <w:rPr>
          <w:rFonts w:ascii="Verdana" w:eastAsia="Calibri" w:hAnsi="Verdana" w:cs="Arial"/>
          <w:bCs/>
          <w:color w:val="000000"/>
          <w:sz w:val="20"/>
          <w:szCs w:val="20"/>
          <w:lang w:val="es-ES"/>
        </w:rPr>
      </w:pPr>
    </w:p>
    <w:p w14:paraId="452CE072" w14:textId="77777777" w:rsidR="0070198B" w:rsidRPr="007548F6" w:rsidRDefault="0070198B" w:rsidP="0070198B">
      <w:pPr>
        <w:tabs>
          <w:tab w:val="left" w:pos="0"/>
        </w:tabs>
        <w:spacing w:after="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Los extranjeros con trato nacional que participen en el Proceso de Contratación de manera singular o mediante la conformación de un proponente plural, podrán definir en su oferta si aplican la regla de origen aquí prevista, o cualquiera de las reglas de origen aplicables según el Acuerdo Comercial o la normativa comunitaria que corresponda. En aquellos casos en que no se indique en la oferta la regla de origen a aplicar, la Entidad Estatal deberá evaluar la oferta de acuerdo con la regla de origen aquí prevista”.</w:t>
      </w:r>
    </w:p>
    <w:p w14:paraId="65AB4177" w14:textId="77777777" w:rsidR="0070198B" w:rsidRPr="007548F6" w:rsidRDefault="0070198B" w:rsidP="0070198B">
      <w:pPr>
        <w:tabs>
          <w:tab w:val="left" w:pos="0"/>
        </w:tabs>
        <w:spacing w:after="0" w:line="240" w:lineRule="auto"/>
        <w:ind w:left="709" w:right="709"/>
        <w:jc w:val="both"/>
        <w:rPr>
          <w:rFonts w:ascii="Verdana" w:eastAsia="Calibri" w:hAnsi="Verdana" w:cs="Arial"/>
          <w:bCs/>
          <w:color w:val="000000"/>
          <w:sz w:val="20"/>
          <w:szCs w:val="20"/>
          <w:lang w:val="es-ES"/>
        </w:rPr>
      </w:pPr>
    </w:p>
    <w:p w14:paraId="75FB5A14" w14:textId="77777777" w:rsidR="0070198B" w:rsidRPr="007548F6" w:rsidRDefault="0070198B" w:rsidP="0070198B">
      <w:pPr>
        <w:tabs>
          <w:tab w:val="left" w:pos="0"/>
        </w:tabs>
        <w:spacing w:after="120" w:line="276" w:lineRule="auto"/>
        <w:ind w:firstLine="709"/>
        <w:jc w:val="both"/>
        <w:rPr>
          <w:rFonts w:ascii="Verdana" w:eastAsia="Calibri" w:hAnsi="Verdana" w:cs="Arial"/>
          <w:bCs/>
          <w:color w:val="000000"/>
          <w:lang w:val="es-ES"/>
        </w:rPr>
      </w:pPr>
      <w:r w:rsidRPr="007548F6">
        <w:rPr>
          <w:rFonts w:ascii="Verdana" w:eastAsia="Calibri" w:hAnsi="Verdana" w:cs="Arial"/>
          <w:bCs/>
          <w:color w:val="000000"/>
          <w:lang w:val="es-ES"/>
        </w:rPr>
        <w:t>De acuerdo con lo anterior, y respecto del factor de evaluación de apoyo a la industria nacional previsto en la Ley 816 de 2003, la regulación vigente refuerza la relevancia de la constitución jurídica del prestador del servicio como criterio central para determinar su carácter nacional. Esta exigencia no es meramente formal, pues implica que la sociedad haya sido creada bajo el ordenamiento jurídico colombiano y se encuentre sometida al régimen societario, tributario y de control estatal del país.</w:t>
      </w:r>
    </w:p>
    <w:p w14:paraId="46BBA807" w14:textId="77777777" w:rsidR="0070198B" w:rsidRPr="007548F6" w:rsidRDefault="0070198B" w:rsidP="0070198B">
      <w:pPr>
        <w:tabs>
          <w:tab w:val="left" w:pos="0"/>
        </w:tabs>
        <w:spacing w:after="120" w:line="276" w:lineRule="auto"/>
        <w:ind w:firstLine="709"/>
        <w:jc w:val="both"/>
        <w:rPr>
          <w:rFonts w:ascii="Verdana" w:eastAsia="Calibri" w:hAnsi="Verdana" w:cs="Arial"/>
          <w:bCs/>
          <w:color w:val="000000"/>
          <w:lang w:val="es-ES"/>
        </w:rPr>
      </w:pPr>
      <w:r w:rsidRPr="007548F6">
        <w:rPr>
          <w:rFonts w:ascii="Verdana" w:eastAsia="Calibri" w:hAnsi="Verdana" w:cs="Arial"/>
          <w:bCs/>
          <w:color w:val="000000"/>
          <w:lang w:val="es-ES"/>
        </w:rPr>
        <w:t>En virtud del principio de reciprocidad, mediante el cual Colombia otorga a los bienes y servicios provenientes de Estados con los que exista un acuerdo vigente un trato no menos favorable que el otorgado a los nacionales —siempre que se cumplan las condiciones del respectivo instrumento internacional—, una persona jurídica extranjera puede recibir trato nacional. No obstante, ello no implica que dicha persona jurídica se transforme en colombiana ni que se equipare formalmente a una sociedad constituida bajo la legislación nacional; la equivalencia se limita al tratamiento dentro del proceso de selección.</w:t>
      </w:r>
    </w:p>
    <w:p w14:paraId="2829EAA3" w14:textId="77777777" w:rsidR="0070198B" w:rsidRPr="007548F6" w:rsidRDefault="0070198B" w:rsidP="0070198B">
      <w:pPr>
        <w:tabs>
          <w:tab w:val="left" w:pos="0"/>
        </w:tabs>
        <w:spacing w:after="120" w:line="276" w:lineRule="auto"/>
        <w:ind w:firstLine="709"/>
        <w:jc w:val="both"/>
        <w:rPr>
          <w:rFonts w:ascii="Verdana" w:eastAsia="Calibri" w:hAnsi="Verdana" w:cs="Arial"/>
          <w:bCs/>
          <w:color w:val="000000"/>
          <w:lang w:val="es-ES"/>
        </w:rPr>
      </w:pPr>
      <w:r w:rsidRPr="007548F6">
        <w:rPr>
          <w:rFonts w:ascii="Verdana" w:eastAsia="Calibri" w:hAnsi="Verdana" w:cs="Arial"/>
          <w:bCs/>
          <w:color w:val="000000"/>
          <w:lang w:val="es-ES"/>
        </w:rPr>
        <w:lastRenderedPageBreak/>
        <w:t>Ahora bien, la noción de servicios nacionales no depende exclusivamente de la naturaleza jurídica del prestador. En principio, también se requiere que la propuesta contemple la utilización de bienes nacionales relevantes. Estos corresponden a los bienes definidos como nacionales en el Registro de Productores de Bienes Nacionales, conforme al Decreto 2680 de 2009.</w:t>
      </w:r>
    </w:p>
    <w:p w14:paraId="6B1B3DBD" w14:textId="77777777" w:rsidR="0070198B" w:rsidRPr="007548F6" w:rsidRDefault="0070198B" w:rsidP="0070198B">
      <w:pPr>
        <w:tabs>
          <w:tab w:val="left" w:pos="0"/>
        </w:tabs>
        <w:spacing w:after="120" w:line="276" w:lineRule="auto"/>
        <w:ind w:firstLine="709"/>
        <w:jc w:val="both"/>
        <w:rPr>
          <w:rFonts w:ascii="Verdana" w:eastAsia="Calibri" w:hAnsi="Verdana" w:cs="Arial"/>
          <w:bCs/>
          <w:color w:val="000000"/>
          <w:lang w:val="es-ES"/>
        </w:rPr>
      </w:pPr>
      <w:r w:rsidRPr="007548F6">
        <w:rPr>
          <w:rFonts w:ascii="Verdana" w:eastAsia="Calibri" w:hAnsi="Verdana" w:cs="Arial"/>
          <w:bCs/>
          <w:color w:val="000000"/>
          <w:lang w:val="es-ES"/>
        </w:rPr>
        <w:t>En consecuencia, cuando el contrato deba ejecutarse en Colombia, la entidad estatal debe definir los bienes nacionales relevantes, pues su uso permite establecer si el servicio puede calificarse como nacional. Si no existen bienes nacionales relevantes o no hay oferta nacional registrada, el puntaje podrá otorgarse al proponente que se comprometa a vincular el porcentaje mínimo de personal colombiano que defina la entidad estatal, el cual no podrá ser inferior al cuarenta por ciento (40%) del total requerido para la ejecución del contrato.</w:t>
      </w:r>
    </w:p>
    <w:p w14:paraId="0F1C634A" w14:textId="77777777" w:rsidR="0070198B" w:rsidRPr="00870507" w:rsidRDefault="0070198B" w:rsidP="0070198B">
      <w:pPr>
        <w:tabs>
          <w:tab w:val="left" w:pos="0"/>
        </w:tabs>
        <w:spacing w:after="120" w:line="276" w:lineRule="auto"/>
        <w:ind w:firstLine="709"/>
        <w:jc w:val="both"/>
        <w:rPr>
          <w:rFonts w:ascii="Verdana" w:eastAsia="Calibri" w:hAnsi="Verdana" w:cs="Arial"/>
          <w:bCs/>
          <w:color w:val="000000"/>
          <w:lang w:val="es-ES"/>
        </w:rPr>
      </w:pPr>
      <w:r w:rsidRPr="007548F6">
        <w:rPr>
          <w:rFonts w:ascii="Verdana" w:eastAsia="Calibri" w:hAnsi="Verdana" w:cs="Arial"/>
          <w:bCs/>
          <w:color w:val="000000"/>
          <w:lang w:val="es-ES"/>
        </w:rPr>
        <w:t xml:space="preserve">En aplicación de estos </w:t>
      </w:r>
      <w:r w:rsidRPr="00870507">
        <w:rPr>
          <w:rFonts w:ascii="Verdana" w:eastAsia="Calibri" w:hAnsi="Verdana" w:cs="Arial"/>
          <w:bCs/>
          <w:color w:val="000000"/>
          <w:lang w:val="es-ES"/>
        </w:rPr>
        <w:t>criterios, corresponde a la entidad estatal determinar en los pliegos de condiciones la metodología para asignar el puntaje por apoyo a la industria nacional. El puntaje solo debe concederse al proponente que acredite el cumplimiento de los requisitos normativos, ya sea mediante la incorporación de bienes nacionales relevantes o mediante la vinculación del personal colombiano exigido. En consecuencia, la posibilidad de acceder al puntaje por apoyo a la industria nacional no depende exclusivamente de la composición del capital social, sino del cumplimiento de la regla de origen y de las condiciones previstas en la Ley 816 de 2003 y su reglamentación, cuya verificación corresponde a la entidad estatal en cada proceso de contratación.</w:t>
      </w:r>
    </w:p>
    <w:p w14:paraId="4F19C973" w14:textId="77777777" w:rsidR="0070198B" w:rsidRPr="007548F6" w:rsidRDefault="0070198B" w:rsidP="0070198B">
      <w:pPr>
        <w:tabs>
          <w:tab w:val="left" w:pos="0"/>
        </w:tabs>
        <w:spacing w:after="120" w:line="276" w:lineRule="auto"/>
        <w:ind w:firstLine="709"/>
        <w:jc w:val="both"/>
        <w:rPr>
          <w:rFonts w:ascii="Verdana" w:eastAsia="Calibri" w:hAnsi="Verdana" w:cs="Arial"/>
          <w:bCs/>
          <w:color w:val="000000"/>
          <w:lang w:val="es-ES"/>
        </w:rPr>
      </w:pPr>
      <w:r w:rsidRPr="007548F6">
        <w:rPr>
          <w:rFonts w:ascii="Verdana" w:eastAsia="Calibri" w:hAnsi="Verdana" w:cs="Arial"/>
          <w:bCs/>
          <w:color w:val="000000"/>
          <w:lang w:val="es-ES"/>
        </w:rPr>
        <w:t xml:space="preserve">En este contexto, </w:t>
      </w:r>
      <w:r>
        <w:rPr>
          <w:rFonts w:ascii="Verdana" w:eastAsia="Calibri" w:hAnsi="Verdana" w:cs="Arial"/>
          <w:bCs/>
          <w:color w:val="000000"/>
          <w:lang w:val="es-ES"/>
        </w:rPr>
        <w:t xml:space="preserve">y al no establecer dicha ley ni su reglamento la forma en la que propiamente podrán acreditar los oferentes tales condiciones, será un asunto que le corresponderá definir a la Entidad Estatal que se encuentre adelantando el proceso de contratación en el pliego de condiciones o documento equivalente. </w:t>
      </w:r>
    </w:p>
    <w:p w14:paraId="2B522A21" w14:textId="77777777" w:rsidR="0070198B" w:rsidRPr="007548F6" w:rsidRDefault="0070198B" w:rsidP="0070198B">
      <w:pPr>
        <w:tabs>
          <w:tab w:val="left" w:pos="0"/>
        </w:tabs>
        <w:spacing w:after="120" w:line="276" w:lineRule="auto"/>
        <w:ind w:firstLine="709"/>
        <w:jc w:val="both"/>
        <w:rPr>
          <w:rFonts w:ascii="Verdana" w:eastAsia="Calibri" w:hAnsi="Verdana" w:cs="Arial"/>
          <w:bCs/>
          <w:color w:val="000000"/>
          <w:lang w:val="es-ES"/>
        </w:rPr>
      </w:pPr>
      <w:r w:rsidRPr="007548F6">
        <w:rPr>
          <w:rFonts w:ascii="Verdana" w:eastAsia="Calibri" w:hAnsi="Verdana" w:cs="Arial"/>
          <w:bCs/>
          <w:color w:val="000000"/>
          <w:lang w:val="es-ES"/>
        </w:rPr>
        <w:t xml:space="preserve">Respecto de la noción de Servicios Nacionales, cabe señalar que no está determinada únicamente por la naturaleza jurídica de su prestador, ya que además de tratarse de una persona natural colombiana o jurídica conformada según la ley colombiana, se requiere que la propuesta, en principio, incluya en la ejecución del contrato la utilización de los bienes nacionales relevantes. En ese sentido, la definición de </w:t>
      </w:r>
      <w:r w:rsidRPr="007548F6">
        <w:rPr>
          <w:rFonts w:ascii="Verdana" w:eastAsia="Calibri" w:hAnsi="Verdana" w:cs="Arial"/>
          <w:bCs/>
          <w:i/>
          <w:iCs/>
          <w:color w:val="000000"/>
          <w:lang w:val="es-ES"/>
        </w:rPr>
        <w:t xml:space="preserve">Servicios Nacionales </w:t>
      </w:r>
      <w:r w:rsidRPr="007548F6">
        <w:rPr>
          <w:rFonts w:ascii="Verdana" w:eastAsia="Calibri" w:hAnsi="Verdana" w:cs="Arial"/>
          <w:bCs/>
          <w:color w:val="000000"/>
          <w:lang w:val="es-ES"/>
        </w:rPr>
        <w:t xml:space="preserve">remite a la noción de </w:t>
      </w:r>
      <w:r w:rsidRPr="007548F6">
        <w:rPr>
          <w:rFonts w:ascii="Verdana" w:eastAsia="Calibri" w:hAnsi="Verdana" w:cs="Arial"/>
          <w:bCs/>
          <w:i/>
          <w:iCs/>
          <w:color w:val="000000"/>
          <w:lang w:val="es-ES"/>
        </w:rPr>
        <w:t>Bienes Nacionales</w:t>
      </w:r>
      <w:r w:rsidRPr="007548F6">
        <w:rPr>
          <w:rFonts w:ascii="Verdana" w:eastAsia="Calibri" w:hAnsi="Verdana" w:cs="Arial"/>
          <w:bCs/>
          <w:color w:val="000000"/>
          <w:lang w:val="es-ES"/>
        </w:rPr>
        <w:t xml:space="preserve"> establecida en el mismo artículo 2.2.1.1.1.3.1. del Decreto 1082 de </w:t>
      </w:r>
      <w:r w:rsidRPr="007548F6">
        <w:rPr>
          <w:rFonts w:ascii="Verdana" w:eastAsia="Calibri" w:hAnsi="Verdana" w:cs="Arial"/>
          <w:bCs/>
          <w:color w:val="000000"/>
          <w:lang w:val="es-ES"/>
        </w:rPr>
        <w:lastRenderedPageBreak/>
        <w:t xml:space="preserve">2015, que dispone que son aquellos “Bienes definidos como nacionales en el Registro de Productores de Bienes Nacionales, de conformidad con el Decreto 2680 de 2009 o las normas que lo modifiquen, aclaren, adicionen o sustituyan”. </w:t>
      </w:r>
    </w:p>
    <w:p w14:paraId="0A26F64E" w14:textId="77777777" w:rsidR="0070198B" w:rsidRPr="007548F6" w:rsidRDefault="0070198B" w:rsidP="0070198B">
      <w:pPr>
        <w:spacing w:after="120" w:line="276" w:lineRule="auto"/>
        <w:ind w:firstLine="709"/>
        <w:jc w:val="both"/>
        <w:rPr>
          <w:rFonts w:ascii="Verdana" w:eastAsia="Calibri" w:hAnsi="Verdana" w:cs="Arial"/>
          <w:color w:val="000000"/>
          <w:lang w:val="es-ES"/>
        </w:rPr>
      </w:pPr>
      <w:r w:rsidRPr="007548F6">
        <w:rPr>
          <w:rFonts w:ascii="Verdana" w:eastAsia="Calibri" w:hAnsi="Verdana" w:cs="Arial"/>
          <w:color w:val="000000" w:themeColor="text1"/>
          <w:lang w:val="es-ES"/>
        </w:rPr>
        <w:t>El artículo 1 del Decreto 2680 de 2009 dispone que “Se entiende como bienes nacionales, aquellos bienes totalmente obtenidos, bienes elaborados con materiales nacionales o productos que sufran una transformación sustancial de conformidad con lo previsto en el presente decreto”. Asimismo, conforme al artículo 19.1 del Decreto Ley 210 de 2003 y artículo 1 de la Resolución del Ministerio de Comercio, Industria y Turismo 331 del 25 de junio de 2010, el Registro de Productores de Bienes Nacionales es administrado por la Subdirección de Diseño y Administración de Operaciones de la Dirección de Comercio Exterior, además de que puede consultarse en la ventanilla única de la dependencia mencionada.</w:t>
      </w:r>
    </w:p>
    <w:p w14:paraId="13C3B84C" w14:textId="77777777" w:rsidR="0070198B" w:rsidRPr="007548F6" w:rsidRDefault="0070198B" w:rsidP="0070198B">
      <w:pPr>
        <w:spacing w:before="120" w:after="120" w:line="276" w:lineRule="auto"/>
        <w:ind w:firstLine="709"/>
        <w:jc w:val="both"/>
        <w:rPr>
          <w:rFonts w:ascii="Verdana" w:eastAsia="Calibri" w:hAnsi="Verdana" w:cs="Arial"/>
          <w:color w:val="000000"/>
          <w:lang w:val="es-ES"/>
        </w:rPr>
      </w:pPr>
      <w:r w:rsidRPr="007548F6">
        <w:rPr>
          <w:rFonts w:ascii="Verdana" w:eastAsia="Calibri" w:hAnsi="Verdana" w:cs="Arial"/>
          <w:color w:val="000000" w:themeColor="text1"/>
          <w:lang w:val="es-ES"/>
        </w:rPr>
        <w:t xml:space="preserve">En consecuencia, si el contrato debe cumplirse en Colombia, la entidad estatal debe definir los bienes nacionales relevantes, pues el uso de estos por parte del proponente es uno de los criterios que permiten establecer si el servicio puede calificarse como nacional. Si el contrato no debe cumplirse en Colombia, para que el servicio sea nacional, no es necesario que se usen bienes o personal colombianos, sino que basta con que sea prestado “por una persona natural colombiana o por un residente en Colombia, por una persona jurídica constituida de conformidad con la legislación colombiana o un proponente plural conformado por estos”. Lo anterior en consonancia con el artículo 1 del Decreto 680 de 2021. </w:t>
      </w:r>
    </w:p>
    <w:p w14:paraId="56820AA8" w14:textId="77777777" w:rsidR="0070198B" w:rsidRPr="007548F6" w:rsidRDefault="0070198B" w:rsidP="0070198B">
      <w:pPr>
        <w:tabs>
          <w:tab w:val="left" w:pos="0"/>
        </w:tabs>
        <w:spacing w:after="0" w:line="276" w:lineRule="auto"/>
        <w:ind w:firstLine="709"/>
        <w:jc w:val="both"/>
        <w:rPr>
          <w:rFonts w:ascii="Verdana" w:eastAsia="Calibri" w:hAnsi="Verdana" w:cs="Arial"/>
          <w:bCs/>
          <w:color w:val="000000"/>
          <w:lang w:val="es-ES"/>
        </w:rPr>
      </w:pPr>
      <w:r w:rsidRPr="007548F6">
        <w:rPr>
          <w:rFonts w:ascii="Verdana" w:eastAsia="Calibri" w:hAnsi="Verdana" w:cs="Arial"/>
          <w:bCs/>
          <w:color w:val="000000"/>
          <w:lang w:val="es-ES"/>
        </w:rPr>
        <w:t xml:space="preserve">De otra parte, el artículo 2 del Decreto 680 de 2021 consagra unos lineamientos que deben seguir las entidades estatales para definir los </w:t>
      </w:r>
      <w:r w:rsidRPr="007548F6">
        <w:rPr>
          <w:rFonts w:ascii="Verdana" w:eastAsia="Calibri" w:hAnsi="Verdana" w:cs="Arial"/>
          <w:bCs/>
          <w:i/>
          <w:iCs/>
          <w:color w:val="000000"/>
          <w:lang w:val="es-ES"/>
        </w:rPr>
        <w:t>bienes colombianos relevantes</w:t>
      </w:r>
      <w:r w:rsidRPr="007548F6">
        <w:rPr>
          <w:rFonts w:ascii="Verdana" w:eastAsia="Calibri" w:hAnsi="Verdana" w:cs="Arial"/>
          <w:bCs/>
          <w:color w:val="000000"/>
          <w:lang w:val="es-ES"/>
        </w:rPr>
        <w:t xml:space="preserve"> y otorgar el puntaje de que trata el inciso 1 del artículo 2 de la Ley 816 de 2003. En efecto, el artículo 2 del Decreto en comento dispone lo siguiente: </w:t>
      </w:r>
    </w:p>
    <w:p w14:paraId="55DFC112" w14:textId="77777777" w:rsidR="0070198B" w:rsidRPr="007548F6" w:rsidRDefault="0070198B" w:rsidP="0070198B">
      <w:pPr>
        <w:tabs>
          <w:tab w:val="left" w:pos="0"/>
        </w:tabs>
        <w:spacing w:after="0" w:line="240" w:lineRule="auto"/>
        <w:ind w:left="709" w:right="709"/>
        <w:jc w:val="both"/>
        <w:rPr>
          <w:rFonts w:ascii="Verdana" w:eastAsia="Calibri" w:hAnsi="Verdana" w:cs="Arial"/>
          <w:bCs/>
          <w:color w:val="000000"/>
          <w:sz w:val="21"/>
          <w:szCs w:val="21"/>
          <w:lang w:val="es-ES"/>
        </w:rPr>
      </w:pPr>
    </w:p>
    <w:p w14:paraId="03FEBAEA" w14:textId="77777777" w:rsidR="0070198B" w:rsidRPr="007548F6" w:rsidRDefault="0070198B" w:rsidP="0070198B">
      <w:pPr>
        <w:tabs>
          <w:tab w:val="left" w:pos="0"/>
        </w:tabs>
        <w:spacing w:after="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“Adiciónese el artículo 2.2.1.2.4.2.9. a la Subsección 2 de la Sección 4 del Capítulo 2 del Título 1 de la Parte 2 del Libro 2 del Decreto 1082 de 2015, Único Reglamentario del Sector Administrativo de Planeación Nacional, cuyo texto será el siguiente:</w:t>
      </w:r>
    </w:p>
    <w:p w14:paraId="5E5561A5" w14:textId="77777777" w:rsidR="0070198B" w:rsidRPr="007548F6" w:rsidRDefault="0070198B" w:rsidP="0070198B">
      <w:pPr>
        <w:tabs>
          <w:tab w:val="left" w:pos="0"/>
        </w:tabs>
        <w:spacing w:after="0" w:line="240" w:lineRule="auto"/>
        <w:ind w:right="709"/>
        <w:jc w:val="both"/>
        <w:rPr>
          <w:rFonts w:ascii="Verdana" w:eastAsia="Calibri" w:hAnsi="Verdana" w:cs="Arial"/>
          <w:bCs/>
          <w:color w:val="000000"/>
          <w:sz w:val="20"/>
          <w:szCs w:val="20"/>
          <w:lang w:val="es-ES"/>
        </w:rPr>
      </w:pPr>
    </w:p>
    <w:p w14:paraId="0C8FF174" w14:textId="77777777" w:rsidR="0070198B" w:rsidRPr="007548F6" w:rsidRDefault="0070198B" w:rsidP="0070198B">
      <w:pPr>
        <w:tabs>
          <w:tab w:val="left" w:pos="0"/>
        </w:tabs>
        <w:spacing w:after="12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 xml:space="preserve">“ARTÍCULO 2.2.1.2.4.2.9. Puntaje para la promoción de la industria nacional en los Procesos de Contratación de servicios. La Entidad Estatal en los Procesos de Contratación de servicios, otorgará el puntaje de que trata el inciso primero del artículo 2 de la Ley 816 de 2003 al proponente </w:t>
      </w:r>
      <w:r w:rsidRPr="007548F6">
        <w:rPr>
          <w:rFonts w:ascii="Verdana" w:eastAsia="Calibri" w:hAnsi="Verdana" w:cs="Arial"/>
          <w:bCs/>
          <w:color w:val="000000"/>
          <w:sz w:val="20"/>
          <w:szCs w:val="20"/>
          <w:lang w:val="es-ES"/>
        </w:rPr>
        <w:lastRenderedPageBreak/>
        <w:t>que oferte Servicios Nacionales o servicios extranjeros con trato nacional de acuerdo con la regla de origen aplicable.</w:t>
      </w:r>
    </w:p>
    <w:p w14:paraId="092EA1F2" w14:textId="77777777" w:rsidR="0070198B" w:rsidRPr="007548F6" w:rsidRDefault="0070198B" w:rsidP="0070198B">
      <w:pPr>
        <w:tabs>
          <w:tab w:val="left" w:pos="0"/>
        </w:tabs>
        <w:spacing w:after="12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En los contratos que deban cumplirse en Colombia, la Entidad Estatal definirá de manera razonable y proporcionada los bienes colombianos relevantes teniendo en cuenta:</w:t>
      </w:r>
    </w:p>
    <w:p w14:paraId="5D077A3C" w14:textId="77777777" w:rsidR="0070198B" w:rsidRPr="007548F6" w:rsidRDefault="0070198B" w:rsidP="0070198B">
      <w:pPr>
        <w:tabs>
          <w:tab w:val="left" w:pos="0"/>
        </w:tabs>
        <w:spacing w:after="12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1. El análisis del sector económico y de los oferentes, y, toda aquella información adicional con la que cuente la Entidad Estatal en la etapa de planeación del Proceso de Contratación;</w:t>
      </w:r>
    </w:p>
    <w:p w14:paraId="02E927EB" w14:textId="77777777" w:rsidR="0070198B" w:rsidRPr="007548F6" w:rsidRDefault="0070198B" w:rsidP="0070198B">
      <w:pPr>
        <w:tabs>
          <w:tab w:val="left" w:pos="0"/>
        </w:tabs>
        <w:spacing w:after="12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2. El porcentaje de participación de los bienes en el presupuesto del Proceso de Contratación; y</w:t>
      </w:r>
    </w:p>
    <w:p w14:paraId="45AD06DC" w14:textId="77777777" w:rsidR="0070198B" w:rsidRPr="007548F6" w:rsidRDefault="0070198B" w:rsidP="0070198B">
      <w:pPr>
        <w:tabs>
          <w:tab w:val="left" w:pos="0"/>
        </w:tabs>
        <w:spacing w:after="12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3. La existencia de los bienes en el Registro de Productores de Bienes Nacionales, en los términos del Decreto 2680 de 2009 o las normas que lo modifiquen, aclaren, adicionen o sustituyan.</w:t>
      </w:r>
    </w:p>
    <w:p w14:paraId="19ED1160" w14:textId="77777777" w:rsidR="0070198B" w:rsidRPr="007548F6" w:rsidRDefault="0070198B" w:rsidP="0070198B">
      <w:pPr>
        <w:tabs>
          <w:tab w:val="left" w:pos="0"/>
        </w:tabs>
        <w:spacing w:after="12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En aquellos casos en que, de acuerdo con el objeto contractual, no existan bienes colombianos relevantes o no exista oferta nacional de los mismos en el Registro de Productores de Bienes Nacionales, la Entidad Estatal otorgará el puntaje de que trata el inciso primero del artículo 2 de la Ley 816 de 2003 al proponente que vincule el porcentaje mínimo establecido por la Entidad Estatal de empleados o contratistas por prestación de servicios colombianos, que no podrá ser inferior al 40% del total de empleado</w:t>
      </w:r>
      <w:r w:rsidRPr="007548F6">
        <w:rPr>
          <w:lang w:val="es-ES"/>
        </w:rPr>
        <w:t>s</w:t>
      </w:r>
      <w:r w:rsidRPr="007548F6">
        <w:rPr>
          <w:rFonts w:ascii="Verdana" w:eastAsia="Calibri" w:hAnsi="Verdana" w:cs="Arial"/>
          <w:bCs/>
          <w:color w:val="000000"/>
          <w:sz w:val="20"/>
          <w:szCs w:val="20"/>
          <w:lang w:val="es-ES"/>
        </w:rPr>
        <w:t xml:space="preserve"> y contratistas asociados al cumplimiento del contrato.</w:t>
      </w:r>
    </w:p>
    <w:p w14:paraId="36C04620" w14:textId="77777777" w:rsidR="0070198B" w:rsidRPr="007548F6" w:rsidRDefault="0070198B" w:rsidP="0070198B">
      <w:pPr>
        <w:tabs>
          <w:tab w:val="left" w:pos="0"/>
        </w:tabs>
        <w:spacing w:after="0" w:line="240" w:lineRule="auto"/>
        <w:ind w:left="709" w:right="709"/>
        <w:jc w:val="both"/>
        <w:rPr>
          <w:rFonts w:ascii="Verdana" w:eastAsia="Calibri" w:hAnsi="Verdana" w:cs="Arial"/>
          <w:bCs/>
          <w:color w:val="000000"/>
          <w:sz w:val="20"/>
          <w:szCs w:val="20"/>
          <w:lang w:val="es-ES"/>
        </w:rPr>
      </w:pPr>
      <w:r w:rsidRPr="007548F6">
        <w:rPr>
          <w:rFonts w:ascii="Verdana" w:eastAsia="Calibri" w:hAnsi="Verdana" w:cs="Arial"/>
          <w:bCs/>
          <w:color w:val="000000"/>
          <w:sz w:val="20"/>
          <w:szCs w:val="20"/>
          <w:lang w:val="es-ES"/>
        </w:rPr>
        <w:t>La Entidad Estatal documentará este análisis y dejará constancia en los Documentos del Proceso”.</w:t>
      </w:r>
    </w:p>
    <w:p w14:paraId="094F0096" w14:textId="77777777" w:rsidR="0070198B" w:rsidRPr="007548F6" w:rsidRDefault="0070198B" w:rsidP="0070198B">
      <w:pPr>
        <w:tabs>
          <w:tab w:val="left" w:pos="0"/>
        </w:tabs>
        <w:spacing w:after="0" w:line="240" w:lineRule="auto"/>
        <w:ind w:left="709" w:right="709"/>
        <w:jc w:val="both"/>
        <w:rPr>
          <w:rFonts w:ascii="Verdana" w:eastAsia="Calibri" w:hAnsi="Verdana" w:cs="Arial"/>
          <w:bCs/>
          <w:color w:val="000000"/>
          <w:sz w:val="21"/>
          <w:szCs w:val="21"/>
          <w:lang w:val="es-ES"/>
        </w:rPr>
      </w:pPr>
    </w:p>
    <w:p w14:paraId="36D62E7E" w14:textId="77777777" w:rsidR="0070198B" w:rsidRPr="007548F6" w:rsidRDefault="0070198B" w:rsidP="0070198B">
      <w:pPr>
        <w:tabs>
          <w:tab w:val="left" w:pos="0"/>
        </w:tabs>
        <w:spacing w:after="120" w:line="276" w:lineRule="auto"/>
        <w:ind w:firstLine="709"/>
        <w:jc w:val="both"/>
        <w:rPr>
          <w:rFonts w:ascii="Verdana" w:eastAsia="Calibri" w:hAnsi="Verdana" w:cs="Arial"/>
          <w:color w:val="000000"/>
          <w:lang w:val="es-ES"/>
        </w:rPr>
      </w:pPr>
      <w:bookmarkStart w:id="4" w:name="_Hlk86820149"/>
      <w:r w:rsidRPr="007548F6">
        <w:rPr>
          <w:rFonts w:ascii="Verdana" w:eastAsia="Calibri" w:hAnsi="Verdana" w:cs="Arial"/>
          <w:color w:val="000000" w:themeColor="text1"/>
          <w:lang w:val="es-ES"/>
        </w:rPr>
        <w:t xml:space="preserve">Según el artículo 2.2.1.2.4.2.9 del Decreto 1082 de 2015, adicionado por el Decreto 680 de 2021, que desarrolla lo establecido en la Ley 816 de 2003, para definir los bienes colombianos relevantes, la entidad estatal debe tener en cuenta tres criterios, a saber: i) “el análisis del sector económico y de los oferentes, y, toda aquella información adicional con la que cuente la entidad estatal en la etapa de planeación del Proceso de Contratación”, </w:t>
      </w:r>
      <w:proofErr w:type="spellStart"/>
      <w:r w:rsidRPr="007548F6">
        <w:rPr>
          <w:rFonts w:ascii="Verdana" w:eastAsia="Calibri" w:hAnsi="Verdana" w:cs="Arial"/>
          <w:color w:val="000000" w:themeColor="text1"/>
          <w:lang w:val="es-ES"/>
        </w:rPr>
        <w:t>ii</w:t>
      </w:r>
      <w:proofErr w:type="spellEnd"/>
      <w:r w:rsidRPr="007548F6">
        <w:rPr>
          <w:rFonts w:ascii="Verdana" w:eastAsia="Calibri" w:hAnsi="Verdana" w:cs="Arial"/>
          <w:color w:val="000000" w:themeColor="text1"/>
          <w:lang w:val="es-ES"/>
        </w:rPr>
        <w:t xml:space="preserve">) el porcentaje de participación de los bienes en el presupuesto del Proceso de Contratación y </w:t>
      </w:r>
      <w:proofErr w:type="spellStart"/>
      <w:r w:rsidRPr="007548F6">
        <w:rPr>
          <w:rFonts w:ascii="Verdana" w:eastAsia="Calibri" w:hAnsi="Verdana" w:cs="Arial"/>
          <w:color w:val="000000" w:themeColor="text1"/>
          <w:lang w:val="es-ES"/>
        </w:rPr>
        <w:t>iii</w:t>
      </w:r>
      <w:proofErr w:type="spellEnd"/>
      <w:r w:rsidRPr="007548F6">
        <w:rPr>
          <w:rFonts w:ascii="Verdana" w:eastAsia="Calibri" w:hAnsi="Verdana" w:cs="Arial"/>
          <w:color w:val="000000" w:themeColor="text1"/>
          <w:lang w:val="es-ES"/>
        </w:rPr>
        <w:t xml:space="preserve">) la existencia de los bienes en el </w:t>
      </w:r>
      <w:bookmarkStart w:id="5" w:name="_Hlk108603140"/>
      <w:r w:rsidRPr="007548F6">
        <w:rPr>
          <w:rFonts w:ascii="Verdana" w:eastAsia="Calibri" w:hAnsi="Verdana" w:cs="Arial"/>
          <w:color w:val="000000" w:themeColor="text1"/>
          <w:lang w:val="es-ES"/>
        </w:rPr>
        <w:t>Registro de Productores de Bienes Nacionales</w:t>
      </w:r>
      <w:bookmarkEnd w:id="5"/>
      <w:r w:rsidRPr="007548F6">
        <w:rPr>
          <w:rFonts w:ascii="Verdana" w:eastAsia="Calibri" w:hAnsi="Verdana" w:cs="Arial"/>
          <w:color w:val="000000" w:themeColor="text1"/>
          <w:lang w:val="es-ES"/>
        </w:rPr>
        <w:t xml:space="preserve">, en los términos del Decreto 2680 de 2009. </w:t>
      </w:r>
    </w:p>
    <w:p w14:paraId="51C273DC" w14:textId="77777777" w:rsidR="0070198B" w:rsidRPr="007548F6" w:rsidRDefault="0070198B" w:rsidP="0070198B">
      <w:pPr>
        <w:tabs>
          <w:tab w:val="left" w:pos="0"/>
        </w:tabs>
        <w:spacing w:after="120" w:line="276" w:lineRule="auto"/>
        <w:ind w:firstLine="709"/>
        <w:jc w:val="both"/>
        <w:rPr>
          <w:rFonts w:ascii="Verdana" w:eastAsia="Calibri" w:hAnsi="Verdana" w:cs="Arial"/>
          <w:bCs/>
          <w:color w:val="000000"/>
          <w:lang w:val="es-ES"/>
        </w:rPr>
      </w:pPr>
      <w:r w:rsidRPr="007548F6">
        <w:rPr>
          <w:rFonts w:ascii="Verdana" w:eastAsia="Calibri" w:hAnsi="Verdana" w:cs="Arial"/>
          <w:bCs/>
          <w:color w:val="000000"/>
          <w:lang w:val="es-ES"/>
        </w:rPr>
        <w:t>En aplicación de estos criterios, corresponde a la entidad estatal determinar en los respectivos pliegos de condiciones o documentos equivalentes, la metodología conforme con la cual se asignará el puntaje correspondiente por apoyo a la industria nacional</w:t>
      </w:r>
      <w:bookmarkEnd w:id="4"/>
      <w:r w:rsidRPr="007548F6">
        <w:rPr>
          <w:rFonts w:ascii="Verdana" w:eastAsia="Calibri" w:hAnsi="Verdana" w:cs="Arial"/>
          <w:bCs/>
          <w:color w:val="000000"/>
          <w:lang w:val="es-ES"/>
        </w:rPr>
        <w:t>. Así, los puntos para la promoción de la industria nacional s</w:t>
      </w:r>
      <w:r>
        <w:rPr>
          <w:rFonts w:ascii="Verdana" w:eastAsia="Calibri" w:hAnsi="Verdana" w:cs="Arial"/>
          <w:bCs/>
          <w:color w:val="000000"/>
          <w:lang w:val="es-ES"/>
        </w:rPr>
        <w:t>o</w:t>
      </w:r>
      <w:r w:rsidRPr="007548F6">
        <w:rPr>
          <w:rFonts w:ascii="Verdana" w:eastAsia="Calibri" w:hAnsi="Verdana" w:cs="Arial"/>
          <w:bCs/>
          <w:color w:val="000000"/>
          <w:lang w:val="es-ES"/>
        </w:rPr>
        <w:t xml:space="preserve">lo deben concederse al proponente si éste </w:t>
      </w:r>
      <w:r w:rsidRPr="007548F6">
        <w:rPr>
          <w:rFonts w:ascii="Verdana" w:eastAsia="Calibri" w:hAnsi="Verdana" w:cs="Arial"/>
          <w:bCs/>
          <w:color w:val="000000"/>
          <w:lang w:val="es-ES"/>
        </w:rPr>
        <w:lastRenderedPageBreak/>
        <w:t>cuenta con el respectivo Registro de Productores de Bienes Nacionales para los bienes relevantes que ofrece para la prestación del servicio. El proponente es autónomo para definir si se presenta o no al proceso acreditando este factor de evaluación; sin embargo, la asignación del puntaje está sujeta al cumplimiento de los requisitos previstos en las normas citadas.</w:t>
      </w:r>
    </w:p>
    <w:p w14:paraId="2BE3A1D4" w14:textId="77777777" w:rsidR="0070198B" w:rsidRPr="007548F6" w:rsidRDefault="0070198B" w:rsidP="0070198B">
      <w:pPr>
        <w:tabs>
          <w:tab w:val="left" w:pos="0"/>
        </w:tabs>
        <w:spacing w:after="120" w:line="276" w:lineRule="auto"/>
        <w:ind w:firstLine="709"/>
        <w:jc w:val="both"/>
        <w:rPr>
          <w:rFonts w:ascii="Verdana" w:hAnsi="Verdana"/>
          <w:lang w:val="es-ES"/>
        </w:rPr>
      </w:pPr>
      <w:r w:rsidRPr="007548F6">
        <w:rPr>
          <w:rFonts w:ascii="Verdana" w:eastAsia="Calibri" w:hAnsi="Verdana" w:cs="Arial"/>
          <w:bCs/>
          <w:color w:val="000000"/>
          <w:lang w:val="es-ES"/>
        </w:rPr>
        <w:t xml:space="preserve">Sin perjuicio de lo anterior, el penúltimo inciso del artículo </w:t>
      </w:r>
      <w:r w:rsidRPr="007548F6">
        <w:rPr>
          <w:rFonts w:ascii="Verdana" w:hAnsi="Verdana"/>
          <w:lang w:val="es-ES"/>
        </w:rPr>
        <w:t xml:space="preserve">2.2.1.2.4.2.9 del Decreto 1082 de 2015, modificado por el Decreto 680 de 2021, </w:t>
      </w:r>
      <w:r>
        <w:rPr>
          <w:rFonts w:ascii="Verdana" w:hAnsi="Verdana"/>
          <w:lang w:val="es-ES"/>
        </w:rPr>
        <w:t xml:space="preserve">prevé </w:t>
      </w:r>
      <w:r w:rsidRPr="007548F6">
        <w:rPr>
          <w:rFonts w:ascii="Verdana" w:hAnsi="Verdana"/>
          <w:lang w:val="es-ES"/>
        </w:rPr>
        <w:t xml:space="preserve">el supuesto de hecho de que no existan unos Bienes Nacionales relevantes para la ejecución del objeto contractual, estableciendo la posibilidad de que, en estos casos, el puntaje se otorgue a los proponentes que se comprometan vincular un porcentaje determinado de personal colombiano a la ejecución del contrato. Este porcentaje, si </w:t>
      </w:r>
      <w:r>
        <w:rPr>
          <w:rFonts w:ascii="Verdana" w:hAnsi="Verdana"/>
          <w:lang w:val="es-ES"/>
        </w:rPr>
        <w:t xml:space="preserve">bien </w:t>
      </w:r>
      <w:r w:rsidRPr="007548F6">
        <w:rPr>
          <w:rFonts w:ascii="Verdana" w:hAnsi="Verdana"/>
          <w:lang w:val="es-ES"/>
        </w:rPr>
        <w:t xml:space="preserve">debe ser determinado por las Entidades Estatales en los pliegos de condiciones, no puede ser inferior al 40% del total de personas requeridas para ejecutar el objeto del contrato.   </w:t>
      </w:r>
    </w:p>
    <w:p w14:paraId="56C412DD" w14:textId="77777777" w:rsidR="0070198B" w:rsidRPr="007548F6" w:rsidRDefault="0070198B" w:rsidP="0070198B">
      <w:pPr>
        <w:tabs>
          <w:tab w:val="left" w:pos="2949"/>
          <w:tab w:val="left" w:pos="4539"/>
          <w:tab w:val="left" w:pos="5121"/>
          <w:tab w:val="left" w:pos="6492"/>
          <w:tab w:val="left" w:pos="7329"/>
          <w:tab w:val="left" w:pos="8720"/>
        </w:tabs>
        <w:spacing w:before="50" w:line="276" w:lineRule="auto"/>
        <w:ind w:firstLine="709"/>
        <w:jc w:val="both"/>
        <w:rPr>
          <w:rFonts w:ascii="Verdana" w:hAnsi="Verdana"/>
          <w:lang w:val="es-ES"/>
        </w:rPr>
      </w:pPr>
      <w:r w:rsidRPr="007548F6">
        <w:rPr>
          <w:rFonts w:ascii="Verdana" w:hAnsi="Verdana"/>
          <w:lang w:val="es-ES"/>
        </w:rPr>
        <w:t xml:space="preserve">Lo anterior implica que, las Entidades Estatales, al regular el puntaje dentro de los pliegos de condiciones, deban establecer si el puntaje se otorgará por la utilización de Bienes Nacionales relevantes para la ejecución del objeto contractual o por la vinculación de un porcentaje determinado de personal colombiano durante la ejecución del contrato, el cual, según el penúltimo inciso del artículo 2.2.1.2.4.2.9 del Decreto 1082 de 2015, no podrá ser inferior al 40%. En todo caso, la Entidad Estatal tiene la obligación de justificar las razones por las que opta por una u otra opción, de acuerdo </w:t>
      </w:r>
      <w:r>
        <w:rPr>
          <w:rFonts w:ascii="Verdana" w:hAnsi="Verdana"/>
          <w:lang w:val="es-ES"/>
        </w:rPr>
        <w:t xml:space="preserve">con </w:t>
      </w:r>
      <w:r w:rsidRPr="007548F6">
        <w:rPr>
          <w:rFonts w:ascii="Verdana" w:hAnsi="Verdana"/>
          <w:lang w:val="es-ES"/>
        </w:rPr>
        <w:t xml:space="preserve">el último inciso de la referida norma reglamentaria.  </w:t>
      </w:r>
    </w:p>
    <w:p w14:paraId="3B1481C0" w14:textId="77777777" w:rsidR="0070198B" w:rsidRPr="007548F6" w:rsidRDefault="0070198B" w:rsidP="0070198B">
      <w:pPr>
        <w:tabs>
          <w:tab w:val="left" w:pos="2949"/>
          <w:tab w:val="left" w:pos="4539"/>
          <w:tab w:val="left" w:pos="5121"/>
          <w:tab w:val="left" w:pos="6492"/>
          <w:tab w:val="left" w:pos="7329"/>
          <w:tab w:val="left" w:pos="8720"/>
        </w:tabs>
        <w:spacing w:before="50" w:after="0" w:line="276" w:lineRule="auto"/>
        <w:ind w:firstLine="709"/>
        <w:jc w:val="both"/>
        <w:rPr>
          <w:rFonts w:ascii="Verdana" w:hAnsi="Verdana"/>
          <w:lang w:val="es-ES"/>
        </w:rPr>
      </w:pPr>
      <w:r w:rsidRPr="007548F6">
        <w:rPr>
          <w:rFonts w:ascii="Verdana" w:hAnsi="Verdana"/>
          <w:lang w:val="es-ES"/>
        </w:rPr>
        <w:t xml:space="preserve">Este puntaje resulta aplicable tanto a proponentes singulares como plurales, ya sea por el compromiso de incorporar el Bien Nacional relevante o de vincular el personal colombiano en el porcentaje determinado por la Entidad Estatal. Con todo, es importante tener en consideración, que en medida en que se trata de supuestos de hecho que se proyectan a la ejecución del contrato, los bienes a incorporar o el porcentaje de personal a vincular, en últimas debe ser el mismo, independientemente de si se trata de un proponente singular o plural. Esto sin perjuicio de las determinaciones o acuerdos que se realicen por parte de los proponentes plurales de cara a la ejecución del contrato en el marco de la independencia técnica y autonomía que les asiste, </w:t>
      </w:r>
      <w:r>
        <w:rPr>
          <w:rFonts w:ascii="Verdana" w:hAnsi="Verdana"/>
          <w:lang w:val="es-ES"/>
        </w:rPr>
        <w:t xml:space="preserve">frente </w:t>
      </w:r>
      <w:r w:rsidRPr="007548F6">
        <w:rPr>
          <w:rFonts w:ascii="Verdana" w:hAnsi="Verdana"/>
          <w:lang w:val="es-ES"/>
        </w:rPr>
        <w:t>al compromiso que de manera solidaria asumen al optar al puntaje antes explicado.</w:t>
      </w:r>
    </w:p>
    <w:p w14:paraId="1CC277F2" w14:textId="77777777" w:rsidR="0070198B" w:rsidRPr="00116042" w:rsidRDefault="0070198B" w:rsidP="0070198B">
      <w:pPr>
        <w:tabs>
          <w:tab w:val="left" w:pos="709"/>
        </w:tabs>
        <w:spacing w:before="120" w:after="0" w:line="276" w:lineRule="auto"/>
        <w:jc w:val="both"/>
        <w:rPr>
          <w:rFonts w:ascii="Verdana" w:eastAsia="Calibri" w:hAnsi="Verdana" w:cs="Arial"/>
        </w:rPr>
      </w:pPr>
      <w:r>
        <w:rPr>
          <w:rFonts w:ascii="Verdana" w:eastAsia="Calibri" w:hAnsi="Verdana" w:cs="Arial"/>
        </w:rPr>
        <w:lastRenderedPageBreak/>
        <w:tab/>
      </w:r>
      <w:r w:rsidRPr="00116042">
        <w:rPr>
          <w:rFonts w:ascii="Verdana" w:eastAsia="Calibri" w:hAnsi="Verdana" w:cs="Arial"/>
        </w:rPr>
        <w:t>Finalmente se precisa, que el análisis sobre situaciones derivadas de la gestión contractual de las Entidades Estatales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6B80468B" w14:textId="77777777" w:rsidR="0070198B" w:rsidRPr="00116042" w:rsidRDefault="0070198B" w:rsidP="0070198B">
      <w:pPr>
        <w:widowControl w:val="0"/>
        <w:autoSpaceDE w:val="0"/>
        <w:autoSpaceDN w:val="0"/>
        <w:spacing w:before="120" w:after="120" w:line="276" w:lineRule="auto"/>
        <w:ind w:firstLine="709"/>
        <w:jc w:val="both"/>
        <w:rPr>
          <w:rFonts w:ascii="Verdana" w:eastAsia="Calibri" w:hAnsi="Verdana" w:cs="Arial"/>
        </w:rPr>
      </w:pPr>
      <w:r w:rsidRPr="00116042">
        <w:rPr>
          <w:rFonts w:ascii="Verdana" w:eastAsia="Calibri" w:hAnsi="Verdana" w:cs="Arial"/>
        </w:rPr>
        <w:t>Dentro de este marco, el consultante definirá en cada caso concreto lo relacionado con el tema objeto de consulta. Al tratarse de un análisis que debe realizarse en el procedimiento contractual específico, la Agencia sólo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331F3536" w14:textId="77777777" w:rsidR="0070198B" w:rsidRPr="00116042" w:rsidRDefault="0070198B" w:rsidP="0070198B">
      <w:pPr>
        <w:spacing w:after="0" w:line="276" w:lineRule="auto"/>
        <w:jc w:val="both"/>
        <w:rPr>
          <w:rFonts w:ascii="Verdana" w:eastAsia="Calibri" w:hAnsi="Verdana" w:cs="Arial"/>
          <w:lang w:val="es-ES" w:eastAsia="es-CO"/>
        </w:rPr>
      </w:pPr>
    </w:p>
    <w:p w14:paraId="4F49360D" w14:textId="77777777" w:rsidR="0070198B" w:rsidRPr="00116042" w:rsidRDefault="0070198B" w:rsidP="0070198B">
      <w:pPr>
        <w:widowControl w:val="0"/>
        <w:autoSpaceDE w:val="0"/>
        <w:autoSpaceDN w:val="0"/>
        <w:spacing w:before="1" w:after="0" w:line="240" w:lineRule="auto"/>
        <w:outlineLvl w:val="0"/>
        <w:rPr>
          <w:rFonts w:ascii="Verdana" w:eastAsia="Arial" w:hAnsi="Verdana" w:cs="Arial"/>
          <w:b/>
          <w:bCs/>
          <w:lang w:val="es-ES"/>
        </w:rPr>
      </w:pPr>
      <w:r w:rsidRPr="00116042">
        <w:rPr>
          <w:rFonts w:ascii="Verdana" w:eastAsia="Arial" w:hAnsi="Verdana" w:cs="Arial"/>
          <w:b/>
          <w:bCs/>
          <w:lang w:val="es-ES"/>
        </w:rPr>
        <w:t>4.Referencias normativas, jurisprudenciales y otras fuentes:</w:t>
      </w:r>
    </w:p>
    <w:p w14:paraId="46AB7DF8" w14:textId="77777777" w:rsidR="0070198B" w:rsidRPr="00116042" w:rsidRDefault="0070198B" w:rsidP="0070198B">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70198B" w:rsidRPr="00116042" w14:paraId="7BF3D84F" w14:textId="77777777" w:rsidTr="00FF1A07">
        <w:trPr>
          <w:trHeight w:val="870"/>
        </w:trPr>
        <w:tc>
          <w:tcPr>
            <w:tcW w:w="8647" w:type="dxa"/>
          </w:tcPr>
          <w:p w14:paraId="3C0C667D" w14:textId="77777777" w:rsidR="0070198B" w:rsidRPr="00985692" w:rsidRDefault="0070198B" w:rsidP="0070198B">
            <w:pPr>
              <w:pStyle w:val="Prrafodelista"/>
              <w:numPr>
                <w:ilvl w:val="0"/>
                <w:numId w:val="1"/>
              </w:numPr>
              <w:spacing w:line="240" w:lineRule="auto"/>
              <w:rPr>
                <w:rFonts w:ascii="Verdana" w:eastAsia="Aptos" w:hAnsi="Verdana" w:cs="Arial"/>
              </w:rPr>
            </w:pPr>
            <w:r w:rsidRPr="00985692">
              <w:rPr>
                <w:rFonts w:ascii="Verdana" w:eastAsia="Aptos" w:hAnsi="Verdana" w:cs="Arial"/>
              </w:rPr>
              <w:t>Ley 816 de 2003</w:t>
            </w:r>
            <w:r>
              <w:rPr>
                <w:rFonts w:ascii="Verdana" w:eastAsia="Aptos" w:hAnsi="Verdana" w:cs="Arial"/>
              </w:rPr>
              <w:t>.</w:t>
            </w:r>
            <w:r w:rsidRPr="00985692">
              <w:rPr>
                <w:rFonts w:ascii="Verdana" w:eastAsia="Aptos" w:hAnsi="Verdana" w:cs="Arial"/>
              </w:rPr>
              <w:t xml:space="preserve"> </w:t>
            </w:r>
            <w:r>
              <w:rPr>
                <w:rFonts w:ascii="Verdana" w:eastAsia="Aptos" w:hAnsi="Verdana" w:cs="Arial"/>
              </w:rPr>
              <w:t>A</w:t>
            </w:r>
            <w:r w:rsidRPr="00985692">
              <w:rPr>
                <w:rFonts w:ascii="Verdana" w:eastAsia="Aptos" w:hAnsi="Verdana" w:cs="Arial"/>
              </w:rPr>
              <w:t>rtículo 2.</w:t>
            </w:r>
          </w:p>
          <w:p w14:paraId="42C4A99E" w14:textId="77777777" w:rsidR="0070198B" w:rsidRPr="00985692" w:rsidRDefault="0070198B" w:rsidP="0070198B">
            <w:pPr>
              <w:pStyle w:val="Prrafodelista"/>
              <w:numPr>
                <w:ilvl w:val="0"/>
                <w:numId w:val="1"/>
              </w:numPr>
              <w:spacing w:line="240" w:lineRule="auto"/>
              <w:rPr>
                <w:rFonts w:ascii="Verdana" w:eastAsia="Aptos" w:hAnsi="Verdana" w:cs="Arial"/>
              </w:rPr>
            </w:pPr>
            <w:r w:rsidRPr="00985692">
              <w:rPr>
                <w:rFonts w:ascii="Verdana" w:eastAsia="Aptos" w:hAnsi="Verdana" w:cs="Arial"/>
              </w:rPr>
              <w:t>Decreto Ley 210 de 2003</w:t>
            </w:r>
            <w:r>
              <w:rPr>
                <w:rFonts w:ascii="Verdana" w:eastAsia="Aptos" w:hAnsi="Verdana" w:cs="Arial"/>
              </w:rPr>
              <w:t>.</w:t>
            </w:r>
            <w:r w:rsidRPr="00985692">
              <w:rPr>
                <w:rFonts w:ascii="Verdana" w:eastAsia="Aptos" w:hAnsi="Verdana" w:cs="Arial"/>
              </w:rPr>
              <w:t xml:space="preserve"> </w:t>
            </w:r>
            <w:r>
              <w:rPr>
                <w:rFonts w:ascii="Verdana" w:eastAsia="Aptos" w:hAnsi="Verdana" w:cs="Arial"/>
              </w:rPr>
              <w:t>A</w:t>
            </w:r>
            <w:r w:rsidRPr="00985692">
              <w:rPr>
                <w:rFonts w:ascii="Verdana" w:eastAsia="Aptos" w:hAnsi="Verdana" w:cs="Arial"/>
              </w:rPr>
              <w:t>rtículo 19, numeral 1.</w:t>
            </w:r>
          </w:p>
          <w:p w14:paraId="0DABF4EF" w14:textId="77777777" w:rsidR="0070198B" w:rsidRPr="00985692" w:rsidRDefault="0070198B" w:rsidP="0070198B">
            <w:pPr>
              <w:pStyle w:val="Prrafodelista"/>
              <w:numPr>
                <w:ilvl w:val="0"/>
                <w:numId w:val="1"/>
              </w:numPr>
              <w:spacing w:line="240" w:lineRule="auto"/>
              <w:rPr>
                <w:rFonts w:ascii="Verdana" w:eastAsia="Aptos" w:hAnsi="Verdana" w:cs="Arial"/>
              </w:rPr>
            </w:pPr>
            <w:r w:rsidRPr="00985692">
              <w:rPr>
                <w:rFonts w:ascii="Verdana" w:eastAsia="Aptos" w:hAnsi="Verdana" w:cs="Arial"/>
              </w:rPr>
              <w:t>Decreto 2680 de 2009</w:t>
            </w:r>
            <w:r>
              <w:rPr>
                <w:rFonts w:ascii="Verdana" w:eastAsia="Aptos" w:hAnsi="Verdana" w:cs="Arial"/>
              </w:rPr>
              <w:t>. A</w:t>
            </w:r>
            <w:r w:rsidRPr="00985692">
              <w:rPr>
                <w:rFonts w:ascii="Verdana" w:eastAsia="Aptos" w:hAnsi="Verdana" w:cs="Arial"/>
              </w:rPr>
              <w:t>rtículo 1.</w:t>
            </w:r>
          </w:p>
          <w:p w14:paraId="18E022D5" w14:textId="77777777" w:rsidR="0070198B" w:rsidRPr="00985692" w:rsidRDefault="0070198B" w:rsidP="0070198B">
            <w:pPr>
              <w:pStyle w:val="Prrafodelista"/>
              <w:numPr>
                <w:ilvl w:val="0"/>
                <w:numId w:val="1"/>
              </w:numPr>
              <w:spacing w:line="240" w:lineRule="auto"/>
              <w:rPr>
                <w:rFonts w:ascii="Verdana" w:eastAsia="Aptos" w:hAnsi="Verdana" w:cs="Arial"/>
              </w:rPr>
            </w:pPr>
            <w:r w:rsidRPr="00985692">
              <w:rPr>
                <w:rFonts w:ascii="Verdana" w:eastAsia="Aptos" w:hAnsi="Verdana" w:cs="Arial"/>
              </w:rPr>
              <w:t>Decreto 1082 de 2015</w:t>
            </w:r>
            <w:r>
              <w:rPr>
                <w:rFonts w:ascii="Verdana" w:eastAsia="Aptos" w:hAnsi="Verdana" w:cs="Arial"/>
              </w:rPr>
              <w:t>. A</w:t>
            </w:r>
            <w:r w:rsidRPr="00985692">
              <w:rPr>
                <w:rFonts w:ascii="Verdana" w:eastAsia="Aptos" w:hAnsi="Verdana" w:cs="Arial"/>
              </w:rPr>
              <w:t>rtículos 2.2.1.1.1.3.1, 2.2.1.2.4.1.1, 2.2.1.2.4.1.3 y 2.2.1.2.4.2.9.</w:t>
            </w:r>
          </w:p>
          <w:p w14:paraId="69A50D15" w14:textId="77777777" w:rsidR="0070198B" w:rsidRPr="00985692" w:rsidRDefault="0070198B" w:rsidP="0070198B">
            <w:pPr>
              <w:pStyle w:val="Prrafodelista"/>
              <w:numPr>
                <w:ilvl w:val="0"/>
                <w:numId w:val="1"/>
              </w:numPr>
              <w:rPr>
                <w:rFonts w:ascii="Verdana" w:eastAsia="Aptos" w:hAnsi="Verdana" w:cs="Arial"/>
                <w:sz w:val="20"/>
                <w:szCs w:val="20"/>
              </w:rPr>
            </w:pPr>
            <w:r w:rsidRPr="00985692">
              <w:rPr>
                <w:rFonts w:ascii="Verdana" w:eastAsia="Aptos" w:hAnsi="Verdana" w:cs="Arial"/>
              </w:rPr>
              <w:t>Decreto 680 de 2021</w:t>
            </w:r>
            <w:r>
              <w:rPr>
                <w:rFonts w:ascii="Verdana" w:eastAsia="Aptos" w:hAnsi="Verdana" w:cs="Arial"/>
              </w:rPr>
              <w:t>.</w:t>
            </w:r>
            <w:r w:rsidRPr="00985692">
              <w:rPr>
                <w:rFonts w:ascii="Verdana" w:eastAsia="Aptos" w:hAnsi="Verdana" w:cs="Arial"/>
              </w:rPr>
              <w:t xml:space="preserve"> </w:t>
            </w:r>
            <w:r>
              <w:rPr>
                <w:rFonts w:ascii="Verdana" w:eastAsia="Aptos" w:hAnsi="Verdana" w:cs="Arial"/>
              </w:rPr>
              <w:t>A</w:t>
            </w:r>
            <w:r w:rsidRPr="00985692">
              <w:rPr>
                <w:rFonts w:ascii="Verdana" w:eastAsia="Aptos" w:hAnsi="Verdana" w:cs="Arial"/>
              </w:rPr>
              <w:t>rtículos 1 y 2.</w:t>
            </w:r>
          </w:p>
        </w:tc>
      </w:tr>
    </w:tbl>
    <w:p w14:paraId="54BE4E4D" w14:textId="77777777" w:rsidR="0070198B" w:rsidRPr="00116042" w:rsidRDefault="0070198B" w:rsidP="0070198B">
      <w:pPr>
        <w:widowControl w:val="0"/>
        <w:autoSpaceDE w:val="0"/>
        <w:autoSpaceDN w:val="0"/>
        <w:spacing w:after="0" w:line="276" w:lineRule="auto"/>
        <w:jc w:val="both"/>
        <w:rPr>
          <w:rFonts w:ascii="Verdana" w:eastAsia="Aptos" w:hAnsi="Verdana" w:cs="Arial"/>
        </w:rPr>
      </w:pPr>
    </w:p>
    <w:p w14:paraId="23CEC6B4" w14:textId="77777777" w:rsidR="0070198B" w:rsidRPr="00116042" w:rsidRDefault="0070198B" w:rsidP="0070198B">
      <w:pPr>
        <w:widowControl w:val="0"/>
        <w:autoSpaceDE w:val="0"/>
        <w:autoSpaceDN w:val="0"/>
        <w:spacing w:before="1" w:after="0" w:line="276" w:lineRule="auto"/>
        <w:outlineLvl w:val="0"/>
        <w:rPr>
          <w:rFonts w:ascii="Verdana" w:eastAsia="Arial" w:hAnsi="Verdana" w:cs="Arial"/>
          <w:b/>
          <w:bCs/>
          <w:lang w:val="es-ES"/>
        </w:rPr>
      </w:pPr>
      <w:r w:rsidRPr="00116042">
        <w:rPr>
          <w:rFonts w:ascii="Verdana" w:eastAsia="Arial" w:hAnsi="Verdana" w:cs="Arial"/>
          <w:b/>
          <w:bCs/>
          <w:lang w:val="es-ES"/>
        </w:rPr>
        <w:t>5. Doctrina de la Agencia Nacional de Contratación Pública:</w:t>
      </w:r>
    </w:p>
    <w:p w14:paraId="4EA99BFD" w14:textId="77777777" w:rsidR="0070198B" w:rsidRPr="00116042" w:rsidRDefault="0070198B" w:rsidP="0070198B">
      <w:pPr>
        <w:widowControl w:val="0"/>
        <w:autoSpaceDE w:val="0"/>
        <w:autoSpaceDN w:val="0"/>
        <w:spacing w:after="0" w:line="276" w:lineRule="auto"/>
        <w:jc w:val="both"/>
        <w:rPr>
          <w:rFonts w:ascii="Verdana" w:eastAsia="Aptos" w:hAnsi="Verdana" w:cs="Arial"/>
        </w:rPr>
      </w:pPr>
    </w:p>
    <w:p w14:paraId="5BD22661" w14:textId="77777777" w:rsidR="0070198B" w:rsidRPr="00116042" w:rsidRDefault="0070198B" w:rsidP="0070198B">
      <w:pPr>
        <w:jc w:val="both"/>
        <w:rPr>
          <w:rFonts w:ascii="Verdana" w:eastAsia="Aptos" w:hAnsi="Verdana" w:cs="Arial"/>
          <w:shd w:val="clear" w:color="auto" w:fill="FFFFFF"/>
          <w:lang w:val="es-ES"/>
        </w:rPr>
      </w:pPr>
      <w:r w:rsidRPr="00AA7EDD">
        <w:rPr>
          <w:rFonts w:ascii="Verdana" w:eastAsia="Aptos" w:hAnsi="Verdana" w:cs="Arial"/>
          <w:shd w:val="clear" w:color="auto" w:fill="FFFFFF"/>
          <w:lang w:val="es-ES"/>
        </w:rPr>
        <w:t>La Agencia Nacional de Contratación Pública – Colombia Compra Eficiente se ha pronunciado sobre la aplicación del Decreto 680 de 2021 y el otorgamiento del puntaje por apoyo a la industria nacional en los procedimientos de selección en los conceptos C-442 del 26 de agosto de 2021, C-542 del 20 de octubre de 2021, C-549 del 5 de noviembre de 2021, C-020 del 22 de febrero de 2022, C-219 del 21 de abril de 2022, C-265 del 4 de abril de 2022</w:t>
      </w:r>
      <w:r>
        <w:rPr>
          <w:rFonts w:ascii="Verdana" w:eastAsia="Aptos" w:hAnsi="Verdana" w:cs="Arial"/>
          <w:shd w:val="clear" w:color="auto" w:fill="FFFFFF"/>
          <w:lang w:val="es-ES"/>
        </w:rPr>
        <w:t>, C-929 del 21 de julio de 2026</w:t>
      </w:r>
      <w:r w:rsidRPr="00116042">
        <w:rPr>
          <w:rFonts w:ascii="Verdana" w:eastAsia="Calibri" w:hAnsi="Verdana" w:cs="Arial"/>
          <w:bCs/>
          <w:shd w:val="clear" w:color="auto" w:fill="FFFFFF"/>
          <w:lang w:val="es-ES"/>
        </w:rPr>
        <w:t xml:space="preserve">. </w:t>
      </w:r>
      <w:r w:rsidRPr="00116042">
        <w:rPr>
          <w:rFonts w:ascii="Verdana" w:eastAsia="Aptos" w:hAnsi="Verdana" w:cs="Arial"/>
          <w:shd w:val="clear" w:color="auto" w:fill="FFFFFF"/>
          <w:lang w:val="es-ES"/>
        </w:rPr>
        <w:t xml:space="preserve">Estos y otros conceptos se encuentran disponibles para consulta en el Sistema de Relatoría de la Agencia, en el cual también podrás encontrar jurisprudencia </w:t>
      </w:r>
      <w:r w:rsidRPr="00116042">
        <w:rPr>
          <w:rFonts w:ascii="Verdana" w:eastAsia="Aptos" w:hAnsi="Verdana" w:cs="Arial"/>
          <w:shd w:val="clear" w:color="auto" w:fill="FFFFFF"/>
          <w:lang w:val="es-ES"/>
        </w:rPr>
        <w:lastRenderedPageBreak/>
        <w:t xml:space="preserve">del Consejo de Estado, laudos arbitrales y la normativa de la contratación concordada con la doctrina de la Subdirección de Gestión Contractual. Accede a través del siguiente enlace: </w:t>
      </w:r>
      <w:hyperlink r:id="rId12" w:history="1">
        <w:r w:rsidRPr="00116042">
          <w:rPr>
            <w:rFonts w:ascii="Verdana" w:eastAsia="Aptos" w:hAnsi="Verdana" w:cs="Arial"/>
            <w:u w:val="single"/>
            <w:shd w:val="clear" w:color="auto" w:fill="FFFFFF"/>
            <w:lang w:val="es-ES"/>
          </w:rPr>
          <w:t>https://relatoria.colombiacompra.gov.co/</w:t>
        </w:r>
      </w:hyperlink>
      <w:r w:rsidRPr="00116042">
        <w:rPr>
          <w:rFonts w:ascii="Verdana" w:eastAsia="Aptos" w:hAnsi="Verdana" w:cs="Arial"/>
          <w:shd w:val="clear" w:color="auto" w:fill="FFFFFF"/>
          <w:lang w:val="es-ES"/>
        </w:rPr>
        <w:t xml:space="preserve">. </w:t>
      </w:r>
    </w:p>
    <w:p w14:paraId="28173F8A" w14:textId="77777777" w:rsidR="0070198B" w:rsidRPr="006263D8" w:rsidRDefault="0070198B" w:rsidP="0070198B">
      <w:pPr>
        <w:spacing w:before="120" w:after="0" w:line="240"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6263D8">
        <w:rPr>
          <w:rFonts w:ascii="Verdana" w:eastAsia="Times New Roman" w:hAnsi="Verdana" w:cs="Times New Roman"/>
          <w:b/>
          <w:bCs/>
          <w:color w:val="000000"/>
          <w:lang w:eastAsia="es-CO"/>
        </w:rPr>
        <w:t>Guía para la Exigencia y Constitución de Garantías en los Procesos de Contratación</w:t>
      </w:r>
      <w:r w:rsidRPr="006263D8">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gtFrame="_blank" w:tooltip="Dirección URL original: https://www.colombiacompra.gov.co/archivos/manual/guia-de-garantias-en-procesos-de-contratacion. Haga clic o pulse si confía en este vínculo." w:history="1">
        <w:r w:rsidRPr="006263D8">
          <w:rPr>
            <w:rStyle w:val="Hipervnculo"/>
            <w:rFonts w:ascii="Verdana" w:eastAsia="Times New Roman" w:hAnsi="Verdana" w:cs="Times New Roman"/>
            <w:lang w:eastAsia="es-CO"/>
          </w:rPr>
          <w:t>https://www.colombiacompra.gov.co/archivos/manual/guia-de-garantias-en-procesos-de-contratacion</w:t>
        </w:r>
      </w:hyperlink>
    </w:p>
    <w:p w14:paraId="1EED64FB" w14:textId="77777777" w:rsidR="0070198B" w:rsidRPr="006263D8" w:rsidRDefault="0070198B" w:rsidP="0070198B">
      <w:pPr>
        <w:spacing w:before="120" w:after="0" w:line="240"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De otro lado, te contamos que el Decreto 287 del 19 de marzo de 2026 sustituyó los artículos 2.2.1.2.4.2.6., 2.2.1.2.4.2.7. y 2.2.1.2.4.2.8. del Decreto 1082 de 2015 y estructuró el </w:t>
      </w:r>
      <w:r w:rsidRPr="006263D8">
        <w:rPr>
          <w:rFonts w:ascii="Verdana" w:eastAsia="Times New Roman" w:hAnsi="Verdana" w:cs="Times New Roman"/>
          <w:b/>
          <w:bCs/>
          <w:color w:val="000000"/>
          <w:lang w:eastAsia="es-CO"/>
        </w:rPr>
        <w:t>Sistema Integral de Preferencias en favor de las personas con discapacidad</w:t>
      </w:r>
      <w:r w:rsidRPr="006263D8">
        <w:rPr>
          <w:rFonts w:ascii="Verdana" w:eastAsia="Times New Roman" w:hAnsi="Verdana" w:cs="Times New Roman"/>
          <w:color w:val="000000"/>
          <w:lang w:eastAsia="es-CO"/>
        </w:rPr>
        <w:t>, en cumplimiento del artículo 13 de la Ley Estatutaria 1618 de 2013. Para orientar su aplicación, esta Agencia expidió la </w:t>
      </w:r>
      <w:r w:rsidRPr="006263D8">
        <w:rPr>
          <w:rFonts w:ascii="Verdana" w:eastAsia="Times New Roman" w:hAnsi="Verdana" w:cs="Times New Roman"/>
          <w:b/>
          <w:bCs/>
          <w:color w:val="000000"/>
          <w:lang w:eastAsia="es-CO"/>
        </w:rPr>
        <w:t>Circular Externa 003 del 12 de mayo de 2026, </w:t>
      </w:r>
      <w:r w:rsidRPr="006263D8">
        <w:rPr>
          <w:rFonts w:ascii="Verdana" w:eastAsia="Times New Roman" w:hAnsi="Verdana" w:cs="Times New Roman"/>
          <w:color w:val="000000"/>
          <w:lang w:eastAsia="es-CO"/>
        </w:rPr>
        <w:t>en la que precisa quiénes son los beneficiarios, las cinco medidas que integran el sistema y su obligatoriedad según la modalidad de selección, y el régimen de transición aplicable a los procesos en curso. Consúltala aquí: </w:t>
      </w:r>
      <w:hyperlink r:id="rId14" w:tgtFrame="_blank" w:tooltip="Dirección URL original: https://www.colombiacompra.gov.co/archivos/circular/circular-externa-003-de-2026. Haga clic o pulse si confía en este vínculo." w:history="1">
        <w:r w:rsidRPr="006263D8">
          <w:rPr>
            <w:rStyle w:val="Hipervnculo"/>
            <w:rFonts w:ascii="Verdana" w:eastAsia="Times New Roman" w:hAnsi="Verdana" w:cs="Times New Roman"/>
            <w:lang w:eastAsia="es-CO"/>
          </w:rPr>
          <w:t>https://www.colombiacompra.gov.co/archivos/circular/circular-externa-003-de-2026</w:t>
        </w:r>
      </w:hyperlink>
    </w:p>
    <w:p w14:paraId="1447AE7A" w14:textId="77777777" w:rsidR="0070198B" w:rsidRPr="006263D8" w:rsidRDefault="0070198B" w:rsidP="0070198B">
      <w:pPr>
        <w:spacing w:before="120" w:after="0" w:line="240"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Recuerda también que la</w:t>
      </w:r>
      <w:r w:rsidRPr="006263D8">
        <w:rPr>
          <w:rFonts w:ascii="Verdana" w:eastAsia="Times New Roman" w:hAnsi="Verdana" w:cs="Times New Roman"/>
          <w:b/>
          <w:bCs/>
          <w:color w:val="000000"/>
          <w:lang w:eastAsia="es-CO"/>
        </w:rPr>
        <w:t> información sobre sanciones e inhabilidades </w:t>
      </w:r>
      <w:r w:rsidRPr="006263D8">
        <w:rPr>
          <w:rFonts w:ascii="Verdana" w:eastAsia="Times New Roman" w:hAnsi="Verdana" w:cs="Times New Roman"/>
          <w:color w:val="000000"/>
          <w:lang w:eastAsia="es-CO"/>
        </w:rPr>
        <w:t>solo cumple su función preventiva si llega oportunamente a los registros públicos. Sobre este deber, esta Agencia expidió la </w:t>
      </w:r>
      <w:r w:rsidRPr="006263D8">
        <w:rPr>
          <w:rFonts w:ascii="Verdana" w:eastAsia="Times New Roman" w:hAnsi="Verdana" w:cs="Times New Roman"/>
          <w:b/>
          <w:bCs/>
          <w:color w:val="000000"/>
          <w:lang w:eastAsia="es-CO"/>
        </w:rPr>
        <w:t>Circular Externa 002 del 5 de mayo de 2026,</w:t>
      </w:r>
      <w:r w:rsidRPr="006263D8">
        <w:rPr>
          <w:rFonts w:ascii="Verdana" w:eastAsia="Times New Roman" w:hAnsi="Verdana" w:cs="Times New Roman"/>
          <w:color w:val="000000"/>
          <w:lang w:eastAsia="es-CO"/>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gtFrame="_blank" w:tooltip="Dirección URL original: https://www.colombiacompra.gov.co/archivos/circular/circular-externa-002-de-2026. Haga clic o pulse si confía en este vínculo." w:history="1">
        <w:r w:rsidRPr="006263D8">
          <w:rPr>
            <w:rStyle w:val="Hipervnculo"/>
            <w:rFonts w:ascii="Verdana" w:eastAsia="Times New Roman" w:hAnsi="Verdana" w:cs="Times New Roman"/>
            <w:lang w:eastAsia="es-CO"/>
          </w:rPr>
          <w:t>https://www.colombiacompra.gov.co/archivos/circular/circular-externa-002-de-2026</w:t>
        </w:r>
      </w:hyperlink>
    </w:p>
    <w:p w14:paraId="1CFD4821" w14:textId="77777777" w:rsidR="0070198B" w:rsidRPr="006263D8" w:rsidRDefault="0070198B" w:rsidP="0070198B">
      <w:pPr>
        <w:spacing w:before="120" w:after="0" w:line="240" w:lineRule="auto"/>
        <w:ind w:firstLine="708"/>
        <w:jc w:val="both"/>
        <w:rPr>
          <w:rFonts w:ascii="Verdana" w:eastAsia="Times New Roman" w:hAnsi="Verdana" w:cs="Times New Roman"/>
          <w:color w:val="000000"/>
          <w:lang w:eastAsia="es-CO"/>
        </w:rPr>
      </w:pPr>
      <w:r w:rsidRPr="006263D8">
        <w:rPr>
          <w:rFonts w:ascii="Verdana" w:eastAsia="Times New Roman" w:hAnsi="Verdana" w:cs="Times New Roman"/>
          <w:color w:val="000000"/>
          <w:lang w:eastAsia="es-CO"/>
        </w:rPr>
        <w:t>De otra parte, si quieres seguir de cerca la actividad de la Agencia, la tercera edición de 2026 del</w:t>
      </w:r>
      <w:r w:rsidRPr="006263D8">
        <w:rPr>
          <w:rFonts w:ascii="Verdana" w:eastAsia="Times New Roman" w:hAnsi="Verdana" w:cs="Times New Roman"/>
          <w:b/>
          <w:bCs/>
          <w:color w:val="000000"/>
          <w:lang w:eastAsia="es-CO"/>
        </w:rPr>
        <w:t> Radar de la Compra Pública</w:t>
      </w:r>
      <w:r w:rsidRPr="006263D8">
        <w:rPr>
          <w:rFonts w:ascii="Verdana" w:eastAsia="Times New Roman" w:hAnsi="Verdana" w:cs="Times New Roman"/>
          <w:color w:val="000000"/>
          <w:lang w:eastAsia="es-CO"/>
        </w:rPr>
        <w:t xml:space="preserve"> reúne, entre otros contenidos, la Circular Externa 003 de 2026, el Decreto 552 de 2026, un estudio </w:t>
      </w:r>
      <w:r w:rsidRPr="006263D8">
        <w:rPr>
          <w:rFonts w:ascii="Verdana" w:eastAsia="Times New Roman" w:hAnsi="Verdana" w:cs="Times New Roman"/>
          <w:color w:val="000000"/>
          <w:lang w:eastAsia="es-CO"/>
        </w:rPr>
        <w:lastRenderedPageBreak/>
        <w:t>sobre inteligencia artificial en la compra pública, los avances de la Relatoría, análisis jurisprudencial, conceptos jurídicos destacados y la oferta de la Escuela Virtual ANCP-CCE. Descárgalo aquí: </w:t>
      </w:r>
      <w:hyperlink r:id="rId16" w:history="1">
        <w:r w:rsidRPr="006263D8">
          <w:rPr>
            <w:rStyle w:val="Hipervnculo"/>
            <w:rFonts w:ascii="Verdana" w:eastAsia="Times New Roman" w:hAnsi="Verdana" w:cs="Times New Roman"/>
            <w:lang w:eastAsia="es-CO"/>
          </w:rPr>
          <w:t>https://www.colombiacompra.gov.co/archivos/boletin/boletin-edicion-n-3-de-2026-radar-de-la-compra-publica</w:t>
        </w:r>
      </w:hyperlink>
      <w:r w:rsidRPr="006263D8">
        <w:rPr>
          <w:rFonts w:ascii="Verdana" w:eastAsia="Times New Roman" w:hAnsi="Verdana" w:cs="Times New Roman"/>
          <w:color w:val="000000"/>
          <w:lang w:eastAsia="es-CO"/>
        </w:rPr>
        <w:t>"</w:t>
      </w:r>
    </w:p>
    <w:p w14:paraId="3BC4CA3E" w14:textId="77777777" w:rsidR="0070198B" w:rsidRPr="00116042" w:rsidRDefault="0070198B" w:rsidP="0070198B">
      <w:pPr>
        <w:spacing w:before="120" w:after="0" w:line="276" w:lineRule="auto"/>
        <w:ind w:firstLine="708"/>
        <w:jc w:val="both"/>
        <w:rPr>
          <w:rFonts w:ascii="Verdana" w:eastAsia="Aptos" w:hAnsi="Verdana" w:cs="Times New Roman"/>
        </w:rPr>
      </w:pPr>
      <w:r w:rsidRPr="00116042">
        <w:rPr>
          <w:rFonts w:ascii="Verdana" w:eastAsia="Aptos" w:hAnsi="Verdana" w:cs="Times New Roman"/>
        </w:rPr>
        <w:t xml:space="preserve">Por último, lo invitamos a seguirnos en las redes sociales en las cuales se difunde información institucional: </w:t>
      </w:r>
    </w:p>
    <w:p w14:paraId="078F8578" w14:textId="77777777" w:rsidR="0070198B" w:rsidRPr="00116042" w:rsidRDefault="0070198B" w:rsidP="0070198B">
      <w:pPr>
        <w:spacing w:after="0" w:line="276" w:lineRule="auto"/>
        <w:jc w:val="both"/>
        <w:rPr>
          <w:rFonts w:ascii="Verdana" w:eastAsia="Aptos" w:hAnsi="Verdana" w:cs="Times New Roman"/>
        </w:rPr>
      </w:pPr>
    </w:p>
    <w:p w14:paraId="27FFF103" w14:textId="77777777" w:rsidR="0070198B" w:rsidRPr="00116042" w:rsidRDefault="0070198B" w:rsidP="0070198B">
      <w:pPr>
        <w:spacing w:after="0" w:line="276" w:lineRule="auto"/>
        <w:jc w:val="both"/>
        <w:rPr>
          <w:rFonts w:ascii="Verdana" w:eastAsia="Aptos" w:hAnsi="Verdana" w:cs="Times New Roman"/>
        </w:rPr>
      </w:pPr>
      <w:r w:rsidRPr="00116042">
        <w:rPr>
          <w:rFonts w:ascii="Verdana" w:eastAsia="Aptos" w:hAnsi="Verdana" w:cs="Times New Roman"/>
        </w:rPr>
        <w:t xml:space="preserve">Twitter: </w:t>
      </w:r>
      <w:r w:rsidRPr="00116042">
        <w:rPr>
          <w:rFonts w:ascii="Verdana" w:eastAsia="Aptos" w:hAnsi="Verdana" w:cs="Arial"/>
          <w:u w:val="single"/>
          <w:shd w:val="clear" w:color="auto" w:fill="FFFFFF"/>
          <w:lang w:val="es-ES"/>
        </w:rPr>
        <w:t>@colombiacompra</w:t>
      </w:r>
      <w:r w:rsidRPr="00116042">
        <w:rPr>
          <w:rFonts w:ascii="Verdana" w:eastAsia="Aptos" w:hAnsi="Verdana" w:cs="Times New Roman"/>
        </w:rPr>
        <w:t xml:space="preserve"> </w:t>
      </w:r>
    </w:p>
    <w:p w14:paraId="20CDBE35" w14:textId="77777777" w:rsidR="0070198B" w:rsidRPr="00116042" w:rsidRDefault="0070198B" w:rsidP="0070198B">
      <w:pPr>
        <w:spacing w:after="0" w:line="276" w:lineRule="auto"/>
        <w:jc w:val="both"/>
        <w:rPr>
          <w:rFonts w:ascii="Verdana" w:eastAsia="Aptos" w:hAnsi="Verdana" w:cs="Times New Roman"/>
        </w:rPr>
      </w:pPr>
      <w:r w:rsidRPr="00116042">
        <w:rPr>
          <w:rFonts w:ascii="Verdana" w:eastAsia="Aptos" w:hAnsi="Verdana" w:cs="Times New Roman"/>
        </w:rPr>
        <w:t xml:space="preserve">Facebook: </w:t>
      </w:r>
      <w:proofErr w:type="spellStart"/>
      <w:r w:rsidRPr="00116042">
        <w:rPr>
          <w:rFonts w:ascii="Verdana" w:eastAsia="Aptos" w:hAnsi="Verdana" w:cs="Arial"/>
          <w:u w:val="single"/>
          <w:shd w:val="clear" w:color="auto" w:fill="FFFFFF"/>
          <w:lang w:val="es-ES"/>
        </w:rPr>
        <w:t>ColombiaCompraEficiente</w:t>
      </w:r>
      <w:proofErr w:type="spellEnd"/>
    </w:p>
    <w:p w14:paraId="1006C0FD" w14:textId="77777777" w:rsidR="0070198B" w:rsidRPr="00116042" w:rsidRDefault="0070198B" w:rsidP="0070198B">
      <w:pPr>
        <w:spacing w:after="0" w:line="276" w:lineRule="auto"/>
        <w:jc w:val="both"/>
        <w:rPr>
          <w:rFonts w:ascii="Verdana" w:eastAsia="Aptos" w:hAnsi="Verdana" w:cs="Times New Roman"/>
        </w:rPr>
      </w:pPr>
      <w:r w:rsidRPr="00116042">
        <w:rPr>
          <w:rFonts w:ascii="Verdana" w:eastAsia="Aptos" w:hAnsi="Verdana" w:cs="Times New Roman"/>
        </w:rPr>
        <w:t xml:space="preserve">LinkedIn: </w:t>
      </w:r>
      <w:r w:rsidRPr="00116042">
        <w:rPr>
          <w:rFonts w:ascii="Verdana" w:eastAsia="Aptos" w:hAnsi="Verdana" w:cs="Arial"/>
          <w:u w:val="single"/>
          <w:shd w:val="clear" w:color="auto" w:fill="FFFFFF"/>
          <w:lang w:val="es-ES"/>
        </w:rPr>
        <w:t>Agencia Nacional de Contratación Pública - Colombia Compra Eficiente</w:t>
      </w:r>
      <w:r w:rsidRPr="00116042">
        <w:rPr>
          <w:rFonts w:ascii="Verdana" w:eastAsia="Aptos" w:hAnsi="Verdana" w:cs="Times New Roman"/>
        </w:rPr>
        <w:t xml:space="preserve"> Instagram: </w:t>
      </w:r>
      <w:r w:rsidRPr="00116042">
        <w:rPr>
          <w:rFonts w:ascii="Verdana" w:eastAsia="Aptos" w:hAnsi="Verdana" w:cs="Arial"/>
          <w:u w:val="single"/>
          <w:shd w:val="clear" w:color="auto" w:fill="FFFFFF"/>
          <w:lang w:val="es-ES"/>
        </w:rPr>
        <w:t>@colombiacompraeficiente_cce</w:t>
      </w:r>
    </w:p>
    <w:p w14:paraId="6E265331" w14:textId="77777777" w:rsidR="0070198B" w:rsidRPr="00116042" w:rsidRDefault="0070198B" w:rsidP="0070198B">
      <w:pPr>
        <w:widowControl w:val="0"/>
        <w:autoSpaceDE w:val="0"/>
        <w:autoSpaceDN w:val="0"/>
        <w:spacing w:after="0" w:line="276" w:lineRule="auto"/>
        <w:jc w:val="both"/>
        <w:rPr>
          <w:rFonts w:ascii="Verdana" w:eastAsia="Aptos" w:hAnsi="Verdana" w:cs="Arial"/>
        </w:rPr>
      </w:pPr>
    </w:p>
    <w:p w14:paraId="4F528239" w14:textId="77777777" w:rsidR="0070198B" w:rsidRPr="00116042" w:rsidRDefault="0070198B" w:rsidP="0070198B">
      <w:pPr>
        <w:widowControl w:val="0"/>
        <w:autoSpaceDE w:val="0"/>
        <w:autoSpaceDN w:val="0"/>
        <w:spacing w:after="0" w:line="276" w:lineRule="auto"/>
        <w:jc w:val="both"/>
        <w:rPr>
          <w:rFonts w:ascii="Verdana" w:eastAsia="Aptos" w:hAnsi="Verdana" w:cs="Arial"/>
          <w:lang w:val="es-ES_tradnl"/>
        </w:rPr>
      </w:pPr>
      <w:r w:rsidRPr="00116042">
        <w:rPr>
          <w:rFonts w:ascii="Verdana" w:eastAsia="Aptos" w:hAnsi="Verdana" w:cs="Arial"/>
        </w:rPr>
        <w:t xml:space="preserve">Este concepto tiene el alcance previsto en el artículo 28 del Código de Procedimiento Administrativo y de lo Contencioso Administrativo </w:t>
      </w:r>
      <w:r w:rsidRPr="00116042">
        <w:rPr>
          <w:rFonts w:ascii="Verdana" w:eastAsia="Aptos" w:hAnsi="Verdana" w:cs="Arial"/>
          <w:lang w:val="es-ES_tradnl"/>
        </w:rPr>
        <w:t>y las expresiones aquí utilizadas con mayúscula inicial deben ser entendidas con el significado que les otorga el artículo 2.2.1.1.1.3.1. del Decreto 1082 de 2015.</w:t>
      </w:r>
    </w:p>
    <w:p w14:paraId="2B5AB5A0" w14:textId="77777777" w:rsidR="0070198B" w:rsidRPr="00116042" w:rsidRDefault="0070198B" w:rsidP="0070198B">
      <w:pPr>
        <w:widowControl w:val="0"/>
        <w:autoSpaceDE w:val="0"/>
        <w:autoSpaceDN w:val="0"/>
        <w:spacing w:after="0" w:line="276" w:lineRule="auto"/>
        <w:jc w:val="both"/>
        <w:rPr>
          <w:rFonts w:ascii="Verdana" w:eastAsia="Aptos" w:hAnsi="Verdana" w:cs="Arial"/>
        </w:rPr>
      </w:pPr>
    </w:p>
    <w:p w14:paraId="51F68AB3" w14:textId="77777777" w:rsidR="0070198B" w:rsidRPr="00116042" w:rsidRDefault="0070198B" w:rsidP="0070198B">
      <w:pPr>
        <w:spacing w:after="0" w:line="276" w:lineRule="auto"/>
        <w:rPr>
          <w:rFonts w:ascii="Verdana" w:eastAsia="Aptos" w:hAnsi="Verdana" w:cs="Arial"/>
          <w:lang w:eastAsia="es-CO"/>
        </w:rPr>
      </w:pPr>
      <w:r w:rsidRPr="00116042">
        <w:rPr>
          <w:rFonts w:ascii="Verdana" w:eastAsia="Times New Roman" w:hAnsi="Verdana" w:cs="Arial"/>
          <w:lang w:eastAsia="es-CO"/>
        </w:rPr>
        <w:t>Atentamente,</w:t>
      </w:r>
      <w:r w:rsidRPr="00116042">
        <w:rPr>
          <w:rFonts w:ascii="Verdana" w:eastAsia="Aptos" w:hAnsi="Verdana" w:cs="Arial"/>
          <w:lang w:eastAsia="es-CO"/>
        </w:rPr>
        <w:t xml:space="preserve"> </w:t>
      </w:r>
    </w:p>
    <w:p w14:paraId="7A33CB1E" w14:textId="77777777" w:rsidR="0070198B" w:rsidRPr="00116042" w:rsidRDefault="0070198B" w:rsidP="0070198B">
      <w:pPr>
        <w:spacing w:after="0" w:line="276" w:lineRule="auto"/>
        <w:jc w:val="center"/>
        <w:rPr>
          <w:rFonts w:ascii="Verdana" w:eastAsia="Aptos" w:hAnsi="Verdana" w:cs="Arial"/>
          <w:lang w:val="es-ES_tradnl" w:eastAsia="es-CO"/>
        </w:rPr>
      </w:pPr>
    </w:p>
    <w:p w14:paraId="300432CA" w14:textId="3481460B" w:rsidR="0070198B" w:rsidRPr="00116042" w:rsidRDefault="006462AF" w:rsidP="0070198B">
      <w:pPr>
        <w:spacing w:after="0" w:line="276" w:lineRule="auto"/>
        <w:jc w:val="center"/>
        <w:rPr>
          <w:rFonts w:ascii="Verdana" w:eastAsia="Aptos" w:hAnsi="Verdana" w:cs="Arial"/>
          <w:lang w:val="es-ES_tradnl" w:eastAsia="es-CO"/>
        </w:rPr>
      </w:pPr>
      <w:r>
        <w:rPr>
          <w:noProof/>
        </w:rPr>
        <w:drawing>
          <wp:inline distT="0" distB="0" distL="0" distR="0" wp14:anchorId="1B7DFBE9" wp14:editId="4CC173B8">
            <wp:extent cx="3773805" cy="1412240"/>
            <wp:effectExtent l="0" t="0" r="0" b="0"/>
            <wp:docPr id="110253368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o&#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3805" cy="1412240"/>
                    </a:xfrm>
                    <a:prstGeom prst="rect">
                      <a:avLst/>
                    </a:prstGeom>
                    <a:noFill/>
                    <a:ln>
                      <a:noFill/>
                    </a:ln>
                  </pic:spPr>
                </pic:pic>
              </a:graphicData>
            </a:graphic>
          </wp:inline>
        </w:drawing>
      </w:r>
    </w:p>
    <w:tbl>
      <w:tblPr>
        <w:tblStyle w:val="Tablaconcuadrcula11"/>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4344"/>
      </w:tblGrid>
      <w:tr w:rsidR="0070198B" w:rsidRPr="00116042" w14:paraId="60286F48" w14:textId="77777777" w:rsidTr="00FF1A07">
        <w:trPr>
          <w:trHeight w:val="286"/>
        </w:trPr>
        <w:tc>
          <w:tcPr>
            <w:tcW w:w="901" w:type="dxa"/>
            <w:vAlign w:val="center"/>
            <w:hideMark/>
          </w:tcPr>
          <w:p w14:paraId="2C1D30A6" w14:textId="77777777" w:rsidR="0070198B" w:rsidRPr="00116042" w:rsidRDefault="0070198B" w:rsidP="00FF1A07">
            <w:pPr>
              <w:rPr>
                <w:rFonts w:ascii="Verdana" w:eastAsia="Aptos" w:hAnsi="Verdana" w:cs="Arial"/>
                <w:sz w:val="14"/>
                <w:szCs w:val="14"/>
                <w:lang w:eastAsia="es-ES"/>
              </w:rPr>
            </w:pPr>
            <w:r w:rsidRPr="00116042">
              <w:rPr>
                <w:rFonts w:ascii="Verdana" w:eastAsia="Aptos" w:hAnsi="Verdana" w:cs="Arial"/>
                <w:sz w:val="14"/>
                <w:szCs w:val="14"/>
                <w:lang w:eastAsia="es-ES"/>
              </w:rPr>
              <w:t>Elaboró:</w:t>
            </w:r>
          </w:p>
        </w:tc>
        <w:tc>
          <w:tcPr>
            <w:tcW w:w="4344" w:type="dxa"/>
            <w:tcBorders>
              <w:top w:val="nil"/>
              <w:left w:val="nil"/>
              <w:bottom w:val="dotted" w:sz="4" w:space="0" w:color="7F7F7F"/>
              <w:right w:val="nil"/>
            </w:tcBorders>
            <w:vAlign w:val="center"/>
            <w:hideMark/>
          </w:tcPr>
          <w:p w14:paraId="76E00BCB" w14:textId="77777777" w:rsidR="0070198B" w:rsidRPr="00116042" w:rsidRDefault="0070198B" w:rsidP="00FF1A07">
            <w:pPr>
              <w:rPr>
                <w:rFonts w:ascii="Verdana" w:eastAsia="Aptos" w:hAnsi="Verdana" w:cs="Arial"/>
                <w:sz w:val="14"/>
                <w:szCs w:val="14"/>
                <w:lang w:eastAsia="es-ES"/>
              </w:rPr>
            </w:pPr>
            <w:r w:rsidRPr="00116042">
              <w:rPr>
                <w:rFonts w:ascii="Verdana" w:eastAsia="Aptos" w:hAnsi="Verdana" w:cs="Arial"/>
                <w:sz w:val="14"/>
                <w:szCs w:val="14"/>
                <w:lang w:eastAsia="es-ES"/>
              </w:rPr>
              <w:t>Nasly Yeana Mosquera Rivas</w:t>
            </w:r>
          </w:p>
          <w:p w14:paraId="0C31737E" w14:textId="77777777" w:rsidR="0070198B" w:rsidRPr="00116042" w:rsidRDefault="0070198B" w:rsidP="00FF1A07">
            <w:pPr>
              <w:rPr>
                <w:rFonts w:ascii="Verdana" w:eastAsia="Aptos" w:hAnsi="Verdana" w:cs="Arial"/>
                <w:sz w:val="14"/>
                <w:szCs w:val="14"/>
                <w:lang w:eastAsia="es-ES"/>
              </w:rPr>
            </w:pPr>
            <w:r w:rsidRPr="00116042">
              <w:rPr>
                <w:rFonts w:ascii="Verdana" w:eastAsia="Aptos" w:hAnsi="Verdana" w:cs="Arial"/>
                <w:sz w:val="14"/>
                <w:szCs w:val="14"/>
                <w:lang w:eastAsia="es-ES"/>
              </w:rPr>
              <w:t>Analista T2–06 de la Subdirección de Gestión Contractual</w:t>
            </w:r>
          </w:p>
        </w:tc>
      </w:tr>
      <w:tr w:rsidR="0070198B" w:rsidRPr="00116042" w14:paraId="19FB0EAD" w14:textId="77777777" w:rsidTr="00FF1A07">
        <w:trPr>
          <w:trHeight w:val="299"/>
        </w:trPr>
        <w:tc>
          <w:tcPr>
            <w:tcW w:w="901" w:type="dxa"/>
            <w:vAlign w:val="center"/>
          </w:tcPr>
          <w:p w14:paraId="0A41F414" w14:textId="77777777" w:rsidR="0070198B" w:rsidRPr="00116042" w:rsidRDefault="0070198B" w:rsidP="00FF1A07">
            <w:pPr>
              <w:rPr>
                <w:rFonts w:ascii="Verdana" w:eastAsia="Aptos" w:hAnsi="Verdana" w:cs="Arial"/>
                <w:sz w:val="14"/>
                <w:szCs w:val="14"/>
                <w:lang w:eastAsia="es-ES"/>
              </w:rPr>
            </w:pPr>
            <w:r w:rsidRPr="00116042">
              <w:rPr>
                <w:rFonts w:ascii="Verdana" w:eastAsia="Aptos" w:hAnsi="Verdana" w:cs="Arial"/>
                <w:sz w:val="14"/>
                <w:szCs w:val="14"/>
                <w:lang w:eastAsia="es-ES"/>
              </w:rPr>
              <w:t>Revisó:</w:t>
            </w:r>
          </w:p>
        </w:tc>
        <w:tc>
          <w:tcPr>
            <w:tcW w:w="4344" w:type="dxa"/>
            <w:tcBorders>
              <w:top w:val="dotted" w:sz="4" w:space="0" w:color="7F7F7F"/>
              <w:left w:val="nil"/>
              <w:bottom w:val="dotted" w:sz="4" w:space="0" w:color="7F7F7F"/>
              <w:right w:val="nil"/>
            </w:tcBorders>
            <w:vAlign w:val="center"/>
          </w:tcPr>
          <w:p w14:paraId="1F3D4B5B" w14:textId="77777777" w:rsidR="0070198B" w:rsidRPr="00116042" w:rsidRDefault="0070198B" w:rsidP="00FF1A07">
            <w:pPr>
              <w:rPr>
                <w:rFonts w:ascii="Verdana" w:eastAsia="Aptos" w:hAnsi="Verdana" w:cs="Arial"/>
                <w:sz w:val="14"/>
                <w:szCs w:val="14"/>
                <w:lang w:eastAsia="es-ES"/>
              </w:rPr>
            </w:pPr>
            <w:r>
              <w:rPr>
                <w:rFonts w:ascii="Verdana" w:eastAsia="Aptos" w:hAnsi="Verdana" w:cs="Arial"/>
                <w:sz w:val="14"/>
                <w:szCs w:val="14"/>
                <w:lang w:eastAsia="es-ES"/>
              </w:rPr>
              <w:t>Diana Lucía Saavedra Castañeda</w:t>
            </w:r>
          </w:p>
          <w:p w14:paraId="0D809C5B" w14:textId="77777777" w:rsidR="0070198B" w:rsidRPr="00116042" w:rsidRDefault="0070198B" w:rsidP="00FF1A07">
            <w:pPr>
              <w:rPr>
                <w:rFonts w:ascii="Verdana" w:eastAsia="Aptos" w:hAnsi="Verdana" w:cs="Arial"/>
                <w:sz w:val="14"/>
                <w:szCs w:val="14"/>
                <w:lang w:eastAsia="es-ES"/>
              </w:rPr>
            </w:pPr>
            <w:r w:rsidRPr="00116042">
              <w:rPr>
                <w:rFonts w:ascii="Verdana" w:eastAsia="Aptos" w:hAnsi="Verdana" w:cs="Arial"/>
                <w:sz w:val="14"/>
                <w:szCs w:val="14"/>
                <w:lang w:eastAsia="es-ES"/>
              </w:rPr>
              <w:t>Contratista de la Subdirección de Gestión Contractual</w:t>
            </w:r>
          </w:p>
        </w:tc>
      </w:tr>
      <w:tr w:rsidR="0070198B" w:rsidRPr="00116042" w14:paraId="73AEC952" w14:textId="77777777" w:rsidTr="00FF1A07">
        <w:trPr>
          <w:trHeight w:val="272"/>
        </w:trPr>
        <w:tc>
          <w:tcPr>
            <w:tcW w:w="901" w:type="dxa"/>
            <w:vAlign w:val="center"/>
            <w:hideMark/>
          </w:tcPr>
          <w:p w14:paraId="4F6EBE7D" w14:textId="77777777" w:rsidR="0070198B" w:rsidRPr="00116042" w:rsidRDefault="0070198B" w:rsidP="00FF1A07">
            <w:pPr>
              <w:rPr>
                <w:rFonts w:ascii="Verdana" w:eastAsia="Aptos" w:hAnsi="Verdana" w:cs="Arial"/>
                <w:sz w:val="14"/>
                <w:szCs w:val="14"/>
                <w:lang w:eastAsia="es-ES"/>
              </w:rPr>
            </w:pPr>
            <w:r w:rsidRPr="00116042">
              <w:rPr>
                <w:rFonts w:ascii="Verdana" w:eastAsia="Aptos" w:hAnsi="Verdana" w:cs="Arial"/>
                <w:sz w:val="14"/>
                <w:szCs w:val="14"/>
                <w:lang w:eastAsia="es-ES"/>
              </w:rPr>
              <w:t>Aprobó:</w:t>
            </w:r>
          </w:p>
        </w:tc>
        <w:tc>
          <w:tcPr>
            <w:tcW w:w="4344" w:type="dxa"/>
            <w:tcBorders>
              <w:top w:val="dotted" w:sz="4" w:space="0" w:color="7F7F7F"/>
              <w:left w:val="nil"/>
              <w:bottom w:val="dotted" w:sz="4" w:space="0" w:color="7F7F7F"/>
              <w:right w:val="nil"/>
            </w:tcBorders>
            <w:vAlign w:val="center"/>
            <w:hideMark/>
          </w:tcPr>
          <w:p w14:paraId="668EB1BA" w14:textId="77777777" w:rsidR="0070198B" w:rsidRPr="00116042" w:rsidRDefault="0070198B" w:rsidP="00FF1A07">
            <w:pPr>
              <w:rPr>
                <w:rFonts w:ascii="Verdana" w:eastAsia="Aptos" w:hAnsi="Verdana" w:cs="Arial"/>
                <w:sz w:val="14"/>
                <w:szCs w:val="14"/>
                <w:lang w:eastAsia="es-ES"/>
              </w:rPr>
            </w:pPr>
            <w:r w:rsidRPr="00116042">
              <w:rPr>
                <w:rFonts w:ascii="Verdana" w:eastAsia="Aptos" w:hAnsi="Verdana" w:cs="Arial"/>
                <w:sz w:val="14"/>
                <w:szCs w:val="14"/>
                <w:lang w:eastAsia="es-ES"/>
              </w:rPr>
              <w:t>Carolina Quintero Gacharná</w:t>
            </w:r>
          </w:p>
          <w:p w14:paraId="0B451121" w14:textId="77777777" w:rsidR="0070198B" w:rsidRPr="00116042" w:rsidRDefault="0070198B" w:rsidP="00FF1A07">
            <w:pPr>
              <w:rPr>
                <w:rFonts w:ascii="Verdana" w:eastAsia="Aptos" w:hAnsi="Verdana" w:cs="Arial"/>
                <w:sz w:val="14"/>
                <w:szCs w:val="14"/>
                <w:lang w:eastAsia="es-ES"/>
              </w:rPr>
            </w:pPr>
            <w:r w:rsidRPr="00116042">
              <w:rPr>
                <w:rFonts w:ascii="Verdana" w:eastAsia="Aptos" w:hAnsi="Verdana" w:cs="Arial"/>
                <w:sz w:val="14"/>
                <w:szCs w:val="14"/>
                <w:lang w:eastAsia="es-ES"/>
              </w:rPr>
              <w:t>Subdirectora de Gestión Contractual ANCP – CCE</w:t>
            </w:r>
          </w:p>
        </w:tc>
      </w:tr>
    </w:tbl>
    <w:p w14:paraId="136E40AF" w14:textId="77777777" w:rsidR="0070198B" w:rsidRPr="00116042" w:rsidRDefault="0070198B" w:rsidP="0070198B">
      <w:pPr>
        <w:spacing w:after="0" w:line="240" w:lineRule="auto"/>
        <w:rPr>
          <w:rFonts w:ascii="Verdana" w:eastAsia="Times New Roman" w:hAnsi="Verdana" w:cs="Arial"/>
          <w:sz w:val="24"/>
          <w:szCs w:val="24"/>
          <w:lang w:eastAsia="es-ES"/>
        </w:rPr>
      </w:pPr>
    </w:p>
    <w:p w14:paraId="07B430A6" w14:textId="77777777" w:rsidR="0070198B" w:rsidRPr="00116042" w:rsidRDefault="0070198B" w:rsidP="0070198B">
      <w:pPr>
        <w:rPr>
          <w:rFonts w:ascii="Verdana" w:eastAsia="Aptos" w:hAnsi="Verdana" w:cs="Times New Roman"/>
        </w:rPr>
      </w:pPr>
    </w:p>
    <w:bookmarkEnd w:id="0"/>
    <w:p w14:paraId="26BB1730" w14:textId="77777777" w:rsidR="0070198B" w:rsidRPr="00116042" w:rsidRDefault="0070198B" w:rsidP="0070198B">
      <w:pPr>
        <w:rPr>
          <w:rFonts w:ascii="Verdana" w:eastAsia="Aptos" w:hAnsi="Verdana" w:cs="Arial"/>
        </w:rPr>
      </w:pPr>
    </w:p>
    <w:sectPr w:rsidR="0070198B" w:rsidRPr="00116042" w:rsidSect="0070198B">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4DEA6" w14:textId="77777777" w:rsidR="00402B2F" w:rsidRDefault="00402B2F" w:rsidP="0070198B">
      <w:pPr>
        <w:spacing w:after="0" w:line="240" w:lineRule="auto"/>
      </w:pPr>
      <w:r>
        <w:separator/>
      </w:r>
    </w:p>
  </w:endnote>
  <w:endnote w:type="continuationSeparator" w:id="0">
    <w:p w14:paraId="372FF9B2" w14:textId="77777777" w:rsidR="00402B2F" w:rsidRDefault="00402B2F" w:rsidP="00701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Geomanist Light">
    <w:altName w:val="Calibri"/>
    <w:panose1 w:val="02000503000000020004"/>
    <w:charset w:val="00"/>
    <w:family w:val="modern"/>
    <w:notTrueType/>
    <w:pitch w:val="variable"/>
    <w:sig w:usb0="A000002F" w:usb1="1000004A"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Arial"/>
    <w:panose1 w:val="02000503000000020004"/>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4DF06" w14:textId="77777777" w:rsidR="0070198B" w:rsidRDefault="0070198B">
    <w:pPr>
      <w:pStyle w:val="Piedepgina"/>
    </w:pPr>
  </w:p>
  <w:p w14:paraId="2CFCB216" w14:textId="77777777" w:rsidR="0070198B" w:rsidRPr="00174B77" w:rsidRDefault="0070198B"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7548C5B7" w14:textId="77777777" w:rsidR="0070198B" w:rsidRDefault="0070198B"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3D5E184" w14:textId="77777777" w:rsidR="0070198B" w:rsidRPr="00E41027" w:rsidRDefault="0070198B"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3F3924F3" w14:textId="77777777" w:rsidR="0070198B" w:rsidRDefault="0070198B"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E34CD" w14:textId="77777777" w:rsidR="00402B2F" w:rsidRDefault="00402B2F" w:rsidP="0070198B">
      <w:pPr>
        <w:spacing w:after="0" w:line="240" w:lineRule="auto"/>
      </w:pPr>
      <w:r>
        <w:separator/>
      </w:r>
    </w:p>
  </w:footnote>
  <w:footnote w:type="continuationSeparator" w:id="0">
    <w:p w14:paraId="603AB61A" w14:textId="77777777" w:rsidR="00402B2F" w:rsidRDefault="00402B2F" w:rsidP="0070198B">
      <w:pPr>
        <w:spacing w:after="0" w:line="240" w:lineRule="auto"/>
      </w:pPr>
      <w:r>
        <w:continuationSeparator/>
      </w:r>
    </w:p>
  </w:footnote>
  <w:footnote w:id="1">
    <w:p w14:paraId="440F4EC8" w14:textId="77777777" w:rsidR="0070198B" w:rsidRPr="00F73848" w:rsidRDefault="0070198B" w:rsidP="0070198B">
      <w:pPr>
        <w:pStyle w:val="NormalWeb"/>
        <w:shd w:val="clear" w:color="auto" w:fill="FFFFFF"/>
        <w:snapToGrid w:val="0"/>
        <w:spacing w:before="0" w:beforeAutospacing="0" w:after="0" w:afterAutospacing="0"/>
        <w:ind w:firstLine="708"/>
        <w:contextualSpacing/>
        <w:jc w:val="both"/>
        <w:rPr>
          <w:rFonts w:ascii="Verdana" w:hAnsi="Verdana" w:cs="Arial"/>
          <w:sz w:val="6"/>
          <w:szCs w:val="6"/>
        </w:rPr>
      </w:pPr>
      <w:r w:rsidRPr="00F73848">
        <w:rPr>
          <w:rStyle w:val="Refdenotaalpie"/>
          <w:rFonts w:ascii="Verdana" w:hAnsi="Verdana" w:cs="Arial"/>
          <w:sz w:val="6"/>
          <w:szCs w:val="6"/>
        </w:rPr>
        <w:footnoteRef/>
      </w:r>
      <w:r w:rsidRPr="00F73848">
        <w:rPr>
          <w:rFonts w:ascii="Verdana" w:hAnsi="Verdana" w:cs="Arial"/>
          <w:sz w:val="6"/>
          <w:szCs w:val="6"/>
        </w:rPr>
        <w:t xml:space="preserve"> Decreto 1082 de 2015: “Artículo </w:t>
      </w:r>
      <w:bookmarkStart w:id="3" w:name="2.2.1.2.4.1.3"/>
      <w:bookmarkEnd w:id="3"/>
      <w:r w:rsidRPr="00F73848">
        <w:rPr>
          <w:rFonts w:ascii="Verdana" w:hAnsi="Verdana" w:cs="Arial"/>
          <w:sz w:val="6"/>
          <w:szCs w:val="6"/>
        </w:rPr>
        <w:t>2.2.1.2.4.1.3.</w:t>
      </w:r>
      <w:r w:rsidRPr="00F73848">
        <w:rPr>
          <w:rFonts w:ascii="Verdana" w:hAnsi="Verdana" w:cs="Arial"/>
          <w:i/>
          <w:iCs/>
          <w:sz w:val="6"/>
          <w:szCs w:val="6"/>
        </w:rPr>
        <w:t> </w:t>
      </w:r>
      <w:r w:rsidRPr="00F73848">
        <w:rPr>
          <w:rFonts w:ascii="Verdana" w:hAnsi="Verdana" w:cs="Arial"/>
          <w:sz w:val="6"/>
          <w:szCs w:val="6"/>
        </w:rPr>
        <w:t> La Entidad Estatal debe conceder trato nacional a: (a) los oferentes, bienes y servicios provenientes de Estados con los cuales Colombia tenga Acuerdos Comerciales, en los términos establecidos en tales Acuerdos Comerciales; (b) a los bienes y servicios provenientes de Estados con los cuales no exista un Acuerdo Comercial pero respecto de los cuales el Gobierno Nacional haya certificado que los oferentes de Bienes y Servicios Nacionales gozan de trato nacional, con base en la revisión y comparación de la normativa en materia de compras y contratación pública de dicho Estado; y (c) a los servicios prestados por oferentes miembros de la Comunidad Andina de Naciones teniendo en cuenta la regulación andina aplicable a la materia.</w:t>
      </w:r>
    </w:p>
    <w:p w14:paraId="1A4E27E6" w14:textId="77777777" w:rsidR="0070198B" w:rsidRPr="00F73848" w:rsidRDefault="0070198B" w:rsidP="0070198B">
      <w:pPr>
        <w:shd w:val="clear" w:color="auto" w:fill="FFFFFF"/>
        <w:snapToGrid w:val="0"/>
        <w:spacing w:after="0" w:line="240" w:lineRule="auto"/>
        <w:ind w:firstLine="708"/>
        <w:contextualSpacing/>
        <w:jc w:val="both"/>
        <w:rPr>
          <w:rFonts w:ascii="Verdana" w:eastAsia="Times New Roman" w:hAnsi="Verdana" w:cs="Arial"/>
          <w:sz w:val="6"/>
          <w:szCs w:val="6"/>
          <w:lang w:eastAsia="es-CO"/>
        </w:rPr>
      </w:pPr>
      <w:r w:rsidRPr="00F73848">
        <w:rPr>
          <w:rFonts w:ascii="Verdana" w:eastAsia="Times New Roman" w:hAnsi="Verdana" w:cs="Arial"/>
          <w:sz w:val="6"/>
          <w:szCs w:val="6"/>
          <w:lang w:eastAsia="es-CO"/>
        </w:rPr>
        <w:t>“El Ministerio de Relaciones Exteriores debe expedir el certificado por medio del cual se acredite la situación mencionada en el literal (b) anterior en relación con un Estado en particular, lo cual no es requerido para acreditar las situaciones a las que se refieren los literales (a) y (c) anteriores. Para constatar que los oferentes de Bienes y Servicios Nacionales gozan de trato nacional en un Estado, el Ministerio de Relaciones Exteriores debe revisar y comparar la normativa en materia de compras y contratación pública del respectivo Estado para lo cual puede solicitar el apoyo técnico del Ministerio de Comercio, Industria y Turismo y de Colombia Compra Eficiente, dentro de sus competencias legales.</w:t>
      </w:r>
    </w:p>
    <w:p w14:paraId="435D62D8" w14:textId="77777777" w:rsidR="0070198B" w:rsidRPr="00F73848" w:rsidRDefault="0070198B" w:rsidP="0070198B">
      <w:pPr>
        <w:shd w:val="clear" w:color="auto" w:fill="FFFFFF"/>
        <w:snapToGrid w:val="0"/>
        <w:spacing w:after="0" w:line="240" w:lineRule="auto"/>
        <w:ind w:firstLine="708"/>
        <w:contextualSpacing/>
        <w:jc w:val="both"/>
        <w:rPr>
          <w:rFonts w:ascii="Verdana" w:hAnsi="Verdana"/>
          <w:sz w:val="6"/>
          <w:szCs w:val="6"/>
        </w:rPr>
      </w:pPr>
      <w:r w:rsidRPr="00F73848">
        <w:rPr>
          <w:rFonts w:ascii="Verdana" w:eastAsia="Times New Roman" w:hAnsi="Verdana" w:cs="Arial"/>
          <w:sz w:val="6"/>
          <w:szCs w:val="6"/>
          <w:lang w:eastAsia="es-CO"/>
        </w:rPr>
        <w:t>“Los certificados para acreditar la condición a la que se refiere el literal (b) anterior deben ser publicados en la forma y oportunidad que para el efecto disponga Colombia Compra Eficiente. La vigencia de los certificados será de dos años contados a partir de la fecha de su expedición, sin perjuicio de que el Ministerio de Comercio, Industria y Turismo o Colombia Compra Eficiente soliciten al Ministerio de Relaciones Exteriores su revisión con ocasión de la expedición de nueva normativa en el Estado sobre el cual se expide el certificado. Colombia Compra Eficiente puede determinar vía circular la forma como el Ministerio de Relaciones Exteriores debe constatar que los oferentes de Bienes y Servicios Nacionales gozan de trato nacional y de revisar y comparar la normativa en materia de compras y contratación pública para la expedición del certificado”.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5CC76" w14:textId="77777777" w:rsidR="0070198B" w:rsidRDefault="0070198B"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332A1EE3" wp14:editId="71EFABE0">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12A1A02C" wp14:editId="5D8A6BC2">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23A1BC76" w14:textId="77777777" w:rsidR="0070198B" w:rsidRDefault="0070198B">
    <w:pPr>
      <w:pStyle w:val="Encabezado"/>
    </w:pPr>
  </w:p>
  <w:p w14:paraId="0EC7BC6F" w14:textId="77777777" w:rsidR="0070198B" w:rsidRPr="004A305D" w:rsidRDefault="0070198B" w:rsidP="00B01B1A">
    <w:pPr>
      <w:spacing w:after="0" w:line="120" w:lineRule="auto"/>
      <w:rPr>
        <w:rFonts w:ascii="Century Gothic" w:eastAsia="Geo" w:hAnsi="Century Gothic" w:cs="Geo"/>
        <w:sz w:val="16"/>
        <w:szCs w:val="16"/>
        <w:lang w:eastAsia="es-CO"/>
      </w:rPr>
    </w:pPr>
  </w:p>
  <w:p w14:paraId="1F949F54" w14:textId="77777777" w:rsidR="0070198B" w:rsidRDefault="0070198B" w:rsidP="00844AE9">
    <w:pPr>
      <w:spacing w:after="0" w:line="240" w:lineRule="auto"/>
      <w:rPr>
        <w:rFonts w:ascii="Verdana" w:hAnsi="Verdana"/>
        <w:sz w:val="24"/>
        <w:szCs w:val="24"/>
      </w:rPr>
    </w:pPr>
  </w:p>
  <w:p w14:paraId="23B12B6A" w14:textId="77777777" w:rsidR="0070198B" w:rsidRPr="00C925AC" w:rsidRDefault="0070198B" w:rsidP="00844AE9">
    <w:pPr>
      <w:spacing w:after="0" w:line="240" w:lineRule="auto"/>
      <w:rPr>
        <w:rFonts w:ascii="Verdana" w:hAnsi="Verdana"/>
        <w:sz w:val="24"/>
        <w:szCs w:val="24"/>
      </w:rPr>
    </w:pPr>
  </w:p>
  <w:p w14:paraId="5EDB4970" w14:textId="77777777" w:rsidR="0070198B" w:rsidRPr="00C925AC" w:rsidRDefault="0070198B"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679089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98B"/>
    <w:rsid w:val="00077D66"/>
    <w:rsid w:val="0014620E"/>
    <w:rsid w:val="00402B2F"/>
    <w:rsid w:val="006462AF"/>
    <w:rsid w:val="0070198B"/>
    <w:rsid w:val="008C1F42"/>
    <w:rsid w:val="00B46ADA"/>
    <w:rsid w:val="00BB4EE6"/>
    <w:rsid w:val="00C631F6"/>
    <w:rsid w:val="00EF75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9FE2C"/>
  <w15:chartTrackingRefBased/>
  <w15:docId w15:val="{D683906C-ACC8-4BE3-A15F-D6D65F4DC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98B"/>
    <w:pPr>
      <w:spacing w:line="259" w:lineRule="auto"/>
    </w:pPr>
    <w:rPr>
      <w:kern w:val="0"/>
      <w:sz w:val="22"/>
      <w:szCs w:val="22"/>
      <w14:ligatures w14:val="none"/>
    </w:rPr>
  </w:style>
  <w:style w:type="paragraph" w:styleId="Ttulo1">
    <w:name w:val="heading 1"/>
    <w:basedOn w:val="Normal"/>
    <w:next w:val="Normal"/>
    <w:link w:val="Ttulo1Car"/>
    <w:uiPriority w:val="9"/>
    <w:qFormat/>
    <w:rsid w:val="007019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019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0198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0198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0198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0198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0198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0198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0198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0198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0198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0198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0198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0198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0198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0198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0198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0198B"/>
    <w:rPr>
      <w:rFonts w:eastAsiaTheme="majorEastAsia" w:cstheme="majorBidi"/>
      <w:color w:val="272727" w:themeColor="text1" w:themeTint="D8"/>
    </w:rPr>
  </w:style>
  <w:style w:type="paragraph" w:styleId="Ttulo">
    <w:name w:val="Title"/>
    <w:basedOn w:val="Normal"/>
    <w:next w:val="Normal"/>
    <w:link w:val="TtuloCar"/>
    <w:uiPriority w:val="10"/>
    <w:qFormat/>
    <w:rsid w:val="007019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0198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0198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0198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0198B"/>
    <w:pPr>
      <w:spacing w:before="160"/>
      <w:jc w:val="center"/>
    </w:pPr>
    <w:rPr>
      <w:i/>
      <w:iCs/>
      <w:color w:val="404040" w:themeColor="text1" w:themeTint="BF"/>
    </w:rPr>
  </w:style>
  <w:style w:type="character" w:customStyle="1" w:styleId="CitaCar">
    <w:name w:val="Cita Car"/>
    <w:basedOn w:val="Fuentedeprrafopredeter"/>
    <w:link w:val="Cita"/>
    <w:uiPriority w:val="29"/>
    <w:rsid w:val="0070198B"/>
    <w:rPr>
      <w:i/>
      <w:iCs/>
      <w:color w:val="404040" w:themeColor="text1" w:themeTint="BF"/>
    </w:rPr>
  </w:style>
  <w:style w:type="paragraph" w:styleId="Prrafodelista">
    <w:name w:val="List Paragraph"/>
    <w:basedOn w:val="Normal"/>
    <w:uiPriority w:val="34"/>
    <w:qFormat/>
    <w:rsid w:val="0070198B"/>
    <w:pPr>
      <w:ind w:left="720"/>
      <w:contextualSpacing/>
    </w:pPr>
  </w:style>
  <w:style w:type="character" w:styleId="nfasisintenso">
    <w:name w:val="Intense Emphasis"/>
    <w:basedOn w:val="Fuentedeprrafopredeter"/>
    <w:uiPriority w:val="21"/>
    <w:qFormat/>
    <w:rsid w:val="0070198B"/>
    <w:rPr>
      <w:i/>
      <w:iCs/>
      <w:color w:val="0F4761" w:themeColor="accent1" w:themeShade="BF"/>
    </w:rPr>
  </w:style>
  <w:style w:type="paragraph" w:styleId="Citadestacada">
    <w:name w:val="Intense Quote"/>
    <w:basedOn w:val="Normal"/>
    <w:next w:val="Normal"/>
    <w:link w:val="CitadestacadaCar"/>
    <w:uiPriority w:val="30"/>
    <w:qFormat/>
    <w:rsid w:val="007019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0198B"/>
    <w:rPr>
      <w:i/>
      <w:iCs/>
      <w:color w:val="0F4761" w:themeColor="accent1" w:themeShade="BF"/>
    </w:rPr>
  </w:style>
  <w:style w:type="character" w:styleId="Referenciaintensa">
    <w:name w:val="Intense Reference"/>
    <w:basedOn w:val="Fuentedeprrafopredeter"/>
    <w:uiPriority w:val="32"/>
    <w:qFormat/>
    <w:rsid w:val="0070198B"/>
    <w:rPr>
      <w:b/>
      <w:bCs/>
      <w:smallCaps/>
      <w:color w:val="0F4761" w:themeColor="accent1" w:themeShade="BF"/>
      <w:spacing w:val="5"/>
    </w:rPr>
  </w:style>
  <w:style w:type="paragraph" w:styleId="Encabezado">
    <w:name w:val="header"/>
    <w:basedOn w:val="Normal"/>
    <w:link w:val="EncabezadoCar"/>
    <w:uiPriority w:val="99"/>
    <w:unhideWhenUsed/>
    <w:rsid w:val="007019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198B"/>
    <w:rPr>
      <w:kern w:val="0"/>
      <w:sz w:val="22"/>
      <w:szCs w:val="22"/>
      <w14:ligatures w14:val="none"/>
    </w:rPr>
  </w:style>
  <w:style w:type="paragraph" w:styleId="Piedepgina">
    <w:name w:val="footer"/>
    <w:basedOn w:val="Normal"/>
    <w:link w:val="PiedepginaCar"/>
    <w:uiPriority w:val="99"/>
    <w:unhideWhenUsed/>
    <w:rsid w:val="007019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198B"/>
    <w:rPr>
      <w:kern w:val="0"/>
      <w:sz w:val="22"/>
      <w:szCs w:val="22"/>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70198B"/>
    <w:rPr>
      <w:vertAlign w:val="superscript"/>
    </w:rPr>
  </w:style>
  <w:style w:type="table" w:styleId="Tablaconcuadrcula">
    <w:name w:val="Table Grid"/>
    <w:basedOn w:val="Tablanormal"/>
    <w:uiPriority w:val="39"/>
    <w:qFormat/>
    <w:rsid w:val="0070198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0198B"/>
    <w:rPr>
      <w:color w:val="0000FF"/>
      <w:u w:val="single"/>
    </w:rPr>
  </w:style>
  <w:style w:type="paragraph" w:styleId="NormalWeb">
    <w:name w:val="Normal (Web)"/>
    <w:basedOn w:val="Normal"/>
    <w:link w:val="NormalWebCar"/>
    <w:uiPriority w:val="99"/>
    <w:unhideWhenUsed/>
    <w:rsid w:val="0070198B"/>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Appelnotedebasde">
    <w:name w:val="Appel note de bas de..."/>
    <w:basedOn w:val="Normal"/>
    <w:link w:val="Refdenotaalpie"/>
    <w:uiPriority w:val="99"/>
    <w:rsid w:val="0070198B"/>
    <w:pPr>
      <w:spacing w:line="240" w:lineRule="exact"/>
    </w:pPr>
    <w:rPr>
      <w:kern w:val="2"/>
      <w:sz w:val="24"/>
      <w:szCs w:val="24"/>
      <w:vertAlign w:val="superscript"/>
      <w14:ligatures w14:val="standardContextual"/>
    </w:rPr>
  </w:style>
  <w:style w:type="table" w:customStyle="1" w:styleId="Tablaconcuadrcula11">
    <w:name w:val="Tabla con cuadrícula11"/>
    <w:basedOn w:val="Tablanormal"/>
    <w:next w:val="Tablaconcuadrcula"/>
    <w:uiPriority w:val="59"/>
    <w:qFormat/>
    <w:rsid w:val="0070198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ar">
    <w:name w:val="Normal (Web) Car"/>
    <w:link w:val="NormalWeb"/>
    <w:uiPriority w:val="99"/>
    <w:rsid w:val="0070198B"/>
    <w:rPr>
      <w:rFonts w:ascii="Times New Roman" w:eastAsia="Times New Roman" w:hAnsi="Times New Roman" w:cs="Times New Roman"/>
      <w:kern w:val="0"/>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nasly.mosquera%40colombiacompra.gov.co%7C7128555136e04fa6887d08dee99e1b50%7C7b09041e245149d08cb179d5e3d8c1be%7C0%7C0%7C639205062451728331%7CUnknown%7CTWFpbGZsb3d8eyJFbXB0eU1hcGkiOnRydWUsIlYiOiIwLjAuMDAwMCIsIlAiOiJXaW4zMiIsIkFOIjoiTWFpbCIsIldUIjoyfQ%3D%3D%7C0%7C%7C%7C&amp;sdata=mpBUgI4TXQKUTiyJ3t%2BZk2bDWYkbeNUXbMTuRbUjxuA%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colombiacompra.gov.co/archivos/boletin/boletin-edicion-n-3-de-2026-radar-de-la-compra-publi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ole.ortizprofesional@gmail.com"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nasly.mosquera%40colombiacompra.gov.co%7C7128555136e04fa6887d08dee99e1b50%7C7b09041e245149d08cb179d5e3d8c1be%7C0%7C0%7C639205062451781137%7CUnknown%7CTWFpbGZsb3d8eyJFbXB0eU1hcGkiOnRydWUsIlYiOiIwLjAuMDAwMCIsIlAiOiJXaW4zMiIsIkFOIjoiTWFpbCIsIldUIjoyfQ%3D%3D%7C0%7C%7C%7C&amp;sdata=SXRTp2tiejOc5p2GVUwQiVeHZcjBX97o%2BwIhu4ngMCc%3D&amp;reserved=0"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nasly.mosquera%40colombiacompra.gov.co%7C7128555136e04fa6887d08dee99e1b50%7C7b09041e245149d08cb179d5e3d8c1be%7C0%7C0%7C639205062451758910%7CUnknown%7CTWFpbGZsb3d8eyJFbXB0eU1hcGkiOnRydWUsIlYiOiIwLjAuMDAwMCIsIlAiOiJXaW4zMiIsIkFOIjoiTWFpbCIsIldUIjoyfQ%3D%3D%7C0%7C%7C%7C&amp;sdata=OPnXajpdAyoK0A6MfQYru7F7qDuDOdN2UPaU0NJQ1Gk%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0035EA-E5AC-46D7-B784-5ADF6B1F1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92B10D-3A93-4F95-9CC0-710319E4E48F}">
  <ds:schemaRefs>
    <ds:schemaRef ds:uri="http://schemas.microsoft.com/sharepoint/v3/contenttype/forms"/>
  </ds:schemaRefs>
</ds:datastoreItem>
</file>

<file path=customXml/itemProps3.xml><?xml version="1.0" encoding="utf-8"?>
<ds:datastoreItem xmlns:ds="http://schemas.openxmlformats.org/officeDocument/2006/customXml" ds:itemID="{2C666D9A-3628-4F1A-9CE8-4EFB5E291E1E}">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4</TotalTime>
  <Pages>15</Pages>
  <Words>5361</Words>
  <Characters>29488</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Nasly Yeana Mosquera Rivas</dc:creator>
  <cp:keywords/>
  <dc:description/>
  <cp:lastModifiedBy>Nasly Yeana Mosquera Rivas</cp:lastModifiedBy>
  <cp:revision>4</cp:revision>
  <dcterms:created xsi:type="dcterms:W3CDTF">2026-08-26T19:15:00Z</dcterms:created>
  <dcterms:modified xsi:type="dcterms:W3CDTF">2026-08-26T19:18:00Z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