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FEBBF" w14:textId="77777777" w:rsidR="00F64884" w:rsidRDefault="00F64884" w:rsidP="00F64884">
      <w:pPr>
        <w:jc w:val="both"/>
        <w:rPr>
          <w:rFonts w:ascii="Verdana" w:eastAsia="Calibri" w:hAnsi="Verdana" w:cs="Arial"/>
          <w:b/>
          <w:bCs/>
          <w:lang w:val="es-ES" w:eastAsia="es-ES"/>
        </w:rPr>
      </w:pPr>
      <w:bookmarkStart w:id="0" w:name="_Hlk143780582"/>
      <w:r>
        <w:rPr>
          <w:rFonts w:ascii="Verdana" w:eastAsia="Calibri" w:hAnsi="Verdana" w:cs="Arial"/>
          <w:b/>
          <w:bCs/>
          <w:lang w:val="es-ES" w:eastAsia="es-ES"/>
        </w:rPr>
        <w:t xml:space="preserve">RÉGIMEN PRESUPUESTAL Y RÉGIMEN CONTRACTUAL – Conexidad </w:t>
      </w:r>
    </w:p>
    <w:p w14:paraId="3473E5A4" w14:textId="77777777" w:rsidR="00F64884" w:rsidRDefault="00F64884" w:rsidP="00F64884">
      <w:pPr>
        <w:spacing w:after="0" w:line="240" w:lineRule="auto"/>
        <w:jc w:val="both"/>
        <w:rPr>
          <w:rFonts w:ascii="Verdana" w:eastAsia="Times New Roman" w:hAnsi="Verdana" w:cs="Arial"/>
          <w:sz w:val="20"/>
          <w:szCs w:val="20"/>
          <w:lang w:eastAsia="es-ES_tradnl"/>
        </w:rPr>
      </w:pPr>
      <w:r>
        <w:rPr>
          <w:rFonts w:ascii="Verdana" w:eastAsia="Times New Roman" w:hAnsi="Verdana" w:cs="Arial"/>
          <w:sz w:val="20"/>
          <w:szCs w:val="20"/>
          <w:lang w:eastAsia="es-ES_tradnl"/>
        </w:rPr>
        <w:t>Es evidente la interdependencia entre el régimen de contratación estatal y el régimen presupuestal, en la medida en que toda actuación contractual de las entidades públicas debe estar respaldada por una disponibilidad de recursos debidamente apropiada en el presupuesto. Ello implica que la celebración de los contratos, están condicionados por las reglas fiscales y los principios presupuestales, porque la contratación pública no puede concebirse de manera aislada del marco presupuestal. Así lo ha señalado el Consejo de Estado al explicar que es inocultable la conexión material que existe entre estos dos regímenes y “parte de la importancia consiste en que a través de los contratos se ejecuta la mayor parte del presupuesto público, representando otra suma importante el pago de la deuda pública –que se adquiere por medio de contratos de crédito- y los gastos de funcionamiento –incluye salarios y prestaciones sociales-. Esta simple proporción refleja la importancia que tiene el presupuesto para la contratación estatal y, a la inversa, la contratación estatal para el presupuesto”.</w:t>
      </w:r>
    </w:p>
    <w:p w14:paraId="5D3D8397" w14:textId="77777777" w:rsidR="00F64884" w:rsidRDefault="00F64884" w:rsidP="00F64884">
      <w:pPr>
        <w:spacing w:after="0"/>
        <w:jc w:val="both"/>
        <w:rPr>
          <w:rFonts w:ascii="Verdana" w:hAnsi="Verdana" w:cs="Arial"/>
          <w:b/>
          <w:bCs/>
        </w:rPr>
      </w:pPr>
    </w:p>
    <w:p w14:paraId="1BEE2ED8" w14:textId="77777777" w:rsidR="00F64884" w:rsidRDefault="00F64884" w:rsidP="00F64884">
      <w:pPr>
        <w:spacing w:line="240" w:lineRule="auto"/>
        <w:contextualSpacing/>
        <w:jc w:val="both"/>
        <w:rPr>
          <w:rFonts w:ascii="Verdana" w:eastAsia="Calibri" w:hAnsi="Verdana" w:cs="Arial"/>
          <w:b/>
          <w:bCs/>
          <w:lang w:val="es-ES" w:eastAsia="es-ES"/>
        </w:rPr>
      </w:pPr>
      <w:r>
        <w:rPr>
          <w:rFonts w:ascii="Verdana" w:eastAsia="Calibri" w:hAnsi="Verdana" w:cs="Arial"/>
          <w:b/>
          <w:bCs/>
          <w:lang w:val="es-ES" w:eastAsia="es-ES"/>
        </w:rPr>
        <w:t>CERTIFICADO DE DISPONIBILIDAD PRESUPUESTAL – Deber de elaboración – Obligación de las entidades públicas – Etapa precontractual</w:t>
      </w:r>
    </w:p>
    <w:p w14:paraId="1B87D908" w14:textId="77777777" w:rsidR="00F64884" w:rsidRDefault="00F64884" w:rsidP="00F64884">
      <w:pPr>
        <w:spacing w:line="240" w:lineRule="auto"/>
        <w:contextualSpacing/>
        <w:jc w:val="both"/>
        <w:rPr>
          <w:rFonts w:ascii="Verdana" w:eastAsia="Calibri" w:hAnsi="Verdana" w:cs="Arial"/>
          <w:b/>
          <w:bCs/>
          <w:lang w:val="es-ES" w:eastAsia="es-ES"/>
        </w:rPr>
      </w:pPr>
    </w:p>
    <w:p w14:paraId="459DC319" w14:textId="77777777" w:rsidR="00F64884" w:rsidRDefault="00F64884" w:rsidP="00F64884">
      <w:pPr>
        <w:spacing w:line="240" w:lineRule="auto"/>
        <w:contextualSpacing/>
        <w:jc w:val="both"/>
        <w:rPr>
          <w:rFonts w:ascii="Verdana" w:eastAsia="Calibri" w:hAnsi="Verdana" w:cs="Arial"/>
          <w:sz w:val="20"/>
          <w:szCs w:val="20"/>
          <w:lang w:val="es-ES"/>
        </w:rPr>
      </w:pPr>
      <w:r w:rsidRPr="00D83ADC">
        <w:rPr>
          <w:rFonts w:ascii="Verdana" w:eastAsia="Calibri" w:hAnsi="Verdana" w:cs="Arial"/>
          <w:sz w:val="20"/>
          <w:szCs w:val="20"/>
          <w:lang w:val="es-ES"/>
        </w:rPr>
        <w:t xml:space="preserve">la norma establece de manera expresa el momento o la oportunidad en la que las entidades deben expedir el certificado de disponibilidad presupuestal cuando adelanten procesos de contratación. Así, por expresa disposición del legislador, las Entidades Estatales deben contar con este certificado en una fecha previa al momento en que inicia el proceso de selección del contratista. En concordancia con la citada disposición, la Ley 1882 de 2018, que modificó algunas disposiciones del EGCAP, entre ellas, la adición al parágrafo del artículo 8 de la Ley 1150 de 2007, establece que “[…] no es obligatorio contar con disponibilidad presupuestal para realizar la publicación del proyecto de pliego de condiciones”. </w:t>
      </w:r>
    </w:p>
    <w:p w14:paraId="505282F4" w14:textId="77777777" w:rsidR="00F64884" w:rsidRPr="00D83ADC" w:rsidRDefault="00F64884" w:rsidP="00F64884">
      <w:pPr>
        <w:spacing w:line="240" w:lineRule="auto"/>
        <w:contextualSpacing/>
        <w:jc w:val="both"/>
        <w:rPr>
          <w:rFonts w:ascii="Verdana" w:eastAsia="Calibri" w:hAnsi="Verdana" w:cs="Arial"/>
          <w:sz w:val="20"/>
          <w:szCs w:val="20"/>
          <w:lang w:val="es-ES"/>
        </w:rPr>
      </w:pPr>
    </w:p>
    <w:p w14:paraId="0876A190" w14:textId="77777777" w:rsidR="00F64884" w:rsidRDefault="00F64884" w:rsidP="00F64884">
      <w:pPr>
        <w:spacing w:line="240" w:lineRule="auto"/>
        <w:contextualSpacing/>
        <w:jc w:val="both"/>
        <w:rPr>
          <w:rFonts w:ascii="Verdana" w:eastAsia="Calibri" w:hAnsi="Verdana" w:cs="Arial"/>
          <w:sz w:val="20"/>
          <w:szCs w:val="20"/>
          <w:lang w:val="es-ES"/>
        </w:rPr>
      </w:pPr>
      <w:r w:rsidRPr="00D83ADC">
        <w:rPr>
          <w:rFonts w:ascii="Verdana" w:eastAsia="Calibri" w:hAnsi="Verdana" w:cs="Arial"/>
          <w:sz w:val="20"/>
          <w:szCs w:val="20"/>
          <w:lang w:val="es-ES"/>
        </w:rPr>
        <w:t>En ese orden, la norma precisa que, en procesos competitivos, el certificado de disponibilidad presupuestal debe ser expedido por la entidad contratante antes de que inicie formalmente la etapa de selección del contratista, es decir, previo a la expedición y publicación del acto administrativo de apertura del proceso. De esta manera, no es obligatorio contar con el certificado en las etapas preparatorias del proceso de selección, como al momento de publicación del aviso de convocatoria pública, en la publicación de los estudios previos o del proyecto de pliego de condiciones en los procesos licitatorios. No obstante, si la entidad contratante puede expedir el certificado de disponibilidad presupuestal con anterioridad a la expedición del acto de apertura, estará actuando dentro del marco legal existente.</w:t>
      </w:r>
    </w:p>
    <w:p w14:paraId="4A20B966" w14:textId="77777777" w:rsidR="00F64884" w:rsidRPr="00944A9A" w:rsidRDefault="00F64884" w:rsidP="00F64884">
      <w:pPr>
        <w:spacing w:after="0" w:line="240" w:lineRule="auto"/>
        <w:contextualSpacing/>
        <w:jc w:val="both"/>
        <w:rPr>
          <w:rFonts w:ascii="Verdana" w:eastAsia="Calibri" w:hAnsi="Verdana" w:cs="Arial"/>
          <w:b/>
          <w:lang w:val="es-ES" w:eastAsia="es-ES"/>
        </w:rPr>
      </w:pPr>
    </w:p>
    <w:p w14:paraId="64755EB6" w14:textId="77777777" w:rsidR="00F64884" w:rsidRPr="00944A9A" w:rsidRDefault="00F64884" w:rsidP="00F64884">
      <w:pPr>
        <w:spacing w:after="0" w:line="240" w:lineRule="auto"/>
        <w:contextualSpacing/>
        <w:jc w:val="both"/>
        <w:rPr>
          <w:rFonts w:ascii="Verdana" w:eastAsia="Calibri" w:hAnsi="Verdana" w:cs="Arial"/>
          <w:b/>
          <w:lang w:val="es-ES" w:eastAsia="es-ES"/>
        </w:rPr>
      </w:pPr>
      <w:r w:rsidRPr="00944A9A">
        <w:rPr>
          <w:rFonts w:ascii="Verdana" w:eastAsia="Calibri" w:hAnsi="Verdana" w:cs="Arial"/>
          <w:b/>
        </w:rPr>
        <w:t xml:space="preserve">HECHOS CUMPLIDOS </w:t>
      </w:r>
      <w:r w:rsidRPr="00944A9A">
        <w:rPr>
          <w:rFonts w:ascii="Verdana" w:eastAsia="Calibri" w:hAnsi="Verdana" w:cs="Arial"/>
          <w:b/>
          <w:lang w:val="es-ES" w:eastAsia="es-ES"/>
        </w:rPr>
        <w:t xml:space="preserve">– Fundamento normativo – Noción </w:t>
      </w:r>
    </w:p>
    <w:p w14:paraId="05BF5219" w14:textId="77777777" w:rsidR="00F64884" w:rsidRDefault="00F64884" w:rsidP="00F64884">
      <w:pPr>
        <w:spacing w:after="0" w:line="240" w:lineRule="auto"/>
        <w:contextualSpacing/>
        <w:jc w:val="both"/>
        <w:rPr>
          <w:rFonts w:ascii="Verdana" w:eastAsia="Calibri" w:hAnsi="Verdana" w:cs="Arial"/>
          <w:b/>
          <w:lang w:val="es-ES" w:eastAsia="es-ES"/>
        </w:rPr>
      </w:pPr>
    </w:p>
    <w:p w14:paraId="72754BDD" w14:textId="77777777" w:rsidR="00AD697E" w:rsidRDefault="00AD697E" w:rsidP="00AD697E">
      <w:pPr>
        <w:spacing w:line="240" w:lineRule="auto"/>
        <w:contextualSpacing/>
        <w:jc w:val="both"/>
        <w:rPr>
          <w:rFonts w:ascii="Verdana" w:eastAsia="Calibri" w:hAnsi="Verdana" w:cs="Arial"/>
          <w:sz w:val="20"/>
          <w:szCs w:val="20"/>
          <w:lang w:val="es-ES"/>
        </w:rPr>
      </w:pPr>
      <w:r w:rsidRPr="00AD697E">
        <w:rPr>
          <w:rFonts w:ascii="Verdana" w:eastAsia="Calibri" w:hAnsi="Verdana" w:cs="Arial"/>
          <w:sz w:val="20"/>
          <w:szCs w:val="20"/>
          <w:lang w:val="es-ES"/>
        </w:rPr>
        <w:t xml:space="preserve">El Estatuto General de Contratación de la Administración Pública no contiene una regulación específica sobre los hechos cumplidos. Aunque el artículo 25 de la Ley 80 de </w:t>
      </w:r>
      <w:r w:rsidRPr="00AD697E">
        <w:rPr>
          <w:rFonts w:ascii="Verdana" w:eastAsia="Calibri" w:hAnsi="Verdana" w:cs="Arial"/>
          <w:sz w:val="20"/>
          <w:szCs w:val="20"/>
          <w:lang w:val="es-ES"/>
        </w:rPr>
        <w:lastRenderedPageBreak/>
        <w:t xml:space="preserve">1993, en desarrollo del principio de economía, impone contar con el certificado de disponibilidad presupuestal antes de dar inicio al procedimiento de selección, dicha disposición no define el concepto ni fija los supuestos en que se configura, de modo que su reconocimiento normativo se encuentra en el régimen presupuestal, cuyas disposiciones proscriben adquirir obligaciones y afectar el presupuesto sin el lleno de los requisitos legales, con incidencia directa en la contratación estatal. </w:t>
      </w:r>
    </w:p>
    <w:p w14:paraId="53D93AB3" w14:textId="77777777" w:rsidR="00AD697E" w:rsidRPr="00AD697E" w:rsidRDefault="00AD697E" w:rsidP="00AD697E">
      <w:pPr>
        <w:spacing w:line="240" w:lineRule="auto"/>
        <w:contextualSpacing/>
        <w:jc w:val="both"/>
        <w:rPr>
          <w:rFonts w:ascii="Verdana" w:eastAsia="Calibri" w:hAnsi="Verdana" w:cs="Arial"/>
          <w:sz w:val="20"/>
          <w:szCs w:val="20"/>
          <w:lang w:val="es-ES"/>
        </w:rPr>
      </w:pPr>
    </w:p>
    <w:p w14:paraId="11AD4B3F" w14:textId="77777777" w:rsidR="00AD697E" w:rsidRDefault="00AD697E" w:rsidP="00AD697E">
      <w:pPr>
        <w:spacing w:line="240" w:lineRule="auto"/>
        <w:contextualSpacing/>
        <w:jc w:val="both"/>
        <w:rPr>
          <w:rFonts w:ascii="Verdana" w:eastAsia="Calibri" w:hAnsi="Verdana" w:cs="Arial"/>
          <w:sz w:val="20"/>
          <w:szCs w:val="20"/>
          <w:lang w:val="es-ES"/>
        </w:rPr>
      </w:pPr>
      <w:r w:rsidRPr="00AD697E">
        <w:rPr>
          <w:rFonts w:ascii="Verdana" w:eastAsia="Calibri" w:hAnsi="Verdana" w:cs="Arial"/>
          <w:sz w:val="20"/>
          <w:szCs w:val="20"/>
          <w:lang w:val="es-ES"/>
        </w:rPr>
        <w:t>Así, del artículo 71 del Decreto 111 de 1996 se desprende que la afectación del presupuesto está condicionada a que toda obligación cuente con el certificado de disponibilidad y el registro presupuestal que formaliza el compromiso de los recursos, y tanto el artículo 14 de la Ley 2342 de 2025 como los artículos 2.6.6.2.10, 2.10.1.5.3.10 y 2.8.3.2.9 del Decreto 1068 de 2015 contemplan expresamente el tratamiento presupuestal de los hechos cumplidos al prohibir tramitar actos u obligaciones que afecten el presupuesto de gastos cuando no reúnan los requisitos legales o se configuren como tales. De ahí que el hecho cumplido tenga un origen eminentemente presupuestal, aunque produzca efectos directos en la contratación estatal, relación que se refleja en el artículo 25 —que exige disponibilidades presupuestales antes de iniciar los procedimientos de selección— y en el artículo 41 de la misma ley —que somete el perfeccionamiento y la ejecución del contrato a la solemnidad escrita y a las disponibilidades correspondientes—</w:t>
      </w:r>
    </w:p>
    <w:p w14:paraId="298A487F" w14:textId="77777777" w:rsidR="00F64884" w:rsidRPr="00944A9A" w:rsidRDefault="00F64884" w:rsidP="00F64884">
      <w:pPr>
        <w:spacing w:after="0" w:line="240" w:lineRule="auto"/>
        <w:contextualSpacing/>
        <w:jc w:val="both"/>
        <w:rPr>
          <w:rFonts w:ascii="Verdana" w:eastAsia="Calibri" w:hAnsi="Verdana" w:cs="Arial"/>
          <w:b/>
          <w:lang w:val="es-ES" w:eastAsia="es-ES"/>
        </w:rPr>
      </w:pPr>
    </w:p>
    <w:p w14:paraId="390BFBAA" w14:textId="77777777" w:rsidR="00F64884" w:rsidRPr="00944A9A" w:rsidRDefault="00F64884" w:rsidP="00F64884">
      <w:pPr>
        <w:spacing w:after="0" w:line="240" w:lineRule="auto"/>
        <w:contextualSpacing/>
        <w:jc w:val="both"/>
        <w:rPr>
          <w:rFonts w:ascii="Verdana" w:eastAsia="Calibri" w:hAnsi="Verdana" w:cs="Arial"/>
          <w:b/>
          <w:lang w:val="es-ES" w:eastAsia="es-ES"/>
        </w:rPr>
      </w:pPr>
      <w:r w:rsidRPr="00944A9A">
        <w:rPr>
          <w:rFonts w:ascii="Verdana" w:eastAsia="Calibri" w:hAnsi="Verdana" w:cs="Arial"/>
          <w:b/>
        </w:rPr>
        <w:t xml:space="preserve">HECHOS CUMPLIDOS </w:t>
      </w:r>
      <w:r w:rsidRPr="00944A9A">
        <w:rPr>
          <w:rFonts w:ascii="Verdana" w:eastAsia="Calibri" w:hAnsi="Verdana" w:cs="Arial"/>
          <w:b/>
          <w:lang w:val="es-ES" w:eastAsia="es-ES"/>
        </w:rPr>
        <w:t>– Enriquecimiento sin justa causa – Etapa contractual – Escenarios</w:t>
      </w:r>
    </w:p>
    <w:p w14:paraId="1BC28632" w14:textId="77777777" w:rsidR="00F64884" w:rsidRDefault="00F64884" w:rsidP="00F64884">
      <w:pPr>
        <w:spacing w:after="0" w:line="240" w:lineRule="auto"/>
        <w:contextualSpacing/>
        <w:jc w:val="both"/>
        <w:rPr>
          <w:rFonts w:ascii="Verdana" w:eastAsia="Calibri" w:hAnsi="Verdana" w:cs="Arial"/>
          <w:b/>
          <w:bCs/>
          <w:lang w:val="es-ES" w:eastAsia="es-ES"/>
        </w:rPr>
      </w:pPr>
    </w:p>
    <w:p w14:paraId="10A2F30D" w14:textId="60EEF55A" w:rsidR="00F64884" w:rsidRPr="000368B0" w:rsidRDefault="00AD697E" w:rsidP="00F64884">
      <w:pPr>
        <w:spacing w:line="240" w:lineRule="auto"/>
        <w:contextualSpacing/>
        <w:jc w:val="both"/>
        <w:rPr>
          <w:rFonts w:ascii="Verdana" w:eastAsia="Calibri" w:hAnsi="Verdana" w:cs="Arial"/>
          <w:sz w:val="20"/>
          <w:szCs w:val="20"/>
          <w:lang w:val="es-ES"/>
        </w:rPr>
      </w:pPr>
      <w:r w:rsidRPr="00AD697E">
        <w:rPr>
          <w:rFonts w:ascii="Verdana" w:eastAsia="Calibri" w:hAnsi="Verdana" w:cs="Arial"/>
          <w:sz w:val="20"/>
          <w:szCs w:val="20"/>
          <w:lang w:val="es-ES"/>
        </w:rPr>
        <w:t>En atención al desarrollo jurisprudencial y doctrinal, el hecho cumplido corresponde a la ejecución de prestaciones en beneficio de una entidad estatal sin el cumplimiento de los requisitos presupuestales y contractuales previstos, y su configuración se presenta principalmente en dos escenarios: el primero, cuando se ejecutan obras o se suministran bienes o servicios sin contrato estatal perfeccionado, esto es, sin la solemnidad escrita del artículo 41, evento en el cual el reconocimiento solo procede en los términos fijados por las sentencias de unificación del Consejo de Estado sobre enriquecimiento sin justa causa; y el segundo, cuando, existiendo contrato debidamente celebrado, este carece del respaldo presupuestal de la obligación o durante su ejecución se reciben prestaciones adicionales que exceden el alcance pactado pero guardan relación directa con el objeto, sin haberse surtido previamente los procedimientos contractuales y presupuestales. En cualquiera de estos escenarios no se exime de la responsabilidad penal, disciplinaria y fiscal que corresponde al funcionario encargado.</w:t>
      </w:r>
      <w:r>
        <w:rPr>
          <w:rFonts w:ascii="Verdana" w:eastAsia="Calibri" w:hAnsi="Verdana" w:cs="Arial"/>
          <w:sz w:val="20"/>
          <w:szCs w:val="20"/>
          <w:lang w:val="es-ES"/>
        </w:rPr>
        <w:t xml:space="preserve"> </w:t>
      </w:r>
    </w:p>
    <w:p w14:paraId="5652E6C1" w14:textId="77777777" w:rsidR="00F64884" w:rsidRDefault="00F64884" w:rsidP="00F64884">
      <w:pPr>
        <w:spacing w:after="0" w:line="240" w:lineRule="auto"/>
        <w:contextualSpacing/>
        <w:jc w:val="both"/>
        <w:rPr>
          <w:rFonts w:ascii="Verdana" w:eastAsia="Calibri" w:hAnsi="Verdana" w:cs="Arial"/>
          <w:b/>
          <w:bCs/>
          <w:lang w:val="es-ES" w:eastAsia="es-ES"/>
        </w:rPr>
      </w:pPr>
    </w:p>
    <w:p w14:paraId="456B5A52" w14:textId="77777777" w:rsidR="00F64884" w:rsidRDefault="00F64884" w:rsidP="00F64884">
      <w:pPr>
        <w:spacing w:line="240" w:lineRule="auto"/>
        <w:jc w:val="both"/>
        <w:rPr>
          <w:rFonts w:ascii="Verdana" w:eastAsia="Calibri" w:hAnsi="Verdana" w:cs="Arial"/>
          <w:b/>
        </w:rPr>
      </w:pPr>
      <w:r>
        <w:rPr>
          <w:rFonts w:ascii="Verdana" w:eastAsia="Calibri" w:hAnsi="Verdana" w:cs="Arial"/>
          <w:b/>
        </w:rPr>
        <w:t xml:space="preserve">CONTRATO DE TRANSACCIÓN – Noción – Requisitos </w:t>
      </w:r>
    </w:p>
    <w:p w14:paraId="4274DE52" w14:textId="77777777" w:rsidR="00F64884" w:rsidRDefault="00F64884" w:rsidP="00F64884">
      <w:pPr>
        <w:spacing w:line="240" w:lineRule="auto"/>
        <w:jc w:val="both"/>
        <w:rPr>
          <w:rFonts w:ascii="Verdana" w:eastAsia="Calibri" w:hAnsi="Verdana" w:cs="Arial"/>
          <w:sz w:val="20"/>
          <w:szCs w:val="20"/>
          <w:lang w:val="es-ES"/>
        </w:rPr>
      </w:pPr>
      <w:r>
        <w:rPr>
          <w:rFonts w:ascii="Verdana" w:eastAsia="Calibri" w:hAnsi="Verdana" w:cs="Arial"/>
          <w:sz w:val="20"/>
          <w:szCs w:val="20"/>
          <w:lang w:val="es-ES"/>
        </w:rPr>
        <w:t xml:space="preserve">El artículo 2469 del Código Civil define la transacción como “[…] un contrato en que las partes terminan extrajudicialmente un litigio pendiente o precaven un litigio eventual”. Adicionalmente, los artículos 2470 a 2487 establecen los requisitos del contrato de transacción, entre los que se destacan los siguientes: i) solo procede sobre derechos inciertos y discutibles; </w:t>
      </w:r>
      <w:proofErr w:type="spellStart"/>
      <w:r>
        <w:rPr>
          <w:rFonts w:ascii="Verdana" w:eastAsia="Calibri" w:hAnsi="Verdana" w:cs="Arial"/>
          <w:sz w:val="20"/>
          <w:szCs w:val="20"/>
          <w:lang w:val="es-ES"/>
        </w:rPr>
        <w:t>ii</w:t>
      </w:r>
      <w:proofErr w:type="spellEnd"/>
      <w:r>
        <w:rPr>
          <w:rFonts w:ascii="Verdana" w:eastAsia="Calibri" w:hAnsi="Verdana" w:cs="Arial"/>
          <w:sz w:val="20"/>
          <w:szCs w:val="20"/>
          <w:lang w:val="es-ES"/>
        </w:rPr>
        <w:t xml:space="preserve">) las partes deben tener capacidad para disponer del objeto del negocio jurídico, lo que no obsta para que se otorgue poder mediante la celebración de </w:t>
      </w:r>
      <w:r>
        <w:rPr>
          <w:rFonts w:ascii="Verdana" w:eastAsia="Calibri" w:hAnsi="Verdana" w:cs="Arial"/>
          <w:sz w:val="20"/>
          <w:szCs w:val="20"/>
          <w:lang w:val="es-ES"/>
        </w:rPr>
        <w:lastRenderedPageBreak/>
        <w:t xml:space="preserve">un contrato de mandato; </w:t>
      </w:r>
      <w:proofErr w:type="spellStart"/>
      <w:r>
        <w:rPr>
          <w:rFonts w:ascii="Verdana" w:eastAsia="Calibri" w:hAnsi="Verdana" w:cs="Arial"/>
          <w:sz w:val="20"/>
          <w:szCs w:val="20"/>
          <w:lang w:val="es-ES"/>
        </w:rPr>
        <w:t>iii</w:t>
      </w:r>
      <w:proofErr w:type="spellEnd"/>
      <w:r>
        <w:rPr>
          <w:rFonts w:ascii="Verdana" w:eastAsia="Calibri" w:hAnsi="Verdana" w:cs="Arial"/>
          <w:sz w:val="20"/>
          <w:szCs w:val="20"/>
          <w:lang w:val="es-ES"/>
        </w:rPr>
        <w:t xml:space="preserve">) no puede versar sobre materias prohibidas, como el estado civil de las personas, derechos ajenos o que no existen y </w:t>
      </w:r>
      <w:proofErr w:type="spellStart"/>
      <w:r>
        <w:rPr>
          <w:rFonts w:ascii="Verdana" w:eastAsia="Calibri" w:hAnsi="Verdana" w:cs="Arial"/>
          <w:sz w:val="20"/>
          <w:szCs w:val="20"/>
          <w:lang w:val="es-ES"/>
        </w:rPr>
        <w:t>iv</w:t>
      </w:r>
      <w:proofErr w:type="spellEnd"/>
      <w:r>
        <w:rPr>
          <w:rFonts w:ascii="Verdana" w:eastAsia="Calibri" w:hAnsi="Verdana" w:cs="Arial"/>
          <w:sz w:val="20"/>
          <w:szCs w:val="20"/>
          <w:lang w:val="es-ES"/>
        </w:rPr>
        <w:t>) únicamente surte efecto entre las partes. Además, el numeral 3 del artículo 1625 del mismo Código prevé la transacción como uno de los modos de extinción de las obligaciones.</w:t>
      </w:r>
    </w:p>
    <w:p w14:paraId="1881C429" w14:textId="77777777" w:rsidR="00F64884" w:rsidRDefault="00F64884" w:rsidP="00F64884">
      <w:pPr>
        <w:spacing w:after="0"/>
        <w:rPr>
          <w:rFonts w:ascii="Verdana" w:hAnsi="Verdana"/>
          <w:b/>
          <w:bCs/>
        </w:rPr>
      </w:pPr>
      <w:r>
        <w:rPr>
          <w:rFonts w:ascii="Verdana" w:hAnsi="Verdana"/>
          <w:b/>
          <w:bCs/>
        </w:rPr>
        <w:t xml:space="preserve">TRANSACCIÓN EXTRAJUDICIAL – </w:t>
      </w:r>
      <w:r w:rsidRPr="00046DFE">
        <w:rPr>
          <w:rFonts w:ascii="Verdana" w:hAnsi="Verdana"/>
          <w:b/>
          <w:bCs/>
          <w:lang w:val="es-ES"/>
        </w:rPr>
        <w:t>Diferencia – Conciliación</w:t>
      </w:r>
    </w:p>
    <w:p w14:paraId="454F209A" w14:textId="77777777" w:rsidR="00F64884" w:rsidRDefault="00F64884" w:rsidP="00F64884">
      <w:pPr>
        <w:spacing w:after="0"/>
        <w:jc w:val="both"/>
        <w:rPr>
          <w:rFonts w:ascii="Verdana" w:hAnsi="Verdana"/>
          <w:sz w:val="20"/>
          <w:szCs w:val="20"/>
        </w:rPr>
      </w:pPr>
    </w:p>
    <w:p w14:paraId="012C14F2" w14:textId="55F9B74E" w:rsidR="00F64884" w:rsidRPr="00F55A74" w:rsidRDefault="00F55A74" w:rsidP="00F64884">
      <w:pPr>
        <w:spacing w:after="0" w:line="240" w:lineRule="auto"/>
        <w:contextualSpacing/>
        <w:jc w:val="both"/>
        <w:rPr>
          <w:rFonts w:ascii="Verdana" w:eastAsia="Calibri" w:hAnsi="Verdana" w:cs="Arial"/>
          <w:sz w:val="20"/>
          <w:szCs w:val="20"/>
          <w:lang w:val="es-ES" w:eastAsia="es-ES"/>
        </w:rPr>
      </w:pPr>
      <w:r w:rsidRPr="00F55A74">
        <w:rPr>
          <w:rFonts w:ascii="Verdana" w:eastAsia="Calibri" w:hAnsi="Verdana" w:cs="Arial"/>
          <w:sz w:val="20"/>
          <w:szCs w:val="20"/>
          <w:lang w:val="es-ES" w:eastAsia="es-ES"/>
        </w:rPr>
        <w:t>La transacción y la conciliación no son figuras equiparables. Si bien ambas son mecanismos autocompositivos que comparten la finalidad de solucionar las discrepancias originadas en la actividad contractual, presentan diferencias sustanciales: la transacción es un negocio jurídico accesorio a la relación contractual que le da origen, orientado a regular las consecuencias de una controversia surgida en su ejecución; mientras que la conciliación es un mecanismo alternativo en el que interviene un tercero neutral, investido de funciones legalmente previstas, para facilitar el acuerdo y verificar su conformidad con el ordenamiento. En esa línea, el Consejo de Estado, en auto del 22 de mayo de 2026, distinguió ambas instituciones y precisó que la transacción, conforme al artículo 2469 del Código Civil, es un contrato mediante el cual las partes, sin intervención de un tercero, terminan extrajudicialmente un litigio pendiente o precaven uno eventual, de manera que, si las partes llegan a un acuerdo por fuera del proceso sin intervención del Ministerio Público y del juez en calidad de conciliador, no es posible predicar la existencia de una conciliación, con independencia de la denominación que le den al acuerdo. La diferencia sustancial radica, entonces, en la necesaria intervención de un tercero imparcial investido de funciones legales para dirigir el trámite, de modo que la naturaleza jurídica del mecanismo no depende de la denominación que las partes otorguen al acuerdo, sino de la concurrencia de los elementos propios de cada institución.</w:t>
      </w:r>
    </w:p>
    <w:p w14:paraId="132C4835" w14:textId="77777777" w:rsidR="00F64884" w:rsidRDefault="00F64884" w:rsidP="00F64884">
      <w:pPr>
        <w:spacing w:after="0" w:line="240" w:lineRule="auto"/>
        <w:rPr>
          <w:rFonts w:ascii="Verdana" w:hAnsi="Verdana"/>
          <w:sz w:val="20"/>
          <w:szCs w:val="20"/>
        </w:rPr>
      </w:pPr>
    </w:p>
    <w:p w14:paraId="24DAC6E3" w14:textId="77777777" w:rsidR="00F64884" w:rsidRDefault="00F64884" w:rsidP="00F64884">
      <w:pPr>
        <w:spacing w:after="0" w:line="240" w:lineRule="auto"/>
        <w:rPr>
          <w:rFonts w:ascii="Verdana" w:hAnsi="Verdana"/>
          <w:sz w:val="20"/>
          <w:szCs w:val="20"/>
        </w:rPr>
      </w:pPr>
    </w:p>
    <w:p w14:paraId="780CC931" w14:textId="77777777" w:rsidR="00F64884" w:rsidRDefault="00F64884" w:rsidP="00F64884">
      <w:pPr>
        <w:spacing w:after="0" w:line="240" w:lineRule="auto"/>
        <w:rPr>
          <w:rFonts w:ascii="Verdana" w:hAnsi="Verdana"/>
          <w:sz w:val="20"/>
          <w:szCs w:val="20"/>
        </w:rPr>
      </w:pPr>
    </w:p>
    <w:p w14:paraId="1D8F5361" w14:textId="77777777" w:rsidR="00F64884" w:rsidRDefault="00F64884" w:rsidP="00F64884">
      <w:pPr>
        <w:spacing w:after="0" w:line="240" w:lineRule="auto"/>
        <w:rPr>
          <w:rFonts w:ascii="Verdana" w:hAnsi="Verdana"/>
          <w:sz w:val="20"/>
          <w:szCs w:val="20"/>
        </w:rPr>
      </w:pPr>
    </w:p>
    <w:p w14:paraId="1E7E61C5" w14:textId="77777777" w:rsidR="00F64884" w:rsidRDefault="00F64884" w:rsidP="00F64884">
      <w:pPr>
        <w:spacing w:after="0" w:line="240" w:lineRule="auto"/>
        <w:rPr>
          <w:rFonts w:ascii="Verdana" w:hAnsi="Verdana"/>
          <w:sz w:val="20"/>
          <w:szCs w:val="20"/>
        </w:rPr>
      </w:pPr>
    </w:p>
    <w:p w14:paraId="71797883" w14:textId="77777777" w:rsidR="00F64884" w:rsidRDefault="00F64884" w:rsidP="00F64884">
      <w:pPr>
        <w:spacing w:after="0" w:line="240" w:lineRule="auto"/>
        <w:rPr>
          <w:rFonts w:ascii="Verdana" w:hAnsi="Verdana"/>
          <w:sz w:val="20"/>
          <w:szCs w:val="20"/>
        </w:rPr>
      </w:pPr>
    </w:p>
    <w:p w14:paraId="5C113166" w14:textId="77777777" w:rsidR="00F64884" w:rsidRDefault="00F64884" w:rsidP="00F64884">
      <w:pPr>
        <w:spacing w:after="0" w:line="240" w:lineRule="auto"/>
        <w:rPr>
          <w:rFonts w:ascii="Verdana" w:hAnsi="Verdana"/>
          <w:sz w:val="20"/>
          <w:szCs w:val="20"/>
        </w:rPr>
      </w:pPr>
    </w:p>
    <w:p w14:paraId="504F85D6" w14:textId="77777777" w:rsidR="00157564" w:rsidRDefault="00157564" w:rsidP="00F64884">
      <w:pPr>
        <w:spacing w:after="0" w:line="240" w:lineRule="auto"/>
        <w:rPr>
          <w:rFonts w:ascii="Verdana" w:hAnsi="Verdana"/>
          <w:sz w:val="20"/>
          <w:szCs w:val="20"/>
        </w:rPr>
      </w:pPr>
    </w:p>
    <w:p w14:paraId="223F2597" w14:textId="77777777" w:rsidR="00157564" w:rsidRDefault="00157564" w:rsidP="00F64884">
      <w:pPr>
        <w:spacing w:after="0" w:line="240" w:lineRule="auto"/>
        <w:rPr>
          <w:rFonts w:ascii="Verdana" w:hAnsi="Verdana"/>
          <w:sz w:val="20"/>
          <w:szCs w:val="20"/>
        </w:rPr>
      </w:pPr>
    </w:p>
    <w:p w14:paraId="1AA100FB" w14:textId="77777777" w:rsidR="00F64884" w:rsidRDefault="00F64884" w:rsidP="00F64884">
      <w:pPr>
        <w:spacing w:after="0" w:line="240" w:lineRule="auto"/>
        <w:rPr>
          <w:rFonts w:ascii="Verdana" w:hAnsi="Verdana"/>
          <w:sz w:val="20"/>
          <w:szCs w:val="20"/>
        </w:rPr>
      </w:pPr>
    </w:p>
    <w:p w14:paraId="2DAF5861" w14:textId="77777777" w:rsidR="00F64884" w:rsidRDefault="00F64884" w:rsidP="00F64884">
      <w:pPr>
        <w:spacing w:after="0" w:line="240" w:lineRule="auto"/>
        <w:rPr>
          <w:rFonts w:ascii="Verdana" w:hAnsi="Verdana"/>
          <w:sz w:val="20"/>
          <w:szCs w:val="20"/>
        </w:rPr>
      </w:pPr>
    </w:p>
    <w:p w14:paraId="3ADE47BF" w14:textId="77777777" w:rsidR="00F64884" w:rsidRDefault="00F64884" w:rsidP="00F64884">
      <w:pPr>
        <w:spacing w:after="0" w:line="240" w:lineRule="auto"/>
        <w:rPr>
          <w:rFonts w:ascii="Verdana" w:hAnsi="Verdana"/>
          <w:sz w:val="20"/>
          <w:szCs w:val="20"/>
        </w:rPr>
      </w:pPr>
    </w:p>
    <w:p w14:paraId="7C73414D" w14:textId="77777777" w:rsidR="00F64884" w:rsidRDefault="00F64884" w:rsidP="00F64884">
      <w:pPr>
        <w:spacing w:after="0" w:line="240" w:lineRule="auto"/>
        <w:rPr>
          <w:rFonts w:ascii="Verdana" w:hAnsi="Verdana"/>
          <w:sz w:val="20"/>
          <w:szCs w:val="20"/>
        </w:rPr>
      </w:pPr>
    </w:p>
    <w:p w14:paraId="3CF9DF37" w14:textId="77777777" w:rsidR="00F55A74" w:rsidRDefault="00F55A74" w:rsidP="00F64884">
      <w:pPr>
        <w:spacing w:after="0" w:line="240" w:lineRule="auto"/>
        <w:rPr>
          <w:rFonts w:ascii="Verdana" w:hAnsi="Verdana"/>
          <w:sz w:val="20"/>
          <w:szCs w:val="20"/>
        </w:rPr>
      </w:pPr>
    </w:p>
    <w:p w14:paraId="4BDF554F" w14:textId="77777777" w:rsidR="00F55A74" w:rsidRDefault="00F55A74" w:rsidP="00F64884">
      <w:pPr>
        <w:spacing w:after="0" w:line="240" w:lineRule="auto"/>
        <w:rPr>
          <w:rFonts w:ascii="Verdana" w:hAnsi="Verdana"/>
          <w:sz w:val="20"/>
          <w:szCs w:val="20"/>
        </w:rPr>
      </w:pPr>
    </w:p>
    <w:p w14:paraId="7C9369F5" w14:textId="77777777" w:rsidR="00F55A74" w:rsidRDefault="00F55A74" w:rsidP="00F64884">
      <w:pPr>
        <w:spacing w:after="0" w:line="240" w:lineRule="auto"/>
        <w:rPr>
          <w:rFonts w:ascii="Verdana" w:hAnsi="Verdana"/>
          <w:sz w:val="20"/>
          <w:szCs w:val="20"/>
        </w:rPr>
      </w:pPr>
    </w:p>
    <w:p w14:paraId="5668C7D5" w14:textId="77777777" w:rsidR="00F55A74" w:rsidRDefault="00F55A74" w:rsidP="00F64884">
      <w:pPr>
        <w:spacing w:after="0" w:line="240" w:lineRule="auto"/>
        <w:rPr>
          <w:rFonts w:ascii="Verdana" w:hAnsi="Verdana"/>
          <w:sz w:val="20"/>
          <w:szCs w:val="20"/>
        </w:rPr>
      </w:pPr>
    </w:p>
    <w:p w14:paraId="4A983398" w14:textId="77777777" w:rsidR="00F55A74" w:rsidRDefault="00F55A74" w:rsidP="00F64884">
      <w:pPr>
        <w:spacing w:after="0" w:line="240" w:lineRule="auto"/>
        <w:rPr>
          <w:rFonts w:ascii="Verdana" w:hAnsi="Verdana"/>
          <w:sz w:val="20"/>
          <w:szCs w:val="20"/>
        </w:rPr>
      </w:pPr>
    </w:p>
    <w:p w14:paraId="6C9D1BC9" w14:textId="77777777" w:rsidR="00F64884" w:rsidRDefault="00F64884" w:rsidP="00F64884">
      <w:pPr>
        <w:spacing w:after="0" w:line="240" w:lineRule="auto"/>
        <w:rPr>
          <w:rFonts w:ascii="Verdana" w:hAnsi="Verdana"/>
          <w:sz w:val="20"/>
          <w:szCs w:val="20"/>
        </w:rPr>
      </w:pPr>
    </w:p>
    <w:p w14:paraId="623FCEC0" w14:textId="77777777" w:rsidR="00F64884" w:rsidRDefault="00F64884" w:rsidP="00F64884">
      <w:pPr>
        <w:spacing w:after="0" w:line="240" w:lineRule="auto"/>
        <w:rPr>
          <w:rFonts w:ascii="Verdana" w:hAnsi="Verdana"/>
          <w:sz w:val="20"/>
          <w:szCs w:val="20"/>
        </w:rPr>
      </w:pPr>
    </w:p>
    <w:p w14:paraId="44EB88C5" w14:textId="09BF54DE" w:rsidR="00F64884" w:rsidRPr="00E31648" w:rsidRDefault="00F64884" w:rsidP="00F64884">
      <w:pPr>
        <w:spacing w:after="0" w:line="240" w:lineRule="auto"/>
      </w:pPr>
      <w:r w:rsidRPr="00C562D4">
        <w:rPr>
          <w:rFonts w:ascii="Verdana" w:eastAsia="Calibri" w:hAnsi="Verdana" w:cs="Arial"/>
          <w:color w:val="000000" w:themeColor="text1"/>
        </w:rPr>
        <w:lastRenderedPageBreak/>
        <w:t xml:space="preserve">Bogotá D.C., </w:t>
      </w:r>
      <w:r w:rsidR="0011274D">
        <w:rPr>
          <w:rFonts w:ascii="Verdana" w:eastAsia="Geomanist Light" w:hAnsi="Verdana" w:cs="Arial"/>
          <w:color w:val="201F1E"/>
        </w:rPr>
        <w:t>11 de agosto de 2026</w:t>
      </w:r>
    </w:p>
    <w:p w14:paraId="1AEAD26C" w14:textId="77777777" w:rsidR="00F64884" w:rsidRDefault="00F64884" w:rsidP="00F64884">
      <w:pPr>
        <w:spacing w:after="0" w:line="240" w:lineRule="auto"/>
        <w:jc w:val="both"/>
        <w:rPr>
          <w:rFonts w:ascii="Verdana" w:eastAsia="Calibri" w:hAnsi="Verdana" w:cs="Arial"/>
          <w:color w:val="000000" w:themeColor="text1"/>
          <w:lang w:val="es-ES"/>
        </w:rPr>
      </w:pPr>
    </w:p>
    <w:p w14:paraId="3D973F71" w14:textId="6156E031" w:rsidR="00F64884" w:rsidRDefault="00A2577D" w:rsidP="00A2577D">
      <w:pPr>
        <w:spacing w:after="0" w:line="240" w:lineRule="auto"/>
        <w:jc w:val="right"/>
        <w:rPr>
          <w:rFonts w:ascii="Verdana" w:eastAsia="Calibri" w:hAnsi="Verdana" w:cs="Arial"/>
          <w:color w:val="000000" w:themeColor="text1"/>
          <w:lang w:val="es-ES"/>
        </w:rPr>
      </w:pPr>
      <w:r w:rsidRPr="00A2577D">
        <w:rPr>
          <w:rFonts w:ascii="Verdana" w:eastAsia="Calibri" w:hAnsi="Verdana" w:cs="Arial"/>
          <w:noProof/>
          <w:color w:val="000000" w:themeColor="text1"/>
          <w:lang w:val="es-ES"/>
        </w:rPr>
        <w:drawing>
          <wp:anchor distT="0" distB="0" distL="114300" distR="114300" simplePos="0" relativeHeight="251658240" behindDoc="0" locked="0" layoutInCell="1" allowOverlap="1" wp14:anchorId="705BC13A" wp14:editId="54BC3891">
            <wp:simplePos x="0" y="0"/>
            <wp:positionH relativeFrom="column">
              <wp:posOffset>3308985</wp:posOffset>
            </wp:positionH>
            <wp:positionV relativeFrom="paragraph">
              <wp:posOffset>3175</wp:posOffset>
            </wp:positionV>
            <wp:extent cx="2301240" cy="800100"/>
            <wp:effectExtent l="0" t="0" r="3810" b="0"/>
            <wp:wrapSquare wrapText="bothSides"/>
            <wp:docPr id="15548886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1240" cy="800100"/>
                    </a:xfrm>
                    <a:prstGeom prst="rect">
                      <a:avLst/>
                    </a:prstGeom>
                    <a:noFill/>
                    <a:ln>
                      <a:noFill/>
                    </a:ln>
                  </pic:spPr>
                </pic:pic>
              </a:graphicData>
            </a:graphic>
          </wp:anchor>
        </w:drawing>
      </w:r>
    </w:p>
    <w:p w14:paraId="6E69B374" w14:textId="77777777" w:rsidR="00F64884" w:rsidRPr="00115E3D" w:rsidRDefault="00F64884" w:rsidP="00F64884">
      <w:pPr>
        <w:spacing w:after="0" w:line="240"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Señor</w:t>
      </w:r>
    </w:p>
    <w:p w14:paraId="68166E70" w14:textId="77777777" w:rsidR="00F64884" w:rsidRDefault="00F64884" w:rsidP="00F64884">
      <w:pPr>
        <w:spacing w:after="0" w:line="240" w:lineRule="auto"/>
        <w:rPr>
          <w:rFonts w:ascii="Verdana" w:eastAsia="Calibri" w:hAnsi="Verdana" w:cs="Arial"/>
          <w:b/>
          <w:bCs/>
          <w:color w:val="000000" w:themeColor="text1"/>
          <w:lang w:eastAsia="es-ES"/>
        </w:rPr>
      </w:pPr>
      <w:r w:rsidRPr="00BC181F">
        <w:rPr>
          <w:rFonts w:ascii="Verdana" w:eastAsia="Calibri" w:hAnsi="Verdana" w:cs="Arial"/>
          <w:b/>
          <w:bCs/>
          <w:color w:val="000000" w:themeColor="text1"/>
          <w:lang w:eastAsia="es-ES"/>
        </w:rPr>
        <w:t>Nicolas Galvis Piedrahita</w:t>
      </w:r>
    </w:p>
    <w:p w14:paraId="3F979DEC" w14:textId="77777777" w:rsidR="00F64884" w:rsidRPr="00DF6461" w:rsidRDefault="00F64884" w:rsidP="00F64884">
      <w:pPr>
        <w:spacing w:after="0" w:line="240" w:lineRule="auto"/>
        <w:rPr>
          <w:rFonts w:ascii="Verdana" w:eastAsia="Calibri" w:hAnsi="Verdana" w:cs="Arial"/>
          <w:color w:val="000000" w:themeColor="text1"/>
          <w:lang w:eastAsia="es-ES"/>
        </w:rPr>
      </w:pPr>
      <w:hyperlink r:id="rId12" w:history="1">
        <w:r w:rsidRPr="00DF6461">
          <w:rPr>
            <w:rStyle w:val="Hipervnculo"/>
            <w:rFonts w:ascii="Verdana" w:eastAsia="Calibri" w:hAnsi="Verdana" w:cs="Arial"/>
            <w:lang w:eastAsia="es-ES"/>
          </w:rPr>
          <w:t>ngalvisp@contraloriageneraldecaldas.gov.co</w:t>
        </w:r>
      </w:hyperlink>
      <w:r w:rsidRPr="00DF6461">
        <w:rPr>
          <w:rFonts w:ascii="Verdana" w:eastAsia="Calibri" w:hAnsi="Verdana" w:cs="Arial"/>
          <w:color w:val="000000" w:themeColor="text1"/>
          <w:lang w:eastAsia="es-ES"/>
        </w:rPr>
        <w:t xml:space="preserve"> </w:t>
      </w:r>
    </w:p>
    <w:p w14:paraId="36923B67" w14:textId="77777777" w:rsidR="00F64884" w:rsidRPr="00385D7A" w:rsidRDefault="00F64884" w:rsidP="00F64884">
      <w:pPr>
        <w:spacing w:after="0" w:line="240" w:lineRule="auto"/>
        <w:rPr>
          <w:rFonts w:ascii="Verdana" w:eastAsia="Calibri" w:hAnsi="Verdana" w:cs="Arial"/>
          <w:color w:val="000000" w:themeColor="text1"/>
          <w:lang w:eastAsia="es-ES"/>
        </w:rPr>
      </w:pPr>
      <w:r>
        <w:rPr>
          <w:rFonts w:ascii="Verdana" w:eastAsia="Calibri" w:hAnsi="Verdana" w:cs="Arial"/>
          <w:color w:val="000000" w:themeColor="text1"/>
          <w:lang w:eastAsia="es-ES"/>
        </w:rPr>
        <w:t>Manizales, Caldas</w:t>
      </w:r>
    </w:p>
    <w:p w14:paraId="22FDC200" w14:textId="77777777" w:rsidR="00F64884" w:rsidRPr="00CB7ABE" w:rsidRDefault="00F64884" w:rsidP="00F64884">
      <w:pPr>
        <w:spacing w:after="0" w:line="240" w:lineRule="auto"/>
        <w:rPr>
          <w:rFonts w:ascii="Verdana" w:eastAsia="Calibri" w:hAnsi="Verdana" w:cs="Arial"/>
          <w:b/>
          <w:bCs/>
          <w:color w:val="000000" w:themeColor="text1"/>
          <w:lang w:eastAsia="es-ES_tradnl"/>
        </w:rPr>
      </w:pPr>
    </w:p>
    <w:tbl>
      <w:tblPr>
        <w:tblStyle w:val="Tablaconcuadrcula"/>
        <w:tblW w:w="8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70"/>
        <w:gridCol w:w="6547"/>
      </w:tblGrid>
      <w:tr w:rsidR="00F64884" w:rsidRPr="00115E3D" w14:paraId="603C1F52" w14:textId="77777777" w:rsidTr="00C671FE">
        <w:trPr>
          <w:trHeight w:val="615"/>
        </w:trPr>
        <w:tc>
          <w:tcPr>
            <w:tcW w:w="2270" w:type="dxa"/>
          </w:tcPr>
          <w:p w14:paraId="7C083CD5" w14:textId="77777777" w:rsidR="00F64884" w:rsidRPr="00CB7ABE" w:rsidRDefault="00F64884" w:rsidP="00C671FE">
            <w:pPr>
              <w:jc w:val="both"/>
              <w:rPr>
                <w:rFonts w:ascii="Verdana" w:eastAsia="Calibri" w:hAnsi="Verdana" w:cs="Arial"/>
                <w:b/>
                <w:bCs/>
                <w:color w:val="000000" w:themeColor="text1"/>
                <w:lang w:eastAsia="es-ES_tradnl"/>
              </w:rPr>
            </w:pPr>
          </w:p>
        </w:tc>
        <w:tc>
          <w:tcPr>
            <w:tcW w:w="6547" w:type="dxa"/>
          </w:tcPr>
          <w:p w14:paraId="6312B87B" w14:textId="77777777" w:rsidR="00F64884" w:rsidRPr="008A209A" w:rsidRDefault="00F64884" w:rsidP="00C671FE">
            <w:pPr>
              <w:jc w:val="both"/>
              <w:rPr>
                <w:rFonts w:ascii="Verdana" w:eastAsia="Calibri" w:hAnsi="Verdana" w:cs="Arial"/>
                <w:b/>
                <w:bCs/>
                <w:color w:val="000000" w:themeColor="text1"/>
                <w:lang w:val="es-ES" w:eastAsia="es-ES"/>
              </w:rPr>
            </w:pPr>
            <w:r w:rsidRPr="008A209A">
              <w:rPr>
                <w:rFonts w:ascii="Verdana" w:eastAsia="Calibri" w:hAnsi="Verdana" w:cs="Arial"/>
                <w:b/>
                <w:bCs/>
                <w:color w:val="000000" w:themeColor="text1"/>
                <w:lang w:val="es-ES" w:eastAsia="es-ES"/>
              </w:rPr>
              <w:t xml:space="preserve">Concepto C- </w:t>
            </w:r>
            <w:r>
              <w:rPr>
                <w:rFonts w:ascii="Verdana" w:eastAsia="Calibri" w:hAnsi="Verdana" w:cs="Arial"/>
                <w:b/>
                <w:bCs/>
                <w:color w:val="000000" w:themeColor="text1"/>
                <w:lang w:val="es-ES" w:eastAsia="es-ES"/>
              </w:rPr>
              <w:t>1140</w:t>
            </w:r>
            <w:r w:rsidRPr="008A209A">
              <w:rPr>
                <w:rFonts w:ascii="Verdana" w:eastAsia="Calibri" w:hAnsi="Verdana" w:cs="Arial"/>
                <w:b/>
                <w:bCs/>
                <w:color w:val="000000" w:themeColor="text1"/>
                <w:lang w:val="es-ES" w:eastAsia="es-ES"/>
              </w:rPr>
              <w:t xml:space="preserve"> de 2026</w:t>
            </w:r>
          </w:p>
        </w:tc>
      </w:tr>
      <w:tr w:rsidR="00F64884" w:rsidRPr="007E403E" w14:paraId="5C363010" w14:textId="77777777" w:rsidTr="00C671FE">
        <w:trPr>
          <w:trHeight w:val="1071"/>
        </w:trPr>
        <w:tc>
          <w:tcPr>
            <w:tcW w:w="2270" w:type="dxa"/>
          </w:tcPr>
          <w:p w14:paraId="7D8A886B" w14:textId="77777777" w:rsidR="00F64884" w:rsidRPr="001B36DA" w:rsidRDefault="00F64884" w:rsidP="00C671FE">
            <w:pPr>
              <w:tabs>
                <w:tab w:val="left" w:pos="1224"/>
              </w:tabs>
              <w:jc w:val="both"/>
              <w:rPr>
                <w:rFonts w:ascii="Verdana" w:eastAsia="Calibri" w:hAnsi="Verdana" w:cs="Arial"/>
                <w:color w:val="000000" w:themeColor="text1"/>
                <w:lang w:val="es-ES_tradnl" w:eastAsia="es-ES_tradnl"/>
              </w:rPr>
            </w:pPr>
            <w:r w:rsidRPr="001B36DA">
              <w:rPr>
                <w:rFonts w:ascii="Verdana" w:eastAsia="Calibri" w:hAnsi="Verdana" w:cs="Arial"/>
                <w:b/>
                <w:color w:val="000000" w:themeColor="text1"/>
                <w:lang w:val="es-ES_tradnl" w:eastAsia="es-ES_tradnl"/>
              </w:rPr>
              <w:t>Temas:</w:t>
            </w:r>
            <w:r w:rsidRPr="001B36DA">
              <w:rPr>
                <w:rFonts w:ascii="Verdana" w:eastAsia="Calibri" w:hAnsi="Verdana" w:cs="Arial"/>
                <w:color w:val="000000" w:themeColor="text1"/>
                <w:lang w:val="es-ES_tradnl" w:eastAsia="es-ES_tradnl"/>
              </w:rPr>
              <w:t xml:space="preserve">                   </w:t>
            </w:r>
          </w:p>
        </w:tc>
        <w:tc>
          <w:tcPr>
            <w:tcW w:w="6547" w:type="dxa"/>
          </w:tcPr>
          <w:p w14:paraId="46A065D6" w14:textId="77777777" w:rsidR="00F64884" w:rsidRPr="00134D45" w:rsidRDefault="00F64884" w:rsidP="00C671FE">
            <w:pPr>
              <w:spacing w:line="276" w:lineRule="auto"/>
              <w:contextualSpacing/>
              <w:jc w:val="both"/>
              <w:rPr>
                <w:rFonts w:ascii="Verdana" w:eastAsia="Calibri" w:hAnsi="Verdana" w:cs="Arial"/>
                <w:lang w:val="es-ES" w:eastAsia="es-ES"/>
              </w:rPr>
            </w:pPr>
            <w:r>
              <w:rPr>
                <w:rFonts w:ascii="Verdana" w:eastAsia="Calibri" w:hAnsi="Verdana" w:cs="Arial"/>
                <w:bCs/>
              </w:rPr>
              <w:t xml:space="preserve">RÉGIMEN PRESUPUESTAL Y RÉGIMEN CONTRACTUAL – Conexidad / CERTIFICADO DE DISPONIBILIDAD PRESUPUESTAL – Deber de elaboración – Obligación de las entidades públicas – Etapa precontractual / HECHOS CUMPLIDOS </w:t>
            </w:r>
            <w:r w:rsidRPr="00134D45">
              <w:rPr>
                <w:rFonts w:ascii="Verdana" w:eastAsia="Calibri" w:hAnsi="Verdana" w:cs="Arial"/>
                <w:lang w:val="es-ES" w:eastAsia="es-ES"/>
              </w:rPr>
              <w:t>–</w:t>
            </w:r>
            <w:r>
              <w:rPr>
                <w:rFonts w:ascii="Verdana" w:eastAsia="Calibri" w:hAnsi="Verdana" w:cs="Arial"/>
                <w:lang w:val="es-ES" w:eastAsia="es-ES"/>
              </w:rPr>
              <w:t xml:space="preserve"> Fundamento normativo </w:t>
            </w:r>
            <w:r w:rsidRPr="00134D45">
              <w:rPr>
                <w:rFonts w:ascii="Verdana" w:eastAsia="Calibri" w:hAnsi="Verdana" w:cs="Arial"/>
                <w:lang w:val="es-ES" w:eastAsia="es-ES"/>
              </w:rPr>
              <w:t>–</w:t>
            </w:r>
            <w:r>
              <w:rPr>
                <w:rFonts w:ascii="Verdana" w:eastAsia="Calibri" w:hAnsi="Verdana" w:cs="Arial"/>
                <w:lang w:val="es-ES" w:eastAsia="es-ES"/>
              </w:rPr>
              <w:t xml:space="preserve"> Noción / </w:t>
            </w:r>
            <w:r>
              <w:rPr>
                <w:rFonts w:ascii="Verdana" w:eastAsia="Calibri" w:hAnsi="Verdana" w:cs="Arial"/>
                <w:bCs/>
              </w:rPr>
              <w:t xml:space="preserve">HECHOS CUMPLIDOS </w:t>
            </w:r>
            <w:r w:rsidRPr="00134D45">
              <w:rPr>
                <w:rFonts w:ascii="Verdana" w:eastAsia="Calibri" w:hAnsi="Verdana" w:cs="Arial"/>
                <w:lang w:val="es-ES" w:eastAsia="es-ES"/>
              </w:rPr>
              <w:t>–</w:t>
            </w:r>
            <w:r>
              <w:rPr>
                <w:rFonts w:ascii="Verdana" w:eastAsia="Calibri" w:hAnsi="Verdana" w:cs="Arial"/>
                <w:lang w:val="es-ES" w:eastAsia="es-ES"/>
              </w:rPr>
              <w:t xml:space="preserve"> Enriquecimiento sin justa causa </w:t>
            </w:r>
            <w:r w:rsidRPr="00134D45">
              <w:rPr>
                <w:rFonts w:ascii="Verdana" w:eastAsia="Calibri" w:hAnsi="Verdana" w:cs="Arial"/>
                <w:lang w:val="es-ES" w:eastAsia="es-ES"/>
              </w:rPr>
              <w:t>– Etapa contractual</w:t>
            </w:r>
            <w:r>
              <w:rPr>
                <w:rFonts w:ascii="Verdana" w:eastAsia="Calibri" w:hAnsi="Verdana" w:cs="Arial"/>
                <w:lang w:val="es-ES" w:eastAsia="es-ES"/>
              </w:rPr>
              <w:t xml:space="preserve"> </w:t>
            </w:r>
            <w:r w:rsidRPr="00134D45">
              <w:rPr>
                <w:rFonts w:ascii="Verdana" w:eastAsia="Calibri" w:hAnsi="Verdana" w:cs="Arial"/>
                <w:lang w:val="es-ES" w:eastAsia="es-ES"/>
              </w:rPr>
              <w:t>–</w:t>
            </w:r>
            <w:r>
              <w:rPr>
                <w:rFonts w:ascii="Verdana" w:eastAsia="Calibri" w:hAnsi="Verdana" w:cs="Arial"/>
                <w:lang w:val="es-ES" w:eastAsia="es-ES"/>
              </w:rPr>
              <w:t xml:space="preserve"> Escenarios</w:t>
            </w:r>
            <w:r>
              <w:rPr>
                <w:rFonts w:ascii="Verdana" w:eastAsia="Verdana" w:hAnsi="Verdana" w:cs="Verdana"/>
                <w:color w:val="000000" w:themeColor="text1"/>
                <w:lang w:val="es-ES"/>
              </w:rPr>
              <w:t xml:space="preserve"> / CONTRATO DE TRANSACCIÓN – Noción – Requisitos </w:t>
            </w:r>
            <w:r w:rsidRPr="00C95C71">
              <w:rPr>
                <w:rFonts w:ascii="Verdana" w:eastAsia="Verdana" w:hAnsi="Verdana" w:cs="Verdana"/>
                <w:color w:val="000000" w:themeColor="text1"/>
                <w:lang w:val="es-ES"/>
              </w:rPr>
              <w:t>/ TRANSACCIÓN</w:t>
            </w:r>
            <w:r>
              <w:rPr>
                <w:rFonts w:ascii="Verdana" w:eastAsia="Verdana" w:hAnsi="Verdana" w:cs="Verdana"/>
                <w:color w:val="000000" w:themeColor="text1"/>
                <w:lang w:val="es-ES"/>
              </w:rPr>
              <w:t xml:space="preserve"> EXTRAJUDICIAL – Diferencia – Conciliación</w:t>
            </w:r>
          </w:p>
          <w:p w14:paraId="126F8B0D" w14:textId="77777777" w:rsidR="00F64884" w:rsidRPr="00E7389E" w:rsidRDefault="00F64884" w:rsidP="00C671FE">
            <w:pPr>
              <w:spacing w:line="276" w:lineRule="auto"/>
              <w:jc w:val="both"/>
              <w:rPr>
                <w:rFonts w:ascii="Verdana" w:eastAsia="Calibri" w:hAnsi="Verdana" w:cs="Arial"/>
                <w:color w:val="000000" w:themeColor="text1"/>
                <w:highlight w:val="yellow"/>
                <w:lang w:val="es-ES" w:eastAsia="es-ES"/>
              </w:rPr>
            </w:pPr>
          </w:p>
        </w:tc>
      </w:tr>
      <w:tr w:rsidR="00F64884" w:rsidRPr="00115E3D" w14:paraId="3C669E86" w14:textId="77777777" w:rsidTr="00C671FE">
        <w:trPr>
          <w:trHeight w:val="653"/>
        </w:trPr>
        <w:tc>
          <w:tcPr>
            <w:tcW w:w="2270" w:type="dxa"/>
          </w:tcPr>
          <w:p w14:paraId="25DEB473" w14:textId="77777777" w:rsidR="00F64884" w:rsidRPr="00CB7ABE" w:rsidRDefault="00F64884" w:rsidP="00C671FE">
            <w:pPr>
              <w:jc w:val="both"/>
              <w:rPr>
                <w:rFonts w:ascii="Verdana" w:eastAsia="Calibri" w:hAnsi="Verdana" w:cs="Arial"/>
                <w:b/>
                <w:color w:val="000000" w:themeColor="text1"/>
                <w:lang w:val="es-ES_tradnl" w:eastAsia="es-ES_tradnl"/>
              </w:rPr>
            </w:pPr>
            <w:r w:rsidRPr="00CB7ABE">
              <w:rPr>
                <w:rFonts w:ascii="Verdana" w:eastAsia="Calibri" w:hAnsi="Verdana" w:cs="Arial"/>
                <w:b/>
                <w:color w:val="000000" w:themeColor="text1"/>
                <w:lang w:val="es-ES_tradnl" w:eastAsia="es-ES_tradnl"/>
              </w:rPr>
              <w:t>Radicación:</w:t>
            </w:r>
            <w:r w:rsidRPr="00CB7ABE">
              <w:rPr>
                <w:rFonts w:ascii="Verdana" w:eastAsia="Calibri" w:hAnsi="Verdana" w:cs="Arial"/>
                <w:color w:val="000000" w:themeColor="text1"/>
                <w:lang w:val="es-ES_tradnl" w:eastAsia="es-ES_tradnl"/>
              </w:rPr>
              <w:t xml:space="preserve">           </w:t>
            </w:r>
          </w:p>
        </w:tc>
        <w:tc>
          <w:tcPr>
            <w:tcW w:w="6547" w:type="dxa"/>
          </w:tcPr>
          <w:p w14:paraId="6BBD6310" w14:textId="77777777" w:rsidR="00F64884" w:rsidRPr="00E4271C" w:rsidRDefault="00F64884" w:rsidP="00C671FE">
            <w:pPr>
              <w:ind w:right="1"/>
              <w:jc w:val="both"/>
              <w:rPr>
                <w:rFonts w:ascii="Verdana" w:hAnsi="Verdana"/>
                <w:color w:val="000000"/>
              </w:rPr>
            </w:pPr>
            <w:r w:rsidRPr="00CB7ABE">
              <w:rPr>
                <w:rFonts w:ascii="Verdana" w:eastAsia="Calibri" w:hAnsi="Verdana" w:cs="Arial"/>
                <w:color w:val="000000" w:themeColor="text1"/>
                <w:lang w:val="es-ES_tradnl" w:eastAsia="es-ES_tradnl"/>
              </w:rPr>
              <w:t>Respuesta a consulta con radicado</w:t>
            </w:r>
            <w:r>
              <w:rPr>
                <w:rFonts w:ascii="Verdana" w:eastAsia="Calibri" w:hAnsi="Verdana" w:cs="Arial"/>
                <w:color w:val="000000" w:themeColor="text1"/>
                <w:lang w:val="es-ES_tradnl" w:eastAsia="es-ES_tradnl"/>
              </w:rPr>
              <w:t xml:space="preserve"> No.</w:t>
            </w:r>
            <w:r>
              <w:t xml:space="preserve"> </w:t>
            </w:r>
            <w:r w:rsidRPr="00C50251">
              <w:rPr>
                <w:rFonts w:ascii="Verdana" w:eastAsia="Calibri" w:hAnsi="Verdana" w:cs="Arial"/>
                <w:color w:val="000000" w:themeColor="text1"/>
                <w:lang w:val="es-ES_tradnl" w:eastAsia="es-ES_tradnl"/>
              </w:rPr>
              <w:t>1_2026_07_16_009405</w:t>
            </w:r>
            <w:r>
              <w:rPr>
                <w:rFonts w:ascii="Verdana" w:eastAsia="Calibri" w:hAnsi="Verdana" w:cs="Arial"/>
                <w:color w:val="000000" w:themeColor="text1"/>
                <w:lang w:val="es-ES_tradnl" w:eastAsia="es-ES_tradnl"/>
              </w:rPr>
              <w:t xml:space="preserve"> </w:t>
            </w:r>
          </w:p>
          <w:p w14:paraId="5B8E3AFF" w14:textId="77777777" w:rsidR="00F64884" w:rsidRDefault="00F64884" w:rsidP="00C671FE">
            <w:pPr>
              <w:ind w:right="1"/>
              <w:jc w:val="both"/>
              <w:rPr>
                <w:rFonts w:ascii="Verdana" w:hAnsi="Verdana"/>
                <w:color w:val="000000"/>
              </w:rPr>
            </w:pPr>
          </w:p>
          <w:p w14:paraId="7A7A2EE9" w14:textId="77777777" w:rsidR="00F64884" w:rsidRPr="00CB7ABE" w:rsidRDefault="00F64884" w:rsidP="00C671FE">
            <w:pPr>
              <w:ind w:right="1"/>
              <w:jc w:val="both"/>
              <w:rPr>
                <w:rFonts w:ascii="Verdana" w:hAnsi="Verdana"/>
                <w:color w:val="000000"/>
              </w:rPr>
            </w:pPr>
          </w:p>
        </w:tc>
      </w:tr>
    </w:tbl>
    <w:p w14:paraId="47DC5A83" w14:textId="77777777" w:rsidR="00F64884" w:rsidRPr="00115E3D" w:rsidRDefault="00F64884" w:rsidP="00F64884">
      <w:pPr>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o</w:t>
      </w:r>
      <w:r w:rsidRPr="00115E3D">
        <w:rPr>
          <w:rFonts w:ascii="Verdana" w:eastAsia="Calibri" w:hAnsi="Verdana" w:cs="Arial"/>
          <w:color w:val="000000" w:themeColor="text1"/>
          <w:lang w:val="es-ES" w:eastAsia="es-ES"/>
        </w:rPr>
        <w:t xml:space="preserve"> señor</w:t>
      </w:r>
      <w:r>
        <w:rPr>
          <w:rFonts w:ascii="Verdana" w:eastAsia="Calibri" w:hAnsi="Verdana" w:cs="Arial"/>
          <w:color w:val="000000" w:themeColor="text1"/>
          <w:lang w:val="es-ES" w:eastAsia="es-ES"/>
        </w:rPr>
        <w:t xml:space="preserve"> Galvis:</w:t>
      </w:r>
    </w:p>
    <w:p w14:paraId="6B8939A4" w14:textId="77777777" w:rsidR="00F64884" w:rsidRPr="00115E3D" w:rsidRDefault="00F64884" w:rsidP="00F64884">
      <w:pPr>
        <w:tabs>
          <w:tab w:val="left" w:pos="3768"/>
        </w:tabs>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ab/>
      </w:r>
    </w:p>
    <w:p w14:paraId="0A75318E" w14:textId="77777777" w:rsidR="00F64884" w:rsidRPr="00115E3D" w:rsidRDefault="00F64884" w:rsidP="00F64884">
      <w:pPr>
        <w:spacing w:after="0" w:line="276" w:lineRule="auto"/>
        <w:jc w:val="both"/>
        <w:rPr>
          <w:rFonts w:ascii="Verdana" w:eastAsia="Calibri" w:hAnsi="Verdana" w:cs="Arial"/>
          <w:color w:val="000000" w:themeColor="text1"/>
          <w:lang w:val="es-ES" w:eastAsia="es-ES"/>
        </w:rPr>
      </w:pPr>
      <w:r>
        <w:rPr>
          <w:rFonts w:ascii="Verdana" w:eastAsia="Calibri" w:hAnsi="Verdana" w:cs="Arial"/>
          <w:lang w:eastAsia="es-ES"/>
        </w:rPr>
        <w:t>En ejercicio de la competencia otorgada por los artículos 3, numeral 5º, y 11, numeral 8º, del Decreto Ley 4170 de 2011,</w:t>
      </w:r>
      <w:r>
        <w:rPr>
          <w:rFonts w:ascii="Verdana" w:eastAsia="Arial MT" w:hAnsi="Verdana" w:cs="Arial MT"/>
          <w:lang w:eastAsia="es-ES"/>
        </w:rPr>
        <w:t xml:space="preserve"> </w:t>
      </w:r>
      <w:r>
        <w:rPr>
          <w:rFonts w:ascii="Verdana" w:hAnsi="Verdana" w:cs="Arial"/>
          <w:lang w:val="es-ES_tradnl"/>
        </w:rPr>
        <w:t>así como lo establecido en</w:t>
      </w:r>
      <w:r>
        <w:rPr>
          <w:rFonts w:ascii="Verdana" w:hAnsi="Verdana" w:cs="Arial"/>
        </w:rPr>
        <w:t xml:space="preserve"> la Resolución 469 de 2025 expedida por esta Entidad, </w:t>
      </w:r>
      <w:r>
        <w:rPr>
          <w:rFonts w:ascii="Verdana" w:eastAsia="Calibri" w:hAnsi="Verdana" w:cs="Arial"/>
          <w:lang w:eastAsia="es-ES"/>
        </w:rPr>
        <w:t xml:space="preserve">la Agencia Nacional de Contratación Pública – Colombia Compra Eficiente– </w:t>
      </w:r>
      <w:r w:rsidRPr="00115E3D">
        <w:rPr>
          <w:rFonts w:ascii="Verdana" w:eastAsia="Calibri" w:hAnsi="Verdana" w:cs="Arial"/>
          <w:color w:val="000000" w:themeColor="text1"/>
          <w:lang w:val="es-ES" w:eastAsia="es-ES"/>
        </w:rPr>
        <w:t>responde su solicitud</w:t>
      </w:r>
      <w:r>
        <w:rPr>
          <w:rFonts w:ascii="Verdana" w:eastAsia="Calibri" w:hAnsi="Verdana" w:cs="Arial"/>
          <w:color w:val="000000" w:themeColor="text1"/>
          <w:lang w:val="es-ES" w:eastAsia="es-ES"/>
        </w:rPr>
        <w:t xml:space="preserve"> radicada ante esta entidad el 16 de julio de 2026 </w:t>
      </w:r>
      <w:r w:rsidRPr="00115E3D">
        <w:rPr>
          <w:rFonts w:ascii="Verdana" w:eastAsia="Calibri" w:hAnsi="Verdana" w:cs="Arial"/>
          <w:color w:val="000000" w:themeColor="text1"/>
          <w:lang w:val="es-ES" w:eastAsia="es-ES"/>
        </w:rPr>
        <w:t xml:space="preserve">en la cual manifiesta lo siguiente: </w:t>
      </w:r>
    </w:p>
    <w:p w14:paraId="4CFADA7E" w14:textId="77777777" w:rsidR="00F64884" w:rsidRDefault="00F64884" w:rsidP="00F64884">
      <w:pPr>
        <w:spacing w:after="0" w:line="240" w:lineRule="auto"/>
        <w:ind w:left="709" w:right="709"/>
        <w:jc w:val="both"/>
        <w:rPr>
          <w:rFonts w:ascii="Verdana" w:eastAsia="Century Gothic" w:hAnsi="Verdana" w:cs="Century Gothic"/>
          <w:i/>
          <w:iCs/>
          <w:color w:val="000000" w:themeColor="text1"/>
          <w:sz w:val="20"/>
          <w:szCs w:val="20"/>
          <w:lang w:val="es-ES"/>
        </w:rPr>
      </w:pPr>
      <w:bookmarkStart w:id="1" w:name="_Hlk95313578"/>
    </w:p>
    <w:bookmarkEnd w:id="1"/>
    <w:p w14:paraId="4E9CFFAB" w14:textId="77777777" w:rsidR="00F64884" w:rsidRPr="00E62701" w:rsidRDefault="00F64884" w:rsidP="00F64884">
      <w:pPr>
        <w:tabs>
          <w:tab w:val="left" w:pos="993"/>
        </w:tabs>
        <w:spacing w:line="240" w:lineRule="auto"/>
        <w:ind w:left="709" w:right="709"/>
        <w:jc w:val="both"/>
        <w:rPr>
          <w:rFonts w:ascii="Verdana" w:eastAsia="Century Gothic" w:hAnsi="Verdana" w:cs="Century Gothic"/>
          <w:color w:val="000000" w:themeColor="text1"/>
          <w:sz w:val="20"/>
          <w:szCs w:val="20"/>
          <w:lang w:val="es-MX"/>
        </w:rPr>
      </w:pPr>
      <w:r w:rsidRPr="00E62701">
        <w:rPr>
          <w:rFonts w:ascii="Verdana" w:eastAsia="Century Gothic" w:hAnsi="Verdana" w:cs="Century Gothic"/>
          <w:color w:val="000000" w:themeColor="text1"/>
          <w:sz w:val="20"/>
          <w:szCs w:val="20"/>
          <w:lang w:val="es-MX"/>
        </w:rPr>
        <w:t>1. ¿En cuáles circunstancias relacionadas con la actividad contractual pública pueden configurarse hechos cumplidos presupuestales?</w:t>
      </w:r>
    </w:p>
    <w:p w14:paraId="78093289" w14:textId="77777777" w:rsidR="00F64884" w:rsidRPr="00E62701" w:rsidRDefault="00F64884" w:rsidP="00F64884">
      <w:pPr>
        <w:tabs>
          <w:tab w:val="left" w:pos="851"/>
          <w:tab w:val="left" w:pos="993"/>
        </w:tabs>
        <w:spacing w:after="0" w:line="240" w:lineRule="auto"/>
        <w:ind w:left="709" w:right="709"/>
        <w:jc w:val="both"/>
        <w:rPr>
          <w:rFonts w:ascii="Verdana" w:eastAsia="Century Gothic" w:hAnsi="Verdana" w:cs="Century Gothic"/>
          <w:color w:val="000000" w:themeColor="text1"/>
          <w:sz w:val="20"/>
          <w:szCs w:val="20"/>
          <w:lang w:val="es-MX"/>
        </w:rPr>
      </w:pPr>
      <w:r w:rsidRPr="00E62701">
        <w:rPr>
          <w:rFonts w:ascii="Verdana" w:eastAsia="Century Gothic" w:hAnsi="Verdana" w:cs="Century Gothic"/>
          <w:color w:val="000000" w:themeColor="text1"/>
          <w:sz w:val="20"/>
          <w:szCs w:val="20"/>
          <w:lang w:val="es-MX"/>
        </w:rPr>
        <w:t>2. ¿La configuración de un hecho cumplido puede comprometer penalmente al funcionario responsable? ¿en cuál delito podría incurrir?</w:t>
      </w:r>
    </w:p>
    <w:p w14:paraId="13E4B5CC" w14:textId="77777777" w:rsidR="00F64884" w:rsidRPr="00E62701" w:rsidRDefault="00F64884" w:rsidP="00F64884">
      <w:pPr>
        <w:tabs>
          <w:tab w:val="left" w:pos="851"/>
          <w:tab w:val="left" w:pos="993"/>
        </w:tabs>
        <w:spacing w:after="0" w:line="240" w:lineRule="auto"/>
        <w:ind w:left="709" w:right="709"/>
        <w:jc w:val="both"/>
        <w:rPr>
          <w:rFonts w:ascii="Verdana" w:eastAsia="Century Gothic" w:hAnsi="Verdana" w:cs="Century Gothic"/>
          <w:color w:val="000000" w:themeColor="text1"/>
          <w:sz w:val="20"/>
          <w:szCs w:val="20"/>
          <w:lang w:val="es-MX"/>
        </w:rPr>
      </w:pPr>
    </w:p>
    <w:p w14:paraId="481F08AF" w14:textId="77777777" w:rsidR="00F64884" w:rsidRPr="00E62701" w:rsidRDefault="00F64884" w:rsidP="00F64884">
      <w:pPr>
        <w:tabs>
          <w:tab w:val="left" w:pos="993"/>
        </w:tabs>
        <w:spacing w:after="0" w:line="240" w:lineRule="auto"/>
        <w:ind w:left="709" w:right="709"/>
        <w:jc w:val="both"/>
        <w:rPr>
          <w:rFonts w:ascii="Verdana" w:eastAsia="Century Gothic" w:hAnsi="Verdana" w:cs="Century Gothic"/>
          <w:color w:val="000000" w:themeColor="text1"/>
          <w:sz w:val="20"/>
          <w:szCs w:val="20"/>
          <w:lang w:val="es-MX"/>
        </w:rPr>
      </w:pPr>
      <w:r w:rsidRPr="00E62701">
        <w:rPr>
          <w:rFonts w:ascii="Verdana" w:eastAsia="Century Gothic" w:hAnsi="Verdana" w:cs="Century Gothic"/>
          <w:color w:val="000000" w:themeColor="text1"/>
          <w:sz w:val="20"/>
          <w:szCs w:val="20"/>
          <w:lang w:val="es-MX"/>
        </w:rPr>
        <w:lastRenderedPageBreak/>
        <w:t>3. En materia de contratación estatal ¿son equiparables el contrato de transacción y la conciliación? ¿en qué se diferencian?</w:t>
      </w:r>
    </w:p>
    <w:p w14:paraId="699CF68A" w14:textId="77777777" w:rsidR="00F64884" w:rsidRPr="00E62701" w:rsidRDefault="00F64884" w:rsidP="00F64884">
      <w:pPr>
        <w:tabs>
          <w:tab w:val="left" w:pos="993"/>
        </w:tabs>
        <w:spacing w:after="0" w:line="240" w:lineRule="auto"/>
        <w:ind w:left="709" w:right="709"/>
        <w:jc w:val="both"/>
        <w:rPr>
          <w:rFonts w:ascii="Verdana" w:eastAsia="Century Gothic" w:hAnsi="Verdana" w:cs="Century Gothic"/>
          <w:color w:val="000000" w:themeColor="text1"/>
          <w:sz w:val="20"/>
          <w:szCs w:val="20"/>
          <w:lang w:val="es-MX"/>
        </w:rPr>
      </w:pPr>
    </w:p>
    <w:p w14:paraId="45AB0B96" w14:textId="77777777" w:rsidR="00F64884" w:rsidRPr="00E62701" w:rsidRDefault="00F64884" w:rsidP="00F64884">
      <w:pPr>
        <w:tabs>
          <w:tab w:val="left" w:pos="851"/>
          <w:tab w:val="left" w:pos="993"/>
        </w:tabs>
        <w:spacing w:after="0" w:line="240" w:lineRule="auto"/>
        <w:ind w:left="709" w:right="709"/>
        <w:jc w:val="both"/>
        <w:rPr>
          <w:rFonts w:ascii="Verdana" w:eastAsia="Century Gothic" w:hAnsi="Verdana" w:cs="Century Gothic"/>
          <w:color w:val="000000" w:themeColor="text1"/>
          <w:sz w:val="20"/>
          <w:szCs w:val="20"/>
          <w:lang w:val="es-MX"/>
        </w:rPr>
      </w:pPr>
      <w:r w:rsidRPr="00E62701">
        <w:rPr>
          <w:rFonts w:ascii="Verdana" w:eastAsia="Century Gothic" w:hAnsi="Verdana" w:cs="Century Gothic"/>
          <w:color w:val="000000" w:themeColor="text1"/>
          <w:sz w:val="20"/>
          <w:szCs w:val="20"/>
          <w:lang w:val="es-MX"/>
        </w:rPr>
        <w:t>4. ¿Previo a la suscripción de un contrato de transacción por una entidad o empresa oficial se debe contar con CDP?</w:t>
      </w:r>
    </w:p>
    <w:p w14:paraId="4DE85235" w14:textId="77777777" w:rsidR="00F64884" w:rsidRPr="00E62701" w:rsidRDefault="00F64884" w:rsidP="00F64884">
      <w:pPr>
        <w:tabs>
          <w:tab w:val="left" w:pos="851"/>
          <w:tab w:val="left" w:pos="993"/>
        </w:tabs>
        <w:spacing w:after="0" w:line="240" w:lineRule="auto"/>
        <w:ind w:left="720" w:right="709"/>
        <w:jc w:val="both"/>
        <w:rPr>
          <w:rFonts w:ascii="Verdana" w:eastAsia="Century Gothic" w:hAnsi="Verdana" w:cs="Century Gothic"/>
          <w:color w:val="000000" w:themeColor="text1"/>
          <w:sz w:val="20"/>
          <w:szCs w:val="20"/>
          <w:lang w:val="es-MX"/>
        </w:rPr>
      </w:pPr>
    </w:p>
    <w:p w14:paraId="64A6977D" w14:textId="77777777" w:rsidR="00F64884" w:rsidRPr="00E62701" w:rsidRDefault="00F64884" w:rsidP="00F64884">
      <w:pPr>
        <w:tabs>
          <w:tab w:val="left" w:pos="851"/>
          <w:tab w:val="left" w:pos="993"/>
        </w:tabs>
        <w:spacing w:after="0" w:line="240" w:lineRule="auto"/>
        <w:ind w:left="720" w:right="709"/>
        <w:jc w:val="both"/>
        <w:rPr>
          <w:rFonts w:ascii="Verdana" w:eastAsia="Century Gothic" w:hAnsi="Verdana" w:cs="Century Gothic"/>
          <w:color w:val="000000" w:themeColor="text1"/>
          <w:sz w:val="20"/>
          <w:szCs w:val="20"/>
          <w:lang w:val="es-MX"/>
        </w:rPr>
      </w:pPr>
      <w:r w:rsidRPr="00E62701">
        <w:rPr>
          <w:rFonts w:ascii="Verdana" w:eastAsia="Century Gothic" w:hAnsi="Verdana" w:cs="Century Gothic"/>
          <w:color w:val="000000" w:themeColor="text1"/>
          <w:sz w:val="20"/>
          <w:szCs w:val="20"/>
          <w:lang w:val="es-MX"/>
        </w:rPr>
        <w:t>5. Si en la transacción una empresa oficial adquiere obligaciones condicionales ¿es correcto que no se expida un único RP, sino varios en la medida en que vayan ocurriendo las condiciones que vuelven exigibles las obligaciones?</w:t>
      </w:r>
    </w:p>
    <w:p w14:paraId="660E8740" w14:textId="77777777" w:rsidR="00F64884" w:rsidRPr="00E62701" w:rsidRDefault="00F64884" w:rsidP="00F64884">
      <w:pPr>
        <w:tabs>
          <w:tab w:val="left" w:pos="851"/>
          <w:tab w:val="left" w:pos="993"/>
        </w:tabs>
        <w:spacing w:after="0" w:line="240" w:lineRule="auto"/>
        <w:ind w:left="720" w:right="709"/>
        <w:jc w:val="both"/>
        <w:rPr>
          <w:rFonts w:ascii="Verdana" w:eastAsia="Century Gothic" w:hAnsi="Verdana" w:cs="Century Gothic"/>
          <w:color w:val="000000" w:themeColor="text1"/>
          <w:sz w:val="20"/>
          <w:szCs w:val="20"/>
          <w:lang w:val="es-MX"/>
        </w:rPr>
      </w:pPr>
    </w:p>
    <w:p w14:paraId="56679138" w14:textId="77777777" w:rsidR="00F64884" w:rsidRPr="00E62701" w:rsidRDefault="00F64884" w:rsidP="00F64884">
      <w:pPr>
        <w:tabs>
          <w:tab w:val="left" w:pos="993"/>
        </w:tabs>
        <w:spacing w:after="0" w:line="240" w:lineRule="auto"/>
        <w:ind w:left="720" w:right="709"/>
        <w:jc w:val="both"/>
        <w:rPr>
          <w:rFonts w:ascii="Verdana" w:eastAsia="Century Gothic" w:hAnsi="Verdana" w:cs="Century Gothic"/>
          <w:color w:val="000000" w:themeColor="text1"/>
          <w:sz w:val="20"/>
          <w:szCs w:val="20"/>
          <w:lang w:val="es-MX"/>
        </w:rPr>
      </w:pPr>
      <w:r w:rsidRPr="00E62701">
        <w:rPr>
          <w:rFonts w:ascii="Verdana" w:eastAsia="Century Gothic" w:hAnsi="Verdana" w:cs="Century Gothic"/>
          <w:color w:val="000000" w:themeColor="text1"/>
          <w:sz w:val="20"/>
          <w:szCs w:val="20"/>
          <w:lang w:val="es-MX"/>
        </w:rPr>
        <w:t>6. Si entre los compromisos que adquiere la empresa oficial con la transacción hay algunos que se vuelven exigibles en la siguiente vigencia ¿es viable que se libere el CDP constituido antes de que termine el año y que en el año siguiente se constituya uno nuevo para proceder al pago? ¿qué ocurre si esas obligaciones no quedan en las cuentas por pagar?</w:t>
      </w:r>
    </w:p>
    <w:p w14:paraId="5E3AEB8E" w14:textId="77777777" w:rsidR="00F64884" w:rsidRPr="00E62701" w:rsidRDefault="00F64884" w:rsidP="00F64884">
      <w:pPr>
        <w:tabs>
          <w:tab w:val="left" w:pos="993"/>
        </w:tabs>
        <w:spacing w:after="0" w:line="240" w:lineRule="auto"/>
        <w:ind w:left="720" w:right="709"/>
        <w:jc w:val="both"/>
        <w:rPr>
          <w:rFonts w:ascii="Verdana" w:eastAsia="Century Gothic" w:hAnsi="Verdana" w:cs="Century Gothic"/>
          <w:color w:val="000000" w:themeColor="text1"/>
          <w:sz w:val="20"/>
          <w:szCs w:val="20"/>
          <w:lang w:val="es-MX"/>
        </w:rPr>
      </w:pPr>
    </w:p>
    <w:p w14:paraId="156B9B1A" w14:textId="77777777" w:rsidR="00F64884" w:rsidRPr="00E62701" w:rsidRDefault="00F64884" w:rsidP="00F64884">
      <w:pPr>
        <w:tabs>
          <w:tab w:val="left" w:pos="993"/>
        </w:tabs>
        <w:spacing w:after="0" w:line="240" w:lineRule="auto"/>
        <w:ind w:left="720" w:right="709"/>
        <w:jc w:val="both"/>
        <w:rPr>
          <w:rFonts w:ascii="Verdana" w:eastAsia="Century Gothic" w:hAnsi="Verdana" w:cs="Century Gothic"/>
          <w:color w:val="000000" w:themeColor="text1"/>
          <w:sz w:val="20"/>
          <w:szCs w:val="20"/>
          <w:lang w:val="es-MX"/>
        </w:rPr>
      </w:pPr>
      <w:r w:rsidRPr="00E62701">
        <w:rPr>
          <w:rFonts w:ascii="Verdana" w:eastAsia="Century Gothic" w:hAnsi="Verdana" w:cs="Century Gothic"/>
          <w:color w:val="000000" w:themeColor="text1"/>
          <w:sz w:val="20"/>
          <w:szCs w:val="20"/>
          <w:lang w:val="es-MX"/>
        </w:rPr>
        <w:t xml:space="preserve">7. ¿Los documentos de la actividad contractual de los contratos de transacción también deben ser publicados en el </w:t>
      </w:r>
      <w:proofErr w:type="spellStart"/>
      <w:r w:rsidRPr="00E62701">
        <w:rPr>
          <w:rFonts w:ascii="Verdana" w:eastAsia="Century Gothic" w:hAnsi="Verdana" w:cs="Century Gothic"/>
          <w:color w:val="000000" w:themeColor="text1"/>
          <w:sz w:val="20"/>
          <w:szCs w:val="20"/>
          <w:lang w:val="es-MX"/>
        </w:rPr>
        <w:t>Secop</w:t>
      </w:r>
      <w:proofErr w:type="spellEnd"/>
      <w:r w:rsidRPr="00E62701">
        <w:rPr>
          <w:rFonts w:ascii="Verdana" w:eastAsia="Century Gothic" w:hAnsi="Verdana" w:cs="Century Gothic"/>
          <w:color w:val="000000" w:themeColor="text1"/>
          <w:sz w:val="20"/>
          <w:szCs w:val="20"/>
          <w:lang w:val="es-MX"/>
        </w:rPr>
        <w:t xml:space="preserve"> y rendidos en la plataforma de SIA Observa?”</w:t>
      </w:r>
    </w:p>
    <w:p w14:paraId="5C29F93A" w14:textId="77777777" w:rsidR="00F64884" w:rsidRDefault="00F64884" w:rsidP="00F64884">
      <w:pPr>
        <w:spacing w:after="0" w:line="240" w:lineRule="auto"/>
        <w:ind w:left="709" w:right="709"/>
        <w:jc w:val="both"/>
        <w:rPr>
          <w:rFonts w:ascii="Verdana" w:eastAsia="Century Gothic" w:hAnsi="Verdana" w:cs="Century Gothic"/>
          <w:i/>
          <w:iCs/>
          <w:color w:val="000000" w:themeColor="text1"/>
          <w:sz w:val="20"/>
          <w:szCs w:val="20"/>
        </w:rPr>
      </w:pPr>
    </w:p>
    <w:p w14:paraId="514B1C88" w14:textId="77777777" w:rsidR="00F64884" w:rsidRDefault="00F64884" w:rsidP="00F64884">
      <w:pPr>
        <w:spacing w:after="0" w:line="240" w:lineRule="auto"/>
        <w:ind w:left="709" w:right="709"/>
        <w:jc w:val="both"/>
        <w:rPr>
          <w:rFonts w:ascii="Verdana" w:eastAsia="Century Gothic" w:hAnsi="Verdana" w:cs="Century Gothic"/>
          <w:i/>
          <w:iCs/>
          <w:color w:val="000000" w:themeColor="text1"/>
          <w:sz w:val="20"/>
          <w:szCs w:val="20"/>
        </w:rPr>
      </w:pPr>
    </w:p>
    <w:p w14:paraId="49926DEA" w14:textId="77777777" w:rsidR="00F64884" w:rsidRPr="00115E3D" w:rsidRDefault="00F64884" w:rsidP="00F55A74">
      <w:pPr>
        <w:spacing w:after="120" w:line="276" w:lineRule="auto"/>
        <w:ind w:right="51" w:firstLine="709"/>
        <w:jc w:val="both"/>
        <w:rPr>
          <w:rFonts w:ascii="Verdana" w:eastAsia="Calibri" w:hAnsi="Verdana" w:cs="Arial"/>
          <w:color w:val="000000" w:themeColor="text1"/>
          <w:szCs w:val="24"/>
          <w:lang w:val="es-ES_tradnl" w:eastAsia="es-ES_tradnl"/>
        </w:rPr>
      </w:pPr>
      <w:r w:rsidRPr="00115E3D">
        <w:rPr>
          <w:rFonts w:ascii="Verdana" w:eastAsia="Calibri" w:hAnsi="Verdana" w:cs="Arial"/>
          <w:color w:val="000000" w:themeColor="text1"/>
          <w:lang w:val="es-ES" w:eastAsia="es-ES"/>
        </w:rPr>
        <w:t>De manera preliminar, resulta necesario acotar que esta entidad solo tiene competencia para responder consultas sobre la aplicación de normas de carác</w:t>
      </w:r>
      <w:r>
        <w:rPr>
          <w:rFonts w:ascii="Verdana" w:eastAsia="Calibri" w:hAnsi="Verdana" w:cs="Arial"/>
          <w:color w:val="000000" w:themeColor="text1"/>
          <w:lang w:val="es-ES" w:eastAsia="es-ES"/>
        </w:rPr>
        <w:t>t</w:t>
      </w:r>
      <w:r w:rsidRPr="00115E3D">
        <w:rPr>
          <w:rFonts w:ascii="Verdana" w:eastAsia="Calibri" w:hAnsi="Verdana" w:cs="Arial"/>
          <w:color w:val="000000" w:themeColor="text1"/>
          <w:lang w:val="es-ES" w:eastAsia="es-ES"/>
        </w:rPr>
        <w:t xml:space="preserve">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15E3D">
        <w:rPr>
          <w:rFonts w:ascii="Verdana" w:eastAsia="Calibri" w:hAnsi="Verdana" w:cs="Arial"/>
          <w:color w:val="000000" w:themeColor="text1"/>
          <w:szCs w:val="24"/>
          <w:lang w:val="es-ES_tradnl" w:eastAsia="es-ES_tradnl"/>
        </w:rPr>
        <w:tab/>
      </w:r>
    </w:p>
    <w:p w14:paraId="118F820D" w14:textId="77777777" w:rsidR="00F64884" w:rsidRPr="00115E3D" w:rsidRDefault="00F64884" w:rsidP="00F55A74">
      <w:pPr>
        <w:spacing w:after="120" w:line="276" w:lineRule="auto"/>
        <w:ind w:firstLine="709"/>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w:t>
      </w:r>
      <w:r>
        <w:rPr>
          <w:rFonts w:ascii="Verdana" w:eastAsia="Calibri" w:hAnsi="Verdana" w:cs="Arial"/>
          <w:color w:val="000000" w:themeColor="text1"/>
          <w:lang w:val="es-ES" w:eastAsia="es-ES"/>
        </w:rPr>
        <w:t xml:space="preserve"> </w:t>
      </w:r>
      <w:r w:rsidRPr="00115E3D">
        <w:rPr>
          <w:rFonts w:ascii="Verdana" w:eastAsia="Calibri" w:hAnsi="Verdana" w:cs="Arial"/>
          <w:color w:val="000000" w:themeColor="text1"/>
          <w:lang w:val="es-ES" w:eastAsia="es-ES"/>
        </w:rPr>
        <w:t xml:space="preserve">jurídico de su consulta. </w:t>
      </w:r>
    </w:p>
    <w:p w14:paraId="497CF09C" w14:textId="77777777" w:rsidR="00F64884" w:rsidRPr="00115E3D" w:rsidRDefault="00F64884" w:rsidP="00F64884">
      <w:pPr>
        <w:spacing w:after="0" w:line="276" w:lineRule="auto"/>
        <w:ind w:firstLine="709"/>
        <w:jc w:val="both"/>
        <w:rPr>
          <w:rFonts w:ascii="Verdana" w:eastAsia="Calibri" w:hAnsi="Verdana" w:cs="Arial"/>
          <w:color w:val="000000" w:themeColor="text1"/>
          <w:lang w:val="es-ES" w:eastAsia="es-ES"/>
        </w:rPr>
      </w:pPr>
    </w:p>
    <w:p w14:paraId="592759E0" w14:textId="77777777" w:rsidR="00F64884" w:rsidRPr="00115E3D" w:rsidRDefault="00F64884" w:rsidP="00F64884">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Problema planteado:</w:t>
      </w:r>
    </w:p>
    <w:p w14:paraId="55AFD1F9" w14:textId="77777777" w:rsidR="00F64884" w:rsidRPr="00115E3D" w:rsidRDefault="00F64884" w:rsidP="00F64884">
      <w:pPr>
        <w:tabs>
          <w:tab w:val="left" w:pos="426"/>
        </w:tabs>
        <w:spacing w:after="0" w:line="276" w:lineRule="auto"/>
        <w:jc w:val="both"/>
        <w:rPr>
          <w:rFonts w:ascii="Verdana" w:eastAsia="Century Gothic" w:hAnsi="Verdana" w:cs="Century Gothic"/>
          <w:color w:val="000000" w:themeColor="text1"/>
          <w:lang w:val="es-ES"/>
        </w:rPr>
      </w:pPr>
    </w:p>
    <w:p w14:paraId="55171100" w14:textId="77777777" w:rsidR="00F64884" w:rsidRPr="00843B35" w:rsidRDefault="00F64884" w:rsidP="00F64884">
      <w:pPr>
        <w:spacing w:after="0" w:line="276" w:lineRule="auto"/>
        <w:jc w:val="both"/>
        <w:rPr>
          <w:rFonts w:ascii="Verdana" w:eastAsia="Verdana" w:hAnsi="Verdana" w:cs="Verdana"/>
        </w:rPr>
      </w:pPr>
      <w:r w:rsidRPr="00115E3D">
        <w:rPr>
          <w:rFonts w:ascii="Verdana" w:eastAsia="Century Gothic" w:hAnsi="Verdana" w:cs="Century Gothic"/>
          <w:color w:val="000000" w:themeColor="text1"/>
        </w:rPr>
        <w:t xml:space="preserve">De acuerdo con el contenido de su solicitud, esta Agencia resolverá </w:t>
      </w:r>
      <w:r>
        <w:rPr>
          <w:rFonts w:ascii="Verdana" w:eastAsia="Century Gothic" w:hAnsi="Verdana" w:cs="Century Gothic"/>
          <w:color w:val="000000" w:themeColor="text1"/>
        </w:rPr>
        <w:t>los</w:t>
      </w:r>
      <w:r w:rsidRPr="00115E3D">
        <w:rPr>
          <w:rFonts w:ascii="Verdana" w:eastAsia="Century Gothic" w:hAnsi="Verdana" w:cs="Century Gothic"/>
          <w:color w:val="000000" w:themeColor="text1"/>
        </w:rPr>
        <w:t xml:space="preserve"> siguiente</w:t>
      </w:r>
      <w:r>
        <w:rPr>
          <w:rFonts w:ascii="Verdana" w:eastAsia="Century Gothic" w:hAnsi="Verdana" w:cs="Century Gothic"/>
          <w:color w:val="000000" w:themeColor="text1"/>
        </w:rPr>
        <w:t>s</w:t>
      </w:r>
      <w:r w:rsidRPr="00115E3D">
        <w:rPr>
          <w:rFonts w:ascii="Verdana" w:eastAsia="Century Gothic" w:hAnsi="Verdana" w:cs="Century Gothic"/>
          <w:color w:val="000000" w:themeColor="text1"/>
        </w:rPr>
        <w:t xml:space="preserve"> problema</w:t>
      </w:r>
      <w:r>
        <w:rPr>
          <w:rFonts w:ascii="Verdana" w:eastAsia="Century Gothic" w:hAnsi="Verdana" w:cs="Century Gothic"/>
          <w:color w:val="000000" w:themeColor="text1"/>
        </w:rPr>
        <w:t>s</w:t>
      </w:r>
      <w:r w:rsidRPr="00115E3D">
        <w:rPr>
          <w:rFonts w:ascii="Verdana" w:eastAsia="Century Gothic" w:hAnsi="Verdana" w:cs="Century Gothic"/>
          <w:color w:val="000000" w:themeColor="text1"/>
        </w:rPr>
        <w:t xml:space="preserve"> jurídico</w:t>
      </w:r>
      <w:r>
        <w:rPr>
          <w:rFonts w:ascii="Verdana" w:eastAsia="Century Gothic" w:hAnsi="Verdana" w:cs="Century Gothic"/>
          <w:color w:val="000000" w:themeColor="text1"/>
        </w:rPr>
        <w:t>s</w:t>
      </w:r>
      <w:r w:rsidRPr="00115E3D">
        <w:rPr>
          <w:rFonts w:ascii="Verdana" w:eastAsia="Century Gothic" w:hAnsi="Verdana" w:cs="Century Gothic"/>
          <w:color w:val="000000" w:themeColor="text1"/>
        </w:rPr>
        <w:t>:</w:t>
      </w:r>
      <w:r w:rsidRPr="00946693">
        <w:t xml:space="preserve"> </w:t>
      </w:r>
      <w:r w:rsidRPr="005E15F5">
        <w:rPr>
          <w:rFonts w:ascii="Verdana" w:eastAsia="Century Gothic" w:hAnsi="Verdana" w:cs="Century Gothic"/>
          <w:color w:val="000000" w:themeColor="text1"/>
        </w:rPr>
        <w:t xml:space="preserve">i) ¿Cuándo puede configurarse un hecho cumplido en la contratación estatal y qué responsabilidades genera para el funcionario responsable?; </w:t>
      </w:r>
      <w:proofErr w:type="spellStart"/>
      <w:r w:rsidRPr="005E15F5">
        <w:rPr>
          <w:rFonts w:ascii="Verdana" w:eastAsia="Century Gothic" w:hAnsi="Verdana" w:cs="Century Gothic"/>
          <w:color w:val="000000" w:themeColor="text1"/>
        </w:rPr>
        <w:t>ii</w:t>
      </w:r>
      <w:proofErr w:type="spellEnd"/>
      <w:r w:rsidRPr="005E15F5">
        <w:rPr>
          <w:rFonts w:ascii="Verdana" w:eastAsia="Century Gothic" w:hAnsi="Verdana" w:cs="Century Gothic"/>
          <w:color w:val="000000" w:themeColor="text1"/>
        </w:rPr>
        <w:t xml:space="preserve">) ¿son equiparables el contrato de transacción y la conciliación en materia de contratación estatal?; </w:t>
      </w:r>
      <w:proofErr w:type="spellStart"/>
      <w:r w:rsidRPr="005E15F5">
        <w:rPr>
          <w:rFonts w:ascii="Verdana" w:eastAsia="Century Gothic" w:hAnsi="Verdana" w:cs="Century Gothic"/>
          <w:color w:val="000000" w:themeColor="text1"/>
        </w:rPr>
        <w:t>iii</w:t>
      </w:r>
      <w:proofErr w:type="spellEnd"/>
      <w:r w:rsidRPr="005E15F5">
        <w:rPr>
          <w:rFonts w:ascii="Verdana" w:eastAsia="Century Gothic" w:hAnsi="Verdana" w:cs="Century Gothic"/>
          <w:color w:val="000000" w:themeColor="text1"/>
        </w:rPr>
        <w:t xml:space="preserve">) ¿debe contarse con disponibilidad presupuestal previa a la celebración de una transacción que reconozca obligaciones a cargo de la entidad, y qué instrumentos presupuestales resultan aplicables cuando dichas obligaciones se atienden en vigencias distintas?; y </w:t>
      </w:r>
      <w:proofErr w:type="spellStart"/>
      <w:r w:rsidRPr="005E15F5">
        <w:rPr>
          <w:rFonts w:ascii="Verdana" w:eastAsia="Century Gothic" w:hAnsi="Verdana" w:cs="Century Gothic"/>
          <w:color w:val="000000" w:themeColor="text1"/>
        </w:rPr>
        <w:t>iv</w:t>
      </w:r>
      <w:proofErr w:type="spellEnd"/>
      <w:r w:rsidRPr="005E15F5">
        <w:rPr>
          <w:rFonts w:ascii="Verdana" w:eastAsia="Century Gothic" w:hAnsi="Verdana" w:cs="Century Gothic"/>
          <w:color w:val="000000" w:themeColor="text1"/>
        </w:rPr>
        <w:t xml:space="preserve">) ¿los contratos de transacción deben publicarse en el SECOP? </w:t>
      </w:r>
    </w:p>
    <w:p w14:paraId="70F41B24" w14:textId="77777777" w:rsidR="00F64884" w:rsidRDefault="00F64884" w:rsidP="00F64884">
      <w:pPr>
        <w:spacing w:after="0" w:line="276" w:lineRule="auto"/>
        <w:jc w:val="both"/>
        <w:rPr>
          <w:rFonts w:ascii="Verdana" w:eastAsia="Verdana" w:hAnsi="Verdana" w:cs="Verdana"/>
          <w:lang w:val="es-ES"/>
        </w:rPr>
      </w:pPr>
    </w:p>
    <w:p w14:paraId="5FC234BA" w14:textId="77777777" w:rsidR="00F64884" w:rsidRPr="00115E3D" w:rsidRDefault="00F64884" w:rsidP="00F64884">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Respuesta:</w:t>
      </w:r>
    </w:p>
    <w:p w14:paraId="386DBF21" w14:textId="77777777" w:rsidR="00F64884" w:rsidRPr="00115E3D" w:rsidRDefault="00F64884" w:rsidP="00F64884">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64884" w:rsidRPr="00115E3D" w14:paraId="0C737D02" w14:textId="77777777" w:rsidTr="00C671FE">
        <w:trPr>
          <w:trHeight w:val="774"/>
        </w:trPr>
        <w:tc>
          <w:tcPr>
            <w:tcW w:w="8828" w:type="dxa"/>
          </w:tcPr>
          <w:p w14:paraId="654A1C9E" w14:textId="77777777" w:rsidR="00F64884" w:rsidRDefault="00F64884" w:rsidP="00C671FE">
            <w:pPr>
              <w:spacing w:before="120" w:after="120" w:line="276" w:lineRule="auto"/>
              <w:jc w:val="both"/>
              <w:rPr>
                <w:rFonts w:ascii="Verdana" w:eastAsia="Times New Roman" w:hAnsi="Verdana" w:cs="Arial"/>
                <w:lang w:eastAsia="es-MX"/>
              </w:rPr>
            </w:pPr>
            <w:r w:rsidRPr="002B0196">
              <w:rPr>
                <w:rFonts w:ascii="Verdana" w:eastAsia="Times New Roman" w:hAnsi="Verdana" w:cs="Arial"/>
                <w:lang w:eastAsia="es-MX"/>
              </w:rPr>
              <w:t xml:space="preserve">i. El Estatuto General de Contratación de la Administración Pública no contiene una regulación específica sobre los hechos cumplidos. Aunque el artículo 25 de la Ley 80 de 1993, en desarrollo del principio de economía, impone contar con el certificado de disponibilidad presupuestal antes de dar inicio al procedimiento de selección, dicha disposición no define el concepto ni fija los supuestos en que se configura, de modo que su reconocimiento normativo se encuentra en el régimen presupuestal, cuyas disposiciones proscriben adquirir obligaciones y afectar el presupuesto sin el lleno de los requisitos legales, con incidencia directa en la contratación estatal. </w:t>
            </w:r>
          </w:p>
          <w:p w14:paraId="6738CC1D" w14:textId="77777777" w:rsidR="00F64884" w:rsidRPr="002B0196" w:rsidRDefault="00F64884" w:rsidP="00C671FE">
            <w:pPr>
              <w:spacing w:before="120" w:after="120" w:line="276" w:lineRule="auto"/>
              <w:ind w:firstLine="709"/>
              <w:jc w:val="both"/>
              <w:rPr>
                <w:rFonts w:ascii="Verdana" w:eastAsia="Times New Roman" w:hAnsi="Verdana" w:cs="Arial"/>
                <w:lang w:eastAsia="es-MX"/>
              </w:rPr>
            </w:pPr>
            <w:r w:rsidRPr="002B0196">
              <w:rPr>
                <w:rFonts w:ascii="Verdana" w:eastAsia="Times New Roman" w:hAnsi="Verdana" w:cs="Arial"/>
                <w:lang w:eastAsia="es-MX"/>
              </w:rPr>
              <w:t xml:space="preserve">Así, del artículo 71 del Decreto 111 de 1996 se desprende que la afectación del presupuesto está condicionada a que toda obligación cuente con el certificado de disponibilidad y el registro presupuestal que formaliza el compromiso de los recursos, y tanto el artículo 14 de la Ley 2342 de 2025 como los artículos 2.6.6.2.10, 2.10.1.5.3.10 y 2.8.3.2.9 del Decreto 1068 de 2015 contemplan expresamente el tratamiento presupuestal de los hechos cumplidos al prohibir tramitar actos u obligaciones que afecten el presupuesto de gastos cuando no reúnan los requisitos legales o se configuren como tales. De ahí que el hecho cumplido tenga un origen eminentemente presupuestal, aunque produzca efectos directos en la contratación estatal, relación que se refleja en el artículo 25 —que exige disponibilidades presupuestales antes de </w:t>
            </w:r>
            <w:r w:rsidRPr="002B0196">
              <w:rPr>
                <w:rFonts w:ascii="Verdana" w:eastAsia="Times New Roman" w:hAnsi="Verdana" w:cs="Arial"/>
                <w:lang w:eastAsia="es-MX"/>
              </w:rPr>
              <w:lastRenderedPageBreak/>
              <w:t>iniciar los procedimientos de selección— y en el artículo 41 de la misma ley —que somete el perfeccionamiento y la ejecución del contrato a la solemnidad escrita y a las disponibilidades correspondientes—. En atención al desarrollo jurisprudencial y doctrinal, el hecho cumplido corresponde a la ejecución de prestaciones en beneficio de una entidad estatal sin el cumplimiento de los requisitos presupuestales y contractuales previstos, y su configuración se presenta principalmente en dos escenarios: el primero, cuando se ejecutan obras o se suministran bienes o servicios sin contrato estatal perfeccionado, esto es, sin la solemnidad escrita del artículo 41, evento en el cual el reconocimiento solo procede en los términos fijados por las sentencias de unificación del Consejo de Estado sobre enriquecimiento sin justa causa; y el segundo, cuando, existiendo contrato debidamente celebrado, este carece del respaldo presupuestal de la obligación o durante su ejecución se reciben prestaciones adicionales que exceden el alcance pactado pero guardan relación directa con el objeto, sin haberse surtido previamente los procedimientos contractuales y presupuestales. En cualquiera de estos escenarios no se exime de la responsabilidad penal, disciplinaria y fiscal que corresponde al funcionario encargado.</w:t>
            </w:r>
          </w:p>
          <w:p w14:paraId="08FB51E6" w14:textId="77777777" w:rsidR="00F64884" w:rsidRPr="002B0196" w:rsidRDefault="00F64884" w:rsidP="00C671FE">
            <w:pPr>
              <w:spacing w:before="120" w:after="120" w:line="276" w:lineRule="auto"/>
              <w:jc w:val="both"/>
              <w:rPr>
                <w:rFonts w:ascii="Verdana" w:eastAsia="Times New Roman" w:hAnsi="Verdana" w:cs="Arial"/>
                <w:lang w:eastAsia="es-MX"/>
              </w:rPr>
            </w:pPr>
            <w:proofErr w:type="spellStart"/>
            <w:r w:rsidRPr="002B0196">
              <w:rPr>
                <w:rFonts w:ascii="Verdana" w:eastAsia="Times New Roman" w:hAnsi="Verdana" w:cs="Arial"/>
                <w:lang w:eastAsia="es-MX"/>
              </w:rPr>
              <w:t>ii</w:t>
            </w:r>
            <w:proofErr w:type="spellEnd"/>
            <w:r w:rsidRPr="002B0196">
              <w:rPr>
                <w:rFonts w:ascii="Verdana" w:eastAsia="Times New Roman" w:hAnsi="Verdana" w:cs="Arial"/>
                <w:lang w:eastAsia="es-MX"/>
              </w:rPr>
              <w:t xml:space="preserve">. La transacción y la conciliación no son figuras equiparables. Si bien ambas son mecanismos autocompositivos que comparten la finalidad de solucionar las discrepancias originadas en la actividad contractual, presentan diferencias sustanciales: la transacción es un negocio jurídico accesorio a la relación contractual que le da origen, orientado a regular las consecuencias de una controversia surgida en su ejecución; mientras que la conciliación es un mecanismo alternativo en el que interviene un tercero neutral, investido de funciones legalmente previstas, para facilitar el acuerdo y verificar su conformidad con el ordenamiento. En esa línea, el Consejo de Estado, en auto del 22 de mayo de 2026, distinguió ambas instituciones y precisó que la transacción, conforme al artículo 2469 del Código Civil, es un contrato mediante el cual las partes, sin intervención de un tercero, terminan extrajudicialmente un litigio pendiente o precaven uno eventual, de manera que, si las partes llegan a un acuerdo por fuera del proceso sin intervención del Ministerio Público y del juez en calidad de conciliador, no es posible predicar la existencia de una conciliación, con independencia de la denominación que le den al acuerdo. La diferencia sustancial radica, entonces, en la necesaria intervención de un tercero imparcial investido de funciones legales para dirigir </w:t>
            </w:r>
            <w:r w:rsidRPr="002B0196">
              <w:rPr>
                <w:rFonts w:ascii="Verdana" w:eastAsia="Times New Roman" w:hAnsi="Verdana" w:cs="Arial"/>
                <w:lang w:eastAsia="es-MX"/>
              </w:rPr>
              <w:lastRenderedPageBreak/>
              <w:t>el trámite, de modo que la naturaleza jurídica del mecanismo no depende de la denominación que las partes otorguen al acuerdo, sino de la concurrencia de los elementos propios de cada institución.</w:t>
            </w:r>
          </w:p>
          <w:p w14:paraId="2C81A478" w14:textId="77777777" w:rsidR="00F64884" w:rsidRPr="002B0196" w:rsidRDefault="00F64884" w:rsidP="00C671FE">
            <w:pPr>
              <w:spacing w:before="120" w:after="120" w:line="276" w:lineRule="auto"/>
              <w:jc w:val="both"/>
              <w:rPr>
                <w:rFonts w:ascii="Verdana" w:eastAsia="Times New Roman" w:hAnsi="Verdana" w:cs="Arial"/>
                <w:lang w:eastAsia="es-MX"/>
              </w:rPr>
            </w:pPr>
            <w:proofErr w:type="spellStart"/>
            <w:r w:rsidRPr="002B0196">
              <w:rPr>
                <w:rFonts w:ascii="Verdana" w:eastAsia="Times New Roman" w:hAnsi="Verdana" w:cs="Arial"/>
                <w:lang w:eastAsia="es-MX"/>
              </w:rPr>
              <w:t>iii</w:t>
            </w:r>
            <w:proofErr w:type="spellEnd"/>
            <w:r w:rsidRPr="002B0196">
              <w:rPr>
                <w:rFonts w:ascii="Verdana" w:eastAsia="Times New Roman" w:hAnsi="Verdana" w:cs="Arial"/>
                <w:lang w:eastAsia="es-MX"/>
              </w:rPr>
              <w:t>. Sí. Cuando la transacción implique el reconocimiento de obligaciones económicas a cargo de la entidad, esta debe contar, de forma previa a su suscripción, con el respectivo certificado de disponibilidad presupuestal, como manifestación del principio de legalidad del gasto público (artículos 345 a 347 de la Constitución, artículo 71 del Decreto 111 de 1996 y numeral 6 del artículo 25 de la Ley 80 de 1993). En cambio, si la transacción se limita a extinguir obligaciones sin comprometer nuevas apropiaciones a cargo de la entidad, no se genera el deber de expedir el certificado. El régimen presupuestal aplicable dependerá, además, de la naturaleza de la entidad, pues las empresas industriales y comerciales del Estado y las sociedades de economía mixta asimiladas se rigen por el Decreto 115 de 1996. Ahora bien, la definición concreta sobre la expedición de uno o varios registros presupuestales frente a obligaciones condicionales, la liberación del certificado de disponibilidad entre vigencias y el tratamiento de las obligaciones que no queden incorporadas en cuentas por pagar corresponde al ámbito del Estatuto Orgánico del Presupuesto, cuya interpretación autorizada radica en el Ministerio de Hacienda y Crédito Público, ante quien deberá elevarse la consulta respectiva, por exceder la competencia funcional de esta Agencia.</w:t>
            </w:r>
          </w:p>
          <w:p w14:paraId="048F671D" w14:textId="77777777" w:rsidR="00F64884" w:rsidRPr="005000BD" w:rsidRDefault="00F64884" w:rsidP="00C671FE">
            <w:pPr>
              <w:spacing w:after="120" w:line="276" w:lineRule="auto"/>
              <w:jc w:val="both"/>
              <w:rPr>
                <w:rFonts w:ascii="Verdana" w:eastAsia="Calibri" w:hAnsi="Verdana" w:cs="Arial"/>
                <w:lang w:val="es-ES"/>
              </w:rPr>
            </w:pPr>
            <w:proofErr w:type="spellStart"/>
            <w:r w:rsidRPr="002B0196">
              <w:rPr>
                <w:rFonts w:ascii="Verdana" w:eastAsia="Times New Roman" w:hAnsi="Verdana" w:cs="Arial"/>
                <w:lang w:eastAsia="es-MX"/>
              </w:rPr>
              <w:t>iv</w:t>
            </w:r>
            <w:proofErr w:type="spellEnd"/>
            <w:r w:rsidRPr="002B0196">
              <w:rPr>
                <w:rFonts w:ascii="Verdana" w:eastAsia="Times New Roman" w:hAnsi="Verdana" w:cs="Arial"/>
                <w:lang w:eastAsia="es-MX"/>
              </w:rPr>
              <w:t>. El contrato de transacción debe publicarse en el SECOP. De conformidad con el literal c) del artículo 3 de la Ley 1150 de 2007 y con los literales e) del artículo 9 y g) del artículo 11 de la Ley 1712 de 2014, y en los términos de los artículos 2.1.1.2.1.7 del Decreto 1081 de 2015 y 2.2.1.1.1.7.1 del Decreto 1082 de 2015, la información oficial de la contratación realizada con dineros públicos —dentro de la cual se inscribe la transacción como parte de la gestión contractual— debe publicarse en dicho sistema. Lo anterior sin perjuicio de que, cuando el contrato de transacción o sus anexos contengan datos sensibles o información reservada, la entidad deba abstenerse de publicar esa información y darle el tratamiento del artículo 36 del CPACA, incluyéndola en cuaderno separado.</w:t>
            </w:r>
          </w:p>
        </w:tc>
      </w:tr>
    </w:tbl>
    <w:p w14:paraId="458F756A" w14:textId="77777777" w:rsidR="00F64884" w:rsidRDefault="00F64884" w:rsidP="00F64884">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2B984C7C" w14:textId="77777777" w:rsidR="00F64884" w:rsidRDefault="00F64884" w:rsidP="00F64884">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Razones de la respuesta:</w:t>
      </w:r>
    </w:p>
    <w:p w14:paraId="0CBAF6E2" w14:textId="77777777" w:rsidR="00F64884" w:rsidRPr="00115E3D" w:rsidRDefault="00F64884" w:rsidP="00F64884">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7B9DFAAA" w14:textId="77777777" w:rsidR="00F64884" w:rsidRDefault="00F64884" w:rsidP="00F64884">
      <w:pPr>
        <w:spacing w:after="120" w:line="276" w:lineRule="auto"/>
        <w:jc w:val="both"/>
        <w:rPr>
          <w:rFonts w:ascii="Verdana" w:eastAsia="Times New Roman" w:hAnsi="Verdana" w:cs="Arial"/>
          <w:color w:val="1A1A1A" w:themeColor="background1" w:themeShade="1A"/>
          <w:lang w:val="es-ES" w:eastAsia="es-ES_tradnl"/>
        </w:rPr>
      </w:pPr>
      <w:bookmarkStart w:id="2" w:name="_Hlk204856061"/>
      <w:bookmarkStart w:id="3" w:name="_Hlk78820161"/>
      <w:r>
        <w:rPr>
          <w:rFonts w:ascii="Verdana" w:eastAsia="Times New Roman" w:hAnsi="Verdana" w:cs="Arial"/>
          <w:color w:val="1A1A1A" w:themeColor="background1" w:themeShade="1A"/>
          <w:lang w:val="es-ES" w:eastAsia="es-ES_tradnl"/>
        </w:rPr>
        <w:lastRenderedPageBreak/>
        <w:t xml:space="preserve">i. El presupuesto de una Entidad Estatal está compuesto por los recursos públicos en dinero y su distribución efectiva para viabilizar el cumplimiento de las funciones que la ley le ha señalado a cada organismo del Estado. Para la debida asignación y distribución de los recursos públicos, las Entidades deben cumplir los procedimientos señalados en las normas para su correcta ejecución, observando la regulación presupuestal, donde se establecen diferentes requisitos que comportan deberes ineludibles que tienen como finalidad el control del gasto. Una forma de ejecutar el presupuesto consiste en la celebración de contratos estatales, con la finalidad de adquirir o ejecutar bienes, obras o servicios requeridos para satisfacer las necesidades de las Entidades Estatales. </w:t>
      </w:r>
    </w:p>
    <w:p w14:paraId="76A63F4B" w14:textId="77777777" w:rsidR="00F64884" w:rsidRDefault="00F64884" w:rsidP="00F64884">
      <w:pPr>
        <w:spacing w:after="120" w:line="276" w:lineRule="auto"/>
        <w:ind w:firstLine="709"/>
        <w:jc w:val="both"/>
        <w:rPr>
          <w:rFonts w:ascii="Verdana" w:eastAsia="Times New Roman" w:hAnsi="Verdana" w:cs="Arial"/>
          <w:color w:val="1A1A1A" w:themeColor="background1" w:themeShade="1A"/>
          <w:lang w:eastAsia="es-ES_tradnl"/>
        </w:rPr>
      </w:pPr>
      <w:r>
        <w:rPr>
          <w:rFonts w:ascii="Verdana" w:eastAsia="Times New Roman" w:hAnsi="Verdana" w:cs="Arial"/>
          <w:color w:val="1A1A1A" w:themeColor="background1" w:themeShade="1A"/>
          <w:lang w:val="es-ES" w:eastAsia="es-ES_tradnl"/>
        </w:rPr>
        <w:t xml:space="preserve">En este sentido, </w:t>
      </w:r>
      <w:r>
        <w:rPr>
          <w:rFonts w:ascii="Verdana" w:eastAsia="Times New Roman" w:hAnsi="Verdana" w:cs="Arial"/>
          <w:color w:val="1A1A1A" w:themeColor="background1" w:themeShade="1A"/>
          <w:lang w:eastAsia="es-ES_tradnl"/>
        </w:rPr>
        <w:t>es evidente la interdependencia entre el régimen de contratación estatal y el régimen presupuestal, en la medida en que toda actuación contractual de las entidades públicas debe estar respaldada por una disponibilidad de recursos debidamente apropiada en el presupuesto. Ello implica que la celebración de los contratos, están condicionados por las reglas fiscales y los principios presupuestales, porque la contratación pública no puede concebirse de manera aislada del marco presupuestal. Así lo ha señalado el Consejo de Estado al explicar que es inocultable la conexión material que existe entre estos dos regímenes y “parte de la importancia consiste en que a través de los contratos se ejecuta la mayor parte del presupuesto público, representando otra suma importante el pago de la deuda pública –que se adquiere por medio de contratos de crédito- y los gastos de funcionamiento –incluye salarios y prestaciones sociales-. Esta simple proporción refleja la importancia que tiene el presupuesto para la contratación estatal y, a la inversa, la contratación estatal para el presupuesto</w:t>
      </w:r>
      <w:r>
        <w:rPr>
          <w:rStyle w:val="Refdenotaalpie"/>
          <w:rFonts w:ascii="Verdana" w:eastAsia="Times New Roman" w:hAnsi="Verdana" w:cs="Arial"/>
          <w:color w:val="1A1A1A" w:themeColor="background1" w:themeShade="1A"/>
          <w:lang w:eastAsia="es-ES_tradnl"/>
        </w:rPr>
        <w:footnoteReference w:id="2"/>
      </w:r>
      <w:r>
        <w:rPr>
          <w:rFonts w:ascii="Verdana" w:eastAsia="Times New Roman" w:hAnsi="Verdana" w:cs="Arial"/>
          <w:color w:val="1A1A1A" w:themeColor="background1" w:themeShade="1A"/>
          <w:lang w:eastAsia="es-ES_tradnl"/>
        </w:rPr>
        <w:t>”.</w:t>
      </w:r>
    </w:p>
    <w:p w14:paraId="62D7240B" w14:textId="77777777" w:rsidR="00F64884" w:rsidRPr="00361C54" w:rsidRDefault="00F64884" w:rsidP="00F64884">
      <w:pPr>
        <w:spacing w:after="120" w:line="276" w:lineRule="auto"/>
        <w:ind w:firstLine="709"/>
        <w:jc w:val="both"/>
        <w:rPr>
          <w:rFonts w:ascii="Verdana" w:eastAsia="Times New Roman" w:hAnsi="Verdana" w:cs="Arial"/>
          <w:color w:val="1A1A1A" w:themeColor="background1" w:themeShade="1A"/>
          <w:lang w:eastAsia="es-ES_tradnl"/>
        </w:rPr>
      </w:pPr>
      <w:r w:rsidRPr="00BC1770">
        <w:rPr>
          <w:rFonts w:ascii="Verdana" w:eastAsia="Calibri" w:hAnsi="Verdana" w:cs="Arial"/>
          <w:bCs/>
          <w:lang w:val="es-ES"/>
        </w:rPr>
        <w:t>En desarrollo de lo anterior, los artículos 345, 346 y 347 de la Constitución Política establece los principios esenciales que rigen el presupuesto público y que gobiernan el régimen contenido en el Estatuto Orgánico del Presupuesto –EOP–</w:t>
      </w:r>
      <w:r w:rsidRPr="00BC1770">
        <w:rPr>
          <w:rStyle w:val="Refdenotaalpie"/>
          <w:rFonts w:ascii="Verdana" w:eastAsia="Calibri" w:hAnsi="Verdana" w:cs="Arial"/>
          <w:lang w:val="es-ES"/>
        </w:rPr>
        <w:footnoteReference w:id="3"/>
      </w:r>
      <w:r w:rsidRPr="00BC1770">
        <w:rPr>
          <w:rFonts w:ascii="Verdana" w:eastAsia="Calibri" w:hAnsi="Verdana" w:cs="Arial"/>
          <w:bCs/>
          <w:lang w:val="es-ES"/>
        </w:rPr>
        <w:t xml:space="preserve">. Entre estos presupuestos esenciales, la Corte Constitucional ha explicado que </w:t>
      </w:r>
      <w:r w:rsidRPr="00BC1770">
        <w:rPr>
          <w:rFonts w:ascii="Verdana" w:eastAsia="Calibri" w:hAnsi="Verdana" w:cs="Arial"/>
          <w:bCs/>
          <w:lang w:val="es-ES"/>
        </w:rPr>
        <w:lastRenderedPageBreak/>
        <w:t xml:space="preserve">la </w:t>
      </w:r>
      <w:r w:rsidRPr="00BC1770">
        <w:rPr>
          <w:rFonts w:ascii="Verdana" w:eastAsia="Calibri" w:hAnsi="Verdana" w:cs="Arial"/>
          <w:bCs/>
          <w:i/>
          <w:iCs/>
          <w:lang w:val="es-ES"/>
        </w:rPr>
        <w:t xml:space="preserve">disponibilidad presupuestal </w:t>
      </w:r>
      <w:r w:rsidRPr="00BC1770">
        <w:rPr>
          <w:rFonts w:ascii="Verdana" w:eastAsia="Calibri" w:hAnsi="Verdana" w:cs="Arial"/>
          <w:bCs/>
          <w:lang w:val="es-ES"/>
        </w:rPr>
        <w:t xml:space="preserve">constituye un instrumento protector del principio constitucional de la legalidad del gasto público, al respecto señaló que: </w:t>
      </w:r>
    </w:p>
    <w:p w14:paraId="728EA750" w14:textId="77777777" w:rsidR="00F64884" w:rsidRPr="00FB1B6B" w:rsidRDefault="00F64884" w:rsidP="00F64884">
      <w:pPr>
        <w:spacing w:after="0" w:line="276" w:lineRule="auto"/>
        <w:ind w:left="709" w:right="709"/>
        <w:jc w:val="both"/>
        <w:rPr>
          <w:rFonts w:ascii="Verdana" w:eastAsia="Calibri" w:hAnsi="Verdana" w:cs="Arial"/>
          <w:lang w:val="es-ES"/>
        </w:rPr>
      </w:pPr>
    </w:p>
    <w:p w14:paraId="65B5A8CA" w14:textId="77777777" w:rsidR="00F64884" w:rsidRPr="00FB1B6B" w:rsidRDefault="00F64884" w:rsidP="00F64884">
      <w:pPr>
        <w:spacing w:after="0" w:line="240" w:lineRule="auto"/>
        <w:ind w:left="709" w:right="709"/>
        <w:jc w:val="both"/>
        <w:rPr>
          <w:rFonts w:ascii="Verdana" w:eastAsia="Calibri" w:hAnsi="Verdana" w:cs="Arial"/>
          <w:sz w:val="20"/>
          <w:szCs w:val="20"/>
          <w:lang w:val="es-ES"/>
        </w:rPr>
      </w:pPr>
      <w:r w:rsidRPr="00FB1B6B">
        <w:rPr>
          <w:rFonts w:ascii="Verdana" w:eastAsia="Calibri" w:hAnsi="Verdana" w:cs="Arial"/>
          <w:sz w:val="20"/>
          <w:szCs w:val="20"/>
          <w:lang w:val="es-ES"/>
        </w:rPr>
        <w:t>“[e]n relación con la exigencia de disponibilidad presupuestal, ella hace parte del principio de legalidad del gasto público, estableciendo en los artículos 345, 346 y 347 de la Constitución Política, […] la disponibilidad se concibe como un instrumento mediante el cual se busca prevenir o evitar que el gasto sea realizado por encima del monto máximo autorizado por la correspondiente ley anual del presupuesto durante su ejecución. […]</w:t>
      </w:r>
      <w:r w:rsidRPr="00FB1B6B">
        <w:rPr>
          <w:rFonts w:ascii="Verdana" w:eastAsia="Calibri" w:hAnsi="Verdana" w:cs="Arial"/>
          <w:i/>
          <w:sz w:val="20"/>
          <w:szCs w:val="20"/>
          <w:lang w:val="es-ES"/>
        </w:rPr>
        <w:t>”</w:t>
      </w:r>
      <w:r w:rsidRPr="00FB1B6B">
        <w:rPr>
          <w:rStyle w:val="Refdenotaalpie"/>
          <w:rFonts w:ascii="Verdana" w:eastAsia="Calibri" w:hAnsi="Verdana" w:cs="Arial"/>
          <w:sz w:val="20"/>
          <w:szCs w:val="20"/>
          <w:lang w:val="es-ES"/>
        </w:rPr>
        <w:footnoteReference w:id="4"/>
      </w:r>
      <w:r w:rsidRPr="00FB1B6B">
        <w:rPr>
          <w:rFonts w:ascii="Verdana" w:eastAsia="Calibri" w:hAnsi="Verdana" w:cs="Arial"/>
          <w:sz w:val="20"/>
          <w:szCs w:val="20"/>
          <w:lang w:val="es-ES"/>
        </w:rPr>
        <w:t>.</w:t>
      </w:r>
    </w:p>
    <w:p w14:paraId="051929A0" w14:textId="77777777" w:rsidR="00F64884" w:rsidRPr="00FB1B6B" w:rsidRDefault="00F64884" w:rsidP="00F64884">
      <w:pPr>
        <w:spacing w:after="0" w:line="276" w:lineRule="auto"/>
        <w:ind w:left="709" w:right="709"/>
        <w:jc w:val="both"/>
        <w:rPr>
          <w:rFonts w:ascii="Verdana" w:eastAsia="Calibri" w:hAnsi="Verdana" w:cs="Arial"/>
          <w:lang w:val="es-ES"/>
        </w:rPr>
      </w:pPr>
    </w:p>
    <w:p w14:paraId="315E833E" w14:textId="77777777" w:rsidR="00F64884" w:rsidRPr="00BC1770" w:rsidRDefault="00F64884" w:rsidP="00F64884">
      <w:pPr>
        <w:spacing w:after="0" w:line="276" w:lineRule="auto"/>
        <w:ind w:firstLine="708"/>
        <w:jc w:val="both"/>
        <w:rPr>
          <w:rFonts w:ascii="Verdana" w:eastAsia="Calibri" w:hAnsi="Verdana" w:cs="Arial"/>
          <w:lang w:val="es-ES"/>
        </w:rPr>
      </w:pPr>
      <w:r w:rsidRPr="00BC1770">
        <w:rPr>
          <w:rFonts w:ascii="Verdana" w:eastAsia="Calibri" w:hAnsi="Verdana" w:cs="Arial"/>
          <w:bCs/>
          <w:lang w:val="es-ES"/>
        </w:rPr>
        <w:t xml:space="preserve">De esta forma, según el marco jurídico y la interpretación realizada por la jurisprudencia constitucional, las entidades del Estado tienen el </w:t>
      </w:r>
      <w:r w:rsidRPr="00BC1770">
        <w:rPr>
          <w:rFonts w:ascii="Verdana" w:eastAsia="Calibri" w:hAnsi="Verdana" w:cs="Arial"/>
          <w:bCs/>
          <w:i/>
          <w:iCs/>
          <w:lang w:val="es-ES"/>
        </w:rPr>
        <w:t>deber</w:t>
      </w:r>
      <w:r w:rsidRPr="00BC1770">
        <w:rPr>
          <w:rFonts w:ascii="Verdana" w:eastAsia="Calibri" w:hAnsi="Verdana" w:cs="Arial"/>
          <w:bCs/>
          <w:lang w:val="es-ES"/>
        </w:rPr>
        <w:t xml:space="preserve"> de contar con la disponibilidad de recursos para asumir gastos u obligaciones. Esta obligación es una expresión del principio de legalidad del gasto público que se enmarca en el mandato constitucional de la legalidad de las actuaciones públicas y que permea todo el régimen regulado por el</w:t>
      </w:r>
      <w:r w:rsidRPr="00BC1770">
        <w:rPr>
          <w:rFonts w:ascii="Verdana" w:eastAsia="Calibri" w:hAnsi="Verdana" w:cs="Arial"/>
          <w:lang w:val="es-ES"/>
        </w:rPr>
        <w:t xml:space="preserve"> Estatuto Orgánico del Presupuesto</w:t>
      </w:r>
      <w:r w:rsidRPr="00BC1770">
        <w:rPr>
          <w:rFonts w:ascii="Verdana" w:eastAsia="Calibri" w:hAnsi="Verdana" w:cs="Arial"/>
          <w:bCs/>
          <w:lang w:val="es-ES"/>
        </w:rPr>
        <w:t xml:space="preserve">. En materia contractual, su cumplimiento se refleja necesariamente mediante la expedición del </w:t>
      </w:r>
      <w:r w:rsidRPr="00BC1770">
        <w:rPr>
          <w:rFonts w:ascii="Verdana" w:eastAsia="Calibri" w:hAnsi="Verdana" w:cs="Arial"/>
          <w:lang w:val="es-ES"/>
        </w:rPr>
        <w:t xml:space="preserve">Certificado de Disponibilidad Presupuestal </w:t>
      </w:r>
      <w:r w:rsidRPr="00BC1770">
        <w:rPr>
          <w:rFonts w:ascii="Verdana" w:eastAsia="Times New Roman" w:hAnsi="Verdana" w:cs="Arial"/>
          <w:color w:val="1A1A1A" w:themeColor="background1" w:themeShade="1A"/>
          <w:lang w:val="es-ES" w:eastAsia="es-ES_tradnl"/>
        </w:rPr>
        <w:t>(CDP)</w:t>
      </w:r>
      <w:r w:rsidRPr="00BC1770">
        <w:rPr>
          <w:rFonts w:ascii="Verdana" w:eastAsia="Calibri" w:hAnsi="Verdana" w:cs="Arial"/>
          <w:lang w:val="es-ES"/>
        </w:rPr>
        <w:t xml:space="preserve"> de forma </w:t>
      </w:r>
      <w:r w:rsidRPr="00BC1770">
        <w:rPr>
          <w:rFonts w:ascii="Verdana" w:eastAsia="Calibri" w:hAnsi="Verdana" w:cs="Arial"/>
          <w:i/>
          <w:iCs/>
          <w:lang w:val="es-ES"/>
        </w:rPr>
        <w:t>previa</w:t>
      </w:r>
      <w:r w:rsidRPr="00BC1770">
        <w:rPr>
          <w:rFonts w:ascii="Verdana" w:eastAsia="Calibri" w:hAnsi="Verdana" w:cs="Arial"/>
          <w:lang w:val="es-ES"/>
        </w:rPr>
        <w:t xml:space="preserve"> a que la entidad asuma obligaciones o compromisos de este tipo, como una garantía de la existencia de recursos suficientes para atender los gastos que serán asumidos por el Estado durante la ejecución.</w:t>
      </w:r>
    </w:p>
    <w:p w14:paraId="11DDAA22" w14:textId="77777777" w:rsidR="00F64884" w:rsidRPr="00BC1770" w:rsidRDefault="00F64884" w:rsidP="00F64884">
      <w:pPr>
        <w:spacing w:before="120" w:after="0" w:line="276" w:lineRule="auto"/>
        <w:ind w:firstLine="709"/>
        <w:jc w:val="both"/>
        <w:rPr>
          <w:rFonts w:ascii="Verdana" w:eastAsia="Calibri" w:hAnsi="Verdana" w:cs="Arial"/>
          <w:bCs/>
          <w:lang w:val="es-ES" w:eastAsia="es-ES_tradnl"/>
        </w:rPr>
      </w:pPr>
      <w:r w:rsidRPr="00BC1770">
        <w:rPr>
          <w:rFonts w:ascii="Verdana" w:eastAsia="Calibri" w:hAnsi="Verdana" w:cs="Arial"/>
          <w:bCs/>
          <w:lang w:val="es-ES" w:eastAsia="es-ES_tradnl"/>
        </w:rPr>
        <w:t xml:space="preserve">El Consejo de Estado se ha referido a las normas que regulan la </w:t>
      </w:r>
      <w:r w:rsidRPr="00BC1770">
        <w:rPr>
          <w:rFonts w:ascii="Verdana" w:eastAsia="Calibri" w:hAnsi="Verdana" w:cs="Arial"/>
          <w:bCs/>
          <w:i/>
          <w:iCs/>
          <w:lang w:val="es-ES" w:eastAsia="es-ES_tradnl"/>
        </w:rPr>
        <w:t xml:space="preserve">disponibilidad </w:t>
      </w:r>
      <w:r w:rsidRPr="00BC1770">
        <w:rPr>
          <w:rFonts w:ascii="Verdana" w:eastAsia="Calibri" w:hAnsi="Verdana" w:cs="Arial"/>
          <w:bCs/>
          <w:lang w:val="es-ES" w:eastAsia="es-ES_tradnl"/>
        </w:rPr>
        <w:t xml:space="preserve">y el </w:t>
      </w:r>
      <w:r w:rsidRPr="00BC1770">
        <w:rPr>
          <w:rFonts w:ascii="Verdana" w:eastAsia="Calibri" w:hAnsi="Verdana" w:cs="Arial"/>
          <w:bCs/>
          <w:i/>
          <w:iCs/>
          <w:lang w:val="es-ES" w:eastAsia="es-ES_tradnl"/>
        </w:rPr>
        <w:t>registro</w:t>
      </w:r>
      <w:r w:rsidRPr="00BC1770">
        <w:rPr>
          <w:rFonts w:ascii="Verdana" w:eastAsia="Calibri" w:hAnsi="Verdana" w:cs="Arial"/>
          <w:bCs/>
          <w:lang w:val="es-ES" w:eastAsia="es-ES_tradnl"/>
        </w:rPr>
        <w:t xml:space="preserve"> presupuestal, junto con la autorización para comprometer vigencias futuras de carácter ordinario y excepcional. De acuerdo con la alta corporación, la regulación de estos elementos presupuestales se soporta en dos grandes cuerpos normativos:</w:t>
      </w:r>
    </w:p>
    <w:p w14:paraId="7FD48E33" w14:textId="77777777" w:rsidR="00F64884" w:rsidRPr="00BC1770" w:rsidRDefault="00F64884" w:rsidP="00F64884">
      <w:pPr>
        <w:spacing w:after="0" w:line="276" w:lineRule="auto"/>
        <w:ind w:firstLine="709"/>
        <w:jc w:val="both"/>
        <w:rPr>
          <w:rFonts w:ascii="Verdana" w:eastAsia="Calibri" w:hAnsi="Verdana" w:cs="Arial"/>
          <w:bCs/>
          <w:lang w:val="es-ES" w:eastAsia="es-ES_tradnl"/>
        </w:rPr>
      </w:pPr>
    </w:p>
    <w:p w14:paraId="18602F0B" w14:textId="77777777" w:rsidR="00F64884" w:rsidRPr="00FB1B6B" w:rsidRDefault="00F64884" w:rsidP="00F64884">
      <w:pPr>
        <w:spacing w:after="0" w:line="240" w:lineRule="auto"/>
        <w:ind w:left="709" w:right="709"/>
        <w:jc w:val="both"/>
        <w:rPr>
          <w:rFonts w:ascii="Verdana" w:eastAsia="Arial MT" w:hAnsi="Verdana" w:cs="Arial"/>
          <w:sz w:val="20"/>
          <w:szCs w:val="20"/>
          <w:lang w:val="es-ES"/>
        </w:rPr>
      </w:pPr>
      <w:r w:rsidRPr="00FB1B6B">
        <w:rPr>
          <w:rFonts w:ascii="Verdana" w:eastAsia="Arial MT" w:hAnsi="Verdana" w:cs="Arial"/>
          <w:sz w:val="20"/>
          <w:szCs w:val="20"/>
          <w:lang w:val="es-ES"/>
        </w:rPr>
        <w:t xml:space="preserve">“[…] i) normativa presupuestal prevista en la Ley 80 de 1993 y </w:t>
      </w:r>
      <w:proofErr w:type="spellStart"/>
      <w:r w:rsidRPr="00FB1B6B">
        <w:rPr>
          <w:rFonts w:ascii="Verdana" w:eastAsia="Arial MT" w:hAnsi="Verdana" w:cs="Arial"/>
          <w:sz w:val="20"/>
          <w:szCs w:val="20"/>
          <w:lang w:val="es-ES"/>
        </w:rPr>
        <w:t>ii</w:t>
      </w:r>
      <w:proofErr w:type="spellEnd"/>
      <w:r w:rsidRPr="00FB1B6B">
        <w:rPr>
          <w:rFonts w:ascii="Verdana" w:eastAsia="Arial MT" w:hAnsi="Verdana" w:cs="Arial"/>
          <w:sz w:val="20"/>
          <w:szCs w:val="20"/>
          <w:lang w:val="es-ES"/>
        </w:rPr>
        <w:t xml:space="preserve">) normativa presupuestal especial contenida en el Estatuto Orgánico de Presupuesto, compuesto, a su vez, por varias normas: a) Decreto 111 de 1996 -que compiló las Leyes 38 de 1989, 179 de 1994 y 225 de 1995-; b) Decreto 115 de 1996, por el cual se establecieron normas sobre la elaboración, conformación y ejecución de los presupuestos de las Empresas Industriales y Comerciales del Estado y de las Sociedades de Economía Mixta sujetas al régimen de aquéllas dedicadas a actividades financieras; c) Ley 819 de 2003, que modificó la Ley 179 de 1994; y d) </w:t>
      </w:r>
      <w:r w:rsidRPr="00FB1B6B">
        <w:rPr>
          <w:rFonts w:ascii="Verdana" w:eastAsia="Arial MT" w:hAnsi="Verdana" w:cs="Arial"/>
          <w:sz w:val="20"/>
          <w:szCs w:val="20"/>
          <w:lang w:val="es-ES"/>
        </w:rPr>
        <w:lastRenderedPageBreak/>
        <w:t>Ley 1483 de 2011, que autorizo las vigencias futuras excepcionales en las entidades territoriales”</w:t>
      </w:r>
      <w:r w:rsidRPr="00FB1B6B">
        <w:rPr>
          <w:rStyle w:val="Refdenotaalpie"/>
          <w:rFonts w:ascii="Verdana" w:eastAsia="Arial MT" w:hAnsi="Verdana" w:cs="Arial"/>
          <w:sz w:val="20"/>
          <w:szCs w:val="20"/>
          <w:lang w:val="es-ES"/>
        </w:rPr>
        <w:footnoteReference w:id="5"/>
      </w:r>
      <w:r w:rsidRPr="00FB1B6B">
        <w:rPr>
          <w:rFonts w:ascii="Verdana" w:eastAsia="Arial MT" w:hAnsi="Verdana" w:cs="Arial"/>
          <w:sz w:val="20"/>
          <w:szCs w:val="20"/>
          <w:lang w:val="es-ES"/>
        </w:rPr>
        <w:t>.</w:t>
      </w:r>
    </w:p>
    <w:p w14:paraId="3CF97DDB" w14:textId="77777777" w:rsidR="00F64884" w:rsidRPr="00BC1770" w:rsidRDefault="00F64884" w:rsidP="00F64884">
      <w:pPr>
        <w:spacing w:after="0" w:line="276" w:lineRule="auto"/>
        <w:jc w:val="both"/>
        <w:rPr>
          <w:rFonts w:ascii="Verdana" w:eastAsia="Calibri" w:hAnsi="Verdana" w:cs="Arial"/>
          <w:bCs/>
          <w:lang w:val="es-ES" w:eastAsia="es-ES_tradnl"/>
        </w:rPr>
      </w:pPr>
    </w:p>
    <w:p w14:paraId="4A5E11A0" w14:textId="77777777" w:rsidR="00F64884" w:rsidRPr="00BC1770" w:rsidRDefault="00F64884" w:rsidP="00F64884">
      <w:pPr>
        <w:spacing w:after="0" w:line="276" w:lineRule="auto"/>
        <w:ind w:firstLine="708"/>
        <w:jc w:val="both"/>
        <w:rPr>
          <w:rFonts w:ascii="Verdana" w:eastAsia="Times New Roman" w:hAnsi="Verdana" w:cs="Arial"/>
          <w:color w:val="1A1A1A" w:themeColor="background1" w:themeShade="1A"/>
          <w:lang w:val="es-ES" w:eastAsia="es-ES_tradnl"/>
        </w:rPr>
      </w:pPr>
      <w:r w:rsidRPr="00BC1770">
        <w:rPr>
          <w:rFonts w:ascii="Verdana" w:eastAsia="Calibri" w:hAnsi="Verdana" w:cs="Arial"/>
          <w:lang w:val="es-ES"/>
        </w:rPr>
        <w:t xml:space="preserve">Específicamente, el artículo 25 de </w:t>
      </w:r>
      <w:r w:rsidRPr="00BC1770">
        <w:rPr>
          <w:rFonts w:ascii="Verdana" w:eastAsia="Times New Roman" w:hAnsi="Verdana" w:cs="Arial"/>
          <w:color w:val="1A1A1A" w:themeColor="background1" w:themeShade="1A"/>
          <w:lang w:val="es-ES" w:eastAsia="es-ES_tradnl"/>
        </w:rPr>
        <w:t>la Ley 80 de 1993 estableció el régimen presupuestal en la contratación estatal. En desarrollo del principio de economía, el Estatuto impone las siguientes reglas:</w:t>
      </w:r>
    </w:p>
    <w:p w14:paraId="15D70384" w14:textId="77777777" w:rsidR="00F64884" w:rsidRPr="00BC1770" w:rsidRDefault="00F64884" w:rsidP="00F64884">
      <w:pPr>
        <w:spacing w:after="0" w:line="276" w:lineRule="auto"/>
        <w:ind w:firstLine="708"/>
        <w:jc w:val="both"/>
        <w:rPr>
          <w:rFonts w:ascii="Verdana" w:eastAsia="Calibri" w:hAnsi="Verdana" w:cs="Arial"/>
          <w:bCs/>
          <w:lang w:val="es-ES" w:eastAsia="es-ES_tradnl"/>
        </w:rPr>
      </w:pPr>
    </w:p>
    <w:p w14:paraId="74AE9101" w14:textId="77777777" w:rsidR="00F64884" w:rsidRPr="00FB1B6B" w:rsidRDefault="00F64884" w:rsidP="00F64884">
      <w:pPr>
        <w:spacing w:after="0" w:line="240" w:lineRule="auto"/>
        <w:ind w:left="709" w:right="709"/>
        <w:jc w:val="both"/>
        <w:rPr>
          <w:rFonts w:ascii="Verdana" w:eastAsia="Calibri" w:hAnsi="Verdana" w:cs="Arial"/>
          <w:sz w:val="20"/>
          <w:szCs w:val="20"/>
          <w:lang w:val="es-ES" w:eastAsia="es-ES_tradnl"/>
        </w:rPr>
      </w:pPr>
      <w:r w:rsidRPr="00FB1B6B">
        <w:rPr>
          <w:rFonts w:ascii="Verdana" w:eastAsia="Calibri" w:hAnsi="Verdana" w:cs="Arial"/>
          <w:sz w:val="20"/>
          <w:szCs w:val="20"/>
          <w:lang w:val="es-ES" w:eastAsia="es-ES_tradnl"/>
        </w:rPr>
        <w:t xml:space="preserve">“6o. Las entidades </w:t>
      </w:r>
      <w:r w:rsidRPr="00D95C5D">
        <w:rPr>
          <w:rFonts w:ascii="Verdana" w:eastAsia="Calibri" w:hAnsi="Verdana" w:cs="Arial"/>
          <w:sz w:val="20"/>
          <w:szCs w:val="20"/>
          <w:lang w:val="es-ES" w:eastAsia="es-ES_tradnl"/>
        </w:rPr>
        <w:t>estatales abrirán licitaciones e iniciarán procesos de suscripción de contratos, cuando existan las respectivas partidas o disponibilidades presupuestales.</w:t>
      </w:r>
      <w:r w:rsidRPr="00FB1B6B">
        <w:rPr>
          <w:rFonts w:ascii="Verdana" w:eastAsia="Calibri" w:hAnsi="Verdana" w:cs="Arial"/>
          <w:sz w:val="20"/>
          <w:szCs w:val="20"/>
          <w:lang w:val="es-ES" w:eastAsia="es-ES_tradnl"/>
        </w:rPr>
        <w:t> </w:t>
      </w:r>
    </w:p>
    <w:p w14:paraId="67FDBA16" w14:textId="77777777" w:rsidR="00F64884" w:rsidRPr="00FB1B6B" w:rsidRDefault="00F64884" w:rsidP="00F64884">
      <w:pPr>
        <w:spacing w:after="0" w:line="240" w:lineRule="auto"/>
        <w:ind w:left="709" w:right="709"/>
        <w:jc w:val="both"/>
        <w:rPr>
          <w:rFonts w:ascii="Verdana" w:eastAsia="Calibri" w:hAnsi="Verdana" w:cs="Arial"/>
          <w:sz w:val="20"/>
          <w:szCs w:val="20"/>
          <w:lang w:val="es-ES" w:eastAsia="es-ES_tradnl"/>
        </w:rPr>
      </w:pPr>
    </w:p>
    <w:p w14:paraId="0BD8DF66" w14:textId="77777777" w:rsidR="00F64884" w:rsidRPr="00FB1B6B" w:rsidRDefault="00F64884" w:rsidP="00F64884">
      <w:pPr>
        <w:spacing w:after="0" w:line="240" w:lineRule="auto"/>
        <w:ind w:left="709" w:right="709"/>
        <w:jc w:val="both"/>
        <w:rPr>
          <w:rFonts w:ascii="Verdana" w:eastAsia="Calibri" w:hAnsi="Verdana" w:cs="Arial"/>
          <w:sz w:val="20"/>
          <w:szCs w:val="20"/>
          <w:lang w:val="es-ES" w:eastAsia="es-ES_tradnl"/>
        </w:rPr>
      </w:pPr>
      <w:r w:rsidRPr="00FB1B6B">
        <w:rPr>
          <w:rFonts w:ascii="Verdana" w:eastAsia="Calibri" w:hAnsi="Verdana" w:cs="Arial"/>
          <w:sz w:val="20"/>
          <w:szCs w:val="20"/>
          <w:lang w:val="es-ES" w:eastAsia="es-ES_tradnl"/>
        </w:rPr>
        <w:t>7o. La conveniencia o inconveniencia del objeto a contratar y las autorizaciones y aprobaciones para ello, se analizarán o impartirán con antelación al inicio del proceso de selección del contratista o al de la firma del contrato, según el caso.</w:t>
      </w:r>
    </w:p>
    <w:p w14:paraId="19FEF3C5" w14:textId="77777777" w:rsidR="00F64884" w:rsidRPr="00FB1B6B" w:rsidRDefault="00F64884" w:rsidP="00F64884">
      <w:pPr>
        <w:spacing w:after="0" w:line="240" w:lineRule="auto"/>
        <w:ind w:left="709" w:right="709"/>
        <w:jc w:val="both"/>
        <w:rPr>
          <w:rFonts w:ascii="Verdana" w:eastAsia="Calibri" w:hAnsi="Verdana" w:cs="Arial"/>
          <w:sz w:val="20"/>
          <w:szCs w:val="20"/>
          <w:lang w:val="es-ES" w:eastAsia="es-ES_tradnl"/>
        </w:rPr>
      </w:pPr>
    </w:p>
    <w:p w14:paraId="64DA8A61" w14:textId="77777777" w:rsidR="00F64884" w:rsidRPr="00FB1B6B" w:rsidRDefault="00F64884" w:rsidP="00F64884">
      <w:pPr>
        <w:spacing w:after="0" w:line="240" w:lineRule="auto"/>
        <w:ind w:left="709" w:right="709"/>
        <w:jc w:val="both"/>
        <w:rPr>
          <w:rFonts w:ascii="Verdana" w:eastAsia="Calibri" w:hAnsi="Verdana" w:cs="Arial"/>
          <w:sz w:val="20"/>
          <w:szCs w:val="20"/>
          <w:lang w:val="es-ES" w:eastAsia="es-ES_tradnl"/>
        </w:rPr>
      </w:pPr>
      <w:r w:rsidRPr="00FB1B6B">
        <w:rPr>
          <w:rFonts w:ascii="Verdana" w:eastAsia="Calibri" w:hAnsi="Verdana" w:cs="Arial"/>
          <w:sz w:val="20"/>
          <w:szCs w:val="20"/>
          <w:lang w:val="es-ES" w:eastAsia="es-ES_tradnl"/>
        </w:rPr>
        <w:t>[…]</w:t>
      </w:r>
    </w:p>
    <w:p w14:paraId="2EFBA5D3" w14:textId="77777777" w:rsidR="00F64884" w:rsidRPr="00FB1B6B" w:rsidRDefault="00F64884" w:rsidP="00F64884">
      <w:pPr>
        <w:spacing w:after="0" w:line="240" w:lineRule="auto"/>
        <w:ind w:left="709" w:right="709"/>
        <w:jc w:val="both"/>
        <w:rPr>
          <w:rFonts w:ascii="Verdana" w:eastAsia="Calibri" w:hAnsi="Verdana" w:cs="Arial"/>
          <w:sz w:val="20"/>
          <w:szCs w:val="20"/>
          <w:lang w:val="es-ES" w:eastAsia="es-ES_tradnl"/>
        </w:rPr>
      </w:pPr>
    </w:p>
    <w:p w14:paraId="0715496D" w14:textId="77777777" w:rsidR="00F64884" w:rsidRPr="00FB1B6B" w:rsidRDefault="00F64884" w:rsidP="00F64884">
      <w:pPr>
        <w:spacing w:after="0" w:line="240" w:lineRule="auto"/>
        <w:ind w:left="709" w:right="709"/>
        <w:jc w:val="both"/>
        <w:rPr>
          <w:rFonts w:ascii="Verdana" w:eastAsia="Calibri" w:hAnsi="Verdana" w:cs="Arial"/>
          <w:sz w:val="20"/>
          <w:szCs w:val="20"/>
          <w:lang w:val="es-ES" w:eastAsia="es-ES_tradnl"/>
        </w:rPr>
      </w:pPr>
      <w:r w:rsidRPr="00FB1B6B">
        <w:rPr>
          <w:rFonts w:ascii="Verdana" w:eastAsia="Calibri" w:hAnsi="Verdana" w:cs="Arial"/>
          <w:sz w:val="20"/>
          <w:szCs w:val="20"/>
          <w:lang w:val="es-ES" w:eastAsia="es-ES_tradnl"/>
        </w:rPr>
        <w:t>12. Previo a la apertura de un proceso de selección, o a la firma del contrato en el caso en que la modalidad de selección sea contratación directa, deberán elaborarse los estudios, diseños y proyectos requeridos, y los pliegos de condiciones, según corresponda.</w:t>
      </w:r>
    </w:p>
    <w:p w14:paraId="56AE8FCC" w14:textId="77777777" w:rsidR="00F64884" w:rsidRPr="00FB1B6B" w:rsidRDefault="00F64884" w:rsidP="00F64884">
      <w:pPr>
        <w:spacing w:after="0" w:line="240" w:lineRule="auto"/>
        <w:ind w:left="709" w:right="709"/>
        <w:jc w:val="both"/>
        <w:rPr>
          <w:rFonts w:ascii="Verdana" w:eastAsia="Calibri" w:hAnsi="Verdana" w:cs="Arial"/>
          <w:sz w:val="20"/>
          <w:szCs w:val="20"/>
          <w:lang w:val="es-ES" w:eastAsia="es-ES_tradnl"/>
        </w:rPr>
      </w:pPr>
    </w:p>
    <w:p w14:paraId="01CF5D9B" w14:textId="77777777" w:rsidR="00F64884" w:rsidRPr="00FB1B6B" w:rsidRDefault="00F64884" w:rsidP="00F64884">
      <w:pPr>
        <w:spacing w:after="0" w:line="240" w:lineRule="auto"/>
        <w:ind w:left="709" w:right="709"/>
        <w:jc w:val="both"/>
        <w:rPr>
          <w:rFonts w:ascii="Verdana" w:eastAsia="Calibri" w:hAnsi="Verdana" w:cs="Arial"/>
          <w:sz w:val="20"/>
          <w:szCs w:val="20"/>
          <w:lang w:val="es-ES" w:eastAsia="es-ES_tradnl"/>
        </w:rPr>
      </w:pPr>
      <w:r w:rsidRPr="00FB1B6B">
        <w:rPr>
          <w:rFonts w:ascii="Verdana" w:eastAsia="Calibri" w:hAnsi="Verdana" w:cs="Arial"/>
          <w:sz w:val="20"/>
          <w:szCs w:val="20"/>
          <w:lang w:val="es-ES" w:eastAsia="es-ES_tradnl"/>
        </w:rPr>
        <w:t>[…]</w:t>
      </w:r>
    </w:p>
    <w:p w14:paraId="0B46A448" w14:textId="77777777" w:rsidR="00F64884" w:rsidRPr="00FB1B6B" w:rsidRDefault="00F64884" w:rsidP="00F64884">
      <w:pPr>
        <w:spacing w:after="0" w:line="240" w:lineRule="auto"/>
        <w:ind w:left="709" w:right="709"/>
        <w:jc w:val="both"/>
        <w:rPr>
          <w:rFonts w:ascii="Verdana" w:eastAsia="Calibri" w:hAnsi="Verdana" w:cs="Arial"/>
          <w:sz w:val="20"/>
          <w:szCs w:val="20"/>
          <w:lang w:val="es-ES" w:eastAsia="es-ES_tradnl"/>
        </w:rPr>
      </w:pPr>
    </w:p>
    <w:p w14:paraId="30190EA3" w14:textId="77777777" w:rsidR="00F64884" w:rsidRPr="00FB1B6B" w:rsidRDefault="00F64884" w:rsidP="00F64884">
      <w:pPr>
        <w:spacing w:after="0" w:line="240" w:lineRule="auto"/>
        <w:ind w:left="709" w:right="709"/>
        <w:jc w:val="both"/>
        <w:rPr>
          <w:rFonts w:ascii="Verdana" w:eastAsia="Times New Roman" w:hAnsi="Verdana" w:cs="Arial"/>
          <w:sz w:val="20"/>
          <w:szCs w:val="20"/>
          <w:lang w:val="es-ES" w:eastAsia="es-MX"/>
        </w:rPr>
      </w:pPr>
      <w:r w:rsidRPr="00FB1B6B">
        <w:rPr>
          <w:rFonts w:ascii="Verdana" w:eastAsia="Times New Roman" w:hAnsi="Verdana" w:cs="Arial"/>
          <w:sz w:val="20"/>
          <w:szCs w:val="20"/>
          <w:lang w:val="es-ES" w:eastAsia="es-MX"/>
        </w:rPr>
        <w:t>13. Las autoridades constituirán las reservas y compromisos presupuestales necesarios, tomando como base el valor de las prestaciones al momento de celebrar el contrato y el estimativo de los ajustes resultantes de la aplicación de la cláusula de actualización de precios.</w:t>
      </w:r>
    </w:p>
    <w:p w14:paraId="4C5361B1" w14:textId="77777777" w:rsidR="00F64884" w:rsidRPr="00FB1B6B" w:rsidRDefault="00F64884" w:rsidP="00F64884">
      <w:pPr>
        <w:spacing w:after="0" w:line="240" w:lineRule="auto"/>
        <w:ind w:left="709" w:right="709"/>
        <w:jc w:val="both"/>
        <w:rPr>
          <w:rFonts w:ascii="Verdana" w:eastAsia="Times New Roman" w:hAnsi="Verdana" w:cs="Arial"/>
          <w:sz w:val="20"/>
          <w:szCs w:val="20"/>
          <w:lang w:val="es-ES" w:eastAsia="es-MX"/>
        </w:rPr>
      </w:pPr>
    </w:p>
    <w:p w14:paraId="35D78FC4" w14:textId="77777777" w:rsidR="00F64884" w:rsidRPr="00FB1B6B" w:rsidRDefault="00F64884" w:rsidP="00F64884">
      <w:pPr>
        <w:spacing w:after="0" w:line="240" w:lineRule="auto"/>
        <w:ind w:left="709" w:right="709"/>
        <w:jc w:val="both"/>
        <w:rPr>
          <w:rFonts w:ascii="Verdana" w:eastAsia="Times New Roman" w:hAnsi="Verdana" w:cs="Arial"/>
          <w:sz w:val="20"/>
          <w:szCs w:val="20"/>
          <w:lang w:eastAsia="es-MX"/>
        </w:rPr>
      </w:pPr>
      <w:r w:rsidRPr="00FB1B6B">
        <w:rPr>
          <w:rFonts w:ascii="Verdana" w:eastAsia="Times New Roman" w:hAnsi="Verdana" w:cs="Arial"/>
          <w:sz w:val="20"/>
          <w:szCs w:val="20"/>
          <w:lang w:eastAsia="es-MX"/>
        </w:rPr>
        <w:t>14. Las entidades incluirán en sus presupuestos anuales una apropiación global destinada a cubrir los costos imprevistos ocasionados por los retardos en los pagos, así como los que se originen en la revisión de los precios pactados por razón de los cambios o alteraciones en las condiciones iniciales de los contratos por ellas celebrados […]”</w:t>
      </w:r>
      <w:r w:rsidRPr="00FB1B6B">
        <w:rPr>
          <w:rStyle w:val="Refdenotaalpie"/>
          <w:rFonts w:ascii="Verdana" w:eastAsia="Times New Roman" w:hAnsi="Verdana" w:cs="Arial"/>
          <w:sz w:val="20"/>
          <w:szCs w:val="20"/>
          <w:lang w:eastAsia="es-MX"/>
        </w:rPr>
        <w:footnoteReference w:id="6"/>
      </w:r>
      <w:r w:rsidRPr="00FB1B6B">
        <w:rPr>
          <w:rFonts w:ascii="Verdana" w:eastAsia="Times New Roman" w:hAnsi="Verdana" w:cs="Arial"/>
          <w:sz w:val="20"/>
          <w:szCs w:val="20"/>
          <w:lang w:eastAsia="es-MX"/>
        </w:rPr>
        <w:t>. [Énfasis fuera del texto original]</w:t>
      </w:r>
    </w:p>
    <w:p w14:paraId="29B326E0" w14:textId="77777777" w:rsidR="00F64884" w:rsidRPr="00BC1770" w:rsidRDefault="00F64884" w:rsidP="00F64884">
      <w:pPr>
        <w:spacing w:after="0" w:line="276" w:lineRule="auto"/>
        <w:ind w:firstLine="708"/>
        <w:jc w:val="both"/>
        <w:rPr>
          <w:rFonts w:ascii="Verdana" w:eastAsia="Calibri" w:hAnsi="Verdana" w:cs="Arial"/>
          <w:lang w:val="es-ES"/>
        </w:rPr>
      </w:pPr>
    </w:p>
    <w:p w14:paraId="58E71C97" w14:textId="77777777" w:rsidR="00F64884" w:rsidRPr="00BC1770" w:rsidRDefault="00F64884" w:rsidP="00F64884">
      <w:pPr>
        <w:spacing w:after="120" w:line="276" w:lineRule="auto"/>
        <w:ind w:firstLine="708"/>
        <w:jc w:val="both"/>
        <w:rPr>
          <w:rFonts w:ascii="Verdana" w:eastAsia="Times New Roman" w:hAnsi="Verdana" w:cs="Arial"/>
          <w:lang w:val="es-ES" w:eastAsia="es-MX"/>
        </w:rPr>
      </w:pPr>
      <w:r w:rsidRPr="00BC1770">
        <w:rPr>
          <w:rFonts w:ascii="Verdana" w:eastAsia="Times New Roman" w:hAnsi="Verdana" w:cs="Arial"/>
          <w:lang w:val="es-ES" w:eastAsia="es-MX"/>
        </w:rPr>
        <w:t xml:space="preserve">Como se observa, la norma establece de manera expresa el momento o la oportunidad en la que las entidades deben expedir el certificado de </w:t>
      </w:r>
      <w:r w:rsidRPr="00BC1770">
        <w:rPr>
          <w:rFonts w:ascii="Verdana" w:eastAsia="Times New Roman" w:hAnsi="Verdana" w:cs="Arial"/>
          <w:lang w:val="es-ES" w:eastAsia="es-MX"/>
        </w:rPr>
        <w:lastRenderedPageBreak/>
        <w:t xml:space="preserve">disponibilidad presupuestal cuando adelanten procesos de contratación. </w:t>
      </w:r>
      <w:r>
        <w:rPr>
          <w:rFonts w:ascii="Verdana" w:eastAsia="Times New Roman" w:hAnsi="Verdana" w:cs="Arial"/>
          <w:lang w:val="es-ES" w:eastAsia="es-MX"/>
        </w:rPr>
        <w:t>Así, p</w:t>
      </w:r>
      <w:r w:rsidRPr="00BC1770">
        <w:rPr>
          <w:rFonts w:ascii="Verdana" w:eastAsia="Times New Roman" w:hAnsi="Verdana" w:cs="Arial"/>
          <w:lang w:val="es-ES" w:eastAsia="es-MX"/>
        </w:rPr>
        <w:t xml:space="preserve">or expresa disposición del legislador, </w:t>
      </w:r>
      <w:r>
        <w:rPr>
          <w:rFonts w:ascii="Verdana" w:eastAsia="Times New Roman" w:hAnsi="Verdana" w:cs="Arial"/>
          <w:lang w:val="es-ES" w:eastAsia="es-MX"/>
        </w:rPr>
        <w:t xml:space="preserve">las Entidades Estatales </w:t>
      </w:r>
      <w:r w:rsidRPr="00BC1770">
        <w:rPr>
          <w:rFonts w:ascii="Verdana" w:eastAsia="Times New Roman" w:hAnsi="Verdana" w:cs="Arial"/>
          <w:lang w:val="es-ES" w:eastAsia="es-MX"/>
        </w:rPr>
        <w:t xml:space="preserve">deben contar con este certificado en una fecha </w:t>
      </w:r>
      <w:r w:rsidRPr="003321AB">
        <w:rPr>
          <w:rFonts w:ascii="Verdana" w:eastAsia="Times New Roman" w:hAnsi="Verdana" w:cs="Arial"/>
          <w:lang w:val="es-ES" w:eastAsia="es-MX"/>
        </w:rPr>
        <w:t>previa</w:t>
      </w:r>
      <w:r w:rsidRPr="00BC1770">
        <w:rPr>
          <w:rFonts w:ascii="Verdana" w:eastAsia="Times New Roman" w:hAnsi="Verdana" w:cs="Arial"/>
          <w:lang w:val="es-ES" w:eastAsia="es-MX"/>
        </w:rPr>
        <w:t xml:space="preserve"> al momento en que inicia el proceso de selección del contratista. En concordancia con la citada disposición, la Ley 1882 de 2018, que modificó algunas disposiciones del </w:t>
      </w:r>
      <w:r w:rsidRPr="00BC1770">
        <w:rPr>
          <w:rFonts w:ascii="Verdana" w:eastAsia="Calibri" w:hAnsi="Verdana" w:cs="Arial"/>
          <w:bCs/>
          <w:lang w:val="es-ES" w:eastAsia="es-ES_tradnl"/>
        </w:rPr>
        <w:t>EGCAP, entre ellas, la adición al parágrafo del artículo 8 de la Ley 1150 de 2007, establece que “[…]</w:t>
      </w:r>
      <w:r w:rsidRPr="003321AB">
        <w:rPr>
          <w:rFonts w:ascii="Verdana" w:eastAsia="Calibri" w:hAnsi="Verdana" w:cs="Arial"/>
          <w:bCs/>
          <w:lang w:val="es-ES" w:eastAsia="es-ES_tradnl"/>
        </w:rPr>
        <w:t xml:space="preserve"> no es obligatorio contar con disponibilidad presupuestal para realizar la publicación del proyecto de pliego de condiciones</w:t>
      </w:r>
      <w:r w:rsidRPr="003321AB">
        <w:rPr>
          <w:rFonts w:ascii="Verdana" w:eastAsia="Times New Roman" w:hAnsi="Verdana" w:cs="Arial"/>
          <w:lang w:val="es-ES" w:eastAsia="es-MX"/>
        </w:rPr>
        <w:t xml:space="preserve">”. </w:t>
      </w:r>
    </w:p>
    <w:p w14:paraId="3540B60E" w14:textId="77777777" w:rsidR="00F64884" w:rsidRPr="00BC1770" w:rsidRDefault="00F64884" w:rsidP="00F64884">
      <w:pPr>
        <w:spacing w:after="120" w:line="276" w:lineRule="auto"/>
        <w:ind w:firstLine="709"/>
        <w:jc w:val="both"/>
        <w:rPr>
          <w:rFonts w:ascii="Verdana" w:eastAsia="Times New Roman" w:hAnsi="Verdana" w:cs="Arial"/>
          <w:lang w:val="es-ES" w:eastAsia="es-MX"/>
        </w:rPr>
      </w:pPr>
      <w:r w:rsidRPr="00BC1770">
        <w:rPr>
          <w:rFonts w:ascii="Verdana" w:eastAsia="Times New Roman" w:hAnsi="Verdana" w:cs="Arial"/>
          <w:lang w:val="es-ES" w:eastAsia="es-MX"/>
        </w:rPr>
        <w:t xml:space="preserve">En ese orden, la norma precisa que, en procesos competitivos, el certificado de disponibilidad presupuestal debe ser expedido por la entidad contratante </w:t>
      </w:r>
      <w:r w:rsidRPr="003321AB">
        <w:rPr>
          <w:rFonts w:ascii="Verdana" w:eastAsia="Times New Roman" w:hAnsi="Verdana" w:cs="Arial"/>
          <w:lang w:val="es-ES" w:eastAsia="es-MX"/>
        </w:rPr>
        <w:t>antes</w:t>
      </w:r>
      <w:r w:rsidRPr="00BC1770">
        <w:rPr>
          <w:rFonts w:ascii="Verdana" w:eastAsia="Times New Roman" w:hAnsi="Verdana" w:cs="Arial"/>
          <w:lang w:val="es-ES" w:eastAsia="es-MX"/>
        </w:rPr>
        <w:t xml:space="preserve"> de que inicie formalmente la etapa de selección del contratista, es decir, previo a la expedición y publicación del acto administrativo de apertura del proceso. De esta manera, no es obligatorio contar con el certificado en las etapas preparatorias del proceso de selección, como al momento de publicación del aviso de convocatoria pública, en la publicación de los estudios previos o del proyecto de pliego de condiciones en los procesos licitatorios. No obstante, si la entidad contratante puede expedir el certificado de disponibilidad presupuestal con anterioridad a la expedición del acto de apertura, estará actuando dentro del marco legal existente.</w:t>
      </w:r>
    </w:p>
    <w:p w14:paraId="0E9511D4" w14:textId="77777777" w:rsidR="00F64884" w:rsidRPr="00BC1770" w:rsidRDefault="00F64884" w:rsidP="00F64884">
      <w:pPr>
        <w:spacing w:after="120" w:line="276" w:lineRule="auto"/>
        <w:ind w:firstLine="709"/>
        <w:jc w:val="both"/>
        <w:rPr>
          <w:rFonts w:ascii="Verdana" w:eastAsia="Times New Roman" w:hAnsi="Verdana" w:cs="Arial"/>
          <w:lang w:val="es-ES" w:eastAsia="es-MX"/>
        </w:rPr>
      </w:pPr>
      <w:r w:rsidRPr="00BC1770">
        <w:rPr>
          <w:rFonts w:ascii="Verdana" w:eastAsia="Times New Roman" w:hAnsi="Verdana" w:cs="Arial"/>
          <w:lang w:val="es-ES" w:eastAsia="es-MX"/>
        </w:rPr>
        <w:t xml:space="preserve">Este mandato de la </w:t>
      </w:r>
      <w:r>
        <w:rPr>
          <w:rFonts w:ascii="Verdana" w:eastAsia="Times New Roman" w:hAnsi="Verdana" w:cs="Arial"/>
          <w:lang w:val="es-ES" w:eastAsia="es-MX"/>
        </w:rPr>
        <w:t>L</w:t>
      </w:r>
      <w:r w:rsidRPr="00BC1770">
        <w:rPr>
          <w:rFonts w:ascii="Verdana" w:eastAsia="Times New Roman" w:hAnsi="Verdana" w:cs="Arial"/>
          <w:lang w:val="es-ES" w:eastAsia="es-MX"/>
        </w:rPr>
        <w:t>ey 80 de 1993 está en consonancia con el principio constitucional de legalidad del gasto público, el cual acarrea la obligación de contar con disponibilidad presupuestal antes de asumir un gasto o una obligación. Adicionalmente, es una manifestación del principio de economía porque obliga a las entidades contratantes a que verifiquen administrativamente que cuentan con los recursos necesarios para cumplir los compromisos que asuman en la relación negocial, antes de celebrar el contrato, e incluso, antes de expedir los actos administrativos derivados de su actividad contractual.</w:t>
      </w:r>
    </w:p>
    <w:p w14:paraId="07D9A439" w14:textId="77777777" w:rsidR="00F64884" w:rsidRDefault="00F64884" w:rsidP="00F64884">
      <w:pPr>
        <w:spacing w:after="120" w:line="276" w:lineRule="auto"/>
        <w:jc w:val="both"/>
        <w:rPr>
          <w:rFonts w:ascii="Verdana" w:eastAsia="Times New Roman" w:hAnsi="Verdana" w:cs="Arial"/>
          <w:lang w:val="es-ES" w:eastAsia="es-MX"/>
        </w:rPr>
      </w:pPr>
      <w:proofErr w:type="spellStart"/>
      <w:r>
        <w:rPr>
          <w:rFonts w:ascii="Verdana" w:eastAsia="Times New Roman" w:hAnsi="Verdana" w:cs="Arial"/>
          <w:lang w:val="es-ES" w:eastAsia="es-MX"/>
        </w:rPr>
        <w:t>ii</w:t>
      </w:r>
      <w:proofErr w:type="spellEnd"/>
      <w:r>
        <w:rPr>
          <w:rFonts w:ascii="Verdana" w:eastAsia="Times New Roman" w:hAnsi="Verdana" w:cs="Arial"/>
          <w:lang w:val="es-ES" w:eastAsia="es-MX"/>
        </w:rPr>
        <w:t>. Ahora bien, p</w:t>
      </w:r>
      <w:r w:rsidRPr="00D8158E">
        <w:rPr>
          <w:rFonts w:ascii="Verdana" w:eastAsia="Times New Roman" w:hAnsi="Verdana" w:cs="Arial"/>
          <w:lang w:val="es-ES" w:eastAsia="es-MX"/>
        </w:rPr>
        <w:t xml:space="preserve">ara abordar la figura de los hechos cumplidos, </w:t>
      </w:r>
      <w:r>
        <w:rPr>
          <w:rFonts w:ascii="Verdana" w:eastAsia="Times New Roman" w:hAnsi="Verdana" w:cs="Arial"/>
          <w:lang w:val="es-ES" w:eastAsia="es-MX"/>
        </w:rPr>
        <w:t xml:space="preserve">es necesario precisar, como cuestión preliminar, que </w:t>
      </w:r>
      <w:r w:rsidRPr="005A27A3">
        <w:rPr>
          <w:rFonts w:ascii="Verdana" w:eastAsia="Times New Roman" w:hAnsi="Verdana" w:cs="Arial"/>
          <w:lang w:val="es-ES" w:eastAsia="es-MX"/>
        </w:rPr>
        <w:t xml:space="preserve">el Estatuto General de Contratación de la Administración Pública no contiene una regulación específica sobre </w:t>
      </w:r>
      <w:r>
        <w:rPr>
          <w:rFonts w:ascii="Verdana" w:eastAsia="Times New Roman" w:hAnsi="Verdana" w:cs="Arial"/>
          <w:lang w:val="es-ES" w:eastAsia="es-MX"/>
        </w:rPr>
        <w:t xml:space="preserve">esta </w:t>
      </w:r>
      <w:r w:rsidRPr="005A27A3">
        <w:rPr>
          <w:rFonts w:ascii="Verdana" w:eastAsia="Times New Roman" w:hAnsi="Verdana" w:cs="Arial"/>
          <w:lang w:val="es-ES" w:eastAsia="es-MX"/>
        </w:rPr>
        <w:t xml:space="preserve">figura. En efecto, aunque el artículo 25 de la Ley 80 de 1993, en desarrollo del principio de economía, establece la obligación de contar con el correspondiente certificado de disponibilidad presupuestal antes de dar inicio al procedimiento de selección del contratista, dicha disposición no define </w:t>
      </w:r>
      <w:r>
        <w:rPr>
          <w:rFonts w:ascii="Verdana" w:eastAsia="Times New Roman" w:hAnsi="Verdana" w:cs="Arial"/>
          <w:lang w:val="es-ES" w:eastAsia="es-MX"/>
        </w:rPr>
        <w:t xml:space="preserve">el concepto de </w:t>
      </w:r>
      <w:r w:rsidRPr="00E81CCE">
        <w:rPr>
          <w:rFonts w:ascii="Verdana" w:eastAsia="Times New Roman" w:hAnsi="Verdana" w:cs="Arial"/>
          <w:i/>
          <w:iCs/>
          <w:lang w:val="es-ES" w:eastAsia="es-MX"/>
        </w:rPr>
        <w:t>hecho cumplido</w:t>
      </w:r>
      <w:r>
        <w:rPr>
          <w:rFonts w:ascii="Verdana" w:eastAsia="Times New Roman" w:hAnsi="Verdana" w:cs="Arial"/>
          <w:lang w:val="es-ES" w:eastAsia="es-MX"/>
        </w:rPr>
        <w:t xml:space="preserve"> </w:t>
      </w:r>
      <w:r w:rsidRPr="005A27A3">
        <w:rPr>
          <w:rFonts w:ascii="Verdana" w:eastAsia="Times New Roman" w:hAnsi="Verdana" w:cs="Arial"/>
          <w:lang w:val="es-ES" w:eastAsia="es-MX"/>
        </w:rPr>
        <w:t xml:space="preserve">ni </w:t>
      </w:r>
      <w:r>
        <w:rPr>
          <w:rFonts w:ascii="Verdana" w:eastAsia="Times New Roman" w:hAnsi="Verdana" w:cs="Arial"/>
          <w:lang w:val="es-ES" w:eastAsia="es-MX"/>
        </w:rPr>
        <w:t xml:space="preserve">establece </w:t>
      </w:r>
      <w:r w:rsidRPr="005A27A3">
        <w:rPr>
          <w:rFonts w:ascii="Verdana" w:eastAsia="Times New Roman" w:hAnsi="Verdana" w:cs="Arial"/>
          <w:lang w:val="es-ES" w:eastAsia="es-MX"/>
        </w:rPr>
        <w:t>l</w:t>
      </w:r>
      <w:r>
        <w:rPr>
          <w:rFonts w:ascii="Verdana" w:eastAsia="Times New Roman" w:hAnsi="Verdana" w:cs="Arial"/>
          <w:lang w:val="es-ES" w:eastAsia="es-MX"/>
        </w:rPr>
        <w:t>os supuestos</w:t>
      </w:r>
      <w:r w:rsidRPr="005A27A3">
        <w:rPr>
          <w:rFonts w:ascii="Verdana" w:eastAsia="Times New Roman" w:hAnsi="Verdana" w:cs="Arial"/>
          <w:lang w:val="es-ES" w:eastAsia="es-MX"/>
        </w:rPr>
        <w:t xml:space="preserve"> en l</w:t>
      </w:r>
      <w:r>
        <w:rPr>
          <w:rFonts w:ascii="Verdana" w:eastAsia="Times New Roman" w:hAnsi="Verdana" w:cs="Arial"/>
          <w:lang w:val="es-ES" w:eastAsia="es-MX"/>
        </w:rPr>
        <w:t>os que este</w:t>
      </w:r>
      <w:r w:rsidRPr="005A27A3">
        <w:rPr>
          <w:rFonts w:ascii="Verdana" w:eastAsia="Times New Roman" w:hAnsi="Verdana" w:cs="Arial"/>
          <w:lang w:val="es-ES" w:eastAsia="es-MX"/>
        </w:rPr>
        <w:t xml:space="preserve"> se configura</w:t>
      </w:r>
      <w:r>
        <w:rPr>
          <w:rFonts w:ascii="Verdana" w:eastAsia="Times New Roman" w:hAnsi="Verdana" w:cs="Arial"/>
          <w:lang w:val="es-ES" w:eastAsia="es-MX"/>
        </w:rPr>
        <w:t xml:space="preserve">. </w:t>
      </w:r>
      <w:r w:rsidRPr="005A27A3">
        <w:rPr>
          <w:rFonts w:ascii="Verdana" w:eastAsia="Times New Roman" w:hAnsi="Verdana" w:cs="Arial"/>
          <w:lang w:val="es-ES" w:eastAsia="es-MX"/>
        </w:rPr>
        <w:t xml:space="preserve">En este sentido, </w:t>
      </w:r>
      <w:r w:rsidRPr="005E2B00">
        <w:rPr>
          <w:rFonts w:ascii="Verdana" w:eastAsia="Times New Roman" w:hAnsi="Verdana" w:cs="Arial"/>
          <w:lang w:val="es-ES" w:eastAsia="es-MX"/>
        </w:rPr>
        <w:t xml:space="preserve">el </w:t>
      </w:r>
      <w:r w:rsidRPr="005E2B00">
        <w:rPr>
          <w:rFonts w:ascii="Verdana" w:eastAsia="Times New Roman" w:hAnsi="Verdana" w:cs="Arial"/>
          <w:lang w:val="es-ES" w:eastAsia="es-MX"/>
        </w:rPr>
        <w:lastRenderedPageBreak/>
        <w:t>reconocimiento normativo de esta figura se encuentra en el régimen presupuestal, cuyas disposiciones proscriben la adquisición de obligaciones y la afectación del presupuesto sin el cumplimiento de los requisitos legales</w:t>
      </w:r>
      <w:r>
        <w:rPr>
          <w:rFonts w:ascii="Verdana" w:eastAsia="Times New Roman" w:hAnsi="Verdana" w:cs="Arial"/>
          <w:lang w:val="es-ES" w:eastAsia="es-MX"/>
        </w:rPr>
        <w:t xml:space="preserve">, </w:t>
      </w:r>
      <w:r>
        <w:rPr>
          <w:rFonts w:ascii="Verdana" w:eastAsia="Times New Roman" w:hAnsi="Verdana" w:cs="Arial"/>
          <w:lang w:eastAsia="es-MX"/>
        </w:rPr>
        <w:t>las cuales</w:t>
      </w:r>
      <w:r w:rsidRPr="002114F3">
        <w:rPr>
          <w:rFonts w:ascii="Verdana" w:eastAsia="Times New Roman" w:hAnsi="Verdana" w:cs="Arial"/>
          <w:lang w:eastAsia="es-MX"/>
        </w:rPr>
        <w:t>, por su estrecha relación con la ejecución del gasto público, tienen una incidencia directa en la contratación estatal.</w:t>
      </w:r>
    </w:p>
    <w:p w14:paraId="437DC6A5" w14:textId="77777777" w:rsidR="00F64884" w:rsidRPr="00043DDF" w:rsidRDefault="00F64884" w:rsidP="00F64884">
      <w:pPr>
        <w:spacing w:after="120" w:line="276" w:lineRule="auto"/>
        <w:ind w:firstLine="709"/>
        <w:jc w:val="both"/>
        <w:rPr>
          <w:rFonts w:ascii="Verdana" w:eastAsia="Times New Roman" w:hAnsi="Verdana" w:cs="Arial"/>
          <w:lang w:val="es-ES" w:eastAsia="es-MX"/>
        </w:rPr>
      </w:pPr>
      <w:r>
        <w:rPr>
          <w:rFonts w:ascii="Verdana" w:eastAsia="Times New Roman" w:hAnsi="Verdana" w:cs="Arial"/>
          <w:lang w:val="es-ES" w:eastAsia="es-MX"/>
        </w:rPr>
        <w:t xml:space="preserve">En este contexto, </w:t>
      </w:r>
      <w:r w:rsidRPr="00D8158E">
        <w:rPr>
          <w:rFonts w:ascii="Verdana" w:eastAsia="Times New Roman" w:hAnsi="Verdana" w:cs="Arial"/>
          <w:lang w:val="es-ES" w:eastAsia="es-MX"/>
        </w:rPr>
        <w:t>resulta necesario partir de lo dispuesto</w:t>
      </w:r>
      <w:r>
        <w:rPr>
          <w:rFonts w:ascii="Verdana" w:eastAsia="Times New Roman" w:hAnsi="Verdana" w:cs="Arial"/>
          <w:lang w:val="es-ES" w:eastAsia="es-MX"/>
        </w:rPr>
        <w:t xml:space="preserve"> en el </w:t>
      </w:r>
      <w:r w:rsidRPr="00BC1770">
        <w:rPr>
          <w:rFonts w:ascii="Verdana" w:eastAsia="Times New Roman" w:hAnsi="Verdana" w:cs="Arial"/>
          <w:color w:val="1A1A1A" w:themeColor="background1" w:themeShade="1A"/>
          <w:lang w:val="es-ES" w:eastAsia="es-ES_tradnl"/>
        </w:rPr>
        <w:t xml:space="preserve">artículo 71 del Decreto 111 de 1996 –Estatuto Orgánico del Presupuesto– </w:t>
      </w:r>
      <w:r>
        <w:rPr>
          <w:rFonts w:ascii="Verdana" w:eastAsia="Times New Roman" w:hAnsi="Verdana" w:cs="Arial"/>
          <w:color w:val="1A1A1A" w:themeColor="background1" w:themeShade="1A"/>
          <w:lang w:val="es-ES" w:eastAsia="es-ES_tradnl"/>
        </w:rPr>
        <w:t xml:space="preserve">que dispone lo siguiente: </w:t>
      </w:r>
    </w:p>
    <w:p w14:paraId="4B3A7AA9" w14:textId="77777777" w:rsidR="00F64884" w:rsidRPr="00BC1770" w:rsidRDefault="00F64884" w:rsidP="00F64884">
      <w:pPr>
        <w:spacing w:after="0" w:line="276" w:lineRule="auto"/>
        <w:ind w:firstLine="709"/>
        <w:jc w:val="both"/>
        <w:rPr>
          <w:rFonts w:ascii="Verdana" w:eastAsia="Times New Roman" w:hAnsi="Verdana" w:cs="Arial"/>
          <w:color w:val="1A1A1A" w:themeColor="background1" w:themeShade="1A"/>
          <w:lang w:val="es-ES" w:eastAsia="es-ES_tradnl"/>
        </w:rPr>
      </w:pPr>
    </w:p>
    <w:p w14:paraId="1D80939E" w14:textId="77777777" w:rsidR="00F64884" w:rsidRDefault="00F64884" w:rsidP="00F64884">
      <w:pPr>
        <w:spacing w:after="0" w:line="240" w:lineRule="auto"/>
        <w:ind w:left="709" w:right="709"/>
        <w:jc w:val="both"/>
        <w:rPr>
          <w:rFonts w:ascii="Verdana" w:eastAsia="Times New Roman" w:hAnsi="Verdana" w:cs="Arial"/>
          <w:sz w:val="20"/>
          <w:szCs w:val="20"/>
          <w:lang w:val="es-ES" w:eastAsia="es-MX"/>
        </w:rPr>
      </w:pPr>
      <w:r w:rsidRPr="00FB1B6B">
        <w:rPr>
          <w:rFonts w:ascii="Verdana" w:eastAsia="Times New Roman" w:hAnsi="Verdana" w:cs="Arial"/>
          <w:sz w:val="20"/>
          <w:szCs w:val="20"/>
          <w:lang w:val="es-ES" w:eastAsia="es-MX"/>
        </w:rPr>
        <w:t>“</w:t>
      </w:r>
      <w:r>
        <w:rPr>
          <w:rFonts w:ascii="Verdana" w:eastAsia="Times New Roman" w:hAnsi="Verdana" w:cs="Arial"/>
          <w:sz w:val="20"/>
          <w:szCs w:val="20"/>
          <w:lang w:val="es-ES" w:eastAsia="es-MX"/>
        </w:rPr>
        <w:t xml:space="preserve">Artículo 71. </w:t>
      </w:r>
      <w:r w:rsidRPr="00FB1B6B">
        <w:rPr>
          <w:rFonts w:ascii="Verdana" w:eastAsia="Times New Roman" w:hAnsi="Verdana" w:cs="Arial"/>
          <w:sz w:val="20"/>
          <w:szCs w:val="20"/>
          <w:lang w:val="es-ES" w:eastAsia="es-MX"/>
        </w:rPr>
        <w:t xml:space="preserve">Todos los actos administrativos que afecten las apropiaciones presupuestales </w:t>
      </w:r>
      <w:r w:rsidRPr="00FB1B6B">
        <w:rPr>
          <w:rFonts w:ascii="Verdana" w:eastAsia="Times New Roman" w:hAnsi="Verdana" w:cs="Arial"/>
          <w:i/>
          <w:sz w:val="20"/>
          <w:szCs w:val="20"/>
          <w:u w:val="single"/>
          <w:lang w:val="es-ES" w:eastAsia="es-MX"/>
        </w:rPr>
        <w:t>deberán contar con certificados de disponibilidad previos</w:t>
      </w:r>
      <w:r w:rsidRPr="00FB1B6B">
        <w:rPr>
          <w:rFonts w:ascii="Verdana" w:eastAsia="Times New Roman" w:hAnsi="Verdana" w:cs="Arial"/>
          <w:sz w:val="20"/>
          <w:szCs w:val="20"/>
          <w:lang w:val="es-ES" w:eastAsia="es-MX"/>
        </w:rPr>
        <w:t xml:space="preserve"> que garanticen la existencia de apropiación suficiente para atender estos gastos.  </w:t>
      </w:r>
    </w:p>
    <w:p w14:paraId="68ABCF4A" w14:textId="77777777" w:rsidR="00F64884" w:rsidRPr="00FB1B6B" w:rsidRDefault="00F64884" w:rsidP="00F64884">
      <w:pPr>
        <w:spacing w:after="0" w:line="240" w:lineRule="auto"/>
        <w:ind w:left="709" w:right="709"/>
        <w:jc w:val="both"/>
        <w:rPr>
          <w:rFonts w:ascii="Verdana" w:eastAsia="Times New Roman" w:hAnsi="Verdana" w:cs="Arial"/>
          <w:sz w:val="20"/>
          <w:szCs w:val="20"/>
          <w:lang w:val="es-ES" w:eastAsia="es-MX"/>
        </w:rPr>
      </w:pPr>
    </w:p>
    <w:p w14:paraId="223C413F" w14:textId="77777777" w:rsidR="00F64884" w:rsidRDefault="00F64884" w:rsidP="00F64884">
      <w:pPr>
        <w:spacing w:after="0" w:line="240" w:lineRule="auto"/>
        <w:ind w:left="709" w:right="709"/>
        <w:jc w:val="both"/>
        <w:rPr>
          <w:rFonts w:ascii="Verdana" w:eastAsia="Times New Roman" w:hAnsi="Verdana" w:cs="Arial"/>
          <w:sz w:val="20"/>
          <w:szCs w:val="20"/>
          <w:lang w:val="es-ES" w:eastAsia="es-MX"/>
        </w:rPr>
      </w:pPr>
      <w:r w:rsidRPr="00FB1B6B">
        <w:rPr>
          <w:rFonts w:ascii="Verdana" w:eastAsia="Times New Roman" w:hAnsi="Verdana" w:cs="Arial"/>
          <w:sz w:val="20"/>
          <w:szCs w:val="20"/>
          <w:lang w:val="es-ES" w:eastAsia="es-MX"/>
        </w:rPr>
        <w:t>Igualmente, estos compromisos deberán contar con registro presupuestal para que los recursos con él financiados no sean desviados a ningún otro fin. En este registro se deberá indicar claramente el valor y el plazo de las prestaciones a las que haya lugar. Esta operación es un requisito de perfeccionamiento de estos actos administrativos.  </w:t>
      </w:r>
    </w:p>
    <w:p w14:paraId="7C9FCEEC" w14:textId="77777777" w:rsidR="00F64884" w:rsidRPr="00FB1B6B" w:rsidRDefault="00F64884" w:rsidP="00F64884">
      <w:pPr>
        <w:spacing w:after="0" w:line="240" w:lineRule="auto"/>
        <w:ind w:left="709" w:right="709"/>
        <w:jc w:val="both"/>
        <w:rPr>
          <w:rFonts w:ascii="Verdana" w:eastAsia="Times New Roman" w:hAnsi="Verdana" w:cs="Arial"/>
          <w:sz w:val="20"/>
          <w:szCs w:val="20"/>
          <w:lang w:val="es-ES" w:eastAsia="es-MX"/>
        </w:rPr>
      </w:pPr>
    </w:p>
    <w:p w14:paraId="19D2270D" w14:textId="77777777" w:rsidR="00F64884" w:rsidRDefault="00F64884" w:rsidP="00F64884">
      <w:pPr>
        <w:spacing w:after="0" w:line="240" w:lineRule="auto"/>
        <w:ind w:left="709" w:right="709"/>
        <w:jc w:val="both"/>
        <w:rPr>
          <w:rFonts w:ascii="Verdana" w:eastAsia="Times New Roman" w:hAnsi="Verdana" w:cs="Arial"/>
          <w:sz w:val="20"/>
          <w:szCs w:val="20"/>
          <w:lang w:val="es-ES" w:eastAsia="es-MX"/>
        </w:rPr>
      </w:pPr>
      <w:r w:rsidRPr="00FB1B6B">
        <w:rPr>
          <w:rFonts w:ascii="Verdana" w:eastAsia="Times New Roman" w:hAnsi="Verdana" w:cs="Arial"/>
          <w:sz w:val="20"/>
          <w:szCs w:val="20"/>
          <w:lang w:val="es-ES" w:eastAsia="es-MX"/>
        </w:rPr>
        <w:t xml:space="preserve">En consecuencia, </w:t>
      </w:r>
      <w:r w:rsidRPr="00FB1B6B">
        <w:rPr>
          <w:rFonts w:ascii="Verdana" w:eastAsia="Times New Roman" w:hAnsi="Verdana" w:cs="Arial"/>
          <w:i/>
          <w:sz w:val="20"/>
          <w:szCs w:val="20"/>
          <w:u w:val="single"/>
          <w:lang w:val="es-ES" w:eastAsia="es-MX"/>
        </w:rPr>
        <w:t>ninguna autoridad podrá contraer obligaciones sobre apropiaciones inexistentes</w:t>
      </w:r>
      <w:r w:rsidRPr="00FB1B6B">
        <w:rPr>
          <w:rFonts w:ascii="Verdana" w:eastAsia="Times New Roman" w:hAnsi="Verdana" w:cs="Arial"/>
          <w:sz w:val="20"/>
          <w:szCs w:val="20"/>
          <w:lang w:val="es-ES" w:eastAsia="es-MX"/>
        </w:rPr>
        <w:t>, o en exceso del saldo disponible, o sin la autorización previa del CONFIS o por quien éste delegue, para comprometer vigencias futuras y la adquisición de compromisos con cargo a los recursos del crédito autorizados.  </w:t>
      </w:r>
    </w:p>
    <w:p w14:paraId="2E30E62E" w14:textId="77777777" w:rsidR="00F64884" w:rsidRPr="00FB1B6B" w:rsidRDefault="00F64884" w:rsidP="00F64884">
      <w:pPr>
        <w:spacing w:after="0" w:line="240" w:lineRule="auto"/>
        <w:ind w:left="709" w:right="709"/>
        <w:jc w:val="both"/>
        <w:rPr>
          <w:rFonts w:ascii="Verdana" w:eastAsia="Times New Roman" w:hAnsi="Verdana" w:cs="Arial"/>
          <w:sz w:val="20"/>
          <w:szCs w:val="20"/>
          <w:lang w:val="es-ES" w:eastAsia="es-MX"/>
        </w:rPr>
      </w:pPr>
    </w:p>
    <w:p w14:paraId="24FB3EFD" w14:textId="77777777" w:rsidR="00F64884" w:rsidRPr="00FB1B6B" w:rsidRDefault="00F64884" w:rsidP="00F64884">
      <w:pPr>
        <w:spacing w:after="0" w:line="240" w:lineRule="auto"/>
        <w:ind w:left="709" w:right="709"/>
        <w:jc w:val="both"/>
        <w:rPr>
          <w:rFonts w:ascii="Verdana" w:eastAsia="Times New Roman" w:hAnsi="Verdana" w:cs="Arial"/>
          <w:sz w:val="20"/>
          <w:szCs w:val="20"/>
          <w:lang w:val="es-ES" w:eastAsia="es-MX"/>
        </w:rPr>
      </w:pPr>
      <w:r w:rsidRPr="00FB1B6B">
        <w:rPr>
          <w:rFonts w:ascii="Verdana" w:eastAsia="Times New Roman" w:hAnsi="Verdana" w:cs="Arial"/>
          <w:sz w:val="20"/>
          <w:szCs w:val="20"/>
          <w:lang w:val="es-ES" w:eastAsia="es-MX"/>
        </w:rPr>
        <w:t>[…]  </w:t>
      </w:r>
    </w:p>
    <w:p w14:paraId="55AC464D" w14:textId="77777777" w:rsidR="00F64884" w:rsidRDefault="00F64884" w:rsidP="00F64884">
      <w:pPr>
        <w:spacing w:after="0" w:line="240" w:lineRule="auto"/>
        <w:ind w:left="709" w:right="709"/>
        <w:jc w:val="both"/>
        <w:rPr>
          <w:rFonts w:ascii="Verdana" w:eastAsia="Times New Roman" w:hAnsi="Verdana" w:cs="Arial"/>
          <w:sz w:val="20"/>
          <w:szCs w:val="20"/>
          <w:lang w:val="es-ES" w:eastAsia="es-MX"/>
        </w:rPr>
      </w:pPr>
    </w:p>
    <w:p w14:paraId="4D11E25F" w14:textId="77777777" w:rsidR="00F64884" w:rsidRPr="00FB1B6B" w:rsidRDefault="00F64884" w:rsidP="00F64884">
      <w:pPr>
        <w:spacing w:after="0" w:line="240" w:lineRule="auto"/>
        <w:ind w:left="709" w:right="709"/>
        <w:jc w:val="both"/>
        <w:rPr>
          <w:rFonts w:ascii="Verdana" w:eastAsia="Times New Roman" w:hAnsi="Verdana" w:cs="Arial"/>
          <w:sz w:val="20"/>
          <w:szCs w:val="20"/>
          <w:lang w:val="es-ES" w:eastAsia="es-MX"/>
        </w:rPr>
      </w:pPr>
      <w:r w:rsidRPr="00FB1B6B">
        <w:rPr>
          <w:rFonts w:ascii="Verdana" w:eastAsia="Times New Roman" w:hAnsi="Verdana" w:cs="Arial"/>
          <w:sz w:val="20"/>
          <w:szCs w:val="20"/>
          <w:lang w:val="es-ES" w:eastAsia="es-MX"/>
        </w:rPr>
        <w:t>Cualquier compromiso que se adquiera con violación de estos preceptos creará responsabilidad personal y pecuniaria a cargo de quien asuma estas obligaciones (Ley 38 de 1989, art. 86, Ley 179 de 1994, art. 49)” [Énfasis fuera del texto original].</w:t>
      </w:r>
    </w:p>
    <w:p w14:paraId="42262DA7" w14:textId="77777777" w:rsidR="00F64884" w:rsidRPr="00BC1770" w:rsidRDefault="00F64884" w:rsidP="00F64884">
      <w:pPr>
        <w:spacing w:after="0" w:line="276" w:lineRule="auto"/>
        <w:jc w:val="both"/>
        <w:rPr>
          <w:rFonts w:ascii="Verdana" w:eastAsia="Century Gothic" w:hAnsi="Verdana" w:cs="Century Gothic"/>
          <w:lang w:val="es-ES"/>
        </w:rPr>
      </w:pPr>
    </w:p>
    <w:p w14:paraId="4DB24306" w14:textId="77777777" w:rsidR="00F64884" w:rsidRDefault="00F64884" w:rsidP="00F64884">
      <w:pPr>
        <w:spacing w:after="120" w:line="276" w:lineRule="auto"/>
        <w:ind w:firstLine="709"/>
        <w:jc w:val="both"/>
        <w:rPr>
          <w:rFonts w:ascii="Verdana" w:eastAsia="Times New Roman" w:hAnsi="Verdana" w:cs="Arial"/>
          <w:color w:val="1A1A1A" w:themeColor="background1" w:themeShade="1A"/>
          <w:lang w:val="es-ES" w:eastAsia="es-ES_tradnl"/>
        </w:rPr>
      </w:pPr>
      <w:r w:rsidRPr="00336521">
        <w:rPr>
          <w:rFonts w:ascii="Verdana" w:eastAsia="Times New Roman" w:hAnsi="Verdana" w:cs="Arial"/>
          <w:color w:val="1A1A1A" w:themeColor="background1" w:themeShade="1A"/>
          <w:lang w:val="es-ES" w:eastAsia="es-ES_tradnl"/>
        </w:rPr>
        <w:t>De lo anterior se desprende que la afectación del presupuesto público está condicionada al cumplimiento previo de una serie de requisitos orientados a garantizar la legalidad del gasto</w:t>
      </w:r>
      <w:r>
        <w:rPr>
          <w:rFonts w:ascii="Verdana" w:eastAsia="Times New Roman" w:hAnsi="Verdana" w:cs="Arial"/>
          <w:color w:val="1A1A1A" w:themeColor="background1" w:themeShade="1A"/>
          <w:lang w:val="es-ES" w:eastAsia="es-ES_tradnl"/>
        </w:rPr>
        <w:t xml:space="preserve">, que implica que </w:t>
      </w:r>
      <w:r w:rsidRPr="00336521">
        <w:rPr>
          <w:rFonts w:ascii="Verdana" w:eastAsia="Times New Roman" w:hAnsi="Verdana" w:cs="Arial"/>
          <w:color w:val="1A1A1A" w:themeColor="background1" w:themeShade="1A"/>
          <w:lang w:val="es-ES" w:eastAsia="es-ES_tradnl"/>
        </w:rPr>
        <w:t xml:space="preserve">toda obligación que pretenda asumirse con cargo al presupuesto debe contar con el correspondiente certificado de disponibilidad presupuestal y con el registro presupuestal que formaliza el compromiso de los recursos públicos. Asimismo, la disposición prohíbe expresamente contraer obligaciones sobre apropiaciones inexistentes o </w:t>
      </w:r>
      <w:r w:rsidRPr="00336521">
        <w:rPr>
          <w:rFonts w:ascii="Verdana" w:eastAsia="Times New Roman" w:hAnsi="Verdana" w:cs="Arial"/>
          <w:color w:val="1A1A1A" w:themeColor="background1" w:themeShade="1A"/>
          <w:lang w:val="es-ES" w:eastAsia="es-ES_tradnl"/>
        </w:rPr>
        <w:lastRenderedPageBreak/>
        <w:t>sin observar los requisitos previstos por el ordenamiento jurídico, con el propósito de asegurar que las entidades estatales únicamente comprometan recursos previamente autorizados y apropiados.</w:t>
      </w:r>
    </w:p>
    <w:p w14:paraId="4AC21179" w14:textId="77777777" w:rsidR="00F64884" w:rsidRDefault="00F64884" w:rsidP="00F64884">
      <w:pPr>
        <w:spacing w:after="120" w:line="276" w:lineRule="auto"/>
        <w:ind w:firstLine="709"/>
        <w:jc w:val="both"/>
        <w:rPr>
          <w:rFonts w:ascii="Verdana" w:eastAsia="Times New Roman" w:hAnsi="Verdana" w:cs="Arial"/>
          <w:color w:val="1A1A1A" w:themeColor="background1" w:themeShade="1A"/>
          <w:lang w:val="es-ES" w:eastAsia="es-ES_tradnl"/>
        </w:rPr>
      </w:pPr>
      <w:r w:rsidRPr="00AE361F">
        <w:rPr>
          <w:rFonts w:ascii="Verdana" w:eastAsia="Times New Roman" w:hAnsi="Verdana" w:cs="Arial"/>
          <w:color w:val="1A1A1A" w:themeColor="background1" w:themeShade="1A"/>
          <w:lang w:val="es-ES" w:eastAsia="es-ES_tradnl"/>
        </w:rPr>
        <w:t xml:space="preserve">En consonancia con </w:t>
      </w:r>
      <w:r>
        <w:rPr>
          <w:rFonts w:ascii="Verdana" w:eastAsia="Times New Roman" w:hAnsi="Verdana" w:cs="Arial"/>
          <w:color w:val="1A1A1A" w:themeColor="background1" w:themeShade="1A"/>
          <w:lang w:val="es-ES" w:eastAsia="es-ES_tradnl"/>
        </w:rPr>
        <w:t xml:space="preserve">lo anterior, </w:t>
      </w:r>
      <w:r w:rsidRPr="00AE361F">
        <w:rPr>
          <w:rFonts w:ascii="Verdana" w:eastAsia="Times New Roman" w:hAnsi="Verdana" w:cs="Arial"/>
          <w:color w:val="1A1A1A" w:themeColor="background1" w:themeShade="1A"/>
          <w:lang w:val="es-ES" w:eastAsia="es-ES_tradnl"/>
        </w:rPr>
        <w:t xml:space="preserve">el artículo 14 de la Ley 2342 de 2025 </w:t>
      </w:r>
      <w:r>
        <w:rPr>
          <w:rFonts w:ascii="Verdana" w:eastAsia="Times New Roman" w:hAnsi="Verdana" w:cs="Arial"/>
          <w:color w:val="1A1A1A" w:themeColor="background1" w:themeShade="1A"/>
          <w:lang w:val="es-ES" w:eastAsia="es-ES_tradnl"/>
        </w:rPr>
        <w:t>“</w:t>
      </w:r>
      <w:r w:rsidRPr="00BB7064">
        <w:rPr>
          <w:rFonts w:ascii="Verdana" w:eastAsia="Times New Roman" w:hAnsi="Verdana" w:cs="Arial"/>
          <w:color w:val="1A1A1A" w:themeColor="background1" w:themeShade="1A"/>
          <w:lang w:val="es-ES" w:eastAsia="es-ES_tradnl"/>
        </w:rPr>
        <w:t>Por la cual se decreta el Presupuesto de Rentas y Recursos de Capital y Ley de Apropiaciones para la vigencia fiscal del 1o de enero al 31 de diciembre de 2026</w:t>
      </w:r>
      <w:r>
        <w:rPr>
          <w:rFonts w:ascii="Verdana" w:eastAsia="Times New Roman" w:hAnsi="Verdana" w:cs="Arial"/>
          <w:color w:val="1A1A1A" w:themeColor="background1" w:themeShade="1A"/>
          <w:lang w:val="es-ES" w:eastAsia="es-ES_tradnl"/>
        </w:rPr>
        <w:t>” contempla</w:t>
      </w:r>
      <w:r w:rsidRPr="00AE361F">
        <w:rPr>
          <w:rFonts w:ascii="Verdana" w:eastAsia="Times New Roman" w:hAnsi="Verdana" w:cs="Arial"/>
          <w:color w:val="1A1A1A" w:themeColor="background1" w:themeShade="1A"/>
          <w:lang w:val="es-ES" w:eastAsia="es-ES_tradnl"/>
        </w:rPr>
        <w:t xml:space="preserve"> expresamente el tratamiento presupuestal de los hechos cumplidos</w:t>
      </w:r>
      <w:r>
        <w:rPr>
          <w:rFonts w:ascii="Verdana" w:eastAsia="Times New Roman" w:hAnsi="Verdana" w:cs="Arial"/>
          <w:color w:val="1A1A1A" w:themeColor="background1" w:themeShade="1A"/>
          <w:lang w:val="es-ES" w:eastAsia="es-ES_tradnl"/>
        </w:rPr>
        <w:t xml:space="preserve"> en los siguientes términos: </w:t>
      </w:r>
    </w:p>
    <w:p w14:paraId="12253610" w14:textId="77777777" w:rsidR="00F64884" w:rsidRPr="0035748E" w:rsidRDefault="00F64884" w:rsidP="00F64884">
      <w:pPr>
        <w:spacing w:after="0" w:line="240" w:lineRule="auto"/>
        <w:ind w:left="709" w:right="709"/>
        <w:jc w:val="both"/>
        <w:rPr>
          <w:rFonts w:ascii="Verdana" w:eastAsia="Times New Roman" w:hAnsi="Verdana" w:cs="Arial"/>
          <w:sz w:val="20"/>
          <w:szCs w:val="20"/>
          <w:lang w:val="es-ES" w:eastAsia="es-MX"/>
        </w:rPr>
      </w:pPr>
      <w:bookmarkStart w:id="4" w:name="14"/>
      <w:r w:rsidRPr="0035748E">
        <w:rPr>
          <w:rFonts w:ascii="Verdana" w:eastAsia="Times New Roman" w:hAnsi="Verdana" w:cs="Arial"/>
          <w:sz w:val="20"/>
          <w:szCs w:val="20"/>
          <w:lang w:val="es-ES" w:eastAsia="es-MX"/>
        </w:rPr>
        <w:br/>
      </w:r>
      <w:r>
        <w:rPr>
          <w:rFonts w:ascii="Verdana" w:eastAsia="Times New Roman" w:hAnsi="Verdana" w:cs="Arial"/>
          <w:sz w:val="20"/>
          <w:szCs w:val="20"/>
          <w:lang w:val="es-ES" w:eastAsia="es-MX"/>
        </w:rPr>
        <w:t>“</w:t>
      </w:r>
      <w:r w:rsidRPr="0035748E">
        <w:rPr>
          <w:rFonts w:ascii="Verdana" w:eastAsia="Times New Roman" w:hAnsi="Verdana" w:cs="Arial"/>
          <w:sz w:val="20"/>
          <w:szCs w:val="20"/>
          <w:lang w:val="es-ES" w:eastAsia="es-MX"/>
        </w:rPr>
        <w:t>ARTÍCULO 14.</w:t>
      </w:r>
      <w:bookmarkEnd w:id="4"/>
      <w:r w:rsidRPr="0035748E">
        <w:rPr>
          <w:rFonts w:ascii="Verdana" w:eastAsia="Times New Roman" w:hAnsi="Verdana" w:cs="Arial"/>
          <w:sz w:val="20"/>
          <w:szCs w:val="20"/>
          <w:lang w:val="es-ES" w:eastAsia="es-MX"/>
        </w:rPr>
        <w:t> </w:t>
      </w:r>
      <w:r w:rsidRPr="0035748E">
        <w:rPr>
          <w:rFonts w:ascii="Verdana" w:eastAsia="Times New Roman" w:hAnsi="Verdana" w:cs="Arial"/>
          <w:i/>
          <w:iCs/>
          <w:sz w:val="20"/>
          <w:szCs w:val="20"/>
          <w:lang w:val="es-ES" w:eastAsia="es-MX"/>
        </w:rPr>
        <w:t>Prohíbase tramitar actos administrativos u obligaciones que afecten el presupuesto de gastos cuando no reúnan los requisitos legales o se configuren como hechos cumplidos</w:t>
      </w:r>
      <w:r w:rsidRPr="0035748E">
        <w:rPr>
          <w:rFonts w:ascii="Verdana" w:eastAsia="Times New Roman" w:hAnsi="Verdana" w:cs="Arial"/>
          <w:sz w:val="20"/>
          <w:szCs w:val="20"/>
          <w:lang w:val="es-ES" w:eastAsia="es-MX"/>
        </w:rPr>
        <w:t>. El representante legal y ordenador del gasto o en quienes estos hayan delegado, responderán disciplinaria, fiscal y penalmente por incumplir lo establecido en esta norma</w:t>
      </w:r>
      <w:r>
        <w:rPr>
          <w:rFonts w:ascii="Verdana" w:eastAsia="Times New Roman" w:hAnsi="Verdana" w:cs="Arial"/>
          <w:sz w:val="20"/>
          <w:szCs w:val="20"/>
          <w:lang w:val="es-ES" w:eastAsia="es-MX"/>
        </w:rPr>
        <w:t>”</w:t>
      </w:r>
      <w:r w:rsidRPr="0035748E">
        <w:rPr>
          <w:rFonts w:ascii="Verdana" w:eastAsia="Times New Roman" w:hAnsi="Verdana" w:cs="Arial"/>
          <w:sz w:val="20"/>
          <w:szCs w:val="20"/>
          <w:lang w:val="es-ES" w:eastAsia="es-MX"/>
        </w:rPr>
        <w:t>.</w:t>
      </w:r>
      <w:r w:rsidRPr="00887434">
        <w:rPr>
          <w:rFonts w:ascii="Verdana" w:eastAsia="Times New Roman" w:hAnsi="Verdana" w:cs="Arial"/>
          <w:sz w:val="20"/>
          <w:szCs w:val="20"/>
          <w:lang w:val="es-ES" w:eastAsia="es-MX"/>
        </w:rPr>
        <w:t xml:space="preserve"> </w:t>
      </w:r>
      <w:r w:rsidRPr="00FB1B6B">
        <w:rPr>
          <w:rFonts w:ascii="Verdana" w:eastAsia="Times New Roman" w:hAnsi="Verdana" w:cs="Arial"/>
          <w:sz w:val="20"/>
          <w:szCs w:val="20"/>
          <w:lang w:val="es-ES" w:eastAsia="es-MX"/>
        </w:rPr>
        <w:t>[Énfasis fuera del texto original].</w:t>
      </w:r>
    </w:p>
    <w:p w14:paraId="3897B4E4" w14:textId="77777777" w:rsidR="00F64884" w:rsidRDefault="00F64884" w:rsidP="00F64884">
      <w:pPr>
        <w:spacing w:after="0" w:line="276" w:lineRule="auto"/>
        <w:ind w:firstLine="709"/>
        <w:jc w:val="both"/>
        <w:rPr>
          <w:rFonts w:ascii="Verdana" w:eastAsia="Times New Roman" w:hAnsi="Verdana" w:cs="Arial"/>
          <w:color w:val="1A1A1A" w:themeColor="background1" w:themeShade="1A"/>
          <w:lang w:val="es-ES" w:eastAsia="es-ES_tradnl"/>
        </w:rPr>
      </w:pPr>
    </w:p>
    <w:p w14:paraId="2F0367B2" w14:textId="77777777" w:rsidR="00F64884" w:rsidRDefault="00F64884" w:rsidP="00F64884">
      <w:pPr>
        <w:spacing w:after="120" w:line="276" w:lineRule="auto"/>
        <w:ind w:firstLine="709"/>
        <w:jc w:val="both"/>
        <w:rPr>
          <w:rFonts w:ascii="Verdana" w:eastAsia="Times New Roman" w:hAnsi="Verdana" w:cs="Arial"/>
          <w:color w:val="1A1A1A" w:themeColor="background1" w:themeShade="1A"/>
          <w:lang w:val="es-ES" w:eastAsia="es-ES_tradnl"/>
        </w:rPr>
      </w:pPr>
      <w:r w:rsidRPr="00467C83">
        <w:rPr>
          <w:rFonts w:ascii="Verdana" w:eastAsia="Times New Roman" w:hAnsi="Verdana" w:cs="Arial"/>
          <w:color w:val="1A1A1A" w:themeColor="background1" w:themeShade="1A"/>
          <w:lang w:val="es-ES" w:eastAsia="es-ES_tradnl"/>
        </w:rPr>
        <w:t>Esta disposición ratifica la prohibición</w:t>
      </w:r>
      <w:r>
        <w:rPr>
          <w:rFonts w:ascii="Verdana" w:eastAsia="Times New Roman" w:hAnsi="Verdana" w:cs="Arial"/>
          <w:color w:val="1A1A1A" w:themeColor="background1" w:themeShade="1A"/>
          <w:lang w:val="es-ES" w:eastAsia="es-ES_tradnl"/>
        </w:rPr>
        <w:t xml:space="preserve"> </w:t>
      </w:r>
      <w:r w:rsidRPr="008F26C7">
        <w:rPr>
          <w:rFonts w:ascii="Verdana" w:eastAsia="Times New Roman" w:hAnsi="Verdana" w:cs="Arial"/>
          <w:color w:val="1A1A1A" w:themeColor="background1" w:themeShade="1A"/>
          <w:lang w:eastAsia="es-ES_tradnl"/>
        </w:rPr>
        <w:t xml:space="preserve">de afectar el presupuesto mediante actos u obligaciones que desconozcan los requisitos legales de ejecución del gasto y, además, reconoce expresamente que esa prohibición comprende los </w:t>
      </w:r>
      <w:r w:rsidRPr="008F26C7">
        <w:rPr>
          <w:rFonts w:ascii="Verdana" w:eastAsia="Times New Roman" w:hAnsi="Verdana" w:cs="Arial"/>
          <w:i/>
          <w:iCs/>
          <w:color w:val="1A1A1A" w:themeColor="background1" w:themeShade="1A"/>
          <w:lang w:eastAsia="es-ES_tradnl"/>
        </w:rPr>
        <w:t>hechos cumplidos</w:t>
      </w:r>
      <w:r w:rsidRPr="00467C83">
        <w:rPr>
          <w:rFonts w:ascii="Verdana" w:eastAsia="Times New Roman" w:hAnsi="Verdana" w:cs="Arial"/>
          <w:color w:val="1A1A1A" w:themeColor="background1" w:themeShade="1A"/>
          <w:lang w:val="es-ES" w:eastAsia="es-ES_tradnl"/>
        </w:rPr>
        <w:t>. De esta manera,</w:t>
      </w:r>
      <w:r>
        <w:rPr>
          <w:rFonts w:ascii="Verdana" w:eastAsia="Times New Roman" w:hAnsi="Verdana" w:cs="Arial"/>
          <w:color w:val="1A1A1A" w:themeColor="background1" w:themeShade="1A"/>
          <w:lang w:val="es-ES" w:eastAsia="es-ES_tradnl"/>
        </w:rPr>
        <w:t xml:space="preserve"> el legislador </w:t>
      </w:r>
      <w:r w:rsidRPr="00D11E94">
        <w:rPr>
          <w:rFonts w:ascii="Verdana" w:eastAsia="Times New Roman" w:hAnsi="Verdana" w:cs="Arial"/>
          <w:color w:val="1A1A1A" w:themeColor="background1" w:themeShade="1A"/>
          <w:lang w:val="es-ES" w:eastAsia="es-ES_tradnl"/>
        </w:rPr>
        <w:t xml:space="preserve">incorpora esta figura al ámbito del régimen presupuestal y confirma que el presupuesto público no puede utilizarse para reconocer obligaciones originadas al margen de las exigencias legales que </w:t>
      </w:r>
      <w:r>
        <w:rPr>
          <w:rFonts w:ascii="Verdana" w:eastAsia="Times New Roman" w:hAnsi="Verdana" w:cs="Arial"/>
          <w:color w:val="1A1A1A" w:themeColor="background1" w:themeShade="1A"/>
          <w:lang w:val="es-ES" w:eastAsia="es-ES_tradnl"/>
        </w:rPr>
        <w:t>regulan</w:t>
      </w:r>
      <w:r w:rsidRPr="00D11E94">
        <w:rPr>
          <w:rFonts w:ascii="Verdana" w:eastAsia="Times New Roman" w:hAnsi="Verdana" w:cs="Arial"/>
          <w:color w:val="1A1A1A" w:themeColor="background1" w:themeShade="1A"/>
          <w:lang w:val="es-ES" w:eastAsia="es-ES_tradnl"/>
        </w:rPr>
        <w:t xml:space="preserve"> la ejecución del gasto.</w:t>
      </w:r>
    </w:p>
    <w:p w14:paraId="30ADDB7A" w14:textId="77777777" w:rsidR="00F64884" w:rsidRDefault="00F64884" w:rsidP="00F64884">
      <w:pPr>
        <w:spacing w:after="120" w:line="276" w:lineRule="auto"/>
        <w:ind w:firstLine="709"/>
        <w:jc w:val="both"/>
        <w:rPr>
          <w:rFonts w:ascii="Verdana" w:eastAsia="Times New Roman" w:hAnsi="Verdana" w:cs="Arial"/>
          <w:color w:val="1A1A1A" w:themeColor="background1" w:themeShade="1A"/>
          <w:lang w:val="es-ES" w:eastAsia="es-ES_tradnl"/>
        </w:rPr>
      </w:pPr>
      <w:r>
        <w:rPr>
          <w:rFonts w:ascii="Verdana" w:eastAsia="Times New Roman" w:hAnsi="Verdana" w:cs="Arial"/>
          <w:color w:val="1A1A1A" w:themeColor="background1" w:themeShade="1A"/>
          <w:lang w:val="es-ES" w:eastAsia="es-ES_tradnl"/>
        </w:rPr>
        <w:t xml:space="preserve">De igual forma, el Decreto 1068 de 2015 </w:t>
      </w:r>
      <w:r w:rsidRPr="005A2C96">
        <w:rPr>
          <w:rFonts w:ascii="Verdana" w:eastAsia="Times New Roman" w:hAnsi="Verdana" w:cs="Arial"/>
          <w:color w:val="1A1A1A" w:themeColor="background1" w:themeShade="1A"/>
          <w:lang w:val="es-ES" w:eastAsia="es-ES_tradnl"/>
        </w:rPr>
        <w:t xml:space="preserve">“Por medio del cual se expide el Decreto Único </w:t>
      </w:r>
      <w:r w:rsidRPr="00341622">
        <w:rPr>
          <w:rFonts w:ascii="Verdana" w:eastAsia="Times New Roman" w:hAnsi="Verdana" w:cs="Arial"/>
          <w:color w:val="1A1A1A" w:themeColor="background1" w:themeShade="1A"/>
          <w:lang w:val="es-ES" w:eastAsia="es-ES_tradnl"/>
        </w:rPr>
        <w:t xml:space="preserve">Reglamentario del Sector Hacienda y Crédito Público”, contempla </w:t>
      </w:r>
      <w:r w:rsidRPr="00341622">
        <w:rPr>
          <w:rFonts w:ascii="Verdana" w:eastAsia="Times New Roman" w:hAnsi="Verdana" w:cs="Arial"/>
          <w:color w:val="1A1A1A" w:themeColor="background1" w:themeShade="1A"/>
          <w:lang w:val="es-ES" w:eastAsia="es-ES_tradnl"/>
        </w:rPr>
        <w:lastRenderedPageBreak/>
        <w:t xml:space="preserve">en los artículos </w:t>
      </w:r>
      <w:r w:rsidRPr="00341622">
        <w:rPr>
          <w:rFonts w:ascii="Verdana" w:eastAsia="Times New Roman" w:hAnsi="Verdana" w:cs="Arial"/>
          <w:color w:val="1A1A1A" w:themeColor="background1" w:themeShade="1A"/>
          <w:lang w:eastAsia="es-ES_tradnl"/>
        </w:rPr>
        <w:t>2.6.6.2.10</w:t>
      </w:r>
      <w:r w:rsidRPr="00341622">
        <w:rPr>
          <w:rStyle w:val="Refdenotaalpie"/>
          <w:rFonts w:ascii="Verdana" w:eastAsia="Times New Roman" w:hAnsi="Verdana" w:cs="Arial"/>
          <w:color w:val="1A1A1A" w:themeColor="background1" w:themeShade="1A"/>
          <w:lang w:eastAsia="es-ES_tradnl"/>
        </w:rPr>
        <w:footnoteReference w:id="7"/>
      </w:r>
      <w:r w:rsidRPr="00341622">
        <w:rPr>
          <w:rFonts w:ascii="Verdana" w:eastAsia="Times New Roman" w:hAnsi="Verdana" w:cs="Arial"/>
          <w:color w:val="1A1A1A" w:themeColor="background1" w:themeShade="1A"/>
          <w:lang w:eastAsia="es-ES_tradnl"/>
        </w:rPr>
        <w:t xml:space="preserve">, </w:t>
      </w:r>
      <w:r w:rsidRPr="00341622">
        <w:rPr>
          <w:rStyle w:val="Fuerte"/>
          <w:rFonts w:ascii="Verdana" w:hAnsi="Verdana"/>
          <w:b w:val="0"/>
          <w:bCs w:val="0"/>
          <w:color w:val="333333"/>
          <w:shd w:val="clear" w:color="auto" w:fill="FFFFFF"/>
        </w:rPr>
        <w:t>2.10.1.5.3.10</w:t>
      </w:r>
      <w:r w:rsidRPr="00341622">
        <w:rPr>
          <w:rStyle w:val="Refdenotaalpie"/>
          <w:rFonts w:ascii="Verdana" w:hAnsi="Verdana"/>
          <w:color w:val="333333"/>
          <w:shd w:val="clear" w:color="auto" w:fill="FFFFFF"/>
        </w:rPr>
        <w:footnoteReference w:id="8"/>
      </w:r>
      <w:r w:rsidRPr="00341622">
        <w:rPr>
          <w:rStyle w:val="Fuerte"/>
          <w:rFonts w:ascii="Verdana" w:hAnsi="Verdana"/>
          <w:b w:val="0"/>
          <w:bCs w:val="0"/>
          <w:color w:val="333333"/>
          <w:shd w:val="clear" w:color="auto" w:fill="FFFFFF"/>
        </w:rPr>
        <w:t>, 2.8.3.2.9</w:t>
      </w:r>
      <w:r w:rsidRPr="00341622">
        <w:rPr>
          <w:rStyle w:val="Refdenotaalpie"/>
          <w:rFonts w:ascii="Verdana" w:hAnsi="Verdana"/>
          <w:color w:val="333333"/>
          <w:shd w:val="clear" w:color="auto" w:fill="FFFFFF"/>
        </w:rPr>
        <w:footnoteReference w:id="9"/>
      </w:r>
      <w:r>
        <w:rPr>
          <w:rStyle w:val="Fuerte"/>
          <w:rFonts w:ascii="Verdana" w:hAnsi="Verdana"/>
          <w:b w:val="0"/>
          <w:bCs w:val="0"/>
          <w:color w:val="333333"/>
          <w:shd w:val="clear" w:color="auto" w:fill="FFFFFF"/>
        </w:rPr>
        <w:t xml:space="preserve">, la figura de los hechos cumplidos, al determinar cómo prohibición expedir actos y obligaciones que afecten el presupuesto de gastos cuando no reúnan los requisitos legales o se configuren como hechos cumplidos. </w:t>
      </w:r>
    </w:p>
    <w:p w14:paraId="18C9998F" w14:textId="77777777" w:rsidR="00F64884" w:rsidRDefault="00F64884" w:rsidP="00F64884">
      <w:pPr>
        <w:spacing w:after="120" w:line="276" w:lineRule="auto"/>
        <w:ind w:firstLine="709"/>
        <w:jc w:val="both"/>
        <w:rPr>
          <w:rFonts w:ascii="Verdana" w:eastAsia="Times New Roman" w:hAnsi="Verdana" w:cs="Arial"/>
          <w:color w:val="1A1A1A" w:themeColor="background1" w:themeShade="1A"/>
          <w:lang w:val="es-ES" w:eastAsia="es-ES_tradnl"/>
        </w:rPr>
      </w:pPr>
      <w:r w:rsidRPr="001530D1">
        <w:rPr>
          <w:rFonts w:ascii="Verdana" w:eastAsia="Times New Roman" w:hAnsi="Verdana" w:cs="Arial"/>
          <w:color w:val="1A1A1A" w:themeColor="background1" w:themeShade="1A"/>
          <w:lang w:val="es-ES" w:eastAsia="es-ES_tradnl"/>
        </w:rPr>
        <w:t xml:space="preserve">Así las cosas, las disposiciones analizadas permiten concluir que el denominado </w:t>
      </w:r>
      <w:r w:rsidRPr="000B43B3">
        <w:rPr>
          <w:rFonts w:ascii="Verdana" w:eastAsia="Times New Roman" w:hAnsi="Verdana" w:cs="Arial"/>
          <w:i/>
          <w:iCs/>
          <w:color w:val="1A1A1A" w:themeColor="background1" w:themeShade="1A"/>
          <w:lang w:val="es-ES" w:eastAsia="es-ES_tradnl"/>
        </w:rPr>
        <w:t>hecho cumplido</w:t>
      </w:r>
      <w:r w:rsidRPr="001530D1">
        <w:rPr>
          <w:rFonts w:ascii="Verdana" w:eastAsia="Times New Roman" w:hAnsi="Verdana" w:cs="Arial"/>
          <w:color w:val="1A1A1A" w:themeColor="background1" w:themeShade="1A"/>
          <w:lang w:val="es-ES" w:eastAsia="es-ES_tradnl"/>
        </w:rPr>
        <w:t xml:space="preserve"> tiene un origen</w:t>
      </w:r>
      <w:r>
        <w:rPr>
          <w:rFonts w:ascii="Verdana" w:eastAsia="Times New Roman" w:hAnsi="Verdana" w:cs="Arial"/>
          <w:color w:val="1A1A1A" w:themeColor="background1" w:themeShade="1A"/>
          <w:lang w:val="es-ES" w:eastAsia="es-ES_tradnl"/>
        </w:rPr>
        <w:t xml:space="preserve"> eminentemente</w:t>
      </w:r>
      <w:r w:rsidRPr="001530D1">
        <w:rPr>
          <w:rFonts w:ascii="Verdana" w:eastAsia="Times New Roman" w:hAnsi="Verdana" w:cs="Arial"/>
          <w:color w:val="1A1A1A" w:themeColor="background1" w:themeShade="1A"/>
          <w:lang w:val="es-ES" w:eastAsia="es-ES_tradnl"/>
        </w:rPr>
        <w:t xml:space="preserve"> presupuestal, aunque produce efectos directos en el ámbito de la contratación estatal. </w:t>
      </w:r>
      <w:r>
        <w:rPr>
          <w:rFonts w:ascii="Verdana" w:eastAsia="Times New Roman" w:hAnsi="Verdana" w:cs="Arial"/>
          <w:color w:val="1A1A1A" w:themeColor="background1" w:themeShade="1A"/>
          <w:lang w:val="es-ES" w:eastAsia="es-ES_tradnl"/>
        </w:rPr>
        <w:t>Esta relación se refleja en</w:t>
      </w:r>
      <w:r w:rsidRPr="001530D1">
        <w:rPr>
          <w:rFonts w:ascii="Verdana" w:eastAsia="Times New Roman" w:hAnsi="Verdana" w:cs="Arial"/>
          <w:color w:val="1A1A1A" w:themeColor="background1" w:themeShade="1A"/>
          <w:lang w:val="es-ES" w:eastAsia="es-ES_tradnl"/>
        </w:rPr>
        <w:t xml:space="preserve"> el artículo 25 de la Ley 80 de 1993</w:t>
      </w:r>
      <w:r>
        <w:rPr>
          <w:rFonts w:ascii="Verdana" w:eastAsia="Times New Roman" w:hAnsi="Verdana" w:cs="Arial"/>
          <w:color w:val="1A1A1A" w:themeColor="background1" w:themeShade="1A"/>
          <w:lang w:val="es-ES" w:eastAsia="es-ES_tradnl"/>
        </w:rPr>
        <w:t xml:space="preserve"> que</w:t>
      </w:r>
      <w:r w:rsidRPr="001530D1">
        <w:rPr>
          <w:rFonts w:ascii="Verdana" w:eastAsia="Times New Roman" w:hAnsi="Verdana" w:cs="Arial"/>
          <w:color w:val="1A1A1A" w:themeColor="background1" w:themeShade="1A"/>
          <w:lang w:val="es-ES" w:eastAsia="es-ES_tradnl"/>
        </w:rPr>
        <w:t xml:space="preserve"> exige que las entidades estatales cuenten con las respectivas partidas o disponibilidades presupuestales antes de </w:t>
      </w:r>
      <w:proofErr w:type="gramStart"/>
      <w:r w:rsidRPr="001530D1">
        <w:rPr>
          <w:rFonts w:ascii="Verdana" w:eastAsia="Times New Roman" w:hAnsi="Verdana" w:cs="Arial"/>
          <w:color w:val="1A1A1A" w:themeColor="background1" w:themeShade="1A"/>
          <w:lang w:val="es-ES" w:eastAsia="es-ES_tradnl"/>
        </w:rPr>
        <w:t>dar inicio a</w:t>
      </w:r>
      <w:proofErr w:type="gramEnd"/>
      <w:r w:rsidRPr="001530D1">
        <w:rPr>
          <w:rFonts w:ascii="Verdana" w:eastAsia="Times New Roman" w:hAnsi="Verdana" w:cs="Arial"/>
          <w:color w:val="1A1A1A" w:themeColor="background1" w:themeShade="1A"/>
          <w:lang w:val="es-ES" w:eastAsia="es-ES_tradnl"/>
        </w:rPr>
        <w:t xml:space="preserve"> los procedimientos de selección, de manera que el cumplimiento de las reglas presupuestales constituye un presupuesto indispensable para la adquisición de obligaciones contractuales con cargo a los recursos públicos</w:t>
      </w:r>
      <w:r>
        <w:rPr>
          <w:rFonts w:ascii="Verdana" w:eastAsia="Times New Roman" w:hAnsi="Verdana" w:cs="Arial"/>
          <w:color w:val="1A1A1A" w:themeColor="background1" w:themeShade="1A"/>
          <w:lang w:val="es-ES" w:eastAsia="es-ES_tradnl"/>
        </w:rPr>
        <w:t xml:space="preserve">. De igual manera, se refleja en el artículo 41 </w:t>
      </w:r>
      <w:r w:rsidRPr="00B96FC6">
        <w:rPr>
          <w:rFonts w:ascii="Verdana" w:eastAsia="Times New Roman" w:hAnsi="Verdana" w:cs="Arial"/>
          <w:i/>
          <w:iCs/>
          <w:color w:val="1A1A1A" w:themeColor="background1" w:themeShade="1A"/>
          <w:lang w:val="es-ES" w:eastAsia="es-ES_tradnl"/>
        </w:rPr>
        <w:t>ibidem</w:t>
      </w:r>
      <w:r>
        <w:rPr>
          <w:rFonts w:ascii="Verdana" w:eastAsia="Times New Roman" w:hAnsi="Verdana" w:cs="Arial"/>
          <w:color w:val="1A1A1A" w:themeColor="background1" w:themeShade="1A"/>
          <w:lang w:val="es-ES" w:eastAsia="es-ES_tradnl"/>
        </w:rPr>
        <w:t xml:space="preserve"> referente a los requisitos de perfeccionamiento y ejecución del contrato estatal, que </w:t>
      </w:r>
      <w:r w:rsidRPr="0053698C">
        <w:rPr>
          <w:rFonts w:ascii="Verdana" w:eastAsia="Times New Roman" w:hAnsi="Verdana" w:cs="Arial"/>
          <w:color w:val="1A1A1A" w:themeColor="background1" w:themeShade="1A"/>
          <w:lang w:val="es-ES" w:eastAsia="es-ES_tradnl"/>
        </w:rPr>
        <w:t xml:space="preserve">exige </w:t>
      </w:r>
      <w:r>
        <w:rPr>
          <w:rFonts w:ascii="Verdana" w:eastAsia="Times New Roman" w:hAnsi="Verdana" w:cs="Arial"/>
          <w:color w:val="1A1A1A" w:themeColor="background1" w:themeShade="1A"/>
          <w:lang w:val="es-ES" w:eastAsia="es-ES_tradnl"/>
        </w:rPr>
        <w:t>que este se eleve a escrito y que cuente con las disponibilidades presupuestales correspondientes</w:t>
      </w:r>
      <w:r w:rsidRPr="0053698C">
        <w:rPr>
          <w:rFonts w:ascii="Verdana" w:eastAsia="Times New Roman" w:hAnsi="Verdana" w:cs="Arial"/>
          <w:color w:val="1A1A1A" w:themeColor="background1" w:themeShade="1A"/>
          <w:lang w:val="es-ES" w:eastAsia="es-ES_tradnl"/>
        </w:rPr>
        <w:t xml:space="preserve">. </w:t>
      </w:r>
      <w:r w:rsidRPr="002C0CBE">
        <w:rPr>
          <w:rFonts w:ascii="Verdana" w:eastAsia="Times New Roman" w:hAnsi="Verdana" w:cs="Arial"/>
          <w:color w:val="1A1A1A" w:themeColor="background1" w:themeShade="1A"/>
          <w:lang w:val="es-ES" w:eastAsia="es-ES_tradnl"/>
        </w:rPr>
        <w:t xml:space="preserve">En consecuencia, las reglas del régimen presupuestal no son ajenas a la contratación estatal, sino que constituyen un presupuesto indispensable para la celebración y ejecución de los contratos </w:t>
      </w:r>
      <w:r>
        <w:rPr>
          <w:rFonts w:ascii="Verdana" w:eastAsia="Times New Roman" w:hAnsi="Verdana" w:cs="Arial"/>
          <w:color w:val="1A1A1A" w:themeColor="background1" w:themeShade="1A"/>
          <w:lang w:val="es-ES" w:eastAsia="es-ES_tradnl"/>
        </w:rPr>
        <w:t xml:space="preserve">estatales. </w:t>
      </w:r>
    </w:p>
    <w:p w14:paraId="0914CC4F" w14:textId="77777777" w:rsidR="00F64884" w:rsidRDefault="00F64884" w:rsidP="00F64884">
      <w:pPr>
        <w:spacing w:after="120" w:line="276" w:lineRule="auto"/>
        <w:ind w:firstLine="709"/>
        <w:jc w:val="both"/>
        <w:rPr>
          <w:rFonts w:ascii="Verdana" w:eastAsia="Times New Roman" w:hAnsi="Verdana" w:cs="Arial"/>
          <w:color w:val="1A1A1A" w:themeColor="background1" w:themeShade="1A"/>
          <w:lang w:eastAsia="es-ES_tradnl"/>
        </w:rPr>
      </w:pPr>
      <w:r>
        <w:rPr>
          <w:rFonts w:ascii="Verdana" w:eastAsia="Times New Roman" w:hAnsi="Verdana" w:cs="Arial"/>
          <w:color w:val="1A1A1A" w:themeColor="background1" w:themeShade="1A"/>
          <w:lang w:val="es-ES" w:eastAsia="es-ES_tradnl"/>
        </w:rPr>
        <w:t>Bajo este contexto</w:t>
      </w:r>
      <w:r w:rsidRPr="00330D94">
        <w:rPr>
          <w:rFonts w:ascii="Verdana" w:eastAsia="Times New Roman" w:hAnsi="Verdana" w:cs="Arial"/>
          <w:color w:val="1A1A1A" w:themeColor="background1" w:themeShade="1A"/>
          <w:lang w:val="es-ES" w:eastAsia="es-ES_tradnl"/>
        </w:rPr>
        <w:t xml:space="preserve">, </w:t>
      </w:r>
      <w:r>
        <w:rPr>
          <w:rFonts w:ascii="Verdana" w:eastAsia="Times New Roman" w:hAnsi="Verdana" w:cs="Arial"/>
          <w:color w:val="1A1A1A" w:themeColor="background1" w:themeShade="1A"/>
          <w:lang w:val="es-ES" w:eastAsia="es-ES_tradnl"/>
        </w:rPr>
        <w:t>si bien</w:t>
      </w:r>
      <w:r w:rsidRPr="00330D94">
        <w:rPr>
          <w:rFonts w:ascii="Verdana" w:eastAsia="Times New Roman" w:hAnsi="Verdana" w:cs="Arial"/>
          <w:color w:val="1A1A1A" w:themeColor="background1" w:themeShade="1A"/>
          <w:lang w:val="es-ES" w:eastAsia="es-ES_tradnl"/>
        </w:rPr>
        <w:t xml:space="preserve"> </w:t>
      </w:r>
      <w:r>
        <w:rPr>
          <w:rFonts w:ascii="Verdana" w:eastAsia="Times New Roman" w:hAnsi="Verdana" w:cs="Arial"/>
          <w:color w:val="1A1A1A" w:themeColor="background1" w:themeShade="1A"/>
          <w:lang w:val="es-ES" w:eastAsia="es-ES_tradnl"/>
        </w:rPr>
        <w:t xml:space="preserve">la normativa presupuestal </w:t>
      </w:r>
      <w:r w:rsidRPr="00330D94">
        <w:rPr>
          <w:rFonts w:ascii="Verdana" w:eastAsia="Times New Roman" w:hAnsi="Verdana" w:cs="Arial"/>
          <w:color w:val="1A1A1A" w:themeColor="background1" w:themeShade="1A"/>
          <w:lang w:val="es-ES" w:eastAsia="es-ES_tradnl"/>
        </w:rPr>
        <w:t xml:space="preserve">no consagra una definición del </w:t>
      </w:r>
      <w:r w:rsidRPr="00AD0E3B">
        <w:rPr>
          <w:rFonts w:ascii="Verdana" w:eastAsia="Times New Roman" w:hAnsi="Verdana" w:cs="Arial"/>
          <w:i/>
          <w:iCs/>
          <w:color w:val="1A1A1A" w:themeColor="background1" w:themeShade="1A"/>
          <w:lang w:val="es-ES" w:eastAsia="es-ES_tradnl"/>
        </w:rPr>
        <w:t>hecho cumplido</w:t>
      </w:r>
      <w:r>
        <w:rPr>
          <w:rFonts w:ascii="Verdana" w:eastAsia="Times New Roman" w:hAnsi="Verdana" w:cs="Arial"/>
          <w:i/>
          <w:iCs/>
          <w:color w:val="1A1A1A" w:themeColor="background1" w:themeShade="1A"/>
          <w:lang w:val="es-ES" w:eastAsia="es-ES_tradnl"/>
        </w:rPr>
        <w:t>,</w:t>
      </w:r>
      <w:r w:rsidRPr="00330D94">
        <w:rPr>
          <w:rFonts w:ascii="Verdana" w:eastAsia="Times New Roman" w:hAnsi="Verdana" w:cs="Arial"/>
          <w:color w:val="1A1A1A" w:themeColor="background1" w:themeShade="1A"/>
          <w:lang w:val="es-ES" w:eastAsia="es-ES_tradnl"/>
        </w:rPr>
        <w:t xml:space="preserve"> la doctrina y la jurisprudencia han desarrollado su contenido y alcance</w:t>
      </w:r>
      <w:r>
        <w:rPr>
          <w:rFonts w:ascii="Verdana" w:eastAsia="Times New Roman" w:hAnsi="Verdana" w:cs="Arial"/>
          <w:color w:val="1A1A1A" w:themeColor="background1" w:themeShade="1A"/>
          <w:lang w:val="es-ES" w:eastAsia="es-ES_tradnl"/>
        </w:rPr>
        <w:t xml:space="preserve"> en materia contractual</w:t>
      </w:r>
      <w:r w:rsidRPr="00330D94">
        <w:rPr>
          <w:rFonts w:ascii="Verdana" w:eastAsia="Times New Roman" w:hAnsi="Verdana" w:cs="Arial"/>
          <w:color w:val="1A1A1A" w:themeColor="background1" w:themeShade="1A"/>
          <w:lang w:val="es-ES" w:eastAsia="es-ES_tradnl"/>
        </w:rPr>
        <w:t xml:space="preserve"> a partir de las normas</w:t>
      </w:r>
      <w:r>
        <w:rPr>
          <w:rFonts w:ascii="Verdana" w:eastAsia="Times New Roman" w:hAnsi="Verdana" w:cs="Arial"/>
          <w:color w:val="1A1A1A" w:themeColor="background1" w:themeShade="1A"/>
          <w:lang w:val="es-ES" w:eastAsia="es-ES_tradnl"/>
        </w:rPr>
        <w:t xml:space="preserve"> señalas</w:t>
      </w:r>
      <w:r w:rsidRPr="00330D94">
        <w:rPr>
          <w:rFonts w:ascii="Verdana" w:eastAsia="Times New Roman" w:hAnsi="Verdana" w:cs="Arial"/>
          <w:color w:val="1A1A1A" w:themeColor="background1" w:themeShade="1A"/>
          <w:lang w:val="es-ES" w:eastAsia="es-ES_tradnl"/>
        </w:rPr>
        <w:t>.</w:t>
      </w:r>
      <w:r>
        <w:rPr>
          <w:rFonts w:ascii="Verdana" w:eastAsia="Times New Roman" w:hAnsi="Verdana" w:cs="Arial"/>
          <w:color w:val="1A1A1A" w:themeColor="background1" w:themeShade="1A"/>
          <w:lang w:val="es-ES" w:eastAsia="es-ES_tradnl"/>
        </w:rPr>
        <w:t xml:space="preserve"> En este sentido, la Contraloría General de la República en concepto No. </w:t>
      </w:r>
      <w:r w:rsidRPr="00906136">
        <w:rPr>
          <w:rFonts w:ascii="Verdana" w:eastAsia="Times New Roman" w:hAnsi="Verdana" w:cs="Arial"/>
          <w:color w:val="1A1A1A" w:themeColor="background1" w:themeShade="1A"/>
          <w:lang w:val="es-ES" w:eastAsia="es-ES_tradnl"/>
        </w:rPr>
        <w:t>2013EE0066330</w:t>
      </w:r>
      <w:r>
        <w:rPr>
          <w:rFonts w:ascii="Verdana" w:eastAsia="Times New Roman" w:hAnsi="Verdana" w:cs="Arial"/>
          <w:color w:val="1A1A1A" w:themeColor="background1" w:themeShade="1A"/>
          <w:lang w:val="es-ES" w:eastAsia="es-ES_tradnl"/>
        </w:rPr>
        <w:t xml:space="preserve"> del 12 de julio de 2013 precisó que “</w:t>
      </w:r>
      <w:r w:rsidRPr="00853648">
        <w:rPr>
          <w:rFonts w:ascii="Verdana" w:eastAsia="Times New Roman" w:hAnsi="Verdana" w:cs="Arial"/>
          <w:color w:val="1A1A1A" w:themeColor="background1" w:themeShade="1A"/>
          <w:lang w:eastAsia="es-ES_tradnl"/>
        </w:rPr>
        <w:t xml:space="preserve">el tema de hechos </w:t>
      </w:r>
      <w:r w:rsidRPr="00853648">
        <w:rPr>
          <w:rFonts w:ascii="Verdana" w:eastAsia="Times New Roman" w:hAnsi="Verdana" w:cs="Arial"/>
          <w:color w:val="1A1A1A" w:themeColor="background1" w:themeShade="1A"/>
          <w:lang w:eastAsia="es-ES_tradnl"/>
        </w:rPr>
        <w:lastRenderedPageBreak/>
        <w:t>cumplidos obedece a un tema netamente presupuestal, de ahí que si se pretende ubicar dicho asunto en las normas que rigen la contratación estatal, no se observa una remisión expresa de tal término</w:t>
      </w:r>
      <w:r>
        <w:rPr>
          <w:rFonts w:ascii="Verdana" w:eastAsia="Times New Roman" w:hAnsi="Verdana" w:cs="Arial"/>
          <w:color w:val="1A1A1A" w:themeColor="background1" w:themeShade="1A"/>
          <w:lang w:eastAsia="es-ES_tradnl"/>
        </w:rPr>
        <w:t xml:space="preserve">”. Así mismo, </w:t>
      </w:r>
      <w:r>
        <w:rPr>
          <w:rFonts w:ascii="Verdana" w:eastAsia="Times New Roman" w:hAnsi="Verdana" w:cs="Arial"/>
          <w:color w:val="1A1A1A" w:themeColor="background1" w:themeShade="1A"/>
          <w:lang w:val="es-ES" w:eastAsia="es-ES_tradnl"/>
        </w:rPr>
        <w:t xml:space="preserve">lo define “como </w:t>
      </w:r>
      <w:r w:rsidRPr="00517260">
        <w:rPr>
          <w:rFonts w:ascii="Verdana" w:eastAsia="Times New Roman" w:hAnsi="Verdana" w:cs="Arial"/>
          <w:color w:val="1A1A1A" w:themeColor="background1" w:themeShade="1A"/>
          <w:lang w:eastAsia="es-ES_tradnl"/>
        </w:rPr>
        <w:t>aquellos negocios jurídicos materializados y que pueden generar obligaciones o erogaciones que afecten recursos públicos,</w:t>
      </w:r>
      <w:r>
        <w:rPr>
          <w:rFonts w:ascii="Verdana" w:eastAsia="Times New Roman" w:hAnsi="Verdana" w:cs="Arial"/>
          <w:color w:val="1A1A1A" w:themeColor="background1" w:themeShade="1A"/>
          <w:lang w:eastAsia="es-ES_tradnl"/>
        </w:rPr>
        <w:t xml:space="preserve"> </w:t>
      </w:r>
      <w:r w:rsidRPr="00517260">
        <w:rPr>
          <w:rFonts w:ascii="Verdana" w:eastAsia="Times New Roman" w:hAnsi="Verdana" w:cs="Arial"/>
          <w:color w:val="1A1A1A" w:themeColor="background1" w:themeShade="1A"/>
          <w:lang w:eastAsia="es-ES_tradnl"/>
        </w:rPr>
        <w:t>sin que previamente hayan cumplido de lleno con las apropiaciones presupuestales para tal efecto</w:t>
      </w:r>
      <w:r>
        <w:rPr>
          <w:rStyle w:val="Refdenotaalpie"/>
          <w:rFonts w:ascii="Verdana" w:eastAsia="Times New Roman" w:hAnsi="Verdana" w:cs="Arial"/>
          <w:color w:val="1A1A1A" w:themeColor="background1" w:themeShade="1A"/>
          <w:lang w:eastAsia="es-ES_tradnl"/>
        </w:rPr>
        <w:footnoteReference w:id="10"/>
      </w:r>
      <w:r>
        <w:rPr>
          <w:rFonts w:ascii="Verdana" w:eastAsia="Times New Roman" w:hAnsi="Verdana" w:cs="Arial"/>
          <w:color w:val="1A1A1A" w:themeColor="background1" w:themeShade="1A"/>
          <w:lang w:eastAsia="es-ES_tradnl"/>
        </w:rPr>
        <w:t>”</w:t>
      </w:r>
      <w:r w:rsidRPr="00517260">
        <w:rPr>
          <w:rFonts w:ascii="Verdana" w:eastAsia="Times New Roman" w:hAnsi="Verdana" w:cs="Arial"/>
          <w:color w:val="1A1A1A" w:themeColor="background1" w:themeShade="1A"/>
          <w:lang w:eastAsia="es-ES_tradnl"/>
        </w:rPr>
        <w:t>.</w:t>
      </w:r>
      <w:r>
        <w:rPr>
          <w:rFonts w:ascii="Verdana" w:eastAsia="Times New Roman" w:hAnsi="Verdana" w:cs="Arial"/>
          <w:color w:val="1A1A1A" w:themeColor="background1" w:themeShade="1A"/>
          <w:lang w:eastAsia="es-ES_tradnl"/>
        </w:rPr>
        <w:t xml:space="preserve"> Sobre los casos en lo que se configura, señaló lo siguiente: </w:t>
      </w:r>
    </w:p>
    <w:p w14:paraId="7DEE9F81" w14:textId="77777777" w:rsidR="00F64884" w:rsidRDefault="00F64884" w:rsidP="00F64884">
      <w:pPr>
        <w:spacing w:after="0" w:line="276" w:lineRule="auto"/>
        <w:ind w:firstLine="709"/>
        <w:jc w:val="both"/>
        <w:rPr>
          <w:rFonts w:ascii="Verdana" w:eastAsia="Times New Roman" w:hAnsi="Verdana" w:cs="Arial"/>
          <w:color w:val="1A1A1A" w:themeColor="background1" w:themeShade="1A"/>
          <w:lang w:eastAsia="es-ES_tradnl"/>
        </w:rPr>
      </w:pPr>
    </w:p>
    <w:p w14:paraId="466A0988" w14:textId="77777777" w:rsidR="00F64884" w:rsidRPr="00A60226" w:rsidRDefault="00F64884" w:rsidP="00F64884">
      <w:pPr>
        <w:pStyle w:val="Prrafodelista"/>
        <w:numPr>
          <w:ilvl w:val="0"/>
          <w:numId w:val="21"/>
        </w:numPr>
        <w:spacing w:after="0" w:line="240" w:lineRule="auto"/>
        <w:ind w:right="709"/>
        <w:jc w:val="both"/>
        <w:rPr>
          <w:rFonts w:ascii="Verdana" w:eastAsia="Times New Roman" w:hAnsi="Verdana" w:cs="Arial"/>
          <w:sz w:val="20"/>
          <w:szCs w:val="20"/>
          <w:lang w:eastAsia="es-MX"/>
        </w:rPr>
      </w:pPr>
      <w:r w:rsidRPr="00A60226">
        <w:rPr>
          <w:rFonts w:ascii="Verdana" w:eastAsia="Times New Roman" w:hAnsi="Verdana" w:cs="Arial"/>
          <w:sz w:val="20"/>
          <w:szCs w:val="20"/>
          <w:lang w:eastAsia="es-MX"/>
        </w:rPr>
        <w:t xml:space="preserve">“Celebración y suscripción de contratos estatales sin contar con el compromiso presupuestal. </w:t>
      </w:r>
    </w:p>
    <w:p w14:paraId="6CFC6F02" w14:textId="77777777" w:rsidR="00F64884" w:rsidRPr="00A60226" w:rsidRDefault="00F64884" w:rsidP="00F64884">
      <w:pPr>
        <w:pStyle w:val="Prrafodelista"/>
        <w:numPr>
          <w:ilvl w:val="0"/>
          <w:numId w:val="21"/>
        </w:numPr>
        <w:spacing w:after="0" w:line="240" w:lineRule="auto"/>
        <w:ind w:right="709"/>
        <w:jc w:val="both"/>
        <w:rPr>
          <w:rFonts w:ascii="Verdana" w:eastAsia="Times New Roman" w:hAnsi="Verdana" w:cs="Arial"/>
          <w:sz w:val="20"/>
          <w:szCs w:val="20"/>
          <w:lang w:eastAsia="es-MX"/>
        </w:rPr>
      </w:pPr>
      <w:r w:rsidRPr="00A60226">
        <w:rPr>
          <w:rFonts w:ascii="Verdana" w:eastAsia="Times New Roman" w:hAnsi="Verdana" w:cs="Arial"/>
          <w:sz w:val="20"/>
          <w:szCs w:val="20"/>
          <w:lang w:eastAsia="es-MX"/>
        </w:rPr>
        <w:t xml:space="preserve">Adiciones de contratos estatales, que no cuenten con el compromiso presupuestal que soporten su posterior pago. </w:t>
      </w:r>
    </w:p>
    <w:p w14:paraId="2B3BA04E" w14:textId="77777777" w:rsidR="00F64884" w:rsidRPr="00A60226" w:rsidRDefault="00F64884" w:rsidP="00F64884">
      <w:pPr>
        <w:pStyle w:val="Prrafodelista"/>
        <w:numPr>
          <w:ilvl w:val="0"/>
          <w:numId w:val="21"/>
        </w:numPr>
        <w:spacing w:after="0" w:line="240" w:lineRule="auto"/>
        <w:ind w:right="709"/>
        <w:jc w:val="both"/>
        <w:rPr>
          <w:rFonts w:ascii="Verdana" w:eastAsia="Times New Roman" w:hAnsi="Verdana" w:cs="Arial"/>
          <w:sz w:val="20"/>
          <w:szCs w:val="20"/>
          <w:lang w:eastAsia="es-MX"/>
        </w:rPr>
      </w:pPr>
      <w:r w:rsidRPr="00A60226">
        <w:rPr>
          <w:rFonts w:ascii="Verdana" w:eastAsia="Times New Roman" w:hAnsi="Verdana" w:cs="Arial"/>
          <w:sz w:val="20"/>
          <w:szCs w:val="20"/>
          <w:lang w:eastAsia="es-MX"/>
        </w:rPr>
        <w:t>Ejecución del contratista de mayores cantidades de obras o en general, de mayor ejecución a la pacta inicialmente en un contrato estatal con autorización de la administración, que impliquen erogaciones adicionales sin contar con los compromisos presupuestales correspondientes”.</w:t>
      </w:r>
    </w:p>
    <w:p w14:paraId="29819E7D" w14:textId="77777777" w:rsidR="00F64884" w:rsidRPr="00483C4F" w:rsidRDefault="00F64884" w:rsidP="00F64884">
      <w:pPr>
        <w:spacing w:after="0" w:line="240" w:lineRule="auto"/>
        <w:ind w:left="709" w:right="709"/>
        <w:jc w:val="both"/>
        <w:rPr>
          <w:rFonts w:ascii="Verdana" w:eastAsia="Times New Roman" w:hAnsi="Verdana" w:cs="Arial"/>
          <w:sz w:val="20"/>
          <w:szCs w:val="20"/>
          <w:lang w:val="es-ES" w:eastAsia="es-MX"/>
        </w:rPr>
      </w:pPr>
    </w:p>
    <w:p w14:paraId="6CA9E631" w14:textId="77777777" w:rsidR="00F64884" w:rsidRPr="008E2BF0" w:rsidRDefault="00F64884" w:rsidP="00F64884">
      <w:pPr>
        <w:spacing w:after="120" w:line="276" w:lineRule="auto"/>
        <w:ind w:firstLine="709"/>
        <w:jc w:val="both"/>
        <w:rPr>
          <w:rFonts w:ascii="Verdana" w:eastAsia="Times New Roman" w:hAnsi="Verdana" w:cs="Arial"/>
          <w:color w:val="1A1A1A" w:themeColor="background1" w:themeShade="1A"/>
          <w:lang w:eastAsia="es-ES_tradnl"/>
        </w:rPr>
      </w:pPr>
      <w:r>
        <w:rPr>
          <w:rFonts w:ascii="Verdana" w:eastAsia="Times New Roman" w:hAnsi="Verdana" w:cs="Arial"/>
          <w:color w:val="1A1A1A" w:themeColor="background1" w:themeShade="1A"/>
          <w:lang w:eastAsia="es-ES_tradnl"/>
        </w:rPr>
        <w:t xml:space="preserve">Por su parte, la doctrina explica que el </w:t>
      </w:r>
      <w:r w:rsidRPr="007575B8">
        <w:rPr>
          <w:rFonts w:ascii="Verdana" w:eastAsia="Times New Roman" w:hAnsi="Verdana" w:cs="Arial"/>
          <w:i/>
          <w:iCs/>
          <w:color w:val="1A1A1A" w:themeColor="background1" w:themeShade="1A"/>
          <w:lang w:eastAsia="es-ES_tradnl"/>
        </w:rPr>
        <w:t>hecho cumplido</w:t>
      </w:r>
      <w:r>
        <w:rPr>
          <w:rFonts w:ascii="Verdana" w:eastAsia="Times New Roman" w:hAnsi="Verdana" w:cs="Arial"/>
          <w:color w:val="1A1A1A" w:themeColor="background1" w:themeShade="1A"/>
          <w:lang w:eastAsia="es-ES_tradnl"/>
        </w:rPr>
        <w:t xml:space="preserve"> </w:t>
      </w:r>
      <w:r w:rsidRPr="008E3F16">
        <w:rPr>
          <w:rFonts w:ascii="Verdana" w:eastAsia="Times New Roman" w:hAnsi="Verdana" w:cs="Arial"/>
          <w:color w:val="1A1A1A" w:themeColor="background1" w:themeShade="1A"/>
          <w:lang w:eastAsia="es-ES_tradnl"/>
        </w:rPr>
        <w:t>"se predica cuando la administración consiente que un tercero ejecute o realice una labor, le preste un servicio o suministre un bien en favor suyo sin que se hubiese elevado a escrito un contrato estatal (solemnidad exigida por el artículo 41 de la Ley 80 de 1993), y por otro lado, cuando se hubiese permitido contraer la obligación, sin que se cuente con las correspondientes apropiaciones presupuestales</w:t>
      </w:r>
      <w:r>
        <w:rPr>
          <w:rFonts w:ascii="Verdana" w:eastAsia="Times New Roman" w:hAnsi="Verdana" w:cs="Arial"/>
          <w:color w:val="1A1A1A" w:themeColor="background1" w:themeShade="1A"/>
          <w:lang w:eastAsia="es-ES_tradnl"/>
        </w:rPr>
        <w:t>”,</w:t>
      </w:r>
      <w:r w:rsidRPr="00507F52">
        <w:t xml:space="preserve"> </w:t>
      </w:r>
      <w:r w:rsidRPr="00507F52">
        <w:rPr>
          <w:rFonts w:ascii="Verdana" w:eastAsia="Times New Roman" w:hAnsi="Verdana" w:cs="Arial"/>
          <w:color w:val="1A1A1A" w:themeColor="background1" w:themeShade="1A"/>
          <w:lang w:eastAsia="es-ES_tradnl"/>
        </w:rPr>
        <w:t>y resume que "el hecho cumplido no es otra cosa que la celebración y la posterior ejecución de contratos públicos sin el lleno de todos los requisitos exigidos por la ley</w:t>
      </w:r>
      <w:r>
        <w:rPr>
          <w:rStyle w:val="Refdenotaalpie"/>
          <w:rFonts w:ascii="Verdana" w:eastAsia="Times New Roman" w:hAnsi="Verdana" w:cs="Arial"/>
          <w:color w:val="1A1A1A" w:themeColor="background1" w:themeShade="1A"/>
          <w:lang w:eastAsia="es-ES_tradnl"/>
        </w:rPr>
        <w:footnoteReference w:id="11"/>
      </w:r>
      <w:r w:rsidRPr="008E3F16">
        <w:rPr>
          <w:rFonts w:ascii="Verdana" w:eastAsia="Times New Roman" w:hAnsi="Verdana" w:cs="Arial"/>
          <w:color w:val="1A1A1A" w:themeColor="background1" w:themeShade="1A"/>
          <w:lang w:eastAsia="es-ES_tradnl"/>
        </w:rPr>
        <w:t>"</w:t>
      </w:r>
      <w:r>
        <w:rPr>
          <w:rFonts w:ascii="Verdana" w:eastAsia="Times New Roman" w:hAnsi="Verdana" w:cs="Arial"/>
          <w:color w:val="1A1A1A" w:themeColor="background1" w:themeShade="1A"/>
          <w:lang w:eastAsia="es-ES_tradnl"/>
        </w:rPr>
        <w:t xml:space="preserve">. </w:t>
      </w:r>
    </w:p>
    <w:p w14:paraId="4CF0DC43" w14:textId="77777777" w:rsidR="00F64884" w:rsidRPr="00AE361F" w:rsidRDefault="00F64884" w:rsidP="00F64884">
      <w:pPr>
        <w:spacing w:after="120" w:line="276" w:lineRule="auto"/>
        <w:ind w:firstLine="709"/>
        <w:jc w:val="both"/>
        <w:rPr>
          <w:rFonts w:ascii="Verdana" w:eastAsia="Times New Roman" w:hAnsi="Verdana" w:cs="Arial"/>
          <w:color w:val="1A1A1A" w:themeColor="background1" w:themeShade="1A"/>
          <w:lang w:eastAsia="es-ES_tradnl"/>
        </w:rPr>
      </w:pPr>
      <w:r>
        <w:rPr>
          <w:rFonts w:ascii="Verdana" w:eastAsia="Times New Roman" w:hAnsi="Verdana" w:cs="Arial"/>
          <w:color w:val="1A1A1A" w:themeColor="background1" w:themeShade="1A"/>
          <w:lang w:eastAsia="es-ES_tradnl"/>
        </w:rPr>
        <w:t>El Consejo de Estado</w:t>
      </w:r>
      <w:r w:rsidRPr="006A187C">
        <w:rPr>
          <w:rFonts w:ascii="Verdana" w:eastAsia="Times New Roman" w:hAnsi="Verdana" w:cs="Arial"/>
          <w:color w:val="1A1A1A" w:themeColor="background1" w:themeShade="1A"/>
          <w:lang w:eastAsia="es-ES_tradnl"/>
        </w:rPr>
        <w:t xml:space="preserve"> ha desarrollado esta figura en el ámbito de la contratación estatal al analizar las consecuencias jurídicas derivadas de la ejecución de prestaciones sin el cumplimiento de los requisitos legales para comprometer el gasto público. En particular, los pronunciamientos judiciales han abordado esta materia en </w:t>
      </w:r>
      <w:r>
        <w:rPr>
          <w:rFonts w:ascii="Verdana" w:eastAsia="Times New Roman" w:hAnsi="Verdana" w:cs="Arial"/>
          <w:color w:val="1A1A1A" w:themeColor="background1" w:themeShade="1A"/>
          <w:lang w:eastAsia="es-ES_tradnl"/>
        </w:rPr>
        <w:t xml:space="preserve">el marco de situaciones </w:t>
      </w:r>
      <w:r w:rsidRPr="006A187C">
        <w:rPr>
          <w:rFonts w:ascii="Verdana" w:eastAsia="Times New Roman" w:hAnsi="Verdana" w:cs="Arial"/>
          <w:color w:val="1A1A1A" w:themeColor="background1" w:themeShade="1A"/>
          <w:lang w:eastAsia="es-ES_tradnl"/>
        </w:rPr>
        <w:t xml:space="preserve">relacionadas con el reconocimiento de obras, bienes o servicios ejecutados sin el correspondiente soporte contractual o presupuestal, a partir de la teoría del enriquecimiento sin </w:t>
      </w:r>
      <w:r w:rsidRPr="006A187C">
        <w:rPr>
          <w:rFonts w:ascii="Verdana" w:eastAsia="Times New Roman" w:hAnsi="Verdana" w:cs="Arial"/>
          <w:color w:val="1A1A1A" w:themeColor="background1" w:themeShade="1A"/>
          <w:lang w:eastAsia="es-ES_tradnl"/>
        </w:rPr>
        <w:lastRenderedPageBreak/>
        <w:t xml:space="preserve">causa y de la </w:t>
      </w:r>
      <w:proofErr w:type="spellStart"/>
      <w:r w:rsidRPr="009F15DE">
        <w:rPr>
          <w:rFonts w:ascii="Verdana" w:eastAsia="Times New Roman" w:hAnsi="Verdana" w:cs="Arial"/>
          <w:i/>
          <w:iCs/>
          <w:color w:val="1A1A1A" w:themeColor="background1" w:themeShade="1A"/>
          <w:lang w:eastAsia="es-ES_tradnl"/>
        </w:rPr>
        <w:t>actio</w:t>
      </w:r>
      <w:proofErr w:type="spellEnd"/>
      <w:r w:rsidRPr="009F15DE">
        <w:rPr>
          <w:rFonts w:ascii="Verdana" w:eastAsia="Times New Roman" w:hAnsi="Verdana" w:cs="Arial"/>
          <w:i/>
          <w:iCs/>
          <w:color w:val="1A1A1A" w:themeColor="background1" w:themeShade="1A"/>
          <w:lang w:eastAsia="es-ES_tradnl"/>
        </w:rPr>
        <w:t xml:space="preserve"> in rem verso</w:t>
      </w:r>
      <w:r w:rsidRPr="006A187C">
        <w:rPr>
          <w:rFonts w:ascii="Verdana" w:eastAsia="Times New Roman" w:hAnsi="Verdana" w:cs="Arial"/>
          <w:color w:val="1A1A1A" w:themeColor="background1" w:themeShade="1A"/>
          <w:lang w:eastAsia="es-ES_tradnl"/>
        </w:rPr>
        <w:t>, delimitando las circunstancias excepcionales en las que</w:t>
      </w:r>
      <w:r>
        <w:rPr>
          <w:rFonts w:ascii="Verdana" w:eastAsia="Times New Roman" w:hAnsi="Verdana" w:cs="Arial"/>
          <w:color w:val="1A1A1A" w:themeColor="background1" w:themeShade="1A"/>
          <w:lang w:eastAsia="es-ES_tradnl"/>
        </w:rPr>
        <w:t xml:space="preserve"> puede </w:t>
      </w:r>
      <w:r w:rsidRPr="006A187C">
        <w:rPr>
          <w:rFonts w:ascii="Verdana" w:eastAsia="Times New Roman" w:hAnsi="Verdana" w:cs="Arial"/>
          <w:color w:val="1A1A1A" w:themeColor="background1" w:themeShade="1A"/>
          <w:lang w:eastAsia="es-ES_tradnl"/>
        </w:rPr>
        <w:t>analizarse la procedencia de un reconocimiento económico</w:t>
      </w:r>
      <w:r>
        <w:rPr>
          <w:rFonts w:ascii="Verdana" w:eastAsia="Times New Roman" w:hAnsi="Verdana" w:cs="Arial"/>
          <w:color w:val="1A1A1A" w:themeColor="background1" w:themeShade="1A"/>
          <w:lang w:eastAsia="es-ES_tradnl"/>
        </w:rPr>
        <w:t>.</w:t>
      </w:r>
    </w:p>
    <w:p w14:paraId="4F3ED6EC" w14:textId="77777777" w:rsidR="00F64884" w:rsidRDefault="00F64884" w:rsidP="00F64884">
      <w:pPr>
        <w:tabs>
          <w:tab w:val="left" w:pos="709"/>
        </w:tabs>
        <w:spacing w:after="120" w:line="276" w:lineRule="auto"/>
        <w:ind w:firstLine="709"/>
        <w:jc w:val="both"/>
        <w:rPr>
          <w:rFonts w:ascii="Verdana" w:eastAsia="Times New Roman" w:hAnsi="Verdana" w:cs="Arial"/>
          <w:color w:val="000000"/>
          <w:bdr w:val="none" w:sz="0" w:space="0" w:color="auto" w:frame="1"/>
          <w:shd w:val="clear" w:color="auto" w:fill="FFFFFF"/>
          <w:lang w:val="es-ES" w:eastAsia="es-ES_tradnl"/>
        </w:rPr>
      </w:pPr>
      <w:r>
        <w:rPr>
          <w:rFonts w:ascii="Verdana" w:eastAsia="Times New Roman" w:hAnsi="Verdana" w:cs="Arial"/>
          <w:color w:val="1A1A1A" w:themeColor="background1" w:themeShade="1A"/>
          <w:lang w:val="es-ES" w:eastAsia="es-ES_tradnl"/>
        </w:rPr>
        <w:t xml:space="preserve">En efecto, </w:t>
      </w:r>
      <w:r w:rsidRPr="00B8272B">
        <w:rPr>
          <w:rFonts w:ascii="Verdana" w:eastAsia="Times New Roman" w:hAnsi="Verdana" w:cs="Arial"/>
          <w:color w:val="000000"/>
          <w:bdr w:val="none" w:sz="0" w:space="0" w:color="auto" w:frame="1"/>
          <w:shd w:val="clear" w:color="auto" w:fill="FFFFFF"/>
          <w:lang w:val="es-ES" w:eastAsia="es-ES_tradnl"/>
        </w:rPr>
        <w:t xml:space="preserve">la Sala Plena del Consejo de Estado expidió la Sentencia de Unificación del 19 de noviembre de 2012, </w:t>
      </w:r>
      <w:r>
        <w:rPr>
          <w:rFonts w:ascii="Verdana" w:eastAsia="Times New Roman" w:hAnsi="Verdana" w:cs="Arial"/>
          <w:color w:val="000000"/>
          <w:bdr w:val="none" w:sz="0" w:space="0" w:color="auto" w:frame="1"/>
          <w:shd w:val="clear" w:color="auto" w:fill="FFFFFF"/>
          <w:lang w:val="es-ES" w:eastAsia="es-ES_tradnl"/>
        </w:rPr>
        <w:t xml:space="preserve">que tuvo por objeto unificar </w:t>
      </w:r>
      <w:r w:rsidRPr="00844624">
        <w:rPr>
          <w:rFonts w:ascii="Verdana" w:eastAsia="Times New Roman" w:hAnsi="Verdana" w:cs="Arial"/>
          <w:color w:val="000000"/>
          <w:bdr w:val="none" w:sz="0" w:space="0" w:color="auto" w:frame="1"/>
          <w:shd w:val="clear" w:color="auto" w:fill="FFFFFF"/>
          <w:lang w:eastAsia="es-ES_tradnl"/>
        </w:rPr>
        <w:t xml:space="preserve">la jurisprudencia en materia de enriquecimiento sin causa y de la </w:t>
      </w:r>
      <w:proofErr w:type="spellStart"/>
      <w:r w:rsidRPr="00844624">
        <w:rPr>
          <w:rFonts w:ascii="Verdana" w:eastAsia="Times New Roman" w:hAnsi="Verdana" w:cs="Arial"/>
          <w:i/>
          <w:iCs/>
          <w:color w:val="000000"/>
          <w:bdr w:val="none" w:sz="0" w:space="0" w:color="auto" w:frame="1"/>
          <w:shd w:val="clear" w:color="auto" w:fill="FFFFFF"/>
          <w:lang w:eastAsia="es-ES_tradnl"/>
        </w:rPr>
        <w:t>actio</w:t>
      </w:r>
      <w:proofErr w:type="spellEnd"/>
      <w:r w:rsidRPr="00844624">
        <w:rPr>
          <w:rFonts w:ascii="Verdana" w:eastAsia="Times New Roman" w:hAnsi="Verdana" w:cs="Arial"/>
          <w:i/>
          <w:iCs/>
          <w:color w:val="000000"/>
          <w:bdr w:val="none" w:sz="0" w:space="0" w:color="auto" w:frame="1"/>
          <w:shd w:val="clear" w:color="auto" w:fill="FFFFFF"/>
          <w:lang w:eastAsia="es-ES_tradnl"/>
        </w:rPr>
        <w:t xml:space="preserve"> in rem verso</w:t>
      </w:r>
      <w:r w:rsidRPr="00844624">
        <w:rPr>
          <w:rFonts w:ascii="Verdana" w:eastAsia="Times New Roman" w:hAnsi="Verdana" w:cs="Arial"/>
          <w:color w:val="000000"/>
          <w:bdr w:val="none" w:sz="0" w:space="0" w:color="auto" w:frame="1"/>
          <w:shd w:val="clear" w:color="auto" w:fill="FFFFFF"/>
          <w:lang w:eastAsia="es-ES_tradnl"/>
        </w:rPr>
        <w:t xml:space="preserve">, </w:t>
      </w:r>
      <w:r>
        <w:rPr>
          <w:rFonts w:ascii="Verdana" w:eastAsia="Times New Roman" w:hAnsi="Verdana" w:cs="Arial"/>
          <w:color w:val="000000"/>
          <w:bdr w:val="none" w:sz="0" w:space="0" w:color="auto" w:frame="1"/>
          <w:shd w:val="clear" w:color="auto" w:fill="FFFFFF"/>
          <w:lang w:eastAsia="es-ES_tradnl"/>
        </w:rPr>
        <w:t xml:space="preserve">realiza importantes precisiones sobre </w:t>
      </w:r>
      <w:r w:rsidRPr="00844624">
        <w:rPr>
          <w:rFonts w:ascii="Verdana" w:eastAsia="Times New Roman" w:hAnsi="Verdana" w:cs="Arial"/>
          <w:color w:val="000000"/>
          <w:bdr w:val="none" w:sz="0" w:space="0" w:color="auto" w:frame="1"/>
          <w:shd w:val="clear" w:color="auto" w:fill="FFFFFF"/>
          <w:lang w:eastAsia="es-ES_tradnl"/>
        </w:rPr>
        <w:t>las consecuencias jurídicas derivadas de la configuración de hechos cumplidos.</w:t>
      </w:r>
      <w:r>
        <w:rPr>
          <w:rFonts w:ascii="Verdana" w:eastAsia="Times New Roman" w:hAnsi="Verdana" w:cs="Arial"/>
          <w:color w:val="000000"/>
          <w:bdr w:val="none" w:sz="0" w:space="0" w:color="auto" w:frame="1"/>
          <w:shd w:val="clear" w:color="auto" w:fill="FFFFFF"/>
          <w:lang w:val="es-ES" w:eastAsia="es-ES_tradnl"/>
        </w:rPr>
        <w:t xml:space="preserve"> En este sentido, señaló que el principio del enriquecimiento sin justa causa </w:t>
      </w:r>
      <w:r w:rsidRPr="00017743">
        <w:rPr>
          <w:rFonts w:ascii="Verdana" w:eastAsia="Times New Roman" w:hAnsi="Verdana" w:cs="Arial"/>
          <w:color w:val="000000"/>
          <w:bdr w:val="none" w:sz="0" w:space="0" w:color="auto" w:frame="1"/>
          <w:shd w:val="clear" w:color="auto" w:fill="FFFFFF"/>
          <w:lang w:eastAsia="es-ES_tradnl"/>
        </w:rPr>
        <w:t>y en consecuencia la </w:t>
      </w:r>
      <w:proofErr w:type="spellStart"/>
      <w:r w:rsidRPr="00017743">
        <w:rPr>
          <w:rFonts w:ascii="Verdana" w:eastAsia="Times New Roman" w:hAnsi="Verdana" w:cs="Arial"/>
          <w:i/>
          <w:iCs/>
          <w:color w:val="000000"/>
          <w:bdr w:val="none" w:sz="0" w:space="0" w:color="auto" w:frame="1"/>
          <w:shd w:val="clear" w:color="auto" w:fill="FFFFFF"/>
          <w:lang w:eastAsia="es-ES_tradnl"/>
        </w:rPr>
        <w:t>actio</w:t>
      </w:r>
      <w:proofErr w:type="spellEnd"/>
      <w:r w:rsidRPr="00017743">
        <w:rPr>
          <w:rFonts w:ascii="Verdana" w:eastAsia="Times New Roman" w:hAnsi="Verdana" w:cs="Arial"/>
          <w:i/>
          <w:iCs/>
          <w:color w:val="000000"/>
          <w:bdr w:val="none" w:sz="0" w:space="0" w:color="auto" w:frame="1"/>
          <w:shd w:val="clear" w:color="auto" w:fill="FFFFFF"/>
          <w:lang w:eastAsia="es-ES_tradnl"/>
        </w:rPr>
        <w:t xml:space="preserve"> de in rem verso,</w:t>
      </w:r>
      <w:r w:rsidRPr="00017743">
        <w:rPr>
          <w:rFonts w:ascii="Verdana" w:eastAsia="Times New Roman" w:hAnsi="Verdana" w:cs="Arial"/>
          <w:color w:val="000000"/>
          <w:bdr w:val="none" w:sz="0" w:space="0" w:color="auto" w:frame="1"/>
          <w:shd w:val="clear" w:color="auto" w:fill="FFFFFF"/>
          <w:lang w:val="es-ES" w:eastAsia="es-ES_tradnl"/>
        </w:rPr>
        <w:t xml:space="preserve"> </w:t>
      </w:r>
      <w:r>
        <w:rPr>
          <w:rFonts w:ascii="Verdana" w:eastAsia="Times New Roman" w:hAnsi="Verdana" w:cs="Arial"/>
          <w:color w:val="000000"/>
          <w:bdr w:val="none" w:sz="0" w:space="0" w:color="auto" w:frame="1"/>
          <w:shd w:val="clear" w:color="auto" w:fill="FFFFFF"/>
          <w:lang w:val="es-ES" w:eastAsia="es-ES_tradnl"/>
        </w:rPr>
        <w:t xml:space="preserve">no es la regla general para </w:t>
      </w:r>
      <w:r w:rsidRPr="00B8272B">
        <w:rPr>
          <w:rFonts w:ascii="Verdana" w:eastAsia="Times New Roman" w:hAnsi="Verdana" w:cs="Arial"/>
          <w:color w:val="000000"/>
          <w:bdr w:val="none" w:sz="0" w:space="0" w:color="auto" w:frame="1"/>
          <w:shd w:val="clear" w:color="auto" w:fill="FFFFFF"/>
          <w:lang w:val="es-ES" w:eastAsia="es-ES_tradnl"/>
        </w:rPr>
        <w:t>solicitar reconocimientos económicos por la ejecución de obras</w:t>
      </w:r>
      <w:r>
        <w:rPr>
          <w:rFonts w:ascii="Verdana" w:eastAsia="Times New Roman" w:hAnsi="Verdana" w:cs="Arial"/>
          <w:color w:val="000000"/>
          <w:bdr w:val="none" w:sz="0" w:space="0" w:color="auto" w:frame="1"/>
          <w:shd w:val="clear" w:color="auto" w:fill="FFFFFF"/>
          <w:lang w:val="es-ES" w:eastAsia="es-ES_tradnl"/>
        </w:rPr>
        <w:t>, entrega de bienes o servicios ejecutados</w:t>
      </w:r>
      <w:r w:rsidRPr="00B8272B">
        <w:rPr>
          <w:rFonts w:ascii="Verdana" w:eastAsia="Times New Roman" w:hAnsi="Verdana" w:cs="Arial"/>
          <w:color w:val="000000"/>
          <w:bdr w:val="none" w:sz="0" w:space="0" w:color="auto" w:frame="1"/>
          <w:shd w:val="clear" w:color="auto" w:fill="FFFFFF"/>
          <w:lang w:val="es-ES" w:eastAsia="es-ES_tradnl"/>
        </w:rPr>
        <w:t xml:space="preserve">, sin la previa suscripción de un contrato </w:t>
      </w:r>
      <w:r>
        <w:rPr>
          <w:rFonts w:ascii="Verdana" w:eastAsia="Times New Roman" w:hAnsi="Verdana" w:cs="Arial"/>
          <w:color w:val="000000"/>
          <w:bdr w:val="none" w:sz="0" w:space="0" w:color="auto" w:frame="1"/>
          <w:shd w:val="clear" w:color="auto" w:fill="FFFFFF"/>
          <w:lang w:val="es-ES" w:eastAsia="es-ES_tradnl"/>
        </w:rPr>
        <w:t>q</w:t>
      </w:r>
      <w:r w:rsidRPr="00B8272B">
        <w:rPr>
          <w:rFonts w:ascii="Verdana" w:eastAsia="Times New Roman" w:hAnsi="Verdana" w:cs="Arial"/>
          <w:color w:val="000000"/>
          <w:bdr w:val="none" w:sz="0" w:space="0" w:color="auto" w:frame="1"/>
          <w:shd w:val="clear" w:color="auto" w:fill="FFFFFF"/>
          <w:lang w:val="es-ES" w:eastAsia="es-ES_tradnl"/>
        </w:rPr>
        <w:t>ue las justifique</w:t>
      </w:r>
      <w:r w:rsidRPr="00075602">
        <w:rPr>
          <w:rFonts w:ascii="Verdana" w:eastAsia="Times New Roman" w:hAnsi="Verdana" w:cs="Arial"/>
          <w:color w:val="000000"/>
          <w:bdr w:val="none" w:sz="0" w:space="0" w:color="auto" w:frame="1"/>
          <w:shd w:val="clear" w:color="auto" w:fill="FFFFFF"/>
          <w:lang w:val="es-ES" w:eastAsia="es-ES_tradnl"/>
        </w:rPr>
        <w:t xml:space="preserve"> </w:t>
      </w:r>
      <w:r>
        <w:rPr>
          <w:rFonts w:ascii="Verdana" w:eastAsia="Times New Roman" w:hAnsi="Verdana" w:cs="Arial"/>
          <w:color w:val="000000"/>
          <w:bdr w:val="none" w:sz="0" w:space="0" w:color="auto" w:frame="1"/>
          <w:shd w:val="clear" w:color="auto" w:fill="FFFFFF"/>
          <w:lang w:val="es-ES" w:eastAsia="es-ES_tradnl"/>
        </w:rPr>
        <w:t>por “</w:t>
      </w:r>
      <w:r w:rsidRPr="00075602">
        <w:rPr>
          <w:rFonts w:ascii="Verdana" w:eastAsia="Times New Roman" w:hAnsi="Verdana" w:cs="Arial"/>
          <w:color w:val="000000"/>
          <w:bdr w:val="none" w:sz="0" w:space="0" w:color="auto" w:frame="1"/>
          <w:shd w:val="clear" w:color="auto" w:fill="FFFFFF"/>
          <w:lang w:val="es-ES" w:eastAsia="es-ES_tradnl"/>
        </w:rPr>
        <w:t xml:space="preserve">la elemental pero suficiente razón consistente en que la </w:t>
      </w:r>
      <w:proofErr w:type="spellStart"/>
      <w:r w:rsidRPr="00355AE0">
        <w:rPr>
          <w:rFonts w:ascii="Verdana" w:eastAsia="Times New Roman" w:hAnsi="Verdana" w:cs="Arial"/>
          <w:i/>
          <w:iCs/>
          <w:color w:val="000000"/>
          <w:bdr w:val="none" w:sz="0" w:space="0" w:color="auto" w:frame="1"/>
          <w:shd w:val="clear" w:color="auto" w:fill="FFFFFF"/>
          <w:lang w:val="es-ES" w:eastAsia="es-ES_tradnl"/>
        </w:rPr>
        <w:t>actio</w:t>
      </w:r>
      <w:proofErr w:type="spellEnd"/>
      <w:r w:rsidRPr="00355AE0">
        <w:rPr>
          <w:rFonts w:ascii="Verdana" w:eastAsia="Times New Roman" w:hAnsi="Verdana" w:cs="Arial"/>
          <w:i/>
          <w:iCs/>
          <w:color w:val="000000"/>
          <w:bdr w:val="none" w:sz="0" w:space="0" w:color="auto" w:frame="1"/>
          <w:shd w:val="clear" w:color="auto" w:fill="FFFFFF"/>
          <w:lang w:val="es-ES" w:eastAsia="es-ES_tradnl"/>
        </w:rPr>
        <w:t xml:space="preserve"> de in rem verso</w:t>
      </w:r>
      <w:r w:rsidRPr="00075602">
        <w:rPr>
          <w:rFonts w:ascii="Verdana" w:eastAsia="Times New Roman" w:hAnsi="Verdana" w:cs="Arial"/>
          <w:color w:val="000000"/>
          <w:bdr w:val="none" w:sz="0" w:space="0" w:color="auto" w:frame="1"/>
          <w:shd w:val="clear" w:color="auto" w:fill="FFFFFF"/>
          <w:lang w:val="es-ES" w:eastAsia="es-ES_tradnl"/>
        </w:rPr>
        <w:t xml:space="preserve"> requiere para su procedencia, entre otros requisitos, que con ella no se pretenda desconocer o contrariar una norma imperativa o </w:t>
      </w:r>
      <w:proofErr w:type="spellStart"/>
      <w:r w:rsidRPr="00075602">
        <w:rPr>
          <w:rFonts w:ascii="Verdana" w:eastAsia="Times New Roman" w:hAnsi="Verdana" w:cs="Arial"/>
          <w:color w:val="000000"/>
          <w:bdr w:val="none" w:sz="0" w:space="0" w:color="auto" w:frame="1"/>
          <w:shd w:val="clear" w:color="auto" w:fill="FFFFFF"/>
          <w:lang w:val="es-ES" w:eastAsia="es-ES_tradnl"/>
        </w:rPr>
        <w:t>cogente</w:t>
      </w:r>
      <w:proofErr w:type="spellEnd"/>
      <w:r>
        <w:rPr>
          <w:rFonts w:ascii="Verdana" w:eastAsia="Times New Roman" w:hAnsi="Verdana" w:cs="Arial"/>
          <w:color w:val="000000"/>
          <w:bdr w:val="none" w:sz="0" w:space="0" w:color="auto" w:frame="1"/>
          <w:shd w:val="clear" w:color="auto" w:fill="FFFFFF"/>
          <w:lang w:val="es-ES" w:eastAsia="es-ES_tradnl"/>
        </w:rPr>
        <w:t>”</w:t>
      </w:r>
      <w:r w:rsidRPr="00B8272B">
        <w:rPr>
          <w:rFonts w:ascii="Verdana" w:eastAsia="Times New Roman" w:hAnsi="Verdana" w:cs="Arial"/>
          <w:color w:val="000000"/>
          <w:bdr w:val="none" w:sz="0" w:space="0" w:color="auto" w:frame="1"/>
          <w:shd w:val="clear" w:color="auto" w:fill="FFFFFF"/>
          <w:lang w:val="es-ES" w:eastAsia="es-ES_tradnl"/>
        </w:rPr>
        <w:t>. Esto en la medida que los artículos 39 y 41 del EGCAP disponen que los contratos estatales son solemnes y, por tanto, requieren formalidad escrita, salvo que se presente una situación de urgencia manifiesta</w:t>
      </w:r>
      <w:r w:rsidRPr="00B8272B">
        <w:rPr>
          <w:rFonts w:ascii="Verdana" w:eastAsia="Times New Roman" w:hAnsi="Verdana" w:cs="Arial"/>
          <w:color w:val="000000"/>
          <w:bdr w:val="none" w:sz="0" w:space="0" w:color="auto" w:frame="1"/>
          <w:shd w:val="clear" w:color="auto" w:fill="FFFFFF"/>
          <w:vertAlign w:val="superscript"/>
          <w:lang w:val="es-ES" w:eastAsia="es-ES_tradnl"/>
        </w:rPr>
        <w:footnoteReference w:id="12"/>
      </w:r>
      <w:r>
        <w:rPr>
          <w:rFonts w:ascii="Verdana" w:eastAsia="Times New Roman" w:hAnsi="Verdana" w:cs="Arial"/>
          <w:color w:val="000000"/>
          <w:bdr w:val="none" w:sz="0" w:space="0" w:color="auto" w:frame="1"/>
          <w:shd w:val="clear" w:color="auto" w:fill="FFFFFF"/>
          <w:lang w:val="es-ES" w:eastAsia="es-ES_tradnl"/>
        </w:rPr>
        <w:t xml:space="preserve">. </w:t>
      </w:r>
      <w:r w:rsidRPr="00B8272B">
        <w:rPr>
          <w:rFonts w:ascii="Verdana" w:eastAsia="Times New Roman" w:hAnsi="Verdana" w:cs="Arial"/>
          <w:color w:val="000000"/>
          <w:bdr w:val="none" w:sz="0" w:space="0" w:color="auto" w:frame="1"/>
          <w:shd w:val="clear" w:color="auto" w:fill="FFFFFF"/>
          <w:lang w:val="es-ES" w:eastAsia="es-ES_tradnl"/>
        </w:rPr>
        <w:t xml:space="preserve"> </w:t>
      </w:r>
    </w:p>
    <w:p w14:paraId="38C7FABF" w14:textId="77777777" w:rsidR="00F64884" w:rsidRPr="00B8272B" w:rsidRDefault="00F64884" w:rsidP="00F64884">
      <w:pPr>
        <w:tabs>
          <w:tab w:val="left" w:pos="709"/>
        </w:tabs>
        <w:spacing w:after="120" w:line="276" w:lineRule="auto"/>
        <w:ind w:firstLine="709"/>
        <w:jc w:val="both"/>
        <w:rPr>
          <w:rFonts w:ascii="Verdana" w:eastAsia="Times New Roman" w:hAnsi="Verdana" w:cs="Arial"/>
          <w:color w:val="000000"/>
          <w:bdr w:val="none" w:sz="0" w:space="0" w:color="auto" w:frame="1"/>
          <w:shd w:val="clear" w:color="auto" w:fill="FFFFFF"/>
          <w:lang w:val="es-ES" w:eastAsia="es-ES_tradnl"/>
        </w:rPr>
      </w:pPr>
      <w:r>
        <w:rPr>
          <w:rFonts w:ascii="Verdana" w:eastAsia="Times New Roman" w:hAnsi="Verdana" w:cs="Arial"/>
          <w:color w:val="000000"/>
          <w:bdr w:val="none" w:sz="0" w:space="0" w:color="auto" w:frame="1"/>
          <w:shd w:val="clear" w:color="auto" w:fill="FFFFFF"/>
          <w:lang w:val="es-ES" w:eastAsia="es-ES_tradnl"/>
        </w:rPr>
        <w:t>De esta manera, sostuvo que l</w:t>
      </w:r>
      <w:r w:rsidRPr="007C27D5">
        <w:rPr>
          <w:rFonts w:ascii="Verdana" w:eastAsia="Times New Roman" w:hAnsi="Verdana" w:cs="Arial"/>
          <w:color w:val="000000"/>
          <w:bdr w:val="none" w:sz="0" w:space="0" w:color="auto" w:frame="1"/>
          <w:shd w:val="clear" w:color="auto" w:fill="FFFFFF"/>
          <w:lang w:eastAsia="es-ES_tradnl"/>
        </w:rPr>
        <w:t>a </w:t>
      </w:r>
      <w:r>
        <w:rPr>
          <w:rFonts w:ascii="Verdana" w:eastAsia="Times New Roman" w:hAnsi="Verdana" w:cs="Arial"/>
          <w:color w:val="000000"/>
          <w:bdr w:val="none" w:sz="0" w:space="0" w:color="auto" w:frame="1"/>
          <w:shd w:val="clear" w:color="auto" w:fill="FFFFFF"/>
          <w:lang w:eastAsia="es-ES_tradnl"/>
        </w:rPr>
        <w:t>“</w:t>
      </w:r>
      <w:proofErr w:type="spellStart"/>
      <w:r w:rsidRPr="007C27D5">
        <w:rPr>
          <w:rFonts w:ascii="Verdana" w:eastAsia="Times New Roman" w:hAnsi="Verdana" w:cs="Arial"/>
          <w:i/>
          <w:iCs/>
          <w:color w:val="000000"/>
          <w:bdr w:val="none" w:sz="0" w:space="0" w:color="auto" w:frame="1"/>
          <w:shd w:val="clear" w:color="auto" w:fill="FFFFFF"/>
          <w:lang w:eastAsia="es-ES_tradnl"/>
        </w:rPr>
        <w:t>actio</w:t>
      </w:r>
      <w:proofErr w:type="spellEnd"/>
      <w:r w:rsidRPr="007C27D5">
        <w:rPr>
          <w:rFonts w:ascii="Verdana" w:eastAsia="Times New Roman" w:hAnsi="Verdana" w:cs="Arial"/>
          <w:i/>
          <w:iCs/>
          <w:color w:val="000000"/>
          <w:bdr w:val="none" w:sz="0" w:space="0" w:color="auto" w:frame="1"/>
          <w:shd w:val="clear" w:color="auto" w:fill="FFFFFF"/>
          <w:lang w:eastAsia="es-ES_tradnl"/>
        </w:rPr>
        <w:t xml:space="preserve"> de in rem verso </w:t>
      </w:r>
      <w:r w:rsidRPr="007C27D5">
        <w:rPr>
          <w:rFonts w:ascii="Verdana" w:eastAsia="Times New Roman" w:hAnsi="Verdana" w:cs="Arial"/>
          <w:color w:val="000000"/>
          <w:bdr w:val="none" w:sz="0" w:space="0" w:color="auto" w:frame="1"/>
          <w:shd w:val="clear" w:color="auto" w:fill="FFFFFF"/>
          <w:lang w:eastAsia="es-ES_tradnl"/>
        </w:rPr>
        <w:t>no puede ser utilizada para reclamar el pago de obras o servicios que se hayan ejecutado en favor de la administración sin contrato alguno o al margen de este, eludiendo así el mandato imperativo de la ley que prevé que el contrato estatal es solemne porque debe celebrarse por escrito, y por supuesto agotando previamente los procedimientos señalados por el legislador</w:t>
      </w:r>
      <w:r>
        <w:rPr>
          <w:rFonts w:ascii="Verdana" w:eastAsia="Times New Roman" w:hAnsi="Verdana" w:cs="Arial"/>
          <w:color w:val="000000"/>
          <w:bdr w:val="none" w:sz="0" w:space="0" w:color="auto" w:frame="1"/>
          <w:shd w:val="clear" w:color="auto" w:fill="FFFFFF"/>
          <w:lang w:eastAsia="es-ES_tradnl"/>
        </w:rPr>
        <w:t>”</w:t>
      </w:r>
      <w:r w:rsidRPr="007C27D5">
        <w:rPr>
          <w:rFonts w:ascii="Verdana" w:eastAsia="Times New Roman" w:hAnsi="Verdana" w:cs="Arial"/>
          <w:color w:val="000000"/>
          <w:bdr w:val="none" w:sz="0" w:space="0" w:color="auto" w:frame="1"/>
          <w:shd w:val="clear" w:color="auto" w:fill="FFFFFF"/>
          <w:lang w:eastAsia="es-ES_tradnl"/>
        </w:rPr>
        <w:t>. </w:t>
      </w:r>
    </w:p>
    <w:p w14:paraId="6AEB3126" w14:textId="77777777" w:rsidR="00F64884" w:rsidRPr="00B8272B" w:rsidRDefault="00F64884" w:rsidP="00F64884">
      <w:pPr>
        <w:tabs>
          <w:tab w:val="left" w:pos="709"/>
        </w:tabs>
        <w:spacing w:after="120" w:line="276" w:lineRule="auto"/>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bdr w:val="none" w:sz="0" w:space="0" w:color="auto" w:frame="1"/>
          <w:shd w:val="clear" w:color="auto" w:fill="FFFFFF"/>
          <w:lang w:val="es-ES" w:eastAsia="es-ES_tradnl"/>
        </w:rPr>
        <w:tab/>
      </w:r>
      <w:r>
        <w:rPr>
          <w:rFonts w:ascii="Verdana" w:eastAsia="Times New Roman" w:hAnsi="Verdana" w:cs="Arial"/>
          <w:color w:val="000000"/>
          <w:bdr w:val="none" w:sz="0" w:space="0" w:color="auto" w:frame="1"/>
          <w:shd w:val="clear" w:color="auto" w:fill="FFFFFF"/>
          <w:lang w:val="es-ES" w:eastAsia="es-ES_tradnl"/>
        </w:rPr>
        <w:t xml:space="preserve">No obstante lo anterior, </w:t>
      </w:r>
      <w:r w:rsidRPr="0087323A">
        <w:rPr>
          <w:rFonts w:ascii="Verdana" w:eastAsia="Times New Roman" w:hAnsi="Verdana" w:cs="Arial"/>
          <w:color w:val="000000"/>
          <w:bdr w:val="none" w:sz="0" w:space="0" w:color="auto" w:frame="1"/>
          <w:shd w:val="clear" w:color="auto" w:fill="FFFFFF"/>
          <w:lang w:val="es-ES" w:eastAsia="es-ES_tradnl"/>
        </w:rPr>
        <w:t>excepcionalmente,</w:t>
      </w:r>
      <w:r w:rsidRPr="00B8272B">
        <w:rPr>
          <w:rFonts w:ascii="Verdana" w:eastAsia="Times New Roman" w:hAnsi="Verdana" w:cs="Arial"/>
          <w:color w:val="000000"/>
          <w:bdr w:val="none" w:sz="0" w:space="0" w:color="auto" w:frame="1"/>
          <w:shd w:val="clear" w:color="auto" w:fill="FFFFFF"/>
          <w:lang w:val="es-ES" w:eastAsia="es-ES_tradnl"/>
        </w:rPr>
        <w:t xml:space="preserve"> la jurisprudencia citada admitió la posibilidad de reconocer al contratista la ejecución de </w:t>
      </w:r>
      <w:r>
        <w:rPr>
          <w:rFonts w:ascii="Verdana" w:eastAsia="Times New Roman" w:hAnsi="Verdana" w:cs="Arial"/>
          <w:color w:val="000000"/>
          <w:bdr w:val="none" w:sz="0" w:space="0" w:color="auto" w:frame="1"/>
          <w:shd w:val="clear" w:color="auto" w:fill="FFFFFF"/>
          <w:lang w:val="es-ES" w:eastAsia="es-ES_tradnl"/>
        </w:rPr>
        <w:t xml:space="preserve">prestaciones sin contrato </w:t>
      </w:r>
      <w:r w:rsidRPr="00B8272B">
        <w:rPr>
          <w:rFonts w:ascii="Verdana" w:eastAsia="Times New Roman" w:hAnsi="Verdana" w:cs="Arial"/>
          <w:color w:val="000000"/>
          <w:bdr w:val="none" w:sz="0" w:space="0" w:color="auto" w:frame="1"/>
          <w:shd w:val="clear" w:color="auto" w:fill="FFFFFF"/>
          <w:lang w:val="es-ES" w:eastAsia="es-ES_tradnl"/>
        </w:rPr>
        <w:t>en tres (3) eventos de interpretación restrictiva: i) cuando existe prueba fehaciente de</w:t>
      </w:r>
      <w:r>
        <w:rPr>
          <w:rFonts w:ascii="Verdana" w:eastAsia="Times New Roman" w:hAnsi="Verdana" w:cs="Arial"/>
          <w:color w:val="000000"/>
          <w:bdr w:val="none" w:sz="0" w:space="0" w:color="auto" w:frame="1"/>
          <w:shd w:val="clear" w:color="auto" w:fill="FFFFFF"/>
          <w:lang w:val="es-ES" w:eastAsia="es-ES_tradnl"/>
        </w:rPr>
        <w:t xml:space="preserve"> que</w:t>
      </w:r>
      <w:r w:rsidRPr="00C575C0">
        <w:t xml:space="preserve"> </w:t>
      </w:r>
      <w:r w:rsidRPr="00C575C0">
        <w:rPr>
          <w:rFonts w:ascii="Verdana" w:eastAsia="Times New Roman" w:hAnsi="Verdana" w:cs="Arial"/>
          <w:color w:val="000000"/>
          <w:bdr w:val="none" w:sz="0" w:space="0" w:color="auto" w:frame="1"/>
          <w:shd w:val="clear" w:color="auto" w:fill="FFFFFF"/>
          <w:lang w:val="es-ES" w:eastAsia="es-ES_tradnl"/>
        </w:rPr>
        <w:t>la ejecución de prestaciones o el suministro de bienes o servicios en su beneficio, por fuera del marco de un contrato estatal o con prescindencia del mismo</w:t>
      </w:r>
      <w:r w:rsidRPr="00B8272B">
        <w:rPr>
          <w:rFonts w:ascii="Verdana" w:eastAsia="Times New Roman" w:hAnsi="Verdana" w:cs="Arial"/>
          <w:color w:val="000000"/>
          <w:bdr w:val="none" w:sz="0" w:space="0" w:color="auto" w:frame="1"/>
          <w:shd w:val="clear" w:color="auto" w:fill="FFFFFF"/>
          <w:lang w:val="es-ES" w:eastAsia="es-ES_tradnl"/>
        </w:rPr>
        <w:t xml:space="preserve">, se haya realizado por la imposición de la entidad, en ejercicio de su autoridad; </w:t>
      </w:r>
      <w:proofErr w:type="spellStart"/>
      <w:r w:rsidRPr="00B8272B">
        <w:rPr>
          <w:rFonts w:ascii="Verdana" w:eastAsia="Times New Roman" w:hAnsi="Verdana" w:cs="Arial"/>
          <w:color w:val="000000"/>
          <w:bdr w:val="none" w:sz="0" w:space="0" w:color="auto" w:frame="1"/>
          <w:shd w:val="clear" w:color="auto" w:fill="FFFFFF"/>
          <w:lang w:val="es-ES" w:eastAsia="es-ES_tradnl"/>
        </w:rPr>
        <w:t>ii</w:t>
      </w:r>
      <w:proofErr w:type="spellEnd"/>
      <w:r w:rsidRPr="00B8272B">
        <w:rPr>
          <w:rFonts w:ascii="Verdana" w:eastAsia="Times New Roman" w:hAnsi="Verdana" w:cs="Arial"/>
          <w:color w:val="000000"/>
          <w:bdr w:val="none" w:sz="0" w:space="0" w:color="auto" w:frame="1"/>
          <w:shd w:val="clear" w:color="auto" w:fill="FFFFFF"/>
          <w:lang w:val="es-ES" w:eastAsia="es-ES_tradnl"/>
        </w:rPr>
        <w:t xml:space="preserve">) que fueran urgentes para evitar una lesión inminente e irreversible al derecho a la salud; y </w:t>
      </w:r>
      <w:proofErr w:type="spellStart"/>
      <w:r w:rsidRPr="00B8272B">
        <w:rPr>
          <w:rFonts w:ascii="Verdana" w:eastAsia="Times New Roman" w:hAnsi="Verdana" w:cs="Arial"/>
          <w:color w:val="000000"/>
          <w:bdr w:val="none" w:sz="0" w:space="0" w:color="auto" w:frame="1"/>
          <w:shd w:val="clear" w:color="auto" w:fill="FFFFFF"/>
          <w:lang w:val="es-ES" w:eastAsia="es-ES_tradnl"/>
        </w:rPr>
        <w:t>iii</w:t>
      </w:r>
      <w:proofErr w:type="spellEnd"/>
      <w:r w:rsidRPr="00B8272B">
        <w:rPr>
          <w:rFonts w:ascii="Verdana" w:eastAsia="Times New Roman" w:hAnsi="Verdana" w:cs="Arial"/>
          <w:color w:val="000000"/>
          <w:bdr w:val="none" w:sz="0" w:space="0" w:color="auto" w:frame="1"/>
          <w:shd w:val="clear" w:color="auto" w:fill="FFFFFF"/>
          <w:lang w:val="es-ES" w:eastAsia="es-ES_tradnl"/>
        </w:rPr>
        <w:t>) cuando se omite el decreto de la urgencia manifiesta y concurren las circunstancias para que ésta hubiera sido declarada</w:t>
      </w:r>
      <w:r w:rsidRPr="00B8272B">
        <w:rPr>
          <w:rFonts w:ascii="Verdana" w:eastAsia="Times New Roman" w:hAnsi="Verdana" w:cs="Arial"/>
          <w:color w:val="000000"/>
          <w:bdr w:val="none" w:sz="0" w:space="0" w:color="auto" w:frame="1"/>
          <w:shd w:val="clear" w:color="auto" w:fill="FFFFFF"/>
          <w:vertAlign w:val="superscript"/>
          <w:lang w:val="es-ES" w:eastAsia="es-ES_tradnl"/>
        </w:rPr>
        <w:footnoteReference w:id="13"/>
      </w:r>
      <w:r w:rsidRPr="00B8272B">
        <w:rPr>
          <w:rFonts w:ascii="Verdana" w:eastAsia="Times New Roman" w:hAnsi="Verdana" w:cs="Arial"/>
          <w:color w:val="000000"/>
          <w:bdr w:val="none" w:sz="0" w:space="0" w:color="auto" w:frame="1"/>
          <w:shd w:val="clear" w:color="auto" w:fill="FFFFFF"/>
          <w:lang w:val="es-ES" w:eastAsia="es-ES_tradnl"/>
        </w:rPr>
        <w:t xml:space="preserve">. </w:t>
      </w:r>
    </w:p>
    <w:p w14:paraId="5BC96EBF" w14:textId="77777777" w:rsidR="00F64884" w:rsidRPr="00B8272B" w:rsidRDefault="00F64884" w:rsidP="00F64884">
      <w:pPr>
        <w:tabs>
          <w:tab w:val="left" w:pos="709"/>
        </w:tabs>
        <w:spacing w:after="0" w:line="276" w:lineRule="auto"/>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bdr w:val="none" w:sz="0" w:space="0" w:color="auto" w:frame="1"/>
          <w:shd w:val="clear" w:color="auto" w:fill="FFFFFF"/>
          <w:lang w:val="es-ES" w:eastAsia="es-ES_tradnl"/>
        </w:rPr>
        <w:lastRenderedPageBreak/>
        <w:tab/>
        <w:t>En todo caso, esta postura jurisprudencial consolidada cambió con la Sentencia de Unificación del 31 de julio de 2025, en la que se expresó</w:t>
      </w:r>
      <w:r>
        <w:rPr>
          <w:rFonts w:ascii="Verdana" w:eastAsia="Times New Roman" w:hAnsi="Verdana" w:cs="Arial"/>
          <w:color w:val="000000"/>
          <w:bdr w:val="none" w:sz="0" w:space="0" w:color="auto" w:frame="1"/>
          <w:shd w:val="clear" w:color="auto" w:fill="FFFFFF"/>
          <w:lang w:val="es-ES" w:eastAsia="es-ES_tradnl"/>
        </w:rPr>
        <w:t xml:space="preserve"> que</w:t>
      </w:r>
      <w:r w:rsidRPr="00B8272B">
        <w:rPr>
          <w:rFonts w:ascii="Verdana" w:eastAsia="Times New Roman" w:hAnsi="Verdana" w:cs="Arial"/>
          <w:color w:val="000000"/>
          <w:bdr w:val="none" w:sz="0" w:space="0" w:color="auto" w:frame="1"/>
          <w:shd w:val="clear" w:color="auto" w:fill="FFFFFF"/>
          <w:lang w:val="es-ES" w:eastAsia="es-ES_tradnl"/>
        </w:rPr>
        <w:t xml:space="preserve"> la compensación del enriquecimiento sin justa causa no está condicionado a la subsunción de ciertos hechos que se concuerdan con una lista de hipótesis fácticas previa y taxativamente definidas, sino que corresponde al juez, en virtud de los elementos sustantivos y la revisión el comportamiento de las partes, establecer la viabilidad de ordenar que haya una corrección al traslado patrimonial injustificado por </w:t>
      </w:r>
      <w:r>
        <w:rPr>
          <w:rFonts w:ascii="Verdana" w:eastAsia="Times New Roman" w:hAnsi="Verdana" w:cs="Arial"/>
          <w:color w:val="000000"/>
          <w:bdr w:val="none" w:sz="0" w:space="0" w:color="auto" w:frame="1"/>
          <w:shd w:val="clear" w:color="auto" w:fill="FFFFFF"/>
          <w:lang w:val="es-ES" w:eastAsia="es-ES_tradnl"/>
        </w:rPr>
        <w:t xml:space="preserve">ejecución de actividades sin el respaldo de un contrato estatal o por la ejecución de </w:t>
      </w:r>
      <w:r w:rsidRPr="00B8272B">
        <w:rPr>
          <w:rFonts w:ascii="Verdana" w:eastAsia="Times New Roman" w:hAnsi="Verdana" w:cs="Arial"/>
          <w:color w:val="000000"/>
          <w:bdr w:val="none" w:sz="0" w:space="0" w:color="auto" w:frame="1"/>
          <w:shd w:val="clear" w:color="auto" w:fill="FFFFFF"/>
          <w:lang w:val="es-ES" w:eastAsia="es-ES_tradnl"/>
        </w:rPr>
        <w:t xml:space="preserve">bienes y obras </w:t>
      </w:r>
      <w:r>
        <w:rPr>
          <w:rFonts w:ascii="Verdana" w:eastAsia="Times New Roman" w:hAnsi="Verdana" w:cs="Arial"/>
          <w:color w:val="000000"/>
          <w:bdr w:val="none" w:sz="0" w:space="0" w:color="auto" w:frame="1"/>
          <w:shd w:val="clear" w:color="auto" w:fill="FFFFFF"/>
          <w:lang w:val="es-ES" w:eastAsia="es-ES_tradnl"/>
        </w:rPr>
        <w:t>por fuera del contrato</w:t>
      </w:r>
      <w:r w:rsidRPr="00B8272B">
        <w:rPr>
          <w:rFonts w:ascii="Verdana" w:eastAsia="Times New Roman" w:hAnsi="Verdana" w:cs="Arial"/>
          <w:color w:val="000000"/>
          <w:bdr w:val="none" w:sz="0" w:space="0" w:color="auto" w:frame="1"/>
          <w:shd w:val="clear" w:color="auto" w:fill="FFFFFF"/>
          <w:vertAlign w:val="superscript"/>
          <w:lang w:val="es-ES" w:eastAsia="es-ES_tradnl"/>
        </w:rPr>
        <w:footnoteReference w:id="14"/>
      </w:r>
      <w:r w:rsidRPr="00B8272B">
        <w:rPr>
          <w:rFonts w:ascii="Verdana" w:eastAsia="Times New Roman" w:hAnsi="Verdana" w:cs="Arial"/>
          <w:color w:val="000000"/>
          <w:bdr w:val="none" w:sz="0" w:space="0" w:color="auto" w:frame="1"/>
          <w:shd w:val="clear" w:color="auto" w:fill="FFFFFF"/>
          <w:lang w:val="es-ES" w:eastAsia="es-ES_tradnl"/>
        </w:rPr>
        <w:t xml:space="preserve">. Dicho reconocimiento está supeditado a que la parte interesada demuestre la concurrencia de los siguientes elementos: </w:t>
      </w:r>
    </w:p>
    <w:p w14:paraId="59AA7D9C" w14:textId="77777777" w:rsidR="00F64884" w:rsidRPr="00B8272B" w:rsidRDefault="00F64884" w:rsidP="00F64884">
      <w:pPr>
        <w:tabs>
          <w:tab w:val="left" w:pos="709"/>
        </w:tabs>
        <w:spacing w:after="0" w:line="276" w:lineRule="auto"/>
        <w:jc w:val="both"/>
        <w:rPr>
          <w:rFonts w:ascii="Verdana" w:eastAsia="Times New Roman" w:hAnsi="Verdana" w:cs="Arial"/>
          <w:color w:val="000000"/>
          <w:bdr w:val="none" w:sz="0" w:space="0" w:color="auto" w:frame="1"/>
          <w:shd w:val="clear" w:color="auto" w:fill="FFFFFF"/>
          <w:lang w:val="es-ES" w:eastAsia="es-ES_tradnl"/>
        </w:rPr>
      </w:pPr>
    </w:p>
    <w:p w14:paraId="7CA1BCE9" w14:textId="77777777" w:rsidR="00F64884" w:rsidRPr="00B8272B" w:rsidRDefault="00F64884" w:rsidP="00F64884">
      <w:pPr>
        <w:tabs>
          <w:tab w:val="left" w:pos="709"/>
        </w:tabs>
        <w:spacing w:after="0" w:line="240" w:lineRule="auto"/>
        <w:ind w:left="709" w:right="709"/>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sz w:val="20"/>
          <w:szCs w:val="20"/>
          <w:bdr w:val="none" w:sz="0" w:space="0" w:color="auto" w:frame="1"/>
          <w:shd w:val="clear" w:color="auto" w:fill="FFFFFF"/>
          <w:lang w:val="es-ES" w:eastAsia="es-ES_tradnl"/>
        </w:rPr>
        <w:t>“Ese reconocimiento, además, está supeditado a que se reúnan los siguientes elementos: (i) la existencia de una ventaja patrimonial en beneficio de la entidad; (</w:t>
      </w:r>
      <w:proofErr w:type="spellStart"/>
      <w:r w:rsidRPr="00B8272B">
        <w:rPr>
          <w:rFonts w:ascii="Verdana" w:eastAsia="Times New Roman" w:hAnsi="Verdana" w:cs="Arial"/>
          <w:color w:val="000000"/>
          <w:sz w:val="20"/>
          <w:szCs w:val="20"/>
          <w:bdr w:val="none" w:sz="0" w:space="0" w:color="auto" w:frame="1"/>
          <w:shd w:val="clear" w:color="auto" w:fill="FFFFFF"/>
          <w:lang w:val="es-ES" w:eastAsia="es-ES_tradnl"/>
        </w:rPr>
        <w:t>ii</w:t>
      </w:r>
      <w:proofErr w:type="spellEnd"/>
      <w:r w:rsidRPr="00B8272B">
        <w:rPr>
          <w:rFonts w:ascii="Verdana" w:eastAsia="Times New Roman" w:hAnsi="Verdana" w:cs="Arial"/>
          <w:color w:val="000000"/>
          <w:sz w:val="20"/>
          <w:szCs w:val="20"/>
          <w:bdr w:val="none" w:sz="0" w:space="0" w:color="auto" w:frame="1"/>
          <w:shd w:val="clear" w:color="auto" w:fill="FFFFFF"/>
          <w:lang w:val="es-ES" w:eastAsia="es-ES_tradnl"/>
        </w:rPr>
        <w:t>) un empobrecimiento correlativo sufrido por el demandante, el cual pueda atribuirse al acrecimiento mencionado; (</w:t>
      </w:r>
      <w:proofErr w:type="spellStart"/>
      <w:r w:rsidRPr="00B8272B">
        <w:rPr>
          <w:rFonts w:ascii="Verdana" w:eastAsia="Times New Roman" w:hAnsi="Verdana" w:cs="Arial"/>
          <w:color w:val="000000"/>
          <w:sz w:val="20"/>
          <w:szCs w:val="20"/>
          <w:bdr w:val="none" w:sz="0" w:space="0" w:color="auto" w:frame="1"/>
          <w:shd w:val="clear" w:color="auto" w:fill="FFFFFF"/>
          <w:lang w:val="es-ES" w:eastAsia="es-ES_tradnl"/>
        </w:rPr>
        <w:t>iii</w:t>
      </w:r>
      <w:proofErr w:type="spellEnd"/>
      <w:r w:rsidRPr="00B8272B">
        <w:rPr>
          <w:rFonts w:ascii="Verdana" w:eastAsia="Times New Roman" w:hAnsi="Verdana" w:cs="Arial"/>
          <w:color w:val="000000"/>
          <w:sz w:val="20"/>
          <w:szCs w:val="20"/>
          <w:bdr w:val="none" w:sz="0" w:space="0" w:color="auto" w:frame="1"/>
          <w:shd w:val="clear" w:color="auto" w:fill="FFFFFF"/>
          <w:lang w:val="es-ES" w:eastAsia="es-ES_tradnl"/>
        </w:rPr>
        <w:t>) la ausencia de causa jurídica en el desequilibrio producido, en cuanto a que no haya sido generada por un hecho o un acto jurídico, como tampoco por una disposición expresa de la ley; (</w:t>
      </w:r>
      <w:proofErr w:type="spellStart"/>
      <w:r w:rsidRPr="00B8272B">
        <w:rPr>
          <w:rFonts w:ascii="Verdana" w:eastAsia="Times New Roman" w:hAnsi="Verdana" w:cs="Arial"/>
          <w:color w:val="000000"/>
          <w:sz w:val="20"/>
          <w:szCs w:val="20"/>
          <w:bdr w:val="none" w:sz="0" w:space="0" w:color="auto" w:frame="1"/>
          <w:shd w:val="clear" w:color="auto" w:fill="FFFFFF"/>
          <w:lang w:val="es-ES" w:eastAsia="es-ES_tradnl"/>
        </w:rPr>
        <w:t>iv</w:t>
      </w:r>
      <w:proofErr w:type="spellEnd"/>
      <w:r w:rsidRPr="00B8272B">
        <w:rPr>
          <w:rFonts w:ascii="Verdana" w:eastAsia="Times New Roman" w:hAnsi="Verdana" w:cs="Arial"/>
          <w:color w:val="000000"/>
          <w:sz w:val="20"/>
          <w:szCs w:val="20"/>
          <w:bdr w:val="none" w:sz="0" w:space="0" w:color="auto" w:frame="1"/>
          <w:shd w:val="clear" w:color="auto" w:fill="FFFFFF"/>
          <w:lang w:val="es-ES" w:eastAsia="es-ES_tradnl"/>
        </w:rPr>
        <w:t>) que el demandante carezca de cualquier otro mecanismo para reclamar la compensación, lo que pone en evidencia su subsidiariedad; y (v) la compensación no procede cuando con ella se pretende soslayar una disposición imperativa de la ley”</w:t>
      </w:r>
      <w:r w:rsidRPr="00B8272B">
        <w:rPr>
          <w:rFonts w:ascii="Verdana" w:eastAsia="Times New Roman" w:hAnsi="Verdana" w:cs="Arial"/>
          <w:color w:val="000000"/>
          <w:sz w:val="20"/>
          <w:szCs w:val="20"/>
          <w:bdr w:val="none" w:sz="0" w:space="0" w:color="auto" w:frame="1"/>
          <w:shd w:val="clear" w:color="auto" w:fill="FFFFFF"/>
          <w:vertAlign w:val="superscript"/>
          <w:lang w:val="es-ES" w:eastAsia="es-ES_tradnl"/>
        </w:rPr>
        <w:footnoteReference w:id="15"/>
      </w:r>
      <w:r w:rsidRPr="00B8272B">
        <w:rPr>
          <w:rFonts w:ascii="Verdana" w:eastAsia="Times New Roman" w:hAnsi="Verdana" w:cs="Arial"/>
          <w:color w:val="000000"/>
          <w:sz w:val="20"/>
          <w:szCs w:val="20"/>
          <w:bdr w:val="none" w:sz="0" w:space="0" w:color="auto" w:frame="1"/>
          <w:shd w:val="clear" w:color="auto" w:fill="FFFFFF"/>
          <w:lang w:val="es-ES" w:eastAsia="es-ES_tradnl"/>
        </w:rPr>
        <w:t>.</w:t>
      </w:r>
    </w:p>
    <w:p w14:paraId="63D91E6B" w14:textId="77777777" w:rsidR="00F64884" w:rsidRPr="00B8272B" w:rsidRDefault="00F64884" w:rsidP="00F64884">
      <w:pPr>
        <w:tabs>
          <w:tab w:val="left" w:pos="709"/>
        </w:tabs>
        <w:spacing w:after="0" w:line="276" w:lineRule="auto"/>
        <w:jc w:val="both"/>
        <w:rPr>
          <w:rFonts w:ascii="Verdana" w:eastAsia="Times New Roman" w:hAnsi="Verdana" w:cs="Arial"/>
          <w:color w:val="000000"/>
          <w:bdr w:val="none" w:sz="0" w:space="0" w:color="auto" w:frame="1"/>
          <w:shd w:val="clear" w:color="auto" w:fill="FFFFFF"/>
          <w:lang w:val="es-ES" w:eastAsia="es-ES_tradnl"/>
        </w:rPr>
      </w:pPr>
    </w:p>
    <w:p w14:paraId="1B70DEBE" w14:textId="77777777" w:rsidR="00F64884" w:rsidRDefault="00F64884" w:rsidP="00F64884">
      <w:pPr>
        <w:tabs>
          <w:tab w:val="left" w:pos="709"/>
        </w:tabs>
        <w:spacing w:after="0" w:line="276" w:lineRule="auto"/>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bdr w:val="none" w:sz="0" w:space="0" w:color="auto" w:frame="1"/>
          <w:shd w:val="clear" w:color="auto" w:fill="FFFFFF"/>
          <w:lang w:val="es-ES" w:eastAsia="es-ES_tradnl"/>
        </w:rPr>
        <w:tab/>
      </w:r>
      <w:r w:rsidRPr="00BF779B">
        <w:rPr>
          <w:rFonts w:ascii="Verdana" w:eastAsia="Times New Roman" w:hAnsi="Verdana" w:cs="Arial"/>
          <w:color w:val="000000"/>
          <w:bdr w:val="none" w:sz="0" w:space="0" w:color="auto" w:frame="1"/>
          <w:shd w:val="clear" w:color="auto" w:fill="FFFFFF"/>
          <w:lang w:val="es-ES" w:eastAsia="es-ES_tradnl"/>
        </w:rPr>
        <w:t xml:space="preserve">En atención a estos elementos, resulta necesario acreditar no solo la </w:t>
      </w:r>
      <w:r>
        <w:rPr>
          <w:rFonts w:ascii="Verdana" w:eastAsia="Times New Roman" w:hAnsi="Verdana" w:cs="Arial"/>
          <w:color w:val="000000"/>
          <w:bdr w:val="none" w:sz="0" w:space="0" w:color="auto" w:frame="1"/>
          <w:shd w:val="clear" w:color="auto" w:fill="FFFFFF"/>
          <w:lang w:val="es-ES" w:eastAsia="es-ES_tradnl"/>
        </w:rPr>
        <w:t>prueba de la actividad</w:t>
      </w:r>
      <w:r w:rsidRPr="00BF779B">
        <w:rPr>
          <w:rFonts w:ascii="Verdana" w:eastAsia="Times New Roman" w:hAnsi="Verdana" w:cs="Arial"/>
          <w:color w:val="000000"/>
          <w:bdr w:val="none" w:sz="0" w:space="0" w:color="auto" w:frame="1"/>
          <w:shd w:val="clear" w:color="auto" w:fill="FFFFFF"/>
          <w:lang w:val="es-ES" w:eastAsia="es-ES_tradnl"/>
        </w:rPr>
        <w:t xml:space="preserve">, sino también la configuración de la circunstancia excepcional que se invoca para justificar la procedencia del reconocimiento, respecto de la cual </w:t>
      </w:r>
      <w:r>
        <w:rPr>
          <w:rFonts w:ascii="Verdana" w:eastAsia="Times New Roman" w:hAnsi="Verdana" w:cs="Arial"/>
          <w:color w:val="000000"/>
          <w:bdr w:val="none" w:sz="0" w:space="0" w:color="auto" w:frame="1"/>
          <w:shd w:val="clear" w:color="auto" w:fill="FFFFFF"/>
          <w:lang w:val="es-ES" w:eastAsia="es-ES_tradnl"/>
        </w:rPr>
        <w:t xml:space="preserve">se </w:t>
      </w:r>
      <w:r w:rsidRPr="00BF779B">
        <w:rPr>
          <w:rFonts w:ascii="Verdana" w:eastAsia="Times New Roman" w:hAnsi="Verdana" w:cs="Arial"/>
          <w:color w:val="000000"/>
          <w:bdr w:val="none" w:sz="0" w:space="0" w:color="auto" w:frame="1"/>
          <w:shd w:val="clear" w:color="auto" w:fill="FFFFFF"/>
          <w:lang w:val="es-ES" w:eastAsia="es-ES_tradnl"/>
        </w:rPr>
        <w:t>enfatizó qu</w:t>
      </w:r>
      <w:r>
        <w:rPr>
          <w:rFonts w:ascii="Verdana" w:eastAsia="Times New Roman" w:hAnsi="Verdana" w:cs="Arial"/>
          <w:color w:val="000000"/>
          <w:bdr w:val="none" w:sz="0" w:space="0" w:color="auto" w:frame="1"/>
          <w:shd w:val="clear" w:color="auto" w:fill="FFFFFF"/>
          <w:lang w:val="es-ES" w:eastAsia="es-ES_tradnl"/>
        </w:rPr>
        <w:t>e:</w:t>
      </w:r>
    </w:p>
    <w:p w14:paraId="541DD9C4" w14:textId="77777777" w:rsidR="00F64884" w:rsidRPr="00221A05" w:rsidRDefault="00F64884" w:rsidP="00F64884">
      <w:pPr>
        <w:tabs>
          <w:tab w:val="left" w:pos="709"/>
        </w:tabs>
        <w:spacing w:after="0" w:line="240" w:lineRule="auto"/>
        <w:ind w:left="709" w:right="760"/>
        <w:jc w:val="both"/>
        <w:rPr>
          <w:rFonts w:ascii="Verdana" w:eastAsia="Times New Roman" w:hAnsi="Verdana" w:cs="Arial"/>
          <w:color w:val="000000"/>
          <w:sz w:val="20"/>
          <w:szCs w:val="20"/>
          <w:bdr w:val="none" w:sz="0" w:space="0" w:color="auto" w:frame="1"/>
          <w:shd w:val="clear" w:color="auto" w:fill="FFFFFF"/>
          <w:lang w:val="es-ES" w:eastAsia="es-ES_tradnl"/>
        </w:rPr>
      </w:pPr>
    </w:p>
    <w:p w14:paraId="18381DA1" w14:textId="77777777" w:rsidR="00F64884" w:rsidRDefault="00F64884" w:rsidP="00F64884">
      <w:pPr>
        <w:tabs>
          <w:tab w:val="left" w:pos="709"/>
        </w:tabs>
        <w:spacing w:after="0" w:line="240" w:lineRule="auto"/>
        <w:ind w:left="709" w:right="760"/>
        <w:jc w:val="both"/>
        <w:rPr>
          <w:rFonts w:ascii="Verdana" w:eastAsia="Times New Roman" w:hAnsi="Verdana" w:cs="Arial"/>
          <w:color w:val="000000"/>
          <w:sz w:val="20"/>
          <w:szCs w:val="20"/>
          <w:bdr w:val="none" w:sz="0" w:space="0" w:color="auto" w:frame="1"/>
          <w:shd w:val="clear" w:color="auto" w:fill="FFFFFF"/>
          <w:lang w:val="es-ES" w:eastAsia="es-ES_tradnl"/>
        </w:rPr>
      </w:pPr>
      <w:r>
        <w:rPr>
          <w:rFonts w:ascii="Verdana" w:eastAsia="Times New Roman" w:hAnsi="Verdana" w:cs="Arial"/>
          <w:color w:val="000000"/>
          <w:sz w:val="20"/>
          <w:szCs w:val="20"/>
          <w:bdr w:val="none" w:sz="0" w:space="0" w:color="auto" w:frame="1"/>
          <w:shd w:val="clear" w:color="auto" w:fill="FFFFFF"/>
          <w:lang w:val="es-ES" w:eastAsia="es-ES_tradnl"/>
        </w:rPr>
        <w:t>“(…)</w:t>
      </w:r>
      <w:r>
        <w:rPr>
          <w:rFonts w:ascii="Verdana" w:eastAsia="Times New Roman" w:hAnsi="Verdana" w:cs="Arial"/>
          <w:color w:val="000000"/>
          <w:sz w:val="20"/>
          <w:szCs w:val="20"/>
          <w:bdr w:val="none" w:sz="0" w:space="0" w:color="auto" w:frame="1"/>
          <w:shd w:val="clear" w:color="auto" w:fill="FFFFFF"/>
          <w:lang w:eastAsia="es-ES_tradnl"/>
        </w:rPr>
        <w:t xml:space="preserve"> </w:t>
      </w:r>
      <w:r w:rsidRPr="008A4E3B">
        <w:rPr>
          <w:rFonts w:ascii="Verdana" w:eastAsia="Times New Roman" w:hAnsi="Verdana" w:cs="Arial"/>
          <w:color w:val="000000"/>
          <w:sz w:val="20"/>
          <w:szCs w:val="20"/>
          <w:bdr w:val="none" w:sz="0" w:space="0" w:color="auto" w:frame="1"/>
          <w:shd w:val="clear" w:color="auto" w:fill="FFFFFF"/>
          <w:lang w:eastAsia="es-ES_tradnl"/>
        </w:rPr>
        <w:t>ese ejercicio debe consistir en una ponderación de las circunstancias del caso y tomando en consideración la procedencia </w:t>
      </w:r>
      <w:r w:rsidRPr="008A4E3B">
        <w:rPr>
          <w:rFonts w:ascii="Verdana" w:eastAsia="Times New Roman" w:hAnsi="Verdana" w:cs="Arial"/>
          <w:i/>
          <w:iCs/>
          <w:color w:val="000000"/>
          <w:sz w:val="20"/>
          <w:szCs w:val="20"/>
          <w:bdr w:val="none" w:sz="0" w:space="0" w:color="auto" w:frame="1"/>
          <w:shd w:val="clear" w:color="auto" w:fill="FFFFFF"/>
          <w:lang w:eastAsia="es-ES_tradnl"/>
        </w:rPr>
        <w:t>excepcional </w:t>
      </w:r>
      <w:r w:rsidRPr="008A4E3B">
        <w:rPr>
          <w:rFonts w:ascii="Verdana" w:eastAsia="Times New Roman" w:hAnsi="Verdana" w:cs="Arial"/>
          <w:color w:val="000000"/>
          <w:sz w:val="20"/>
          <w:szCs w:val="20"/>
          <w:bdr w:val="none" w:sz="0" w:space="0" w:color="auto" w:frame="1"/>
          <w:shd w:val="clear" w:color="auto" w:fill="FFFFFF"/>
          <w:lang w:eastAsia="es-ES_tradnl"/>
        </w:rPr>
        <w:t>de este instituto cuando se trata de reconocer realizaciones de obras o prestación de servicios sin el respaldo de un contrato, aun cuando existía la obligación de atender una solemnidad</w:t>
      </w:r>
      <w:bookmarkStart w:id="8" w:name="_ftnref66"/>
      <w:bookmarkEnd w:id="8"/>
      <w:r w:rsidRPr="00CA3A4D">
        <w:rPr>
          <w:rFonts w:ascii="Verdana" w:eastAsia="Times New Roman" w:hAnsi="Verdana" w:cs="Arial"/>
          <w:color w:val="000000" w:themeColor="text1"/>
          <w:sz w:val="20"/>
          <w:szCs w:val="20"/>
          <w:bdr w:val="none" w:sz="0" w:space="0" w:color="auto" w:frame="1"/>
          <w:shd w:val="clear" w:color="auto" w:fill="FFFFFF"/>
          <w:lang w:eastAsia="es-ES_tradnl"/>
        </w:rPr>
        <w:fldChar w:fldCharType="begin"/>
      </w:r>
      <w:r w:rsidRPr="00CA3A4D">
        <w:rPr>
          <w:rFonts w:ascii="Verdana" w:eastAsia="Times New Roman" w:hAnsi="Verdana" w:cs="Arial"/>
          <w:color w:val="000000" w:themeColor="text1"/>
          <w:sz w:val="20"/>
          <w:szCs w:val="20"/>
          <w:bdr w:val="none" w:sz="0" w:space="0" w:color="auto" w:frame="1"/>
          <w:shd w:val="clear" w:color="auto" w:fill="FFFFFF"/>
          <w:lang w:eastAsia="es-ES_tradnl"/>
        </w:rPr>
        <w:instrText>HYPERLINK "https://www.alcaldiabogota.gov.co/sisjur/normas/Norma1.jsp?i=191028&amp;dt=S" \l "_ftn66"</w:instrText>
      </w:r>
      <w:r w:rsidRPr="00CA3A4D">
        <w:rPr>
          <w:rFonts w:ascii="Verdana" w:eastAsia="Times New Roman" w:hAnsi="Verdana" w:cs="Arial"/>
          <w:color w:val="000000" w:themeColor="text1"/>
          <w:sz w:val="20"/>
          <w:szCs w:val="20"/>
          <w:bdr w:val="none" w:sz="0" w:space="0" w:color="auto" w:frame="1"/>
          <w:shd w:val="clear" w:color="auto" w:fill="FFFFFF"/>
          <w:lang w:eastAsia="es-ES_tradnl"/>
        </w:rPr>
      </w:r>
      <w:r w:rsidRPr="00CA3A4D">
        <w:rPr>
          <w:rFonts w:ascii="Verdana" w:eastAsia="Times New Roman" w:hAnsi="Verdana" w:cs="Arial"/>
          <w:color w:val="000000" w:themeColor="text1"/>
          <w:sz w:val="20"/>
          <w:szCs w:val="20"/>
          <w:bdr w:val="none" w:sz="0" w:space="0" w:color="auto" w:frame="1"/>
          <w:shd w:val="clear" w:color="auto" w:fill="FFFFFF"/>
          <w:lang w:eastAsia="es-ES_tradnl"/>
        </w:rPr>
        <w:fldChar w:fldCharType="separate"/>
      </w:r>
      <w:r w:rsidRPr="00CA3A4D">
        <w:rPr>
          <w:rStyle w:val="Hipervnculo"/>
          <w:rFonts w:ascii="Verdana" w:eastAsia="Times New Roman" w:hAnsi="Verdana" w:cs="Arial"/>
          <w:color w:val="000000" w:themeColor="text1"/>
          <w:sz w:val="20"/>
          <w:szCs w:val="20"/>
          <w:bdr w:val="none" w:sz="0" w:space="0" w:color="auto" w:frame="1"/>
          <w:shd w:val="clear" w:color="auto" w:fill="FFFFFF"/>
          <w:vertAlign w:val="superscript"/>
          <w:lang w:eastAsia="es-ES_tradnl"/>
        </w:rPr>
        <w:t>[66]</w:t>
      </w:r>
      <w:r w:rsidRPr="00CA3A4D">
        <w:rPr>
          <w:rFonts w:ascii="Verdana" w:eastAsia="Times New Roman" w:hAnsi="Verdana" w:cs="Arial"/>
          <w:color w:val="000000" w:themeColor="text1"/>
          <w:sz w:val="20"/>
          <w:szCs w:val="20"/>
          <w:bdr w:val="none" w:sz="0" w:space="0" w:color="auto" w:frame="1"/>
          <w:shd w:val="clear" w:color="auto" w:fill="FFFFFF"/>
          <w:lang w:val="es-ES" w:eastAsia="es-ES_tradnl"/>
        </w:rPr>
        <w:fldChar w:fldCharType="end"/>
      </w:r>
      <w:r w:rsidRPr="008A4E3B">
        <w:rPr>
          <w:rFonts w:ascii="Verdana" w:eastAsia="Times New Roman" w:hAnsi="Verdana" w:cs="Arial"/>
          <w:color w:val="000000"/>
          <w:sz w:val="20"/>
          <w:szCs w:val="20"/>
          <w:bdr w:val="none" w:sz="0" w:space="0" w:color="auto" w:frame="1"/>
          <w:shd w:val="clear" w:color="auto" w:fill="FFFFFF"/>
          <w:lang w:eastAsia="es-ES_tradnl"/>
        </w:rPr>
        <w:t xml:space="preserve">. Dicha circunstancia extraordinaria debe entenderse como aquel estado objetivo de cosas que, de forma determinante, le impida a la entidad pública acudir a los mecanismos disponibles en la ley para adelantar su actividad contractual de manera normal, esto es, la ejecución de procedimientos de selección, la celebración de un contrato por escrito (o prórrogas u otrosíes para </w:t>
      </w:r>
      <w:r w:rsidRPr="008A4E3B">
        <w:rPr>
          <w:rFonts w:ascii="Verdana" w:eastAsia="Times New Roman" w:hAnsi="Verdana" w:cs="Arial"/>
          <w:color w:val="000000"/>
          <w:sz w:val="20"/>
          <w:szCs w:val="20"/>
          <w:bdr w:val="none" w:sz="0" w:space="0" w:color="auto" w:frame="1"/>
          <w:shd w:val="clear" w:color="auto" w:fill="FFFFFF"/>
          <w:lang w:eastAsia="es-ES_tradnl"/>
        </w:rPr>
        <w:lastRenderedPageBreak/>
        <w:t>negocios ya perfeccionados) o la utilización de la contratación directa por urgencia manifiesta</w:t>
      </w:r>
      <w:r>
        <w:rPr>
          <w:rFonts w:ascii="Verdana" w:eastAsia="Times New Roman" w:hAnsi="Verdana" w:cs="Arial"/>
          <w:color w:val="000000"/>
          <w:sz w:val="20"/>
          <w:szCs w:val="20"/>
          <w:bdr w:val="none" w:sz="0" w:space="0" w:color="auto" w:frame="1"/>
          <w:shd w:val="clear" w:color="auto" w:fill="FFFFFF"/>
          <w:lang w:eastAsia="es-ES_tradnl"/>
        </w:rPr>
        <w:t>”</w:t>
      </w:r>
      <w:r w:rsidRPr="008A4E3B">
        <w:rPr>
          <w:rFonts w:ascii="Verdana" w:eastAsia="Times New Roman" w:hAnsi="Verdana" w:cs="Arial"/>
          <w:color w:val="000000"/>
          <w:sz w:val="20"/>
          <w:szCs w:val="20"/>
          <w:bdr w:val="none" w:sz="0" w:space="0" w:color="auto" w:frame="1"/>
          <w:shd w:val="clear" w:color="auto" w:fill="FFFFFF"/>
          <w:lang w:eastAsia="es-ES_tradnl"/>
        </w:rPr>
        <w:t>.</w:t>
      </w:r>
      <w:r w:rsidRPr="008A4E3B">
        <w:rPr>
          <w:rFonts w:ascii="Verdana" w:eastAsia="Times New Roman" w:hAnsi="Verdana" w:cs="Arial"/>
          <w:color w:val="000000"/>
          <w:sz w:val="20"/>
          <w:szCs w:val="20"/>
          <w:bdr w:val="none" w:sz="0" w:space="0" w:color="auto" w:frame="1"/>
          <w:shd w:val="clear" w:color="auto" w:fill="FFFFFF"/>
          <w:lang w:val="es-ES" w:eastAsia="es-ES_tradnl"/>
        </w:rPr>
        <w:t xml:space="preserve"> </w:t>
      </w:r>
    </w:p>
    <w:p w14:paraId="3BD572C5" w14:textId="77777777" w:rsidR="00F64884" w:rsidRPr="00221A05" w:rsidRDefault="00F64884" w:rsidP="00F64884">
      <w:pPr>
        <w:tabs>
          <w:tab w:val="left" w:pos="709"/>
        </w:tabs>
        <w:spacing w:after="0" w:line="276" w:lineRule="auto"/>
        <w:jc w:val="both"/>
        <w:rPr>
          <w:rFonts w:ascii="Verdana" w:eastAsia="Times New Roman" w:hAnsi="Verdana" w:cs="Arial"/>
          <w:color w:val="000000"/>
          <w:sz w:val="20"/>
          <w:szCs w:val="20"/>
          <w:bdr w:val="none" w:sz="0" w:space="0" w:color="auto" w:frame="1"/>
          <w:shd w:val="clear" w:color="auto" w:fill="FFFFFF"/>
          <w:lang w:val="es-ES" w:eastAsia="es-ES_tradnl"/>
        </w:rPr>
      </w:pPr>
    </w:p>
    <w:p w14:paraId="06A0BBC6" w14:textId="77777777" w:rsidR="00F64884" w:rsidRDefault="00F64884" w:rsidP="00F64884">
      <w:pPr>
        <w:tabs>
          <w:tab w:val="left" w:pos="709"/>
        </w:tabs>
        <w:spacing w:after="120" w:line="276" w:lineRule="auto"/>
        <w:ind w:firstLine="709"/>
        <w:jc w:val="both"/>
        <w:rPr>
          <w:rFonts w:ascii="Verdana" w:hAnsi="Verdana" w:cs="Arial"/>
          <w:color w:val="000000" w:themeColor="text1"/>
          <w:shd w:val="clear" w:color="auto" w:fill="FFFFFF"/>
        </w:rPr>
      </w:pPr>
      <w:r>
        <w:rPr>
          <w:rFonts w:ascii="Verdana" w:eastAsia="Times New Roman" w:hAnsi="Verdana" w:cs="Arial"/>
          <w:color w:val="000000"/>
          <w:bdr w:val="none" w:sz="0" w:space="0" w:color="auto" w:frame="1"/>
          <w:shd w:val="clear" w:color="auto" w:fill="FFFFFF"/>
          <w:lang w:val="es-ES" w:eastAsia="es-ES_tradnl"/>
        </w:rPr>
        <w:t>Aunado a lo anterior, la Sala rectificó la postura jurisprudencial plasmada en la sentencia de unificación del 19 de noviembre de 2012</w:t>
      </w:r>
      <w:r w:rsidRPr="00A473B7">
        <w:rPr>
          <w:rFonts w:ascii="Arial" w:hAnsi="Arial" w:cs="Arial"/>
          <w:color w:val="333333"/>
          <w:shd w:val="clear" w:color="auto" w:fill="FFFFFF"/>
        </w:rPr>
        <w:t xml:space="preserve"> </w:t>
      </w:r>
      <w:r>
        <w:rPr>
          <w:rFonts w:ascii="Arial" w:hAnsi="Arial" w:cs="Arial"/>
          <w:color w:val="333333"/>
          <w:shd w:val="clear" w:color="auto" w:fill="FFFFFF"/>
        </w:rPr>
        <w:t> “</w:t>
      </w:r>
      <w:r w:rsidRPr="00A473B7">
        <w:rPr>
          <w:rFonts w:ascii="Verdana" w:hAnsi="Verdana" w:cs="Arial"/>
          <w:color w:val="000000" w:themeColor="text1"/>
          <w:shd w:val="clear" w:color="auto" w:fill="FFFFFF"/>
        </w:rPr>
        <w:t>para dejar sentado que aquellos eventos en los que la entidad pública (o particular en ejercicio de funciones administrativas) coaccione, constriña o imponga a un particular (o a un servidor público) la prestación de un servicio o la entrega de un bien, o -en general- la ejecución de una actividad, la eventual indemnización de los perjuicios causados por dicha situación debe estudiarse como un evento de falla del servicio y no de enriquecimiento sin justa causa</w:t>
      </w:r>
      <w:r>
        <w:rPr>
          <w:rFonts w:ascii="Verdana" w:hAnsi="Verdana" w:cs="Arial"/>
          <w:color w:val="000000" w:themeColor="text1"/>
          <w:shd w:val="clear" w:color="auto" w:fill="FFFFFF"/>
        </w:rPr>
        <w:t>”</w:t>
      </w:r>
      <w:r w:rsidRPr="00A473B7">
        <w:rPr>
          <w:rFonts w:ascii="Verdana" w:hAnsi="Verdana" w:cs="Arial"/>
          <w:color w:val="000000" w:themeColor="text1"/>
          <w:shd w:val="clear" w:color="auto" w:fill="FFFFFF"/>
        </w:rPr>
        <w:t xml:space="preserve">. </w:t>
      </w:r>
    </w:p>
    <w:p w14:paraId="5F5043FD" w14:textId="77777777" w:rsidR="00F64884" w:rsidRDefault="00F64884" w:rsidP="00F64884">
      <w:pPr>
        <w:tabs>
          <w:tab w:val="left" w:pos="709"/>
        </w:tabs>
        <w:spacing w:after="120" w:line="276" w:lineRule="auto"/>
        <w:ind w:firstLine="709"/>
        <w:jc w:val="both"/>
        <w:rPr>
          <w:rFonts w:ascii="Verdana" w:hAnsi="Verdana" w:cs="Arial"/>
          <w:color w:val="000000" w:themeColor="text1"/>
          <w:shd w:val="clear" w:color="auto" w:fill="FFFFFF"/>
        </w:rPr>
      </w:pPr>
      <w:r>
        <w:rPr>
          <w:rFonts w:ascii="Verdana" w:hAnsi="Verdana" w:cs="Arial"/>
          <w:color w:val="000000" w:themeColor="text1"/>
          <w:shd w:val="clear" w:color="auto" w:fill="FFFFFF"/>
        </w:rPr>
        <w:t xml:space="preserve">Con todo, la Sentencia de Unificación precisa que la pretensión con fundamento en el enriquecimiento sin justa causa </w:t>
      </w:r>
      <w:r w:rsidRPr="00DD327E">
        <w:rPr>
          <w:rFonts w:ascii="Verdana" w:hAnsi="Verdana" w:cs="Arial"/>
          <w:color w:val="000000" w:themeColor="text1"/>
          <w:shd w:val="clear" w:color="auto" w:fill="FFFFFF"/>
        </w:rPr>
        <w:t xml:space="preserve">debe formularse cumpliendo los presupuestos procesales de la reparación directa, </w:t>
      </w:r>
      <w:r>
        <w:rPr>
          <w:rFonts w:ascii="Verdana" w:hAnsi="Verdana" w:cs="Arial"/>
          <w:color w:val="000000" w:themeColor="text1"/>
          <w:shd w:val="clear" w:color="auto" w:fill="FFFFFF"/>
        </w:rPr>
        <w:t>“</w:t>
      </w:r>
      <w:r w:rsidRPr="00DD327E">
        <w:rPr>
          <w:rFonts w:ascii="Verdana" w:hAnsi="Verdana" w:cs="Arial"/>
          <w:color w:val="000000" w:themeColor="text1"/>
          <w:shd w:val="clear" w:color="auto" w:fill="FFFFFF"/>
        </w:rPr>
        <w:t>bien sea ante la inexistencia de contrato -sea porque se reclama una actividad producto de un acuerdo verbal o porque no existe pacto en absoluto- o ante el desarrollo de actividades con posterioridad al agotamiento del objeto de un contrato celebrado previamente</w:t>
      </w:r>
      <w:r>
        <w:rPr>
          <w:rFonts w:ascii="Verdana" w:hAnsi="Verdana" w:cs="Arial"/>
          <w:color w:val="000000" w:themeColor="text1"/>
          <w:shd w:val="clear" w:color="auto" w:fill="FFFFFF"/>
        </w:rPr>
        <w:t>”</w:t>
      </w:r>
      <w:r w:rsidRPr="00DD327E">
        <w:rPr>
          <w:rFonts w:ascii="Verdana" w:hAnsi="Verdana" w:cs="Arial"/>
          <w:color w:val="000000" w:themeColor="text1"/>
          <w:shd w:val="clear" w:color="auto" w:fill="FFFFFF"/>
        </w:rPr>
        <w:t>.</w:t>
      </w:r>
      <w:r>
        <w:rPr>
          <w:rFonts w:ascii="Verdana" w:hAnsi="Verdana" w:cs="Arial"/>
          <w:color w:val="000000" w:themeColor="text1"/>
          <w:shd w:val="clear" w:color="auto" w:fill="FFFFFF"/>
        </w:rPr>
        <w:t xml:space="preserve"> Puesto que</w:t>
      </w:r>
      <w:r w:rsidRPr="00DD327E">
        <w:rPr>
          <w:rFonts w:ascii="Verdana" w:hAnsi="Verdana" w:cs="Arial"/>
          <w:color w:val="000000" w:themeColor="text1"/>
          <w:shd w:val="clear" w:color="auto" w:fill="FFFFFF"/>
        </w:rPr>
        <w:t xml:space="preserve"> </w:t>
      </w:r>
      <w:r>
        <w:rPr>
          <w:rFonts w:ascii="Verdana" w:hAnsi="Verdana" w:cs="Arial"/>
          <w:color w:val="000000" w:themeColor="text1"/>
          <w:shd w:val="clear" w:color="auto" w:fill="FFFFFF"/>
        </w:rPr>
        <w:t>s</w:t>
      </w:r>
      <w:r w:rsidRPr="00DD327E">
        <w:rPr>
          <w:rFonts w:ascii="Verdana" w:hAnsi="Verdana" w:cs="Arial"/>
          <w:color w:val="000000" w:themeColor="text1"/>
          <w:shd w:val="clear" w:color="auto" w:fill="FFFFFF"/>
        </w:rPr>
        <w:t>i lo que se reclama tiene fuente y respaldo en actividades propias del objeto de un acuerdo de voluntades, aunque se extienda en el tiempo, que se consumaron luego del periodo de ejecución, corresponderá a un juicio de controversias contractuales</w:t>
      </w:r>
      <w:r>
        <w:rPr>
          <w:rFonts w:ascii="Verdana" w:hAnsi="Verdana" w:cs="Arial"/>
          <w:color w:val="000000" w:themeColor="text1"/>
          <w:shd w:val="clear" w:color="auto" w:fill="FFFFFF"/>
        </w:rPr>
        <w:t xml:space="preserve">. </w:t>
      </w:r>
    </w:p>
    <w:p w14:paraId="254D2F6E" w14:textId="77777777" w:rsidR="00F64884" w:rsidRPr="00A473B7" w:rsidRDefault="00F64884" w:rsidP="00F64884">
      <w:pPr>
        <w:tabs>
          <w:tab w:val="left" w:pos="709"/>
        </w:tabs>
        <w:spacing w:after="120" w:line="276" w:lineRule="auto"/>
        <w:ind w:firstLine="709"/>
        <w:jc w:val="both"/>
        <w:rPr>
          <w:rFonts w:ascii="Verdana" w:hAnsi="Verdana" w:cs="Arial"/>
          <w:color w:val="000000" w:themeColor="text1"/>
          <w:shd w:val="clear" w:color="auto" w:fill="FFFFFF"/>
        </w:rPr>
      </w:pPr>
      <w:r>
        <w:rPr>
          <w:rFonts w:ascii="Verdana" w:hAnsi="Verdana" w:cs="Arial"/>
          <w:color w:val="000000" w:themeColor="text1"/>
          <w:shd w:val="clear" w:color="auto" w:fill="FFFFFF"/>
        </w:rPr>
        <w:t xml:space="preserve">Asi las cosas, </w:t>
      </w:r>
      <w:r>
        <w:rPr>
          <w:rFonts w:ascii="Verdana" w:eastAsia="Times New Roman" w:hAnsi="Verdana" w:cs="Arial"/>
          <w:color w:val="000000"/>
          <w:bdr w:val="none" w:sz="0" w:space="0" w:color="auto" w:frame="1"/>
          <w:shd w:val="clear" w:color="auto" w:fill="FFFFFF"/>
          <w:lang w:val="es-ES" w:eastAsia="es-ES_tradnl"/>
        </w:rPr>
        <w:t>el</w:t>
      </w:r>
      <w:r w:rsidRPr="00B8272B">
        <w:rPr>
          <w:rFonts w:ascii="Verdana" w:eastAsia="Times New Roman" w:hAnsi="Verdana" w:cs="Arial"/>
          <w:color w:val="000000"/>
          <w:bdr w:val="none" w:sz="0" w:space="0" w:color="auto" w:frame="1"/>
          <w:shd w:val="clear" w:color="auto" w:fill="FFFFFF"/>
          <w:lang w:val="es-ES" w:eastAsia="es-ES_tradnl"/>
        </w:rPr>
        <w:t xml:space="preserve"> Consejo de Estado estableció que esta regla sobre el reconocimiento económico debe aplicarse a partir de la ejecutoria de la nueva </w:t>
      </w:r>
      <w:r>
        <w:rPr>
          <w:rFonts w:ascii="Verdana" w:eastAsia="Times New Roman" w:hAnsi="Verdana" w:cs="Arial"/>
          <w:color w:val="000000"/>
          <w:bdr w:val="none" w:sz="0" w:space="0" w:color="auto" w:frame="1"/>
          <w:shd w:val="clear" w:color="auto" w:fill="FFFFFF"/>
          <w:lang w:val="es-ES" w:eastAsia="es-ES_tradnl"/>
        </w:rPr>
        <w:t>S</w:t>
      </w:r>
      <w:r w:rsidRPr="00B8272B">
        <w:rPr>
          <w:rFonts w:ascii="Verdana" w:eastAsia="Times New Roman" w:hAnsi="Verdana" w:cs="Arial"/>
          <w:color w:val="000000"/>
          <w:bdr w:val="none" w:sz="0" w:space="0" w:color="auto" w:frame="1"/>
          <w:shd w:val="clear" w:color="auto" w:fill="FFFFFF"/>
          <w:lang w:val="es-ES" w:eastAsia="es-ES_tradnl"/>
        </w:rPr>
        <w:t xml:space="preserve">entencia de </w:t>
      </w:r>
      <w:r>
        <w:rPr>
          <w:rFonts w:ascii="Verdana" w:eastAsia="Times New Roman" w:hAnsi="Verdana" w:cs="Arial"/>
          <w:color w:val="000000"/>
          <w:bdr w:val="none" w:sz="0" w:space="0" w:color="auto" w:frame="1"/>
          <w:shd w:val="clear" w:color="auto" w:fill="FFFFFF"/>
          <w:lang w:val="es-ES" w:eastAsia="es-ES_tradnl"/>
        </w:rPr>
        <w:t>U</w:t>
      </w:r>
      <w:r w:rsidRPr="00B8272B">
        <w:rPr>
          <w:rFonts w:ascii="Verdana" w:eastAsia="Times New Roman" w:hAnsi="Verdana" w:cs="Arial"/>
          <w:color w:val="000000"/>
          <w:bdr w:val="none" w:sz="0" w:space="0" w:color="auto" w:frame="1"/>
          <w:shd w:val="clear" w:color="auto" w:fill="FFFFFF"/>
          <w:lang w:val="es-ES" w:eastAsia="es-ES_tradnl"/>
        </w:rPr>
        <w:t xml:space="preserve">nificación, en aquellas pretensiones de compensación por enriquecimiento sin causa, de forma que no podrá dejarse de conceder lo pedido por el solo hecho de que el caso no se enmarque en los eventos indicados en la Sentencia del 19 de noviembre de 2012. De este modo, dicha Sentencia de Unificación expresa: </w:t>
      </w:r>
    </w:p>
    <w:p w14:paraId="1D2165BB" w14:textId="77777777" w:rsidR="00F64884" w:rsidRPr="00B8272B" w:rsidRDefault="00F64884" w:rsidP="00F64884">
      <w:pPr>
        <w:tabs>
          <w:tab w:val="left" w:pos="709"/>
        </w:tabs>
        <w:spacing w:after="0" w:line="240" w:lineRule="auto"/>
        <w:jc w:val="both"/>
        <w:rPr>
          <w:rFonts w:ascii="Verdana" w:eastAsia="Times New Roman" w:hAnsi="Verdana" w:cs="Arial"/>
          <w:color w:val="000000"/>
          <w:bdr w:val="none" w:sz="0" w:space="0" w:color="auto" w:frame="1"/>
          <w:shd w:val="clear" w:color="auto" w:fill="FFFFFF"/>
          <w:lang w:val="es-ES" w:eastAsia="es-ES_tradnl"/>
        </w:rPr>
      </w:pPr>
    </w:p>
    <w:p w14:paraId="25487773" w14:textId="77777777" w:rsidR="00F64884" w:rsidRPr="00B8272B" w:rsidRDefault="00F64884" w:rsidP="00F64884">
      <w:pPr>
        <w:tabs>
          <w:tab w:val="left" w:pos="709"/>
        </w:tabs>
        <w:spacing w:after="0" w:line="240" w:lineRule="auto"/>
        <w:ind w:left="709" w:right="709"/>
        <w:jc w:val="both"/>
        <w:rPr>
          <w:rFonts w:ascii="Verdana" w:eastAsia="Times New Roman" w:hAnsi="Verdana" w:cs="Arial"/>
          <w:color w:val="000000"/>
          <w:sz w:val="20"/>
          <w:szCs w:val="20"/>
          <w:bdr w:val="none" w:sz="0" w:space="0" w:color="auto" w:frame="1"/>
          <w:shd w:val="clear" w:color="auto" w:fill="FFFFFF"/>
          <w:lang w:val="es-ES" w:eastAsia="es-ES_tradnl"/>
        </w:rPr>
      </w:pPr>
      <w:r w:rsidRPr="00B8272B">
        <w:rPr>
          <w:rFonts w:ascii="Verdana" w:eastAsia="Times New Roman" w:hAnsi="Verdana" w:cs="Arial"/>
          <w:color w:val="000000"/>
          <w:sz w:val="20"/>
          <w:szCs w:val="20"/>
          <w:bdr w:val="none" w:sz="0" w:space="0" w:color="auto" w:frame="1"/>
          <w:shd w:val="clear" w:color="auto" w:fill="FFFFFF"/>
          <w:lang w:val="es-ES" w:eastAsia="es-ES_tradnl"/>
        </w:rPr>
        <w:t xml:space="preserve">“Sobre lo primero, en torno a la configuración y procedencia del enriquecimiento sin justa causa cuando se han ejecutado actividades sin el respaldo de un contrato, en favor de entidades que -en su gestión- deben aplicar el Estatuto General de Contratación Pública, se decantó que la respectiva pretensión de compensación, cuando se carezca de otro mecanismo para reclamar, debe cumplir los presupuestos procesales de la reparación directa (incluso cuando se ha celebrado un contrato cuyo objeto se haya agotado para el momento de la extinción del plazo previsto y ante el desarrollo de actividades con posterioridad a la finalización), sin </w:t>
      </w:r>
      <w:r w:rsidRPr="00B8272B">
        <w:rPr>
          <w:rFonts w:ascii="Verdana" w:eastAsia="Times New Roman" w:hAnsi="Verdana" w:cs="Arial"/>
          <w:color w:val="000000"/>
          <w:sz w:val="20"/>
          <w:szCs w:val="20"/>
          <w:bdr w:val="none" w:sz="0" w:space="0" w:color="auto" w:frame="1"/>
          <w:shd w:val="clear" w:color="auto" w:fill="FFFFFF"/>
          <w:lang w:val="es-ES" w:eastAsia="es-ES_tradnl"/>
        </w:rPr>
        <w:lastRenderedPageBreak/>
        <w:t>que sea exigible haber provocado una decisión por parte de la administración y, al satisfacerse, debe ser tramitada, pese a que el demandante mencione otro medio o guarde silencio sobre su denominación. Su prosperidad es absolutamente excepcional, depende de la plena prueba de la actividad desarrollada, sustentada en la demostración de una circunstancia extraordinaria y en razones de interés general, sin que, al respecto, se preestablezcan hipótesis fácticas taxativas; pero, sí se debe supeditar a la existencia de una ventaja patrimonial en beneficio de la demandada, un empobrecimiento correlativo sufrido por el demandante, la ausencia de causa jurídica en el desequilibrio producido y que no se haya soslayado la ley. Cumplido lo anterior, procede corregir el traslado patrimonial injustificado, mas no indemnizar un daño, salvo que el menoscabo emane de una conducta constitutiva de responsabilidad extracontractual del Estado, como una coacción o constreñimiento, que realmente constituyen eventos de falla del servicio”</w:t>
      </w:r>
      <w:r w:rsidRPr="00B8272B">
        <w:rPr>
          <w:rFonts w:ascii="Verdana" w:eastAsia="Times New Roman" w:hAnsi="Verdana" w:cs="Arial"/>
          <w:color w:val="000000"/>
          <w:sz w:val="20"/>
          <w:szCs w:val="20"/>
          <w:bdr w:val="none" w:sz="0" w:space="0" w:color="auto" w:frame="1"/>
          <w:shd w:val="clear" w:color="auto" w:fill="FFFFFF"/>
          <w:vertAlign w:val="superscript"/>
          <w:lang w:val="es-ES" w:eastAsia="es-ES_tradnl"/>
        </w:rPr>
        <w:footnoteReference w:id="16"/>
      </w:r>
      <w:r w:rsidRPr="00B8272B">
        <w:rPr>
          <w:rFonts w:ascii="Verdana" w:eastAsia="Times New Roman" w:hAnsi="Verdana" w:cs="Arial"/>
          <w:color w:val="000000"/>
          <w:sz w:val="20"/>
          <w:szCs w:val="20"/>
          <w:bdr w:val="none" w:sz="0" w:space="0" w:color="auto" w:frame="1"/>
          <w:shd w:val="clear" w:color="auto" w:fill="FFFFFF"/>
          <w:lang w:val="es-ES" w:eastAsia="es-ES_tradnl"/>
        </w:rPr>
        <w:t>.</w:t>
      </w:r>
    </w:p>
    <w:p w14:paraId="681B3950" w14:textId="77777777" w:rsidR="00F64884" w:rsidRDefault="00F64884" w:rsidP="00F64884">
      <w:pPr>
        <w:tabs>
          <w:tab w:val="left" w:pos="709"/>
        </w:tabs>
        <w:spacing w:after="120" w:line="276" w:lineRule="auto"/>
        <w:jc w:val="both"/>
        <w:rPr>
          <w:rFonts w:ascii="Verdana" w:eastAsia="Times New Roman" w:hAnsi="Verdana" w:cs="Arial"/>
          <w:color w:val="000000"/>
          <w:bdr w:val="none" w:sz="0" w:space="0" w:color="auto" w:frame="1"/>
          <w:shd w:val="clear" w:color="auto" w:fill="FFFFFF"/>
          <w:lang w:val="es-ES" w:eastAsia="es-ES_tradnl"/>
        </w:rPr>
      </w:pPr>
      <w:r w:rsidRPr="00B8272B">
        <w:rPr>
          <w:rFonts w:ascii="Verdana" w:eastAsia="Times New Roman" w:hAnsi="Verdana" w:cs="Arial"/>
          <w:color w:val="000000"/>
          <w:bdr w:val="none" w:sz="0" w:space="0" w:color="auto" w:frame="1"/>
          <w:shd w:val="clear" w:color="auto" w:fill="FFFFFF"/>
          <w:lang w:val="es-ES" w:eastAsia="es-ES_tradnl"/>
        </w:rPr>
        <w:t xml:space="preserve"> </w:t>
      </w:r>
    </w:p>
    <w:p w14:paraId="7772974A" w14:textId="77777777" w:rsidR="00F64884" w:rsidRPr="00AB2B2E" w:rsidRDefault="00F64884" w:rsidP="00F64884">
      <w:pPr>
        <w:spacing w:after="120" w:line="276" w:lineRule="auto"/>
        <w:ind w:firstLine="709"/>
        <w:jc w:val="both"/>
        <w:rPr>
          <w:rFonts w:ascii="Verdana" w:eastAsia="Times New Roman" w:hAnsi="Verdana" w:cs="Arial"/>
          <w:color w:val="1A1A1A" w:themeColor="background1" w:themeShade="1A"/>
          <w:lang w:val="es-ES" w:eastAsia="es-ES_tradnl"/>
        </w:rPr>
      </w:pPr>
      <w:r w:rsidRPr="00AB2B2E">
        <w:rPr>
          <w:rFonts w:ascii="Verdana" w:eastAsia="Times New Roman" w:hAnsi="Verdana" w:cs="Arial"/>
          <w:color w:val="1A1A1A" w:themeColor="background1" w:themeShade="1A"/>
          <w:lang w:val="es-ES" w:eastAsia="es-ES_tradnl"/>
        </w:rPr>
        <w:t>Esta posición fue reiterada por la misma Corporación en sentencia del 24 de octubre de 2025</w:t>
      </w:r>
      <w:r>
        <w:rPr>
          <w:rFonts w:ascii="Verdana" w:eastAsia="Times New Roman" w:hAnsi="Verdana" w:cs="Arial"/>
          <w:color w:val="1A1A1A" w:themeColor="background1" w:themeShade="1A"/>
          <w:lang w:val="es-ES" w:eastAsia="es-ES_tradnl"/>
        </w:rPr>
        <w:t xml:space="preserve">, </w:t>
      </w:r>
      <w:r w:rsidRPr="00AB2B2E">
        <w:rPr>
          <w:rFonts w:ascii="Verdana" w:eastAsia="Times New Roman" w:hAnsi="Verdana" w:cs="Arial"/>
          <w:color w:val="1A1A1A" w:themeColor="background1" w:themeShade="1A"/>
          <w:lang w:val="es-ES" w:eastAsia="es-ES_tradnl"/>
        </w:rPr>
        <w:t xml:space="preserve">en la que se destacó que </w:t>
      </w:r>
      <w:r>
        <w:rPr>
          <w:rFonts w:ascii="Verdana" w:eastAsia="Times New Roman" w:hAnsi="Verdana" w:cs="Arial"/>
          <w:color w:val="1A1A1A" w:themeColor="background1" w:themeShade="1A"/>
          <w:lang w:val="es-ES" w:eastAsia="es-ES_tradnl"/>
        </w:rPr>
        <w:t>“</w:t>
      </w:r>
      <w:r w:rsidRPr="00B22B05">
        <w:rPr>
          <w:rFonts w:ascii="Verdana" w:eastAsia="Times New Roman" w:hAnsi="Verdana" w:cs="Arial"/>
          <w:color w:val="1A1A1A" w:themeColor="background1" w:themeShade="1A"/>
          <w:lang w:eastAsia="es-ES_tradnl"/>
        </w:rPr>
        <w:t>instituto del enriquecimiento sin causa resulta aplicable de manera excepcional en aquellos supuestos en los que se hayan ejecutado prestaciones sin mediar una causa jurídica, como sería un vínculo contractual debidamente perfeccionado, en la forma definida por la jurisprudencia y con fundamento jurídico en la prohibición de que una persona se beneficie patrimonialmente a expensas de otra sin una justificación jurídica</w:t>
      </w:r>
      <w:r>
        <w:rPr>
          <w:rStyle w:val="Refdenotaalpie"/>
          <w:rFonts w:ascii="Verdana" w:eastAsia="Times New Roman" w:hAnsi="Verdana" w:cs="Arial"/>
          <w:color w:val="1A1A1A" w:themeColor="background1" w:themeShade="1A"/>
          <w:lang w:eastAsia="es-ES_tradnl"/>
        </w:rPr>
        <w:footnoteReference w:id="17"/>
      </w:r>
      <w:r>
        <w:rPr>
          <w:rFonts w:ascii="Verdana" w:eastAsia="Times New Roman" w:hAnsi="Verdana" w:cs="Arial"/>
          <w:color w:val="1A1A1A" w:themeColor="background1" w:themeShade="1A"/>
          <w:lang w:eastAsia="es-ES_tradnl"/>
        </w:rPr>
        <w:t xml:space="preserve">” </w:t>
      </w:r>
    </w:p>
    <w:p w14:paraId="0222DAF0" w14:textId="77777777" w:rsidR="00F64884" w:rsidRDefault="00F64884" w:rsidP="00F64884">
      <w:pPr>
        <w:spacing w:after="120" w:line="276" w:lineRule="auto"/>
        <w:ind w:firstLine="709"/>
        <w:jc w:val="both"/>
        <w:rPr>
          <w:rFonts w:ascii="Verdana" w:eastAsia="Times New Roman" w:hAnsi="Verdana" w:cs="Arial"/>
          <w:color w:val="1A1A1A" w:themeColor="background1" w:themeShade="1A"/>
          <w:lang w:val="es-ES" w:eastAsia="es-ES_tradnl"/>
        </w:rPr>
      </w:pPr>
      <w:r w:rsidRPr="00995272">
        <w:rPr>
          <w:rFonts w:ascii="Verdana" w:eastAsia="Times New Roman" w:hAnsi="Verdana" w:cs="Arial"/>
          <w:color w:val="1A1A1A" w:themeColor="background1" w:themeShade="1A"/>
          <w:lang w:val="es-ES" w:eastAsia="es-ES_tradnl"/>
        </w:rPr>
        <w:t xml:space="preserve">Desde esta perspectiva, </w:t>
      </w:r>
      <w:r>
        <w:rPr>
          <w:rFonts w:ascii="Verdana" w:eastAsia="Times New Roman" w:hAnsi="Verdana" w:cs="Arial"/>
          <w:color w:val="1A1A1A" w:themeColor="background1" w:themeShade="1A"/>
          <w:lang w:val="es-ES" w:eastAsia="es-ES_tradnl"/>
        </w:rPr>
        <w:t>es posible concluir que el hecho cumplido corresponde a la ejecución de prestaciones en beneficio de una entidad estatal sin el cumplimiento de los requisitos presupuestales y contractuales legalmente previstos. Bajo esta noción, y a</w:t>
      </w:r>
      <w:r w:rsidRPr="000673D2">
        <w:rPr>
          <w:rFonts w:ascii="Verdana" w:eastAsia="Times New Roman" w:hAnsi="Verdana" w:cs="Arial"/>
          <w:color w:val="1A1A1A" w:themeColor="background1" w:themeShade="1A"/>
          <w:lang w:val="es-ES" w:eastAsia="es-ES_tradnl"/>
        </w:rPr>
        <w:t>unque las circunstancias particulares de cada caso pueden variar, su configuración se</w:t>
      </w:r>
      <w:r>
        <w:rPr>
          <w:rFonts w:ascii="Verdana" w:eastAsia="Times New Roman" w:hAnsi="Verdana" w:cs="Arial"/>
          <w:color w:val="1A1A1A" w:themeColor="background1" w:themeShade="1A"/>
          <w:lang w:val="es-ES" w:eastAsia="es-ES_tradnl"/>
        </w:rPr>
        <w:t xml:space="preserve"> puede</w:t>
      </w:r>
      <w:r w:rsidRPr="000673D2">
        <w:rPr>
          <w:rFonts w:ascii="Verdana" w:eastAsia="Times New Roman" w:hAnsi="Verdana" w:cs="Arial"/>
          <w:color w:val="1A1A1A" w:themeColor="background1" w:themeShade="1A"/>
          <w:lang w:val="es-ES" w:eastAsia="es-ES_tradnl"/>
        </w:rPr>
        <w:t xml:space="preserve"> presenta</w:t>
      </w:r>
      <w:r>
        <w:rPr>
          <w:rFonts w:ascii="Verdana" w:eastAsia="Times New Roman" w:hAnsi="Verdana" w:cs="Arial"/>
          <w:color w:val="1A1A1A" w:themeColor="background1" w:themeShade="1A"/>
          <w:lang w:val="es-ES" w:eastAsia="es-ES_tradnl"/>
        </w:rPr>
        <w:t>r</w:t>
      </w:r>
      <w:r w:rsidRPr="000673D2">
        <w:rPr>
          <w:rFonts w:ascii="Verdana" w:eastAsia="Times New Roman" w:hAnsi="Verdana" w:cs="Arial"/>
          <w:color w:val="1A1A1A" w:themeColor="background1" w:themeShade="1A"/>
          <w:lang w:val="es-ES" w:eastAsia="es-ES_tradnl"/>
        </w:rPr>
        <w:t xml:space="preserve"> principalmente</w:t>
      </w:r>
      <w:r>
        <w:rPr>
          <w:rFonts w:ascii="Verdana" w:eastAsia="Times New Roman" w:hAnsi="Verdana" w:cs="Arial"/>
          <w:color w:val="1A1A1A" w:themeColor="background1" w:themeShade="1A"/>
          <w:lang w:val="es-ES" w:eastAsia="es-ES_tradnl"/>
        </w:rPr>
        <w:t xml:space="preserve"> </w:t>
      </w:r>
      <w:r w:rsidRPr="000673D2">
        <w:rPr>
          <w:rFonts w:ascii="Verdana" w:eastAsia="Times New Roman" w:hAnsi="Verdana" w:cs="Arial"/>
          <w:color w:val="1A1A1A" w:themeColor="background1" w:themeShade="1A"/>
          <w:lang w:val="es-ES" w:eastAsia="es-ES_tradnl"/>
        </w:rPr>
        <w:t>en dos escenarios</w:t>
      </w:r>
      <w:r>
        <w:rPr>
          <w:rFonts w:ascii="Verdana" w:eastAsia="Times New Roman" w:hAnsi="Verdana" w:cs="Arial"/>
          <w:color w:val="1A1A1A" w:themeColor="background1" w:themeShade="1A"/>
          <w:lang w:val="es-ES" w:eastAsia="es-ES_tradnl"/>
        </w:rPr>
        <w:t xml:space="preserve">: i) </w:t>
      </w:r>
      <w:r w:rsidRPr="009B447F">
        <w:rPr>
          <w:rFonts w:ascii="Verdana" w:eastAsia="Times New Roman" w:hAnsi="Verdana" w:cs="Arial"/>
          <w:color w:val="1A1A1A" w:themeColor="background1" w:themeShade="1A"/>
          <w:lang w:val="es-ES" w:eastAsia="es-ES_tradnl"/>
        </w:rPr>
        <w:t>El primero tiene lugar cuando se ejecutan obras, suministran bienes o prestan servicios sin que exista un contrato estatal perfeccionado, esto es, sin que se haya cumplido la solemnidad del escrito exigida por el artículo 41 de la Ley 80 de 1993. En este evento, la entidad recibe una prestación sin que exista un vínculo contractual que la respalde y sin que se hubieran observado las exigencias presupuestales</w:t>
      </w:r>
      <w:r>
        <w:rPr>
          <w:rFonts w:ascii="Verdana" w:eastAsia="Times New Roman" w:hAnsi="Verdana" w:cs="Arial"/>
          <w:color w:val="1A1A1A" w:themeColor="background1" w:themeShade="1A"/>
          <w:lang w:val="es-ES" w:eastAsia="es-ES_tradnl"/>
        </w:rPr>
        <w:t xml:space="preserve">. En este caso el reconocimiento de la prestación solo procederá en los eventos establecidos por las Sentencias de Unificación del </w:t>
      </w:r>
      <w:r>
        <w:rPr>
          <w:rFonts w:ascii="Verdana" w:eastAsia="Times New Roman" w:hAnsi="Verdana" w:cs="Arial"/>
          <w:color w:val="1A1A1A" w:themeColor="background1" w:themeShade="1A"/>
          <w:lang w:val="es-ES" w:eastAsia="es-ES_tradnl"/>
        </w:rPr>
        <w:lastRenderedPageBreak/>
        <w:t xml:space="preserve">Consejo de Estado referenciadas en torno al enriquecimiento sin justa causa. </w:t>
      </w:r>
      <w:proofErr w:type="spellStart"/>
      <w:r>
        <w:rPr>
          <w:rFonts w:ascii="Verdana" w:eastAsia="Times New Roman" w:hAnsi="Verdana" w:cs="Arial"/>
          <w:color w:val="1A1A1A" w:themeColor="background1" w:themeShade="1A"/>
          <w:lang w:val="es-ES" w:eastAsia="es-ES_tradnl"/>
        </w:rPr>
        <w:t>ii</w:t>
      </w:r>
      <w:proofErr w:type="spellEnd"/>
      <w:r>
        <w:rPr>
          <w:rFonts w:ascii="Verdana" w:eastAsia="Times New Roman" w:hAnsi="Verdana" w:cs="Arial"/>
          <w:color w:val="1A1A1A" w:themeColor="background1" w:themeShade="1A"/>
          <w:lang w:val="es-ES" w:eastAsia="es-ES_tradnl"/>
        </w:rPr>
        <w:t xml:space="preserve">) </w:t>
      </w:r>
      <w:r w:rsidRPr="008D760C">
        <w:rPr>
          <w:rFonts w:ascii="Verdana" w:eastAsia="Times New Roman" w:hAnsi="Verdana" w:cs="Arial"/>
          <w:color w:val="1A1A1A" w:themeColor="background1" w:themeShade="1A"/>
          <w:lang w:val="es-ES" w:eastAsia="es-ES_tradnl"/>
        </w:rPr>
        <w:t xml:space="preserve">El segundo escenario se presenta cuando, existiendo un contrato estatal </w:t>
      </w:r>
      <w:r>
        <w:rPr>
          <w:rFonts w:ascii="Verdana" w:eastAsia="Times New Roman" w:hAnsi="Verdana" w:cs="Arial"/>
          <w:color w:val="1A1A1A" w:themeColor="background1" w:themeShade="1A"/>
          <w:lang w:val="es-ES" w:eastAsia="es-ES_tradnl"/>
        </w:rPr>
        <w:t xml:space="preserve">debidamente </w:t>
      </w:r>
      <w:r w:rsidRPr="008D760C">
        <w:rPr>
          <w:rFonts w:ascii="Verdana" w:eastAsia="Times New Roman" w:hAnsi="Verdana" w:cs="Arial"/>
          <w:color w:val="1A1A1A" w:themeColor="background1" w:themeShade="1A"/>
          <w:lang w:val="es-ES" w:eastAsia="es-ES_tradnl"/>
        </w:rPr>
        <w:t>celebrado,</w:t>
      </w:r>
      <w:r>
        <w:rPr>
          <w:rFonts w:ascii="Verdana" w:eastAsia="Times New Roman" w:hAnsi="Verdana" w:cs="Arial"/>
          <w:color w:val="1A1A1A" w:themeColor="background1" w:themeShade="1A"/>
          <w:lang w:val="es-ES" w:eastAsia="es-ES_tradnl"/>
        </w:rPr>
        <w:t xml:space="preserve"> este no cuenta con el certificado presupuestal que respalde la obligación o </w:t>
      </w:r>
      <w:r w:rsidRPr="008D760C">
        <w:rPr>
          <w:rFonts w:ascii="Verdana" w:eastAsia="Times New Roman" w:hAnsi="Verdana" w:cs="Arial"/>
          <w:color w:val="1A1A1A" w:themeColor="background1" w:themeShade="1A"/>
          <w:lang w:val="es-ES" w:eastAsia="es-ES_tradnl"/>
        </w:rPr>
        <w:t>durante su ejecución se reciben obras, bienes o servicios adicionales</w:t>
      </w:r>
      <w:r>
        <w:rPr>
          <w:rFonts w:ascii="Verdana" w:eastAsia="Times New Roman" w:hAnsi="Verdana" w:cs="Arial"/>
          <w:color w:val="1A1A1A" w:themeColor="background1" w:themeShade="1A"/>
          <w:lang w:val="es-ES" w:eastAsia="es-ES_tradnl"/>
        </w:rPr>
        <w:t xml:space="preserve"> </w:t>
      </w:r>
      <w:r w:rsidRPr="008D760C">
        <w:rPr>
          <w:rFonts w:ascii="Verdana" w:eastAsia="Times New Roman" w:hAnsi="Verdana" w:cs="Arial"/>
          <w:color w:val="1A1A1A" w:themeColor="background1" w:themeShade="1A"/>
          <w:lang w:val="es-ES" w:eastAsia="es-ES_tradnl"/>
        </w:rPr>
        <w:t>que exceden el alcance inicialmente pactado</w:t>
      </w:r>
      <w:r>
        <w:rPr>
          <w:rFonts w:ascii="Verdana" w:eastAsia="Times New Roman" w:hAnsi="Verdana" w:cs="Arial"/>
          <w:color w:val="1A1A1A" w:themeColor="background1" w:themeShade="1A"/>
          <w:lang w:val="es-ES" w:eastAsia="es-ES_tradnl"/>
        </w:rPr>
        <w:t xml:space="preserve"> pero que guardan relación directa con el objeto del contrato</w:t>
      </w:r>
      <w:r w:rsidRPr="008D760C">
        <w:rPr>
          <w:rFonts w:ascii="Verdana" w:eastAsia="Times New Roman" w:hAnsi="Verdana" w:cs="Arial"/>
          <w:color w:val="1A1A1A" w:themeColor="background1" w:themeShade="1A"/>
          <w:lang w:val="es-ES" w:eastAsia="es-ES_tradnl"/>
        </w:rPr>
        <w:t>, sin que previamente se hayan surtido los procedimientos contractuales</w:t>
      </w:r>
      <w:r>
        <w:rPr>
          <w:rFonts w:ascii="Verdana" w:eastAsia="Times New Roman" w:hAnsi="Verdana" w:cs="Arial"/>
          <w:color w:val="1A1A1A" w:themeColor="background1" w:themeShade="1A"/>
          <w:lang w:val="es-ES" w:eastAsia="es-ES_tradnl"/>
        </w:rPr>
        <w:t xml:space="preserve"> </w:t>
      </w:r>
      <w:r w:rsidRPr="008D760C">
        <w:rPr>
          <w:rFonts w:ascii="Verdana" w:eastAsia="Times New Roman" w:hAnsi="Verdana" w:cs="Arial"/>
          <w:color w:val="1A1A1A" w:themeColor="background1" w:themeShade="1A"/>
          <w:lang w:val="es-ES" w:eastAsia="es-ES_tradnl"/>
        </w:rPr>
        <w:t>y presupuestales</w:t>
      </w:r>
      <w:r>
        <w:rPr>
          <w:rFonts w:ascii="Verdana" w:eastAsia="Times New Roman" w:hAnsi="Verdana" w:cs="Arial"/>
          <w:color w:val="1A1A1A" w:themeColor="background1" w:themeShade="1A"/>
          <w:lang w:val="es-ES" w:eastAsia="es-ES_tradnl"/>
        </w:rPr>
        <w:t xml:space="preserve"> respectivos. </w:t>
      </w:r>
      <w:r w:rsidRPr="008D760C">
        <w:rPr>
          <w:rFonts w:ascii="Verdana" w:eastAsia="Times New Roman" w:hAnsi="Verdana" w:cs="Arial"/>
          <w:color w:val="1A1A1A" w:themeColor="background1" w:themeShade="1A"/>
          <w:lang w:val="es-ES" w:eastAsia="es-ES_tradnl"/>
        </w:rPr>
        <w:t>En est</w:t>
      </w:r>
      <w:r>
        <w:rPr>
          <w:rFonts w:ascii="Verdana" w:eastAsia="Times New Roman" w:hAnsi="Verdana" w:cs="Arial"/>
          <w:color w:val="1A1A1A" w:themeColor="background1" w:themeShade="1A"/>
          <w:lang w:val="es-ES" w:eastAsia="es-ES_tradnl"/>
        </w:rPr>
        <w:t>os</w:t>
      </w:r>
      <w:r w:rsidRPr="008D760C">
        <w:rPr>
          <w:rFonts w:ascii="Verdana" w:eastAsia="Times New Roman" w:hAnsi="Verdana" w:cs="Arial"/>
          <w:color w:val="1A1A1A" w:themeColor="background1" w:themeShade="1A"/>
          <w:lang w:val="es-ES" w:eastAsia="es-ES_tradnl"/>
        </w:rPr>
        <w:t xml:space="preserve"> supuesto</w:t>
      </w:r>
      <w:r>
        <w:rPr>
          <w:rFonts w:ascii="Verdana" w:eastAsia="Times New Roman" w:hAnsi="Verdana" w:cs="Arial"/>
          <w:color w:val="1A1A1A" w:themeColor="background1" w:themeShade="1A"/>
          <w:lang w:val="es-ES" w:eastAsia="es-ES_tradnl"/>
        </w:rPr>
        <w:t>s</w:t>
      </w:r>
      <w:r w:rsidRPr="008D760C">
        <w:rPr>
          <w:rFonts w:ascii="Verdana" w:eastAsia="Times New Roman" w:hAnsi="Verdana" w:cs="Arial"/>
          <w:color w:val="1A1A1A" w:themeColor="background1" w:themeShade="1A"/>
          <w:lang w:val="es-ES" w:eastAsia="es-ES_tradnl"/>
        </w:rPr>
        <w:t>, aunque existe un contrato que sirve de soporte a</w:t>
      </w:r>
      <w:r>
        <w:rPr>
          <w:rFonts w:ascii="Verdana" w:eastAsia="Times New Roman" w:hAnsi="Verdana" w:cs="Arial"/>
          <w:color w:val="1A1A1A" w:themeColor="background1" w:themeShade="1A"/>
          <w:lang w:val="es-ES" w:eastAsia="es-ES_tradnl"/>
        </w:rPr>
        <w:t>l negocio juridico</w:t>
      </w:r>
      <w:r w:rsidRPr="008D760C">
        <w:rPr>
          <w:rFonts w:ascii="Verdana" w:eastAsia="Times New Roman" w:hAnsi="Verdana" w:cs="Arial"/>
          <w:color w:val="1A1A1A" w:themeColor="background1" w:themeShade="1A"/>
          <w:lang w:val="es-ES" w:eastAsia="es-ES_tradnl"/>
        </w:rPr>
        <w:t>, las prestaciones carecen del respaldo presupuestal necesario para comprometer válidamente recursos públicos</w:t>
      </w:r>
      <w:r>
        <w:rPr>
          <w:rStyle w:val="Refdenotaalpie"/>
          <w:rFonts w:ascii="Verdana" w:eastAsia="Times New Roman" w:hAnsi="Verdana" w:cs="Arial"/>
          <w:color w:val="1A1A1A" w:themeColor="background1" w:themeShade="1A"/>
          <w:lang w:val="es-ES" w:eastAsia="es-ES_tradnl"/>
        </w:rPr>
        <w:footnoteReference w:id="18"/>
      </w:r>
      <w:r w:rsidRPr="008D760C">
        <w:rPr>
          <w:rFonts w:ascii="Verdana" w:eastAsia="Times New Roman" w:hAnsi="Verdana" w:cs="Arial"/>
          <w:color w:val="1A1A1A" w:themeColor="background1" w:themeShade="1A"/>
          <w:lang w:val="es-ES" w:eastAsia="es-ES_tradnl"/>
        </w:rPr>
        <w:t>.</w:t>
      </w:r>
    </w:p>
    <w:p w14:paraId="0E35CFC7" w14:textId="77777777" w:rsidR="00F64884" w:rsidRPr="00AA7A91" w:rsidRDefault="00F64884" w:rsidP="00F64884">
      <w:pPr>
        <w:spacing w:after="120" w:line="276" w:lineRule="auto"/>
        <w:ind w:firstLine="709"/>
        <w:jc w:val="both"/>
        <w:rPr>
          <w:rFonts w:ascii="Verdana" w:eastAsia="Times New Roman" w:hAnsi="Verdana" w:cs="Arial"/>
          <w:color w:val="1A1A1A" w:themeColor="background1" w:themeShade="1A"/>
          <w:lang w:val="es-ES" w:eastAsia="es-ES_tradnl"/>
        </w:rPr>
      </w:pPr>
      <w:r>
        <w:rPr>
          <w:rFonts w:ascii="Verdana" w:eastAsia="Times New Roman" w:hAnsi="Verdana" w:cs="Arial"/>
          <w:color w:val="1A1A1A" w:themeColor="background1" w:themeShade="1A"/>
          <w:lang w:val="es-ES" w:eastAsia="es-ES_tradnl"/>
        </w:rPr>
        <w:t xml:space="preserve">En </w:t>
      </w:r>
      <w:r w:rsidRPr="00AD25FB">
        <w:rPr>
          <w:rFonts w:ascii="Verdana" w:eastAsia="Times New Roman" w:hAnsi="Verdana" w:cs="Arial"/>
          <w:color w:val="1A1A1A" w:themeColor="background1" w:themeShade="1A"/>
          <w:lang w:eastAsia="es-ES_tradnl"/>
        </w:rPr>
        <w:t>ambos escenarios la irregularidad presenta un elemento común</w:t>
      </w:r>
      <w:r>
        <w:rPr>
          <w:rFonts w:ascii="Verdana" w:eastAsia="Times New Roman" w:hAnsi="Verdana" w:cs="Arial"/>
          <w:color w:val="1A1A1A" w:themeColor="background1" w:themeShade="1A"/>
          <w:lang w:eastAsia="es-ES_tradnl"/>
        </w:rPr>
        <w:t>, consistente en</w:t>
      </w:r>
      <w:r w:rsidRPr="00AD25FB">
        <w:rPr>
          <w:rFonts w:ascii="Verdana" w:eastAsia="Times New Roman" w:hAnsi="Verdana" w:cs="Arial"/>
          <w:color w:val="1A1A1A" w:themeColor="background1" w:themeShade="1A"/>
          <w:lang w:eastAsia="es-ES_tradnl"/>
        </w:rPr>
        <w:t xml:space="preserve"> la ejecución de prestaciones que generan obligaciones a cargo de la entidad estatal sin que previamente se hayan observado las condiciones contractuales y presupuestales que habilitan el compromiso y la ejecución del gasto público. Precisamente por ello,</w:t>
      </w:r>
      <w:r>
        <w:rPr>
          <w:rFonts w:ascii="Verdana" w:eastAsia="Times New Roman" w:hAnsi="Verdana" w:cs="Arial"/>
          <w:color w:val="1A1A1A" w:themeColor="background1" w:themeShade="1A"/>
          <w:lang w:eastAsia="es-ES_tradnl"/>
        </w:rPr>
        <w:t xml:space="preserve"> se puede afirmar que</w:t>
      </w:r>
      <w:r w:rsidRPr="00AD25FB">
        <w:rPr>
          <w:rFonts w:ascii="Verdana" w:eastAsia="Times New Roman" w:hAnsi="Verdana" w:cs="Arial"/>
          <w:color w:val="1A1A1A" w:themeColor="background1" w:themeShade="1A"/>
          <w:lang w:eastAsia="es-ES_tradnl"/>
        </w:rPr>
        <w:t xml:space="preserve"> la configuración del hecho cumplido no depende</w:t>
      </w:r>
      <w:r>
        <w:rPr>
          <w:rFonts w:ascii="Verdana" w:eastAsia="Times New Roman" w:hAnsi="Verdana" w:cs="Arial"/>
          <w:color w:val="1A1A1A" w:themeColor="background1" w:themeShade="1A"/>
          <w:lang w:eastAsia="es-ES_tradnl"/>
        </w:rPr>
        <w:t xml:space="preserve"> en todos los casos</w:t>
      </w:r>
      <w:r w:rsidRPr="00AD25FB">
        <w:rPr>
          <w:rFonts w:ascii="Verdana" w:eastAsia="Times New Roman" w:hAnsi="Verdana" w:cs="Arial"/>
          <w:color w:val="1A1A1A" w:themeColor="background1" w:themeShade="1A"/>
          <w:lang w:eastAsia="es-ES_tradnl"/>
        </w:rPr>
        <w:t xml:space="preserve"> de la inexistencia absoluta de un contrato estatal, sino de la ejecución de prestaciones al margen de los procedimientos y requisitos que el ordenamiento jurídico establece para la adquisición de obligaciones.</w:t>
      </w:r>
    </w:p>
    <w:p w14:paraId="4170CDAD" w14:textId="77777777" w:rsidR="00F64884" w:rsidRDefault="00F64884" w:rsidP="00F64884">
      <w:pPr>
        <w:spacing w:after="120" w:line="276" w:lineRule="auto"/>
        <w:ind w:firstLine="709"/>
        <w:jc w:val="both"/>
        <w:rPr>
          <w:rFonts w:ascii="Verdana" w:eastAsia="Times New Roman" w:hAnsi="Verdana" w:cs="Arial"/>
          <w:color w:val="1A1A1A" w:themeColor="background1" w:themeShade="1A"/>
          <w:lang w:val="es-ES" w:eastAsia="es-ES_tradnl"/>
        </w:rPr>
      </w:pPr>
      <w:r w:rsidRPr="00557096">
        <w:rPr>
          <w:rFonts w:ascii="Verdana" w:eastAsia="Times New Roman" w:hAnsi="Verdana" w:cs="Arial"/>
          <w:color w:val="1A1A1A" w:themeColor="background1" w:themeShade="1A"/>
          <w:lang w:val="es-ES" w:eastAsia="es-ES_tradnl"/>
        </w:rPr>
        <w:t xml:space="preserve">En cuanto a las responsabilidades derivadas de la configuración de hechos cumplidos, el ordenamiento jurídico prevé expresamente consecuencias para los servidores públicos que comprometan recursos públicos con desconocimiento de las normas presupuestales. En efecto, el artículo 71 del Decreto 111 de 1996 </w:t>
      </w:r>
      <w:r w:rsidRPr="00557096">
        <w:rPr>
          <w:rFonts w:ascii="Verdana" w:eastAsia="Times New Roman" w:hAnsi="Verdana" w:cs="Arial"/>
          <w:color w:val="1A1A1A" w:themeColor="background1" w:themeShade="1A"/>
          <w:lang w:val="es-ES" w:eastAsia="es-ES_tradnl"/>
        </w:rPr>
        <w:lastRenderedPageBreak/>
        <w:t xml:space="preserve">dispone que "cualquier compromiso que se adquiera con violación de estos preceptos creará responsabilidad personal y pecuniaria a cargo de quien asuma estas obligaciones". En el mismo sentido, el artículo 14 de la Ley 2342 de 2025 establece que "el representante legal y ordenador del gasto o en quienes estos hayan delegado, responderán disciplinaria, fiscal y penalmente por incumplir lo establecido en esta norma". </w:t>
      </w:r>
      <w:r>
        <w:rPr>
          <w:rFonts w:ascii="Verdana" w:eastAsia="Times New Roman" w:hAnsi="Verdana" w:cs="Arial"/>
          <w:color w:val="1A1A1A" w:themeColor="background1" w:themeShade="1A"/>
          <w:lang w:val="es-ES" w:eastAsia="es-ES_tradnl"/>
        </w:rPr>
        <w:t xml:space="preserve">De esta manera, en cualquiera de los escenarios planteados </w:t>
      </w:r>
      <w:r w:rsidRPr="008E61F8">
        <w:rPr>
          <w:rFonts w:ascii="Verdana" w:eastAsia="Arial" w:hAnsi="Verdana" w:cs="Arial"/>
          <w:color w:val="000000"/>
          <w:lang w:eastAsia="es-CO"/>
        </w:rPr>
        <w:t>no se exime de la responsabilidad penal, disciplinaria y fiscal que le corresponde al funcionario encargado.</w:t>
      </w:r>
      <w:r>
        <w:rPr>
          <w:rFonts w:ascii="Arial" w:eastAsia="Arial" w:hAnsi="Arial" w:cs="Arial"/>
          <w:color w:val="000000"/>
          <w:sz w:val="24"/>
          <w:szCs w:val="24"/>
          <w:lang w:eastAsia="es-CO"/>
        </w:rPr>
        <w:t xml:space="preserve"> </w:t>
      </w:r>
    </w:p>
    <w:p w14:paraId="1F8F4229" w14:textId="77777777" w:rsidR="00F64884" w:rsidRDefault="00F64884" w:rsidP="00F64884">
      <w:pPr>
        <w:spacing w:after="120" w:line="276" w:lineRule="auto"/>
        <w:ind w:firstLine="709"/>
        <w:jc w:val="both"/>
        <w:rPr>
          <w:rFonts w:ascii="Verdana" w:eastAsia="Times New Roman" w:hAnsi="Verdana" w:cs="Arial"/>
          <w:color w:val="1A1A1A" w:themeColor="background1" w:themeShade="1A"/>
          <w:lang w:val="es-ES" w:eastAsia="es-ES_tradnl"/>
        </w:rPr>
      </w:pPr>
      <w:r w:rsidRPr="00E649C1">
        <w:rPr>
          <w:rFonts w:ascii="Verdana" w:eastAsia="Times New Roman" w:hAnsi="Verdana" w:cs="Arial"/>
          <w:color w:val="1A1A1A" w:themeColor="background1" w:themeShade="1A"/>
          <w:lang w:eastAsia="es-ES_tradnl"/>
        </w:rPr>
        <w:t xml:space="preserve">En lo que respecta a la responsabilidad penal por la que indaga el peticionario, el propio artículo 14 de la Ley 2342 de 2025 dispone que el ordenador del gasto responderá disciplinaria, fiscal y penalmente por tramitar obligaciones que se configuren como hechos cumplidos, sin tipificar la conducta. La determinación de si un hecho cumplido concreto se subsume en alguno de los tipos penales de la Ley 599 de 2000 —tales como el contrato sin cumplimiento de requisitos legales (art. 410) o el peculado (arts. 397 y ss.)— corresponde de manera privativa a la </w:t>
      </w:r>
      <w:proofErr w:type="gramStart"/>
      <w:r w:rsidRPr="00E649C1">
        <w:rPr>
          <w:rFonts w:ascii="Verdana" w:eastAsia="Times New Roman" w:hAnsi="Verdana" w:cs="Arial"/>
          <w:color w:val="1A1A1A" w:themeColor="background1" w:themeShade="1A"/>
          <w:lang w:eastAsia="es-ES_tradnl"/>
        </w:rPr>
        <w:t>Fiscalía General</w:t>
      </w:r>
      <w:proofErr w:type="gramEnd"/>
      <w:r w:rsidRPr="00E649C1">
        <w:rPr>
          <w:rFonts w:ascii="Verdana" w:eastAsia="Times New Roman" w:hAnsi="Verdana" w:cs="Arial"/>
          <w:color w:val="1A1A1A" w:themeColor="background1" w:themeShade="1A"/>
          <w:lang w:eastAsia="es-ES_tradnl"/>
        </w:rPr>
        <w:t xml:space="preserve"> de la Nación y a la jurisdicción penal, atendiendo a las circunstancias de cada caso, y desborda la competencia consultiva de esta Agencia.</w:t>
      </w:r>
      <w:r>
        <w:rPr>
          <w:rFonts w:ascii="Verdana" w:eastAsia="Times New Roman" w:hAnsi="Verdana" w:cs="Arial"/>
          <w:color w:val="1A1A1A" w:themeColor="background1" w:themeShade="1A"/>
          <w:lang w:val="es-ES" w:eastAsia="es-ES_tradnl"/>
        </w:rPr>
        <w:t xml:space="preserve"> </w:t>
      </w:r>
    </w:p>
    <w:p w14:paraId="55E9F057" w14:textId="77777777" w:rsidR="00F64884" w:rsidRDefault="00F64884" w:rsidP="00F64884">
      <w:pPr>
        <w:spacing w:after="120" w:line="276" w:lineRule="auto"/>
        <w:jc w:val="both"/>
        <w:rPr>
          <w:rFonts w:ascii="Verdana" w:eastAsia="Calibri" w:hAnsi="Verdana" w:cs="Arial"/>
          <w:lang w:val="es-ES_tradnl"/>
        </w:rPr>
      </w:pPr>
      <w:proofErr w:type="spellStart"/>
      <w:r>
        <w:rPr>
          <w:rFonts w:ascii="Verdana" w:eastAsia="Times New Roman" w:hAnsi="Verdana" w:cs="Arial"/>
          <w:color w:val="1A1A1A" w:themeColor="background1" w:themeShade="1A"/>
          <w:lang w:val="es-ES" w:eastAsia="es-ES_tradnl"/>
        </w:rPr>
        <w:t>ii</w:t>
      </w:r>
      <w:proofErr w:type="spellEnd"/>
      <w:r>
        <w:rPr>
          <w:rFonts w:ascii="Verdana" w:eastAsia="Times New Roman" w:hAnsi="Verdana" w:cs="Arial"/>
          <w:color w:val="1A1A1A" w:themeColor="background1" w:themeShade="1A"/>
          <w:lang w:val="es-ES" w:eastAsia="es-ES_tradnl"/>
        </w:rPr>
        <w:t xml:space="preserve">. En relación con el segundo problema jurídico, es importante señalar que la </w:t>
      </w:r>
      <w:r>
        <w:rPr>
          <w:rFonts w:ascii="Verdana" w:eastAsia="Verdana" w:hAnsi="Verdana" w:cs="Verdana"/>
          <w:lang w:val="es-ES"/>
        </w:rPr>
        <w:t>transacción es un mecanismo alternativo de solución de controversias de carácter autocompositivo. En efecto, mediante este mecanismo las partes involucradas en un conflicto acuerdan directamente la forma de resolverla, es decir, solucionan el conflicto por voluntad propia –efectuando concesiones recíprocas– y no por la imposición de un tercero. De ahí que la transacción revista los rasgos de un negocio jurídico o contrato, pues es un acuerdo de voluntades para crear, modificar o extinguir derechos obligaciones</w:t>
      </w:r>
      <w:r>
        <w:rPr>
          <w:rFonts w:ascii="Verdana" w:eastAsia="Calibri" w:hAnsi="Verdana" w:cs="Arial"/>
          <w:vertAlign w:val="superscript"/>
          <w:lang w:val="es-ES_tradnl"/>
        </w:rPr>
        <w:footnoteReference w:id="19"/>
      </w:r>
      <w:r>
        <w:rPr>
          <w:rFonts w:ascii="Verdana" w:eastAsia="Verdana" w:hAnsi="Verdana" w:cs="Verdana"/>
          <w:lang w:val="es-ES"/>
        </w:rPr>
        <w:t xml:space="preserve">. </w:t>
      </w:r>
      <w:r>
        <w:rPr>
          <w:rFonts w:ascii="Verdana" w:eastAsia="Calibri" w:hAnsi="Verdana" w:cs="Arial"/>
          <w:lang w:val="es-ES_tradnl"/>
        </w:rPr>
        <w:t xml:space="preserve">Esta característica la diferencia de los mecanismos </w:t>
      </w:r>
      <w:proofErr w:type="spellStart"/>
      <w:r>
        <w:rPr>
          <w:rFonts w:ascii="Verdana" w:eastAsia="Calibri" w:hAnsi="Verdana" w:cs="Arial"/>
          <w:i/>
          <w:iCs/>
          <w:lang w:val="es-ES_tradnl"/>
        </w:rPr>
        <w:t>heterocompositivos</w:t>
      </w:r>
      <w:proofErr w:type="spellEnd"/>
      <w:r>
        <w:rPr>
          <w:rFonts w:ascii="Verdana" w:eastAsia="Calibri" w:hAnsi="Verdana" w:cs="Arial"/>
          <w:i/>
          <w:iCs/>
          <w:lang w:val="es-ES_tradnl"/>
        </w:rPr>
        <w:t xml:space="preserve"> </w:t>
      </w:r>
      <w:r>
        <w:rPr>
          <w:rFonts w:ascii="Verdana" w:eastAsia="Calibri" w:hAnsi="Verdana" w:cs="Arial"/>
          <w:lang w:val="es-ES_tradnl"/>
        </w:rPr>
        <w:t>de resolución de controversias, en los que un sujeto distinto a las partes decide con autoridad de cosa juzgada a cuál de ellas le asiste la razón.</w:t>
      </w:r>
      <w:r>
        <w:rPr>
          <w:rFonts w:ascii="Verdana" w:eastAsia="Verdana" w:hAnsi="Verdana" w:cs="Verdana"/>
          <w:lang w:val="es-ES"/>
        </w:rPr>
        <w:t xml:space="preserve"> </w:t>
      </w:r>
    </w:p>
    <w:p w14:paraId="0AB62475" w14:textId="77777777" w:rsidR="00F64884" w:rsidRDefault="00F64884" w:rsidP="00F64884">
      <w:pPr>
        <w:spacing w:after="120" w:line="276" w:lineRule="auto"/>
        <w:ind w:firstLine="708"/>
        <w:jc w:val="both"/>
        <w:textAlignment w:val="baseline"/>
        <w:rPr>
          <w:rFonts w:ascii="Verdana" w:hAnsi="Verdana"/>
        </w:rPr>
      </w:pPr>
      <w:r>
        <w:rPr>
          <w:rFonts w:ascii="Verdana" w:eastAsia="Verdana" w:hAnsi="Verdana" w:cs="Verdana"/>
          <w:lang w:val="es-ES"/>
        </w:rPr>
        <w:t xml:space="preserve">El artículo 2469 del Código Civil define la transacción como “[…] un contrato en que las partes terminan extrajudicialmente un litigio pendiente o precaven un litigio eventual”. Adicionalmente, los artículos 2470 a 2487 </w:t>
      </w:r>
      <w:r>
        <w:rPr>
          <w:rFonts w:ascii="Verdana" w:eastAsia="Verdana" w:hAnsi="Verdana" w:cs="Verdana"/>
          <w:lang w:val="es-ES"/>
        </w:rPr>
        <w:lastRenderedPageBreak/>
        <w:t xml:space="preserve">establecen los requisitos del contrato de transacción, entre los que se destacan los siguientes: i) Solo procede sobre derechos inciertos y discutibles. </w:t>
      </w:r>
      <w:proofErr w:type="spellStart"/>
      <w:r>
        <w:rPr>
          <w:rFonts w:ascii="Verdana" w:eastAsia="Verdana" w:hAnsi="Verdana" w:cs="Verdana"/>
          <w:lang w:val="es-ES"/>
        </w:rPr>
        <w:t>ii</w:t>
      </w:r>
      <w:proofErr w:type="spellEnd"/>
      <w:r>
        <w:rPr>
          <w:rFonts w:ascii="Verdana" w:eastAsia="Verdana" w:hAnsi="Verdana" w:cs="Verdana"/>
          <w:lang w:val="es-ES"/>
        </w:rPr>
        <w:t xml:space="preserve">) Las partes deben tener capacidad para disponer del objeto del negocio jurídico, lo que no obsta para que se otorgue poder mediante la celebración de un contrato de mandato. </w:t>
      </w:r>
      <w:proofErr w:type="spellStart"/>
      <w:r>
        <w:rPr>
          <w:rFonts w:ascii="Verdana" w:eastAsia="Verdana" w:hAnsi="Verdana" w:cs="Verdana"/>
          <w:lang w:val="es-ES"/>
        </w:rPr>
        <w:t>iii</w:t>
      </w:r>
      <w:proofErr w:type="spellEnd"/>
      <w:r>
        <w:rPr>
          <w:rFonts w:ascii="Verdana" w:eastAsia="Verdana" w:hAnsi="Verdana" w:cs="Verdana"/>
          <w:lang w:val="es-ES"/>
        </w:rPr>
        <w:t xml:space="preserve">) No puede versar sobre materias prohibidas, como el estado civil de las personas, derechos ajenos o que no existen. </w:t>
      </w:r>
      <w:proofErr w:type="spellStart"/>
      <w:r>
        <w:rPr>
          <w:rFonts w:ascii="Verdana" w:eastAsia="Verdana" w:hAnsi="Verdana" w:cs="Verdana"/>
          <w:lang w:val="es-ES"/>
        </w:rPr>
        <w:t>iv</w:t>
      </w:r>
      <w:proofErr w:type="spellEnd"/>
      <w:r>
        <w:rPr>
          <w:rFonts w:ascii="Verdana" w:eastAsia="Verdana" w:hAnsi="Verdana" w:cs="Verdana"/>
          <w:lang w:val="es-ES"/>
        </w:rPr>
        <w:t>) Únicamente surte efecto entre las partes. Además, el artículo 1625, numeral 3, del mismo Código prevé la transacción como uno de los modos de extinción de las obligaciones</w:t>
      </w:r>
      <w:r>
        <w:rPr>
          <w:rStyle w:val="Refdenotaalpie"/>
          <w:rFonts w:ascii="Verdana" w:eastAsia="Verdana" w:hAnsi="Verdana" w:cs="Verdana"/>
          <w:lang w:val="es-ES"/>
        </w:rPr>
        <w:footnoteReference w:id="20"/>
      </w:r>
      <w:r>
        <w:rPr>
          <w:rFonts w:ascii="Verdana" w:eastAsia="Verdana" w:hAnsi="Verdana" w:cs="Verdana"/>
          <w:lang w:val="es-ES"/>
        </w:rPr>
        <w:t>, ello desde una óptica que implica la prevalencia de la voluntad de las partes.</w:t>
      </w:r>
    </w:p>
    <w:p w14:paraId="08A150BC" w14:textId="77777777" w:rsidR="00F64884" w:rsidRDefault="00F64884" w:rsidP="00F64884">
      <w:pPr>
        <w:spacing w:after="120" w:line="276" w:lineRule="auto"/>
        <w:ind w:firstLine="709"/>
        <w:jc w:val="both"/>
        <w:rPr>
          <w:rFonts w:ascii="Verdana" w:eastAsia="Calibri" w:hAnsi="Verdana" w:cs="Arial"/>
          <w:lang w:val="es-ES"/>
        </w:rPr>
      </w:pPr>
      <w:r>
        <w:rPr>
          <w:rFonts w:ascii="Verdana" w:eastAsia="Verdana" w:hAnsi="Verdana" w:cs="Verdana"/>
          <w:lang w:val="es-ES"/>
        </w:rPr>
        <w:t xml:space="preserve">La transacción, como mecanismo alternativo de resolución de conflictos, puede ser judicial o extrajudicial, dependiendo de si se da o no para terminar un proceso judicial vigente. El artículo 2469 del Código Civil es el fundamento jurídico de la transacción extrajudicial, pues indica que mediante este contrato las partes “[…] terminan extrajudicialmente un litigio pendiente o precaven un litigio eventual” (cursiva fuera de texto). A su vez, los códigos procesales han reconocido la transacción judicial como forma de terminación anticipada de los litigios. </w:t>
      </w:r>
      <w:r>
        <w:rPr>
          <w:rFonts w:ascii="Verdana" w:eastAsia="Calibri" w:hAnsi="Verdana" w:cs="Arial"/>
          <w:lang w:val="es-ES"/>
        </w:rPr>
        <w:t>Por ejemplo, el artículo 176 del Código de Procedimiento Administrativo y de lo Contencioso Administrativo –Ley 1437 de 2011– establece que el proceso judicial puede terminar por transacción</w:t>
      </w:r>
      <w:r>
        <w:rPr>
          <w:rFonts w:ascii="Verdana" w:eastAsia="Calibri" w:hAnsi="Verdana" w:cs="Arial"/>
          <w:vertAlign w:val="superscript"/>
          <w:lang w:val="es-ES"/>
        </w:rPr>
        <w:footnoteReference w:id="21"/>
      </w:r>
      <w:r>
        <w:rPr>
          <w:rFonts w:ascii="Verdana" w:eastAsia="Calibri" w:hAnsi="Verdana" w:cs="Arial"/>
          <w:lang w:val="es-ES"/>
        </w:rPr>
        <w:t xml:space="preserve">. De la misma manera, el artículo 103 del Estatuto de Arbitraje Nacional e Internacional –Ley 1563 de 2012– permite </w:t>
      </w:r>
      <w:r>
        <w:rPr>
          <w:rFonts w:ascii="Verdana" w:eastAsia="Calibri" w:hAnsi="Verdana" w:cs="Arial"/>
          <w:lang w:val="es-ES"/>
        </w:rPr>
        <w:lastRenderedPageBreak/>
        <w:t>la terminación del proceso arbitral por transacción entre las partes</w:t>
      </w:r>
      <w:r>
        <w:rPr>
          <w:rFonts w:ascii="Verdana" w:eastAsia="Calibri" w:hAnsi="Verdana" w:cs="Arial"/>
          <w:vertAlign w:val="superscript"/>
          <w:lang w:val="es-ES"/>
        </w:rPr>
        <w:footnoteReference w:id="22"/>
      </w:r>
      <w:r>
        <w:rPr>
          <w:rFonts w:ascii="Verdana" w:eastAsia="Calibri" w:hAnsi="Verdana" w:cs="Arial"/>
          <w:lang w:val="es-ES"/>
        </w:rPr>
        <w:t>. El artículo 313 del Código General del Proceso –Ley 1564 de 2012–, por su parte, dispone que “Los representantes de la nación, departamentos y municipios no podrán transigir sin autorización del Gobierno Nacional, del gobernador o alcalde, según fuere el caso”; pero esta última norma –valga resaltar– solo aplica en los procesos jurisdiccionales conforme lo determina el objeto del mismo Código General del Proceso.</w:t>
      </w:r>
    </w:p>
    <w:p w14:paraId="2FA2E090" w14:textId="77777777" w:rsidR="00F64884" w:rsidRDefault="00F64884" w:rsidP="00F64884">
      <w:pPr>
        <w:spacing w:after="120" w:line="276" w:lineRule="auto"/>
        <w:ind w:firstLine="709"/>
        <w:jc w:val="both"/>
        <w:rPr>
          <w:rFonts w:ascii="Verdana" w:eastAsia="Calibri" w:hAnsi="Verdana" w:cs="Arial"/>
          <w:lang w:val="es-ES_tradnl"/>
        </w:rPr>
      </w:pPr>
      <w:r>
        <w:rPr>
          <w:rFonts w:ascii="Verdana" w:eastAsia="Calibri" w:hAnsi="Verdana" w:cs="Arial"/>
          <w:lang w:val="es-ES_tradnl"/>
        </w:rPr>
        <w:t>En el ámbito de la contratación estatal, tanto la jurisprudencia del Consejo de Estado</w:t>
      </w:r>
      <w:r>
        <w:rPr>
          <w:rFonts w:ascii="Verdana" w:eastAsia="Calibri" w:hAnsi="Verdana" w:cs="Arial"/>
          <w:vertAlign w:val="superscript"/>
          <w:lang w:val="es-ES_tradnl"/>
        </w:rPr>
        <w:footnoteReference w:id="23"/>
      </w:r>
      <w:r>
        <w:rPr>
          <w:rFonts w:ascii="Verdana" w:eastAsia="Calibri" w:hAnsi="Verdana" w:cs="Arial"/>
          <w:lang w:val="es-ES_tradnl"/>
        </w:rPr>
        <w:t xml:space="preserve"> como la doctrina</w:t>
      </w:r>
      <w:r>
        <w:rPr>
          <w:rFonts w:ascii="Verdana" w:eastAsia="Calibri" w:hAnsi="Verdana" w:cs="Arial"/>
          <w:vertAlign w:val="superscript"/>
          <w:lang w:val="es-ES_tradnl"/>
        </w:rPr>
        <w:footnoteReference w:id="24"/>
      </w:r>
      <w:r>
        <w:rPr>
          <w:rFonts w:ascii="Verdana" w:eastAsia="Calibri" w:hAnsi="Verdana" w:cs="Arial"/>
          <w:lang w:val="es-ES_tradnl"/>
        </w:rPr>
        <w:t xml:space="preserve"> han reconocido la procedencia de la transacción extrajudicial, como mecanismo idóneo para precaver litigios eventuales o para resolver controversias entre las entidades estatales y sus contratistas. La Subdirección de Gestión Contractual comparte dicha postura, pues tanto en las normas civiles como en el Estatuto General de Contratación de la Administración Pública se encuentra la habilitación legal para que las entidades públicas celebren contratos de transacción. Más aún, los órganos del Estado que se rigen por la Ley 80 de 1993 y sus normas complementarias no solo tienen la facultad de transigir, sino que además están obligados a resolver oportunamente las controversias contractuales, para evitar que los conflictos escalen y se generen consecuencias jurídicas y pecuniarias más gravosas para el erario. </w:t>
      </w:r>
    </w:p>
    <w:p w14:paraId="168DCADC" w14:textId="77777777" w:rsidR="00F64884" w:rsidRDefault="00F64884" w:rsidP="00F64884">
      <w:pPr>
        <w:spacing w:after="120" w:line="276" w:lineRule="auto"/>
        <w:ind w:firstLine="709"/>
        <w:jc w:val="both"/>
        <w:rPr>
          <w:rFonts w:ascii="Verdana" w:eastAsia="Calibri" w:hAnsi="Verdana" w:cs="Arial"/>
          <w:lang w:val="es-ES_tradnl"/>
        </w:rPr>
      </w:pPr>
      <w:r>
        <w:rPr>
          <w:rFonts w:ascii="Verdana" w:eastAsia="Calibri" w:hAnsi="Verdana" w:cs="Arial"/>
          <w:lang w:val="es-ES_tradnl"/>
        </w:rPr>
        <w:t xml:space="preserve">En este contexto, conviene advertir que la transacción encuentra respaldo en varias disposiciones de la Ley 80 de 1993, como mecanismo alternativo de resolución de conflictos al que pueden acudir las entidades estatales y los contratistas para poner fin a sus diferencias o precaver litigios eventuales. Como muestra de ello, el numeral 9 del artículo 4 </w:t>
      </w:r>
      <w:r>
        <w:rPr>
          <w:rFonts w:ascii="Verdana" w:eastAsia="Calibri" w:hAnsi="Verdana" w:cs="Arial"/>
          <w:i/>
          <w:iCs/>
          <w:lang w:val="es-ES_tradnl"/>
        </w:rPr>
        <w:t>ibidem</w:t>
      </w:r>
      <w:r>
        <w:rPr>
          <w:rFonts w:ascii="Verdana" w:eastAsia="Calibri" w:hAnsi="Verdana" w:cs="Arial"/>
          <w:lang w:val="es-ES_tradnl"/>
        </w:rPr>
        <w:t xml:space="preserve"> establece que las entidades estatales “Actuarán de tal modo que por causas a ellas imputables, no sobrevenga una mayor onerosidad en el cumplimiento de las obligaciones a cargo del contratista” y que “Con este fin, en el menor tiempo posible, corregirán </w:t>
      </w:r>
      <w:r>
        <w:rPr>
          <w:rFonts w:ascii="Verdana" w:eastAsia="Calibri" w:hAnsi="Verdana" w:cs="Arial"/>
          <w:lang w:val="es-ES_tradnl"/>
        </w:rPr>
        <w:lastRenderedPageBreak/>
        <w:t xml:space="preserve">los desajustes que pudieren presentarse y acordarán los mecanismos y procedimientos pertinentes para precaver o solucionar rápida y eficazmente las diferencias o situaciones litigiosas que llegaren a presentarse”. </w:t>
      </w:r>
    </w:p>
    <w:p w14:paraId="58AC0587" w14:textId="77777777" w:rsidR="00F64884" w:rsidRDefault="00F64884" w:rsidP="00F64884">
      <w:pPr>
        <w:spacing w:after="120" w:line="276" w:lineRule="auto"/>
        <w:ind w:firstLine="709"/>
        <w:jc w:val="both"/>
        <w:rPr>
          <w:rFonts w:ascii="Verdana" w:eastAsia="Calibri" w:hAnsi="Verdana" w:cs="Arial"/>
          <w:lang w:val="es-MX"/>
        </w:rPr>
      </w:pPr>
      <w:r>
        <w:rPr>
          <w:rFonts w:ascii="Verdana" w:eastAsia="Calibri" w:hAnsi="Verdana" w:cs="Arial"/>
          <w:lang w:val="es-ES_tradnl"/>
        </w:rPr>
        <w:t>De esta disposición se desprende que, las entidades estatales tienen el deber de buscar la solución oportuna de las controversias, para evitar que estas cada vez se tornen más complejas y las consecuencias negativas que de ello pueden derivarse para las partes. Con ello se logran reducir los litigios y, por lo tanto, la congestión judicial. Además, la resolución rápida de una situación controversial impide que se incrementen los perjuicios de la parte afectada y que el Estado tenga que soportar condenas cuantiosas en el escenario jurisdiccional.</w:t>
      </w:r>
    </w:p>
    <w:p w14:paraId="5A5D014E" w14:textId="77777777" w:rsidR="00F64884" w:rsidRDefault="00F64884" w:rsidP="00F64884">
      <w:pPr>
        <w:spacing w:after="120" w:line="276" w:lineRule="auto"/>
        <w:ind w:firstLine="709"/>
        <w:jc w:val="both"/>
        <w:rPr>
          <w:rFonts w:ascii="Verdana" w:eastAsia="Calibri" w:hAnsi="Verdana" w:cs="Arial"/>
        </w:rPr>
      </w:pPr>
      <w:r>
        <w:rPr>
          <w:rFonts w:ascii="Verdana" w:eastAsia="Calibri" w:hAnsi="Verdana" w:cs="Arial"/>
          <w:lang w:val="es-ES_tradnl"/>
        </w:rPr>
        <w:t xml:space="preserve">De igual manera, el artículo 60 de la Ley 80 de 1993 reconoce expresamente la procedencia de la transacción en la etapa de liquidación del contrato, estableciendo que “En el acta de liquidación constarán los acuerdos, conciliaciones y transacciones a que llegaren las partes para poner fin a las divergencias presentadas y poder declararse a paz y salvo”. </w:t>
      </w:r>
      <w:r>
        <w:rPr>
          <w:rFonts w:ascii="Verdana" w:eastAsia="Calibri" w:hAnsi="Verdana" w:cs="Arial"/>
        </w:rPr>
        <w:t>Esta disposición constituye una manifestación inequívoca del propósito del legislador de privilegiar fórmulas consensuales para la terminación de las controversias derivadas del contrato estatal.</w:t>
      </w:r>
    </w:p>
    <w:p w14:paraId="3D07F171" w14:textId="77777777" w:rsidR="00F64884" w:rsidRDefault="00F64884" w:rsidP="00F64884">
      <w:pPr>
        <w:spacing w:after="120" w:line="276" w:lineRule="auto"/>
        <w:ind w:firstLine="709"/>
        <w:jc w:val="both"/>
        <w:rPr>
          <w:rFonts w:ascii="Verdana" w:eastAsia="Calibri" w:hAnsi="Verdana" w:cs="Arial"/>
          <w:lang w:val="es-ES_tradnl"/>
        </w:rPr>
      </w:pPr>
      <w:r>
        <w:rPr>
          <w:rFonts w:ascii="Verdana" w:eastAsia="Calibri" w:hAnsi="Verdana" w:cs="Arial"/>
          <w:lang w:val="es-ES_tradnl"/>
        </w:rPr>
        <w:t xml:space="preserve">Adicionalmente, el numeral 5 del artículo 25 de la Ley 80 de 1993 dispone que, en desarrollo del principio de economía, deben adoptarse: “[…] procedimientos que garanticen la pronta solución de las diferencias y controversias que con motivo de la celebración y ejecución del contrato se presenten”. De igual forma, los artículos 32 y 40 del mismo estatuto permiten a las entidades estatales celebrar todos los contratos que tengan su fuente en el ejercicio de la autonomía de la voluntad, así como en las normas civiles y comerciales. En la medida en que la transacción constituye un contrato consagrado en el artículo 2469 del Código Civil, debe entenderse que las entidades estatales se encuentran habilitadas para celebrarlo con el propósito de resolver controversias derivadas de la actividad contractual. </w:t>
      </w:r>
    </w:p>
    <w:p w14:paraId="74C6494D" w14:textId="77777777" w:rsidR="00F64884" w:rsidRDefault="00F64884" w:rsidP="00F64884">
      <w:pPr>
        <w:spacing w:after="120" w:line="276" w:lineRule="auto"/>
        <w:ind w:firstLine="709"/>
        <w:jc w:val="both"/>
        <w:rPr>
          <w:rFonts w:ascii="Verdana" w:eastAsia="Calibri" w:hAnsi="Verdana" w:cs="Arial"/>
          <w:lang w:val="es-ES_tradnl"/>
        </w:rPr>
      </w:pPr>
      <w:r>
        <w:rPr>
          <w:rFonts w:ascii="Verdana" w:eastAsia="Calibri" w:hAnsi="Verdana" w:cs="Arial"/>
          <w:lang w:val="es-ES_tradnl"/>
        </w:rPr>
        <w:t xml:space="preserve">Así mismo, como se indicó previamente, el artículo 1625, numeral 3, del Código Civil establece que la transacción es un modo de extinguir las obligaciones. Esta disposición también resulta aplicable en la contratación estatal, en virtud de la remisión a las normas civiles que realiza el artículo 13 de la Ley 80 de 1993, según el cual “Los contratos que celebren las entidades a que </w:t>
      </w:r>
      <w:r>
        <w:rPr>
          <w:rFonts w:ascii="Verdana" w:eastAsia="Calibri" w:hAnsi="Verdana" w:cs="Arial"/>
          <w:lang w:val="es-ES_tradnl"/>
        </w:rPr>
        <w:lastRenderedPageBreak/>
        <w:t>se refiere el artículo 2o. del presente estatuto se regirán por las disposiciones comerciales y civiles pertinentes, salvo en las materias particularmente reguladas en esta ley”.</w:t>
      </w:r>
    </w:p>
    <w:p w14:paraId="75F6F339" w14:textId="77777777" w:rsidR="00F64884" w:rsidRDefault="00F64884" w:rsidP="00F64884">
      <w:pPr>
        <w:spacing w:after="120" w:line="276" w:lineRule="auto"/>
        <w:ind w:firstLine="709"/>
        <w:jc w:val="both"/>
        <w:rPr>
          <w:rFonts w:ascii="Verdana" w:eastAsia="Calibri" w:hAnsi="Verdana" w:cs="Arial"/>
          <w:lang w:val="es-ES_tradnl"/>
        </w:rPr>
      </w:pPr>
      <w:r>
        <w:rPr>
          <w:rFonts w:ascii="Verdana" w:eastAsia="Calibri" w:hAnsi="Verdana" w:cs="Arial"/>
        </w:rPr>
        <w:t xml:space="preserve">La jurisprudencia ha destacado la transacción como un mecanismo alternativo de solución de controversias que reporta importantes beneficios en el ámbito de la contratación estatal, siempre que se emplee dentro de los límites fijados por el ordenamiento jurídico. En ese sentido, se ha señalado que </w:t>
      </w:r>
      <w:r>
        <w:rPr>
          <w:rFonts w:ascii="Verdana" w:eastAsia="Calibri" w:hAnsi="Verdana" w:cs="Arial"/>
          <w:lang w:val="es-ES_tradnl"/>
        </w:rPr>
        <w:t>“</w:t>
      </w:r>
      <w:r>
        <w:rPr>
          <w:rFonts w:ascii="Verdana" w:hAnsi="Verdana" w:cs="Arial"/>
          <w:lang w:val="es-MX"/>
        </w:rPr>
        <w:t xml:space="preserve">[…] </w:t>
      </w:r>
      <w:r>
        <w:rPr>
          <w:rFonts w:ascii="Verdana" w:eastAsia="Calibri" w:hAnsi="Verdana" w:cs="Arial"/>
          <w:lang w:val="es-ES_tradnl"/>
        </w:rPr>
        <w:t>uno de los principales efectos que genera el acuerdo transaccional es el de cosa juzgada, por el pacto de voluntades; en consecuencia, cuando se transa sobre la totalidad de los asuntos discutidos, las partes no pueden reavivar el conflicto acudiendo a la jurisdicción o, en caso de que haya un proceso judicial en curso, habrá lugar a la terminación anormal del mismo”</w:t>
      </w:r>
      <w:r>
        <w:rPr>
          <w:rFonts w:ascii="Verdana" w:eastAsia="Calibri" w:hAnsi="Verdana" w:cs="Arial"/>
          <w:vertAlign w:val="superscript"/>
          <w:lang w:val="es-ES_tradnl"/>
        </w:rPr>
        <w:footnoteReference w:id="25"/>
      </w:r>
      <w:r>
        <w:rPr>
          <w:rFonts w:ascii="Verdana" w:eastAsia="Calibri" w:hAnsi="Verdana" w:cs="Arial"/>
          <w:lang w:val="es-ES_tradnl"/>
        </w:rPr>
        <w:t xml:space="preserve">. </w:t>
      </w:r>
    </w:p>
    <w:p w14:paraId="1DDDD369" w14:textId="77777777" w:rsidR="00F64884" w:rsidRDefault="00F64884" w:rsidP="00F64884">
      <w:pPr>
        <w:spacing w:after="120" w:line="276" w:lineRule="auto"/>
        <w:ind w:firstLine="709"/>
        <w:jc w:val="both"/>
        <w:rPr>
          <w:rFonts w:ascii="Verdana" w:eastAsia="Calibri" w:hAnsi="Verdana" w:cs="Arial"/>
        </w:rPr>
      </w:pPr>
      <w:r>
        <w:rPr>
          <w:rFonts w:ascii="Verdana" w:eastAsia="Calibri" w:hAnsi="Verdana" w:cs="Arial"/>
          <w:lang w:val="es-ES_tradnl"/>
        </w:rPr>
        <w:t>De igual manera, ha indicado que la transacción es un modo válido de llegar a acuerdos sobre los aspectos económicos del contrato estatal</w:t>
      </w:r>
      <w:r>
        <w:rPr>
          <w:rFonts w:ascii="Verdana" w:eastAsia="Calibri" w:hAnsi="Verdana" w:cs="Arial"/>
          <w:vertAlign w:val="superscript"/>
          <w:lang w:val="es-ES_tradnl"/>
        </w:rPr>
        <w:footnoteReference w:id="26"/>
      </w:r>
      <w:r>
        <w:rPr>
          <w:rFonts w:ascii="Verdana" w:eastAsia="Calibri" w:hAnsi="Verdana" w:cs="Arial"/>
          <w:lang w:val="es-ES_tradnl"/>
        </w:rPr>
        <w:t>, sin afectar los derechos colectivos a la moralidad administrativa y al patrimonio público</w:t>
      </w:r>
      <w:r>
        <w:rPr>
          <w:rFonts w:ascii="Verdana" w:eastAsia="Calibri" w:hAnsi="Verdana" w:cs="Arial"/>
          <w:vertAlign w:val="superscript"/>
          <w:lang w:val="es-ES_tradnl"/>
        </w:rPr>
        <w:footnoteReference w:id="27"/>
      </w:r>
      <w:r>
        <w:rPr>
          <w:rFonts w:ascii="Verdana" w:eastAsia="Calibri" w:hAnsi="Verdana" w:cs="Arial"/>
          <w:lang w:val="es-ES_tradnl"/>
        </w:rPr>
        <w:t>. Específicamente, el Consejo de Estado también ha concebido la transacción como un mecanismo adecuado para restablecer el equilibrio económico del contrato, en cumplimiento del mandato contenido en el numeral 9 del artículo 4 de la Ley 80 de 1993</w:t>
      </w:r>
      <w:r>
        <w:rPr>
          <w:rFonts w:ascii="Verdana" w:eastAsia="Calibri" w:hAnsi="Verdana" w:cs="Arial"/>
          <w:vertAlign w:val="superscript"/>
          <w:lang w:val="es-ES_tradnl"/>
        </w:rPr>
        <w:footnoteReference w:id="28"/>
      </w:r>
      <w:r>
        <w:rPr>
          <w:rFonts w:ascii="Verdana" w:eastAsia="Calibri" w:hAnsi="Verdana" w:cs="Arial"/>
          <w:lang w:val="es-ES_tradnl"/>
        </w:rPr>
        <w:t xml:space="preserve">. </w:t>
      </w:r>
    </w:p>
    <w:p w14:paraId="620426CE" w14:textId="77777777" w:rsidR="00F64884" w:rsidRDefault="00F64884" w:rsidP="00F64884">
      <w:pPr>
        <w:spacing w:after="120" w:line="276" w:lineRule="auto"/>
        <w:ind w:firstLine="709"/>
        <w:jc w:val="both"/>
        <w:rPr>
          <w:rFonts w:ascii="Verdana" w:eastAsia="Calibri" w:hAnsi="Verdana" w:cs="Arial"/>
        </w:rPr>
      </w:pPr>
      <w:r>
        <w:rPr>
          <w:rFonts w:ascii="Verdana" w:eastAsia="Calibri" w:hAnsi="Verdana" w:cs="Arial"/>
        </w:rPr>
        <w:t>Sin embargo, para que la transacción produzca válidamente sus efectos y constituya una herramienta adecuada de solución de controversias, debe satisfacer los requisitos desarrollados por la jurisprudencia. En este sentido, el Consejo de Estado ha señalado que</w:t>
      </w:r>
      <w:r>
        <w:rPr>
          <w:rFonts w:ascii="Verdana" w:eastAsia="Calibri" w:hAnsi="Verdana" w:cs="Arial"/>
          <w:lang w:val="es-ES"/>
        </w:rPr>
        <w:t>: “</w:t>
      </w:r>
      <w:r>
        <w:rPr>
          <w:rFonts w:ascii="Verdana" w:hAnsi="Verdana" w:cs="Arial"/>
          <w:lang w:val="es-ES"/>
        </w:rPr>
        <w:t xml:space="preserve">[…] </w:t>
      </w:r>
      <w:r>
        <w:rPr>
          <w:rFonts w:ascii="Verdana" w:eastAsia="Calibri" w:hAnsi="Verdana" w:cs="Arial"/>
          <w:lang w:val="es-ES"/>
        </w:rPr>
        <w:t>jurisprudencialmente se ha agregado como elemento esencial de la transacción, las concesiones o sacrificios recíprocos entre las partes”</w:t>
      </w:r>
      <w:r>
        <w:rPr>
          <w:rFonts w:ascii="Verdana" w:eastAsia="Calibri" w:hAnsi="Verdana" w:cs="Arial"/>
          <w:vertAlign w:val="superscript"/>
          <w:lang w:val="es-ES"/>
        </w:rPr>
        <w:footnoteReference w:id="29"/>
      </w:r>
      <w:r>
        <w:rPr>
          <w:rFonts w:ascii="Verdana" w:eastAsia="Calibri" w:hAnsi="Verdana" w:cs="Arial"/>
          <w:lang w:val="es-ES"/>
        </w:rPr>
        <w:t xml:space="preserve">, es decir, el arreglo directo no puede “[…] mostrarse abiertamente desproporcionado”. Este elemento también ha sido determinante para la justicia arbitral, </w:t>
      </w:r>
      <w:r>
        <w:rPr>
          <w:rFonts w:ascii="Verdana" w:eastAsia="Calibri" w:hAnsi="Verdana" w:cs="Arial"/>
        </w:rPr>
        <w:t xml:space="preserve">la cual ha precisado que, cuando se celebra un acuerdo denominado transacción sin que existan concesiones recíprocas </w:t>
      </w:r>
      <w:r>
        <w:rPr>
          <w:rFonts w:ascii="Verdana" w:eastAsia="Calibri" w:hAnsi="Verdana" w:cs="Arial"/>
        </w:rPr>
        <w:lastRenderedPageBreak/>
        <w:t>entre las partes, en realidad se está ante una figura jurídica distinta, como ocurre, por ejemplo, con una modificación bilateral del contrato estatal</w:t>
      </w:r>
      <w:r>
        <w:rPr>
          <w:rFonts w:ascii="Verdana" w:eastAsia="Calibri" w:hAnsi="Verdana" w:cs="Arial"/>
          <w:vertAlign w:val="superscript"/>
          <w:lang w:val="es-ES"/>
        </w:rPr>
        <w:footnoteReference w:id="30"/>
      </w:r>
      <w:r>
        <w:rPr>
          <w:rFonts w:ascii="Verdana" w:eastAsia="Calibri" w:hAnsi="Verdana" w:cs="Arial"/>
          <w:lang w:val="es-ES"/>
        </w:rPr>
        <w:t>. Por lo tanto, el acuerdo transaccional no puede implicar un reconocimiento exorbitante para el contratista, que no tenga ningún sustento, ni una renuncia infundada para la entidad estatal a reclamar la indemnización de los perjuicios que le hayan sido causados. Debe ser, por el contrario, un arreglo basado en elementos objetivos que permitan justificar la utilización de este mecanismo</w:t>
      </w:r>
      <w:r>
        <w:rPr>
          <w:rFonts w:ascii="Verdana" w:eastAsia="Calibri" w:hAnsi="Verdana" w:cs="Arial"/>
          <w:vertAlign w:val="superscript"/>
          <w:lang w:val="es-ES"/>
        </w:rPr>
        <w:footnoteReference w:id="31"/>
      </w:r>
      <w:r>
        <w:rPr>
          <w:rFonts w:ascii="Verdana" w:eastAsia="Calibri" w:hAnsi="Verdana" w:cs="Arial"/>
          <w:lang w:val="es-ES"/>
        </w:rPr>
        <w:t xml:space="preserve">. </w:t>
      </w:r>
    </w:p>
    <w:p w14:paraId="54518780" w14:textId="77777777" w:rsidR="00F64884" w:rsidRDefault="00F64884" w:rsidP="00F64884">
      <w:pPr>
        <w:spacing w:after="120" w:line="276" w:lineRule="auto"/>
        <w:ind w:firstLine="708"/>
        <w:jc w:val="both"/>
        <w:rPr>
          <w:rFonts w:ascii="Verdana" w:eastAsia="Calibri" w:hAnsi="Verdana" w:cs="Arial"/>
        </w:rPr>
      </w:pPr>
      <w:r>
        <w:rPr>
          <w:rFonts w:ascii="Verdana" w:eastAsia="Calibri" w:hAnsi="Verdana" w:cs="Arial"/>
          <w:lang w:val="es-MX"/>
        </w:rPr>
        <w:t>En cuanto a la competencia para celebrarlo, el contrato de transacción debe suscribirlo “[…] quien tenga la representación legal de la entidad, quien es el único que tiene la competencia para vincularla contractualmente y debe cumplir con las formalidades previstas en la ley para su procedencia, entre ellas las autorizaciones de ley”</w:t>
      </w:r>
      <w:r>
        <w:rPr>
          <w:rFonts w:ascii="Verdana" w:eastAsia="Calibri" w:hAnsi="Verdana" w:cs="Arial"/>
          <w:vertAlign w:val="superscript"/>
          <w:lang w:val="es-MX"/>
        </w:rPr>
        <w:footnoteReference w:id="32"/>
      </w:r>
      <w:r>
        <w:rPr>
          <w:rFonts w:ascii="Verdana" w:eastAsia="Calibri" w:hAnsi="Verdana" w:cs="Arial"/>
          <w:lang w:val="es-MX"/>
        </w:rPr>
        <w:t xml:space="preserve">. Ahora bien, el artículo 313 del Código General del Proceso dispone que “Los representantes de la nación, departamentos y municipios no podrán transigir sin autorización del Gobierno Nacional, del gobernador o alcalde, según fuere el caso”. </w:t>
      </w:r>
      <w:r>
        <w:rPr>
          <w:rFonts w:ascii="Verdana" w:eastAsia="Calibri" w:hAnsi="Verdana" w:cs="Arial"/>
        </w:rPr>
        <w:t>Sin embargo, esta exigencia se encuentra prevista para las actuaciones jurisdiccionales reguladas por dicho estatuto procesal y, por tanto, no resulta aplicable a las transacciones extrajudiciales celebradas por las entidades estatales en desarrollo de su actividad contractual.</w:t>
      </w:r>
    </w:p>
    <w:p w14:paraId="56C80B19" w14:textId="77777777" w:rsidR="00F64884" w:rsidRDefault="00F64884" w:rsidP="00F64884">
      <w:pPr>
        <w:spacing w:after="120" w:line="276" w:lineRule="auto"/>
        <w:ind w:firstLine="708"/>
        <w:jc w:val="both"/>
        <w:textAlignment w:val="baseline"/>
        <w:rPr>
          <w:rFonts w:ascii="Verdana" w:eastAsia="Calibri" w:hAnsi="Verdana" w:cs="Arial"/>
        </w:rPr>
      </w:pPr>
      <w:r>
        <w:rPr>
          <w:rFonts w:ascii="Verdana" w:eastAsia="Calibri" w:hAnsi="Verdana" w:cs="Arial"/>
        </w:rPr>
        <w:t xml:space="preserve">Conforme a lo anterior, la transacción constituye una modalidad contractual que las entidades estatales pueden celebrar en ejercicio de la autonomía de la voluntad, con el propósito de prevenir litigios o resolver controversias surgidas con ocasión de la actividad contractual. </w:t>
      </w:r>
    </w:p>
    <w:p w14:paraId="535E9081" w14:textId="77777777" w:rsidR="00F64884" w:rsidRDefault="00F64884" w:rsidP="00F64884">
      <w:pPr>
        <w:spacing w:after="120" w:line="276" w:lineRule="auto"/>
        <w:ind w:firstLine="708"/>
        <w:jc w:val="both"/>
        <w:textAlignment w:val="baseline"/>
        <w:rPr>
          <w:rFonts w:ascii="Verdana" w:eastAsia="Verdana" w:hAnsi="Verdana" w:cs="Verdana"/>
        </w:rPr>
      </w:pPr>
      <w:r>
        <w:rPr>
          <w:rFonts w:ascii="Verdana" w:eastAsia="Verdana" w:hAnsi="Verdana" w:cs="Verdana"/>
          <w:lang w:val="es-ES"/>
        </w:rPr>
        <w:t xml:space="preserve">Por otro lado, </w:t>
      </w:r>
      <w:r w:rsidRPr="001450CA">
        <w:rPr>
          <w:rFonts w:ascii="Verdana" w:eastAsia="Verdana" w:hAnsi="Verdana" w:cs="Verdana"/>
          <w:lang w:val="es-ES"/>
        </w:rPr>
        <w:t xml:space="preserve">el artículo </w:t>
      </w:r>
      <w:r>
        <w:rPr>
          <w:rFonts w:ascii="Verdana" w:eastAsia="Verdana" w:hAnsi="Verdana" w:cs="Verdana"/>
          <w:lang w:val="es-ES"/>
        </w:rPr>
        <w:t xml:space="preserve">3 de la Ley 2220 de 2022 </w:t>
      </w:r>
      <w:r w:rsidRPr="00AC321D">
        <w:rPr>
          <w:rFonts w:ascii="Verdana" w:eastAsia="Verdana" w:hAnsi="Verdana" w:cs="Verdana"/>
          <w:b/>
          <w:bCs/>
        </w:rPr>
        <w:t>“</w:t>
      </w:r>
      <w:r>
        <w:rPr>
          <w:rFonts w:ascii="Verdana" w:eastAsia="Verdana" w:hAnsi="Verdana" w:cs="Verdana"/>
        </w:rPr>
        <w:t>P</w:t>
      </w:r>
      <w:r w:rsidRPr="00FF2701">
        <w:rPr>
          <w:rFonts w:ascii="Verdana" w:eastAsia="Verdana" w:hAnsi="Verdana" w:cs="Verdana"/>
        </w:rPr>
        <w:t>or medio de la cual se expide el estatuto de conciliación y se dictan otras disposiciones”</w:t>
      </w:r>
      <w:r>
        <w:rPr>
          <w:rFonts w:ascii="Verdana" w:eastAsia="Verdana" w:hAnsi="Verdana" w:cs="Verdana"/>
        </w:rPr>
        <w:t xml:space="preserve"> define la </w:t>
      </w:r>
      <w:r>
        <w:rPr>
          <w:rFonts w:ascii="Verdana" w:eastAsia="Verdana" w:hAnsi="Verdana" w:cs="Verdana"/>
        </w:rPr>
        <w:lastRenderedPageBreak/>
        <w:t>conciliación como</w:t>
      </w:r>
      <w:r w:rsidRPr="00AC321D">
        <w:rPr>
          <w:rFonts w:ascii="Verdana" w:eastAsia="Verdana" w:hAnsi="Verdana" w:cs="Verdana"/>
          <w:lang w:val="es-ES"/>
        </w:rPr>
        <w:t xml:space="preserve"> </w:t>
      </w:r>
      <w:r>
        <w:rPr>
          <w:rFonts w:ascii="Verdana" w:eastAsia="Verdana" w:hAnsi="Verdana" w:cs="Verdana"/>
          <w:lang w:val="es-ES"/>
        </w:rPr>
        <w:t>“</w:t>
      </w:r>
      <w:r w:rsidRPr="002B41E6">
        <w:rPr>
          <w:rFonts w:ascii="Verdana" w:eastAsia="Verdana" w:hAnsi="Verdana" w:cs="Verdana"/>
        </w:rPr>
        <w:t>un mecanismo de resolución de conflictos a través del cual dos o más personas gestionan por sí mismas la solución de las diferencias, con la ayuda de un tercero neutral y calificado denominado conciliador, quien, además de proponer fórmulas de arreglo, da fe de la decisión de acuerdo, la cual es obligatoria y definitiva para las partes que concilian</w:t>
      </w:r>
      <w:r>
        <w:rPr>
          <w:rFonts w:ascii="Verdana" w:eastAsia="Verdana" w:hAnsi="Verdana" w:cs="Verdana"/>
        </w:rPr>
        <w:t>”</w:t>
      </w:r>
      <w:r w:rsidRPr="002B41E6">
        <w:rPr>
          <w:rFonts w:ascii="Verdana" w:eastAsia="Verdana" w:hAnsi="Verdana" w:cs="Verdana"/>
        </w:rPr>
        <w:t>.</w:t>
      </w:r>
      <w:r>
        <w:rPr>
          <w:rFonts w:ascii="Verdana" w:eastAsia="Verdana" w:hAnsi="Verdana" w:cs="Verdana"/>
        </w:rPr>
        <w:t xml:space="preserve"> </w:t>
      </w:r>
      <w:r w:rsidRPr="008B2B48">
        <w:rPr>
          <w:rFonts w:ascii="Verdana" w:eastAsia="Verdana" w:hAnsi="Verdana" w:cs="Verdana"/>
        </w:rPr>
        <w:t>Además</w:t>
      </w:r>
      <w:r>
        <w:rPr>
          <w:rFonts w:ascii="Verdana" w:eastAsia="Verdana" w:hAnsi="Verdana" w:cs="Verdana"/>
        </w:rPr>
        <w:t>, señala que</w:t>
      </w:r>
      <w:r w:rsidRPr="008B2B48">
        <w:rPr>
          <w:rFonts w:ascii="Verdana" w:eastAsia="Verdana" w:hAnsi="Verdana" w:cs="Verdana"/>
        </w:rPr>
        <w:t xml:space="preserve"> la conciliación en materia </w:t>
      </w:r>
      <w:proofErr w:type="gramStart"/>
      <w:r w:rsidRPr="008B2B48">
        <w:rPr>
          <w:rFonts w:ascii="Verdana" w:eastAsia="Verdana" w:hAnsi="Verdana" w:cs="Verdana"/>
        </w:rPr>
        <w:t>contencioso</w:t>
      </w:r>
      <w:r>
        <w:rPr>
          <w:rFonts w:ascii="Verdana" w:eastAsia="Verdana" w:hAnsi="Verdana" w:cs="Verdana"/>
        </w:rPr>
        <w:t xml:space="preserve"> </w:t>
      </w:r>
      <w:r w:rsidRPr="008B2B48">
        <w:rPr>
          <w:rFonts w:ascii="Verdana" w:eastAsia="Verdana" w:hAnsi="Verdana" w:cs="Verdana"/>
        </w:rPr>
        <w:t>administrativa</w:t>
      </w:r>
      <w:proofErr w:type="gramEnd"/>
      <w:r w:rsidRPr="008B2B48">
        <w:rPr>
          <w:rFonts w:ascii="Verdana" w:eastAsia="Verdana" w:hAnsi="Verdana" w:cs="Verdana"/>
        </w:rPr>
        <w:t xml:space="preserve"> tiene como finalidad la salvaguarda y protección del patrimonio público y el interés general.</w:t>
      </w:r>
    </w:p>
    <w:p w14:paraId="6DDA7735" w14:textId="77777777" w:rsidR="00F64884" w:rsidRDefault="00F64884" w:rsidP="00F64884">
      <w:pPr>
        <w:spacing w:after="120" w:line="276" w:lineRule="auto"/>
        <w:ind w:firstLine="708"/>
        <w:jc w:val="both"/>
        <w:textAlignment w:val="baseline"/>
        <w:rPr>
          <w:rFonts w:ascii="Verdana" w:eastAsia="Verdana" w:hAnsi="Verdana" w:cs="Verdana"/>
        </w:rPr>
      </w:pPr>
      <w:r>
        <w:rPr>
          <w:rFonts w:ascii="Verdana" w:eastAsia="Verdana" w:hAnsi="Verdana" w:cs="Verdana"/>
        </w:rPr>
        <w:t xml:space="preserve">De acuerdo con el artículo 4 </w:t>
      </w:r>
      <w:r w:rsidRPr="00620975">
        <w:rPr>
          <w:rFonts w:ascii="Verdana" w:eastAsia="Verdana" w:hAnsi="Verdana" w:cs="Verdana"/>
          <w:i/>
          <w:iCs/>
        </w:rPr>
        <w:t>ibidem</w:t>
      </w:r>
      <w:r>
        <w:rPr>
          <w:rFonts w:ascii="Verdana" w:eastAsia="Verdana" w:hAnsi="Verdana" w:cs="Verdana"/>
          <w:i/>
          <w:iCs/>
        </w:rPr>
        <w:t>,</w:t>
      </w:r>
      <w:r>
        <w:rPr>
          <w:rFonts w:ascii="Verdana" w:eastAsia="Verdana" w:hAnsi="Verdana" w:cs="Verdana"/>
        </w:rPr>
        <w:t xml:space="preserve"> se trata </w:t>
      </w:r>
      <w:r w:rsidRPr="00850E22">
        <w:rPr>
          <w:rFonts w:ascii="Verdana" w:eastAsia="Verdana" w:hAnsi="Verdana" w:cs="Verdana"/>
        </w:rPr>
        <w:t xml:space="preserve">de un mecanismo </w:t>
      </w:r>
      <w:r>
        <w:rPr>
          <w:rFonts w:ascii="Verdana" w:eastAsia="Verdana" w:hAnsi="Verdana" w:cs="Verdana"/>
        </w:rPr>
        <w:t xml:space="preserve">de </w:t>
      </w:r>
      <w:r w:rsidRPr="00E81458">
        <w:rPr>
          <w:rFonts w:ascii="Verdana" w:eastAsia="Verdana" w:hAnsi="Verdana" w:cs="Verdana"/>
          <w:i/>
          <w:iCs/>
        </w:rPr>
        <w:t>autocomposición</w:t>
      </w:r>
      <w:r w:rsidRPr="00850E22">
        <w:rPr>
          <w:rFonts w:ascii="Verdana" w:eastAsia="Verdana" w:hAnsi="Verdana" w:cs="Verdana"/>
        </w:rPr>
        <w:t xml:space="preserve">, </w:t>
      </w:r>
      <w:r>
        <w:rPr>
          <w:rFonts w:ascii="Verdana" w:eastAsia="Verdana" w:hAnsi="Verdana" w:cs="Verdana"/>
        </w:rPr>
        <w:t>en tanto s</w:t>
      </w:r>
      <w:r w:rsidRPr="00AA269F">
        <w:rPr>
          <w:rFonts w:ascii="Verdana" w:eastAsia="Verdana" w:hAnsi="Verdana" w:cs="Verdana"/>
        </w:rPr>
        <w:t>on las propias partes confrontadas las que resuelven su conflicto, desavenencias o diferencias en ejercicio de la autonomía de la voluntad, asistidos por un tercero neutral e imparcial que promueve y facilita el diálogo y la búsqueda de soluciones al conflicto y negociación entre ellas y que puede proponer fórmulas de solución que las partes pueden o no aceptar según su voluntad.</w:t>
      </w:r>
      <w:r>
        <w:rPr>
          <w:rFonts w:ascii="Verdana" w:eastAsia="Verdana" w:hAnsi="Verdana" w:cs="Verdana"/>
        </w:rPr>
        <w:t xml:space="preserve"> Así mismo, señala como parte de sus principios el de seguridad jurídica, según el cual “</w:t>
      </w:r>
      <w:r w:rsidRPr="00811C0D">
        <w:rPr>
          <w:rFonts w:ascii="Verdana" w:eastAsia="Verdana" w:hAnsi="Verdana" w:cs="Verdana"/>
        </w:rPr>
        <w:t xml:space="preserve">El análisis del conflicto deberá contar con referentes de confianza en el proceso conciliatorio como medio para la solución alternativa y pacífica del conflicto y </w:t>
      </w:r>
      <w:r w:rsidRPr="004619F7">
        <w:rPr>
          <w:rFonts w:ascii="Verdana" w:eastAsia="Verdana" w:hAnsi="Verdana" w:cs="Verdana"/>
          <w:i/>
          <w:iCs/>
        </w:rPr>
        <w:t>creador de derechos con efectos de cosa juzgada</w:t>
      </w:r>
      <w:r w:rsidRPr="00811C0D">
        <w:rPr>
          <w:rFonts w:ascii="Verdana" w:eastAsia="Verdana" w:hAnsi="Verdana" w:cs="Verdana"/>
        </w:rPr>
        <w:t>, lealtad procesal en la actuación, y certeza en la justicia desde actores sociales e institucionales</w:t>
      </w:r>
      <w:r>
        <w:rPr>
          <w:rFonts w:ascii="Verdana" w:eastAsia="Verdana" w:hAnsi="Verdana" w:cs="Verdana"/>
        </w:rPr>
        <w:t>”</w:t>
      </w:r>
      <w:r w:rsidRPr="00811C0D">
        <w:rPr>
          <w:rFonts w:ascii="Verdana" w:eastAsia="Verdana" w:hAnsi="Verdana" w:cs="Verdana"/>
        </w:rPr>
        <w:t>.</w:t>
      </w:r>
    </w:p>
    <w:p w14:paraId="711C1DFE" w14:textId="77777777" w:rsidR="00F64884" w:rsidRDefault="00F64884" w:rsidP="00F64884">
      <w:pPr>
        <w:spacing w:after="120" w:line="276" w:lineRule="auto"/>
        <w:ind w:firstLine="708"/>
        <w:jc w:val="both"/>
        <w:textAlignment w:val="baseline"/>
        <w:rPr>
          <w:rFonts w:ascii="Verdana" w:eastAsia="Verdana" w:hAnsi="Verdana" w:cs="Verdana"/>
          <w:lang w:val="es-ES"/>
        </w:rPr>
      </w:pPr>
      <w:r>
        <w:rPr>
          <w:rFonts w:ascii="Verdana" w:eastAsia="Verdana" w:hAnsi="Verdana" w:cs="Verdana"/>
          <w:lang w:val="es-ES"/>
        </w:rPr>
        <w:t xml:space="preserve">Igualmente, se </w:t>
      </w:r>
      <w:r w:rsidRPr="00623464">
        <w:rPr>
          <w:rFonts w:ascii="Verdana" w:eastAsia="Verdana" w:hAnsi="Verdana" w:cs="Verdana"/>
          <w:lang w:val="es-ES"/>
        </w:rPr>
        <w:t xml:space="preserve">prevé diversas modalidades de conciliación, atendiendo al momento en que se desarrolla y al ámbito en el que tiene lugar. </w:t>
      </w:r>
      <w:r>
        <w:rPr>
          <w:rFonts w:ascii="Verdana" w:eastAsia="Verdana" w:hAnsi="Verdana" w:cs="Verdana"/>
          <w:lang w:val="es-ES"/>
        </w:rPr>
        <w:t>En consecuencia</w:t>
      </w:r>
      <w:r w:rsidRPr="00623464">
        <w:rPr>
          <w:rFonts w:ascii="Verdana" w:eastAsia="Verdana" w:hAnsi="Verdana" w:cs="Verdana"/>
          <w:lang w:val="es-ES"/>
        </w:rPr>
        <w:t xml:space="preserve">, </w:t>
      </w:r>
      <w:r>
        <w:rPr>
          <w:rFonts w:ascii="Verdana" w:eastAsia="Verdana" w:hAnsi="Verdana" w:cs="Verdana"/>
          <w:lang w:val="es-ES"/>
        </w:rPr>
        <w:t xml:space="preserve">el artículo 5 señala que </w:t>
      </w:r>
      <w:r w:rsidRPr="00623464">
        <w:rPr>
          <w:rFonts w:ascii="Verdana" w:eastAsia="Verdana" w:hAnsi="Verdana" w:cs="Verdana"/>
          <w:lang w:val="es-ES"/>
        </w:rPr>
        <w:t>la conciliación puede ser extrajudicial, cuando se adelanta antes del proceso judicial y, en determinados asuntos, constituye requisito de procedibilidad para acudir a la jurisdicción</w:t>
      </w:r>
      <w:r>
        <w:rPr>
          <w:rFonts w:ascii="Verdana" w:eastAsia="Verdana" w:hAnsi="Verdana" w:cs="Verdana"/>
          <w:lang w:val="es-ES"/>
        </w:rPr>
        <w:t>,</w:t>
      </w:r>
      <w:r w:rsidRPr="00623464">
        <w:rPr>
          <w:rFonts w:ascii="Verdana" w:eastAsia="Verdana" w:hAnsi="Verdana" w:cs="Verdana"/>
          <w:lang w:val="es-ES"/>
        </w:rPr>
        <w:t xml:space="preserve"> o judicial, cuando se realiza dentro de un proceso en curso con el propósito de poner fin total o parcialmente al litigio.</w:t>
      </w:r>
    </w:p>
    <w:p w14:paraId="5EB78F49" w14:textId="77777777" w:rsidR="00F64884" w:rsidRPr="00AB6521" w:rsidRDefault="00F64884" w:rsidP="00F64884">
      <w:pPr>
        <w:spacing w:after="120" w:line="276" w:lineRule="auto"/>
        <w:ind w:firstLine="708"/>
        <w:jc w:val="both"/>
        <w:textAlignment w:val="baseline"/>
        <w:rPr>
          <w:rFonts w:ascii="Verdana" w:eastAsia="Verdana" w:hAnsi="Verdana" w:cs="Verdana"/>
          <w:lang w:val="es-ES"/>
        </w:rPr>
      </w:pPr>
      <w:r>
        <w:rPr>
          <w:rFonts w:ascii="Verdana" w:eastAsia="Verdana" w:hAnsi="Verdana" w:cs="Verdana"/>
          <w:lang w:val="es-ES"/>
        </w:rPr>
        <w:t>Particularmente, e</w:t>
      </w:r>
      <w:r w:rsidRPr="00F90557">
        <w:rPr>
          <w:rFonts w:ascii="Verdana" w:eastAsia="Verdana" w:hAnsi="Verdana" w:cs="Verdana"/>
          <w:lang w:val="es-ES"/>
        </w:rPr>
        <w:t xml:space="preserve">l Título V de la Ley 2220 de 2022, denominado "Normas especiales relativas a la conciliación en asuntos de lo contencioso administrativo", establece el régimen aplicable a este mecanismo alternativo de solución de controversias </w:t>
      </w:r>
      <w:r>
        <w:rPr>
          <w:rFonts w:ascii="Verdana" w:eastAsia="Verdana" w:hAnsi="Verdana" w:cs="Verdana"/>
          <w:lang w:val="es-ES"/>
        </w:rPr>
        <w:t xml:space="preserve">en materia </w:t>
      </w:r>
      <w:proofErr w:type="gramStart"/>
      <w:r>
        <w:rPr>
          <w:rFonts w:ascii="Verdana" w:eastAsia="Verdana" w:hAnsi="Verdana" w:cs="Verdana"/>
          <w:lang w:val="es-ES"/>
        </w:rPr>
        <w:t>contencioso administrativa</w:t>
      </w:r>
      <w:proofErr w:type="gramEnd"/>
      <w:r>
        <w:rPr>
          <w:rFonts w:ascii="Verdana" w:eastAsia="Verdana" w:hAnsi="Verdana" w:cs="Verdana"/>
          <w:lang w:val="es-ES"/>
        </w:rPr>
        <w:t xml:space="preserve">. En este contexto, </w:t>
      </w:r>
      <w:r w:rsidRPr="00AB6521">
        <w:rPr>
          <w:rFonts w:ascii="Verdana" w:eastAsia="Verdana" w:hAnsi="Verdana" w:cs="Verdana"/>
          <w:lang w:val="es-ES"/>
        </w:rPr>
        <w:t xml:space="preserve">el artículo 88 dispone que la conciliación extrajudicial en asuntos de lo contencioso administrativo constituye un mecanismo alternativo de solución de conflictos de naturaleza </w:t>
      </w:r>
      <w:r w:rsidRPr="00E81458">
        <w:rPr>
          <w:rFonts w:ascii="Verdana" w:eastAsia="Verdana" w:hAnsi="Verdana" w:cs="Verdana"/>
          <w:i/>
          <w:iCs/>
          <w:lang w:val="es-ES"/>
        </w:rPr>
        <w:t>autocompositiva</w:t>
      </w:r>
      <w:r w:rsidRPr="00AB6521">
        <w:rPr>
          <w:rFonts w:ascii="Verdana" w:eastAsia="Verdana" w:hAnsi="Verdana" w:cs="Verdana"/>
          <w:lang w:val="es-ES"/>
        </w:rPr>
        <w:t xml:space="preserve">, mediante el cual las partes, actuando por conducto de apoderado, gestionan ante un agente del Ministerio Público, en </w:t>
      </w:r>
      <w:r w:rsidRPr="00AB6521">
        <w:rPr>
          <w:rFonts w:ascii="Verdana" w:eastAsia="Verdana" w:hAnsi="Verdana" w:cs="Verdana"/>
          <w:lang w:val="es-ES"/>
        </w:rPr>
        <w:lastRenderedPageBreak/>
        <w:t>calidad de tercero neutral y calificado, la solución de controversias cuyo conocimiento corresponde a la Jurisdicción de lo Contencioso Administrativo.</w:t>
      </w:r>
    </w:p>
    <w:p w14:paraId="4300C0A8" w14:textId="77777777" w:rsidR="00F64884" w:rsidRDefault="00F64884" w:rsidP="00F64884">
      <w:pPr>
        <w:spacing w:after="120" w:line="276" w:lineRule="auto"/>
        <w:ind w:firstLine="708"/>
        <w:jc w:val="both"/>
        <w:textAlignment w:val="baseline"/>
        <w:rPr>
          <w:rFonts w:ascii="Verdana" w:eastAsia="Verdana" w:hAnsi="Verdana" w:cs="Verdana"/>
          <w:lang w:val="es-ES"/>
        </w:rPr>
      </w:pPr>
      <w:r w:rsidRPr="00AB6521">
        <w:rPr>
          <w:rFonts w:ascii="Verdana" w:eastAsia="Verdana" w:hAnsi="Verdana" w:cs="Verdana"/>
          <w:lang w:val="es-ES"/>
        </w:rPr>
        <w:t>Respecto de su objeto material, el artículo 89 establece que podrán conciliarse todos los conflictos cuyo conocimiento corresponda a la Jurisdicción de lo Contencioso Administrativo, siempre que la conciliación no esté expresamente prohibida por la ley. La disposición precisa que las entidades públicas y los particulares que ejercen funciones públicas pueden conciliar total o parcialmente por conducto de apoderado</w:t>
      </w:r>
      <w:r>
        <w:rPr>
          <w:rFonts w:ascii="Verdana" w:eastAsia="Verdana" w:hAnsi="Verdana" w:cs="Verdana"/>
          <w:lang w:val="es-ES"/>
        </w:rPr>
        <w:t xml:space="preserve"> y </w:t>
      </w:r>
      <w:r w:rsidRPr="00AB6521">
        <w:rPr>
          <w:rFonts w:ascii="Verdana" w:eastAsia="Verdana" w:hAnsi="Verdana" w:cs="Verdana"/>
          <w:lang w:val="es-ES"/>
        </w:rPr>
        <w:t>que es posible acudir a este mecanismo aun cuando no exista intención de presentar demanda o incluso mediante solicitud conjunta de las partes</w:t>
      </w:r>
      <w:r>
        <w:rPr>
          <w:rFonts w:ascii="Verdana" w:eastAsia="Verdana" w:hAnsi="Verdana" w:cs="Verdana"/>
          <w:lang w:val="es-ES"/>
        </w:rPr>
        <w:t xml:space="preserve">. Adicionalmente, señala que </w:t>
      </w:r>
      <w:r w:rsidRPr="00AB6521">
        <w:rPr>
          <w:rFonts w:ascii="Verdana" w:eastAsia="Verdana" w:hAnsi="Verdana" w:cs="Verdana"/>
          <w:lang w:val="es-ES"/>
        </w:rPr>
        <w:t>tratándose de actos administrativos de carácter particular, podrán conciliarse sus efectos económicos cuando concurra alguna de las causales de revocatoria directa previstas en el artículo 93 de la Ley 1437 de 2011, caso en el cual, una vez aprobado el acuerdo por el juez competente, el acto administrativo se entenderá revocado o modificado y sustituido por el acuerdo conciliatorio.</w:t>
      </w:r>
    </w:p>
    <w:p w14:paraId="0EEBBE68" w14:textId="77777777" w:rsidR="00F64884" w:rsidRDefault="00F64884" w:rsidP="00F64884">
      <w:pPr>
        <w:spacing w:after="120" w:line="276" w:lineRule="auto"/>
        <w:ind w:firstLine="708"/>
        <w:jc w:val="both"/>
        <w:textAlignment w:val="baseline"/>
        <w:rPr>
          <w:rFonts w:ascii="Verdana" w:eastAsia="Verdana" w:hAnsi="Verdana" w:cs="Verdana"/>
          <w:lang w:val="es-ES"/>
        </w:rPr>
      </w:pPr>
      <w:r>
        <w:rPr>
          <w:rFonts w:ascii="Verdana" w:eastAsia="Verdana" w:hAnsi="Verdana" w:cs="Verdana"/>
          <w:lang w:val="es-ES"/>
        </w:rPr>
        <w:t>También resulta pertinente señalar que e</w:t>
      </w:r>
      <w:r w:rsidRPr="00787661">
        <w:rPr>
          <w:rFonts w:ascii="Verdana" w:eastAsia="Verdana" w:hAnsi="Verdana" w:cs="Verdana"/>
          <w:lang w:val="es-ES"/>
        </w:rPr>
        <w:t>l artículo 91 desarrolla los principios especiales que rigen la conciliación extrajudicial en asuntos de lo contencioso administrativo</w:t>
      </w:r>
      <w:r>
        <w:rPr>
          <w:rFonts w:ascii="Verdana" w:eastAsia="Verdana" w:hAnsi="Verdana" w:cs="Verdana"/>
          <w:lang w:val="es-ES"/>
        </w:rPr>
        <w:t>, en los que, a</w:t>
      </w:r>
      <w:r w:rsidRPr="00787661">
        <w:rPr>
          <w:rFonts w:ascii="Verdana" w:eastAsia="Verdana" w:hAnsi="Verdana" w:cs="Verdana"/>
          <w:lang w:val="es-ES"/>
        </w:rPr>
        <w:t xml:space="preserve">demás de los principios generales de la conciliación, de la función administrativa y de la gestión fiscal previstos en los artículos 209 y 267 de la Constitución Política, </w:t>
      </w:r>
      <w:r>
        <w:rPr>
          <w:rFonts w:ascii="Verdana" w:eastAsia="Verdana" w:hAnsi="Verdana" w:cs="Verdana"/>
          <w:lang w:val="es-ES"/>
        </w:rPr>
        <w:t xml:space="preserve">incluye </w:t>
      </w:r>
      <w:r w:rsidRPr="00787661">
        <w:rPr>
          <w:rFonts w:ascii="Verdana" w:eastAsia="Verdana" w:hAnsi="Verdana" w:cs="Verdana"/>
          <w:lang w:val="es-ES"/>
        </w:rPr>
        <w:t>tres principios específicos: i) la salvaguarda y protección del patrimonio público y del interés general</w:t>
      </w:r>
      <w:r>
        <w:rPr>
          <w:rFonts w:ascii="Verdana" w:eastAsia="Verdana" w:hAnsi="Verdana" w:cs="Verdana"/>
          <w:lang w:val="es-ES"/>
        </w:rPr>
        <w:t>,</w:t>
      </w:r>
      <w:r w:rsidRPr="00787661">
        <w:rPr>
          <w:rFonts w:ascii="Verdana" w:eastAsia="Verdana" w:hAnsi="Verdana" w:cs="Verdana"/>
          <w:lang w:val="es-ES"/>
        </w:rPr>
        <w:t xml:space="preserve"> </w:t>
      </w:r>
      <w:proofErr w:type="spellStart"/>
      <w:r w:rsidRPr="00787661">
        <w:rPr>
          <w:rFonts w:ascii="Verdana" w:eastAsia="Verdana" w:hAnsi="Verdana" w:cs="Verdana"/>
          <w:lang w:val="es-ES"/>
        </w:rPr>
        <w:t>ii</w:t>
      </w:r>
      <w:proofErr w:type="spellEnd"/>
      <w:r w:rsidRPr="00787661">
        <w:rPr>
          <w:rFonts w:ascii="Verdana" w:eastAsia="Verdana" w:hAnsi="Verdana" w:cs="Verdana"/>
          <w:lang w:val="es-ES"/>
        </w:rPr>
        <w:t>) la protección de los derechos ciertos e indiscutibles de las partes</w:t>
      </w:r>
      <w:r>
        <w:rPr>
          <w:rFonts w:ascii="Verdana" w:eastAsia="Verdana" w:hAnsi="Verdana" w:cs="Verdana"/>
          <w:lang w:val="es-ES"/>
        </w:rPr>
        <w:t>,</w:t>
      </w:r>
      <w:r w:rsidRPr="00787661">
        <w:rPr>
          <w:rFonts w:ascii="Verdana" w:eastAsia="Verdana" w:hAnsi="Verdana" w:cs="Verdana"/>
          <w:lang w:val="es-ES"/>
        </w:rPr>
        <w:t xml:space="preserve"> y </w:t>
      </w:r>
      <w:proofErr w:type="spellStart"/>
      <w:r w:rsidRPr="00787661">
        <w:rPr>
          <w:rFonts w:ascii="Verdana" w:eastAsia="Verdana" w:hAnsi="Verdana" w:cs="Verdana"/>
          <w:lang w:val="es-ES"/>
        </w:rPr>
        <w:t>iii</w:t>
      </w:r>
      <w:proofErr w:type="spellEnd"/>
      <w:r w:rsidRPr="00787661">
        <w:rPr>
          <w:rFonts w:ascii="Verdana" w:eastAsia="Verdana" w:hAnsi="Verdana" w:cs="Verdana"/>
          <w:lang w:val="es-ES"/>
        </w:rPr>
        <w:t>) la protección reforzada del principio de legalidad, conforme al cual el agente del Ministerio Público debe velar porque los acuerdos conciliatorios sean compatibles con la Constitución y la ley, no lesionen el patrimonio público, no comprometan el interés general ni ocasionen un agravio injustificado a las partes o a terceros.</w:t>
      </w:r>
    </w:p>
    <w:p w14:paraId="04F4594D" w14:textId="77777777" w:rsidR="00F64884" w:rsidRDefault="00F64884" w:rsidP="00F64884">
      <w:pPr>
        <w:spacing w:line="276" w:lineRule="auto"/>
        <w:ind w:firstLine="708"/>
        <w:jc w:val="both"/>
        <w:textAlignment w:val="baseline"/>
        <w:rPr>
          <w:rFonts w:ascii="Verdana" w:eastAsia="Verdana" w:hAnsi="Verdana" w:cs="Verdana"/>
        </w:rPr>
      </w:pPr>
      <w:r w:rsidRPr="00B351B2">
        <w:rPr>
          <w:rFonts w:ascii="Verdana" w:eastAsia="Verdana" w:hAnsi="Verdana" w:cs="Verdana"/>
        </w:rPr>
        <w:t>En</w:t>
      </w:r>
      <w:r>
        <w:rPr>
          <w:rFonts w:ascii="Verdana" w:eastAsia="Verdana" w:hAnsi="Verdana" w:cs="Verdana"/>
        </w:rPr>
        <w:t xml:space="preserve"> este contexto, en</w:t>
      </w:r>
      <w:r w:rsidRPr="00B351B2">
        <w:rPr>
          <w:rFonts w:ascii="Verdana" w:eastAsia="Verdana" w:hAnsi="Verdana" w:cs="Verdana"/>
        </w:rPr>
        <w:t xml:space="preserve"> el ámbito de la contratación estatal, la conciliación constituye un instrumento orientado a prevenir y solucionar controversias surgidas con ocasión de la celebración, ejecución, terminación y liquidación de los contratos estatales</w:t>
      </w:r>
      <w:r>
        <w:rPr>
          <w:rFonts w:ascii="Verdana" w:eastAsia="Verdana" w:hAnsi="Verdana" w:cs="Verdana"/>
        </w:rPr>
        <w:t xml:space="preserve">. Al respecto, vale la pena señalar que </w:t>
      </w:r>
      <w:r w:rsidRPr="002C7BEE">
        <w:rPr>
          <w:rFonts w:ascii="Verdana" w:eastAsia="Verdana" w:hAnsi="Verdana" w:cs="Verdana"/>
        </w:rPr>
        <w:t xml:space="preserve">la Ley 80 de 1993 marcó un cambio significativo en la forma de abordar las controversias derivadas de la contratación pública al privilegiar mecanismos </w:t>
      </w:r>
      <w:r w:rsidRPr="00477B37">
        <w:rPr>
          <w:rFonts w:ascii="Verdana" w:eastAsia="Verdana" w:hAnsi="Verdana" w:cs="Verdana"/>
          <w:i/>
          <w:iCs/>
        </w:rPr>
        <w:t>autocompositivos</w:t>
      </w:r>
      <w:r w:rsidRPr="002C7BEE">
        <w:rPr>
          <w:rFonts w:ascii="Verdana" w:eastAsia="Verdana" w:hAnsi="Verdana" w:cs="Verdana"/>
        </w:rPr>
        <w:t xml:space="preserve"> que permitieran a las partes resolver directamente sus diferencias, reduciendo la necesidad de acudir a la jurisdicción. </w:t>
      </w:r>
      <w:r w:rsidRPr="00FA0599">
        <w:rPr>
          <w:rFonts w:ascii="Verdana" w:eastAsia="Verdana" w:hAnsi="Verdana" w:cs="Verdana"/>
        </w:rPr>
        <w:t xml:space="preserve">Lo anterior con fundamento en las tesis modernas que buscan descongestionar los despachos judiciales de todas </w:t>
      </w:r>
      <w:r w:rsidRPr="00FA0599">
        <w:rPr>
          <w:rFonts w:ascii="Verdana" w:eastAsia="Verdana" w:hAnsi="Verdana" w:cs="Verdana"/>
        </w:rPr>
        <w:lastRenderedPageBreak/>
        <w:t>aquellas materias respecto de los cuales las propias partes pueden arreglar directamente sus diferencias o sus conflictos. Por ello, como efecto trascendental del postulado de la autonomía de la voluntad, el cual caracteriza al contrato estatal</w:t>
      </w:r>
      <w:r w:rsidRPr="00FA0599">
        <w:rPr>
          <w:rFonts w:ascii="Verdana" w:eastAsia="Verdana" w:hAnsi="Verdana" w:cs="Verdana"/>
          <w:vertAlign w:val="superscript"/>
        </w:rPr>
        <w:footnoteReference w:id="33"/>
      </w:r>
      <w:r w:rsidRPr="00FA0599">
        <w:rPr>
          <w:rFonts w:ascii="Verdana" w:eastAsia="Verdana" w:hAnsi="Verdana" w:cs="Verdana"/>
        </w:rPr>
        <w:t>, el EGCAP consagró una serie de mecanismos ágiles, sencillos, claros que se orientan a que las partes contratantes solucionen directamente tanto los problemas como las diferencias y discrepancias surgidas de la actividad contractual, evitando, en lo posible, las vías judiciales</w:t>
      </w:r>
      <w:r w:rsidRPr="00FA0599">
        <w:rPr>
          <w:rFonts w:ascii="Verdana" w:eastAsia="Verdana" w:hAnsi="Verdana" w:cs="Verdana"/>
          <w:vertAlign w:val="superscript"/>
        </w:rPr>
        <w:footnoteReference w:id="34"/>
      </w:r>
      <w:r w:rsidRPr="00FA0599">
        <w:rPr>
          <w:rFonts w:ascii="Verdana" w:eastAsia="Verdana" w:hAnsi="Verdana" w:cs="Verdana"/>
        </w:rPr>
        <w:t>. Estos mecanismos están desarrollados en la Ley 80 de 1993 para la transparencia, la celeridad, la agilidad, los menores costos y la justicia contractual.</w:t>
      </w:r>
    </w:p>
    <w:p w14:paraId="2D129752" w14:textId="77777777" w:rsidR="00F64884" w:rsidRDefault="00F64884" w:rsidP="00F64884">
      <w:pPr>
        <w:spacing w:after="120" w:line="276" w:lineRule="auto"/>
        <w:ind w:firstLine="709"/>
        <w:jc w:val="both"/>
        <w:textAlignment w:val="baseline"/>
        <w:rPr>
          <w:rFonts w:ascii="Verdana" w:eastAsia="Verdana" w:hAnsi="Verdana" w:cs="Verdana"/>
        </w:rPr>
      </w:pPr>
      <w:r>
        <w:rPr>
          <w:rFonts w:ascii="Verdana" w:eastAsia="Verdana" w:hAnsi="Verdana" w:cs="Verdana"/>
        </w:rPr>
        <w:t>En este sentido, s</w:t>
      </w:r>
      <w:r w:rsidRPr="00FE769A">
        <w:rPr>
          <w:rFonts w:ascii="Verdana" w:eastAsia="Verdana" w:hAnsi="Verdana" w:cs="Verdana"/>
        </w:rPr>
        <w:t xml:space="preserve">i bien </w:t>
      </w:r>
      <w:r>
        <w:rPr>
          <w:rFonts w:ascii="Verdana" w:eastAsia="Verdana" w:hAnsi="Verdana" w:cs="Verdana"/>
        </w:rPr>
        <w:t>en el</w:t>
      </w:r>
      <w:r w:rsidRPr="00FE769A">
        <w:rPr>
          <w:rFonts w:ascii="Verdana" w:eastAsia="Verdana" w:hAnsi="Verdana" w:cs="Verdana"/>
        </w:rPr>
        <w:t xml:space="preserve"> desarrollo</w:t>
      </w:r>
      <w:r>
        <w:rPr>
          <w:rFonts w:ascii="Verdana" w:eastAsia="Verdana" w:hAnsi="Verdana" w:cs="Verdana"/>
        </w:rPr>
        <w:t xml:space="preserve"> de la conciliación se</w:t>
      </w:r>
      <w:r w:rsidRPr="00FE769A">
        <w:rPr>
          <w:rFonts w:ascii="Verdana" w:eastAsia="Verdana" w:hAnsi="Verdana" w:cs="Verdana"/>
        </w:rPr>
        <w:t xml:space="preserve"> requiere la intervención de un tercero neutra</w:t>
      </w:r>
      <w:r>
        <w:rPr>
          <w:rFonts w:ascii="Verdana" w:eastAsia="Verdana" w:hAnsi="Verdana" w:cs="Verdana"/>
        </w:rPr>
        <w:t>l</w:t>
      </w:r>
      <w:r w:rsidRPr="00FE769A">
        <w:rPr>
          <w:rFonts w:ascii="Verdana" w:eastAsia="Verdana" w:hAnsi="Verdana" w:cs="Verdana"/>
        </w:rPr>
        <w:t xml:space="preserve">, la solución del conflicto continúa dependiendo de la voluntad de las partes, quienes conservan la facultad de construir el contenido del acuerdo y decidir libremente </w:t>
      </w:r>
      <w:r>
        <w:rPr>
          <w:rFonts w:ascii="Verdana" w:eastAsia="Verdana" w:hAnsi="Verdana" w:cs="Verdana"/>
        </w:rPr>
        <w:t xml:space="preserve">sobre </w:t>
      </w:r>
      <w:r w:rsidRPr="00FE769A">
        <w:rPr>
          <w:rFonts w:ascii="Verdana" w:eastAsia="Verdana" w:hAnsi="Verdana" w:cs="Verdana"/>
        </w:rPr>
        <w:t>la controversia.</w:t>
      </w:r>
      <w:r>
        <w:rPr>
          <w:rFonts w:ascii="Verdana" w:eastAsia="Verdana" w:hAnsi="Verdana" w:cs="Verdana"/>
        </w:rPr>
        <w:t xml:space="preserve"> Por tanto</w:t>
      </w:r>
      <w:r w:rsidRPr="00FE769A">
        <w:rPr>
          <w:rFonts w:ascii="Verdana" w:eastAsia="Verdana" w:hAnsi="Verdana" w:cs="Verdana"/>
        </w:rPr>
        <w:t xml:space="preserve">, la conciliación constituye un mecanismo </w:t>
      </w:r>
      <w:r w:rsidRPr="00477B37">
        <w:rPr>
          <w:rFonts w:ascii="Verdana" w:eastAsia="Verdana" w:hAnsi="Verdana" w:cs="Verdana"/>
          <w:i/>
          <w:iCs/>
        </w:rPr>
        <w:t>autocompositivo</w:t>
      </w:r>
      <w:r w:rsidRPr="00FE769A">
        <w:rPr>
          <w:rFonts w:ascii="Verdana" w:eastAsia="Verdana" w:hAnsi="Verdana" w:cs="Verdana"/>
        </w:rPr>
        <w:t xml:space="preserve"> que facilita el diálogo entre la entidad estatal y el contratista, </w:t>
      </w:r>
      <w:r>
        <w:rPr>
          <w:rFonts w:ascii="Verdana" w:eastAsia="Verdana" w:hAnsi="Verdana" w:cs="Verdana"/>
        </w:rPr>
        <w:t xml:space="preserve">y </w:t>
      </w:r>
      <w:r w:rsidRPr="00FE769A">
        <w:rPr>
          <w:rFonts w:ascii="Verdana" w:eastAsia="Verdana" w:hAnsi="Verdana" w:cs="Verdana"/>
        </w:rPr>
        <w:t xml:space="preserve">propicia </w:t>
      </w:r>
      <w:r>
        <w:rPr>
          <w:rFonts w:ascii="Verdana" w:eastAsia="Verdana" w:hAnsi="Verdana" w:cs="Verdana"/>
        </w:rPr>
        <w:t xml:space="preserve">la </w:t>
      </w:r>
      <w:r w:rsidRPr="00FE769A">
        <w:rPr>
          <w:rFonts w:ascii="Verdana" w:eastAsia="Verdana" w:hAnsi="Verdana" w:cs="Verdana"/>
        </w:rPr>
        <w:t>soluci</w:t>
      </w:r>
      <w:r>
        <w:rPr>
          <w:rFonts w:ascii="Verdana" w:eastAsia="Verdana" w:hAnsi="Verdana" w:cs="Verdana"/>
        </w:rPr>
        <w:t>ón</w:t>
      </w:r>
      <w:r w:rsidRPr="00FE769A">
        <w:rPr>
          <w:rFonts w:ascii="Verdana" w:eastAsia="Verdana" w:hAnsi="Verdana" w:cs="Verdana"/>
        </w:rPr>
        <w:t xml:space="preserve"> </w:t>
      </w:r>
      <w:r>
        <w:rPr>
          <w:rFonts w:ascii="Verdana" w:eastAsia="Verdana" w:hAnsi="Verdana" w:cs="Verdana"/>
        </w:rPr>
        <w:t>de las controversias que surjan durante la ejecución del contrato, con sujeción a las reglas y los principios que rigen la conciliación.</w:t>
      </w:r>
    </w:p>
    <w:p w14:paraId="3D43EF0B" w14:textId="77777777" w:rsidR="00F64884" w:rsidRDefault="00F64884" w:rsidP="00F64884">
      <w:pPr>
        <w:spacing w:after="120" w:line="276" w:lineRule="auto"/>
        <w:ind w:firstLine="708"/>
        <w:jc w:val="both"/>
        <w:textAlignment w:val="baseline"/>
        <w:rPr>
          <w:rFonts w:ascii="Verdana" w:eastAsia="Verdana" w:hAnsi="Verdana" w:cs="Verdana"/>
        </w:rPr>
      </w:pPr>
      <w:r>
        <w:rPr>
          <w:rFonts w:ascii="Verdana" w:eastAsia="Verdana" w:hAnsi="Verdana" w:cs="Verdana"/>
        </w:rPr>
        <w:t xml:space="preserve">Bajo estas premisas, en atención a la consulta planteada, </w:t>
      </w:r>
      <w:r w:rsidRPr="00754213">
        <w:rPr>
          <w:rFonts w:ascii="Verdana" w:eastAsia="Verdana" w:hAnsi="Verdana" w:cs="Verdana"/>
        </w:rPr>
        <w:t>resulta pertinente</w:t>
      </w:r>
      <w:r>
        <w:rPr>
          <w:rFonts w:ascii="Verdana" w:eastAsia="Verdana" w:hAnsi="Verdana" w:cs="Verdana"/>
        </w:rPr>
        <w:t xml:space="preserve"> </w:t>
      </w:r>
      <w:r w:rsidRPr="00754213">
        <w:rPr>
          <w:rFonts w:ascii="Verdana" w:eastAsia="Verdana" w:hAnsi="Verdana" w:cs="Verdana"/>
        </w:rPr>
        <w:t xml:space="preserve">distinguir la conciliación de la transacción, figuras que, si bien </w:t>
      </w:r>
      <w:r>
        <w:rPr>
          <w:rFonts w:ascii="Verdana" w:eastAsia="Verdana" w:hAnsi="Verdana" w:cs="Verdana"/>
        </w:rPr>
        <w:t xml:space="preserve">son mecanismos autocompositivos de solución de conflictos que </w:t>
      </w:r>
      <w:r w:rsidRPr="00754213">
        <w:rPr>
          <w:rFonts w:ascii="Verdana" w:eastAsia="Verdana" w:hAnsi="Verdana" w:cs="Verdana"/>
        </w:rPr>
        <w:t xml:space="preserve">comparten la finalidad de </w:t>
      </w:r>
      <w:r>
        <w:rPr>
          <w:rFonts w:ascii="Verdana" w:eastAsia="Verdana" w:hAnsi="Verdana" w:cs="Verdana"/>
        </w:rPr>
        <w:t>solucionar las discrepancias originadas en la actividad contractual</w:t>
      </w:r>
      <w:r w:rsidRPr="00754213">
        <w:rPr>
          <w:rFonts w:ascii="Verdana" w:eastAsia="Verdana" w:hAnsi="Verdana" w:cs="Verdana"/>
        </w:rPr>
        <w:t xml:space="preserve">, presentan diferencias sustanciales. </w:t>
      </w:r>
      <w:r>
        <w:rPr>
          <w:rFonts w:ascii="Verdana" w:eastAsia="Verdana" w:hAnsi="Verdana" w:cs="Verdana"/>
        </w:rPr>
        <w:t>En efecto, como se explicó, l</w:t>
      </w:r>
      <w:r w:rsidRPr="00754213">
        <w:rPr>
          <w:rFonts w:ascii="Verdana" w:eastAsia="Verdana" w:hAnsi="Verdana" w:cs="Verdana"/>
        </w:rPr>
        <w:t>a transacción, es un</w:t>
      </w:r>
      <w:r>
        <w:rPr>
          <w:rFonts w:ascii="Verdana" w:eastAsia="Verdana" w:hAnsi="Verdana" w:cs="Verdana"/>
        </w:rPr>
        <w:t xml:space="preserve"> negocio jurídico accesorio a la relación contractual que le da origen que tiene por finalidad regular las consecuencias derivadas de una controversia surgida en su ejecución</w:t>
      </w:r>
      <w:r w:rsidRPr="00754213">
        <w:rPr>
          <w:rFonts w:ascii="Verdana" w:eastAsia="Verdana" w:hAnsi="Verdana" w:cs="Verdana"/>
        </w:rPr>
        <w:t>.</w:t>
      </w:r>
      <w:r>
        <w:rPr>
          <w:rFonts w:ascii="Verdana" w:eastAsia="Verdana" w:hAnsi="Verdana" w:cs="Verdana"/>
        </w:rPr>
        <w:t xml:space="preserve"> </w:t>
      </w:r>
      <w:r w:rsidRPr="00754213">
        <w:rPr>
          <w:rFonts w:ascii="Verdana" w:eastAsia="Verdana" w:hAnsi="Verdana" w:cs="Verdana"/>
        </w:rPr>
        <w:t xml:space="preserve">La conciliación, por el contrario, constituye un mecanismo alternativo de solución de conflictos en el que interviene un </w:t>
      </w:r>
      <w:r>
        <w:rPr>
          <w:rFonts w:ascii="Verdana" w:eastAsia="Verdana" w:hAnsi="Verdana" w:cs="Verdana"/>
        </w:rPr>
        <w:t xml:space="preserve">tercero neutral </w:t>
      </w:r>
      <w:r w:rsidRPr="00754213">
        <w:rPr>
          <w:rFonts w:ascii="Verdana" w:eastAsia="Verdana" w:hAnsi="Verdana" w:cs="Verdana"/>
        </w:rPr>
        <w:t xml:space="preserve">investido de funciones legalmente previstas para facilitar el acuerdo y verificar su conformidad con el ordenamiento jurídico. </w:t>
      </w:r>
    </w:p>
    <w:p w14:paraId="7236530F" w14:textId="77777777" w:rsidR="00F64884" w:rsidRDefault="00F64884" w:rsidP="00F64884">
      <w:pPr>
        <w:spacing w:after="120" w:line="276" w:lineRule="auto"/>
        <w:ind w:firstLine="708"/>
        <w:jc w:val="both"/>
        <w:textAlignment w:val="baseline"/>
        <w:rPr>
          <w:rFonts w:ascii="Verdana" w:eastAsia="Verdana" w:hAnsi="Verdana" w:cs="Verdana"/>
        </w:rPr>
      </w:pPr>
      <w:r>
        <w:rPr>
          <w:rFonts w:ascii="Verdana" w:eastAsia="Verdana" w:hAnsi="Verdana" w:cs="Verdana"/>
        </w:rPr>
        <w:t>Al respecto, el Consejo de Estado en auto del 22 de mayo de 2026 ha destacado sus diferencias en los siguientes términos:</w:t>
      </w:r>
    </w:p>
    <w:p w14:paraId="291D4D07" w14:textId="77777777" w:rsidR="00F64884" w:rsidRDefault="00F64884" w:rsidP="00F64884">
      <w:pPr>
        <w:spacing w:after="0" w:line="240" w:lineRule="auto"/>
        <w:ind w:firstLine="709"/>
        <w:jc w:val="both"/>
        <w:textAlignment w:val="baseline"/>
        <w:rPr>
          <w:rFonts w:ascii="Verdana" w:eastAsia="Verdana" w:hAnsi="Verdana" w:cs="Verdana"/>
        </w:rPr>
      </w:pPr>
    </w:p>
    <w:p w14:paraId="6420D2A4" w14:textId="77777777" w:rsidR="00F64884" w:rsidRDefault="00F64884" w:rsidP="00F64884">
      <w:pPr>
        <w:spacing w:after="0" w:line="240" w:lineRule="auto"/>
        <w:ind w:left="709" w:right="760"/>
        <w:jc w:val="both"/>
        <w:textAlignment w:val="baseline"/>
        <w:rPr>
          <w:rFonts w:ascii="Verdana" w:eastAsia="Times New Roman" w:hAnsi="Verdana" w:cs="Arial"/>
          <w:color w:val="000000"/>
          <w:sz w:val="20"/>
          <w:szCs w:val="20"/>
          <w:bdr w:val="none" w:sz="0" w:space="0" w:color="auto" w:frame="1"/>
          <w:shd w:val="clear" w:color="auto" w:fill="FFFFFF"/>
          <w:lang w:val="es-ES" w:eastAsia="es-ES_tradnl"/>
        </w:rPr>
      </w:pPr>
      <w:r w:rsidRPr="000E6B39">
        <w:rPr>
          <w:rFonts w:ascii="Verdana" w:eastAsia="Times New Roman" w:hAnsi="Verdana" w:cs="Arial"/>
          <w:color w:val="000000"/>
          <w:sz w:val="20"/>
          <w:szCs w:val="20"/>
          <w:bdr w:val="none" w:sz="0" w:space="0" w:color="auto" w:frame="1"/>
          <w:shd w:val="clear" w:color="auto" w:fill="FFFFFF"/>
          <w:lang w:val="es-ES" w:eastAsia="es-ES_tradnl"/>
        </w:rPr>
        <w:lastRenderedPageBreak/>
        <w:t>“Esta corporación, de igual forma, ha distinguido entre las instituciones jurídicas de la conciliación y de la transacción, con la indicación de que esta última, de acuerdo con el artículo 2469 del Código Civil, es un contrato mediante el cual las partes, sin intervención de un tercero, dan por terminado extrajudicialmente un litigio pendiente o precaven un litigio eventual; en este contexto, si las partes llegan a un acuerdo por fuera del proceso sin intervención del Ministerio Público y del juez, en calidad de conciliador, no es posible predicar la existencia de una conciliación, con independencia de la denominación que las partes den al acuerdo</w:t>
      </w:r>
      <w:r>
        <w:rPr>
          <w:rStyle w:val="Refdenotaalpie"/>
          <w:rFonts w:ascii="Verdana" w:eastAsia="Times New Roman" w:hAnsi="Verdana" w:cs="Arial"/>
          <w:color w:val="000000"/>
          <w:sz w:val="20"/>
          <w:szCs w:val="20"/>
          <w:bdr w:val="none" w:sz="0" w:space="0" w:color="auto" w:frame="1"/>
          <w:shd w:val="clear" w:color="auto" w:fill="FFFFFF"/>
          <w:lang w:val="es-ES" w:eastAsia="es-ES_tradnl"/>
        </w:rPr>
        <w:footnoteReference w:id="35"/>
      </w:r>
      <w:r w:rsidRPr="000E6B39">
        <w:rPr>
          <w:rFonts w:ascii="Verdana" w:eastAsia="Times New Roman" w:hAnsi="Verdana" w:cs="Arial"/>
          <w:color w:val="000000"/>
          <w:sz w:val="20"/>
          <w:szCs w:val="20"/>
          <w:bdr w:val="none" w:sz="0" w:space="0" w:color="auto" w:frame="1"/>
          <w:shd w:val="clear" w:color="auto" w:fill="FFFFFF"/>
          <w:lang w:val="es-ES" w:eastAsia="es-ES_tradnl"/>
        </w:rPr>
        <w:t>” .</w:t>
      </w:r>
    </w:p>
    <w:p w14:paraId="5A3DDA42" w14:textId="77777777" w:rsidR="00F64884" w:rsidRPr="00537A48" w:rsidRDefault="00F64884" w:rsidP="00F64884">
      <w:pPr>
        <w:spacing w:after="0" w:line="240" w:lineRule="auto"/>
        <w:ind w:left="709" w:right="760"/>
        <w:jc w:val="both"/>
        <w:textAlignment w:val="baseline"/>
        <w:rPr>
          <w:rFonts w:ascii="Verdana" w:eastAsia="Times New Roman" w:hAnsi="Verdana" w:cs="Arial"/>
          <w:color w:val="000000"/>
          <w:sz w:val="20"/>
          <w:szCs w:val="20"/>
          <w:bdr w:val="none" w:sz="0" w:space="0" w:color="auto" w:frame="1"/>
          <w:shd w:val="clear" w:color="auto" w:fill="FFFFFF"/>
          <w:lang w:val="es-ES" w:eastAsia="es-ES_tradnl"/>
        </w:rPr>
      </w:pPr>
    </w:p>
    <w:p w14:paraId="11EAF969" w14:textId="77777777" w:rsidR="00F64884" w:rsidRDefault="00F64884" w:rsidP="00F64884">
      <w:pPr>
        <w:spacing w:after="120" w:line="276" w:lineRule="auto"/>
        <w:ind w:firstLine="709"/>
        <w:jc w:val="both"/>
      </w:pPr>
      <w:r w:rsidRPr="00537A48">
        <w:rPr>
          <w:rFonts w:ascii="Verdana" w:eastAsia="Times New Roman" w:hAnsi="Verdana" w:cs="Arial"/>
          <w:color w:val="1A1A1A" w:themeColor="background1" w:themeShade="1A"/>
          <w:lang w:val="es-ES" w:eastAsia="es-ES_tradnl"/>
        </w:rPr>
        <w:t>De lo anterior se desprende que la diferencia sustancial entre la conciliación y la transacción radica en la necesaria intervención de un tercero imparcial investido de funciones legales para dirigir el trámite y facilitar la construcción del acuerdo. En consecuencia, la naturaleza jurídica del mecanismo no depende de la denominación que las partes otorguen al acuerdo alcanzado, sino de la concurrencia de los elementos propios que caracterizan cada una de estas instituciones.</w:t>
      </w:r>
      <w:r w:rsidRPr="00636325">
        <w:t xml:space="preserve"> </w:t>
      </w:r>
    </w:p>
    <w:p w14:paraId="7E6EE60A" w14:textId="77777777" w:rsidR="00F64884" w:rsidRDefault="00F64884" w:rsidP="00F64884">
      <w:pPr>
        <w:spacing w:after="120" w:line="276" w:lineRule="auto"/>
        <w:ind w:firstLine="709"/>
        <w:jc w:val="both"/>
        <w:rPr>
          <w:rFonts w:ascii="Verdana" w:eastAsia="Times New Roman" w:hAnsi="Verdana" w:cs="Arial"/>
          <w:color w:val="1A1A1A" w:themeColor="background1" w:themeShade="1A"/>
          <w:lang w:val="es-ES" w:eastAsia="es-ES_tradnl"/>
        </w:rPr>
      </w:pPr>
      <w:r w:rsidRPr="00636325">
        <w:rPr>
          <w:rFonts w:ascii="Verdana" w:eastAsia="Times New Roman" w:hAnsi="Verdana" w:cs="Arial"/>
          <w:color w:val="1A1A1A" w:themeColor="background1" w:themeShade="1A"/>
          <w:lang w:eastAsia="es-ES_tradnl"/>
        </w:rPr>
        <w:t>Ahora bien, la transacción no puede emplearse como mecanismo para reconocer y pagar prestaciones ejecutadas al margen de un contrato estatal, esto es, como vía para saldar hechos cumplidos. De una parte, la transacción exige concesiones recíprocas sobre derechos inciertos y discutibles, de modo que un acuerdo que se limite a reconocer una prestación ya ejecutada, sin controversia genuina ni sacrificio mutuo, no constituye transacción sino un reconocimiento directo carente de causa contractual. De otra, la Sentencia de Unificación del 31 de julio de 2025</w:t>
      </w:r>
      <w:r>
        <w:rPr>
          <w:rFonts w:ascii="Verdana" w:eastAsia="Times New Roman" w:hAnsi="Verdana" w:cs="Arial"/>
          <w:color w:val="1A1A1A" w:themeColor="background1" w:themeShade="1A"/>
          <w:lang w:eastAsia="es-ES_tradnl"/>
        </w:rPr>
        <w:t>–</w:t>
      </w:r>
      <w:r w:rsidRPr="004F6C97">
        <w:t xml:space="preserve"> </w:t>
      </w:r>
      <w:r w:rsidRPr="004F6C97">
        <w:rPr>
          <w:rFonts w:ascii="Verdana" w:eastAsia="Times New Roman" w:hAnsi="Verdana" w:cs="Arial"/>
          <w:color w:val="1A1A1A" w:themeColor="background1" w:themeShade="1A"/>
          <w:lang w:eastAsia="es-ES_tradnl"/>
        </w:rPr>
        <w:t>CE-SUJ-3-001 de 2025</w:t>
      </w:r>
      <w:r>
        <w:rPr>
          <w:rFonts w:ascii="Verdana" w:eastAsia="Times New Roman" w:hAnsi="Verdana" w:cs="Arial"/>
          <w:color w:val="1A1A1A" w:themeColor="background1" w:themeShade="1A"/>
          <w:lang w:eastAsia="es-ES_tradnl"/>
        </w:rPr>
        <w:t xml:space="preserve">– </w:t>
      </w:r>
      <w:r w:rsidRPr="00636325">
        <w:rPr>
          <w:rFonts w:ascii="Verdana" w:eastAsia="Times New Roman" w:hAnsi="Verdana" w:cs="Arial"/>
          <w:color w:val="1A1A1A" w:themeColor="background1" w:themeShade="1A"/>
          <w:lang w:eastAsia="es-ES_tradnl"/>
        </w:rPr>
        <w:t>exige, como elemento de procedencia del enriquecimiento sin causa, que con la compensación no se soslaye una disposición imperativa de la ley, entre ellas la solemnidad escrita del artículo 41 de la Ley 80 de 1993. En consecuencia, cuando lo que subyace es una prestación ejecutada sin contrato o por fuera de su alcance, la corrección del traslado patrimonial injustificado corresponde a la jurisdicción por la vía de la reparación directa, y no puede sustituirse por una transacción extrajudicial celebrada por la entidad, so pena de convalidar la elusión de las normas imperativas de contratación y presupuesto.</w:t>
      </w:r>
      <w:r>
        <w:rPr>
          <w:rStyle w:val="Refdenotaalpie"/>
          <w:rFonts w:ascii="Verdana" w:eastAsia="Times New Roman" w:hAnsi="Verdana" w:cs="Arial"/>
          <w:color w:val="1A1A1A" w:themeColor="background1" w:themeShade="1A"/>
          <w:lang w:eastAsia="es-ES_tradnl"/>
        </w:rPr>
        <w:footnoteReference w:id="36"/>
      </w:r>
    </w:p>
    <w:p w14:paraId="7F7C16F9" w14:textId="77777777" w:rsidR="00F64884" w:rsidRDefault="00F64884" w:rsidP="00F64884">
      <w:pPr>
        <w:spacing w:after="120" w:line="276" w:lineRule="auto"/>
        <w:ind w:firstLine="709"/>
        <w:jc w:val="both"/>
        <w:rPr>
          <w:rFonts w:ascii="Verdana" w:eastAsia="Times New Roman" w:hAnsi="Verdana" w:cs="Arial"/>
          <w:color w:val="1A1A1A" w:themeColor="background1" w:themeShade="1A"/>
          <w:lang w:eastAsia="es-ES_tradnl"/>
        </w:rPr>
      </w:pPr>
      <w:r w:rsidRPr="006F4980">
        <w:rPr>
          <w:rFonts w:ascii="Verdana" w:eastAsia="Times New Roman" w:hAnsi="Verdana" w:cs="Arial"/>
          <w:color w:val="1A1A1A" w:themeColor="background1" w:themeShade="1A"/>
          <w:lang w:eastAsia="es-ES_tradnl"/>
        </w:rPr>
        <w:lastRenderedPageBreak/>
        <w:t>Cuestión distinta es que, cuando mediante la transacción las partes acuerdan el reconocimiento de obligaciones económicas a cargo de la entidad estatal, la ejecución de dichas obligaciones debe sujetarse a las reglas presupuestales respectivas. En consecuencia, la entidad deberá contar con los respectivos soportes presupuestales que garanticen el cumplimiento de las obligaciones asumidas, exigencia que constituye una manifestación del principio de legalidad del gasto público, según el cual ninguna autoridad puede comprometer recursos públicos ni ordenar su pago sin el cumplimiento previo de las condiciones y procedimientos previstos en el ordenamiento jurídico.</w:t>
      </w:r>
    </w:p>
    <w:p w14:paraId="568A4CB6" w14:textId="77777777" w:rsidR="00F64884" w:rsidRDefault="00F64884" w:rsidP="00F64884">
      <w:pPr>
        <w:spacing w:after="120" w:line="276" w:lineRule="auto"/>
        <w:ind w:firstLine="709"/>
        <w:jc w:val="both"/>
        <w:rPr>
          <w:rFonts w:ascii="Verdana" w:eastAsia="Times New Roman" w:hAnsi="Verdana" w:cs="Arial"/>
          <w:color w:val="1A1A1A" w:themeColor="background1" w:themeShade="1A"/>
          <w:lang w:eastAsia="es-ES_tradnl"/>
        </w:rPr>
      </w:pPr>
      <w:r w:rsidRPr="00020A5D">
        <w:rPr>
          <w:rFonts w:ascii="Verdana" w:eastAsia="Times New Roman" w:hAnsi="Verdana" w:cs="Arial"/>
          <w:color w:val="1A1A1A" w:themeColor="background1" w:themeShade="1A"/>
          <w:lang w:eastAsia="es-ES_tradnl"/>
        </w:rPr>
        <w:t>De igual manera, cuando las obligaciones reconocidas en la transacción deban atenderse en una vigencia fiscal distinta a aquella en que se celebra el acuerdo, el instrumento presupuestal aplicable no es electivo, sino que viene determinado por la naturaleza y el momento de exigibilidad de la obligación y por el principio de anualidad: las vigencias futuras operan cuando el compromiso afecta presupuestos de vigencias posteriores y requieren aval del CONFIS; la reserva presupuestal, de carácter excepcional (art. 89 del Decreto 111 de 1996 y Ley 819 de 2003), ampara compromisos perfeccionados y no ejecutados al cierre de la vigencia; y la cuenta por pagar procede respecto de obligaciones ya causadas y no pagadas a 31 de diciembre</w:t>
      </w:r>
      <w:r>
        <w:rPr>
          <w:rStyle w:val="Refdenotaalpie"/>
          <w:rFonts w:ascii="Verdana" w:eastAsia="Times New Roman" w:hAnsi="Verdana" w:cs="Arial"/>
          <w:color w:val="1A1A1A" w:themeColor="background1" w:themeShade="1A"/>
          <w:lang w:val="es-ES" w:eastAsia="es-ES_tradnl"/>
        </w:rPr>
        <w:footnoteReference w:id="37"/>
      </w:r>
      <w:r w:rsidRPr="00020A5D">
        <w:rPr>
          <w:rFonts w:ascii="Verdana" w:eastAsia="Times New Roman" w:hAnsi="Verdana" w:cs="Arial"/>
          <w:color w:val="1A1A1A" w:themeColor="background1" w:themeShade="1A"/>
          <w:lang w:eastAsia="es-ES_tradnl"/>
        </w:rPr>
        <w:t>. La definición concreta sobre la expedición de uno o varios registros presupuestales frente a obligaciones condicionales, la liberación del certificado de disponibilidad entre vigencias y el tratamiento de las obligaciones que no queden incorporadas en cuentas por pagar corresponde al ámbito del Estatuto Orgánico del Presupuesto, cuya interpretación autorizada radica en el Ministerio de Hacienda y Crédito Público, ante quien deberá elevarse la consulta respectiva, por exceder la competencia funcional de esta Agencia.</w:t>
      </w:r>
    </w:p>
    <w:p w14:paraId="12ADBE82" w14:textId="77777777" w:rsidR="00F64884" w:rsidRPr="00B700B6" w:rsidRDefault="00F64884" w:rsidP="00F64884">
      <w:pPr>
        <w:spacing w:after="120" w:line="276" w:lineRule="auto"/>
        <w:ind w:firstLine="708"/>
        <w:jc w:val="both"/>
        <w:rPr>
          <w:rFonts w:ascii="Verdana" w:eastAsia="Times New Roman" w:hAnsi="Verdana" w:cs="Arial"/>
          <w:color w:val="1A1A1A" w:themeColor="background1" w:themeShade="1A"/>
          <w:lang w:val="es-ES" w:eastAsia="es-ES_tradnl"/>
        </w:rPr>
      </w:pPr>
      <w:r>
        <w:rPr>
          <w:rFonts w:ascii="Verdana" w:eastAsia="Times New Roman" w:hAnsi="Verdana" w:cs="Arial"/>
          <w:color w:val="1A1A1A" w:themeColor="background1" w:themeShade="1A"/>
          <w:lang w:val="es-ES" w:eastAsia="es-ES_tradnl"/>
        </w:rPr>
        <w:t xml:space="preserve">Finalmente, sobre la publicación en el SECOP del contrato de transacción se precisa que, </w:t>
      </w:r>
      <w:r w:rsidRPr="008F30F9">
        <w:rPr>
          <w:rFonts w:ascii="Verdana" w:hAnsi="Verdana" w:cs="Arial"/>
          <w:lang w:val="es-ES"/>
        </w:rPr>
        <w:t xml:space="preserve">de conformidad con lo dispuesto en los artículos 11, literal c) de la Ley 1150 de 2007, 9 literal e), 11 literal g) de la Ley 1712 de 2014, el contrato de transacción debe ser publicado en el SECOP, en los términos dispuestos en los artículos 2.1.1.2.1.7 del Decreto 1081 de 2015 y 2.2.1.1.1.7.1 del Decreto 1082 de 2015. </w:t>
      </w:r>
    </w:p>
    <w:p w14:paraId="2E723348" w14:textId="77777777" w:rsidR="00F64884" w:rsidRPr="0003711F" w:rsidRDefault="00F64884" w:rsidP="00F64884">
      <w:pPr>
        <w:spacing w:after="120" w:line="276" w:lineRule="auto"/>
        <w:ind w:firstLine="708"/>
        <w:jc w:val="both"/>
        <w:rPr>
          <w:rFonts w:ascii="Verdana" w:eastAsia="Arial" w:hAnsi="Verdana" w:cs="Arial"/>
          <w:lang w:val="es-ES"/>
        </w:rPr>
      </w:pPr>
      <w:r>
        <w:rPr>
          <w:rFonts w:ascii="Verdana" w:eastAsia="Calibri" w:hAnsi="Verdana" w:cs="Arial"/>
          <w:color w:val="000000" w:themeColor="text1"/>
        </w:rPr>
        <w:lastRenderedPageBreak/>
        <w:t>En efecto, e</w:t>
      </w:r>
      <w:r w:rsidRPr="0003711F">
        <w:rPr>
          <w:rFonts w:ascii="Verdana" w:eastAsia="Calibri" w:hAnsi="Verdana" w:cs="Arial"/>
          <w:color w:val="000000" w:themeColor="text1"/>
        </w:rPr>
        <w:t xml:space="preserve">n el ámbito de la contratación estatal, el principio de publicidad ha sido desarrollado </w:t>
      </w:r>
      <w:r w:rsidRPr="0003711F">
        <w:rPr>
          <w:rFonts w:ascii="Verdana" w:eastAsia="Arial" w:hAnsi="Verdana" w:cs="Arial"/>
          <w:lang w:val="es-ES"/>
        </w:rPr>
        <w:t xml:space="preserve">el artículo 3 de la Ley 1150 de 2007, en cuyo literal c) se establece que el Sistema Electrónico para la Contratación Pública –SECOP– </w:t>
      </w:r>
      <w:r>
        <w:rPr>
          <w:rFonts w:ascii="Verdana" w:eastAsia="Arial" w:hAnsi="Verdana" w:cs="Arial"/>
          <w:lang w:val="es-ES"/>
        </w:rPr>
        <w:t>“</w:t>
      </w:r>
      <w:r w:rsidRPr="0003711F">
        <w:rPr>
          <w:rFonts w:ascii="Verdana" w:eastAsia="Arial" w:hAnsi="Verdana" w:cs="Arial"/>
          <w:lang w:val="es-ES"/>
        </w:rPr>
        <w:t>[…] contará con la información oficial de la contratación realizada con dineros públicos, para lo cual establecerá los patrones a que haya lugar y se encargará de su difusión a través de canales electrónicos</w:t>
      </w:r>
      <w:r>
        <w:rPr>
          <w:rFonts w:ascii="Verdana" w:eastAsia="Arial" w:hAnsi="Verdana" w:cs="Arial"/>
          <w:lang w:val="es-ES"/>
        </w:rPr>
        <w:t>”</w:t>
      </w:r>
      <w:r w:rsidRPr="0003711F">
        <w:rPr>
          <w:rFonts w:ascii="Verdana" w:eastAsia="Arial" w:hAnsi="Verdana" w:cs="Arial"/>
          <w:lang w:val="es-ES"/>
        </w:rPr>
        <w:t xml:space="preserve">, lo que supone un deber de dar publicidad a la actividad contractual pública, el cual ha sido reglamentado por el artículo 2.2.1.1.1.7.1. del Decreto 1082 de 2015. </w:t>
      </w:r>
    </w:p>
    <w:p w14:paraId="6E261184" w14:textId="77777777" w:rsidR="00F64884" w:rsidRPr="0003711F" w:rsidRDefault="00F64884" w:rsidP="00F64884">
      <w:pPr>
        <w:tabs>
          <w:tab w:val="left" w:pos="426"/>
        </w:tabs>
        <w:spacing w:after="120" w:line="276" w:lineRule="auto"/>
        <w:jc w:val="both"/>
        <w:rPr>
          <w:rFonts w:ascii="Verdana" w:eastAsia="Calibri" w:hAnsi="Verdana" w:cs="Arial"/>
          <w:color w:val="000000"/>
          <w:lang w:val="es-ES" w:eastAsia="en-GB"/>
        </w:rPr>
      </w:pPr>
      <w:bookmarkStart w:id="9" w:name="_Hlk63938840"/>
      <w:r w:rsidRPr="0003711F">
        <w:rPr>
          <w:rFonts w:ascii="Verdana" w:eastAsia="Calibri" w:hAnsi="Verdana" w:cs="Arial"/>
          <w:color w:val="000000"/>
          <w:lang w:val="es-ES" w:eastAsia="en-GB"/>
        </w:rPr>
        <w:tab/>
      </w:r>
      <w:r w:rsidRPr="0003711F">
        <w:rPr>
          <w:rFonts w:ascii="Verdana" w:eastAsia="Calibri" w:hAnsi="Verdana" w:cs="Arial"/>
          <w:color w:val="000000"/>
          <w:lang w:val="es-ES" w:eastAsia="en-GB"/>
        </w:rPr>
        <w:tab/>
        <w:t xml:space="preserve">Por otro lado, el artículo 74 de la Constitución Política establece que </w:t>
      </w:r>
      <w:r>
        <w:rPr>
          <w:rFonts w:ascii="Verdana" w:eastAsia="Calibri" w:hAnsi="Verdana" w:cs="Arial"/>
          <w:color w:val="000000"/>
          <w:lang w:val="es-ES" w:eastAsia="en-GB"/>
        </w:rPr>
        <w:t>“</w:t>
      </w:r>
      <w:r w:rsidRPr="0003711F">
        <w:rPr>
          <w:rFonts w:ascii="Verdana" w:eastAsia="Calibri" w:hAnsi="Verdana" w:cs="Arial"/>
          <w:color w:val="000000"/>
          <w:lang w:val="es-ES" w:eastAsia="en-GB"/>
        </w:rPr>
        <w:t>Todas las personas tienen derecho a acceder a los documentos públicos salvo los casos que establezca la ley</w:t>
      </w:r>
      <w:r>
        <w:rPr>
          <w:rFonts w:ascii="Verdana" w:eastAsia="Calibri" w:hAnsi="Verdana" w:cs="Arial"/>
          <w:color w:val="000000"/>
          <w:lang w:val="es-ES" w:eastAsia="en-GB"/>
        </w:rPr>
        <w:t>”</w:t>
      </w:r>
      <w:r w:rsidRPr="0003711F">
        <w:rPr>
          <w:rFonts w:ascii="Verdana" w:eastAsia="Calibri" w:hAnsi="Verdana" w:cs="Arial"/>
          <w:color w:val="000000"/>
          <w:lang w:val="es-ES" w:eastAsia="en-GB"/>
        </w:rPr>
        <w:t xml:space="preserve">. Esta disposición constitucional consagra el derecho fundamental de acceso a la información y a la documentación pública, salvo causal de reserva expresamente prevista en la Ley. Este derecho fue regulado en la Ley 1712 de 2014, conocida como </w:t>
      </w:r>
      <w:r w:rsidRPr="0003711F">
        <w:rPr>
          <w:rFonts w:ascii="Verdana" w:eastAsia="Calibri" w:hAnsi="Verdana" w:cs="Arial"/>
          <w:i/>
          <w:iCs/>
          <w:color w:val="000000"/>
          <w:lang w:val="es-ES" w:eastAsia="en-GB"/>
        </w:rPr>
        <w:t>Ley de Transparencia y del Derecho de Acceso a la Información Pública Nacional</w:t>
      </w:r>
      <w:r w:rsidRPr="0003711F">
        <w:rPr>
          <w:rFonts w:ascii="Verdana" w:eastAsia="Calibri" w:hAnsi="Verdana" w:cs="Arial"/>
          <w:color w:val="000000"/>
          <w:lang w:val="es-ES" w:eastAsia="en-GB"/>
        </w:rPr>
        <w:t>. Dicha Ley establece el deber</w:t>
      </w:r>
      <w:r w:rsidRPr="0003711F">
        <w:rPr>
          <w:rFonts w:ascii="Verdana" w:eastAsia="Calibri" w:hAnsi="Verdana" w:cs="Arial"/>
          <w:i/>
          <w:iCs/>
          <w:color w:val="000000"/>
          <w:lang w:val="es-ES" w:eastAsia="en-GB"/>
        </w:rPr>
        <w:t xml:space="preserve"> </w:t>
      </w:r>
      <w:r w:rsidRPr="0003711F">
        <w:rPr>
          <w:rFonts w:ascii="Verdana" w:eastAsia="Calibri" w:hAnsi="Verdana" w:cs="Arial"/>
          <w:color w:val="000000"/>
          <w:lang w:val="es-ES" w:eastAsia="en-GB"/>
        </w:rPr>
        <w:t>de</w:t>
      </w:r>
      <w:r w:rsidRPr="0003711F">
        <w:rPr>
          <w:rFonts w:ascii="Verdana" w:eastAsia="Calibri" w:hAnsi="Verdana" w:cs="Arial"/>
          <w:i/>
          <w:iCs/>
          <w:color w:val="000000"/>
          <w:lang w:val="es-ES" w:eastAsia="en-GB"/>
        </w:rPr>
        <w:t xml:space="preserve"> divulgación proactiva de la información</w:t>
      </w:r>
      <w:r w:rsidRPr="0003711F">
        <w:rPr>
          <w:rFonts w:ascii="Verdana" w:eastAsia="Calibri" w:hAnsi="Verdana" w:cs="Arial"/>
          <w:color w:val="000000"/>
          <w:lang w:val="es-ES" w:eastAsia="en-GB"/>
        </w:rPr>
        <w:t xml:space="preserve"> e indica que las entidades estatales deben publicar su información contractual –artículos 9, literales c, e y f; 10 y 11, literal g–. Tales artículos son reglamentados por los artículos 2.1.1.2.1.5 a 2.1.1.2.1.10 del Decreto 1081 de 2015, los cuales, en concordancia con artículo 3 de la Ley 1150 de 2007, aluden al deber de las entidades estatales de publicar su información contractual en el SECOP</w:t>
      </w:r>
      <w:r w:rsidRPr="0003711F">
        <w:rPr>
          <w:rFonts w:ascii="Verdana" w:eastAsia="Arial" w:hAnsi="Verdana" w:cs="Arial"/>
          <w:vertAlign w:val="superscript"/>
          <w:lang w:val="es-ES"/>
        </w:rPr>
        <w:t xml:space="preserve"> </w:t>
      </w:r>
      <w:r w:rsidRPr="0003711F">
        <w:rPr>
          <w:rFonts w:ascii="Verdana" w:hAnsi="Verdana"/>
        </w:rPr>
        <w:footnoteReference w:id="38"/>
      </w:r>
      <w:r w:rsidRPr="0003711F">
        <w:rPr>
          <w:rFonts w:ascii="Verdana" w:eastAsia="Arial" w:hAnsi="Verdana" w:cs="Arial"/>
          <w:lang w:val="es-ES"/>
        </w:rPr>
        <w:t>.</w:t>
      </w:r>
      <w:bookmarkEnd w:id="9"/>
      <w:r w:rsidRPr="0003711F">
        <w:rPr>
          <w:rFonts w:ascii="Verdana" w:eastAsia="Arial" w:hAnsi="Verdana" w:cs="Arial"/>
          <w:lang w:val="es-ES"/>
        </w:rPr>
        <w:tab/>
        <w:t xml:space="preserve"> </w:t>
      </w:r>
    </w:p>
    <w:p w14:paraId="457AF648" w14:textId="77777777" w:rsidR="00F64884" w:rsidRPr="0003711F" w:rsidRDefault="00F64884" w:rsidP="00F64884">
      <w:pPr>
        <w:spacing w:after="120" w:line="276" w:lineRule="auto"/>
        <w:jc w:val="both"/>
        <w:rPr>
          <w:rFonts w:ascii="Verdana" w:eastAsia="Calibri" w:hAnsi="Verdana" w:cs="Arial"/>
          <w:color w:val="000000" w:themeColor="text1"/>
          <w:lang w:eastAsia="es-MX"/>
        </w:rPr>
      </w:pPr>
      <w:r w:rsidRPr="0003711F">
        <w:rPr>
          <w:rFonts w:ascii="Verdana" w:eastAsia="Calibri" w:hAnsi="Verdana" w:cs="Arial"/>
          <w:b/>
          <w:bCs/>
          <w:color w:val="000000" w:themeColor="text1"/>
        </w:rPr>
        <w:tab/>
      </w:r>
      <w:r w:rsidRPr="0003711F">
        <w:rPr>
          <w:rFonts w:ascii="Verdana" w:eastAsia="Calibri" w:hAnsi="Verdana" w:cs="Arial"/>
          <w:color w:val="000000" w:themeColor="text1"/>
        </w:rPr>
        <w:t>En el caso del contrato de transacción, esta Agencia considera que es necesaria su publicación en el SECOP para poder cumplir a cabalidad con el deber de publicidad consagrado en el artículo 209 de la Constitución Política, por las siguientes razones:</w:t>
      </w:r>
    </w:p>
    <w:p w14:paraId="1946EF6A" w14:textId="77777777" w:rsidR="00F64884" w:rsidRPr="0003711F" w:rsidRDefault="00F64884" w:rsidP="00F64884">
      <w:pPr>
        <w:spacing w:after="120" w:line="276" w:lineRule="auto"/>
        <w:ind w:firstLine="708"/>
        <w:jc w:val="both"/>
        <w:rPr>
          <w:rFonts w:ascii="Verdana" w:eastAsia="Calibri" w:hAnsi="Verdana" w:cs="Arial"/>
          <w:color w:val="000000" w:themeColor="text1"/>
          <w:szCs w:val="24"/>
        </w:rPr>
      </w:pPr>
      <w:r w:rsidRPr="0003711F">
        <w:rPr>
          <w:rFonts w:ascii="Verdana" w:eastAsia="Calibri" w:hAnsi="Verdana" w:cs="Arial"/>
          <w:color w:val="000000" w:themeColor="text1"/>
        </w:rPr>
        <w:t>En primer lugar, el literal c) del artículo 3 de la Ley 1150 de 2007 al establecer la obligación de publicar en el SECOP la información oficial de la contratación realizada con dineros públicos, lleva a entender que la transacción al ser un contrato estatal en el que se utilizan este tipo recursos se deba publicar en dicha plataforma.</w:t>
      </w:r>
    </w:p>
    <w:p w14:paraId="515B8561" w14:textId="77777777" w:rsidR="00F64884" w:rsidRPr="0003711F" w:rsidRDefault="00F64884" w:rsidP="00F64884">
      <w:pPr>
        <w:spacing w:after="120" w:line="276" w:lineRule="auto"/>
        <w:ind w:firstLine="708"/>
        <w:jc w:val="both"/>
        <w:rPr>
          <w:rFonts w:ascii="Verdana" w:eastAsia="Calibri" w:hAnsi="Verdana" w:cs="Arial"/>
          <w:color w:val="000000" w:themeColor="text1"/>
          <w:lang w:val="es-MX"/>
        </w:rPr>
      </w:pPr>
      <w:r w:rsidRPr="0003711F">
        <w:rPr>
          <w:rFonts w:ascii="Verdana" w:eastAsia="Calibri" w:hAnsi="Verdana" w:cs="Arial"/>
          <w:color w:val="000000" w:themeColor="text1"/>
        </w:rPr>
        <w:t xml:space="preserve">Además, de conformidad al artículo 2.2.1.1.1.7.1. del Decreto 1082 de 2015, las entidades estatales tienen la obligación de publicar en el SECOP </w:t>
      </w:r>
      <w:r>
        <w:rPr>
          <w:rFonts w:ascii="Verdana" w:eastAsia="Calibri" w:hAnsi="Verdana" w:cs="Arial"/>
          <w:color w:val="000000" w:themeColor="text1"/>
        </w:rPr>
        <w:t>“</w:t>
      </w:r>
      <w:r w:rsidRPr="0003711F">
        <w:rPr>
          <w:rFonts w:ascii="Verdana" w:eastAsia="Calibri" w:hAnsi="Verdana" w:cs="Arial"/>
          <w:color w:val="000000" w:themeColor="text1"/>
        </w:rPr>
        <w:t xml:space="preserve">[…] </w:t>
      </w:r>
      <w:r w:rsidRPr="0003711F">
        <w:rPr>
          <w:rFonts w:ascii="Verdana" w:eastAsia="Calibri" w:hAnsi="Verdana" w:cs="Arial"/>
          <w:color w:val="000000" w:themeColor="text1"/>
        </w:rPr>
        <w:lastRenderedPageBreak/>
        <w:t>los Documentos del Proceso y los actos administrativos del Proceso de Contratación, dentro de los tres (3) días siguientes a su expedición […]</w:t>
      </w:r>
      <w:r>
        <w:rPr>
          <w:rFonts w:ascii="Verdana" w:eastAsia="Calibri" w:hAnsi="Verdana" w:cs="Arial"/>
          <w:color w:val="000000" w:themeColor="text1"/>
        </w:rPr>
        <w:t>”</w:t>
      </w:r>
      <w:r w:rsidRPr="0003711F">
        <w:rPr>
          <w:rFonts w:ascii="Verdana" w:eastAsia="Calibri" w:hAnsi="Verdana" w:cs="Arial"/>
          <w:color w:val="000000" w:themeColor="text1"/>
        </w:rPr>
        <w:t xml:space="preserve">. La expresión </w:t>
      </w:r>
      <w:r w:rsidRPr="0003711F">
        <w:rPr>
          <w:rFonts w:ascii="Verdana" w:eastAsia="Calibri" w:hAnsi="Verdana" w:cs="Arial"/>
          <w:i/>
          <w:iCs/>
          <w:color w:val="000000" w:themeColor="text1"/>
        </w:rPr>
        <w:t>Documentos del Proceso</w:t>
      </w:r>
      <w:r w:rsidRPr="0003711F">
        <w:rPr>
          <w:rFonts w:ascii="Verdana" w:eastAsia="Calibri" w:hAnsi="Verdana" w:cs="Arial"/>
          <w:color w:val="000000" w:themeColor="text1"/>
        </w:rPr>
        <w:t xml:space="preserve"> está definida en el artículo 2.2.1.1.1.3.1. del Decreto 1082 de 2015, donde se establece que: </w:t>
      </w:r>
      <w:r>
        <w:rPr>
          <w:rFonts w:ascii="Verdana" w:eastAsia="Calibri" w:hAnsi="Verdana" w:cs="Arial"/>
          <w:color w:val="000000" w:themeColor="text1"/>
        </w:rPr>
        <w:t>“</w:t>
      </w:r>
      <w:r w:rsidRPr="0003711F">
        <w:rPr>
          <w:rFonts w:ascii="Verdana" w:eastAsia="Calibri" w:hAnsi="Verdana" w:cs="Arial"/>
          <w:color w:val="000000" w:themeColor="text1"/>
        </w:rPr>
        <w:t>[…] son: (a) los estudios y documentos previos; (b) el aviso de convocatoria; (c) los pliegos de condiciones o la invitación; (d) las adendas; (e) la oferta; (f) el informe de evaluación; (g) el contrato; y cualquier otro documento expedido por la Entidad Estatal durante el Proceso de Contratación</w:t>
      </w:r>
      <w:r>
        <w:rPr>
          <w:rFonts w:ascii="Verdana" w:eastAsia="Calibri" w:hAnsi="Verdana" w:cs="Arial"/>
          <w:color w:val="000000" w:themeColor="text1"/>
        </w:rPr>
        <w:t>”</w:t>
      </w:r>
      <w:r w:rsidRPr="0003711F">
        <w:rPr>
          <w:rFonts w:ascii="Verdana" w:eastAsia="Calibri" w:hAnsi="Verdana" w:cs="Arial"/>
          <w:color w:val="000000" w:themeColor="text1"/>
        </w:rPr>
        <w:t xml:space="preserve">. Nótese que si bien el artículo 2.2.1.1.1.7.1. consagra una lista de los </w:t>
      </w:r>
      <w:r w:rsidRPr="0003711F">
        <w:rPr>
          <w:rFonts w:ascii="Verdana" w:eastAsia="Calibri" w:hAnsi="Verdana" w:cs="Arial"/>
          <w:i/>
          <w:iCs/>
          <w:color w:val="000000" w:themeColor="text1"/>
        </w:rPr>
        <w:t>Documentos del Proceso</w:t>
      </w:r>
      <w:r w:rsidRPr="0003711F">
        <w:rPr>
          <w:rFonts w:ascii="Verdana" w:eastAsia="Calibri" w:hAnsi="Verdana" w:cs="Arial"/>
          <w:color w:val="000000" w:themeColor="text1"/>
        </w:rPr>
        <w:t xml:space="preserve">, esta es enunciativa, </w:t>
      </w:r>
      <w:r w:rsidRPr="0003711F">
        <w:rPr>
          <w:rFonts w:ascii="Verdana" w:eastAsia="Arial" w:hAnsi="Verdana" w:cs="Arial"/>
          <w:lang w:val="es-ES"/>
        </w:rPr>
        <w:t xml:space="preserve">puesto que el mismo artículo incluye dentro de estos </w:t>
      </w:r>
      <w:r>
        <w:rPr>
          <w:rFonts w:ascii="Verdana" w:eastAsia="Arial" w:hAnsi="Verdana" w:cs="Arial"/>
          <w:lang w:val="es-ES"/>
        </w:rPr>
        <w:t>“</w:t>
      </w:r>
      <w:r w:rsidRPr="0003711F">
        <w:rPr>
          <w:rFonts w:ascii="Verdana" w:eastAsia="Arial" w:hAnsi="Verdana" w:cs="Arial"/>
          <w:lang w:val="es-ES"/>
        </w:rPr>
        <w:t xml:space="preserve">[…] cualquier otro documento expedido por la Entidad Estatal durante el </w:t>
      </w:r>
      <w:r w:rsidRPr="0003711F">
        <w:rPr>
          <w:rFonts w:ascii="Verdana" w:eastAsia="Arial" w:hAnsi="Verdana" w:cs="Arial"/>
          <w:i/>
          <w:iCs/>
          <w:lang w:val="es-ES"/>
        </w:rPr>
        <w:t>Proceso de Contratación</w:t>
      </w:r>
      <w:r>
        <w:rPr>
          <w:rFonts w:ascii="Verdana" w:eastAsia="Arial" w:hAnsi="Verdana" w:cs="Arial"/>
          <w:i/>
          <w:iCs/>
          <w:lang w:val="es-ES"/>
        </w:rPr>
        <w:t>”</w:t>
      </w:r>
      <w:r w:rsidRPr="0003711F">
        <w:rPr>
          <w:rFonts w:ascii="Verdana" w:eastAsia="Arial" w:hAnsi="Verdana" w:cs="Arial"/>
          <w:lang w:val="es-ES"/>
        </w:rPr>
        <w:t xml:space="preserve">. </w:t>
      </w:r>
    </w:p>
    <w:p w14:paraId="3F18CC34" w14:textId="77777777" w:rsidR="00F64884" w:rsidRDefault="00F64884" w:rsidP="00F64884">
      <w:pPr>
        <w:spacing w:after="120" w:line="276" w:lineRule="auto"/>
        <w:ind w:firstLine="709"/>
        <w:jc w:val="both"/>
        <w:rPr>
          <w:rFonts w:ascii="Verdana" w:eastAsia="Calibri" w:hAnsi="Verdana" w:cs="Arial"/>
          <w:color w:val="000000" w:themeColor="text1"/>
        </w:rPr>
      </w:pPr>
      <w:r w:rsidRPr="0003711F">
        <w:rPr>
          <w:rFonts w:ascii="Verdana" w:eastAsia="Calibri" w:hAnsi="Verdana" w:cs="Arial"/>
          <w:color w:val="000000" w:themeColor="text1"/>
        </w:rPr>
        <w:t xml:space="preserve">No obstante, </w:t>
      </w:r>
      <w:r w:rsidRPr="0003711F">
        <w:rPr>
          <w:rFonts w:ascii="Verdana" w:eastAsia="Arial" w:hAnsi="Verdana" w:cs="Arial"/>
          <w:lang w:val="es-ES"/>
        </w:rPr>
        <w:t xml:space="preserve">el análisis del deber de publicidad no se puede limitar al estudio del Decreto 1082 de 2015 y el artículo 3 de la Ley 1150 de 2007, debido a que tanto la Ley 1712 de 2014 como el Decreto 1081 de 2015, no solo refuerzan y complementan al régimen de contratación estatal en cuanto a la publicidad, sino que lo amplían, para incluir la publicación de los </w:t>
      </w:r>
      <w:r>
        <w:rPr>
          <w:rFonts w:ascii="Verdana" w:eastAsia="Arial" w:hAnsi="Verdana" w:cs="Arial"/>
          <w:lang w:val="es-ES"/>
        </w:rPr>
        <w:t>“</w:t>
      </w:r>
      <w:r w:rsidRPr="0003711F">
        <w:rPr>
          <w:rFonts w:ascii="Verdana" w:eastAsia="Arial" w:hAnsi="Verdana" w:cs="Arial"/>
          <w:lang w:val="es-ES"/>
        </w:rPr>
        <w:t>[…] procedimientos</w:t>
      </w:r>
      <w:r>
        <w:rPr>
          <w:rFonts w:ascii="Verdana" w:eastAsia="Arial" w:hAnsi="Verdana" w:cs="Arial"/>
          <w:lang w:val="es-ES"/>
        </w:rPr>
        <w:t>”</w:t>
      </w:r>
      <w:r w:rsidRPr="0003711F">
        <w:rPr>
          <w:rFonts w:ascii="Verdana" w:eastAsia="Arial" w:hAnsi="Verdana" w:cs="Arial"/>
          <w:lang w:val="es-ES"/>
        </w:rPr>
        <w:t xml:space="preserve"> y la información relativa a la </w:t>
      </w:r>
      <w:r>
        <w:rPr>
          <w:rFonts w:ascii="Verdana" w:eastAsia="Arial" w:hAnsi="Verdana" w:cs="Arial"/>
          <w:lang w:val="es-ES"/>
        </w:rPr>
        <w:t>“</w:t>
      </w:r>
      <w:r w:rsidRPr="0003711F">
        <w:rPr>
          <w:rFonts w:ascii="Verdana" w:eastAsia="Arial" w:hAnsi="Verdana" w:cs="Arial"/>
          <w:lang w:val="es-ES"/>
        </w:rPr>
        <w:t>gestión contractual</w:t>
      </w:r>
      <w:r>
        <w:rPr>
          <w:rFonts w:ascii="Verdana" w:eastAsia="Arial" w:hAnsi="Verdana" w:cs="Arial"/>
          <w:lang w:val="es-ES"/>
        </w:rPr>
        <w:t>”</w:t>
      </w:r>
      <w:r w:rsidRPr="0003711F">
        <w:rPr>
          <w:rFonts w:ascii="Verdana" w:eastAsia="Arial" w:hAnsi="Verdana" w:cs="Arial"/>
          <w:lang w:val="es-ES"/>
        </w:rPr>
        <w:t xml:space="preserve">, sin el condicionamiento de tratarse exclusivamente de los </w:t>
      </w:r>
      <w:r w:rsidRPr="0003711F">
        <w:rPr>
          <w:rFonts w:ascii="Verdana" w:eastAsia="Arial" w:hAnsi="Verdana" w:cs="Arial"/>
          <w:i/>
          <w:iCs/>
          <w:lang w:val="es-ES"/>
        </w:rPr>
        <w:t xml:space="preserve">Documentos del Proceso </w:t>
      </w:r>
      <w:r w:rsidRPr="0003711F">
        <w:rPr>
          <w:rFonts w:ascii="Verdana" w:eastAsia="Arial" w:hAnsi="Verdana" w:cs="Arial"/>
          <w:lang w:val="es-ES"/>
        </w:rPr>
        <w:t xml:space="preserve">expedidos por la </w:t>
      </w:r>
      <w:r>
        <w:rPr>
          <w:rFonts w:ascii="Verdana" w:eastAsia="Arial" w:hAnsi="Verdana" w:cs="Arial"/>
          <w:lang w:val="es-ES"/>
        </w:rPr>
        <w:t>“</w:t>
      </w:r>
      <w:r w:rsidRPr="0003711F">
        <w:rPr>
          <w:rFonts w:ascii="Verdana" w:eastAsia="Arial" w:hAnsi="Verdana" w:cs="Arial"/>
          <w:lang w:val="es-ES"/>
        </w:rPr>
        <w:t>entidad estatal</w:t>
      </w:r>
      <w:r>
        <w:rPr>
          <w:rFonts w:ascii="Verdana" w:eastAsia="Arial" w:hAnsi="Verdana" w:cs="Arial"/>
          <w:lang w:val="es-ES"/>
        </w:rPr>
        <w:t>”</w:t>
      </w:r>
      <w:r w:rsidRPr="0003711F">
        <w:rPr>
          <w:rFonts w:ascii="Verdana" w:eastAsia="Arial" w:hAnsi="Verdana" w:cs="Arial"/>
          <w:lang w:val="es-ES"/>
        </w:rPr>
        <w:t xml:space="preserve">. Es decir, que la transacción al ser un mecanismo de resolución de conflictos que se relaciona con la gestión contractual deberá publicarse en el SECOP, pues de lo contrario se estaría vulnerando </w:t>
      </w:r>
      <w:r w:rsidRPr="0003711F">
        <w:rPr>
          <w:rFonts w:ascii="Verdana" w:eastAsia="Calibri" w:hAnsi="Verdana" w:cs="Arial"/>
          <w:lang w:val="es-ES"/>
        </w:rPr>
        <w:t xml:space="preserve">importantes principios de la transparencia y acceso a la información pública, como los de </w:t>
      </w:r>
      <w:r w:rsidRPr="0003711F">
        <w:rPr>
          <w:rStyle w:val="nfasis"/>
          <w:rFonts w:ascii="Verdana" w:hAnsi="Verdana" w:cs="Arial"/>
          <w:lang w:val="es-ES"/>
        </w:rPr>
        <w:t>máxima publicidad para un titular universal</w:t>
      </w:r>
      <w:r w:rsidRPr="0003711F">
        <w:rPr>
          <w:rStyle w:val="Refdenotaalpie"/>
          <w:rFonts w:ascii="Verdana" w:hAnsi="Verdana" w:cs="Arial"/>
          <w:i/>
          <w:iCs/>
          <w:lang w:val="es-ES"/>
        </w:rPr>
        <w:footnoteReference w:id="39"/>
      </w:r>
      <w:r w:rsidRPr="0003711F">
        <w:rPr>
          <w:rStyle w:val="nfasis"/>
          <w:rFonts w:ascii="Verdana" w:hAnsi="Verdana" w:cs="Arial"/>
          <w:lang w:val="es-ES"/>
        </w:rPr>
        <w:t>, transparencia, facilitación y divulgación proactiva de la información</w:t>
      </w:r>
      <w:r w:rsidRPr="0003711F">
        <w:rPr>
          <w:rStyle w:val="Refdenotaalpie"/>
          <w:rFonts w:ascii="Verdana" w:hAnsi="Verdana" w:cs="Arial"/>
          <w:i/>
          <w:iCs/>
          <w:lang w:val="es-ES"/>
        </w:rPr>
        <w:footnoteReference w:id="40"/>
      </w:r>
      <w:r w:rsidRPr="0003711F">
        <w:rPr>
          <w:rFonts w:ascii="Verdana" w:eastAsia="Arial" w:hAnsi="Verdana" w:cs="Arial"/>
          <w:lang w:val="es-ES"/>
        </w:rPr>
        <w:t>.</w:t>
      </w:r>
      <w:r w:rsidRPr="0003711F">
        <w:rPr>
          <w:rFonts w:ascii="Verdana" w:eastAsia="Calibri" w:hAnsi="Verdana" w:cs="Arial"/>
          <w:color w:val="000000" w:themeColor="text1"/>
        </w:rPr>
        <w:tab/>
      </w:r>
    </w:p>
    <w:p w14:paraId="355ECB4C" w14:textId="77777777" w:rsidR="00F64884" w:rsidRDefault="00F64884" w:rsidP="00F64884">
      <w:pPr>
        <w:spacing w:after="120" w:line="276" w:lineRule="auto"/>
        <w:ind w:firstLine="709"/>
        <w:jc w:val="both"/>
        <w:rPr>
          <w:rFonts w:ascii="Verdana" w:eastAsia="Calibri" w:hAnsi="Verdana" w:cs="Arial"/>
          <w:lang w:val="es-ES"/>
        </w:rPr>
      </w:pPr>
      <w:r w:rsidRPr="008F30F9">
        <w:rPr>
          <w:rFonts w:ascii="Verdana" w:eastAsia="Calibri" w:hAnsi="Verdana" w:cs="Arial"/>
          <w:lang w:val="es-ES"/>
        </w:rPr>
        <w:lastRenderedPageBreak/>
        <w:t>Lo anterior sin perjuicio de que en el evento en el que el contrato de transacción o sus anexos contengan datos sensibles o información reservada, la entidad estatal deba abstenerse de publicar en el SECOP dicha información. A los documentos que contengan tal información, se les deberá dar el tratamiento indicado en el artículo 36 del CPACA, que señala que deben ser incluidos en cuaderno separado.</w:t>
      </w:r>
    </w:p>
    <w:p w14:paraId="10A9E560" w14:textId="77777777" w:rsidR="00F64884" w:rsidRDefault="00F64884" w:rsidP="00F64884">
      <w:pPr>
        <w:spacing w:after="120" w:line="276" w:lineRule="auto"/>
        <w:ind w:firstLine="709"/>
        <w:jc w:val="both"/>
        <w:rPr>
          <w:rFonts w:ascii="Verdana" w:eastAsia="Calibri" w:hAnsi="Verdana" w:cs="Arial"/>
          <w:color w:val="000000" w:themeColor="text1"/>
        </w:rPr>
      </w:pPr>
      <w:r w:rsidRPr="00FA4E80">
        <w:rPr>
          <w:rFonts w:ascii="Verdana" w:eastAsia="Calibri" w:hAnsi="Verdana" w:cs="Arial"/>
          <w:color w:val="000000" w:themeColor="text1"/>
        </w:rPr>
        <w:t xml:space="preserve">Por su parte, los aspectos relacionados con la plataforma </w:t>
      </w:r>
      <w:r>
        <w:rPr>
          <w:rFonts w:ascii="Verdana" w:eastAsia="Calibri" w:hAnsi="Verdana" w:cs="Arial"/>
          <w:color w:val="000000" w:themeColor="text1"/>
        </w:rPr>
        <w:t>“</w:t>
      </w:r>
      <w:r w:rsidRPr="00FA4E80">
        <w:rPr>
          <w:rFonts w:ascii="Verdana" w:eastAsia="Calibri" w:hAnsi="Verdana" w:cs="Arial"/>
          <w:color w:val="000000" w:themeColor="text1"/>
        </w:rPr>
        <w:t>SIA Observa</w:t>
      </w:r>
      <w:r>
        <w:rPr>
          <w:rFonts w:ascii="Verdana" w:eastAsia="Calibri" w:hAnsi="Verdana" w:cs="Arial"/>
          <w:color w:val="000000" w:themeColor="text1"/>
        </w:rPr>
        <w:t>”, a la que se refiere en su consulta,</w:t>
      </w:r>
      <w:r w:rsidRPr="00FA4E80">
        <w:rPr>
          <w:rFonts w:ascii="Verdana" w:eastAsia="Calibri" w:hAnsi="Verdana" w:cs="Arial"/>
          <w:color w:val="000000" w:themeColor="text1"/>
        </w:rPr>
        <w:t xml:space="preserve"> deberán analizarse de conformidad con las disposiciones que regulan específicamente su funcionamiento y administración. En ese sentido, dado que esta materia no hace parte del ámbito de competencia funcional de esta entidad, no le corresponde emitir pronunciamientos sobre las obligaciones de publicidad, reporte o cualquier otro aspecto relacionado con el uso y operación de dicha plataforma</w:t>
      </w:r>
      <w:r>
        <w:rPr>
          <w:rFonts w:ascii="Verdana" w:eastAsia="Calibri" w:hAnsi="Verdana" w:cs="Arial"/>
          <w:color w:val="000000" w:themeColor="text1"/>
        </w:rPr>
        <w:t>.</w:t>
      </w:r>
    </w:p>
    <w:p w14:paraId="60D14148" w14:textId="77777777" w:rsidR="00F64884" w:rsidRPr="005055D5" w:rsidRDefault="00F64884" w:rsidP="00F64884">
      <w:pPr>
        <w:spacing w:after="120" w:line="276" w:lineRule="auto"/>
        <w:jc w:val="both"/>
        <w:rPr>
          <w:rFonts w:ascii="Verdana" w:eastAsia="Arial" w:hAnsi="Verdana" w:cs="Arial"/>
          <w:bCs/>
          <w:color w:val="000000"/>
        </w:rPr>
      </w:pPr>
      <w:proofErr w:type="spellStart"/>
      <w:r>
        <w:rPr>
          <w:rFonts w:ascii="Verdana" w:eastAsia="Calibri" w:hAnsi="Verdana" w:cs="Arial"/>
          <w:bCs/>
          <w:color w:val="000000"/>
        </w:rPr>
        <w:t>iii</w:t>
      </w:r>
      <w:proofErr w:type="spellEnd"/>
      <w:r>
        <w:rPr>
          <w:rFonts w:ascii="Verdana" w:eastAsia="Calibri" w:hAnsi="Verdana" w:cs="Arial"/>
          <w:bCs/>
          <w:color w:val="000000"/>
        </w:rPr>
        <w:t xml:space="preserve">. </w:t>
      </w:r>
      <w:r w:rsidRPr="005055D5">
        <w:rPr>
          <w:rFonts w:ascii="Verdana" w:eastAsia="Calibri" w:hAnsi="Verdana" w:cs="Arial"/>
          <w:bCs/>
          <w:color w:val="000000"/>
        </w:rPr>
        <w:t>Al margen de la explicación precedente debe advertirse que el análisis requerido para resolver problemas específicos en torno a la gestión contractual de las entidades públicas debe realizarse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6C243D7" w14:textId="77777777" w:rsidR="00F64884" w:rsidRDefault="00F64884" w:rsidP="00F64884">
      <w:pPr>
        <w:spacing w:after="0" w:line="276" w:lineRule="auto"/>
        <w:ind w:firstLine="708"/>
        <w:jc w:val="both"/>
        <w:rPr>
          <w:rFonts w:ascii="Verdana" w:eastAsia="Calibri" w:hAnsi="Verdana" w:cs="Arial"/>
          <w:bCs/>
          <w:color w:val="000000"/>
        </w:rPr>
      </w:pPr>
      <w:r w:rsidRPr="005055D5">
        <w:rPr>
          <w:rFonts w:ascii="Verdana" w:eastAsia="Calibri" w:hAnsi="Verdana" w:cs="Arial"/>
          <w:bCs/>
          <w:color w:val="000000"/>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75B18364" w14:textId="77777777" w:rsidR="00F64884" w:rsidRPr="00742A56" w:rsidRDefault="00F64884" w:rsidP="00F64884">
      <w:pPr>
        <w:spacing w:after="0" w:line="276" w:lineRule="auto"/>
        <w:jc w:val="both"/>
        <w:rPr>
          <w:rFonts w:ascii="Verdana" w:hAnsi="Verdana" w:cs="Arial"/>
          <w:bCs/>
          <w:color w:val="000000" w:themeColor="text1"/>
        </w:rPr>
      </w:pPr>
    </w:p>
    <w:bookmarkEnd w:id="2"/>
    <w:bookmarkEnd w:id="3"/>
    <w:p w14:paraId="360A8FEF" w14:textId="77777777" w:rsidR="00F64884" w:rsidRPr="009D4402" w:rsidRDefault="00F64884" w:rsidP="00F64884">
      <w:pPr>
        <w:pStyle w:val="Prrafodelista"/>
        <w:widowControl w:val="0"/>
        <w:numPr>
          <w:ilvl w:val="0"/>
          <w:numId w:val="16"/>
        </w:numPr>
        <w:tabs>
          <w:tab w:val="left" w:pos="142"/>
          <w:tab w:val="left" w:pos="284"/>
        </w:tabs>
        <w:autoSpaceDE w:val="0"/>
        <w:autoSpaceDN w:val="0"/>
        <w:spacing w:after="0" w:line="276" w:lineRule="auto"/>
        <w:ind w:left="0" w:firstLine="0"/>
        <w:contextualSpacing w:val="0"/>
        <w:jc w:val="both"/>
        <w:rPr>
          <w:rFonts w:ascii="Verdana" w:hAnsi="Verdana" w:cs="Arial"/>
          <w:color w:val="000000" w:themeColor="text1"/>
        </w:rPr>
      </w:pPr>
      <w:r w:rsidRPr="009D4402">
        <w:rPr>
          <w:rFonts w:ascii="Verdana" w:eastAsia="Century Gothic" w:hAnsi="Verdana" w:cs="Century Gothic"/>
          <w:b/>
          <w:bCs/>
          <w:color w:val="000000" w:themeColor="text1"/>
        </w:rPr>
        <w:t>Referencias normativas</w:t>
      </w:r>
      <w:r>
        <w:rPr>
          <w:rFonts w:ascii="Verdana" w:eastAsia="Century Gothic" w:hAnsi="Verdana" w:cs="Century Gothic"/>
          <w:b/>
          <w:bCs/>
          <w:color w:val="000000" w:themeColor="text1"/>
        </w:rPr>
        <w:t>:</w:t>
      </w:r>
    </w:p>
    <w:p w14:paraId="4E40A05C" w14:textId="77777777" w:rsidR="00F64884" w:rsidRPr="009D4402" w:rsidRDefault="00F64884" w:rsidP="00F64884">
      <w:pPr>
        <w:pStyle w:val="Prrafodelista"/>
        <w:widowControl w:val="0"/>
        <w:tabs>
          <w:tab w:val="left" w:pos="142"/>
          <w:tab w:val="left" w:pos="284"/>
        </w:tabs>
        <w:autoSpaceDE w:val="0"/>
        <w:autoSpaceDN w:val="0"/>
        <w:spacing w:after="0" w:line="276" w:lineRule="auto"/>
        <w:ind w:left="0"/>
        <w:contextualSpacing w:val="0"/>
        <w:jc w:val="both"/>
        <w:rPr>
          <w:rFonts w:ascii="Verdana" w:hAnsi="Verdana" w:cs="Arial"/>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64884" w:rsidRPr="00115E3D" w14:paraId="23EA106D" w14:textId="77777777" w:rsidTr="00C671FE">
        <w:trPr>
          <w:trHeight w:val="335"/>
        </w:trPr>
        <w:tc>
          <w:tcPr>
            <w:tcW w:w="8647" w:type="dxa"/>
          </w:tcPr>
          <w:p w14:paraId="2054CFC7" w14:textId="77777777" w:rsidR="00F64884" w:rsidRPr="00BF31AD" w:rsidRDefault="00F64884" w:rsidP="00C671FE">
            <w:pPr>
              <w:pStyle w:val="Prrafodelista"/>
              <w:numPr>
                <w:ilvl w:val="0"/>
                <w:numId w:val="17"/>
              </w:numPr>
              <w:spacing w:after="120" w:line="256" w:lineRule="auto"/>
              <w:jc w:val="both"/>
              <w:rPr>
                <w:rFonts w:ascii="Verdana" w:eastAsia="Verdana" w:hAnsi="Verdana" w:cs="Verdana"/>
              </w:rPr>
            </w:pPr>
            <w:r w:rsidRPr="00BC1770">
              <w:rPr>
                <w:rFonts w:ascii="Verdana" w:hAnsi="Verdana" w:cs="Arial"/>
              </w:rPr>
              <w:t>Ley 80 de 1993:</w:t>
            </w:r>
            <w:r>
              <w:rPr>
                <w:rFonts w:ascii="Verdana" w:eastAsia="Verdana" w:hAnsi="Verdana" w:cs="Verdana"/>
              </w:rPr>
              <w:t xml:space="preserve"> artículos 4 numeral 9, 13, 25 numeral 5, 27, 32, 39, 40, 41, 60.</w:t>
            </w:r>
          </w:p>
          <w:p w14:paraId="70B3BD69" w14:textId="77777777" w:rsidR="00F64884" w:rsidRPr="00BC1770" w:rsidRDefault="00F64884" w:rsidP="00C671FE">
            <w:pPr>
              <w:pStyle w:val="Prrafodelista"/>
              <w:widowControl w:val="0"/>
              <w:numPr>
                <w:ilvl w:val="0"/>
                <w:numId w:val="17"/>
              </w:numPr>
              <w:autoSpaceDE w:val="0"/>
              <w:autoSpaceDN w:val="0"/>
              <w:spacing w:line="276" w:lineRule="auto"/>
              <w:contextualSpacing w:val="0"/>
              <w:jc w:val="both"/>
              <w:rPr>
                <w:rFonts w:ascii="Verdana" w:hAnsi="Verdana" w:cs="Arial"/>
              </w:rPr>
            </w:pPr>
            <w:r w:rsidRPr="00BC1770">
              <w:rPr>
                <w:rFonts w:ascii="Verdana" w:hAnsi="Verdana" w:cs="Arial"/>
              </w:rPr>
              <w:t>Decreto 1082 de 2015: Artículo 2.2.1.2.1.4.9.</w:t>
            </w:r>
          </w:p>
          <w:p w14:paraId="3A766739" w14:textId="77777777" w:rsidR="00F64884" w:rsidRPr="00BC1770" w:rsidRDefault="00F64884" w:rsidP="00C671FE">
            <w:pPr>
              <w:pStyle w:val="Prrafodelista"/>
              <w:widowControl w:val="0"/>
              <w:numPr>
                <w:ilvl w:val="0"/>
                <w:numId w:val="17"/>
              </w:numPr>
              <w:autoSpaceDE w:val="0"/>
              <w:autoSpaceDN w:val="0"/>
              <w:spacing w:line="276" w:lineRule="auto"/>
              <w:contextualSpacing w:val="0"/>
              <w:jc w:val="both"/>
              <w:rPr>
                <w:rFonts w:ascii="Verdana" w:hAnsi="Verdana" w:cs="Arial"/>
              </w:rPr>
            </w:pPr>
            <w:r w:rsidRPr="00BC1770">
              <w:rPr>
                <w:rFonts w:ascii="Verdana" w:hAnsi="Verdana" w:cs="Arial"/>
              </w:rPr>
              <w:t>Decreto 111 de 1996: artículo 71.</w:t>
            </w:r>
          </w:p>
          <w:p w14:paraId="6B62B5C5" w14:textId="77777777" w:rsidR="00F64884" w:rsidRDefault="00F64884" w:rsidP="00C671FE">
            <w:pPr>
              <w:pStyle w:val="Prrafodelista"/>
              <w:widowControl w:val="0"/>
              <w:numPr>
                <w:ilvl w:val="0"/>
                <w:numId w:val="17"/>
              </w:numPr>
              <w:autoSpaceDE w:val="0"/>
              <w:autoSpaceDN w:val="0"/>
              <w:spacing w:line="276" w:lineRule="auto"/>
              <w:contextualSpacing w:val="0"/>
              <w:jc w:val="both"/>
              <w:rPr>
                <w:rFonts w:ascii="Verdana" w:hAnsi="Verdana" w:cs="Arial"/>
              </w:rPr>
            </w:pPr>
            <w:r w:rsidRPr="00BC1770">
              <w:rPr>
                <w:rFonts w:ascii="Verdana" w:hAnsi="Verdana" w:cs="Arial"/>
              </w:rPr>
              <w:t>Código Civil, artículo 27</w:t>
            </w:r>
            <w:r>
              <w:rPr>
                <w:rFonts w:ascii="Verdana" w:hAnsi="Verdana" w:cs="Arial"/>
              </w:rPr>
              <w:t>,</w:t>
            </w:r>
            <w:r>
              <w:rPr>
                <w:rFonts w:ascii="Verdana" w:eastAsia="Verdana" w:hAnsi="Verdana" w:cs="Verdana"/>
              </w:rPr>
              <w:t xml:space="preserve"> 1625 numeral 3, 2469, 2470 a 2487</w:t>
            </w:r>
          </w:p>
          <w:p w14:paraId="44E42C05" w14:textId="77777777" w:rsidR="00F64884" w:rsidRDefault="00F64884" w:rsidP="00C671FE">
            <w:pPr>
              <w:pStyle w:val="Prrafodelista"/>
              <w:widowControl w:val="0"/>
              <w:numPr>
                <w:ilvl w:val="0"/>
                <w:numId w:val="17"/>
              </w:numPr>
              <w:autoSpaceDE w:val="0"/>
              <w:autoSpaceDN w:val="0"/>
              <w:spacing w:line="276" w:lineRule="auto"/>
              <w:jc w:val="both"/>
              <w:rPr>
                <w:rFonts w:ascii="Verdana" w:hAnsi="Verdana" w:cs="Arial"/>
              </w:rPr>
            </w:pPr>
            <w:r w:rsidRPr="00D7034F">
              <w:rPr>
                <w:rFonts w:ascii="Verdana" w:hAnsi="Verdana" w:cs="Arial"/>
              </w:rPr>
              <w:t xml:space="preserve">Ley 1712 de 2014, artículos 5, 9, 10 y 11. </w:t>
            </w:r>
          </w:p>
          <w:p w14:paraId="00799390" w14:textId="77777777" w:rsidR="00F64884" w:rsidRDefault="00F64884" w:rsidP="00C671FE">
            <w:pPr>
              <w:pStyle w:val="Prrafodelista"/>
              <w:numPr>
                <w:ilvl w:val="0"/>
                <w:numId w:val="17"/>
              </w:numPr>
              <w:spacing w:after="120" w:line="256" w:lineRule="auto"/>
              <w:jc w:val="both"/>
              <w:rPr>
                <w:rFonts w:ascii="Verdana" w:eastAsia="Verdana" w:hAnsi="Verdana" w:cs="Verdana"/>
              </w:rPr>
            </w:pPr>
            <w:r>
              <w:rPr>
                <w:rFonts w:ascii="Verdana" w:eastAsia="Verdana" w:hAnsi="Verdana" w:cs="Verdana"/>
              </w:rPr>
              <w:t>Ley 1437 de 2011, artículo 176.</w:t>
            </w:r>
          </w:p>
          <w:p w14:paraId="531EA353" w14:textId="77777777" w:rsidR="00F64884" w:rsidRDefault="00F64884" w:rsidP="00C671FE">
            <w:pPr>
              <w:pStyle w:val="Prrafodelista"/>
              <w:numPr>
                <w:ilvl w:val="0"/>
                <w:numId w:val="17"/>
              </w:numPr>
              <w:spacing w:after="120" w:line="256" w:lineRule="auto"/>
              <w:jc w:val="both"/>
              <w:rPr>
                <w:rFonts w:ascii="Verdana" w:eastAsia="Verdana" w:hAnsi="Verdana" w:cs="Verdana"/>
              </w:rPr>
            </w:pPr>
            <w:r>
              <w:rPr>
                <w:rFonts w:ascii="Verdana" w:eastAsia="Verdana" w:hAnsi="Verdana" w:cs="Verdana"/>
              </w:rPr>
              <w:t>Ley 1563 de 2012, artículo 103.</w:t>
            </w:r>
          </w:p>
          <w:p w14:paraId="596C80D7" w14:textId="77777777" w:rsidR="00F64884" w:rsidRPr="00F25761" w:rsidRDefault="00F64884" w:rsidP="00C671FE">
            <w:pPr>
              <w:pStyle w:val="Prrafodelista"/>
              <w:widowControl w:val="0"/>
              <w:numPr>
                <w:ilvl w:val="0"/>
                <w:numId w:val="17"/>
              </w:numPr>
              <w:autoSpaceDE w:val="0"/>
              <w:autoSpaceDN w:val="0"/>
              <w:spacing w:line="276" w:lineRule="auto"/>
              <w:jc w:val="both"/>
              <w:rPr>
                <w:rFonts w:ascii="Verdana" w:hAnsi="Verdana" w:cs="Arial"/>
              </w:rPr>
            </w:pPr>
            <w:r>
              <w:rPr>
                <w:rFonts w:ascii="Verdana" w:eastAsia="Verdana" w:hAnsi="Verdana" w:cs="Verdana"/>
              </w:rPr>
              <w:t>Ley 1564 de 2012, artículo 313.</w:t>
            </w:r>
          </w:p>
          <w:p w14:paraId="3297ADAB" w14:textId="77777777" w:rsidR="00F64884" w:rsidRPr="00D7034F" w:rsidRDefault="00F64884" w:rsidP="00C671FE">
            <w:pPr>
              <w:pStyle w:val="Prrafodelista"/>
              <w:widowControl w:val="0"/>
              <w:numPr>
                <w:ilvl w:val="0"/>
                <w:numId w:val="17"/>
              </w:numPr>
              <w:autoSpaceDE w:val="0"/>
              <w:autoSpaceDN w:val="0"/>
              <w:spacing w:line="276" w:lineRule="auto"/>
              <w:jc w:val="both"/>
              <w:rPr>
                <w:rFonts w:ascii="Verdana" w:hAnsi="Verdana" w:cs="Arial"/>
              </w:rPr>
            </w:pPr>
            <w:r w:rsidRPr="00AE361F">
              <w:rPr>
                <w:rFonts w:ascii="Verdana" w:eastAsia="Times New Roman" w:hAnsi="Verdana" w:cs="Arial"/>
                <w:color w:val="1A1A1A" w:themeColor="background1" w:themeShade="1A"/>
                <w:lang w:eastAsia="es-ES_tradnl"/>
              </w:rPr>
              <w:t>Ley 2342 de 2025</w:t>
            </w:r>
            <w:r>
              <w:rPr>
                <w:rFonts w:ascii="Verdana" w:eastAsia="Times New Roman" w:hAnsi="Verdana" w:cs="Arial"/>
                <w:color w:val="1A1A1A" w:themeColor="background1" w:themeShade="1A"/>
                <w:lang w:eastAsia="es-ES_tradnl"/>
              </w:rPr>
              <w:t>, artículo 14.</w:t>
            </w:r>
          </w:p>
          <w:p w14:paraId="7FEE52BB" w14:textId="77777777" w:rsidR="00F64884" w:rsidRPr="00D7034F" w:rsidRDefault="00F64884" w:rsidP="00C671FE">
            <w:pPr>
              <w:pStyle w:val="Prrafodelista"/>
              <w:widowControl w:val="0"/>
              <w:numPr>
                <w:ilvl w:val="0"/>
                <w:numId w:val="17"/>
              </w:numPr>
              <w:autoSpaceDE w:val="0"/>
              <w:autoSpaceDN w:val="0"/>
              <w:spacing w:line="276" w:lineRule="auto"/>
              <w:jc w:val="both"/>
              <w:rPr>
                <w:rFonts w:ascii="Verdana" w:hAnsi="Verdana" w:cs="Arial"/>
              </w:rPr>
            </w:pPr>
            <w:r w:rsidRPr="00D7034F">
              <w:rPr>
                <w:rFonts w:ascii="Verdana" w:hAnsi="Verdana" w:cs="Arial"/>
              </w:rPr>
              <w:t xml:space="preserve">Decreto 1081 de 2015, artículos 2.1.1.2.1.7., 2.1.1.4.3.2. </w:t>
            </w:r>
          </w:p>
          <w:p w14:paraId="74E8D96D" w14:textId="77777777" w:rsidR="00F64884" w:rsidRPr="009D4402" w:rsidRDefault="00F64884" w:rsidP="00C671FE">
            <w:pPr>
              <w:pStyle w:val="Prrafodelista"/>
              <w:widowControl w:val="0"/>
              <w:numPr>
                <w:ilvl w:val="0"/>
                <w:numId w:val="17"/>
              </w:numPr>
              <w:autoSpaceDE w:val="0"/>
              <w:autoSpaceDN w:val="0"/>
              <w:spacing w:line="276" w:lineRule="auto"/>
              <w:contextualSpacing w:val="0"/>
              <w:jc w:val="both"/>
              <w:rPr>
                <w:rFonts w:ascii="Verdana" w:hAnsi="Verdana" w:cs="Arial"/>
              </w:rPr>
            </w:pPr>
            <w:r w:rsidRPr="00D7034F">
              <w:rPr>
                <w:rFonts w:ascii="Verdana" w:hAnsi="Verdana" w:cs="Arial"/>
              </w:rPr>
              <w:t>Decreto 1082 de 2015, artículos 2.2.1.1.1.7.1,</w:t>
            </w:r>
            <w:r>
              <w:rPr>
                <w:rFonts w:ascii="Verdana" w:hAnsi="Verdana" w:cs="Arial"/>
              </w:rPr>
              <w:t xml:space="preserve"> y</w:t>
            </w:r>
            <w:r w:rsidRPr="00D7034F">
              <w:rPr>
                <w:rFonts w:ascii="Verdana" w:hAnsi="Verdana" w:cs="Arial"/>
              </w:rPr>
              <w:t xml:space="preserve"> 2.2.1.1.1.3.1.</w:t>
            </w:r>
          </w:p>
        </w:tc>
      </w:tr>
    </w:tbl>
    <w:p w14:paraId="6584F9BD" w14:textId="77777777" w:rsidR="00F64884" w:rsidRPr="00115E3D" w:rsidRDefault="00F64884" w:rsidP="00F64884">
      <w:pPr>
        <w:widowControl w:val="0"/>
        <w:autoSpaceDE w:val="0"/>
        <w:autoSpaceDN w:val="0"/>
        <w:spacing w:after="0" w:line="276" w:lineRule="auto"/>
        <w:jc w:val="both"/>
        <w:rPr>
          <w:rFonts w:ascii="Verdana" w:hAnsi="Verdana" w:cs="Arial"/>
          <w:color w:val="000000" w:themeColor="text1"/>
        </w:rPr>
      </w:pPr>
    </w:p>
    <w:p w14:paraId="396DC730" w14:textId="77777777" w:rsidR="00F64884" w:rsidRPr="00115E3D" w:rsidRDefault="00F64884" w:rsidP="00F64884">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Doctrina de la Agencia Nacional de Contratación Pública:</w:t>
      </w:r>
    </w:p>
    <w:p w14:paraId="437F5C1F" w14:textId="77777777" w:rsidR="00F64884" w:rsidRPr="00115E3D" w:rsidRDefault="00F64884" w:rsidP="00F64884">
      <w:pPr>
        <w:widowControl w:val="0"/>
        <w:autoSpaceDE w:val="0"/>
        <w:autoSpaceDN w:val="0"/>
        <w:spacing w:after="0" w:line="276" w:lineRule="auto"/>
        <w:jc w:val="both"/>
        <w:rPr>
          <w:rFonts w:ascii="Verdana" w:hAnsi="Verdana" w:cs="Arial"/>
          <w:color w:val="000000" w:themeColor="text1"/>
        </w:rPr>
      </w:pPr>
    </w:p>
    <w:p w14:paraId="07FDE962" w14:textId="77777777" w:rsidR="00F64884" w:rsidRPr="00127643" w:rsidRDefault="00F64884" w:rsidP="00F64884">
      <w:pPr>
        <w:widowControl w:val="0"/>
        <w:autoSpaceDE w:val="0"/>
        <w:autoSpaceDN w:val="0"/>
        <w:spacing w:after="0" w:line="276" w:lineRule="auto"/>
        <w:jc w:val="both"/>
        <w:rPr>
          <w:rFonts w:ascii="Verdana" w:eastAsia="Verdana" w:hAnsi="Verdana" w:cs="Verdana"/>
          <w:lang w:val="es-ES"/>
        </w:rPr>
      </w:pPr>
      <w:r>
        <w:rPr>
          <w:rFonts w:ascii="Verdana" w:eastAsia="Verdana" w:hAnsi="Verdana" w:cs="Verdana"/>
          <w:lang w:val="es-ES"/>
        </w:rPr>
        <w:t>Sobre el mecanismo de resolución de conflictos denominado arreglo directo y el contrato transacción, esta Subdirección se ha referido en los conceptos C-465 del 28 de noviembre de 2023, C-400 del 26 de septiembre de 2023, C-494 del 17 de septiembre de 2021, C-142 de 02 de julio de 2024, Concepto C-082 de 2025, C-770 de 2025</w:t>
      </w:r>
      <w:r>
        <w:rPr>
          <w:rFonts w:ascii="Verdana" w:eastAsia="Verdana" w:hAnsi="Verdana" w:cs="Verdana"/>
          <w:b/>
          <w:bCs/>
          <w:lang w:val="es-ES"/>
        </w:rPr>
        <w:t xml:space="preserve">, </w:t>
      </w:r>
      <w:r>
        <w:rPr>
          <w:rFonts w:ascii="Verdana" w:eastAsia="Verdana" w:hAnsi="Verdana" w:cs="Verdana"/>
          <w:lang w:val="es-ES"/>
        </w:rPr>
        <w:t>C-826 de 2025, C-805 del 1 de julio de 2026,</w:t>
      </w:r>
      <w:r>
        <w:rPr>
          <w:rFonts w:ascii="Verdana" w:eastAsia="Verdana" w:hAnsi="Verdana" w:cs="Verdana"/>
          <w:b/>
          <w:bCs/>
          <w:lang w:val="es-ES"/>
        </w:rPr>
        <w:t xml:space="preserve"> </w:t>
      </w:r>
      <w:r w:rsidRPr="00127643">
        <w:rPr>
          <w:rFonts w:ascii="Verdana" w:eastAsia="Verdana" w:hAnsi="Verdana" w:cs="Verdana"/>
          <w:lang w:val="es-ES"/>
        </w:rPr>
        <w:t xml:space="preserve">entre otros. </w:t>
      </w:r>
      <w:r w:rsidRPr="00127643">
        <w:rPr>
          <w:rFonts w:ascii="Verdana" w:eastAsia="Verdana" w:hAnsi="Verdana" w:cs="Verdana"/>
        </w:rPr>
        <w:t xml:space="preserve">En referencia a al deber de publicidad contractual, se ha pronunciado en los conceptos </w:t>
      </w:r>
      <w:r w:rsidRPr="00127643">
        <w:rPr>
          <w:rFonts w:ascii="Verdana" w:eastAsia="Verdana" w:hAnsi="Verdana" w:cs="Verdana"/>
          <w:lang w:val="es-ES_tradnl"/>
        </w:rPr>
        <w:t>CU-367 del 23 de julio de 2020, reiterado en los conceptos: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del 29 de abril de 2021, C-472 del 6 de septiembre de 2021 y C-804 de 2024</w:t>
      </w:r>
      <w:r w:rsidRPr="00127643">
        <w:rPr>
          <w:rFonts w:ascii="Verdana" w:eastAsia="Verdana" w:hAnsi="Verdana" w:cs="Verdana"/>
        </w:rPr>
        <w:t xml:space="preserve">, C-185 del 24 de marzo de 2025, C-487 del 30 de mayo de 2025, </w:t>
      </w:r>
      <w:r w:rsidRPr="00127643">
        <w:rPr>
          <w:rFonts w:ascii="Verdana" w:eastAsia="Verdana" w:hAnsi="Verdana" w:cs="Verdana"/>
          <w:bCs/>
        </w:rPr>
        <w:t>C-</w:t>
      </w:r>
      <w:r w:rsidRPr="00127643">
        <w:rPr>
          <w:rFonts w:ascii="Verdana" w:eastAsia="Verdana" w:hAnsi="Verdana" w:cs="Verdana"/>
        </w:rPr>
        <w:t xml:space="preserve">1177 del 1 de octubre de 2025, C-1784 del 22 de diciembre de </w:t>
      </w:r>
      <w:r w:rsidRPr="00127643">
        <w:rPr>
          <w:rFonts w:ascii="Verdana" w:eastAsia="Verdana" w:hAnsi="Verdana" w:cs="Verdana"/>
          <w:bCs/>
        </w:rPr>
        <w:t>2025</w:t>
      </w:r>
      <w:r w:rsidRPr="00127643">
        <w:rPr>
          <w:rFonts w:ascii="Verdana" w:eastAsia="Verdana" w:hAnsi="Verdana" w:cs="Verdana"/>
        </w:rPr>
        <w:t>, C-809 del 25 de junio de 2026, entre otros</w:t>
      </w:r>
      <w:r w:rsidRPr="00127643">
        <w:rPr>
          <w:rFonts w:ascii="Verdana" w:eastAsia="Verdana" w:hAnsi="Verdana" w:cs="Verdana"/>
          <w:lang w:val="es-ES"/>
        </w:rPr>
        <w:t>. Es</w:t>
      </w:r>
      <w:r w:rsidRPr="00127643">
        <w:rPr>
          <w:rFonts w:ascii="Verdana" w:eastAsia="Verdana" w:hAnsi="Verdana" w:cs="Verdana"/>
        </w:rPr>
        <w:t>tos y otros conceptos se encuentran disponibles para consulta en el Sistema de relatoría de la Agencia, al cual se puede acceder a través del siguiente enlace:</w:t>
      </w:r>
      <w:r w:rsidRPr="00127643">
        <w:rPr>
          <w:rFonts w:ascii="Verdana" w:eastAsia="Verdana" w:hAnsi="Verdana" w:cs="Verdana"/>
          <w:lang w:val="es-ES"/>
        </w:rPr>
        <w:t xml:space="preserve"> </w:t>
      </w:r>
      <w:hyperlink r:id="rId13" w:history="1">
        <w:r w:rsidRPr="00127643">
          <w:rPr>
            <w:rStyle w:val="Hipervnculo"/>
            <w:rFonts w:ascii="Verdana" w:eastAsia="Verdana" w:hAnsi="Verdana" w:cs="Verdana"/>
            <w:lang w:val="es-ES"/>
          </w:rPr>
          <w:t>https://relatoria.colombiacompra.gov.co/busqueda/conceptos</w:t>
        </w:r>
      </w:hyperlink>
    </w:p>
    <w:p w14:paraId="32EEF918" w14:textId="77777777" w:rsidR="00F64884" w:rsidRPr="00115E3D" w:rsidRDefault="00F64884" w:rsidP="00F64884">
      <w:pPr>
        <w:widowControl w:val="0"/>
        <w:autoSpaceDE w:val="0"/>
        <w:autoSpaceDN w:val="0"/>
        <w:spacing w:after="0" w:line="276" w:lineRule="auto"/>
        <w:jc w:val="both"/>
        <w:rPr>
          <w:rStyle w:val="normaltextrun"/>
          <w:rFonts w:ascii="Verdana" w:hAnsi="Verdana" w:cs="Arial"/>
          <w:color w:val="000000" w:themeColor="text1"/>
          <w:shd w:val="clear" w:color="auto" w:fill="FFFFFF"/>
          <w:lang w:val="es-ES"/>
        </w:rPr>
      </w:pPr>
      <w:r w:rsidRPr="00115E3D">
        <w:rPr>
          <w:rStyle w:val="normaltextrun"/>
          <w:rFonts w:ascii="Verdana" w:hAnsi="Verdana" w:cs="Arial"/>
          <w:color w:val="000000" w:themeColor="text1"/>
          <w:shd w:val="clear" w:color="auto" w:fill="FFFFFF"/>
          <w:lang w:val="es-ES"/>
        </w:rPr>
        <w:t xml:space="preserve">  </w:t>
      </w:r>
    </w:p>
    <w:p w14:paraId="14D6D2CE" w14:textId="77777777" w:rsidR="00F64884" w:rsidRPr="00F74645" w:rsidRDefault="00F64884" w:rsidP="00F64884">
      <w:pPr>
        <w:widowControl w:val="0"/>
        <w:autoSpaceDE w:val="0"/>
        <w:autoSpaceDN w:val="0"/>
        <w:spacing w:after="120" w:line="276" w:lineRule="auto"/>
        <w:jc w:val="both"/>
        <w:rPr>
          <w:rFonts w:ascii="Verdana" w:hAnsi="Verdana" w:cs="Arial"/>
          <w:color w:val="000000" w:themeColor="text1"/>
          <w:shd w:val="clear" w:color="auto" w:fill="FFFFFF"/>
        </w:rPr>
      </w:pPr>
      <w:r w:rsidRPr="00F74645">
        <w:rPr>
          <w:rFonts w:ascii="Verdana" w:eastAsia="Times New Roman" w:hAnsi="Verdana" w:cs="Times New Roman"/>
          <w:color w:val="000000"/>
          <w:lang w:eastAsia="es-CO"/>
        </w:rPr>
        <w:lastRenderedPageBreak/>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74645">
        <w:rPr>
          <w:rFonts w:ascii="Verdana" w:eastAsia="Times New Roman" w:hAnsi="Verdana" w:cs="Times New Roman"/>
          <w:b/>
          <w:bCs/>
          <w:color w:val="000000"/>
          <w:lang w:eastAsia="es-CO"/>
        </w:rPr>
        <w:t>Guía para la Exigencia y Constitución de Garantías en los Procesos de Contratación</w:t>
      </w:r>
      <w:r w:rsidRPr="00F74645">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1061EE73" w14:textId="77777777" w:rsidR="00F64884" w:rsidRPr="00F74645" w:rsidRDefault="00F64884" w:rsidP="00F64884">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F74645">
        <w:rPr>
          <w:rFonts w:ascii="Verdana" w:eastAsia="Times New Roman" w:hAnsi="Verdana" w:cs="Times New Roman"/>
          <w:b/>
          <w:bCs/>
          <w:color w:val="000000"/>
          <w:lang w:eastAsia="es-CO"/>
        </w:rPr>
        <w:t>Sistema Integral de Preferencias en favor de las personas con discapacidad</w:t>
      </w:r>
      <w:r w:rsidRPr="00F74645">
        <w:rPr>
          <w:rFonts w:ascii="Verdana" w:eastAsia="Times New Roman" w:hAnsi="Verdana" w:cs="Times New Roman"/>
          <w:color w:val="000000"/>
          <w:lang w:eastAsia="es-CO"/>
        </w:rPr>
        <w:t>, en cumplimiento del artículo 13 de la Ley Estatutaria 1618 de 2013. Para orientar su aplicación, esta Agencia expidió la </w:t>
      </w:r>
      <w:r w:rsidRPr="00F74645">
        <w:rPr>
          <w:rFonts w:ascii="Verdana" w:eastAsia="Times New Roman" w:hAnsi="Verdana" w:cs="Times New Roman"/>
          <w:b/>
          <w:bCs/>
          <w:color w:val="000000"/>
          <w:lang w:eastAsia="es-CO"/>
        </w:rPr>
        <w:t>Circular Externa 003 del 12 de mayo de 2026, </w:t>
      </w:r>
      <w:r w:rsidRPr="00F74645">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18055B71" w14:textId="77777777" w:rsidR="00F64884" w:rsidRPr="00F74645" w:rsidRDefault="00F64884" w:rsidP="00F64884">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Recuerda también que la</w:t>
      </w:r>
      <w:r w:rsidRPr="00F74645">
        <w:rPr>
          <w:rFonts w:ascii="Verdana" w:eastAsia="Times New Roman" w:hAnsi="Verdana" w:cs="Times New Roman"/>
          <w:b/>
          <w:bCs/>
          <w:color w:val="000000"/>
          <w:lang w:eastAsia="es-CO"/>
        </w:rPr>
        <w:t> información sobre sanciones e inhabilidades </w:t>
      </w:r>
      <w:r w:rsidRPr="00F74645">
        <w:rPr>
          <w:rFonts w:ascii="Verdana" w:eastAsia="Times New Roman" w:hAnsi="Verdana" w:cs="Times New Roman"/>
          <w:color w:val="000000"/>
          <w:lang w:eastAsia="es-CO"/>
        </w:rPr>
        <w:t>solo cumple su función preventiva si llega oportunamente a los registros públicos. Sobre este deber, esta Agencia expidió la </w:t>
      </w:r>
      <w:r w:rsidRPr="00F74645">
        <w:rPr>
          <w:rFonts w:ascii="Verdana" w:eastAsia="Times New Roman" w:hAnsi="Verdana" w:cs="Times New Roman"/>
          <w:b/>
          <w:bCs/>
          <w:color w:val="000000"/>
          <w:lang w:eastAsia="es-CO"/>
        </w:rPr>
        <w:t>Circular Externa 002 del 5 de mayo de 2026,</w:t>
      </w:r>
      <w:r w:rsidRPr="00F74645">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2091B13B" w14:textId="77777777" w:rsidR="00F64884" w:rsidRPr="00F74645" w:rsidRDefault="00F64884" w:rsidP="00F64884">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Finalmente, si quieres seguir de cerca la actividad de la Agencia, la tercera edición de 2026 del</w:t>
      </w:r>
      <w:r w:rsidRPr="00F74645">
        <w:rPr>
          <w:rFonts w:ascii="Verdana" w:eastAsia="Times New Roman" w:hAnsi="Verdana" w:cs="Times New Roman"/>
          <w:b/>
          <w:bCs/>
          <w:color w:val="000000"/>
          <w:lang w:eastAsia="es-CO"/>
        </w:rPr>
        <w:t> Radar de la Compra Pública</w:t>
      </w:r>
      <w:r w:rsidRPr="00F74645">
        <w:rPr>
          <w:rFonts w:ascii="Verdana" w:eastAsia="Times New Roman" w:hAnsi="Verdana" w:cs="Times New Roman"/>
          <w:color w:val="000000"/>
          <w:lang w:eastAsia="es-CO"/>
        </w:rPr>
        <w:t xml:space="preserve"> reúne, entre otros </w:t>
      </w:r>
      <w:r w:rsidRPr="00F74645">
        <w:rPr>
          <w:rFonts w:ascii="Verdana" w:eastAsia="Times New Roman" w:hAnsi="Verdana" w:cs="Times New Roman"/>
          <w:color w:val="000000"/>
          <w:lang w:eastAsia="es-CO"/>
        </w:rPr>
        <w:lastRenderedPageBreak/>
        <w:t>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F74645">
        <w:rPr>
          <w:rFonts w:ascii="Verdana" w:eastAsia="Times New Roman" w:hAnsi="Verdana" w:cs="Times New Roman"/>
          <w:color w:val="000000"/>
          <w:lang w:eastAsia="es-CO"/>
        </w:rPr>
        <w:t>"</w:t>
      </w:r>
    </w:p>
    <w:p w14:paraId="1048DA3C" w14:textId="77777777" w:rsidR="00F64884" w:rsidRPr="00F74645" w:rsidRDefault="00F64884" w:rsidP="00F64884">
      <w:pPr>
        <w:spacing w:after="0" w:line="276" w:lineRule="auto"/>
        <w:jc w:val="both"/>
        <w:rPr>
          <w:rFonts w:ascii="Verdana" w:hAnsi="Verdana"/>
          <w:lang w:val="es-ES"/>
        </w:rPr>
      </w:pPr>
      <w:r w:rsidRPr="00F74645">
        <w:rPr>
          <w:rFonts w:ascii="Verdana" w:hAnsi="Verdana"/>
          <w:lang w:val="es-ES"/>
        </w:rPr>
        <w:t xml:space="preserve">Por último, lo invitamos a seguirnos en las redes sociales en las cuales se difunde información institucional: </w:t>
      </w:r>
    </w:p>
    <w:p w14:paraId="55E8F34E" w14:textId="77777777" w:rsidR="00F64884" w:rsidRPr="00F74645" w:rsidRDefault="00F64884" w:rsidP="00F64884">
      <w:pPr>
        <w:spacing w:after="0" w:line="276" w:lineRule="auto"/>
        <w:jc w:val="both"/>
        <w:rPr>
          <w:rFonts w:ascii="Verdana" w:hAnsi="Verdana"/>
          <w:lang w:val="es-ES"/>
        </w:rPr>
      </w:pPr>
    </w:p>
    <w:p w14:paraId="64CAEA6D" w14:textId="77777777" w:rsidR="00F64884" w:rsidRPr="00F74645" w:rsidRDefault="00F64884" w:rsidP="00F64884">
      <w:pPr>
        <w:spacing w:after="0" w:line="276" w:lineRule="auto"/>
        <w:jc w:val="both"/>
        <w:rPr>
          <w:rFonts w:ascii="Verdana" w:hAnsi="Verdana"/>
          <w:lang w:val="es-ES"/>
        </w:rPr>
      </w:pPr>
      <w:r w:rsidRPr="00F74645">
        <w:rPr>
          <w:rFonts w:ascii="Verdana" w:hAnsi="Verdana"/>
          <w:lang w:val="es-ES"/>
        </w:rPr>
        <w:t xml:space="preserve">Twitter: </w:t>
      </w:r>
      <w:r w:rsidRPr="00F74645">
        <w:rPr>
          <w:rFonts w:ascii="Verdana" w:hAnsi="Verdana" w:cs="Arial"/>
          <w:color w:val="0000FF"/>
          <w:u w:val="single"/>
          <w:shd w:val="clear" w:color="auto" w:fill="FFFFFF"/>
          <w:lang w:val="es-ES"/>
        </w:rPr>
        <w:t>@colombiacompra</w:t>
      </w:r>
      <w:r w:rsidRPr="00F74645">
        <w:rPr>
          <w:rFonts w:ascii="Verdana" w:hAnsi="Verdana"/>
          <w:color w:val="4472C4" w:themeColor="accent1"/>
          <w:lang w:val="es-ES"/>
        </w:rPr>
        <w:t xml:space="preserve"> </w:t>
      </w:r>
    </w:p>
    <w:p w14:paraId="57903170" w14:textId="77777777" w:rsidR="00F64884" w:rsidRPr="00F74645" w:rsidRDefault="00F64884" w:rsidP="00F64884">
      <w:pPr>
        <w:spacing w:after="0" w:line="276" w:lineRule="auto"/>
        <w:jc w:val="both"/>
        <w:rPr>
          <w:rFonts w:ascii="Verdana" w:hAnsi="Verdana"/>
          <w:lang w:val="es-ES"/>
        </w:rPr>
      </w:pPr>
      <w:r w:rsidRPr="00F74645">
        <w:rPr>
          <w:rFonts w:ascii="Verdana" w:hAnsi="Verdana"/>
          <w:lang w:val="es-ES"/>
        </w:rPr>
        <w:t xml:space="preserve">Facebook: </w:t>
      </w:r>
      <w:proofErr w:type="spellStart"/>
      <w:r w:rsidRPr="00F74645">
        <w:rPr>
          <w:rFonts w:ascii="Verdana" w:hAnsi="Verdana" w:cs="Arial"/>
          <w:color w:val="0000FF"/>
          <w:u w:val="single"/>
          <w:shd w:val="clear" w:color="auto" w:fill="FFFFFF"/>
          <w:lang w:val="es-ES"/>
        </w:rPr>
        <w:t>ColombiaCompraEficiente</w:t>
      </w:r>
      <w:proofErr w:type="spellEnd"/>
    </w:p>
    <w:p w14:paraId="51C5675C" w14:textId="77777777" w:rsidR="00F64884" w:rsidRPr="00F74645" w:rsidRDefault="00F64884" w:rsidP="00F64884">
      <w:pPr>
        <w:spacing w:after="0" w:line="276" w:lineRule="auto"/>
        <w:jc w:val="both"/>
        <w:rPr>
          <w:rFonts w:ascii="Verdana" w:hAnsi="Verdana"/>
          <w:lang w:val="es-ES"/>
        </w:rPr>
      </w:pPr>
      <w:r w:rsidRPr="00F74645">
        <w:rPr>
          <w:rFonts w:ascii="Verdana" w:hAnsi="Verdana"/>
          <w:lang w:val="es-ES"/>
        </w:rPr>
        <w:t xml:space="preserve">LinkedIn: </w:t>
      </w:r>
      <w:r w:rsidRPr="00F74645">
        <w:rPr>
          <w:rFonts w:ascii="Verdana" w:hAnsi="Verdana" w:cs="Arial"/>
          <w:color w:val="0000FF"/>
          <w:u w:val="single"/>
          <w:shd w:val="clear" w:color="auto" w:fill="FFFFFF"/>
          <w:lang w:val="es-ES"/>
        </w:rPr>
        <w:t xml:space="preserve">Agencia Nacional de Contratación Pública - Colombia Compra Eficiente </w:t>
      </w:r>
      <w:r w:rsidRPr="00F74645">
        <w:rPr>
          <w:rFonts w:ascii="Verdana" w:hAnsi="Verdana"/>
          <w:lang w:val="es-ES"/>
        </w:rPr>
        <w:t xml:space="preserve">Instagram: </w:t>
      </w:r>
      <w:r w:rsidRPr="00F74645">
        <w:rPr>
          <w:rFonts w:ascii="Verdana" w:hAnsi="Verdana" w:cs="Arial"/>
          <w:color w:val="0000FF"/>
          <w:u w:val="single"/>
          <w:shd w:val="clear" w:color="auto" w:fill="FFFFFF"/>
          <w:lang w:val="es-ES"/>
        </w:rPr>
        <w:t>@colombiacompraeficiente_cce</w:t>
      </w:r>
    </w:p>
    <w:p w14:paraId="1D1B0DD0" w14:textId="77777777" w:rsidR="00F64884" w:rsidRPr="00F74645" w:rsidRDefault="00F64884" w:rsidP="00F64884">
      <w:pPr>
        <w:spacing w:after="0" w:line="276" w:lineRule="auto"/>
        <w:jc w:val="both"/>
        <w:rPr>
          <w:rFonts w:ascii="Verdana" w:hAnsi="Verdana"/>
          <w:lang w:val="es-ES"/>
        </w:rPr>
      </w:pPr>
    </w:p>
    <w:p w14:paraId="31EDB2CA" w14:textId="77777777" w:rsidR="00F64884" w:rsidRPr="00F74645" w:rsidRDefault="00F64884" w:rsidP="00F64884">
      <w:pPr>
        <w:spacing w:before="120" w:after="0" w:line="276" w:lineRule="auto"/>
        <w:jc w:val="both"/>
        <w:rPr>
          <w:rFonts w:ascii="Verdana" w:hAnsi="Verdana"/>
        </w:rPr>
      </w:pPr>
      <w:r w:rsidRPr="00F74645">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06F0BB24" w14:textId="77777777" w:rsidR="00F64884" w:rsidRPr="00F74645" w:rsidRDefault="00F64884" w:rsidP="00F64884">
      <w:pPr>
        <w:spacing w:after="0" w:line="276" w:lineRule="auto"/>
        <w:jc w:val="both"/>
        <w:rPr>
          <w:rFonts w:ascii="Verdana" w:eastAsia="Calibri" w:hAnsi="Verdana" w:cs="Times New Roman"/>
        </w:rPr>
      </w:pPr>
    </w:p>
    <w:p w14:paraId="5C47F9B1" w14:textId="77777777" w:rsidR="00F64884" w:rsidRPr="00F74645" w:rsidRDefault="00F64884" w:rsidP="00F64884">
      <w:pPr>
        <w:spacing w:after="0" w:line="276" w:lineRule="auto"/>
        <w:jc w:val="both"/>
        <w:rPr>
          <w:rFonts w:ascii="Verdana" w:eastAsia="Calibri" w:hAnsi="Verdana" w:cs="Times New Roman"/>
        </w:rPr>
      </w:pPr>
      <w:r w:rsidRPr="00F74645">
        <w:rPr>
          <w:rFonts w:ascii="Verdana" w:eastAsia="Calibri" w:hAnsi="Verdana" w:cs="Times New Roman"/>
        </w:rPr>
        <w:t>Atentamente,</w:t>
      </w:r>
    </w:p>
    <w:p w14:paraId="5042DC2F" w14:textId="4B6ED374" w:rsidR="00F64884" w:rsidRPr="00F74645" w:rsidRDefault="001016CF" w:rsidP="00F64884">
      <w:pPr>
        <w:spacing w:after="0" w:line="276" w:lineRule="auto"/>
        <w:jc w:val="center"/>
        <w:rPr>
          <w:rFonts w:ascii="Verdana" w:eastAsia="Calibri" w:hAnsi="Verdana" w:cs="Times New Roman"/>
        </w:rPr>
      </w:pPr>
      <w:r>
        <w:rPr>
          <w:noProof/>
        </w:rPr>
        <w:drawing>
          <wp:inline distT="0" distB="0" distL="0" distR="0" wp14:anchorId="75B2F350" wp14:editId="6D2D2CA9">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8"/>
                    <a:stretch>
                      <a:fillRect/>
                    </a:stretch>
                  </pic:blipFill>
                  <pic:spPr>
                    <a:xfrm>
                      <a:off x="0" y="0"/>
                      <a:ext cx="3771900" cy="1400175"/>
                    </a:xfrm>
                    <a:prstGeom prst="rect">
                      <a:avLst/>
                    </a:prstGeom>
                  </pic:spPr>
                </pic:pic>
              </a:graphicData>
            </a:graphic>
          </wp:inline>
        </w:drawing>
      </w:r>
    </w:p>
    <w:p w14:paraId="3005CB98" w14:textId="77777777" w:rsidR="00F64884" w:rsidRPr="00F74645" w:rsidRDefault="00F64884" w:rsidP="00F64884">
      <w:pPr>
        <w:spacing w:after="0" w:line="276" w:lineRule="auto"/>
        <w:jc w:val="center"/>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F64884" w:rsidRPr="00F74645" w14:paraId="57C64889" w14:textId="77777777" w:rsidTr="00C671FE">
        <w:trPr>
          <w:trHeight w:val="315"/>
        </w:trPr>
        <w:tc>
          <w:tcPr>
            <w:tcW w:w="893" w:type="dxa"/>
            <w:vAlign w:val="center"/>
            <w:hideMark/>
          </w:tcPr>
          <w:p w14:paraId="69605BDC" w14:textId="77777777" w:rsidR="00F64884" w:rsidRPr="00F74645" w:rsidRDefault="00F64884" w:rsidP="00C671FE">
            <w:pPr>
              <w:contextualSpacing/>
              <w:rPr>
                <w:rFonts w:ascii="Verdana" w:hAnsi="Verdana" w:cs="Arial"/>
                <w:sz w:val="16"/>
                <w:szCs w:val="16"/>
                <w:lang w:eastAsia="es-ES"/>
              </w:rPr>
            </w:pPr>
            <w:r w:rsidRPr="00F74645">
              <w:rPr>
                <w:rFonts w:ascii="Verdana" w:hAnsi="Verdana" w:cs="Arial"/>
                <w:sz w:val="16"/>
                <w:szCs w:val="16"/>
                <w:lang w:eastAsia="es-ES"/>
              </w:rPr>
              <w:t>Elaboró:</w:t>
            </w:r>
          </w:p>
        </w:tc>
        <w:tc>
          <w:tcPr>
            <w:tcW w:w="5628" w:type="dxa"/>
            <w:tcBorders>
              <w:top w:val="nil"/>
              <w:left w:val="nil"/>
              <w:bottom w:val="dotted" w:sz="4" w:space="0" w:color="7F7F7F" w:themeColor="text1" w:themeTint="80"/>
              <w:right w:val="nil"/>
            </w:tcBorders>
            <w:vAlign w:val="center"/>
            <w:hideMark/>
          </w:tcPr>
          <w:p w14:paraId="30B0F85D" w14:textId="77777777" w:rsidR="00F64884" w:rsidRPr="00F74645" w:rsidRDefault="00F64884" w:rsidP="00C671FE">
            <w:pPr>
              <w:contextualSpacing/>
              <w:rPr>
                <w:rFonts w:ascii="Verdana" w:hAnsi="Verdana"/>
                <w:sz w:val="16"/>
                <w:szCs w:val="16"/>
              </w:rPr>
            </w:pPr>
            <w:r w:rsidRPr="00F74645">
              <w:rPr>
                <w:rFonts w:ascii="Verdana" w:hAnsi="Verdana"/>
                <w:sz w:val="16"/>
                <w:szCs w:val="16"/>
              </w:rPr>
              <w:t>Tatiana Baquero Iguarán</w:t>
            </w:r>
          </w:p>
          <w:p w14:paraId="1034E1C7" w14:textId="77777777" w:rsidR="00F64884" w:rsidRPr="00F74645" w:rsidRDefault="00F64884" w:rsidP="00C671FE">
            <w:pPr>
              <w:contextualSpacing/>
              <w:rPr>
                <w:rFonts w:ascii="Verdana" w:eastAsia="Arial" w:hAnsi="Verdana" w:cs="Arial"/>
                <w:sz w:val="16"/>
                <w:szCs w:val="16"/>
              </w:rPr>
            </w:pPr>
            <w:r w:rsidRPr="00F74645">
              <w:rPr>
                <w:rFonts w:ascii="Verdana" w:hAnsi="Verdana"/>
                <w:sz w:val="16"/>
                <w:szCs w:val="16"/>
              </w:rPr>
              <w:t>Contratista de la Subdirección de Gestión Contractual</w:t>
            </w:r>
          </w:p>
        </w:tc>
      </w:tr>
      <w:tr w:rsidR="00F64884" w:rsidRPr="00F74645" w14:paraId="432844D5" w14:textId="77777777" w:rsidTr="00C671FE">
        <w:trPr>
          <w:trHeight w:val="330"/>
        </w:trPr>
        <w:tc>
          <w:tcPr>
            <w:tcW w:w="893" w:type="dxa"/>
            <w:vAlign w:val="center"/>
            <w:hideMark/>
          </w:tcPr>
          <w:p w14:paraId="6CD9A747" w14:textId="77777777" w:rsidR="00F64884" w:rsidRPr="00F74645" w:rsidRDefault="00F64884" w:rsidP="00C671FE">
            <w:pPr>
              <w:contextualSpacing/>
              <w:rPr>
                <w:rFonts w:ascii="Verdana" w:hAnsi="Verdana" w:cs="Arial"/>
                <w:sz w:val="16"/>
                <w:szCs w:val="16"/>
                <w:lang w:eastAsia="es-ES"/>
              </w:rPr>
            </w:pPr>
            <w:r w:rsidRPr="00F74645">
              <w:rPr>
                <w:rFonts w:ascii="Verdana" w:hAnsi="Verdana" w:cs="Arial"/>
                <w:sz w:val="16"/>
                <w:szCs w:val="16"/>
                <w:lang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4F34421" w14:textId="77777777" w:rsidR="00F64884" w:rsidRPr="00F74645" w:rsidRDefault="00F64884" w:rsidP="00C671FE">
            <w:pPr>
              <w:textAlignment w:val="baseline"/>
              <w:rPr>
                <w:rFonts w:ascii="Verdana" w:eastAsia="Times New Roman" w:hAnsi="Verdana" w:cs="Arial"/>
                <w:sz w:val="16"/>
                <w:szCs w:val="16"/>
                <w:lang w:val="es-ES_tradnl"/>
              </w:rPr>
            </w:pPr>
            <w:r w:rsidRPr="00F74645">
              <w:rPr>
                <w:rFonts w:ascii="Verdana" w:eastAsia="Times New Roman" w:hAnsi="Verdana" w:cs="Arial"/>
                <w:sz w:val="16"/>
                <w:szCs w:val="16"/>
                <w:lang w:val="es-ES_tradnl"/>
              </w:rPr>
              <w:t>Alejandro Sarmiento Cantillo</w:t>
            </w:r>
          </w:p>
          <w:p w14:paraId="33899136" w14:textId="77777777" w:rsidR="00F64884" w:rsidRPr="00F74645" w:rsidRDefault="00F64884" w:rsidP="00C671FE">
            <w:pPr>
              <w:contextualSpacing/>
              <w:textAlignment w:val="baseline"/>
              <w:rPr>
                <w:rFonts w:ascii="Verdana" w:eastAsia="Times New Roman" w:hAnsi="Verdana" w:cs="Segoe UI"/>
                <w:sz w:val="16"/>
                <w:szCs w:val="16"/>
                <w:lang w:eastAsia="es-ES_tradnl"/>
              </w:rPr>
            </w:pPr>
            <w:r w:rsidRPr="00F74645">
              <w:rPr>
                <w:rFonts w:ascii="Verdana" w:hAnsi="Verdana" w:cs="Arial"/>
                <w:sz w:val="16"/>
                <w:szCs w:val="16"/>
                <w:lang w:val="es-ES_tradnl"/>
              </w:rPr>
              <w:t>Gestor T1 ‒ 15 de la Subdirección de Gestión Contractual</w:t>
            </w:r>
          </w:p>
          <w:p w14:paraId="3F949BC2" w14:textId="77777777" w:rsidR="00F64884" w:rsidRPr="00F74645" w:rsidRDefault="00F64884" w:rsidP="00C671FE">
            <w:pPr>
              <w:contextualSpacing/>
              <w:textAlignment w:val="baseline"/>
              <w:rPr>
                <w:rFonts w:ascii="Verdana" w:eastAsia="Times New Roman" w:hAnsi="Verdana" w:cs="Segoe UI"/>
                <w:sz w:val="16"/>
                <w:szCs w:val="16"/>
                <w:lang w:eastAsia="es-ES_tradnl"/>
              </w:rPr>
            </w:pPr>
          </w:p>
        </w:tc>
      </w:tr>
      <w:tr w:rsidR="00F64884" w:rsidRPr="00F74645" w14:paraId="18752AB1" w14:textId="77777777" w:rsidTr="00C671FE">
        <w:trPr>
          <w:trHeight w:val="300"/>
        </w:trPr>
        <w:tc>
          <w:tcPr>
            <w:tcW w:w="893" w:type="dxa"/>
            <w:vAlign w:val="center"/>
          </w:tcPr>
          <w:p w14:paraId="7AE573AC" w14:textId="77777777" w:rsidR="00F64884" w:rsidRPr="00F74645" w:rsidRDefault="00F64884" w:rsidP="00C671FE">
            <w:pPr>
              <w:contextualSpacing/>
              <w:rPr>
                <w:rFonts w:ascii="Verdana" w:hAnsi="Verdana" w:cs="Arial"/>
                <w:sz w:val="16"/>
                <w:szCs w:val="16"/>
                <w:lang w:eastAsia="es-ES"/>
              </w:rPr>
            </w:pPr>
            <w:r w:rsidRPr="00F74645">
              <w:rPr>
                <w:rFonts w:ascii="Verdana" w:hAnsi="Verdana" w:cs="Arial"/>
                <w:sz w:val="16"/>
                <w:szCs w:val="16"/>
                <w:lang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F937496" w14:textId="77777777" w:rsidR="00F64884" w:rsidRPr="00F74645" w:rsidRDefault="00F64884" w:rsidP="00C671FE">
            <w:pPr>
              <w:contextualSpacing/>
              <w:rPr>
                <w:rFonts w:ascii="Verdana" w:eastAsia="Calibri" w:hAnsi="Verdana" w:cs="Arial"/>
                <w:sz w:val="16"/>
                <w:szCs w:val="16"/>
                <w:lang w:eastAsia="es-ES"/>
              </w:rPr>
            </w:pPr>
            <w:r w:rsidRPr="00F74645">
              <w:rPr>
                <w:rFonts w:ascii="Verdana" w:eastAsia="Calibri" w:hAnsi="Verdana" w:cs="Arial"/>
                <w:sz w:val="16"/>
                <w:szCs w:val="16"/>
                <w:lang w:eastAsia="es-ES"/>
              </w:rPr>
              <w:t>Carolina Quintero Gacharná</w:t>
            </w:r>
          </w:p>
          <w:p w14:paraId="66EC75EE" w14:textId="77777777" w:rsidR="00F64884" w:rsidRPr="00F74645" w:rsidRDefault="00F64884" w:rsidP="00C671FE">
            <w:pPr>
              <w:contextualSpacing/>
              <w:rPr>
                <w:rFonts w:ascii="Verdana" w:eastAsia="Calibri" w:hAnsi="Verdana" w:cs="Arial"/>
                <w:sz w:val="16"/>
                <w:szCs w:val="16"/>
                <w:lang w:eastAsia="es-ES"/>
              </w:rPr>
            </w:pPr>
            <w:r w:rsidRPr="00F74645">
              <w:rPr>
                <w:rFonts w:ascii="Verdana" w:eastAsia="Calibri" w:hAnsi="Verdana" w:cs="Arial"/>
                <w:sz w:val="16"/>
                <w:szCs w:val="16"/>
                <w:lang w:eastAsia="es-ES"/>
              </w:rPr>
              <w:t>Subdirectora de Gestión Contractual ANCP – CCE</w:t>
            </w:r>
          </w:p>
        </w:tc>
      </w:tr>
    </w:tbl>
    <w:p w14:paraId="61F38C1C" w14:textId="77777777" w:rsidR="00F64884" w:rsidRPr="00F74645" w:rsidRDefault="00F64884" w:rsidP="00F64884">
      <w:pPr>
        <w:rPr>
          <w:lang w:val="es-ES"/>
        </w:rPr>
      </w:pPr>
    </w:p>
    <w:bookmarkEnd w:id="0"/>
    <w:p w14:paraId="4BC9F627" w14:textId="64017A5E" w:rsidR="006F626B" w:rsidRPr="00F64884" w:rsidRDefault="006F626B" w:rsidP="00F64884"/>
    <w:sectPr w:rsidR="006F626B" w:rsidRPr="00F64884"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E28C1" w14:textId="77777777" w:rsidR="004A782D" w:rsidRDefault="004A782D" w:rsidP="004A1847">
      <w:pPr>
        <w:spacing w:after="0" w:line="240" w:lineRule="auto"/>
      </w:pPr>
      <w:r>
        <w:separator/>
      </w:r>
    </w:p>
  </w:endnote>
  <w:endnote w:type="continuationSeparator" w:id="0">
    <w:p w14:paraId="3C15D16E" w14:textId="77777777" w:rsidR="004A782D" w:rsidRDefault="004A782D" w:rsidP="004A1847">
      <w:pPr>
        <w:spacing w:after="0" w:line="240" w:lineRule="auto"/>
      </w:pPr>
      <w:r>
        <w:continuationSeparator/>
      </w:r>
    </w:p>
  </w:endnote>
  <w:endnote w:type="continuationNotice" w:id="1">
    <w:p w14:paraId="032DCEB2" w14:textId="77777777" w:rsidR="004A782D" w:rsidRDefault="004A78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06DA4" w14:textId="77777777" w:rsidR="004A782D" w:rsidRDefault="004A782D" w:rsidP="004A1847">
      <w:pPr>
        <w:spacing w:after="0" w:line="240" w:lineRule="auto"/>
      </w:pPr>
      <w:r>
        <w:separator/>
      </w:r>
    </w:p>
  </w:footnote>
  <w:footnote w:type="continuationSeparator" w:id="0">
    <w:p w14:paraId="715850F6" w14:textId="77777777" w:rsidR="004A782D" w:rsidRDefault="004A782D" w:rsidP="004A1847">
      <w:pPr>
        <w:spacing w:after="0" w:line="240" w:lineRule="auto"/>
      </w:pPr>
      <w:r>
        <w:continuationSeparator/>
      </w:r>
    </w:p>
  </w:footnote>
  <w:footnote w:type="continuationNotice" w:id="1">
    <w:p w14:paraId="454F41F5" w14:textId="77777777" w:rsidR="004A782D" w:rsidRDefault="004A782D">
      <w:pPr>
        <w:spacing w:after="0" w:line="240" w:lineRule="auto"/>
      </w:pPr>
    </w:p>
  </w:footnote>
  <w:footnote w:id="2">
    <w:p w14:paraId="15DB81C2" w14:textId="77777777" w:rsidR="00F64884" w:rsidRPr="009D4402" w:rsidRDefault="00F64884" w:rsidP="00F64884">
      <w:pPr>
        <w:pStyle w:val="Textonotapie"/>
        <w:ind w:firstLine="709"/>
        <w:jc w:val="both"/>
        <w:rPr>
          <w:rFonts w:ascii="Verdana" w:eastAsia="Arial" w:hAnsi="Verdana" w:cs="Arial"/>
          <w:sz w:val="16"/>
          <w:szCs w:val="16"/>
          <w:lang w:val="es-ES"/>
        </w:rPr>
      </w:pPr>
      <w:r w:rsidRPr="00FA4E80">
        <w:rPr>
          <w:rStyle w:val="Refdenotaalpie"/>
          <w:rFonts w:ascii="Verdana" w:hAnsi="Verdana"/>
          <w:sz w:val="16"/>
          <w:szCs w:val="16"/>
        </w:rPr>
        <w:footnoteRef/>
      </w:r>
      <w:r w:rsidRPr="00FA4E80">
        <w:rPr>
          <w:rFonts w:ascii="Verdana" w:hAnsi="Verdana"/>
          <w:sz w:val="16"/>
          <w:szCs w:val="16"/>
        </w:rPr>
        <w:t xml:space="preserve"> </w:t>
      </w:r>
      <w:r w:rsidRPr="00FA4E80">
        <w:rPr>
          <w:rFonts w:ascii="Verdana" w:eastAsia="Arial" w:hAnsi="Verdana" w:cs="Arial"/>
          <w:sz w:val="16"/>
          <w:szCs w:val="16"/>
          <w:lang w:val="es-ES"/>
        </w:rPr>
        <w:t>Consejo de Estado. Sección Tercera. Subsección C. Sentencia del 12 de agosto de 2014. Rad. 28565. C.P. Enrique Gil Botero.</w:t>
      </w:r>
    </w:p>
  </w:footnote>
  <w:footnote w:id="3">
    <w:p w14:paraId="210DBDC7" w14:textId="77777777" w:rsidR="00F64884" w:rsidRPr="00FA4E80" w:rsidRDefault="00F64884" w:rsidP="00F64884">
      <w:pPr>
        <w:pStyle w:val="Textonotapie"/>
        <w:ind w:firstLine="709"/>
        <w:jc w:val="both"/>
        <w:rPr>
          <w:rFonts w:ascii="Verdana" w:hAnsi="Verdana"/>
          <w:sz w:val="16"/>
          <w:szCs w:val="16"/>
        </w:rPr>
      </w:pPr>
      <w:r w:rsidRPr="00FA4E80">
        <w:rPr>
          <w:rStyle w:val="Refdenotaalpie"/>
          <w:rFonts w:ascii="Verdana" w:hAnsi="Verdana"/>
          <w:sz w:val="16"/>
          <w:szCs w:val="16"/>
        </w:rPr>
        <w:footnoteRef/>
      </w:r>
      <w:r w:rsidRPr="00FA4E80">
        <w:rPr>
          <w:rFonts w:ascii="Verdana" w:hAnsi="Verdana"/>
          <w:sz w:val="16"/>
          <w:szCs w:val="16"/>
        </w:rPr>
        <w:t xml:space="preserve"> Las leyes Ley 38 de 1989, 179 de 1994 y 225 de 1995 fueron expedidas en desarrollo del artículo 352 constitucional. Estas fueron luego compiladas en el Decreto 111 de 1996, conocido como el Estatuto Orgánico de Presupuesto. </w:t>
      </w:r>
    </w:p>
  </w:footnote>
  <w:footnote w:id="4">
    <w:p w14:paraId="27364E04" w14:textId="77777777" w:rsidR="00F64884" w:rsidRPr="00FA4E80" w:rsidRDefault="00F64884" w:rsidP="00F64884">
      <w:pPr>
        <w:pStyle w:val="Textonotapie"/>
        <w:ind w:firstLine="709"/>
        <w:jc w:val="both"/>
        <w:rPr>
          <w:rFonts w:ascii="Verdana" w:hAnsi="Verdana"/>
          <w:sz w:val="16"/>
          <w:szCs w:val="16"/>
          <w:lang w:val="es-ES"/>
        </w:rPr>
      </w:pPr>
      <w:r w:rsidRPr="00FA4E80">
        <w:rPr>
          <w:rStyle w:val="Refdenotaalpie"/>
          <w:rFonts w:ascii="Verdana" w:hAnsi="Verdana"/>
          <w:sz w:val="16"/>
          <w:szCs w:val="16"/>
        </w:rPr>
        <w:footnoteRef/>
      </w:r>
      <w:r w:rsidRPr="00FA4E80">
        <w:rPr>
          <w:rFonts w:ascii="Verdana" w:hAnsi="Verdana"/>
          <w:sz w:val="16"/>
          <w:szCs w:val="16"/>
          <w:lang w:val="pt-BR"/>
        </w:rPr>
        <w:t xml:space="preserve"> CORTE CONSTITUCIONAL. Sentencia C-073 de 1993. </w:t>
      </w:r>
      <w:r w:rsidRPr="00FA4E80">
        <w:rPr>
          <w:rFonts w:ascii="Verdana" w:hAnsi="Verdana"/>
          <w:sz w:val="16"/>
          <w:szCs w:val="16"/>
        </w:rPr>
        <w:t>M.P. Alejandro Martínez Caballero.</w:t>
      </w:r>
    </w:p>
  </w:footnote>
  <w:footnote w:id="5">
    <w:p w14:paraId="695BB74F" w14:textId="77777777" w:rsidR="00F64884" w:rsidRPr="00FA4E80" w:rsidRDefault="00F64884" w:rsidP="00F64884">
      <w:pPr>
        <w:pStyle w:val="Textonotapie"/>
        <w:ind w:firstLine="709"/>
        <w:jc w:val="both"/>
        <w:rPr>
          <w:rFonts w:ascii="Verdana" w:hAnsi="Verdana"/>
          <w:sz w:val="16"/>
          <w:szCs w:val="16"/>
          <w:lang w:val="es-ES"/>
        </w:rPr>
      </w:pPr>
      <w:r w:rsidRPr="00FA4E80">
        <w:rPr>
          <w:rStyle w:val="Refdenotaalpie"/>
          <w:rFonts w:ascii="Verdana" w:hAnsi="Verdana"/>
          <w:sz w:val="16"/>
          <w:szCs w:val="16"/>
        </w:rPr>
        <w:footnoteRef/>
      </w:r>
      <w:r w:rsidRPr="00FA4E80">
        <w:rPr>
          <w:rFonts w:ascii="Verdana" w:hAnsi="Verdana"/>
          <w:sz w:val="16"/>
          <w:szCs w:val="16"/>
        </w:rPr>
        <w:t xml:space="preserve"> CONSEJO DE ESTADO. Sección Tercera. Sentencia del 12 de </w:t>
      </w:r>
      <w:proofErr w:type="gramStart"/>
      <w:r w:rsidRPr="00FA4E80">
        <w:rPr>
          <w:rFonts w:ascii="Verdana" w:hAnsi="Verdana"/>
          <w:sz w:val="16"/>
          <w:szCs w:val="16"/>
        </w:rPr>
        <w:t>Agosto</w:t>
      </w:r>
      <w:proofErr w:type="gramEnd"/>
      <w:r w:rsidRPr="00FA4E80">
        <w:rPr>
          <w:rFonts w:ascii="Verdana" w:hAnsi="Verdana"/>
          <w:sz w:val="16"/>
          <w:szCs w:val="16"/>
        </w:rPr>
        <w:t xml:space="preserve"> de 2014. </w:t>
      </w:r>
      <w:proofErr w:type="spellStart"/>
      <w:r w:rsidRPr="00FA4E80">
        <w:rPr>
          <w:rFonts w:ascii="Verdana" w:hAnsi="Verdana"/>
          <w:sz w:val="16"/>
          <w:szCs w:val="16"/>
        </w:rPr>
        <w:t>Exp</w:t>
      </w:r>
      <w:proofErr w:type="spellEnd"/>
      <w:r w:rsidRPr="00FA4E80">
        <w:rPr>
          <w:rFonts w:ascii="Verdana" w:hAnsi="Verdana"/>
          <w:sz w:val="16"/>
          <w:szCs w:val="16"/>
        </w:rPr>
        <w:t>. 28565. C.P. ENRIQUE GIL BOTERO</w:t>
      </w:r>
      <w:r w:rsidRPr="00FA4E80">
        <w:rPr>
          <w:rFonts w:ascii="Verdana" w:hAnsi="Verdana"/>
          <w:sz w:val="16"/>
          <w:szCs w:val="16"/>
          <w:lang w:val="es-ES"/>
        </w:rPr>
        <w:t>.</w:t>
      </w:r>
    </w:p>
  </w:footnote>
  <w:footnote w:id="6">
    <w:p w14:paraId="7E9432F4" w14:textId="77777777" w:rsidR="00F64884" w:rsidRPr="00FA4E80" w:rsidRDefault="00F64884" w:rsidP="00F64884">
      <w:pPr>
        <w:pStyle w:val="Textonotapie"/>
        <w:ind w:firstLine="709"/>
        <w:jc w:val="both"/>
        <w:rPr>
          <w:rFonts w:ascii="Verdana" w:hAnsi="Verdana"/>
          <w:sz w:val="16"/>
          <w:szCs w:val="16"/>
          <w:lang w:val="es-ES"/>
        </w:rPr>
      </w:pPr>
      <w:r w:rsidRPr="00FA4E80">
        <w:rPr>
          <w:rFonts w:ascii="Verdana" w:hAnsi="Verdana"/>
          <w:sz w:val="16"/>
          <w:szCs w:val="16"/>
          <w:vertAlign w:val="superscript"/>
        </w:rPr>
        <w:footnoteRef/>
      </w:r>
      <w:r w:rsidRPr="00FA4E80">
        <w:rPr>
          <w:rFonts w:ascii="Verdana" w:hAnsi="Verdana"/>
          <w:sz w:val="16"/>
          <w:szCs w:val="16"/>
        </w:rPr>
        <w:t xml:space="preserve"> Ley 80 de 1993, artículo 25.</w:t>
      </w:r>
    </w:p>
  </w:footnote>
  <w:footnote w:id="7">
    <w:p w14:paraId="1673B201" w14:textId="77777777" w:rsidR="00F64884" w:rsidRPr="00FA4E80" w:rsidRDefault="00F64884" w:rsidP="00F64884">
      <w:pPr>
        <w:pStyle w:val="Textonotapie"/>
        <w:ind w:firstLine="709"/>
        <w:jc w:val="both"/>
        <w:rPr>
          <w:rFonts w:ascii="Verdana" w:hAnsi="Verdana"/>
          <w:sz w:val="16"/>
          <w:szCs w:val="16"/>
          <w:lang w:val="es-CO"/>
        </w:rPr>
      </w:pPr>
      <w:r w:rsidRPr="00FA4E80">
        <w:rPr>
          <w:rStyle w:val="Refdenotaalpie"/>
          <w:rFonts w:ascii="Verdana" w:hAnsi="Verdana"/>
          <w:sz w:val="16"/>
          <w:szCs w:val="16"/>
        </w:rPr>
        <w:footnoteRef/>
      </w:r>
      <w:r w:rsidRPr="00FA4E80">
        <w:rPr>
          <w:rFonts w:ascii="Verdana" w:hAnsi="Verdana"/>
          <w:sz w:val="16"/>
          <w:szCs w:val="16"/>
        </w:rPr>
        <w:t xml:space="preserve"> “</w:t>
      </w:r>
      <w:r w:rsidRPr="00FA4E80">
        <w:rPr>
          <w:rFonts w:ascii="Verdana" w:hAnsi="Verdana"/>
          <w:sz w:val="16"/>
          <w:szCs w:val="16"/>
          <w:lang w:val="es-CO"/>
        </w:rPr>
        <w:t>ARTÍCULO </w:t>
      </w:r>
      <w:bookmarkStart w:id="5" w:name="2.6.6.2.10"/>
      <w:bookmarkEnd w:id="5"/>
      <w:r w:rsidRPr="00FA4E80">
        <w:rPr>
          <w:rFonts w:ascii="Verdana" w:hAnsi="Verdana"/>
          <w:sz w:val="16"/>
          <w:szCs w:val="16"/>
          <w:lang w:val="es-CO"/>
        </w:rPr>
        <w:t>2.6.6.2.10. </w:t>
      </w:r>
      <w:proofErr w:type="gramStart"/>
      <w:r w:rsidRPr="00FA4E80">
        <w:rPr>
          <w:rFonts w:ascii="Verdana" w:hAnsi="Verdana"/>
          <w:i/>
          <w:iCs/>
          <w:sz w:val="16"/>
          <w:szCs w:val="16"/>
          <w:lang w:val="es-CO"/>
        </w:rPr>
        <w:t>Ejecución presupuesto</w:t>
      </w:r>
      <w:proofErr w:type="gramEnd"/>
      <w:r w:rsidRPr="00FA4E80">
        <w:rPr>
          <w:rFonts w:ascii="Verdana" w:hAnsi="Verdana"/>
          <w:i/>
          <w:iCs/>
          <w:sz w:val="16"/>
          <w:szCs w:val="16"/>
          <w:lang w:val="es-CO"/>
        </w:rPr>
        <w:t xml:space="preserve"> los Fondos de Desarrollo Local.</w:t>
      </w:r>
      <w:r w:rsidRPr="00FA4E80">
        <w:rPr>
          <w:rFonts w:ascii="Verdana" w:hAnsi="Verdana"/>
          <w:sz w:val="16"/>
          <w:szCs w:val="16"/>
          <w:lang w:val="es-CO"/>
        </w:rPr>
        <w:t xml:space="preserve"> Al </w:t>
      </w:r>
      <w:proofErr w:type="gramStart"/>
      <w:r w:rsidRPr="00FA4E80">
        <w:rPr>
          <w:rFonts w:ascii="Verdana" w:hAnsi="Verdana"/>
          <w:sz w:val="16"/>
          <w:szCs w:val="16"/>
          <w:lang w:val="es-CO"/>
        </w:rPr>
        <w:t>Alcalde</w:t>
      </w:r>
      <w:proofErr w:type="gramEnd"/>
      <w:r w:rsidRPr="00FA4E80">
        <w:rPr>
          <w:rFonts w:ascii="Verdana" w:hAnsi="Verdana"/>
          <w:sz w:val="16"/>
          <w:szCs w:val="16"/>
          <w:lang w:val="es-CO"/>
        </w:rPr>
        <w:t xml:space="preserve"> Local corresponderá la ordenación del gasto incorporado en el presupuesto de la localidad respectiva.</w:t>
      </w:r>
    </w:p>
    <w:p w14:paraId="6F809179" w14:textId="77777777" w:rsidR="00F64884" w:rsidRPr="00FA4E80" w:rsidRDefault="00F64884" w:rsidP="00F64884">
      <w:pPr>
        <w:pStyle w:val="Textonotapie"/>
        <w:ind w:firstLine="709"/>
        <w:jc w:val="both"/>
        <w:rPr>
          <w:rFonts w:ascii="Verdana" w:hAnsi="Verdana"/>
          <w:sz w:val="16"/>
          <w:szCs w:val="16"/>
          <w:lang w:val="es-CO"/>
        </w:rPr>
      </w:pPr>
      <w:r w:rsidRPr="00FA4E80">
        <w:rPr>
          <w:rFonts w:ascii="Verdana" w:eastAsia="Times New Roman" w:hAnsi="Verdana" w:cs="Arial"/>
          <w:sz w:val="16"/>
          <w:szCs w:val="16"/>
          <w:lang w:val="es-ES" w:eastAsia="es-MX"/>
        </w:rPr>
        <w:t>[…]</w:t>
      </w:r>
    </w:p>
    <w:p w14:paraId="3259C93E" w14:textId="77777777" w:rsidR="00F64884" w:rsidRPr="00FA4E80" w:rsidRDefault="00F64884" w:rsidP="00F64884">
      <w:pPr>
        <w:pStyle w:val="Textonotapie"/>
        <w:ind w:firstLine="709"/>
        <w:jc w:val="both"/>
        <w:rPr>
          <w:rFonts w:ascii="Verdana" w:hAnsi="Verdana"/>
          <w:sz w:val="16"/>
          <w:szCs w:val="16"/>
          <w:lang w:val="es-CO"/>
        </w:rPr>
      </w:pPr>
      <w:r w:rsidRPr="00FA4E80">
        <w:rPr>
          <w:rFonts w:ascii="Verdana" w:hAnsi="Verdana"/>
          <w:sz w:val="16"/>
          <w:szCs w:val="16"/>
          <w:lang w:val="es-CO"/>
        </w:rPr>
        <w:t>No se podrán tramitar o legalizar actos administrativos u obligaciones que afecten el presupuesto de gastos cuando no reúnan los requisitos legales o se configuren como hechos cumplidos</w:t>
      </w:r>
      <w:r w:rsidRPr="00FA4E80">
        <w:rPr>
          <w:rFonts w:ascii="Verdana" w:hAnsi="Verdana"/>
          <w:i/>
          <w:iCs/>
          <w:sz w:val="16"/>
          <w:szCs w:val="16"/>
          <w:lang w:val="es-CO"/>
        </w:rPr>
        <w:t>.”</w:t>
      </w:r>
    </w:p>
  </w:footnote>
  <w:footnote w:id="8">
    <w:p w14:paraId="398A13C9" w14:textId="77777777" w:rsidR="00F64884" w:rsidRPr="00FA4E80" w:rsidRDefault="00F64884" w:rsidP="00F64884">
      <w:pPr>
        <w:pStyle w:val="Textonotapie"/>
        <w:ind w:firstLine="709"/>
        <w:jc w:val="both"/>
        <w:rPr>
          <w:rFonts w:ascii="Verdana" w:hAnsi="Verdana"/>
          <w:color w:val="333333"/>
          <w:sz w:val="16"/>
          <w:szCs w:val="16"/>
          <w:shd w:val="clear" w:color="auto" w:fill="FFFFFF"/>
        </w:rPr>
      </w:pPr>
      <w:r w:rsidRPr="00FA4E80">
        <w:rPr>
          <w:rStyle w:val="Refdenotaalpie"/>
          <w:rFonts w:ascii="Verdana" w:hAnsi="Verdana"/>
          <w:sz w:val="16"/>
          <w:szCs w:val="16"/>
        </w:rPr>
        <w:footnoteRef/>
      </w:r>
      <w:r w:rsidRPr="00FA4E80">
        <w:rPr>
          <w:rFonts w:ascii="Verdana" w:hAnsi="Verdana"/>
          <w:sz w:val="16"/>
          <w:szCs w:val="16"/>
        </w:rPr>
        <w:t xml:space="preserve"> “</w:t>
      </w:r>
      <w:r w:rsidRPr="00FA4E80">
        <w:rPr>
          <w:rStyle w:val="Fuerte"/>
          <w:rFonts w:ascii="Verdana" w:hAnsi="Verdana"/>
          <w:b w:val="0"/>
          <w:bCs w:val="0"/>
          <w:color w:val="333333"/>
          <w:sz w:val="16"/>
          <w:szCs w:val="16"/>
          <w:shd w:val="clear" w:color="auto" w:fill="FFFFFF"/>
        </w:rPr>
        <w:t>ARTÍCULO </w:t>
      </w:r>
      <w:bookmarkStart w:id="6" w:name="2.10.1.5.3.10"/>
      <w:bookmarkEnd w:id="6"/>
      <w:r w:rsidRPr="00FA4E80">
        <w:rPr>
          <w:rStyle w:val="Fuerte"/>
          <w:rFonts w:ascii="Verdana" w:hAnsi="Verdana"/>
          <w:b w:val="0"/>
          <w:bCs w:val="0"/>
          <w:color w:val="333333"/>
          <w:sz w:val="16"/>
          <w:szCs w:val="16"/>
          <w:shd w:val="clear" w:color="auto" w:fill="FFFFFF"/>
        </w:rPr>
        <w:t>2.10.1.5.3.10.</w:t>
      </w:r>
      <w:r w:rsidRPr="00FA4E80">
        <w:rPr>
          <w:rStyle w:val="Fuerte"/>
          <w:rFonts w:ascii="Verdana" w:hAnsi="Verdana"/>
          <w:color w:val="333333"/>
          <w:sz w:val="16"/>
          <w:szCs w:val="16"/>
          <w:shd w:val="clear" w:color="auto" w:fill="FFFFFF"/>
        </w:rPr>
        <w:t> </w:t>
      </w:r>
      <w:r w:rsidRPr="00FA4E80">
        <w:rPr>
          <w:rStyle w:val="nfasis"/>
          <w:rFonts w:ascii="Verdana" w:hAnsi="Verdana"/>
          <w:color w:val="333333"/>
          <w:sz w:val="16"/>
          <w:szCs w:val="16"/>
          <w:shd w:val="clear" w:color="auto" w:fill="FFFFFF"/>
        </w:rPr>
        <w:t>Ejecución del presupuesto de los Fondos de Desarrollo Local.</w:t>
      </w:r>
      <w:r w:rsidRPr="00FA4E80">
        <w:rPr>
          <w:rFonts w:ascii="Verdana" w:hAnsi="Verdana"/>
          <w:color w:val="333333"/>
          <w:sz w:val="16"/>
          <w:szCs w:val="16"/>
          <w:shd w:val="clear" w:color="auto" w:fill="FFFFFF"/>
        </w:rPr>
        <w:t xml:space="preserve"> Al </w:t>
      </w:r>
      <w:proofErr w:type="gramStart"/>
      <w:r w:rsidRPr="00FA4E80">
        <w:rPr>
          <w:rFonts w:ascii="Verdana" w:hAnsi="Verdana"/>
          <w:color w:val="333333"/>
          <w:sz w:val="16"/>
          <w:szCs w:val="16"/>
          <w:shd w:val="clear" w:color="auto" w:fill="FFFFFF"/>
        </w:rPr>
        <w:t>Alcalde</w:t>
      </w:r>
      <w:proofErr w:type="gramEnd"/>
      <w:r w:rsidRPr="00FA4E80">
        <w:rPr>
          <w:rFonts w:ascii="Verdana" w:hAnsi="Verdana"/>
          <w:color w:val="333333"/>
          <w:sz w:val="16"/>
          <w:szCs w:val="16"/>
          <w:shd w:val="clear" w:color="auto" w:fill="FFFFFF"/>
        </w:rPr>
        <w:t xml:space="preserve"> Local le corresponderá la ordenación del gasto incorporado en el presupuesto de la localidad respectiva. Las apropiaciones son autorizaciones máximas de gasto que comprometidas durante la vigencia fiscal respectiva. Después del 31 de diciembre de cada año las autorizaciones expiran y en consecuencia no podrán adicionarse, transferirse, </w:t>
      </w:r>
      <w:proofErr w:type="spellStart"/>
      <w:r w:rsidRPr="00FA4E80">
        <w:rPr>
          <w:rFonts w:ascii="Verdana" w:hAnsi="Verdana"/>
          <w:color w:val="333333"/>
          <w:sz w:val="16"/>
          <w:szCs w:val="16"/>
          <w:shd w:val="clear" w:color="auto" w:fill="FFFFFF"/>
        </w:rPr>
        <w:t>contracreditarse</w:t>
      </w:r>
      <w:proofErr w:type="spellEnd"/>
      <w:r w:rsidRPr="00FA4E80">
        <w:rPr>
          <w:rFonts w:ascii="Verdana" w:hAnsi="Verdana"/>
          <w:color w:val="333333"/>
          <w:sz w:val="16"/>
          <w:szCs w:val="16"/>
          <w:shd w:val="clear" w:color="auto" w:fill="FFFFFF"/>
        </w:rPr>
        <w:t>, ni comprometerse.</w:t>
      </w:r>
    </w:p>
    <w:p w14:paraId="0125CBB5" w14:textId="77777777" w:rsidR="00F64884" w:rsidRPr="00FA4E80" w:rsidRDefault="00F64884" w:rsidP="00F64884">
      <w:pPr>
        <w:pStyle w:val="Textonotapie"/>
        <w:ind w:firstLine="709"/>
        <w:jc w:val="both"/>
        <w:rPr>
          <w:rFonts w:ascii="Verdana" w:hAnsi="Verdana"/>
          <w:sz w:val="16"/>
          <w:szCs w:val="16"/>
          <w:lang w:val="es-CO"/>
        </w:rPr>
      </w:pPr>
      <w:r w:rsidRPr="00FA4E80">
        <w:rPr>
          <w:rFonts w:ascii="Verdana" w:eastAsia="Times New Roman" w:hAnsi="Verdana" w:cs="Arial"/>
          <w:sz w:val="16"/>
          <w:szCs w:val="16"/>
          <w:lang w:val="es-ES" w:eastAsia="es-MX"/>
        </w:rPr>
        <w:t>[…]</w:t>
      </w:r>
    </w:p>
    <w:p w14:paraId="22048F62" w14:textId="77777777" w:rsidR="00F64884" w:rsidRPr="00FA4E80" w:rsidRDefault="00F64884" w:rsidP="00F64884">
      <w:pPr>
        <w:pStyle w:val="Textonotapie"/>
        <w:ind w:firstLine="709"/>
        <w:jc w:val="both"/>
        <w:rPr>
          <w:rFonts w:ascii="Verdana" w:hAnsi="Verdana"/>
          <w:sz w:val="16"/>
          <w:szCs w:val="16"/>
          <w:lang w:val="es-CO"/>
        </w:rPr>
      </w:pPr>
      <w:r w:rsidRPr="00FA4E80">
        <w:rPr>
          <w:rFonts w:ascii="Verdana" w:hAnsi="Verdana"/>
          <w:color w:val="333333"/>
          <w:sz w:val="16"/>
          <w:szCs w:val="16"/>
          <w:shd w:val="clear" w:color="auto" w:fill="FFFFFF"/>
        </w:rPr>
        <w:t>Esta operación es un requisito de existencia y perfeccionamiento de tales actos administrativos. No se podrán tramitar o legalizar actos administrativos u obligaciones que afecten el presupuesto de gastos cuando no reúnan los requisitos legales o se configuren como hechos cumplidos”.</w:t>
      </w:r>
    </w:p>
  </w:footnote>
  <w:footnote w:id="9">
    <w:p w14:paraId="23FD7806" w14:textId="77777777" w:rsidR="00F64884" w:rsidRPr="00FA4E80" w:rsidRDefault="00F64884" w:rsidP="00F64884">
      <w:pPr>
        <w:pStyle w:val="Textonotapie"/>
        <w:ind w:firstLine="709"/>
        <w:jc w:val="both"/>
        <w:rPr>
          <w:rFonts w:ascii="Verdana" w:hAnsi="Verdana"/>
          <w:sz w:val="16"/>
          <w:szCs w:val="16"/>
          <w:lang w:val="es-CO"/>
        </w:rPr>
      </w:pPr>
      <w:r w:rsidRPr="00FA4E80">
        <w:rPr>
          <w:rStyle w:val="Refdenotaalpie"/>
          <w:rFonts w:ascii="Verdana" w:hAnsi="Verdana"/>
          <w:sz w:val="16"/>
          <w:szCs w:val="16"/>
        </w:rPr>
        <w:footnoteRef/>
      </w:r>
      <w:r w:rsidRPr="00FA4E80">
        <w:rPr>
          <w:rFonts w:ascii="Verdana" w:hAnsi="Verdana"/>
          <w:sz w:val="16"/>
          <w:szCs w:val="16"/>
        </w:rPr>
        <w:t xml:space="preserve"> “</w:t>
      </w:r>
      <w:r w:rsidRPr="00FA4E80">
        <w:rPr>
          <w:rFonts w:ascii="Verdana" w:hAnsi="Verdana"/>
          <w:sz w:val="16"/>
          <w:szCs w:val="16"/>
          <w:lang w:val="es-CO"/>
        </w:rPr>
        <w:t>ARTÍCULO </w:t>
      </w:r>
      <w:bookmarkStart w:id="7" w:name="2.8.3.2.9"/>
      <w:bookmarkEnd w:id="7"/>
      <w:r w:rsidRPr="00FA4E80">
        <w:rPr>
          <w:rFonts w:ascii="Verdana" w:hAnsi="Verdana"/>
          <w:sz w:val="16"/>
          <w:szCs w:val="16"/>
          <w:lang w:val="es-CO"/>
        </w:rPr>
        <w:t>2.8.3.2.9. Prohibiciones. No se podrá tramitar o legalizar actos administrativos u obligaciones que afecten el presupuesto de gastos cuando no reúnan los requisitos legales o se configuren como hechos cumplidos. Los ordenadores de gastos responderán disciplinaria, fiscal y penalmente por incumplir lo establecido en esta norma”.</w:t>
      </w:r>
    </w:p>
  </w:footnote>
  <w:footnote w:id="10">
    <w:p w14:paraId="4DF23FDB" w14:textId="77777777" w:rsidR="00F64884" w:rsidRPr="00FA4E80" w:rsidRDefault="00F64884" w:rsidP="00F64884">
      <w:pPr>
        <w:pStyle w:val="Textonotapie"/>
        <w:ind w:firstLine="709"/>
        <w:jc w:val="both"/>
        <w:rPr>
          <w:rFonts w:ascii="Verdana" w:hAnsi="Verdana"/>
          <w:sz w:val="16"/>
          <w:szCs w:val="16"/>
          <w:lang w:val="es-CO"/>
        </w:rPr>
      </w:pPr>
      <w:r w:rsidRPr="00FA4E80">
        <w:rPr>
          <w:rStyle w:val="Refdenotaalpie"/>
          <w:rFonts w:ascii="Verdana" w:hAnsi="Verdana"/>
          <w:sz w:val="16"/>
          <w:szCs w:val="16"/>
        </w:rPr>
        <w:footnoteRef/>
      </w:r>
      <w:r w:rsidRPr="00FA4E80">
        <w:rPr>
          <w:rFonts w:ascii="Verdana" w:hAnsi="Verdana"/>
          <w:sz w:val="16"/>
          <w:szCs w:val="16"/>
        </w:rPr>
        <w:t xml:space="preserve"> CONTRALORÍA GENERAL DE LA REPÚBLICA. Concepto 2013EE0066330 del 12-07-2013, Oficina Jurídica</w:t>
      </w:r>
    </w:p>
  </w:footnote>
  <w:footnote w:id="11">
    <w:p w14:paraId="61888332" w14:textId="77777777" w:rsidR="00F64884" w:rsidRPr="00FA4E80" w:rsidRDefault="00F64884" w:rsidP="00F64884">
      <w:pPr>
        <w:pStyle w:val="Textonotapie"/>
        <w:ind w:firstLine="709"/>
        <w:jc w:val="both"/>
        <w:rPr>
          <w:rFonts w:ascii="Verdana" w:hAnsi="Verdana"/>
          <w:sz w:val="16"/>
          <w:szCs w:val="16"/>
        </w:rPr>
      </w:pPr>
      <w:r w:rsidRPr="00FA4E80">
        <w:rPr>
          <w:rStyle w:val="Refdenotaalpie"/>
          <w:rFonts w:ascii="Verdana" w:hAnsi="Verdana"/>
          <w:sz w:val="16"/>
          <w:szCs w:val="16"/>
        </w:rPr>
        <w:footnoteRef/>
      </w:r>
      <w:r w:rsidRPr="00FA4E80">
        <w:rPr>
          <w:rFonts w:ascii="Verdana" w:hAnsi="Verdana"/>
          <w:sz w:val="16"/>
          <w:szCs w:val="16"/>
        </w:rPr>
        <w:t xml:space="preserve"> Plata-Álvarez, A., &amp; Hoyos-Rincón, A. M. (2024). Análisis del medio de control procedente ante la Jurisdicción Contencioso Administrativa para la controversia. Revista Ratio Juris, 20(40), 323-358. Disponible en: </w:t>
      </w:r>
      <w:hyperlink r:id="rId1" w:history="1">
        <w:r w:rsidRPr="00FA4E80">
          <w:rPr>
            <w:rStyle w:val="Hipervnculo"/>
            <w:rFonts w:ascii="Verdana" w:hAnsi="Verdana"/>
            <w:sz w:val="16"/>
            <w:szCs w:val="16"/>
          </w:rPr>
          <w:t>https://doi.org/10.24142/raju.v20n40a12</w:t>
        </w:r>
      </w:hyperlink>
      <w:r w:rsidRPr="00FA4E80">
        <w:rPr>
          <w:rFonts w:ascii="Verdana" w:hAnsi="Verdana"/>
          <w:sz w:val="16"/>
          <w:szCs w:val="16"/>
        </w:rPr>
        <w:t xml:space="preserve"> </w:t>
      </w:r>
    </w:p>
  </w:footnote>
  <w:footnote w:id="12">
    <w:p w14:paraId="4D1DF406" w14:textId="77777777" w:rsidR="00F64884" w:rsidRPr="00FA4E80" w:rsidRDefault="00F64884" w:rsidP="00F64884">
      <w:pPr>
        <w:pStyle w:val="Textonotapie"/>
        <w:snapToGrid w:val="0"/>
        <w:ind w:firstLine="708"/>
        <w:contextualSpacing/>
        <w:jc w:val="both"/>
        <w:rPr>
          <w:rFonts w:ascii="Verdana" w:hAnsi="Verdana"/>
          <w:sz w:val="16"/>
          <w:szCs w:val="16"/>
          <w:lang w:val="pt-BR"/>
        </w:rPr>
      </w:pPr>
      <w:r w:rsidRPr="00FA4E80">
        <w:rPr>
          <w:rStyle w:val="Refdenotaalpie"/>
          <w:rFonts w:ascii="Verdana" w:hAnsi="Verdana"/>
          <w:sz w:val="16"/>
          <w:szCs w:val="16"/>
        </w:rPr>
        <w:footnoteRef/>
      </w:r>
      <w:r w:rsidRPr="00FA4E80">
        <w:rPr>
          <w:rFonts w:ascii="Verdana" w:hAnsi="Verdana"/>
          <w:sz w:val="16"/>
          <w:szCs w:val="16"/>
        </w:rPr>
        <w:t xml:space="preserve"> CONSEJO DE ESTADO. Sala Plena. Sección Tercera. Sentencia de Unificación del 19 de noviembre de 2012. </w:t>
      </w:r>
      <w:r w:rsidRPr="00FA4E80">
        <w:rPr>
          <w:rFonts w:ascii="Verdana" w:hAnsi="Verdana"/>
          <w:sz w:val="16"/>
          <w:szCs w:val="16"/>
          <w:lang w:val="pt-BR"/>
        </w:rPr>
        <w:t xml:space="preserve">C.P. Jaime Orlando </w:t>
      </w:r>
      <w:proofErr w:type="spellStart"/>
      <w:r w:rsidRPr="00FA4E80">
        <w:rPr>
          <w:rFonts w:ascii="Verdana" w:hAnsi="Verdana"/>
          <w:sz w:val="16"/>
          <w:szCs w:val="16"/>
          <w:lang w:val="pt-BR"/>
        </w:rPr>
        <w:t>Santofimio</w:t>
      </w:r>
      <w:proofErr w:type="spellEnd"/>
      <w:r w:rsidRPr="00FA4E80">
        <w:rPr>
          <w:rFonts w:ascii="Verdana" w:hAnsi="Verdana"/>
          <w:sz w:val="16"/>
          <w:szCs w:val="16"/>
          <w:lang w:val="pt-BR"/>
        </w:rPr>
        <w:t xml:space="preserve"> Gamboa. Exp. 24997.</w:t>
      </w:r>
    </w:p>
  </w:footnote>
  <w:footnote w:id="13">
    <w:p w14:paraId="11276260" w14:textId="77777777" w:rsidR="00F64884" w:rsidRPr="00FA4E80" w:rsidRDefault="00F64884" w:rsidP="00F64884">
      <w:pPr>
        <w:pStyle w:val="Textonotapie"/>
        <w:snapToGrid w:val="0"/>
        <w:ind w:firstLine="708"/>
        <w:contextualSpacing/>
        <w:jc w:val="both"/>
        <w:rPr>
          <w:rFonts w:ascii="Verdana" w:hAnsi="Verdana"/>
          <w:sz w:val="16"/>
          <w:szCs w:val="16"/>
          <w:lang w:val="pt-BR"/>
        </w:rPr>
      </w:pPr>
      <w:r w:rsidRPr="00FA4E80">
        <w:rPr>
          <w:rStyle w:val="Refdenotaalpie"/>
          <w:rFonts w:ascii="Verdana" w:hAnsi="Verdana"/>
          <w:sz w:val="16"/>
          <w:szCs w:val="16"/>
        </w:rPr>
        <w:footnoteRef/>
      </w:r>
      <w:r w:rsidRPr="00FA4E80">
        <w:rPr>
          <w:rFonts w:ascii="Verdana" w:hAnsi="Verdana"/>
          <w:sz w:val="16"/>
          <w:szCs w:val="16"/>
        </w:rPr>
        <w:t xml:space="preserve"> </w:t>
      </w:r>
      <w:r w:rsidRPr="00FA4E80">
        <w:rPr>
          <w:rFonts w:ascii="Verdana" w:hAnsi="Verdana"/>
          <w:sz w:val="16"/>
          <w:szCs w:val="16"/>
          <w:lang w:val="es-CO"/>
        </w:rPr>
        <w:t xml:space="preserve">Ibidem </w:t>
      </w:r>
    </w:p>
  </w:footnote>
  <w:footnote w:id="14">
    <w:p w14:paraId="2EF5A856" w14:textId="77777777" w:rsidR="00F64884" w:rsidRPr="00FA4E80" w:rsidRDefault="00F64884" w:rsidP="00F64884">
      <w:pPr>
        <w:pStyle w:val="Textonotapie"/>
        <w:snapToGrid w:val="0"/>
        <w:ind w:firstLine="708"/>
        <w:contextualSpacing/>
        <w:jc w:val="both"/>
        <w:rPr>
          <w:rFonts w:ascii="Verdana" w:hAnsi="Verdana"/>
          <w:sz w:val="16"/>
          <w:szCs w:val="16"/>
          <w:lang w:val="pt-BR"/>
        </w:rPr>
      </w:pPr>
      <w:r w:rsidRPr="00FA4E80">
        <w:rPr>
          <w:rStyle w:val="Refdenotaalpie"/>
          <w:rFonts w:ascii="Verdana" w:hAnsi="Verdana"/>
          <w:sz w:val="16"/>
          <w:szCs w:val="16"/>
        </w:rPr>
        <w:footnoteRef/>
      </w:r>
      <w:r w:rsidRPr="00FA4E80">
        <w:rPr>
          <w:rFonts w:ascii="Verdana" w:hAnsi="Verdana"/>
          <w:sz w:val="16"/>
          <w:szCs w:val="16"/>
          <w:lang w:val="pt-BR"/>
        </w:rPr>
        <w:t xml:space="preserve"> CONSEJO DE ESTADO. </w:t>
      </w:r>
      <w:r w:rsidRPr="00FA4E80">
        <w:rPr>
          <w:rFonts w:ascii="Verdana" w:hAnsi="Verdana"/>
          <w:sz w:val="16"/>
          <w:szCs w:val="16"/>
        </w:rPr>
        <w:t xml:space="preserve">Sala Plena. Sección Tercera. Sentencia de Unificación del 31 de julio de 2025. </w:t>
      </w:r>
      <w:r w:rsidRPr="00FA4E80">
        <w:rPr>
          <w:rFonts w:ascii="Verdana" w:hAnsi="Verdana"/>
          <w:sz w:val="16"/>
          <w:szCs w:val="16"/>
          <w:lang w:val="pt-BR"/>
        </w:rPr>
        <w:t xml:space="preserve">C.P. Fernando Alexei Pardo </w:t>
      </w:r>
      <w:proofErr w:type="spellStart"/>
      <w:r w:rsidRPr="00FA4E80">
        <w:rPr>
          <w:rFonts w:ascii="Verdana" w:hAnsi="Verdana"/>
          <w:sz w:val="16"/>
          <w:szCs w:val="16"/>
          <w:lang w:val="pt-BR"/>
        </w:rPr>
        <w:t>Flórez</w:t>
      </w:r>
      <w:proofErr w:type="spellEnd"/>
      <w:r w:rsidRPr="00FA4E80">
        <w:rPr>
          <w:rFonts w:ascii="Verdana" w:hAnsi="Verdana"/>
          <w:sz w:val="16"/>
          <w:szCs w:val="16"/>
          <w:lang w:val="pt-BR"/>
        </w:rPr>
        <w:t xml:space="preserve">. Exp. 57464. </w:t>
      </w:r>
    </w:p>
  </w:footnote>
  <w:footnote w:id="15">
    <w:p w14:paraId="2147AC35" w14:textId="77777777" w:rsidR="00F64884" w:rsidRPr="00FA4E80" w:rsidRDefault="00F64884" w:rsidP="00F64884">
      <w:pPr>
        <w:pStyle w:val="Textonotapie"/>
        <w:snapToGrid w:val="0"/>
        <w:ind w:firstLine="708"/>
        <w:contextualSpacing/>
        <w:jc w:val="both"/>
        <w:rPr>
          <w:rFonts w:ascii="Verdana" w:hAnsi="Verdana"/>
          <w:sz w:val="16"/>
          <w:szCs w:val="16"/>
          <w:lang w:val="pt-BR"/>
        </w:rPr>
      </w:pPr>
      <w:r w:rsidRPr="00FA4E80">
        <w:rPr>
          <w:rStyle w:val="Refdenotaalpie"/>
          <w:rFonts w:ascii="Verdana" w:hAnsi="Verdana"/>
          <w:sz w:val="16"/>
          <w:szCs w:val="16"/>
        </w:rPr>
        <w:footnoteRef/>
      </w:r>
      <w:r w:rsidRPr="00FA4E80">
        <w:rPr>
          <w:rFonts w:ascii="Verdana" w:hAnsi="Verdana"/>
          <w:sz w:val="16"/>
          <w:szCs w:val="16"/>
          <w:lang w:val="pt-BR"/>
        </w:rPr>
        <w:t xml:space="preserve"> </w:t>
      </w:r>
      <w:proofErr w:type="spellStart"/>
      <w:r w:rsidRPr="00FA4E80">
        <w:rPr>
          <w:rFonts w:ascii="Verdana" w:hAnsi="Verdana"/>
          <w:sz w:val="16"/>
          <w:szCs w:val="16"/>
          <w:lang w:val="pt-BR"/>
        </w:rPr>
        <w:t>Ibídem</w:t>
      </w:r>
      <w:proofErr w:type="spellEnd"/>
      <w:r w:rsidRPr="00FA4E80">
        <w:rPr>
          <w:rFonts w:ascii="Verdana" w:hAnsi="Verdana"/>
          <w:sz w:val="16"/>
          <w:szCs w:val="16"/>
          <w:lang w:val="pt-BR"/>
        </w:rPr>
        <w:t xml:space="preserve">. </w:t>
      </w:r>
    </w:p>
  </w:footnote>
  <w:footnote w:id="16">
    <w:p w14:paraId="55A6333C" w14:textId="77777777" w:rsidR="00F64884" w:rsidRPr="00FA4E80" w:rsidRDefault="00F64884" w:rsidP="00F64884">
      <w:pPr>
        <w:pStyle w:val="Textonotapie"/>
        <w:snapToGrid w:val="0"/>
        <w:ind w:firstLine="708"/>
        <w:contextualSpacing/>
        <w:jc w:val="both"/>
        <w:rPr>
          <w:rFonts w:ascii="Verdana" w:hAnsi="Verdana"/>
          <w:sz w:val="16"/>
          <w:szCs w:val="16"/>
          <w:lang w:val="pt-BR"/>
        </w:rPr>
      </w:pPr>
      <w:r w:rsidRPr="00FA4E80">
        <w:rPr>
          <w:rStyle w:val="Refdenotaalpie"/>
          <w:rFonts w:ascii="Verdana" w:hAnsi="Verdana"/>
          <w:sz w:val="16"/>
          <w:szCs w:val="16"/>
        </w:rPr>
        <w:footnoteRef/>
      </w:r>
      <w:r w:rsidRPr="00FA4E80">
        <w:rPr>
          <w:rFonts w:ascii="Verdana" w:hAnsi="Verdana"/>
          <w:sz w:val="16"/>
          <w:szCs w:val="16"/>
          <w:lang w:val="pt-BR"/>
        </w:rPr>
        <w:t xml:space="preserve"> </w:t>
      </w:r>
      <w:proofErr w:type="spellStart"/>
      <w:r w:rsidRPr="00FA4E80">
        <w:rPr>
          <w:rFonts w:ascii="Verdana" w:hAnsi="Verdana"/>
          <w:sz w:val="16"/>
          <w:szCs w:val="16"/>
          <w:lang w:val="pt-BR"/>
        </w:rPr>
        <w:t>Ibídem</w:t>
      </w:r>
      <w:proofErr w:type="spellEnd"/>
      <w:r w:rsidRPr="00FA4E80">
        <w:rPr>
          <w:rFonts w:ascii="Verdana" w:hAnsi="Verdana"/>
          <w:sz w:val="16"/>
          <w:szCs w:val="16"/>
          <w:lang w:val="pt-BR"/>
        </w:rPr>
        <w:t xml:space="preserve">. </w:t>
      </w:r>
    </w:p>
  </w:footnote>
  <w:footnote w:id="17">
    <w:p w14:paraId="640877A9" w14:textId="77777777" w:rsidR="00F64884" w:rsidRPr="00FA4E80" w:rsidRDefault="00F64884" w:rsidP="00F64884">
      <w:pPr>
        <w:pStyle w:val="Textonotapie"/>
        <w:ind w:firstLine="709"/>
        <w:jc w:val="both"/>
        <w:rPr>
          <w:rFonts w:ascii="Verdana" w:hAnsi="Verdana"/>
          <w:sz w:val="16"/>
          <w:szCs w:val="16"/>
          <w:lang w:val="es-CO"/>
        </w:rPr>
      </w:pPr>
      <w:r w:rsidRPr="00FA4E80">
        <w:rPr>
          <w:rStyle w:val="Refdenotaalpie"/>
          <w:rFonts w:ascii="Verdana" w:hAnsi="Verdana"/>
          <w:sz w:val="16"/>
          <w:szCs w:val="16"/>
        </w:rPr>
        <w:footnoteRef/>
      </w:r>
      <w:r w:rsidRPr="00FA4E80">
        <w:rPr>
          <w:rFonts w:ascii="Verdana" w:hAnsi="Verdana"/>
          <w:sz w:val="16"/>
          <w:szCs w:val="16"/>
        </w:rPr>
        <w:t xml:space="preserve"> </w:t>
      </w:r>
      <w:r w:rsidRPr="00FA4E80">
        <w:rPr>
          <w:rFonts w:ascii="Verdana" w:hAnsi="Verdana"/>
          <w:sz w:val="16"/>
          <w:szCs w:val="16"/>
          <w:lang w:val="pt-BR"/>
        </w:rPr>
        <w:t xml:space="preserve">CONSEJO DE ESTADO. </w:t>
      </w:r>
      <w:r w:rsidRPr="00FA4E80">
        <w:rPr>
          <w:rFonts w:ascii="Verdana" w:hAnsi="Verdana"/>
          <w:sz w:val="16"/>
          <w:szCs w:val="16"/>
        </w:rPr>
        <w:t xml:space="preserve">Sección Tercera. Sentencia del 24 de octubre de 2025. </w:t>
      </w:r>
      <w:r w:rsidRPr="00FA4E80">
        <w:rPr>
          <w:rFonts w:ascii="Verdana" w:hAnsi="Verdana"/>
          <w:sz w:val="16"/>
          <w:szCs w:val="16"/>
          <w:lang w:val="pt-BR"/>
        </w:rPr>
        <w:t>C.P.</w:t>
      </w:r>
      <w:r w:rsidRPr="00FA4E80">
        <w:rPr>
          <w:rFonts w:ascii="Verdana" w:hAnsi="Verdana"/>
          <w:sz w:val="16"/>
          <w:szCs w:val="16"/>
        </w:rPr>
        <w:t xml:space="preserve"> </w:t>
      </w:r>
      <w:proofErr w:type="spellStart"/>
      <w:r w:rsidRPr="00FA4E80">
        <w:rPr>
          <w:rFonts w:ascii="Verdana" w:hAnsi="Verdana"/>
          <w:sz w:val="16"/>
          <w:szCs w:val="16"/>
          <w:lang w:val="pt-BR"/>
        </w:rPr>
        <w:t>María</w:t>
      </w:r>
      <w:proofErr w:type="spellEnd"/>
      <w:r w:rsidRPr="00FA4E80">
        <w:rPr>
          <w:rFonts w:ascii="Verdana" w:hAnsi="Verdana"/>
          <w:sz w:val="16"/>
          <w:szCs w:val="16"/>
          <w:lang w:val="pt-BR"/>
        </w:rPr>
        <w:t xml:space="preserve"> Adriana Marín. Exp. 65349.</w:t>
      </w:r>
    </w:p>
  </w:footnote>
  <w:footnote w:id="18">
    <w:p w14:paraId="33E379B1" w14:textId="77777777" w:rsidR="00F64884" w:rsidRPr="00FA4E80" w:rsidRDefault="00F64884" w:rsidP="00F64884">
      <w:pPr>
        <w:pStyle w:val="Textonotapie"/>
        <w:ind w:firstLine="709"/>
        <w:jc w:val="both"/>
        <w:rPr>
          <w:rFonts w:ascii="Verdana" w:hAnsi="Verdana"/>
          <w:sz w:val="16"/>
          <w:szCs w:val="16"/>
          <w:lang w:val="es-CO"/>
        </w:rPr>
      </w:pPr>
      <w:r w:rsidRPr="00FA4E80">
        <w:rPr>
          <w:rStyle w:val="Refdenotaalpie"/>
          <w:rFonts w:ascii="Verdana" w:hAnsi="Verdana"/>
          <w:sz w:val="16"/>
          <w:szCs w:val="16"/>
        </w:rPr>
        <w:footnoteRef/>
      </w:r>
      <w:r w:rsidRPr="00FA4E80">
        <w:rPr>
          <w:rFonts w:ascii="Verdana" w:hAnsi="Verdana"/>
          <w:sz w:val="16"/>
          <w:szCs w:val="16"/>
        </w:rPr>
        <w:t xml:space="preserve"> </w:t>
      </w:r>
      <w:r w:rsidRPr="00FA4E80">
        <w:rPr>
          <w:rFonts w:ascii="Verdana" w:hAnsi="Verdana"/>
          <w:sz w:val="16"/>
          <w:szCs w:val="16"/>
          <w:lang w:val="es-CO"/>
        </w:rPr>
        <w:t xml:space="preserve">Frente a este supuesto, el Consejo de Estado en sentencia del 4 de junio de 2015 señaló lo siguiente: “Sin embargo, al interior de esta idea hay que incorporar una clasificación ilustradora de su alcance: El enriquecimiento sin causa que analizó la sentencia del 19 de noviembre de 2012 no impide que las cantidades ejecutadas en exceso de lo inicialmente pactado se reconozcan a quien las ejecutó, pero con la condición de que guarden relación de necesidad con el objeto principal y su alcance; de manera que eventos como la compensación entre ítems por cantidades </w:t>
      </w:r>
      <w:proofErr w:type="spellStart"/>
      <w:r w:rsidRPr="00FA4E80">
        <w:rPr>
          <w:rFonts w:ascii="Verdana" w:hAnsi="Verdana"/>
          <w:sz w:val="16"/>
          <w:szCs w:val="16"/>
          <w:lang w:val="es-CO"/>
        </w:rPr>
        <w:t>sobre-ejecutadas</w:t>
      </w:r>
      <w:proofErr w:type="spellEnd"/>
      <w:r w:rsidRPr="00FA4E80">
        <w:rPr>
          <w:rFonts w:ascii="Verdana" w:hAnsi="Verdana"/>
          <w:sz w:val="16"/>
          <w:szCs w:val="16"/>
          <w:lang w:val="es-CO"/>
        </w:rPr>
        <w:t xml:space="preserve"> versus inejecución de otros </w:t>
      </w:r>
      <w:proofErr w:type="spellStart"/>
      <w:r w:rsidRPr="00FA4E80">
        <w:rPr>
          <w:rFonts w:ascii="Verdana" w:hAnsi="Verdana"/>
          <w:sz w:val="16"/>
          <w:szCs w:val="16"/>
          <w:lang w:val="es-CO"/>
        </w:rPr>
        <w:t>items</w:t>
      </w:r>
      <w:proofErr w:type="spellEnd"/>
      <w:r w:rsidRPr="00FA4E80">
        <w:rPr>
          <w:rFonts w:ascii="Verdana" w:hAnsi="Verdana"/>
          <w:sz w:val="16"/>
          <w:szCs w:val="16"/>
          <w:lang w:val="es-CO"/>
        </w:rPr>
        <w:t xml:space="preserve"> -deficitarios en su ejecución- son alternativas técnicas que realizan las partes de un contrato de obra, tanto pública como privada, y que constituyen prácticas de la administración del contrato admisibles siempre y cuando preserven lo pactado.</w:t>
      </w:r>
    </w:p>
    <w:p w14:paraId="38C05956" w14:textId="77777777" w:rsidR="00F64884" w:rsidRPr="00FA4E80" w:rsidRDefault="00F64884" w:rsidP="00F64884">
      <w:pPr>
        <w:pStyle w:val="Textonotapie"/>
        <w:ind w:firstLine="709"/>
        <w:jc w:val="both"/>
        <w:rPr>
          <w:rFonts w:ascii="Verdana" w:hAnsi="Verdana"/>
          <w:sz w:val="16"/>
          <w:szCs w:val="16"/>
          <w:lang w:val="es-CO"/>
        </w:rPr>
      </w:pPr>
      <w:r w:rsidRPr="00FA4E80">
        <w:rPr>
          <w:rFonts w:ascii="Verdana" w:hAnsi="Verdana"/>
          <w:sz w:val="16"/>
          <w:szCs w:val="16"/>
          <w:lang w:val="es-CO"/>
        </w:rPr>
        <w:t xml:space="preserve">No obstante, un evento más complejo es la ejecución de mayores cantidades, necesarias para la ejecución de la obra, actividad o estudio, que siendo claro que requieren de un acuerdo previo entre las partes, podrán reconocerse -debidamente probadas- si se ejecutan, y por medio de la acción contractual, con la condición de que la mayor ejecución no encubra un nuevo objeto no pactado. </w:t>
      </w:r>
    </w:p>
    <w:p w14:paraId="46301082" w14:textId="77777777" w:rsidR="00F64884" w:rsidRPr="00FA4E80" w:rsidRDefault="00F64884" w:rsidP="00F64884">
      <w:pPr>
        <w:pStyle w:val="Textonotapie"/>
        <w:ind w:firstLine="709"/>
        <w:jc w:val="both"/>
        <w:rPr>
          <w:rFonts w:ascii="Verdana" w:hAnsi="Verdana"/>
          <w:sz w:val="16"/>
          <w:szCs w:val="16"/>
          <w:lang w:val="es-CO"/>
        </w:rPr>
      </w:pPr>
      <w:r w:rsidRPr="00FA4E80">
        <w:rPr>
          <w:rFonts w:ascii="Verdana" w:hAnsi="Verdana"/>
          <w:sz w:val="16"/>
          <w:szCs w:val="16"/>
          <w:lang w:val="es-CO"/>
        </w:rPr>
        <w:t xml:space="preserve">La casuística es muy amplia, pero en general se trata de examinar si la ejecución en exceso de lo contratado hace parte o no de las prestaciones pactadas; de establecerse la relación de necesidad procede el pago por medio de la acción contractual; de concluirse que se trata de una actividad autónoma -no necesaria para la ejecución perfecta del objeto- no procede su pago, por las razones anotadas en la sentencia del 19 de noviembre de 2012”. </w:t>
      </w:r>
      <w:r w:rsidRPr="00FA4E80">
        <w:rPr>
          <w:rFonts w:ascii="Verdana" w:hAnsi="Verdana"/>
          <w:sz w:val="16"/>
          <w:szCs w:val="16"/>
          <w:lang w:val="pt-BR"/>
        </w:rPr>
        <w:t xml:space="preserve">CONSEJO DE ESTADO. </w:t>
      </w:r>
      <w:r w:rsidRPr="00FA4E80">
        <w:rPr>
          <w:rFonts w:ascii="Verdana" w:hAnsi="Verdana"/>
          <w:sz w:val="16"/>
          <w:szCs w:val="16"/>
        </w:rPr>
        <w:t xml:space="preserve">Sección Tercera. </w:t>
      </w:r>
      <w:r w:rsidRPr="00FA4E80">
        <w:rPr>
          <w:rFonts w:ascii="Verdana" w:hAnsi="Verdana"/>
          <w:sz w:val="16"/>
          <w:szCs w:val="16"/>
          <w:lang w:val="pt-BR"/>
        </w:rPr>
        <w:t>C.P.</w:t>
      </w:r>
      <w:r w:rsidRPr="00FA4E80">
        <w:rPr>
          <w:rFonts w:ascii="Verdana" w:hAnsi="Verdana"/>
          <w:sz w:val="16"/>
          <w:szCs w:val="16"/>
        </w:rPr>
        <w:t xml:space="preserve"> Olga Melida Valle De </w:t>
      </w:r>
      <w:proofErr w:type="spellStart"/>
      <w:r w:rsidRPr="00FA4E80">
        <w:rPr>
          <w:rFonts w:ascii="Verdana" w:hAnsi="Verdana"/>
          <w:sz w:val="16"/>
          <w:szCs w:val="16"/>
        </w:rPr>
        <w:t>De</w:t>
      </w:r>
      <w:proofErr w:type="spellEnd"/>
      <w:r w:rsidRPr="00FA4E80">
        <w:rPr>
          <w:rFonts w:ascii="Verdana" w:hAnsi="Verdana"/>
          <w:sz w:val="16"/>
          <w:szCs w:val="16"/>
        </w:rPr>
        <w:t xml:space="preserve"> La Hoz</w:t>
      </w:r>
      <w:r w:rsidRPr="00FA4E80">
        <w:rPr>
          <w:rFonts w:ascii="Verdana" w:hAnsi="Verdana"/>
          <w:sz w:val="16"/>
          <w:szCs w:val="16"/>
          <w:lang w:val="pt-BR"/>
        </w:rPr>
        <w:t>. Exp. 28400.</w:t>
      </w:r>
    </w:p>
  </w:footnote>
  <w:footnote w:id="19">
    <w:p w14:paraId="3CF62404" w14:textId="77777777" w:rsidR="00F64884" w:rsidRPr="00FA4E80" w:rsidRDefault="00F64884" w:rsidP="00F64884">
      <w:pPr>
        <w:pStyle w:val="Textonotapie"/>
        <w:ind w:firstLine="709"/>
        <w:jc w:val="both"/>
        <w:rPr>
          <w:rFonts w:ascii="Verdana" w:hAnsi="Verdana" w:cs="Arial"/>
          <w:b/>
          <w:bCs/>
          <w:sz w:val="16"/>
          <w:szCs w:val="16"/>
        </w:rPr>
      </w:pPr>
      <w:r w:rsidRPr="00FA4E80">
        <w:rPr>
          <w:rStyle w:val="Refdenotaalpie"/>
          <w:rFonts w:ascii="Verdana" w:hAnsi="Verdana" w:cs="Arial"/>
          <w:sz w:val="16"/>
          <w:szCs w:val="16"/>
        </w:rPr>
        <w:footnoteRef/>
      </w:r>
      <w:r w:rsidRPr="00FA4E80">
        <w:rPr>
          <w:rFonts w:ascii="Verdana" w:hAnsi="Verdana" w:cs="Arial"/>
          <w:sz w:val="16"/>
          <w:szCs w:val="16"/>
        </w:rPr>
        <w:t xml:space="preserve"> Procuraduría General de la Nación. Los mecanismos alternativos de solución de conflictos en Colombia. MASC. Estudios, caracterización y compilación normativa y jurisprudencial. Tomo III, p. 53. En: </w:t>
      </w:r>
      <w:hyperlink r:id="rId2" w:history="1">
        <w:r w:rsidRPr="00FA4E80">
          <w:rPr>
            <w:rStyle w:val="Hipervnculo"/>
            <w:rFonts w:ascii="Verdana" w:hAnsi="Verdana" w:cs="Arial"/>
            <w:sz w:val="16"/>
            <w:szCs w:val="16"/>
          </w:rPr>
          <w:t>https://www.procuraduria.gov.co/iemp/media/file/img/noticias/Los%20mecanismos%20alternativos%20%20de%20soluci%C3%B3n%20de%20conflictos%20en%20Colombia%20+%20MASC.pdf</w:t>
        </w:r>
      </w:hyperlink>
    </w:p>
  </w:footnote>
  <w:footnote w:id="20">
    <w:p w14:paraId="49D090A8" w14:textId="77777777" w:rsidR="00F64884" w:rsidRPr="00FA4E80" w:rsidRDefault="00F64884" w:rsidP="00F64884">
      <w:pPr>
        <w:pStyle w:val="Textonotapie"/>
        <w:ind w:firstLine="709"/>
        <w:jc w:val="both"/>
        <w:rPr>
          <w:rFonts w:ascii="Verdana" w:hAnsi="Verdana"/>
          <w:sz w:val="16"/>
          <w:szCs w:val="16"/>
        </w:rPr>
      </w:pPr>
      <w:r w:rsidRPr="00FA4E80">
        <w:rPr>
          <w:rStyle w:val="Refdenotaalpie"/>
          <w:rFonts w:ascii="Verdana" w:hAnsi="Verdana"/>
          <w:sz w:val="16"/>
          <w:szCs w:val="16"/>
        </w:rPr>
        <w:footnoteRef/>
      </w:r>
      <w:r w:rsidRPr="00FA4E80">
        <w:rPr>
          <w:rFonts w:ascii="Verdana" w:hAnsi="Verdana"/>
          <w:sz w:val="16"/>
          <w:szCs w:val="16"/>
        </w:rPr>
        <w:t xml:space="preserve"> La redacción del artículo 1.625 es la siguiente: “Toda obligación puede extinguirse por una convención en que las partes interesadas, siendo capaces de disponer libremente de lo suyo, consientan en darla por nula.</w:t>
      </w:r>
    </w:p>
    <w:p w14:paraId="614A69C0" w14:textId="77777777" w:rsidR="00F64884" w:rsidRPr="00FA4E80" w:rsidRDefault="00F64884" w:rsidP="00F64884">
      <w:pPr>
        <w:pStyle w:val="Textonotapie"/>
        <w:ind w:firstLine="709"/>
        <w:jc w:val="both"/>
        <w:rPr>
          <w:rFonts w:ascii="Verdana" w:hAnsi="Verdana"/>
          <w:sz w:val="16"/>
          <w:szCs w:val="16"/>
        </w:rPr>
      </w:pPr>
      <w:r w:rsidRPr="00FA4E80">
        <w:rPr>
          <w:rFonts w:ascii="Verdana" w:hAnsi="Verdana"/>
          <w:sz w:val="16"/>
          <w:szCs w:val="16"/>
        </w:rPr>
        <w:t>Las obligaciones se extinguen además en todo o en parte:</w:t>
      </w:r>
    </w:p>
    <w:p w14:paraId="7EC7DA17" w14:textId="77777777" w:rsidR="00F64884" w:rsidRPr="00FA4E80" w:rsidRDefault="00F64884" w:rsidP="00F64884">
      <w:pPr>
        <w:pStyle w:val="Textonotapie"/>
        <w:ind w:firstLine="709"/>
        <w:jc w:val="both"/>
        <w:rPr>
          <w:rFonts w:ascii="Verdana" w:hAnsi="Verdana"/>
          <w:sz w:val="16"/>
          <w:szCs w:val="16"/>
        </w:rPr>
      </w:pPr>
      <w:r w:rsidRPr="00FA4E80">
        <w:rPr>
          <w:rFonts w:ascii="Verdana" w:hAnsi="Verdana"/>
          <w:sz w:val="16"/>
          <w:szCs w:val="16"/>
        </w:rPr>
        <w:t>1o.) Por la solución o pago efectivo. 2o.) Por la novación.</w:t>
      </w:r>
    </w:p>
    <w:p w14:paraId="5406A169" w14:textId="77777777" w:rsidR="00F64884" w:rsidRPr="00FA4E80" w:rsidRDefault="00F64884" w:rsidP="00F64884">
      <w:pPr>
        <w:pStyle w:val="Textonotapie"/>
        <w:ind w:firstLine="709"/>
        <w:jc w:val="both"/>
        <w:rPr>
          <w:rFonts w:ascii="Verdana" w:hAnsi="Verdana"/>
          <w:sz w:val="16"/>
          <w:szCs w:val="16"/>
        </w:rPr>
      </w:pPr>
      <w:r w:rsidRPr="00FA4E80">
        <w:rPr>
          <w:rFonts w:ascii="Verdana" w:hAnsi="Verdana"/>
          <w:sz w:val="16"/>
          <w:szCs w:val="16"/>
        </w:rPr>
        <w:t>3o.) Por la transacción.</w:t>
      </w:r>
    </w:p>
    <w:p w14:paraId="1D6B1921" w14:textId="77777777" w:rsidR="00F64884" w:rsidRPr="00FA4E80" w:rsidRDefault="00F64884" w:rsidP="00F64884">
      <w:pPr>
        <w:pStyle w:val="Textonotapie"/>
        <w:ind w:firstLine="709"/>
        <w:jc w:val="both"/>
        <w:rPr>
          <w:rFonts w:ascii="Verdana" w:hAnsi="Verdana"/>
          <w:sz w:val="16"/>
          <w:szCs w:val="16"/>
        </w:rPr>
      </w:pPr>
      <w:r w:rsidRPr="00FA4E80">
        <w:rPr>
          <w:rFonts w:ascii="Verdana" w:hAnsi="Verdana"/>
          <w:sz w:val="16"/>
          <w:szCs w:val="16"/>
        </w:rPr>
        <w:t>4o.) Por la remisión.</w:t>
      </w:r>
    </w:p>
    <w:p w14:paraId="30AFD49E" w14:textId="77777777" w:rsidR="00F64884" w:rsidRPr="00FA4E80" w:rsidRDefault="00F64884" w:rsidP="00F64884">
      <w:pPr>
        <w:pStyle w:val="Textonotapie"/>
        <w:ind w:firstLine="709"/>
        <w:jc w:val="both"/>
        <w:rPr>
          <w:rFonts w:ascii="Verdana" w:hAnsi="Verdana"/>
          <w:sz w:val="16"/>
          <w:szCs w:val="16"/>
        </w:rPr>
      </w:pPr>
      <w:r w:rsidRPr="00FA4E80">
        <w:rPr>
          <w:rFonts w:ascii="Verdana" w:hAnsi="Verdana"/>
          <w:sz w:val="16"/>
          <w:szCs w:val="16"/>
        </w:rPr>
        <w:t>5o.) Por la compensación.</w:t>
      </w:r>
    </w:p>
    <w:p w14:paraId="647C6BC4" w14:textId="77777777" w:rsidR="00F64884" w:rsidRPr="00FA4E80" w:rsidRDefault="00F64884" w:rsidP="00F64884">
      <w:pPr>
        <w:pStyle w:val="Textonotapie"/>
        <w:ind w:firstLine="709"/>
        <w:jc w:val="both"/>
        <w:rPr>
          <w:rFonts w:ascii="Verdana" w:hAnsi="Verdana"/>
          <w:sz w:val="16"/>
          <w:szCs w:val="16"/>
        </w:rPr>
      </w:pPr>
      <w:r w:rsidRPr="00FA4E80">
        <w:rPr>
          <w:rFonts w:ascii="Verdana" w:hAnsi="Verdana"/>
          <w:sz w:val="16"/>
          <w:szCs w:val="16"/>
        </w:rPr>
        <w:t>6o.) Por la confusión.</w:t>
      </w:r>
    </w:p>
    <w:p w14:paraId="143F2B27" w14:textId="77777777" w:rsidR="00F64884" w:rsidRPr="00FA4E80" w:rsidRDefault="00F64884" w:rsidP="00F64884">
      <w:pPr>
        <w:pStyle w:val="Textonotapie"/>
        <w:ind w:firstLine="709"/>
        <w:jc w:val="both"/>
        <w:rPr>
          <w:rFonts w:ascii="Verdana" w:hAnsi="Verdana"/>
          <w:sz w:val="16"/>
          <w:szCs w:val="16"/>
        </w:rPr>
      </w:pPr>
      <w:r w:rsidRPr="00FA4E80">
        <w:rPr>
          <w:rFonts w:ascii="Verdana" w:hAnsi="Verdana"/>
          <w:sz w:val="16"/>
          <w:szCs w:val="16"/>
        </w:rPr>
        <w:t>7o.) Por la pérdida de la cosa que se debe.</w:t>
      </w:r>
    </w:p>
    <w:p w14:paraId="56672EB0" w14:textId="77777777" w:rsidR="00F64884" w:rsidRPr="00FA4E80" w:rsidRDefault="00F64884" w:rsidP="00F64884">
      <w:pPr>
        <w:pStyle w:val="Textonotapie"/>
        <w:ind w:firstLine="709"/>
        <w:jc w:val="both"/>
        <w:rPr>
          <w:rFonts w:ascii="Verdana" w:hAnsi="Verdana"/>
          <w:sz w:val="16"/>
          <w:szCs w:val="16"/>
        </w:rPr>
      </w:pPr>
      <w:r w:rsidRPr="00FA4E80">
        <w:rPr>
          <w:rFonts w:ascii="Verdana" w:hAnsi="Verdana"/>
          <w:sz w:val="16"/>
          <w:szCs w:val="16"/>
        </w:rPr>
        <w:t>8o.) Por la declaración de nulidad o por la rescisión. 9o.) Por el evento de la condición resolutoria.</w:t>
      </w:r>
    </w:p>
    <w:p w14:paraId="4F7706A1" w14:textId="77777777" w:rsidR="00F64884" w:rsidRPr="00FA4E80" w:rsidRDefault="00F64884" w:rsidP="00F64884">
      <w:pPr>
        <w:pStyle w:val="Textonotapie"/>
        <w:ind w:firstLine="709"/>
        <w:jc w:val="both"/>
        <w:rPr>
          <w:rFonts w:ascii="Verdana" w:hAnsi="Verdana"/>
          <w:sz w:val="16"/>
          <w:szCs w:val="16"/>
        </w:rPr>
      </w:pPr>
      <w:r w:rsidRPr="00FA4E80">
        <w:rPr>
          <w:rFonts w:ascii="Verdana" w:hAnsi="Verdana"/>
          <w:sz w:val="16"/>
          <w:szCs w:val="16"/>
        </w:rPr>
        <w:t>10.) Por la prescripción.</w:t>
      </w:r>
    </w:p>
    <w:p w14:paraId="24462F86" w14:textId="77777777" w:rsidR="00F64884" w:rsidRPr="00FA4E80" w:rsidRDefault="00F64884" w:rsidP="00F64884">
      <w:pPr>
        <w:pStyle w:val="Textonotapie"/>
        <w:ind w:firstLine="709"/>
        <w:jc w:val="both"/>
        <w:rPr>
          <w:rFonts w:ascii="Verdana" w:hAnsi="Verdana"/>
          <w:sz w:val="16"/>
          <w:szCs w:val="16"/>
          <w:lang w:val="es-ES_tradnl"/>
        </w:rPr>
      </w:pPr>
      <w:r w:rsidRPr="00FA4E80">
        <w:rPr>
          <w:rFonts w:ascii="Verdana" w:hAnsi="Verdana"/>
          <w:sz w:val="16"/>
          <w:szCs w:val="16"/>
        </w:rPr>
        <w:t>De la transacción y la prescripción se tratará al fin de este libro; de la condición resolutoria se ha tratado en el título De las obligaciones condicionales”.</w:t>
      </w:r>
    </w:p>
  </w:footnote>
  <w:footnote w:id="21">
    <w:p w14:paraId="3399E3C6" w14:textId="77777777" w:rsidR="00F64884" w:rsidRPr="00FA4E80" w:rsidRDefault="00F64884" w:rsidP="00F64884">
      <w:pPr>
        <w:pStyle w:val="Textonotapie"/>
        <w:ind w:firstLine="709"/>
        <w:jc w:val="both"/>
        <w:rPr>
          <w:rFonts w:ascii="Verdana" w:hAnsi="Verdana" w:cs="Arial"/>
          <w:sz w:val="16"/>
          <w:szCs w:val="16"/>
          <w:lang w:val="es-ES"/>
        </w:rPr>
      </w:pPr>
      <w:r w:rsidRPr="00FA4E80">
        <w:rPr>
          <w:rStyle w:val="Refdenotaalpie"/>
          <w:rFonts w:ascii="Verdana" w:hAnsi="Verdana" w:cs="Arial"/>
          <w:sz w:val="16"/>
          <w:szCs w:val="16"/>
        </w:rPr>
        <w:footnoteRef/>
      </w:r>
      <w:r w:rsidRPr="00FA4E80">
        <w:rPr>
          <w:rFonts w:ascii="Verdana" w:hAnsi="Verdana" w:cs="Arial"/>
          <w:sz w:val="16"/>
          <w:szCs w:val="16"/>
        </w:rPr>
        <w:t xml:space="preserve"> Así lo indica la norma: “</w:t>
      </w:r>
      <w:r w:rsidRPr="00FA4E80">
        <w:rPr>
          <w:rFonts w:ascii="Verdana" w:hAnsi="Verdana" w:cs="Arial"/>
          <w:sz w:val="16"/>
          <w:szCs w:val="16"/>
          <w:lang w:val="es-ES"/>
        </w:rPr>
        <w:t xml:space="preserve">Cuando la pretensión comprenda aspectos que por su naturaleza son conciliables, para allanarse a la demanda la Nación requerirá autorización del Gobierno Nacional y las demás entidades públicas requerirán previa autorización expresa y escrita del </w:t>
      </w:r>
      <w:proofErr w:type="gramStart"/>
      <w:r w:rsidRPr="00FA4E80">
        <w:rPr>
          <w:rFonts w:ascii="Verdana" w:hAnsi="Verdana" w:cs="Arial"/>
          <w:sz w:val="16"/>
          <w:szCs w:val="16"/>
          <w:lang w:val="es-ES"/>
        </w:rPr>
        <w:t>Ministro</w:t>
      </w:r>
      <w:proofErr w:type="gramEnd"/>
      <w:r w:rsidRPr="00FA4E80">
        <w:rPr>
          <w:rFonts w:ascii="Verdana" w:hAnsi="Verdana" w:cs="Arial"/>
          <w:sz w:val="16"/>
          <w:szCs w:val="16"/>
          <w:lang w:val="es-ES"/>
        </w:rPr>
        <w:t xml:space="preserve">, </w:t>
      </w:r>
      <w:proofErr w:type="gramStart"/>
      <w:r w:rsidRPr="00FA4E80">
        <w:rPr>
          <w:rFonts w:ascii="Verdana" w:hAnsi="Verdana" w:cs="Arial"/>
          <w:sz w:val="16"/>
          <w:szCs w:val="16"/>
          <w:lang w:val="es-ES"/>
        </w:rPr>
        <w:t>Jefe</w:t>
      </w:r>
      <w:proofErr w:type="gramEnd"/>
      <w:r w:rsidRPr="00FA4E80">
        <w:rPr>
          <w:rFonts w:ascii="Verdana" w:hAnsi="Verdana" w:cs="Arial"/>
          <w:sz w:val="16"/>
          <w:szCs w:val="16"/>
          <w:lang w:val="es-ES"/>
        </w:rPr>
        <w:t xml:space="preserve"> de Departamento Administrativo, Gobernador o </w:t>
      </w:r>
      <w:proofErr w:type="gramStart"/>
      <w:r w:rsidRPr="00FA4E80">
        <w:rPr>
          <w:rFonts w:ascii="Verdana" w:hAnsi="Verdana" w:cs="Arial"/>
          <w:sz w:val="16"/>
          <w:szCs w:val="16"/>
          <w:lang w:val="es-ES"/>
        </w:rPr>
        <w:t>Alcalde</w:t>
      </w:r>
      <w:proofErr w:type="gramEnd"/>
      <w:r w:rsidRPr="00FA4E80">
        <w:rPr>
          <w:rFonts w:ascii="Verdana" w:hAnsi="Verdana" w:cs="Arial"/>
          <w:sz w:val="16"/>
          <w:szCs w:val="16"/>
          <w:lang w:val="es-ES"/>
        </w:rPr>
        <w:t xml:space="preserve"> o de la autoridad que las represente o a cuyo Despacho estén vinculadas o adscritas. En los casos de órganos u organismos autónomos e independientes, tal autorización deberá expedirla el servidor de mayor jerarquía en la entidad”.</w:t>
      </w:r>
    </w:p>
    <w:p w14:paraId="31C3F055" w14:textId="77777777" w:rsidR="00F64884" w:rsidRPr="00FA4E80" w:rsidRDefault="00F64884" w:rsidP="00F64884">
      <w:pPr>
        <w:pStyle w:val="Textonotapie"/>
        <w:ind w:firstLine="709"/>
        <w:jc w:val="both"/>
        <w:rPr>
          <w:rFonts w:ascii="Verdana" w:hAnsi="Verdana" w:cs="Arial"/>
          <w:sz w:val="16"/>
          <w:szCs w:val="16"/>
          <w:lang w:val="es-ES"/>
        </w:rPr>
      </w:pPr>
      <w:r w:rsidRPr="00FA4E80">
        <w:rPr>
          <w:rFonts w:ascii="Verdana" w:hAnsi="Verdana" w:cs="Arial"/>
          <w:sz w:val="16"/>
          <w:szCs w:val="16"/>
          <w:lang w:val="es-ES"/>
        </w:rPr>
        <w:t>En el evento de allanamiento se dictará inmediatamente sentencia. Sin embargo, el juez podrá rechazar el allanamiento y decretar pruebas de oficio cuando advierta fraude o colusión o lo pida un tercero que intervenga en el proceso.</w:t>
      </w:r>
    </w:p>
    <w:p w14:paraId="44E7B8B5" w14:textId="77777777" w:rsidR="00F64884" w:rsidRPr="00FA4E80" w:rsidRDefault="00F64884" w:rsidP="00F64884">
      <w:pPr>
        <w:pStyle w:val="Textonotapie"/>
        <w:ind w:firstLine="709"/>
        <w:jc w:val="both"/>
        <w:rPr>
          <w:rFonts w:ascii="Verdana" w:hAnsi="Verdana" w:cs="Arial"/>
          <w:sz w:val="16"/>
          <w:szCs w:val="16"/>
          <w:lang w:val="es-ES"/>
        </w:rPr>
      </w:pPr>
      <w:r w:rsidRPr="00FA4E80">
        <w:rPr>
          <w:rFonts w:ascii="Verdana" w:hAnsi="Verdana" w:cs="Arial"/>
          <w:sz w:val="16"/>
          <w:szCs w:val="16"/>
          <w:lang w:val="es-ES"/>
        </w:rPr>
        <w:t>Con las mismas formalidades anteriores podrá terminar el proceso por transacción”</w:t>
      </w:r>
    </w:p>
  </w:footnote>
  <w:footnote w:id="22">
    <w:p w14:paraId="08A5CAB4" w14:textId="77777777" w:rsidR="00F64884" w:rsidRPr="00FA4E80" w:rsidRDefault="00F64884" w:rsidP="00F64884">
      <w:pPr>
        <w:pStyle w:val="Textonotapie"/>
        <w:ind w:firstLine="709"/>
        <w:jc w:val="both"/>
        <w:rPr>
          <w:rFonts w:ascii="Verdana" w:hAnsi="Verdana" w:cs="Arial"/>
          <w:sz w:val="16"/>
          <w:szCs w:val="16"/>
        </w:rPr>
      </w:pPr>
      <w:r w:rsidRPr="00FA4E80">
        <w:rPr>
          <w:rStyle w:val="Refdenotaalpie"/>
          <w:rFonts w:ascii="Verdana" w:hAnsi="Verdana" w:cs="Arial"/>
          <w:sz w:val="16"/>
          <w:szCs w:val="16"/>
        </w:rPr>
        <w:footnoteRef/>
      </w:r>
      <w:r w:rsidRPr="00FA4E80">
        <w:rPr>
          <w:rFonts w:ascii="Verdana" w:hAnsi="Verdana" w:cs="Arial"/>
          <w:sz w:val="16"/>
          <w:szCs w:val="16"/>
        </w:rPr>
        <w:t xml:space="preserve"> “Si durante las actuaciones arbitrales las partes llegan a una transacción o a una conciliación o mediación que resuelva el litigio, el tribunal dará por terminadas las actuaciones. Caso de que lo pidan ambas partes y el tribunal no se oponga, este verterá en un laudo los términos convenidos por aquellas.</w:t>
      </w:r>
    </w:p>
    <w:p w14:paraId="5B5E11CA" w14:textId="77777777" w:rsidR="00F64884" w:rsidRPr="00FA4E80" w:rsidRDefault="00F64884" w:rsidP="00F64884">
      <w:pPr>
        <w:pStyle w:val="Textonotapie"/>
        <w:ind w:firstLine="709"/>
        <w:jc w:val="both"/>
        <w:rPr>
          <w:rFonts w:ascii="Verdana" w:hAnsi="Verdana" w:cs="Arial"/>
          <w:sz w:val="16"/>
          <w:szCs w:val="16"/>
        </w:rPr>
      </w:pPr>
      <w:r w:rsidRPr="00FA4E80">
        <w:rPr>
          <w:rFonts w:ascii="Verdana" w:hAnsi="Verdana" w:cs="Arial"/>
          <w:sz w:val="16"/>
          <w:szCs w:val="16"/>
        </w:rPr>
        <w:t>Dicho laudo tendrá los mismos efectos que cualquier otro laudo dictado sobre el fondo del litigio”.</w:t>
      </w:r>
    </w:p>
  </w:footnote>
  <w:footnote w:id="23">
    <w:p w14:paraId="42DD4747" w14:textId="77777777" w:rsidR="00F64884" w:rsidRPr="00FA4E80" w:rsidRDefault="00F64884" w:rsidP="00F64884">
      <w:pPr>
        <w:pStyle w:val="Textonotapie"/>
        <w:ind w:firstLine="709"/>
        <w:jc w:val="both"/>
        <w:rPr>
          <w:rFonts w:ascii="Verdana" w:hAnsi="Verdana" w:cs="Arial"/>
          <w:sz w:val="16"/>
          <w:szCs w:val="16"/>
          <w:lang w:val="es-ES"/>
        </w:rPr>
      </w:pPr>
      <w:r w:rsidRPr="00FA4E80">
        <w:rPr>
          <w:rStyle w:val="Refdenotaalpie"/>
          <w:rFonts w:ascii="Verdana" w:hAnsi="Verdana" w:cs="Arial"/>
          <w:sz w:val="16"/>
          <w:szCs w:val="16"/>
        </w:rPr>
        <w:footnoteRef/>
      </w:r>
      <w:r w:rsidRPr="00FA4E80">
        <w:rPr>
          <w:rFonts w:ascii="Verdana" w:hAnsi="Verdana" w:cs="Arial"/>
          <w:sz w:val="16"/>
          <w:szCs w:val="16"/>
        </w:rPr>
        <w:t xml:space="preserve"> </w:t>
      </w:r>
      <w:r w:rsidRPr="00FA4E80">
        <w:rPr>
          <w:rFonts w:ascii="Verdana" w:hAnsi="Verdana" w:cs="Arial"/>
          <w:sz w:val="16"/>
          <w:szCs w:val="16"/>
          <w:lang w:val="es-ES"/>
        </w:rPr>
        <w:t>Entre las múltiples providencias de la Sección Tercera del Consejo de Estado que han aceptado la transacción como mecanismo de arreglo directo entre las partes en la contratación estatal, pueden consultarse las siguientes, que son las más recientes: Consejo de Estado. Sección Tercera. Auto del 2 de octubre de 2020. Consejero Ponente: Jaime Enrique Rodríguez Navas. Expediente: 64.066A. / Sentencia del 12 de agosto de 2019. Consejera Ponente: María Adriana Marín. Expediente: 38.603. / Auto del 8 de mayo de 2019. Consejero Ponente: Alberto Montaña Plata. Expediente: 41.868 / Sentencia del 2 de marzo de 2017. Consejero Ponente: Ramiro Pazos Guerrero. Expediente: 35.818.</w:t>
      </w:r>
    </w:p>
  </w:footnote>
  <w:footnote w:id="24">
    <w:p w14:paraId="3E0440EA" w14:textId="77777777" w:rsidR="00F64884" w:rsidRPr="00FA4E80" w:rsidRDefault="00F64884" w:rsidP="00F64884">
      <w:pPr>
        <w:pStyle w:val="Textonotapie"/>
        <w:ind w:firstLine="709"/>
        <w:jc w:val="both"/>
        <w:rPr>
          <w:rFonts w:ascii="Verdana" w:hAnsi="Verdana" w:cs="Arial"/>
          <w:sz w:val="16"/>
          <w:szCs w:val="16"/>
        </w:rPr>
      </w:pPr>
      <w:r w:rsidRPr="00FA4E80">
        <w:rPr>
          <w:rStyle w:val="Refdenotaalpie"/>
          <w:rFonts w:ascii="Verdana" w:hAnsi="Verdana" w:cs="Arial"/>
          <w:sz w:val="16"/>
          <w:szCs w:val="16"/>
        </w:rPr>
        <w:footnoteRef/>
      </w:r>
      <w:r w:rsidRPr="00FA4E80">
        <w:rPr>
          <w:rFonts w:ascii="Verdana" w:hAnsi="Verdana" w:cs="Arial"/>
          <w:sz w:val="16"/>
          <w:szCs w:val="16"/>
        </w:rPr>
        <w:t xml:space="preserve"> CARRILLO, Fernando y GÓMEZ, Iván. En: Procuraduría General de la Nación, </w:t>
      </w:r>
      <w:proofErr w:type="spellStart"/>
      <w:r w:rsidRPr="00FA4E80">
        <w:rPr>
          <w:rFonts w:ascii="Verdana" w:hAnsi="Verdana" w:cs="Arial"/>
          <w:sz w:val="16"/>
          <w:szCs w:val="16"/>
        </w:rPr>
        <w:t>Op</w:t>
      </w:r>
      <w:proofErr w:type="spellEnd"/>
      <w:r w:rsidRPr="00FA4E80">
        <w:rPr>
          <w:rFonts w:ascii="Verdana" w:hAnsi="Verdana" w:cs="Arial"/>
          <w:sz w:val="16"/>
          <w:szCs w:val="16"/>
        </w:rPr>
        <w:t>. Cit., pp. 53-60.</w:t>
      </w:r>
    </w:p>
  </w:footnote>
  <w:footnote w:id="25">
    <w:p w14:paraId="443B2DD8" w14:textId="77777777" w:rsidR="00F64884" w:rsidRPr="00FA4E80" w:rsidRDefault="00F64884" w:rsidP="00F64884">
      <w:pPr>
        <w:pStyle w:val="Textonotapie"/>
        <w:ind w:firstLine="709"/>
        <w:jc w:val="both"/>
        <w:rPr>
          <w:rFonts w:ascii="Verdana" w:hAnsi="Verdana" w:cs="Arial"/>
          <w:sz w:val="16"/>
          <w:szCs w:val="16"/>
        </w:rPr>
      </w:pPr>
      <w:r w:rsidRPr="00FA4E80">
        <w:rPr>
          <w:rStyle w:val="Refdenotaalpie"/>
          <w:rFonts w:ascii="Verdana" w:hAnsi="Verdana" w:cs="Arial"/>
          <w:sz w:val="16"/>
          <w:szCs w:val="16"/>
        </w:rPr>
        <w:footnoteRef/>
      </w:r>
      <w:r w:rsidRPr="00FA4E80">
        <w:rPr>
          <w:rFonts w:ascii="Verdana" w:hAnsi="Verdana" w:cs="Arial"/>
          <w:sz w:val="16"/>
          <w:szCs w:val="16"/>
        </w:rPr>
        <w:t xml:space="preserve"> Consejo de Estado. Sección Tercera. Auto del 25 de octubre de 2019. Consejero Ponente: Carlos Alberto Zambrano Barrera. Expediente: 64.054.</w:t>
      </w:r>
    </w:p>
  </w:footnote>
  <w:footnote w:id="26">
    <w:p w14:paraId="2D5A9355" w14:textId="77777777" w:rsidR="00F64884" w:rsidRPr="00FA4E80" w:rsidRDefault="00F64884" w:rsidP="00F64884">
      <w:pPr>
        <w:spacing w:after="0" w:line="240" w:lineRule="auto"/>
        <w:ind w:firstLine="709"/>
        <w:jc w:val="both"/>
        <w:rPr>
          <w:rFonts w:ascii="Verdana" w:hAnsi="Verdana" w:cs="Arial"/>
          <w:color w:val="000000"/>
          <w:sz w:val="16"/>
          <w:szCs w:val="16"/>
        </w:rPr>
      </w:pPr>
      <w:r w:rsidRPr="00FA4E80">
        <w:rPr>
          <w:rStyle w:val="Refdenotaalpie"/>
          <w:rFonts w:ascii="Verdana" w:hAnsi="Verdana" w:cs="Arial"/>
          <w:sz w:val="16"/>
          <w:szCs w:val="16"/>
        </w:rPr>
        <w:footnoteRef/>
      </w:r>
      <w:r w:rsidRPr="00FA4E80">
        <w:rPr>
          <w:rFonts w:ascii="Verdana" w:hAnsi="Verdana" w:cs="Arial"/>
          <w:sz w:val="16"/>
          <w:szCs w:val="16"/>
        </w:rPr>
        <w:t xml:space="preserve"> Consejo de Estado. Sección Tercera. Sentencia del 12 de agosto de 2019. Consejera Ponente: María Adriana Marín. Expediente: </w:t>
      </w:r>
      <w:r w:rsidRPr="00FA4E80">
        <w:rPr>
          <w:rFonts w:ascii="Verdana" w:hAnsi="Verdana" w:cs="Arial"/>
          <w:color w:val="000000"/>
          <w:sz w:val="16"/>
          <w:szCs w:val="16"/>
        </w:rPr>
        <w:t>38.603.</w:t>
      </w:r>
    </w:p>
  </w:footnote>
  <w:footnote w:id="27">
    <w:p w14:paraId="06D2F1E2" w14:textId="77777777" w:rsidR="00F64884" w:rsidRPr="00FA4E80" w:rsidRDefault="00F64884" w:rsidP="00F64884">
      <w:pPr>
        <w:pStyle w:val="Textonotapie"/>
        <w:ind w:firstLine="709"/>
        <w:jc w:val="both"/>
        <w:rPr>
          <w:rFonts w:ascii="Verdana" w:hAnsi="Verdana" w:cs="Arial"/>
          <w:sz w:val="16"/>
          <w:szCs w:val="16"/>
        </w:rPr>
      </w:pPr>
      <w:r w:rsidRPr="00FA4E80">
        <w:rPr>
          <w:rStyle w:val="Refdenotaalpie"/>
          <w:rFonts w:ascii="Verdana" w:hAnsi="Verdana" w:cs="Arial"/>
          <w:sz w:val="16"/>
          <w:szCs w:val="16"/>
        </w:rPr>
        <w:footnoteRef/>
      </w:r>
      <w:r w:rsidRPr="00FA4E80">
        <w:rPr>
          <w:rFonts w:ascii="Verdana" w:hAnsi="Verdana" w:cs="Arial"/>
          <w:sz w:val="16"/>
          <w:szCs w:val="16"/>
        </w:rPr>
        <w:t xml:space="preserve"> Consejo de Estado. Sección Tercera. Sentencia del 19 de mayo de 2005. Consejera Ponente: María Elena Giraldo Gómez. Radicación número: 63001-23-31-000-2002-00719-02.</w:t>
      </w:r>
    </w:p>
  </w:footnote>
  <w:footnote w:id="28">
    <w:p w14:paraId="659621F2" w14:textId="77777777" w:rsidR="00F64884" w:rsidRPr="00FA4E80" w:rsidRDefault="00F64884" w:rsidP="00F64884">
      <w:pPr>
        <w:pStyle w:val="Textonotapie"/>
        <w:ind w:firstLine="709"/>
        <w:jc w:val="both"/>
        <w:rPr>
          <w:rFonts w:ascii="Verdana" w:hAnsi="Verdana" w:cs="Arial"/>
          <w:sz w:val="16"/>
          <w:szCs w:val="16"/>
        </w:rPr>
      </w:pPr>
      <w:r w:rsidRPr="00FA4E80">
        <w:rPr>
          <w:rStyle w:val="Refdenotaalpie"/>
          <w:rFonts w:ascii="Verdana" w:hAnsi="Verdana" w:cs="Arial"/>
          <w:sz w:val="16"/>
          <w:szCs w:val="16"/>
        </w:rPr>
        <w:footnoteRef/>
      </w:r>
      <w:r w:rsidRPr="00FA4E80">
        <w:rPr>
          <w:rFonts w:ascii="Verdana" w:hAnsi="Verdana" w:cs="Arial"/>
          <w:sz w:val="16"/>
          <w:szCs w:val="16"/>
        </w:rPr>
        <w:t xml:space="preserve"> Consejo de Estado. Sección Tercera. Auto del 14 de febrero de 2019. Consejera Ponente: Marta Nubia Velásquez Rico. Expediente: 60.049.</w:t>
      </w:r>
    </w:p>
  </w:footnote>
  <w:footnote w:id="29">
    <w:p w14:paraId="4BA13F9E" w14:textId="77777777" w:rsidR="00F64884" w:rsidRPr="00FA4E80" w:rsidRDefault="00F64884" w:rsidP="00F64884">
      <w:pPr>
        <w:pStyle w:val="Textonotapie"/>
        <w:ind w:firstLine="709"/>
        <w:jc w:val="both"/>
        <w:rPr>
          <w:rFonts w:ascii="Verdana" w:hAnsi="Verdana" w:cs="Arial"/>
          <w:sz w:val="16"/>
          <w:szCs w:val="16"/>
        </w:rPr>
      </w:pPr>
      <w:r w:rsidRPr="00FA4E80">
        <w:rPr>
          <w:rStyle w:val="Refdenotaalpie"/>
          <w:rFonts w:ascii="Verdana" w:hAnsi="Verdana" w:cs="Arial"/>
          <w:sz w:val="16"/>
          <w:szCs w:val="16"/>
        </w:rPr>
        <w:footnoteRef/>
      </w:r>
      <w:r w:rsidRPr="00FA4E80">
        <w:rPr>
          <w:rFonts w:ascii="Verdana" w:hAnsi="Verdana" w:cs="Arial"/>
          <w:sz w:val="16"/>
          <w:szCs w:val="16"/>
        </w:rPr>
        <w:t xml:space="preserve"> CONSEJO DE ESTADO. Sección Tercera. Sentencia del 25 de junio de 2014. Consejero Ponente: Hernán Andrade Rincón. Expediente: 28.067.</w:t>
      </w:r>
    </w:p>
  </w:footnote>
  <w:footnote w:id="30">
    <w:p w14:paraId="04127029" w14:textId="77777777" w:rsidR="00F64884" w:rsidRPr="00FA4E80" w:rsidRDefault="00F64884" w:rsidP="00F64884">
      <w:pPr>
        <w:pStyle w:val="Textonotapie"/>
        <w:ind w:firstLine="709"/>
        <w:jc w:val="both"/>
        <w:rPr>
          <w:rFonts w:ascii="Verdana" w:hAnsi="Verdana" w:cs="Arial"/>
          <w:sz w:val="16"/>
          <w:szCs w:val="16"/>
        </w:rPr>
      </w:pPr>
      <w:r w:rsidRPr="00FA4E80">
        <w:rPr>
          <w:rStyle w:val="Refdenotaalpie"/>
          <w:rFonts w:ascii="Verdana" w:hAnsi="Verdana" w:cs="Arial"/>
          <w:sz w:val="16"/>
          <w:szCs w:val="16"/>
        </w:rPr>
        <w:footnoteRef/>
      </w:r>
      <w:r w:rsidRPr="00FA4E80">
        <w:rPr>
          <w:rFonts w:ascii="Verdana" w:hAnsi="Verdana" w:cs="Arial"/>
          <w:sz w:val="16"/>
          <w:szCs w:val="16"/>
        </w:rPr>
        <w:t xml:space="preserve"> Laudo arbitral. Tren de Occidente S.A. contra la Agencia Nacional de Infraestructura. Laudo del 14 de febrero del 2014. En palabras del Tribunal «En cualquier caso, la simple renuncia de un derecho por una de las partes sin contraprestación de la </w:t>
      </w:r>
      <w:proofErr w:type="gramStart"/>
      <w:r w:rsidRPr="00FA4E80">
        <w:rPr>
          <w:rFonts w:ascii="Verdana" w:hAnsi="Verdana" w:cs="Arial"/>
          <w:sz w:val="16"/>
          <w:szCs w:val="16"/>
        </w:rPr>
        <w:t>otra,</w:t>
      </w:r>
      <w:proofErr w:type="gramEnd"/>
      <w:r w:rsidRPr="00FA4E80">
        <w:rPr>
          <w:rFonts w:ascii="Verdana" w:hAnsi="Verdana" w:cs="Arial"/>
          <w:sz w:val="16"/>
          <w:szCs w:val="16"/>
        </w:rPr>
        <w:t xml:space="preserve"> no configura un contrato de transacción, sino una categoría contractual diversa».</w:t>
      </w:r>
    </w:p>
  </w:footnote>
  <w:footnote w:id="31">
    <w:p w14:paraId="52658D9D" w14:textId="77777777" w:rsidR="00F64884" w:rsidRPr="00FA4E80" w:rsidRDefault="00F64884" w:rsidP="00F64884">
      <w:pPr>
        <w:spacing w:after="0" w:line="240" w:lineRule="auto"/>
        <w:ind w:firstLine="709"/>
        <w:jc w:val="both"/>
        <w:rPr>
          <w:rFonts w:ascii="Verdana" w:hAnsi="Verdana" w:cs="Arial"/>
          <w:sz w:val="16"/>
          <w:szCs w:val="16"/>
        </w:rPr>
      </w:pPr>
      <w:r w:rsidRPr="00FA4E80">
        <w:rPr>
          <w:rStyle w:val="Refdenotaalpie"/>
          <w:rFonts w:ascii="Verdana" w:hAnsi="Verdana" w:cs="Arial"/>
          <w:sz w:val="16"/>
          <w:szCs w:val="16"/>
        </w:rPr>
        <w:footnoteRef/>
      </w:r>
      <w:r w:rsidRPr="00FA4E80">
        <w:rPr>
          <w:rFonts w:ascii="Verdana" w:eastAsia="Calibri" w:hAnsi="Verdana" w:cs="Arial"/>
          <w:color w:val="000000" w:themeColor="text1"/>
          <w:sz w:val="16"/>
          <w:szCs w:val="16"/>
          <w:lang w:val="es-ES_tradnl"/>
        </w:rPr>
        <w:t xml:space="preserve"> Con el fin de dar claridad sobre los eventos en los que no se está propiamente ante una transacción por falta de concesiones recíprocas, se presentan los siguientes ejemplos: i) En un acuerdo donde el contratista acepte realizar obras no previstas inicialmente en el contrato y la entidad contratante reconozca el valor de estas, no se está ante un contrato de transacción, pues la entidad no está concediendo o renunciando a algo. </w:t>
      </w:r>
      <w:proofErr w:type="spellStart"/>
      <w:r w:rsidRPr="00FA4E80">
        <w:rPr>
          <w:rFonts w:ascii="Verdana" w:eastAsia="Calibri" w:hAnsi="Verdana" w:cs="Arial"/>
          <w:color w:val="000000" w:themeColor="text1"/>
          <w:sz w:val="16"/>
          <w:szCs w:val="16"/>
          <w:lang w:val="es-ES_tradnl"/>
        </w:rPr>
        <w:t>ii</w:t>
      </w:r>
      <w:proofErr w:type="spellEnd"/>
      <w:r w:rsidRPr="00FA4E80">
        <w:rPr>
          <w:rFonts w:ascii="Verdana" w:eastAsia="Calibri" w:hAnsi="Verdana" w:cs="Arial"/>
          <w:color w:val="000000" w:themeColor="text1"/>
          <w:sz w:val="16"/>
          <w:szCs w:val="16"/>
          <w:lang w:val="es-ES_tradnl"/>
        </w:rPr>
        <w:t xml:space="preserve">) El reconocimiento de gastos adicionales en los que haya incurrido un contratista no corresponde al pacto de concesiones recíprocas, pues se trata simplemente de un reajuste para continuar con la ejecución del contrato. Al respecto </w:t>
      </w:r>
      <w:r w:rsidRPr="00FA4E80">
        <w:rPr>
          <w:rFonts w:ascii="Verdana" w:hAnsi="Verdana" w:cs="Arial"/>
          <w:sz w:val="16"/>
          <w:szCs w:val="16"/>
        </w:rPr>
        <w:t xml:space="preserve">véase: Laudo arbitral. Schrader Camargo Ingenieros Asociados S.A. contra Refinería de Cartagena S.A. Laudo del 28 de noviembre de 2018. </w:t>
      </w:r>
    </w:p>
  </w:footnote>
  <w:footnote w:id="32">
    <w:p w14:paraId="1CF6AD22" w14:textId="77777777" w:rsidR="00F64884" w:rsidRPr="00FA4E80" w:rsidRDefault="00F64884" w:rsidP="00F64884">
      <w:pPr>
        <w:pStyle w:val="Textonotapie"/>
        <w:ind w:firstLine="709"/>
        <w:jc w:val="both"/>
        <w:rPr>
          <w:rFonts w:ascii="Verdana" w:hAnsi="Verdana" w:cs="Arial"/>
          <w:sz w:val="16"/>
          <w:szCs w:val="16"/>
        </w:rPr>
      </w:pPr>
      <w:r w:rsidRPr="00FA4E80">
        <w:rPr>
          <w:rStyle w:val="Refdenotaalpie"/>
          <w:rFonts w:ascii="Verdana" w:hAnsi="Verdana" w:cs="Arial"/>
          <w:sz w:val="16"/>
          <w:szCs w:val="16"/>
        </w:rPr>
        <w:footnoteRef/>
      </w:r>
      <w:r w:rsidRPr="00FA4E80">
        <w:rPr>
          <w:rFonts w:ascii="Verdana" w:hAnsi="Verdana" w:cs="Arial"/>
          <w:sz w:val="16"/>
          <w:szCs w:val="16"/>
        </w:rPr>
        <w:t xml:space="preserve"> Laudo arbitral. Tren de Occidente S.A. contra la Agencia Nacional de Infraestructura. Laudo del 14 de febrero del 2014.</w:t>
      </w:r>
    </w:p>
    <w:p w14:paraId="3E5CB6CF" w14:textId="77777777" w:rsidR="00F64884" w:rsidRPr="00FA4E80" w:rsidRDefault="00F64884" w:rsidP="00F64884">
      <w:pPr>
        <w:pStyle w:val="Textonotapie"/>
        <w:ind w:firstLine="709"/>
        <w:jc w:val="both"/>
        <w:rPr>
          <w:rFonts w:ascii="Verdana" w:hAnsi="Verdana" w:cs="Arial"/>
          <w:sz w:val="16"/>
          <w:szCs w:val="16"/>
          <w:lang w:val="es-CO"/>
        </w:rPr>
      </w:pPr>
    </w:p>
  </w:footnote>
  <w:footnote w:id="33">
    <w:p w14:paraId="05DE0BA7" w14:textId="77777777" w:rsidR="00F64884" w:rsidRPr="00FA4E80" w:rsidRDefault="00F64884" w:rsidP="00F64884">
      <w:pPr>
        <w:pStyle w:val="Textonotapie"/>
        <w:ind w:firstLine="709"/>
        <w:jc w:val="both"/>
        <w:rPr>
          <w:rFonts w:ascii="Verdana" w:hAnsi="Verdana" w:cs="Arial"/>
          <w:sz w:val="16"/>
          <w:szCs w:val="16"/>
        </w:rPr>
      </w:pPr>
      <w:r w:rsidRPr="00FA4E80">
        <w:rPr>
          <w:rStyle w:val="Refdenotaalpie"/>
          <w:rFonts w:ascii="Verdana" w:hAnsi="Verdana" w:cs="Arial"/>
          <w:sz w:val="16"/>
          <w:szCs w:val="16"/>
        </w:rPr>
        <w:footnoteRef/>
      </w:r>
      <w:r w:rsidRPr="00FA4E80">
        <w:rPr>
          <w:rFonts w:ascii="Verdana" w:hAnsi="Verdana" w:cs="Arial"/>
          <w:sz w:val="16"/>
          <w:szCs w:val="16"/>
        </w:rPr>
        <w:t xml:space="preserve"> </w:t>
      </w:r>
      <w:r w:rsidRPr="00FA4E80">
        <w:rPr>
          <w:rFonts w:ascii="Verdana" w:hAnsi="Verdana" w:cs="Arial"/>
          <w:sz w:val="16"/>
          <w:szCs w:val="16"/>
          <w:lang w:eastAsia="es-ES_tradnl"/>
        </w:rPr>
        <w:t>Artículos 32 y 40 de la Ley 80 de 1993.</w:t>
      </w:r>
    </w:p>
  </w:footnote>
  <w:footnote w:id="34">
    <w:p w14:paraId="3271C116" w14:textId="77777777" w:rsidR="00F64884" w:rsidRPr="00FA4E80" w:rsidRDefault="00F64884" w:rsidP="00F64884">
      <w:pPr>
        <w:pStyle w:val="Textonotapie"/>
        <w:ind w:firstLine="709"/>
        <w:jc w:val="both"/>
        <w:rPr>
          <w:rFonts w:ascii="Verdana" w:hAnsi="Verdana" w:cs="Arial"/>
          <w:sz w:val="16"/>
          <w:szCs w:val="16"/>
        </w:rPr>
      </w:pPr>
      <w:r w:rsidRPr="00FA4E80">
        <w:rPr>
          <w:rStyle w:val="Refdenotaalpie"/>
          <w:rFonts w:ascii="Verdana" w:hAnsi="Verdana" w:cs="Arial"/>
          <w:sz w:val="16"/>
          <w:szCs w:val="16"/>
        </w:rPr>
        <w:footnoteRef/>
      </w:r>
      <w:r w:rsidRPr="00FA4E80">
        <w:rPr>
          <w:rFonts w:ascii="Verdana" w:hAnsi="Verdana" w:cs="Arial"/>
          <w:sz w:val="16"/>
          <w:szCs w:val="16"/>
        </w:rPr>
        <w:t xml:space="preserve"> GACETA DEL CONGRESO No. 75 del 23 de septiembre de 1992. Exposición de motivos de la Ley 80 de 1993.</w:t>
      </w:r>
    </w:p>
  </w:footnote>
  <w:footnote w:id="35">
    <w:p w14:paraId="51094467" w14:textId="77777777" w:rsidR="00F64884" w:rsidRPr="00CA707C" w:rsidRDefault="00F64884" w:rsidP="00F64884">
      <w:pPr>
        <w:pStyle w:val="Textonotapie"/>
        <w:ind w:firstLine="709"/>
        <w:rPr>
          <w:lang w:val="es-CO"/>
        </w:rPr>
      </w:pPr>
      <w:r>
        <w:rPr>
          <w:rStyle w:val="Refdenotaalpie"/>
        </w:rPr>
        <w:footnoteRef/>
      </w:r>
      <w:r>
        <w:t xml:space="preserve"> </w:t>
      </w:r>
      <w:r w:rsidRPr="00FA4E80">
        <w:rPr>
          <w:rFonts w:ascii="Verdana" w:hAnsi="Verdana" w:cs="Arial"/>
          <w:sz w:val="16"/>
          <w:szCs w:val="16"/>
        </w:rPr>
        <w:t xml:space="preserve">CONSEJO DE ESTADO. Sección Tercera. </w:t>
      </w:r>
      <w:r>
        <w:rPr>
          <w:rFonts w:ascii="Verdana" w:hAnsi="Verdana" w:cs="Arial"/>
          <w:sz w:val="16"/>
          <w:szCs w:val="16"/>
        </w:rPr>
        <w:t>Auto del 22 de mayo de 2026</w:t>
      </w:r>
      <w:r w:rsidRPr="00FA4E80">
        <w:rPr>
          <w:rFonts w:ascii="Verdana" w:hAnsi="Verdana" w:cs="Arial"/>
          <w:sz w:val="16"/>
          <w:szCs w:val="16"/>
        </w:rPr>
        <w:t>. Consejero Ponente</w:t>
      </w:r>
      <w:r>
        <w:rPr>
          <w:rFonts w:ascii="Verdana" w:hAnsi="Verdana" w:cs="Arial"/>
          <w:sz w:val="16"/>
          <w:szCs w:val="16"/>
        </w:rPr>
        <w:t>:</w:t>
      </w:r>
      <w:r w:rsidRPr="009736D1">
        <w:t xml:space="preserve"> </w:t>
      </w:r>
      <w:r w:rsidRPr="009736D1">
        <w:rPr>
          <w:rFonts w:ascii="Verdana" w:hAnsi="Verdana" w:cs="Arial"/>
          <w:sz w:val="16"/>
          <w:szCs w:val="16"/>
        </w:rPr>
        <w:t>Fredy Ibarra Martínez</w:t>
      </w:r>
      <w:r w:rsidRPr="00FA4E80">
        <w:rPr>
          <w:rFonts w:ascii="Verdana" w:hAnsi="Verdana" w:cs="Arial"/>
          <w:sz w:val="16"/>
          <w:szCs w:val="16"/>
        </w:rPr>
        <w:t xml:space="preserve">. Expediente: </w:t>
      </w:r>
      <w:r>
        <w:rPr>
          <w:rFonts w:ascii="Verdana" w:hAnsi="Verdana" w:cs="Arial"/>
          <w:sz w:val="16"/>
          <w:szCs w:val="16"/>
        </w:rPr>
        <w:t>73622</w:t>
      </w:r>
      <w:r w:rsidRPr="00FA4E80">
        <w:rPr>
          <w:rFonts w:ascii="Verdana" w:hAnsi="Verdana" w:cs="Arial"/>
          <w:sz w:val="16"/>
          <w:szCs w:val="16"/>
        </w:rPr>
        <w:t>.</w:t>
      </w:r>
    </w:p>
  </w:footnote>
  <w:footnote w:id="36">
    <w:p w14:paraId="6B921455" w14:textId="77777777" w:rsidR="00F64884" w:rsidRPr="000B75EA" w:rsidRDefault="00F64884" w:rsidP="00F64884">
      <w:pPr>
        <w:pStyle w:val="Textonotapie"/>
        <w:ind w:firstLine="708"/>
        <w:jc w:val="both"/>
        <w:rPr>
          <w:lang w:val="es-CO"/>
        </w:rPr>
      </w:pPr>
      <w:r>
        <w:rPr>
          <w:rStyle w:val="Refdenotaalpie"/>
        </w:rPr>
        <w:footnoteRef/>
      </w:r>
      <w:r>
        <w:t xml:space="preserve"> </w:t>
      </w:r>
      <w:r w:rsidRPr="00F90DA9">
        <w:rPr>
          <w:lang w:val="es-CO"/>
        </w:rPr>
        <w:t>CONSEJO DE ESTADO, Sección Tercera</w:t>
      </w:r>
      <w:r>
        <w:rPr>
          <w:lang w:val="es-CO"/>
        </w:rPr>
        <w:t xml:space="preserve">, </w:t>
      </w:r>
      <w:r w:rsidRPr="00F90DA9">
        <w:rPr>
          <w:lang w:val="es-CO"/>
        </w:rPr>
        <w:t xml:space="preserve">Sala Plena, </w:t>
      </w:r>
      <w:r>
        <w:rPr>
          <w:lang w:val="es-CO"/>
        </w:rPr>
        <w:t>S</w:t>
      </w:r>
      <w:r w:rsidRPr="00F90DA9">
        <w:rPr>
          <w:lang w:val="es-CO"/>
        </w:rPr>
        <w:t xml:space="preserve">entencia de unificación del 31 de julio de 2025, </w:t>
      </w:r>
      <w:proofErr w:type="spellStart"/>
      <w:r>
        <w:rPr>
          <w:lang w:val="es-CO"/>
        </w:rPr>
        <w:t>Exp</w:t>
      </w:r>
      <w:proofErr w:type="spellEnd"/>
      <w:r>
        <w:rPr>
          <w:lang w:val="es-CO"/>
        </w:rPr>
        <w:t xml:space="preserve">. No. </w:t>
      </w:r>
      <w:r w:rsidRPr="00F90DA9">
        <w:rPr>
          <w:lang w:val="es-CO"/>
        </w:rPr>
        <w:t>57.464, C.P. Fernando Alexei Pardo Flórez.</w:t>
      </w:r>
    </w:p>
  </w:footnote>
  <w:footnote w:id="37">
    <w:p w14:paraId="5E22F6D1" w14:textId="77777777" w:rsidR="00F64884" w:rsidRPr="00FA4E80" w:rsidRDefault="00F64884" w:rsidP="00F64884">
      <w:pPr>
        <w:pStyle w:val="Textonotapie"/>
        <w:ind w:firstLine="708"/>
        <w:jc w:val="both"/>
        <w:rPr>
          <w:rFonts w:ascii="Verdana" w:hAnsi="Verdana"/>
          <w:sz w:val="16"/>
          <w:szCs w:val="16"/>
        </w:rPr>
      </w:pPr>
      <w:r w:rsidRPr="00FA4E80">
        <w:rPr>
          <w:rStyle w:val="Refdenotaalpie"/>
          <w:rFonts w:ascii="Verdana" w:hAnsi="Verdana"/>
          <w:sz w:val="16"/>
          <w:szCs w:val="16"/>
        </w:rPr>
        <w:footnoteRef/>
      </w:r>
      <w:r w:rsidRPr="00FA4E80">
        <w:rPr>
          <w:rFonts w:ascii="Verdana" w:hAnsi="Verdana"/>
          <w:sz w:val="16"/>
          <w:szCs w:val="16"/>
        </w:rPr>
        <w:t xml:space="preserve"> </w:t>
      </w:r>
      <w:r w:rsidRPr="00FA4E80">
        <w:rPr>
          <w:rFonts w:ascii="Verdana" w:hAnsi="Verdana"/>
          <w:sz w:val="16"/>
          <w:szCs w:val="16"/>
          <w:lang w:val="es-CO"/>
        </w:rPr>
        <w:t>Decreto 111 de 1996.Estatuto Orgánico del Presupuesto. Artículos 71 –afectación del presupuesto: certificado de disponibilidad y registro presupuestal</w:t>
      </w:r>
      <w:proofErr w:type="gramStart"/>
      <w:r w:rsidRPr="00FA4E80">
        <w:rPr>
          <w:rFonts w:ascii="Verdana" w:hAnsi="Verdana"/>
          <w:sz w:val="16"/>
          <w:szCs w:val="16"/>
          <w:lang w:val="es-CO"/>
        </w:rPr>
        <w:t>– ,</w:t>
      </w:r>
      <w:proofErr w:type="gramEnd"/>
      <w:r w:rsidRPr="00FA4E80">
        <w:rPr>
          <w:rFonts w:ascii="Verdana" w:hAnsi="Verdana"/>
          <w:sz w:val="16"/>
          <w:szCs w:val="16"/>
          <w:lang w:val="es-CO"/>
        </w:rPr>
        <w:t xml:space="preserve"> 89 –reservas presupuestales y cuentas por pagar–, entre otros. </w:t>
      </w:r>
      <w:r w:rsidRPr="00FA4E80">
        <w:rPr>
          <w:rFonts w:ascii="Verdana" w:hAnsi="Verdana"/>
          <w:sz w:val="16"/>
          <w:szCs w:val="16"/>
        </w:rPr>
        <w:t xml:space="preserve"> </w:t>
      </w:r>
    </w:p>
  </w:footnote>
  <w:footnote w:id="38">
    <w:p w14:paraId="7E63862A" w14:textId="77777777" w:rsidR="00F64884" w:rsidRPr="00FA4E80" w:rsidRDefault="00F64884" w:rsidP="00F64884">
      <w:pPr>
        <w:pStyle w:val="Textonotapie"/>
        <w:ind w:right="49" w:firstLine="709"/>
        <w:jc w:val="both"/>
        <w:rPr>
          <w:rFonts w:ascii="Verdana" w:hAnsi="Verdana" w:cs="Arial"/>
          <w:color w:val="000000" w:themeColor="text1"/>
          <w:sz w:val="16"/>
          <w:szCs w:val="16"/>
        </w:rPr>
      </w:pPr>
      <w:r w:rsidRPr="00FA4E80">
        <w:rPr>
          <w:rStyle w:val="Refdenotaalpie"/>
          <w:rFonts w:ascii="Verdana" w:hAnsi="Verdana" w:cs="Arial"/>
          <w:color w:val="000000" w:themeColor="text1"/>
          <w:sz w:val="16"/>
          <w:szCs w:val="16"/>
        </w:rPr>
        <w:footnoteRef/>
      </w:r>
      <w:r w:rsidRPr="00FA4E80">
        <w:rPr>
          <w:rFonts w:ascii="Verdana" w:hAnsi="Verdana" w:cs="Arial"/>
          <w:color w:val="000000" w:themeColor="text1"/>
          <w:sz w:val="16"/>
          <w:szCs w:val="16"/>
        </w:rPr>
        <w:t xml:space="preserve"> Corte Constitucional. Sentencia C- 341 del 4 de junio de 2014. M. P. Mauricio González Cuervo.</w:t>
      </w:r>
    </w:p>
    <w:p w14:paraId="4B1EFC15" w14:textId="77777777" w:rsidR="00F64884" w:rsidRPr="00FA4E80" w:rsidRDefault="00F64884" w:rsidP="00F64884">
      <w:pPr>
        <w:pStyle w:val="Textonotapie"/>
        <w:ind w:right="49" w:firstLine="709"/>
        <w:jc w:val="both"/>
        <w:rPr>
          <w:rFonts w:ascii="Verdana" w:hAnsi="Verdana" w:cs="Arial"/>
          <w:color w:val="000000" w:themeColor="text1"/>
          <w:sz w:val="16"/>
          <w:szCs w:val="16"/>
        </w:rPr>
      </w:pPr>
    </w:p>
  </w:footnote>
  <w:footnote w:id="39">
    <w:p w14:paraId="7EB99129" w14:textId="77777777" w:rsidR="00F64884" w:rsidRPr="00FA4E80" w:rsidRDefault="00F64884" w:rsidP="00F64884">
      <w:pPr>
        <w:pStyle w:val="Textonotapie"/>
        <w:ind w:firstLine="708"/>
        <w:jc w:val="both"/>
        <w:rPr>
          <w:rFonts w:ascii="Verdana" w:hAnsi="Verdana" w:cs="Arial"/>
          <w:sz w:val="16"/>
          <w:szCs w:val="16"/>
          <w:lang w:val="es-CO"/>
        </w:rPr>
      </w:pPr>
      <w:r w:rsidRPr="00FA4E80">
        <w:rPr>
          <w:rStyle w:val="Refdenotaalpie"/>
          <w:rFonts w:ascii="Verdana" w:hAnsi="Verdana" w:cs="Arial"/>
          <w:sz w:val="16"/>
          <w:szCs w:val="16"/>
        </w:rPr>
        <w:footnoteRef/>
      </w:r>
      <w:r w:rsidRPr="00FA4E80">
        <w:rPr>
          <w:rFonts w:ascii="Verdana" w:hAnsi="Verdana" w:cs="Arial"/>
          <w:sz w:val="16"/>
          <w:szCs w:val="16"/>
        </w:rPr>
        <w:t xml:space="preserve">  Ley 1712 de 2014 </w:t>
      </w:r>
      <w:r>
        <w:rPr>
          <w:rFonts w:ascii="Verdana" w:hAnsi="Verdana" w:cs="Arial"/>
          <w:sz w:val="16"/>
          <w:szCs w:val="16"/>
        </w:rPr>
        <w:t>“</w:t>
      </w:r>
      <w:r w:rsidRPr="00FA4E80">
        <w:rPr>
          <w:rFonts w:ascii="Verdana" w:hAnsi="Verdana" w:cs="Arial"/>
          <w:sz w:val="16"/>
          <w:szCs w:val="16"/>
        </w:rPr>
        <w:t>Artículo 2°. Principio de máxima publicidad para titular universal. Toda información en posesión, bajo control o custodia de un sujeto obligado es pública y no podrá ser reservada o limitada sino por disposición constitucional o legal, de conformidad con la presente ley</w:t>
      </w:r>
      <w:r>
        <w:rPr>
          <w:rFonts w:ascii="Verdana" w:hAnsi="Verdana" w:cs="Arial"/>
          <w:sz w:val="16"/>
          <w:szCs w:val="16"/>
        </w:rPr>
        <w:t>”</w:t>
      </w:r>
      <w:r w:rsidRPr="00FA4E80">
        <w:rPr>
          <w:rFonts w:ascii="Verdana" w:hAnsi="Verdana" w:cs="Arial"/>
          <w:sz w:val="16"/>
          <w:szCs w:val="16"/>
        </w:rPr>
        <w:t>.</w:t>
      </w:r>
    </w:p>
  </w:footnote>
  <w:footnote w:id="40">
    <w:p w14:paraId="3002C270" w14:textId="77777777" w:rsidR="00F64884" w:rsidRPr="00FA4E80" w:rsidRDefault="00F64884" w:rsidP="00F64884">
      <w:pPr>
        <w:pStyle w:val="Textonotapie"/>
        <w:jc w:val="both"/>
        <w:rPr>
          <w:rFonts w:ascii="Verdana" w:hAnsi="Verdana" w:cs="Arial"/>
          <w:sz w:val="16"/>
          <w:szCs w:val="16"/>
        </w:rPr>
      </w:pPr>
    </w:p>
    <w:p w14:paraId="74EA15EE" w14:textId="77777777" w:rsidR="00F64884" w:rsidRPr="00FA4E80" w:rsidRDefault="00F64884" w:rsidP="00F64884">
      <w:pPr>
        <w:pStyle w:val="NormalWeb"/>
        <w:spacing w:before="0" w:beforeAutospacing="0" w:after="0" w:afterAutospacing="0"/>
        <w:ind w:firstLine="708"/>
        <w:jc w:val="both"/>
        <w:rPr>
          <w:rFonts w:ascii="Verdana" w:hAnsi="Verdana" w:cs="Arial"/>
          <w:color w:val="000000"/>
          <w:sz w:val="16"/>
          <w:szCs w:val="16"/>
        </w:rPr>
      </w:pPr>
      <w:r w:rsidRPr="00FA4E80">
        <w:rPr>
          <w:rStyle w:val="Refdenotaalpie"/>
          <w:rFonts w:ascii="Verdana" w:hAnsi="Verdana" w:cs="Arial"/>
          <w:sz w:val="16"/>
          <w:szCs w:val="16"/>
        </w:rPr>
        <w:footnoteRef/>
      </w:r>
      <w:r w:rsidRPr="00FA4E80">
        <w:rPr>
          <w:rFonts w:ascii="Verdana" w:hAnsi="Verdana" w:cs="Arial"/>
          <w:sz w:val="16"/>
          <w:szCs w:val="16"/>
        </w:rPr>
        <w:t xml:space="preserve">  Ley 1712 de 2014 </w:t>
      </w:r>
      <w:r>
        <w:rPr>
          <w:rFonts w:ascii="Verdana" w:hAnsi="Verdana" w:cs="Arial"/>
          <w:sz w:val="16"/>
          <w:szCs w:val="16"/>
        </w:rPr>
        <w:t>“</w:t>
      </w:r>
      <w:r w:rsidRPr="00FA4E80">
        <w:rPr>
          <w:rStyle w:val="PiedepginaCar"/>
          <w:rFonts w:ascii="Verdana" w:hAnsi="Verdana" w:cs="Arial"/>
          <w:color w:val="000000"/>
          <w:sz w:val="16"/>
          <w:szCs w:val="16"/>
        </w:rPr>
        <w:t>Artículo</w:t>
      </w:r>
      <w:r w:rsidRPr="00FA4E80">
        <w:rPr>
          <w:rFonts w:ascii="Verdana" w:hAnsi="Verdana" w:cs="Arial"/>
          <w:color w:val="000000"/>
          <w:sz w:val="16"/>
          <w:szCs w:val="16"/>
        </w:rPr>
        <w:t xml:space="preserve"> 3</w:t>
      </w:r>
      <w:proofErr w:type="gramStart"/>
      <w:r w:rsidRPr="00FA4E80">
        <w:rPr>
          <w:rFonts w:ascii="Verdana" w:hAnsi="Verdana" w:cs="Arial"/>
          <w:color w:val="000000"/>
          <w:sz w:val="16"/>
          <w:szCs w:val="16"/>
        </w:rPr>
        <w:t>°.Otros</w:t>
      </w:r>
      <w:proofErr w:type="gramEnd"/>
      <w:r w:rsidRPr="00FA4E80">
        <w:rPr>
          <w:rFonts w:ascii="Verdana" w:hAnsi="Verdana" w:cs="Arial"/>
          <w:color w:val="000000"/>
          <w:sz w:val="16"/>
          <w:szCs w:val="16"/>
        </w:rPr>
        <w:t xml:space="preserve"> principios de la transparencia y acceso a la información pública. En la interpretación del derecho de acceso a la información se deberá adoptar un criterio de razonabilidad y proporcionalidad, así como aplicar los siguientes principios: </w:t>
      </w:r>
    </w:p>
    <w:p w14:paraId="53584418" w14:textId="77777777" w:rsidR="00F64884" w:rsidRPr="00FA4E80" w:rsidRDefault="00F64884" w:rsidP="00F64884">
      <w:pPr>
        <w:spacing w:after="0" w:line="240" w:lineRule="auto"/>
        <w:jc w:val="both"/>
        <w:rPr>
          <w:rFonts w:ascii="Verdana" w:hAnsi="Verdana" w:cs="Arial"/>
          <w:color w:val="000000"/>
          <w:sz w:val="16"/>
          <w:szCs w:val="16"/>
          <w:lang w:eastAsia="es-CO"/>
        </w:rPr>
      </w:pPr>
      <w:r w:rsidRPr="00FA4E80">
        <w:rPr>
          <w:rFonts w:ascii="Verdana" w:hAnsi="Verdana" w:cs="Arial"/>
          <w:color w:val="000000"/>
          <w:sz w:val="16"/>
          <w:szCs w:val="16"/>
          <w:lang w:eastAsia="es-CO"/>
        </w:rPr>
        <w:t> </w:t>
      </w:r>
      <w:r w:rsidRPr="00FA4E80">
        <w:rPr>
          <w:rFonts w:ascii="Verdana" w:hAnsi="Verdana" w:cs="Arial"/>
          <w:color w:val="000000"/>
          <w:sz w:val="16"/>
          <w:szCs w:val="16"/>
          <w:lang w:eastAsia="es-CO"/>
        </w:rPr>
        <w:tab/>
        <w:t> […]</w:t>
      </w:r>
    </w:p>
    <w:p w14:paraId="7C3937A3" w14:textId="77777777" w:rsidR="00F64884" w:rsidRPr="00FA4E80" w:rsidRDefault="00F64884" w:rsidP="00F64884">
      <w:pPr>
        <w:spacing w:after="0" w:line="240" w:lineRule="auto"/>
        <w:jc w:val="both"/>
        <w:rPr>
          <w:rFonts w:ascii="Verdana" w:hAnsi="Verdana" w:cs="Arial"/>
          <w:color w:val="000000"/>
          <w:sz w:val="16"/>
          <w:szCs w:val="16"/>
          <w:lang w:eastAsia="es-CO"/>
        </w:rPr>
      </w:pPr>
      <w:r w:rsidRPr="00FA4E80">
        <w:rPr>
          <w:rFonts w:ascii="Verdana" w:hAnsi="Verdana" w:cs="Arial"/>
          <w:color w:val="000000"/>
          <w:sz w:val="16"/>
          <w:szCs w:val="16"/>
          <w:lang w:eastAsia="es-CO"/>
        </w:rPr>
        <w:t>   </w:t>
      </w:r>
      <w:r w:rsidRPr="00FA4E80">
        <w:rPr>
          <w:rFonts w:ascii="Verdana" w:hAnsi="Verdana" w:cs="Arial"/>
          <w:color w:val="000000"/>
          <w:sz w:val="16"/>
          <w:szCs w:val="16"/>
          <w:lang w:eastAsia="es-CO"/>
        </w:rPr>
        <w:tab/>
        <w:t>Principio de facilitación. En virtud de este principio los sujetos obligados deberán facilitar el ejercicio del derecho de acceso a la información pública, excluyendo exigencias o requisitos que puedan obstruirlo o impedirlo. </w:t>
      </w:r>
    </w:p>
    <w:p w14:paraId="3A187023" w14:textId="77777777" w:rsidR="00F64884" w:rsidRPr="00FA4E80" w:rsidRDefault="00F64884" w:rsidP="00F64884">
      <w:pPr>
        <w:spacing w:after="0" w:line="240" w:lineRule="auto"/>
        <w:jc w:val="both"/>
        <w:rPr>
          <w:rFonts w:ascii="Verdana" w:hAnsi="Verdana" w:cs="Arial"/>
          <w:color w:val="000000"/>
          <w:sz w:val="16"/>
          <w:szCs w:val="16"/>
          <w:lang w:eastAsia="es-CO"/>
        </w:rPr>
      </w:pPr>
      <w:r w:rsidRPr="00FA4E80">
        <w:rPr>
          <w:rFonts w:ascii="Verdana" w:hAnsi="Verdana" w:cs="Arial"/>
          <w:color w:val="000000"/>
          <w:sz w:val="16"/>
          <w:szCs w:val="16"/>
          <w:lang w:eastAsia="es-CO"/>
        </w:rPr>
        <w:t>  </w:t>
      </w:r>
      <w:r w:rsidRPr="00FA4E80">
        <w:rPr>
          <w:rFonts w:ascii="Verdana" w:hAnsi="Verdana" w:cs="Arial"/>
          <w:color w:val="000000"/>
          <w:sz w:val="16"/>
          <w:szCs w:val="16"/>
          <w:lang w:eastAsia="es-CO"/>
        </w:rPr>
        <w:tab/>
        <w:t>[…]</w:t>
      </w:r>
    </w:p>
    <w:p w14:paraId="5692B55F" w14:textId="77777777" w:rsidR="00F64884" w:rsidRPr="00FA4E80" w:rsidRDefault="00F64884" w:rsidP="00F64884">
      <w:pPr>
        <w:spacing w:after="0" w:line="240" w:lineRule="auto"/>
        <w:jc w:val="both"/>
        <w:rPr>
          <w:rFonts w:ascii="Verdana" w:hAnsi="Verdana" w:cs="Arial"/>
          <w:color w:val="000000"/>
          <w:sz w:val="16"/>
          <w:szCs w:val="16"/>
          <w:lang w:eastAsia="es-CO"/>
        </w:rPr>
      </w:pPr>
      <w:r w:rsidRPr="00FA4E80">
        <w:rPr>
          <w:rFonts w:ascii="Verdana" w:hAnsi="Verdana" w:cs="Arial"/>
          <w:color w:val="000000"/>
          <w:sz w:val="16"/>
          <w:szCs w:val="16"/>
          <w:lang w:eastAsia="es-CO"/>
        </w:rPr>
        <w:t>  </w:t>
      </w:r>
      <w:r w:rsidRPr="00FA4E80">
        <w:rPr>
          <w:rFonts w:ascii="Verdana" w:hAnsi="Verdana" w:cs="Arial"/>
          <w:color w:val="000000"/>
          <w:sz w:val="16"/>
          <w:szCs w:val="16"/>
          <w:lang w:eastAsia="es-CO"/>
        </w:rPr>
        <w:tab/>
        <w:t>Principio de la divulgación proactiva de la información. El derecho de acceso a la información no radica únicamente en la obligación de dar respuesta a las peticiones de la sociedad, sino también en el deber de los sujetos obligados de promover y generar una cultura de transparencia, lo que conlleva la obligación de publicar y divulgar documentos y archivos que plasman la actividad estatal y de interés público, de forma rutinaria y proactiva, actualizada, accesible y comprensible, atendiendo a límites razonables del talento humano y recursos físicos y financieros […].</w:t>
      </w:r>
    </w:p>
    <w:p w14:paraId="5544E25D" w14:textId="77777777" w:rsidR="00F64884" w:rsidRPr="00FA4E80" w:rsidRDefault="00F64884" w:rsidP="00F64884">
      <w:pPr>
        <w:pStyle w:val="Textonotapie"/>
        <w:jc w:val="both"/>
        <w:rPr>
          <w:rFonts w:ascii="Verdana" w:hAnsi="Verdana" w:cs="Arial"/>
          <w:sz w:val="16"/>
          <w:szCs w:val="16"/>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1AB76FA"/>
    <w:multiLevelType w:val="hybridMultilevel"/>
    <w:tmpl w:val="788E5062"/>
    <w:lvl w:ilvl="0" w:tplc="0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4" w15:restartNumberingAfterBreak="0">
    <w:nsid w:val="193D3D63"/>
    <w:multiLevelType w:val="hybridMultilevel"/>
    <w:tmpl w:val="A5F2E8A8"/>
    <w:lvl w:ilvl="0" w:tplc="FF447452">
      <w:start w:val="1"/>
      <w:numFmt w:val="bullet"/>
      <w:lvlText w:val="·"/>
      <w:lvlJc w:val="left"/>
      <w:pPr>
        <w:ind w:left="720" w:hanging="360"/>
      </w:pPr>
      <w:rPr>
        <w:rFonts w:ascii="Symbol" w:hAnsi="Symbol" w:hint="default"/>
      </w:rPr>
    </w:lvl>
    <w:lvl w:ilvl="1" w:tplc="01C05B46">
      <w:start w:val="1"/>
      <w:numFmt w:val="bullet"/>
      <w:lvlText w:val="o"/>
      <w:lvlJc w:val="left"/>
      <w:pPr>
        <w:ind w:left="1440" w:hanging="360"/>
      </w:pPr>
      <w:rPr>
        <w:rFonts w:ascii="Courier New" w:hAnsi="Courier New" w:cs="Times New Roman" w:hint="default"/>
      </w:rPr>
    </w:lvl>
    <w:lvl w:ilvl="2" w:tplc="F8462926">
      <w:start w:val="1"/>
      <w:numFmt w:val="bullet"/>
      <w:lvlText w:val=""/>
      <w:lvlJc w:val="left"/>
      <w:pPr>
        <w:ind w:left="2160" w:hanging="360"/>
      </w:pPr>
      <w:rPr>
        <w:rFonts w:ascii="Wingdings" w:hAnsi="Wingdings" w:hint="default"/>
      </w:rPr>
    </w:lvl>
    <w:lvl w:ilvl="3" w:tplc="EDE4D67C">
      <w:start w:val="1"/>
      <w:numFmt w:val="bullet"/>
      <w:lvlText w:val=""/>
      <w:lvlJc w:val="left"/>
      <w:pPr>
        <w:ind w:left="2880" w:hanging="360"/>
      </w:pPr>
      <w:rPr>
        <w:rFonts w:ascii="Symbol" w:hAnsi="Symbol" w:hint="default"/>
      </w:rPr>
    </w:lvl>
    <w:lvl w:ilvl="4" w:tplc="0614A194">
      <w:start w:val="1"/>
      <w:numFmt w:val="bullet"/>
      <w:lvlText w:val="o"/>
      <w:lvlJc w:val="left"/>
      <w:pPr>
        <w:ind w:left="3600" w:hanging="360"/>
      </w:pPr>
      <w:rPr>
        <w:rFonts w:ascii="Courier New" w:hAnsi="Courier New" w:cs="Times New Roman" w:hint="default"/>
      </w:rPr>
    </w:lvl>
    <w:lvl w:ilvl="5" w:tplc="1FF8D0A8">
      <w:start w:val="1"/>
      <w:numFmt w:val="bullet"/>
      <w:lvlText w:val=""/>
      <w:lvlJc w:val="left"/>
      <w:pPr>
        <w:ind w:left="4320" w:hanging="360"/>
      </w:pPr>
      <w:rPr>
        <w:rFonts w:ascii="Wingdings" w:hAnsi="Wingdings" w:hint="default"/>
      </w:rPr>
    </w:lvl>
    <w:lvl w:ilvl="6" w:tplc="3B50B8F8">
      <w:start w:val="1"/>
      <w:numFmt w:val="bullet"/>
      <w:lvlText w:val=""/>
      <w:lvlJc w:val="left"/>
      <w:pPr>
        <w:ind w:left="5040" w:hanging="360"/>
      </w:pPr>
      <w:rPr>
        <w:rFonts w:ascii="Symbol" w:hAnsi="Symbol" w:hint="default"/>
      </w:rPr>
    </w:lvl>
    <w:lvl w:ilvl="7" w:tplc="B52AA1F6">
      <w:start w:val="1"/>
      <w:numFmt w:val="bullet"/>
      <w:lvlText w:val="o"/>
      <w:lvlJc w:val="left"/>
      <w:pPr>
        <w:ind w:left="5760" w:hanging="360"/>
      </w:pPr>
      <w:rPr>
        <w:rFonts w:ascii="Courier New" w:hAnsi="Courier New" w:cs="Times New Roman" w:hint="default"/>
      </w:rPr>
    </w:lvl>
    <w:lvl w:ilvl="8" w:tplc="EBD83ABC">
      <w:start w:val="1"/>
      <w:numFmt w:val="bullet"/>
      <w:lvlText w:val=""/>
      <w:lvlJc w:val="left"/>
      <w:pPr>
        <w:ind w:left="6480" w:hanging="360"/>
      </w:pPr>
      <w:rPr>
        <w:rFonts w:ascii="Wingdings" w:hAnsi="Wingdings" w:hint="default"/>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D070833"/>
    <w:multiLevelType w:val="hybridMultilevel"/>
    <w:tmpl w:val="DC7C2C48"/>
    <w:lvl w:ilvl="0" w:tplc="77DA7758">
      <w:start w:val="1"/>
      <w:numFmt w:val="lowerRoman"/>
      <w:lvlText w:val="(%1)"/>
      <w:lvlJc w:val="left"/>
      <w:pPr>
        <w:ind w:left="1789" w:hanging="10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15:restartNumberingAfterBreak="0">
    <w:nsid w:val="668D79DE"/>
    <w:multiLevelType w:val="hybridMultilevel"/>
    <w:tmpl w:val="12EC37B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1361EC"/>
    <w:multiLevelType w:val="hybridMultilevel"/>
    <w:tmpl w:val="15AA9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22985549">
    <w:abstractNumId w:val="8"/>
  </w:num>
  <w:num w:numId="2" w16cid:durableId="2006784264">
    <w:abstractNumId w:val="2"/>
  </w:num>
  <w:num w:numId="3" w16cid:durableId="26221491">
    <w:abstractNumId w:val="6"/>
  </w:num>
  <w:num w:numId="4" w16cid:durableId="2012904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660072">
    <w:abstractNumId w:val="2"/>
  </w:num>
  <w:num w:numId="6" w16cid:durableId="805437791">
    <w:abstractNumId w:val="17"/>
  </w:num>
  <w:num w:numId="7" w16cid:durableId="429668335">
    <w:abstractNumId w:val="7"/>
  </w:num>
  <w:num w:numId="8" w16cid:durableId="479928188">
    <w:abstractNumId w:val="16"/>
  </w:num>
  <w:num w:numId="9" w16cid:durableId="1554465592">
    <w:abstractNumId w:val="9"/>
  </w:num>
  <w:num w:numId="10" w16cid:durableId="590315353">
    <w:abstractNumId w:val="15"/>
  </w:num>
  <w:num w:numId="11" w16cid:durableId="661196624">
    <w:abstractNumId w:val="10"/>
  </w:num>
  <w:num w:numId="12" w16cid:durableId="826290444">
    <w:abstractNumId w:val="1"/>
  </w:num>
  <w:num w:numId="13" w16cid:durableId="1411655389">
    <w:abstractNumId w:val="5"/>
  </w:num>
  <w:num w:numId="14" w16cid:durableId="1349062681">
    <w:abstractNumId w:val="18"/>
  </w:num>
  <w:num w:numId="15" w16cid:durableId="586501536">
    <w:abstractNumId w:val="13"/>
  </w:num>
  <w:num w:numId="16" w16cid:durableId="2062746321">
    <w:abstractNumId w:val="0"/>
  </w:num>
  <w:num w:numId="17" w16cid:durableId="1480341156">
    <w:abstractNumId w:val="11"/>
  </w:num>
  <w:num w:numId="18" w16cid:durableId="1644385647">
    <w:abstractNumId w:val="12"/>
  </w:num>
  <w:num w:numId="19" w16cid:durableId="38676546">
    <w:abstractNumId w:val="19"/>
  </w:num>
  <w:num w:numId="20" w16cid:durableId="1976371005">
    <w:abstractNumId w:val="14"/>
  </w:num>
  <w:num w:numId="21" w16cid:durableId="665480676">
    <w:abstractNumId w:val="3"/>
  </w:num>
  <w:num w:numId="22" w16cid:durableId="1971128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114F"/>
    <w:rsid w:val="00006684"/>
    <w:rsid w:val="00013B28"/>
    <w:rsid w:val="00015927"/>
    <w:rsid w:val="00016F78"/>
    <w:rsid w:val="00017743"/>
    <w:rsid w:val="00021034"/>
    <w:rsid w:val="00021216"/>
    <w:rsid w:val="00024FE0"/>
    <w:rsid w:val="00025B6F"/>
    <w:rsid w:val="00026012"/>
    <w:rsid w:val="00027F8A"/>
    <w:rsid w:val="000368B0"/>
    <w:rsid w:val="0003711F"/>
    <w:rsid w:val="00040FEE"/>
    <w:rsid w:val="00043DDF"/>
    <w:rsid w:val="00046945"/>
    <w:rsid w:val="00046DFE"/>
    <w:rsid w:val="00052258"/>
    <w:rsid w:val="00053620"/>
    <w:rsid w:val="0006067B"/>
    <w:rsid w:val="00061B2A"/>
    <w:rsid w:val="000673D2"/>
    <w:rsid w:val="00070235"/>
    <w:rsid w:val="00075602"/>
    <w:rsid w:val="00076854"/>
    <w:rsid w:val="00077541"/>
    <w:rsid w:val="00082362"/>
    <w:rsid w:val="00085139"/>
    <w:rsid w:val="000872C6"/>
    <w:rsid w:val="00094E1F"/>
    <w:rsid w:val="0009656A"/>
    <w:rsid w:val="00096BF3"/>
    <w:rsid w:val="00096C31"/>
    <w:rsid w:val="000A33D5"/>
    <w:rsid w:val="000A4CDE"/>
    <w:rsid w:val="000A4D0B"/>
    <w:rsid w:val="000A683E"/>
    <w:rsid w:val="000B09A1"/>
    <w:rsid w:val="000B19B9"/>
    <w:rsid w:val="000B21CE"/>
    <w:rsid w:val="000B43B3"/>
    <w:rsid w:val="000B51BA"/>
    <w:rsid w:val="000B78B1"/>
    <w:rsid w:val="000C0238"/>
    <w:rsid w:val="000C09A6"/>
    <w:rsid w:val="000C26AA"/>
    <w:rsid w:val="000C7F32"/>
    <w:rsid w:val="000D0334"/>
    <w:rsid w:val="000D12A8"/>
    <w:rsid w:val="000D4334"/>
    <w:rsid w:val="000D5BDC"/>
    <w:rsid w:val="000D5DA7"/>
    <w:rsid w:val="000E40EB"/>
    <w:rsid w:val="000E6B39"/>
    <w:rsid w:val="000E78A9"/>
    <w:rsid w:val="000F6217"/>
    <w:rsid w:val="000F6486"/>
    <w:rsid w:val="001016CF"/>
    <w:rsid w:val="00101D74"/>
    <w:rsid w:val="001030D6"/>
    <w:rsid w:val="0011274D"/>
    <w:rsid w:val="00116940"/>
    <w:rsid w:val="0012332E"/>
    <w:rsid w:val="00125105"/>
    <w:rsid w:val="00127233"/>
    <w:rsid w:val="001304B0"/>
    <w:rsid w:val="00133187"/>
    <w:rsid w:val="00135EB9"/>
    <w:rsid w:val="001450CA"/>
    <w:rsid w:val="00146B53"/>
    <w:rsid w:val="00146FC2"/>
    <w:rsid w:val="001530D1"/>
    <w:rsid w:val="0015592C"/>
    <w:rsid w:val="0015699B"/>
    <w:rsid w:val="00157564"/>
    <w:rsid w:val="00164EA6"/>
    <w:rsid w:val="00164FC3"/>
    <w:rsid w:val="00166193"/>
    <w:rsid w:val="00174DF0"/>
    <w:rsid w:val="00176858"/>
    <w:rsid w:val="00181A66"/>
    <w:rsid w:val="00183412"/>
    <w:rsid w:val="00185434"/>
    <w:rsid w:val="00195C6D"/>
    <w:rsid w:val="00197BBD"/>
    <w:rsid w:val="001A33BF"/>
    <w:rsid w:val="001B017F"/>
    <w:rsid w:val="001E1573"/>
    <w:rsid w:val="001E4177"/>
    <w:rsid w:val="001E6DB6"/>
    <w:rsid w:val="001E707E"/>
    <w:rsid w:val="001E70E6"/>
    <w:rsid w:val="001F0B24"/>
    <w:rsid w:val="001F22AA"/>
    <w:rsid w:val="001F7BCA"/>
    <w:rsid w:val="001F7DC6"/>
    <w:rsid w:val="0020109B"/>
    <w:rsid w:val="00202C1B"/>
    <w:rsid w:val="002050F7"/>
    <w:rsid w:val="00207DD0"/>
    <w:rsid w:val="002114F3"/>
    <w:rsid w:val="00213576"/>
    <w:rsid w:val="00214E31"/>
    <w:rsid w:val="00215917"/>
    <w:rsid w:val="00215DE5"/>
    <w:rsid w:val="00221A05"/>
    <w:rsid w:val="0022400B"/>
    <w:rsid w:val="00225381"/>
    <w:rsid w:val="002353FD"/>
    <w:rsid w:val="002421BB"/>
    <w:rsid w:val="002431D9"/>
    <w:rsid w:val="00243450"/>
    <w:rsid w:val="002441E5"/>
    <w:rsid w:val="002455A8"/>
    <w:rsid w:val="00255F8B"/>
    <w:rsid w:val="0025711F"/>
    <w:rsid w:val="0025796E"/>
    <w:rsid w:val="00260092"/>
    <w:rsid w:val="00260EE6"/>
    <w:rsid w:val="00270235"/>
    <w:rsid w:val="002707A2"/>
    <w:rsid w:val="0028548B"/>
    <w:rsid w:val="0029223E"/>
    <w:rsid w:val="00294A2A"/>
    <w:rsid w:val="002951A0"/>
    <w:rsid w:val="002962BC"/>
    <w:rsid w:val="00297A2F"/>
    <w:rsid w:val="002A093D"/>
    <w:rsid w:val="002A0DD0"/>
    <w:rsid w:val="002A27FB"/>
    <w:rsid w:val="002A31E2"/>
    <w:rsid w:val="002A4040"/>
    <w:rsid w:val="002A49AC"/>
    <w:rsid w:val="002A64FD"/>
    <w:rsid w:val="002A6CD1"/>
    <w:rsid w:val="002B41E6"/>
    <w:rsid w:val="002B4B0A"/>
    <w:rsid w:val="002B7324"/>
    <w:rsid w:val="002C0CBE"/>
    <w:rsid w:val="002C7A84"/>
    <w:rsid w:val="002C7BA4"/>
    <w:rsid w:val="002C7BEE"/>
    <w:rsid w:val="002D00EF"/>
    <w:rsid w:val="002D152E"/>
    <w:rsid w:val="002E0F59"/>
    <w:rsid w:val="002E10D0"/>
    <w:rsid w:val="002E292C"/>
    <w:rsid w:val="002E2BF8"/>
    <w:rsid w:val="002E4FD9"/>
    <w:rsid w:val="00302000"/>
    <w:rsid w:val="00304118"/>
    <w:rsid w:val="0030657A"/>
    <w:rsid w:val="00310279"/>
    <w:rsid w:val="00317302"/>
    <w:rsid w:val="00322A85"/>
    <w:rsid w:val="00324168"/>
    <w:rsid w:val="00330834"/>
    <w:rsid w:val="00330D94"/>
    <w:rsid w:val="00331806"/>
    <w:rsid w:val="003321AB"/>
    <w:rsid w:val="00333A2A"/>
    <w:rsid w:val="00334C4B"/>
    <w:rsid w:val="00336521"/>
    <w:rsid w:val="00336D10"/>
    <w:rsid w:val="00337553"/>
    <w:rsid w:val="00340A90"/>
    <w:rsid w:val="00341622"/>
    <w:rsid w:val="003448F4"/>
    <w:rsid w:val="003504C9"/>
    <w:rsid w:val="00353D95"/>
    <w:rsid w:val="00354F58"/>
    <w:rsid w:val="003553E1"/>
    <w:rsid w:val="00355AE0"/>
    <w:rsid w:val="003561E5"/>
    <w:rsid w:val="003568E0"/>
    <w:rsid w:val="0035748E"/>
    <w:rsid w:val="00360D34"/>
    <w:rsid w:val="00361C54"/>
    <w:rsid w:val="00364367"/>
    <w:rsid w:val="003703CF"/>
    <w:rsid w:val="0037272C"/>
    <w:rsid w:val="00374F5E"/>
    <w:rsid w:val="00377E3E"/>
    <w:rsid w:val="00387958"/>
    <w:rsid w:val="003A779E"/>
    <w:rsid w:val="003B4088"/>
    <w:rsid w:val="003B5B25"/>
    <w:rsid w:val="003D0F4D"/>
    <w:rsid w:val="003D1200"/>
    <w:rsid w:val="003D432E"/>
    <w:rsid w:val="003D56D2"/>
    <w:rsid w:val="003D5B0D"/>
    <w:rsid w:val="003D6A17"/>
    <w:rsid w:val="003E0499"/>
    <w:rsid w:val="003E1849"/>
    <w:rsid w:val="003E4F80"/>
    <w:rsid w:val="003E6439"/>
    <w:rsid w:val="003F3941"/>
    <w:rsid w:val="003F4C3E"/>
    <w:rsid w:val="003F5EF6"/>
    <w:rsid w:val="00400CA1"/>
    <w:rsid w:val="00404462"/>
    <w:rsid w:val="00406575"/>
    <w:rsid w:val="004113DC"/>
    <w:rsid w:val="00414C74"/>
    <w:rsid w:val="0042110F"/>
    <w:rsid w:val="00427207"/>
    <w:rsid w:val="0042722E"/>
    <w:rsid w:val="00431F32"/>
    <w:rsid w:val="0043714B"/>
    <w:rsid w:val="00442FCC"/>
    <w:rsid w:val="0044528D"/>
    <w:rsid w:val="00447DF1"/>
    <w:rsid w:val="0045282F"/>
    <w:rsid w:val="0045302C"/>
    <w:rsid w:val="00454EDB"/>
    <w:rsid w:val="004619F7"/>
    <w:rsid w:val="00462718"/>
    <w:rsid w:val="00465D4F"/>
    <w:rsid w:val="00466E39"/>
    <w:rsid w:val="00467C83"/>
    <w:rsid w:val="00474FB1"/>
    <w:rsid w:val="004755B6"/>
    <w:rsid w:val="00475EEB"/>
    <w:rsid w:val="00477B37"/>
    <w:rsid w:val="00480A62"/>
    <w:rsid w:val="00483C4F"/>
    <w:rsid w:val="00487111"/>
    <w:rsid w:val="004878FF"/>
    <w:rsid w:val="00491B0A"/>
    <w:rsid w:val="00494BCA"/>
    <w:rsid w:val="004973B5"/>
    <w:rsid w:val="004A1847"/>
    <w:rsid w:val="004A305D"/>
    <w:rsid w:val="004A312C"/>
    <w:rsid w:val="004A426E"/>
    <w:rsid w:val="004A6089"/>
    <w:rsid w:val="004A6F50"/>
    <w:rsid w:val="004A782D"/>
    <w:rsid w:val="004B0017"/>
    <w:rsid w:val="004B1144"/>
    <w:rsid w:val="004B2801"/>
    <w:rsid w:val="004B53C3"/>
    <w:rsid w:val="004C12EA"/>
    <w:rsid w:val="004C41F2"/>
    <w:rsid w:val="004C7472"/>
    <w:rsid w:val="004D1BF3"/>
    <w:rsid w:val="004D1DFE"/>
    <w:rsid w:val="004D22D8"/>
    <w:rsid w:val="004D5CC6"/>
    <w:rsid w:val="004D692E"/>
    <w:rsid w:val="004E1D01"/>
    <w:rsid w:val="004E7884"/>
    <w:rsid w:val="004F21C4"/>
    <w:rsid w:val="004F685F"/>
    <w:rsid w:val="005000BD"/>
    <w:rsid w:val="00500CAA"/>
    <w:rsid w:val="00507F52"/>
    <w:rsid w:val="005121EC"/>
    <w:rsid w:val="00513C30"/>
    <w:rsid w:val="00514B0C"/>
    <w:rsid w:val="0051674E"/>
    <w:rsid w:val="00517260"/>
    <w:rsid w:val="00523B3D"/>
    <w:rsid w:val="0053698C"/>
    <w:rsid w:val="00537A48"/>
    <w:rsid w:val="005431C0"/>
    <w:rsid w:val="005537E2"/>
    <w:rsid w:val="005566E8"/>
    <w:rsid w:val="00557096"/>
    <w:rsid w:val="00560EC4"/>
    <w:rsid w:val="0056253C"/>
    <w:rsid w:val="00566446"/>
    <w:rsid w:val="00566D70"/>
    <w:rsid w:val="0056709B"/>
    <w:rsid w:val="00573820"/>
    <w:rsid w:val="00574867"/>
    <w:rsid w:val="00575121"/>
    <w:rsid w:val="0058606C"/>
    <w:rsid w:val="00587E2F"/>
    <w:rsid w:val="0059004D"/>
    <w:rsid w:val="00591460"/>
    <w:rsid w:val="00597438"/>
    <w:rsid w:val="005A27A3"/>
    <w:rsid w:val="005A2C96"/>
    <w:rsid w:val="005A4665"/>
    <w:rsid w:val="005A6208"/>
    <w:rsid w:val="005A65E0"/>
    <w:rsid w:val="005A6FF2"/>
    <w:rsid w:val="005B1B19"/>
    <w:rsid w:val="005B2138"/>
    <w:rsid w:val="005B3A10"/>
    <w:rsid w:val="005C0985"/>
    <w:rsid w:val="005C2187"/>
    <w:rsid w:val="005C3777"/>
    <w:rsid w:val="005C5CDC"/>
    <w:rsid w:val="005D2425"/>
    <w:rsid w:val="005D476C"/>
    <w:rsid w:val="005E228D"/>
    <w:rsid w:val="005E2ABB"/>
    <w:rsid w:val="005E2B00"/>
    <w:rsid w:val="005E2D08"/>
    <w:rsid w:val="005E532F"/>
    <w:rsid w:val="005F395D"/>
    <w:rsid w:val="00602ECE"/>
    <w:rsid w:val="00605869"/>
    <w:rsid w:val="0061277B"/>
    <w:rsid w:val="006200BF"/>
    <w:rsid w:val="00620975"/>
    <w:rsid w:val="006219F8"/>
    <w:rsid w:val="00623464"/>
    <w:rsid w:val="006302F7"/>
    <w:rsid w:val="00630F6D"/>
    <w:rsid w:val="00642303"/>
    <w:rsid w:val="00644434"/>
    <w:rsid w:val="00646B9F"/>
    <w:rsid w:val="006506CB"/>
    <w:rsid w:val="006577B0"/>
    <w:rsid w:val="0066071B"/>
    <w:rsid w:val="00662842"/>
    <w:rsid w:val="00665D70"/>
    <w:rsid w:val="00666EC0"/>
    <w:rsid w:val="006760F7"/>
    <w:rsid w:val="00680343"/>
    <w:rsid w:val="006900D9"/>
    <w:rsid w:val="0069420D"/>
    <w:rsid w:val="006A187C"/>
    <w:rsid w:val="006A502C"/>
    <w:rsid w:val="006B0788"/>
    <w:rsid w:val="006B4BA8"/>
    <w:rsid w:val="006C768C"/>
    <w:rsid w:val="006D15B7"/>
    <w:rsid w:val="006D20B7"/>
    <w:rsid w:val="006D2DFB"/>
    <w:rsid w:val="006D586D"/>
    <w:rsid w:val="006D6714"/>
    <w:rsid w:val="006E2238"/>
    <w:rsid w:val="006E40FB"/>
    <w:rsid w:val="006E6CCC"/>
    <w:rsid w:val="006F415D"/>
    <w:rsid w:val="006F5FEB"/>
    <w:rsid w:val="006F626B"/>
    <w:rsid w:val="00703CE6"/>
    <w:rsid w:val="00706C16"/>
    <w:rsid w:val="00717E11"/>
    <w:rsid w:val="007331BE"/>
    <w:rsid w:val="007340C3"/>
    <w:rsid w:val="0073699E"/>
    <w:rsid w:val="00736D82"/>
    <w:rsid w:val="007402D4"/>
    <w:rsid w:val="00742352"/>
    <w:rsid w:val="00744366"/>
    <w:rsid w:val="00751FC4"/>
    <w:rsid w:val="0075235A"/>
    <w:rsid w:val="007536FF"/>
    <w:rsid w:val="00754213"/>
    <w:rsid w:val="00756841"/>
    <w:rsid w:val="007575B8"/>
    <w:rsid w:val="007604CB"/>
    <w:rsid w:val="007649AB"/>
    <w:rsid w:val="007670F4"/>
    <w:rsid w:val="00771D0C"/>
    <w:rsid w:val="00775C32"/>
    <w:rsid w:val="0077605F"/>
    <w:rsid w:val="007775A0"/>
    <w:rsid w:val="007779D5"/>
    <w:rsid w:val="007833AC"/>
    <w:rsid w:val="00783636"/>
    <w:rsid w:val="007869DD"/>
    <w:rsid w:val="00787563"/>
    <w:rsid w:val="00787661"/>
    <w:rsid w:val="007A2DAF"/>
    <w:rsid w:val="007B268C"/>
    <w:rsid w:val="007B53CD"/>
    <w:rsid w:val="007B7171"/>
    <w:rsid w:val="007C0C0F"/>
    <w:rsid w:val="007C23B7"/>
    <w:rsid w:val="007C27D5"/>
    <w:rsid w:val="007C3DC2"/>
    <w:rsid w:val="007C7AA9"/>
    <w:rsid w:val="007D1B50"/>
    <w:rsid w:val="007E24C9"/>
    <w:rsid w:val="007E5497"/>
    <w:rsid w:val="007E6D3A"/>
    <w:rsid w:val="007F3C4F"/>
    <w:rsid w:val="007F3E63"/>
    <w:rsid w:val="007F45B7"/>
    <w:rsid w:val="007F7785"/>
    <w:rsid w:val="0080100C"/>
    <w:rsid w:val="008054E7"/>
    <w:rsid w:val="00806F5F"/>
    <w:rsid w:val="008118BD"/>
    <w:rsid w:val="00811C0D"/>
    <w:rsid w:val="00816589"/>
    <w:rsid w:val="00820278"/>
    <w:rsid w:val="00821954"/>
    <w:rsid w:val="00822035"/>
    <w:rsid w:val="00824CDB"/>
    <w:rsid w:val="008258C9"/>
    <w:rsid w:val="00830D94"/>
    <w:rsid w:val="00832549"/>
    <w:rsid w:val="00844624"/>
    <w:rsid w:val="00844897"/>
    <w:rsid w:val="00844AE9"/>
    <w:rsid w:val="00845045"/>
    <w:rsid w:val="00846C00"/>
    <w:rsid w:val="008470F2"/>
    <w:rsid w:val="00850E22"/>
    <w:rsid w:val="00853648"/>
    <w:rsid w:val="00853819"/>
    <w:rsid w:val="00860A36"/>
    <w:rsid w:val="00863EF6"/>
    <w:rsid w:val="00863EFF"/>
    <w:rsid w:val="00867F95"/>
    <w:rsid w:val="0087323A"/>
    <w:rsid w:val="008745DF"/>
    <w:rsid w:val="00875D77"/>
    <w:rsid w:val="00876589"/>
    <w:rsid w:val="008829CF"/>
    <w:rsid w:val="008843B6"/>
    <w:rsid w:val="00887434"/>
    <w:rsid w:val="00891928"/>
    <w:rsid w:val="008950E7"/>
    <w:rsid w:val="00895299"/>
    <w:rsid w:val="00897A17"/>
    <w:rsid w:val="008A2C2B"/>
    <w:rsid w:val="008A446D"/>
    <w:rsid w:val="008A4E3B"/>
    <w:rsid w:val="008B25F1"/>
    <w:rsid w:val="008B2B48"/>
    <w:rsid w:val="008B4BD1"/>
    <w:rsid w:val="008C11F5"/>
    <w:rsid w:val="008C708E"/>
    <w:rsid w:val="008D0561"/>
    <w:rsid w:val="008D180B"/>
    <w:rsid w:val="008D760C"/>
    <w:rsid w:val="008E04BC"/>
    <w:rsid w:val="008E2BF0"/>
    <w:rsid w:val="008E3F16"/>
    <w:rsid w:val="008E51F9"/>
    <w:rsid w:val="008E61F8"/>
    <w:rsid w:val="008F0EA7"/>
    <w:rsid w:val="008F26C7"/>
    <w:rsid w:val="008F30F9"/>
    <w:rsid w:val="008F3A77"/>
    <w:rsid w:val="00904524"/>
    <w:rsid w:val="00906136"/>
    <w:rsid w:val="00911822"/>
    <w:rsid w:val="00921227"/>
    <w:rsid w:val="00922143"/>
    <w:rsid w:val="00923EEF"/>
    <w:rsid w:val="00924EDE"/>
    <w:rsid w:val="00926B62"/>
    <w:rsid w:val="00940FFB"/>
    <w:rsid w:val="009419F9"/>
    <w:rsid w:val="00944A9A"/>
    <w:rsid w:val="00946CE3"/>
    <w:rsid w:val="0095036F"/>
    <w:rsid w:val="00950BD4"/>
    <w:rsid w:val="009549CB"/>
    <w:rsid w:val="00954C49"/>
    <w:rsid w:val="0095685E"/>
    <w:rsid w:val="0095785A"/>
    <w:rsid w:val="00961B09"/>
    <w:rsid w:val="00965334"/>
    <w:rsid w:val="009676D9"/>
    <w:rsid w:val="0097093E"/>
    <w:rsid w:val="009736D1"/>
    <w:rsid w:val="00973E88"/>
    <w:rsid w:val="009913CD"/>
    <w:rsid w:val="009930D6"/>
    <w:rsid w:val="00993E8E"/>
    <w:rsid w:val="009944E2"/>
    <w:rsid w:val="0099499A"/>
    <w:rsid w:val="00995272"/>
    <w:rsid w:val="009960D6"/>
    <w:rsid w:val="009A0DFA"/>
    <w:rsid w:val="009A1C6F"/>
    <w:rsid w:val="009A1E23"/>
    <w:rsid w:val="009A3668"/>
    <w:rsid w:val="009A3AC3"/>
    <w:rsid w:val="009A57D8"/>
    <w:rsid w:val="009B0FBC"/>
    <w:rsid w:val="009B2798"/>
    <w:rsid w:val="009B2D26"/>
    <w:rsid w:val="009B447F"/>
    <w:rsid w:val="009C3BDB"/>
    <w:rsid w:val="009C71FA"/>
    <w:rsid w:val="009C72E7"/>
    <w:rsid w:val="009C7F7E"/>
    <w:rsid w:val="009D23A0"/>
    <w:rsid w:val="009D2DF9"/>
    <w:rsid w:val="009D3058"/>
    <w:rsid w:val="009D4402"/>
    <w:rsid w:val="009D4B17"/>
    <w:rsid w:val="009D7DAB"/>
    <w:rsid w:val="009E5EAB"/>
    <w:rsid w:val="009F15DE"/>
    <w:rsid w:val="009F3A13"/>
    <w:rsid w:val="009F425F"/>
    <w:rsid w:val="009F55F0"/>
    <w:rsid w:val="00A00230"/>
    <w:rsid w:val="00A03874"/>
    <w:rsid w:val="00A05F97"/>
    <w:rsid w:val="00A122D3"/>
    <w:rsid w:val="00A14468"/>
    <w:rsid w:val="00A162E3"/>
    <w:rsid w:val="00A173FB"/>
    <w:rsid w:val="00A17F13"/>
    <w:rsid w:val="00A2040E"/>
    <w:rsid w:val="00A20739"/>
    <w:rsid w:val="00A23AF9"/>
    <w:rsid w:val="00A2577D"/>
    <w:rsid w:val="00A3228D"/>
    <w:rsid w:val="00A33C78"/>
    <w:rsid w:val="00A41398"/>
    <w:rsid w:val="00A473B7"/>
    <w:rsid w:val="00A50CD7"/>
    <w:rsid w:val="00A52377"/>
    <w:rsid w:val="00A5360B"/>
    <w:rsid w:val="00A60226"/>
    <w:rsid w:val="00A62231"/>
    <w:rsid w:val="00A63F7D"/>
    <w:rsid w:val="00A6560C"/>
    <w:rsid w:val="00A72496"/>
    <w:rsid w:val="00A76017"/>
    <w:rsid w:val="00A8150D"/>
    <w:rsid w:val="00AA1D19"/>
    <w:rsid w:val="00AA2161"/>
    <w:rsid w:val="00AA269F"/>
    <w:rsid w:val="00AA2F28"/>
    <w:rsid w:val="00AA3045"/>
    <w:rsid w:val="00AA74A7"/>
    <w:rsid w:val="00AA7A91"/>
    <w:rsid w:val="00AB0ADB"/>
    <w:rsid w:val="00AB2B2E"/>
    <w:rsid w:val="00AB3F1A"/>
    <w:rsid w:val="00AB6521"/>
    <w:rsid w:val="00AB69C5"/>
    <w:rsid w:val="00AB7616"/>
    <w:rsid w:val="00AC321D"/>
    <w:rsid w:val="00AC4BB3"/>
    <w:rsid w:val="00AC4D3A"/>
    <w:rsid w:val="00AD0E3B"/>
    <w:rsid w:val="00AD25FB"/>
    <w:rsid w:val="00AD697E"/>
    <w:rsid w:val="00AE361F"/>
    <w:rsid w:val="00AF0C72"/>
    <w:rsid w:val="00AF1497"/>
    <w:rsid w:val="00AF3F5D"/>
    <w:rsid w:val="00AF5C1A"/>
    <w:rsid w:val="00B00C0E"/>
    <w:rsid w:val="00B01B1A"/>
    <w:rsid w:val="00B035BB"/>
    <w:rsid w:val="00B0381D"/>
    <w:rsid w:val="00B057AB"/>
    <w:rsid w:val="00B208EC"/>
    <w:rsid w:val="00B209D8"/>
    <w:rsid w:val="00B22B05"/>
    <w:rsid w:val="00B3315E"/>
    <w:rsid w:val="00B3423D"/>
    <w:rsid w:val="00B351B2"/>
    <w:rsid w:val="00B43B41"/>
    <w:rsid w:val="00B44A47"/>
    <w:rsid w:val="00B451CA"/>
    <w:rsid w:val="00B541AB"/>
    <w:rsid w:val="00B542CE"/>
    <w:rsid w:val="00B67DF7"/>
    <w:rsid w:val="00B700B6"/>
    <w:rsid w:val="00B72CD3"/>
    <w:rsid w:val="00B72FFF"/>
    <w:rsid w:val="00B74B96"/>
    <w:rsid w:val="00B7691E"/>
    <w:rsid w:val="00B80D60"/>
    <w:rsid w:val="00B82054"/>
    <w:rsid w:val="00B96FC6"/>
    <w:rsid w:val="00B97602"/>
    <w:rsid w:val="00BB3E67"/>
    <w:rsid w:val="00BB7064"/>
    <w:rsid w:val="00BC0777"/>
    <w:rsid w:val="00BC181F"/>
    <w:rsid w:val="00BC36D4"/>
    <w:rsid w:val="00BC3D36"/>
    <w:rsid w:val="00BC3E91"/>
    <w:rsid w:val="00BC4B4B"/>
    <w:rsid w:val="00BD014E"/>
    <w:rsid w:val="00BD0A8B"/>
    <w:rsid w:val="00BD1F0E"/>
    <w:rsid w:val="00BD54A6"/>
    <w:rsid w:val="00BD5F24"/>
    <w:rsid w:val="00BD7F72"/>
    <w:rsid w:val="00BE1928"/>
    <w:rsid w:val="00BE4AF7"/>
    <w:rsid w:val="00BE7AA4"/>
    <w:rsid w:val="00BF17CF"/>
    <w:rsid w:val="00BF31AD"/>
    <w:rsid w:val="00BF7425"/>
    <w:rsid w:val="00BF779B"/>
    <w:rsid w:val="00C0237D"/>
    <w:rsid w:val="00C03F63"/>
    <w:rsid w:val="00C04FB3"/>
    <w:rsid w:val="00C0710A"/>
    <w:rsid w:val="00C11D8B"/>
    <w:rsid w:val="00C15139"/>
    <w:rsid w:val="00C159A6"/>
    <w:rsid w:val="00C1695B"/>
    <w:rsid w:val="00C17CFF"/>
    <w:rsid w:val="00C22F62"/>
    <w:rsid w:val="00C26E4C"/>
    <w:rsid w:val="00C330EB"/>
    <w:rsid w:val="00C34283"/>
    <w:rsid w:val="00C34643"/>
    <w:rsid w:val="00C40A6A"/>
    <w:rsid w:val="00C50251"/>
    <w:rsid w:val="00C50D69"/>
    <w:rsid w:val="00C50F09"/>
    <w:rsid w:val="00C519B9"/>
    <w:rsid w:val="00C5365C"/>
    <w:rsid w:val="00C575C0"/>
    <w:rsid w:val="00C57DE6"/>
    <w:rsid w:val="00C637AB"/>
    <w:rsid w:val="00C63F6A"/>
    <w:rsid w:val="00C66491"/>
    <w:rsid w:val="00C67711"/>
    <w:rsid w:val="00C72CB2"/>
    <w:rsid w:val="00C754BE"/>
    <w:rsid w:val="00C76B1C"/>
    <w:rsid w:val="00C77685"/>
    <w:rsid w:val="00C82970"/>
    <w:rsid w:val="00C84320"/>
    <w:rsid w:val="00C925AC"/>
    <w:rsid w:val="00C95C71"/>
    <w:rsid w:val="00C972B4"/>
    <w:rsid w:val="00CA0707"/>
    <w:rsid w:val="00CA09AF"/>
    <w:rsid w:val="00CA3A4D"/>
    <w:rsid w:val="00CA5AC2"/>
    <w:rsid w:val="00CA707C"/>
    <w:rsid w:val="00CB2247"/>
    <w:rsid w:val="00CB6357"/>
    <w:rsid w:val="00CC1B26"/>
    <w:rsid w:val="00CC3973"/>
    <w:rsid w:val="00CD2569"/>
    <w:rsid w:val="00CD4047"/>
    <w:rsid w:val="00CD45A7"/>
    <w:rsid w:val="00CE136E"/>
    <w:rsid w:val="00CF272D"/>
    <w:rsid w:val="00CF2DDB"/>
    <w:rsid w:val="00CF4811"/>
    <w:rsid w:val="00CF6761"/>
    <w:rsid w:val="00CF74AA"/>
    <w:rsid w:val="00D04916"/>
    <w:rsid w:val="00D04D43"/>
    <w:rsid w:val="00D070C1"/>
    <w:rsid w:val="00D10D78"/>
    <w:rsid w:val="00D11E94"/>
    <w:rsid w:val="00D1565E"/>
    <w:rsid w:val="00D16B82"/>
    <w:rsid w:val="00D304A0"/>
    <w:rsid w:val="00D31CC0"/>
    <w:rsid w:val="00D33B39"/>
    <w:rsid w:val="00D361FD"/>
    <w:rsid w:val="00D423A2"/>
    <w:rsid w:val="00D43A88"/>
    <w:rsid w:val="00D44E26"/>
    <w:rsid w:val="00D520D8"/>
    <w:rsid w:val="00D55717"/>
    <w:rsid w:val="00D6109A"/>
    <w:rsid w:val="00D612E9"/>
    <w:rsid w:val="00D63AC2"/>
    <w:rsid w:val="00D66F50"/>
    <w:rsid w:val="00D7034F"/>
    <w:rsid w:val="00D71C74"/>
    <w:rsid w:val="00D7383B"/>
    <w:rsid w:val="00D7788A"/>
    <w:rsid w:val="00D8158E"/>
    <w:rsid w:val="00D8296C"/>
    <w:rsid w:val="00D83ADC"/>
    <w:rsid w:val="00D9005D"/>
    <w:rsid w:val="00D95C5D"/>
    <w:rsid w:val="00DA231B"/>
    <w:rsid w:val="00DA427E"/>
    <w:rsid w:val="00DA4884"/>
    <w:rsid w:val="00DC10B7"/>
    <w:rsid w:val="00DC11E8"/>
    <w:rsid w:val="00DC1693"/>
    <w:rsid w:val="00DC265E"/>
    <w:rsid w:val="00DC39FC"/>
    <w:rsid w:val="00DC4AB6"/>
    <w:rsid w:val="00DC5519"/>
    <w:rsid w:val="00DD14E5"/>
    <w:rsid w:val="00DD2FEC"/>
    <w:rsid w:val="00DD327E"/>
    <w:rsid w:val="00DD3C76"/>
    <w:rsid w:val="00DE5EC0"/>
    <w:rsid w:val="00DE69A9"/>
    <w:rsid w:val="00DF5254"/>
    <w:rsid w:val="00DF6461"/>
    <w:rsid w:val="00E02524"/>
    <w:rsid w:val="00E1094A"/>
    <w:rsid w:val="00E10F48"/>
    <w:rsid w:val="00E125AE"/>
    <w:rsid w:val="00E12641"/>
    <w:rsid w:val="00E12FCA"/>
    <w:rsid w:val="00E16408"/>
    <w:rsid w:val="00E20894"/>
    <w:rsid w:val="00E245AB"/>
    <w:rsid w:val="00E2764C"/>
    <w:rsid w:val="00E27F2E"/>
    <w:rsid w:val="00E32710"/>
    <w:rsid w:val="00E34272"/>
    <w:rsid w:val="00E37F6C"/>
    <w:rsid w:val="00E409AD"/>
    <w:rsid w:val="00E45963"/>
    <w:rsid w:val="00E45C1E"/>
    <w:rsid w:val="00E46983"/>
    <w:rsid w:val="00E50AFE"/>
    <w:rsid w:val="00E5745B"/>
    <w:rsid w:val="00E62701"/>
    <w:rsid w:val="00E73A7B"/>
    <w:rsid w:val="00E75C92"/>
    <w:rsid w:val="00E771DC"/>
    <w:rsid w:val="00E811B2"/>
    <w:rsid w:val="00E81458"/>
    <w:rsid w:val="00E81CCE"/>
    <w:rsid w:val="00E8772A"/>
    <w:rsid w:val="00E90F6B"/>
    <w:rsid w:val="00E92C27"/>
    <w:rsid w:val="00EA0E3D"/>
    <w:rsid w:val="00EA4048"/>
    <w:rsid w:val="00EA7985"/>
    <w:rsid w:val="00EB7605"/>
    <w:rsid w:val="00EB7C5E"/>
    <w:rsid w:val="00EC17E1"/>
    <w:rsid w:val="00EC38A7"/>
    <w:rsid w:val="00EC4127"/>
    <w:rsid w:val="00EC502D"/>
    <w:rsid w:val="00EC62AF"/>
    <w:rsid w:val="00EC745C"/>
    <w:rsid w:val="00EC7AF5"/>
    <w:rsid w:val="00ED1498"/>
    <w:rsid w:val="00EE1AA8"/>
    <w:rsid w:val="00EE4D30"/>
    <w:rsid w:val="00EE56F2"/>
    <w:rsid w:val="00EF0DFD"/>
    <w:rsid w:val="00EF4D46"/>
    <w:rsid w:val="00EF512A"/>
    <w:rsid w:val="00EF5A03"/>
    <w:rsid w:val="00EF64A2"/>
    <w:rsid w:val="00F00FC9"/>
    <w:rsid w:val="00F031E9"/>
    <w:rsid w:val="00F045EE"/>
    <w:rsid w:val="00F06E42"/>
    <w:rsid w:val="00F111C8"/>
    <w:rsid w:val="00F21BD8"/>
    <w:rsid w:val="00F23FEA"/>
    <w:rsid w:val="00F25761"/>
    <w:rsid w:val="00F27692"/>
    <w:rsid w:val="00F31EDC"/>
    <w:rsid w:val="00F37F09"/>
    <w:rsid w:val="00F4057C"/>
    <w:rsid w:val="00F43EB5"/>
    <w:rsid w:val="00F45639"/>
    <w:rsid w:val="00F462B3"/>
    <w:rsid w:val="00F55A74"/>
    <w:rsid w:val="00F5664F"/>
    <w:rsid w:val="00F610DE"/>
    <w:rsid w:val="00F643B1"/>
    <w:rsid w:val="00F64884"/>
    <w:rsid w:val="00F666C4"/>
    <w:rsid w:val="00F713CF"/>
    <w:rsid w:val="00F7568D"/>
    <w:rsid w:val="00F76AFC"/>
    <w:rsid w:val="00F80CA6"/>
    <w:rsid w:val="00F8150A"/>
    <w:rsid w:val="00F82C3A"/>
    <w:rsid w:val="00F866EC"/>
    <w:rsid w:val="00F90557"/>
    <w:rsid w:val="00F9316C"/>
    <w:rsid w:val="00F94E04"/>
    <w:rsid w:val="00FA0599"/>
    <w:rsid w:val="00FA47C0"/>
    <w:rsid w:val="00FA4E80"/>
    <w:rsid w:val="00FB1B6B"/>
    <w:rsid w:val="00FB5DD1"/>
    <w:rsid w:val="00FC10B7"/>
    <w:rsid w:val="00FC199E"/>
    <w:rsid w:val="00FC2B5D"/>
    <w:rsid w:val="00FC5D8D"/>
    <w:rsid w:val="00FD5DCE"/>
    <w:rsid w:val="00FE3C69"/>
    <w:rsid w:val="00FE3F78"/>
    <w:rsid w:val="00FE769A"/>
    <w:rsid w:val="00FF1449"/>
    <w:rsid w:val="00FF2701"/>
    <w:rsid w:val="00FF7963"/>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E73A7B"/>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E73A7B"/>
    <w:rPr>
      <w:rFonts w:ascii="Geomanist Light" w:hAnsi="Geomanist Light"/>
      <w:lang w:val="es-ES"/>
    </w:rPr>
  </w:style>
  <w:style w:type="character" w:styleId="Fuerte">
    <w:name w:val="Strong"/>
    <w:basedOn w:val="Fuentedeprrafopredeter"/>
    <w:uiPriority w:val="22"/>
    <w:qFormat/>
    <w:rsid w:val="00FC10B7"/>
    <w:rPr>
      <w:b/>
      <w:bCs/>
    </w:rPr>
  </w:style>
  <w:style w:type="character" w:styleId="nfasis">
    <w:name w:val="Emphasis"/>
    <w:basedOn w:val="Fuentedeprrafopredeter"/>
    <w:uiPriority w:val="20"/>
    <w:qFormat/>
    <w:rsid w:val="00E34272"/>
    <w:rPr>
      <w:i/>
      <w:iCs/>
    </w:rPr>
  </w:style>
  <w:style w:type="character" w:customStyle="1" w:styleId="NormalWebCar">
    <w:name w:val="Normal (Web) Car"/>
    <w:link w:val="NormalWeb"/>
    <w:uiPriority w:val="99"/>
    <w:semiHidden/>
    <w:locked/>
    <w:rsid w:val="0003711F"/>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galvisp@contraloriageneraldecaldas.gov.co" TargetMode="External"/><Relationship Id="rId17"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procuraduria.gov.co/iemp/media/file/img/noticias/Los%20mecanismos%20alternativos%20%20de%20soluci%C3%B3n%20de%20conflictos%20en%20Colombia%20+%20MASC.pdf" TargetMode="External"/><Relationship Id="rId1" Type="http://schemas.openxmlformats.org/officeDocument/2006/relationships/hyperlink" Target="https://doi.org/10.24142/raju.v20n40a1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6195363A-0269-41AB-805A-25FBBD0C0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5ADB71-478B-42CF-A626-5E9D0DBABE5C}">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TotalTime>
  <Pages>38</Pages>
  <Words>13385</Words>
  <Characters>73623</Characters>
  <Application>Microsoft Office Word</Application>
  <DocSecurity>0</DocSecurity>
  <Lines>613</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2</cp:revision>
  <cp:lastPrinted>2023-01-10T21:18:00Z</cp:lastPrinted>
  <dcterms:created xsi:type="dcterms:W3CDTF">2026-08-19T18:11:00Z</dcterms:created>
  <dcterms:modified xsi:type="dcterms:W3CDTF">2026-08-19T18:11:00Z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