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E9A3F" w14:textId="77777777" w:rsidR="009C69CC" w:rsidRPr="003F4B72" w:rsidRDefault="009C69CC" w:rsidP="009C69CC">
      <w:pPr>
        <w:contextualSpacing/>
        <w:jc w:val="both"/>
        <w:rPr>
          <w:rFonts w:ascii="Verdana" w:eastAsia="Calibri" w:hAnsi="Verdana" w:cs="Arial"/>
          <w:b/>
          <w:bCs/>
          <w:lang w:eastAsia="es-ES"/>
        </w:rPr>
      </w:pPr>
      <w:bookmarkStart w:id="0" w:name="_Hlk143780582"/>
      <w:r w:rsidRPr="003F4B72">
        <w:rPr>
          <w:rFonts w:ascii="Verdana" w:eastAsia="Calibri" w:hAnsi="Verdana" w:cs="Arial"/>
          <w:b/>
          <w:bCs/>
          <w:lang w:eastAsia="es-ES"/>
        </w:rPr>
        <w:t xml:space="preserve">PUBLICACIÓN EN SECOP - Principio de transparencia </w:t>
      </w:r>
    </w:p>
    <w:p w14:paraId="0A902893" w14:textId="77777777" w:rsidR="009C69CC" w:rsidRPr="003F4B72" w:rsidRDefault="009C69CC" w:rsidP="009C69CC">
      <w:pPr>
        <w:spacing w:line="240" w:lineRule="auto"/>
        <w:contextualSpacing/>
        <w:jc w:val="both"/>
        <w:rPr>
          <w:rFonts w:ascii="Verdana" w:eastAsia="Calibri" w:hAnsi="Verdana" w:cs="Arial"/>
          <w:sz w:val="20"/>
          <w:szCs w:val="20"/>
          <w:lang w:eastAsia="es-ES"/>
        </w:rPr>
      </w:pPr>
    </w:p>
    <w:p w14:paraId="57714008" w14:textId="77777777" w:rsidR="009C69CC" w:rsidRPr="003F4B72" w:rsidRDefault="009C69CC" w:rsidP="009C69CC">
      <w:pPr>
        <w:spacing w:after="120" w:line="240" w:lineRule="auto"/>
        <w:contextualSpacing/>
        <w:jc w:val="both"/>
        <w:rPr>
          <w:rFonts w:ascii="Verdana" w:eastAsia="Calibri" w:hAnsi="Verdana" w:cs="Arial"/>
          <w:sz w:val="20"/>
          <w:szCs w:val="20"/>
          <w:lang w:val="es-ES"/>
        </w:rPr>
      </w:pPr>
      <w:r w:rsidRPr="003F4B72">
        <w:rPr>
          <w:rFonts w:ascii="Verdana" w:eastAsia="Calibri" w:hAnsi="Verdana" w:cs="Arial"/>
          <w:sz w:val="20"/>
          <w:szCs w:val="20"/>
          <w:lang w:val="es-ES"/>
        </w:rPr>
        <w:t>La ley citada establece, en el literal e) del artículo 9, que los sujetos obligados, que son todas las entidades públicas, deben publicar la información relativa a su contratación. Esta obligación fue en principio desarrollada por el Decreto 103 de 2015, hoy compilado en el Decreto Único Reglamentario 1081 de 2015, el cual dispuso que la publicación de la información contractual de los sujetos obligados, que contratan con cargo a recursos públicos, debe hacerse en el Sistema Electrónico de Contratación Pública – en adelante SECOP–.</w:t>
      </w:r>
    </w:p>
    <w:p w14:paraId="2EB24853" w14:textId="77777777" w:rsidR="009C69CC" w:rsidRDefault="009C69CC" w:rsidP="009C69CC">
      <w:pPr>
        <w:spacing w:after="120" w:line="240" w:lineRule="auto"/>
        <w:jc w:val="both"/>
        <w:rPr>
          <w:rFonts w:ascii="Verdana" w:eastAsia="Calibri" w:hAnsi="Verdana" w:cs="Arial"/>
          <w:sz w:val="20"/>
          <w:szCs w:val="20"/>
          <w:lang w:val="es-MX"/>
        </w:rPr>
      </w:pPr>
    </w:p>
    <w:p w14:paraId="088D74B1" w14:textId="77777777" w:rsidR="009C69CC" w:rsidRPr="003F4B72" w:rsidRDefault="009C69CC" w:rsidP="009C69CC">
      <w:pPr>
        <w:spacing w:after="120" w:line="240" w:lineRule="auto"/>
        <w:jc w:val="both"/>
        <w:rPr>
          <w:rFonts w:ascii="Verdana" w:eastAsia="Arial" w:hAnsi="Verdana" w:cs="Arial"/>
          <w:sz w:val="20"/>
          <w:szCs w:val="20"/>
          <w:lang w:eastAsia="es-ES"/>
        </w:rPr>
      </w:pPr>
      <w:r w:rsidRPr="003F4B72">
        <w:rPr>
          <w:rFonts w:ascii="Verdana" w:eastAsia="Calibri" w:hAnsi="Verdana" w:cs="Arial"/>
          <w:sz w:val="20"/>
          <w:szCs w:val="20"/>
          <w:lang w:val="es-MX"/>
        </w:rPr>
        <w:t xml:space="preserve">Así mismo, </w:t>
      </w:r>
      <w:r w:rsidRPr="003F4B72">
        <w:rPr>
          <w:rFonts w:ascii="Verdana" w:eastAsia="Arial" w:hAnsi="Verdana" w:cs="Arial"/>
          <w:sz w:val="20"/>
          <w:szCs w:val="20"/>
          <w:lang w:eastAsia="es-ES"/>
        </w:rPr>
        <w:t xml:space="preserve">en desarrollo del principio de publicidad en la contratación estatal, el literal c) del artículo 3 de la Ley 1150 de 2007 establece el SECOP como un mecanismo que “contará con la información oficial de la contratación realizada con dineros públicos, para lo cual establecerá los patrones a que haya lugar y se encargará de su difusión a través de canales electrónicos”. </w:t>
      </w:r>
    </w:p>
    <w:p w14:paraId="35C26A4A" w14:textId="77777777" w:rsidR="009C69CC" w:rsidRPr="003F4B72" w:rsidRDefault="009C69CC" w:rsidP="009C69CC">
      <w:pPr>
        <w:contextualSpacing/>
        <w:jc w:val="both"/>
        <w:rPr>
          <w:rFonts w:ascii="Verdana" w:eastAsia="Calibri" w:hAnsi="Verdana" w:cs="Arial"/>
          <w:sz w:val="20"/>
          <w:szCs w:val="20"/>
          <w:lang w:eastAsia="es-ES"/>
        </w:rPr>
      </w:pPr>
    </w:p>
    <w:p w14:paraId="7E74775D" w14:textId="77777777" w:rsidR="009C69CC" w:rsidRPr="003F4B72" w:rsidRDefault="009C69CC" w:rsidP="009C69CC">
      <w:pPr>
        <w:contextualSpacing/>
        <w:jc w:val="both"/>
        <w:rPr>
          <w:rFonts w:ascii="Verdana" w:eastAsia="Calibri" w:hAnsi="Verdana" w:cs="Arial"/>
          <w:b/>
          <w:bCs/>
          <w:lang w:val="es-ES" w:eastAsia="es-ES"/>
        </w:rPr>
      </w:pPr>
      <w:r w:rsidRPr="003F4B72">
        <w:rPr>
          <w:rFonts w:ascii="Verdana" w:eastAsia="Calibri" w:hAnsi="Verdana" w:cs="Arial"/>
          <w:b/>
          <w:bCs/>
          <w:lang w:val="es-ES" w:eastAsia="es-ES"/>
        </w:rPr>
        <w:t xml:space="preserve">MODIFICACIÓN DE LOS CONTRATOS ESTATALES – Procedencia – Límites </w:t>
      </w:r>
    </w:p>
    <w:p w14:paraId="55142CDC" w14:textId="77777777" w:rsidR="009C69CC" w:rsidRPr="003F4B72" w:rsidRDefault="009C69CC" w:rsidP="009C69CC">
      <w:pPr>
        <w:spacing w:after="120" w:line="276" w:lineRule="auto"/>
        <w:jc w:val="both"/>
        <w:rPr>
          <w:rFonts w:ascii="Verdana" w:eastAsia="Calibri" w:hAnsi="Verdana" w:cs="Arial"/>
          <w:sz w:val="20"/>
          <w:szCs w:val="20"/>
          <w:lang w:val="es-ES" w:eastAsia="es-ES"/>
        </w:rPr>
      </w:pPr>
    </w:p>
    <w:p w14:paraId="0209DA5A" w14:textId="77777777" w:rsidR="009C69CC" w:rsidRPr="003F4B72" w:rsidRDefault="009C69CC" w:rsidP="009C69CC">
      <w:pPr>
        <w:spacing w:after="120" w:line="240" w:lineRule="auto"/>
        <w:jc w:val="both"/>
        <w:rPr>
          <w:rFonts w:ascii="Verdana" w:eastAsia="Arial" w:hAnsi="Verdana" w:cs="Arial"/>
          <w:sz w:val="20"/>
          <w:szCs w:val="20"/>
          <w:lang w:eastAsia="es-ES"/>
        </w:rPr>
      </w:pPr>
      <w:r w:rsidRPr="003F4B72">
        <w:rPr>
          <w:rFonts w:ascii="Verdana" w:eastAsia="Calibri" w:hAnsi="Verdana" w:cs="Arial"/>
          <w:sz w:val="20"/>
          <w:szCs w:val="20"/>
          <w:lang w:val="es-ES" w:eastAsia="es-ES"/>
        </w:rPr>
        <w:t xml:space="preserve">[…] </w:t>
      </w:r>
      <w:r w:rsidRPr="003F4B72">
        <w:rPr>
          <w:rFonts w:ascii="Verdana" w:eastAsia="Arial" w:hAnsi="Verdana" w:cs="Arial"/>
          <w:sz w:val="20"/>
          <w:szCs w:val="20"/>
          <w:lang w:eastAsia="es-ES"/>
        </w:rPr>
        <w:t xml:space="preserve">los contratos estatales pueden modificarse en cumplimiento de los requisitos y los límites legales y jurisprudenciales, siempre atendiendo a los principios que rigen la actuación administrativa y la contratación estatal. No obstante, esta medida tiene carácter excepcional y solo procede cuando con ella se pretenda garantizar el interés público, cuando la entidad haya verificado y así pueda constatarse por cualquier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w:t>
      </w:r>
    </w:p>
    <w:p w14:paraId="4F0A6DC9" w14:textId="77777777" w:rsidR="009C69CC" w:rsidRPr="003F4B72" w:rsidRDefault="009C69CC" w:rsidP="009C69CC">
      <w:pPr>
        <w:contextualSpacing/>
        <w:jc w:val="both"/>
        <w:rPr>
          <w:rFonts w:ascii="Verdana" w:eastAsia="Calibri" w:hAnsi="Verdana" w:cs="Arial"/>
          <w:sz w:val="20"/>
          <w:szCs w:val="20"/>
          <w:lang w:val="es-ES" w:eastAsia="es-ES"/>
        </w:rPr>
      </w:pPr>
    </w:p>
    <w:p w14:paraId="5E228F9D" w14:textId="77777777" w:rsidR="009C69CC" w:rsidRPr="003F4B72" w:rsidRDefault="009C69CC" w:rsidP="009C69CC">
      <w:pPr>
        <w:contextualSpacing/>
        <w:jc w:val="both"/>
        <w:rPr>
          <w:rFonts w:ascii="Verdana" w:eastAsia="Calibri" w:hAnsi="Verdana" w:cs="Arial"/>
          <w:b/>
          <w:bCs/>
          <w:lang w:val="es-ES" w:eastAsia="es-ES"/>
        </w:rPr>
      </w:pPr>
      <w:r w:rsidRPr="003F4B72">
        <w:rPr>
          <w:rFonts w:ascii="Verdana" w:eastAsia="Calibri" w:hAnsi="Verdana" w:cs="Arial"/>
          <w:b/>
          <w:bCs/>
          <w:lang w:val="es-ES" w:eastAsia="es-ES"/>
        </w:rPr>
        <w:t xml:space="preserve">CORRECCIÓN ERRORES FORMALES– Artículo 45 Ley 1437 de 2011 </w:t>
      </w:r>
    </w:p>
    <w:p w14:paraId="6EEC5179" w14:textId="77777777" w:rsidR="009C69CC" w:rsidRPr="003F4B72" w:rsidRDefault="009C69CC" w:rsidP="009C69CC">
      <w:pPr>
        <w:contextualSpacing/>
        <w:jc w:val="both"/>
        <w:rPr>
          <w:rFonts w:ascii="Verdana" w:eastAsia="Calibri" w:hAnsi="Verdana" w:cs="Arial"/>
          <w:sz w:val="20"/>
          <w:szCs w:val="20"/>
          <w:lang w:val="es-ES" w:eastAsia="es-ES"/>
        </w:rPr>
      </w:pPr>
    </w:p>
    <w:p w14:paraId="7AFE8E2F" w14:textId="77777777" w:rsidR="009C69CC" w:rsidRPr="003F4B72" w:rsidRDefault="009C69CC" w:rsidP="009C69CC">
      <w:pPr>
        <w:spacing w:after="120" w:line="240" w:lineRule="auto"/>
        <w:jc w:val="both"/>
        <w:rPr>
          <w:rFonts w:ascii="Verdana" w:eastAsia="Calibri" w:hAnsi="Verdana" w:cs="Arial"/>
          <w:b/>
          <w:bCs/>
          <w:sz w:val="20"/>
          <w:szCs w:val="20"/>
          <w:lang w:val="es-ES_tradnl" w:eastAsia="es-ES_tradnl"/>
        </w:rPr>
      </w:pPr>
      <w:r w:rsidRPr="003F4B72">
        <w:rPr>
          <w:rFonts w:ascii="Verdana" w:hAnsi="Verdana" w:cs="Arial"/>
          <w:sz w:val="20"/>
          <w:szCs w:val="20"/>
          <w:lang w:val="es-MX"/>
        </w:rPr>
        <w:t xml:space="preserve">[…] aunque el EGCAP no consagra expresamente esta figura, es posible su aplicación en los actos del proceso de contratación, en virtud de lo establecido en el artículo 77 de la Ley 80 de 1993 y en el artículo 2 de la Ley 1437 de 2011. La primera disposición señala que las normas que rigen los procedimientos y actuaciones en la </w:t>
      </w:r>
      <w:r w:rsidRPr="003F4B72">
        <w:rPr>
          <w:rFonts w:ascii="Verdana" w:hAnsi="Verdana" w:cs="Arial"/>
          <w:i/>
          <w:iCs/>
          <w:sz w:val="20"/>
          <w:szCs w:val="20"/>
          <w:lang w:val="es-MX"/>
        </w:rPr>
        <w:t xml:space="preserve">función administrativa </w:t>
      </w:r>
      <w:r w:rsidRPr="003F4B72">
        <w:rPr>
          <w:rFonts w:ascii="Verdana" w:hAnsi="Verdana" w:cs="Arial"/>
          <w:sz w:val="20"/>
          <w:szCs w:val="20"/>
          <w:lang w:val="es-MX"/>
        </w:rPr>
        <w:t>son aplicables en las actuaciones contractuales, siempre que sean compatibles con la finalidad y los principios de la Ley 80. A su vez, el artículo 2 de la Ley 1437 de 2011, señala que los procedimientos allí establecidos aplican a las actuaciones de todas las autoridades y particulares que desempeñan funciones administrativas, sin perjuicio de los procedimientos regulados en leyes especiales, y agrega que, en lo no previsto en estos, se aplicarán los procedimientos establecidos en dicho código. Tal es el caso de la corrección de errores simplemente formales de los actos administrativos que no está regulada en el EGCAP, sino en el CPACA.</w:t>
      </w:r>
    </w:p>
    <w:p w14:paraId="12A18B67" w14:textId="77777777" w:rsidR="009C69CC" w:rsidRPr="003F4B72" w:rsidRDefault="009C69CC" w:rsidP="009C69CC">
      <w:pPr>
        <w:contextualSpacing/>
        <w:jc w:val="both"/>
        <w:rPr>
          <w:rFonts w:ascii="Verdana" w:eastAsia="Calibri" w:hAnsi="Verdana" w:cs="Arial"/>
          <w:lang w:val="es-ES" w:eastAsia="es-ES"/>
        </w:rPr>
      </w:pPr>
    </w:p>
    <w:p w14:paraId="5A6D984D" w14:textId="77777777" w:rsidR="009C69CC" w:rsidRPr="003F4B72" w:rsidRDefault="009C69CC" w:rsidP="009C69CC">
      <w:pPr>
        <w:contextualSpacing/>
        <w:jc w:val="both"/>
        <w:rPr>
          <w:rFonts w:ascii="Verdana" w:eastAsia="Calibri" w:hAnsi="Verdana" w:cs="Arial"/>
          <w:b/>
          <w:bCs/>
          <w:lang w:val="es-ES" w:eastAsia="es-ES"/>
        </w:rPr>
      </w:pPr>
      <w:r w:rsidRPr="003F4B72">
        <w:rPr>
          <w:rFonts w:ascii="Verdana" w:eastAsia="Calibri" w:hAnsi="Verdana" w:cs="Arial"/>
          <w:b/>
          <w:bCs/>
          <w:lang w:val="es-ES" w:eastAsia="es-ES"/>
        </w:rPr>
        <w:t>INTERPRETACIÓN</w:t>
      </w:r>
      <w:r w:rsidRPr="003F4B72">
        <w:rPr>
          <w:rFonts w:ascii="Verdana" w:eastAsia="Calibri" w:hAnsi="Verdana" w:cs="Arial"/>
          <w:b/>
          <w:bCs/>
        </w:rPr>
        <w:t xml:space="preserve"> – Reglas</w:t>
      </w:r>
      <w:r w:rsidRPr="003F4B72">
        <w:rPr>
          <w:rFonts w:ascii="Verdana" w:eastAsia="Calibri" w:hAnsi="Verdana" w:cs="Arial"/>
          <w:b/>
          <w:bCs/>
          <w:lang w:val="es-ES" w:eastAsia="es-ES"/>
        </w:rPr>
        <w:t xml:space="preserve"> </w:t>
      </w:r>
    </w:p>
    <w:p w14:paraId="3978B06B" w14:textId="77777777" w:rsidR="009C69CC" w:rsidRPr="003F4B72" w:rsidRDefault="009C69CC" w:rsidP="009C69CC">
      <w:pPr>
        <w:spacing w:after="0" w:line="240" w:lineRule="auto"/>
        <w:rPr>
          <w:rFonts w:ascii="Verdana" w:eastAsia="Geomanist Light" w:hAnsi="Verdana" w:cs="Arial"/>
          <w:color w:val="000000" w:themeColor="text1"/>
          <w:sz w:val="20"/>
          <w:szCs w:val="20"/>
          <w:lang w:val="es-MX"/>
        </w:rPr>
      </w:pPr>
    </w:p>
    <w:p w14:paraId="6614C8AB" w14:textId="77777777" w:rsidR="009C69CC" w:rsidRPr="003F4B72" w:rsidRDefault="009C69CC" w:rsidP="009C69CC">
      <w:pPr>
        <w:spacing w:after="120" w:line="240" w:lineRule="auto"/>
        <w:jc w:val="both"/>
        <w:rPr>
          <w:rFonts w:ascii="Verdana" w:eastAsia="Batang" w:hAnsi="Verdana" w:cs="Arial"/>
          <w:sz w:val="20"/>
          <w:szCs w:val="20"/>
        </w:rPr>
      </w:pPr>
      <w:r w:rsidRPr="003F4B72">
        <w:rPr>
          <w:rFonts w:ascii="Verdana" w:eastAsia="Geomanist Light" w:hAnsi="Verdana" w:cs="Arial"/>
          <w:color w:val="000000" w:themeColor="text1"/>
          <w:sz w:val="20"/>
          <w:szCs w:val="20"/>
          <w:lang w:val="es-MX"/>
        </w:rPr>
        <w:t xml:space="preserve">[…] </w:t>
      </w:r>
      <w:r w:rsidRPr="003F4B72">
        <w:rPr>
          <w:rFonts w:ascii="Verdana" w:eastAsia="Batang" w:hAnsi="Verdana" w:cs="Arial"/>
          <w:sz w:val="20"/>
          <w:szCs w:val="20"/>
        </w:rPr>
        <w:t xml:space="preserve">en los procesos de contratación o en la ejecución de los contratos, la entidad, proponentes o contratista podrán acudir, en lo pertinente, a las reglas de interpretación </w:t>
      </w:r>
      <w:r w:rsidRPr="003F4B72">
        <w:rPr>
          <w:rFonts w:ascii="Verdana" w:eastAsia="Batang" w:hAnsi="Verdana" w:cs="Arial"/>
          <w:sz w:val="20"/>
          <w:szCs w:val="20"/>
          <w:lang w:val="es-MX"/>
        </w:rPr>
        <w:t xml:space="preserve">objetivas y subjetivas conforme a los artículos 1618 a 1624 del Código Civil. Por una parte, las </w:t>
      </w:r>
      <w:r w:rsidRPr="003F4B72">
        <w:rPr>
          <w:rFonts w:ascii="Verdana" w:eastAsia="Batang" w:hAnsi="Verdana" w:cs="Arial"/>
          <w:i/>
          <w:iCs/>
          <w:sz w:val="20"/>
          <w:szCs w:val="20"/>
          <w:lang w:val="es-MX"/>
        </w:rPr>
        <w:t>objetivas</w:t>
      </w:r>
      <w:r w:rsidRPr="003F4B72">
        <w:rPr>
          <w:rFonts w:ascii="Verdana" w:eastAsia="Batang" w:hAnsi="Verdana" w:cs="Arial"/>
          <w:sz w:val="20"/>
          <w:szCs w:val="20"/>
          <w:lang w:val="es-MX"/>
        </w:rPr>
        <w:t xml:space="preserve"> son las siguientes: i) una vez conocida la intención de los contratantes ha de estarse más a ella que a lo literal de las palabras (artículo 1618 del Código Civil); ii) </w:t>
      </w:r>
      <w:r w:rsidRPr="003F4B72">
        <w:rPr>
          <w:rFonts w:ascii="Verdana" w:eastAsia="Batang" w:hAnsi="Verdana" w:cs="Arial"/>
          <w:sz w:val="20"/>
          <w:szCs w:val="20"/>
        </w:rPr>
        <w:t xml:space="preserve">las estipulaciones de un contrato pueden interpretarse por la de otro que las partes hayan celebrado sobre la misma materia o por la aplicación práctica que de ellas hayan hecho (artículo 1622, incisos 2 y 3 </w:t>
      </w:r>
      <w:r w:rsidRPr="003F4B72">
        <w:rPr>
          <w:rFonts w:ascii="Verdana" w:eastAsia="Batang" w:hAnsi="Verdana" w:cs="Arial"/>
          <w:i/>
          <w:iCs/>
          <w:sz w:val="20"/>
          <w:szCs w:val="20"/>
        </w:rPr>
        <w:t>ibídem</w:t>
      </w:r>
      <w:r w:rsidRPr="003F4B72">
        <w:rPr>
          <w:rFonts w:ascii="Verdana" w:eastAsia="Batang" w:hAnsi="Verdana" w:cs="Arial"/>
          <w:sz w:val="20"/>
          <w:szCs w:val="20"/>
        </w:rPr>
        <w:t xml:space="preserve">); iii) las cláusulas deben interpretarse unas por otras, dándole a cada una el sentido que más convenga al contrato en su totalidad (artículo 1622, inciso 1 </w:t>
      </w:r>
      <w:r w:rsidRPr="003F4B72">
        <w:rPr>
          <w:rFonts w:ascii="Verdana" w:eastAsia="Batang" w:hAnsi="Verdana" w:cs="Arial"/>
          <w:i/>
          <w:iCs/>
          <w:sz w:val="20"/>
          <w:szCs w:val="20"/>
        </w:rPr>
        <w:t>ibídem</w:t>
      </w:r>
      <w:r w:rsidRPr="003F4B72">
        <w:rPr>
          <w:rFonts w:ascii="Verdana" w:eastAsia="Batang" w:hAnsi="Verdana" w:cs="Arial"/>
          <w:sz w:val="20"/>
          <w:szCs w:val="20"/>
        </w:rPr>
        <w:t xml:space="preserve">); </w:t>
      </w:r>
      <w:proofErr w:type="spellStart"/>
      <w:r w:rsidRPr="003F4B72">
        <w:rPr>
          <w:rFonts w:ascii="Verdana" w:eastAsia="Batang" w:hAnsi="Verdana" w:cs="Arial"/>
          <w:sz w:val="20"/>
          <w:szCs w:val="20"/>
        </w:rPr>
        <w:t>iv</w:t>
      </w:r>
      <w:proofErr w:type="spellEnd"/>
      <w:r w:rsidRPr="003F4B72">
        <w:rPr>
          <w:rFonts w:ascii="Verdana" w:eastAsia="Batang" w:hAnsi="Verdana" w:cs="Arial"/>
          <w:sz w:val="20"/>
          <w:szCs w:val="20"/>
        </w:rPr>
        <w:t xml:space="preserve">) si en un contrato se expresa un caso para explicar la obligación se entiende que esa mención no es restrictiva sino ejemplificativa (artículo 1623 </w:t>
      </w:r>
      <w:r w:rsidRPr="003F4B72">
        <w:rPr>
          <w:rFonts w:ascii="Verdana" w:eastAsia="Batang" w:hAnsi="Verdana" w:cs="Arial"/>
          <w:i/>
          <w:iCs/>
          <w:sz w:val="20"/>
          <w:szCs w:val="20"/>
        </w:rPr>
        <w:t>ibídem</w:t>
      </w:r>
      <w:r w:rsidRPr="003F4B72">
        <w:rPr>
          <w:rFonts w:ascii="Verdana" w:eastAsia="Batang" w:hAnsi="Verdana" w:cs="Arial"/>
          <w:sz w:val="20"/>
          <w:szCs w:val="20"/>
        </w:rPr>
        <w:t xml:space="preserve">); y v) se entiende que las expresiones generales contenidas en el negocio únicamente se aplican a la materia sobre la que se ha contratado (artículo 1619, inciso 2 </w:t>
      </w:r>
      <w:r w:rsidRPr="003F4B72">
        <w:rPr>
          <w:rFonts w:ascii="Verdana" w:eastAsia="Batang" w:hAnsi="Verdana" w:cs="Arial"/>
          <w:i/>
          <w:iCs/>
          <w:sz w:val="20"/>
          <w:szCs w:val="20"/>
        </w:rPr>
        <w:t>ibídem</w:t>
      </w:r>
      <w:r w:rsidRPr="003F4B72">
        <w:rPr>
          <w:rFonts w:ascii="Verdana" w:eastAsia="Batang" w:hAnsi="Verdana" w:cs="Arial"/>
          <w:sz w:val="20"/>
          <w:szCs w:val="20"/>
        </w:rPr>
        <w:t xml:space="preserve">). </w:t>
      </w:r>
    </w:p>
    <w:p w14:paraId="4663331E" w14:textId="77777777" w:rsidR="009C69CC" w:rsidRDefault="009C69CC" w:rsidP="009C69CC">
      <w:pPr>
        <w:spacing w:after="0" w:line="240" w:lineRule="auto"/>
        <w:rPr>
          <w:rFonts w:ascii="Verdana" w:eastAsia="Geomanist Light" w:hAnsi="Verdana" w:cs="Arial"/>
          <w:color w:val="000000" w:themeColor="text1"/>
          <w:lang w:val="es-MX"/>
        </w:rPr>
      </w:pPr>
    </w:p>
    <w:p w14:paraId="7ED10561" w14:textId="77777777" w:rsidR="009C69CC" w:rsidRDefault="009C69CC">
      <w:pPr>
        <w:rPr>
          <w:rFonts w:ascii="Verdana" w:eastAsia="Verdana" w:hAnsi="Verdana" w:cs="Verdana"/>
        </w:rPr>
      </w:pPr>
      <w:r>
        <w:rPr>
          <w:rFonts w:ascii="Verdana" w:eastAsia="Verdana" w:hAnsi="Verdana" w:cs="Verdana"/>
        </w:rPr>
        <w:br w:type="page"/>
      </w:r>
    </w:p>
    <w:p w14:paraId="1468C46D" w14:textId="4180DBA9" w:rsidR="00C15139" w:rsidRPr="0024624F" w:rsidRDefault="00F77F2D" w:rsidP="30821638">
      <w:pPr>
        <w:spacing w:after="0"/>
        <w:rPr>
          <w:rFonts w:ascii="Verdana" w:eastAsia="Verdana" w:hAnsi="Verdana" w:cs="Verdana"/>
        </w:rPr>
      </w:pPr>
      <w:r w:rsidRPr="00F77F2D">
        <w:rPr>
          <w:rFonts w:ascii="Verdana" w:eastAsia="Verdana" w:hAnsi="Verdana" w:cs="Verdana"/>
          <w:b/>
          <w:bCs/>
          <w:noProof/>
          <w:lang w:val="es-MX"/>
        </w:rPr>
        <w:drawing>
          <wp:anchor distT="0" distB="0" distL="114300" distR="114300" simplePos="0" relativeHeight="251659264" behindDoc="1" locked="0" layoutInCell="1" allowOverlap="1" wp14:anchorId="0BC3284E" wp14:editId="383D985F">
            <wp:simplePos x="0" y="0"/>
            <wp:positionH relativeFrom="column">
              <wp:posOffset>3416935</wp:posOffset>
            </wp:positionH>
            <wp:positionV relativeFrom="paragraph">
              <wp:posOffset>1905</wp:posOffset>
            </wp:positionV>
            <wp:extent cx="2491105" cy="821055"/>
            <wp:effectExtent l="0" t="0" r="4445" b="0"/>
            <wp:wrapTight wrapText="bothSides">
              <wp:wrapPolygon edited="0">
                <wp:start x="0" y="0"/>
                <wp:lineTo x="0" y="21049"/>
                <wp:lineTo x="21473" y="21049"/>
                <wp:lineTo x="21473" y="0"/>
                <wp:lineTo x="0" y="0"/>
              </wp:wrapPolygon>
            </wp:wrapTight>
            <wp:docPr id="1050242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1105" cy="82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Bogotá D.C.,</w:t>
      </w:r>
      <w:r>
        <w:rPr>
          <w:rFonts w:ascii="Verdana" w:eastAsia="Verdana" w:hAnsi="Verdana" w:cs="Verdana"/>
        </w:rPr>
        <w:t xml:space="preserve"> 25 agosto 2026</w:t>
      </w:r>
      <w:r w:rsidR="00C15139">
        <w:tab/>
      </w:r>
      <w:r w:rsidR="00C15139">
        <w:br/>
      </w:r>
      <w:r w:rsidR="00C15139">
        <w:tab/>
      </w:r>
    </w:p>
    <w:p w14:paraId="5F2CD078" w14:textId="69BB9A7D" w:rsidR="00C15139" w:rsidRDefault="00C15139" w:rsidP="30821638">
      <w:pPr>
        <w:spacing w:after="0"/>
        <w:rPr>
          <w:rFonts w:ascii="Verdana" w:eastAsia="Verdana" w:hAnsi="Verdana" w:cs="Verdana"/>
          <w:lang w:val="es-MX"/>
        </w:rPr>
      </w:pPr>
      <w:r w:rsidRPr="30821638">
        <w:rPr>
          <w:rFonts w:ascii="Verdana" w:eastAsia="Verdana" w:hAnsi="Verdana" w:cs="Verdana"/>
          <w:lang w:val="es-MX"/>
        </w:rPr>
        <w:t>Señor (a)</w:t>
      </w:r>
    </w:p>
    <w:p w14:paraId="3B13486A" w14:textId="38662406" w:rsidR="00FC642B" w:rsidRPr="00EA6DD1" w:rsidRDefault="00FC642B" w:rsidP="30821638">
      <w:pPr>
        <w:spacing w:after="0"/>
        <w:rPr>
          <w:rFonts w:ascii="Verdana" w:eastAsia="Verdana" w:hAnsi="Verdana" w:cs="Verdana"/>
          <w:b/>
          <w:bCs/>
          <w:lang w:val="es-MX"/>
        </w:rPr>
      </w:pPr>
      <w:r w:rsidRPr="00EA6DD1">
        <w:rPr>
          <w:rFonts w:ascii="Verdana" w:eastAsia="Verdana" w:hAnsi="Verdana" w:cs="Verdana"/>
          <w:b/>
          <w:bCs/>
          <w:lang w:val="es-MX"/>
        </w:rPr>
        <w:t xml:space="preserve">Ciudadano Anónimo </w:t>
      </w:r>
    </w:p>
    <w:p w14:paraId="7F095128" w14:textId="0F7CEE02" w:rsidR="00FC642B" w:rsidRDefault="00EA6DD1" w:rsidP="30821638">
      <w:pPr>
        <w:spacing w:after="0"/>
        <w:rPr>
          <w:rFonts w:ascii="Verdana" w:eastAsia="Verdana" w:hAnsi="Verdana" w:cs="Verdana"/>
          <w:lang w:val="es-MX"/>
        </w:rPr>
      </w:pPr>
      <w:hyperlink r:id="rId11" w:history="1">
        <w:r w:rsidRPr="00910095">
          <w:rPr>
            <w:rStyle w:val="Hipervnculo"/>
            <w:rFonts w:ascii="Verdana" w:eastAsia="Verdana" w:hAnsi="Verdana" w:cs="Verdana"/>
            <w:lang w:val="es-MX"/>
          </w:rPr>
          <w:t>Yesenis2002@gmail.com</w:t>
        </w:r>
      </w:hyperlink>
      <w:r>
        <w:rPr>
          <w:rFonts w:ascii="Verdana" w:eastAsia="Verdana" w:hAnsi="Verdana" w:cs="Verdana"/>
          <w:lang w:val="es-MX"/>
        </w:rPr>
        <w:t xml:space="preserve"> </w:t>
      </w:r>
    </w:p>
    <w:p w14:paraId="3B27AFCD" w14:textId="0CA9FFD8" w:rsidR="002A0DD0" w:rsidRDefault="00EA6DD1" w:rsidP="30821638">
      <w:pPr>
        <w:spacing w:after="0" w:line="240" w:lineRule="auto"/>
        <w:jc w:val="both"/>
        <w:rPr>
          <w:rFonts w:ascii="Verdana" w:eastAsia="Verdana" w:hAnsi="Verdana" w:cs="Verdana"/>
          <w:lang w:val="es-MX"/>
        </w:rPr>
      </w:pPr>
      <w:r>
        <w:rPr>
          <w:rFonts w:ascii="Verdana" w:eastAsia="Verdana" w:hAnsi="Verdana" w:cs="Verdana"/>
          <w:lang w:val="es-MX"/>
        </w:rPr>
        <w:t>Ciudad</w:t>
      </w:r>
    </w:p>
    <w:p w14:paraId="29CB0952" w14:textId="77777777" w:rsidR="00AB625D" w:rsidRPr="00593A5F" w:rsidRDefault="00AB625D" w:rsidP="00AB625D">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B625D" w:rsidRPr="00593A5F" w14:paraId="33070C0E" w14:textId="77777777">
        <w:trPr>
          <w:trHeight w:val="190"/>
        </w:trPr>
        <w:tc>
          <w:tcPr>
            <w:tcW w:w="2689" w:type="dxa"/>
          </w:tcPr>
          <w:p w14:paraId="6D3167BA" w14:textId="77777777" w:rsidR="00AB625D" w:rsidRPr="00C00976" w:rsidRDefault="00AB625D">
            <w:pPr>
              <w:jc w:val="both"/>
              <w:rPr>
                <w:rFonts w:ascii="Verdana" w:eastAsia="Calibri" w:hAnsi="Verdana" w:cs="Arial"/>
                <w:b/>
                <w:bCs/>
                <w:color w:val="7030A0"/>
                <w:lang w:val="es-ES_tradnl" w:eastAsia="es-ES_tradnl"/>
              </w:rPr>
            </w:pPr>
          </w:p>
        </w:tc>
        <w:tc>
          <w:tcPr>
            <w:tcW w:w="6100" w:type="dxa"/>
          </w:tcPr>
          <w:p w14:paraId="1B653BB7" w14:textId="128DF7A9" w:rsidR="00AB625D" w:rsidRPr="00672426" w:rsidRDefault="00AB625D">
            <w:pPr>
              <w:jc w:val="both"/>
              <w:rPr>
                <w:rFonts w:ascii="Verdana" w:eastAsia="Calibri" w:hAnsi="Verdana" w:cs="Arial"/>
                <w:b/>
                <w:bCs/>
                <w:lang w:val="es-ES" w:eastAsia="es-ES"/>
              </w:rPr>
            </w:pPr>
            <w:r w:rsidRPr="00247BDE">
              <w:rPr>
                <w:rFonts w:ascii="Verdana" w:eastAsia="Calibri" w:hAnsi="Verdana" w:cs="Arial"/>
                <w:b/>
                <w:bCs/>
                <w:lang w:val="es-ES" w:eastAsia="es-ES"/>
              </w:rPr>
              <w:t xml:space="preserve">Concepto C- </w:t>
            </w:r>
            <w:r w:rsidR="009D66ED">
              <w:rPr>
                <w:rFonts w:ascii="Verdana" w:eastAsia="Calibri" w:hAnsi="Verdana" w:cs="Arial"/>
                <w:b/>
                <w:bCs/>
                <w:lang w:val="es-ES" w:eastAsia="es-ES"/>
              </w:rPr>
              <w:t>1154 de 2026</w:t>
            </w:r>
          </w:p>
          <w:p w14:paraId="15B099C0" w14:textId="77777777" w:rsidR="00AB625D" w:rsidRPr="00C00976" w:rsidRDefault="00AB625D">
            <w:pPr>
              <w:jc w:val="both"/>
              <w:rPr>
                <w:rFonts w:ascii="Verdana" w:eastAsia="Calibri" w:hAnsi="Verdana" w:cs="Arial"/>
                <w:b/>
                <w:bCs/>
                <w:color w:val="7030A0"/>
                <w:lang w:val="es-ES" w:eastAsia="es-ES"/>
              </w:rPr>
            </w:pPr>
          </w:p>
        </w:tc>
      </w:tr>
      <w:tr w:rsidR="00AB625D" w:rsidRPr="0097676F" w14:paraId="33D7DC59" w14:textId="77777777">
        <w:trPr>
          <w:trHeight w:val="884"/>
        </w:trPr>
        <w:tc>
          <w:tcPr>
            <w:tcW w:w="2689" w:type="dxa"/>
          </w:tcPr>
          <w:p w14:paraId="30663C7E" w14:textId="77777777" w:rsidR="00AB625D" w:rsidRPr="00593A5F" w:rsidRDefault="00AB625D">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5D2B8B95" w14:textId="2CFF0088" w:rsidR="00AB625D" w:rsidRPr="00D9607E" w:rsidRDefault="00AB625D">
            <w:pPr>
              <w:contextualSpacing/>
              <w:jc w:val="both"/>
              <w:rPr>
                <w:rFonts w:ascii="Verdana" w:eastAsia="Calibri" w:hAnsi="Verdana" w:cs="Arial"/>
                <w:lang w:val="es-ES" w:eastAsia="es-ES"/>
              </w:rPr>
            </w:pPr>
            <w:r w:rsidRPr="004A66F9">
              <w:rPr>
                <w:rFonts w:ascii="Verdana" w:eastAsia="Calibri" w:hAnsi="Verdana" w:cs="Arial"/>
                <w:lang w:eastAsia="es-ES"/>
              </w:rPr>
              <w:t xml:space="preserve">PUBLICACIÓN EN SECOP - Principio de transparencia / </w:t>
            </w:r>
            <w:r w:rsidR="00716543">
              <w:rPr>
                <w:rFonts w:ascii="Verdana" w:eastAsia="Calibri" w:hAnsi="Verdana" w:cs="Arial"/>
                <w:lang w:eastAsia="es-ES"/>
              </w:rPr>
              <w:t xml:space="preserve">ERRORES EN LA PLATAFORMA </w:t>
            </w:r>
            <w:r w:rsidR="003B7CC9">
              <w:rPr>
                <w:rFonts w:ascii="Verdana" w:eastAsia="Calibri" w:hAnsi="Verdana" w:cs="Arial"/>
                <w:lang w:eastAsia="es-ES"/>
              </w:rPr>
              <w:t>–</w:t>
            </w:r>
            <w:r w:rsidR="00716543">
              <w:rPr>
                <w:rFonts w:ascii="Verdana" w:eastAsia="Calibri" w:hAnsi="Verdana" w:cs="Arial"/>
                <w:lang w:eastAsia="es-ES"/>
              </w:rPr>
              <w:t xml:space="preserve"> </w:t>
            </w:r>
            <w:r w:rsidR="003B7CC9">
              <w:rPr>
                <w:rFonts w:ascii="Verdana" w:eastAsia="Calibri" w:hAnsi="Verdana" w:cs="Arial"/>
                <w:lang w:eastAsia="es-ES"/>
              </w:rPr>
              <w:t xml:space="preserve">Validez </w:t>
            </w:r>
            <w:r w:rsidR="00716543">
              <w:rPr>
                <w:rFonts w:ascii="Verdana" w:eastAsia="Calibri" w:hAnsi="Verdana" w:cs="Arial"/>
                <w:lang w:eastAsia="es-ES"/>
              </w:rPr>
              <w:t>/</w:t>
            </w:r>
            <w:r w:rsidRPr="004A66F9">
              <w:rPr>
                <w:rFonts w:ascii="Verdana" w:eastAsia="Calibri" w:hAnsi="Verdana" w:cs="Arial"/>
                <w:lang w:eastAsia="es-ES"/>
              </w:rPr>
              <w:t xml:space="preserve"> </w:t>
            </w:r>
            <w:r w:rsidRPr="0097676F">
              <w:rPr>
                <w:rFonts w:ascii="Verdana" w:eastAsia="Calibri" w:hAnsi="Verdana" w:cs="Arial"/>
                <w:lang w:val="es-ES" w:eastAsia="es-ES"/>
              </w:rPr>
              <w:t>MODIFICACIÓN DE LOS CONTRATOS ESTATALES – Procedencia – Límites / CORRECCIÓN ERRORES FORMALES– Artículo 45 Ley 1437 de 2011</w:t>
            </w:r>
            <w:r w:rsidRPr="004A66F9">
              <w:rPr>
                <w:rFonts w:ascii="Verdana" w:eastAsia="Calibri" w:hAnsi="Verdana" w:cs="Arial"/>
                <w:lang w:val="es-ES" w:eastAsia="es-ES"/>
              </w:rPr>
              <w:t xml:space="preserve"> </w:t>
            </w:r>
            <w:r>
              <w:rPr>
                <w:rFonts w:ascii="Verdana" w:eastAsia="Calibri" w:hAnsi="Verdana" w:cs="Arial"/>
                <w:lang w:val="es-ES" w:eastAsia="es-ES"/>
              </w:rPr>
              <w:t>/ INTERPRETACIÓN</w:t>
            </w:r>
            <w:r w:rsidRPr="00D9607E">
              <w:rPr>
                <w:rFonts w:ascii="Verdana" w:eastAsia="Calibri" w:hAnsi="Verdana" w:cs="Arial"/>
              </w:rPr>
              <w:t xml:space="preserve"> – Reglas</w:t>
            </w:r>
            <w:r w:rsidRPr="00D9607E">
              <w:rPr>
                <w:rFonts w:ascii="Verdana" w:eastAsia="Calibri" w:hAnsi="Verdana" w:cs="Arial"/>
                <w:lang w:val="es-ES" w:eastAsia="es-ES"/>
              </w:rPr>
              <w:t xml:space="preserve"> </w:t>
            </w:r>
          </w:p>
          <w:p w14:paraId="6A96BCDA" w14:textId="77777777" w:rsidR="00AB625D" w:rsidRPr="0097676F" w:rsidRDefault="00AB625D">
            <w:pPr>
              <w:spacing w:line="276" w:lineRule="auto"/>
              <w:jc w:val="both"/>
              <w:rPr>
                <w:rFonts w:ascii="Verdana" w:eastAsia="Calibri" w:hAnsi="Verdana" w:cs="Arial"/>
                <w:lang w:val="es-ES" w:eastAsia="es-ES"/>
              </w:rPr>
            </w:pPr>
          </w:p>
        </w:tc>
      </w:tr>
      <w:tr w:rsidR="00AB625D" w:rsidRPr="0097676F" w14:paraId="1D21A765" w14:textId="77777777">
        <w:tc>
          <w:tcPr>
            <w:tcW w:w="2689" w:type="dxa"/>
          </w:tcPr>
          <w:p w14:paraId="7B2D2469" w14:textId="462B2FFF" w:rsidR="00AB625D" w:rsidRPr="00D33697" w:rsidRDefault="00AB625D">
            <w:pPr>
              <w:jc w:val="both"/>
              <w:rPr>
                <w:rFonts w:ascii="Verdana" w:eastAsia="Calibri" w:hAnsi="Verdana" w:cs="Arial"/>
                <w:b/>
                <w:lang w:val="es-ES_tradnl" w:eastAsia="es-ES_tradnl"/>
              </w:rPr>
            </w:pPr>
            <w:r w:rsidRPr="00D33697">
              <w:rPr>
                <w:rFonts w:ascii="Verdana" w:eastAsia="Calibri" w:hAnsi="Verdana" w:cs="Arial"/>
                <w:b/>
                <w:lang w:val="es-ES_tradnl" w:eastAsia="es-ES_tradnl"/>
              </w:rPr>
              <w:t>Radicación:</w:t>
            </w:r>
            <w:r w:rsidRPr="00D33697">
              <w:rPr>
                <w:rFonts w:ascii="Verdana" w:eastAsia="Calibri" w:hAnsi="Verdana" w:cs="Arial"/>
                <w:lang w:val="es-ES_tradnl" w:eastAsia="es-ES_tradnl"/>
              </w:rPr>
              <w:t xml:space="preserve">               </w:t>
            </w:r>
          </w:p>
        </w:tc>
        <w:tc>
          <w:tcPr>
            <w:tcW w:w="6100" w:type="dxa"/>
          </w:tcPr>
          <w:p w14:paraId="542E2677" w14:textId="6CAEEC4A" w:rsidR="009B7D7F" w:rsidRPr="009B7D7F" w:rsidRDefault="00AB625D" w:rsidP="009B7D7F">
            <w:pPr>
              <w:jc w:val="both"/>
              <w:rPr>
                <w:rFonts w:ascii="Verdana" w:eastAsia="Calibri" w:hAnsi="Verdana" w:cs="Arial"/>
                <w:lang w:val="es-ES_tradnl" w:eastAsia="es-ES_tradnl"/>
              </w:rPr>
            </w:pPr>
            <w:r w:rsidRPr="0097676F">
              <w:rPr>
                <w:rFonts w:ascii="Verdana" w:eastAsia="Calibri" w:hAnsi="Verdana" w:cs="Arial"/>
                <w:lang w:val="es-ES_tradnl" w:eastAsia="es-ES_tradnl"/>
              </w:rPr>
              <w:t>Respuesta a consulta con radicado No.</w:t>
            </w:r>
            <w:r w:rsidR="009D66ED">
              <w:rPr>
                <w:rFonts w:ascii="Verdana" w:eastAsia="Calibri" w:hAnsi="Verdana" w:cs="Arial"/>
                <w:lang w:val="es-ES_tradnl" w:eastAsia="es-ES_tradnl"/>
              </w:rPr>
              <w:t xml:space="preserve"> </w:t>
            </w:r>
            <w:r w:rsidR="009B7D7F">
              <w:rPr>
                <w:rFonts w:ascii="Verdana" w:hAnsi="Verdana" w:cs="Calibri"/>
              </w:rPr>
              <w:t>1_2026_07_14_009328</w:t>
            </w:r>
          </w:p>
          <w:p w14:paraId="0DDAC76F" w14:textId="49954B02" w:rsidR="00AB625D" w:rsidRPr="0097676F" w:rsidRDefault="00AB625D">
            <w:pPr>
              <w:jc w:val="both"/>
              <w:rPr>
                <w:rFonts w:ascii="Verdana" w:eastAsia="Calibri" w:hAnsi="Verdana" w:cs="Arial"/>
                <w:lang w:val="es-ES_tradnl" w:eastAsia="es-ES_tradnl"/>
              </w:rPr>
            </w:pPr>
          </w:p>
        </w:tc>
      </w:tr>
    </w:tbl>
    <w:p w14:paraId="2F1F9EC4" w14:textId="77777777" w:rsidR="00AB625D" w:rsidRPr="00593A5F" w:rsidRDefault="00AB625D" w:rsidP="00AB625D">
      <w:pPr>
        <w:spacing w:after="0" w:line="240" w:lineRule="auto"/>
        <w:jc w:val="both"/>
        <w:rPr>
          <w:rFonts w:ascii="Verdana" w:eastAsia="Calibri" w:hAnsi="Verdana" w:cs="Arial"/>
          <w:color w:val="000000"/>
          <w:lang w:val="es-ES_tradnl" w:eastAsia="es-ES_tradnl"/>
        </w:rPr>
      </w:pPr>
    </w:p>
    <w:p w14:paraId="6B1A8D35" w14:textId="77777777" w:rsidR="00AB625D" w:rsidRPr="00593A5F" w:rsidRDefault="00AB625D" w:rsidP="00AB625D">
      <w:pPr>
        <w:spacing w:after="0" w:line="240" w:lineRule="auto"/>
        <w:jc w:val="both"/>
        <w:rPr>
          <w:rFonts w:ascii="Verdana" w:eastAsia="Calibri" w:hAnsi="Verdana" w:cs="Arial"/>
          <w:color w:val="000000"/>
          <w:lang w:val="es-ES_tradnl" w:eastAsia="es-ES_tradnl"/>
        </w:rPr>
      </w:pPr>
    </w:p>
    <w:p w14:paraId="7FAC54B9" w14:textId="31F2EEA1" w:rsidR="007424F2" w:rsidRDefault="007424F2" w:rsidP="00AB625D">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Respetado</w:t>
      </w:r>
      <w:r w:rsidR="008F1AA3">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Ciudadano</w:t>
      </w:r>
      <w:r w:rsidR="008F1AA3">
        <w:rPr>
          <w:rFonts w:ascii="Verdana" w:eastAsia="Calibri" w:hAnsi="Verdana" w:cs="Arial"/>
          <w:color w:val="000000" w:themeColor="text1"/>
          <w:lang w:val="es-ES" w:eastAsia="es-ES"/>
        </w:rPr>
        <w:t xml:space="preserve"> (a)</w:t>
      </w:r>
      <w:r>
        <w:rPr>
          <w:rFonts w:ascii="Verdana" w:eastAsia="Calibri" w:hAnsi="Verdana" w:cs="Arial"/>
          <w:color w:val="000000" w:themeColor="text1"/>
          <w:lang w:val="es-ES" w:eastAsia="es-ES"/>
        </w:rPr>
        <w:t xml:space="preserve">: </w:t>
      </w:r>
    </w:p>
    <w:p w14:paraId="6FE51988" w14:textId="267C0A85" w:rsidR="00AB625D" w:rsidRDefault="00AB625D" w:rsidP="00AB625D">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43115EA2" w14:textId="2B9BAAAF" w:rsidR="00AB625D" w:rsidRPr="00D33697" w:rsidRDefault="00AB625D" w:rsidP="00AB625D">
      <w:pPr>
        <w:spacing w:after="0" w:line="276" w:lineRule="auto"/>
        <w:jc w:val="both"/>
        <w:rPr>
          <w:rFonts w:ascii="Verdana" w:eastAsia="Calibri" w:hAnsi="Verdana" w:cs="Arial"/>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593A5F">
        <w:rPr>
          <w:rFonts w:ascii="Verdana" w:hAnsi="Verdana" w:cs="Arial"/>
        </w:rPr>
        <w:t xml:space="preserve">así como lo establecido en </w:t>
      </w:r>
      <w:r>
        <w:rPr>
          <w:rFonts w:ascii="Verdana" w:hAnsi="Verdana" w:cs="Arial"/>
        </w:rPr>
        <w:t xml:space="preserve">el artículo 4 de </w:t>
      </w:r>
      <w:r w:rsidRPr="00593A5F">
        <w:rPr>
          <w:rFonts w:ascii="Verdana" w:hAnsi="Verdana" w:cs="Arial"/>
        </w:rPr>
        <w:t xml:space="preserve">la Resolución 1707 de 2018 expedida por esta Entidad,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D33697">
        <w:rPr>
          <w:rFonts w:ascii="Verdana" w:eastAsia="Calibri" w:hAnsi="Verdana" w:cs="Arial"/>
          <w:lang w:val="es-ES" w:eastAsia="es-ES"/>
        </w:rPr>
        <w:t>fecha 1</w:t>
      </w:r>
      <w:r w:rsidR="007424F2">
        <w:rPr>
          <w:rFonts w:ascii="Verdana" w:eastAsia="Calibri" w:hAnsi="Verdana" w:cs="Arial"/>
          <w:lang w:val="es-ES" w:eastAsia="es-ES"/>
        </w:rPr>
        <w:t>4</w:t>
      </w:r>
      <w:r w:rsidRPr="00D33697">
        <w:rPr>
          <w:rFonts w:ascii="Verdana" w:eastAsia="Calibri" w:hAnsi="Verdana" w:cs="Arial"/>
          <w:lang w:val="es-ES" w:eastAsia="es-ES"/>
        </w:rPr>
        <w:t xml:space="preserve"> de </w:t>
      </w:r>
      <w:r w:rsidR="007424F2">
        <w:rPr>
          <w:rFonts w:ascii="Verdana" w:eastAsia="Calibri" w:hAnsi="Verdana" w:cs="Arial"/>
          <w:lang w:val="es-ES" w:eastAsia="es-ES"/>
        </w:rPr>
        <w:t>julio</w:t>
      </w:r>
      <w:r w:rsidRPr="00D33697">
        <w:rPr>
          <w:rFonts w:ascii="Verdana" w:eastAsia="Calibri" w:hAnsi="Verdana" w:cs="Arial"/>
          <w:lang w:val="es-ES" w:eastAsia="es-ES"/>
        </w:rPr>
        <w:t xml:space="preserve"> de 202</w:t>
      </w:r>
      <w:r w:rsidR="007424F2">
        <w:rPr>
          <w:rFonts w:ascii="Verdana" w:eastAsia="Calibri" w:hAnsi="Verdana" w:cs="Arial"/>
          <w:lang w:val="es-ES" w:eastAsia="es-ES"/>
        </w:rPr>
        <w:t>6</w:t>
      </w:r>
      <w:r w:rsidRPr="00D33697">
        <w:rPr>
          <w:rFonts w:ascii="Verdana" w:eastAsia="Calibri" w:hAnsi="Verdana" w:cs="Arial"/>
          <w:lang w:val="es-ES" w:eastAsia="es-ES"/>
        </w:rPr>
        <w:t xml:space="preserve">, en la cual manifiesta lo siguiente: </w:t>
      </w:r>
    </w:p>
    <w:p w14:paraId="0C6839CE" w14:textId="77777777" w:rsidR="00AB625D" w:rsidRPr="00272A7B" w:rsidRDefault="00AB625D" w:rsidP="00AB625D">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57E5C38" w14:textId="53C36A30" w:rsidR="00AB625D" w:rsidRPr="0097123D" w:rsidRDefault="00AB625D" w:rsidP="00AB625D">
      <w:pPr>
        <w:pStyle w:val="Prrafodelista"/>
        <w:tabs>
          <w:tab w:val="left" w:pos="142"/>
          <w:tab w:val="left" w:pos="284"/>
        </w:tabs>
        <w:spacing w:after="0" w:line="240" w:lineRule="auto"/>
        <w:ind w:right="567"/>
        <w:contextualSpacing w:val="0"/>
        <w:jc w:val="both"/>
        <w:rPr>
          <w:rFonts w:ascii="Verdana" w:eastAsia="Century Gothic" w:hAnsi="Verdana" w:cs="Century Gothic"/>
          <w:b/>
          <w:bCs/>
          <w:sz w:val="21"/>
          <w:szCs w:val="21"/>
        </w:rPr>
      </w:pPr>
      <w:r w:rsidRPr="0097123D">
        <w:rPr>
          <w:rFonts w:ascii="Verdana" w:eastAsia="Century Gothic" w:hAnsi="Verdana" w:cs="Century Gothic"/>
          <w:sz w:val="21"/>
          <w:szCs w:val="21"/>
        </w:rPr>
        <w:t>“</w:t>
      </w:r>
      <w:r w:rsidR="00F73DAB" w:rsidRPr="0097123D">
        <w:rPr>
          <w:rFonts w:ascii="Verdana" w:eastAsia="Century Gothic" w:hAnsi="Verdana" w:cs="Century Gothic"/>
          <w:sz w:val="21"/>
          <w:szCs w:val="21"/>
        </w:rPr>
        <w:t>QUE CONSECUENCIAS LEGALES TIENE ASOCIAR UN NUMERO DE PROCESO EN LA PLATAFORMA, EN LA DESCRIPCIÓN DE UN AÑO QUE NO CORRESPONDE YA QUE POR ERROR HUMANO SE COLOCÓ EL NUMERO DE PROCESO ERRÓNEO, ES DECIR PERTENECE AL 2026 Y FUE DIGITADO COMO 2025</w:t>
      </w:r>
      <w:r w:rsidR="00BF60E0" w:rsidRPr="0097123D">
        <w:rPr>
          <w:rFonts w:ascii="Verdana" w:eastAsia="Century Gothic" w:hAnsi="Verdana" w:cs="Century Gothic"/>
          <w:sz w:val="21"/>
          <w:szCs w:val="21"/>
        </w:rPr>
        <w:t>”. (SIC)</w:t>
      </w:r>
    </w:p>
    <w:p w14:paraId="2BA495A7" w14:textId="77777777" w:rsidR="00AB625D" w:rsidRPr="00672426" w:rsidRDefault="00AB625D" w:rsidP="00AB625D">
      <w:pPr>
        <w:spacing w:after="0" w:line="276" w:lineRule="auto"/>
        <w:ind w:firstLine="709"/>
        <w:jc w:val="both"/>
        <w:rPr>
          <w:rFonts w:ascii="Verdana" w:eastAsia="Calibri" w:hAnsi="Verdana" w:cs="Arial"/>
          <w:color w:val="000000"/>
          <w:lang w:val="es-ES" w:eastAsia="es-ES"/>
        </w:rPr>
      </w:pPr>
    </w:p>
    <w:p w14:paraId="640E022E" w14:textId="77777777" w:rsidR="00AB625D" w:rsidRDefault="00AB625D" w:rsidP="00AB625D">
      <w:pPr>
        <w:spacing w:after="120" w:line="276" w:lineRule="auto"/>
        <w:ind w:firstLine="709"/>
        <w:jc w:val="both"/>
        <w:rPr>
          <w:rFonts w:ascii="Verdana" w:eastAsia="Calibri" w:hAnsi="Verdana" w:cs="Arial"/>
          <w:color w:val="000000"/>
          <w:szCs w:val="24"/>
          <w:lang w:val="es-ES_tradnl" w:eastAsia="es-ES_tradnl"/>
        </w:rPr>
      </w:pPr>
      <w:r w:rsidRPr="00593A5F">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87688BD" w14:textId="77777777" w:rsidR="00AB625D" w:rsidRDefault="00AB625D" w:rsidP="00AB625D">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mencionada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en su petición, pero </w:t>
      </w:r>
      <w:r w:rsidRPr="00672426">
        <w:rPr>
          <w:rFonts w:ascii="Verdana" w:eastAsia="Calibri" w:hAnsi="Verdana" w:cs="Arial"/>
          <w:color w:val="000000"/>
          <w:lang w:val="es-ES" w:eastAsia="es-ES"/>
        </w:rPr>
        <w:t>señalando algunas</w:t>
      </w:r>
      <w:r w:rsidRPr="00593A5F">
        <w:rPr>
          <w:rFonts w:ascii="Verdana" w:eastAsia="Calibri" w:hAnsi="Verdana" w:cs="Arial"/>
          <w:color w:val="000000"/>
          <w:lang w:val="es-ES" w:eastAsia="es-ES"/>
        </w:rPr>
        <w:t xml:space="preserve">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 </w:t>
      </w:r>
    </w:p>
    <w:p w14:paraId="46686EF6" w14:textId="77777777" w:rsidR="00AB625D" w:rsidRPr="00593A5F" w:rsidRDefault="00AB625D" w:rsidP="00AB625D">
      <w:pPr>
        <w:spacing w:after="0" w:line="276" w:lineRule="auto"/>
        <w:ind w:firstLine="709"/>
        <w:jc w:val="both"/>
        <w:rPr>
          <w:rFonts w:ascii="Verdana" w:eastAsia="Calibri" w:hAnsi="Verdana" w:cs="Arial"/>
          <w:color w:val="000000"/>
          <w:lang w:val="es-ES" w:eastAsia="es-ES"/>
        </w:rPr>
      </w:pPr>
    </w:p>
    <w:p w14:paraId="2F75A4F7" w14:textId="77777777" w:rsidR="00AB625D" w:rsidRPr="00593A5F" w:rsidRDefault="00AB625D" w:rsidP="00AB625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Problema planteado:</w:t>
      </w:r>
    </w:p>
    <w:p w14:paraId="4F466A27" w14:textId="77777777" w:rsidR="00AB625D" w:rsidRPr="00593A5F" w:rsidRDefault="00AB625D" w:rsidP="00AB625D">
      <w:pPr>
        <w:tabs>
          <w:tab w:val="left" w:pos="426"/>
        </w:tabs>
        <w:spacing w:after="0" w:line="276" w:lineRule="auto"/>
        <w:jc w:val="both"/>
        <w:rPr>
          <w:rFonts w:ascii="Verdana" w:eastAsia="Century Gothic" w:hAnsi="Verdana" w:cs="Century Gothic"/>
          <w:lang w:val="es-ES"/>
        </w:rPr>
      </w:pPr>
    </w:p>
    <w:p w14:paraId="539318F4" w14:textId="14651C28" w:rsidR="00B51F29" w:rsidRPr="00B51F29" w:rsidRDefault="00AB625D" w:rsidP="00B51F29">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w:t>
      </w:r>
      <w:r w:rsidRPr="00593A5F">
        <w:rPr>
          <w:rFonts w:ascii="Verdana" w:eastAsia="Century Gothic" w:hAnsi="Verdana" w:cs="Century Gothic"/>
        </w:rPr>
        <w:t>su solicitud, esta Agencia resolverá el siguiente problema jurídico</w:t>
      </w:r>
      <w:r w:rsidRPr="00FD7D14">
        <w:rPr>
          <w:rFonts w:ascii="Verdana" w:eastAsia="Century Gothic" w:hAnsi="Verdana" w:cs="Century Gothic"/>
        </w:rPr>
        <w:t>: ¿</w:t>
      </w:r>
      <w:r w:rsidR="00B51F29" w:rsidRPr="00B51F29">
        <w:rPr>
          <w:rFonts w:ascii="Verdana" w:eastAsia="Century Gothic" w:hAnsi="Verdana" w:cs="Century Gothic"/>
        </w:rPr>
        <w:t xml:space="preserve">La asociación de un número de proceso correspondiente al año 2026 en la descripción de una actuación identificada como año 2025, originada por un error humano de digitación, afecta la validez del proceso </w:t>
      </w:r>
      <w:r w:rsidR="00291DF1">
        <w:rPr>
          <w:rFonts w:ascii="Verdana" w:eastAsia="Century Gothic" w:hAnsi="Verdana" w:cs="Century Gothic"/>
        </w:rPr>
        <w:t xml:space="preserve">de contratación </w:t>
      </w:r>
      <w:r w:rsidR="00B51F29" w:rsidRPr="00B51F29">
        <w:rPr>
          <w:rFonts w:ascii="Verdana" w:eastAsia="Century Gothic" w:hAnsi="Verdana" w:cs="Century Gothic"/>
        </w:rPr>
        <w:t xml:space="preserve">o constituye un error </w:t>
      </w:r>
      <w:r w:rsidR="00291DF1">
        <w:rPr>
          <w:rFonts w:ascii="Verdana" w:eastAsia="Century Gothic" w:hAnsi="Verdana" w:cs="Century Gothic"/>
        </w:rPr>
        <w:t>formal</w:t>
      </w:r>
      <w:r w:rsidR="00B51F29" w:rsidRPr="00B51F29">
        <w:rPr>
          <w:rFonts w:ascii="Verdana" w:eastAsia="Century Gothic" w:hAnsi="Verdana" w:cs="Century Gothic"/>
        </w:rPr>
        <w:t xml:space="preserve"> susceptible de corrección sin consecuencias sobre los derechos de los interesados ni sobre los principios de transparencia, publicidad y selección objetiva?</w:t>
      </w:r>
    </w:p>
    <w:p w14:paraId="5635719F" w14:textId="77777777" w:rsidR="006A4266" w:rsidRDefault="006A4266" w:rsidP="00AB625D">
      <w:pPr>
        <w:spacing w:after="0" w:line="276" w:lineRule="auto"/>
        <w:jc w:val="both"/>
        <w:rPr>
          <w:rFonts w:ascii="Verdana" w:eastAsia="Century Gothic" w:hAnsi="Verdana" w:cs="Century Gothic"/>
        </w:rPr>
      </w:pPr>
    </w:p>
    <w:p w14:paraId="3C1C3372" w14:textId="7EDEE682" w:rsidR="00E32915" w:rsidRDefault="006A4266" w:rsidP="00AB625D">
      <w:pPr>
        <w:spacing w:after="0" w:line="276" w:lineRule="auto"/>
        <w:jc w:val="both"/>
        <w:rPr>
          <w:rFonts w:ascii="Verdana" w:eastAsia="Century Gothic" w:hAnsi="Verdana" w:cs="Century Gothic"/>
          <w:b/>
          <w:bCs/>
        </w:rPr>
      </w:pPr>
      <w:r>
        <w:rPr>
          <w:rFonts w:ascii="Verdana" w:eastAsia="Century Gothic" w:hAnsi="Verdana" w:cs="Century Gothic"/>
        </w:rPr>
        <w:t xml:space="preserve"> </w:t>
      </w:r>
      <w:r w:rsidRPr="006A4266">
        <w:rPr>
          <w:rFonts w:ascii="Verdana" w:eastAsia="Century Gothic" w:hAnsi="Verdana" w:cs="Century Gothic"/>
          <w:b/>
          <w:bCs/>
        </w:rPr>
        <w:t xml:space="preserve">2. Respuesta: </w:t>
      </w:r>
    </w:p>
    <w:p w14:paraId="27B35DE1" w14:textId="77777777" w:rsidR="006239F3" w:rsidRDefault="006239F3" w:rsidP="00AB625D">
      <w:pPr>
        <w:spacing w:after="0" w:line="276" w:lineRule="auto"/>
        <w:jc w:val="both"/>
        <w:rPr>
          <w:rFonts w:ascii="Verdana" w:eastAsia="Century Gothic" w:hAnsi="Verdana" w:cs="Century Gothic"/>
          <w:b/>
          <w:bCs/>
        </w:rPr>
      </w:pPr>
    </w:p>
    <w:p w14:paraId="6731F9BB" w14:textId="19E7A881" w:rsidR="00E073BA" w:rsidRDefault="00E073BA" w:rsidP="00E073BA">
      <w:p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lang w:val="es-ES"/>
        </w:rPr>
      </w:pPr>
      <w:r>
        <w:rPr>
          <w:rFonts w:ascii="Verdana" w:eastAsia="Calibri" w:hAnsi="Verdana" w:cs="Arial"/>
          <w:lang w:val="es-ES"/>
        </w:rPr>
        <w:t xml:space="preserve">Frente al problema jurídico planteado, </w:t>
      </w:r>
      <w:r w:rsidR="00B37DCE">
        <w:rPr>
          <w:rFonts w:ascii="Verdana" w:eastAsia="Calibri" w:hAnsi="Verdana" w:cs="Arial"/>
          <w:lang w:val="es-ES"/>
        </w:rPr>
        <w:t xml:space="preserve">es importante </w:t>
      </w:r>
      <w:r w:rsidR="00153B34">
        <w:rPr>
          <w:rFonts w:ascii="Verdana" w:eastAsia="Calibri" w:hAnsi="Verdana" w:cs="Arial"/>
          <w:lang w:val="es-ES"/>
        </w:rPr>
        <w:t xml:space="preserve">resaltar que, </w:t>
      </w:r>
      <w:r w:rsidR="00C709CB">
        <w:rPr>
          <w:rFonts w:ascii="Verdana" w:eastAsia="Calibri" w:hAnsi="Verdana" w:cs="Arial"/>
          <w:lang w:val="es-ES"/>
        </w:rPr>
        <w:t>la sola digitación errónea de un número de proceso en una la plataforma electrónica</w:t>
      </w:r>
      <w:r w:rsidR="00716543">
        <w:rPr>
          <w:rFonts w:ascii="Verdana" w:eastAsia="Calibri" w:hAnsi="Verdana" w:cs="Arial"/>
          <w:lang w:val="es-ES"/>
        </w:rPr>
        <w:t xml:space="preserve"> no genera, por si misma, la nulidad ni invalidez de las actuaciones adelantadas por la Entidad.</w:t>
      </w:r>
      <w:r w:rsidR="00C709CB">
        <w:rPr>
          <w:rFonts w:ascii="Verdana" w:eastAsia="Calibri" w:hAnsi="Verdana" w:cs="Arial"/>
          <w:lang w:val="es-ES"/>
        </w:rPr>
        <w:t xml:space="preserve"> </w:t>
      </w:r>
      <w:r w:rsidR="00716543">
        <w:rPr>
          <w:rFonts w:ascii="Verdana" w:eastAsia="Calibri" w:hAnsi="Verdana" w:cs="Arial"/>
          <w:lang w:val="es-ES"/>
        </w:rPr>
        <w:t>A</w:t>
      </w:r>
      <w:r w:rsidR="00716543" w:rsidRPr="00672426">
        <w:rPr>
          <w:rFonts w:ascii="Verdana" w:eastAsia="Calibri" w:hAnsi="Verdana" w:cs="Arial"/>
          <w:lang w:val="es-ES"/>
        </w:rPr>
        <w:t>nte</w:t>
      </w:r>
      <w:r w:rsidRPr="00672426">
        <w:rPr>
          <w:rFonts w:ascii="Verdana" w:eastAsia="Calibri" w:hAnsi="Verdana" w:cs="Arial"/>
          <w:lang w:val="es-ES"/>
        </w:rPr>
        <w:t xml:space="preserve"> </w:t>
      </w:r>
      <w:r>
        <w:rPr>
          <w:rFonts w:ascii="Verdana" w:eastAsia="Calibri" w:hAnsi="Verdana" w:cs="Arial"/>
          <w:lang w:val="es-ES"/>
        </w:rPr>
        <w:t xml:space="preserve">los </w:t>
      </w:r>
      <w:r w:rsidRPr="0093479F">
        <w:rPr>
          <w:rFonts w:ascii="Verdana" w:eastAsia="Calibri" w:hAnsi="Verdana" w:cs="Arial"/>
          <w:lang w:val="es-ES"/>
        </w:rPr>
        <w:t xml:space="preserve">errores </w:t>
      </w:r>
      <w:r>
        <w:rPr>
          <w:rFonts w:ascii="Verdana" w:eastAsia="Calibri" w:hAnsi="Verdana" w:cs="Arial"/>
          <w:lang w:val="es-ES"/>
        </w:rPr>
        <w:t>que hayan podido quedar</w:t>
      </w:r>
      <w:r w:rsidRPr="00672426">
        <w:rPr>
          <w:rFonts w:ascii="Verdana" w:eastAsia="Calibri" w:hAnsi="Verdana" w:cs="Arial"/>
          <w:lang w:val="es-ES"/>
        </w:rPr>
        <w:t xml:space="preserve"> </w:t>
      </w:r>
      <w:r w:rsidRPr="0093479F">
        <w:rPr>
          <w:rFonts w:ascii="Verdana" w:eastAsia="Calibri" w:hAnsi="Verdana" w:cs="Arial"/>
          <w:lang w:val="es-ES"/>
        </w:rPr>
        <w:t>en un contrato</w:t>
      </w:r>
      <w:r>
        <w:rPr>
          <w:rFonts w:ascii="Verdana" w:eastAsia="Calibri" w:hAnsi="Verdana" w:cs="Arial"/>
          <w:lang w:val="es-ES"/>
        </w:rPr>
        <w:t xml:space="preserve"> estatal en la plataforma SECOP</w:t>
      </w:r>
      <w:r w:rsidRPr="0093479F">
        <w:rPr>
          <w:rFonts w:ascii="Verdana" w:eastAsia="Calibri" w:hAnsi="Verdana" w:cs="Arial"/>
          <w:lang w:val="es-ES"/>
        </w:rPr>
        <w:t xml:space="preserve">, la entidad debe analizar si se encuentra frente a circunstancias que </w:t>
      </w:r>
      <w:r>
        <w:rPr>
          <w:rFonts w:ascii="Verdana" w:eastAsia="Calibri" w:hAnsi="Verdana" w:cs="Arial"/>
          <w:lang w:val="es-ES"/>
        </w:rPr>
        <w:t xml:space="preserve">exigen </w:t>
      </w:r>
      <w:r w:rsidRPr="0093479F">
        <w:rPr>
          <w:rFonts w:ascii="Verdana" w:eastAsia="Calibri" w:hAnsi="Verdana" w:cs="Arial"/>
          <w:lang w:val="es-ES"/>
        </w:rPr>
        <w:t xml:space="preserve">una modificación al contrato o circunstancias que representen un error formal del mismo. </w:t>
      </w:r>
    </w:p>
    <w:p w14:paraId="03465E71" w14:textId="77777777" w:rsidR="00E073BA" w:rsidRPr="0093479F" w:rsidRDefault="00E073BA" w:rsidP="00E073BA">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hAnsi="Verdana" w:cs="Arial"/>
          <w:shd w:val="clear" w:color="auto" w:fill="FFFFFF"/>
        </w:rPr>
      </w:pPr>
      <w:r>
        <w:rPr>
          <w:rFonts w:ascii="Verdana" w:eastAsia="Calibri" w:hAnsi="Verdana" w:cs="Arial"/>
          <w:lang w:val="es-ES"/>
        </w:rPr>
        <w:t>De un lado, e</w:t>
      </w:r>
      <w:r w:rsidRPr="00672426">
        <w:rPr>
          <w:rFonts w:ascii="Verdana" w:eastAsia="Calibri" w:hAnsi="Verdana" w:cs="Arial"/>
          <w:lang w:val="es-ES"/>
        </w:rPr>
        <w:t>n</w:t>
      </w:r>
      <w:r w:rsidRPr="0093479F">
        <w:rPr>
          <w:rFonts w:ascii="Verdana" w:eastAsia="Calibri" w:hAnsi="Verdana" w:cs="Arial"/>
          <w:lang w:val="es-ES"/>
        </w:rPr>
        <w:t xml:space="preserve"> cuanto a la primera opción, </w:t>
      </w:r>
      <w:r w:rsidRPr="0093479F">
        <w:rPr>
          <w:rFonts w:ascii="Verdana" w:eastAsia="Arial" w:hAnsi="Verdana" w:cs="Arial"/>
          <w:lang w:eastAsia="es-ES"/>
        </w:rPr>
        <w:t>los contratos estatales pueden modificarse en cumplimiento de los requisitos y límites legales</w:t>
      </w:r>
      <w:r>
        <w:rPr>
          <w:rFonts w:ascii="Verdana" w:eastAsia="Arial" w:hAnsi="Verdana" w:cs="Arial"/>
          <w:lang w:eastAsia="es-ES"/>
        </w:rPr>
        <w:t xml:space="preserve"> y jurisprudenciales</w:t>
      </w:r>
      <w:r w:rsidRPr="0093479F">
        <w:rPr>
          <w:rFonts w:ascii="Verdana" w:eastAsia="Arial" w:hAnsi="Verdana" w:cs="Arial"/>
          <w:lang w:eastAsia="es-ES"/>
        </w:rPr>
        <w:t>, atendiendo a los principios que rigen la actuación administrativa y la contratación estatal</w:t>
      </w:r>
      <w:r>
        <w:rPr>
          <w:rFonts w:ascii="Verdana" w:eastAsia="Arial" w:hAnsi="Verdana" w:cs="Arial"/>
          <w:lang w:eastAsia="es-ES"/>
        </w:rPr>
        <w:t>. D</w:t>
      </w:r>
      <w:r w:rsidRPr="0093479F">
        <w:rPr>
          <w:rFonts w:ascii="Verdana" w:eastAsia="Arial" w:hAnsi="Verdana" w:cs="Arial"/>
          <w:lang w:eastAsia="es-ES"/>
        </w:rPr>
        <w:t xml:space="preserve">e </w:t>
      </w:r>
      <w:r w:rsidRPr="00672426">
        <w:rPr>
          <w:rFonts w:ascii="Verdana" w:eastAsia="Arial" w:hAnsi="Verdana" w:cs="Arial"/>
          <w:lang w:eastAsia="es-ES"/>
        </w:rPr>
        <w:t>otr</w:t>
      </w:r>
      <w:r>
        <w:rPr>
          <w:rFonts w:ascii="Verdana" w:eastAsia="Arial" w:hAnsi="Verdana" w:cs="Arial"/>
          <w:lang w:eastAsia="es-ES"/>
        </w:rPr>
        <w:t>o</w:t>
      </w:r>
      <w:r w:rsidRPr="00672426">
        <w:rPr>
          <w:rFonts w:ascii="Verdana" w:eastAsia="Arial" w:hAnsi="Verdana" w:cs="Arial"/>
          <w:lang w:eastAsia="es-ES"/>
        </w:rPr>
        <w:t xml:space="preserve"> </w:t>
      </w:r>
      <w:r>
        <w:rPr>
          <w:rFonts w:ascii="Verdana" w:eastAsia="Arial" w:hAnsi="Verdana" w:cs="Arial"/>
          <w:lang w:eastAsia="es-ES"/>
        </w:rPr>
        <w:t>lado</w:t>
      </w:r>
      <w:r w:rsidRPr="0093479F">
        <w:rPr>
          <w:rFonts w:ascii="Verdana" w:eastAsia="Arial" w:hAnsi="Verdana" w:cs="Arial"/>
          <w:lang w:eastAsia="es-ES"/>
        </w:rPr>
        <w:t>, e</w:t>
      </w:r>
      <w:r w:rsidRPr="0093479F">
        <w:rPr>
          <w:rFonts w:ascii="Verdana" w:hAnsi="Verdana" w:cs="Arial"/>
          <w:lang w:val="es-ES"/>
        </w:rPr>
        <w:t xml:space="preserve">l </w:t>
      </w:r>
      <w:r w:rsidRPr="0093479F">
        <w:rPr>
          <w:rFonts w:ascii="Verdana" w:hAnsi="Verdana" w:cs="Arial"/>
          <w:lang w:val="es-MX"/>
        </w:rPr>
        <w:t>CPACA, en el artículo 45, permite la corrección de errores simplemente formales de los actos administrativos relacionados con errores aritméticos, de digitación, de transcripción o de omisión de palabras.</w:t>
      </w:r>
    </w:p>
    <w:p w14:paraId="3DA1D0EB" w14:textId="77777777" w:rsidR="00E073BA" w:rsidRPr="0093479F" w:rsidRDefault="00E073BA" w:rsidP="00E073BA">
      <w:pPr>
        <w:pBdr>
          <w:top w:val="single" w:sz="4" w:space="1" w:color="auto"/>
          <w:left w:val="single" w:sz="4" w:space="4" w:color="auto"/>
          <w:bottom w:val="single" w:sz="4" w:space="1" w:color="auto"/>
          <w:right w:val="single" w:sz="4" w:space="4" w:color="auto"/>
        </w:pBdr>
        <w:tabs>
          <w:tab w:val="left" w:pos="709"/>
        </w:tabs>
        <w:spacing w:before="120" w:after="120" w:line="276" w:lineRule="auto"/>
        <w:ind w:firstLine="709"/>
        <w:jc w:val="both"/>
        <w:rPr>
          <w:rFonts w:ascii="Verdana" w:eastAsia="Calibri" w:hAnsi="Verdana" w:cs="Arial"/>
          <w:color w:val="000000"/>
        </w:rPr>
      </w:pPr>
      <w:r w:rsidRPr="0093479F">
        <w:rPr>
          <w:rFonts w:ascii="Verdana" w:hAnsi="Verdana" w:cs="Arial"/>
          <w:shd w:val="clear" w:color="auto" w:fill="FFFFFF"/>
        </w:rPr>
        <w:t xml:space="preserve">En virtud de lo anterior, la entidad que realiza la consulta </w:t>
      </w:r>
      <w:r w:rsidRPr="00672426">
        <w:rPr>
          <w:rFonts w:ascii="Verdana" w:hAnsi="Verdana" w:cs="Arial"/>
          <w:shd w:val="clear" w:color="auto" w:fill="FFFFFF"/>
        </w:rPr>
        <w:t xml:space="preserve">debe determinar </w:t>
      </w:r>
      <w:r w:rsidRPr="0093479F">
        <w:rPr>
          <w:rFonts w:ascii="Verdana" w:hAnsi="Verdana" w:cs="Arial"/>
          <w:shd w:val="clear" w:color="auto" w:fill="FFFFFF"/>
        </w:rPr>
        <w:t xml:space="preserve">si está frente a un error formal que puede ser corregido a través de la facultad que establece el artículo 45 del CPACA o si está frente a una circunstancia que </w:t>
      </w:r>
      <w:r>
        <w:rPr>
          <w:rFonts w:ascii="Verdana" w:hAnsi="Verdana" w:cs="Arial"/>
          <w:shd w:val="clear" w:color="auto" w:fill="FFFFFF"/>
        </w:rPr>
        <w:t>amerita</w:t>
      </w:r>
      <w:r w:rsidRPr="00672426">
        <w:rPr>
          <w:rFonts w:ascii="Verdana" w:hAnsi="Verdana" w:cs="Arial"/>
          <w:shd w:val="clear" w:color="auto" w:fill="FFFFFF"/>
        </w:rPr>
        <w:t xml:space="preserve"> </w:t>
      </w:r>
      <w:r w:rsidRPr="0093479F">
        <w:rPr>
          <w:rFonts w:ascii="Verdana" w:hAnsi="Verdana" w:cs="Arial"/>
          <w:shd w:val="clear" w:color="auto" w:fill="FFFFFF"/>
        </w:rPr>
        <w:t>una modificación contractual</w:t>
      </w:r>
      <w:r>
        <w:rPr>
          <w:rFonts w:ascii="Verdana" w:hAnsi="Verdana" w:cs="Arial"/>
          <w:shd w:val="clear" w:color="auto" w:fill="FFFFFF"/>
        </w:rPr>
        <w:t>. E</w:t>
      </w:r>
      <w:r w:rsidRPr="00672426">
        <w:rPr>
          <w:rFonts w:ascii="Verdana" w:hAnsi="Verdana" w:cs="Arial"/>
          <w:shd w:val="clear" w:color="auto" w:fill="FFFFFF"/>
        </w:rPr>
        <w:t>n</w:t>
      </w:r>
      <w:r w:rsidRPr="0093479F">
        <w:rPr>
          <w:rFonts w:ascii="Verdana" w:hAnsi="Verdana" w:cs="Arial"/>
          <w:shd w:val="clear" w:color="auto" w:fill="FFFFFF"/>
        </w:rPr>
        <w:t xml:space="preserve"> caso de ser esta última, no podría llevarse a cabo una modificación que varíe el objeto contractual por la prohibición jurisprudencial</w:t>
      </w:r>
      <w:r>
        <w:rPr>
          <w:rFonts w:ascii="Verdana" w:hAnsi="Verdana" w:cs="Arial"/>
          <w:shd w:val="clear" w:color="auto" w:fill="FFFFFF"/>
        </w:rPr>
        <w:t xml:space="preserve"> que se analizara en el presente concepto</w:t>
      </w:r>
      <w:r w:rsidRPr="0093479F">
        <w:rPr>
          <w:rFonts w:ascii="Verdana" w:hAnsi="Verdana" w:cs="Arial"/>
          <w:shd w:val="clear" w:color="auto" w:fill="FFFFFF"/>
        </w:rPr>
        <w:t xml:space="preserve">, </w:t>
      </w:r>
      <w:r w:rsidRPr="0093479F">
        <w:rPr>
          <w:rFonts w:ascii="Verdana" w:eastAsia="Calibri" w:hAnsi="Verdana" w:cs="Arial"/>
          <w:color w:val="000000"/>
        </w:rPr>
        <w:t>pues ello supondría la alteración de su esencia y lo convertiría en otro tipo de negocio jurídico. Si se presentara esta situación lo indicado no sería modificar el contrato sino celebrar uno nuevo.</w:t>
      </w:r>
    </w:p>
    <w:p w14:paraId="03D8A63D" w14:textId="77777777" w:rsidR="00E073BA" w:rsidRPr="00672426" w:rsidRDefault="00E073BA" w:rsidP="00E073BA">
      <w:pPr>
        <w:pBdr>
          <w:top w:val="single" w:sz="4" w:space="1" w:color="auto"/>
          <w:left w:val="single" w:sz="4" w:space="4" w:color="auto"/>
          <w:bottom w:val="single" w:sz="4" w:space="1" w:color="auto"/>
          <w:right w:val="single" w:sz="4" w:space="4" w:color="auto"/>
        </w:pBdr>
        <w:spacing w:after="120" w:line="276" w:lineRule="auto"/>
        <w:ind w:firstLine="708"/>
        <w:jc w:val="both"/>
        <w:rPr>
          <w:rFonts w:ascii="Verdana" w:eastAsia="Calibri" w:hAnsi="Verdana" w:cs="Arial"/>
          <w:color w:val="000000"/>
        </w:rPr>
      </w:pPr>
      <w:r w:rsidRPr="00CD76BD">
        <w:rPr>
          <w:rFonts w:ascii="Verdana" w:eastAsia="Batang" w:hAnsi="Verdana" w:cs="Arial"/>
        </w:rPr>
        <w:t xml:space="preserve">Sin perjuicio de lo anterior, es importante resaltar que, en los procesos de contratación o en la ejecución de los contratos, la entidad, proponentes o contratista podrán acudir, en lo pertinente, a las reglas de interpretación </w:t>
      </w:r>
      <w:r w:rsidRPr="00CD76BD">
        <w:rPr>
          <w:rFonts w:ascii="Verdana" w:eastAsia="Batang" w:hAnsi="Verdana" w:cs="Arial"/>
          <w:lang w:val="es-MX"/>
        </w:rPr>
        <w:t>objetivas y subjetivas conforme a los artículos 1618 a 1624 del Código Civil.</w:t>
      </w:r>
      <w:r>
        <w:rPr>
          <w:rFonts w:ascii="Verdana" w:eastAsia="Batang" w:hAnsi="Verdana" w:cs="Arial"/>
          <w:lang w:val="es-MX"/>
        </w:rPr>
        <w:t xml:space="preserve"> </w:t>
      </w:r>
      <w:r w:rsidRPr="00CD76BD">
        <w:rPr>
          <w:rFonts w:ascii="Verdana" w:eastAsia="Batang" w:hAnsi="Verdana" w:cs="Arial"/>
        </w:rPr>
        <w:t xml:space="preserve">La aplicación de estos criterios siempre deberá tener en cuenta las circunstancias concretas de cada caso en particular, de manera que la entidad pueda optar por la interpretación que más se adecúe a la finalidad que persigue con el contrato. En ese contexto, la entidad deber incluso revisar la información contenida en los documentos precontractuales para determinar la intención que se tenía. </w:t>
      </w:r>
    </w:p>
    <w:p w14:paraId="5C5910BC" w14:textId="67380CBE" w:rsidR="006239F3" w:rsidRDefault="00E073BA" w:rsidP="00461B76">
      <w:pPr>
        <w:pBdr>
          <w:top w:val="single" w:sz="4" w:space="1" w:color="auto"/>
          <w:left w:val="single" w:sz="4" w:space="4" w:color="auto"/>
          <w:bottom w:val="single" w:sz="4" w:space="1" w:color="auto"/>
          <w:right w:val="single" w:sz="4" w:space="4" w:color="auto"/>
        </w:pBdr>
        <w:spacing w:after="0" w:line="240" w:lineRule="auto"/>
        <w:ind w:firstLine="709"/>
        <w:jc w:val="both"/>
        <w:rPr>
          <w:rFonts w:ascii="Verdana" w:eastAsia="Century Gothic" w:hAnsi="Verdana" w:cs="Century Gothic"/>
          <w:b/>
          <w:bCs/>
        </w:rPr>
      </w:pPr>
      <w:r w:rsidRPr="0093479F">
        <w:rPr>
          <w:rFonts w:ascii="Verdana" w:hAnsi="Verdana" w:cs="Arial"/>
          <w:shd w:val="clear" w:color="auto" w:fill="FFFFFF"/>
        </w:rPr>
        <w:t xml:space="preserve">Una vez determinado el tipo de error y la posibilidad de subsanarlo: en caso de estar ante un contrato en la plataforma de SECOP I, la entidad deberá realizar ya sea la subsanación mediante acto administrativo en caso de ser un error formal o la modificación firmada por las partes, y luego cargar el respectivo documento a la plataforma dando cumplimiento al principio de publicidad; en caso de estar ante un contrato en la plataforma de SECOP II, la entidad deberá hacer la modificación del contrato a través del módulo de la plataforma cargando los respectivos documentos de soporte y luego cumplir con el procedimiento de firma de las partes. </w:t>
      </w:r>
    </w:p>
    <w:p w14:paraId="5B87A320" w14:textId="77777777" w:rsidR="006A4266" w:rsidRDefault="006A4266" w:rsidP="00AB625D">
      <w:pPr>
        <w:spacing w:after="0" w:line="276" w:lineRule="auto"/>
        <w:jc w:val="both"/>
        <w:rPr>
          <w:rFonts w:ascii="Verdana" w:eastAsia="Century Gothic" w:hAnsi="Verdana" w:cs="Century Gothic"/>
          <w:b/>
          <w:bCs/>
        </w:rPr>
      </w:pPr>
    </w:p>
    <w:p w14:paraId="1E51E33C" w14:textId="46C93375" w:rsidR="006E73DC" w:rsidRPr="00773CEE" w:rsidRDefault="00773CEE" w:rsidP="00773CEE">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3. </w:t>
      </w:r>
      <w:r w:rsidR="006E73DC" w:rsidRPr="00773CEE">
        <w:rPr>
          <w:rFonts w:ascii="Verdana" w:eastAsia="Century Gothic" w:hAnsi="Verdana" w:cs="Century Gothic"/>
          <w:b/>
          <w:bCs/>
        </w:rPr>
        <w:t>Razones de la respuesta:</w:t>
      </w:r>
    </w:p>
    <w:p w14:paraId="46874545" w14:textId="77777777" w:rsidR="006E73DC" w:rsidRPr="00593A5F" w:rsidRDefault="006E73DC" w:rsidP="006E73DC">
      <w:pPr>
        <w:spacing w:after="0" w:line="276" w:lineRule="auto"/>
        <w:jc w:val="both"/>
        <w:rPr>
          <w:rFonts w:ascii="Verdana" w:eastAsia="Calibri" w:hAnsi="Verdana" w:cs="Arial"/>
          <w:color w:val="7030A0"/>
          <w:lang w:val="es-ES"/>
        </w:rPr>
      </w:pPr>
    </w:p>
    <w:p w14:paraId="4E79450D" w14:textId="77777777" w:rsidR="006E73DC" w:rsidRDefault="006E73DC" w:rsidP="006E73DC">
      <w:pPr>
        <w:tabs>
          <w:tab w:val="left" w:pos="6945"/>
        </w:tabs>
        <w:spacing w:after="0" w:line="276" w:lineRule="auto"/>
        <w:jc w:val="both"/>
        <w:rPr>
          <w:rFonts w:ascii="Verdana" w:eastAsia="Calibri" w:hAnsi="Verdana" w:cs="Arial"/>
          <w:lang w:val="es-ES"/>
        </w:rPr>
      </w:pPr>
      <w:r w:rsidRPr="00B96799">
        <w:rPr>
          <w:rFonts w:ascii="Verdana" w:eastAsia="Calibri" w:hAnsi="Verdana" w:cs="Arial"/>
          <w:lang w:val="es-ES"/>
        </w:rPr>
        <w:t xml:space="preserve">Lo anterior se sustenta en las siguientes consideraciones: </w:t>
      </w:r>
      <w:r>
        <w:rPr>
          <w:rFonts w:ascii="Verdana" w:eastAsia="Calibri" w:hAnsi="Verdana" w:cs="Arial"/>
          <w:lang w:val="es-ES"/>
        </w:rPr>
        <w:tab/>
      </w:r>
    </w:p>
    <w:p w14:paraId="1D5AED86" w14:textId="77777777" w:rsidR="006E73DC" w:rsidRPr="00672426" w:rsidRDefault="006E73DC" w:rsidP="00461B76">
      <w:pPr>
        <w:tabs>
          <w:tab w:val="left" w:pos="6945"/>
        </w:tabs>
        <w:spacing w:after="0" w:line="276" w:lineRule="auto"/>
        <w:jc w:val="both"/>
        <w:rPr>
          <w:rFonts w:ascii="Verdana" w:eastAsia="Calibri" w:hAnsi="Verdana" w:cs="Arial"/>
          <w:lang w:val="es-ES"/>
        </w:rPr>
      </w:pPr>
    </w:p>
    <w:p w14:paraId="4456F370" w14:textId="7B9EC16D" w:rsidR="006E73DC" w:rsidRPr="00672426" w:rsidRDefault="006E73DC" w:rsidP="00461B76">
      <w:pPr>
        <w:spacing w:after="120" w:line="276" w:lineRule="auto"/>
        <w:jc w:val="both"/>
        <w:rPr>
          <w:rFonts w:ascii="Verdana" w:eastAsia="Calibri" w:hAnsi="Verdana" w:cs="Arial"/>
          <w:lang w:val="es-ES"/>
        </w:rPr>
      </w:pPr>
      <w:r w:rsidRPr="00672426">
        <w:rPr>
          <w:rFonts w:ascii="Verdana" w:eastAsia="Calibri" w:hAnsi="Verdana" w:cs="Arial"/>
          <w:lang w:val="es-ES"/>
        </w:rPr>
        <w:t xml:space="preserve">La Ley 1712 de 2014, por medio de la cual se regula la </w:t>
      </w:r>
      <w:r w:rsidR="004765FF">
        <w:rPr>
          <w:rFonts w:ascii="Verdana" w:eastAsia="Calibri" w:hAnsi="Verdana" w:cs="Arial"/>
          <w:lang w:val="es-ES"/>
        </w:rPr>
        <w:t>transparencia,</w:t>
      </w:r>
      <w:r w:rsidRPr="00672426">
        <w:rPr>
          <w:rFonts w:ascii="Verdana" w:eastAsia="Calibri" w:hAnsi="Verdana" w:cs="Arial"/>
          <w:lang w:val="es-ES"/>
        </w:rPr>
        <w:t xml:space="preserve"> el derecho de acceso a la información pública nacional y se dictan otras disposiciones, identifica como principios que orientan el derecho de acceso a la información pública el de máxima publicidad y el de transparencia en la información. De acuerdo con el primero, toda información en posesión, bajo control o custodia de un sujeto obligado es pública y no podrá ser reservada o limitada sino por disposición constitucional o legal. Por su parte, el segundo alude al deber de los sujetos de proporcionar y facilitar el acceso a la misma en los términos más amplios posibles, y a través de los medios y procedimientos que establezca la ley. </w:t>
      </w:r>
    </w:p>
    <w:p w14:paraId="56C5EDA6" w14:textId="13E724F6" w:rsidR="006E73DC" w:rsidRPr="00672426" w:rsidRDefault="006E73DC" w:rsidP="00B51F29">
      <w:pPr>
        <w:spacing w:after="120" w:line="276" w:lineRule="auto"/>
        <w:ind w:firstLine="709"/>
        <w:jc w:val="both"/>
        <w:rPr>
          <w:rFonts w:ascii="Verdana" w:eastAsia="Calibri" w:hAnsi="Verdana" w:cs="Arial"/>
          <w:lang w:val="es-ES"/>
        </w:rPr>
      </w:pPr>
      <w:r w:rsidRPr="00672426">
        <w:rPr>
          <w:rFonts w:ascii="Verdana" w:eastAsia="Calibri" w:hAnsi="Verdana" w:cs="Arial"/>
          <w:lang w:val="es-ES"/>
        </w:rPr>
        <w:t xml:space="preserve">La </w:t>
      </w:r>
      <w:r w:rsidR="00BB2B7D" w:rsidRPr="00672426">
        <w:rPr>
          <w:rFonts w:ascii="Verdana" w:eastAsia="Calibri" w:hAnsi="Verdana" w:cs="Arial"/>
          <w:lang w:val="es-ES"/>
        </w:rPr>
        <w:t xml:space="preserve">citada </w:t>
      </w:r>
      <w:r w:rsidR="00BB2B7D">
        <w:rPr>
          <w:rFonts w:ascii="Verdana" w:eastAsia="Calibri" w:hAnsi="Verdana" w:cs="Arial"/>
          <w:lang w:val="es-ES"/>
        </w:rPr>
        <w:t>L</w:t>
      </w:r>
      <w:r w:rsidRPr="00672426">
        <w:rPr>
          <w:rFonts w:ascii="Verdana" w:eastAsia="Calibri" w:hAnsi="Verdana" w:cs="Arial"/>
          <w:lang w:val="es-ES"/>
        </w:rPr>
        <w:t>ey establece, en el literal e) del artículo 9, que los sujetos obligados, que son todas las entidades públicas, deben publicar la información relativa a su contratación</w:t>
      </w:r>
      <w:r w:rsidRPr="00672426">
        <w:rPr>
          <w:rFonts w:ascii="Verdana" w:eastAsia="Calibri" w:hAnsi="Verdana" w:cs="Arial"/>
          <w:vertAlign w:val="superscript"/>
          <w:lang w:val="es-ES"/>
        </w:rPr>
        <w:footnoteReference w:id="1"/>
      </w:r>
      <w:r w:rsidRPr="00672426">
        <w:rPr>
          <w:rFonts w:ascii="Verdana" w:eastAsia="Calibri" w:hAnsi="Verdana" w:cs="Arial"/>
          <w:lang w:val="es-ES"/>
        </w:rPr>
        <w:t>. Esta obligación fue en principio desarrollada por el Decreto 103 de 2015, hoy compilado en el Decreto Único Reglamentario 1081 de 2015, el cual dispuso que la publicación de la información contractual de los sujetos obligados, que contratan con cargo a recursos públicos, debe hacerse en el Sistema Electrónico de Contratación Pública –</w:t>
      </w:r>
      <w:r>
        <w:rPr>
          <w:rFonts w:ascii="Verdana" w:eastAsia="Calibri" w:hAnsi="Verdana" w:cs="Arial"/>
          <w:lang w:val="es-ES"/>
        </w:rPr>
        <w:t xml:space="preserve"> en adelante </w:t>
      </w:r>
      <w:r w:rsidRPr="00672426">
        <w:rPr>
          <w:rFonts w:ascii="Verdana" w:eastAsia="Calibri" w:hAnsi="Verdana" w:cs="Arial"/>
          <w:lang w:val="es-ES"/>
        </w:rPr>
        <w:t>SECOP–</w:t>
      </w:r>
      <w:r w:rsidRPr="00672426">
        <w:rPr>
          <w:rFonts w:ascii="Verdana" w:eastAsia="Calibri" w:hAnsi="Verdana" w:cs="Arial"/>
          <w:vertAlign w:val="superscript"/>
          <w:lang w:val="es-ES"/>
        </w:rPr>
        <w:footnoteReference w:id="2"/>
      </w:r>
      <w:r w:rsidRPr="00672426">
        <w:rPr>
          <w:rFonts w:ascii="Verdana" w:eastAsia="Calibri" w:hAnsi="Verdana" w:cs="Arial"/>
          <w:lang w:val="es-ES"/>
        </w:rPr>
        <w:t>.</w:t>
      </w:r>
    </w:p>
    <w:p w14:paraId="023ACA9B" w14:textId="77777777" w:rsidR="006E73DC" w:rsidRPr="00672426" w:rsidRDefault="006E73DC" w:rsidP="00773CEE">
      <w:pPr>
        <w:spacing w:after="120" w:line="276" w:lineRule="auto"/>
        <w:ind w:firstLine="709"/>
        <w:jc w:val="both"/>
        <w:rPr>
          <w:rFonts w:ascii="Verdana" w:eastAsia="Arial" w:hAnsi="Verdana" w:cs="Arial"/>
          <w:lang w:eastAsia="es-ES"/>
        </w:rPr>
      </w:pPr>
      <w:r w:rsidRPr="00672426">
        <w:rPr>
          <w:rFonts w:ascii="Verdana" w:eastAsia="Calibri" w:hAnsi="Verdana" w:cs="Arial"/>
          <w:lang w:val="es-MX"/>
        </w:rPr>
        <w:t>Así</w:t>
      </w:r>
      <w:r>
        <w:rPr>
          <w:rFonts w:ascii="Verdana" w:eastAsia="Calibri" w:hAnsi="Verdana" w:cs="Arial"/>
          <w:lang w:val="es-MX"/>
        </w:rPr>
        <w:t xml:space="preserve"> mismo</w:t>
      </w:r>
      <w:r w:rsidRPr="00672426">
        <w:rPr>
          <w:rFonts w:ascii="Verdana" w:eastAsia="Calibri" w:hAnsi="Verdana" w:cs="Arial"/>
          <w:lang w:val="es-MX"/>
        </w:rPr>
        <w:t xml:space="preserve">, </w:t>
      </w:r>
      <w:r w:rsidRPr="00672426">
        <w:rPr>
          <w:rFonts w:ascii="Verdana" w:eastAsia="Arial" w:hAnsi="Verdana" w:cs="Arial"/>
          <w:lang w:eastAsia="es-ES"/>
        </w:rPr>
        <w:t>en desarrollo del principio de publicidad en la contratación estatal, el literal c) del artículo 3 de la Ley 1150 de 2007 establece el SECOP como un mecanismo que “contará con la información oficial de la contratación realizada con dineros públicos, para lo cual establecerá los patrones a que haya lugar y se encargará de su difusión a través de canales electrónicos”</w:t>
      </w:r>
      <w:r w:rsidRPr="00672426">
        <w:rPr>
          <w:rFonts w:ascii="Verdana" w:hAnsi="Verdana"/>
          <w:vertAlign w:val="superscript"/>
          <w:lang w:eastAsia="es-ES"/>
        </w:rPr>
        <w:footnoteReference w:id="3"/>
      </w:r>
      <w:r>
        <w:rPr>
          <w:rFonts w:ascii="Verdana" w:eastAsia="Arial" w:hAnsi="Verdana" w:cs="Arial"/>
          <w:lang w:eastAsia="es-ES"/>
        </w:rPr>
        <w:t xml:space="preserve">. </w:t>
      </w:r>
    </w:p>
    <w:p w14:paraId="247B52DC" w14:textId="77777777" w:rsidR="006E73DC" w:rsidRPr="00672426" w:rsidRDefault="006E73DC" w:rsidP="00773CEE">
      <w:pPr>
        <w:tabs>
          <w:tab w:val="left" w:pos="709"/>
        </w:tabs>
        <w:spacing w:after="120" w:line="276" w:lineRule="auto"/>
        <w:ind w:firstLine="709"/>
        <w:jc w:val="both"/>
        <w:rPr>
          <w:rFonts w:ascii="Verdana" w:hAnsi="Verdana" w:cs="Arial"/>
          <w:shd w:val="clear" w:color="auto" w:fill="FFFFFF"/>
        </w:rPr>
      </w:pPr>
      <w:r w:rsidRPr="00672426">
        <w:rPr>
          <w:rFonts w:ascii="Verdana" w:hAnsi="Verdana" w:cs="Arial"/>
          <w:shd w:val="clear" w:color="auto" w:fill="FFFFFF"/>
        </w:rPr>
        <w:t>Con el propósito de garantizar el cumplimiento del mencionado deber de publicidad, se le asignó a la Agencia Nacional de Contratación Pública - Colombia Compra Eficiente, la función de administrar el SECOP</w:t>
      </w:r>
      <w:r w:rsidRPr="00672426">
        <w:rPr>
          <w:rFonts w:ascii="Verdana" w:hAnsi="Verdana" w:cs="Arial"/>
          <w:shd w:val="clear" w:color="auto" w:fill="FFFFFF"/>
          <w:vertAlign w:val="superscript"/>
        </w:rPr>
        <w:footnoteReference w:id="4"/>
      </w:r>
      <w:r w:rsidRPr="00672426">
        <w:rPr>
          <w:rFonts w:ascii="Verdana" w:hAnsi="Verdana" w:cs="Arial"/>
          <w:shd w:val="clear" w:color="auto" w:fill="FFFFFF"/>
        </w:rPr>
        <w:t>.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2A267E65" w14:textId="77777777" w:rsidR="006E73DC" w:rsidRPr="00672426" w:rsidRDefault="006E73DC" w:rsidP="00773CEE">
      <w:pPr>
        <w:tabs>
          <w:tab w:val="left" w:pos="709"/>
        </w:tabs>
        <w:spacing w:after="120" w:line="276" w:lineRule="auto"/>
        <w:ind w:firstLine="709"/>
        <w:jc w:val="both"/>
        <w:rPr>
          <w:rFonts w:ascii="Verdana" w:hAnsi="Verdana" w:cs="Arial"/>
          <w:shd w:val="clear" w:color="auto" w:fill="FFFFFF"/>
        </w:rPr>
      </w:pPr>
      <w:r w:rsidRPr="00672426">
        <w:rPr>
          <w:rFonts w:ascii="Verdana" w:hAnsi="Verdana" w:cs="Arial"/>
          <w:shd w:val="clear" w:color="auto" w:fill="FFFFFF"/>
        </w:rPr>
        <w:t>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6A558432" w14:textId="1AF17745" w:rsidR="00617BDC" w:rsidRPr="00617BDC" w:rsidRDefault="006E73DC" w:rsidP="00617BDC">
      <w:pPr>
        <w:spacing w:after="120" w:line="276" w:lineRule="auto"/>
        <w:ind w:firstLine="709"/>
        <w:jc w:val="both"/>
        <w:rPr>
          <w:rFonts w:ascii="Verdana" w:eastAsia="Calibri" w:hAnsi="Verdana" w:cs="Arial"/>
        </w:rPr>
      </w:pPr>
      <w:r w:rsidRPr="00672426">
        <w:rPr>
          <w:rFonts w:ascii="Verdana" w:eastAsia="Calibri" w:hAnsi="Verdana" w:cs="Arial"/>
        </w:rPr>
        <w:t>Ahora bien,</w:t>
      </w:r>
      <w:r>
        <w:rPr>
          <w:rFonts w:ascii="Verdana" w:eastAsia="Calibri" w:hAnsi="Verdana" w:cs="Arial"/>
        </w:rPr>
        <w:t xml:space="preserve"> frente al problema jurídico planteado</w:t>
      </w:r>
      <w:r w:rsidR="00CE3216">
        <w:rPr>
          <w:rFonts w:ascii="Verdana" w:eastAsia="Calibri" w:hAnsi="Verdana" w:cs="Arial"/>
        </w:rPr>
        <w:t xml:space="preserve"> se señala que, </w:t>
      </w:r>
      <w:r w:rsidR="002077F8">
        <w:rPr>
          <w:rFonts w:ascii="Verdana" w:eastAsia="Calibri" w:hAnsi="Verdana" w:cs="Arial"/>
        </w:rPr>
        <w:t>d</w:t>
      </w:r>
      <w:r w:rsidR="00617BDC" w:rsidRPr="00617BDC">
        <w:rPr>
          <w:rFonts w:ascii="Verdana" w:eastAsia="Calibri" w:hAnsi="Verdana" w:cs="Arial"/>
        </w:rPr>
        <w:t>e acuerdo con los principios</w:t>
      </w:r>
      <w:r w:rsidR="00CE3216">
        <w:rPr>
          <w:rFonts w:ascii="Verdana" w:eastAsia="Calibri" w:hAnsi="Verdana" w:cs="Arial"/>
        </w:rPr>
        <w:t xml:space="preserve"> y normas</w:t>
      </w:r>
      <w:r w:rsidR="00617BDC" w:rsidRPr="00617BDC">
        <w:rPr>
          <w:rFonts w:ascii="Verdana" w:eastAsia="Calibri" w:hAnsi="Verdana" w:cs="Arial"/>
        </w:rPr>
        <w:t xml:space="preserve"> que orientan la contratación estatal, la sola digitación errónea de un número de proceso en una plataforma electrónica no genera, por sí misma, la nulidad ni la invalidez de las actuaciones adelantadas por la Entidad Estatal.</w:t>
      </w:r>
    </w:p>
    <w:p w14:paraId="179A14AB" w14:textId="77777777" w:rsidR="00617BDC" w:rsidRPr="00617BDC" w:rsidRDefault="00617BDC" w:rsidP="00617BDC">
      <w:pPr>
        <w:spacing w:after="120" w:line="276" w:lineRule="auto"/>
        <w:ind w:firstLine="709"/>
        <w:jc w:val="both"/>
        <w:rPr>
          <w:rFonts w:ascii="Verdana" w:eastAsia="Calibri" w:hAnsi="Verdana" w:cs="Arial"/>
        </w:rPr>
      </w:pPr>
      <w:r w:rsidRPr="00617BDC">
        <w:rPr>
          <w:rFonts w:ascii="Verdana" w:eastAsia="Calibri" w:hAnsi="Verdana" w:cs="Arial"/>
        </w:rPr>
        <w:t>En este sentido, cuando el error consiste únicamente en registrar un número de proceso correspondiente al año 2026 dentro de una descripción asociada al año 2025, producto de un error humano de digitación, y de los demás documentos e información publicados puede identificarse de manera inequívoca el proceso al que se refiere la actuación, en principio se estaría frente a un error material susceptible de corrección.</w:t>
      </w:r>
    </w:p>
    <w:p w14:paraId="0D17A516" w14:textId="77777777" w:rsidR="00617BDC" w:rsidRPr="00617BDC" w:rsidRDefault="00617BDC" w:rsidP="00617BDC">
      <w:pPr>
        <w:spacing w:after="120" w:line="276" w:lineRule="auto"/>
        <w:ind w:firstLine="709"/>
        <w:jc w:val="both"/>
        <w:rPr>
          <w:rFonts w:ascii="Verdana" w:eastAsia="Calibri" w:hAnsi="Verdana" w:cs="Arial"/>
        </w:rPr>
      </w:pPr>
      <w:r w:rsidRPr="00617BDC">
        <w:rPr>
          <w:rFonts w:ascii="Verdana" w:eastAsia="Calibri" w:hAnsi="Verdana" w:cs="Arial"/>
        </w:rPr>
        <w:t>Lo anterior encuentra fundamento en que las actuaciones administrativas deben interpretarse conforme a su contenido real y a su finalidad, de manera que los errores puramente formales o mecanográficos no pueden prevalecer sobre la realidad de la actuación cuando esta resulta plenamente identificable para los interesados.</w:t>
      </w:r>
    </w:p>
    <w:p w14:paraId="21CBA336" w14:textId="26F13AAD" w:rsidR="006E73DC" w:rsidRDefault="00617BDC" w:rsidP="00773CEE">
      <w:pPr>
        <w:spacing w:after="120" w:line="276" w:lineRule="auto"/>
        <w:ind w:firstLine="709"/>
        <w:jc w:val="both"/>
        <w:rPr>
          <w:rFonts w:ascii="Verdana" w:eastAsia="Calibri" w:hAnsi="Verdana" w:cs="Arial"/>
          <w:lang w:val="es-ES"/>
        </w:rPr>
      </w:pPr>
      <w:r>
        <w:rPr>
          <w:rFonts w:ascii="Verdana" w:eastAsia="Calibri" w:hAnsi="Verdana" w:cs="Arial"/>
        </w:rPr>
        <w:t>Así las cosas</w:t>
      </w:r>
      <w:r w:rsidR="006E73DC">
        <w:rPr>
          <w:rFonts w:ascii="Verdana" w:eastAsia="Calibri" w:hAnsi="Verdana" w:cs="Arial"/>
        </w:rPr>
        <w:t>,</w:t>
      </w:r>
      <w:r w:rsidR="006E73DC" w:rsidRPr="00672426">
        <w:rPr>
          <w:rFonts w:ascii="Verdana" w:eastAsia="Calibri" w:hAnsi="Verdana" w:cs="Arial"/>
        </w:rPr>
        <w:t xml:space="preserve"> </w:t>
      </w:r>
      <w:r w:rsidR="006E73DC" w:rsidRPr="00672426">
        <w:rPr>
          <w:rFonts w:ascii="Verdana" w:eastAsia="Calibri" w:hAnsi="Verdana" w:cs="Arial"/>
          <w:lang w:val="es-ES"/>
        </w:rPr>
        <w:t>ante</w:t>
      </w:r>
      <w:r w:rsidR="006E73DC">
        <w:rPr>
          <w:rFonts w:ascii="Verdana" w:eastAsia="Calibri" w:hAnsi="Verdana" w:cs="Arial"/>
          <w:lang w:val="es-ES"/>
        </w:rPr>
        <w:t xml:space="preserve"> errores que hayan podido quedar</w:t>
      </w:r>
      <w:r w:rsidR="006E73DC" w:rsidRPr="00672426">
        <w:rPr>
          <w:rFonts w:ascii="Verdana" w:eastAsia="Calibri" w:hAnsi="Verdana" w:cs="Arial"/>
          <w:lang w:val="es-ES"/>
        </w:rPr>
        <w:t xml:space="preserve"> </w:t>
      </w:r>
      <w:r w:rsidR="006E73DC">
        <w:rPr>
          <w:rFonts w:ascii="Verdana" w:eastAsia="Calibri" w:hAnsi="Verdana" w:cs="Arial"/>
          <w:lang w:val="es-ES"/>
        </w:rPr>
        <w:t xml:space="preserve">en un contrato, la entidad debe analizar si se encuentra frente a circunstancias que </w:t>
      </w:r>
      <w:r w:rsidR="006E73DC" w:rsidRPr="00672426">
        <w:rPr>
          <w:rFonts w:ascii="Verdana" w:eastAsia="Calibri" w:hAnsi="Verdana" w:cs="Arial"/>
          <w:lang w:val="es-ES"/>
        </w:rPr>
        <w:t>exigen</w:t>
      </w:r>
      <w:r w:rsidR="006E73DC">
        <w:rPr>
          <w:rFonts w:ascii="Verdana" w:eastAsia="Calibri" w:hAnsi="Verdana" w:cs="Arial"/>
          <w:lang w:val="es-ES"/>
        </w:rPr>
        <w:t xml:space="preserve"> una modificación del mismo</w:t>
      </w:r>
      <w:r w:rsidR="006E73DC" w:rsidRPr="00672426">
        <w:rPr>
          <w:rFonts w:ascii="Verdana" w:eastAsia="Calibri" w:hAnsi="Verdana" w:cs="Arial"/>
          <w:lang w:val="es-ES"/>
        </w:rPr>
        <w:t xml:space="preserve"> o a</w:t>
      </w:r>
      <w:r w:rsidR="006E73DC">
        <w:rPr>
          <w:rFonts w:ascii="Verdana" w:eastAsia="Calibri" w:hAnsi="Verdana" w:cs="Arial"/>
          <w:lang w:val="es-ES"/>
        </w:rPr>
        <w:t xml:space="preserve"> circunstancias que representen un error formal que pueda ser corregido</w:t>
      </w:r>
      <w:r w:rsidR="006E73DC" w:rsidRPr="00672426">
        <w:rPr>
          <w:rFonts w:ascii="Verdana" w:eastAsia="Calibri" w:hAnsi="Verdana" w:cs="Arial"/>
          <w:lang w:val="es-ES"/>
        </w:rPr>
        <w:t xml:space="preserve">. </w:t>
      </w:r>
    </w:p>
    <w:p w14:paraId="37519596" w14:textId="3AAC3DF4" w:rsidR="009503DE" w:rsidRPr="00751E10" w:rsidRDefault="009503DE" w:rsidP="009503DE">
      <w:pPr>
        <w:spacing w:after="120" w:line="276" w:lineRule="auto"/>
        <w:ind w:firstLine="709"/>
        <w:jc w:val="both"/>
        <w:rPr>
          <w:rFonts w:ascii="Verdana" w:eastAsia="Calibri" w:hAnsi="Verdana" w:cs="Arial"/>
          <w:lang w:val="es-MX"/>
        </w:rPr>
      </w:pPr>
      <w:r>
        <w:rPr>
          <w:rFonts w:ascii="Verdana" w:eastAsia="Calibri" w:hAnsi="Verdana" w:cs="Arial"/>
          <w:lang w:val="es-ES"/>
        </w:rPr>
        <w:t>En primer lugar, en</w:t>
      </w:r>
      <w:r w:rsidR="006E73DC">
        <w:rPr>
          <w:rFonts w:ascii="Verdana" w:eastAsia="Calibri" w:hAnsi="Verdana" w:cs="Arial"/>
          <w:lang w:val="es-ES"/>
        </w:rPr>
        <w:t xml:space="preserve"> relación a las </w:t>
      </w:r>
      <w:r w:rsidR="006E73DC" w:rsidRPr="00751E10">
        <w:rPr>
          <w:rFonts w:ascii="Verdana" w:eastAsia="Calibri" w:hAnsi="Verdana" w:cs="Arial"/>
          <w:i/>
          <w:lang w:val="es-ES"/>
        </w:rPr>
        <w:t>modificaciones a contratos estatales</w:t>
      </w:r>
      <w:r w:rsidR="006E73DC">
        <w:rPr>
          <w:rFonts w:ascii="Verdana" w:eastAsia="Calibri" w:hAnsi="Verdana" w:cs="Arial"/>
          <w:lang w:val="es-ES"/>
        </w:rPr>
        <w:t xml:space="preserve">, sea lo primero resaltar que </w:t>
      </w:r>
      <w:r w:rsidR="006E73DC">
        <w:rPr>
          <w:rFonts w:ascii="Verdana" w:eastAsia="Calibri" w:hAnsi="Verdana" w:cs="Arial"/>
        </w:rPr>
        <w:t>e</w:t>
      </w:r>
      <w:r w:rsidR="006E73DC" w:rsidRPr="00F06077">
        <w:rPr>
          <w:rFonts w:ascii="Verdana" w:eastAsia="Calibri" w:hAnsi="Verdana" w:cs="Arial"/>
        </w:rPr>
        <w:t>l Estatuto General de Contratación de la Administración Pública</w:t>
      </w:r>
      <w:r w:rsidR="006E73DC">
        <w:rPr>
          <w:rFonts w:ascii="Verdana" w:eastAsia="Calibri" w:hAnsi="Verdana" w:cs="Arial"/>
        </w:rPr>
        <w:t xml:space="preserve"> – en adelante EGCAP –</w:t>
      </w:r>
      <w:r w:rsidR="006E73DC" w:rsidRPr="00672426">
        <w:rPr>
          <w:rFonts w:ascii="Verdana" w:eastAsia="Calibri" w:hAnsi="Verdana" w:cs="Arial"/>
        </w:rPr>
        <w:t>,</w:t>
      </w:r>
      <w:r w:rsidR="006E73DC" w:rsidRPr="00F06077">
        <w:rPr>
          <w:rFonts w:ascii="Verdana" w:eastAsia="Calibri" w:hAnsi="Verdana" w:cs="Arial"/>
        </w:rPr>
        <w:t xml:space="preserve"> contenido en las Leyes 80 de 1993 y 1150 de 2007, así como en las normas que las modifican y reglamentan, no consagra una regulación expresa sobre la posibilidad de modificar los contratos celebrados por las </w:t>
      </w:r>
      <w:r w:rsidR="006E73DC" w:rsidRPr="00672426">
        <w:rPr>
          <w:rFonts w:ascii="Verdana" w:eastAsia="Calibri" w:hAnsi="Verdana" w:cs="Arial"/>
        </w:rPr>
        <w:t>entidades estatales.</w:t>
      </w:r>
      <w:r w:rsidR="006E73DC">
        <w:rPr>
          <w:rFonts w:ascii="Verdana" w:eastAsia="Calibri" w:hAnsi="Verdana" w:cs="Arial"/>
        </w:rPr>
        <w:t xml:space="preserve"> </w:t>
      </w:r>
      <w:r>
        <w:rPr>
          <w:rFonts w:ascii="Verdana" w:eastAsia="Calibri" w:hAnsi="Verdana" w:cs="Arial"/>
        </w:rPr>
        <w:t>Lo anterior, teniendo en cuenta que los contratos</w:t>
      </w:r>
      <w:r w:rsidRPr="00672426">
        <w:rPr>
          <w:rFonts w:ascii="Verdana" w:eastAsia="Calibri" w:hAnsi="Verdana" w:cs="Arial"/>
        </w:rPr>
        <w:t>,</w:t>
      </w:r>
      <w:r>
        <w:rPr>
          <w:rFonts w:ascii="Verdana" w:eastAsia="Calibri" w:hAnsi="Verdana" w:cs="Arial"/>
        </w:rPr>
        <w:t xml:space="preserve"> en principio</w:t>
      </w:r>
      <w:r w:rsidRPr="00672426">
        <w:rPr>
          <w:rFonts w:ascii="Verdana" w:eastAsia="Calibri" w:hAnsi="Verdana" w:cs="Arial"/>
        </w:rPr>
        <w:t>,</w:t>
      </w:r>
      <w:r>
        <w:rPr>
          <w:rFonts w:ascii="Verdana" w:eastAsia="Calibri" w:hAnsi="Verdana" w:cs="Arial"/>
        </w:rPr>
        <w:t xml:space="preserve"> deben ejecutarse en las condiciones inicialmente pactadas que fueron convenidas luego de surtir todos los procedimientos previstos para la selección del contratista. </w:t>
      </w:r>
    </w:p>
    <w:p w14:paraId="4FE4661F" w14:textId="17CFDE8A" w:rsidR="009503DE" w:rsidRDefault="009503DE" w:rsidP="00461B76">
      <w:pPr>
        <w:tabs>
          <w:tab w:val="left" w:pos="709"/>
        </w:tabs>
        <w:spacing w:after="0" w:line="276" w:lineRule="auto"/>
        <w:ind w:firstLine="709"/>
        <w:jc w:val="both"/>
        <w:rPr>
          <w:rFonts w:ascii="Verdana" w:eastAsia="Arial" w:hAnsi="Verdana" w:cs="Arial"/>
          <w:lang w:val="es-MX" w:eastAsia="es-ES" w:bidi="es-ES"/>
        </w:rPr>
      </w:pPr>
      <w:r>
        <w:rPr>
          <w:rFonts w:ascii="Verdana" w:eastAsia="Calibri" w:hAnsi="Verdana" w:cs="Arial"/>
          <w:lang w:val="es-ES"/>
        </w:rPr>
        <w:t>Sin embargo, las modificaciones contractuales son permitidas con diferentes límites legales</w:t>
      </w:r>
      <w:r>
        <w:rPr>
          <w:rStyle w:val="Refdenotaalpie"/>
          <w:rFonts w:ascii="Verdana" w:eastAsia="Calibri" w:hAnsi="Verdana" w:cs="Arial"/>
          <w:lang w:val="es-ES"/>
        </w:rPr>
        <w:footnoteReference w:id="5"/>
      </w:r>
      <w:r>
        <w:rPr>
          <w:rFonts w:ascii="Verdana" w:eastAsia="Calibri" w:hAnsi="Verdana" w:cs="Arial"/>
          <w:lang w:val="es-ES"/>
        </w:rPr>
        <w:t xml:space="preserve"> y jurisprudenciales. En el marco de estos últimos, en </w:t>
      </w:r>
      <w:r w:rsidRPr="00DA7C75">
        <w:rPr>
          <w:rFonts w:ascii="Verdana" w:eastAsia="Arial" w:hAnsi="Verdana" w:cs="Arial"/>
          <w:lang w:val="es-ES" w:eastAsia="es-ES" w:bidi="es-ES"/>
        </w:rPr>
        <w:t xml:space="preserve">el concepto 2263 del 17 de marzo del 2016, la Sala de Consulta y Servicio Civil del Consejo de Estado precisó que </w:t>
      </w:r>
      <w:r w:rsidRPr="00DA7C75">
        <w:rPr>
          <w:rFonts w:ascii="Verdana" w:eastAsia="Arial" w:hAnsi="Verdana" w:cs="Arial"/>
          <w:lang w:val="es-MX" w:eastAsia="es-ES" w:bidi="es-ES"/>
        </w:rPr>
        <w:t>la regla general es la no modificación del contrato, y la vía excepcional su modificación, sometida a límites legales; límites que, en los términos definidos en el referido concepto, corresponden a los siguientes:</w:t>
      </w:r>
    </w:p>
    <w:p w14:paraId="082E89CF" w14:textId="77777777" w:rsidR="009503DE" w:rsidRPr="00DA7C75" w:rsidRDefault="009503DE" w:rsidP="009503DE">
      <w:pPr>
        <w:widowControl w:val="0"/>
        <w:autoSpaceDE w:val="0"/>
        <w:autoSpaceDN w:val="0"/>
        <w:spacing w:after="0" w:line="276" w:lineRule="auto"/>
        <w:ind w:right="-2" w:firstLine="709"/>
        <w:jc w:val="both"/>
        <w:rPr>
          <w:rFonts w:ascii="Verdana" w:eastAsia="Arial" w:hAnsi="Verdana" w:cs="Arial"/>
          <w:lang w:val="es-MX" w:eastAsia="es-ES" w:bidi="es-ES"/>
        </w:rPr>
      </w:pPr>
    </w:p>
    <w:p w14:paraId="7C6975CE"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 xml:space="preserve">“1. La necesidad de preservar los principios de igualdad, transparencia y libertad de concurrencia, durante la fase de ejecución del contrato. </w:t>
      </w:r>
    </w:p>
    <w:p w14:paraId="74D95519"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p>
    <w:p w14:paraId="50A28443"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Este límite encuentra sustento en el hecho de que, para celebrar contratos estatales las entidades públicas eligen, dentro de un “régimen de concurrencia y de igualdad, las mejores condiciones de costo, calidad e idoneidad de la prestación requerida”, lo que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p>
    <w:p w14:paraId="05B8D2A3"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p>
    <w:p w14:paraId="1E7577F5"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Así, según lo expuesto en el concepto en cuestión “la aplicación de los principios de transparencia, de libertad de concurrencia y de igualdad, consagrados en el Estatuto Contractual, y las reglas sustanciales del pliego de condiciones, que permitieron elegir la mejor oferta, previo cumplimiento de los requisitos habilitantes y de ponderación, deben ser de estricta observancia por la Administración y por el contratista, y sus efectos trascienden y se aplican durante la ejecución del contrato y en su liquidación, como garantía de inalterabilidad de lo pactado y de acatamiento a la legalidad de las reglas aplicadas en la actuación previa.</w:t>
      </w:r>
    </w:p>
    <w:p w14:paraId="1B87A316"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p>
    <w:p w14:paraId="3D88357F"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2.Límites de orden temporal, entre los que están comprendidos: i) la vigencia del contrato, pues no podría modificarse un contrato cuyo plazo ha culminado y ii) la prohibición de consagrar prórrogas automáticas, sucesivas o indefinidas, en tanto resultan contrarias al derecho esencial de la libertad de competencia.</w:t>
      </w:r>
    </w:p>
    <w:p w14:paraId="2D790CF3"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p>
    <w:p w14:paraId="17F28884"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3. Límites de orden formal, que comprenden: i) La solemnidad del contrato de modificación, derivada del carácter solemne del contrato estatal, que exige que la modificación de los contratos conste por escrito</w:t>
      </w:r>
      <w:r w:rsidRPr="00461B76">
        <w:rPr>
          <w:rFonts w:ascii="Verdana" w:hAnsi="Verdana" w:cs="Arial"/>
          <w:sz w:val="20"/>
          <w:szCs w:val="20"/>
          <w:vertAlign w:val="superscript"/>
        </w:rPr>
        <w:footnoteReference w:id="6"/>
      </w:r>
      <w:r w:rsidRPr="00461B76">
        <w:rPr>
          <w:rFonts w:ascii="Verdana" w:hAnsi="Verdana" w:cs="Arial"/>
          <w:sz w:val="20"/>
          <w:szCs w:val="20"/>
        </w:rPr>
        <w:t>; ii) la motivación y justificación de la modificación, la cual constituye un elemento esencial que permite determinar la juridicidad y la necesidad de una modificación determinada; así como su racionalidad y la proporcionalidad de su contenido.</w:t>
      </w:r>
    </w:p>
    <w:p w14:paraId="4E6BF94F"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p>
    <w:p w14:paraId="1F481EDF" w14:textId="77777777" w:rsidR="009503DE" w:rsidRPr="00461B76" w:rsidRDefault="009503DE" w:rsidP="009503DE">
      <w:pPr>
        <w:tabs>
          <w:tab w:val="left" w:pos="284"/>
        </w:tabs>
        <w:spacing w:after="0" w:line="240" w:lineRule="auto"/>
        <w:ind w:left="709" w:right="709"/>
        <w:jc w:val="both"/>
        <w:rPr>
          <w:rFonts w:ascii="Verdana" w:hAnsi="Verdana" w:cs="Arial"/>
          <w:sz w:val="20"/>
          <w:szCs w:val="20"/>
        </w:rPr>
      </w:pPr>
      <w:r w:rsidRPr="00461B76">
        <w:rPr>
          <w:rFonts w:ascii="Verdana" w:hAnsi="Verdana" w:cs="Arial"/>
          <w:sz w:val="20"/>
          <w:szCs w:val="20"/>
        </w:rPr>
        <w:t>4. Límites de orden material, que corresponden a: i)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p>
    <w:p w14:paraId="2CD51C51" w14:textId="77777777" w:rsidR="009503DE" w:rsidRPr="00751E10" w:rsidRDefault="009503DE" w:rsidP="009503DE">
      <w:pPr>
        <w:tabs>
          <w:tab w:val="left" w:pos="284"/>
        </w:tabs>
        <w:spacing w:after="0" w:line="276" w:lineRule="auto"/>
        <w:ind w:left="1049" w:right="709"/>
        <w:jc w:val="both"/>
        <w:rPr>
          <w:rFonts w:ascii="Verdana" w:hAnsi="Verdana" w:cs="Arial"/>
          <w:lang w:val="es-ES_tradnl"/>
        </w:rPr>
      </w:pPr>
    </w:p>
    <w:p w14:paraId="06AC17F6" w14:textId="77777777" w:rsidR="009503DE" w:rsidRDefault="009503DE" w:rsidP="009503DE">
      <w:pPr>
        <w:widowControl w:val="0"/>
        <w:autoSpaceDE w:val="0"/>
        <w:autoSpaceDN w:val="0"/>
        <w:spacing w:after="0" w:line="276" w:lineRule="auto"/>
        <w:ind w:right="104" w:firstLine="708"/>
        <w:jc w:val="both"/>
        <w:rPr>
          <w:rFonts w:ascii="Verdana" w:eastAsia="Arial" w:hAnsi="Verdana" w:cs="Arial"/>
          <w:lang w:val="es-MX" w:eastAsia="es-ES" w:bidi="es-ES"/>
        </w:rPr>
      </w:pPr>
      <w:r w:rsidRPr="00A1034F">
        <w:rPr>
          <w:rFonts w:ascii="Verdana" w:eastAsia="Arial" w:hAnsi="Verdana" w:cs="Arial"/>
          <w:lang w:val="es-MX" w:eastAsia="es-ES" w:bidi="es-ES"/>
        </w:rPr>
        <w:t>Sobre el alcance de dicha prohibición, la Sala de Consulta y Servicio Civil expresó lo siguiente</w:t>
      </w:r>
      <w:r w:rsidRPr="00A1034F">
        <w:rPr>
          <w:rFonts w:ascii="Verdana" w:eastAsia="Arial" w:hAnsi="Verdana" w:cs="Arial"/>
          <w:vertAlign w:val="superscript"/>
          <w:lang w:val="es-MX" w:eastAsia="es-ES" w:bidi="es-ES"/>
        </w:rPr>
        <w:footnoteReference w:id="7"/>
      </w:r>
      <w:r w:rsidRPr="00A1034F">
        <w:rPr>
          <w:rFonts w:ascii="Verdana" w:eastAsia="Arial" w:hAnsi="Verdana" w:cs="Arial"/>
          <w:lang w:val="es-MX" w:eastAsia="es-ES" w:bidi="es-ES"/>
        </w:rPr>
        <w:t>:</w:t>
      </w:r>
    </w:p>
    <w:p w14:paraId="131FE541" w14:textId="77777777" w:rsidR="009503DE" w:rsidRDefault="009503DE" w:rsidP="009503DE">
      <w:pPr>
        <w:widowControl w:val="0"/>
        <w:autoSpaceDE w:val="0"/>
        <w:autoSpaceDN w:val="0"/>
        <w:spacing w:after="0" w:line="276" w:lineRule="auto"/>
        <w:ind w:right="104" w:firstLine="708"/>
        <w:jc w:val="both"/>
        <w:rPr>
          <w:rFonts w:ascii="Verdana" w:eastAsia="Arial" w:hAnsi="Verdana" w:cs="Arial"/>
          <w:lang w:val="es-MX" w:eastAsia="es-ES" w:bidi="es-ES"/>
        </w:rPr>
      </w:pPr>
    </w:p>
    <w:p w14:paraId="49AA9A85"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“Así, frente a circunstancias excepcionales la Administración podría usar su poder de modificación unilateral o realizar las modificaciones de mutuo acuerdo, con el cumplimiento de los requisitos de ley. Se trataría de la excepción a la regla general de intangibilidad del contrato. La doctrina y algunos pronunciamientos de la Sección Tercera del Consejo de Estado aportan los elementos necesarios que permiten orientar a la Administración sobre esta vía excepcional y sus requisitos:</w:t>
      </w:r>
    </w:p>
    <w:p w14:paraId="30F6CB17"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06DA04FB"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 No podría aceptarse un poder ilimitado o absoluto de modificación, aun frente a circunstancias excepcionales. Por ello la modificación no podrá afectar el núcleo esencial del objeto, o la naturaleza global del contrato. Con independencia de las razones y circunstancias imprevisibles que puedan presentarse, no es posible que el contrato mute o se transforme en un contrato sustancialmente distinto. Si se sustituyen las obras, los suministros o los servicios pactados por otros diferentes, o se modifica el tipo de contratación, o el núcleo esencial del objeto, se presentaría una novación del negocio jurídico y su objeto.</w:t>
      </w:r>
    </w:p>
    <w:p w14:paraId="74FDB991"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44C4EC35"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w:t>
      </w:r>
    </w:p>
    <w:p w14:paraId="51A682E5"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7BF87CA1"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Las causas que justificarían la modificación del contrato deben obedecer al acaecimiento de situaciones o circunstancias imposibles de prever, con una diligencia debida, que hagan imperiosa o necesaria la modificación de algunas estipulaciones del contrato, como única manera de conjurarlas. Debe tratarse de la existencia de circunstancias surgidas de un riesgo imprevisible, no necesariamente de una situación no prevista, que pueda razonablemente considerarse en un futuro mediato o que debieron ser previstas en la etapa de planeación del contrato. Ello supone la existencia de circunstancias posteriores, externas a las partes y no agravadas por su acción u omisión, puestas de manifiesto o imposibles de advertir en la etapa precontractual, que, además, muestren la imposibilidad de cumplir lo pactado inicialmente, o su falta de idoneidad. Estas circunstancias pueden obedecer a razones de tipo geológico, medioambiental o de otra índole, que no pudieron ser razonablemente previstas. […]</w:t>
      </w:r>
    </w:p>
    <w:p w14:paraId="06D22CD8"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480F13CA"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-La existencia de una necesidad de servicio público que justifique la modificación, hasta el punto de conjurar la nueva necesidad. La acreditación de estas circunstancias estará a cargo de la entidad estatal, justificada en los estudios previos y en la debida motivación del contrato modificatorio.</w:t>
      </w:r>
    </w:p>
    <w:p w14:paraId="05770481"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41F46D5B"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MX" w:eastAsia="es-ES" w:bidi="es-ES"/>
        </w:rPr>
      </w:pPr>
      <w:r w:rsidRPr="00461B76">
        <w:rPr>
          <w:rFonts w:ascii="Verdana" w:eastAsia="Arial" w:hAnsi="Verdana" w:cs="Arial"/>
          <w:sz w:val="20"/>
          <w:szCs w:val="20"/>
          <w:lang w:val="es-MX" w:eastAsia="es-ES" w:bidi="es-ES"/>
        </w:rPr>
        <w:t>-El cumplimiento del límite cuantitativo consagrado en la ley para los contratos adicionales. […]</w:t>
      </w:r>
    </w:p>
    <w:p w14:paraId="59140124"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bCs/>
          <w:iCs/>
          <w:sz w:val="20"/>
          <w:szCs w:val="20"/>
          <w:lang w:val="es-MX" w:eastAsia="es-ES" w:bidi="es-ES"/>
        </w:rPr>
      </w:pPr>
    </w:p>
    <w:p w14:paraId="6F7CAE0C" w14:textId="77777777" w:rsidR="009503DE" w:rsidRPr="00461B76" w:rsidRDefault="009503DE" w:rsidP="009503DE">
      <w:pPr>
        <w:widowControl w:val="0"/>
        <w:autoSpaceDE w:val="0"/>
        <w:autoSpaceDN w:val="0"/>
        <w:spacing w:after="0" w:line="240" w:lineRule="auto"/>
        <w:ind w:left="709" w:right="709"/>
        <w:jc w:val="both"/>
        <w:rPr>
          <w:rFonts w:ascii="Verdana" w:eastAsia="Arial" w:hAnsi="Verdana" w:cs="Arial"/>
          <w:sz w:val="20"/>
          <w:szCs w:val="20"/>
          <w:lang w:val="es-ES_tradnl" w:eastAsia="es-ES" w:bidi="es-ES"/>
        </w:rPr>
      </w:pPr>
      <w:r w:rsidRPr="00461B76">
        <w:rPr>
          <w:rFonts w:ascii="Verdana" w:eastAsia="Arial" w:hAnsi="Verdana" w:cs="Arial"/>
          <w:sz w:val="20"/>
          <w:szCs w:val="20"/>
          <w:lang w:val="es-MX" w:eastAsia="es-ES" w:bidi="es-ES"/>
        </w:rPr>
        <w:t>-Debe tratarse de prestaciones necesarias e inseparables técnica o económicamente del contrato inicial, que no permitan su uso o aprovechamiento independiente. La modificación de las condiciones de la prestación o del contrato debe presuponer que no pueda ser materia de un nuevo proceso de selección, o de su contratación con un tercero, en razón a que, por su naturaleza, resulte inseparable técnica o económicamente de la prestación pactada en el contrato inicial</w:t>
      </w:r>
      <w:r w:rsidRPr="00461B76">
        <w:rPr>
          <w:rFonts w:ascii="Verdana" w:eastAsia="Arial" w:hAnsi="Verdana" w:cs="Arial"/>
          <w:sz w:val="20"/>
          <w:szCs w:val="20"/>
          <w:lang w:val="es-ES_tradnl" w:eastAsia="es-ES" w:bidi="es-ES"/>
        </w:rPr>
        <w:t>.”</w:t>
      </w:r>
    </w:p>
    <w:p w14:paraId="1D2DF8C0" w14:textId="77777777" w:rsidR="009503DE" w:rsidRDefault="009503DE" w:rsidP="009503DE">
      <w:pPr>
        <w:spacing w:after="0" w:line="276" w:lineRule="auto"/>
        <w:jc w:val="both"/>
        <w:rPr>
          <w:rFonts w:ascii="Verdana" w:eastAsia="Calibri" w:hAnsi="Verdana" w:cs="Arial"/>
          <w:lang w:val="es-ES"/>
        </w:rPr>
      </w:pPr>
    </w:p>
    <w:p w14:paraId="07AC90EE" w14:textId="77777777" w:rsidR="009503DE" w:rsidRPr="00672426" w:rsidRDefault="009503DE" w:rsidP="009503DE">
      <w:pPr>
        <w:spacing w:after="120" w:line="276" w:lineRule="auto"/>
        <w:ind w:firstLine="709"/>
        <w:jc w:val="both"/>
        <w:rPr>
          <w:rFonts w:ascii="Verdana" w:eastAsia="Arial" w:hAnsi="Verdana" w:cs="Arial"/>
          <w:lang w:eastAsia="es-ES"/>
        </w:rPr>
      </w:pPr>
      <w:r>
        <w:rPr>
          <w:rFonts w:ascii="Verdana" w:eastAsia="Arial" w:hAnsi="Verdana" w:cs="Arial"/>
          <w:lang w:eastAsia="es-ES"/>
        </w:rPr>
        <w:t xml:space="preserve">Así, los contratos estatales pueden modificarse en cumplimiento de los requisitos y </w:t>
      </w:r>
      <w:r w:rsidRPr="00672426">
        <w:rPr>
          <w:rFonts w:ascii="Verdana" w:eastAsia="Arial" w:hAnsi="Verdana" w:cs="Arial"/>
          <w:lang w:eastAsia="es-ES"/>
        </w:rPr>
        <w:t xml:space="preserve">los </w:t>
      </w:r>
      <w:r>
        <w:rPr>
          <w:rFonts w:ascii="Verdana" w:eastAsia="Arial" w:hAnsi="Verdana" w:cs="Arial"/>
          <w:lang w:eastAsia="es-ES"/>
        </w:rPr>
        <w:t>límites legales</w:t>
      </w:r>
      <w:r w:rsidRPr="00672426">
        <w:rPr>
          <w:rFonts w:ascii="Verdana" w:eastAsia="Arial" w:hAnsi="Verdana" w:cs="Arial"/>
          <w:lang w:eastAsia="es-ES"/>
        </w:rPr>
        <w:t xml:space="preserve"> y jurisprudenciales</w:t>
      </w:r>
      <w:r>
        <w:rPr>
          <w:rFonts w:ascii="Verdana" w:eastAsia="Arial" w:hAnsi="Verdana" w:cs="Arial"/>
          <w:lang w:eastAsia="es-ES"/>
        </w:rPr>
        <w:t>, siempre atendiendo a los principios que rigen la actuación administrativa y la contratación estatal</w:t>
      </w:r>
      <w:r w:rsidRPr="00672426">
        <w:rPr>
          <w:rFonts w:ascii="Verdana" w:eastAsia="Arial" w:hAnsi="Verdana" w:cs="Arial"/>
          <w:lang w:eastAsia="es-ES"/>
        </w:rPr>
        <w:t xml:space="preserve">. No obstante, </w:t>
      </w:r>
      <w:r w:rsidRPr="009C6597">
        <w:rPr>
          <w:rFonts w:ascii="Verdana" w:eastAsia="Arial" w:hAnsi="Verdana" w:cs="Arial"/>
          <w:lang w:eastAsia="es-ES"/>
        </w:rPr>
        <w:t xml:space="preserve">esta medida tiene carácter excepcional y solo procede cuando con ella se pretenda garantizar el interés público, cuando la entidad haya verificado y así pueda constatarse por cualquier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w:t>
      </w:r>
      <w:r>
        <w:rPr>
          <w:rFonts w:ascii="Verdana" w:eastAsia="Arial" w:hAnsi="Verdana" w:cs="Arial"/>
          <w:lang w:eastAsia="es-ES"/>
        </w:rPr>
        <w:t xml:space="preserve"> </w:t>
      </w:r>
    </w:p>
    <w:p w14:paraId="6F6D721D" w14:textId="383E013B" w:rsidR="006E73DC" w:rsidRPr="0093479F" w:rsidRDefault="002B7DCD" w:rsidP="00461B76">
      <w:pPr>
        <w:spacing w:after="0" w:line="276" w:lineRule="auto"/>
        <w:ind w:firstLine="709"/>
        <w:jc w:val="both"/>
        <w:rPr>
          <w:rFonts w:ascii="Verdana" w:eastAsia="Arial" w:hAnsi="Verdana" w:cs="Arial"/>
          <w:lang w:eastAsia="es-ES"/>
        </w:rPr>
      </w:pPr>
      <w:r>
        <w:rPr>
          <w:rFonts w:ascii="Verdana" w:eastAsia="Calibri" w:hAnsi="Verdana" w:cs="Arial"/>
          <w:lang w:val="es-ES"/>
        </w:rPr>
        <w:t>En segundo lugar</w:t>
      </w:r>
      <w:r w:rsidR="006E73DC">
        <w:rPr>
          <w:rFonts w:ascii="Verdana" w:eastAsia="Arial" w:hAnsi="Verdana" w:cs="Arial"/>
          <w:lang w:eastAsia="es-ES"/>
        </w:rPr>
        <w:t xml:space="preserve">, </w:t>
      </w:r>
      <w:r w:rsidR="00E10056">
        <w:rPr>
          <w:rFonts w:ascii="Verdana" w:eastAsia="Arial" w:hAnsi="Verdana" w:cs="Arial"/>
          <w:lang w:eastAsia="es-ES"/>
        </w:rPr>
        <w:t xml:space="preserve">frente a </w:t>
      </w:r>
      <w:r w:rsidR="00E10056">
        <w:rPr>
          <w:rFonts w:ascii="Verdana" w:eastAsia="Calibri" w:hAnsi="Verdana" w:cs="Arial"/>
          <w:lang w:val="es-ES"/>
        </w:rPr>
        <w:t>circunstancias que representen un error formal que pueda ser corregido</w:t>
      </w:r>
      <w:r w:rsidR="006E73DC">
        <w:rPr>
          <w:rFonts w:ascii="Verdana" w:eastAsia="Arial" w:hAnsi="Verdana" w:cs="Arial"/>
          <w:lang w:eastAsia="es-ES"/>
        </w:rPr>
        <w:t xml:space="preserve"> la Ley 1437 de 2011 – en adelante</w:t>
      </w:r>
      <w:r w:rsidR="006E73DC" w:rsidRPr="00E74439">
        <w:rPr>
          <w:rFonts w:ascii="Verdana" w:hAnsi="Verdana" w:cs="Arial"/>
          <w:lang w:val="es-ES"/>
        </w:rPr>
        <w:t xml:space="preserve"> </w:t>
      </w:r>
      <w:r w:rsidR="006E73DC" w:rsidRPr="00E74439">
        <w:rPr>
          <w:rFonts w:ascii="Verdana" w:hAnsi="Verdana" w:cs="Arial"/>
          <w:lang w:val="es-MX"/>
        </w:rPr>
        <w:t>CPACA</w:t>
      </w:r>
      <w:r w:rsidR="006E73DC">
        <w:rPr>
          <w:rFonts w:ascii="Verdana" w:hAnsi="Verdana" w:cs="Arial"/>
          <w:lang w:val="es-MX"/>
        </w:rPr>
        <w:t xml:space="preserve"> –</w:t>
      </w:r>
      <w:r w:rsidR="00E10056">
        <w:rPr>
          <w:rFonts w:ascii="Verdana" w:hAnsi="Verdana" w:cs="Arial"/>
          <w:lang w:val="es-MX"/>
        </w:rPr>
        <w:t xml:space="preserve"> </w:t>
      </w:r>
      <w:r w:rsidR="006E73DC" w:rsidRPr="00E74439">
        <w:rPr>
          <w:rFonts w:ascii="Verdana" w:hAnsi="Verdana" w:cs="Arial"/>
          <w:lang w:val="es-MX"/>
        </w:rPr>
        <w:t>el artículo 45 permite la corrección de errores simplemente formales de los actos administrativos relacionados con errores aritméticos, de digitación, de transcripción o de omisión de palabras, de la siguiente manera:</w:t>
      </w:r>
    </w:p>
    <w:p w14:paraId="54BFA4D7" w14:textId="77777777" w:rsidR="006E73DC" w:rsidRPr="006E73DC" w:rsidRDefault="006E73DC" w:rsidP="00773CEE">
      <w:pPr>
        <w:spacing w:after="0" w:line="240" w:lineRule="auto"/>
        <w:ind w:left="709" w:right="902"/>
        <w:jc w:val="both"/>
        <w:rPr>
          <w:rFonts w:ascii="Verdana" w:eastAsia="Calibri" w:hAnsi="Verdana" w:cs="Arial"/>
          <w:sz w:val="21"/>
          <w:szCs w:val="21"/>
          <w:lang w:val="es-ES_tradnl"/>
        </w:rPr>
      </w:pPr>
    </w:p>
    <w:p w14:paraId="5723B1EF" w14:textId="77777777" w:rsidR="006E73DC" w:rsidRPr="00461B76" w:rsidRDefault="006E73DC" w:rsidP="00773CEE">
      <w:pPr>
        <w:spacing w:after="0" w:line="240" w:lineRule="auto"/>
        <w:ind w:left="709" w:right="709"/>
        <w:jc w:val="both"/>
        <w:rPr>
          <w:rFonts w:ascii="Verdana" w:hAnsi="Verdana" w:cs="Arial"/>
          <w:sz w:val="20"/>
          <w:szCs w:val="20"/>
          <w:lang w:val="es-ES" w:eastAsia="es-CO"/>
        </w:rPr>
      </w:pPr>
      <w:r w:rsidRPr="00461B76">
        <w:rPr>
          <w:rFonts w:ascii="Verdana" w:eastAsia="Calibri" w:hAnsi="Verdana" w:cs="Arial"/>
          <w:sz w:val="20"/>
          <w:szCs w:val="20"/>
          <w:lang w:val="es-ES_tradnl"/>
        </w:rPr>
        <w:t>“</w:t>
      </w:r>
      <w:r w:rsidRPr="00461B76">
        <w:rPr>
          <w:rFonts w:ascii="Verdana" w:hAnsi="Verdana" w:cs="Arial"/>
          <w:sz w:val="20"/>
          <w:szCs w:val="20"/>
          <w:lang w:val="es-ES" w:eastAsia="es-CO"/>
        </w:rPr>
        <w:t>Artículo 45. Corrección de errores formales. En cualquier tiempo, de oficio o a petición de parte, se podrán corregir los errores simplemente formales contenidos en los actos administrativos, ya sean aritméticos, de digitación, de transcripción o de omisión de palabras. En ningún caso la corrección dará lugar a cambios en el sentido material de la decisión, ni revivirá los términos legales para demandar el acto. Realizada la corrección, esta deberá ser notificada o comunicada a todos los interesados, según corresponda”.</w:t>
      </w:r>
    </w:p>
    <w:p w14:paraId="0F6DF1E6" w14:textId="77777777" w:rsidR="006E73DC" w:rsidRPr="006E73DC" w:rsidRDefault="006E73DC" w:rsidP="00773CEE">
      <w:pPr>
        <w:spacing w:after="0" w:line="240" w:lineRule="auto"/>
        <w:jc w:val="both"/>
        <w:rPr>
          <w:rFonts w:ascii="Verdana" w:hAnsi="Verdana" w:cs="Arial"/>
          <w:sz w:val="21"/>
          <w:szCs w:val="21"/>
          <w:lang w:val="es-MX"/>
        </w:rPr>
      </w:pPr>
    </w:p>
    <w:p w14:paraId="07E5B064" w14:textId="77777777" w:rsidR="006E73DC" w:rsidRPr="00E74439" w:rsidRDefault="006E73DC" w:rsidP="00773CEE">
      <w:pPr>
        <w:spacing w:after="120" w:line="276" w:lineRule="auto"/>
        <w:ind w:firstLine="709"/>
        <w:jc w:val="both"/>
        <w:rPr>
          <w:rFonts w:ascii="Verdana" w:hAnsi="Verdana" w:cs="Arial"/>
          <w:lang w:val="es-MX"/>
        </w:rPr>
      </w:pPr>
      <w:r w:rsidRPr="00E74439">
        <w:rPr>
          <w:rFonts w:ascii="Verdana" w:hAnsi="Verdana" w:cs="Arial"/>
          <w:lang w:val="es-MX"/>
        </w:rPr>
        <w:t xml:space="preserve">De esta figura se pueden destacar las siguientes características: i) procede para corregir errores simplemente formales contenidos en los actos administrativos, ya sean aritméticos, de digitación, de transcripción o de omisión de palabras, ii) no permite cambios sustanciales o materiales de la decisión, iii) puede realizarse en cualquier tiempo, </w:t>
      </w:r>
      <w:proofErr w:type="spellStart"/>
      <w:r w:rsidRPr="00E74439">
        <w:rPr>
          <w:rFonts w:ascii="Verdana" w:hAnsi="Verdana" w:cs="Arial"/>
          <w:lang w:val="es-MX"/>
        </w:rPr>
        <w:t>iv</w:t>
      </w:r>
      <w:proofErr w:type="spellEnd"/>
      <w:r w:rsidRPr="00E74439">
        <w:rPr>
          <w:rFonts w:ascii="Verdana" w:hAnsi="Verdana" w:cs="Arial"/>
          <w:lang w:val="es-MX"/>
        </w:rPr>
        <w:t>) procede de oficio o a petición de parte, v) el acto administrativo de corrección no revive términos para demandar el acto corregido, vi) debe ser notificada o comunicada a los interesados</w:t>
      </w:r>
      <w:r w:rsidRPr="00E74439">
        <w:rPr>
          <w:rFonts w:ascii="Verdana" w:hAnsi="Verdana" w:cs="Arial"/>
          <w:vertAlign w:val="superscript"/>
          <w:lang w:val="es-MX"/>
        </w:rPr>
        <w:footnoteReference w:id="8"/>
      </w:r>
      <w:r w:rsidRPr="00E74439">
        <w:rPr>
          <w:rFonts w:ascii="Verdana" w:hAnsi="Verdana" w:cs="Arial"/>
          <w:lang w:val="es-MX"/>
        </w:rPr>
        <w:t xml:space="preserve">. </w:t>
      </w:r>
    </w:p>
    <w:p w14:paraId="11ACA9C6" w14:textId="77777777" w:rsidR="006E73DC" w:rsidRPr="00E74439" w:rsidRDefault="006E73DC" w:rsidP="00773CEE">
      <w:pPr>
        <w:spacing w:after="120" w:line="276" w:lineRule="auto"/>
        <w:ind w:firstLine="709"/>
        <w:jc w:val="both"/>
        <w:rPr>
          <w:rFonts w:ascii="Verdana" w:eastAsia="Calibri" w:hAnsi="Verdana" w:cs="Arial"/>
          <w:b/>
          <w:bCs/>
          <w:lang w:val="es-ES_tradnl" w:eastAsia="es-ES_tradnl"/>
        </w:rPr>
      </w:pPr>
      <w:r w:rsidRPr="008705EC">
        <w:rPr>
          <w:rFonts w:ascii="Verdana" w:hAnsi="Verdana" w:cs="Arial"/>
          <w:lang w:val="es-MX"/>
        </w:rPr>
        <w:t xml:space="preserve">Cabe aclarar que, aunque el EGCAP no consagra expresamente esta figura, es posible su aplicación en los actos del </w:t>
      </w:r>
      <w:r w:rsidRPr="00D8196A">
        <w:rPr>
          <w:rFonts w:ascii="Verdana" w:hAnsi="Verdana" w:cs="Arial"/>
          <w:lang w:val="es-MX"/>
        </w:rPr>
        <w:t>proceso</w:t>
      </w:r>
      <w:r w:rsidRPr="008705EC">
        <w:rPr>
          <w:rFonts w:ascii="Verdana" w:hAnsi="Verdana" w:cs="Arial"/>
          <w:lang w:val="es-MX"/>
        </w:rPr>
        <w:t xml:space="preserve"> de </w:t>
      </w:r>
      <w:r w:rsidRPr="00D8196A">
        <w:rPr>
          <w:rFonts w:ascii="Verdana" w:hAnsi="Verdana" w:cs="Arial"/>
          <w:lang w:val="es-MX"/>
        </w:rPr>
        <w:t>contratación</w:t>
      </w:r>
      <w:r w:rsidRPr="008705EC">
        <w:rPr>
          <w:rFonts w:ascii="Verdana" w:hAnsi="Verdana" w:cs="Arial"/>
          <w:lang w:val="es-MX"/>
        </w:rPr>
        <w:t xml:space="preserve">, en virtud de lo establecido en el artículo 77 de la Ley 80 de 1993 y en el artículo 2 de la Ley 1437 de 2011. La primera disposición señala que las normas que rigen los procedimientos y actuaciones en la </w:t>
      </w:r>
      <w:r w:rsidRPr="008705EC">
        <w:rPr>
          <w:rFonts w:ascii="Verdana" w:hAnsi="Verdana" w:cs="Arial"/>
          <w:i/>
          <w:iCs/>
          <w:lang w:val="es-MX"/>
        </w:rPr>
        <w:t xml:space="preserve">función administrativa </w:t>
      </w:r>
      <w:r w:rsidRPr="008705EC">
        <w:rPr>
          <w:rFonts w:ascii="Verdana" w:hAnsi="Verdana" w:cs="Arial"/>
          <w:lang w:val="es-MX"/>
        </w:rPr>
        <w:t>son aplicables en las actuaciones contractuales, siempre que sean compatibles con la finalidad y los principios de la Ley 80. A su vez, el artículo 2 de la Ley 1437 de 2011, señala que los procedimientos allí establecidos aplican a las actuaciones de todas las autoridades y particulares que desempeñan funciones administrativas, sin perjuicio de los procedimientos regulados en leyes especiales, y agrega que, en lo no previsto en estos, se aplicarán los procedimientos establecidos en dicho código. Tal es el caso de la corrección de errores simplemente formales de los actos administrativos que no está regulada en el EGCAP, sino en el CPACA.</w:t>
      </w:r>
    </w:p>
    <w:p w14:paraId="27F9C24F" w14:textId="6A784087" w:rsidR="006E73DC" w:rsidRDefault="006E73DC" w:rsidP="006E73DC">
      <w:pPr>
        <w:widowControl w:val="0"/>
        <w:autoSpaceDE w:val="0"/>
        <w:autoSpaceDN w:val="0"/>
        <w:spacing w:after="120" w:line="276" w:lineRule="auto"/>
        <w:ind w:firstLine="709"/>
        <w:jc w:val="both"/>
        <w:rPr>
          <w:rFonts w:ascii="Verdana" w:eastAsia="Arial" w:hAnsi="Verdana" w:cs="Arial"/>
          <w:lang w:val="es-ES"/>
        </w:rPr>
      </w:pPr>
      <w:r>
        <w:rPr>
          <w:rFonts w:ascii="Verdana" w:hAnsi="Verdana" w:cs="Arial"/>
          <w:lang w:val="es-ES"/>
        </w:rPr>
        <w:t>Así, l</w:t>
      </w:r>
      <w:r w:rsidRPr="00E74439">
        <w:rPr>
          <w:rFonts w:ascii="Verdana" w:hAnsi="Verdana" w:cs="Arial"/>
          <w:bCs/>
          <w:lang w:val="es-MX"/>
        </w:rPr>
        <w:t xml:space="preserve">as </w:t>
      </w:r>
      <w:r w:rsidRPr="00D8196A">
        <w:rPr>
          <w:rFonts w:ascii="Verdana" w:hAnsi="Verdana" w:cs="Arial"/>
          <w:bCs/>
          <w:lang w:val="es-MX"/>
        </w:rPr>
        <w:t>entidades estatales</w:t>
      </w:r>
      <w:r w:rsidRPr="00E74439">
        <w:rPr>
          <w:rFonts w:ascii="Verdana" w:hAnsi="Verdana" w:cs="Arial"/>
          <w:bCs/>
          <w:lang w:val="es-MX"/>
        </w:rPr>
        <w:t xml:space="preserve"> tienen facultades de saneamiento, dentro de las que se enmarca la posibilidad de corregir errores simplemente formales </w:t>
      </w:r>
      <w:r w:rsidRPr="00E74439">
        <w:rPr>
          <w:rFonts w:ascii="Verdana" w:eastAsia="Times New Roman" w:hAnsi="Verdana" w:cs="Arial"/>
          <w:lang w:val="es-ES" w:eastAsia="es-ES_tradnl"/>
        </w:rPr>
        <w:t>contenidos en los actos administrativos.</w:t>
      </w:r>
      <w:r w:rsidRPr="00E74439">
        <w:rPr>
          <w:rFonts w:ascii="Verdana" w:eastAsia="Times New Roman" w:hAnsi="Verdana" w:cs="Arial"/>
          <w:bCs/>
          <w:lang w:val="es-ES" w:eastAsia="es-ES_tradnl"/>
        </w:rPr>
        <w:t xml:space="preserve"> Un error simplemente formal es aquel que, pese a haberse observado las formas y requisitos del procedimiento administrativo, </w:t>
      </w:r>
      <w:r w:rsidRPr="00E74439">
        <w:rPr>
          <w:rFonts w:ascii="Verdana" w:eastAsia="Arial" w:hAnsi="Verdana" w:cs="Arial"/>
          <w:lang w:val="es-ES"/>
        </w:rPr>
        <w:t xml:space="preserve">presenta equivocaciones derivadas de una operación matemática, o de equivocaciones en la digitación de palabras o cifras – como es el caso </w:t>
      </w:r>
      <w:r w:rsidRPr="00D8196A">
        <w:rPr>
          <w:rFonts w:ascii="Verdana" w:eastAsia="Arial" w:hAnsi="Verdana" w:cs="Arial"/>
          <w:lang w:val="es-ES"/>
        </w:rPr>
        <w:t>de la digitación del valor del contrato</w:t>
      </w:r>
      <w:r w:rsidRPr="00E74439">
        <w:rPr>
          <w:rFonts w:ascii="Verdana" w:eastAsia="Arial" w:hAnsi="Verdana" w:cs="Arial"/>
          <w:lang w:val="es-ES"/>
        </w:rPr>
        <w:t xml:space="preserve"> -, o la omisión de estas, que requieren la correspondiente aclaración o corrección para la adecuada comprensión de sus efectos, sin que se varíe de fondo la decisión.</w:t>
      </w:r>
    </w:p>
    <w:p w14:paraId="33A01F13" w14:textId="77777777" w:rsidR="006E73DC" w:rsidRPr="00D8196A" w:rsidRDefault="006E73DC" w:rsidP="006E73DC">
      <w:pPr>
        <w:tabs>
          <w:tab w:val="left" w:pos="709"/>
        </w:tabs>
        <w:spacing w:after="120" w:line="276" w:lineRule="auto"/>
        <w:ind w:firstLine="709"/>
        <w:jc w:val="both"/>
        <w:rPr>
          <w:rFonts w:ascii="Verdana" w:eastAsia="Calibri" w:hAnsi="Verdana" w:cs="Arial"/>
          <w:color w:val="000000"/>
        </w:rPr>
      </w:pPr>
      <w:r>
        <w:rPr>
          <w:rFonts w:ascii="Verdana" w:hAnsi="Verdana" w:cs="Arial"/>
          <w:shd w:val="clear" w:color="auto" w:fill="FFFFFF"/>
        </w:rPr>
        <w:t xml:space="preserve">En virtud de lo anterior, la entidad que realiza la consulta </w:t>
      </w:r>
      <w:r w:rsidRPr="00D8196A">
        <w:rPr>
          <w:rFonts w:ascii="Verdana" w:hAnsi="Verdana" w:cs="Arial"/>
          <w:shd w:val="clear" w:color="auto" w:fill="FFFFFF"/>
        </w:rPr>
        <w:t xml:space="preserve">debe determinar </w:t>
      </w:r>
      <w:r>
        <w:rPr>
          <w:rFonts w:ascii="Verdana" w:hAnsi="Verdana" w:cs="Arial"/>
          <w:shd w:val="clear" w:color="auto" w:fill="FFFFFF"/>
        </w:rPr>
        <w:t xml:space="preserve">si está frente a un error formal que puede ser corregido a través de la facultad que establece el artículo 45 del CPACA o si está frente a una circunstancia que </w:t>
      </w:r>
      <w:r w:rsidRPr="00D8196A">
        <w:rPr>
          <w:rFonts w:ascii="Verdana" w:hAnsi="Verdana" w:cs="Arial"/>
          <w:shd w:val="clear" w:color="auto" w:fill="FFFFFF"/>
        </w:rPr>
        <w:t>amerita</w:t>
      </w:r>
      <w:r>
        <w:rPr>
          <w:rFonts w:ascii="Verdana" w:hAnsi="Verdana" w:cs="Arial"/>
          <w:shd w:val="clear" w:color="auto" w:fill="FFFFFF"/>
        </w:rPr>
        <w:t xml:space="preserve"> una modificación contractual</w:t>
      </w:r>
      <w:r w:rsidRPr="00D8196A">
        <w:rPr>
          <w:rFonts w:ascii="Verdana" w:hAnsi="Verdana" w:cs="Arial"/>
          <w:shd w:val="clear" w:color="auto" w:fill="FFFFFF"/>
        </w:rPr>
        <w:t>. E</w:t>
      </w:r>
      <w:r>
        <w:rPr>
          <w:rFonts w:ascii="Verdana" w:hAnsi="Verdana" w:cs="Arial"/>
          <w:shd w:val="clear" w:color="auto" w:fill="FFFFFF"/>
        </w:rPr>
        <w:t xml:space="preserve">n caso de ser esta última, </w:t>
      </w:r>
      <w:r w:rsidRPr="0093479F">
        <w:rPr>
          <w:rFonts w:ascii="Verdana" w:hAnsi="Verdana" w:cs="Arial"/>
          <w:shd w:val="clear" w:color="auto" w:fill="FFFFFF"/>
        </w:rPr>
        <w:t xml:space="preserve">no podría llevarse a cabo una modificación que varíe el objeto contractual por la prohibición enunciada jurisprudencialmente, </w:t>
      </w:r>
      <w:r w:rsidRPr="0093479F">
        <w:rPr>
          <w:rFonts w:ascii="Verdana" w:eastAsia="Calibri" w:hAnsi="Verdana" w:cs="Arial"/>
          <w:color w:val="000000"/>
        </w:rPr>
        <w:t>pues ello supondría la alteración de su esencia y lo convertiría en otro tipo de negocio jurídico. Si se presentara esta situación lo indicado no sería modificar el contrato sino celebrar uno nuevo.</w:t>
      </w:r>
    </w:p>
    <w:p w14:paraId="20D4F598" w14:textId="1A311360" w:rsidR="006E73DC" w:rsidRPr="00751E10" w:rsidRDefault="006E73DC" w:rsidP="006E73DC">
      <w:pPr>
        <w:spacing w:after="120" w:line="276" w:lineRule="auto"/>
        <w:ind w:firstLine="709"/>
        <w:jc w:val="both"/>
        <w:rPr>
          <w:rFonts w:ascii="Verdana" w:eastAsia="Batang" w:hAnsi="Verdana" w:cs="Arial"/>
        </w:rPr>
      </w:pPr>
      <w:r w:rsidRPr="00751E10">
        <w:rPr>
          <w:rFonts w:ascii="Verdana" w:eastAsia="Batang" w:hAnsi="Verdana" w:cs="Arial"/>
        </w:rPr>
        <w:t xml:space="preserve">Sin perjuicio de lo anterior, es importante resaltar que, en los procesos de contratación o en la ejecución de los contratos, </w:t>
      </w:r>
      <w:r w:rsidR="006F3D8B">
        <w:rPr>
          <w:rFonts w:ascii="Verdana" w:eastAsia="Batang" w:hAnsi="Verdana" w:cs="Arial"/>
        </w:rPr>
        <w:t>puede</w:t>
      </w:r>
      <w:r w:rsidR="00000D00">
        <w:rPr>
          <w:rFonts w:ascii="Verdana" w:eastAsia="Batang" w:hAnsi="Verdana" w:cs="Arial"/>
        </w:rPr>
        <w:t xml:space="preserve"> existir incongruencias o </w:t>
      </w:r>
      <w:r w:rsidR="00527C23">
        <w:rPr>
          <w:rFonts w:ascii="Verdana" w:eastAsia="Batang" w:hAnsi="Verdana" w:cs="Arial"/>
        </w:rPr>
        <w:t>entre los diferentes documentos, frente a lo cual</w:t>
      </w:r>
      <w:r w:rsidRPr="00751E10">
        <w:rPr>
          <w:rFonts w:ascii="Verdana" w:eastAsia="Batang" w:hAnsi="Verdana" w:cs="Arial"/>
        </w:rPr>
        <w:t xml:space="preserve"> la entidad, proponentes o contratista podrán acudir, en lo pertinente, a las reglas de interpretación </w:t>
      </w:r>
      <w:r w:rsidRPr="00751E10">
        <w:rPr>
          <w:rFonts w:ascii="Verdana" w:eastAsia="Batang" w:hAnsi="Verdana" w:cs="Arial"/>
          <w:lang w:val="es-MX"/>
        </w:rPr>
        <w:t>objetivas y subjetivas</w:t>
      </w:r>
      <w:r w:rsidRPr="00751E10">
        <w:rPr>
          <w:rFonts w:ascii="Verdana" w:eastAsia="Batang" w:hAnsi="Verdana" w:cs="Arial"/>
          <w:vertAlign w:val="superscript"/>
          <w:lang w:val="es-MX"/>
        </w:rPr>
        <w:footnoteReference w:id="9"/>
      </w:r>
      <w:r w:rsidRPr="00751E10">
        <w:rPr>
          <w:rFonts w:ascii="Verdana" w:eastAsia="Batang" w:hAnsi="Verdana" w:cs="Arial"/>
          <w:lang w:val="es-MX"/>
        </w:rPr>
        <w:t xml:space="preserve"> conforme a los artículos 1618 a 1624 del Código Civil. Por una parte, las </w:t>
      </w:r>
      <w:r w:rsidRPr="00751E10">
        <w:rPr>
          <w:rFonts w:ascii="Verdana" w:eastAsia="Batang" w:hAnsi="Verdana" w:cs="Arial"/>
          <w:i/>
          <w:iCs/>
          <w:lang w:val="es-MX"/>
        </w:rPr>
        <w:t>objetivas</w:t>
      </w:r>
      <w:r w:rsidRPr="00751E10">
        <w:rPr>
          <w:rFonts w:ascii="Verdana" w:eastAsia="Batang" w:hAnsi="Verdana" w:cs="Arial"/>
          <w:lang w:val="es-MX"/>
        </w:rPr>
        <w:t xml:space="preserve"> son las siguientes: i) una vez conocida la intención de los contratantes ha de estarse más a ella que a lo literal de las palabras (artículo 1618 del Código Civil); ii) </w:t>
      </w:r>
      <w:r w:rsidRPr="00751E10">
        <w:rPr>
          <w:rFonts w:ascii="Verdana" w:eastAsia="Batang" w:hAnsi="Verdana" w:cs="Arial"/>
        </w:rPr>
        <w:t xml:space="preserve">las estipulaciones de un contrato pueden interpretarse por la de otro que las partes hayan celebrado sobre la misma materia o por la aplicación práctica que de ellas hayan hecho (artículo 1622, incisos 2 y 3 </w:t>
      </w:r>
      <w:r w:rsidRPr="00751E10">
        <w:rPr>
          <w:rFonts w:ascii="Verdana" w:eastAsia="Batang" w:hAnsi="Verdana" w:cs="Arial"/>
          <w:i/>
          <w:iCs/>
        </w:rPr>
        <w:t>ibídem</w:t>
      </w:r>
      <w:r w:rsidRPr="00751E10">
        <w:rPr>
          <w:rFonts w:ascii="Verdana" w:eastAsia="Batang" w:hAnsi="Verdana" w:cs="Arial"/>
        </w:rPr>
        <w:t xml:space="preserve">); iii) las cláusulas deben interpretarse unas por otras, dándole a cada una el sentido que más convenga al contrato en su totalidad (artículo 1622, inciso 1 </w:t>
      </w:r>
      <w:r w:rsidRPr="00751E10">
        <w:rPr>
          <w:rFonts w:ascii="Verdana" w:eastAsia="Batang" w:hAnsi="Verdana" w:cs="Arial"/>
          <w:i/>
          <w:iCs/>
        </w:rPr>
        <w:t>ibídem</w:t>
      </w:r>
      <w:r w:rsidRPr="00751E10">
        <w:rPr>
          <w:rFonts w:ascii="Verdana" w:eastAsia="Batang" w:hAnsi="Verdana" w:cs="Arial"/>
        </w:rPr>
        <w:t xml:space="preserve">); </w:t>
      </w:r>
      <w:proofErr w:type="spellStart"/>
      <w:r w:rsidRPr="00751E10">
        <w:rPr>
          <w:rFonts w:ascii="Verdana" w:eastAsia="Batang" w:hAnsi="Verdana" w:cs="Arial"/>
        </w:rPr>
        <w:t>iv</w:t>
      </w:r>
      <w:proofErr w:type="spellEnd"/>
      <w:r w:rsidRPr="00751E10">
        <w:rPr>
          <w:rFonts w:ascii="Verdana" w:eastAsia="Batang" w:hAnsi="Verdana" w:cs="Arial"/>
        </w:rPr>
        <w:t xml:space="preserve">) si en un contrato se expresa un caso para explicar la obligación se entiende que esa mención no es restrictiva sino ejemplificativa (artículo 1623 </w:t>
      </w:r>
      <w:r w:rsidRPr="00751E10">
        <w:rPr>
          <w:rFonts w:ascii="Verdana" w:eastAsia="Batang" w:hAnsi="Verdana" w:cs="Arial"/>
          <w:i/>
          <w:iCs/>
        </w:rPr>
        <w:t>ibídem</w:t>
      </w:r>
      <w:r w:rsidRPr="00751E10">
        <w:rPr>
          <w:rFonts w:ascii="Verdana" w:eastAsia="Batang" w:hAnsi="Verdana" w:cs="Arial"/>
        </w:rPr>
        <w:t xml:space="preserve">); y v) se entiende que las expresiones generales contenidas en el negocio únicamente se aplican a la materia sobre la que se ha contratado (artículo 1619, inciso 2 </w:t>
      </w:r>
      <w:r w:rsidRPr="00751E10">
        <w:rPr>
          <w:rFonts w:ascii="Verdana" w:eastAsia="Batang" w:hAnsi="Verdana" w:cs="Arial"/>
          <w:i/>
          <w:iCs/>
        </w:rPr>
        <w:t>ibídem</w:t>
      </w:r>
      <w:r w:rsidRPr="00751E10">
        <w:rPr>
          <w:rFonts w:ascii="Verdana" w:eastAsia="Batang" w:hAnsi="Verdana" w:cs="Arial"/>
        </w:rPr>
        <w:t xml:space="preserve">). </w:t>
      </w:r>
    </w:p>
    <w:p w14:paraId="24DE8BF5" w14:textId="77777777" w:rsidR="006E73DC" w:rsidRPr="00751E10" w:rsidRDefault="006E73DC" w:rsidP="006E73DC">
      <w:pPr>
        <w:spacing w:after="120" w:line="276" w:lineRule="auto"/>
        <w:ind w:firstLine="709"/>
        <w:jc w:val="both"/>
        <w:rPr>
          <w:rFonts w:ascii="Verdana" w:eastAsia="Batang" w:hAnsi="Verdana" w:cs="Arial"/>
          <w:lang w:val="es-MX"/>
        </w:rPr>
      </w:pPr>
      <w:r w:rsidRPr="00751E10">
        <w:rPr>
          <w:rFonts w:ascii="Verdana" w:eastAsia="Batang" w:hAnsi="Verdana" w:cs="Arial"/>
        </w:rPr>
        <w:t xml:space="preserve">Por su parte, las reglas </w:t>
      </w:r>
      <w:r w:rsidRPr="00751E10">
        <w:rPr>
          <w:rFonts w:ascii="Verdana" w:eastAsia="Batang" w:hAnsi="Verdana" w:cs="Arial"/>
          <w:i/>
          <w:iCs/>
        </w:rPr>
        <w:t>subjetivas</w:t>
      </w:r>
      <w:r w:rsidRPr="00751E10">
        <w:rPr>
          <w:rFonts w:ascii="Verdana" w:eastAsia="Batang" w:hAnsi="Verdana" w:cs="Arial"/>
        </w:rPr>
        <w:t xml:space="preserve"> de interpretación se refieren a las siguientes: vi) </w:t>
      </w:r>
      <w:r w:rsidRPr="00751E10">
        <w:rPr>
          <w:rFonts w:ascii="Verdana" w:eastAsia="Batang" w:hAnsi="Verdana" w:cs="Arial"/>
          <w:lang w:val="es-MX"/>
        </w:rPr>
        <w:t xml:space="preserve">el sentido en que una cláusula pueda producir algún efecto deberá preferirse a aquel en que no produzca efecto alguno </w:t>
      </w:r>
      <w:r w:rsidRPr="00751E10">
        <w:rPr>
          <w:rFonts w:ascii="Verdana" w:eastAsia="Batang" w:hAnsi="Verdana" w:cs="Arial"/>
        </w:rPr>
        <w:t xml:space="preserve">(artículo 1620 </w:t>
      </w:r>
      <w:r w:rsidRPr="00751E10">
        <w:rPr>
          <w:rFonts w:ascii="Verdana" w:eastAsia="Batang" w:hAnsi="Verdana" w:cs="Arial"/>
          <w:i/>
          <w:iCs/>
        </w:rPr>
        <w:t>ibídem</w:t>
      </w:r>
      <w:r w:rsidRPr="00751E10">
        <w:rPr>
          <w:rFonts w:ascii="Verdana" w:eastAsia="Batang" w:hAnsi="Verdana" w:cs="Arial"/>
        </w:rPr>
        <w:t>); vii)</w:t>
      </w:r>
      <w:r w:rsidRPr="00751E10">
        <w:rPr>
          <w:rFonts w:ascii="Verdana" w:eastAsia="Batang" w:hAnsi="Verdana" w:cs="Arial"/>
          <w:lang w:val="es-MX"/>
        </w:rPr>
        <w:t xml:space="preserve"> deberá estarse a la interpretación que mejor cuadre con la naturaleza del contrato </w:t>
      </w:r>
      <w:r w:rsidRPr="00751E10">
        <w:rPr>
          <w:rFonts w:ascii="Verdana" w:eastAsia="Batang" w:hAnsi="Verdana" w:cs="Arial"/>
        </w:rPr>
        <w:t xml:space="preserve">(artículo 1621 </w:t>
      </w:r>
      <w:r w:rsidRPr="00751E10">
        <w:rPr>
          <w:rFonts w:ascii="Verdana" w:eastAsia="Batang" w:hAnsi="Verdana" w:cs="Arial"/>
          <w:i/>
          <w:iCs/>
        </w:rPr>
        <w:t>ibídem</w:t>
      </w:r>
      <w:r w:rsidRPr="00751E10">
        <w:rPr>
          <w:rFonts w:ascii="Verdana" w:eastAsia="Batang" w:hAnsi="Verdana" w:cs="Arial"/>
        </w:rPr>
        <w:t>)</w:t>
      </w:r>
      <w:r w:rsidRPr="00751E10">
        <w:rPr>
          <w:rFonts w:ascii="Verdana" w:eastAsia="Batang" w:hAnsi="Verdana" w:cs="Arial"/>
          <w:lang w:val="es-MX"/>
        </w:rPr>
        <w:t xml:space="preserve">; viii) las cláusulas ambiguas se interpretan a favor del deudor </w:t>
      </w:r>
      <w:r w:rsidRPr="00751E10">
        <w:rPr>
          <w:rFonts w:ascii="Verdana" w:eastAsia="Batang" w:hAnsi="Verdana" w:cs="Arial"/>
        </w:rPr>
        <w:t xml:space="preserve">(artículo 1624, inciso 1 ibídem); y </w:t>
      </w:r>
      <w:proofErr w:type="spellStart"/>
      <w:r w:rsidRPr="00751E10">
        <w:rPr>
          <w:rFonts w:ascii="Verdana" w:eastAsia="Batang" w:hAnsi="Verdana" w:cs="Arial"/>
        </w:rPr>
        <w:t>ix</w:t>
      </w:r>
      <w:proofErr w:type="spellEnd"/>
      <w:r w:rsidRPr="00751E10">
        <w:rPr>
          <w:rFonts w:ascii="Verdana" w:eastAsia="Batang" w:hAnsi="Verdana" w:cs="Arial"/>
          <w:i/>
          <w:iCs/>
        </w:rPr>
        <w:t>)</w:t>
      </w:r>
      <w:r w:rsidRPr="00751E10">
        <w:rPr>
          <w:rFonts w:ascii="Verdana" w:eastAsia="Batang" w:hAnsi="Verdana" w:cs="Arial"/>
          <w:i/>
          <w:iCs/>
          <w:lang w:val="es-MX"/>
        </w:rPr>
        <w:t xml:space="preserve"> las cláusulas oscuras que hayan sido extendidas o dictadas por una parte se interpretarán contra ella si la ambigüedad proviene de una explicación que ésta ha debido dar</w:t>
      </w:r>
      <w:r w:rsidRPr="00751E10">
        <w:rPr>
          <w:rFonts w:ascii="Verdana" w:eastAsia="Batang" w:hAnsi="Verdana" w:cs="Arial"/>
          <w:lang w:val="es-MX"/>
        </w:rPr>
        <w:t xml:space="preserve"> </w:t>
      </w:r>
      <w:r w:rsidRPr="00751E10">
        <w:rPr>
          <w:rFonts w:ascii="Verdana" w:eastAsia="Batang" w:hAnsi="Verdana" w:cs="Arial"/>
        </w:rPr>
        <w:t xml:space="preserve">(artículo 1624, inciso 2 </w:t>
      </w:r>
      <w:r w:rsidRPr="00751E10">
        <w:rPr>
          <w:rFonts w:ascii="Verdana" w:eastAsia="Batang" w:hAnsi="Verdana" w:cs="Arial"/>
          <w:i/>
          <w:iCs/>
        </w:rPr>
        <w:t>ibídem</w:t>
      </w:r>
      <w:r w:rsidRPr="00751E10">
        <w:rPr>
          <w:rFonts w:ascii="Verdana" w:eastAsia="Batang" w:hAnsi="Verdana" w:cs="Arial"/>
        </w:rPr>
        <w:t>)</w:t>
      </w:r>
      <w:r w:rsidRPr="00751E10">
        <w:rPr>
          <w:rFonts w:ascii="Verdana" w:eastAsia="Batang" w:hAnsi="Verdana" w:cs="Arial"/>
          <w:lang w:val="es-MX"/>
        </w:rPr>
        <w:t xml:space="preserve">. </w:t>
      </w:r>
    </w:p>
    <w:p w14:paraId="08ABF147" w14:textId="77777777" w:rsidR="006E73DC" w:rsidRPr="00751E10" w:rsidRDefault="006E73DC" w:rsidP="00773CEE">
      <w:pPr>
        <w:spacing w:after="120" w:line="276" w:lineRule="auto"/>
        <w:ind w:firstLine="708"/>
        <w:jc w:val="both"/>
        <w:rPr>
          <w:rFonts w:ascii="Verdana" w:eastAsia="Batang" w:hAnsi="Verdana" w:cs="Arial"/>
          <w:lang w:val="es-MX"/>
        </w:rPr>
      </w:pPr>
      <w:bookmarkStart w:id="2" w:name="_Hlk96265891"/>
      <w:r w:rsidRPr="00751E10">
        <w:rPr>
          <w:rFonts w:ascii="Verdana" w:eastAsia="Batang" w:hAnsi="Verdana" w:cs="Arial"/>
        </w:rPr>
        <w:t xml:space="preserve">La aplicación de estos criterios siempre deberá tener en cuenta las circunstancias concretas de cada caso en particular, de manera que la entidad pueda optar por la interpretación que más se adecúe a la finalidad que persigue con el contrato. </w:t>
      </w:r>
      <w:bookmarkEnd w:id="2"/>
      <w:r w:rsidRPr="00751E10">
        <w:rPr>
          <w:rFonts w:ascii="Verdana" w:eastAsia="Batang" w:hAnsi="Verdana" w:cs="Arial"/>
        </w:rPr>
        <w:t xml:space="preserve">En ese contexto, la entidad deber incluso revisar la información contenida en los documentos precontractuales para determinar la intención que se tenía. </w:t>
      </w:r>
    </w:p>
    <w:p w14:paraId="768EB213" w14:textId="5E0AA429" w:rsidR="006E73DC" w:rsidRDefault="006E73DC" w:rsidP="00461B76">
      <w:pPr>
        <w:spacing w:after="0" w:line="276" w:lineRule="auto"/>
        <w:ind w:firstLine="709"/>
        <w:jc w:val="both"/>
        <w:rPr>
          <w:rFonts w:ascii="Verdana" w:hAnsi="Verdana" w:cs="Arial"/>
          <w:shd w:val="clear" w:color="auto" w:fill="FFFFFF"/>
        </w:rPr>
      </w:pPr>
      <w:r w:rsidRPr="00751E10">
        <w:rPr>
          <w:rFonts w:ascii="Verdana" w:eastAsia="Calibri" w:hAnsi="Verdana" w:cs="Arial"/>
          <w:lang w:val="es-MX"/>
        </w:rPr>
        <w:t xml:space="preserve">Así las cosas, ante los errores que hayan podido quedar consignados en el </w:t>
      </w:r>
      <w:r w:rsidRPr="00751E10">
        <w:rPr>
          <w:rFonts w:ascii="Verdana" w:eastAsia="Calibri" w:hAnsi="Verdana" w:cs="Arial"/>
          <w:color w:val="000000"/>
          <w:lang w:val="es-MX"/>
        </w:rPr>
        <w:t>SECOP</w:t>
      </w:r>
      <w:r w:rsidRPr="00751E10">
        <w:rPr>
          <w:rFonts w:ascii="Verdana" w:eastAsia="Calibri" w:hAnsi="Verdana" w:cs="Arial"/>
          <w:lang w:val="es-MX"/>
        </w:rPr>
        <w:t xml:space="preserve"> se analizará las circunstancias en concreto de cara a los principios de la contratación estatal, de manera que la entidad adoptará la decisión que más se ajuste a la finalidad del proceso de contratación teniendo en cuenta las pautas expuestas previamente</w:t>
      </w:r>
      <w:r w:rsidRPr="00751E10">
        <w:rPr>
          <w:rFonts w:ascii="Verdana" w:eastAsia="Batang" w:hAnsi="Verdana" w:cs="Arial"/>
        </w:rPr>
        <w:t xml:space="preserve">. </w:t>
      </w:r>
      <w:r>
        <w:rPr>
          <w:rFonts w:ascii="Verdana" w:hAnsi="Verdana" w:cs="Arial"/>
          <w:shd w:val="clear" w:color="auto" w:fill="FFFFFF"/>
        </w:rPr>
        <w:t xml:space="preserve">Una vez determinado el tipo de error y la posibilidad de subsanarlo: en caso de estar ante un contrato en la plataforma de SECOP I, la entidad deberá realizar ya sea la subsanación mediante acto administrativo en caso de ser un error formal o la modificación firmada por las partes, y luego cargar el respectivo documento a la plataforma dando cumplimiento al principio de publicidad. </w:t>
      </w:r>
      <w:r w:rsidR="00912E21">
        <w:rPr>
          <w:rFonts w:ascii="Verdana" w:hAnsi="Verdana" w:cs="Arial"/>
          <w:shd w:val="clear" w:color="auto" w:fill="FFFFFF"/>
        </w:rPr>
        <w:t>En caso</w:t>
      </w:r>
      <w:r>
        <w:rPr>
          <w:rFonts w:ascii="Verdana" w:hAnsi="Verdana" w:cs="Arial"/>
          <w:shd w:val="clear" w:color="auto" w:fill="FFFFFF"/>
        </w:rPr>
        <w:t xml:space="preserve"> de estar ante un contrato en la plataforma de SECOP II, la entidad deberá hacer la modificación del contrato a través del módulo de la plataforma cargando los respectivos documentos de soporte y luego cumplir con el procedimiento de firma de las partes. </w:t>
      </w:r>
    </w:p>
    <w:p w14:paraId="5B527817" w14:textId="77777777" w:rsidR="006E73DC" w:rsidRPr="00593A5F" w:rsidRDefault="006E73DC" w:rsidP="006E73DC">
      <w:pPr>
        <w:widowControl w:val="0"/>
        <w:autoSpaceDE w:val="0"/>
        <w:autoSpaceDN w:val="0"/>
        <w:spacing w:after="0" w:line="276" w:lineRule="auto"/>
        <w:jc w:val="both"/>
        <w:rPr>
          <w:rFonts w:ascii="Verdana" w:hAnsi="Verdana" w:cs="Arial"/>
        </w:rPr>
      </w:pPr>
    </w:p>
    <w:p w14:paraId="05D5E77F" w14:textId="3451C648" w:rsidR="006E73DC" w:rsidRPr="006E73DC" w:rsidRDefault="006E73DC" w:rsidP="006E73DC">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4.</w:t>
      </w:r>
      <w:r w:rsidRPr="006E73DC">
        <w:rPr>
          <w:rFonts w:ascii="Verdana" w:eastAsia="Century Gothic" w:hAnsi="Verdana" w:cs="Century Gothic"/>
          <w:b/>
          <w:bCs/>
        </w:rPr>
        <w:t>Referencias normativas, jurisprudenciales y otras fuentes:</w:t>
      </w:r>
    </w:p>
    <w:p w14:paraId="7A1E9E24" w14:textId="77777777" w:rsidR="006E73DC" w:rsidRPr="00593A5F" w:rsidRDefault="006E73DC" w:rsidP="006E73DC">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E73DC" w:rsidRPr="00593A5F" w14:paraId="418E562A" w14:textId="77777777">
        <w:trPr>
          <w:trHeight w:val="870"/>
        </w:trPr>
        <w:tc>
          <w:tcPr>
            <w:tcW w:w="8647" w:type="dxa"/>
          </w:tcPr>
          <w:p w14:paraId="03A5D553" w14:textId="77777777" w:rsidR="006E73DC" w:rsidRPr="00B304B2" w:rsidRDefault="006E73DC" w:rsidP="00461B76">
            <w:pPr>
              <w:pStyle w:val="Prrafodelista"/>
              <w:numPr>
                <w:ilvl w:val="0"/>
                <w:numId w:val="17"/>
              </w:numPr>
              <w:spacing w:line="276" w:lineRule="auto"/>
              <w:contextualSpacing w:val="0"/>
              <w:textAlignment w:val="baseline"/>
              <w:rPr>
                <w:rFonts w:ascii="Verdana" w:hAnsi="Verdana"/>
              </w:rPr>
            </w:pPr>
            <w:r w:rsidRPr="00751E10">
              <w:rPr>
                <w:rFonts w:ascii="Verdana" w:eastAsia="Batang" w:hAnsi="Verdana" w:cs="Arial"/>
                <w:lang w:val="es-MX"/>
              </w:rPr>
              <w:t>Código Civil, Artículos 1618 a 1624</w:t>
            </w:r>
            <w:r w:rsidRPr="00B304B2">
              <w:rPr>
                <w:rFonts w:ascii="Verdana" w:eastAsia="Batang" w:hAnsi="Verdana" w:cs="Arial"/>
                <w:lang w:val="es-MX"/>
              </w:rPr>
              <w:t>.</w:t>
            </w:r>
          </w:p>
          <w:p w14:paraId="0BF58994" w14:textId="77777777" w:rsidR="006E73DC" w:rsidRDefault="006E73DC" w:rsidP="00461B76">
            <w:pPr>
              <w:pStyle w:val="Prrafodelista"/>
              <w:numPr>
                <w:ilvl w:val="0"/>
                <w:numId w:val="17"/>
              </w:numPr>
              <w:spacing w:line="276" w:lineRule="auto"/>
              <w:contextualSpacing w:val="0"/>
              <w:textAlignment w:val="baseline"/>
              <w:rPr>
                <w:rFonts w:ascii="Verdana" w:hAnsi="Verdana"/>
              </w:rPr>
            </w:pPr>
            <w:r w:rsidRPr="00D6536D">
              <w:rPr>
                <w:rFonts w:ascii="Verdana" w:hAnsi="Verdana"/>
              </w:rPr>
              <w:t>Ley 80 de 1993, Artículo 40, parágrafo y Articulo 77</w:t>
            </w:r>
            <w:r w:rsidRPr="00B304B2">
              <w:rPr>
                <w:rFonts w:ascii="Verdana" w:hAnsi="Verdana"/>
              </w:rPr>
              <w:t>.</w:t>
            </w:r>
          </w:p>
          <w:p w14:paraId="65AB9D9F" w14:textId="77777777" w:rsidR="006E73DC" w:rsidRDefault="006E73DC" w:rsidP="00461B76">
            <w:pPr>
              <w:pStyle w:val="Prrafodelista"/>
              <w:numPr>
                <w:ilvl w:val="0"/>
                <w:numId w:val="17"/>
              </w:numPr>
              <w:spacing w:line="276" w:lineRule="auto"/>
              <w:contextualSpacing w:val="0"/>
              <w:textAlignment w:val="baseline"/>
              <w:rPr>
                <w:rFonts w:ascii="Verdana" w:hAnsi="Verdana"/>
              </w:rPr>
            </w:pPr>
            <w:r w:rsidRPr="00D6536D">
              <w:rPr>
                <w:rFonts w:ascii="Verdana" w:hAnsi="Verdana"/>
              </w:rPr>
              <w:t>Ley 1150 de 2007, Artículo 3</w:t>
            </w:r>
            <w:r w:rsidRPr="00B304B2">
              <w:rPr>
                <w:rFonts w:ascii="Verdana" w:hAnsi="Verdana"/>
              </w:rPr>
              <w:t>.</w:t>
            </w:r>
          </w:p>
          <w:p w14:paraId="03CAD912" w14:textId="77777777" w:rsidR="006E73DC" w:rsidRDefault="006E73DC" w:rsidP="00461B76">
            <w:pPr>
              <w:pStyle w:val="Prrafodelista"/>
              <w:numPr>
                <w:ilvl w:val="0"/>
                <w:numId w:val="17"/>
              </w:numPr>
              <w:spacing w:line="276" w:lineRule="auto"/>
              <w:contextualSpacing w:val="0"/>
              <w:textAlignment w:val="baseline"/>
              <w:rPr>
                <w:rFonts w:ascii="Verdana" w:hAnsi="Verdana"/>
              </w:rPr>
            </w:pPr>
            <w:r w:rsidRPr="00D6536D">
              <w:rPr>
                <w:rFonts w:ascii="Verdana" w:hAnsi="Verdana"/>
              </w:rPr>
              <w:t>Ley 1437 de 2011, Artículos 2, 41 y 45</w:t>
            </w:r>
            <w:r w:rsidRPr="00B304B2">
              <w:rPr>
                <w:rFonts w:ascii="Verdana" w:hAnsi="Verdana"/>
              </w:rPr>
              <w:t>.</w:t>
            </w:r>
          </w:p>
          <w:p w14:paraId="17F64821" w14:textId="77777777" w:rsidR="006E73DC" w:rsidRPr="00D6536D" w:rsidRDefault="006E73DC" w:rsidP="00461B76">
            <w:pPr>
              <w:pStyle w:val="Prrafodelista"/>
              <w:numPr>
                <w:ilvl w:val="0"/>
                <w:numId w:val="17"/>
              </w:numPr>
              <w:spacing w:line="276" w:lineRule="auto"/>
              <w:contextualSpacing w:val="0"/>
              <w:textAlignment w:val="baseline"/>
              <w:rPr>
                <w:rFonts w:ascii="Verdana" w:eastAsia="Arial" w:hAnsi="Verdana" w:cs="Arial"/>
                <w:lang w:eastAsia="es-ES" w:bidi="es-ES"/>
              </w:rPr>
            </w:pPr>
            <w:r w:rsidRPr="00D6536D">
              <w:rPr>
                <w:rFonts w:ascii="Verdana" w:hAnsi="Verdana"/>
              </w:rPr>
              <w:t xml:space="preserve">Decreto 1082 de 2015, </w:t>
            </w:r>
            <w:r w:rsidRPr="00D6536D">
              <w:rPr>
                <w:rFonts w:ascii="Verdana" w:eastAsia="Arial" w:hAnsi="Verdana" w:cs="Arial"/>
                <w:lang w:val="es-ES_tradnl"/>
              </w:rPr>
              <w:t>artículos 2.2.1.1.1.7.1. y 2.2.1.1.1.3.1.</w:t>
            </w:r>
          </w:p>
          <w:p w14:paraId="5E39E37E" w14:textId="77777777" w:rsidR="006E73DC" w:rsidRPr="00D6536D" w:rsidRDefault="006E73DC" w:rsidP="00461B76">
            <w:pPr>
              <w:pStyle w:val="Prrafodelista"/>
              <w:numPr>
                <w:ilvl w:val="0"/>
                <w:numId w:val="17"/>
              </w:numPr>
              <w:spacing w:line="276" w:lineRule="auto"/>
              <w:contextualSpacing w:val="0"/>
              <w:textAlignment w:val="baseline"/>
              <w:rPr>
                <w:rFonts w:ascii="Verdana" w:eastAsia="Times New Roman" w:hAnsi="Verdana" w:cs="Segoe UI"/>
                <w:b/>
                <w:bCs/>
                <w:color w:val="46589C"/>
                <w:lang w:eastAsia="es-CO"/>
              </w:rPr>
            </w:pPr>
            <w:r w:rsidRPr="00D6536D">
              <w:rPr>
                <w:rFonts w:ascii="Verdana" w:eastAsia="Arial" w:hAnsi="Verdana" w:cs="Arial"/>
                <w:lang w:eastAsia="es-ES" w:bidi="es-ES"/>
              </w:rPr>
              <w:t>Consejo de Estado, Sala de Consulta y Servicio Civil, concepto 2263 del 17 de marzo del 2016</w:t>
            </w:r>
            <w:r w:rsidRPr="00B304B2">
              <w:rPr>
                <w:rFonts w:ascii="Verdana" w:eastAsia="Arial" w:hAnsi="Verdana" w:cs="Arial"/>
                <w:lang w:eastAsia="es-ES" w:bidi="es-ES"/>
              </w:rPr>
              <w:t>.</w:t>
            </w:r>
          </w:p>
          <w:p w14:paraId="6DD939E1" w14:textId="77777777" w:rsidR="006E73DC" w:rsidRPr="00D6536D" w:rsidRDefault="006E73DC" w:rsidP="00461B76">
            <w:pPr>
              <w:pStyle w:val="Prrafodelista"/>
              <w:numPr>
                <w:ilvl w:val="0"/>
                <w:numId w:val="17"/>
              </w:numPr>
              <w:spacing w:line="276" w:lineRule="auto"/>
              <w:contextualSpacing w:val="0"/>
              <w:textAlignment w:val="baseline"/>
              <w:rPr>
                <w:rFonts w:ascii="Verdana" w:eastAsia="Times New Roman" w:hAnsi="Verdana" w:cs="Segoe UI"/>
                <w:b/>
                <w:bCs/>
                <w:color w:val="46589C"/>
                <w:lang w:eastAsia="es-CO"/>
              </w:rPr>
            </w:pPr>
            <w:r w:rsidRPr="00D6536D">
              <w:rPr>
                <w:rFonts w:ascii="Verdana" w:eastAsia="Arial" w:hAnsi="Verdana" w:cs="Arial"/>
                <w:lang w:eastAsia="es-ES" w:bidi="es-ES"/>
              </w:rPr>
              <w:t xml:space="preserve">Consejo de Estado, Sala de Consulta y Servicio Civil, </w:t>
            </w:r>
            <w:r w:rsidRPr="00D6536D">
              <w:rPr>
                <w:rFonts w:ascii="Verdana" w:hAnsi="Verdana" w:cs="Arial"/>
              </w:rPr>
              <w:t>Concepto 2263 del 17 de marzo del 2017</w:t>
            </w:r>
            <w:r w:rsidRPr="00B304B2">
              <w:rPr>
                <w:rFonts w:ascii="Verdana" w:hAnsi="Verdana" w:cs="Arial"/>
              </w:rPr>
              <w:t>.</w:t>
            </w:r>
          </w:p>
        </w:tc>
      </w:tr>
    </w:tbl>
    <w:p w14:paraId="0C8C529E" w14:textId="77777777" w:rsidR="006E73DC" w:rsidRPr="00593A5F" w:rsidRDefault="006E73DC" w:rsidP="006E73DC">
      <w:pPr>
        <w:widowControl w:val="0"/>
        <w:autoSpaceDE w:val="0"/>
        <w:autoSpaceDN w:val="0"/>
        <w:spacing w:after="0" w:line="276" w:lineRule="auto"/>
        <w:jc w:val="both"/>
        <w:rPr>
          <w:rFonts w:ascii="Verdana" w:hAnsi="Verdana" w:cs="Arial"/>
        </w:rPr>
      </w:pPr>
    </w:p>
    <w:p w14:paraId="7E4A2434" w14:textId="2DF74707" w:rsidR="006E73DC" w:rsidRPr="006E73DC" w:rsidRDefault="006E73DC" w:rsidP="006E73DC">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6E73DC">
        <w:rPr>
          <w:rFonts w:ascii="Verdana" w:eastAsia="Century Gothic" w:hAnsi="Verdana" w:cs="Century Gothic"/>
          <w:b/>
          <w:bCs/>
        </w:rPr>
        <w:t>Doctrina de la Agencia Nacional de Contratación Pública:</w:t>
      </w:r>
    </w:p>
    <w:p w14:paraId="7D5BD08E" w14:textId="77777777" w:rsidR="006E73DC" w:rsidRDefault="006E73DC" w:rsidP="006E73DC">
      <w:pPr>
        <w:widowControl w:val="0"/>
        <w:autoSpaceDE w:val="0"/>
        <w:autoSpaceDN w:val="0"/>
        <w:spacing w:after="0" w:line="276" w:lineRule="auto"/>
        <w:jc w:val="both"/>
        <w:rPr>
          <w:rFonts w:ascii="Verdana" w:hAnsi="Verdana" w:cs="Arial"/>
        </w:rPr>
      </w:pPr>
    </w:p>
    <w:p w14:paraId="465CC68E" w14:textId="53F53A83" w:rsidR="006E73DC" w:rsidRDefault="006E73DC" w:rsidP="006E73DC">
      <w:pPr>
        <w:widowControl w:val="0"/>
        <w:autoSpaceDE w:val="0"/>
        <w:autoSpaceDN w:val="0"/>
        <w:spacing w:after="0" w:line="276" w:lineRule="auto"/>
        <w:jc w:val="both"/>
        <w:rPr>
          <w:rStyle w:val="normaltextrun"/>
          <w:rFonts w:ascii="Verdana" w:hAnsi="Verdana" w:cs="Arial"/>
          <w:color w:val="FF0000"/>
          <w:shd w:val="clear" w:color="auto" w:fill="FFFFFF"/>
          <w:lang w:val="es-ES"/>
        </w:rPr>
      </w:pPr>
      <w:r>
        <w:rPr>
          <w:rFonts w:ascii="Verdana" w:hAnsi="Verdana" w:cs="Arial"/>
        </w:rPr>
        <w:t>Sobre el ámbito de corrección de errores formales se pronunció esta Subdirección en los conceptos C-052 del 25 de febrero de 2025, C-1024 de 31 de enero de 2025; sobre la modificación contractual, el principio de publicidad y la plataforma SECOP se pronunció esta Subdirección en los conceptos C-960 de 30 de diciembre de 2024, C-144 de 14 de marzo de 2025, C-073 del 20 de febrero de 2025</w:t>
      </w:r>
      <w:r w:rsidR="00114B54">
        <w:rPr>
          <w:rFonts w:ascii="Verdana" w:hAnsi="Verdana" w:cs="Arial"/>
        </w:rPr>
        <w:t>, C-166 del 21 de marzo de 2025</w:t>
      </w:r>
      <w:r>
        <w:rPr>
          <w:rFonts w:ascii="Verdana" w:hAnsi="Verdana" w:cs="Arial"/>
        </w:rPr>
        <w:t>.</w:t>
      </w:r>
      <w:r w:rsidRPr="00A1554D">
        <w:rPr>
          <w:rStyle w:val="normaltextrun"/>
          <w:rFonts w:ascii="Verdana" w:hAnsi="Verdana" w:cs="Arial"/>
          <w:color w:val="7030A0"/>
          <w:shd w:val="clear" w:color="auto" w:fill="FFFFFF"/>
          <w:lang w:val="es-ES"/>
        </w:rPr>
        <w:t xml:space="preserve"> </w:t>
      </w:r>
      <w:r w:rsidRPr="00A1554D">
        <w:rPr>
          <w:rStyle w:val="normaltextrun"/>
          <w:rFonts w:ascii="Verdana" w:hAnsi="Verdana" w:cs="Arial"/>
          <w:shd w:val="clear" w:color="auto" w:fill="FFFFFF"/>
          <w:lang w:val="es-ES"/>
        </w:rPr>
        <w:t>Es</w:t>
      </w:r>
      <w:r w:rsidRPr="00A1554D">
        <w:rPr>
          <w:rFonts w:ascii="Verdana" w:hAnsi="Verdana"/>
        </w:rPr>
        <w:t xml:space="preserve">tos y otros conceptos se encuentran disponibles para consulta en el Sistema de </w:t>
      </w:r>
      <w:r>
        <w:rPr>
          <w:rFonts w:ascii="Verdana" w:hAnsi="Verdana"/>
        </w:rPr>
        <w:t>r</w:t>
      </w:r>
      <w:r w:rsidRPr="00A1554D">
        <w:rPr>
          <w:rFonts w:ascii="Verdana" w:hAnsi="Verdana"/>
        </w:rPr>
        <w:t>elatoría de la Agencia, al cual se puede acceder a través del siguiente enlace:</w:t>
      </w:r>
      <w:r w:rsidRPr="00A1554D">
        <w:rPr>
          <w:rStyle w:val="normaltextrun"/>
          <w:rFonts w:ascii="Verdana" w:hAnsi="Verdana" w:cs="Arial"/>
          <w:shd w:val="clear" w:color="auto" w:fill="FFFFFF"/>
          <w:lang w:val="es-ES"/>
        </w:rPr>
        <w:t xml:space="preserve"> </w:t>
      </w:r>
      <w:hyperlink r:id="rId12" w:history="1">
        <w:r w:rsidRPr="00A1554D">
          <w:rPr>
            <w:rStyle w:val="Hipervnculo"/>
            <w:rFonts w:ascii="Verdana" w:hAnsi="Verdana" w:cs="Arial"/>
            <w:shd w:val="clear" w:color="auto" w:fill="FFFFFF"/>
            <w:lang w:val="es-ES"/>
          </w:rPr>
          <w:t>https://relatoria.colombiacompra.gov.co/busqueda/conceptos</w:t>
        </w:r>
      </w:hyperlink>
      <w:r>
        <w:rPr>
          <w:rStyle w:val="normaltextrun"/>
          <w:rFonts w:ascii="Verdana" w:hAnsi="Verdana" w:cs="Arial"/>
          <w:color w:val="FF0000"/>
          <w:shd w:val="clear" w:color="auto" w:fill="FFFFFF"/>
          <w:lang w:val="es-ES"/>
        </w:rPr>
        <w:t xml:space="preserve">. </w:t>
      </w:r>
    </w:p>
    <w:p w14:paraId="3C100B40" w14:textId="77777777" w:rsidR="00754837" w:rsidRDefault="00754837" w:rsidP="006E73DC">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4CABE837" w14:textId="77777777" w:rsidR="00891A28" w:rsidRPr="00324CBA" w:rsidRDefault="00891A28" w:rsidP="00461B76">
      <w:pPr>
        <w:spacing w:after="0" w:line="276" w:lineRule="auto"/>
        <w:jc w:val="both"/>
        <w:rPr>
          <w:rFonts w:ascii="Verdana" w:hAnsi="Verdana"/>
        </w:rPr>
      </w:pPr>
      <w:r w:rsidRPr="00324CBA">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24CBA">
        <w:rPr>
          <w:rFonts w:ascii="Verdana" w:hAnsi="Verdana"/>
          <w:b/>
          <w:bCs/>
        </w:rPr>
        <w:t>Guía para la Exigencia y Constitución de Garantías en los Procesos de Contratación</w:t>
      </w:r>
      <w:r w:rsidRPr="00324CBA">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324CBA">
        <w:rPr>
          <w:rFonts w:ascii="Verdana" w:hAnsi="Verdana"/>
          <w:color w:val="0070C0"/>
        </w:rPr>
        <w:t> </w:t>
      </w:r>
      <w:hyperlink r:id="rId13" w:tgtFrame="_blank" w:tooltip="Dirección URL original: https://www.colombiacompra.gov.co/archivos/manual/guia-de-garantias-en-procesos-de-contratacion. Haga clic o pulse si confía en este vínculo." w:history="1">
        <w:r w:rsidRPr="00324CBA">
          <w:rPr>
            <w:rStyle w:val="Hipervnculo"/>
            <w:rFonts w:ascii="Verdana" w:hAnsi="Verdana"/>
            <w:color w:val="0070C0"/>
          </w:rPr>
          <w:t>https://www.colombiacompra.gov.co/archivos/manual/guia-de-garantias-en-procesos-de-contratacion</w:t>
        </w:r>
      </w:hyperlink>
    </w:p>
    <w:p w14:paraId="79F875B2" w14:textId="77777777" w:rsidR="00891A28" w:rsidRPr="00324CBA" w:rsidRDefault="00891A28" w:rsidP="00461B76">
      <w:pPr>
        <w:spacing w:after="0" w:line="276" w:lineRule="auto"/>
        <w:jc w:val="both"/>
        <w:rPr>
          <w:rFonts w:ascii="Verdana" w:hAnsi="Verdana"/>
        </w:rPr>
      </w:pPr>
      <w:r w:rsidRPr="00324CBA">
        <w:rPr>
          <w:rFonts w:ascii="Verdana" w:hAnsi="Verdana"/>
        </w:rPr>
        <w:t>De otro lado, te contamos que el Decreto 287 del 19 de marzo de 2026 sustituyó los artículos 2.2.1.2.4.2.6., 2.2.1.2.4.2.7. y 2.2.1.2.4.2.8. del Decreto 1082 de 2015 y estructuró el </w:t>
      </w:r>
      <w:r w:rsidRPr="00324CBA">
        <w:rPr>
          <w:rFonts w:ascii="Verdana" w:hAnsi="Verdana"/>
          <w:b/>
          <w:bCs/>
        </w:rPr>
        <w:t>Sistema Integral de Preferencias en favor de las personas con discapacidad</w:t>
      </w:r>
      <w:r w:rsidRPr="00324CBA">
        <w:rPr>
          <w:rFonts w:ascii="Verdana" w:hAnsi="Verdana"/>
        </w:rPr>
        <w:t>, en cumplimiento del artículo 13 de la Ley Estatutaria 1618 de 2013. Para orientar su aplicación, esta Agencia expidió la </w:t>
      </w:r>
      <w:r w:rsidRPr="00324CBA">
        <w:rPr>
          <w:rFonts w:ascii="Verdana" w:hAnsi="Verdana"/>
          <w:b/>
          <w:bCs/>
        </w:rPr>
        <w:t>Circular Externa 003 del 12 de mayo de 2026, </w:t>
      </w:r>
      <w:r w:rsidRPr="00324CBA">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324CBA">
          <w:rPr>
            <w:rStyle w:val="Hipervnculo"/>
            <w:rFonts w:ascii="Verdana" w:hAnsi="Verdana"/>
            <w:color w:val="0070C0"/>
          </w:rPr>
          <w:t>https://www.colombiacompra.gov.co/archivos/circular/circular-externa-003-de-2026</w:t>
        </w:r>
      </w:hyperlink>
    </w:p>
    <w:p w14:paraId="4BC82733" w14:textId="77777777" w:rsidR="00891A28" w:rsidRPr="00324CBA" w:rsidRDefault="00891A28" w:rsidP="00461B76">
      <w:pPr>
        <w:spacing w:after="0" w:line="276" w:lineRule="auto"/>
        <w:jc w:val="both"/>
        <w:rPr>
          <w:rFonts w:ascii="Verdana" w:hAnsi="Verdana"/>
        </w:rPr>
      </w:pPr>
      <w:r w:rsidRPr="00324CBA">
        <w:rPr>
          <w:rFonts w:ascii="Verdana" w:hAnsi="Verdana"/>
        </w:rPr>
        <w:t>Recuerda también que la</w:t>
      </w:r>
      <w:r w:rsidRPr="00324CBA">
        <w:rPr>
          <w:rFonts w:ascii="Verdana" w:hAnsi="Verdana"/>
          <w:b/>
          <w:bCs/>
        </w:rPr>
        <w:t> información sobre sanciones e inhabilidades </w:t>
      </w:r>
      <w:r w:rsidRPr="00324CBA">
        <w:rPr>
          <w:rFonts w:ascii="Verdana" w:hAnsi="Verdana"/>
        </w:rPr>
        <w:t>solo cumple su función preventiva si llega oportunamente a los registros públicos. Sobre este deber, esta Agencia expidió la </w:t>
      </w:r>
      <w:r w:rsidRPr="00324CBA">
        <w:rPr>
          <w:rFonts w:ascii="Verdana" w:hAnsi="Verdana"/>
          <w:b/>
          <w:bCs/>
        </w:rPr>
        <w:t>Circular Externa 002 del 5 de mayo de 2026,</w:t>
      </w:r>
      <w:r w:rsidRPr="00324CBA">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324CBA">
          <w:rPr>
            <w:rStyle w:val="Hipervnculo"/>
            <w:rFonts w:ascii="Verdana" w:hAnsi="Verdana"/>
            <w:color w:val="0070C0"/>
          </w:rPr>
          <w:t>https://www.colombiacompra.gov.co/archivos/circular/circular-externa-002-de-2026</w:t>
        </w:r>
      </w:hyperlink>
    </w:p>
    <w:p w14:paraId="58949AFB" w14:textId="77777777" w:rsidR="00891A28" w:rsidRDefault="00891A28" w:rsidP="00461B76">
      <w:pPr>
        <w:spacing w:after="0" w:line="276" w:lineRule="auto"/>
        <w:jc w:val="both"/>
        <w:rPr>
          <w:rFonts w:ascii="Verdana" w:hAnsi="Verdana"/>
        </w:rPr>
      </w:pPr>
      <w:r w:rsidRPr="00324CBA">
        <w:rPr>
          <w:rFonts w:ascii="Verdana" w:hAnsi="Verdana"/>
        </w:rPr>
        <w:t>Finalmente, si quieres seguir de cerca la actividad de la Agencia, la tercera edición de 2026 del</w:t>
      </w:r>
      <w:r w:rsidRPr="00324CBA">
        <w:rPr>
          <w:rFonts w:ascii="Verdana" w:hAnsi="Verdana"/>
          <w:b/>
          <w:bCs/>
        </w:rPr>
        <w:t> Radar de la Compra Pública</w:t>
      </w:r>
      <w:r w:rsidRPr="00324CBA">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324CBA">
        <w:rPr>
          <w:rFonts w:ascii="Verdana" w:hAnsi="Verdana"/>
          <w:color w:val="0070C0"/>
        </w:rPr>
        <w:t> </w:t>
      </w:r>
      <w:hyperlink r:id="rId16" w:tgtFrame="_blank" w:tooltip="Dirección URL original: https://www.colombiacompra.gov.co/archivos/boletin/boletin-edicion-n-3-de-2026-radar-de-la-compra-publica. Haga clic o pulse si confía en este vínculo." w:history="1">
        <w:r w:rsidRPr="00324CBA">
          <w:rPr>
            <w:rStyle w:val="Hipervnculo"/>
            <w:rFonts w:ascii="Verdana" w:hAnsi="Verdana"/>
            <w:color w:val="0070C0"/>
          </w:rPr>
          <w:t>https://www.colombiacompra.gov.co/archivos/boletin/boletin-edicion-n-3-de-2026-radar-de-la-compra-publica</w:t>
        </w:r>
      </w:hyperlink>
      <w:r w:rsidRPr="00324CBA">
        <w:rPr>
          <w:rFonts w:ascii="Verdana" w:hAnsi="Verdana"/>
        </w:rPr>
        <w:t>"</w:t>
      </w:r>
    </w:p>
    <w:p w14:paraId="6D79F6A5" w14:textId="77777777" w:rsidR="00016078" w:rsidRDefault="00016078" w:rsidP="00016078">
      <w:pPr>
        <w:spacing w:after="0" w:line="276" w:lineRule="auto"/>
        <w:jc w:val="both"/>
        <w:rPr>
          <w:rFonts w:ascii="Verdana" w:hAnsi="Verdana"/>
        </w:rPr>
      </w:pPr>
    </w:p>
    <w:p w14:paraId="7D69DF86" w14:textId="074B43F0" w:rsidR="00016078" w:rsidRPr="00605E0D" w:rsidRDefault="00016078" w:rsidP="00016078">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14:paraId="61B11C00" w14:textId="77777777" w:rsidR="00016078" w:rsidRPr="00284526" w:rsidRDefault="00016078" w:rsidP="00016078">
      <w:pPr>
        <w:spacing w:after="0" w:line="276" w:lineRule="auto"/>
        <w:jc w:val="both"/>
        <w:rPr>
          <w:rFonts w:ascii="Verdana" w:hAnsi="Verdana" w:cs="Arial"/>
          <w:shd w:val="clear" w:color="auto" w:fill="FFFFFF"/>
        </w:rPr>
      </w:pPr>
    </w:p>
    <w:p w14:paraId="628C23CF" w14:textId="77777777" w:rsidR="00016078" w:rsidRPr="00284526" w:rsidRDefault="00016078" w:rsidP="00016078">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3546A70C" w14:textId="77777777" w:rsidR="00016078" w:rsidRPr="00284526" w:rsidRDefault="00016078" w:rsidP="00016078">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728351F2" w14:textId="77777777" w:rsidR="00016078" w:rsidRPr="00284526" w:rsidRDefault="00016078" w:rsidP="00016078">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32EBA1E8" w14:textId="77777777" w:rsidR="00016078" w:rsidRPr="00284526" w:rsidRDefault="00016078" w:rsidP="00016078">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14AF17D4" w14:textId="77777777" w:rsidR="00016078" w:rsidRPr="00284526" w:rsidRDefault="00016078" w:rsidP="00016078">
      <w:pPr>
        <w:widowControl w:val="0"/>
        <w:autoSpaceDE w:val="0"/>
        <w:autoSpaceDN w:val="0"/>
        <w:spacing w:after="0" w:line="276" w:lineRule="auto"/>
        <w:jc w:val="both"/>
        <w:rPr>
          <w:rFonts w:ascii="Verdana" w:hAnsi="Verdana" w:cs="Arial"/>
          <w:lang w:val="es-ES"/>
        </w:rPr>
      </w:pPr>
    </w:p>
    <w:p w14:paraId="1C31CBA0" w14:textId="77777777" w:rsidR="00016078" w:rsidRPr="00284526" w:rsidRDefault="00016078" w:rsidP="00016078">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D5D8806" w14:textId="77777777" w:rsidR="00016078" w:rsidRPr="00116940" w:rsidRDefault="00016078" w:rsidP="00016078">
      <w:pPr>
        <w:spacing w:after="0" w:line="276" w:lineRule="auto"/>
        <w:jc w:val="both"/>
        <w:rPr>
          <w:rFonts w:ascii="Verdana" w:eastAsia="Verdana" w:hAnsi="Verdana" w:cs="Verdana"/>
        </w:rPr>
      </w:pPr>
    </w:p>
    <w:p w14:paraId="48383249" w14:textId="77777777" w:rsidR="00016078" w:rsidRPr="00116940" w:rsidRDefault="00016078" w:rsidP="00016078">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7"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2EEDE7C6" w14:textId="5A2FF97E" w:rsidR="00016078" w:rsidRDefault="00016078" w:rsidP="00461B76">
      <w:pPr>
        <w:widowControl w:val="0"/>
        <w:autoSpaceDE w:val="0"/>
        <w:autoSpaceDN w:val="0"/>
        <w:spacing w:after="0" w:line="276" w:lineRule="auto"/>
        <w:ind w:firstLine="709"/>
        <w:jc w:val="both"/>
        <w:rPr>
          <w:rFonts w:ascii="Verdana" w:eastAsia="Aptos" w:hAnsi="Verdana" w:cs="Times New Roman"/>
          <w:color w:val="000000" w:themeColor="text1"/>
          <w:kern w:val="2"/>
          <w14:ligatures w14:val="standardContextual"/>
        </w:rPr>
      </w:pPr>
    </w:p>
    <w:p w14:paraId="402D1E1B" w14:textId="28F3CFC3" w:rsidR="00016078" w:rsidRPr="00C42171" w:rsidRDefault="00016078" w:rsidP="00461B76">
      <w:pPr>
        <w:widowControl w:val="0"/>
        <w:autoSpaceDE w:val="0"/>
        <w:autoSpaceDN w:val="0"/>
        <w:spacing w:after="0" w:line="276" w:lineRule="auto"/>
        <w:jc w:val="both"/>
        <w:rPr>
          <w:rFonts w:ascii="Verdana" w:eastAsia="Aptos" w:hAnsi="Verdana" w:cs="Times New Roman"/>
          <w:color w:val="000000" w:themeColor="text1"/>
          <w:kern w:val="2"/>
          <w14:ligatures w14:val="standardContextual"/>
        </w:rPr>
      </w:pPr>
      <w:r>
        <w:rPr>
          <w:rFonts w:ascii="Verdana" w:hAnsi="Verdana" w:cs="Arial"/>
          <w:shd w:val="clear" w:color="auto" w:fill="FFFFFF"/>
        </w:rPr>
        <w:t xml:space="preserve">Cordialmente, </w:t>
      </w:r>
    </w:p>
    <w:p w14:paraId="077DBA89" w14:textId="2C7629BB" w:rsidR="00016078" w:rsidRPr="00324CBA" w:rsidRDefault="00F77F2D" w:rsidP="00891A28">
      <w:pPr>
        <w:jc w:val="both"/>
        <w:rPr>
          <w:rFonts w:ascii="Verdana" w:hAnsi="Verdana"/>
        </w:rPr>
      </w:pPr>
      <w:r w:rsidRPr="002C3AD6">
        <w:rPr>
          <w:rFonts w:ascii="Century Gothic" w:hAnsi="Century Gothic"/>
          <w:noProof/>
        </w:rPr>
        <w:drawing>
          <wp:anchor distT="0" distB="0" distL="114300" distR="114300" simplePos="0" relativeHeight="251661312" behindDoc="1" locked="0" layoutInCell="1" allowOverlap="1" wp14:anchorId="55784EBF" wp14:editId="5CF6BD4F">
            <wp:simplePos x="0" y="0"/>
            <wp:positionH relativeFrom="column">
              <wp:posOffset>1252220</wp:posOffset>
            </wp:positionH>
            <wp:positionV relativeFrom="paragraph">
              <wp:posOffset>189865</wp:posOffset>
            </wp:positionV>
            <wp:extent cx="3631565" cy="1176020"/>
            <wp:effectExtent l="0" t="0" r="6985" b="5080"/>
            <wp:wrapTight wrapText="bothSides">
              <wp:wrapPolygon edited="0">
                <wp:start x="0" y="0"/>
                <wp:lineTo x="0" y="21343"/>
                <wp:lineTo x="21528" y="21343"/>
                <wp:lineTo x="21528" y="0"/>
                <wp:lineTo x="0" y="0"/>
              </wp:wrapPolygon>
            </wp:wrapTight>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631565" cy="1176020"/>
                    </a:xfrm>
                    <a:prstGeom prst="rect">
                      <a:avLst/>
                    </a:prstGeom>
                  </pic:spPr>
                </pic:pic>
              </a:graphicData>
            </a:graphic>
            <wp14:sizeRelH relativeFrom="page">
              <wp14:pctWidth>0</wp14:pctWidth>
            </wp14:sizeRelH>
            <wp14:sizeRelV relativeFrom="page">
              <wp14:pctHeight>0</wp14:pctHeight>
            </wp14:sizeRelV>
          </wp:anchor>
        </w:drawing>
      </w:r>
    </w:p>
    <w:p w14:paraId="1DE8C5CE" w14:textId="310E622A" w:rsidR="00DA61A8" w:rsidRDefault="00DA61A8" w:rsidP="00DA61A8">
      <w:pPr>
        <w:spacing w:after="0" w:line="276" w:lineRule="auto"/>
        <w:ind w:firstLine="709"/>
        <w:jc w:val="both"/>
        <w:rPr>
          <w:rFonts w:ascii="Verdana" w:eastAsia="Verdana" w:hAnsi="Verdana" w:cs="Verdana"/>
          <w:lang w:val="es-MX"/>
        </w:rPr>
      </w:pPr>
    </w:p>
    <w:p w14:paraId="05F93B11" w14:textId="459E6DF6" w:rsidR="00DA61A8" w:rsidRDefault="00DA61A8" w:rsidP="00DA61A8">
      <w:pPr>
        <w:spacing w:after="0" w:line="276" w:lineRule="auto"/>
        <w:jc w:val="both"/>
        <w:rPr>
          <w:rFonts w:ascii="Verdana" w:eastAsia="Century Gothic" w:hAnsi="Verdana" w:cs="Century Gothic"/>
        </w:rPr>
      </w:pPr>
    </w:p>
    <w:p w14:paraId="0810BC71" w14:textId="3C01E030" w:rsidR="00DA61A8" w:rsidRDefault="00DA61A8" w:rsidP="00DA61A8">
      <w:pPr>
        <w:spacing w:after="0" w:line="276" w:lineRule="auto"/>
        <w:jc w:val="both"/>
        <w:rPr>
          <w:rFonts w:ascii="Verdana" w:eastAsia="Century Gothic" w:hAnsi="Verdana" w:cs="Century Gothic"/>
        </w:rPr>
      </w:pPr>
    </w:p>
    <w:p w14:paraId="051A0310" w14:textId="03D4965B" w:rsidR="00DA61A8" w:rsidRDefault="00DA61A8" w:rsidP="00DA61A8">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DA61A8" w:rsidRPr="004C0111" w14:paraId="7981ADBF" w14:textId="77777777">
        <w:trPr>
          <w:trHeight w:val="622"/>
        </w:trPr>
        <w:tc>
          <w:tcPr>
            <w:tcW w:w="893" w:type="dxa"/>
            <w:vAlign w:val="center"/>
            <w:hideMark/>
          </w:tcPr>
          <w:p w14:paraId="51F41F47" w14:textId="77777777" w:rsidR="00DA61A8" w:rsidRPr="004C0111" w:rsidRDefault="00DA61A8">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DA61A8" w:rsidRPr="004C0111" w14:paraId="0DFEDF05" w14:textId="77777777">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1D60D5EA" w14:textId="7A2622A0" w:rsidR="00DA61A8" w:rsidRPr="004C0111" w:rsidRDefault="00DA61A8">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26FB33CC" w14:textId="77777777" w:rsidR="00DA61A8" w:rsidRPr="004C0111" w:rsidRDefault="00DA61A8">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05BE885B" w14:textId="77777777" w:rsidR="00DA61A8" w:rsidRPr="004C0111" w:rsidRDefault="00DA61A8">
            <w:pPr>
              <w:rPr>
                <w:rFonts w:ascii="Verdana" w:eastAsia="Calibri" w:hAnsi="Verdana" w:cs="Arial"/>
                <w:sz w:val="16"/>
                <w:szCs w:val="16"/>
                <w:lang w:val="es-MX"/>
              </w:rPr>
            </w:pPr>
          </w:p>
        </w:tc>
      </w:tr>
      <w:tr w:rsidR="00DA61A8" w:rsidRPr="004C0111" w14:paraId="045D3C8C" w14:textId="77777777">
        <w:trPr>
          <w:trHeight w:val="330"/>
        </w:trPr>
        <w:tc>
          <w:tcPr>
            <w:tcW w:w="893" w:type="dxa"/>
            <w:vAlign w:val="center"/>
            <w:hideMark/>
          </w:tcPr>
          <w:p w14:paraId="7EF37C68" w14:textId="77777777" w:rsidR="00DA61A8" w:rsidRPr="004C0111" w:rsidRDefault="00DA61A8">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5DF8A414" w14:textId="38CEA88A" w:rsidR="00DA61A8" w:rsidRPr="004C0111" w:rsidRDefault="00AB6FB6">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 xml:space="preserve">Diana Lucía Saavedra </w:t>
            </w:r>
          </w:p>
          <w:p w14:paraId="26BB8EAD" w14:textId="77777777" w:rsidR="00DA61A8" w:rsidRPr="004C0111" w:rsidRDefault="00DA61A8">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DA61A8" w:rsidRPr="004C0111" w14:paraId="134EE12A" w14:textId="77777777">
        <w:trPr>
          <w:trHeight w:val="77"/>
        </w:trPr>
        <w:tc>
          <w:tcPr>
            <w:tcW w:w="893" w:type="dxa"/>
            <w:vAlign w:val="center"/>
          </w:tcPr>
          <w:p w14:paraId="07E87518" w14:textId="77777777" w:rsidR="00DA61A8" w:rsidRPr="004C0111" w:rsidRDefault="00DA61A8">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7BE0CFF7" w14:textId="77777777" w:rsidR="00DA61A8" w:rsidRPr="002F2853" w:rsidRDefault="00DA61A8">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7A97240C" w14:textId="77777777" w:rsidR="00DA61A8" w:rsidRPr="004C0111" w:rsidRDefault="00DA61A8">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2E0B3387"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C50DA" w14:textId="77777777" w:rsidR="00C85657" w:rsidRDefault="00C85657" w:rsidP="004A1847">
      <w:pPr>
        <w:spacing w:after="0" w:line="240" w:lineRule="auto"/>
      </w:pPr>
      <w:r>
        <w:separator/>
      </w:r>
    </w:p>
  </w:endnote>
  <w:endnote w:type="continuationSeparator" w:id="0">
    <w:p w14:paraId="5CE7C148" w14:textId="77777777" w:rsidR="00C85657" w:rsidRDefault="00C8565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1184B" w14:textId="77777777" w:rsidR="00C85657" w:rsidRDefault="00C85657" w:rsidP="004A1847">
      <w:pPr>
        <w:spacing w:after="0" w:line="240" w:lineRule="auto"/>
      </w:pPr>
      <w:r>
        <w:separator/>
      </w:r>
    </w:p>
  </w:footnote>
  <w:footnote w:type="continuationSeparator" w:id="0">
    <w:p w14:paraId="1988A7A1" w14:textId="77777777" w:rsidR="00C85657" w:rsidRDefault="00C85657" w:rsidP="004A1847">
      <w:pPr>
        <w:spacing w:after="0" w:line="240" w:lineRule="auto"/>
      </w:pPr>
      <w:r>
        <w:continuationSeparator/>
      </w:r>
    </w:p>
  </w:footnote>
  <w:footnote w:id="1">
    <w:p w14:paraId="7E7FD97D" w14:textId="77777777" w:rsidR="006E73DC" w:rsidRPr="00F3303B" w:rsidRDefault="006E73DC" w:rsidP="00461B76">
      <w:pPr>
        <w:pStyle w:val="Textonotapie"/>
        <w:ind w:firstLine="709"/>
        <w:jc w:val="both"/>
        <w:rPr>
          <w:rFonts w:ascii="Verdana" w:hAnsi="Verdana" w:cs="Arial"/>
          <w:color w:val="000000" w:themeColor="text1"/>
          <w:sz w:val="16"/>
          <w:szCs w:val="16"/>
        </w:rPr>
      </w:pPr>
      <w:r w:rsidRPr="00F3303B">
        <w:rPr>
          <w:rStyle w:val="Refdenotaalpie"/>
          <w:rFonts w:ascii="Verdana" w:hAnsi="Verdana" w:cs="Arial"/>
          <w:color w:val="000000" w:themeColor="text1"/>
          <w:sz w:val="16"/>
          <w:szCs w:val="16"/>
        </w:rPr>
        <w:footnoteRef/>
      </w:r>
      <w:r w:rsidRPr="00F3303B">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09C79DCE" w14:textId="77777777" w:rsidR="006E73DC" w:rsidRPr="00F3303B" w:rsidRDefault="006E73DC" w:rsidP="00461B76">
      <w:pPr>
        <w:pStyle w:val="Textonotapie"/>
        <w:ind w:firstLine="709"/>
        <w:jc w:val="both"/>
        <w:rPr>
          <w:rFonts w:ascii="Verdana" w:hAnsi="Verdana" w:cs="Arial"/>
          <w:color w:val="000000" w:themeColor="text1"/>
          <w:sz w:val="16"/>
          <w:szCs w:val="16"/>
        </w:rPr>
      </w:pPr>
      <w:r w:rsidRPr="00F3303B">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 Obsérvese que este artículo no efectúa distinción alguna sobre el régimen jurídico aplicable a los sujetos obligados.</w:t>
      </w:r>
    </w:p>
  </w:footnote>
  <w:footnote w:id="2">
    <w:p w14:paraId="49FD9205" w14:textId="77777777" w:rsidR="006E73DC" w:rsidRPr="00F3303B" w:rsidRDefault="006E73DC" w:rsidP="00461B76">
      <w:pPr>
        <w:pStyle w:val="Textonotapie"/>
        <w:ind w:firstLine="709"/>
        <w:jc w:val="both"/>
        <w:rPr>
          <w:rFonts w:ascii="Verdana" w:hAnsi="Verdana" w:cs="Arial"/>
          <w:color w:val="000000" w:themeColor="text1"/>
          <w:sz w:val="16"/>
          <w:szCs w:val="16"/>
        </w:rPr>
      </w:pPr>
      <w:r w:rsidRPr="00F3303B">
        <w:rPr>
          <w:rFonts w:ascii="Verdana" w:hAnsi="Verdana" w:cs="Arial"/>
          <w:color w:val="000000" w:themeColor="text1"/>
          <w:sz w:val="16"/>
          <w:szCs w:val="16"/>
          <w:vertAlign w:val="superscript"/>
          <w:lang w:val="es-ES" w:eastAsia="es-ES"/>
        </w:rPr>
        <w:footnoteRef/>
      </w:r>
      <w:r w:rsidRPr="00F3303B">
        <w:rPr>
          <w:rFonts w:ascii="Verdana" w:hAnsi="Verdana" w:cs="Arial"/>
          <w:color w:val="000000" w:themeColor="text1"/>
          <w:sz w:val="16"/>
          <w:szCs w:val="16"/>
          <w:vertAlign w:val="superscript"/>
          <w:lang w:val="es-ES" w:eastAsia="es-ES"/>
        </w:rPr>
        <w:t xml:space="preserve"> </w:t>
      </w:r>
      <w:r w:rsidRPr="00F3303B">
        <w:rPr>
          <w:rFonts w:ascii="Verdana" w:hAnsi="Verdana" w:cs="Arial"/>
          <w:color w:val="000000" w:themeColor="text1"/>
          <w:sz w:val="16"/>
          <w:szCs w:val="16"/>
          <w:lang w:val="es-ES" w:eastAsia="es-ES"/>
        </w:rPr>
        <w:t>“</w:t>
      </w:r>
      <w:r w:rsidRPr="00F3303B">
        <w:rPr>
          <w:rFonts w:ascii="Verdana" w:hAnsi="Verdana" w:cs="Arial"/>
          <w:color w:val="000000" w:themeColor="text1"/>
          <w:sz w:val="16"/>
          <w:szCs w:val="16"/>
        </w:rPr>
        <w:t xml:space="preserve">Artículo </w:t>
      </w:r>
      <w:bookmarkStart w:id="1" w:name="_Hlk153373407"/>
      <w:r w:rsidRPr="00F3303B">
        <w:rPr>
          <w:rFonts w:ascii="Verdana" w:hAnsi="Verdana" w:cs="Arial"/>
          <w:color w:val="000000" w:themeColor="text1"/>
          <w:sz w:val="16"/>
          <w:szCs w:val="16"/>
        </w:rPr>
        <w:t>2.1.1.2.1.7</w:t>
      </w:r>
      <w:bookmarkEnd w:id="1"/>
      <w:r w:rsidRPr="00F3303B">
        <w:rPr>
          <w:rFonts w:ascii="Verdana" w:hAnsi="Verdana" w:cs="Arial"/>
          <w:color w:val="000000" w:themeColor="text1"/>
          <w:sz w:val="16"/>
          <w:szCs w:val="16"/>
        </w:rPr>
        <w:t xml:space="preserve">.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1FD7ADC6" w14:textId="77777777" w:rsidR="006E73DC" w:rsidRPr="00F3303B" w:rsidRDefault="006E73DC" w:rsidP="00461B76">
      <w:pPr>
        <w:pStyle w:val="Textonotapie"/>
        <w:ind w:firstLine="709"/>
        <w:jc w:val="both"/>
        <w:rPr>
          <w:rFonts w:ascii="Verdana" w:hAnsi="Verdana" w:cs="Arial"/>
          <w:color w:val="000000" w:themeColor="text1"/>
          <w:sz w:val="16"/>
          <w:szCs w:val="16"/>
          <w:lang w:val="es-ES" w:eastAsia="es-ES"/>
        </w:rPr>
      </w:pPr>
      <w:r w:rsidRPr="00F3303B">
        <w:rPr>
          <w:rFonts w:ascii="Verdana" w:hAnsi="Verdana" w:cs="Arial"/>
          <w:color w:val="000000" w:themeColor="text1"/>
          <w:sz w:val="16"/>
          <w:szCs w:val="16"/>
        </w:rPr>
        <w:t>[…].</w:t>
      </w:r>
    </w:p>
    <w:p w14:paraId="3032443F" w14:textId="77777777" w:rsidR="006E73DC" w:rsidRPr="00F3303B" w:rsidRDefault="006E73DC" w:rsidP="00461B76">
      <w:pPr>
        <w:pStyle w:val="Textonotapie"/>
        <w:ind w:firstLine="709"/>
        <w:jc w:val="both"/>
        <w:rPr>
          <w:rFonts w:ascii="Verdana" w:hAnsi="Verdana" w:cs="Arial"/>
          <w:color w:val="000000" w:themeColor="text1"/>
          <w:sz w:val="16"/>
          <w:szCs w:val="16"/>
          <w:lang w:val="es-ES" w:eastAsia="es-ES"/>
        </w:rPr>
      </w:pPr>
      <w:r w:rsidRPr="00F3303B">
        <w:rPr>
          <w:rFonts w:ascii="Verdana" w:hAnsi="Verdana" w:cs="Arial"/>
          <w:color w:val="000000" w:themeColor="text1"/>
          <w:sz w:val="16"/>
          <w:szCs w:val="16"/>
          <w:lang w:val="es-ES" w:eastAsia="es-ES"/>
        </w:rPr>
        <w:t xml:space="preserve">Los sujetos obligados que contratan con recursos públicos y recursos </w:t>
      </w:r>
      <w:proofErr w:type="gramStart"/>
      <w:r w:rsidRPr="00F3303B">
        <w:rPr>
          <w:rFonts w:ascii="Verdana" w:hAnsi="Verdana" w:cs="Arial"/>
          <w:color w:val="000000" w:themeColor="text1"/>
          <w:sz w:val="16"/>
          <w:szCs w:val="16"/>
          <w:lang w:val="es-ES" w:eastAsia="es-ES"/>
        </w:rPr>
        <w:t>privados,</w:t>
      </w:r>
      <w:proofErr w:type="gramEnd"/>
      <w:r w:rsidRPr="00F3303B">
        <w:rPr>
          <w:rFonts w:ascii="Verdana" w:hAnsi="Verdana" w:cs="Arial"/>
          <w:color w:val="000000" w:themeColor="text1"/>
          <w:sz w:val="16"/>
          <w:szCs w:val="16"/>
          <w:lang w:val="es-ES" w:eastAsia="es-ES"/>
        </w:rPr>
        <w:t xml:space="preserve"> deben publicar la información de su gestión contractual con cargo a recursos públicos en el Sistema Electrónico para la Contratación Pública [SECOP]”.</w:t>
      </w:r>
    </w:p>
  </w:footnote>
  <w:footnote w:id="3">
    <w:p w14:paraId="1370EB06" w14:textId="77777777" w:rsidR="006E73DC" w:rsidRPr="00751E10" w:rsidRDefault="006E73DC" w:rsidP="006E73DC">
      <w:pPr>
        <w:pStyle w:val="Textonotapie"/>
        <w:ind w:firstLine="709"/>
        <w:jc w:val="both"/>
        <w:rPr>
          <w:rFonts w:ascii="Verdana" w:hAnsi="Verdana" w:cs="Arial"/>
          <w:color w:val="000000" w:themeColor="text1"/>
          <w:sz w:val="16"/>
          <w:szCs w:val="16"/>
        </w:rPr>
      </w:pPr>
      <w:r w:rsidRPr="00751E10">
        <w:rPr>
          <w:rStyle w:val="Refdenotaalpie"/>
          <w:rFonts w:ascii="Verdana" w:hAnsi="Verdana" w:cs="Arial"/>
          <w:color w:val="000000" w:themeColor="text1"/>
          <w:sz w:val="16"/>
          <w:szCs w:val="16"/>
        </w:rPr>
        <w:footnoteRef/>
      </w:r>
      <w:r w:rsidRPr="00751E10">
        <w:rPr>
          <w:rFonts w:ascii="Verdana" w:hAnsi="Verdana" w:cs="Arial"/>
          <w:color w:val="000000" w:themeColor="text1"/>
          <w:sz w:val="16"/>
          <w:szCs w:val="16"/>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6DF4F941" w14:textId="77777777" w:rsidR="006E73DC" w:rsidRPr="00751E10" w:rsidRDefault="006E73DC" w:rsidP="006E73DC">
      <w:pPr>
        <w:pStyle w:val="Textonotapie"/>
        <w:ind w:firstLine="709"/>
        <w:jc w:val="both"/>
        <w:rPr>
          <w:rFonts w:ascii="Verdana" w:hAnsi="Verdana" w:cs="Arial"/>
          <w:color w:val="000000" w:themeColor="text1"/>
          <w:sz w:val="16"/>
          <w:szCs w:val="16"/>
        </w:rPr>
      </w:pPr>
      <w:r w:rsidRPr="00751E10">
        <w:rPr>
          <w:rFonts w:ascii="Verdana" w:hAnsi="Verdana" w:cs="Arial"/>
          <w:color w:val="000000" w:themeColor="text1"/>
          <w:sz w:val="16"/>
          <w:szCs w:val="16"/>
        </w:rPr>
        <w:t>“Lo anterior, sin perjuicio de las publicaciones previstas en el numeral 3 del artículo 30 de la Ley 80 de 1993.</w:t>
      </w:r>
    </w:p>
    <w:p w14:paraId="6A0B15AB" w14:textId="77777777" w:rsidR="006E73DC" w:rsidRPr="00751E10" w:rsidRDefault="006E73DC" w:rsidP="006E73DC">
      <w:pPr>
        <w:pStyle w:val="Textonotapie"/>
        <w:ind w:firstLine="709"/>
        <w:jc w:val="both"/>
        <w:rPr>
          <w:rFonts w:ascii="Verdana" w:hAnsi="Verdana" w:cs="Arial"/>
          <w:color w:val="000000" w:themeColor="text1"/>
          <w:sz w:val="16"/>
          <w:szCs w:val="16"/>
        </w:rPr>
      </w:pPr>
      <w:r w:rsidRPr="00751E10">
        <w:rPr>
          <w:rFonts w:ascii="Verdana" w:hAnsi="Verdana" w:cs="Arial"/>
          <w:color w:val="000000" w:themeColor="text1"/>
          <w:sz w:val="16"/>
          <w:szCs w:val="16"/>
        </w:rPr>
        <w:t xml:space="preserve">“Con el fin de materializar los objetivos a que se refiere el inciso anterior, el Gobierno Nacional desarrollará el Sistema Electrónico para la Contratación Pública, Secop, el cual: </w:t>
      </w:r>
    </w:p>
    <w:p w14:paraId="464B200E" w14:textId="77777777" w:rsidR="006E73DC" w:rsidRPr="00751E10" w:rsidRDefault="006E73DC" w:rsidP="006E73DC">
      <w:pPr>
        <w:pStyle w:val="Textonotapie"/>
        <w:ind w:firstLine="709"/>
        <w:jc w:val="both"/>
        <w:rPr>
          <w:rFonts w:ascii="Verdana" w:hAnsi="Verdana" w:cs="Arial"/>
          <w:color w:val="000000" w:themeColor="text1"/>
          <w:sz w:val="16"/>
          <w:szCs w:val="16"/>
        </w:rPr>
      </w:pPr>
      <w:r w:rsidRPr="00751E10">
        <w:rPr>
          <w:rFonts w:ascii="Verdana" w:hAnsi="Verdana" w:cs="Arial"/>
          <w:color w:val="000000" w:themeColor="text1"/>
          <w:sz w:val="16"/>
          <w:szCs w:val="16"/>
        </w:rPr>
        <w:t>[…]</w:t>
      </w:r>
    </w:p>
    <w:p w14:paraId="4B19983F" w14:textId="77777777" w:rsidR="006E73DC" w:rsidRPr="00751E10" w:rsidRDefault="006E73DC" w:rsidP="006E73DC">
      <w:pPr>
        <w:pStyle w:val="Textonotapie"/>
        <w:ind w:firstLine="709"/>
        <w:jc w:val="both"/>
        <w:rPr>
          <w:rFonts w:ascii="Verdana" w:hAnsi="Verdana" w:cs="Arial"/>
          <w:color w:val="000000" w:themeColor="text1"/>
          <w:sz w:val="16"/>
          <w:szCs w:val="16"/>
        </w:rPr>
      </w:pPr>
      <w:r w:rsidRPr="00751E10">
        <w:rPr>
          <w:rFonts w:ascii="Verdana" w:hAnsi="Verdana" w:cs="Arial"/>
          <w:color w:val="000000" w:themeColor="text1"/>
          <w:sz w:val="16"/>
          <w:szCs w:val="16"/>
        </w:rPr>
        <w:t xml:space="preserve">“c) Contará con la información oficial de la contratación realizada con dineros públicos, para lo cual establecerá los patrones a que haya lugar y se encargará de su difusión a través de canales electrónico”. </w:t>
      </w:r>
    </w:p>
    <w:p w14:paraId="2FF27697" w14:textId="77777777" w:rsidR="006E73DC" w:rsidRPr="00F3303B" w:rsidRDefault="006E73DC" w:rsidP="006E73DC">
      <w:pPr>
        <w:pStyle w:val="Textonotapie"/>
        <w:ind w:firstLine="709"/>
        <w:jc w:val="both"/>
        <w:rPr>
          <w:rFonts w:ascii="Verdana" w:hAnsi="Verdana" w:cs="Arial"/>
          <w:color w:val="000000" w:themeColor="text1"/>
          <w:sz w:val="16"/>
          <w:szCs w:val="16"/>
          <w:lang w:val="es-CO"/>
        </w:rPr>
      </w:pPr>
    </w:p>
  </w:footnote>
  <w:footnote w:id="4">
    <w:p w14:paraId="03BC4032" w14:textId="77777777" w:rsidR="006E73DC" w:rsidRPr="00751E10" w:rsidRDefault="006E73DC" w:rsidP="00461B76">
      <w:pPr>
        <w:pStyle w:val="Textonotapie"/>
        <w:ind w:firstLine="709"/>
        <w:jc w:val="both"/>
        <w:rPr>
          <w:rFonts w:ascii="Verdana" w:hAnsi="Verdana" w:cs="Arial"/>
          <w:color w:val="000000"/>
          <w:sz w:val="16"/>
          <w:szCs w:val="16"/>
        </w:rPr>
      </w:pPr>
      <w:r w:rsidRPr="00751E10">
        <w:rPr>
          <w:rStyle w:val="Refdenotaalpie"/>
          <w:rFonts w:ascii="Verdana" w:hAnsi="Verdana" w:cs="Arial"/>
          <w:color w:val="000000"/>
          <w:sz w:val="16"/>
          <w:szCs w:val="16"/>
        </w:rPr>
        <w:footnoteRef/>
      </w:r>
      <w:r w:rsidRPr="00751E10">
        <w:rPr>
          <w:rFonts w:ascii="Verdana" w:hAnsi="Verdana" w:cs="Arial"/>
          <w:color w:val="000000"/>
          <w:sz w:val="16"/>
          <w:szCs w:val="16"/>
        </w:rPr>
        <w:t xml:space="preserve"> Decreto 4170 de 2011: “Artículo 3. Funciones: La Agencia Nacional de Contratación Pública –Colombia Compra Eficiente– ejercerá las siguientes funciones: [...]</w:t>
      </w:r>
    </w:p>
    <w:p w14:paraId="67F780A0" w14:textId="77777777" w:rsidR="006E73DC" w:rsidRPr="00751E10" w:rsidRDefault="006E73DC" w:rsidP="00461B76">
      <w:pPr>
        <w:pStyle w:val="Textonotapie"/>
        <w:ind w:firstLine="709"/>
        <w:jc w:val="both"/>
        <w:rPr>
          <w:rFonts w:ascii="Verdana" w:hAnsi="Verdana" w:cs="Arial"/>
          <w:color w:val="000000"/>
          <w:sz w:val="16"/>
          <w:szCs w:val="16"/>
        </w:rPr>
      </w:pPr>
      <w:r w:rsidRPr="00751E10">
        <w:rPr>
          <w:rFonts w:ascii="Verdana" w:hAnsi="Verdana" w:cs="Arial"/>
          <w:color w:val="000000"/>
          <w:sz w:val="16"/>
          <w:szCs w:val="16"/>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5">
    <w:p w14:paraId="0240B043" w14:textId="77777777" w:rsidR="009503DE" w:rsidRPr="00751E10" w:rsidRDefault="009503DE" w:rsidP="00461B76">
      <w:pPr>
        <w:pStyle w:val="Textonotapie"/>
        <w:ind w:firstLine="709"/>
        <w:rPr>
          <w:rFonts w:ascii="Verdana" w:hAnsi="Verdana"/>
          <w:sz w:val="16"/>
          <w:szCs w:val="16"/>
          <w:lang w:val="es-ES"/>
        </w:rPr>
      </w:pPr>
      <w:r w:rsidRPr="00751E10">
        <w:rPr>
          <w:rStyle w:val="Refdenotaalpie"/>
          <w:rFonts w:ascii="Verdana" w:hAnsi="Verdana"/>
          <w:sz w:val="16"/>
          <w:szCs w:val="16"/>
        </w:rPr>
        <w:footnoteRef/>
      </w:r>
      <w:r w:rsidRPr="00751E10">
        <w:rPr>
          <w:rFonts w:ascii="Verdana" w:hAnsi="Verdana"/>
          <w:sz w:val="16"/>
          <w:szCs w:val="16"/>
        </w:rPr>
        <w:t xml:space="preserve"> </w:t>
      </w:r>
      <w:r w:rsidRPr="00751E10">
        <w:rPr>
          <w:rFonts w:ascii="Verdana" w:hAnsi="Verdana"/>
          <w:sz w:val="16"/>
          <w:szCs w:val="16"/>
          <w:lang w:val="es-ES"/>
        </w:rPr>
        <w:t>Ley 80 de 1993, Artículo 40, parágrafo: “</w:t>
      </w:r>
      <w:proofErr w:type="gramStart"/>
      <w:r w:rsidRPr="00751E10">
        <w:rPr>
          <w:rFonts w:ascii="Verdana" w:hAnsi="Verdana"/>
          <w:sz w:val="16"/>
          <w:szCs w:val="16"/>
          <w:lang w:val="es-ES"/>
        </w:rPr>
        <w:t>´[</w:t>
      </w:r>
      <w:proofErr w:type="gramEnd"/>
      <w:r w:rsidRPr="00751E10">
        <w:rPr>
          <w:rFonts w:ascii="Verdana" w:hAnsi="Verdana"/>
          <w:sz w:val="16"/>
          <w:szCs w:val="16"/>
          <w:lang w:val="es-ES"/>
        </w:rPr>
        <w:t>…] Los contratos no podrán adicionarse en más del cincuenta por ciento (50%) de su valor inicial, expresado éste en salarios mínimos legales mensuales.”</w:t>
      </w:r>
    </w:p>
  </w:footnote>
  <w:footnote w:id="6">
    <w:p w14:paraId="06B6BDDB" w14:textId="77777777" w:rsidR="009503DE" w:rsidRPr="00751E10" w:rsidRDefault="009503DE" w:rsidP="00461B76">
      <w:pPr>
        <w:pStyle w:val="Textonotapie"/>
        <w:ind w:firstLine="709"/>
        <w:jc w:val="both"/>
        <w:rPr>
          <w:rFonts w:ascii="Verdana" w:hAnsi="Verdana" w:cs="Arial"/>
          <w:sz w:val="16"/>
          <w:szCs w:val="16"/>
          <w:lang w:val="es-ES_tradnl"/>
        </w:rPr>
      </w:pPr>
      <w:r w:rsidRPr="00751E10">
        <w:rPr>
          <w:rStyle w:val="Refdenotaalpie"/>
          <w:rFonts w:ascii="Verdana" w:hAnsi="Verdana" w:cs="Arial"/>
          <w:sz w:val="16"/>
          <w:szCs w:val="16"/>
        </w:rPr>
        <w:footnoteRef/>
      </w:r>
      <w:r w:rsidRPr="00751E10">
        <w:rPr>
          <w:rFonts w:ascii="Verdana" w:hAnsi="Verdana" w:cs="Arial"/>
          <w:sz w:val="16"/>
          <w:szCs w:val="16"/>
        </w:rPr>
        <w:t xml:space="preserve"> Los acuerdos de voluntades que no cumplan con esta formalidad se consideran inexistentes, por lo tanto, tal como lo ha planteado el Consejo de Estado en el Concepto 2263 del 17 de marzo del 2017,  “las eventuales reclamaciones contractuales que pueda presentar un particular sobre prestaciones realizadas, sin la previa modificación del mismo, están llamadas al fracaso, pues la Administración no puede reconocer situaciones de hecho u obligaciones dinerarias con cargo a un contrato que estipula obligaciones distintas</w:t>
      </w:r>
      <w:r w:rsidRPr="00751E10">
        <w:rPr>
          <w:rFonts w:ascii="Verdana" w:hAnsi="Verdana" w:cs="Arial"/>
          <w:sz w:val="16"/>
          <w:szCs w:val="16"/>
          <w:lang w:val="es-ES_tradnl"/>
        </w:rPr>
        <w:t>”.</w:t>
      </w:r>
    </w:p>
    <w:p w14:paraId="2B9E20ED" w14:textId="77777777" w:rsidR="009503DE" w:rsidRPr="00751E10" w:rsidRDefault="009503DE" w:rsidP="00461B76">
      <w:pPr>
        <w:pStyle w:val="Textonotapie"/>
        <w:ind w:firstLine="709"/>
        <w:jc w:val="both"/>
        <w:rPr>
          <w:rFonts w:ascii="Verdana" w:hAnsi="Verdana" w:cs="Arial"/>
          <w:sz w:val="16"/>
          <w:szCs w:val="16"/>
          <w:lang w:val="es-CO"/>
        </w:rPr>
      </w:pPr>
    </w:p>
  </w:footnote>
  <w:footnote w:id="7">
    <w:p w14:paraId="6C61EE91" w14:textId="77777777" w:rsidR="009503DE" w:rsidRPr="00751E10" w:rsidRDefault="009503DE" w:rsidP="00461B76">
      <w:pPr>
        <w:pStyle w:val="Textonotapie"/>
        <w:ind w:firstLine="709"/>
        <w:jc w:val="both"/>
        <w:rPr>
          <w:rFonts w:ascii="Verdana" w:hAnsi="Verdana" w:cs="Arial"/>
          <w:sz w:val="16"/>
          <w:szCs w:val="16"/>
          <w:lang w:val="es-CO"/>
        </w:rPr>
      </w:pPr>
      <w:r w:rsidRPr="00751E10">
        <w:rPr>
          <w:rStyle w:val="Refdenotaalpie"/>
          <w:rFonts w:ascii="Verdana" w:hAnsi="Verdana" w:cs="Arial"/>
          <w:sz w:val="16"/>
          <w:szCs w:val="16"/>
        </w:rPr>
        <w:footnoteRef/>
      </w:r>
      <w:r w:rsidRPr="00751E10">
        <w:rPr>
          <w:rFonts w:ascii="Verdana" w:hAnsi="Verdana" w:cs="Arial"/>
          <w:sz w:val="16"/>
          <w:szCs w:val="16"/>
        </w:rPr>
        <w:t xml:space="preserve"> Ibídem</w:t>
      </w:r>
    </w:p>
  </w:footnote>
  <w:footnote w:id="8">
    <w:p w14:paraId="4640DF1F" w14:textId="77777777" w:rsidR="006E73DC" w:rsidRPr="00751E10" w:rsidRDefault="006E73DC" w:rsidP="00461B76">
      <w:pPr>
        <w:pStyle w:val="Textonotapie"/>
        <w:ind w:firstLine="709"/>
        <w:jc w:val="both"/>
        <w:rPr>
          <w:rFonts w:ascii="Verdana" w:hAnsi="Verdana" w:cstheme="minorHAnsi"/>
          <w:sz w:val="16"/>
          <w:szCs w:val="16"/>
        </w:rPr>
      </w:pPr>
      <w:r w:rsidRPr="00751E10">
        <w:rPr>
          <w:rStyle w:val="Refdenotaalpie"/>
          <w:rFonts w:ascii="Verdana" w:hAnsi="Verdana" w:cstheme="minorHAnsi"/>
          <w:sz w:val="16"/>
          <w:szCs w:val="16"/>
        </w:rPr>
        <w:footnoteRef/>
      </w:r>
      <w:r w:rsidRPr="00751E10">
        <w:rPr>
          <w:rFonts w:ascii="Verdana" w:hAnsi="Verdana" w:cstheme="minorHAnsi"/>
          <w:sz w:val="16"/>
          <w:szCs w:val="16"/>
        </w:rPr>
        <w:t xml:space="preserve"> Lo anterior, sin perjuicio de la posibilidad que establece el artículo 41 del CPACA frente a la posibilidad de corregir irregularidades en la actuación administrativa, previo a la expedición del acto administrativo respectivo. Dicho artículo prescribe: “Artículo 41. corrección de irregularidades en la actuación administrativa. La autoridad, en cualquier momento anterior a la expedición del acto, de oficio o a petición de parte, corregirá las irregularidades que se hayan presentado en la actuación administrativa para ajustarla a derecho, y adoptará las medidas necesarias para concluirla”.</w:t>
      </w:r>
    </w:p>
    <w:p w14:paraId="41BC8027" w14:textId="77777777" w:rsidR="006E73DC" w:rsidRPr="00751E10" w:rsidRDefault="006E73DC" w:rsidP="00461B76">
      <w:pPr>
        <w:pStyle w:val="Textonotapie"/>
        <w:ind w:firstLine="709"/>
        <w:jc w:val="both"/>
        <w:rPr>
          <w:rFonts w:ascii="Verdana" w:hAnsi="Verdana" w:cstheme="minorHAnsi"/>
          <w:sz w:val="16"/>
          <w:szCs w:val="16"/>
        </w:rPr>
      </w:pPr>
    </w:p>
  </w:footnote>
  <w:footnote w:id="9">
    <w:p w14:paraId="778D347A" w14:textId="77777777" w:rsidR="006E73DC" w:rsidRPr="00751E10" w:rsidRDefault="006E73DC" w:rsidP="00461B76">
      <w:pPr>
        <w:pStyle w:val="Textonotapie"/>
        <w:ind w:firstLine="709"/>
        <w:jc w:val="both"/>
        <w:rPr>
          <w:rFonts w:ascii="Verdana" w:hAnsi="Verdana" w:cs="Arial"/>
          <w:sz w:val="16"/>
          <w:szCs w:val="16"/>
        </w:rPr>
      </w:pPr>
      <w:r w:rsidRPr="00751E10">
        <w:rPr>
          <w:rStyle w:val="Refdenotaalpie"/>
          <w:rFonts w:ascii="Verdana" w:hAnsi="Verdana" w:cs="Arial"/>
          <w:sz w:val="16"/>
          <w:szCs w:val="16"/>
        </w:rPr>
        <w:footnoteRef/>
      </w:r>
      <w:r w:rsidRPr="00751E10">
        <w:rPr>
          <w:rFonts w:ascii="Verdana" w:hAnsi="Verdana" w:cs="Arial"/>
          <w:sz w:val="16"/>
          <w:szCs w:val="16"/>
        </w:rPr>
        <w:t xml:space="preserve"> SANTOFIMIO GAMBÓA, Jaime Orlando. Compendio de Derecho Administrativo. Editorial Universidad Externado de Colombia. Págs. 672-673. Bogotá,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6657EF"/>
    <w:multiLevelType w:val="hybridMultilevel"/>
    <w:tmpl w:val="293E8FF2"/>
    <w:lvl w:ilvl="0" w:tplc="E278ABE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903031386">
    <w:abstractNumId w:val="0"/>
  </w:num>
  <w:num w:numId="17" w16cid:durableId="2097553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D00"/>
    <w:rsid w:val="00016078"/>
    <w:rsid w:val="00016F78"/>
    <w:rsid w:val="00044531"/>
    <w:rsid w:val="00046945"/>
    <w:rsid w:val="00052E64"/>
    <w:rsid w:val="00061B2A"/>
    <w:rsid w:val="00082362"/>
    <w:rsid w:val="00094C9B"/>
    <w:rsid w:val="000A683E"/>
    <w:rsid w:val="000B19B9"/>
    <w:rsid w:val="000D0334"/>
    <w:rsid w:val="000D5DA7"/>
    <w:rsid w:val="000E378B"/>
    <w:rsid w:val="000F6486"/>
    <w:rsid w:val="00114B54"/>
    <w:rsid w:val="00116940"/>
    <w:rsid w:val="00125105"/>
    <w:rsid w:val="00127233"/>
    <w:rsid w:val="0013440F"/>
    <w:rsid w:val="0013564B"/>
    <w:rsid w:val="00143182"/>
    <w:rsid w:val="00153B34"/>
    <w:rsid w:val="0015699B"/>
    <w:rsid w:val="00184B3B"/>
    <w:rsid w:val="001A33BF"/>
    <w:rsid w:val="001C724E"/>
    <w:rsid w:val="001D1519"/>
    <w:rsid w:val="001E4177"/>
    <w:rsid w:val="001F0B24"/>
    <w:rsid w:val="001F7DC6"/>
    <w:rsid w:val="002077F8"/>
    <w:rsid w:val="0022400B"/>
    <w:rsid w:val="002421BB"/>
    <w:rsid w:val="00243496"/>
    <w:rsid w:val="0025796E"/>
    <w:rsid w:val="002707A2"/>
    <w:rsid w:val="0027787A"/>
    <w:rsid w:val="00284C23"/>
    <w:rsid w:val="00291DF1"/>
    <w:rsid w:val="002951A0"/>
    <w:rsid w:val="002962BC"/>
    <w:rsid w:val="002A093D"/>
    <w:rsid w:val="002A0DD0"/>
    <w:rsid w:val="002A49AC"/>
    <w:rsid w:val="002A64FD"/>
    <w:rsid w:val="002B7DCD"/>
    <w:rsid w:val="002C7A84"/>
    <w:rsid w:val="002E2BF8"/>
    <w:rsid w:val="002E4FD9"/>
    <w:rsid w:val="0030657A"/>
    <w:rsid w:val="00322A85"/>
    <w:rsid w:val="00323DF3"/>
    <w:rsid w:val="00324168"/>
    <w:rsid w:val="00330652"/>
    <w:rsid w:val="00330834"/>
    <w:rsid w:val="003448F4"/>
    <w:rsid w:val="00347BCD"/>
    <w:rsid w:val="00351B4E"/>
    <w:rsid w:val="00374F5E"/>
    <w:rsid w:val="00377E3E"/>
    <w:rsid w:val="003859DC"/>
    <w:rsid w:val="003A779E"/>
    <w:rsid w:val="003B0581"/>
    <w:rsid w:val="003B7CC9"/>
    <w:rsid w:val="003D0F4D"/>
    <w:rsid w:val="003D5B0D"/>
    <w:rsid w:val="003D5E91"/>
    <w:rsid w:val="003E0499"/>
    <w:rsid w:val="003E4F80"/>
    <w:rsid w:val="003E6439"/>
    <w:rsid w:val="003F3941"/>
    <w:rsid w:val="003F42C9"/>
    <w:rsid w:val="00406575"/>
    <w:rsid w:val="00414C74"/>
    <w:rsid w:val="0042722E"/>
    <w:rsid w:val="00430E81"/>
    <w:rsid w:val="004314CE"/>
    <w:rsid w:val="0044528D"/>
    <w:rsid w:val="004532B8"/>
    <w:rsid w:val="00453A19"/>
    <w:rsid w:val="00461B76"/>
    <w:rsid w:val="0046561D"/>
    <w:rsid w:val="00466E39"/>
    <w:rsid w:val="0046769C"/>
    <w:rsid w:val="00474700"/>
    <w:rsid w:val="004765FF"/>
    <w:rsid w:val="00484507"/>
    <w:rsid w:val="00493650"/>
    <w:rsid w:val="004A1847"/>
    <w:rsid w:val="004A305D"/>
    <w:rsid w:val="004F21C4"/>
    <w:rsid w:val="004F685F"/>
    <w:rsid w:val="0052607D"/>
    <w:rsid w:val="00527C23"/>
    <w:rsid w:val="00542318"/>
    <w:rsid w:val="005500A9"/>
    <w:rsid w:val="005566E8"/>
    <w:rsid w:val="00573D87"/>
    <w:rsid w:val="005742F0"/>
    <w:rsid w:val="00574867"/>
    <w:rsid w:val="00591460"/>
    <w:rsid w:val="005A4AB3"/>
    <w:rsid w:val="005A65E0"/>
    <w:rsid w:val="005A74DA"/>
    <w:rsid w:val="005C3777"/>
    <w:rsid w:val="005C3B9C"/>
    <w:rsid w:val="005C5CDC"/>
    <w:rsid w:val="005D476C"/>
    <w:rsid w:val="005E2AF0"/>
    <w:rsid w:val="006002CA"/>
    <w:rsid w:val="00617BDC"/>
    <w:rsid w:val="006200BF"/>
    <w:rsid w:val="006219F8"/>
    <w:rsid w:val="006239F3"/>
    <w:rsid w:val="006302F7"/>
    <w:rsid w:val="00646B9F"/>
    <w:rsid w:val="00661313"/>
    <w:rsid w:val="00665D70"/>
    <w:rsid w:val="006857A4"/>
    <w:rsid w:val="006900D9"/>
    <w:rsid w:val="006A4266"/>
    <w:rsid w:val="006B418E"/>
    <w:rsid w:val="006D7524"/>
    <w:rsid w:val="006D7D48"/>
    <w:rsid w:val="006E73DC"/>
    <w:rsid w:val="006F3D8B"/>
    <w:rsid w:val="00706C16"/>
    <w:rsid w:val="00716543"/>
    <w:rsid w:val="00725164"/>
    <w:rsid w:val="007318C4"/>
    <w:rsid w:val="007340C3"/>
    <w:rsid w:val="007424F2"/>
    <w:rsid w:val="0075235A"/>
    <w:rsid w:val="00754837"/>
    <w:rsid w:val="00756841"/>
    <w:rsid w:val="007649AB"/>
    <w:rsid w:val="00771D0C"/>
    <w:rsid w:val="00773CEE"/>
    <w:rsid w:val="00775EFB"/>
    <w:rsid w:val="007833AC"/>
    <w:rsid w:val="007847CE"/>
    <w:rsid w:val="007A5697"/>
    <w:rsid w:val="007B268C"/>
    <w:rsid w:val="007B7171"/>
    <w:rsid w:val="007C0C0F"/>
    <w:rsid w:val="007C3DC2"/>
    <w:rsid w:val="007E5497"/>
    <w:rsid w:val="00805061"/>
    <w:rsid w:val="00806F5F"/>
    <w:rsid w:val="00820278"/>
    <w:rsid w:val="008258C9"/>
    <w:rsid w:val="00833BA8"/>
    <w:rsid w:val="008404DE"/>
    <w:rsid w:val="00844AE9"/>
    <w:rsid w:val="008652C8"/>
    <w:rsid w:val="00865706"/>
    <w:rsid w:val="00867F95"/>
    <w:rsid w:val="00877B38"/>
    <w:rsid w:val="008843B6"/>
    <w:rsid w:val="00885A43"/>
    <w:rsid w:val="00891928"/>
    <w:rsid w:val="00891A28"/>
    <w:rsid w:val="008A446D"/>
    <w:rsid w:val="008B25F1"/>
    <w:rsid w:val="008D180B"/>
    <w:rsid w:val="008F0EA7"/>
    <w:rsid w:val="008F1AA3"/>
    <w:rsid w:val="008F6794"/>
    <w:rsid w:val="00912E21"/>
    <w:rsid w:val="00923EEF"/>
    <w:rsid w:val="009419F9"/>
    <w:rsid w:val="009503DE"/>
    <w:rsid w:val="00950ABB"/>
    <w:rsid w:val="00954368"/>
    <w:rsid w:val="0095685E"/>
    <w:rsid w:val="00960412"/>
    <w:rsid w:val="00961B09"/>
    <w:rsid w:val="00965334"/>
    <w:rsid w:val="0097093E"/>
    <w:rsid w:val="0097123D"/>
    <w:rsid w:val="009A0DFA"/>
    <w:rsid w:val="009A1C6F"/>
    <w:rsid w:val="009B2D26"/>
    <w:rsid w:val="009B7D7F"/>
    <w:rsid w:val="009C2C4A"/>
    <w:rsid w:val="009C69CC"/>
    <w:rsid w:val="009C71FA"/>
    <w:rsid w:val="009C72E7"/>
    <w:rsid w:val="009C7F7E"/>
    <w:rsid w:val="009D3058"/>
    <w:rsid w:val="009D66ED"/>
    <w:rsid w:val="009F02F0"/>
    <w:rsid w:val="009F3A13"/>
    <w:rsid w:val="00A122D3"/>
    <w:rsid w:val="00A14468"/>
    <w:rsid w:val="00A17F13"/>
    <w:rsid w:val="00A20739"/>
    <w:rsid w:val="00A23AF9"/>
    <w:rsid w:val="00A33C78"/>
    <w:rsid w:val="00AB0ADB"/>
    <w:rsid w:val="00AB625D"/>
    <w:rsid w:val="00AB6FB6"/>
    <w:rsid w:val="00B00C0E"/>
    <w:rsid w:val="00B01B1A"/>
    <w:rsid w:val="00B0381D"/>
    <w:rsid w:val="00B06709"/>
    <w:rsid w:val="00B15543"/>
    <w:rsid w:val="00B17864"/>
    <w:rsid w:val="00B27D0D"/>
    <w:rsid w:val="00B37DCE"/>
    <w:rsid w:val="00B44A47"/>
    <w:rsid w:val="00B51F29"/>
    <w:rsid w:val="00B66F52"/>
    <w:rsid w:val="00B72CD3"/>
    <w:rsid w:val="00B72FFF"/>
    <w:rsid w:val="00B86F8B"/>
    <w:rsid w:val="00BB2B7D"/>
    <w:rsid w:val="00BB41EA"/>
    <w:rsid w:val="00BC0B7A"/>
    <w:rsid w:val="00BC3D36"/>
    <w:rsid w:val="00BD184A"/>
    <w:rsid w:val="00BD3CA9"/>
    <w:rsid w:val="00BD54A6"/>
    <w:rsid w:val="00BD7F72"/>
    <w:rsid w:val="00BF489B"/>
    <w:rsid w:val="00BF60E0"/>
    <w:rsid w:val="00BF7425"/>
    <w:rsid w:val="00C04FB3"/>
    <w:rsid w:val="00C11D8B"/>
    <w:rsid w:val="00C15139"/>
    <w:rsid w:val="00C330EB"/>
    <w:rsid w:val="00C50D69"/>
    <w:rsid w:val="00C5365C"/>
    <w:rsid w:val="00C57BB2"/>
    <w:rsid w:val="00C64F04"/>
    <w:rsid w:val="00C66C6E"/>
    <w:rsid w:val="00C709CB"/>
    <w:rsid w:val="00C754BE"/>
    <w:rsid w:val="00C76B1C"/>
    <w:rsid w:val="00C85657"/>
    <w:rsid w:val="00C925AC"/>
    <w:rsid w:val="00CB6357"/>
    <w:rsid w:val="00CC1B26"/>
    <w:rsid w:val="00CE3216"/>
    <w:rsid w:val="00CF34F3"/>
    <w:rsid w:val="00CF6D95"/>
    <w:rsid w:val="00D361FD"/>
    <w:rsid w:val="00D423A2"/>
    <w:rsid w:val="00D44E26"/>
    <w:rsid w:val="00D520D8"/>
    <w:rsid w:val="00D55AAB"/>
    <w:rsid w:val="00D63AC2"/>
    <w:rsid w:val="00D7383B"/>
    <w:rsid w:val="00D7788A"/>
    <w:rsid w:val="00D778CA"/>
    <w:rsid w:val="00DA1B27"/>
    <w:rsid w:val="00DA231B"/>
    <w:rsid w:val="00DA61A8"/>
    <w:rsid w:val="00DB7282"/>
    <w:rsid w:val="00DC39FC"/>
    <w:rsid w:val="00DF0D3D"/>
    <w:rsid w:val="00DF5254"/>
    <w:rsid w:val="00E02524"/>
    <w:rsid w:val="00E073BA"/>
    <w:rsid w:val="00E10056"/>
    <w:rsid w:val="00E16408"/>
    <w:rsid w:val="00E20894"/>
    <w:rsid w:val="00E245AB"/>
    <w:rsid w:val="00E26B5F"/>
    <w:rsid w:val="00E2764C"/>
    <w:rsid w:val="00E27F2E"/>
    <w:rsid w:val="00E32915"/>
    <w:rsid w:val="00E50AFE"/>
    <w:rsid w:val="00E57E1A"/>
    <w:rsid w:val="00E62D51"/>
    <w:rsid w:val="00E75C92"/>
    <w:rsid w:val="00E771DC"/>
    <w:rsid w:val="00E8772A"/>
    <w:rsid w:val="00E90F6B"/>
    <w:rsid w:val="00E92C27"/>
    <w:rsid w:val="00EA0E3D"/>
    <w:rsid w:val="00EA3FCE"/>
    <w:rsid w:val="00EA6DD1"/>
    <w:rsid w:val="00EC38A7"/>
    <w:rsid w:val="00EE1AA8"/>
    <w:rsid w:val="00F10523"/>
    <w:rsid w:val="00F1631F"/>
    <w:rsid w:val="00F23FEA"/>
    <w:rsid w:val="00F31EDC"/>
    <w:rsid w:val="00F3236C"/>
    <w:rsid w:val="00F43310"/>
    <w:rsid w:val="00F462B3"/>
    <w:rsid w:val="00F53484"/>
    <w:rsid w:val="00F55979"/>
    <w:rsid w:val="00F5664F"/>
    <w:rsid w:val="00F621A2"/>
    <w:rsid w:val="00F666C4"/>
    <w:rsid w:val="00F73DAB"/>
    <w:rsid w:val="00F76AFC"/>
    <w:rsid w:val="00F77F2D"/>
    <w:rsid w:val="00F80787"/>
    <w:rsid w:val="00FA47C0"/>
    <w:rsid w:val="00FB5DD1"/>
    <w:rsid w:val="00FC2B5D"/>
    <w:rsid w:val="00FC642B"/>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FE048FCA-4BBE-49C9-8067-EC0C6648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B625D"/>
    <w:rPr>
      <w:rFonts w:ascii="Geomanist Light" w:hAnsi="Geomanist Light"/>
      <w:lang w:val="es-ES"/>
    </w:rPr>
  </w:style>
  <w:style w:type="paragraph" w:customStyle="1" w:styleId="Appelnotedebasde">
    <w:name w:val="Appel note de bas de..."/>
    <w:basedOn w:val="Normal"/>
    <w:link w:val="Refdenotaalpie"/>
    <w:rsid w:val="006E73DC"/>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6513">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lmis.bruges%40colombiacompra.gov.co%7C7128555136e04fa6887d08dee99e1b50%7C7b09041e245149d08cb179d5e3d8c1be%7C0%7C0%7C639205062448313260%7CUnknown%7CTWFpbGZsb3d8eyJFbXB0eU1hcGkiOnRydWUsIlYiOiIwLjAuMDAwMCIsIlAiOiJXaW4zMiIsIkFOIjoiTWFpbCIsIldUIjoyfQ%3D%3D%7C0%7C%7C%7C&amp;sdata=PWB8ysTfGANaKDXK6eWlLOU%2BBqiJe%2BINY2KXAKdmwC4%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lmis.bruges%40colombiacompra.gov.co%7C7128555136e04fa6887d08dee99e1b50%7C7b09041e245149d08cb179d5e3d8c1be%7C0%7C0%7C639205062448449606%7CUnknown%7CTWFpbGZsb3d8eyJFbXB0eU1hcGkiOnRydWUsIlYiOiIwLjAuMDAwMCIsIlAiOiJXaW4zMiIsIkFOIjoiTWFpbCIsIldUIjoyfQ%3D%3D%7C0%7C%7C%7C&amp;sdata=T3S9FDtEoS67Wx8P%2FeZ4CtytwM37bW%2FCDD1BDi8JhU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esenis2002@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lmis.bruges%40colombiacompra.gov.co%7C7128555136e04fa6887d08dee99e1b50%7C7b09041e245149d08cb179d5e3d8c1be%7C0%7C0%7C639205062448418483%7CUnknown%7CTWFpbGZsb3d8eyJFbXB0eU1hcGkiOnRydWUsIlYiOiIwLjAuMDAwMCIsIlAiOiJXaW4zMiIsIkFOIjoiTWFpbCIsIldUIjoyfQ%3D%3D%7C0%7C%7C%7C&amp;sdata=Lw88GN50UcFim3kzSl9M8dlsx3kbnb54uQShTOIBvAw%3D&amp;reserved=0"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lmis.bruges%40colombiacompra.gov.co%7C7128555136e04fa6887d08dee99e1b50%7C7b09041e245149d08cb179d5e3d8c1be%7C0%7C0%7C639205062448374558%7CUnknown%7CTWFpbGZsb3d8eyJFbXB0eU1hcGkiOnRydWUsIlYiOiIwLjAuMDAwMCIsIlAiOiJXaW4zMiIsIkFOIjoiTWFpbCIsIldUIjoyfQ%3D%3D%7C0%7C%7C%7C&amp;sdata=r%2FZhRCHF9UzC0eh%2FV6T2oxgPtj8EHPV2B4oylbUVf%2BA%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18602C-8B32-4F0B-929C-8A20FE6D3728}"/>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5693</Words>
  <Characters>31315</Characters>
  <Application>Microsoft Office Word</Application>
  <DocSecurity>0</DocSecurity>
  <Lines>260</Lines>
  <Paragraphs>73</Paragraphs>
  <ScaleCrop>false</ScaleCrop>
  <Company/>
  <LinksUpToDate>false</LinksUpToDate>
  <CharactersWithSpaces>36935</CharactersWithSpaces>
  <SharedDoc>false</SharedDoc>
  <HLinks>
    <vt:vector size="42" baseType="variant">
      <vt:variant>
        <vt:i4>4456513</vt:i4>
      </vt:variant>
      <vt:variant>
        <vt:i4>18</vt:i4>
      </vt:variant>
      <vt:variant>
        <vt:i4>0</vt:i4>
      </vt:variant>
      <vt:variant>
        <vt:i4>5</vt:i4>
      </vt:variant>
      <vt:variant>
        <vt:lpwstr>https://forms.office.com/r/pPHyWVs2SZ</vt:lpwstr>
      </vt:variant>
      <vt:variant>
        <vt:lpwstr/>
      </vt:variant>
      <vt:variant>
        <vt:i4>3604592</vt:i4>
      </vt:variant>
      <vt:variant>
        <vt:i4>15</vt:i4>
      </vt:variant>
      <vt:variant>
        <vt:i4>0</vt:i4>
      </vt:variant>
      <vt:variant>
        <vt:i4>5</vt:i4>
      </vt:variant>
      <vt:variant>
        <vt:lpwstr>https://nam02.safelinks.protection.outlook.com/?url=https%3A%2F%2Fwww.colombiacompra.gov.co%2Farchivos%2Fboletin%2Fboletin-edicion-n-3-de-2026-radar-de-la-compra-publica&amp;data=05%7C02%7Ckelmis.bruges%40colombiacompra.gov.co%7C7128555136e04fa6887d08dee99e1b50%7C7b09041e245149d08cb179d5e3d8c1be%7C0%7C0%7C639205062448449606%7CUnknown%7CTWFpbGZsb3d8eyJFbXB0eU1hcGkiOnRydWUsIlYiOiIwLjAuMDAwMCIsIlAiOiJXaW4zMiIsIkFOIjoiTWFpbCIsIldUIjoyfQ%3D%3D%7C0%7C%7C%7C&amp;sdata=T3S9FDtEoS67Wx8P%2FeZ4CtytwM37bW%2FCDD1BDi8JhU4%3D&amp;reserved=0</vt:lpwstr>
      </vt:variant>
      <vt:variant>
        <vt:lpwstr/>
      </vt:variant>
      <vt:variant>
        <vt:i4>3473533</vt:i4>
      </vt:variant>
      <vt:variant>
        <vt:i4>12</vt:i4>
      </vt:variant>
      <vt:variant>
        <vt:i4>0</vt:i4>
      </vt:variant>
      <vt:variant>
        <vt:i4>5</vt:i4>
      </vt:variant>
      <vt:variant>
        <vt:lpwstr>https://nam02.safelinks.protection.outlook.com/?url=https%3A%2F%2Fwww.colombiacompra.gov.co%2Farchivos%2Fcircular%2Fcircular-externa-002-de-2026&amp;data=05%7C02%7Ckelmis.bruges%40colombiacompra.gov.co%7C7128555136e04fa6887d08dee99e1b50%7C7b09041e245149d08cb179d5e3d8c1be%7C0%7C0%7C639205062448418483%7CUnknown%7CTWFpbGZsb3d8eyJFbXB0eU1hcGkiOnRydWUsIlYiOiIwLjAuMDAwMCIsIlAiOiJXaW4zMiIsIkFOIjoiTWFpbCIsIldUIjoyfQ%3D%3D%7C0%7C%7C%7C&amp;sdata=Lw88GN50UcFim3kzSl9M8dlsx3kbnb54uQShTOIBvAw%3D&amp;reserved=0</vt:lpwstr>
      </vt:variant>
      <vt:variant>
        <vt:lpwstr/>
      </vt:variant>
      <vt:variant>
        <vt:i4>3407997</vt:i4>
      </vt:variant>
      <vt:variant>
        <vt:i4>9</vt:i4>
      </vt:variant>
      <vt:variant>
        <vt:i4>0</vt:i4>
      </vt:variant>
      <vt:variant>
        <vt:i4>5</vt:i4>
      </vt:variant>
      <vt:variant>
        <vt:lpwstr>https://nam02.safelinks.protection.outlook.com/?url=https%3A%2F%2Fwww.colombiacompra.gov.co%2Farchivos%2Fcircular%2Fcircular-externa-003-de-2026&amp;data=05%7C02%7Ckelmis.bruges%40colombiacompra.gov.co%7C7128555136e04fa6887d08dee99e1b50%7C7b09041e245149d08cb179d5e3d8c1be%7C0%7C0%7C639205062448374558%7CUnknown%7CTWFpbGZsb3d8eyJFbXB0eU1hcGkiOnRydWUsIlYiOiIwLjAuMDAwMCIsIlAiOiJXaW4zMiIsIkFOIjoiTWFpbCIsIldUIjoyfQ%3D%3D%7C0%7C%7C%7C&amp;sdata=r%2FZhRCHF9UzC0eh%2FV6T2oxgPtj8EHPV2B4oylbUVf%2BA%3D&amp;reserved=0</vt:lpwstr>
      </vt:variant>
      <vt:variant>
        <vt:lpwstr/>
      </vt:variant>
      <vt:variant>
        <vt:i4>2293885</vt:i4>
      </vt:variant>
      <vt:variant>
        <vt:i4>6</vt:i4>
      </vt:variant>
      <vt:variant>
        <vt:i4>0</vt:i4>
      </vt:variant>
      <vt:variant>
        <vt:i4>5</vt:i4>
      </vt:variant>
      <vt:variant>
        <vt:lpwstr>https://nam02.safelinks.protection.outlook.com/?url=https%3A%2F%2Fwww.colombiacompra.gov.co%2Farchivos%2Fmanual%2Fguia-de-garantias-en-procesos-de-contratacion&amp;data=05%7C02%7Ckelmis.bruges%40colombiacompra.gov.co%7C7128555136e04fa6887d08dee99e1b50%7C7b09041e245149d08cb179d5e3d8c1be%7C0%7C0%7C639205062448313260%7CUnknown%7CTWFpbGZsb3d8eyJFbXB0eU1hcGkiOnRydWUsIlYiOiIwLjAuMDAwMCIsIlAiOiJXaW4zMiIsIkFOIjoiTWFpbCIsIldUIjoyfQ%3D%3D%7C0%7C%7C%7C&amp;sdata=PWB8ysTfGANaKDXK6eWlLOU%2BBqiJe%2BINY2KXAKdmwC4%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1245220</vt:i4>
      </vt:variant>
      <vt:variant>
        <vt:i4>0</vt:i4>
      </vt:variant>
      <vt:variant>
        <vt:i4>0</vt:i4>
      </vt:variant>
      <vt:variant>
        <vt:i4>5</vt:i4>
      </vt:variant>
      <vt:variant>
        <vt:lpwstr>mailto:Yesenis2002@gmail.com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2023-01-11T00:18:00Z</cp:lastPrinted>
  <dcterms:created xsi:type="dcterms:W3CDTF">2026-08-25T21:01:00Z</dcterms:created>
  <dcterms:modified xsi:type="dcterms:W3CDTF">2026-08-25T21:01:00Z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