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A894D" w14:textId="77777777" w:rsidR="00356EF8" w:rsidRPr="00356EF8" w:rsidRDefault="00356EF8" w:rsidP="00356EF8">
      <w:pPr>
        <w:jc w:val="both"/>
        <w:rPr>
          <w:rFonts w:ascii="Verdana" w:eastAsia="Verdana" w:hAnsi="Verdana" w:cs="Verdana"/>
        </w:rPr>
      </w:pPr>
      <w:bookmarkStart w:id="0" w:name="_Hlk143780582"/>
      <w:r w:rsidRPr="00356EF8">
        <w:rPr>
          <w:rFonts w:ascii="Verdana" w:eastAsia="Verdana" w:hAnsi="Verdana" w:cs="Verdana"/>
          <w:b/>
          <w:bCs/>
        </w:rPr>
        <w:t>RÉGIMEN DE INHABILIDADES E INCOMPATIBILIDAD – Noción</w:t>
      </w:r>
    </w:p>
    <w:p w14:paraId="1641FA0F" w14:textId="77777777" w:rsidR="00356EF8" w:rsidRPr="00356EF8" w:rsidRDefault="00356EF8" w:rsidP="00356EF8">
      <w:pPr>
        <w:jc w:val="both"/>
        <w:rPr>
          <w:rFonts w:ascii="Verdana" w:eastAsia="Verdana" w:hAnsi="Verdana" w:cs="Verdana"/>
          <w:sz w:val="20"/>
          <w:szCs w:val="20"/>
        </w:rPr>
      </w:pPr>
      <w:r w:rsidRPr="00356EF8">
        <w:rPr>
          <w:rFonts w:ascii="Verdana" w:eastAsia="Verdana" w:hAnsi="Verdana" w:cs="Verdana"/>
          <w:sz w:val="20"/>
          <w:szCs w:val="20"/>
        </w:rPr>
        <w:t>[…] Varias disposiciones y exigencias especiales integran la regulación de la capacidad, como es el caso del régimen de inhabilidades e incompatibilidades, que se refiere al conjunto de enunciados normativos que imponen restricciones para los sujetos que pretendan celebrar contratos con las entidades estatales.</w:t>
      </w:r>
    </w:p>
    <w:p w14:paraId="7C22D5EE" w14:textId="77777777" w:rsidR="00356EF8" w:rsidRPr="00356EF8" w:rsidRDefault="00356EF8" w:rsidP="00356EF8">
      <w:pPr>
        <w:jc w:val="both"/>
        <w:rPr>
          <w:rFonts w:ascii="Verdana" w:eastAsia="Verdana" w:hAnsi="Verdana" w:cs="Verdana"/>
          <w:sz w:val="20"/>
          <w:szCs w:val="20"/>
        </w:rPr>
      </w:pPr>
      <w:r w:rsidRPr="00356EF8">
        <w:rPr>
          <w:rFonts w:ascii="Verdana" w:eastAsia="Verdana" w:hAnsi="Verdana" w:cs="Verdana"/>
          <w:sz w:val="20"/>
          <w:szCs w:val="20"/>
        </w:rPr>
        <w:t xml:space="preserve">Las </w:t>
      </w:r>
      <w:r w:rsidRPr="00356EF8">
        <w:rPr>
          <w:rFonts w:ascii="Verdana" w:eastAsia="Verdana" w:hAnsi="Verdana" w:cs="Verdana"/>
          <w:i/>
          <w:iCs/>
          <w:sz w:val="20"/>
          <w:szCs w:val="20"/>
        </w:rPr>
        <w:t>inhabilidades</w:t>
      </w:r>
      <w:r w:rsidRPr="00356EF8">
        <w:rPr>
          <w:rFonts w:ascii="Verdana" w:eastAsia="Verdana" w:hAnsi="Verdana" w:cs="Verdana"/>
          <w:sz w:val="20"/>
          <w:szCs w:val="20"/>
        </w:rPr>
        <w:t xml:space="preserve">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Mientras que, las </w:t>
      </w:r>
      <w:r w:rsidRPr="00356EF8">
        <w:rPr>
          <w:rFonts w:ascii="Verdana" w:eastAsia="Verdana" w:hAnsi="Verdana" w:cs="Verdana"/>
          <w:i/>
          <w:iCs/>
          <w:sz w:val="20"/>
          <w:szCs w:val="20"/>
        </w:rPr>
        <w:t>incompatibilidades</w:t>
      </w:r>
      <w:r w:rsidRPr="00356EF8">
        <w:rPr>
          <w:rFonts w:ascii="Verdana" w:eastAsia="Verdana" w:hAnsi="Verdana" w:cs="Verdana"/>
          <w:sz w:val="20"/>
          <w:szCs w:val="20"/>
        </w:rPr>
        <w:t xml:space="preserve"> son prohibiciones para participar en los procedimientos de selección y para celebrar contratos estatales, fundadas en que el sujeto interesado ostenta una calidad que no puede coexistir con el carácter del proponente o contratista del Estado.</w:t>
      </w:r>
    </w:p>
    <w:p w14:paraId="5F760C69" w14:textId="77777777" w:rsidR="00356EF8" w:rsidRPr="00356EF8" w:rsidRDefault="00356EF8" w:rsidP="00356EF8">
      <w:pPr>
        <w:jc w:val="both"/>
        <w:rPr>
          <w:rFonts w:ascii="Verdana" w:eastAsia="Verdana" w:hAnsi="Verdana" w:cs="Verdana"/>
          <w:b/>
          <w:bCs/>
        </w:rPr>
      </w:pPr>
      <w:r w:rsidRPr="00356EF8">
        <w:rPr>
          <w:rFonts w:ascii="Verdana" w:eastAsia="Verdana" w:hAnsi="Verdana" w:cs="Verdana"/>
          <w:b/>
          <w:bCs/>
        </w:rPr>
        <w:t>REGIMEN DE INHABILIDADES E INCOMPATIBILIDADES – Interpretación restrictiva</w:t>
      </w:r>
    </w:p>
    <w:p w14:paraId="4EC70936" w14:textId="77777777" w:rsidR="00356EF8" w:rsidRPr="00356EF8" w:rsidRDefault="00356EF8" w:rsidP="00356EF8">
      <w:pPr>
        <w:jc w:val="both"/>
        <w:rPr>
          <w:rFonts w:ascii="Verdana" w:eastAsia="Verdana" w:hAnsi="Verdana" w:cs="Verdana"/>
          <w:sz w:val="20"/>
          <w:szCs w:val="20"/>
        </w:rPr>
      </w:pPr>
      <w:r w:rsidRPr="00356EF8">
        <w:rPr>
          <w:rFonts w:ascii="Verdana" w:eastAsia="Verdana" w:hAnsi="Verdana" w:cs="Verdana"/>
          <w:sz w:val="20"/>
          <w:szCs w:val="20"/>
        </w:rPr>
        <w:t>[…] las inhabilidades e incompatibilidades son restricciones o límites especiales a la capacidad para presentar ofertas y celebrar contratos estatales. En consecuencia, solo pueden tipificarse en la ley –o sea, deben satisfacer el principio de legalidad– y su interpretación debe ser restrictiva, pues si se admitiera una interpretación amplia, extensiva o finalista de las mismas, los enunciados normativos podrían contemplar múltiples supuestos indeterminados, según el parecer o el sentido común de los operadores jurídicos, poniendo en riesgo los principios como la igualdad, el debido proceso, la libre concurrencia y el ejercicio de la profesión u oficio.</w:t>
      </w:r>
    </w:p>
    <w:p w14:paraId="44B93A21" w14:textId="77777777" w:rsidR="00356EF8" w:rsidRPr="00356EF8" w:rsidRDefault="00356EF8" w:rsidP="00356EF8">
      <w:pPr>
        <w:jc w:val="both"/>
        <w:rPr>
          <w:rFonts w:ascii="Verdana" w:eastAsia="Verdana" w:hAnsi="Verdana" w:cs="Verdana"/>
          <w:b/>
          <w:bCs/>
        </w:rPr>
      </w:pPr>
      <w:r w:rsidRPr="00356EF8">
        <w:rPr>
          <w:rFonts w:ascii="Verdana" w:eastAsia="Verdana" w:hAnsi="Verdana" w:cs="Verdana"/>
          <w:b/>
          <w:bCs/>
        </w:rPr>
        <w:t>INHABILIDADES E INCOMPATIBILIDADES – Sobreviniente</w:t>
      </w:r>
    </w:p>
    <w:p w14:paraId="10F7D1D8" w14:textId="77777777" w:rsidR="00356EF8" w:rsidRPr="00356EF8" w:rsidRDefault="00356EF8" w:rsidP="00356EF8">
      <w:pPr>
        <w:jc w:val="both"/>
        <w:rPr>
          <w:rFonts w:ascii="Verdana" w:eastAsia="Verdana" w:hAnsi="Verdana" w:cs="Verdana"/>
          <w:sz w:val="20"/>
          <w:szCs w:val="20"/>
        </w:rPr>
      </w:pPr>
      <w:r w:rsidRPr="00356EF8">
        <w:rPr>
          <w:rFonts w:ascii="Verdana" w:eastAsia="Verdana" w:hAnsi="Verdana" w:cs="Verdana"/>
          <w:sz w:val="20"/>
          <w:szCs w:val="20"/>
        </w:rPr>
        <w:t>es posible que la inhabilidad se configure cuando ya está perfeccionado el contrato o incluso durante su ejecución. Por ello es importante que las entidades verifiquen las inhabilidades no solo al momento de celebrar el contrato estatal, sino también durante su ejecución. En materia de contratación estatal, el mismo ordenamiento prevé una regulación especial para los casos en que la inhabilidad se presenta de manera sobreviniente.</w:t>
      </w:r>
    </w:p>
    <w:p w14:paraId="0E39F462" w14:textId="270B72CD" w:rsidR="00356EF8" w:rsidRPr="00356EF8" w:rsidRDefault="00356EF8" w:rsidP="00356EF8">
      <w:pPr>
        <w:jc w:val="both"/>
        <w:rPr>
          <w:rFonts w:ascii="Verdana" w:eastAsia="Verdana" w:hAnsi="Verdana" w:cs="Verdana"/>
          <w:sz w:val="20"/>
          <w:szCs w:val="20"/>
        </w:rPr>
      </w:pPr>
      <w:r w:rsidRPr="00356EF8">
        <w:rPr>
          <w:rFonts w:ascii="Verdana" w:eastAsia="Verdana" w:hAnsi="Verdana" w:cs="Verdana"/>
          <w:sz w:val="20"/>
          <w:szCs w:val="20"/>
        </w:rPr>
        <w:t>Al respecto, el artículo 9 de la Ley 80 de 1993 señala lo siguiente:</w:t>
      </w:r>
      <w:r w:rsidR="007B1A43">
        <w:rPr>
          <w:rFonts w:ascii="Verdana" w:eastAsia="Verdana" w:hAnsi="Verdana" w:cs="Verdana"/>
          <w:sz w:val="20"/>
          <w:szCs w:val="20"/>
        </w:rPr>
        <w:t xml:space="preserve"> </w:t>
      </w:r>
      <w:r w:rsidRPr="00356EF8">
        <w:rPr>
          <w:rFonts w:ascii="Verdana" w:eastAsia="Verdana" w:hAnsi="Verdana" w:cs="Verdana"/>
          <w:sz w:val="20"/>
          <w:szCs w:val="20"/>
        </w:rPr>
        <w:t>“</w:t>
      </w:r>
      <w:r w:rsidRPr="00356EF8">
        <w:rPr>
          <w:rFonts w:ascii="Verdana" w:eastAsia="Verdana" w:hAnsi="Verdana" w:cs="Verdana"/>
          <w:i/>
          <w:iCs/>
          <w:sz w:val="20"/>
          <w:szCs w:val="20"/>
        </w:rPr>
        <w:t>Si llegare a sobrevenir inhabilidad o incompatibilidad en el contratista, este cederá el contrato previa autorización escrita de la entidad contratante o, si ello no fuere posible, renunciará a su ejecución.</w:t>
      </w:r>
      <w:r w:rsidRPr="00356EF8">
        <w:rPr>
          <w:rFonts w:ascii="Verdana" w:eastAsia="Verdana" w:hAnsi="Verdana" w:cs="Verdana"/>
          <w:sz w:val="20"/>
          <w:szCs w:val="20"/>
        </w:rPr>
        <w:t xml:space="preserve"> Cuando la inhabilidad o incompatibilidad sobrevenga en un proponente dentro de un proceso de selección, se entenderá que renuncia a la participación en el proceso de selección y a los derechos surgidos del mismo. Si la inhabilidad o incompatibilidad sobreviene en uno de los miembros de un consorcio o unión temporal, este cederá su participación a un tercero previa autorización escrita de la entidad contratante. En </w:t>
      </w:r>
      <w:r w:rsidRPr="00356EF8">
        <w:rPr>
          <w:rFonts w:ascii="Verdana" w:eastAsia="Verdana" w:hAnsi="Verdana" w:cs="Verdana"/>
          <w:sz w:val="20"/>
          <w:szCs w:val="20"/>
        </w:rPr>
        <w:lastRenderedPageBreak/>
        <w:t>ningún caso podrá haber cesión del contrato entre quienes integran el consorcio o unión temporal. Parágrafo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 Para el caso de cesión, será la entidad contratante la encargada de determinar el cesionario del contrato.</w:t>
      </w:r>
    </w:p>
    <w:p w14:paraId="60610DD2" w14:textId="3711AB40" w:rsidR="00356EF8" w:rsidRPr="00356EF8" w:rsidRDefault="00356EF8" w:rsidP="00356EF8">
      <w:pPr>
        <w:jc w:val="both"/>
        <w:rPr>
          <w:rFonts w:ascii="Verdana" w:eastAsia="Verdana" w:hAnsi="Verdana" w:cs="Verdana"/>
          <w:b/>
          <w:bCs/>
        </w:rPr>
      </w:pPr>
      <w:r w:rsidRPr="00356EF8">
        <w:rPr>
          <w:rFonts w:ascii="Verdana" w:eastAsia="Verdana" w:hAnsi="Verdana" w:cs="Verdana"/>
          <w:b/>
          <w:bCs/>
        </w:rPr>
        <w:t xml:space="preserve">INHABILIDAD PARA CONTRATAR – Ley 80 de 1993 </w:t>
      </w:r>
      <w:r w:rsidR="004B28BD" w:rsidRPr="004B28BD">
        <w:rPr>
          <w:rFonts w:ascii="Verdana" w:eastAsia="Verdana" w:hAnsi="Verdana" w:cs="Verdana"/>
          <w:b/>
          <w:bCs/>
          <w:lang w:val="es-ES"/>
        </w:rPr>
        <w:t>–</w:t>
      </w:r>
      <w:r w:rsidRPr="00356EF8">
        <w:rPr>
          <w:rFonts w:ascii="Verdana" w:eastAsia="Verdana" w:hAnsi="Verdana" w:cs="Verdana"/>
          <w:b/>
          <w:bCs/>
        </w:rPr>
        <w:t xml:space="preserve"> Inciso B Numeral 2º Artículo 8</w:t>
      </w:r>
    </w:p>
    <w:p w14:paraId="065C104D" w14:textId="77777777" w:rsidR="00356EF8" w:rsidRPr="00356EF8" w:rsidRDefault="00356EF8" w:rsidP="00356EF8">
      <w:pPr>
        <w:jc w:val="both"/>
        <w:rPr>
          <w:rFonts w:ascii="Verdana" w:eastAsia="Verdana" w:hAnsi="Verdana" w:cs="Verdana"/>
          <w:sz w:val="20"/>
          <w:szCs w:val="20"/>
        </w:rPr>
      </w:pPr>
      <w:r w:rsidRPr="00356EF8">
        <w:rPr>
          <w:rFonts w:ascii="Verdana" w:eastAsia="Verdana" w:hAnsi="Verdana" w:cs="Verdana"/>
          <w:sz w:val="20"/>
          <w:szCs w:val="20"/>
        </w:rPr>
        <w:t xml:space="preserve">[…] en el caso en que se llegue a presentar una inhabilidad o incompatibilidad durante la ejecución del contrato estatal, el contratista tiene dos opciones: Primero, ceder el contrato, previa autorización escrita de la Entidad Estatal y, Segundo, en el caso en que la cesión no fuere posible, deberá renunciar a la ejecución del contrato, y en este punto se procedería a la terminación de este y posterior liquidación. En ese sentido, si durante la ejecución del contrato se llega a configurar la inhabilidad contemplada en </w:t>
      </w:r>
      <w:r w:rsidRPr="00356EF8">
        <w:rPr>
          <w:rFonts w:ascii="Verdana" w:eastAsia="Verdana" w:hAnsi="Verdana" w:cs="Verdana"/>
          <w:i/>
          <w:iCs/>
          <w:sz w:val="20"/>
          <w:szCs w:val="20"/>
        </w:rPr>
        <w:t>el inciso b del numeral 2º del artículo 8 de la Ley 80 de 1993</w:t>
      </w:r>
      <w:r w:rsidRPr="00356EF8">
        <w:rPr>
          <w:rFonts w:ascii="Verdana" w:eastAsia="Verdana" w:hAnsi="Verdana" w:cs="Verdana"/>
          <w:sz w:val="20"/>
          <w:szCs w:val="20"/>
        </w:rPr>
        <w:t>, se configuraría una inhabilidad sobreviniente y la entidad deberá proceder a su cesión o terminación, pues el Estatuto solo contempló estas dos opciones.</w:t>
      </w:r>
    </w:p>
    <w:p w14:paraId="6BDF4237" w14:textId="4077566B" w:rsidR="003C2B9C" w:rsidRDefault="003C2B9C">
      <w:pPr>
        <w:rPr>
          <w:rFonts w:ascii="Verdana" w:eastAsia="Verdana" w:hAnsi="Verdana" w:cs="Verdana"/>
        </w:rPr>
      </w:pPr>
    </w:p>
    <w:p w14:paraId="1EF88816" w14:textId="77777777" w:rsidR="00356EF8" w:rsidRDefault="00356EF8">
      <w:pPr>
        <w:rPr>
          <w:rFonts w:ascii="Verdana" w:eastAsia="Verdana" w:hAnsi="Verdana" w:cs="Verdana"/>
        </w:rPr>
      </w:pPr>
    </w:p>
    <w:p w14:paraId="1855959C" w14:textId="77777777" w:rsidR="00356EF8" w:rsidRDefault="00356EF8">
      <w:pPr>
        <w:rPr>
          <w:rFonts w:ascii="Verdana" w:eastAsia="Verdana" w:hAnsi="Verdana" w:cs="Verdana"/>
        </w:rPr>
      </w:pPr>
    </w:p>
    <w:p w14:paraId="487DF749" w14:textId="77777777" w:rsidR="00356EF8" w:rsidRDefault="00356EF8">
      <w:pPr>
        <w:rPr>
          <w:rFonts w:ascii="Verdana" w:eastAsia="Verdana" w:hAnsi="Verdana" w:cs="Verdana"/>
        </w:rPr>
      </w:pPr>
    </w:p>
    <w:p w14:paraId="2E2AEA07" w14:textId="77777777" w:rsidR="00356EF8" w:rsidRDefault="00356EF8">
      <w:pPr>
        <w:rPr>
          <w:rFonts w:ascii="Verdana" w:eastAsia="Verdana" w:hAnsi="Verdana" w:cs="Verdana"/>
        </w:rPr>
      </w:pPr>
    </w:p>
    <w:p w14:paraId="7F8CB9A3" w14:textId="77777777" w:rsidR="00356EF8" w:rsidRDefault="00356EF8">
      <w:pPr>
        <w:rPr>
          <w:rFonts w:ascii="Verdana" w:eastAsia="Verdana" w:hAnsi="Verdana" w:cs="Verdana"/>
        </w:rPr>
      </w:pPr>
    </w:p>
    <w:p w14:paraId="17E729C2" w14:textId="77777777" w:rsidR="00356EF8" w:rsidRDefault="00356EF8">
      <w:pPr>
        <w:rPr>
          <w:rFonts w:ascii="Verdana" w:eastAsia="Verdana" w:hAnsi="Verdana" w:cs="Verdana"/>
        </w:rPr>
      </w:pPr>
    </w:p>
    <w:p w14:paraId="3237BA9D" w14:textId="77777777" w:rsidR="00356EF8" w:rsidRDefault="00356EF8">
      <w:pPr>
        <w:rPr>
          <w:rFonts w:ascii="Verdana" w:eastAsia="Verdana" w:hAnsi="Verdana" w:cs="Verdana"/>
        </w:rPr>
      </w:pPr>
    </w:p>
    <w:p w14:paraId="3553B193" w14:textId="77777777" w:rsidR="00356EF8" w:rsidRDefault="00356EF8">
      <w:pPr>
        <w:rPr>
          <w:rFonts w:ascii="Verdana" w:eastAsia="Verdana" w:hAnsi="Verdana" w:cs="Verdana"/>
        </w:rPr>
      </w:pPr>
    </w:p>
    <w:p w14:paraId="5A1802E1" w14:textId="77777777" w:rsidR="00356EF8" w:rsidRDefault="00356EF8">
      <w:pPr>
        <w:rPr>
          <w:rFonts w:ascii="Verdana" w:eastAsia="Verdana" w:hAnsi="Verdana" w:cs="Verdana"/>
        </w:rPr>
      </w:pPr>
    </w:p>
    <w:p w14:paraId="580428A7" w14:textId="77777777" w:rsidR="00356EF8" w:rsidRDefault="00356EF8">
      <w:pPr>
        <w:rPr>
          <w:rFonts w:ascii="Verdana" w:eastAsia="Verdana" w:hAnsi="Verdana" w:cs="Verdana"/>
        </w:rPr>
      </w:pPr>
    </w:p>
    <w:p w14:paraId="1EA89579" w14:textId="77777777" w:rsidR="00356EF8" w:rsidRDefault="00356EF8">
      <w:pPr>
        <w:rPr>
          <w:rFonts w:ascii="Verdana" w:eastAsia="Verdana" w:hAnsi="Verdana" w:cs="Verdana"/>
        </w:rPr>
      </w:pPr>
    </w:p>
    <w:p w14:paraId="7475A9F6" w14:textId="77777777" w:rsidR="004B28BD" w:rsidRDefault="004B28BD" w:rsidP="00FD33C0">
      <w:pPr>
        <w:spacing w:after="0" w:line="240" w:lineRule="auto"/>
        <w:rPr>
          <w:rFonts w:ascii="Verdana" w:eastAsia="Verdana" w:hAnsi="Verdana" w:cs="Verdana"/>
        </w:rPr>
      </w:pPr>
    </w:p>
    <w:p w14:paraId="4AE0F6D5" w14:textId="77777777" w:rsidR="004B28BD" w:rsidRDefault="00C15139" w:rsidP="00FD33C0">
      <w:pPr>
        <w:spacing w:after="0" w:line="240" w:lineRule="auto"/>
        <w:rPr>
          <w:rFonts w:ascii="Verdana" w:eastAsia="Verdana" w:hAnsi="Verdana" w:cs="Verdana"/>
        </w:rPr>
      </w:pPr>
      <w:r w:rsidRPr="00FD33C0">
        <w:rPr>
          <w:rFonts w:ascii="Verdana" w:eastAsia="Verdana" w:hAnsi="Verdana" w:cs="Verdana"/>
        </w:rPr>
        <w:lastRenderedPageBreak/>
        <w:t xml:space="preserve">Bogotá D.C., </w:t>
      </w:r>
      <w:r w:rsidR="008D7DC4">
        <w:rPr>
          <w:rFonts w:ascii="Verdana" w:eastAsia="Verdana" w:hAnsi="Verdana" w:cs="Verdana"/>
        </w:rPr>
        <w:t xml:space="preserve">31 </w:t>
      </w:r>
      <w:r w:rsidR="004B28BD">
        <w:rPr>
          <w:rFonts w:ascii="Verdana" w:eastAsia="Verdana" w:hAnsi="Verdana" w:cs="Verdana"/>
        </w:rPr>
        <w:t>de agosto de</w:t>
      </w:r>
      <w:r w:rsidR="008D7DC4">
        <w:rPr>
          <w:rFonts w:ascii="Verdana" w:eastAsia="Verdana" w:hAnsi="Verdana" w:cs="Verdana"/>
        </w:rPr>
        <w:t xml:space="preserve"> 2026</w:t>
      </w:r>
    </w:p>
    <w:p w14:paraId="091B156D" w14:textId="77777777" w:rsidR="004B28BD" w:rsidRDefault="004B28BD" w:rsidP="00FD33C0">
      <w:pPr>
        <w:spacing w:after="0" w:line="240" w:lineRule="auto"/>
        <w:rPr>
          <w:rFonts w:ascii="Verdana" w:eastAsia="Verdana" w:hAnsi="Verdana" w:cs="Verdana"/>
        </w:rPr>
      </w:pPr>
    </w:p>
    <w:p w14:paraId="1468C46D" w14:textId="336A1E59" w:rsidR="00C15139" w:rsidRDefault="00C15139" w:rsidP="00FD33C0">
      <w:pPr>
        <w:spacing w:after="0" w:line="240" w:lineRule="auto"/>
        <w:rPr>
          <w:rFonts w:ascii="Verdana" w:hAnsi="Verdana"/>
        </w:rPr>
      </w:pPr>
      <w:r w:rsidRPr="00FD33C0">
        <w:rPr>
          <w:rFonts w:ascii="Verdana" w:hAnsi="Verdana"/>
        </w:rPr>
        <w:tab/>
      </w:r>
    </w:p>
    <w:p w14:paraId="59F1D686" w14:textId="504BF56F" w:rsidR="003C2B9C" w:rsidRPr="00FD33C0" w:rsidRDefault="003C2B9C" w:rsidP="00FD33C0">
      <w:pPr>
        <w:spacing w:after="0" w:line="240" w:lineRule="auto"/>
        <w:rPr>
          <w:rFonts w:ascii="Verdana" w:eastAsia="Verdana" w:hAnsi="Verdana" w:cs="Verdana"/>
        </w:rPr>
      </w:pPr>
    </w:p>
    <w:p w14:paraId="00B2B8CF" w14:textId="4EAAE706" w:rsidR="00E14AA7" w:rsidRPr="00FD33C0" w:rsidRDefault="004B28BD" w:rsidP="00FD33C0">
      <w:pPr>
        <w:spacing w:after="0" w:line="240" w:lineRule="auto"/>
        <w:jc w:val="both"/>
        <w:rPr>
          <w:rFonts w:ascii="Verdana" w:eastAsia="Calibri" w:hAnsi="Verdana" w:cs="Arial"/>
          <w:lang w:val="es-ES" w:eastAsia="es-ES"/>
        </w:rPr>
      </w:pPr>
      <w:r w:rsidRPr="008D7DC4">
        <w:rPr>
          <w:rFonts w:ascii="Verdana" w:eastAsia="Calibri" w:hAnsi="Verdana" w:cs="Arial"/>
          <w:noProof/>
          <w:lang w:val="es-ES" w:eastAsia="es-ES"/>
        </w:rPr>
        <w:drawing>
          <wp:anchor distT="0" distB="0" distL="114300" distR="114300" simplePos="0" relativeHeight="251658240" behindDoc="0" locked="0" layoutInCell="1" allowOverlap="1" wp14:anchorId="4D8AEDFC" wp14:editId="2CB03818">
            <wp:simplePos x="0" y="0"/>
            <wp:positionH relativeFrom="margin">
              <wp:align>right</wp:align>
            </wp:positionH>
            <wp:positionV relativeFrom="paragraph">
              <wp:posOffset>12065</wp:posOffset>
            </wp:positionV>
            <wp:extent cx="2419350" cy="897890"/>
            <wp:effectExtent l="0" t="0" r="0" b="0"/>
            <wp:wrapSquare wrapText="bothSides"/>
            <wp:docPr id="10762397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239752" name=""/>
                    <pic:cNvPicPr/>
                  </pic:nvPicPr>
                  <pic:blipFill>
                    <a:blip r:embed="rId10">
                      <a:extLst>
                        <a:ext uri="{28A0092B-C50C-407E-A947-70E740481C1C}">
                          <a14:useLocalDpi xmlns:a14="http://schemas.microsoft.com/office/drawing/2010/main" val="0"/>
                        </a:ext>
                      </a:extLst>
                    </a:blip>
                    <a:stretch>
                      <a:fillRect/>
                    </a:stretch>
                  </pic:blipFill>
                  <pic:spPr>
                    <a:xfrm>
                      <a:off x="0" y="0"/>
                      <a:ext cx="2426377" cy="901108"/>
                    </a:xfrm>
                    <a:prstGeom prst="rect">
                      <a:avLst/>
                    </a:prstGeom>
                  </pic:spPr>
                </pic:pic>
              </a:graphicData>
            </a:graphic>
            <wp14:sizeRelV relativeFrom="margin">
              <wp14:pctHeight>0</wp14:pctHeight>
            </wp14:sizeRelV>
          </wp:anchor>
        </w:drawing>
      </w:r>
      <w:r w:rsidR="00E14AA7" w:rsidRPr="00FD33C0">
        <w:rPr>
          <w:rFonts w:ascii="Verdana" w:eastAsia="Calibri" w:hAnsi="Verdana" w:cs="Arial"/>
          <w:lang w:val="es-ES" w:eastAsia="es-ES"/>
        </w:rPr>
        <w:t xml:space="preserve">Señor </w:t>
      </w:r>
    </w:p>
    <w:p w14:paraId="63689E29" w14:textId="5BAEA146" w:rsidR="00E14AA7" w:rsidRPr="00FD33C0" w:rsidRDefault="00E14AA7" w:rsidP="00FD33C0">
      <w:pPr>
        <w:spacing w:after="0" w:line="240" w:lineRule="auto"/>
        <w:jc w:val="both"/>
        <w:rPr>
          <w:rFonts w:ascii="Verdana" w:eastAsia="Calibri" w:hAnsi="Verdana" w:cs="Arial"/>
          <w:b/>
          <w:bCs/>
          <w:lang w:val="es-ES" w:eastAsia="es-ES"/>
        </w:rPr>
      </w:pPr>
      <w:proofErr w:type="spellStart"/>
      <w:r w:rsidRPr="00FD33C0">
        <w:rPr>
          <w:rFonts w:ascii="Verdana" w:eastAsia="Calibri" w:hAnsi="Verdana" w:cs="Arial"/>
          <w:b/>
          <w:bCs/>
          <w:lang w:val="es-ES" w:eastAsia="es-ES"/>
        </w:rPr>
        <w:t>Dawer</w:t>
      </w:r>
      <w:proofErr w:type="spellEnd"/>
      <w:r w:rsidRPr="00FD33C0">
        <w:rPr>
          <w:rFonts w:ascii="Verdana" w:eastAsia="Calibri" w:hAnsi="Verdana" w:cs="Arial"/>
          <w:b/>
          <w:bCs/>
          <w:lang w:val="es-ES" w:eastAsia="es-ES"/>
        </w:rPr>
        <w:t xml:space="preserve"> Rivera Zamudio</w:t>
      </w:r>
    </w:p>
    <w:p w14:paraId="3F88773E" w14:textId="77777777" w:rsidR="00E14AA7" w:rsidRPr="00FD33C0" w:rsidRDefault="00E14AA7" w:rsidP="00FD33C0">
      <w:pPr>
        <w:spacing w:after="0" w:line="240" w:lineRule="auto"/>
        <w:jc w:val="both"/>
        <w:rPr>
          <w:rFonts w:ascii="Verdana" w:eastAsia="Calibri" w:hAnsi="Verdana" w:cs="Arial"/>
          <w:b/>
          <w:bCs/>
          <w:lang w:val="es-ES" w:eastAsia="es-ES"/>
        </w:rPr>
      </w:pPr>
      <w:hyperlink r:id="rId11" w:history="1">
        <w:r w:rsidRPr="00FD33C0">
          <w:rPr>
            <w:rStyle w:val="Hipervnculo"/>
            <w:rFonts w:ascii="Verdana" w:eastAsia="Calibri" w:hAnsi="Verdana" w:cs="Arial"/>
            <w:b/>
            <w:bCs/>
            <w:lang w:val="es-ES" w:eastAsia="es-ES"/>
          </w:rPr>
          <w:t>Dawe.rivera@gmail.com</w:t>
        </w:r>
      </w:hyperlink>
      <w:r w:rsidRPr="00FD33C0">
        <w:rPr>
          <w:rFonts w:ascii="Verdana" w:eastAsia="Calibri" w:hAnsi="Verdana" w:cs="Arial"/>
          <w:b/>
          <w:bCs/>
          <w:lang w:val="es-ES" w:eastAsia="es-ES"/>
        </w:rPr>
        <w:t xml:space="preserve"> </w:t>
      </w:r>
    </w:p>
    <w:p w14:paraId="71535D7D" w14:textId="3FF5D039" w:rsidR="00E14AA7" w:rsidRDefault="00E14AA7" w:rsidP="00FD33C0">
      <w:pPr>
        <w:spacing w:after="0" w:line="240" w:lineRule="auto"/>
        <w:jc w:val="both"/>
        <w:rPr>
          <w:rFonts w:ascii="Verdana" w:eastAsia="Calibri" w:hAnsi="Verdana" w:cs="Arial"/>
          <w:lang w:val="es-ES" w:eastAsia="es-ES"/>
        </w:rPr>
      </w:pPr>
      <w:r w:rsidRPr="00FD33C0">
        <w:rPr>
          <w:rFonts w:ascii="Verdana" w:eastAsia="Calibri" w:hAnsi="Verdana" w:cs="Arial"/>
          <w:lang w:val="es-ES" w:eastAsia="es-ES"/>
        </w:rPr>
        <w:t>Garagoa, Boyacá.</w:t>
      </w:r>
    </w:p>
    <w:p w14:paraId="12F52A3B" w14:textId="77777777" w:rsidR="008D7DC4" w:rsidRDefault="008D7DC4" w:rsidP="00FD33C0">
      <w:pPr>
        <w:spacing w:after="0" w:line="240" w:lineRule="auto"/>
        <w:jc w:val="both"/>
        <w:rPr>
          <w:rFonts w:ascii="Verdana" w:eastAsia="Calibri" w:hAnsi="Verdana" w:cs="Arial"/>
          <w:lang w:val="es-ES" w:eastAsia="es-ES"/>
        </w:rPr>
      </w:pPr>
    </w:p>
    <w:p w14:paraId="5FB0B947" w14:textId="1CC1B78A" w:rsidR="008D7DC4" w:rsidRPr="00FD33C0" w:rsidRDefault="008D7DC4" w:rsidP="008D7DC4">
      <w:pPr>
        <w:spacing w:after="0" w:line="240" w:lineRule="auto"/>
        <w:ind w:left="708"/>
        <w:jc w:val="right"/>
        <w:rPr>
          <w:rFonts w:ascii="Verdana" w:eastAsia="Calibri" w:hAnsi="Verdana" w:cs="Arial"/>
          <w:lang w:val="es-ES" w:eastAsia="es-ES"/>
        </w:rPr>
      </w:pPr>
    </w:p>
    <w:p w14:paraId="263667B1" w14:textId="77777777" w:rsidR="00E14AA7" w:rsidRPr="00FD33C0" w:rsidRDefault="00E14AA7" w:rsidP="00FD33C0">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14AA7" w:rsidRPr="00FD33C0" w14:paraId="4B74F64A" w14:textId="77777777" w:rsidTr="00FD33C0">
        <w:trPr>
          <w:trHeight w:val="290"/>
        </w:trPr>
        <w:tc>
          <w:tcPr>
            <w:tcW w:w="2689" w:type="dxa"/>
          </w:tcPr>
          <w:p w14:paraId="1034BEB4" w14:textId="77777777" w:rsidR="00E14AA7" w:rsidRPr="00FD33C0" w:rsidRDefault="00E14AA7" w:rsidP="00FD33C0">
            <w:pPr>
              <w:jc w:val="both"/>
              <w:rPr>
                <w:rFonts w:ascii="Verdana" w:eastAsia="Calibri" w:hAnsi="Verdana" w:cs="Arial"/>
                <w:b/>
                <w:bCs/>
                <w:color w:val="7030A0"/>
                <w:lang w:val="es-ES_tradnl" w:eastAsia="es-ES_tradnl"/>
              </w:rPr>
            </w:pPr>
          </w:p>
        </w:tc>
        <w:tc>
          <w:tcPr>
            <w:tcW w:w="6100" w:type="dxa"/>
          </w:tcPr>
          <w:p w14:paraId="4943BF1A" w14:textId="77777777" w:rsidR="00E14AA7" w:rsidRDefault="00E14AA7" w:rsidP="00FD33C0">
            <w:pPr>
              <w:jc w:val="both"/>
              <w:rPr>
                <w:rFonts w:ascii="Verdana" w:eastAsia="Calibri" w:hAnsi="Verdana" w:cs="Arial"/>
                <w:b/>
                <w:bCs/>
                <w:lang w:val="es-ES" w:eastAsia="es-ES"/>
              </w:rPr>
            </w:pPr>
            <w:r w:rsidRPr="00FD33C0">
              <w:rPr>
                <w:rFonts w:ascii="Verdana" w:eastAsia="Calibri" w:hAnsi="Verdana" w:cs="Arial"/>
                <w:b/>
                <w:bCs/>
                <w:lang w:val="es-ES" w:eastAsia="es-ES"/>
              </w:rPr>
              <w:t xml:space="preserve"> Concepto </w:t>
            </w:r>
            <w:r w:rsidRPr="00FD33C0">
              <w:rPr>
                <w:rFonts w:ascii="Verdana" w:eastAsia="Calibri" w:hAnsi="Verdana" w:cs="Arial"/>
                <w:b/>
                <w:bCs/>
                <w:lang w:eastAsia="es-ES"/>
              </w:rPr>
              <w:t xml:space="preserve">C-1160 </w:t>
            </w:r>
            <w:r w:rsidRPr="00FD33C0">
              <w:rPr>
                <w:rFonts w:ascii="Verdana" w:eastAsia="Calibri" w:hAnsi="Verdana" w:cs="Arial"/>
                <w:b/>
                <w:bCs/>
                <w:lang w:val="es-ES" w:eastAsia="es-ES"/>
              </w:rPr>
              <w:t xml:space="preserve">de 2026 </w:t>
            </w:r>
          </w:p>
          <w:p w14:paraId="5284CB38" w14:textId="778520AF" w:rsidR="00FD33C0" w:rsidRPr="00FD33C0" w:rsidRDefault="00FD33C0" w:rsidP="00FD33C0">
            <w:pPr>
              <w:jc w:val="both"/>
              <w:rPr>
                <w:rFonts w:ascii="Verdana" w:eastAsia="Calibri" w:hAnsi="Verdana" w:cs="Arial"/>
                <w:b/>
                <w:bCs/>
                <w:lang w:val="es-ES" w:eastAsia="es-ES"/>
              </w:rPr>
            </w:pPr>
          </w:p>
        </w:tc>
      </w:tr>
      <w:tr w:rsidR="00E14AA7" w:rsidRPr="00FD33C0" w14:paraId="679312DD" w14:textId="77777777" w:rsidTr="000C674B">
        <w:trPr>
          <w:trHeight w:val="1967"/>
        </w:trPr>
        <w:tc>
          <w:tcPr>
            <w:tcW w:w="2689" w:type="dxa"/>
          </w:tcPr>
          <w:p w14:paraId="611951A4" w14:textId="77777777" w:rsidR="00E14AA7" w:rsidRPr="00FD33C0" w:rsidRDefault="00E14AA7" w:rsidP="00FD33C0">
            <w:pPr>
              <w:jc w:val="both"/>
              <w:rPr>
                <w:rFonts w:ascii="Verdana" w:eastAsia="Calibri" w:hAnsi="Verdana" w:cs="Arial"/>
                <w:color w:val="000000"/>
                <w:lang w:val="es-ES_tradnl" w:eastAsia="es-ES_tradnl"/>
              </w:rPr>
            </w:pPr>
            <w:r w:rsidRPr="00FD33C0">
              <w:rPr>
                <w:rFonts w:ascii="Verdana" w:eastAsia="Calibri" w:hAnsi="Verdana" w:cs="Arial"/>
                <w:b/>
                <w:color w:val="000000"/>
                <w:lang w:val="es-ES_tradnl" w:eastAsia="es-ES_tradnl"/>
              </w:rPr>
              <w:t>Temas:</w:t>
            </w:r>
            <w:r w:rsidRPr="00FD33C0">
              <w:rPr>
                <w:rFonts w:ascii="Verdana" w:eastAsia="Calibri" w:hAnsi="Verdana" w:cs="Arial"/>
                <w:color w:val="000000"/>
                <w:lang w:val="es-ES_tradnl" w:eastAsia="es-ES_tradnl"/>
              </w:rPr>
              <w:t xml:space="preserve">                   </w:t>
            </w:r>
          </w:p>
        </w:tc>
        <w:tc>
          <w:tcPr>
            <w:tcW w:w="6100" w:type="dxa"/>
          </w:tcPr>
          <w:p w14:paraId="235DFBD6" w14:textId="7C8B5F1A" w:rsidR="00E14AA7" w:rsidRPr="00FD33C0" w:rsidRDefault="00E14AA7" w:rsidP="00FD33C0">
            <w:pPr>
              <w:jc w:val="both"/>
              <w:rPr>
                <w:rFonts w:ascii="Verdana" w:eastAsia="Calibri" w:hAnsi="Verdana"/>
                <w:lang w:eastAsia="es-ES"/>
              </w:rPr>
            </w:pPr>
            <w:r w:rsidRPr="00FD33C0">
              <w:rPr>
                <w:rFonts w:ascii="Verdana" w:eastAsia="Calibri" w:hAnsi="Verdana"/>
                <w:lang w:eastAsia="es-ES"/>
              </w:rPr>
              <w:t xml:space="preserve">RÉGIMEN DE INHABILIDADES E INCOMPATIBILIDAD – Noción / REGIMEN DE INHABILIDADES E INCOMPATIBILIDADES – Interpretación restrictiva / INHABILIDADES E INCOMPATIBILIDADES – Sobreviniente / INHABILIDAD PARA CONTRATAR – Ley 80 de 1993 </w:t>
            </w:r>
            <w:r w:rsidR="004B28BD" w:rsidRPr="004B28BD">
              <w:rPr>
                <w:rFonts w:ascii="Verdana" w:eastAsia="Calibri" w:hAnsi="Verdana"/>
                <w:b/>
                <w:bCs/>
                <w:lang w:val="es-ES" w:eastAsia="es-ES"/>
              </w:rPr>
              <w:t>–</w:t>
            </w:r>
            <w:r w:rsidRPr="00FD33C0">
              <w:rPr>
                <w:rFonts w:ascii="Verdana" w:eastAsia="Calibri" w:hAnsi="Verdana"/>
                <w:lang w:eastAsia="es-ES"/>
              </w:rPr>
              <w:t xml:space="preserve"> Inciso B Numeral 2º Artículo 8</w:t>
            </w:r>
          </w:p>
        </w:tc>
      </w:tr>
      <w:tr w:rsidR="00E14AA7" w:rsidRPr="00FD33C0" w14:paraId="49884E56" w14:textId="77777777" w:rsidTr="000C674B">
        <w:trPr>
          <w:trHeight w:val="328"/>
        </w:trPr>
        <w:tc>
          <w:tcPr>
            <w:tcW w:w="2689" w:type="dxa"/>
          </w:tcPr>
          <w:p w14:paraId="10478520" w14:textId="77777777" w:rsidR="00E14AA7" w:rsidRPr="00FD33C0" w:rsidRDefault="00E14AA7" w:rsidP="00FD33C0">
            <w:pPr>
              <w:jc w:val="both"/>
              <w:rPr>
                <w:rFonts w:ascii="Verdana" w:eastAsia="Calibri" w:hAnsi="Verdana" w:cs="Arial"/>
                <w:b/>
                <w:lang w:val="es-ES_tradnl" w:eastAsia="es-ES_tradnl"/>
              </w:rPr>
            </w:pPr>
            <w:r w:rsidRPr="00FD33C0">
              <w:rPr>
                <w:rFonts w:ascii="Verdana" w:eastAsia="Calibri" w:hAnsi="Verdana" w:cs="Arial"/>
                <w:b/>
                <w:lang w:val="es-ES_tradnl" w:eastAsia="es-ES_tradnl"/>
              </w:rPr>
              <w:t xml:space="preserve">Radicación:               </w:t>
            </w:r>
          </w:p>
        </w:tc>
        <w:tc>
          <w:tcPr>
            <w:tcW w:w="6100" w:type="dxa"/>
          </w:tcPr>
          <w:p w14:paraId="22CAD220" w14:textId="29C9D5E8" w:rsidR="00E14AA7" w:rsidRPr="00FD33C0" w:rsidRDefault="00E14AA7" w:rsidP="00FD33C0">
            <w:pPr>
              <w:jc w:val="both"/>
              <w:rPr>
                <w:rFonts w:ascii="Verdana" w:hAnsi="Verdana"/>
                <w:bCs/>
              </w:rPr>
            </w:pPr>
            <w:r w:rsidRPr="00FD33C0">
              <w:rPr>
                <w:rFonts w:ascii="Verdana" w:eastAsia="Calibri" w:hAnsi="Verdana" w:cs="Arial"/>
                <w:bCs/>
                <w:lang w:val="es-ES_tradnl" w:eastAsia="es-ES_tradnl"/>
              </w:rPr>
              <w:t xml:space="preserve">Respuesta a consulta con radicado No. </w:t>
            </w:r>
            <w:r w:rsidRPr="00FD33C0">
              <w:rPr>
                <w:rFonts w:ascii="Verdana" w:eastAsia="Calibri" w:hAnsi="Verdana" w:cs="Arial"/>
                <w:lang w:eastAsia="es-ES_tradnl"/>
              </w:rPr>
              <w:t>1_2026_07_21_009589</w:t>
            </w:r>
          </w:p>
          <w:p w14:paraId="59EBE3A0" w14:textId="77777777" w:rsidR="00E14AA7" w:rsidRPr="00FD33C0" w:rsidRDefault="00E14AA7" w:rsidP="00FD33C0">
            <w:pPr>
              <w:jc w:val="both"/>
              <w:rPr>
                <w:rFonts w:ascii="Verdana" w:eastAsia="Calibri" w:hAnsi="Verdana" w:cs="Arial"/>
                <w:bCs/>
                <w:lang w:val="es-ES_tradnl" w:eastAsia="es-ES_tradnl"/>
              </w:rPr>
            </w:pPr>
            <w:r w:rsidRPr="00FD33C0">
              <w:rPr>
                <w:rFonts w:ascii="Verdana" w:hAnsi="Verdana"/>
                <w:bCs/>
              </w:rPr>
              <w:t xml:space="preserve"> </w:t>
            </w:r>
          </w:p>
        </w:tc>
      </w:tr>
    </w:tbl>
    <w:p w14:paraId="0D321196" w14:textId="77777777" w:rsidR="00E14AA7" w:rsidRPr="00FD33C0" w:rsidRDefault="00E14AA7" w:rsidP="00FD33C0">
      <w:pPr>
        <w:spacing w:after="0" w:line="240" w:lineRule="auto"/>
        <w:jc w:val="both"/>
        <w:rPr>
          <w:rFonts w:ascii="Verdana" w:eastAsia="Calibri" w:hAnsi="Verdana" w:cs="Arial"/>
          <w:lang w:val="es-ES_tradnl" w:eastAsia="es-ES_tradnl"/>
        </w:rPr>
      </w:pPr>
    </w:p>
    <w:p w14:paraId="54D960E3" w14:textId="77777777" w:rsidR="00E14AA7" w:rsidRPr="005979D9" w:rsidRDefault="00E14AA7" w:rsidP="00FD33C0">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Rivera Zamudio</w:t>
      </w:r>
      <w:r w:rsidRPr="005979D9">
        <w:rPr>
          <w:rFonts w:ascii="Verdana" w:eastAsia="Calibri" w:hAnsi="Verdana" w:cs="Arial"/>
          <w:color w:val="000000" w:themeColor="text1"/>
          <w:lang w:val="es-ES" w:eastAsia="es-ES"/>
        </w:rPr>
        <w:t xml:space="preserve">, cordial saludo, </w:t>
      </w:r>
    </w:p>
    <w:p w14:paraId="3266C38D" w14:textId="77777777" w:rsidR="00E14AA7" w:rsidRPr="005979D9" w:rsidRDefault="00E14AA7" w:rsidP="00FD33C0">
      <w:pPr>
        <w:spacing w:after="0" w:line="276" w:lineRule="auto"/>
        <w:jc w:val="both"/>
        <w:rPr>
          <w:rFonts w:ascii="Verdana" w:eastAsia="Calibri" w:hAnsi="Verdana" w:cs="Arial"/>
          <w:color w:val="000000" w:themeColor="text1"/>
          <w:lang w:val="es-ES" w:eastAsia="es-ES"/>
        </w:rPr>
      </w:pPr>
    </w:p>
    <w:p w14:paraId="2B68BEF5" w14:textId="77777777" w:rsidR="00E14AA7" w:rsidRDefault="00E14AA7" w:rsidP="00FD33C0">
      <w:pPr>
        <w:spacing w:after="0" w:line="276" w:lineRule="auto"/>
        <w:jc w:val="both"/>
        <w:rPr>
          <w:rFonts w:ascii="Verdana" w:eastAsia="Calibri" w:hAnsi="Verdana" w:cs="Arial"/>
          <w:lang w:val="es-ES" w:eastAsia="es-ES"/>
        </w:rPr>
      </w:pPr>
      <w:r w:rsidRPr="005979D9">
        <w:rPr>
          <w:rFonts w:ascii="Verdana" w:eastAsia="Calibri" w:hAnsi="Verdana" w:cs="Arial"/>
          <w:color w:val="000000" w:themeColor="text1"/>
          <w:lang w:val="es-ES" w:eastAsia="es-ES"/>
        </w:rPr>
        <w:t>En ejercicio de la competencia otorgada por los artículos 3, numeral 5º, y 11, numeral 8º, del Decreto Ley 4170 de 2011,</w:t>
      </w:r>
      <w:r w:rsidRPr="005979D9">
        <w:rPr>
          <w:rFonts w:ascii="Verdana" w:eastAsia="Arial MT" w:hAnsi="Verdana" w:cs="Arial MT"/>
          <w:lang w:val="es-ES" w:eastAsia="es-ES"/>
        </w:rPr>
        <w:t xml:space="preserve"> </w:t>
      </w:r>
      <w:r w:rsidRPr="005979D9">
        <w:rPr>
          <w:rFonts w:ascii="Verdana" w:hAnsi="Verdana" w:cs="Arial"/>
        </w:rPr>
        <w:t xml:space="preserve">así como lo establecido la </w:t>
      </w:r>
      <w:r w:rsidRPr="005979D9">
        <w:rPr>
          <w:rFonts w:ascii="Verdana" w:eastAsia="Verdana" w:hAnsi="Verdana" w:cs="Verdana"/>
          <w:color w:val="000000" w:themeColor="text1"/>
        </w:rPr>
        <w:t>Resolución 469 de 2025</w:t>
      </w:r>
      <w:r w:rsidRPr="005979D9">
        <w:rPr>
          <w:rFonts w:ascii="Verdana" w:hAnsi="Verdana" w:cs="Arial"/>
        </w:rPr>
        <w:t xml:space="preserve"> expedida por esta Entidad, </w:t>
      </w:r>
      <w:r w:rsidRPr="005979D9">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21</w:t>
      </w:r>
      <w:r w:rsidRPr="005979D9">
        <w:rPr>
          <w:rFonts w:ascii="Verdana" w:eastAsia="Calibri" w:hAnsi="Verdana" w:cs="Arial"/>
          <w:lang w:val="es-ES" w:eastAsia="es-ES"/>
        </w:rPr>
        <w:t xml:space="preserve"> de julio de 2026, en la cual manifiesta lo siguiente: </w:t>
      </w:r>
    </w:p>
    <w:p w14:paraId="6C728276" w14:textId="77777777" w:rsidR="00E14AA7" w:rsidRPr="005979D9" w:rsidRDefault="00E14AA7" w:rsidP="00FD33C0">
      <w:pPr>
        <w:spacing w:after="0" w:line="276" w:lineRule="auto"/>
        <w:jc w:val="both"/>
        <w:rPr>
          <w:rFonts w:ascii="Verdana" w:eastAsia="Calibri" w:hAnsi="Verdana" w:cs="Arial"/>
          <w:color w:val="7030A0"/>
          <w:lang w:val="es-ES" w:eastAsia="es-ES"/>
        </w:rPr>
      </w:pPr>
    </w:p>
    <w:p w14:paraId="0003D152" w14:textId="77777777" w:rsidR="00E14AA7" w:rsidRDefault="00E14AA7" w:rsidP="00FD33C0">
      <w:pPr>
        <w:pStyle w:val="Prrafodelista"/>
        <w:spacing w:after="0" w:line="240" w:lineRule="auto"/>
        <w:ind w:left="709" w:right="709"/>
        <w:jc w:val="both"/>
        <w:rPr>
          <w:rFonts w:ascii="Verdana" w:eastAsia="Calibri" w:hAnsi="Verdana" w:cs="Arial"/>
          <w:i/>
          <w:color w:val="000000"/>
          <w:sz w:val="20"/>
          <w:szCs w:val="20"/>
          <w:lang w:eastAsia="es-ES"/>
        </w:rPr>
      </w:pPr>
      <w:r>
        <w:rPr>
          <w:rFonts w:ascii="Verdana" w:eastAsia="Calibri" w:hAnsi="Verdana" w:cs="Arial"/>
          <w:i/>
          <w:color w:val="000000"/>
          <w:sz w:val="20"/>
          <w:szCs w:val="20"/>
          <w:lang w:eastAsia="es-ES"/>
        </w:rPr>
        <w:t>“¿Se configura una incompatibilidad sobreviniente, en los términos de los artículos 8 y 9 de la Ley 80 de 1993, cuando durante la ejecución de un contrato de prestación de servicios el compañero permanente del contratista es nombrado en un cargo del nivel directivo de la misma entidad, si el contrato fue celebrado antes del nombramiento y el servidor público no interviene en su celebración, ejecución o supervisión?”</w:t>
      </w:r>
    </w:p>
    <w:p w14:paraId="6D3B7668" w14:textId="77777777" w:rsidR="00E14AA7" w:rsidRPr="00FD33C0" w:rsidRDefault="00E14AA7" w:rsidP="00FD33C0">
      <w:pPr>
        <w:spacing w:after="0" w:line="276" w:lineRule="auto"/>
        <w:ind w:right="709"/>
        <w:jc w:val="both"/>
        <w:rPr>
          <w:rFonts w:ascii="Verdana" w:eastAsia="Calibri" w:hAnsi="Verdana" w:cs="Arial"/>
          <w:i/>
          <w:color w:val="000000"/>
          <w:lang w:eastAsia="es-ES"/>
        </w:rPr>
      </w:pPr>
    </w:p>
    <w:p w14:paraId="1D3A6A48" w14:textId="77777777" w:rsidR="00E14AA7" w:rsidRPr="005979D9" w:rsidRDefault="00E14AA7" w:rsidP="00E14AA7">
      <w:pPr>
        <w:spacing w:after="120" w:line="276" w:lineRule="auto"/>
        <w:ind w:firstLine="709"/>
        <w:jc w:val="both"/>
        <w:rPr>
          <w:rFonts w:ascii="Verdana" w:eastAsia="Calibri" w:hAnsi="Verdana" w:cs="Arial"/>
          <w:color w:val="000000"/>
          <w:szCs w:val="24"/>
          <w:lang w:val="es-ES_tradnl" w:eastAsia="es-ES_tradnl"/>
        </w:rPr>
      </w:pPr>
      <w:r w:rsidRPr="005979D9">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79D9">
        <w:rPr>
          <w:rFonts w:ascii="Verdana" w:eastAsia="Calibri" w:hAnsi="Verdana" w:cs="Arial"/>
          <w:color w:val="000000"/>
          <w:szCs w:val="24"/>
          <w:lang w:val="es-ES_tradnl" w:eastAsia="es-ES_tradnl"/>
        </w:rPr>
        <w:tab/>
      </w:r>
    </w:p>
    <w:p w14:paraId="650C1D00" w14:textId="77777777" w:rsidR="00E14AA7" w:rsidRPr="00844A08" w:rsidRDefault="00E14AA7" w:rsidP="00E14AA7">
      <w:pPr>
        <w:spacing w:after="0" w:line="276" w:lineRule="auto"/>
        <w:ind w:firstLine="709"/>
        <w:jc w:val="both"/>
        <w:rPr>
          <w:rFonts w:ascii="Verdana" w:eastAsia="Calibri" w:hAnsi="Verdana" w:cs="Arial"/>
          <w:color w:val="000000"/>
          <w:lang w:val="es-ES" w:eastAsia="es-ES"/>
        </w:rPr>
      </w:pPr>
      <w:r w:rsidRPr="005979D9">
        <w:rPr>
          <w:rFonts w:ascii="Verdana" w:eastAsia="Calibri" w:hAnsi="Verdana" w:cs="Arial"/>
          <w:color w:val="000000"/>
          <w:lang w:val="es-ES" w:eastAsia="es-ES"/>
        </w:rPr>
        <w:t xml:space="preserve">Conforme lo expuesto, en aras de satisfacer el derecho fundamental de </w:t>
      </w:r>
      <w:r w:rsidRPr="00844A08">
        <w:rPr>
          <w:rFonts w:ascii="Verdana" w:eastAsia="Calibri" w:hAnsi="Verdana" w:cs="Arial"/>
          <w:color w:val="000000"/>
          <w:lang w:val="es-ES" w:eastAsia="es-ES"/>
        </w:rPr>
        <w:t xml:space="preserve">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w:t>
      </w:r>
      <w:r w:rsidRPr="00844A08">
        <w:rPr>
          <w:rFonts w:ascii="Verdana" w:eastAsia="Calibri" w:hAnsi="Verdana" w:cs="Arial"/>
          <w:lang w:val="es-ES" w:eastAsia="es-ES"/>
        </w:rPr>
        <w:t xml:space="preserve">el problema </w:t>
      </w:r>
      <w:r w:rsidRPr="00844A08">
        <w:rPr>
          <w:rFonts w:ascii="Verdana" w:eastAsia="Calibri" w:hAnsi="Verdana" w:cs="Arial"/>
          <w:color w:val="000000"/>
          <w:lang w:val="es-ES" w:eastAsia="es-ES"/>
        </w:rPr>
        <w:t xml:space="preserve">jurídico de su consulta. </w:t>
      </w:r>
    </w:p>
    <w:p w14:paraId="1CC188D5" w14:textId="77777777" w:rsidR="00E14AA7" w:rsidRPr="00844A08" w:rsidRDefault="00E14AA7" w:rsidP="00FD33C0">
      <w:pPr>
        <w:spacing w:after="0" w:line="276" w:lineRule="auto"/>
        <w:jc w:val="both"/>
        <w:rPr>
          <w:rFonts w:ascii="Verdana" w:eastAsia="Calibri" w:hAnsi="Verdana" w:cs="Arial"/>
          <w:color w:val="000000"/>
          <w:lang w:val="es-ES" w:eastAsia="es-ES"/>
        </w:rPr>
      </w:pPr>
    </w:p>
    <w:p w14:paraId="47AB0235" w14:textId="77777777" w:rsidR="00E14AA7" w:rsidRPr="00844A08" w:rsidRDefault="00E14AA7" w:rsidP="00FD33C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44A08">
        <w:rPr>
          <w:rFonts w:ascii="Verdana" w:eastAsia="Century Gothic" w:hAnsi="Verdana" w:cs="Century Gothic"/>
          <w:b/>
          <w:bCs/>
        </w:rPr>
        <w:t>Problema planteado:</w:t>
      </w:r>
    </w:p>
    <w:p w14:paraId="06809941" w14:textId="77777777" w:rsidR="00E14AA7" w:rsidRPr="00844A08" w:rsidRDefault="00E14AA7" w:rsidP="00FD33C0">
      <w:pPr>
        <w:spacing w:after="0" w:line="276" w:lineRule="auto"/>
        <w:jc w:val="both"/>
        <w:rPr>
          <w:rFonts w:ascii="Verdana" w:eastAsia="Century Gothic" w:hAnsi="Verdana" w:cs="Century Gothic"/>
        </w:rPr>
      </w:pPr>
    </w:p>
    <w:p w14:paraId="0E83F89B" w14:textId="77777777" w:rsidR="00E14AA7" w:rsidRPr="00844A08" w:rsidRDefault="00E14AA7" w:rsidP="00FD33C0">
      <w:pPr>
        <w:spacing w:after="0" w:line="276" w:lineRule="auto"/>
        <w:jc w:val="both"/>
        <w:rPr>
          <w:rFonts w:ascii="Verdana" w:eastAsia="Century Gothic" w:hAnsi="Verdana" w:cs="Century Gothic"/>
        </w:rPr>
      </w:pPr>
      <w:r w:rsidRPr="00844A08">
        <w:rPr>
          <w:rFonts w:ascii="Verdana" w:eastAsia="Century Gothic" w:hAnsi="Verdana" w:cs="Century Gothic"/>
        </w:rPr>
        <w:t xml:space="preserve">De acuerdo con el contenido de su solicitud, esta Agencia abordará el siguiente problema jurídico: ¿Se configura una incompatibilidad sobreviniente cuando, durante la ejecución de un contrato de prestación de servicios, el compañero permanente del contratista es nombrado en un cargo del nivel directivo de la misma entidad estatal? </w:t>
      </w:r>
    </w:p>
    <w:p w14:paraId="77E5094E" w14:textId="77777777" w:rsidR="00E14AA7" w:rsidRPr="00844A08" w:rsidRDefault="00E14AA7" w:rsidP="00FD33C0">
      <w:pPr>
        <w:spacing w:after="0" w:line="276" w:lineRule="auto"/>
        <w:jc w:val="both"/>
        <w:rPr>
          <w:rFonts w:ascii="Verdana" w:eastAsia="Century Gothic" w:hAnsi="Verdana" w:cs="Century Gothic"/>
        </w:rPr>
      </w:pPr>
    </w:p>
    <w:p w14:paraId="28A2DB9D" w14:textId="77777777" w:rsidR="00E14AA7" w:rsidRPr="005C356C" w:rsidRDefault="00E14AA7" w:rsidP="00FD33C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C356C">
        <w:rPr>
          <w:rFonts w:ascii="Verdana" w:eastAsia="Century Gothic" w:hAnsi="Verdana" w:cs="Century Gothic"/>
          <w:b/>
          <w:bCs/>
        </w:rPr>
        <w:t>Respuesta:</w:t>
      </w:r>
    </w:p>
    <w:p w14:paraId="0ACFEDA1" w14:textId="77777777" w:rsidR="00E14AA7" w:rsidRPr="005979D9" w:rsidRDefault="00E14AA7" w:rsidP="00FD33C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14AA7" w:rsidRPr="005979D9" w14:paraId="5263F716" w14:textId="77777777" w:rsidTr="000C674B">
        <w:tc>
          <w:tcPr>
            <w:tcW w:w="8828" w:type="dxa"/>
          </w:tcPr>
          <w:p w14:paraId="4EBB1EC7" w14:textId="641FBAE4" w:rsidR="00FD33C0" w:rsidRDefault="00E14AA7" w:rsidP="009F72B4">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El artículo 8 de la Ley 80 de 1993 establece una serie de inhabilidades e incompatibilidades para participar en licitaciones y para celebrar contratos con las entidades estatales</w:t>
            </w:r>
            <w:r w:rsidR="00FD33C0">
              <w:rPr>
                <w:rFonts w:ascii="Verdana" w:eastAsia="Calibri" w:hAnsi="Verdana" w:cs="Arial"/>
                <w:color w:val="000000" w:themeColor="text1"/>
              </w:rPr>
              <w:t xml:space="preserve">. Teniendo en cuenta el objeto de su consulta, resulta de </w:t>
            </w:r>
            <w:r>
              <w:rPr>
                <w:rFonts w:ascii="Verdana" w:eastAsia="Calibri" w:hAnsi="Verdana" w:cs="Arial"/>
                <w:color w:val="000000" w:themeColor="text1"/>
              </w:rPr>
              <w:t>especial</w:t>
            </w:r>
            <w:r w:rsidR="00FD33C0">
              <w:rPr>
                <w:rFonts w:ascii="Verdana" w:eastAsia="Calibri" w:hAnsi="Verdana" w:cs="Arial"/>
                <w:color w:val="000000" w:themeColor="text1"/>
              </w:rPr>
              <w:t xml:space="preserve"> importancia la inhabilidad consagrada </w:t>
            </w:r>
            <w:r>
              <w:rPr>
                <w:rFonts w:ascii="Verdana" w:eastAsia="Calibri" w:hAnsi="Verdana" w:cs="Arial"/>
                <w:color w:val="000000" w:themeColor="text1"/>
              </w:rPr>
              <w:t xml:space="preserve">en el literal B del numeral segundo, </w:t>
            </w:r>
            <w:r w:rsidR="00FD33C0">
              <w:rPr>
                <w:rFonts w:ascii="Verdana" w:eastAsia="Calibri" w:hAnsi="Verdana" w:cs="Arial"/>
                <w:color w:val="000000" w:themeColor="text1"/>
              </w:rPr>
              <w:t xml:space="preserve">según la </w:t>
            </w:r>
            <w:proofErr w:type="gramStart"/>
            <w:r w:rsidR="00FD33C0">
              <w:rPr>
                <w:rFonts w:ascii="Verdana" w:eastAsia="Calibri" w:hAnsi="Verdana" w:cs="Arial"/>
                <w:color w:val="000000" w:themeColor="text1"/>
              </w:rPr>
              <w:t xml:space="preserve">cual </w:t>
            </w:r>
            <w:r>
              <w:rPr>
                <w:rFonts w:ascii="Verdana" w:eastAsia="Calibri" w:hAnsi="Verdana" w:cs="Arial"/>
                <w:color w:val="000000" w:themeColor="text1"/>
              </w:rPr>
              <w:t xml:space="preserve"> </w:t>
            </w:r>
            <w:r>
              <w:rPr>
                <w:rFonts w:ascii="Verdana" w:eastAsia="Calibri" w:hAnsi="Verdana" w:cs="Arial"/>
                <w:i/>
                <w:iCs/>
                <w:color w:val="000000" w:themeColor="text1"/>
              </w:rPr>
              <w:t>las</w:t>
            </w:r>
            <w:proofErr w:type="gramEnd"/>
            <w:r>
              <w:rPr>
                <w:rFonts w:ascii="Verdana" w:eastAsia="Calibri" w:hAnsi="Verdana" w:cs="Arial"/>
                <w:i/>
                <w:iCs/>
                <w:color w:val="000000" w:themeColor="text1"/>
              </w:rPr>
              <w:t xml:space="preserve"> personas que tengan vínculos de parentesco, hasta el segundo grado de consanguinidad, segundo de afinidad o primero civil con los servidores públicos de los niveles directivo, asesor, ejecutivo o con los </w:t>
            </w:r>
            <w:r>
              <w:rPr>
                <w:rFonts w:ascii="Verdana" w:eastAsia="Calibri" w:hAnsi="Verdana" w:cs="Arial"/>
                <w:i/>
                <w:iCs/>
                <w:color w:val="000000" w:themeColor="text1"/>
              </w:rPr>
              <w:lastRenderedPageBreak/>
              <w:t xml:space="preserve">miembros de la junta o consejo directivo, o con las personas que ejerzan el control interno o fiscal de la entidad contratante. </w:t>
            </w:r>
            <w:r>
              <w:rPr>
                <w:rFonts w:ascii="Verdana" w:eastAsia="Calibri" w:hAnsi="Verdana" w:cs="Arial"/>
                <w:color w:val="000000" w:themeColor="text1"/>
              </w:rPr>
              <w:t xml:space="preserve">En consecuencia, cuando se cumplan los supuestos establecidos en dicho texto, se configura la inhabilidad para contratar con el Estado. </w:t>
            </w:r>
          </w:p>
          <w:p w14:paraId="430FDB07" w14:textId="3051AA00" w:rsidR="00E14AA7" w:rsidRDefault="00E14AA7" w:rsidP="000C674B">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Ahora bien, es posible que esta situación se materialice cuando ya está perfeccionado el contrato o incluso durante su ejecución. En ese sentido, es importante señalar que las entidades tienen la obligación de verificar no solo al momento de celebrar el contrato</w:t>
            </w:r>
            <w:r w:rsidR="005E0735">
              <w:rPr>
                <w:rFonts w:ascii="Verdana" w:eastAsia="Calibri" w:hAnsi="Verdana" w:cs="Arial"/>
                <w:color w:val="000000" w:themeColor="text1"/>
              </w:rPr>
              <w:t xml:space="preserve"> la ausencia de inhabilidad o incompatibilidad</w:t>
            </w:r>
            <w:r>
              <w:rPr>
                <w:rFonts w:ascii="Verdana" w:eastAsia="Calibri" w:hAnsi="Verdana" w:cs="Arial"/>
                <w:color w:val="000000" w:themeColor="text1"/>
              </w:rPr>
              <w:t>, sino también durante su ejecución</w:t>
            </w:r>
            <w:r w:rsidR="00F86120">
              <w:rPr>
                <w:rFonts w:ascii="Verdana" w:eastAsia="Calibri" w:hAnsi="Verdana" w:cs="Arial"/>
                <w:color w:val="000000" w:themeColor="text1"/>
              </w:rPr>
              <w:t xml:space="preserve">, la configuración de </w:t>
            </w:r>
            <w:r w:rsidR="008C63CC">
              <w:rPr>
                <w:rFonts w:ascii="Verdana" w:eastAsia="Calibri" w:hAnsi="Verdana" w:cs="Arial"/>
                <w:color w:val="000000" w:themeColor="text1"/>
              </w:rPr>
              <w:t>una</w:t>
            </w:r>
            <w:r w:rsidR="00F86120">
              <w:rPr>
                <w:rFonts w:ascii="Verdana" w:eastAsia="Calibri" w:hAnsi="Verdana" w:cs="Arial"/>
                <w:color w:val="000000" w:themeColor="text1"/>
              </w:rPr>
              <w:t xml:space="preserve"> inhabilidad</w:t>
            </w:r>
            <w:r w:rsidR="008C63CC">
              <w:rPr>
                <w:rFonts w:ascii="Verdana" w:eastAsia="Calibri" w:hAnsi="Verdana" w:cs="Arial"/>
                <w:color w:val="000000" w:themeColor="text1"/>
              </w:rPr>
              <w:t xml:space="preserve"> sobreviniente</w:t>
            </w:r>
            <w:r w:rsidR="00F86120">
              <w:rPr>
                <w:rFonts w:ascii="Verdana" w:eastAsia="Calibri" w:hAnsi="Verdana" w:cs="Arial"/>
                <w:color w:val="000000" w:themeColor="text1"/>
              </w:rPr>
              <w:t xml:space="preserve"> que le impida a una persona continuar con la ejecución del contrato</w:t>
            </w:r>
            <w:r>
              <w:rPr>
                <w:rFonts w:ascii="Verdana" w:eastAsia="Calibri" w:hAnsi="Verdana" w:cs="Arial"/>
                <w:color w:val="000000" w:themeColor="text1"/>
              </w:rPr>
              <w:t xml:space="preserve">. </w:t>
            </w:r>
          </w:p>
          <w:p w14:paraId="525284E4" w14:textId="6C3C0EEB" w:rsidR="00E14AA7" w:rsidRDefault="00E14AA7" w:rsidP="000C674B">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Al respecto de las inhabilidades sobrevinientes, el mismo ordenamiento jurídico en materia de contratación estatal prevé una regulación especial en el artículo 9 de la Ley 80 de 1993, indicando que si la inhabilidad o incompatibilidad ocurre de forma sobreviniente una vez celebrado el contrato, el contrato no es inválido porque se perfeccionó de forma lícita. No obstante, conforme al principio de moralidad administrativa, se producirán las consecuencias dispuestas por el Legislador. </w:t>
            </w:r>
          </w:p>
          <w:p w14:paraId="42C10781" w14:textId="4B5B7820" w:rsidR="00E14AA7" w:rsidRDefault="00E14AA7" w:rsidP="000C674B">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En efecto, según se desprende </w:t>
            </w:r>
            <w:r w:rsidR="00575F3F">
              <w:rPr>
                <w:rFonts w:ascii="Verdana" w:eastAsia="Calibri" w:hAnsi="Verdana" w:cs="Arial"/>
                <w:color w:val="000000" w:themeColor="text1"/>
              </w:rPr>
              <w:t>de</w:t>
            </w:r>
            <w:r w:rsidR="000D0BA5">
              <w:rPr>
                <w:rFonts w:ascii="Verdana" w:eastAsia="Calibri" w:hAnsi="Verdana" w:cs="Arial"/>
                <w:color w:val="000000" w:themeColor="text1"/>
              </w:rPr>
              <w:t xml:space="preserve"> la disposición </w:t>
            </w:r>
            <w:r>
              <w:rPr>
                <w:rFonts w:ascii="Verdana" w:eastAsia="Calibri" w:hAnsi="Verdana" w:cs="Arial"/>
                <w:color w:val="000000" w:themeColor="text1"/>
              </w:rPr>
              <w:t>precitad</w:t>
            </w:r>
            <w:r w:rsidR="00575F3F">
              <w:rPr>
                <w:rFonts w:ascii="Verdana" w:eastAsia="Calibri" w:hAnsi="Verdana" w:cs="Arial"/>
                <w:color w:val="000000" w:themeColor="text1"/>
              </w:rPr>
              <w:t xml:space="preserve">a </w:t>
            </w:r>
            <w:r>
              <w:rPr>
                <w:rFonts w:ascii="Verdana" w:eastAsia="Calibri" w:hAnsi="Verdana" w:cs="Arial"/>
                <w:color w:val="000000" w:themeColor="text1"/>
              </w:rPr>
              <w:t xml:space="preserve">– y sin perjuicio de la regla establecida en el parágrafo 1º de dicho artículo – si la inhabilidad o incompatibilidad se configura después del perfeccionamiento del contrato, el contratista </w:t>
            </w:r>
            <w:r>
              <w:rPr>
                <w:rFonts w:ascii="Verdana" w:eastAsia="Calibri" w:hAnsi="Verdana" w:cs="Arial"/>
                <w:i/>
                <w:iCs/>
                <w:color w:val="000000" w:themeColor="text1"/>
              </w:rPr>
              <w:t xml:space="preserve">cederá </w:t>
            </w:r>
            <w:r>
              <w:rPr>
                <w:rFonts w:ascii="Verdana" w:eastAsia="Calibri" w:hAnsi="Verdana" w:cs="Arial"/>
                <w:color w:val="000000" w:themeColor="text1"/>
              </w:rPr>
              <w:t xml:space="preserve">el contrato a un tercero previa autorización escrita de la entidad contratante; si esto no es posible, deberá </w:t>
            </w:r>
            <w:r>
              <w:rPr>
                <w:rFonts w:ascii="Verdana" w:eastAsia="Calibri" w:hAnsi="Verdana" w:cs="Arial"/>
                <w:i/>
                <w:iCs/>
                <w:color w:val="000000" w:themeColor="text1"/>
              </w:rPr>
              <w:t xml:space="preserve">renunciar </w:t>
            </w:r>
            <w:r>
              <w:rPr>
                <w:rFonts w:ascii="Verdana" w:eastAsia="Calibri" w:hAnsi="Verdana" w:cs="Arial"/>
                <w:color w:val="000000" w:themeColor="text1"/>
              </w:rPr>
              <w:t xml:space="preserve">a la ejecución. </w:t>
            </w:r>
          </w:p>
          <w:p w14:paraId="0249B031" w14:textId="6A45691F" w:rsidR="00E14AA7" w:rsidRDefault="00E14AA7" w:rsidP="000C674B">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Conforme a lo anterior, en el caso en que se lleg</w:t>
            </w:r>
            <w:r w:rsidR="00817EFB">
              <w:rPr>
                <w:rFonts w:ascii="Verdana" w:eastAsia="Calibri" w:hAnsi="Verdana" w:cs="Arial"/>
                <w:color w:val="000000" w:themeColor="text1"/>
              </w:rPr>
              <w:t>ará</w:t>
            </w:r>
            <w:r>
              <w:rPr>
                <w:rFonts w:ascii="Verdana" w:eastAsia="Calibri" w:hAnsi="Verdana" w:cs="Arial"/>
                <w:color w:val="000000" w:themeColor="text1"/>
              </w:rPr>
              <w:t xml:space="preserve"> a </w:t>
            </w:r>
            <w:r w:rsidR="00817EFB">
              <w:rPr>
                <w:rFonts w:ascii="Verdana" w:eastAsia="Calibri" w:hAnsi="Verdana" w:cs="Arial"/>
                <w:color w:val="000000" w:themeColor="text1"/>
              </w:rPr>
              <w:t xml:space="preserve">configurar </w:t>
            </w:r>
            <w:r>
              <w:rPr>
                <w:rFonts w:ascii="Verdana" w:eastAsia="Calibri" w:hAnsi="Verdana" w:cs="Arial"/>
                <w:color w:val="000000" w:themeColor="text1"/>
              </w:rPr>
              <w:t xml:space="preserve">una inhabilidad o incompatibilidad durante la ejecución del contrato estatal, el contratista tendrá dos opciones: En primer lugar, ceder el contrato, previa autorización escrita de la entidad estatal. En segundo lugar, en caso en que la cesión no fuera posible, deberá renunciar a la ejecución del contrato, y en este punto se procedería con la terminación y posterior liquidación de este. </w:t>
            </w:r>
          </w:p>
          <w:p w14:paraId="5FF8F07C" w14:textId="77777777" w:rsidR="00E14AA7" w:rsidRDefault="00E14AA7" w:rsidP="000C674B">
            <w:pPr>
              <w:spacing w:after="120" w:line="276" w:lineRule="auto"/>
              <w:ind w:firstLine="709"/>
              <w:jc w:val="both"/>
              <w:rPr>
                <w:rFonts w:ascii="Verdana" w:eastAsia="Calibri" w:hAnsi="Verdana" w:cs="Arial"/>
                <w:color w:val="000000"/>
              </w:rPr>
            </w:pPr>
            <w:r w:rsidRPr="008E0B5C">
              <w:rPr>
                <w:rFonts w:ascii="Verdana" w:eastAsia="Aptos" w:hAnsi="Verdana" w:cs="Arial"/>
                <w:color w:val="000000"/>
              </w:rPr>
              <w:t xml:space="preserve">En ese </w:t>
            </w:r>
            <w:r>
              <w:rPr>
                <w:rFonts w:ascii="Verdana" w:eastAsia="Aptos" w:hAnsi="Verdana" w:cs="Arial"/>
                <w:color w:val="000000"/>
              </w:rPr>
              <w:t>orden de ideas,</w:t>
            </w:r>
            <w:r w:rsidRPr="008E0B5C">
              <w:rPr>
                <w:rFonts w:ascii="Verdana" w:eastAsia="Aptos" w:hAnsi="Verdana" w:cs="Arial"/>
              </w:rPr>
              <w:t xml:space="preserve"> si durante la ejecución del contrato </w:t>
            </w:r>
            <w:r>
              <w:rPr>
                <w:rFonts w:ascii="Verdana" w:eastAsia="Aptos" w:hAnsi="Verdana" w:cs="Arial"/>
              </w:rPr>
              <w:t xml:space="preserve">se configura inhabilidad, la entidad </w:t>
            </w:r>
            <w:r w:rsidRPr="008E0B5C">
              <w:rPr>
                <w:rFonts w:ascii="Verdana" w:eastAsia="Calibri" w:hAnsi="Verdana" w:cs="Arial"/>
                <w:color w:val="000000"/>
              </w:rPr>
              <w:t>deberá proceder a su cesión o terminación</w:t>
            </w:r>
            <w:r>
              <w:rPr>
                <w:rFonts w:ascii="Verdana" w:eastAsia="Calibri" w:hAnsi="Verdana" w:cs="Arial"/>
                <w:color w:val="000000"/>
              </w:rPr>
              <w:t>, pues el Estatuto solo contempló estas dos opciones.</w:t>
            </w:r>
          </w:p>
          <w:p w14:paraId="6C2EB716" w14:textId="124408D9" w:rsidR="00E14AA7" w:rsidRDefault="00E14AA7" w:rsidP="000C674B">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lastRenderedPageBreak/>
              <w:t xml:space="preserve">Finalmente, </w:t>
            </w:r>
            <w:r w:rsidRPr="001200E6">
              <w:rPr>
                <w:rFonts w:ascii="Verdana" w:eastAsia="Calibri" w:hAnsi="Verdana" w:cs="Arial"/>
                <w:color w:val="000000" w:themeColor="text1"/>
              </w:rPr>
              <w:t xml:space="preserve">es importante aclarar que cuando sobrevenga una inhabilidad o incompatibilidad a un contratista, si bien la entidad no puede mantener el vínculo contractual con el contratista y deberá proceder a la cesión o terminación, estas figuras no se tramitaran exclusivamente por la </w:t>
            </w:r>
            <w:r w:rsidR="00986881">
              <w:rPr>
                <w:rFonts w:ascii="Verdana" w:eastAsia="Calibri" w:hAnsi="Verdana" w:cs="Arial"/>
                <w:color w:val="000000" w:themeColor="text1"/>
              </w:rPr>
              <w:t>e</w:t>
            </w:r>
            <w:r w:rsidRPr="001200E6">
              <w:rPr>
                <w:rFonts w:ascii="Verdana" w:eastAsia="Calibri" w:hAnsi="Verdana" w:cs="Arial"/>
                <w:color w:val="000000" w:themeColor="text1"/>
              </w:rPr>
              <w:t xml:space="preserve">ntidad </w:t>
            </w:r>
            <w:r w:rsidR="00986881">
              <w:rPr>
                <w:rFonts w:ascii="Verdana" w:eastAsia="Calibri" w:hAnsi="Verdana" w:cs="Arial"/>
                <w:color w:val="000000" w:themeColor="text1"/>
              </w:rPr>
              <w:t>e</w:t>
            </w:r>
            <w:r w:rsidRPr="001200E6">
              <w:rPr>
                <w:rFonts w:ascii="Verdana" w:eastAsia="Calibri" w:hAnsi="Verdana" w:cs="Arial"/>
                <w:color w:val="000000" w:themeColor="text1"/>
              </w:rPr>
              <w:t>statal de manera unilateral. Adicionalmente, la entidad procederá a reconocer al contratista el pago por lo ejecutado, en el respectivo cruce de cuentas que se realice en la cesión del contrato, así como en la liquidación de este en caso de la terminació</w:t>
            </w:r>
            <w:r>
              <w:rPr>
                <w:rFonts w:ascii="Verdana" w:eastAsia="Calibri" w:hAnsi="Verdana" w:cs="Arial"/>
                <w:color w:val="000000" w:themeColor="text1"/>
              </w:rPr>
              <w:t xml:space="preserve">n. </w:t>
            </w:r>
          </w:p>
          <w:p w14:paraId="5732C95E" w14:textId="77777777" w:rsidR="00E14AA7" w:rsidRPr="005C146F" w:rsidRDefault="00E14AA7" w:rsidP="000C674B">
            <w:pPr>
              <w:spacing w:after="120" w:line="276" w:lineRule="auto"/>
              <w:ind w:firstLine="709"/>
              <w:jc w:val="both"/>
              <w:rPr>
                <w:rFonts w:ascii="Verdana" w:eastAsia="Calibri" w:hAnsi="Verdana" w:cs="Arial"/>
                <w:color w:val="000000" w:themeColor="text1"/>
              </w:rPr>
            </w:pPr>
            <w:r w:rsidRPr="00D36A54">
              <w:rPr>
                <w:rFonts w:ascii="Verdana" w:eastAsia="Calibri" w:hAnsi="Verdana" w:cs="Arial"/>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F60ADA">
              <w:rPr>
                <w:rFonts w:ascii="Verdana" w:eastAsia="Calibri" w:hAnsi="Verdana" w:cs="Arial"/>
                <w:bCs/>
                <w:color w:val="000000" w:themeColor="text1"/>
              </w:rPr>
              <w:t xml:space="preserve"> Así, cada entidad definirá la forma de adelantar su gestión contractual dentro del marco de sus competencias, sin que corresponda a Colombia Compra Eficiente validar o avalar sus actuaciones.</w:t>
            </w:r>
          </w:p>
        </w:tc>
      </w:tr>
    </w:tbl>
    <w:p w14:paraId="600ADBF6" w14:textId="77777777" w:rsidR="00E14AA7" w:rsidRPr="005979D9" w:rsidRDefault="00E14AA7" w:rsidP="00E14AA7">
      <w:pPr>
        <w:tabs>
          <w:tab w:val="left" w:pos="142"/>
          <w:tab w:val="left" w:pos="284"/>
        </w:tabs>
        <w:spacing w:after="0" w:line="276" w:lineRule="auto"/>
        <w:jc w:val="both"/>
        <w:rPr>
          <w:rFonts w:ascii="Verdana" w:eastAsia="Century Gothic" w:hAnsi="Verdana" w:cs="Century Gothic"/>
          <w:b/>
          <w:bCs/>
          <w:lang w:val="es-ES"/>
        </w:rPr>
      </w:pPr>
    </w:p>
    <w:p w14:paraId="1BA54576" w14:textId="77777777" w:rsidR="00E14AA7" w:rsidRPr="005979D9" w:rsidRDefault="00E14AA7" w:rsidP="00E14AA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79D9">
        <w:rPr>
          <w:rFonts w:ascii="Verdana" w:eastAsia="Century Gothic" w:hAnsi="Verdana" w:cs="Century Gothic"/>
          <w:b/>
          <w:bCs/>
        </w:rPr>
        <w:t>Razones de la respuesta:</w:t>
      </w:r>
    </w:p>
    <w:p w14:paraId="2E667238" w14:textId="77777777" w:rsidR="00E14AA7" w:rsidRPr="005979D9" w:rsidRDefault="00E14AA7" w:rsidP="00E14AA7">
      <w:pPr>
        <w:spacing w:after="0" w:line="276" w:lineRule="auto"/>
        <w:jc w:val="both"/>
        <w:rPr>
          <w:rFonts w:ascii="Verdana" w:eastAsia="Calibri" w:hAnsi="Verdana" w:cs="Arial"/>
          <w:color w:val="7030A0"/>
          <w:lang w:val="es-ES"/>
        </w:rPr>
      </w:pPr>
    </w:p>
    <w:p w14:paraId="2B38AA95" w14:textId="77777777" w:rsidR="00E14AA7" w:rsidRDefault="00E14AA7" w:rsidP="00E14AA7">
      <w:pPr>
        <w:spacing w:after="0" w:line="276" w:lineRule="auto"/>
        <w:jc w:val="both"/>
        <w:rPr>
          <w:rFonts w:ascii="Verdana" w:eastAsia="Calibri" w:hAnsi="Verdana" w:cs="Arial"/>
          <w:lang w:val="es-ES"/>
        </w:rPr>
      </w:pPr>
      <w:r w:rsidRPr="005979D9">
        <w:rPr>
          <w:rFonts w:ascii="Verdana" w:eastAsia="Calibri" w:hAnsi="Verdana" w:cs="Arial"/>
          <w:lang w:val="es-ES"/>
        </w:rPr>
        <w:t xml:space="preserve">Lo anterior se sustenta en las siguientes consideraciones: </w:t>
      </w:r>
    </w:p>
    <w:p w14:paraId="37F4E09C" w14:textId="77777777" w:rsidR="00E14AA7" w:rsidRPr="00B23EE7" w:rsidRDefault="00E14AA7" w:rsidP="00E14AA7">
      <w:pPr>
        <w:spacing w:after="0" w:line="276" w:lineRule="auto"/>
        <w:jc w:val="both"/>
        <w:rPr>
          <w:rFonts w:ascii="Verdana" w:eastAsia="Calibri" w:hAnsi="Verdana" w:cs="Arial"/>
          <w:lang w:val="es-ES"/>
        </w:rPr>
      </w:pPr>
    </w:p>
    <w:p w14:paraId="48598947" w14:textId="57143450" w:rsidR="00E14AA7" w:rsidRDefault="00E14AA7" w:rsidP="00E14AA7">
      <w:pPr>
        <w:tabs>
          <w:tab w:val="left" w:pos="7851"/>
        </w:tabs>
        <w:spacing w:after="120" w:line="276" w:lineRule="auto"/>
        <w:jc w:val="both"/>
        <w:rPr>
          <w:rFonts w:ascii="Verdana" w:eastAsiaTheme="minorEastAsia" w:hAnsi="Verdana" w:cs="Arial"/>
          <w:lang w:eastAsia="es-CO"/>
        </w:rPr>
      </w:pPr>
      <w:r w:rsidRPr="002F0D8C">
        <w:rPr>
          <w:rFonts w:ascii="Verdana" w:eastAsiaTheme="minorEastAsia" w:hAnsi="Verdana" w:cs="Arial"/>
          <w:b/>
          <w:bCs/>
          <w:lang w:eastAsia="es-CO"/>
        </w:rPr>
        <w:t>i.</w:t>
      </w:r>
      <w:r>
        <w:rPr>
          <w:rFonts w:ascii="Verdana" w:eastAsiaTheme="minorEastAsia" w:hAnsi="Verdana" w:cs="Arial"/>
          <w:lang w:eastAsia="es-CO"/>
        </w:rPr>
        <w:t xml:space="preserve"> La capacidad jurídica es un requisito de validez de los contratos en el régimen de las entidades sujetas al Estatuto General de Contratación de la Administración </w:t>
      </w:r>
      <w:r>
        <w:rPr>
          <w:rFonts w:ascii="Verdana" w:eastAsiaTheme="minorEastAsia" w:hAnsi="Verdana" w:cs="Arial"/>
          <w:lang w:eastAsia="es-CO"/>
        </w:rPr>
        <w:lastRenderedPageBreak/>
        <w:t>pública</w:t>
      </w:r>
      <w:r>
        <w:rPr>
          <w:rStyle w:val="Refdenotaalpie"/>
          <w:rFonts w:ascii="Verdana" w:eastAsiaTheme="minorEastAsia" w:hAnsi="Verdana" w:cs="Arial"/>
          <w:lang w:eastAsia="es-CO"/>
        </w:rPr>
        <w:footnoteReference w:id="1"/>
      </w:r>
      <w:r>
        <w:rPr>
          <w:rFonts w:ascii="Verdana" w:eastAsiaTheme="minorEastAsia" w:hAnsi="Verdana" w:cs="Arial"/>
          <w:lang w:eastAsia="es-CO"/>
        </w:rPr>
        <w:t xml:space="preserve"> y en el de las entidades exceptuadas de este</w:t>
      </w:r>
      <w:r>
        <w:rPr>
          <w:rStyle w:val="Refdenotaalpie"/>
          <w:rFonts w:ascii="Verdana" w:eastAsiaTheme="minorEastAsia" w:hAnsi="Verdana" w:cs="Arial"/>
          <w:lang w:eastAsia="es-CO"/>
        </w:rPr>
        <w:footnoteReference w:id="2"/>
      </w:r>
      <w:r>
        <w:rPr>
          <w:rFonts w:ascii="Verdana" w:eastAsiaTheme="minorEastAsia" w:hAnsi="Verdana" w:cs="Arial"/>
          <w:lang w:eastAsia="es-CO"/>
        </w:rPr>
        <w:t xml:space="preserve">. Varias disposiciones y exigencias especiales integran la regulación de la capacidad, como es el caso del </w:t>
      </w:r>
      <w:r w:rsidR="00A96F65">
        <w:rPr>
          <w:rFonts w:ascii="Verdana" w:eastAsiaTheme="minorEastAsia" w:hAnsi="Verdana" w:cs="Arial"/>
          <w:lang w:eastAsia="es-CO"/>
        </w:rPr>
        <w:t>r</w:t>
      </w:r>
      <w:r>
        <w:rPr>
          <w:rFonts w:ascii="Verdana" w:eastAsiaTheme="minorEastAsia" w:hAnsi="Verdana" w:cs="Arial"/>
          <w:lang w:eastAsia="es-CO"/>
        </w:rPr>
        <w:t xml:space="preserve">égimen de inhabilidades e incompatibilidades, que se refiere al conjunto de enunciados normativos que imponen restricciones para los sujetos que pretendan celebrar contratos con las entidades estatales. </w:t>
      </w:r>
    </w:p>
    <w:p w14:paraId="2DF44302" w14:textId="77777777" w:rsidR="00E14AA7" w:rsidRDefault="00E14AA7" w:rsidP="00E14AA7">
      <w:pPr>
        <w:tabs>
          <w:tab w:val="left" w:pos="7851"/>
        </w:tabs>
        <w:spacing w:after="120" w:line="276" w:lineRule="auto"/>
        <w:ind w:firstLine="709"/>
        <w:jc w:val="both"/>
        <w:rPr>
          <w:rFonts w:ascii="Verdana" w:eastAsia="Calibri" w:hAnsi="Verdana" w:cs="Arial"/>
          <w:color w:val="000000" w:themeColor="text1"/>
          <w:lang w:val="es-ES"/>
        </w:rPr>
      </w:pPr>
      <w:r w:rsidRPr="0C384551">
        <w:rPr>
          <w:rFonts w:ascii="Verdana" w:eastAsia="Calibri" w:hAnsi="Verdana" w:cs="Arial"/>
          <w:color w:val="000000" w:themeColor="text1"/>
          <w:lang w:val="es-ES"/>
        </w:rPr>
        <w:t xml:space="preserve">Las </w:t>
      </w:r>
      <w:r w:rsidRPr="00605F5B">
        <w:rPr>
          <w:rFonts w:ascii="Verdana" w:eastAsia="Calibri" w:hAnsi="Verdana" w:cs="Arial"/>
          <w:i/>
          <w:iCs/>
          <w:color w:val="000000" w:themeColor="text1"/>
          <w:lang w:val="es-ES"/>
        </w:rPr>
        <w:t>inhabilidades</w:t>
      </w:r>
      <w:r w:rsidRPr="0C384551">
        <w:rPr>
          <w:rFonts w:ascii="Verdana" w:eastAsia="Calibri" w:hAnsi="Verdana" w:cs="Arial"/>
          <w:color w:val="000000" w:themeColor="text1"/>
          <w:lang w:val="es-ES"/>
        </w:rPr>
        <w:t xml:space="preserve"> son prohibiciones para concurrir a los procedimientos de selección y para contratar con el Estado que se derivan i) de la existencia de comportamientos reprochables o de sanciones anteriormente impuestas, ii) de vínculos personales relativos al parentesco o al estado civil</w:t>
      </w:r>
      <w:r>
        <w:rPr>
          <w:rFonts w:ascii="Verdana" w:eastAsia="Calibri" w:hAnsi="Verdana" w:cs="Arial"/>
          <w:color w:val="000000" w:themeColor="text1"/>
          <w:lang w:val="es-ES"/>
        </w:rPr>
        <w:t>,</w:t>
      </w:r>
      <w:r w:rsidRPr="0C384551">
        <w:rPr>
          <w:rFonts w:ascii="Verdana" w:eastAsia="Calibri" w:hAnsi="Verdana" w:cs="Arial"/>
          <w:color w:val="000000" w:themeColor="text1"/>
          <w:lang w:val="es-ES"/>
        </w:rPr>
        <w:t xml:space="preserve"> o iii) de una actividad u oficio que se desempeñó en el pasado</w:t>
      </w:r>
      <w:r>
        <w:rPr>
          <w:rFonts w:ascii="Verdana" w:eastAsia="Calibri" w:hAnsi="Verdana" w:cs="Arial"/>
          <w:color w:val="000000" w:themeColor="text1"/>
          <w:lang w:val="es-ES"/>
        </w:rPr>
        <w:t xml:space="preserve">. Mientras que, las </w:t>
      </w:r>
      <w:r w:rsidRPr="00F415FC">
        <w:rPr>
          <w:rFonts w:ascii="Verdana" w:eastAsia="Calibri" w:hAnsi="Verdana" w:cs="Arial"/>
          <w:i/>
          <w:iCs/>
          <w:color w:val="000000" w:themeColor="text1"/>
          <w:lang w:val="es-ES"/>
        </w:rPr>
        <w:t xml:space="preserve">incompatibilidades </w:t>
      </w:r>
      <w:r>
        <w:rPr>
          <w:rFonts w:ascii="Verdana" w:eastAsia="Calibri" w:hAnsi="Verdana" w:cs="Arial"/>
          <w:color w:val="000000" w:themeColor="text1"/>
          <w:lang w:val="es-ES"/>
        </w:rPr>
        <w:t xml:space="preserve">son prohibiciones para participar en los procedimientos de selección y para celebrar contratos estatales, fundadas en que el sujeto interesado ostenta una calidad que no puede coexistir con el carácter del proponente o contratista del Estado. </w:t>
      </w:r>
    </w:p>
    <w:p w14:paraId="0EBB71E1" w14:textId="77777777" w:rsidR="00E14AA7" w:rsidRDefault="00E14AA7" w:rsidP="00E14AA7">
      <w:pPr>
        <w:tabs>
          <w:tab w:val="left" w:pos="7851"/>
        </w:tabs>
        <w:spacing w:after="120" w:line="276" w:lineRule="auto"/>
        <w:ind w:firstLine="709"/>
        <w:jc w:val="both"/>
        <w:rPr>
          <w:rFonts w:ascii="Verdana" w:eastAsia="Calibri" w:hAnsi="Verdana" w:cs="Arial"/>
          <w:color w:val="000000" w:themeColor="text1"/>
          <w:lang w:val="es-ES"/>
        </w:rPr>
      </w:pPr>
      <w:r w:rsidRPr="0C384551">
        <w:rPr>
          <w:rFonts w:ascii="Verdana" w:eastAsia="Calibri" w:hAnsi="Verdana" w:cs="Arial"/>
          <w:color w:val="000000" w:themeColor="text1"/>
          <w:lang w:val="es-ES"/>
        </w:rPr>
        <w:t>El régimen de inhabilidades e incompatibilidades en la contratación pública responde a la tendencia</w:t>
      </w:r>
      <w:r>
        <w:rPr>
          <w:rFonts w:ascii="Verdana" w:eastAsia="Calibri" w:hAnsi="Verdana" w:cs="Arial"/>
          <w:color w:val="000000" w:themeColor="text1"/>
          <w:lang w:val="es-ES"/>
        </w:rPr>
        <w:t xml:space="preserve"> </w:t>
      </w:r>
      <w:r w:rsidRPr="0C384551">
        <w:rPr>
          <w:rFonts w:ascii="Verdana" w:eastAsia="Calibri" w:hAnsi="Verdana" w:cs="Arial"/>
          <w:color w:val="000000" w:themeColor="text1"/>
          <w:lang w:val="es-ES"/>
        </w:rPr>
        <w:t>de asegurar que la actividad de provisión de los bienes y servicios por parte de las entidades estatales se efectúe cumpliendo con los principios de la función administrativa y de la gestión fiscal, especialmente con probidad y transparencia. Es por ello por lo que</w:t>
      </w:r>
      <w:r>
        <w:rPr>
          <w:rFonts w:ascii="Verdana" w:eastAsia="Calibri" w:hAnsi="Verdana" w:cs="Arial"/>
          <w:color w:val="000000" w:themeColor="text1"/>
          <w:lang w:val="es-ES"/>
        </w:rPr>
        <w:t xml:space="preserve">, </w:t>
      </w:r>
      <w:r w:rsidRPr="0C384551">
        <w:rPr>
          <w:rFonts w:ascii="Verdana" w:eastAsia="Calibri" w:hAnsi="Verdana" w:cs="Arial"/>
          <w:color w:val="000000" w:themeColor="text1"/>
          <w:lang w:val="es-ES"/>
        </w:rPr>
        <w:t>las inhabilidades e incompatibilidades se han convertido en herramientas en la lucha contra la corrupción, adoptando paulatinamente un cariz sancionatorio o “</w:t>
      </w:r>
      <w:proofErr w:type="spellStart"/>
      <w:r w:rsidRPr="0C384551">
        <w:rPr>
          <w:rFonts w:ascii="Verdana" w:eastAsia="Calibri" w:hAnsi="Verdana" w:cs="Arial"/>
          <w:color w:val="000000" w:themeColor="text1"/>
          <w:lang w:val="es-ES"/>
        </w:rPr>
        <w:t>neopunitivo</w:t>
      </w:r>
      <w:proofErr w:type="spellEnd"/>
      <w:r>
        <w:rPr>
          <w:rFonts w:ascii="Verdana" w:eastAsia="Calibri" w:hAnsi="Verdana" w:cs="Arial"/>
          <w:color w:val="000000" w:themeColor="text1"/>
          <w:lang w:val="es-ES"/>
        </w:rPr>
        <w:t>”</w:t>
      </w:r>
      <w:r>
        <w:rPr>
          <w:rStyle w:val="Refdenotaalpie"/>
          <w:rFonts w:ascii="Verdana" w:eastAsia="Calibri" w:hAnsi="Verdana" w:cs="Arial"/>
          <w:color w:val="000000" w:themeColor="text1"/>
          <w:lang w:val="es-ES"/>
        </w:rPr>
        <w:footnoteReference w:id="3"/>
      </w:r>
      <w:r>
        <w:rPr>
          <w:rFonts w:ascii="Verdana" w:eastAsia="Calibri" w:hAnsi="Verdana" w:cs="Arial"/>
          <w:color w:val="000000" w:themeColor="text1"/>
          <w:lang w:val="es-ES"/>
        </w:rPr>
        <w:t>.</w:t>
      </w:r>
    </w:p>
    <w:p w14:paraId="480C8986" w14:textId="77777777" w:rsidR="00E14AA7" w:rsidRPr="00F74D7D" w:rsidRDefault="00E14AA7" w:rsidP="00E14AA7">
      <w:pPr>
        <w:tabs>
          <w:tab w:val="left" w:pos="7851"/>
        </w:tabs>
        <w:spacing w:after="120" w:line="276" w:lineRule="auto"/>
        <w:ind w:firstLine="709"/>
        <w:jc w:val="both"/>
        <w:rPr>
          <w:rFonts w:ascii="Verdana" w:eastAsiaTheme="minorEastAsia" w:hAnsi="Verdana" w:cs="Arial"/>
          <w:lang w:eastAsia="es-CO"/>
        </w:rPr>
      </w:pPr>
      <w:r w:rsidRPr="00C23CEB">
        <w:rPr>
          <w:rFonts w:ascii="Verdana" w:eastAsia="Calibri" w:hAnsi="Verdana" w:cs="Arial"/>
          <w:color w:val="000000" w:themeColor="text1"/>
          <w:lang w:val="es-ES_tradnl"/>
        </w:rPr>
        <w:t>Ahora bien, las inhabilidades e incompatibilidades</w:t>
      </w:r>
      <w:r>
        <w:rPr>
          <w:rFonts w:ascii="Verdana" w:eastAsia="Calibri" w:hAnsi="Verdana" w:cs="Arial"/>
          <w:color w:val="000000" w:themeColor="text1"/>
          <w:lang w:val="es-ES_tradnl"/>
        </w:rPr>
        <w:t xml:space="preserve"> son </w:t>
      </w:r>
      <w:r w:rsidRPr="00C23CEB">
        <w:rPr>
          <w:rFonts w:ascii="Verdana" w:eastAsia="Calibri" w:hAnsi="Verdana" w:cs="Arial"/>
          <w:color w:val="000000" w:themeColor="text1"/>
          <w:lang w:val="es-ES_tradnl"/>
        </w:rPr>
        <w:t>restricciones o límites especiales a la capacidad para presentar ofertas y celebrar contratos estatales</w:t>
      </w:r>
      <w:r>
        <w:rPr>
          <w:rFonts w:ascii="Verdana" w:eastAsia="Calibri" w:hAnsi="Verdana" w:cs="Arial"/>
          <w:color w:val="000000" w:themeColor="text1"/>
          <w:lang w:val="es-ES_tradnl"/>
        </w:rPr>
        <w:t>. En consecuencia,</w:t>
      </w:r>
      <w:r w:rsidRPr="00C23CEB">
        <w:rPr>
          <w:rFonts w:ascii="Verdana" w:eastAsia="Calibri" w:hAnsi="Verdana" w:cs="Arial"/>
          <w:color w:val="000000" w:themeColor="text1"/>
          <w:lang w:val="es-ES_tradnl"/>
        </w:rPr>
        <w:t xml:space="preserve"> solo pueden tipificarse en la ley –o sea, deben </w:t>
      </w:r>
      <w:r w:rsidRPr="00C23CEB">
        <w:rPr>
          <w:rFonts w:ascii="Verdana" w:eastAsia="Calibri" w:hAnsi="Verdana" w:cs="Arial"/>
          <w:color w:val="000000" w:themeColor="text1"/>
          <w:lang w:val="es-ES_tradnl"/>
        </w:rPr>
        <w:lastRenderedPageBreak/>
        <w:t xml:space="preserve">satisfacer el principio de legalidad– y su interpretación debe ser </w:t>
      </w:r>
      <w:r w:rsidRPr="00A10174">
        <w:rPr>
          <w:rFonts w:ascii="Verdana" w:eastAsia="Calibri" w:hAnsi="Verdana" w:cs="Arial"/>
          <w:color w:val="000000" w:themeColor="text1"/>
          <w:lang w:val="es-ES_tradnl"/>
        </w:rPr>
        <w:t>restrictiva</w:t>
      </w:r>
      <w:r>
        <w:rPr>
          <w:rFonts w:ascii="Verdana" w:eastAsia="Calibri" w:hAnsi="Verdana" w:cs="Arial"/>
          <w:color w:val="000000" w:themeColor="text1"/>
          <w:lang w:val="es-ES_tradnl"/>
        </w:rPr>
        <w:t xml:space="preserve">, pues si se admitiera una interpretación amplia, extensiva o finalista de las mismas, los enunciados normativos podrían contemplar múltiples supuestos indeterminados, según el parecer o el sentido común de los operadores jurídicos, poniendo en riesgo los principios como la igualdad, el debido proceso, la libre concurrencia y </w:t>
      </w:r>
      <w:r w:rsidRPr="00F74D7D">
        <w:rPr>
          <w:rFonts w:ascii="Verdana" w:eastAsia="Calibri" w:hAnsi="Verdana" w:cs="Arial"/>
          <w:color w:val="000000" w:themeColor="text1"/>
          <w:lang w:val="es-ES_tradnl"/>
        </w:rPr>
        <w:t xml:space="preserve">el ejercicio de la profesión u oficio. </w:t>
      </w:r>
    </w:p>
    <w:p w14:paraId="2404A9C8" w14:textId="77777777" w:rsidR="00E14AA7" w:rsidRPr="00C23CEB" w:rsidRDefault="00E14AA7" w:rsidP="00E14AA7">
      <w:pPr>
        <w:spacing w:after="0" w:line="276" w:lineRule="auto"/>
        <w:ind w:firstLine="709"/>
        <w:jc w:val="both"/>
        <w:rPr>
          <w:rFonts w:ascii="Verdana" w:eastAsia="Calibri" w:hAnsi="Verdana" w:cs="Arial"/>
          <w:color w:val="000000" w:themeColor="text1"/>
          <w:lang w:val="es-ES_tradnl"/>
        </w:rPr>
      </w:pPr>
      <w:r w:rsidRPr="00F74D7D">
        <w:rPr>
          <w:rFonts w:ascii="Verdana" w:eastAsia="Calibri" w:hAnsi="Verdana" w:cs="Arial"/>
          <w:color w:val="000000" w:themeColor="text1"/>
          <w:lang w:val="es-ES_tradnl"/>
        </w:rPr>
        <w:t>En efecto, el máximo tribunal constitucional ha indicado que, al tratar de precisar el sentido de este tipo de normas, “[…] el intérprete de</w:t>
      </w:r>
      <w:r w:rsidRPr="00C23CEB">
        <w:rPr>
          <w:rFonts w:ascii="Verdana" w:eastAsia="Calibri" w:hAnsi="Verdana" w:cs="Arial"/>
          <w:color w:val="000000" w:themeColor="text1"/>
          <w:lang w:val="es-ES_tradnl"/>
        </w:rPr>
        <w:t xml:space="preserv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C23CEB">
        <w:rPr>
          <w:rFonts w:ascii="Verdana" w:eastAsia="Calibri" w:hAnsi="Verdana" w:cs="Arial"/>
          <w:color w:val="000000" w:themeColor="text1"/>
          <w:vertAlign w:val="superscript"/>
          <w:lang w:val="es-ES_tradnl"/>
        </w:rPr>
        <w:footnoteReference w:id="4"/>
      </w:r>
      <w:r w:rsidRPr="00C23CEB">
        <w:rPr>
          <w:rFonts w:ascii="Verdana" w:eastAsia="Calibri" w:hAnsi="Verdana" w:cs="Arial"/>
          <w:color w:val="000000" w:themeColor="text1"/>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w:t>
      </w:r>
      <w:r>
        <w:rPr>
          <w:rFonts w:ascii="Verdana" w:eastAsia="Calibri" w:hAnsi="Verdana" w:cs="Arial"/>
          <w:color w:val="000000" w:themeColor="text1"/>
          <w:lang w:val="es-ES_tradnl"/>
        </w:rPr>
        <w:t>,</w:t>
      </w:r>
      <w:r w:rsidRPr="00C23CEB">
        <w:rPr>
          <w:rFonts w:ascii="Verdana" w:eastAsia="Calibri" w:hAnsi="Verdana" w:cs="Arial"/>
          <w:color w:val="000000" w:themeColor="text1"/>
          <w:lang w:val="es-ES_tradnl"/>
        </w:rPr>
        <w:t xml:space="preserve"> lo que se traduce en que pueden hacer todo aquello que no les esté expresamente prohibido”</w:t>
      </w:r>
      <w:r w:rsidRPr="00C23CEB">
        <w:rPr>
          <w:rFonts w:ascii="Verdana" w:eastAsia="Calibri" w:hAnsi="Verdana" w:cs="Arial"/>
          <w:color w:val="000000" w:themeColor="text1"/>
          <w:vertAlign w:val="superscript"/>
          <w:lang w:val="es-ES_tradnl"/>
        </w:rPr>
        <w:footnoteReference w:id="5"/>
      </w:r>
      <w:r w:rsidRPr="00C23CEB">
        <w:rPr>
          <w:rFonts w:ascii="Verdana" w:eastAsia="Calibri" w:hAnsi="Verdana" w:cs="Arial"/>
          <w:color w:val="000000" w:themeColor="text1"/>
          <w:lang w:val="es-ES_tradnl"/>
        </w:rPr>
        <w:t>. En tal sentido, la Sección Tercera ha señalado que:</w:t>
      </w:r>
    </w:p>
    <w:p w14:paraId="61F217CD" w14:textId="77777777" w:rsidR="00E14AA7" w:rsidRPr="00C23CEB" w:rsidRDefault="00E14AA7" w:rsidP="00E14AA7">
      <w:pPr>
        <w:spacing w:after="0" w:line="276" w:lineRule="auto"/>
        <w:ind w:firstLine="709"/>
        <w:jc w:val="both"/>
        <w:rPr>
          <w:rFonts w:ascii="Verdana" w:eastAsia="Calibri" w:hAnsi="Verdana" w:cs="Arial"/>
          <w:color w:val="000000" w:themeColor="text1"/>
          <w:lang w:val="es-ES_tradnl"/>
        </w:rPr>
      </w:pPr>
    </w:p>
    <w:p w14:paraId="1F87EB84" w14:textId="77777777" w:rsidR="00E14AA7" w:rsidRPr="00C23CEB" w:rsidRDefault="00E14AA7" w:rsidP="00047582">
      <w:pPr>
        <w:spacing w:after="0" w:line="240" w:lineRule="auto"/>
        <w:ind w:left="709" w:right="709"/>
        <w:jc w:val="both"/>
        <w:rPr>
          <w:rFonts w:ascii="Verdana" w:hAnsi="Verdana" w:cs="Arial"/>
          <w:color w:val="000000" w:themeColor="text1"/>
          <w:sz w:val="20"/>
          <w:szCs w:val="20"/>
          <w:lang w:val="es-ES_tradnl"/>
        </w:rPr>
      </w:pPr>
      <w:r w:rsidRPr="00C23CEB">
        <w:rPr>
          <w:rFonts w:ascii="Verdana" w:hAnsi="Verdana" w:cs="Arial"/>
          <w:color w:val="000000" w:themeColor="text1"/>
          <w:sz w:val="20"/>
          <w:szCs w:val="20"/>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C23CEB">
        <w:rPr>
          <w:rFonts w:ascii="Verdana" w:hAnsi="Verdana" w:cs="Arial"/>
          <w:color w:val="000000" w:themeColor="text1"/>
          <w:sz w:val="20"/>
          <w:szCs w:val="20"/>
          <w:vertAlign w:val="superscript"/>
          <w:lang w:val="es-ES_tradnl"/>
        </w:rPr>
        <w:footnoteReference w:id="6"/>
      </w:r>
      <w:r w:rsidRPr="00C23CEB">
        <w:rPr>
          <w:rFonts w:ascii="Verdana" w:hAnsi="Verdana" w:cs="Arial"/>
          <w:color w:val="000000" w:themeColor="text1"/>
          <w:sz w:val="20"/>
          <w:szCs w:val="20"/>
          <w:lang w:val="es-ES_tradnl"/>
        </w:rPr>
        <w:t>.</w:t>
      </w:r>
    </w:p>
    <w:p w14:paraId="3C62EAD7" w14:textId="77777777" w:rsidR="00E14AA7" w:rsidRPr="009F72B4" w:rsidRDefault="00E14AA7" w:rsidP="009F72B4">
      <w:pPr>
        <w:spacing w:after="0" w:line="276" w:lineRule="auto"/>
        <w:ind w:left="709" w:right="709"/>
        <w:jc w:val="both"/>
        <w:rPr>
          <w:rFonts w:ascii="Verdana" w:hAnsi="Verdana" w:cs="Arial"/>
          <w:bCs/>
          <w:color w:val="000000" w:themeColor="text1"/>
          <w:lang w:val="es-ES_tradnl"/>
        </w:rPr>
      </w:pPr>
    </w:p>
    <w:p w14:paraId="39D80350" w14:textId="77777777" w:rsidR="00E14AA7" w:rsidRPr="0033554C" w:rsidRDefault="00E14AA7" w:rsidP="009F72B4">
      <w:pPr>
        <w:spacing w:after="0" w:line="276" w:lineRule="auto"/>
        <w:ind w:firstLine="709"/>
        <w:jc w:val="both"/>
        <w:rPr>
          <w:rFonts w:ascii="Verdana" w:eastAsia="Calibri" w:hAnsi="Verdana" w:cs="Arial"/>
          <w:color w:val="000000" w:themeColor="text1"/>
          <w:lang w:val="es-ES"/>
        </w:rPr>
      </w:pPr>
      <w:r w:rsidRPr="0033554C">
        <w:rPr>
          <w:rFonts w:ascii="Verdana" w:eastAsia="Calibri" w:hAnsi="Verdana" w:cs="Arial"/>
          <w:color w:val="000000" w:themeColor="text1"/>
          <w:lang w:val="es-ES"/>
        </w:rPr>
        <w:t>También ha dicho que:</w:t>
      </w:r>
    </w:p>
    <w:p w14:paraId="2F03D94C" w14:textId="77777777" w:rsidR="00E14AA7" w:rsidRPr="009F72B4" w:rsidRDefault="00E14AA7" w:rsidP="009F72B4">
      <w:pPr>
        <w:spacing w:after="0" w:line="276" w:lineRule="auto"/>
        <w:jc w:val="both"/>
        <w:rPr>
          <w:rFonts w:ascii="Verdana" w:eastAsia="Calibri" w:hAnsi="Verdana" w:cs="Arial"/>
          <w:color w:val="000000" w:themeColor="text1"/>
          <w:lang w:val="es-ES_tradnl"/>
        </w:rPr>
      </w:pPr>
    </w:p>
    <w:p w14:paraId="41B40C28" w14:textId="77777777" w:rsidR="00E14AA7" w:rsidRDefault="00E14AA7" w:rsidP="009F72B4">
      <w:pPr>
        <w:tabs>
          <w:tab w:val="left" w:pos="7851"/>
        </w:tabs>
        <w:spacing w:after="0" w:line="276" w:lineRule="auto"/>
        <w:ind w:left="709" w:right="709"/>
        <w:jc w:val="both"/>
        <w:rPr>
          <w:rFonts w:ascii="Verdana" w:eastAsiaTheme="minorEastAsia" w:hAnsi="Verdana" w:cs="Arial"/>
          <w:lang w:eastAsia="es-CO"/>
        </w:rPr>
      </w:pPr>
      <w:r w:rsidRPr="0C384551">
        <w:rPr>
          <w:rFonts w:ascii="Verdana" w:hAnsi="Verdana" w:cs="Arial"/>
          <w:color w:val="000000" w:themeColor="text1"/>
          <w:sz w:val="20"/>
          <w:szCs w:val="20"/>
          <w:lang w:val="es-ES"/>
        </w:rPr>
        <w:lastRenderedPageBreak/>
        <w:t xml:space="preserve">“[…] la aplicación de estos preceptos exige una interpretación restrictiva, dado que según el principio hermenéutico </w:t>
      </w:r>
      <w:r w:rsidRPr="0C384551">
        <w:rPr>
          <w:rFonts w:ascii="Verdana" w:hAnsi="Verdana" w:cs="Arial"/>
          <w:i/>
          <w:color w:val="000000" w:themeColor="text1"/>
          <w:sz w:val="20"/>
          <w:szCs w:val="20"/>
          <w:lang w:val="es-ES"/>
        </w:rPr>
        <w:t>pro libertate</w:t>
      </w:r>
      <w:r w:rsidRPr="0C384551">
        <w:rPr>
          <w:rFonts w:ascii="Verdana" w:hAnsi="Verdana" w:cs="Arial"/>
          <w:color w:val="000000" w:themeColor="text1"/>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w:t>
      </w:r>
      <w:r>
        <w:rPr>
          <w:rFonts w:ascii="Verdana" w:hAnsi="Verdana" w:cs="Arial"/>
          <w:color w:val="000000" w:themeColor="text1"/>
          <w:sz w:val="20"/>
          <w:szCs w:val="20"/>
          <w:lang w:val="es-ES"/>
        </w:rPr>
        <w:t xml:space="preserve"> </w:t>
      </w:r>
      <w:r w:rsidRPr="0C384551">
        <w:rPr>
          <w:rFonts w:ascii="Verdana" w:hAnsi="Verdana" w:cs="Arial"/>
          <w:color w:val="000000" w:themeColor="text1"/>
          <w:sz w:val="20"/>
          <w:szCs w:val="20"/>
          <w:lang w:val="es-ES"/>
        </w:rPr>
        <w:t>de las mismas, pues de hacerlo se vulnerarían los derechos fundamentales al debido proceso (art. 29 CN) y a la igualdad (art. 13 Ibid.); […]”</w:t>
      </w:r>
      <w:r w:rsidRPr="0C384551">
        <w:rPr>
          <w:rFonts w:ascii="Verdana" w:hAnsi="Verdana" w:cs="Arial"/>
          <w:color w:val="000000" w:themeColor="text1"/>
          <w:sz w:val="20"/>
          <w:szCs w:val="20"/>
          <w:vertAlign w:val="superscript"/>
          <w:lang w:val="es-ES"/>
        </w:rPr>
        <w:footnoteReference w:id="7"/>
      </w:r>
      <w:r w:rsidRPr="0C384551">
        <w:rPr>
          <w:rFonts w:ascii="Verdana" w:hAnsi="Verdana" w:cs="Arial"/>
          <w:color w:val="000000" w:themeColor="text1"/>
          <w:sz w:val="20"/>
          <w:szCs w:val="20"/>
          <w:lang w:val="es-ES"/>
        </w:rPr>
        <w:t>.</w:t>
      </w:r>
    </w:p>
    <w:p w14:paraId="03C50A96" w14:textId="77777777" w:rsidR="007E7AFE" w:rsidRDefault="007E7AFE" w:rsidP="009F72B4">
      <w:pPr>
        <w:tabs>
          <w:tab w:val="left" w:pos="7851"/>
        </w:tabs>
        <w:spacing w:after="0" w:line="276" w:lineRule="auto"/>
        <w:ind w:firstLine="709"/>
        <w:jc w:val="both"/>
        <w:rPr>
          <w:rFonts w:ascii="Verdana" w:eastAsiaTheme="minorEastAsia" w:hAnsi="Verdana" w:cs="Arial"/>
          <w:lang w:eastAsia="es-CO"/>
        </w:rPr>
      </w:pPr>
    </w:p>
    <w:p w14:paraId="33432250" w14:textId="3933BD76" w:rsidR="00E14AA7" w:rsidRDefault="00E14AA7" w:rsidP="007E7AFE">
      <w:pPr>
        <w:tabs>
          <w:tab w:val="left" w:pos="7851"/>
        </w:tabs>
        <w:spacing w:after="0" w:line="276" w:lineRule="auto"/>
        <w:ind w:firstLine="709"/>
        <w:jc w:val="both"/>
        <w:rPr>
          <w:rFonts w:ascii="Verdana" w:eastAsiaTheme="minorEastAsia" w:hAnsi="Verdana" w:cs="Arial"/>
          <w:lang w:eastAsia="es-CO"/>
        </w:rPr>
      </w:pPr>
      <w:r>
        <w:rPr>
          <w:rFonts w:ascii="Verdana" w:eastAsiaTheme="minorEastAsia" w:hAnsi="Verdana" w:cs="Arial"/>
          <w:lang w:eastAsia="es-CO"/>
        </w:rPr>
        <w:t xml:space="preserve">Como se aprecia, el principio </w:t>
      </w:r>
      <w:r>
        <w:rPr>
          <w:rFonts w:ascii="Verdana" w:eastAsiaTheme="minorEastAsia" w:hAnsi="Verdana" w:cs="Arial"/>
          <w:i/>
          <w:iCs/>
          <w:lang w:eastAsia="es-CO"/>
        </w:rPr>
        <w:t xml:space="preserve">pro libertate </w:t>
      </w:r>
      <w:r>
        <w:rPr>
          <w:rFonts w:ascii="Verdana" w:eastAsiaTheme="minorEastAsia" w:hAnsi="Verdana" w:cs="Arial"/>
          <w:lang w:eastAsia="es-CO"/>
        </w:rPr>
        <w:t xml:space="preserve">debe dirigir la interpretación de las disposiciones normativas que consagran restricciones de derechos, como sucede con las causales de inhabilidad e incompatibilidad en la contratación estatal. </w:t>
      </w:r>
    </w:p>
    <w:p w14:paraId="10F82EB6" w14:textId="77777777" w:rsidR="007E7AFE" w:rsidRDefault="007E7AFE" w:rsidP="009F72B4">
      <w:pPr>
        <w:tabs>
          <w:tab w:val="left" w:pos="7851"/>
        </w:tabs>
        <w:spacing w:after="0" w:line="276" w:lineRule="auto"/>
        <w:ind w:firstLine="709"/>
        <w:jc w:val="both"/>
        <w:rPr>
          <w:rFonts w:ascii="Verdana" w:eastAsiaTheme="minorEastAsia" w:hAnsi="Verdana" w:cs="Arial"/>
          <w:lang w:eastAsia="es-CO"/>
        </w:rPr>
      </w:pPr>
    </w:p>
    <w:p w14:paraId="3188315A" w14:textId="3D27C5D7" w:rsidR="00E14AA7" w:rsidRDefault="00E14AA7" w:rsidP="007E7AFE">
      <w:pPr>
        <w:tabs>
          <w:tab w:val="left" w:pos="7851"/>
        </w:tabs>
        <w:spacing w:after="0" w:line="276" w:lineRule="auto"/>
        <w:jc w:val="both"/>
        <w:rPr>
          <w:rFonts w:ascii="Verdana" w:hAnsi="Verdana"/>
        </w:rPr>
      </w:pPr>
      <w:r w:rsidRPr="00FF021F">
        <w:rPr>
          <w:rFonts w:ascii="Verdana" w:eastAsiaTheme="minorEastAsia" w:hAnsi="Verdana" w:cs="Arial"/>
          <w:b/>
          <w:bCs/>
          <w:lang w:eastAsia="es-CO"/>
        </w:rPr>
        <w:t>ii.</w:t>
      </w:r>
      <w:r>
        <w:rPr>
          <w:rFonts w:ascii="Verdana" w:eastAsiaTheme="minorEastAsia" w:hAnsi="Verdana" w:cs="Arial"/>
          <w:lang w:eastAsia="es-CO"/>
        </w:rPr>
        <w:t xml:space="preserve"> </w:t>
      </w:r>
      <w:r w:rsidRPr="00C23CEB">
        <w:rPr>
          <w:rFonts w:ascii="Verdana" w:hAnsi="Verdana"/>
        </w:rPr>
        <w:t>Entre las inhabilidades e incompatibilidades para contratar con el Estado</w:t>
      </w:r>
      <w:r>
        <w:rPr>
          <w:rFonts w:ascii="Verdana" w:hAnsi="Verdana"/>
        </w:rPr>
        <w:t>,</w:t>
      </w:r>
      <w:r w:rsidRPr="00C23CEB">
        <w:rPr>
          <w:rFonts w:ascii="Verdana" w:hAnsi="Verdana"/>
        </w:rPr>
        <w:t xml:space="preserve"> se encuentra la prevista en el</w:t>
      </w:r>
      <w:r>
        <w:rPr>
          <w:rFonts w:ascii="Verdana" w:hAnsi="Verdana"/>
        </w:rPr>
        <w:t xml:space="preserve"> inciso B del numeral 2º del artículo </w:t>
      </w:r>
      <w:r w:rsidR="007E7AFE">
        <w:rPr>
          <w:rFonts w:ascii="Verdana" w:hAnsi="Verdana"/>
        </w:rPr>
        <w:t>8</w:t>
      </w:r>
      <w:r>
        <w:rPr>
          <w:rFonts w:ascii="Verdana" w:hAnsi="Verdana"/>
        </w:rPr>
        <w:t xml:space="preserve"> de la Ley 80 de 1993, la cual dispone lo siguiente:</w:t>
      </w:r>
    </w:p>
    <w:p w14:paraId="4970A95C" w14:textId="77777777" w:rsidR="007E7AFE" w:rsidRDefault="007E7AFE" w:rsidP="009F72B4">
      <w:pPr>
        <w:tabs>
          <w:tab w:val="left" w:pos="7851"/>
        </w:tabs>
        <w:spacing w:after="0" w:line="276" w:lineRule="auto"/>
        <w:jc w:val="both"/>
        <w:rPr>
          <w:rFonts w:ascii="Verdana" w:hAnsi="Verdana"/>
        </w:rPr>
      </w:pPr>
    </w:p>
    <w:p w14:paraId="50DA1ED0" w14:textId="76228FA0" w:rsidR="00E14AA7" w:rsidRDefault="00E14AA7" w:rsidP="009F72B4">
      <w:pPr>
        <w:tabs>
          <w:tab w:val="left" w:pos="7851"/>
        </w:tabs>
        <w:spacing w:after="0" w:line="240" w:lineRule="auto"/>
        <w:ind w:left="709" w:right="709"/>
        <w:jc w:val="both"/>
        <w:rPr>
          <w:rFonts w:ascii="Verdana" w:hAnsi="Verdana"/>
          <w:sz w:val="20"/>
          <w:szCs w:val="20"/>
        </w:rPr>
      </w:pPr>
      <w:r>
        <w:rPr>
          <w:rFonts w:ascii="Verdana" w:hAnsi="Verdana"/>
          <w:sz w:val="20"/>
          <w:szCs w:val="20"/>
        </w:rPr>
        <w:t>“</w:t>
      </w:r>
      <w:r w:rsidRPr="00371445">
        <w:rPr>
          <w:rFonts w:ascii="Verdana" w:hAnsi="Verdana"/>
          <w:sz w:val="20"/>
          <w:szCs w:val="20"/>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r>
        <w:rPr>
          <w:rFonts w:ascii="Verdana" w:hAnsi="Verdana"/>
          <w:sz w:val="20"/>
          <w:szCs w:val="20"/>
        </w:rPr>
        <w:t>”</w:t>
      </w:r>
    </w:p>
    <w:p w14:paraId="26ECD3C7" w14:textId="77777777" w:rsidR="007E7AFE" w:rsidRPr="00371445" w:rsidRDefault="007E7AFE" w:rsidP="009F72B4">
      <w:pPr>
        <w:tabs>
          <w:tab w:val="left" w:pos="7851"/>
        </w:tabs>
        <w:spacing w:after="0" w:line="276" w:lineRule="auto"/>
        <w:ind w:right="709"/>
        <w:jc w:val="both"/>
        <w:rPr>
          <w:rFonts w:ascii="Verdana" w:hAnsi="Verdana"/>
          <w:sz w:val="20"/>
          <w:szCs w:val="20"/>
        </w:rPr>
      </w:pPr>
    </w:p>
    <w:p w14:paraId="5ADCF896" w14:textId="77777777" w:rsidR="00E14AA7" w:rsidRDefault="00E14AA7" w:rsidP="00E14AA7">
      <w:pPr>
        <w:tabs>
          <w:tab w:val="left" w:pos="7851"/>
        </w:tabs>
        <w:spacing w:after="120" w:line="276" w:lineRule="auto"/>
        <w:ind w:firstLine="709"/>
        <w:jc w:val="both"/>
        <w:rPr>
          <w:rFonts w:ascii="Verdana" w:eastAsiaTheme="minorEastAsia" w:hAnsi="Verdana" w:cs="Arial"/>
          <w:lang w:eastAsia="es-CO"/>
        </w:rPr>
      </w:pPr>
      <w:r>
        <w:rPr>
          <w:rFonts w:ascii="Verdana" w:eastAsiaTheme="minorEastAsia" w:hAnsi="Verdana" w:cs="Arial"/>
          <w:lang w:eastAsia="es-CO"/>
        </w:rPr>
        <w:t>Este articulo hace referencia a inhabilidades en relación con a los vínculos de parentescos que impidan el adecuado e imparcial desempeño de las contrataciones con el Estado. De esta forma, cuando se cumplan los supuestos establecidos en el articulado se configura la inhabilidad para contratar con el estado.</w:t>
      </w:r>
    </w:p>
    <w:p w14:paraId="6A398954" w14:textId="77777777" w:rsidR="00E14AA7" w:rsidRDefault="00E14AA7" w:rsidP="00E14AA7">
      <w:pPr>
        <w:tabs>
          <w:tab w:val="left" w:pos="7851"/>
        </w:tabs>
        <w:spacing w:after="120" w:line="276" w:lineRule="auto"/>
        <w:ind w:firstLine="709"/>
        <w:jc w:val="both"/>
        <w:rPr>
          <w:rFonts w:ascii="Verdana" w:eastAsia="Aptos" w:hAnsi="Verdana" w:cs="Arial"/>
        </w:rPr>
      </w:pPr>
      <w:r>
        <w:rPr>
          <w:rFonts w:ascii="Verdana" w:eastAsiaTheme="minorEastAsia" w:hAnsi="Verdana" w:cs="Arial"/>
          <w:lang w:eastAsia="es-CO"/>
        </w:rPr>
        <w:t xml:space="preserve">Asimismo, es importante mencionar que, es posible que la inhabilidad se configure cuando ya está perfeccionado el contrato o incluso durante su ejecución. Por ello es importante que las entidades verifiquen las inhabilidades no solo al momento de celebrar el contrato estatal, sino también durante su ejecución. </w:t>
      </w:r>
      <w:r w:rsidRPr="00FC764B">
        <w:rPr>
          <w:rFonts w:ascii="Verdana" w:eastAsia="Aptos" w:hAnsi="Verdana" w:cs="Arial"/>
        </w:rPr>
        <w:t xml:space="preserve">En materia de contratación estatal, el mismo ordenamiento prevé una </w:t>
      </w:r>
      <w:r w:rsidRPr="00FC764B">
        <w:rPr>
          <w:rFonts w:ascii="Verdana" w:eastAsia="Aptos" w:hAnsi="Verdana" w:cs="Arial"/>
        </w:rPr>
        <w:lastRenderedPageBreak/>
        <w:t>regulación especia</w:t>
      </w:r>
      <w:r>
        <w:rPr>
          <w:rFonts w:ascii="Verdana" w:eastAsia="Aptos" w:hAnsi="Verdana" w:cs="Arial"/>
        </w:rPr>
        <w:t>l</w:t>
      </w:r>
      <w:r w:rsidRPr="00FC764B">
        <w:rPr>
          <w:rFonts w:ascii="Verdana" w:eastAsia="Aptos" w:hAnsi="Verdana" w:cs="Arial"/>
        </w:rPr>
        <w:t xml:space="preserve"> para los casos en que la inhabilidad se presenta de manera sobreviniente. </w:t>
      </w:r>
    </w:p>
    <w:p w14:paraId="3C563881" w14:textId="54970697" w:rsidR="00E14AA7" w:rsidRDefault="00E14AA7" w:rsidP="0018251F">
      <w:pPr>
        <w:tabs>
          <w:tab w:val="left" w:pos="7851"/>
        </w:tabs>
        <w:spacing w:after="0" w:line="276" w:lineRule="auto"/>
        <w:ind w:firstLine="709"/>
        <w:jc w:val="both"/>
        <w:rPr>
          <w:rFonts w:ascii="Verdana" w:eastAsia="Calibri" w:hAnsi="Verdana" w:cs="Arial"/>
          <w:color w:val="000000"/>
        </w:rPr>
      </w:pPr>
      <w:r w:rsidRPr="00FC764B">
        <w:rPr>
          <w:rFonts w:ascii="Verdana" w:eastAsia="Aptos" w:hAnsi="Verdana" w:cs="Arial"/>
        </w:rPr>
        <w:t>Al respecto,</w:t>
      </w:r>
      <w:r w:rsidRPr="00FC764B">
        <w:rPr>
          <w:rFonts w:ascii="Verdana" w:eastAsia="Calibri" w:hAnsi="Verdana" w:cs="Arial"/>
          <w:color w:val="000000"/>
        </w:rPr>
        <w:t xml:space="preserve"> el artículo 9 de la Ley 80 de 1993 señala lo siguiente:</w:t>
      </w:r>
    </w:p>
    <w:p w14:paraId="40E4BAD4" w14:textId="77777777" w:rsidR="0018251F" w:rsidRPr="001B3B12" w:rsidRDefault="0018251F" w:rsidP="009F72B4">
      <w:pPr>
        <w:tabs>
          <w:tab w:val="left" w:pos="7851"/>
        </w:tabs>
        <w:spacing w:after="0" w:line="276" w:lineRule="auto"/>
        <w:ind w:firstLine="709"/>
        <w:jc w:val="both"/>
        <w:rPr>
          <w:rFonts w:ascii="Verdana" w:eastAsiaTheme="minorEastAsia" w:hAnsi="Verdana" w:cs="Arial"/>
          <w:lang w:eastAsia="es-CO"/>
        </w:rPr>
      </w:pPr>
    </w:p>
    <w:p w14:paraId="52C2704C" w14:textId="77777777" w:rsidR="00E14AA7" w:rsidRDefault="00E14AA7" w:rsidP="0018251F">
      <w:pPr>
        <w:tabs>
          <w:tab w:val="left" w:pos="709"/>
        </w:tabs>
        <w:snapToGrid w:val="0"/>
        <w:spacing w:after="0" w:line="240" w:lineRule="auto"/>
        <w:ind w:left="709" w:right="709"/>
        <w:contextualSpacing/>
        <w:jc w:val="both"/>
        <w:rPr>
          <w:rFonts w:ascii="Verdana" w:eastAsia="Calibri" w:hAnsi="Verdana" w:cs="Arial"/>
          <w:color w:val="000000"/>
          <w:sz w:val="20"/>
          <w:szCs w:val="20"/>
        </w:rPr>
      </w:pPr>
      <w:r w:rsidRPr="00433591">
        <w:rPr>
          <w:rFonts w:ascii="Verdana" w:eastAsia="Calibri" w:hAnsi="Verdana" w:cs="Arial"/>
          <w:color w:val="000000"/>
          <w:sz w:val="20"/>
          <w:szCs w:val="20"/>
        </w:rPr>
        <w:t>“</w:t>
      </w:r>
      <w:bookmarkStart w:id="1" w:name="_Hlk173849753"/>
      <w:r w:rsidRPr="00FF0483">
        <w:rPr>
          <w:rFonts w:ascii="Verdana" w:eastAsia="Calibri" w:hAnsi="Verdana" w:cs="Arial"/>
          <w:i/>
          <w:iCs/>
          <w:color w:val="000000"/>
          <w:sz w:val="20"/>
          <w:szCs w:val="20"/>
        </w:rPr>
        <w:t>Si llegare a sobrevenir inhabilidad o incompatibilidad en el contratista, este cederá el contrato previa autorización escrita de la entidad contratante o, si ello no fuere posible, renunciará a su ejecución</w:t>
      </w:r>
      <w:bookmarkEnd w:id="1"/>
      <w:r w:rsidRPr="00FF0483">
        <w:rPr>
          <w:rFonts w:ascii="Verdana" w:eastAsia="Calibri" w:hAnsi="Verdana" w:cs="Arial"/>
          <w:i/>
          <w:iCs/>
          <w:color w:val="000000"/>
          <w:sz w:val="20"/>
          <w:szCs w:val="20"/>
        </w:rPr>
        <w:t>.</w:t>
      </w:r>
    </w:p>
    <w:p w14:paraId="085AFFBC" w14:textId="77777777" w:rsidR="00E14AA7" w:rsidRPr="00433591" w:rsidRDefault="00E14AA7" w:rsidP="00F11FE3">
      <w:pPr>
        <w:tabs>
          <w:tab w:val="left" w:pos="709"/>
        </w:tabs>
        <w:snapToGrid w:val="0"/>
        <w:spacing w:after="0" w:line="240" w:lineRule="auto"/>
        <w:ind w:left="709" w:right="709"/>
        <w:contextualSpacing/>
        <w:jc w:val="both"/>
        <w:rPr>
          <w:rFonts w:ascii="Verdana" w:eastAsia="Calibri" w:hAnsi="Verdana" w:cs="Arial"/>
          <w:color w:val="000000"/>
          <w:sz w:val="20"/>
          <w:szCs w:val="20"/>
        </w:rPr>
      </w:pPr>
    </w:p>
    <w:p w14:paraId="261186E5" w14:textId="77777777" w:rsidR="00E14AA7" w:rsidRPr="00433591" w:rsidRDefault="00E14AA7">
      <w:pPr>
        <w:tabs>
          <w:tab w:val="left" w:pos="709"/>
        </w:tabs>
        <w:snapToGrid w:val="0"/>
        <w:spacing w:after="0" w:line="240" w:lineRule="auto"/>
        <w:ind w:left="709" w:right="709"/>
        <w:contextualSpacing/>
        <w:jc w:val="both"/>
        <w:rPr>
          <w:rFonts w:ascii="Verdana" w:eastAsia="Calibri" w:hAnsi="Verdana" w:cs="Arial"/>
          <w:color w:val="000000"/>
          <w:sz w:val="20"/>
          <w:szCs w:val="20"/>
        </w:rPr>
      </w:pPr>
      <w:r w:rsidRPr="00433591">
        <w:rPr>
          <w:rFonts w:ascii="Verdana" w:eastAsia="Calibri" w:hAnsi="Verdana" w:cs="Arial"/>
          <w:color w:val="000000"/>
          <w:sz w:val="20"/>
          <w:szCs w:val="20"/>
        </w:rPr>
        <w:t>Cuando la inhabilidad o incompatibilidad sobrevenga en un proponente dentro de un proceso de selección, se entenderá que renuncia a la participación en el proceso de selección y a los derechos surgidos del mismo.</w:t>
      </w:r>
    </w:p>
    <w:p w14:paraId="0970D07E" w14:textId="77777777" w:rsidR="00E14AA7" w:rsidRPr="00433591" w:rsidRDefault="00E14AA7">
      <w:pPr>
        <w:tabs>
          <w:tab w:val="left" w:pos="709"/>
        </w:tabs>
        <w:snapToGrid w:val="0"/>
        <w:spacing w:after="0" w:line="240" w:lineRule="auto"/>
        <w:ind w:left="709" w:right="709"/>
        <w:contextualSpacing/>
        <w:jc w:val="both"/>
        <w:rPr>
          <w:rFonts w:ascii="Verdana" w:eastAsia="Calibri" w:hAnsi="Verdana" w:cs="Arial"/>
          <w:color w:val="000000"/>
          <w:sz w:val="20"/>
          <w:szCs w:val="20"/>
        </w:rPr>
      </w:pPr>
    </w:p>
    <w:p w14:paraId="47FB2852" w14:textId="77777777" w:rsidR="00E14AA7" w:rsidRPr="00433591" w:rsidRDefault="00E14AA7">
      <w:pPr>
        <w:tabs>
          <w:tab w:val="left" w:pos="709"/>
        </w:tabs>
        <w:snapToGrid w:val="0"/>
        <w:spacing w:after="0" w:line="240" w:lineRule="auto"/>
        <w:ind w:left="709" w:right="709"/>
        <w:contextualSpacing/>
        <w:jc w:val="both"/>
        <w:rPr>
          <w:rFonts w:ascii="Verdana" w:eastAsia="Calibri" w:hAnsi="Verdana" w:cs="Arial"/>
          <w:color w:val="000000"/>
          <w:sz w:val="20"/>
          <w:szCs w:val="20"/>
        </w:rPr>
      </w:pPr>
      <w:r w:rsidRPr="00433591">
        <w:rPr>
          <w:rFonts w:ascii="Verdana" w:eastAsia="Calibri" w:hAnsi="Verdana" w:cs="Arial"/>
          <w:color w:val="000000"/>
          <w:sz w:val="20"/>
          <w:szCs w:val="20"/>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0946B4A0" w14:textId="77777777" w:rsidR="00E14AA7" w:rsidRPr="00433591" w:rsidRDefault="00E14AA7">
      <w:pPr>
        <w:tabs>
          <w:tab w:val="left" w:pos="709"/>
        </w:tabs>
        <w:spacing w:after="0" w:line="240" w:lineRule="auto"/>
        <w:ind w:left="709" w:right="709"/>
        <w:jc w:val="both"/>
        <w:rPr>
          <w:rFonts w:ascii="Verdana" w:eastAsia="Calibri" w:hAnsi="Verdana" w:cs="Arial"/>
          <w:color w:val="000000"/>
          <w:sz w:val="20"/>
          <w:szCs w:val="20"/>
        </w:rPr>
      </w:pPr>
    </w:p>
    <w:p w14:paraId="788C01A3" w14:textId="77777777" w:rsidR="00E14AA7" w:rsidRPr="00433591" w:rsidRDefault="00E14AA7">
      <w:pPr>
        <w:tabs>
          <w:tab w:val="left" w:pos="709"/>
        </w:tabs>
        <w:spacing w:after="0" w:line="240" w:lineRule="auto"/>
        <w:ind w:left="709" w:right="709"/>
        <w:jc w:val="both"/>
        <w:rPr>
          <w:rFonts w:ascii="Verdana" w:eastAsia="Calibri" w:hAnsi="Verdana" w:cs="Arial"/>
          <w:color w:val="000000"/>
          <w:sz w:val="20"/>
          <w:szCs w:val="20"/>
        </w:rPr>
      </w:pPr>
      <w:r w:rsidRPr="00433591">
        <w:rPr>
          <w:rFonts w:ascii="Verdana" w:eastAsia="Calibri" w:hAnsi="Verdana" w:cs="Arial"/>
          <w:color w:val="000000"/>
          <w:sz w:val="20"/>
          <w:szCs w:val="20"/>
        </w:rPr>
        <w:t>Parágrafo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w:t>
      </w:r>
    </w:p>
    <w:p w14:paraId="2E27CE2A" w14:textId="77777777" w:rsidR="00E14AA7" w:rsidRPr="00433591" w:rsidRDefault="00E14AA7">
      <w:pPr>
        <w:tabs>
          <w:tab w:val="left" w:pos="709"/>
        </w:tabs>
        <w:spacing w:after="0" w:line="240" w:lineRule="auto"/>
        <w:ind w:left="709" w:right="709"/>
        <w:jc w:val="both"/>
        <w:rPr>
          <w:rFonts w:ascii="Verdana" w:eastAsia="Calibri" w:hAnsi="Verdana" w:cs="Arial"/>
          <w:color w:val="000000"/>
          <w:sz w:val="20"/>
          <w:szCs w:val="20"/>
        </w:rPr>
      </w:pPr>
    </w:p>
    <w:p w14:paraId="481CF627" w14:textId="77777777" w:rsidR="00E14AA7" w:rsidRPr="00433591" w:rsidRDefault="00E14AA7">
      <w:pPr>
        <w:tabs>
          <w:tab w:val="left" w:pos="709"/>
        </w:tabs>
        <w:spacing w:after="0" w:line="240" w:lineRule="auto"/>
        <w:ind w:left="709" w:right="709"/>
        <w:jc w:val="both"/>
        <w:rPr>
          <w:rFonts w:ascii="Verdana" w:eastAsia="Calibri" w:hAnsi="Verdana" w:cs="Arial"/>
          <w:color w:val="000000"/>
          <w:sz w:val="20"/>
          <w:szCs w:val="20"/>
        </w:rPr>
      </w:pPr>
      <w:r w:rsidRPr="00433591">
        <w:rPr>
          <w:rFonts w:ascii="Verdana" w:eastAsia="Calibri" w:hAnsi="Verdana" w:cs="Arial"/>
          <w:color w:val="000000"/>
          <w:sz w:val="20"/>
          <w:szCs w:val="20"/>
        </w:rPr>
        <w:t>Para el caso de cesión, será la entidad contratante la encargada de determinar el cesionario del contrato. […]</w:t>
      </w:r>
      <w:bookmarkStart w:id="2" w:name="_Hlk79777330"/>
      <w:r w:rsidRPr="00433591">
        <w:rPr>
          <w:rFonts w:ascii="Verdana" w:eastAsia="Calibri" w:hAnsi="Verdana" w:cs="Arial"/>
          <w:color w:val="000000"/>
          <w:sz w:val="20"/>
          <w:szCs w:val="20"/>
        </w:rPr>
        <w:t>”</w:t>
      </w:r>
      <w:r w:rsidRPr="00433591">
        <w:rPr>
          <w:rFonts w:ascii="Verdana" w:eastAsia="Calibri" w:hAnsi="Verdana" w:cs="Arial"/>
          <w:color w:val="000000"/>
          <w:sz w:val="20"/>
          <w:szCs w:val="20"/>
          <w:vertAlign w:val="superscript"/>
        </w:rPr>
        <w:footnoteReference w:id="8"/>
      </w:r>
      <w:bookmarkEnd w:id="2"/>
    </w:p>
    <w:p w14:paraId="1A1C084B" w14:textId="77777777" w:rsidR="00E14AA7" w:rsidRDefault="00E14AA7" w:rsidP="009F72B4">
      <w:pPr>
        <w:tabs>
          <w:tab w:val="left" w:pos="7851"/>
        </w:tabs>
        <w:spacing w:after="0" w:line="276" w:lineRule="auto"/>
        <w:ind w:firstLine="709"/>
        <w:jc w:val="both"/>
        <w:rPr>
          <w:rFonts w:ascii="Verdana" w:eastAsiaTheme="minorEastAsia" w:hAnsi="Verdana" w:cs="Arial"/>
          <w:lang w:eastAsia="es-CO"/>
        </w:rPr>
      </w:pPr>
    </w:p>
    <w:p w14:paraId="4076DBB8" w14:textId="77777777" w:rsidR="00E14AA7" w:rsidRDefault="00E14AA7" w:rsidP="00E14AA7">
      <w:pPr>
        <w:spacing w:after="0" w:line="276" w:lineRule="auto"/>
        <w:ind w:firstLine="708"/>
        <w:jc w:val="both"/>
        <w:rPr>
          <w:rFonts w:ascii="Verdana" w:eastAsia="Aptos" w:hAnsi="Verdana" w:cs="Arial"/>
        </w:rPr>
      </w:pPr>
      <w:r w:rsidRPr="00FF0483">
        <w:rPr>
          <w:rFonts w:ascii="Verdana" w:eastAsia="Aptos" w:hAnsi="Verdana" w:cs="Arial"/>
        </w:rPr>
        <w:t>Esta regulación de las inhabilidades e incompatibilidades sobrevinientes fue una innovación del E</w:t>
      </w:r>
      <w:r>
        <w:rPr>
          <w:rFonts w:ascii="Verdana" w:eastAsia="Aptos" w:hAnsi="Verdana" w:cs="Arial"/>
        </w:rPr>
        <w:t>statuto General de Contratación de la Administración Pública</w:t>
      </w:r>
      <w:r w:rsidRPr="00FF0483">
        <w:rPr>
          <w:rFonts w:ascii="Verdana" w:eastAsia="Aptos" w:hAnsi="Verdana" w:cs="Arial"/>
        </w:rPr>
        <w:t xml:space="preserve">, pues el tema no fue abordado en los Decretos Ley 150 de 1976 y 222 de 1983. </w:t>
      </w:r>
      <w:r>
        <w:rPr>
          <w:rFonts w:ascii="Verdana" w:eastAsia="Aptos" w:hAnsi="Verdana" w:cs="Arial"/>
        </w:rPr>
        <w:t>N</w:t>
      </w:r>
      <w:r w:rsidRPr="00FF0483">
        <w:rPr>
          <w:rFonts w:ascii="Verdana" w:eastAsia="Aptos" w:hAnsi="Verdana" w:cs="Arial"/>
        </w:rPr>
        <w:t>o se trata de causales nuevas, sino de su configuración antes de que finalice el procedimiento de selección o después de perfeccionado el contrato.</w:t>
      </w:r>
      <w:r>
        <w:rPr>
          <w:rFonts w:ascii="Verdana" w:eastAsia="Aptos" w:hAnsi="Verdana" w:cs="Arial"/>
        </w:rPr>
        <w:t xml:space="preserve"> </w:t>
      </w:r>
      <w:r w:rsidRPr="00FF0483">
        <w:rPr>
          <w:rFonts w:ascii="Verdana" w:eastAsia="Aptos" w:hAnsi="Verdana" w:cs="Arial"/>
        </w:rPr>
        <w:t>Sobre la constitucionalidad de esta norma se pronunció la Corte Constitucional indicando que:</w:t>
      </w:r>
    </w:p>
    <w:p w14:paraId="2AD7FDB5" w14:textId="77777777" w:rsidR="00E14AA7" w:rsidRPr="00FF0483" w:rsidRDefault="00E14AA7" w:rsidP="00E14AA7">
      <w:pPr>
        <w:spacing w:after="0" w:line="276" w:lineRule="auto"/>
        <w:ind w:firstLine="708"/>
        <w:jc w:val="both"/>
        <w:rPr>
          <w:rFonts w:ascii="Verdana" w:eastAsia="Aptos" w:hAnsi="Verdana" w:cs="Arial"/>
        </w:rPr>
      </w:pPr>
    </w:p>
    <w:p w14:paraId="3B2CD6C1" w14:textId="77777777" w:rsidR="00E14AA7" w:rsidRPr="00433591" w:rsidRDefault="00E14AA7" w:rsidP="00E14AA7">
      <w:pPr>
        <w:spacing w:after="0" w:line="240" w:lineRule="auto"/>
        <w:ind w:left="709" w:right="709"/>
        <w:jc w:val="both"/>
        <w:rPr>
          <w:rFonts w:ascii="Verdana" w:eastAsia="Aptos" w:hAnsi="Verdana" w:cs="Arial"/>
          <w:color w:val="000000"/>
          <w:sz w:val="20"/>
          <w:szCs w:val="20"/>
        </w:rPr>
      </w:pPr>
      <w:r w:rsidRPr="00433591">
        <w:rPr>
          <w:rFonts w:ascii="Verdana" w:eastAsia="Aptos" w:hAnsi="Verdana" w:cs="Arial"/>
          <w:color w:val="000000"/>
          <w:sz w:val="20"/>
          <w:szCs w:val="20"/>
        </w:rPr>
        <w:t>“[…] Se trata de evitar que contraten con el Estado quienes se ubican en alguna de las situaciones contempladas por el artículo 8º de la Ley 80 de 1993, a la cual pertenece también la disposición demandada. Como tales incompatibilidades e inhabilidades no siempre surgen desde el comienzo de los trámites previos a la contratación, debe la ley ocuparse en la determinación clara de las reglas que han de observarse si ellas aparecen de manera sobreviniente, esto es, cuando la relación contractual ya se había establecido o dentro del tiempo de una licitación o concurso ya iniciados.</w:t>
      </w:r>
    </w:p>
    <w:p w14:paraId="42378753" w14:textId="77777777" w:rsidR="00E14AA7" w:rsidRPr="00433591" w:rsidRDefault="00E14AA7" w:rsidP="00E14AA7">
      <w:pPr>
        <w:spacing w:after="0" w:line="240" w:lineRule="auto"/>
        <w:ind w:left="709" w:right="709"/>
        <w:jc w:val="both"/>
        <w:rPr>
          <w:rFonts w:ascii="Verdana" w:eastAsia="Aptos" w:hAnsi="Verdana" w:cs="Arial"/>
          <w:color w:val="000000"/>
          <w:sz w:val="20"/>
          <w:szCs w:val="20"/>
        </w:rPr>
      </w:pPr>
    </w:p>
    <w:p w14:paraId="674F537E" w14:textId="77777777" w:rsidR="00E14AA7" w:rsidRPr="00433591" w:rsidRDefault="00E14AA7" w:rsidP="00E14AA7">
      <w:pPr>
        <w:spacing w:after="0" w:line="240" w:lineRule="auto"/>
        <w:ind w:left="709" w:right="709"/>
        <w:jc w:val="both"/>
        <w:rPr>
          <w:rFonts w:ascii="Verdana" w:eastAsia="Aptos" w:hAnsi="Verdana" w:cs="Arial"/>
          <w:color w:val="000000"/>
          <w:sz w:val="20"/>
          <w:szCs w:val="20"/>
        </w:rPr>
      </w:pPr>
      <w:r w:rsidRPr="00433591">
        <w:rPr>
          <w:rFonts w:ascii="Verdana" w:eastAsia="Aptos" w:hAnsi="Verdana" w:cs="Arial"/>
          <w:color w:val="000000"/>
          <w:sz w:val="20"/>
          <w:szCs w:val="20"/>
        </w:rPr>
        <w:t>A juicio de la Corte, en nada se ofende el imperio de la Constitución por haberse establecido que el hecho de sobrevenir una causal de inhabilidad o incompatibilidad en cabeza de quien ya es contratista da lugar a la obligación de éste de ceder el contrato previa autorización escrita de la entidad contratante, o a la de renunciar a su ejecución si aquello no fuere posible. Tampoco se vulnera la Carta por consagrar que quien participa en un proceso de licitación o concurso y resulta intempestivamente afectado por inhabilidades o incompatibilidades deba renunciar a dicha participación, ni se desconoce la normatividad superior por prever, como lo hace la norma, la cesión en favor de un tercero de la participación en el consorcio o unión temporal que licita o es contratista cuando la causa de inhabilidad o incompatibilidad se radica en uno de sus miembros. Se trata de evitar en tales casos que el contratista, pese a su situación, prosiga vinculado contractualmente con el Estado, o que el aspirante a serlo continúe tomando parte en los procesos de adjudicación y selección […]”</w:t>
      </w:r>
      <w:r w:rsidRPr="00433591">
        <w:rPr>
          <w:rFonts w:ascii="Verdana" w:eastAsia="Aptos" w:hAnsi="Verdana" w:cs="Arial"/>
          <w:color w:val="000000"/>
          <w:sz w:val="20"/>
          <w:szCs w:val="20"/>
          <w:vertAlign w:val="superscript"/>
        </w:rPr>
        <w:footnoteReference w:id="9"/>
      </w:r>
    </w:p>
    <w:p w14:paraId="6942E888" w14:textId="77777777" w:rsidR="00E14AA7" w:rsidRDefault="00E14AA7" w:rsidP="00E14AA7">
      <w:pPr>
        <w:tabs>
          <w:tab w:val="left" w:pos="7851"/>
        </w:tabs>
        <w:spacing w:after="120" w:line="276" w:lineRule="auto"/>
        <w:ind w:firstLine="709"/>
        <w:jc w:val="both"/>
        <w:rPr>
          <w:rFonts w:ascii="Verdana" w:eastAsiaTheme="minorEastAsia" w:hAnsi="Verdana" w:cs="Arial"/>
          <w:lang w:eastAsia="es-CO"/>
        </w:rPr>
      </w:pPr>
    </w:p>
    <w:p w14:paraId="46DF887D" w14:textId="77777777" w:rsidR="00E14AA7" w:rsidRDefault="00E14AA7" w:rsidP="00E14AA7">
      <w:pPr>
        <w:tabs>
          <w:tab w:val="left" w:pos="7851"/>
        </w:tabs>
        <w:spacing w:after="120" w:line="276" w:lineRule="auto"/>
        <w:ind w:firstLine="709"/>
        <w:jc w:val="both"/>
        <w:rPr>
          <w:rFonts w:ascii="Verdana" w:eastAsiaTheme="minorEastAsia" w:hAnsi="Verdana" w:cs="Arial"/>
          <w:lang w:eastAsia="es-CO"/>
        </w:rPr>
      </w:pPr>
      <w:r>
        <w:rPr>
          <w:rFonts w:ascii="Verdana" w:eastAsia="Calibri" w:hAnsi="Verdana" w:cs="Arial"/>
          <w:color w:val="000000"/>
        </w:rPr>
        <w:t xml:space="preserve">De esta forma, </w:t>
      </w:r>
      <w:r>
        <w:rPr>
          <w:rFonts w:ascii="Verdana" w:hAnsi="Verdana" w:cs="Arial"/>
          <w:color w:val="000000" w:themeColor="text1"/>
        </w:rPr>
        <w:t>si las inhabilidades o incompatibilidades tienen carácter sobreviniente, es necesario tener en cuenta que el ordenamiento jurídico trata de manera distinta al oferente, al adjudicatario y al contratista.</w:t>
      </w:r>
      <w:r w:rsidRPr="00D46D9B">
        <w:rPr>
          <w:rFonts w:ascii="Verdana" w:hAnsi="Verdana" w:cs="Arial"/>
          <w:i/>
          <w:iCs/>
          <w:color w:val="000000" w:themeColor="text1"/>
        </w:rPr>
        <w:t xml:space="preserve"> </w:t>
      </w:r>
      <w:r w:rsidRPr="007C0118">
        <w:rPr>
          <w:rFonts w:ascii="Verdana" w:hAnsi="Verdana" w:cs="Arial"/>
          <w:color w:val="000000" w:themeColor="text1"/>
        </w:rPr>
        <w:t>Respecto al</w:t>
      </w:r>
      <w:r w:rsidRPr="006437AB">
        <w:rPr>
          <w:rFonts w:ascii="Verdana" w:hAnsi="Verdana" w:cs="Arial"/>
          <w:i/>
          <w:iCs/>
          <w:color w:val="000000" w:themeColor="text1"/>
        </w:rPr>
        <w:t xml:space="preserve"> ofer</w:t>
      </w:r>
      <w:r>
        <w:rPr>
          <w:rFonts w:ascii="Verdana" w:hAnsi="Verdana" w:cs="Arial"/>
          <w:i/>
          <w:iCs/>
          <w:color w:val="000000" w:themeColor="text1"/>
        </w:rPr>
        <w:t>en</w:t>
      </w:r>
      <w:r w:rsidRPr="006437AB">
        <w:rPr>
          <w:rFonts w:ascii="Verdana" w:hAnsi="Verdana" w:cs="Arial"/>
          <w:i/>
          <w:iCs/>
          <w:color w:val="000000" w:themeColor="text1"/>
        </w:rPr>
        <w:t>te</w:t>
      </w:r>
      <w:r>
        <w:rPr>
          <w:rFonts w:ascii="Verdana" w:hAnsi="Verdana" w:cs="Arial"/>
          <w:color w:val="000000" w:themeColor="text1"/>
        </w:rPr>
        <w:t>, el inciso segundo del artículo 9 de la Ley 80 de 1993 dispone que “</w:t>
      </w:r>
      <w:r w:rsidRPr="006437AB">
        <w:rPr>
          <w:rFonts w:ascii="Verdana" w:hAnsi="Verdana" w:cs="Arial"/>
          <w:color w:val="000000" w:themeColor="text1"/>
        </w:rPr>
        <w:t>Cuando la inhabilidad o incompatibilidad sobrevenga en un proponente dentro de un proceso de selección, se entenderá que renuncia a la participación en el proceso de selección y a los derechos surgidos del mismo</w:t>
      </w:r>
      <w:r>
        <w:rPr>
          <w:rFonts w:ascii="Verdana" w:hAnsi="Verdana" w:cs="Arial"/>
          <w:color w:val="000000" w:themeColor="text1"/>
        </w:rPr>
        <w:t>”</w:t>
      </w:r>
      <w:r w:rsidRPr="006437AB">
        <w:rPr>
          <w:rFonts w:ascii="Verdana" w:hAnsi="Verdana" w:cs="Arial"/>
          <w:color w:val="000000" w:themeColor="text1"/>
        </w:rPr>
        <w:t>.</w:t>
      </w:r>
      <w:r>
        <w:rPr>
          <w:rFonts w:ascii="Verdana" w:hAnsi="Verdana" w:cs="Arial"/>
          <w:color w:val="000000" w:themeColor="text1"/>
        </w:rPr>
        <w:t xml:space="preserve"> </w:t>
      </w:r>
      <w:r w:rsidRPr="007C0118">
        <w:rPr>
          <w:rFonts w:ascii="Verdana" w:hAnsi="Verdana" w:cs="Arial"/>
          <w:color w:val="000000" w:themeColor="text1"/>
        </w:rPr>
        <w:t xml:space="preserve">Respecto al </w:t>
      </w:r>
      <w:r w:rsidRPr="007C0118">
        <w:rPr>
          <w:rFonts w:ascii="Verdana" w:hAnsi="Verdana" w:cs="Arial"/>
          <w:i/>
          <w:iCs/>
          <w:color w:val="000000" w:themeColor="text1"/>
        </w:rPr>
        <w:t>adjudicatario,</w:t>
      </w:r>
      <w:r>
        <w:rPr>
          <w:rFonts w:ascii="Verdana" w:hAnsi="Verdana" w:cs="Arial"/>
          <w:color w:val="000000" w:themeColor="text1"/>
        </w:rPr>
        <w:t xml:space="preserve"> el inciso 3 del artículo 9 de la Ley 1150 de 2007 prescribe lo siguiente: “[…] </w:t>
      </w:r>
      <w:r w:rsidRPr="00102540">
        <w:rPr>
          <w:rFonts w:ascii="Verdana" w:hAnsi="Verdana" w:cs="Arial"/>
          <w:color w:val="000000" w:themeColor="text1"/>
        </w:rPr>
        <w:t xml:space="preserve">si dentro del plazo comprendido entre la adjudicación del contrato y la suscripción de este, sobreviene una inhabilidad o incompatibilidad </w:t>
      </w:r>
      <w:r>
        <w:rPr>
          <w:rFonts w:ascii="Verdana" w:hAnsi="Verdana" w:cs="Arial"/>
          <w:color w:val="000000" w:themeColor="text1"/>
        </w:rPr>
        <w:t>[…]</w:t>
      </w:r>
      <w:r w:rsidRPr="00102540">
        <w:rPr>
          <w:rFonts w:ascii="Verdana" w:hAnsi="Verdana" w:cs="Arial"/>
          <w:color w:val="000000" w:themeColor="text1"/>
        </w:rPr>
        <w:t xml:space="preserve"> este podrá ser revocado</w:t>
      </w:r>
      <w:r>
        <w:rPr>
          <w:rFonts w:ascii="Verdana" w:hAnsi="Verdana" w:cs="Arial"/>
          <w:color w:val="000000" w:themeColor="text1"/>
        </w:rPr>
        <w:t xml:space="preserve"> […]”</w:t>
      </w:r>
    </w:p>
    <w:p w14:paraId="08841082" w14:textId="77777777" w:rsidR="00E14AA7" w:rsidRPr="00BC5F0F" w:rsidRDefault="00E14AA7" w:rsidP="00E14AA7">
      <w:pPr>
        <w:tabs>
          <w:tab w:val="left" w:pos="7851"/>
        </w:tabs>
        <w:spacing w:after="120" w:line="276" w:lineRule="auto"/>
        <w:ind w:firstLine="709"/>
        <w:jc w:val="both"/>
        <w:rPr>
          <w:rFonts w:ascii="Verdana" w:hAnsi="Verdana" w:cs="Arial"/>
          <w:color w:val="000000" w:themeColor="text1"/>
        </w:rPr>
      </w:pPr>
      <w:r>
        <w:rPr>
          <w:rFonts w:ascii="Verdana" w:hAnsi="Verdana" w:cs="Arial"/>
          <w:color w:val="000000" w:themeColor="text1"/>
        </w:rPr>
        <w:lastRenderedPageBreak/>
        <w:t>Sólo con el cumplimiento de los requisitos de los artículos 39 y 41 del Estatuto General de Contratación Pública existe el contrato estatal, de manera que tienen carácter solemne</w:t>
      </w:r>
      <w:r w:rsidRPr="00102540">
        <w:rPr>
          <w:rFonts w:ascii="Verdana" w:hAnsi="Verdana" w:cs="Arial"/>
          <w:color w:val="000000" w:themeColor="text1"/>
        </w:rPr>
        <w:t xml:space="preserve"> y, por tanto, requieren formalidad escrita</w:t>
      </w:r>
      <w:r>
        <w:rPr>
          <w:rFonts w:ascii="Verdana" w:hAnsi="Verdana" w:cs="Arial"/>
          <w:color w:val="000000" w:themeColor="text1"/>
        </w:rPr>
        <w:t xml:space="preserve">. Por ello, </w:t>
      </w:r>
      <w:r w:rsidRPr="00BC5F0F">
        <w:rPr>
          <w:rFonts w:ascii="Verdana" w:hAnsi="Verdana" w:cs="Arial"/>
          <w:color w:val="000000" w:themeColor="text1"/>
        </w:rPr>
        <w:t>respecto al</w:t>
      </w:r>
      <w:r w:rsidRPr="00F87C06">
        <w:rPr>
          <w:rFonts w:ascii="Verdana" w:hAnsi="Verdana" w:cs="Arial"/>
          <w:i/>
          <w:iCs/>
          <w:color w:val="000000" w:themeColor="text1"/>
        </w:rPr>
        <w:t xml:space="preserve"> contratista</w:t>
      </w:r>
      <w:r>
        <w:rPr>
          <w:rFonts w:ascii="Verdana" w:hAnsi="Verdana" w:cs="Arial"/>
          <w:color w:val="000000" w:themeColor="text1"/>
        </w:rPr>
        <w:t>, el inciso primero del artículo 9 de la Ley 80 de 1993 dispone que “</w:t>
      </w:r>
      <w:r w:rsidRPr="00BC5F0F">
        <w:rPr>
          <w:rFonts w:ascii="Verdana" w:hAnsi="Verdana" w:cs="Arial"/>
          <w:color w:val="000000" w:themeColor="text1"/>
          <w:u w:val="single"/>
        </w:rPr>
        <w:t>Si llegare a sobrevenir inhabilidad o incompatibilidad en el contratista, este cederá el contrato previa autorización escrita de la entidad contratante o, si ello no fuere posible, renunciará a su ejecución”.</w:t>
      </w:r>
      <w:r>
        <w:rPr>
          <w:rFonts w:ascii="Verdana" w:hAnsi="Verdana" w:cs="Arial"/>
          <w:color w:val="000000" w:themeColor="text1"/>
          <w:u w:val="single"/>
        </w:rPr>
        <w:t xml:space="preserve"> </w:t>
      </w:r>
      <w:r>
        <w:rPr>
          <w:rFonts w:ascii="Verdana" w:hAnsi="Verdana" w:cs="Arial"/>
          <w:color w:val="000000" w:themeColor="text1"/>
        </w:rPr>
        <w:t xml:space="preserve">[Subrayado fuera del texto original]. </w:t>
      </w:r>
    </w:p>
    <w:p w14:paraId="4D7A10AF" w14:textId="77777777" w:rsidR="00E14AA7" w:rsidRDefault="00E14AA7" w:rsidP="009F72B4">
      <w:pPr>
        <w:tabs>
          <w:tab w:val="left" w:pos="7851"/>
        </w:tabs>
        <w:spacing w:after="0" w:line="276" w:lineRule="auto"/>
        <w:ind w:firstLine="709"/>
        <w:jc w:val="both"/>
        <w:rPr>
          <w:rFonts w:ascii="Verdana" w:hAnsi="Verdana" w:cs="Arial"/>
          <w:color w:val="000000" w:themeColor="text1"/>
        </w:rPr>
      </w:pPr>
      <w:r>
        <w:rPr>
          <w:rFonts w:ascii="Verdana" w:hAnsi="Verdana" w:cs="Arial"/>
          <w:color w:val="000000" w:themeColor="text1"/>
        </w:rPr>
        <w:t xml:space="preserve">En efecto, si el contrato se celebra con personas incursas previamente en una situación e inhabilidad o incompatibilidad, este surge a la vida jurídica viciado de nulidad absoluta. En contraste, si la inhabilidad o incompatibilidad ocurre de forma sobreviniente una vez celebrado el contrato, este no es inválido porque se perfeccionó de forma lícita. No obstante, conforme al principio de moralidad administrativa, se producirán consecuencias jurídicas dispuestas por el Legislador. Según se desprende del artículo 9 de la Ley 80 de 1993 – </w:t>
      </w:r>
      <w:r w:rsidRPr="00BC5F0F">
        <w:rPr>
          <w:rFonts w:ascii="Verdana" w:hAnsi="Verdana" w:cs="Arial"/>
          <w:i/>
          <w:iCs/>
          <w:color w:val="000000" w:themeColor="text1"/>
        </w:rPr>
        <w:t>y sin perjuicio de la regla especial establecida en el parágrafo 1 de dicho artículo</w:t>
      </w:r>
      <w:r>
        <w:rPr>
          <w:rFonts w:ascii="Verdana" w:hAnsi="Verdana" w:cs="Arial"/>
          <w:color w:val="000000" w:themeColor="text1"/>
        </w:rPr>
        <w:t xml:space="preserve"> – si la inhabilidad o incompatibilidad se configura después del perfeccionamiento del contrato, el contratista cederá el contrato a un tercero, previa autorización escrita de la entidad contratante; si esto no es posible, entonces deberá renunciar a la ejecución. </w:t>
      </w:r>
    </w:p>
    <w:p w14:paraId="5DAD29E3" w14:textId="77777777" w:rsidR="00784EB4" w:rsidRDefault="00784EB4" w:rsidP="009F72B4">
      <w:pPr>
        <w:spacing w:after="0" w:line="276" w:lineRule="auto"/>
        <w:jc w:val="both"/>
        <w:rPr>
          <w:rFonts w:ascii="Verdana" w:eastAsia="Aptos" w:hAnsi="Verdana" w:cs="Arial"/>
          <w:b/>
          <w:bCs/>
        </w:rPr>
      </w:pPr>
    </w:p>
    <w:p w14:paraId="5EDEF206" w14:textId="125EE613" w:rsidR="00E14AA7" w:rsidRDefault="00E14AA7" w:rsidP="009F72B4">
      <w:pPr>
        <w:spacing w:after="0" w:line="276" w:lineRule="auto"/>
        <w:jc w:val="both"/>
        <w:rPr>
          <w:rFonts w:ascii="Verdana" w:eastAsia="Calibri" w:hAnsi="Verdana" w:cs="Arial"/>
          <w:color w:val="000000"/>
        </w:rPr>
      </w:pPr>
      <w:r w:rsidRPr="007334CB">
        <w:rPr>
          <w:rFonts w:ascii="Verdana" w:eastAsia="Aptos" w:hAnsi="Verdana" w:cs="Arial"/>
          <w:b/>
          <w:bCs/>
        </w:rPr>
        <w:t>iii.</w:t>
      </w:r>
      <w:r>
        <w:rPr>
          <w:rFonts w:ascii="Verdana" w:eastAsia="Aptos" w:hAnsi="Verdana" w:cs="Arial"/>
        </w:rPr>
        <w:t xml:space="preserve"> Trasladadas las anteriores consideraciones al supuesto de la consulta</w:t>
      </w:r>
      <w:r w:rsidRPr="008E0B5C">
        <w:rPr>
          <w:rFonts w:ascii="Verdana" w:eastAsia="Aptos" w:hAnsi="Verdana" w:cs="Arial"/>
        </w:rPr>
        <w:t>,</w:t>
      </w:r>
      <w:r w:rsidRPr="008E0B5C">
        <w:rPr>
          <w:rFonts w:ascii="Verdana" w:eastAsia="Aptos" w:hAnsi="Verdana" w:cs="Arial"/>
          <w:color w:val="000000"/>
        </w:rPr>
        <w:t xml:space="preserve"> en el caso en que se llegue a presentar una inhabilidad o incompatibilidad durante la ejecución del contrato estatal, el contratista tiene dos opciones: </w:t>
      </w:r>
      <w:r>
        <w:rPr>
          <w:rFonts w:ascii="Verdana" w:eastAsia="Aptos" w:hAnsi="Verdana" w:cs="Arial"/>
          <w:color w:val="000000"/>
        </w:rPr>
        <w:t>P</w:t>
      </w:r>
      <w:r w:rsidRPr="008E0B5C">
        <w:rPr>
          <w:rFonts w:ascii="Verdana" w:eastAsia="Aptos" w:hAnsi="Verdana" w:cs="Arial"/>
          <w:color w:val="000000"/>
        </w:rPr>
        <w:t xml:space="preserve">rimero, ceder el contrato, previa autorización escrita de la Entidad Estatal y, </w:t>
      </w:r>
      <w:r>
        <w:rPr>
          <w:rFonts w:ascii="Verdana" w:eastAsia="Aptos" w:hAnsi="Verdana" w:cs="Arial"/>
          <w:color w:val="000000"/>
        </w:rPr>
        <w:t>S</w:t>
      </w:r>
      <w:r w:rsidRPr="008E0B5C">
        <w:rPr>
          <w:rFonts w:ascii="Verdana" w:eastAsia="Aptos" w:hAnsi="Verdana" w:cs="Arial"/>
          <w:color w:val="000000"/>
        </w:rPr>
        <w:t>egundo, en el caso en que la cesión no fuer</w:t>
      </w:r>
      <w:r>
        <w:rPr>
          <w:rFonts w:ascii="Verdana" w:eastAsia="Aptos" w:hAnsi="Verdana" w:cs="Arial"/>
          <w:color w:val="000000"/>
        </w:rPr>
        <w:t xml:space="preserve">e </w:t>
      </w:r>
      <w:r w:rsidRPr="008E0B5C">
        <w:rPr>
          <w:rFonts w:ascii="Verdana" w:eastAsia="Aptos" w:hAnsi="Verdana" w:cs="Arial"/>
          <w:color w:val="000000"/>
        </w:rPr>
        <w:t>posible, deberá renunciar a la ejecución del contrato</w:t>
      </w:r>
      <w:r w:rsidRPr="00F76FF1">
        <w:rPr>
          <w:rFonts w:ascii="Verdana" w:eastAsia="Aptos" w:hAnsi="Verdana" w:cs="Arial"/>
          <w:color w:val="000000"/>
        </w:rPr>
        <w:t>, y en este punto se procedería a la terminación de este y posterior liquidación</w:t>
      </w:r>
      <w:r w:rsidRPr="008E0B5C">
        <w:rPr>
          <w:rFonts w:ascii="Verdana" w:eastAsia="Aptos" w:hAnsi="Verdana" w:cs="Arial"/>
          <w:color w:val="000000"/>
        </w:rPr>
        <w:t>. En ese sentido,</w:t>
      </w:r>
      <w:r w:rsidRPr="008E0B5C">
        <w:rPr>
          <w:rFonts w:ascii="Verdana" w:eastAsia="Aptos" w:hAnsi="Verdana" w:cs="Arial"/>
        </w:rPr>
        <w:t xml:space="preserve"> si durante la ejecución del contrato se llega a configurar la inhabilidad contemplada en </w:t>
      </w:r>
      <w:r w:rsidRPr="002E6369">
        <w:rPr>
          <w:rFonts w:ascii="Verdana" w:eastAsia="Aptos" w:hAnsi="Verdana" w:cs="Arial"/>
          <w:i/>
          <w:iCs/>
        </w:rPr>
        <w:t>el inciso b del numeral 2º del artículo 8 de la Ley 80 de 1993</w:t>
      </w:r>
      <w:r w:rsidRPr="008E0B5C">
        <w:rPr>
          <w:rFonts w:ascii="Verdana" w:eastAsia="Aptos" w:hAnsi="Verdana" w:cs="Arial"/>
        </w:rPr>
        <w:t xml:space="preserve">, se configuraría una inhabilidad sobreviniente </w:t>
      </w:r>
      <w:r>
        <w:rPr>
          <w:rFonts w:ascii="Verdana" w:eastAsia="Aptos" w:hAnsi="Verdana" w:cs="Arial"/>
        </w:rPr>
        <w:t xml:space="preserve">y la entidad </w:t>
      </w:r>
      <w:r w:rsidRPr="008E0B5C">
        <w:rPr>
          <w:rFonts w:ascii="Verdana" w:eastAsia="Calibri" w:hAnsi="Verdana" w:cs="Arial"/>
          <w:color w:val="000000"/>
        </w:rPr>
        <w:t>deberá proceder a su cesión o terminación</w:t>
      </w:r>
      <w:r>
        <w:rPr>
          <w:rFonts w:ascii="Verdana" w:eastAsia="Calibri" w:hAnsi="Verdana" w:cs="Arial"/>
          <w:color w:val="000000"/>
        </w:rPr>
        <w:t xml:space="preserve">, pues el Estatuto solo contempló estas dos opciones. </w:t>
      </w:r>
    </w:p>
    <w:p w14:paraId="29F7B1F6" w14:textId="572CD223" w:rsidR="00E14AA7" w:rsidRDefault="00E14AA7" w:rsidP="00784EB4">
      <w:pPr>
        <w:spacing w:before="120" w:after="0" w:line="276" w:lineRule="auto"/>
        <w:ind w:firstLine="708"/>
        <w:jc w:val="both"/>
        <w:rPr>
          <w:rFonts w:ascii="Verdana" w:eastAsia="Aptos" w:hAnsi="Verdana" w:cs="Arial"/>
        </w:rPr>
      </w:pPr>
      <w:r>
        <w:rPr>
          <w:rFonts w:ascii="Verdana" w:eastAsia="Aptos" w:hAnsi="Verdana" w:cs="Arial"/>
        </w:rPr>
        <w:t>Adicionalmente</w:t>
      </w:r>
      <w:r w:rsidRPr="00350498">
        <w:rPr>
          <w:rFonts w:ascii="Verdana" w:eastAsia="Aptos" w:hAnsi="Verdana" w:cs="Arial"/>
        </w:rPr>
        <w:t>,</w:t>
      </w:r>
      <w:r>
        <w:rPr>
          <w:rFonts w:ascii="Verdana" w:eastAsia="Aptos" w:hAnsi="Verdana" w:cs="Arial"/>
        </w:rPr>
        <w:t xml:space="preserve"> es importante aclarar que</w:t>
      </w:r>
      <w:r w:rsidRPr="00350498">
        <w:rPr>
          <w:rFonts w:ascii="Verdana" w:eastAsia="Aptos" w:hAnsi="Verdana" w:cs="Arial"/>
        </w:rPr>
        <w:t xml:space="preserve"> cuando sobrevenga una inhabilidad o incompatibilidad a un</w:t>
      </w:r>
      <w:r>
        <w:rPr>
          <w:rFonts w:ascii="Verdana" w:eastAsia="Aptos" w:hAnsi="Verdana" w:cs="Arial"/>
        </w:rPr>
        <w:t xml:space="preserve"> </w:t>
      </w:r>
      <w:r w:rsidRPr="00350498">
        <w:rPr>
          <w:rFonts w:ascii="Verdana" w:eastAsia="Aptos" w:hAnsi="Verdana" w:cs="Arial"/>
        </w:rPr>
        <w:t xml:space="preserve">contratista, si bien </w:t>
      </w:r>
      <w:r>
        <w:rPr>
          <w:rFonts w:ascii="Verdana" w:eastAsia="Aptos" w:hAnsi="Verdana" w:cs="Arial"/>
        </w:rPr>
        <w:t xml:space="preserve">la entidad </w:t>
      </w:r>
      <w:r w:rsidRPr="00350498">
        <w:rPr>
          <w:rFonts w:ascii="Verdana" w:eastAsia="Aptos" w:hAnsi="Verdana" w:cs="Arial"/>
        </w:rPr>
        <w:t>no puede mantener el vínculo contractual con</w:t>
      </w:r>
      <w:r>
        <w:rPr>
          <w:rFonts w:ascii="Verdana" w:eastAsia="Aptos" w:hAnsi="Verdana" w:cs="Arial"/>
        </w:rPr>
        <w:t xml:space="preserve"> el contratista y </w:t>
      </w:r>
      <w:r w:rsidRPr="00350498">
        <w:rPr>
          <w:rFonts w:ascii="Verdana" w:eastAsia="Aptos" w:hAnsi="Verdana" w:cs="Arial"/>
        </w:rPr>
        <w:t xml:space="preserve">deberá proceder a </w:t>
      </w:r>
      <w:r>
        <w:rPr>
          <w:rFonts w:ascii="Verdana" w:eastAsia="Aptos" w:hAnsi="Verdana" w:cs="Arial"/>
        </w:rPr>
        <w:t>la</w:t>
      </w:r>
      <w:r w:rsidRPr="00350498">
        <w:rPr>
          <w:rFonts w:ascii="Verdana" w:eastAsia="Aptos" w:hAnsi="Verdana" w:cs="Arial"/>
        </w:rPr>
        <w:t xml:space="preserve"> cesión o terminación, </w:t>
      </w:r>
      <w:r>
        <w:rPr>
          <w:rFonts w:ascii="Verdana" w:eastAsia="Aptos" w:hAnsi="Verdana" w:cs="Arial"/>
        </w:rPr>
        <w:t xml:space="preserve">estas </w:t>
      </w:r>
      <w:r w:rsidRPr="00350498">
        <w:rPr>
          <w:rFonts w:ascii="Verdana" w:eastAsia="Aptos" w:hAnsi="Verdana" w:cs="Arial"/>
        </w:rPr>
        <w:t xml:space="preserve">figuras no se tramitaran exclusivamente por la Entidad </w:t>
      </w:r>
      <w:r w:rsidRPr="00350498">
        <w:rPr>
          <w:rFonts w:ascii="Verdana" w:eastAsia="Aptos" w:hAnsi="Verdana" w:cs="Arial"/>
        </w:rPr>
        <w:lastRenderedPageBreak/>
        <w:t>Estatal de manera unilateral</w:t>
      </w:r>
      <w:r>
        <w:rPr>
          <w:rFonts w:ascii="Verdana" w:eastAsia="Aptos" w:hAnsi="Verdana" w:cs="Arial"/>
        </w:rPr>
        <w:t>. Adicionalmente,</w:t>
      </w:r>
      <w:r w:rsidRPr="00350498">
        <w:rPr>
          <w:rFonts w:ascii="Verdana" w:eastAsia="Aptos" w:hAnsi="Verdana" w:cs="Arial"/>
        </w:rPr>
        <w:t xml:space="preserve"> </w:t>
      </w:r>
      <w:r>
        <w:rPr>
          <w:rFonts w:ascii="Verdana" w:eastAsia="Aptos" w:hAnsi="Verdana" w:cs="Arial"/>
        </w:rPr>
        <w:t xml:space="preserve">la entidad </w:t>
      </w:r>
      <w:r w:rsidRPr="00350498">
        <w:rPr>
          <w:rFonts w:ascii="Verdana" w:eastAsia="Aptos" w:hAnsi="Verdana" w:cs="Arial"/>
        </w:rPr>
        <w:t xml:space="preserve">procederá </w:t>
      </w:r>
      <w:r>
        <w:rPr>
          <w:rFonts w:ascii="Verdana" w:eastAsia="Aptos" w:hAnsi="Verdana" w:cs="Arial"/>
        </w:rPr>
        <w:t xml:space="preserve">a </w:t>
      </w:r>
      <w:r w:rsidRPr="00350498">
        <w:rPr>
          <w:rFonts w:ascii="Verdana" w:eastAsia="Aptos" w:hAnsi="Verdana" w:cs="Arial"/>
        </w:rPr>
        <w:t xml:space="preserve">reconocer al contratista </w:t>
      </w:r>
      <w:r>
        <w:rPr>
          <w:rFonts w:ascii="Verdana" w:eastAsia="Aptos" w:hAnsi="Verdana" w:cs="Arial"/>
        </w:rPr>
        <w:t xml:space="preserve">el pago por </w:t>
      </w:r>
      <w:r w:rsidRPr="00350498">
        <w:rPr>
          <w:rFonts w:ascii="Verdana" w:eastAsia="Aptos" w:hAnsi="Verdana" w:cs="Arial"/>
        </w:rPr>
        <w:t xml:space="preserve">lo ejecutado, en el respectivo cruce de cuentas que se realice en la cesión del contrato, </w:t>
      </w:r>
      <w:r>
        <w:rPr>
          <w:rFonts w:ascii="Verdana" w:eastAsia="Aptos" w:hAnsi="Verdana" w:cs="Arial"/>
        </w:rPr>
        <w:t xml:space="preserve">así como en </w:t>
      </w:r>
      <w:r w:rsidRPr="00350498">
        <w:rPr>
          <w:rFonts w:ascii="Verdana" w:eastAsia="Aptos" w:hAnsi="Verdana" w:cs="Arial"/>
        </w:rPr>
        <w:t>la liquidación de este en caso de la terminación.</w:t>
      </w:r>
    </w:p>
    <w:p w14:paraId="6D867F66" w14:textId="77777777" w:rsidR="00784EB4" w:rsidRPr="00275671" w:rsidRDefault="00784EB4" w:rsidP="009F72B4">
      <w:pPr>
        <w:spacing w:after="0" w:line="276" w:lineRule="auto"/>
        <w:ind w:firstLine="708"/>
        <w:jc w:val="both"/>
        <w:rPr>
          <w:rFonts w:ascii="Verdana" w:eastAsia="Aptos" w:hAnsi="Verdana" w:cs="Arial"/>
        </w:rPr>
      </w:pPr>
    </w:p>
    <w:p w14:paraId="1E7305C8" w14:textId="77777777" w:rsidR="00E14AA7" w:rsidRPr="005979D9" w:rsidRDefault="00E14AA7" w:rsidP="009F72B4">
      <w:pPr>
        <w:spacing w:after="120" w:line="276" w:lineRule="auto"/>
        <w:jc w:val="both"/>
        <w:rPr>
          <w:rFonts w:ascii="Verdana" w:eastAsia="Calibri" w:hAnsi="Verdana" w:cs="Arial"/>
          <w:bCs/>
          <w:color w:val="000000" w:themeColor="text1"/>
        </w:rPr>
      </w:pPr>
      <w:r w:rsidRPr="001F247C">
        <w:rPr>
          <w:rFonts w:ascii="Verdana" w:eastAsia="Calibri" w:hAnsi="Verdana" w:cs="Arial"/>
          <w:b/>
          <w:bCs/>
          <w:color w:val="000000" w:themeColor="text1"/>
        </w:rPr>
        <w:t>i</w:t>
      </w:r>
      <w:r>
        <w:rPr>
          <w:rFonts w:ascii="Verdana" w:eastAsia="Calibri" w:hAnsi="Verdana" w:cs="Arial"/>
          <w:b/>
          <w:bCs/>
          <w:color w:val="000000" w:themeColor="text1"/>
        </w:rPr>
        <w:t>v</w:t>
      </w:r>
      <w:r w:rsidRPr="001F247C">
        <w:rPr>
          <w:rFonts w:ascii="Verdana" w:eastAsia="Calibri" w:hAnsi="Verdana" w:cs="Arial"/>
          <w:b/>
          <w:bCs/>
          <w:color w:val="000000" w:themeColor="text1"/>
        </w:rPr>
        <w:t>.</w:t>
      </w:r>
      <w:r w:rsidRPr="005979D9">
        <w:rPr>
          <w:rFonts w:ascii="Verdana" w:eastAsia="Calibri" w:hAnsi="Verdana" w:cs="Arial"/>
          <w:bCs/>
          <w:color w:val="000000" w:themeColor="text1"/>
        </w:rPr>
        <w:t xml:space="preserve"> </w:t>
      </w:r>
      <w:r w:rsidRPr="00BE69DB">
        <w:rPr>
          <w:rFonts w:ascii="Verdana" w:eastAsia="Calibri" w:hAnsi="Verdana" w:cs="Arial"/>
          <w:bCs/>
          <w:color w:val="000000" w:themeColor="text1"/>
        </w:rPr>
        <w:t>Al margen de la explicación precedente</w:t>
      </w:r>
      <w:r>
        <w:rPr>
          <w:rFonts w:ascii="Verdana" w:eastAsia="Calibri" w:hAnsi="Verdana" w:cs="Arial"/>
          <w:bCs/>
          <w:color w:val="000000" w:themeColor="text1"/>
        </w:rPr>
        <w:t xml:space="preserve"> </w:t>
      </w:r>
      <w:r w:rsidRPr="004E60CB">
        <w:rPr>
          <w:rFonts w:ascii="Verdana" w:eastAsia="Calibri" w:hAnsi="Verdana" w:cs="Arial"/>
          <w:bCs/>
          <w:color w:val="000000" w:themeColor="text1"/>
        </w:rPr>
        <w:t>debe advertirse que el análisis requerido para resolver problemas específicos</w:t>
      </w:r>
      <w:r>
        <w:rPr>
          <w:rFonts w:ascii="Verdana" w:eastAsia="Calibri" w:hAnsi="Verdana" w:cs="Arial"/>
          <w:bCs/>
          <w:color w:val="000000" w:themeColor="text1"/>
        </w:rPr>
        <w:t xml:space="preserve"> </w:t>
      </w:r>
      <w:r w:rsidRPr="005979D9">
        <w:rPr>
          <w:rFonts w:ascii="Verdana" w:eastAsia="Calibri" w:hAnsi="Verdana" w:cs="Arial"/>
          <w:bCs/>
          <w:color w:val="000000" w:themeColor="text1"/>
        </w:rPr>
        <w:t>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DB19436" w14:textId="77777777" w:rsidR="00E14AA7" w:rsidRPr="005979D9" w:rsidRDefault="00E14AA7" w:rsidP="00E14AA7">
      <w:pPr>
        <w:spacing w:after="0" w:line="276" w:lineRule="auto"/>
        <w:ind w:firstLine="708"/>
        <w:jc w:val="both"/>
        <w:rPr>
          <w:rFonts w:ascii="Verdana" w:eastAsia="Calibri" w:hAnsi="Verdana" w:cs="Arial"/>
          <w:bCs/>
          <w:color w:val="000000" w:themeColor="text1"/>
        </w:rPr>
      </w:pPr>
      <w:r w:rsidRPr="005979D9">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08FAB30" w14:textId="77777777" w:rsidR="00E14AA7" w:rsidRPr="009F72B4" w:rsidRDefault="00E14AA7" w:rsidP="00784EB4">
      <w:pPr>
        <w:spacing w:after="0" w:line="276" w:lineRule="auto"/>
        <w:ind w:firstLine="708"/>
        <w:jc w:val="both"/>
        <w:rPr>
          <w:rFonts w:ascii="Arial" w:eastAsia="Calibri" w:hAnsi="Arial" w:cs="Arial"/>
          <w:bCs/>
          <w:color w:val="000000" w:themeColor="text1"/>
        </w:rPr>
      </w:pPr>
    </w:p>
    <w:p w14:paraId="02A74CE6" w14:textId="77777777" w:rsidR="00E14AA7" w:rsidRPr="009F72B4" w:rsidRDefault="00E14AA7" w:rsidP="00784EB4">
      <w:pPr>
        <w:pStyle w:val="Prrafodelista"/>
        <w:numPr>
          <w:ilvl w:val="0"/>
          <w:numId w:val="16"/>
        </w:numPr>
        <w:tabs>
          <w:tab w:val="left" w:pos="142"/>
          <w:tab w:val="left" w:pos="284"/>
        </w:tabs>
        <w:spacing w:after="0" w:line="276" w:lineRule="auto"/>
        <w:ind w:left="0" w:firstLine="0"/>
        <w:contextualSpacing w:val="0"/>
        <w:jc w:val="both"/>
        <w:rPr>
          <w:rFonts w:ascii="Arial" w:eastAsia="Century Gothic" w:hAnsi="Arial" w:cs="Arial"/>
          <w:b/>
          <w:bCs/>
        </w:rPr>
      </w:pPr>
      <w:r w:rsidRPr="009F72B4">
        <w:rPr>
          <w:rFonts w:ascii="Arial" w:eastAsia="Century Gothic" w:hAnsi="Arial" w:cs="Arial"/>
          <w:b/>
          <w:bCs/>
        </w:rPr>
        <w:t>Referencias normativas, jurisprudenciales y otras fuentes:</w:t>
      </w:r>
    </w:p>
    <w:p w14:paraId="673DBBB7" w14:textId="77777777" w:rsidR="00E14AA7" w:rsidRPr="009F72B4" w:rsidRDefault="00E14AA7">
      <w:pPr>
        <w:pStyle w:val="Prrafodelista"/>
        <w:tabs>
          <w:tab w:val="left" w:pos="142"/>
          <w:tab w:val="left" w:pos="284"/>
        </w:tabs>
        <w:spacing w:after="0" w:line="276" w:lineRule="auto"/>
        <w:ind w:left="0"/>
        <w:contextualSpacing w:val="0"/>
        <w:jc w:val="both"/>
        <w:rPr>
          <w:rFonts w:ascii="Arial" w:eastAsia="Century Gothic" w:hAnsi="Arial" w:cs="Arial"/>
          <w:b/>
          <w:bCs/>
          <w:sz w:val="20"/>
          <w:szCs w:val="2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14AA7" w:rsidRPr="00784EB4" w14:paraId="72332E8C" w14:textId="77777777" w:rsidTr="000C674B">
        <w:trPr>
          <w:trHeight w:val="716"/>
        </w:trPr>
        <w:tc>
          <w:tcPr>
            <w:tcW w:w="8647" w:type="dxa"/>
          </w:tcPr>
          <w:p w14:paraId="4657431C" w14:textId="77777777" w:rsidR="00E14AA7" w:rsidRPr="00146B03" w:rsidRDefault="00E14AA7" w:rsidP="009F72B4">
            <w:pPr>
              <w:numPr>
                <w:ilvl w:val="0"/>
                <w:numId w:val="17"/>
              </w:numPr>
              <w:spacing w:after="120" w:line="276" w:lineRule="auto"/>
              <w:ind w:left="714" w:hanging="357"/>
              <w:jc w:val="both"/>
              <w:rPr>
                <w:rFonts w:ascii="Verdana" w:eastAsia="Times New Roman" w:hAnsi="Verdana" w:cs="Arial"/>
                <w:lang w:eastAsia="es-CO"/>
              </w:rPr>
            </w:pPr>
            <w:r w:rsidRPr="00146B03">
              <w:rPr>
                <w:rFonts w:ascii="Verdana" w:eastAsia="Times New Roman" w:hAnsi="Verdana" w:cs="Arial"/>
                <w:lang w:eastAsia="es-CO"/>
              </w:rPr>
              <w:t>Ley 80 de 1993, artículos 6, 8 y 9.</w:t>
            </w:r>
          </w:p>
          <w:p w14:paraId="0C16F8D1" w14:textId="49DECB3D" w:rsidR="00784EB4" w:rsidRPr="00146B03" w:rsidRDefault="00784EB4" w:rsidP="00784EB4">
            <w:pPr>
              <w:numPr>
                <w:ilvl w:val="0"/>
                <w:numId w:val="17"/>
              </w:numPr>
              <w:spacing w:after="120" w:line="276" w:lineRule="auto"/>
              <w:ind w:left="714" w:hanging="357"/>
              <w:jc w:val="both"/>
              <w:rPr>
                <w:rFonts w:ascii="Verdana" w:eastAsia="Times New Roman" w:hAnsi="Verdana" w:cs="Arial"/>
                <w:lang w:eastAsia="es-CO"/>
              </w:rPr>
            </w:pPr>
            <w:r w:rsidRPr="00146B03">
              <w:rPr>
                <w:rFonts w:ascii="Verdana" w:eastAsia="Times New Roman" w:hAnsi="Verdana" w:cs="Arial"/>
                <w:lang w:eastAsia="es-CO"/>
              </w:rPr>
              <w:t>Ley 2014 de 2019, artículo 6.</w:t>
            </w:r>
          </w:p>
          <w:p w14:paraId="1CB65BAC" w14:textId="6482E1A2" w:rsidR="00E14AA7" w:rsidRPr="00146B03" w:rsidRDefault="00E14AA7" w:rsidP="009F72B4">
            <w:pPr>
              <w:numPr>
                <w:ilvl w:val="0"/>
                <w:numId w:val="17"/>
              </w:numPr>
              <w:spacing w:after="120" w:line="276" w:lineRule="auto"/>
              <w:ind w:left="714" w:hanging="357"/>
              <w:jc w:val="both"/>
              <w:rPr>
                <w:rFonts w:ascii="Verdana" w:eastAsia="Times New Roman" w:hAnsi="Verdana" w:cs="Arial"/>
                <w:lang w:eastAsia="es-CO"/>
              </w:rPr>
            </w:pPr>
            <w:r w:rsidRPr="00146B03">
              <w:rPr>
                <w:rFonts w:ascii="Verdana" w:eastAsia="Times New Roman" w:hAnsi="Verdana" w:cs="Arial"/>
                <w:lang w:eastAsia="es-CO"/>
              </w:rPr>
              <w:t>Código Civil, artículo 1502.</w:t>
            </w:r>
          </w:p>
          <w:p w14:paraId="3F69F7F2" w14:textId="05E6AAB3" w:rsidR="00E14AA7" w:rsidRPr="00146B03" w:rsidRDefault="00E14AA7" w:rsidP="00784EB4">
            <w:pPr>
              <w:numPr>
                <w:ilvl w:val="0"/>
                <w:numId w:val="17"/>
              </w:numPr>
              <w:spacing w:after="120" w:line="276" w:lineRule="auto"/>
              <w:ind w:left="714" w:hanging="357"/>
              <w:jc w:val="both"/>
              <w:rPr>
                <w:rFonts w:ascii="Verdana" w:eastAsia="Times New Roman" w:hAnsi="Verdana" w:cs="Arial"/>
                <w:lang w:eastAsia="es-CO"/>
              </w:rPr>
            </w:pPr>
            <w:r w:rsidRPr="00146B03">
              <w:rPr>
                <w:rFonts w:ascii="Verdana" w:eastAsia="Times New Roman" w:hAnsi="Verdana" w:cs="Arial"/>
                <w:lang w:eastAsia="es-CO"/>
              </w:rPr>
              <w:t>Corte Constitucional. Sentencia T-1039 de 2006. Magistrado Ponente: Humberto Sierra Porto.</w:t>
            </w:r>
          </w:p>
          <w:p w14:paraId="7D2F5BD5" w14:textId="1CE2ED2C" w:rsidR="00784EB4" w:rsidRPr="00146B03" w:rsidRDefault="00784EB4" w:rsidP="009F72B4">
            <w:pPr>
              <w:numPr>
                <w:ilvl w:val="0"/>
                <w:numId w:val="17"/>
              </w:numPr>
              <w:spacing w:after="120" w:line="276" w:lineRule="auto"/>
              <w:ind w:left="714" w:hanging="357"/>
              <w:jc w:val="both"/>
              <w:rPr>
                <w:rFonts w:ascii="Verdana" w:eastAsia="Times New Roman" w:hAnsi="Verdana" w:cs="Arial"/>
                <w:lang w:eastAsia="es-CO"/>
              </w:rPr>
            </w:pPr>
            <w:r w:rsidRPr="00146B03">
              <w:rPr>
                <w:rFonts w:ascii="Verdana" w:eastAsia="Times New Roman" w:hAnsi="Verdana" w:cs="Arial"/>
                <w:lang w:eastAsia="es-CO"/>
              </w:rPr>
              <w:t>Corte Constitucional. Sentencia C-221 de 1996. Magistrado Ponente: José Gregorio Hernández Galindo.</w:t>
            </w:r>
          </w:p>
          <w:p w14:paraId="5F59CEC9" w14:textId="77777777" w:rsidR="00E14AA7" w:rsidRPr="00146B03" w:rsidRDefault="00E14AA7" w:rsidP="009F72B4">
            <w:pPr>
              <w:numPr>
                <w:ilvl w:val="0"/>
                <w:numId w:val="17"/>
              </w:numPr>
              <w:spacing w:after="120" w:line="276" w:lineRule="auto"/>
              <w:ind w:left="714" w:hanging="357"/>
              <w:jc w:val="both"/>
              <w:rPr>
                <w:rFonts w:ascii="Verdana" w:eastAsia="Times New Roman" w:hAnsi="Verdana" w:cs="Arial"/>
                <w:lang w:eastAsia="es-CO"/>
              </w:rPr>
            </w:pPr>
            <w:r w:rsidRPr="00146B03">
              <w:rPr>
                <w:rFonts w:ascii="Verdana" w:eastAsia="Times New Roman" w:hAnsi="Verdana" w:cs="Arial"/>
                <w:lang w:eastAsia="es-CO"/>
              </w:rPr>
              <w:lastRenderedPageBreak/>
              <w:t>Consejo de Estado. Sala de Consulta y Servicio Civil. Concepto del 30 de abril de 2015. Expediente: 2251. Consejero Ponente: Álvaro Namén Vargas.</w:t>
            </w:r>
          </w:p>
          <w:p w14:paraId="135EE6FD" w14:textId="77777777" w:rsidR="00E14AA7" w:rsidRPr="00146B03" w:rsidRDefault="00E14AA7" w:rsidP="009F72B4">
            <w:pPr>
              <w:numPr>
                <w:ilvl w:val="0"/>
                <w:numId w:val="17"/>
              </w:numPr>
              <w:spacing w:after="120" w:line="276" w:lineRule="auto"/>
              <w:ind w:left="714" w:hanging="357"/>
              <w:jc w:val="both"/>
              <w:rPr>
                <w:rFonts w:ascii="Verdana" w:eastAsia="Times New Roman" w:hAnsi="Verdana" w:cs="Arial"/>
                <w:lang w:eastAsia="es-CO"/>
              </w:rPr>
            </w:pPr>
            <w:r w:rsidRPr="00146B03">
              <w:rPr>
                <w:rFonts w:ascii="Verdana" w:eastAsia="Times New Roman" w:hAnsi="Verdana" w:cs="Arial"/>
                <w:lang w:eastAsia="es-CO"/>
              </w:rPr>
              <w:t>Consejo de Estado. Sección Tercera. Subsección A. Sentencia del 24 de junio de 2015. Exp. 40.635. Consejero Ponente: Hernán Andrade Rincón (E).</w:t>
            </w:r>
          </w:p>
          <w:p w14:paraId="23F04487" w14:textId="0E1015A5" w:rsidR="00784EB4" w:rsidRPr="00146B03" w:rsidRDefault="00E14AA7" w:rsidP="00784EB4">
            <w:pPr>
              <w:numPr>
                <w:ilvl w:val="0"/>
                <w:numId w:val="17"/>
              </w:numPr>
              <w:spacing w:after="120" w:line="276" w:lineRule="auto"/>
              <w:ind w:left="714" w:hanging="357"/>
              <w:jc w:val="both"/>
              <w:rPr>
                <w:rFonts w:ascii="Verdana" w:eastAsia="Times New Roman" w:hAnsi="Verdana" w:cs="Arial"/>
                <w:lang w:eastAsia="es-CO"/>
              </w:rPr>
            </w:pPr>
            <w:r w:rsidRPr="00146B03">
              <w:rPr>
                <w:rFonts w:ascii="Verdana" w:eastAsia="Times New Roman" w:hAnsi="Verdana" w:cs="Arial"/>
                <w:lang w:eastAsia="es-CO"/>
              </w:rPr>
              <w:t>Consejo de Estado. Sección Tercera. Subsección C. Sentencia del 22 de mayo de 2013. Exp. 24.057. Consejera Ponente: Olga Melida Valle De La Hoz</w:t>
            </w:r>
          </w:p>
          <w:p w14:paraId="55C4991F" w14:textId="1A1B0787" w:rsidR="00E14AA7" w:rsidRPr="009F72B4" w:rsidRDefault="00784EB4" w:rsidP="009F72B4">
            <w:pPr>
              <w:numPr>
                <w:ilvl w:val="0"/>
                <w:numId w:val="17"/>
              </w:numPr>
              <w:spacing w:after="120" w:line="276" w:lineRule="auto"/>
              <w:ind w:left="714" w:hanging="357"/>
              <w:jc w:val="both"/>
              <w:rPr>
                <w:rFonts w:ascii="Arial" w:eastAsia="Times New Roman" w:hAnsi="Arial" w:cs="Arial"/>
                <w:lang w:eastAsia="es-CO"/>
              </w:rPr>
            </w:pPr>
            <w:r w:rsidRPr="00146B03">
              <w:rPr>
                <w:rFonts w:ascii="Verdana" w:eastAsia="Times New Roman" w:hAnsi="Verdana" w:cs="Arial"/>
                <w:lang w:eastAsia="es-CO"/>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tc>
      </w:tr>
    </w:tbl>
    <w:p w14:paraId="308DAD77" w14:textId="77777777" w:rsidR="00E14AA7" w:rsidRPr="009F72B4" w:rsidRDefault="00E14AA7" w:rsidP="00784EB4">
      <w:pPr>
        <w:widowControl w:val="0"/>
        <w:autoSpaceDE w:val="0"/>
        <w:autoSpaceDN w:val="0"/>
        <w:spacing w:after="0" w:line="276" w:lineRule="auto"/>
        <w:jc w:val="both"/>
        <w:rPr>
          <w:rFonts w:ascii="Arial" w:hAnsi="Arial" w:cs="Arial"/>
        </w:rPr>
      </w:pPr>
    </w:p>
    <w:p w14:paraId="46448AC4" w14:textId="77777777" w:rsidR="00E14AA7" w:rsidRPr="009F72B4" w:rsidRDefault="00E14AA7" w:rsidP="009F72B4">
      <w:pPr>
        <w:pStyle w:val="Prrafodelista"/>
        <w:numPr>
          <w:ilvl w:val="0"/>
          <w:numId w:val="16"/>
        </w:numPr>
        <w:tabs>
          <w:tab w:val="left" w:pos="142"/>
          <w:tab w:val="left" w:pos="284"/>
        </w:tabs>
        <w:spacing w:after="0" w:line="276" w:lineRule="auto"/>
        <w:ind w:left="0" w:firstLine="0"/>
        <w:contextualSpacing w:val="0"/>
        <w:jc w:val="both"/>
        <w:rPr>
          <w:rFonts w:ascii="Arial" w:eastAsia="Century Gothic" w:hAnsi="Arial" w:cs="Arial"/>
          <w:b/>
          <w:bCs/>
        </w:rPr>
      </w:pPr>
      <w:r w:rsidRPr="009F72B4">
        <w:rPr>
          <w:rFonts w:ascii="Arial" w:eastAsia="Century Gothic" w:hAnsi="Arial" w:cs="Arial"/>
          <w:b/>
          <w:bCs/>
        </w:rPr>
        <w:t>Doctrina de la Agencia Nacional de Contratación Pública:</w:t>
      </w:r>
    </w:p>
    <w:p w14:paraId="4E8C678E" w14:textId="77777777" w:rsidR="00E14AA7" w:rsidRPr="009F72B4" w:rsidRDefault="00E14AA7">
      <w:pPr>
        <w:widowControl w:val="0"/>
        <w:autoSpaceDE w:val="0"/>
        <w:autoSpaceDN w:val="0"/>
        <w:spacing w:after="0" w:line="276" w:lineRule="auto"/>
        <w:jc w:val="both"/>
        <w:rPr>
          <w:rFonts w:ascii="Arial" w:hAnsi="Arial" w:cs="Arial"/>
        </w:rPr>
      </w:pPr>
    </w:p>
    <w:p w14:paraId="7B6D9111" w14:textId="77777777" w:rsidR="00E14AA7" w:rsidRPr="00146B03" w:rsidRDefault="00E14AA7">
      <w:pPr>
        <w:spacing w:after="0" w:line="276" w:lineRule="auto"/>
        <w:jc w:val="both"/>
        <w:rPr>
          <w:rStyle w:val="normaltextrun"/>
          <w:rFonts w:ascii="Verdana" w:eastAsia="Calibri" w:hAnsi="Verdana" w:cs="Arial"/>
          <w:b/>
          <w:lang w:eastAsia="es-ES_tradnl"/>
        </w:rPr>
      </w:pPr>
      <w:r w:rsidRPr="00146B03">
        <w:rPr>
          <w:rFonts w:ascii="Verdana" w:hAnsi="Verdana" w:cs="Arial"/>
          <w:shd w:val="clear" w:color="auto" w:fill="FFFFFF"/>
        </w:rPr>
        <w:t xml:space="preserve">Esta Subdirección se ha pronunciado sobre </w:t>
      </w:r>
      <w:r w:rsidRPr="00146B03">
        <w:rPr>
          <w:rFonts w:ascii="Verdana" w:hAnsi="Verdana" w:cs="Arial"/>
        </w:rPr>
        <w:t xml:space="preserve">las inhabilidades sobrevinientes en los conceptos </w:t>
      </w:r>
      <w:r w:rsidRPr="00146B03">
        <w:rPr>
          <w:rFonts w:ascii="Verdana" w:eastAsia="Calibri" w:hAnsi="Verdana" w:cs="Arial"/>
          <w:lang w:eastAsia="es-ES_tradnl"/>
        </w:rPr>
        <w:t xml:space="preserve">C–691 del 20 de octubre de 2022, C–731 del 10 de noviembre de 2022, </w:t>
      </w:r>
      <w:r w:rsidRPr="00146B03">
        <w:rPr>
          <w:rFonts w:ascii="Verdana" w:eastAsia="Calibri" w:hAnsi="Verdana" w:cs="Arial"/>
          <w:color w:val="000000" w:themeColor="text1"/>
          <w:lang w:val="es-ES_tradnl"/>
        </w:rPr>
        <w:t>C–407 de 2023, C–059 del 13 de junio de 2023</w:t>
      </w:r>
      <w:r w:rsidRPr="00146B03">
        <w:rPr>
          <w:rFonts w:ascii="Verdana" w:eastAsia="Calibri" w:hAnsi="Verdana" w:cs="Arial"/>
          <w:lang w:val="es-ES" w:eastAsia="es-ES"/>
        </w:rPr>
        <w:t xml:space="preserve">, </w:t>
      </w:r>
      <w:r w:rsidRPr="00146B03">
        <w:rPr>
          <w:rFonts w:ascii="Verdana" w:eastAsia="Calibri" w:hAnsi="Verdana" w:cs="Arial"/>
          <w:color w:val="000000" w:themeColor="text1"/>
          <w:lang w:val="es-ES_tradnl"/>
        </w:rPr>
        <w:t xml:space="preserve">C‒289 del 15 de agosto de 2023, </w:t>
      </w:r>
      <w:r w:rsidRPr="00146B03">
        <w:rPr>
          <w:rFonts w:ascii="Verdana" w:eastAsia="Calibri" w:hAnsi="Verdana" w:cs="Arial"/>
          <w:lang w:val="es-ES" w:eastAsia="es-ES"/>
        </w:rPr>
        <w:t xml:space="preserve">C-136 del 06 de agosto de 2024, </w:t>
      </w:r>
      <w:r w:rsidRPr="00146B03">
        <w:rPr>
          <w:rFonts w:ascii="Verdana" w:eastAsia="Calibri" w:hAnsi="Verdana" w:cs="Arial"/>
          <w:lang w:val="es-ES"/>
        </w:rPr>
        <w:t>C–1062 del 11 de septiembre de 2025, entre otros</w:t>
      </w:r>
      <w:r w:rsidRPr="00146B03">
        <w:rPr>
          <w:rFonts w:ascii="Verdana" w:hAnsi="Verdana" w:cs="Arial"/>
        </w:rPr>
        <w:t xml:space="preserve">. </w:t>
      </w:r>
      <w:r w:rsidRPr="00146B03">
        <w:rPr>
          <w:rFonts w:ascii="Verdana" w:hAnsi="Verdana" w:cs="Arial"/>
          <w:color w:val="000000" w:themeColor="text1"/>
          <w:shd w:val="clear" w:color="auto" w:fill="FFFFFF"/>
          <w:lang w:val="es-ES"/>
        </w:rPr>
        <w:t xml:space="preserve">Estos </w:t>
      </w:r>
      <w:r w:rsidRPr="00146B03">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w:t>
      </w:r>
      <w:r w:rsidRPr="00146B03">
        <w:rPr>
          <w:rFonts w:ascii="Verdana" w:hAnsi="Verdana" w:cs="Arial"/>
        </w:rPr>
        <w:t>siguiente enlace:</w:t>
      </w:r>
      <w:r w:rsidRPr="00146B03">
        <w:rPr>
          <w:rFonts w:ascii="Verdana" w:hAnsi="Verdana" w:cs="Arial"/>
          <w:shd w:val="clear" w:color="auto" w:fill="FFFFFF"/>
        </w:rPr>
        <w:t xml:space="preserve"> </w:t>
      </w:r>
      <w:hyperlink r:id="rId12" w:history="1">
        <w:r w:rsidRPr="00146B03">
          <w:rPr>
            <w:rStyle w:val="Hipervnculo"/>
            <w:rFonts w:ascii="Verdana" w:hAnsi="Verdana" w:cs="Arial"/>
            <w:shd w:val="clear" w:color="auto" w:fill="FFFFFF"/>
            <w:lang w:val="es-ES"/>
          </w:rPr>
          <w:t>https://relatoria.colombiacompra.gov.co/busqueda/conceptos</w:t>
        </w:r>
      </w:hyperlink>
      <w:r w:rsidRPr="00146B03">
        <w:rPr>
          <w:rStyle w:val="normaltextrun"/>
          <w:rFonts w:ascii="Verdana" w:hAnsi="Verdana" w:cs="Arial"/>
          <w:color w:val="FF0000"/>
          <w:shd w:val="clear" w:color="auto" w:fill="FFFFFF"/>
          <w:lang w:val="es-ES"/>
        </w:rPr>
        <w:t xml:space="preserve"> </w:t>
      </w:r>
    </w:p>
    <w:p w14:paraId="35633B41" w14:textId="77777777" w:rsidR="00E14AA7" w:rsidRPr="00146B03" w:rsidRDefault="00E14AA7">
      <w:pPr>
        <w:widowControl w:val="0"/>
        <w:autoSpaceDE w:val="0"/>
        <w:autoSpaceDN w:val="0"/>
        <w:spacing w:after="0" w:line="276" w:lineRule="auto"/>
        <w:jc w:val="both"/>
        <w:rPr>
          <w:rFonts w:ascii="Verdana" w:hAnsi="Verdana" w:cs="Arial"/>
          <w:color w:val="FF0000"/>
          <w:shd w:val="clear" w:color="auto" w:fill="FFFFFF"/>
          <w:lang w:val="es-ES"/>
        </w:rPr>
      </w:pPr>
    </w:p>
    <w:p w14:paraId="3AE4ECAD" w14:textId="77777777" w:rsidR="00E14AA7" w:rsidRPr="00146B03" w:rsidRDefault="00E14AA7">
      <w:pPr>
        <w:spacing w:after="0" w:line="276" w:lineRule="auto"/>
        <w:jc w:val="both"/>
        <w:rPr>
          <w:rFonts w:ascii="Verdana" w:hAnsi="Verdana" w:cs="Arial"/>
        </w:rPr>
      </w:pPr>
      <w:r w:rsidRPr="00146B03">
        <w:rPr>
          <w:rFonts w:ascii="Verdana" w:hAnsi="Verdana" w:cs="Arial"/>
        </w:rPr>
        <w:t xml:space="preserve">Por último, lo invitamos a seguirnos en las redes sociales en las cuales se difunde información institucional: </w:t>
      </w:r>
    </w:p>
    <w:p w14:paraId="7B588E4C" w14:textId="77777777" w:rsidR="00E14AA7" w:rsidRPr="00146B03" w:rsidRDefault="00E14AA7">
      <w:pPr>
        <w:spacing w:after="0" w:line="276" w:lineRule="auto"/>
        <w:jc w:val="both"/>
        <w:rPr>
          <w:rFonts w:ascii="Verdana" w:hAnsi="Verdana" w:cs="Arial"/>
        </w:rPr>
      </w:pPr>
    </w:p>
    <w:p w14:paraId="0F57F791" w14:textId="77777777" w:rsidR="00E14AA7" w:rsidRPr="00146B03" w:rsidRDefault="00E14AA7">
      <w:pPr>
        <w:spacing w:after="0" w:line="276" w:lineRule="auto"/>
        <w:jc w:val="both"/>
        <w:rPr>
          <w:rFonts w:ascii="Verdana" w:hAnsi="Verdana" w:cs="Arial"/>
        </w:rPr>
      </w:pPr>
      <w:r w:rsidRPr="00146B03">
        <w:rPr>
          <w:rFonts w:ascii="Verdana" w:hAnsi="Verdana" w:cs="Arial"/>
        </w:rPr>
        <w:t xml:space="preserve">Twitter: </w:t>
      </w:r>
      <w:r w:rsidRPr="00146B03">
        <w:rPr>
          <w:rStyle w:val="Hipervnculo"/>
          <w:rFonts w:ascii="Verdana" w:hAnsi="Verdana" w:cs="Arial"/>
        </w:rPr>
        <w:t>@colombiacompra</w:t>
      </w:r>
      <w:r w:rsidRPr="00146B03">
        <w:rPr>
          <w:rFonts w:ascii="Verdana" w:hAnsi="Verdana" w:cs="Arial"/>
          <w:color w:val="0000FF"/>
        </w:rPr>
        <w:t xml:space="preserve"> </w:t>
      </w:r>
    </w:p>
    <w:p w14:paraId="3CC13631" w14:textId="77777777" w:rsidR="00E14AA7" w:rsidRPr="00146B03" w:rsidRDefault="00E14AA7">
      <w:pPr>
        <w:spacing w:after="0" w:line="276" w:lineRule="auto"/>
        <w:jc w:val="both"/>
        <w:rPr>
          <w:rFonts w:ascii="Verdana" w:hAnsi="Verdana" w:cs="Arial"/>
        </w:rPr>
      </w:pPr>
      <w:r w:rsidRPr="00146B03">
        <w:rPr>
          <w:rFonts w:ascii="Verdana" w:hAnsi="Verdana" w:cs="Arial"/>
        </w:rPr>
        <w:t xml:space="preserve">Facebook: </w:t>
      </w:r>
      <w:proofErr w:type="spellStart"/>
      <w:r w:rsidRPr="00146B03">
        <w:rPr>
          <w:rStyle w:val="Hipervnculo"/>
          <w:rFonts w:ascii="Verdana" w:hAnsi="Verdana" w:cs="Arial"/>
        </w:rPr>
        <w:t>ColombiaCompraEficiente</w:t>
      </w:r>
      <w:proofErr w:type="spellEnd"/>
    </w:p>
    <w:p w14:paraId="5B48B856" w14:textId="77777777" w:rsidR="00E14AA7" w:rsidRPr="00146B03" w:rsidRDefault="00E14AA7">
      <w:pPr>
        <w:spacing w:after="0" w:line="276" w:lineRule="auto"/>
        <w:jc w:val="both"/>
        <w:rPr>
          <w:rFonts w:ascii="Verdana" w:hAnsi="Verdana" w:cs="Arial"/>
        </w:rPr>
      </w:pPr>
      <w:r w:rsidRPr="00146B03">
        <w:rPr>
          <w:rFonts w:ascii="Verdana" w:hAnsi="Verdana" w:cs="Arial"/>
        </w:rPr>
        <w:t xml:space="preserve">LinkedIn: </w:t>
      </w:r>
      <w:r w:rsidRPr="00146B03">
        <w:rPr>
          <w:rStyle w:val="Hipervnculo"/>
          <w:rFonts w:ascii="Verdana" w:hAnsi="Verdana" w:cs="Arial"/>
        </w:rPr>
        <w:t>Agencia Nacional de Contratación Pública - Colombia Compra Eficiente</w:t>
      </w:r>
      <w:r w:rsidRPr="00146B03">
        <w:rPr>
          <w:rFonts w:ascii="Verdana" w:hAnsi="Verdana" w:cs="Arial"/>
          <w:color w:val="0000FF"/>
        </w:rPr>
        <w:t xml:space="preserve"> </w:t>
      </w:r>
      <w:r w:rsidRPr="00146B03">
        <w:rPr>
          <w:rFonts w:ascii="Verdana" w:hAnsi="Verdana" w:cs="Arial"/>
        </w:rPr>
        <w:t xml:space="preserve">Instagram: </w:t>
      </w:r>
      <w:r w:rsidRPr="00146B03">
        <w:rPr>
          <w:rStyle w:val="Hipervnculo"/>
          <w:rFonts w:ascii="Verdana" w:hAnsi="Verdana" w:cs="Arial"/>
        </w:rPr>
        <w:t>@colombiacompraeficiente_cce</w:t>
      </w:r>
    </w:p>
    <w:p w14:paraId="0FD4A079" w14:textId="77777777" w:rsidR="00E14AA7" w:rsidRPr="00146B03" w:rsidRDefault="00E14AA7">
      <w:pPr>
        <w:widowControl w:val="0"/>
        <w:autoSpaceDE w:val="0"/>
        <w:autoSpaceDN w:val="0"/>
        <w:spacing w:after="0" w:line="276" w:lineRule="auto"/>
        <w:jc w:val="both"/>
        <w:rPr>
          <w:rFonts w:ascii="Verdana" w:hAnsi="Verdana" w:cs="Arial"/>
        </w:rPr>
      </w:pPr>
    </w:p>
    <w:p w14:paraId="6B1D04A4" w14:textId="77777777" w:rsidR="00E14AA7" w:rsidRPr="00146B03" w:rsidRDefault="00E14AA7">
      <w:pPr>
        <w:widowControl w:val="0"/>
        <w:autoSpaceDE w:val="0"/>
        <w:autoSpaceDN w:val="0"/>
        <w:spacing w:after="0" w:line="276" w:lineRule="auto"/>
        <w:jc w:val="both"/>
        <w:rPr>
          <w:rFonts w:ascii="Verdana" w:hAnsi="Verdana" w:cs="Arial"/>
          <w:lang w:val="es-ES_tradnl"/>
        </w:rPr>
      </w:pPr>
      <w:r w:rsidRPr="00146B03">
        <w:rPr>
          <w:rFonts w:ascii="Verdana" w:hAnsi="Verdana" w:cs="Arial"/>
        </w:rPr>
        <w:t xml:space="preserve">Este concepto tiene el alcance previsto en el artículo 28 del Código de Procedimiento Administrativo y de lo Contencioso Administrativo </w:t>
      </w:r>
      <w:r w:rsidRPr="00146B03">
        <w:rPr>
          <w:rFonts w:ascii="Verdana" w:hAnsi="Verdana" w:cs="Arial"/>
          <w:lang w:val="es-ES_tradnl"/>
        </w:rPr>
        <w:t xml:space="preserve">y las </w:t>
      </w:r>
      <w:r w:rsidRPr="00146B03">
        <w:rPr>
          <w:rFonts w:ascii="Verdana" w:hAnsi="Verdana" w:cs="Arial"/>
          <w:lang w:val="es-ES_tradnl"/>
        </w:rPr>
        <w:lastRenderedPageBreak/>
        <w:t>expresiones aquí utilizadas con mayúscula inicial deben ser entendidas con el significado que les otorga el artículo 2.2.1.1.1.3.1. del Decreto 1082 de 2015.</w:t>
      </w:r>
    </w:p>
    <w:p w14:paraId="5347FABE" w14:textId="77777777" w:rsidR="00E14AA7" w:rsidRPr="00146B03" w:rsidRDefault="00E14AA7">
      <w:pPr>
        <w:widowControl w:val="0"/>
        <w:autoSpaceDE w:val="0"/>
        <w:autoSpaceDN w:val="0"/>
        <w:spacing w:after="0" w:line="276" w:lineRule="auto"/>
        <w:jc w:val="both"/>
        <w:rPr>
          <w:rFonts w:ascii="Verdana" w:hAnsi="Verdana" w:cs="Arial"/>
        </w:rPr>
      </w:pPr>
    </w:p>
    <w:p w14:paraId="0B6B2BE9" w14:textId="77777777" w:rsidR="00E14AA7" w:rsidRPr="00146B03" w:rsidRDefault="00E14AA7">
      <w:pPr>
        <w:spacing w:after="0" w:line="276" w:lineRule="auto"/>
        <w:rPr>
          <w:rFonts w:ascii="Verdana" w:hAnsi="Verdana" w:cs="Arial"/>
          <w:lang w:eastAsia="es-CO"/>
        </w:rPr>
      </w:pPr>
      <w:r w:rsidRPr="00146B03">
        <w:rPr>
          <w:rFonts w:ascii="Verdana" w:eastAsia="Times New Roman" w:hAnsi="Verdana" w:cs="Arial"/>
          <w:lang w:eastAsia="es-CO"/>
        </w:rPr>
        <w:t>Atentamente,</w:t>
      </w:r>
      <w:r w:rsidRPr="00146B03">
        <w:rPr>
          <w:rFonts w:ascii="Verdana" w:hAnsi="Verdana" w:cs="Arial"/>
          <w:lang w:eastAsia="es-CO"/>
        </w:rPr>
        <w:t xml:space="preserve"> </w:t>
      </w:r>
    </w:p>
    <w:p w14:paraId="298037CD" w14:textId="7B4443AA" w:rsidR="00E14AA7" w:rsidRPr="005C170B" w:rsidRDefault="003C2B9C" w:rsidP="003C2B9C">
      <w:pPr>
        <w:spacing w:line="276" w:lineRule="auto"/>
        <w:jc w:val="center"/>
        <w:rPr>
          <w:rFonts w:ascii="Verdana" w:hAnsi="Verdana" w:cs="Arial"/>
          <w:color w:val="000000"/>
          <w:lang w:eastAsia="es-CO"/>
        </w:rPr>
      </w:pPr>
      <w:r w:rsidRPr="003C2B9C">
        <w:rPr>
          <w:rFonts w:ascii="Verdana" w:hAnsi="Verdana" w:cs="Arial"/>
          <w:noProof/>
          <w:color w:val="000000"/>
          <w:lang w:eastAsia="es-CO"/>
        </w:rPr>
        <w:drawing>
          <wp:inline distT="0" distB="0" distL="0" distR="0" wp14:anchorId="127BB5F7" wp14:editId="3D0FBBCE">
            <wp:extent cx="3022517" cy="1196647"/>
            <wp:effectExtent l="0" t="0" r="6985" b="3810"/>
            <wp:docPr id="519130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30683" cy="119988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14AA7" w:rsidRPr="005C170B" w14:paraId="5F61F2CE" w14:textId="77777777" w:rsidTr="000C674B">
        <w:trPr>
          <w:trHeight w:val="315"/>
        </w:trPr>
        <w:tc>
          <w:tcPr>
            <w:tcW w:w="893" w:type="dxa"/>
            <w:vAlign w:val="center"/>
            <w:hideMark/>
          </w:tcPr>
          <w:p w14:paraId="36E9891E" w14:textId="77777777" w:rsidR="00E14AA7" w:rsidRPr="005C170B" w:rsidRDefault="00E14AA7" w:rsidP="000C674B">
            <w:pPr>
              <w:contextualSpacing/>
              <w:rPr>
                <w:rFonts w:ascii="Verdana" w:hAnsi="Verdana" w:cs="Arial"/>
                <w:sz w:val="16"/>
                <w:szCs w:val="16"/>
                <w:lang w:val="es-ES" w:eastAsia="es-ES"/>
              </w:rPr>
            </w:pPr>
            <w:r w:rsidRPr="005C170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83E0EFA" w14:textId="77777777" w:rsidR="00E14AA7" w:rsidRPr="005C170B" w:rsidRDefault="00E14AA7" w:rsidP="000C674B">
            <w:pPr>
              <w:contextualSpacing/>
              <w:rPr>
                <w:rFonts w:ascii="Verdana" w:eastAsia="Arial" w:hAnsi="Verdana" w:cs="Arial"/>
                <w:sz w:val="16"/>
                <w:szCs w:val="16"/>
              </w:rPr>
            </w:pPr>
            <w:r w:rsidRPr="005C170B">
              <w:rPr>
                <w:rFonts w:ascii="Verdana" w:eastAsia="Arial" w:hAnsi="Verdana" w:cs="Arial"/>
                <w:sz w:val="16"/>
                <w:szCs w:val="16"/>
              </w:rPr>
              <w:t>Andrea Camila Polo Paz</w:t>
            </w:r>
          </w:p>
          <w:p w14:paraId="3FD166CF" w14:textId="77777777" w:rsidR="00E14AA7" w:rsidRPr="005C170B" w:rsidRDefault="00E14AA7" w:rsidP="000C674B">
            <w:pPr>
              <w:contextualSpacing/>
              <w:rPr>
                <w:rFonts w:ascii="Verdana" w:eastAsia="Arial" w:hAnsi="Verdana" w:cs="Arial"/>
                <w:sz w:val="16"/>
                <w:szCs w:val="16"/>
              </w:rPr>
            </w:pPr>
            <w:r w:rsidRPr="005C170B">
              <w:rPr>
                <w:rStyle w:val="normaltextrun"/>
                <w:rFonts w:ascii="Verdana" w:eastAsia="Arial" w:hAnsi="Verdana" w:cs="Arial"/>
                <w:sz w:val="16"/>
                <w:szCs w:val="16"/>
              </w:rPr>
              <w:t>Analista T02-1 de la Subdirección de Gestión Contractual</w:t>
            </w:r>
          </w:p>
        </w:tc>
      </w:tr>
      <w:tr w:rsidR="00E14AA7" w:rsidRPr="005C170B" w14:paraId="7A46A145" w14:textId="77777777" w:rsidTr="000C674B">
        <w:trPr>
          <w:trHeight w:val="330"/>
        </w:trPr>
        <w:tc>
          <w:tcPr>
            <w:tcW w:w="893" w:type="dxa"/>
            <w:vAlign w:val="center"/>
            <w:hideMark/>
          </w:tcPr>
          <w:p w14:paraId="4BACC059" w14:textId="77777777" w:rsidR="00E14AA7" w:rsidRPr="005C170B" w:rsidRDefault="00E14AA7" w:rsidP="000C674B">
            <w:pPr>
              <w:contextualSpacing/>
              <w:rPr>
                <w:rFonts w:ascii="Verdana" w:hAnsi="Verdana" w:cs="Arial"/>
                <w:sz w:val="16"/>
                <w:szCs w:val="16"/>
                <w:lang w:val="es-ES" w:eastAsia="es-ES"/>
              </w:rPr>
            </w:pPr>
            <w:r w:rsidRPr="005C170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D5BE54F" w14:textId="77777777" w:rsidR="00E14AA7" w:rsidRPr="005C170B" w:rsidRDefault="00E14AA7" w:rsidP="000C674B">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Diana Lucía Saavedra</w:t>
            </w:r>
          </w:p>
          <w:p w14:paraId="0978CC6A" w14:textId="77777777" w:rsidR="00E14AA7" w:rsidRPr="005C170B" w:rsidRDefault="00E14AA7" w:rsidP="000C674B">
            <w:pPr>
              <w:pStyle w:val="paragraph"/>
              <w:spacing w:before="0" w:beforeAutospacing="0" w:after="0" w:afterAutospacing="0"/>
              <w:contextualSpacing/>
              <w:textAlignment w:val="baseline"/>
              <w:rPr>
                <w:rFonts w:ascii="Verdana" w:hAnsi="Verdana" w:cs="Arial"/>
                <w:sz w:val="16"/>
                <w:szCs w:val="16"/>
                <w:lang w:val="es-ES"/>
              </w:rPr>
            </w:pPr>
            <w:r>
              <w:rPr>
                <w:rStyle w:val="normaltextrun"/>
                <w:rFonts w:ascii="Verdana" w:hAnsi="Verdana" w:cs="Arial"/>
                <w:sz w:val="16"/>
                <w:szCs w:val="16"/>
                <w:lang w:val="es-ES"/>
              </w:rPr>
              <w:t>Contratista</w:t>
            </w:r>
            <w:r w:rsidRPr="005C170B">
              <w:rPr>
                <w:rStyle w:val="normaltextrun"/>
                <w:rFonts w:ascii="Verdana" w:hAnsi="Verdana" w:cs="Arial"/>
                <w:sz w:val="16"/>
                <w:szCs w:val="16"/>
                <w:lang w:val="es-ES"/>
              </w:rPr>
              <w:t xml:space="preserve"> de la Subdirección de Gestión Contractual</w:t>
            </w:r>
            <w:r w:rsidRPr="005C170B">
              <w:rPr>
                <w:rStyle w:val="eop"/>
                <w:rFonts w:ascii="Verdana" w:hAnsi="Verdana" w:cs="Arial"/>
                <w:sz w:val="16"/>
                <w:szCs w:val="16"/>
              </w:rPr>
              <w:t> </w:t>
            </w:r>
          </w:p>
        </w:tc>
      </w:tr>
      <w:tr w:rsidR="00E14AA7" w:rsidRPr="005C170B" w14:paraId="6B52E70A" w14:textId="77777777" w:rsidTr="000C674B">
        <w:trPr>
          <w:trHeight w:val="300"/>
        </w:trPr>
        <w:tc>
          <w:tcPr>
            <w:tcW w:w="893" w:type="dxa"/>
            <w:vAlign w:val="center"/>
          </w:tcPr>
          <w:p w14:paraId="02A5DF10" w14:textId="77777777" w:rsidR="00E14AA7" w:rsidRPr="005C170B" w:rsidRDefault="00E14AA7" w:rsidP="000C674B">
            <w:pPr>
              <w:contextualSpacing/>
              <w:rPr>
                <w:rFonts w:ascii="Verdana" w:hAnsi="Verdana" w:cs="Arial"/>
                <w:sz w:val="16"/>
                <w:szCs w:val="16"/>
                <w:lang w:val="es-ES" w:eastAsia="es-ES"/>
              </w:rPr>
            </w:pPr>
            <w:r w:rsidRPr="005C170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06B1A31" w14:textId="77777777" w:rsidR="00E14AA7" w:rsidRPr="005C170B" w:rsidRDefault="00E14AA7" w:rsidP="000C674B">
            <w:pPr>
              <w:contextualSpacing/>
              <w:rPr>
                <w:rFonts w:ascii="Verdana" w:eastAsia="Calibri" w:hAnsi="Verdana" w:cs="Arial"/>
                <w:sz w:val="16"/>
                <w:szCs w:val="16"/>
                <w:lang w:val="pt-BR" w:eastAsia="es-ES"/>
              </w:rPr>
            </w:pPr>
            <w:r w:rsidRPr="005C170B">
              <w:rPr>
                <w:rFonts w:ascii="Verdana" w:eastAsia="Calibri" w:hAnsi="Verdana" w:cs="Arial"/>
                <w:sz w:val="16"/>
                <w:szCs w:val="16"/>
                <w:lang w:val="pt-BR" w:eastAsia="es-ES"/>
              </w:rPr>
              <w:t>Carolina Quintero Gacharná</w:t>
            </w:r>
          </w:p>
          <w:p w14:paraId="17D8982E" w14:textId="77777777" w:rsidR="00E14AA7" w:rsidRPr="005C170B" w:rsidRDefault="00E14AA7" w:rsidP="000C674B">
            <w:pPr>
              <w:contextualSpacing/>
              <w:rPr>
                <w:rFonts w:ascii="Verdana" w:eastAsia="Calibri" w:hAnsi="Verdana" w:cs="Arial"/>
                <w:sz w:val="16"/>
                <w:szCs w:val="16"/>
                <w:lang w:val="pt-BR" w:eastAsia="es-ES"/>
              </w:rPr>
            </w:pPr>
            <w:r w:rsidRPr="005C170B">
              <w:rPr>
                <w:rFonts w:ascii="Verdana" w:eastAsia="Calibri" w:hAnsi="Verdana" w:cs="Arial"/>
                <w:sz w:val="16"/>
                <w:szCs w:val="16"/>
                <w:lang w:eastAsia="es-ES"/>
              </w:rPr>
              <w:t>Subdirectora</w:t>
            </w:r>
            <w:r w:rsidRPr="005C170B">
              <w:rPr>
                <w:rFonts w:ascii="Verdana" w:eastAsia="Calibri" w:hAnsi="Verdana" w:cs="Arial"/>
                <w:sz w:val="16"/>
                <w:szCs w:val="16"/>
                <w:lang w:val="pt-BR" w:eastAsia="es-ES"/>
              </w:rPr>
              <w:t xml:space="preserve"> de Gestión Contractual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0F293BF4" w14:textId="1F7106BE" w:rsidR="00127233" w:rsidRPr="0015699B" w:rsidRDefault="00C15139" w:rsidP="006B50FD">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127233" w:rsidRPr="0015699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427A1" w14:textId="77777777" w:rsidR="00C34806" w:rsidRDefault="00C34806" w:rsidP="004A1847">
      <w:pPr>
        <w:spacing w:after="0" w:line="240" w:lineRule="auto"/>
      </w:pPr>
      <w:r>
        <w:separator/>
      </w:r>
    </w:p>
  </w:endnote>
  <w:endnote w:type="continuationSeparator" w:id="0">
    <w:p w14:paraId="1DCB017C" w14:textId="77777777" w:rsidR="00C34806" w:rsidRDefault="00C3480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8673F" w14:textId="77777777" w:rsidR="00C34806" w:rsidRDefault="00C34806" w:rsidP="004A1847">
      <w:pPr>
        <w:spacing w:after="0" w:line="240" w:lineRule="auto"/>
      </w:pPr>
      <w:r>
        <w:separator/>
      </w:r>
    </w:p>
  </w:footnote>
  <w:footnote w:type="continuationSeparator" w:id="0">
    <w:p w14:paraId="6908D2A1" w14:textId="77777777" w:rsidR="00C34806" w:rsidRDefault="00C34806" w:rsidP="004A1847">
      <w:pPr>
        <w:spacing w:after="0" w:line="240" w:lineRule="auto"/>
      </w:pPr>
      <w:r>
        <w:continuationSeparator/>
      </w:r>
    </w:p>
  </w:footnote>
  <w:footnote w:id="1">
    <w:p w14:paraId="02AD3368" w14:textId="011136CE" w:rsidR="00E14AA7" w:rsidRPr="009F72B4" w:rsidRDefault="00E14AA7" w:rsidP="00E14AA7">
      <w:pPr>
        <w:pStyle w:val="Textonotapie"/>
        <w:snapToGrid w:val="0"/>
        <w:ind w:firstLine="709"/>
        <w:jc w:val="both"/>
        <w:rPr>
          <w:rFonts w:ascii="Verdana" w:hAnsi="Verdana" w:cs="Arial"/>
          <w:color w:val="000000" w:themeColor="text1"/>
          <w:sz w:val="14"/>
          <w:szCs w:val="14"/>
        </w:rPr>
      </w:pPr>
      <w:r w:rsidRPr="009F72B4">
        <w:rPr>
          <w:rStyle w:val="Refdenotaalpie"/>
          <w:rFonts w:ascii="Verdana" w:hAnsi="Verdana" w:cs="Arial"/>
          <w:sz w:val="14"/>
          <w:szCs w:val="14"/>
        </w:rPr>
        <w:footnoteRef/>
      </w:r>
      <w:r w:rsidRPr="009F72B4">
        <w:rPr>
          <w:rFonts w:ascii="Verdana" w:hAnsi="Verdana" w:cs="Arial"/>
          <w:sz w:val="14"/>
          <w:szCs w:val="14"/>
        </w:rPr>
        <w:t xml:space="preserve"> </w:t>
      </w:r>
      <w:r w:rsidRPr="009F72B4">
        <w:rPr>
          <w:rFonts w:ascii="Verdana" w:hAnsi="Verdana" w:cs="Arial"/>
          <w:color w:val="000000" w:themeColor="text1"/>
          <w:sz w:val="14"/>
          <w:szCs w:val="14"/>
        </w:rPr>
        <w:t xml:space="preserve">El artículo 6 de la Ley 80 de 1993 expresa: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 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los consorcios y uniones temporales. Las personas jurídicas nacionales y extranjeras deberán acreditar que su duración no será inferior a la del plazo del contrato y un año más. […] </w:t>
      </w:r>
    </w:p>
    <w:p w14:paraId="0C703BEE" w14:textId="77777777" w:rsidR="00F11FE3" w:rsidRPr="009F72B4" w:rsidRDefault="00F11FE3" w:rsidP="00E14AA7">
      <w:pPr>
        <w:pStyle w:val="Textonotapie"/>
        <w:snapToGrid w:val="0"/>
        <w:ind w:firstLine="709"/>
        <w:jc w:val="both"/>
        <w:rPr>
          <w:rFonts w:ascii="Verdana" w:hAnsi="Verdana" w:cs="Arial"/>
          <w:color w:val="000000" w:themeColor="text1"/>
          <w:sz w:val="14"/>
          <w:szCs w:val="14"/>
        </w:rPr>
      </w:pPr>
    </w:p>
  </w:footnote>
  <w:footnote w:id="2">
    <w:p w14:paraId="4999C278" w14:textId="48B7CAB1" w:rsidR="00E14AA7" w:rsidRPr="009F72B4" w:rsidRDefault="00E14AA7" w:rsidP="00E14AA7">
      <w:pPr>
        <w:pStyle w:val="Textonotapie"/>
        <w:snapToGrid w:val="0"/>
        <w:ind w:firstLine="709"/>
        <w:jc w:val="both"/>
        <w:rPr>
          <w:rFonts w:ascii="Verdana" w:hAnsi="Verdana" w:cs="Arial"/>
          <w:color w:val="000000" w:themeColor="text1"/>
          <w:sz w:val="14"/>
          <w:szCs w:val="14"/>
        </w:rPr>
      </w:pPr>
      <w:r w:rsidRPr="009F72B4">
        <w:rPr>
          <w:rStyle w:val="Refdenotaalpie"/>
          <w:rFonts w:ascii="Verdana" w:hAnsi="Verdana" w:cs="Arial"/>
          <w:sz w:val="14"/>
          <w:szCs w:val="14"/>
        </w:rPr>
        <w:footnoteRef/>
      </w:r>
      <w:r w:rsidRPr="009F72B4">
        <w:rPr>
          <w:rFonts w:ascii="Verdana" w:hAnsi="Verdana" w:cs="Arial"/>
          <w:sz w:val="14"/>
          <w:szCs w:val="14"/>
        </w:rPr>
        <w:t xml:space="preserve"> </w:t>
      </w:r>
      <w:r w:rsidRPr="009F72B4">
        <w:rPr>
          <w:rFonts w:ascii="Verdana" w:hAnsi="Verdana" w:cs="Arial"/>
          <w:color w:val="000000" w:themeColor="text1"/>
          <w:sz w:val="14"/>
          <w:szCs w:val="14"/>
        </w:rPr>
        <w:t>El artículo 1502 del Código Civil prevé la capacidad legal como requisito para obligarse contractualmente, en los siguientes términos: “Para que una persona se obligue a otra por un acto o declaración de voluntad, es necesario: 1o.) que sea legalmente capaz. […] La capacidad legal de una persona consiste en poderse obligar por sí misma, sin el ministerio o la autorización de otra”.</w:t>
      </w:r>
    </w:p>
    <w:p w14:paraId="4DE7B43D" w14:textId="77777777" w:rsidR="00F11FE3" w:rsidRPr="009F72B4" w:rsidRDefault="00F11FE3" w:rsidP="00E14AA7">
      <w:pPr>
        <w:pStyle w:val="Textonotapie"/>
        <w:snapToGrid w:val="0"/>
        <w:ind w:firstLine="709"/>
        <w:jc w:val="both"/>
        <w:rPr>
          <w:rFonts w:ascii="Verdana" w:hAnsi="Verdana" w:cs="Arial"/>
          <w:color w:val="000000" w:themeColor="text1"/>
          <w:sz w:val="14"/>
          <w:szCs w:val="14"/>
        </w:rPr>
      </w:pPr>
    </w:p>
  </w:footnote>
  <w:footnote w:id="3">
    <w:p w14:paraId="2AC65D73" w14:textId="4CFA78B4" w:rsidR="00E14AA7" w:rsidRPr="009F72B4" w:rsidRDefault="00E14AA7" w:rsidP="00F11FE3">
      <w:pPr>
        <w:pStyle w:val="Textonotapie"/>
        <w:ind w:firstLine="708"/>
        <w:jc w:val="both"/>
        <w:rPr>
          <w:rFonts w:ascii="Verdana" w:hAnsi="Verdana" w:cs="Arial"/>
          <w:color w:val="000000" w:themeColor="text1"/>
          <w:sz w:val="14"/>
          <w:szCs w:val="14"/>
          <w:lang w:val="es-ES"/>
        </w:rPr>
      </w:pPr>
      <w:r w:rsidRPr="009F72B4">
        <w:rPr>
          <w:rStyle w:val="Refdenotaalpie"/>
          <w:rFonts w:ascii="Verdana" w:hAnsi="Verdana" w:cs="Arial"/>
          <w:sz w:val="14"/>
          <w:szCs w:val="14"/>
        </w:rPr>
        <w:footnoteRef/>
      </w:r>
      <w:r w:rsidRPr="009F72B4">
        <w:rPr>
          <w:rFonts w:ascii="Verdana" w:hAnsi="Verdana" w:cs="Arial"/>
          <w:sz w:val="14"/>
          <w:szCs w:val="14"/>
        </w:rPr>
        <w:t xml:space="preserve"> </w:t>
      </w:r>
      <w:r w:rsidRPr="009F72B4">
        <w:rPr>
          <w:rFonts w:ascii="Verdana" w:hAnsi="Verdana" w:cs="Arial"/>
          <w:color w:val="000000" w:themeColor="text1"/>
          <w:sz w:val="14"/>
          <w:szCs w:val="14"/>
          <w:lang w:val="es-ES"/>
        </w:rPr>
        <w:t xml:space="preserve">BARRETO ROZO, Antonio Alejandro. Inhabilidades de la contratación estatal, efectos y </w:t>
      </w:r>
      <w:proofErr w:type="spellStart"/>
      <w:r w:rsidRPr="009F72B4">
        <w:rPr>
          <w:rFonts w:ascii="Verdana" w:hAnsi="Verdana" w:cs="Arial"/>
          <w:color w:val="000000" w:themeColor="text1"/>
          <w:sz w:val="14"/>
          <w:szCs w:val="14"/>
          <w:lang w:val="es-ES"/>
        </w:rPr>
        <w:t>neopunitivismo</w:t>
      </w:r>
      <w:proofErr w:type="spellEnd"/>
      <w:r w:rsidRPr="009F72B4">
        <w:rPr>
          <w:rFonts w:ascii="Verdana" w:hAnsi="Verdana" w:cs="Arial"/>
          <w:color w:val="000000" w:themeColor="text1"/>
          <w:sz w:val="14"/>
          <w:szCs w:val="14"/>
          <w:lang w:val="es-ES"/>
        </w:rPr>
        <w:t xml:space="preserve"> en el Estatuto Anticorrupción. En: ALVIAR GARCÍA, Helena (Coordinadora). Nuevas tendencias del Derecho administrativo. Bogotá: Universidad de los Andes; Temis, 2016. pp. 63-99.</w:t>
      </w:r>
    </w:p>
    <w:p w14:paraId="3FF5647D" w14:textId="77777777" w:rsidR="00F11FE3" w:rsidRPr="009F72B4" w:rsidRDefault="00F11FE3" w:rsidP="009F72B4">
      <w:pPr>
        <w:pStyle w:val="Textonotapie"/>
        <w:ind w:firstLine="708"/>
        <w:jc w:val="both"/>
        <w:rPr>
          <w:rFonts w:ascii="Verdana" w:hAnsi="Verdana" w:cs="Arial"/>
          <w:sz w:val="14"/>
          <w:szCs w:val="14"/>
        </w:rPr>
      </w:pPr>
    </w:p>
  </w:footnote>
  <w:footnote w:id="4">
    <w:p w14:paraId="16FBC5D1" w14:textId="441CD3BF" w:rsidR="00E14AA7" w:rsidRPr="009F72B4" w:rsidRDefault="00E14AA7" w:rsidP="00E14AA7">
      <w:pPr>
        <w:pStyle w:val="Textonotapie"/>
        <w:snapToGrid w:val="0"/>
        <w:ind w:firstLine="709"/>
        <w:jc w:val="both"/>
        <w:rPr>
          <w:rFonts w:ascii="Verdana" w:hAnsi="Verdana" w:cs="Arial"/>
          <w:color w:val="000000" w:themeColor="text1"/>
          <w:sz w:val="14"/>
          <w:szCs w:val="14"/>
          <w:lang w:val="es-ES"/>
        </w:rPr>
      </w:pPr>
      <w:r w:rsidRPr="009F72B4">
        <w:rPr>
          <w:rStyle w:val="Refdenotaalpie"/>
          <w:rFonts w:ascii="Verdana" w:hAnsi="Verdana" w:cs="Arial"/>
          <w:color w:val="000000" w:themeColor="text1"/>
          <w:sz w:val="14"/>
          <w:szCs w:val="14"/>
        </w:rPr>
        <w:footnoteRef/>
      </w:r>
      <w:r w:rsidRPr="009F72B4">
        <w:rPr>
          <w:rFonts w:ascii="Verdana" w:hAnsi="Verdana" w:cs="Arial"/>
          <w:color w:val="000000" w:themeColor="text1"/>
          <w:sz w:val="14"/>
          <w:szCs w:val="14"/>
        </w:rPr>
        <w:t xml:space="preserve"> </w:t>
      </w:r>
      <w:r w:rsidRPr="009F72B4">
        <w:rPr>
          <w:rFonts w:ascii="Verdana" w:hAnsi="Verdana" w:cs="Arial"/>
          <w:color w:val="000000" w:themeColor="text1"/>
          <w:sz w:val="14"/>
          <w:szCs w:val="14"/>
          <w:lang w:val="es-ES"/>
        </w:rPr>
        <w:t>Corte Constitucional. Sentencia T-1039 de 2006. Magistrado Ponente: Humberto Sierra Porto. La Corte ha mantenido este criterio en las sentencias: C-903 de 2008. Magistrado Ponente: Jaime</w:t>
      </w:r>
      <w:r w:rsidRPr="009F72B4">
        <w:rPr>
          <w:rFonts w:ascii="Verdana" w:hAnsi="Verdana" w:cs="Arial"/>
          <w:color w:val="000000" w:themeColor="text1"/>
          <w:sz w:val="14"/>
          <w:szCs w:val="14"/>
          <w:lang w:val="es-ES"/>
        </w:rPr>
        <w:t xml:space="preserve"> Araujo Rentería; C-101 de 2018. Magistrada Ponente Gloria Stella Ortiz Delgado; entre otras. </w:t>
      </w:r>
    </w:p>
    <w:p w14:paraId="20F4130A" w14:textId="77777777" w:rsidR="00F11FE3" w:rsidRPr="009F72B4" w:rsidRDefault="00F11FE3" w:rsidP="00E14AA7">
      <w:pPr>
        <w:pStyle w:val="Textonotapie"/>
        <w:snapToGrid w:val="0"/>
        <w:ind w:firstLine="709"/>
        <w:jc w:val="both"/>
        <w:rPr>
          <w:rFonts w:ascii="Verdana" w:hAnsi="Verdana" w:cs="Arial"/>
          <w:color w:val="000000" w:themeColor="text1"/>
          <w:sz w:val="14"/>
          <w:szCs w:val="14"/>
          <w:lang w:val="es-ES"/>
        </w:rPr>
      </w:pPr>
    </w:p>
  </w:footnote>
  <w:footnote w:id="5">
    <w:p w14:paraId="53E0AFE0" w14:textId="4E8B3981" w:rsidR="00E14AA7" w:rsidRPr="009F72B4" w:rsidRDefault="00E14AA7" w:rsidP="00E14AA7">
      <w:pPr>
        <w:pStyle w:val="Textonotapie"/>
        <w:snapToGrid w:val="0"/>
        <w:ind w:firstLine="709"/>
        <w:jc w:val="both"/>
        <w:rPr>
          <w:rFonts w:ascii="Verdana" w:hAnsi="Verdana" w:cs="Arial"/>
          <w:color w:val="000000" w:themeColor="text1"/>
          <w:sz w:val="14"/>
          <w:szCs w:val="14"/>
          <w:lang w:val="es-ES"/>
        </w:rPr>
      </w:pPr>
      <w:r w:rsidRPr="009F72B4">
        <w:rPr>
          <w:rStyle w:val="Refdenotaalpie"/>
          <w:rFonts w:ascii="Verdana" w:hAnsi="Verdana" w:cs="Arial"/>
          <w:color w:val="000000" w:themeColor="text1"/>
          <w:sz w:val="14"/>
          <w:szCs w:val="14"/>
        </w:rPr>
        <w:footnoteRef/>
      </w:r>
      <w:r w:rsidRPr="009F72B4">
        <w:rPr>
          <w:rFonts w:ascii="Verdana" w:hAnsi="Verdana" w:cs="Arial"/>
          <w:color w:val="000000" w:themeColor="text1"/>
          <w:sz w:val="14"/>
          <w:szCs w:val="14"/>
        </w:rPr>
        <w:t xml:space="preserve"> </w:t>
      </w:r>
      <w:r w:rsidRPr="009F72B4">
        <w:rPr>
          <w:rFonts w:ascii="Verdana" w:hAnsi="Verdana" w:cs="Arial"/>
          <w:color w:val="000000" w:themeColor="text1"/>
          <w:sz w:val="14"/>
          <w:szCs w:val="14"/>
          <w:lang w:val="es-ES"/>
        </w:rPr>
        <w:t>Consejo de Estado. Sala de Consulta y Servicio Civil. Concepto del 30 de abril de 2015. Expediente: 2251. Consejero Ponente: Álvaro Namén Vargas.</w:t>
      </w:r>
    </w:p>
    <w:p w14:paraId="4E29DFA8" w14:textId="77777777" w:rsidR="00F11FE3" w:rsidRPr="009F72B4" w:rsidRDefault="00F11FE3" w:rsidP="00E14AA7">
      <w:pPr>
        <w:pStyle w:val="Textonotapie"/>
        <w:snapToGrid w:val="0"/>
        <w:ind w:firstLine="709"/>
        <w:jc w:val="both"/>
        <w:rPr>
          <w:rFonts w:ascii="Verdana" w:hAnsi="Verdana" w:cs="Arial"/>
          <w:color w:val="000000" w:themeColor="text1"/>
          <w:sz w:val="14"/>
          <w:szCs w:val="14"/>
          <w:lang w:val="es-ES"/>
        </w:rPr>
      </w:pPr>
    </w:p>
  </w:footnote>
  <w:footnote w:id="6">
    <w:p w14:paraId="6DC8131E" w14:textId="3776090C" w:rsidR="00E14AA7" w:rsidRPr="009F72B4" w:rsidRDefault="00E14AA7" w:rsidP="00E14AA7">
      <w:pPr>
        <w:pStyle w:val="Textonotapie"/>
        <w:snapToGrid w:val="0"/>
        <w:ind w:firstLine="709"/>
        <w:jc w:val="both"/>
        <w:rPr>
          <w:rFonts w:ascii="Verdana" w:hAnsi="Verdana" w:cs="Arial"/>
          <w:color w:val="000000" w:themeColor="text1"/>
          <w:sz w:val="14"/>
          <w:szCs w:val="14"/>
        </w:rPr>
      </w:pPr>
      <w:r w:rsidRPr="009F72B4">
        <w:rPr>
          <w:rStyle w:val="Refdenotaalpie"/>
          <w:rFonts w:ascii="Verdana" w:hAnsi="Verdana" w:cs="Arial"/>
          <w:color w:val="000000" w:themeColor="text1"/>
          <w:sz w:val="14"/>
          <w:szCs w:val="14"/>
        </w:rPr>
        <w:footnoteRef/>
      </w:r>
      <w:r w:rsidRPr="009F72B4">
        <w:rPr>
          <w:rFonts w:ascii="Verdana" w:hAnsi="Verdana" w:cs="Arial"/>
          <w:color w:val="000000" w:themeColor="text1"/>
          <w:sz w:val="14"/>
          <w:szCs w:val="14"/>
        </w:rPr>
        <w:t xml:space="preserve"> Consejo de Estado. Sección Tercera. Subsección A. Sentencia del 24 de junio de 2015. Exp. 40.635. Consejero Ponente: Hernán Andrade Rincón (E).</w:t>
      </w:r>
    </w:p>
    <w:p w14:paraId="4645E31B" w14:textId="77777777" w:rsidR="00F11FE3" w:rsidRPr="009F72B4" w:rsidRDefault="00F11FE3" w:rsidP="00E14AA7">
      <w:pPr>
        <w:pStyle w:val="Textonotapie"/>
        <w:snapToGrid w:val="0"/>
        <w:ind w:firstLine="709"/>
        <w:jc w:val="both"/>
        <w:rPr>
          <w:rFonts w:ascii="Verdana" w:hAnsi="Verdana" w:cs="Arial"/>
          <w:color w:val="000000" w:themeColor="text1"/>
          <w:sz w:val="14"/>
          <w:szCs w:val="14"/>
        </w:rPr>
      </w:pPr>
    </w:p>
  </w:footnote>
  <w:footnote w:id="7">
    <w:p w14:paraId="2F925192" w14:textId="0226632C" w:rsidR="00E14AA7" w:rsidRPr="009F72B4" w:rsidRDefault="00E14AA7" w:rsidP="00E14AA7">
      <w:pPr>
        <w:pStyle w:val="Textonotapie"/>
        <w:snapToGrid w:val="0"/>
        <w:ind w:firstLine="709"/>
        <w:jc w:val="both"/>
        <w:rPr>
          <w:rFonts w:ascii="Verdana" w:hAnsi="Verdana" w:cs="Arial"/>
          <w:color w:val="000000" w:themeColor="text1"/>
          <w:sz w:val="14"/>
          <w:szCs w:val="14"/>
        </w:rPr>
      </w:pPr>
      <w:r w:rsidRPr="009F72B4">
        <w:rPr>
          <w:rStyle w:val="Refdenotaalpie"/>
          <w:rFonts w:ascii="Verdana" w:hAnsi="Verdana" w:cs="Arial"/>
          <w:color w:val="000000" w:themeColor="text1"/>
          <w:sz w:val="14"/>
          <w:szCs w:val="14"/>
        </w:rPr>
        <w:footnoteRef/>
      </w:r>
      <w:r w:rsidRPr="009F72B4">
        <w:rPr>
          <w:rFonts w:ascii="Verdana" w:hAnsi="Verdana" w:cs="Arial"/>
          <w:color w:val="000000" w:themeColor="text1"/>
          <w:sz w:val="14"/>
          <w:szCs w:val="14"/>
        </w:rPr>
        <w:t xml:space="preserve"> Consejo de Estado. Sección Tercera. Subsección C. Sentencia del 22 de mayo de 2013. Exp. 24.057. Consejera Ponente: Olga Melida Valle De De</w:t>
      </w:r>
      <w:r w:rsidRPr="009F72B4">
        <w:rPr>
          <w:rFonts w:ascii="Verdana" w:hAnsi="Verdana" w:cs="Arial"/>
          <w:color w:val="000000" w:themeColor="text1"/>
          <w:sz w:val="14"/>
          <w:szCs w:val="14"/>
        </w:rPr>
        <w:t xml:space="preserve"> La Hoz.</w:t>
      </w:r>
    </w:p>
    <w:p w14:paraId="15B732BA" w14:textId="77777777" w:rsidR="00F11FE3" w:rsidRPr="009F72B4" w:rsidRDefault="00F11FE3" w:rsidP="00E14AA7">
      <w:pPr>
        <w:pStyle w:val="Textonotapie"/>
        <w:snapToGrid w:val="0"/>
        <w:ind w:firstLine="709"/>
        <w:jc w:val="both"/>
        <w:rPr>
          <w:rFonts w:ascii="Verdana" w:hAnsi="Verdana" w:cs="Arial"/>
          <w:color w:val="000000" w:themeColor="text1"/>
          <w:sz w:val="14"/>
          <w:szCs w:val="14"/>
        </w:rPr>
      </w:pPr>
    </w:p>
  </w:footnote>
  <w:footnote w:id="8">
    <w:p w14:paraId="1B5028A1" w14:textId="77777777" w:rsidR="00E14AA7" w:rsidRPr="009F72B4" w:rsidRDefault="00E14AA7" w:rsidP="00E14AA7">
      <w:pPr>
        <w:pStyle w:val="Textonotapie"/>
        <w:ind w:firstLine="709"/>
        <w:contextualSpacing/>
        <w:jc w:val="both"/>
        <w:rPr>
          <w:rFonts w:ascii="Verdana" w:eastAsia="Calibri" w:hAnsi="Verdana" w:cs="Arial"/>
          <w:bCs/>
          <w:color w:val="000000"/>
          <w:sz w:val="14"/>
          <w:szCs w:val="14"/>
        </w:rPr>
      </w:pPr>
      <w:r w:rsidRPr="009F72B4">
        <w:rPr>
          <w:rStyle w:val="Refdenotaalpie"/>
          <w:rFonts w:ascii="Verdana" w:hAnsi="Verdana" w:cs="Arial"/>
          <w:sz w:val="14"/>
          <w:szCs w:val="14"/>
        </w:rPr>
        <w:footnoteRef/>
      </w:r>
      <w:r w:rsidRPr="009F72B4">
        <w:rPr>
          <w:rFonts w:ascii="Verdana" w:hAnsi="Verdana" w:cs="Arial"/>
          <w:sz w:val="14"/>
          <w:szCs w:val="14"/>
        </w:rPr>
        <w:t xml:space="preserve"> </w:t>
      </w:r>
      <w:r w:rsidRPr="009F72B4">
        <w:rPr>
          <w:rFonts w:ascii="Verdana" w:eastAsia="Calibri" w:hAnsi="Verdana" w:cs="Arial"/>
          <w:bCs/>
          <w:color w:val="000000"/>
          <w:sz w:val="14"/>
          <w:szCs w:val="14"/>
        </w:rPr>
        <w:t>El Parágrafo 2º. del artículo 6 de la Ley 2014 de 2019, que modificó el artículo 9 de la Ley 80 de 1993, fue declarado inexequible por la Corte Constitucional en Sentencia C-037 del 24 de febrero de 2021, M.P. Cristina Pardo Schlesinger. La disposición era del siguiente tenor</w:t>
      </w:r>
      <w:bookmarkStart w:id="3" w:name="_Hlk79776115"/>
      <w:r w:rsidRPr="009F72B4">
        <w:rPr>
          <w:rFonts w:ascii="Verdana" w:eastAsia="Calibri" w:hAnsi="Verdana" w:cs="Arial"/>
          <w:bCs/>
          <w:color w:val="000000"/>
          <w:sz w:val="14"/>
          <w:szCs w:val="14"/>
        </w:rPr>
        <w:t>: “El Gobierno nacional reglamentará el procedimiento de la cesión del contrato de que trata este artículo, en término no mayor a seis (6) meses.”</w:t>
      </w:r>
      <w:bookmarkEnd w:id="3"/>
    </w:p>
    <w:p w14:paraId="6D33731D" w14:textId="77777777" w:rsidR="00E14AA7" w:rsidRPr="009F72B4" w:rsidRDefault="00E14AA7" w:rsidP="00E14AA7">
      <w:pPr>
        <w:pStyle w:val="Textonotapie"/>
        <w:ind w:firstLine="709"/>
        <w:contextualSpacing/>
        <w:jc w:val="both"/>
        <w:rPr>
          <w:rFonts w:ascii="Verdana" w:hAnsi="Verdana" w:cs="Arial"/>
          <w:sz w:val="14"/>
          <w:szCs w:val="14"/>
        </w:rPr>
      </w:pPr>
    </w:p>
  </w:footnote>
  <w:footnote w:id="9">
    <w:p w14:paraId="69D41C70" w14:textId="77777777" w:rsidR="00E14AA7" w:rsidRPr="009F72B4" w:rsidRDefault="00E14AA7" w:rsidP="00E14AA7">
      <w:pPr>
        <w:pStyle w:val="Textonotapie"/>
        <w:ind w:firstLine="708"/>
        <w:contextualSpacing/>
        <w:jc w:val="both"/>
        <w:rPr>
          <w:rFonts w:ascii="Verdana" w:hAnsi="Verdana" w:cs="Arial"/>
          <w:sz w:val="14"/>
          <w:szCs w:val="14"/>
          <w:lang w:val="pt-BR"/>
        </w:rPr>
      </w:pPr>
      <w:r w:rsidRPr="009F72B4">
        <w:rPr>
          <w:rStyle w:val="Refdenotaalpie"/>
          <w:rFonts w:ascii="Verdana" w:hAnsi="Verdana" w:cs="Arial"/>
          <w:sz w:val="14"/>
          <w:szCs w:val="14"/>
        </w:rPr>
        <w:footnoteRef/>
      </w:r>
      <w:r w:rsidRPr="009F72B4">
        <w:rPr>
          <w:rFonts w:ascii="Verdana" w:hAnsi="Verdana" w:cs="Arial"/>
          <w:sz w:val="14"/>
          <w:szCs w:val="14"/>
          <w:lang w:val="pt-BR"/>
        </w:rPr>
        <w:t xml:space="preserve"> Corte Constitucional. Sentencia C-221 de 1996. </w:t>
      </w:r>
      <w:r w:rsidRPr="009F72B4">
        <w:rPr>
          <w:rFonts w:ascii="Verdana" w:hAnsi="Verdana" w:cs="Arial"/>
          <w:sz w:val="14"/>
          <w:szCs w:val="14"/>
          <w:lang w:val="pt-BR"/>
        </w:rPr>
        <w:t xml:space="preserve">Magistrado Ponente: José Gregorio Hernández Galindo. </w:t>
      </w:r>
    </w:p>
    <w:p w14:paraId="0953ED1A" w14:textId="77777777" w:rsidR="00E14AA7" w:rsidRPr="009F72B4" w:rsidRDefault="00E14AA7" w:rsidP="00E14AA7">
      <w:pPr>
        <w:pStyle w:val="Textonotapie"/>
        <w:ind w:firstLine="708"/>
        <w:contextualSpacing/>
        <w:jc w:val="both"/>
        <w:rPr>
          <w:rFonts w:ascii="Verdana" w:hAnsi="Verdana" w:cs="Arial"/>
          <w:sz w:val="14"/>
          <w:szCs w:val="14"/>
          <w:lang w:val="pt-B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759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6D1F44"/>
    <w:multiLevelType w:val="hybridMultilevel"/>
    <w:tmpl w:val="38ACA4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506938600">
    <w:abstractNumId w:val="6"/>
  </w:num>
  <w:num w:numId="2" w16cid:durableId="1450978577">
    <w:abstractNumId w:val="2"/>
  </w:num>
  <w:num w:numId="3" w16cid:durableId="1616862006">
    <w:abstractNumId w:val="4"/>
  </w:num>
  <w:num w:numId="4" w16cid:durableId="19170067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5998452">
    <w:abstractNumId w:val="2"/>
  </w:num>
  <w:num w:numId="6" w16cid:durableId="1797337240">
    <w:abstractNumId w:val="12"/>
  </w:num>
  <w:num w:numId="7" w16cid:durableId="1694838736">
    <w:abstractNumId w:val="5"/>
  </w:num>
  <w:num w:numId="8" w16cid:durableId="144978743">
    <w:abstractNumId w:val="11"/>
  </w:num>
  <w:num w:numId="9" w16cid:durableId="276181064">
    <w:abstractNumId w:val="7"/>
  </w:num>
  <w:num w:numId="10" w16cid:durableId="1266117205">
    <w:abstractNumId w:val="10"/>
  </w:num>
  <w:num w:numId="11" w16cid:durableId="1668172293">
    <w:abstractNumId w:val="8"/>
  </w:num>
  <w:num w:numId="12" w16cid:durableId="440077770">
    <w:abstractNumId w:val="1"/>
  </w:num>
  <w:num w:numId="13" w16cid:durableId="25180030">
    <w:abstractNumId w:val="3"/>
  </w:num>
  <w:num w:numId="14" w16cid:durableId="643311406">
    <w:abstractNumId w:val="13"/>
  </w:num>
  <w:num w:numId="15" w16cid:durableId="780297419">
    <w:abstractNumId w:val="9"/>
  </w:num>
  <w:num w:numId="16" w16cid:durableId="470103284">
    <w:abstractNumId w:val="0"/>
  </w:num>
  <w:num w:numId="17" w16cid:durableId="21021400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47582"/>
    <w:rsid w:val="00061B2A"/>
    <w:rsid w:val="00082362"/>
    <w:rsid w:val="000A683E"/>
    <w:rsid w:val="000B19B9"/>
    <w:rsid w:val="000D0334"/>
    <w:rsid w:val="000D0BA5"/>
    <w:rsid w:val="000D5DA7"/>
    <w:rsid w:val="000F6486"/>
    <w:rsid w:val="00115A85"/>
    <w:rsid w:val="00116940"/>
    <w:rsid w:val="00125105"/>
    <w:rsid w:val="00127233"/>
    <w:rsid w:val="00146B03"/>
    <w:rsid w:val="0015699B"/>
    <w:rsid w:val="0018251F"/>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2F4E"/>
    <w:rsid w:val="002C7A84"/>
    <w:rsid w:val="002E2BF8"/>
    <w:rsid w:val="002E4FD9"/>
    <w:rsid w:val="0030657A"/>
    <w:rsid w:val="00322A85"/>
    <w:rsid w:val="00324168"/>
    <w:rsid w:val="00330834"/>
    <w:rsid w:val="0033554C"/>
    <w:rsid w:val="003448F4"/>
    <w:rsid w:val="00356EF8"/>
    <w:rsid w:val="00374F5E"/>
    <w:rsid w:val="00377E3E"/>
    <w:rsid w:val="003A779E"/>
    <w:rsid w:val="003C2B9C"/>
    <w:rsid w:val="003D0F4D"/>
    <w:rsid w:val="003D5B0D"/>
    <w:rsid w:val="003E0499"/>
    <w:rsid w:val="003E4F80"/>
    <w:rsid w:val="003E6439"/>
    <w:rsid w:val="003F3941"/>
    <w:rsid w:val="00406575"/>
    <w:rsid w:val="00414C74"/>
    <w:rsid w:val="0042722E"/>
    <w:rsid w:val="00440578"/>
    <w:rsid w:val="0044528D"/>
    <w:rsid w:val="00466E39"/>
    <w:rsid w:val="004A1847"/>
    <w:rsid w:val="004A305D"/>
    <w:rsid w:val="004B28BD"/>
    <w:rsid w:val="004F21C4"/>
    <w:rsid w:val="004F685F"/>
    <w:rsid w:val="005566E8"/>
    <w:rsid w:val="00565F7D"/>
    <w:rsid w:val="00574867"/>
    <w:rsid w:val="00575F3F"/>
    <w:rsid w:val="00591460"/>
    <w:rsid w:val="005A65E0"/>
    <w:rsid w:val="005C3777"/>
    <w:rsid w:val="005C5CDC"/>
    <w:rsid w:val="005D3DEA"/>
    <w:rsid w:val="005D476C"/>
    <w:rsid w:val="005E0735"/>
    <w:rsid w:val="005F0460"/>
    <w:rsid w:val="006200BF"/>
    <w:rsid w:val="006219F8"/>
    <w:rsid w:val="006302F7"/>
    <w:rsid w:val="00646B9F"/>
    <w:rsid w:val="00665D70"/>
    <w:rsid w:val="006900D9"/>
    <w:rsid w:val="006B50FD"/>
    <w:rsid w:val="00706C16"/>
    <w:rsid w:val="007103EC"/>
    <w:rsid w:val="007340C3"/>
    <w:rsid w:val="0075235A"/>
    <w:rsid w:val="00756841"/>
    <w:rsid w:val="007649AB"/>
    <w:rsid w:val="00771D0C"/>
    <w:rsid w:val="007833AC"/>
    <w:rsid w:val="00784EB4"/>
    <w:rsid w:val="007B0AA6"/>
    <w:rsid w:val="007B1A43"/>
    <w:rsid w:val="007B268C"/>
    <w:rsid w:val="007B7171"/>
    <w:rsid w:val="007C0C0F"/>
    <w:rsid w:val="007C3DC2"/>
    <w:rsid w:val="007E5497"/>
    <w:rsid w:val="007E7AFE"/>
    <w:rsid w:val="00806F5F"/>
    <w:rsid w:val="00817EFB"/>
    <w:rsid w:val="00820278"/>
    <w:rsid w:val="008258C9"/>
    <w:rsid w:val="00844AE9"/>
    <w:rsid w:val="00867F95"/>
    <w:rsid w:val="008843B6"/>
    <w:rsid w:val="00891928"/>
    <w:rsid w:val="008A446D"/>
    <w:rsid w:val="008B25F1"/>
    <w:rsid w:val="008C63CC"/>
    <w:rsid w:val="008D180B"/>
    <w:rsid w:val="008D7DC4"/>
    <w:rsid w:val="008F0EA7"/>
    <w:rsid w:val="00923EEF"/>
    <w:rsid w:val="009419F9"/>
    <w:rsid w:val="0095685E"/>
    <w:rsid w:val="00961B09"/>
    <w:rsid w:val="00965334"/>
    <w:rsid w:val="0097093E"/>
    <w:rsid w:val="00986881"/>
    <w:rsid w:val="009A0DFA"/>
    <w:rsid w:val="009A1C6F"/>
    <w:rsid w:val="009A3ED4"/>
    <w:rsid w:val="009B2D26"/>
    <w:rsid w:val="009C71FA"/>
    <w:rsid w:val="009C72E7"/>
    <w:rsid w:val="009C7F7E"/>
    <w:rsid w:val="009D3058"/>
    <w:rsid w:val="009F3A13"/>
    <w:rsid w:val="009F53E0"/>
    <w:rsid w:val="009F72B4"/>
    <w:rsid w:val="00A122D3"/>
    <w:rsid w:val="00A14468"/>
    <w:rsid w:val="00A17F13"/>
    <w:rsid w:val="00A20739"/>
    <w:rsid w:val="00A23AF9"/>
    <w:rsid w:val="00A33C78"/>
    <w:rsid w:val="00A96F65"/>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34806"/>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82848"/>
    <w:rsid w:val="00DA231B"/>
    <w:rsid w:val="00DB423E"/>
    <w:rsid w:val="00DC39FC"/>
    <w:rsid w:val="00DF5254"/>
    <w:rsid w:val="00E02524"/>
    <w:rsid w:val="00E14AA7"/>
    <w:rsid w:val="00E16408"/>
    <w:rsid w:val="00E20894"/>
    <w:rsid w:val="00E245AB"/>
    <w:rsid w:val="00E2764C"/>
    <w:rsid w:val="00E27F2E"/>
    <w:rsid w:val="00E50AFE"/>
    <w:rsid w:val="00E75C92"/>
    <w:rsid w:val="00E771DC"/>
    <w:rsid w:val="00E8772A"/>
    <w:rsid w:val="00E90F6B"/>
    <w:rsid w:val="00E92C27"/>
    <w:rsid w:val="00EA0E3D"/>
    <w:rsid w:val="00EA6430"/>
    <w:rsid w:val="00EC38A7"/>
    <w:rsid w:val="00EE1AA8"/>
    <w:rsid w:val="00F11FE3"/>
    <w:rsid w:val="00F23FEA"/>
    <w:rsid w:val="00F31EDC"/>
    <w:rsid w:val="00F462B3"/>
    <w:rsid w:val="00F5664F"/>
    <w:rsid w:val="00F666C4"/>
    <w:rsid w:val="00F76AFC"/>
    <w:rsid w:val="00F86120"/>
    <w:rsid w:val="00F92E06"/>
    <w:rsid w:val="00F966BE"/>
    <w:rsid w:val="00FA47C0"/>
    <w:rsid w:val="00FB5DD1"/>
    <w:rsid w:val="00FC2B5D"/>
    <w:rsid w:val="00FD33C0"/>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14AA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14AA7"/>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we.rivera@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2F40195-DD48-4348-9C41-8F32A7A6A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42</TotalTime>
  <Pages>15</Pages>
  <Words>4477</Words>
  <Characters>24624</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2026-08-31T16:01:00Z</dcterms:created>
  <dcterms:modified xsi:type="dcterms:W3CDTF">2026-08-31T17:31:00Z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