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D773" w14:textId="77777777" w:rsidR="00BC6358" w:rsidRPr="00396DBB" w:rsidRDefault="00BC6358" w:rsidP="00BC6358">
      <w:pPr>
        <w:pStyle w:val="Textoindependiente"/>
        <w:spacing w:after="0" w:line="240" w:lineRule="auto"/>
        <w:ind w:right="102"/>
        <w:jc w:val="both"/>
        <w:rPr>
          <w:rFonts w:ascii="Verdana" w:hAnsi="Verdana" w:cs="Arial"/>
          <w:b/>
          <w:color w:val="000000" w:themeColor="text1"/>
          <w:lang w:val="es-ES_tradnl"/>
        </w:rPr>
      </w:pPr>
      <w:r w:rsidRPr="005D4B9C">
        <w:rPr>
          <w:rFonts w:ascii="Verdana" w:hAnsi="Verdana" w:cs="Arial"/>
          <w:b/>
          <w:color w:val="000000" w:themeColor="text1"/>
          <w:lang w:val="es-ES_tradnl"/>
        </w:rPr>
        <w:t>REQUISITOS HABILITANTES – Noción</w:t>
      </w:r>
      <w:r>
        <w:rPr>
          <w:rFonts w:ascii="Verdana" w:hAnsi="Verdana" w:cs="Arial"/>
          <w:b/>
          <w:color w:val="000000" w:themeColor="text1"/>
          <w:lang w:val="es-ES_tradnl"/>
        </w:rPr>
        <w:t xml:space="preserve"> </w:t>
      </w:r>
      <w:r w:rsidRPr="00396DBB">
        <w:rPr>
          <w:rFonts w:ascii="Verdana" w:hAnsi="Verdana" w:cs="Arial"/>
          <w:b/>
          <w:color w:val="000000" w:themeColor="text1"/>
          <w:lang w:val="es-ES_tradnl"/>
        </w:rPr>
        <w:t xml:space="preserve"> </w:t>
      </w:r>
    </w:p>
    <w:p w14:paraId="5B504359" w14:textId="77777777" w:rsidR="00BC6358" w:rsidRPr="00396DBB" w:rsidRDefault="00BC6358" w:rsidP="00BC6358">
      <w:pPr>
        <w:pStyle w:val="Textoindependiente"/>
        <w:spacing w:after="0" w:line="240" w:lineRule="auto"/>
        <w:ind w:right="102"/>
        <w:jc w:val="both"/>
        <w:rPr>
          <w:rFonts w:ascii="Verdana" w:hAnsi="Verdana" w:cs="Arial"/>
          <w:color w:val="000000" w:themeColor="text1"/>
          <w:sz w:val="20"/>
          <w:szCs w:val="20"/>
          <w:lang w:val="es-ES_tradnl"/>
        </w:rPr>
      </w:pPr>
    </w:p>
    <w:p w14:paraId="31348ED1" w14:textId="77777777" w:rsidR="00BC6358" w:rsidRPr="005D4B9C" w:rsidRDefault="00BC6358" w:rsidP="00BC6358">
      <w:pPr>
        <w:spacing w:after="0" w:line="240" w:lineRule="auto"/>
        <w:jc w:val="both"/>
        <w:rPr>
          <w:rFonts w:ascii="Verdana" w:eastAsia="Arial" w:hAnsi="Verdana" w:cs="Arial"/>
          <w:bCs/>
          <w:color w:val="000000" w:themeColor="text1"/>
          <w:sz w:val="20"/>
          <w:szCs w:val="20"/>
        </w:rPr>
      </w:pPr>
      <w:r w:rsidRPr="005D4B9C">
        <w:rPr>
          <w:rFonts w:ascii="Verdana" w:eastAsia="Arial" w:hAnsi="Verdana" w:cs="Arial"/>
          <w:bCs/>
          <w:color w:val="000000" w:themeColor="text1"/>
          <w:sz w:val="20"/>
          <w:szCs w:val="20"/>
        </w:rPr>
        <w:t xml:space="preserve">Los requisitos habilitantes se definen como exigencias de participación en los procedimientos de selección, establecidos en disposiciones normativas, de carácter legal o reglamentario, o las contenidas en el acto administrativo que regula las reglas de la convocatoria, es decir, en el pliego de condiciones o el documento equivalente a este. Se diferencian de los criterios de evaluación –también conocidos como criterios de calificación– en que estos son los factores definidos por la Entidad Estatal para la asignación de puntaje en el momento de la comparación de las ofertas, y que, a partir de su ponderación, permiten establecer el orden de elegibilidad y, por ende, la propuesta ganadora. </w:t>
      </w:r>
    </w:p>
    <w:p w14:paraId="4857A777" w14:textId="77777777" w:rsidR="00BC6358" w:rsidRPr="005D4B9C" w:rsidRDefault="00BC6358" w:rsidP="00BC6358">
      <w:pPr>
        <w:spacing w:after="0" w:line="240" w:lineRule="auto"/>
        <w:jc w:val="both"/>
        <w:rPr>
          <w:rFonts w:ascii="Verdana" w:eastAsia="Arial" w:hAnsi="Verdana" w:cs="Arial"/>
          <w:bCs/>
          <w:color w:val="000000" w:themeColor="text1"/>
          <w:sz w:val="20"/>
          <w:szCs w:val="20"/>
        </w:rPr>
      </w:pPr>
    </w:p>
    <w:p w14:paraId="65C05B44" w14:textId="77777777" w:rsidR="00BC6358" w:rsidRDefault="00BC6358" w:rsidP="00BC6358">
      <w:pPr>
        <w:spacing w:after="0" w:line="240" w:lineRule="auto"/>
        <w:jc w:val="both"/>
        <w:rPr>
          <w:rFonts w:ascii="Verdana" w:eastAsia="Arial" w:hAnsi="Verdana" w:cs="Arial"/>
          <w:color w:val="000000" w:themeColor="text1"/>
          <w:sz w:val="20"/>
          <w:szCs w:val="20"/>
        </w:rPr>
      </w:pPr>
      <w:r w:rsidRPr="005D4B9C">
        <w:rPr>
          <w:rFonts w:ascii="Verdana" w:eastAsia="Arial" w:hAnsi="Verdana" w:cs="Arial"/>
          <w:bCs/>
          <w:color w:val="000000" w:themeColor="text1"/>
          <w:sz w:val="20"/>
          <w:szCs w:val="20"/>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r>
        <w:rPr>
          <w:rFonts w:ascii="Verdana" w:eastAsia="Arial" w:hAnsi="Verdana" w:cs="Arial"/>
          <w:bCs/>
          <w:color w:val="000000" w:themeColor="text1"/>
          <w:sz w:val="20"/>
          <w:szCs w:val="20"/>
        </w:rPr>
        <w:t>.</w:t>
      </w:r>
      <w:r w:rsidRPr="00FB1576">
        <w:rPr>
          <w:rFonts w:ascii="Verdana" w:eastAsia="Arial" w:hAnsi="Verdana" w:cs="Arial"/>
          <w:color w:val="000000" w:themeColor="text1"/>
          <w:sz w:val="20"/>
          <w:szCs w:val="20"/>
        </w:rPr>
        <w:t xml:space="preserve"> </w:t>
      </w:r>
    </w:p>
    <w:p w14:paraId="1F7A3425" w14:textId="77777777" w:rsidR="00BC6358" w:rsidRDefault="00BC6358" w:rsidP="00BC6358">
      <w:pPr>
        <w:spacing w:after="0" w:line="240" w:lineRule="auto"/>
        <w:jc w:val="both"/>
        <w:rPr>
          <w:rFonts w:ascii="Verdana" w:eastAsia="Arial" w:hAnsi="Verdana" w:cs="Arial"/>
          <w:color w:val="000000" w:themeColor="text1"/>
          <w:sz w:val="20"/>
          <w:szCs w:val="20"/>
        </w:rPr>
      </w:pPr>
    </w:p>
    <w:p w14:paraId="2E2F2D42" w14:textId="77777777" w:rsidR="00BC6358" w:rsidRDefault="00BC6358" w:rsidP="00BC6358">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CAPACIDAD JURÍDICA</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Personas naturales – Objeto social</w:t>
      </w:r>
    </w:p>
    <w:p w14:paraId="62E81132" w14:textId="77777777" w:rsidR="00BC6358" w:rsidRPr="00066843" w:rsidRDefault="00BC6358" w:rsidP="00BC6358">
      <w:pPr>
        <w:spacing w:after="0" w:line="240" w:lineRule="auto"/>
        <w:jc w:val="both"/>
        <w:rPr>
          <w:rFonts w:ascii="Verdana" w:eastAsia="Calibri" w:hAnsi="Verdana" w:cs="Arial"/>
          <w:b/>
          <w:color w:val="000000" w:themeColor="text1"/>
          <w:lang w:val="es-ES_tradnl"/>
        </w:rPr>
      </w:pPr>
    </w:p>
    <w:p w14:paraId="7BE88B4B" w14:textId="77777777" w:rsidR="00BC6358" w:rsidRPr="00E72132" w:rsidRDefault="00BC6358" w:rsidP="00BC6358">
      <w:pPr>
        <w:spacing w:line="240" w:lineRule="auto"/>
        <w:jc w:val="both"/>
        <w:rPr>
          <w:sz w:val="20"/>
          <w:szCs w:val="20"/>
        </w:rPr>
      </w:pPr>
      <w:r w:rsidRPr="00E72132">
        <w:rPr>
          <w:rFonts w:ascii="Verdana" w:hAnsi="Verdana" w:cs="Arial"/>
          <w:sz w:val="20"/>
          <w:szCs w:val="20"/>
        </w:rPr>
        <w:t>Para el Consejo de Estado “la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intervenir en el iter contractual”. Si bien las inhabilidades y las incompatibilidades guardan relación con las incapacidades particulares que consisten en la prohibición que la ley ha impuesto a ciertas personas para ejecutar ciertos actos, para efectos de la capacidad de ejercicio, es necesario estarse a lo dispuesto en inciso 1 del artículo 34 del Código Civil.</w:t>
      </w:r>
      <w:r w:rsidRPr="00E72132">
        <w:rPr>
          <w:rFonts w:ascii="Verdana" w:hAnsi="Verdana" w:cs="Arial"/>
          <w:sz w:val="20"/>
          <w:szCs w:val="20"/>
          <w:lang w:val="es-ES_tradnl"/>
        </w:rPr>
        <w:t xml:space="preserve"> </w:t>
      </w:r>
    </w:p>
    <w:p w14:paraId="2334BE2D" w14:textId="77777777" w:rsidR="00BC6358" w:rsidRPr="00E72132" w:rsidRDefault="00BC6358" w:rsidP="00BC6358">
      <w:pPr>
        <w:spacing w:line="240" w:lineRule="auto"/>
        <w:jc w:val="both"/>
        <w:rPr>
          <w:sz w:val="20"/>
          <w:szCs w:val="20"/>
        </w:rPr>
      </w:pPr>
      <w:r w:rsidRPr="00E72132">
        <w:rPr>
          <w:rFonts w:ascii="Verdana" w:eastAsia="Calibri" w:hAnsi="Verdana" w:cs="Arial"/>
          <w:sz w:val="20"/>
          <w:szCs w:val="20"/>
          <w:lang w:val="es-ES" w:eastAsia="es-ES"/>
        </w:rPr>
        <w:t xml:space="preserve">Se concluye que, las personas naturales que tienen capacidad jurídica para contratar son los mayores de edad, salvo que por disposición expresa se encuentren limitados por decisión judicial, y que no estén incursas en inhabilidades, incompatibilidades o prohibiciones derivadas de la ley. </w:t>
      </w:r>
    </w:p>
    <w:p w14:paraId="397076A0" w14:textId="77777777" w:rsidR="00BC6358" w:rsidRPr="007D07DC" w:rsidRDefault="00BC6358" w:rsidP="00BC6358">
      <w:pPr>
        <w:spacing w:after="0" w:line="240" w:lineRule="auto"/>
        <w:jc w:val="both"/>
        <w:rPr>
          <w:rFonts w:ascii="Verdana" w:eastAsia="Calibri" w:hAnsi="Verdana" w:cs="Arial"/>
          <w:b/>
          <w:lang w:val="es-ES_tradnl"/>
        </w:rPr>
      </w:pPr>
    </w:p>
    <w:p w14:paraId="2A83AD65" w14:textId="77777777" w:rsidR="00BC6358" w:rsidRPr="007D07DC" w:rsidRDefault="00BC6358" w:rsidP="00BC6358">
      <w:pPr>
        <w:spacing w:after="0" w:line="240" w:lineRule="auto"/>
        <w:jc w:val="both"/>
        <w:rPr>
          <w:rFonts w:ascii="Verdana" w:eastAsia="Calibri" w:hAnsi="Verdana" w:cs="Arial"/>
          <w:b/>
          <w:lang w:val="es-ES_tradnl"/>
        </w:rPr>
      </w:pPr>
      <w:r w:rsidRPr="007D07DC">
        <w:rPr>
          <w:rFonts w:ascii="Verdana" w:eastAsia="Calibri" w:hAnsi="Verdana" w:cs="Arial"/>
          <w:b/>
          <w:lang w:val="es-ES_tradnl"/>
        </w:rPr>
        <w:t xml:space="preserve">PERSONAS NATURALES – Capacidad – Clasificación Industrial Internacional Uniforme – Efectos declarativos </w:t>
      </w:r>
    </w:p>
    <w:p w14:paraId="189FCA4B" w14:textId="77777777" w:rsidR="00BC6358" w:rsidRPr="007D07DC" w:rsidRDefault="00BC6358" w:rsidP="00BC6358">
      <w:pPr>
        <w:spacing w:after="0" w:line="240" w:lineRule="auto"/>
        <w:jc w:val="both"/>
        <w:rPr>
          <w:rFonts w:ascii="Verdana" w:eastAsia="Calibri" w:hAnsi="Verdana" w:cs="Arial"/>
          <w:bCs/>
          <w:sz w:val="20"/>
          <w:szCs w:val="20"/>
          <w:lang w:val="es-ES_tradnl"/>
        </w:rPr>
      </w:pPr>
    </w:p>
    <w:p w14:paraId="4520677A" w14:textId="77777777" w:rsidR="00BC6358" w:rsidRPr="00BA78DD" w:rsidRDefault="00BC6358" w:rsidP="00BC6358">
      <w:pPr>
        <w:spacing w:after="120" w:line="240" w:lineRule="auto"/>
        <w:jc w:val="both"/>
        <w:rPr>
          <w:rFonts w:ascii="Verdana" w:eastAsia="Times New Roman" w:hAnsi="Verdana" w:cs="Arial"/>
          <w:sz w:val="20"/>
          <w:szCs w:val="20"/>
          <w:lang w:val="es-ES_tradnl" w:eastAsia="es-ES_tradnl"/>
        </w:rPr>
      </w:pPr>
      <w:r w:rsidRPr="00BA78DD">
        <w:rPr>
          <w:rFonts w:ascii="Verdana" w:eastAsia="Calibri" w:hAnsi="Verdana" w:cs="Arial"/>
          <w:sz w:val="20"/>
          <w:szCs w:val="20"/>
        </w:rPr>
        <w:t>Por otra parte, e</w:t>
      </w:r>
      <w:r w:rsidRPr="00BA78DD">
        <w:rPr>
          <w:rFonts w:ascii="Verdana" w:eastAsia="Calibri" w:hAnsi="Verdana" w:cs="Arial"/>
          <w:sz w:val="20"/>
          <w:szCs w:val="20"/>
          <w:lang w:val="es-ES_tradnl" w:eastAsia="es-ES_tradnl"/>
        </w:rPr>
        <w:t xml:space="preserve">n el </w:t>
      </w:r>
      <w:r w:rsidRPr="00BA78DD">
        <w:rPr>
          <w:rFonts w:ascii="Verdana" w:eastAsia="Times New Roman" w:hAnsi="Verdana" w:cs="Arial"/>
          <w:sz w:val="20"/>
          <w:szCs w:val="20"/>
          <w:lang w:val="es-ES" w:eastAsia="es-ES"/>
        </w:rPr>
        <w:t xml:space="preserve">Registro Único Empresarial y Social –en adelante </w:t>
      </w:r>
      <w:r w:rsidRPr="00BA78DD">
        <w:rPr>
          <w:rFonts w:ascii="Verdana" w:eastAsia="Times New Roman" w:hAnsi="Verdana" w:cs="Arial"/>
          <w:sz w:val="20"/>
          <w:szCs w:val="20"/>
          <w:lang w:val="es-ES_tradnl" w:eastAsia="es-ES_tradnl"/>
        </w:rPr>
        <w:t>RUES</w:t>
      </w:r>
      <w:r w:rsidRPr="00BA78DD">
        <w:rPr>
          <w:rFonts w:ascii="Verdana" w:eastAsia="Times New Roman" w:hAnsi="Verdana" w:cs="Arial"/>
          <w:sz w:val="20"/>
          <w:szCs w:val="20"/>
          <w:lang w:val="es-ES" w:eastAsia="es-ES"/>
        </w:rPr>
        <w:t>–</w:t>
      </w:r>
      <w:r w:rsidRPr="00BA78DD">
        <w:rPr>
          <w:rFonts w:ascii="Verdana" w:eastAsia="Times New Roman" w:hAnsi="Verdana" w:cs="Arial"/>
          <w:sz w:val="20"/>
          <w:szCs w:val="20"/>
          <w:lang w:val="es-ES_tradnl" w:eastAsia="es-ES_tradnl"/>
        </w:rPr>
        <w:t xml:space="preserve">, administrado por las Cámaras de Comercio, se encuentra el listado de las actividades económicas que desarrolla cada empresa, según los códigos de la Clasificación Industrial </w:t>
      </w:r>
      <w:r w:rsidRPr="00BA78DD">
        <w:rPr>
          <w:rFonts w:ascii="Verdana" w:eastAsia="Times New Roman" w:hAnsi="Verdana" w:cs="Arial"/>
          <w:sz w:val="20"/>
          <w:szCs w:val="20"/>
          <w:lang w:val="es-ES_tradnl" w:eastAsia="es-ES_tradnl"/>
        </w:rPr>
        <w:lastRenderedPageBreak/>
        <w:t>Internacional Uniforme –CIIU–, en virtud de lo dispuesto en el artículo 11 de la Ley 590 de 2000 y el artículo 166 del Decreto Ley 019 de 2012.</w:t>
      </w:r>
    </w:p>
    <w:p w14:paraId="072E910F" w14:textId="77777777" w:rsidR="00BC6358" w:rsidRPr="00BA78DD" w:rsidRDefault="00BC6358" w:rsidP="00BC6358">
      <w:pPr>
        <w:spacing w:after="120" w:line="276" w:lineRule="auto"/>
        <w:jc w:val="both"/>
        <w:rPr>
          <w:rFonts w:ascii="Verdana" w:eastAsia="Calibri" w:hAnsi="Verdana" w:cs="Arial"/>
          <w:sz w:val="20"/>
          <w:szCs w:val="20"/>
          <w:lang w:eastAsia="es-ES_tradnl"/>
        </w:rPr>
      </w:pPr>
      <w:r w:rsidRPr="00BA78DD">
        <w:rPr>
          <w:rFonts w:ascii="Verdana" w:eastAsia="Calibri" w:hAnsi="Verdana" w:cs="Arial"/>
          <w:sz w:val="20"/>
          <w:szCs w:val="20"/>
        </w:rPr>
        <w:t>L</w:t>
      </w:r>
      <w:r>
        <w:rPr>
          <w:rFonts w:ascii="Verdana" w:eastAsia="Calibri" w:hAnsi="Verdana" w:cs="Arial"/>
          <w:sz w:val="20"/>
          <w:szCs w:val="20"/>
        </w:rPr>
        <w:t>os</w:t>
      </w:r>
      <w:r w:rsidRPr="00BA78DD">
        <w:rPr>
          <w:rFonts w:ascii="Verdana" w:eastAsia="Calibri" w:hAnsi="Verdana" w:cs="Arial"/>
          <w:sz w:val="20"/>
          <w:szCs w:val="20"/>
        </w:rPr>
        <w:t xml:space="preserve"> </w:t>
      </w:r>
      <w:r w:rsidRPr="00BA78DD">
        <w:rPr>
          <w:rFonts w:ascii="Verdana" w:eastAsia="Times New Roman" w:hAnsi="Verdana" w:cs="Arial"/>
          <w:sz w:val="20"/>
          <w:szCs w:val="20"/>
          <w:lang w:val="es-ES_tradnl" w:eastAsia="es-ES_tradnl"/>
        </w:rPr>
        <w:t>CIIU</w:t>
      </w:r>
      <w:r w:rsidRPr="00BA78DD">
        <w:rPr>
          <w:rFonts w:ascii="Verdana" w:eastAsia="Calibri" w:hAnsi="Verdana" w:cs="Arial"/>
          <w:sz w:val="20"/>
          <w:szCs w:val="20"/>
        </w:rPr>
        <w:t xml:space="preserve"> corresponde a un sistema estandarizado desarrollado por las Naciones Unidas para clasificar las actividades económicas en distintos sectores. Como explica el DANE, su objetivo es facilitar la recopilación, análisis y comparación de datos estadísticos a nivel nacional e internacional “La CIIU tiene por finalidad establecer una clasificación uniforme de las actividades económicas productivas. Su propósito principal es ofrecer un conjunto de categorías de actividades económicas que se pueda utilizar para la reunión y presentación de estadísticas de acuerdo con esas actividades. Por consiguiente, la CIIU se propone presentar ese conjunto de categorías de actividades de tal modo que las entidades puedan clasificarse según la actividad económica que realizan. Las categorías de la CIIU se han definido vinculándolas, en la medida de lo posible, con la forma en que el proceso económico está estructurado en diferentes tipos de unidades estadísticas y la manera como se describe ese proceso en las estadísticas económicas”. </w:t>
      </w:r>
    </w:p>
    <w:p w14:paraId="207FA8D8" w14:textId="77777777" w:rsidR="00BC6358" w:rsidRPr="00BA78DD" w:rsidRDefault="00BC6358" w:rsidP="00BC6358">
      <w:pPr>
        <w:spacing w:after="120" w:line="276" w:lineRule="auto"/>
        <w:jc w:val="both"/>
        <w:rPr>
          <w:rFonts w:ascii="Verdana" w:eastAsia="Calibri" w:hAnsi="Verdana" w:cs="Arial"/>
          <w:sz w:val="20"/>
          <w:szCs w:val="20"/>
          <w:lang w:val="es-ES_tradnl" w:eastAsia="es-ES_tradnl"/>
        </w:rPr>
      </w:pPr>
      <w:r w:rsidRPr="00BA78DD">
        <w:rPr>
          <w:rFonts w:ascii="Verdana" w:eastAsia="Calibri" w:hAnsi="Verdana" w:cs="Arial"/>
          <w:sz w:val="20"/>
          <w:szCs w:val="20"/>
        </w:rPr>
        <w:t xml:space="preserve">De esta manera, los códigos del </w:t>
      </w:r>
      <w:r w:rsidRPr="00BA78DD">
        <w:rPr>
          <w:rFonts w:ascii="Verdana" w:eastAsia="Times New Roman" w:hAnsi="Verdana" w:cs="Arial"/>
          <w:sz w:val="20"/>
          <w:szCs w:val="20"/>
          <w:lang w:val="es-ES_tradnl" w:eastAsia="es-ES_tradnl"/>
        </w:rPr>
        <w:t>CIIU</w:t>
      </w:r>
      <w:r w:rsidRPr="00BA78DD">
        <w:rPr>
          <w:rFonts w:ascii="Verdana" w:eastAsia="Calibri" w:hAnsi="Verdana" w:cs="Arial"/>
          <w:sz w:val="20"/>
          <w:szCs w:val="20"/>
        </w:rPr>
        <w:t xml:space="preserve"> tienen efectos declarativos, no constitutivos. Por ello, respecto de la persona natural existe capacidad jurídica </w:t>
      </w:r>
      <w:r w:rsidRPr="00BA78DD">
        <w:rPr>
          <w:rFonts w:ascii="Verdana" w:eastAsia="Calibri" w:hAnsi="Verdana" w:cs="Arial"/>
          <w:sz w:val="20"/>
          <w:szCs w:val="20"/>
          <w:lang w:val="es-ES" w:eastAsia="es-ES"/>
        </w:rPr>
        <w:t xml:space="preserve">cuando son mayores de edad, salvo que por disposición expresa se encuentren limitados por decisión judicial, y que no estén incursas en inhabilidades, incompatibilidades o prohibiciones derivadas de la ley </w:t>
      </w:r>
      <w:r w:rsidRPr="00BA78DD">
        <w:rPr>
          <w:rFonts w:ascii="Verdana" w:eastAsia="Calibri" w:hAnsi="Verdana" w:cs="Arial"/>
          <w:sz w:val="20"/>
          <w:szCs w:val="20"/>
        </w:rPr>
        <w:t xml:space="preserve">y aquella se mantiene aunque la actividad económica no se haya recogido en la clasificación. </w:t>
      </w:r>
    </w:p>
    <w:p w14:paraId="5C7D2961" w14:textId="77777777" w:rsidR="00BC6358" w:rsidRPr="00BA78DD" w:rsidRDefault="00BC6358" w:rsidP="00BC6358">
      <w:pPr>
        <w:pBdr>
          <w:top w:val="nil"/>
          <w:left w:val="nil"/>
          <w:bottom w:val="nil"/>
          <w:right w:val="nil"/>
          <w:between w:val="nil"/>
        </w:pBdr>
        <w:tabs>
          <w:tab w:val="left" w:pos="284"/>
        </w:tabs>
        <w:spacing w:after="0" w:line="240" w:lineRule="auto"/>
        <w:jc w:val="both"/>
        <w:rPr>
          <w:rFonts w:ascii="Verdana" w:eastAsia="Arial" w:hAnsi="Verdana" w:cs="Arial"/>
          <w:color w:val="7030A0"/>
          <w:sz w:val="20"/>
          <w:szCs w:val="20"/>
          <w:lang w:val="es-ES_tradnl"/>
        </w:rPr>
      </w:pPr>
    </w:p>
    <w:p w14:paraId="48A94FF2" w14:textId="77777777" w:rsidR="00BC6358" w:rsidRPr="00BA78DD" w:rsidRDefault="00BC6358" w:rsidP="00BC6358">
      <w:pPr>
        <w:spacing w:after="0" w:line="240" w:lineRule="auto"/>
        <w:jc w:val="both"/>
        <w:rPr>
          <w:rFonts w:ascii="Verdana" w:hAnsi="Verdana"/>
          <w:b/>
          <w:bCs/>
          <w:color w:val="7030A0"/>
          <w:sz w:val="20"/>
          <w:szCs w:val="20"/>
        </w:rPr>
      </w:pPr>
    </w:p>
    <w:p w14:paraId="226CCB5C" w14:textId="77777777" w:rsidR="00BC6358" w:rsidRDefault="00BC6358" w:rsidP="00BC6358">
      <w:pPr>
        <w:spacing w:after="0" w:line="240" w:lineRule="auto"/>
        <w:jc w:val="both"/>
        <w:rPr>
          <w:rFonts w:ascii="Verdana" w:hAnsi="Verdana"/>
          <w:b/>
          <w:bCs/>
          <w:color w:val="7030A0"/>
          <w:sz w:val="20"/>
          <w:szCs w:val="20"/>
        </w:rPr>
      </w:pPr>
    </w:p>
    <w:p w14:paraId="42C25719" w14:textId="77777777" w:rsidR="00BC6358" w:rsidRDefault="00BC6358" w:rsidP="00BC6358">
      <w:pPr>
        <w:spacing w:after="0" w:line="240" w:lineRule="auto"/>
        <w:jc w:val="both"/>
        <w:rPr>
          <w:rFonts w:ascii="Verdana" w:hAnsi="Verdana"/>
          <w:b/>
          <w:bCs/>
          <w:color w:val="7030A0"/>
          <w:sz w:val="20"/>
          <w:szCs w:val="20"/>
        </w:rPr>
      </w:pPr>
    </w:p>
    <w:p w14:paraId="34942948" w14:textId="77777777" w:rsidR="00BC6358" w:rsidRDefault="00BC6358" w:rsidP="00BC6358">
      <w:pPr>
        <w:spacing w:after="0" w:line="240" w:lineRule="auto"/>
        <w:jc w:val="both"/>
        <w:rPr>
          <w:rFonts w:ascii="Verdana" w:hAnsi="Verdana"/>
          <w:b/>
          <w:bCs/>
          <w:color w:val="7030A0"/>
          <w:sz w:val="20"/>
          <w:szCs w:val="20"/>
        </w:rPr>
      </w:pPr>
    </w:p>
    <w:p w14:paraId="330088C6" w14:textId="77777777" w:rsidR="00BC6358" w:rsidRDefault="00BC6358" w:rsidP="00BC6358">
      <w:pPr>
        <w:spacing w:after="0" w:line="240" w:lineRule="auto"/>
        <w:jc w:val="both"/>
        <w:rPr>
          <w:rFonts w:ascii="Verdana" w:hAnsi="Verdana"/>
          <w:b/>
          <w:bCs/>
          <w:color w:val="7030A0"/>
          <w:sz w:val="20"/>
          <w:szCs w:val="20"/>
        </w:rPr>
      </w:pPr>
    </w:p>
    <w:p w14:paraId="368BD0B3" w14:textId="77777777" w:rsidR="00BC6358" w:rsidRDefault="00BC6358" w:rsidP="00BC6358">
      <w:pPr>
        <w:spacing w:after="0" w:line="240" w:lineRule="auto"/>
        <w:jc w:val="both"/>
        <w:rPr>
          <w:rFonts w:ascii="Verdana" w:hAnsi="Verdana"/>
          <w:b/>
          <w:bCs/>
          <w:color w:val="7030A0"/>
          <w:sz w:val="20"/>
          <w:szCs w:val="20"/>
        </w:rPr>
      </w:pPr>
    </w:p>
    <w:p w14:paraId="2CD2226B" w14:textId="77777777" w:rsidR="00BC6358" w:rsidRDefault="00BC6358" w:rsidP="00BC6358">
      <w:pPr>
        <w:spacing w:after="0" w:line="240" w:lineRule="auto"/>
        <w:jc w:val="both"/>
        <w:rPr>
          <w:rFonts w:ascii="Verdana" w:hAnsi="Verdana"/>
          <w:b/>
          <w:bCs/>
          <w:color w:val="7030A0"/>
          <w:sz w:val="20"/>
          <w:szCs w:val="20"/>
        </w:rPr>
      </w:pPr>
    </w:p>
    <w:p w14:paraId="147F2FFA" w14:textId="77777777" w:rsidR="00BC6358" w:rsidRDefault="00BC6358" w:rsidP="00BC6358">
      <w:pPr>
        <w:spacing w:after="0" w:line="240" w:lineRule="auto"/>
        <w:jc w:val="both"/>
        <w:rPr>
          <w:rFonts w:ascii="Verdana" w:hAnsi="Verdana"/>
          <w:b/>
          <w:bCs/>
          <w:color w:val="7030A0"/>
          <w:sz w:val="20"/>
          <w:szCs w:val="20"/>
        </w:rPr>
      </w:pPr>
    </w:p>
    <w:p w14:paraId="6E6039C6" w14:textId="77777777" w:rsidR="00BC6358" w:rsidRDefault="00BC6358" w:rsidP="00BC6358">
      <w:pPr>
        <w:spacing w:after="0" w:line="240" w:lineRule="auto"/>
        <w:jc w:val="both"/>
        <w:rPr>
          <w:rFonts w:ascii="Verdana" w:hAnsi="Verdana"/>
          <w:b/>
          <w:bCs/>
          <w:color w:val="7030A0"/>
          <w:sz w:val="20"/>
          <w:szCs w:val="20"/>
        </w:rPr>
      </w:pPr>
    </w:p>
    <w:p w14:paraId="7C95445B" w14:textId="77777777" w:rsidR="00BC6358" w:rsidRDefault="00BC6358" w:rsidP="00BC6358">
      <w:pPr>
        <w:spacing w:after="0" w:line="240" w:lineRule="auto"/>
        <w:jc w:val="both"/>
        <w:rPr>
          <w:rFonts w:ascii="Verdana" w:hAnsi="Verdana"/>
          <w:b/>
          <w:bCs/>
          <w:color w:val="7030A0"/>
          <w:sz w:val="20"/>
          <w:szCs w:val="20"/>
        </w:rPr>
      </w:pPr>
    </w:p>
    <w:p w14:paraId="056C58C3" w14:textId="77777777" w:rsidR="00BC6358" w:rsidRDefault="00BC6358" w:rsidP="00BC6358">
      <w:pPr>
        <w:spacing w:after="0" w:line="240" w:lineRule="auto"/>
        <w:jc w:val="both"/>
        <w:rPr>
          <w:rFonts w:ascii="Verdana" w:hAnsi="Verdana"/>
          <w:b/>
          <w:bCs/>
          <w:color w:val="7030A0"/>
          <w:sz w:val="20"/>
          <w:szCs w:val="20"/>
        </w:rPr>
      </w:pPr>
    </w:p>
    <w:p w14:paraId="2895F480" w14:textId="77777777" w:rsidR="00BC6358" w:rsidRDefault="00BC6358" w:rsidP="00BC6358">
      <w:pPr>
        <w:spacing w:after="0" w:line="240" w:lineRule="auto"/>
        <w:jc w:val="both"/>
        <w:rPr>
          <w:rFonts w:ascii="Verdana" w:hAnsi="Verdana"/>
          <w:b/>
          <w:bCs/>
          <w:color w:val="7030A0"/>
          <w:sz w:val="20"/>
          <w:szCs w:val="20"/>
        </w:rPr>
      </w:pPr>
    </w:p>
    <w:p w14:paraId="1BD1AD2A" w14:textId="77777777" w:rsidR="00BC6358" w:rsidRDefault="00BC6358" w:rsidP="00BC6358">
      <w:pPr>
        <w:spacing w:after="0" w:line="240" w:lineRule="auto"/>
        <w:jc w:val="both"/>
        <w:rPr>
          <w:rFonts w:ascii="Verdana" w:hAnsi="Verdana"/>
          <w:b/>
          <w:bCs/>
          <w:color w:val="7030A0"/>
          <w:sz w:val="20"/>
          <w:szCs w:val="20"/>
        </w:rPr>
      </w:pPr>
    </w:p>
    <w:p w14:paraId="55ECF5DB" w14:textId="77777777" w:rsidR="00BC6358" w:rsidRDefault="00BC6358" w:rsidP="00BC6358">
      <w:pPr>
        <w:spacing w:after="0" w:line="240" w:lineRule="auto"/>
        <w:jc w:val="both"/>
        <w:rPr>
          <w:rFonts w:ascii="Verdana" w:hAnsi="Verdana"/>
          <w:b/>
          <w:bCs/>
          <w:color w:val="7030A0"/>
          <w:sz w:val="20"/>
          <w:szCs w:val="20"/>
        </w:rPr>
      </w:pPr>
    </w:p>
    <w:p w14:paraId="7EA0A4FA" w14:textId="77777777" w:rsidR="00BC6358" w:rsidRDefault="00BC6358" w:rsidP="00BC6358">
      <w:pPr>
        <w:spacing w:after="0" w:line="240" w:lineRule="auto"/>
        <w:jc w:val="both"/>
        <w:rPr>
          <w:rFonts w:ascii="Verdana" w:hAnsi="Verdana"/>
          <w:b/>
          <w:bCs/>
          <w:color w:val="7030A0"/>
          <w:sz w:val="20"/>
          <w:szCs w:val="20"/>
        </w:rPr>
      </w:pPr>
    </w:p>
    <w:p w14:paraId="73E60387" w14:textId="77777777" w:rsidR="00BC6358" w:rsidRDefault="00BC6358" w:rsidP="00BC6358">
      <w:pPr>
        <w:spacing w:after="0" w:line="240" w:lineRule="auto"/>
        <w:jc w:val="both"/>
        <w:rPr>
          <w:rFonts w:ascii="Verdana" w:hAnsi="Verdana"/>
          <w:b/>
          <w:bCs/>
          <w:color w:val="7030A0"/>
          <w:sz w:val="20"/>
          <w:szCs w:val="20"/>
        </w:rPr>
      </w:pPr>
    </w:p>
    <w:p w14:paraId="5A2243DC" w14:textId="77777777" w:rsidR="00BC6358" w:rsidRDefault="00BC6358" w:rsidP="00BC6358">
      <w:pPr>
        <w:spacing w:after="0" w:line="240" w:lineRule="auto"/>
        <w:jc w:val="both"/>
        <w:rPr>
          <w:rFonts w:ascii="Verdana" w:hAnsi="Verdana"/>
          <w:b/>
          <w:bCs/>
          <w:color w:val="7030A0"/>
          <w:sz w:val="20"/>
          <w:szCs w:val="20"/>
        </w:rPr>
      </w:pPr>
    </w:p>
    <w:p w14:paraId="6F922576" w14:textId="77777777" w:rsidR="00BC6358" w:rsidRPr="00FD09FB" w:rsidRDefault="00BC6358" w:rsidP="00BC6358">
      <w:pPr>
        <w:spacing w:after="0" w:line="240" w:lineRule="auto"/>
        <w:jc w:val="both"/>
        <w:rPr>
          <w:rFonts w:ascii="Verdana" w:hAnsi="Verdana"/>
          <w:b/>
          <w:bCs/>
          <w:color w:val="7030A0"/>
          <w:sz w:val="20"/>
          <w:szCs w:val="20"/>
        </w:rPr>
      </w:pPr>
    </w:p>
    <w:p w14:paraId="54B41833" w14:textId="77777777" w:rsidR="00BC6358" w:rsidRPr="00FD09FB" w:rsidRDefault="00BC6358" w:rsidP="00BC6358">
      <w:pPr>
        <w:spacing w:after="120" w:line="240" w:lineRule="auto"/>
        <w:jc w:val="both"/>
        <w:rPr>
          <w:rFonts w:ascii="Verdana" w:hAnsi="Verdana" w:cs="Arial"/>
          <w:color w:val="7030A0"/>
          <w:sz w:val="20"/>
          <w:szCs w:val="20"/>
        </w:rPr>
      </w:pPr>
    </w:p>
    <w:p w14:paraId="1C1151F1" w14:textId="2F1310C9" w:rsidR="00BC6358" w:rsidRDefault="00BC6358" w:rsidP="00BC6358">
      <w:pPr>
        <w:spacing w:after="0"/>
        <w:rPr>
          <w:rFonts w:ascii="Verdana" w:hAnsi="Verdana"/>
        </w:rPr>
      </w:pPr>
      <w:r w:rsidRPr="00DB0B87">
        <w:rPr>
          <w:rFonts w:ascii="Verdana" w:hAnsi="Verdana"/>
        </w:rPr>
        <w:lastRenderedPageBreak/>
        <w:t>Bogotá D.C.,</w:t>
      </w:r>
      <w:r w:rsidR="00D40B18">
        <w:rPr>
          <w:rFonts w:ascii="Verdana" w:hAnsi="Verdana"/>
        </w:rPr>
        <w:t xml:space="preserve"> 21 de agosto de 2026</w:t>
      </w:r>
    </w:p>
    <w:p w14:paraId="45C789A2" w14:textId="77777777" w:rsidR="00161773" w:rsidRDefault="00161773" w:rsidP="00BC6358">
      <w:pPr>
        <w:spacing w:after="0"/>
        <w:rPr>
          <w:rFonts w:ascii="Verdana" w:hAnsi="Verdana"/>
        </w:rPr>
      </w:pPr>
    </w:p>
    <w:p w14:paraId="5F81563A" w14:textId="034FF78A" w:rsidR="00BC6358" w:rsidRPr="00D40B18" w:rsidRDefault="00161773" w:rsidP="00D40B18">
      <w:pPr>
        <w:spacing w:after="0"/>
        <w:jc w:val="right"/>
        <w:rPr>
          <w:rFonts w:ascii="Verdana" w:hAnsi="Verdana"/>
        </w:rPr>
      </w:pPr>
      <w:r w:rsidRPr="00161773">
        <w:rPr>
          <w:rFonts w:ascii="Verdana" w:hAnsi="Verdana"/>
          <w:noProof/>
        </w:rPr>
        <w:drawing>
          <wp:anchor distT="0" distB="0" distL="114300" distR="114300" simplePos="0" relativeHeight="251658240" behindDoc="0" locked="0" layoutInCell="1" allowOverlap="1" wp14:anchorId="613C0EF1" wp14:editId="2F51153E">
            <wp:simplePos x="0" y="0"/>
            <wp:positionH relativeFrom="column">
              <wp:posOffset>3436206</wp:posOffset>
            </wp:positionH>
            <wp:positionV relativeFrom="paragraph">
              <wp:posOffset>718</wp:posOffset>
            </wp:positionV>
            <wp:extent cx="2176780" cy="842838"/>
            <wp:effectExtent l="0" t="0" r="0" b="0"/>
            <wp:wrapSquare wrapText="bothSides"/>
            <wp:docPr id="940437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6780" cy="842838"/>
                    </a:xfrm>
                    <a:prstGeom prst="rect">
                      <a:avLst/>
                    </a:prstGeom>
                    <a:noFill/>
                    <a:ln>
                      <a:noFill/>
                    </a:ln>
                  </pic:spPr>
                </pic:pic>
              </a:graphicData>
            </a:graphic>
          </wp:anchor>
        </w:drawing>
      </w:r>
    </w:p>
    <w:p w14:paraId="7FD5DA70" w14:textId="77777777" w:rsidR="00BC6358" w:rsidRPr="00570231" w:rsidRDefault="00BC6358" w:rsidP="00BC6358">
      <w:pPr>
        <w:spacing w:after="0" w:line="240" w:lineRule="auto"/>
        <w:rPr>
          <w:rFonts w:ascii="Verdana" w:eastAsia="Calibri" w:hAnsi="Verdana" w:cs="Arial"/>
          <w:lang w:eastAsia="es-ES"/>
        </w:rPr>
      </w:pPr>
      <w:bookmarkStart w:id="0" w:name="_Hlk143780582"/>
      <w:r w:rsidRPr="00396567">
        <w:rPr>
          <w:rFonts w:ascii="Verdana" w:eastAsia="Calibri" w:hAnsi="Verdana" w:cs="Arial"/>
          <w:lang w:val="es-ES" w:eastAsia="es-ES"/>
        </w:rPr>
        <w:t>Señor</w:t>
      </w:r>
      <w:r w:rsidRPr="00570231">
        <w:rPr>
          <w:rFonts w:ascii="Verdana" w:eastAsia="Calibri" w:hAnsi="Verdana" w:cs="Arial"/>
          <w:lang w:eastAsia="es-ES"/>
        </w:rPr>
        <w:t xml:space="preserve"> Brigadier General </w:t>
      </w:r>
    </w:p>
    <w:p w14:paraId="4A2A060E" w14:textId="77777777" w:rsidR="00BC6358" w:rsidRDefault="00BC6358" w:rsidP="00BC6358">
      <w:pPr>
        <w:spacing w:after="0"/>
        <w:rPr>
          <w:rFonts w:ascii="Verdana" w:eastAsia="Calibri" w:hAnsi="Verdana" w:cs="Arial"/>
          <w:b/>
          <w:bCs/>
          <w:lang w:eastAsia="es-ES"/>
        </w:rPr>
      </w:pPr>
      <w:r w:rsidRPr="00FA2F94">
        <w:rPr>
          <w:rFonts w:ascii="Verdana" w:eastAsia="Calibri" w:hAnsi="Verdana" w:cs="Arial"/>
          <w:b/>
          <w:bCs/>
          <w:lang w:eastAsia="es-ES"/>
        </w:rPr>
        <w:t>W</w:t>
      </w:r>
      <w:r>
        <w:rPr>
          <w:rFonts w:ascii="Verdana" w:eastAsia="Calibri" w:hAnsi="Verdana" w:cs="Arial"/>
          <w:b/>
          <w:bCs/>
          <w:lang w:eastAsia="es-ES"/>
        </w:rPr>
        <w:t>illiam Castaño Ramos</w:t>
      </w:r>
    </w:p>
    <w:p w14:paraId="49371B3B" w14:textId="77777777" w:rsidR="00BC6358" w:rsidRPr="00F952FB" w:rsidRDefault="00BC6358" w:rsidP="00BC6358">
      <w:pPr>
        <w:spacing w:after="0"/>
        <w:rPr>
          <w:rFonts w:ascii="Verdana" w:eastAsia="Calibri" w:hAnsi="Verdana" w:cs="Arial"/>
          <w:lang w:eastAsia="es-ES"/>
        </w:rPr>
      </w:pPr>
      <w:r w:rsidRPr="00F952FB">
        <w:rPr>
          <w:rFonts w:ascii="Verdana" w:eastAsia="Calibri" w:hAnsi="Verdana" w:cs="Arial"/>
          <w:lang w:eastAsia="es-ES"/>
        </w:rPr>
        <w:t xml:space="preserve">Grupo </w:t>
      </w:r>
      <w:r>
        <w:rPr>
          <w:rFonts w:ascii="Verdana" w:eastAsia="Calibri" w:hAnsi="Verdana" w:cs="Arial"/>
          <w:lang w:eastAsia="es-ES"/>
        </w:rPr>
        <w:t xml:space="preserve">de </w:t>
      </w:r>
      <w:r w:rsidRPr="00F952FB">
        <w:rPr>
          <w:rFonts w:ascii="Verdana" w:eastAsia="Calibri" w:hAnsi="Verdana" w:cs="Arial"/>
          <w:lang w:eastAsia="es-ES"/>
        </w:rPr>
        <w:t xml:space="preserve">Asuntos Jurídicos </w:t>
      </w:r>
    </w:p>
    <w:p w14:paraId="621C7F99" w14:textId="77777777" w:rsidR="00BC6358" w:rsidRPr="00327B8B" w:rsidRDefault="00BC6358" w:rsidP="00BC6358">
      <w:pPr>
        <w:spacing w:after="0"/>
        <w:rPr>
          <w:rFonts w:ascii="Verdana" w:eastAsia="Calibri" w:hAnsi="Verdana" w:cs="Arial"/>
          <w:lang w:eastAsia="es-ES"/>
        </w:rPr>
      </w:pPr>
      <w:r>
        <w:rPr>
          <w:rFonts w:ascii="Verdana" w:eastAsia="Calibri" w:hAnsi="Verdana" w:cs="Arial"/>
          <w:lang w:eastAsia="es-ES"/>
        </w:rPr>
        <w:t xml:space="preserve">Policía Nacional </w:t>
      </w:r>
    </w:p>
    <w:p w14:paraId="7A57F043" w14:textId="77777777" w:rsidR="00BC6358" w:rsidRPr="00327B8B" w:rsidRDefault="00BC6358" w:rsidP="00BC6358">
      <w:pPr>
        <w:spacing w:after="0"/>
        <w:rPr>
          <w:rFonts w:ascii="Verdana" w:eastAsia="Calibri" w:hAnsi="Verdana" w:cs="Arial"/>
          <w:lang w:eastAsia="es-ES"/>
        </w:rPr>
      </w:pPr>
      <w:r w:rsidRPr="00327B8B">
        <w:rPr>
          <w:rFonts w:ascii="Verdana" w:eastAsia="Calibri" w:hAnsi="Verdana" w:cs="Arial"/>
          <w:lang w:eastAsia="es-ES"/>
        </w:rPr>
        <w:t xml:space="preserve">Bogotá D.C </w:t>
      </w:r>
    </w:p>
    <w:p w14:paraId="1AA938D2" w14:textId="77777777" w:rsidR="00BC6358" w:rsidRDefault="00BC6358" w:rsidP="00BC6358">
      <w:pPr>
        <w:spacing w:after="0" w:line="240" w:lineRule="auto"/>
      </w:pPr>
    </w:p>
    <w:p w14:paraId="68F59B24" w14:textId="77777777" w:rsidR="00BC6358" w:rsidRPr="00FD09FB" w:rsidRDefault="00BC6358" w:rsidP="00BC6358">
      <w:pPr>
        <w:spacing w:after="0" w:line="240" w:lineRule="auto"/>
        <w:rPr>
          <w:rFonts w:ascii="Verdana" w:eastAsia="Calibri" w:hAnsi="Verdana" w:cs="Arial"/>
          <w:b/>
          <w:bCs/>
          <w:color w:val="7030A0"/>
          <w:lang w:val="es-ES" w:eastAsia="es-ES"/>
        </w:rPr>
      </w:pPr>
    </w:p>
    <w:p w14:paraId="314D9F87" w14:textId="77777777" w:rsidR="00BC6358" w:rsidRPr="00FD09FB" w:rsidRDefault="00BC6358" w:rsidP="00BC6358">
      <w:pPr>
        <w:spacing w:after="0" w:line="240" w:lineRule="auto"/>
        <w:rPr>
          <w:rFonts w:ascii="Verdana" w:eastAsia="Calibri" w:hAnsi="Verdana" w:cs="Arial"/>
          <w:b/>
          <w:bCs/>
          <w:color w:val="7030A0"/>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BC6358" w:rsidRPr="00FD09FB" w14:paraId="65446C44" w14:textId="77777777" w:rsidTr="001A1E9A">
        <w:trPr>
          <w:trHeight w:val="300"/>
        </w:trPr>
        <w:tc>
          <w:tcPr>
            <w:tcW w:w="2410" w:type="dxa"/>
          </w:tcPr>
          <w:p w14:paraId="09EDC3A8" w14:textId="77777777" w:rsidR="00BC6358" w:rsidRPr="00396567" w:rsidRDefault="00BC6358" w:rsidP="001A1E9A">
            <w:pPr>
              <w:ind w:left="-142"/>
              <w:jc w:val="both"/>
              <w:rPr>
                <w:rFonts w:ascii="Verdana" w:eastAsia="Calibri" w:hAnsi="Verdana" w:cs="Arial"/>
                <w:b/>
                <w:bCs/>
                <w:lang w:val="es-ES" w:eastAsia="es-ES_tradnl"/>
              </w:rPr>
            </w:pPr>
          </w:p>
        </w:tc>
        <w:tc>
          <w:tcPr>
            <w:tcW w:w="6100" w:type="dxa"/>
          </w:tcPr>
          <w:p w14:paraId="0177ADB2" w14:textId="77777777" w:rsidR="00BC6358" w:rsidRPr="00396567" w:rsidRDefault="00BC6358" w:rsidP="001A1E9A">
            <w:pPr>
              <w:ind w:left="3"/>
              <w:jc w:val="both"/>
              <w:rPr>
                <w:rFonts w:ascii="Verdana" w:eastAsia="Calibri" w:hAnsi="Verdana" w:cs="Arial"/>
                <w:b/>
                <w:bCs/>
                <w:lang w:val="es-ES" w:eastAsia="es-ES"/>
              </w:rPr>
            </w:pPr>
            <w:r w:rsidRPr="00396567">
              <w:rPr>
                <w:rFonts w:ascii="Verdana" w:eastAsia="Calibri" w:hAnsi="Verdana" w:cs="Arial"/>
                <w:b/>
                <w:bCs/>
                <w:lang w:val="es-ES" w:eastAsia="es-ES"/>
              </w:rPr>
              <w:t>Concepto C-</w:t>
            </w:r>
            <w:r>
              <w:rPr>
                <w:rFonts w:ascii="Verdana" w:eastAsia="Calibri" w:hAnsi="Verdana" w:cs="Arial"/>
                <w:b/>
                <w:bCs/>
                <w:lang w:val="es-ES" w:eastAsia="es-ES"/>
              </w:rPr>
              <w:t>1162</w:t>
            </w:r>
            <w:r w:rsidRPr="00396567">
              <w:rPr>
                <w:rFonts w:ascii="Verdana" w:eastAsia="Calibri" w:hAnsi="Verdana" w:cs="Arial"/>
                <w:b/>
                <w:bCs/>
                <w:lang w:val="es-ES" w:eastAsia="es-ES"/>
              </w:rPr>
              <w:t xml:space="preserve"> de 2026</w:t>
            </w:r>
          </w:p>
          <w:p w14:paraId="674F38D7" w14:textId="77777777" w:rsidR="00BC6358" w:rsidRPr="00396567" w:rsidRDefault="00BC6358" w:rsidP="001A1E9A">
            <w:pPr>
              <w:ind w:left="3"/>
              <w:jc w:val="both"/>
              <w:rPr>
                <w:rFonts w:ascii="Verdana" w:eastAsia="Calibri" w:hAnsi="Verdana" w:cs="Arial"/>
                <w:b/>
                <w:bCs/>
                <w:lang w:val="es-ES" w:eastAsia="es-ES"/>
              </w:rPr>
            </w:pPr>
          </w:p>
        </w:tc>
      </w:tr>
      <w:tr w:rsidR="00BC6358" w:rsidRPr="00F84921" w14:paraId="01252EBC" w14:textId="77777777" w:rsidTr="001A1E9A">
        <w:trPr>
          <w:trHeight w:val="300"/>
        </w:trPr>
        <w:tc>
          <w:tcPr>
            <w:tcW w:w="2410" w:type="dxa"/>
          </w:tcPr>
          <w:p w14:paraId="0CFA620B" w14:textId="77777777" w:rsidR="00BC6358" w:rsidRPr="00FD09FB" w:rsidRDefault="00BC6358" w:rsidP="001A1E9A">
            <w:pPr>
              <w:ind w:left="424" w:firstLine="137"/>
              <w:jc w:val="both"/>
              <w:rPr>
                <w:rFonts w:ascii="Verdana" w:eastAsia="Calibri" w:hAnsi="Verdana" w:cs="Arial"/>
                <w:color w:val="7030A0"/>
                <w:lang w:val="es-ES" w:eastAsia="es-ES_tradnl"/>
              </w:rPr>
            </w:pPr>
            <w:r w:rsidRPr="00CF4F98">
              <w:rPr>
                <w:rFonts w:ascii="Verdana" w:eastAsia="Calibri" w:hAnsi="Verdana" w:cs="Arial"/>
                <w:b/>
                <w:lang w:val="es-ES" w:eastAsia="es-ES_tradnl"/>
              </w:rPr>
              <w:t>Temas:</w:t>
            </w:r>
            <w:r w:rsidRPr="00CF4F98">
              <w:rPr>
                <w:rFonts w:ascii="Verdana" w:eastAsia="Calibri" w:hAnsi="Verdana" w:cs="Arial"/>
                <w:lang w:val="es-ES" w:eastAsia="es-ES_tradnl"/>
              </w:rPr>
              <w:t xml:space="preserve">              </w:t>
            </w:r>
          </w:p>
        </w:tc>
        <w:tc>
          <w:tcPr>
            <w:tcW w:w="6100" w:type="dxa"/>
          </w:tcPr>
          <w:p w14:paraId="7C9004B4" w14:textId="77777777" w:rsidR="00BC6358" w:rsidRPr="00F84921" w:rsidRDefault="00BC6358" w:rsidP="001A1E9A">
            <w:pPr>
              <w:spacing w:after="120" w:line="276" w:lineRule="auto"/>
              <w:jc w:val="both"/>
              <w:rPr>
                <w:rFonts w:ascii="Verdana" w:hAnsi="Verdana"/>
              </w:rPr>
            </w:pPr>
            <w:r w:rsidRPr="00F84921">
              <w:rPr>
                <w:rFonts w:ascii="Verdana" w:hAnsi="Verdana"/>
              </w:rPr>
              <w:t xml:space="preserve">REQUISITOS HABILITANTES – Noción / CAPACIDAD JURÍDICA – Personas naturales – Objeto social / PERSONAS NATURALES – Capacidad – Clasificación Industrial Internacional Uniforme – Efectos declarativos </w:t>
            </w:r>
          </w:p>
          <w:p w14:paraId="3C115CE2" w14:textId="77777777" w:rsidR="00BC6358" w:rsidRPr="00F84921" w:rsidRDefault="00BC6358" w:rsidP="001A1E9A">
            <w:pPr>
              <w:jc w:val="both"/>
              <w:rPr>
                <w:rFonts w:ascii="Verdana" w:hAnsi="Verdana"/>
              </w:rPr>
            </w:pPr>
          </w:p>
        </w:tc>
      </w:tr>
      <w:tr w:rsidR="00BC6358" w:rsidRPr="00FD09FB" w14:paraId="268B6002" w14:textId="77777777" w:rsidTr="001A1E9A">
        <w:trPr>
          <w:trHeight w:val="87"/>
        </w:trPr>
        <w:tc>
          <w:tcPr>
            <w:tcW w:w="2410" w:type="dxa"/>
          </w:tcPr>
          <w:p w14:paraId="0A7E939A" w14:textId="77777777" w:rsidR="00BC6358" w:rsidRPr="00CF4F98" w:rsidRDefault="00BC6358" w:rsidP="001A1E9A">
            <w:pPr>
              <w:ind w:left="561"/>
              <w:jc w:val="both"/>
              <w:rPr>
                <w:rFonts w:ascii="Verdana" w:eastAsia="Calibri" w:hAnsi="Verdana" w:cs="Arial"/>
                <w:b/>
                <w:lang w:val="es-ES" w:eastAsia="es-ES_tradnl"/>
              </w:rPr>
            </w:pPr>
            <w:r w:rsidRPr="00CF4F98">
              <w:rPr>
                <w:rFonts w:ascii="Verdana" w:eastAsia="Calibri" w:hAnsi="Verdana" w:cs="Arial"/>
                <w:b/>
                <w:lang w:val="es-ES" w:eastAsia="es-ES_tradnl"/>
              </w:rPr>
              <w:t>Radicación:</w:t>
            </w:r>
            <w:r w:rsidRPr="00CF4F98">
              <w:rPr>
                <w:rFonts w:ascii="Verdana" w:eastAsia="Calibri" w:hAnsi="Verdana" w:cs="Arial"/>
                <w:lang w:val="es-ES" w:eastAsia="es-ES_tradnl"/>
              </w:rPr>
              <w:t xml:space="preserve">              </w:t>
            </w:r>
          </w:p>
        </w:tc>
        <w:tc>
          <w:tcPr>
            <w:tcW w:w="6100" w:type="dxa"/>
          </w:tcPr>
          <w:p w14:paraId="34F1425B" w14:textId="77777777" w:rsidR="00BC6358" w:rsidRPr="00CF4F98" w:rsidRDefault="00BC6358" w:rsidP="001A1E9A">
            <w:pPr>
              <w:ind w:left="3"/>
              <w:jc w:val="both"/>
              <w:rPr>
                <w:rFonts w:ascii="Verdana" w:hAnsi="Verdana"/>
                <w:lang w:val="es-ES"/>
              </w:rPr>
            </w:pPr>
            <w:r w:rsidRPr="00CF4F98">
              <w:rPr>
                <w:rFonts w:ascii="Verdana" w:eastAsia="Calibri" w:hAnsi="Verdana" w:cs="Arial"/>
                <w:lang w:val="es-ES" w:eastAsia="es-ES"/>
              </w:rPr>
              <w:t xml:space="preserve">Respuesta a consulta con radicado No. </w:t>
            </w:r>
            <w:r w:rsidRPr="00FA2F94">
              <w:rPr>
                <w:rFonts w:ascii="Verdana" w:eastAsia="Calibri" w:hAnsi="Verdana" w:cs="Arial"/>
                <w:lang w:val="es-ES" w:eastAsia="es-ES"/>
              </w:rPr>
              <w:t>1_2026_07_22_009639</w:t>
            </w:r>
          </w:p>
        </w:tc>
      </w:tr>
    </w:tbl>
    <w:p w14:paraId="4BEEFEBC" w14:textId="77777777" w:rsidR="00BC6358" w:rsidRPr="00FD09FB" w:rsidRDefault="00BC6358" w:rsidP="00BC6358">
      <w:pPr>
        <w:spacing w:after="0" w:line="276" w:lineRule="auto"/>
        <w:jc w:val="both"/>
        <w:rPr>
          <w:rFonts w:ascii="Verdana" w:eastAsia="Calibri" w:hAnsi="Verdana" w:cs="Arial"/>
          <w:color w:val="7030A0"/>
          <w:lang w:eastAsia="es-ES"/>
        </w:rPr>
      </w:pPr>
    </w:p>
    <w:p w14:paraId="2AAF57DD" w14:textId="77777777" w:rsidR="00BC6358" w:rsidRPr="00CF4F98" w:rsidRDefault="00BC6358" w:rsidP="00BC6358">
      <w:pPr>
        <w:spacing w:after="0" w:line="276" w:lineRule="auto"/>
        <w:jc w:val="both"/>
        <w:rPr>
          <w:rFonts w:ascii="Verdana" w:eastAsia="Calibri" w:hAnsi="Verdana" w:cs="Arial"/>
          <w:lang w:eastAsia="es-ES"/>
        </w:rPr>
      </w:pPr>
    </w:p>
    <w:p w14:paraId="23CA881D" w14:textId="77777777" w:rsidR="00BC6358" w:rsidRPr="00CF4F98" w:rsidRDefault="00BC6358" w:rsidP="00BC6358">
      <w:pPr>
        <w:spacing w:after="0" w:line="276" w:lineRule="auto"/>
        <w:jc w:val="both"/>
        <w:rPr>
          <w:rFonts w:ascii="Verdana" w:eastAsia="Calibri" w:hAnsi="Verdana" w:cs="Arial"/>
          <w:lang w:eastAsia="es-ES"/>
        </w:rPr>
      </w:pPr>
      <w:r w:rsidRPr="00CF4F98">
        <w:rPr>
          <w:rFonts w:ascii="Verdana" w:eastAsia="Calibri" w:hAnsi="Verdana" w:cs="Arial"/>
          <w:lang w:eastAsia="es-ES"/>
        </w:rPr>
        <w:t xml:space="preserve">Estimado señor </w:t>
      </w:r>
      <w:r>
        <w:rPr>
          <w:rFonts w:ascii="Verdana" w:eastAsia="Calibri" w:hAnsi="Verdana" w:cs="Arial"/>
          <w:lang w:eastAsia="es-ES"/>
        </w:rPr>
        <w:t>Castaño</w:t>
      </w:r>
      <w:r w:rsidRPr="00CF4F98">
        <w:rPr>
          <w:rFonts w:ascii="Verdana" w:eastAsia="Calibri" w:hAnsi="Verdana" w:cs="Arial"/>
          <w:lang w:eastAsia="es-ES"/>
        </w:rPr>
        <w:t>:</w:t>
      </w:r>
    </w:p>
    <w:p w14:paraId="2BD4774F" w14:textId="77777777" w:rsidR="00BC6358" w:rsidRPr="00CF4F98" w:rsidRDefault="00BC6358" w:rsidP="00BC6358">
      <w:pPr>
        <w:spacing w:after="0" w:line="276" w:lineRule="auto"/>
        <w:jc w:val="both"/>
        <w:rPr>
          <w:rFonts w:ascii="Verdana" w:eastAsia="Calibri" w:hAnsi="Verdana" w:cs="Arial"/>
          <w:lang w:eastAsia="es-ES"/>
        </w:rPr>
      </w:pPr>
      <w:r w:rsidRPr="00CF4F98">
        <w:rPr>
          <w:rFonts w:ascii="Verdana" w:eastAsia="Calibri" w:hAnsi="Verdana" w:cs="Arial"/>
          <w:lang w:eastAsia="es-ES"/>
        </w:rPr>
        <w:t xml:space="preserve"> </w:t>
      </w:r>
    </w:p>
    <w:p w14:paraId="10F1E313" w14:textId="77777777" w:rsidR="00BC6358" w:rsidRPr="00CF4F98" w:rsidRDefault="00BC6358" w:rsidP="00BC6358">
      <w:pPr>
        <w:tabs>
          <w:tab w:val="left" w:pos="3768"/>
        </w:tabs>
        <w:spacing w:after="0" w:line="276" w:lineRule="auto"/>
        <w:jc w:val="both"/>
        <w:rPr>
          <w:rFonts w:ascii="Verdana" w:eastAsia="Calibri" w:hAnsi="Verdana" w:cs="Arial"/>
          <w:lang w:eastAsia="es-ES"/>
        </w:rPr>
      </w:pPr>
      <w:r w:rsidRPr="00CF4F98">
        <w:rPr>
          <w:rFonts w:ascii="Verdana" w:eastAsia="Calibri" w:hAnsi="Verdana" w:cs="Arial"/>
          <w:lang w:eastAsia="es-ES"/>
        </w:rPr>
        <w:t>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 solicitud de consulta de fecha</w:t>
      </w:r>
      <w:r>
        <w:rPr>
          <w:rFonts w:ascii="Verdana" w:eastAsia="Calibri" w:hAnsi="Verdana" w:cs="Arial"/>
          <w:lang w:eastAsia="es-ES"/>
        </w:rPr>
        <w:t xml:space="preserve"> del 22 de julio</w:t>
      </w:r>
      <w:r w:rsidRPr="00CF4F98">
        <w:rPr>
          <w:rFonts w:ascii="Verdana" w:eastAsia="Calibri" w:hAnsi="Verdana" w:cs="Arial"/>
          <w:lang w:eastAsia="es-ES"/>
        </w:rPr>
        <w:t xml:space="preserve"> de 2026, en la cual manifiesta lo siguiente: </w:t>
      </w:r>
    </w:p>
    <w:p w14:paraId="2AA10D6C" w14:textId="77777777" w:rsidR="00BC6358" w:rsidRPr="00EF3B20" w:rsidRDefault="00BC6358" w:rsidP="00BC6358">
      <w:pPr>
        <w:tabs>
          <w:tab w:val="left" w:pos="3768"/>
        </w:tabs>
        <w:spacing w:after="0" w:line="276" w:lineRule="auto"/>
        <w:jc w:val="both"/>
        <w:rPr>
          <w:rFonts w:ascii="Verdana" w:eastAsia="Calibri" w:hAnsi="Verdana" w:cs="Arial"/>
          <w:lang w:eastAsia="es-ES"/>
        </w:rPr>
      </w:pPr>
    </w:p>
    <w:p w14:paraId="7F8CA094"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lang w:val="es-ES"/>
        </w:rPr>
      </w:pPr>
      <w:r w:rsidRPr="000244F5">
        <w:rPr>
          <w:rFonts w:ascii="Verdana" w:eastAsia="Century Gothic" w:hAnsi="Verdana" w:cs="Century Gothic"/>
          <w:sz w:val="20"/>
          <w:szCs w:val="20"/>
          <w:lang w:val="es-ES"/>
        </w:rPr>
        <w:t xml:space="preserve">“(…) </w:t>
      </w:r>
    </w:p>
    <w:p w14:paraId="50F93E62"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lang w:val="es-ES"/>
        </w:rPr>
      </w:pPr>
    </w:p>
    <w:p w14:paraId="04DB0FBF"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rPr>
      </w:pPr>
      <w:r w:rsidRPr="000244F5">
        <w:rPr>
          <w:rFonts w:ascii="Verdana" w:eastAsia="Century Gothic" w:hAnsi="Verdana" w:cs="Century Gothic"/>
          <w:sz w:val="20"/>
          <w:szCs w:val="20"/>
          <w:lang w:val="es-ES"/>
        </w:rPr>
        <w:t xml:space="preserve">1. </w:t>
      </w:r>
      <w:proofErr w:type="gramStart"/>
      <w:r w:rsidRPr="000244F5">
        <w:rPr>
          <w:rFonts w:ascii="Verdana" w:eastAsia="Century Gothic" w:hAnsi="Verdana" w:cs="Century Gothic"/>
          <w:sz w:val="20"/>
          <w:szCs w:val="20"/>
        </w:rPr>
        <w:t>En el marco de la evaluación de las propuestas y la acreditación de los requisitos habilitantes, la actividad económica ejercida por una persona natural en Colombia, solo puede ser corroborada por medio de la actividad reportada en el Formulario Único de Registro Empresarial RUES o también a través de la descripción de tos códigos CIIU y sus notas explicativas, acreditados en el certificado de matrícula mercantil?</w:t>
      </w:r>
      <w:proofErr w:type="gramEnd"/>
      <w:r w:rsidRPr="000244F5">
        <w:rPr>
          <w:rFonts w:ascii="Verdana" w:eastAsia="Century Gothic" w:hAnsi="Verdana" w:cs="Century Gothic"/>
          <w:sz w:val="20"/>
          <w:szCs w:val="20"/>
        </w:rPr>
        <w:t xml:space="preserve"> </w:t>
      </w:r>
    </w:p>
    <w:p w14:paraId="62F7B334"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rPr>
      </w:pPr>
    </w:p>
    <w:p w14:paraId="53A2C129"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rPr>
      </w:pPr>
      <w:r w:rsidRPr="000244F5">
        <w:rPr>
          <w:rFonts w:ascii="Verdana" w:eastAsia="Century Gothic" w:hAnsi="Verdana" w:cs="Century Gothic"/>
          <w:sz w:val="20"/>
          <w:szCs w:val="20"/>
        </w:rPr>
        <w:lastRenderedPageBreak/>
        <w:t xml:space="preserve">2. ¿Al carecer de objeto social, la capacidad jurídica de las personas naturales como requisito habilitante para ejecutar contratos estatales, se determina por la actividad económica reportada en el Formulario Único de Registro Empresarial RUES o también por la descripción de los códigos CIIU y sus notas explicativas. acreditados en el certificado de matrícula mercantil? </w:t>
      </w:r>
    </w:p>
    <w:p w14:paraId="25D9119F"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rPr>
      </w:pPr>
    </w:p>
    <w:p w14:paraId="1385BE6E" w14:textId="77777777" w:rsidR="00BC6358" w:rsidRPr="000244F5" w:rsidRDefault="00BC6358" w:rsidP="00BC6358">
      <w:pPr>
        <w:spacing w:before="120" w:after="120"/>
        <w:ind w:left="709" w:right="709"/>
        <w:contextualSpacing/>
        <w:jc w:val="both"/>
        <w:rPr>
          <w:rFonts w:ascii="Verdana" w:eastAsia="Century Gothic" w:hAnsi="Verdana" w:cs="Century Gothic"/>
          <w:sz w:val="20"/>
          <w:szCs w:val="20"/>
        </w:rPr>
      </w:pPr>
      <w:r w:rsidRPr="000244F5">
        <w:rPr>
          <w:rFonts w:ascii="Verdana" w:eastAsia="Century Gothic" w:hAnsi="Verdana" w:cs="Century Gothic"/>
          <w:sz w:val="20"/>
          <w:szCs w:val="20"/>
        </w:rPr>
        <w:t>3. ¿EI registro de una o varias actividades económicas (principal y secundarias) por una persona natural en el Registro Único Empresarial a través de los códigos CIIU, la habilita o no, para ejecutar actos de comercio descritos en dichos códigos registrados o en sus notas explicativas?”</w:t>
      </w:r>
    </w:p>
    <w:p w14:paraId="0CE7483F" w14:textId="77777777" w:rsidR="00BC6358" w:rsidRPr="002860BE" w:rsidRDefault="00BC6358" w:rsidP="00BC6358">
      <w:pPr>
        <w:spacing w:before="120" w:after="120"/>
        <w:ind w:right="709"/>
        <w:jc w:val="both"/>
        <w:rPr>
          <w:rFonts w:ascii="Verdana" w:eastAsia="Century Gothic" w:hAnsi="Verdana" w:cs="Century Gothic"/>
          <w:i/>
          <w:iCs/>
          <w:color w:val="7030A0"/>
          <w:sz w:val="20"/>
          <w:szCs w:val="20"/>
        </w:rPr>
      </w:pPr>
    </w:p>
    <w:p w14:paraId="1FCB5AE7" w14:textId="77777777" w:rsidR="00BC6358" w:rsidRPr="007C56E8" w:rsidRDefault="00BC6358" w:rsidP="00BC6358">
      <w:pPr>
        <w:spacing w:after="120" w:line="276" w:lineRule="auto"/>
        <w:ind w:firstLine="708"/>
        <w:jc w:val="both"/>
        <w:rPr>
          <w:rFonts w:ascii="Verdana" w:eastAsia="Calibri" w:hAnsi="Verdana" w:cs="Arial"/>
          <w:lang w:val="es-ES" w:eastAsia="es-ES"/>
        </w:rPr>
      </w:pPr>
      <w:r w:rsidRPr="007C56E8">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C56E8">
        <w:rPr>
          <w:rFonts w:ascii="Verdana" w:hAnsi="Verdana"/>
          <w:lang w:val="es-ES"/>
        </w:rPr>
        <w:tab/>
      </w:r>
    </w:p>
    <w:p w14:paraId="576B045E" w14:textId="77777777" w:rsidR="00BC6358" w:rsidRPr="007C56E8" w:rsidRDefault="00BC6358" w:rsidP="00BC6358">
      <w:pPr>
        <w:spacing w:after="0" w:line="276" w:lineRule="auto"/>
        <w:ind w:firstLine="709"/>
        <w:jc w:val="both"/>
        <w:rPr>
          <w:rFonts w:ascii="Verdana" w:eastAsia="Calibri" w:hAnsi="Verdana" w:cs="Arial"/>
          <w:lang w:val="es-ES" w:eastAsia="es-ES"/>
        </w:rPr>
      </w:pPr>
      <w:r w:rsidRPr="007C56E8">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3F9369AF" w14:textId="77777777" w:rsidR="00BC6358" w:rsidRPr="007C56E8" w:rsidRDefault="00BC6358" w:rsidP="00BC6358">
      <w:pPr>
        <w:spacing w:after="0" w:line="276" w:lineRule="auto"/>
        <w:ind w:firstLine="709"/>
        <w:jc w:val="both"/>
        <w:rPr>
          <w:rFonts w:ascii="Verdana" w:eastAsia="Calibri" w:hAnsi="Verdana" w:cs="Arial"/>
          <w:lang w:val="es-ES" w:eastAsia="es-ES"/>
        </w:rPr>
      </w:pPr>
    </w:p>
    <w:p w14:paraId="154A28C2" w14:textId="77777777" w:rsidR="00BC6358" w:rsidRPr="007C56E8" w:rsidRDefault="00BC6358" w:rsidP="00BC6358">
      <w:pPr>
        <w:tabs>
          <w:tab w:val="left" w:pos="142"/>
          <w:tab w:val="left" w:pos="284"/>
        </w:tabs>
        <w:spacing w:after="0" w:line="276" w:lineRule="auto"/>
        <w:contextualSpacing/>
        <w:jc w:val="both"/>
        <w:rPr>
          <w:rFonts w:ascii="Verdana" w:eastAsia="Century Gothic" w:hAnsi="Verdana" w:cs="Century Gothic"/>
          <w:b/>
          <w:lang w:val="es-ES"/>
        </w:rPr>
      </w:pPr>
      <w:r w:rsidRPr="007C56E8">
        <w:rPr>
          <w:rFonts w:ascii="Verdana" w:eastAsia="Century Gothic" w:hAnsi="Verdana" w:cs="Century Gothic"/>
          <w:b/>
          <w:lang w:val="es-ES"/>
        </w:rPr>
        <w:t>1. Problema planteado:</w:t>
      </w:r>
    </w:p>
    <w:p w14:paraId="590A4735" w14:textId="77777777" w:rsidR="00BC6358" w:rsidRPr="00FD09FB" w:rsidRDefault="00BC6358" w:rsidP="00BC6358">
      <w:pPr>
        <w:tabs>
          <w:tab w:val="left" w:pos="426"/>
        </w:tabs>
        <w:spacing w:after="0" w:line="276" w:lineRule="auto"/>
        <w:jc w:val="both"/>
        <w:rPr>
          <w:rFonts w:ascii="Verdana" w:eastAsia="Century Gothic" w:hAnsi="Verdana" w:cs="Century Gothic"/>
          <w:color w:val="7030A0"/>
          <w:lang w:val="es-ES"/>
        </w:rPr>
      </w:pPr>
    </w:p>
    <w:p w14:paraId="7A5AA6F3" w14:textId="77777777" w:rsidR="00BC6358" w:rsidRDefault="00BC6358" w:rsidP="00BC6358">
      <w:pPr>
        <w:spacing w:after="0" w:line="276" w:lineRule="auto"/>
        <w:jc w:val="both"/>
        <w:rPr>
          <w:rFonts w:ascii="Verdana" w:eastAsia="Century Gothic" w:hAnsi="Verdana" w:cs="Century Gothic"/>
          <w:color w:val="7030A0"/>
        </w:rPr>
      </w:pPr>
      <w:r w:rsidRPr="007C56E8">
        <w:rPr>
          <w:rFonts w:ascii="Verdana" w:eastAsia="Century Gothic" w:hAnsi="Verdana" w:cs="Century Gothic"/>
          <w:lang w:val="es-ES"/>
        </w:rPr>
        <w:t xml:space="preserve">De acuerdo con el contenido de su solicitud, esta Agencia resolverá el siguiente </w:t>
      </w:r>
      <w:r w:rsidRPr="00025A37">
        <w:rPr>
          <w:rFonts w:ascii="Verdana" w:eastAsia="Century Gothic" w:hAnsi="Verdana" w:cs="Century Gothic"/>
          <w:lang w:val="es-ES"/>
        </w:rPr>
        <w:t xml:space="preserve">problema jurídico: </w:t>
      </w:r>
      <w:r w:rsidRPr="00025A37">
        <w:rPr>
          <w:rFonts w:ascii="Verdana" w:eastAsia="Century Gothic" w:hAnsi="Verdana" w:cs="Century Gothic"/>
        </w:rPr>
        <w:t>¿Cuál es el alcance de los códigos CIIU frente a la capacidad jurídica de las personas naturales en los procesos de contratación estatal?</w:t>
      </w:r>
    </w:p>
    <w:p w14:paraId="02C3AB4C" w14:textId="77777777" w:rsidR="00BC6358" w:rsidRPr="00FD09FB" w:rsidRDefault="00BC6358" w:rsidP="00BC6358">
      <w:pPr>
        <w:spacing w:after="0" w:line="276" w:lineRule="auto"/>
        <w:jc w:val="both"/>
        <w:rPr>
          <w:rFonts w:ascii="Verdana" w:eastAsia="Century Gothic" w:hAnsi="Verdana" w:cs="Century Gothic"/>
          <w:color w:val="7030A0"/>
        </w:rPr>
      </w:pPr>
    </w:p>
    <w:p w14:paraId="278F2F32" w14:textId="77777777" w:rsidR="00BC6358" w:rsidRDefault="00BC6358" w:rsidP="00BC6358">
      <w:pPr>
        <w:tabs>
          <w:tab w:val="left" w:pos="142"/>
          <w:tab w:val="left" w:pos="284"/>
        </w:tabs>
        <w:spacing w:after="0" w:line="276" w:lineRule="auto"/>
        <w:jc w:val="both"/>
        <w:rPr>
          <w:rFonts w:ascii="Verdana" w:eastAsia="Century Gothic" w:hAnsi="Verdana" w:cs="Century Gothic"/>
          <w:b/>
          <w:lang w:val="es-ES"/>
        </w:rPr>
      </w:pPr>
      <w:r w:rsidRPr="001246E5">
        <w:rPr>
          <w:rFonts w:ascii="Verdana" w:eastAsia="Century Gothic" w:hAnsi="Verdana" w:cs="Century Gothic"/>
          <w:b/>
          <w:lang w:val="es-ES"/>
        </w:rPr>
        <w:lastRenderedPageBreak/>
        <w:t>2. Respuesta:</w:t>
      </w:r>
    </w:p>
    <w:p w14:paraId="3B124791" w14:textId="77777777" w:rsidR="00BC6358" w:rsidRPr="001246E5" w:rsidRDefault="00BC6358" w:rsidP="00BC6358">
      <w:pPr>
        <w:tabs>
          <w:tab w:val="left" w:pos="142"/>
          <w:tab w:val="left" w:pos="284"/>
        </w:tabs>
        <w:spacing w:after="0" w:line="276" w:lineRule="auto"/>
        <w:jc w:val="both"/>
        <w:rPr>
          <w:rFonts w:ascii="Verdana" w:eastAsia="Century Gothic" w:hAnsi="Verdana" w:cs="Century Gothic"/>
          <w:b/>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C6358" w:rsidRPr="00FD09FB" w14:paraId="3DA22835" w14:textId="77777777" w:rsidTr="001A1E9A">
        <w:tc>
          <w:tcPr>
            <w:tcW w:w="8828" w:type="dxa"/>
          </w:tcPr>
          <w:p w14:paraId="47504B36" w14:textId="77777777" w:rsidR="00BC6358" w:rsidRPr="007D11C0" w:rsidRDefault="00BC6358" w:rsidP="001A1E9A">
            <w:pPr>
              <w:spacing w:before="120" w:after="120" w:line="276" w:lineRule="auto"/>
              <w:ind w:firstLine="25"/>
              <w:jc w:val="both"/>
              <w:textAlignment w:val="baseline"/>
              <w:rPr>
                <w:rFonts w:ascii="Verdana" w:eastAsia="Times New Roman" w:hAnsi="Verdana" w:cs="Arial"/>
                <w:lang w:eastAsia="es-ES_tradnl"/>
              </w:rPr>
            </w:pPr>
            <w:r w:rsidRPr="00BE7A2F">
              <w:rPr>
                <w:rFonts w:ascii="Verdana" w:eastAsia="Times New Roman" w:hAnsi="Verdana" w:cs="Arial"/>
                <w:lang w:eastAsia="es-ES_tradnl"/>
              </w:rPr>
              <w:t>Conforme a la interpretación de las normas generales del sistema de compras públicas</w:t>
            </w:r>
            <w:r w:rsidRPr="00961AD1">
              <w:rPr>
                <w:rFonts w:ascii="Verdana" w:eastAsia="Calibri" w:hAnsi="Verdana" w:cs="Arial"/>
              </w:rPr>
              <w:t xml:space="preserve">, </w:t>
            </w:r>
            <w:r>
              <w:rPr>
                <w:rFonts w:ascii="Verdana" w:eastAsia="Calibri" w:hAnsi="Verdana" w:cs="Arial"/>
              </w:rPr>
              <w:t>l</w:t>
            </w:r>
            <w:r w:rsidRPr="0062047D">
              <w:rPr>
                <w:rFonts w:ascii="Verdana" w:eastAsia="Calibri" w:hAnsi="Verdana" w:cs="Arial"/>
              </w:rPr>
              <w:t>os códigos de la Clasificación Industrial Internacional Uniforme (CIIU) no determinan ni limitan la capacidad jurídica de las personas naturales en los procesos de contratación estatal. En efecto, la capacidad jurídica constituye un requisito habilitante que se predica de la aptitud legal para obligarse válidamente, la cual, tratándose de personas naturales, se concreta en ser mayor de edad, no estar limitado por decisión judicial y no encontrarse incurso en inhabilidades, incompatibilidades o prohibiciones legales.</w:t>
            </w:r>
          </w:p>
          <w:p w14:paraId="6E621FAB" w14:textId="77777777" w:rsidR="00BC6358" w:rsidRDefault="00BC6358" w:rsidP="001A1E9A">
            <w:pPr>
              <w:widowControl w:val="0"/>
              <w:autoSpaceDE w:val="0"/>
              <w:autoSpaceDN w:val="0"/>
              <w:spacing w:after="120" w:line="276" w:lineRule="auto"/>
              <w:ind w:firstLine="737"/>
              <w:jc w:val="both"/>
              <w:rPr>
                <w:rFonts w:ascii="Verdana" w:eastAsia="Calibri" w:hAnsi="Verdana" w:cs="Arial"/>
              </w:rPr>
            </w:pPr>
            <w:r w:rsidRPr="00EC54E6">
              <w:rPr>
                <w:rFonts w:ascii="Verdana" w:eastAsia="Calibri" w:hAnsi="Verdana" w:cs="Arial"/>
              </w:rPr>
              <w:t>Por su parte,</w:t>
            </w:r>
            <w:r>
              <w:rPr>
                <w:rFonts w:ascii="Verdana" w:eastAsia="Calibri" w:hAnsi="Verdana" w:cs="Arial"/>
              </w:rPr>
              <w:t xml:space="preserve"> </w:t>
            </w:r>
            <w:proofErr w:type="gramStart"/>
            <w:r w:rsidRPr="00961AD1">
              <w:rPr>
                <w:rFonts w:ascii="Verdana" w:eastAsia="Calibri" w:hAnsi="Verdana" w:cs="Arial"/>
              </w:rPr>
              <w:t>en relación a</w:t>
            </w:r>
            <w:proofErr w:type="gramEnd"/>
            <w:r w:rsidRPr="00961AD1">
              <w:rPr>
                <w:rFonts w:ascii="Verdana" w:eastAsia="Calibri" w:hAnsi="Verdana" w:cs="Arial"/>
              </w:rPr>
              <w:t xml:space="preserve"> los códigos de la </w:t>
            </w:r>
            <w:r w:rsidRPr="00961AD1">
              <w:rPr>
                <w:rFonts w:ascii="Verdana" w:eastAsia="Times New Roman" w:hAnsi="Verdana" w:cs="Arial"/>
                <w:lang w:val="es-ES_tradnl" w:eastAsia="es-ES_tradnl"/>
              </w:rPr>
              <w:t>Clasificación Industrial Internacional Uniforme –CIIU–</w:t>
            </w:r>
            <w:r>
              <w:rPr>
                <w:rFonts w:ascii="Verdana" w:eastAsia="Times New Roman" w:hAnsi="Verdana" w:cs="Arial"/>
                <w:lang w:val="es-ES_tradnl" w:eastAsia="es-ES_tradnl"/>
              </w:rPr>
              <w:t xml:space="preserve">, </w:t>
            </w:r>
            <w:r w:rsidRPr="00961AD1">
              <w:rPr>
                <w:rFonts w:ascii="Verdana" w:eastAsia="Calibri" w:hAnsi="Verdana" w:cs="Arial"/>
              </w:rPr>
              <w:t>esta corresponde a un sistema estandarizado desarrollado por las Naciones Unidas para clasificar las actividades económicas en distintos sectores. Como explica el DANE, su objetivo es facilitar la recopilación, análisis y comparación de datos estadísticos a nivel nacional e internacional y por lo tanto, ninguna condiciona la capacidad de las personas naturales</w:t>
            </w:r>
            <w:r>
              <w:rPr>
                <w:rFonts w:ascii="Verdana" w:eastAsia="Calibri" w:hAnsi="Verdana" w:cs="Arial"/>
              </w:rPr>
              <w:t>, d</w:t>
            </w:r>
            <w:r>
              <w:rPr>
                <w:rFonts w:ascii="Verdana" w:eastAsia="Calibri" w:hAnsi="Verdana" w:cs="Arial"/>
                <w:color w:val="000000" w:themeColor="text1"/>
              </w:rPr>
              <w:t xml:space="preserve">e esta manera, la </w:t>
            </w:r>
            <w:r w:rsidRPr="00E30B1D">
              <w:rPr>
                <w:rFonts w:ascii="Verdana" w:eastAsia="Times New Roman" w:hAnsi="Verdana" w:cs="Arial"/>
                <w:color w:val="000000" w:themeColor="text1"/>
                <w:lang w:val="es-ES_tradnl" w:eastAsia="es-ES_tradnl"/>
              </w:rPr>
              <w:t>CIIU</w:t>
            </w:r>
            <w:r>
              <w:rPr>
                <w:rFonts w:ascii="Verdana" w:eastAsia="Calibri" w:hAnsi="Verdana" w:cs="Arial"/>
                <w:color w:val="000000" w:themeColor="text1"/>
              </w:rPr>
              <w:t xml:space="preserve"> tienen efectos declarativos, no constitutivos. </w:t>
            </w:r>
          </w:p>
          <w:p w14:paraId="4565E725" w14:textId="77777777" w:rsidR="00BC6358" w:rsidRPr="000120AB" w:rsidRDefault="00BC6358" w:rsidP="001A1E9A">
            <w:pPr>
              <w:widowControl w:val="0"/>
              <w:autoSpaceDE w:val="0"/>
              <w:autoSpaceDN w:val="0"/>
              <w:spacing w:after="120" w:line="276" w:lineRule="auto"/>
              <w:ind w:firstLine="737"/>
              <w:jc w:val="both"/>
              <w:rPr>
                <w:rFonts w:ascii="Verdana" w:eastAsia="Calibri" w:hAnsi="Verdana" w:cs="Arial"/>
              </w:rPr>
            </w:pPr>
            <w:r w:rsidRPr="00FA4CEE">
              <w:rPr>
                <w:rFonts w:ascii="Verdana" w:eastAsia="Calibri" w:hAnsi="Verdana" w:cs="Arial"/>
                <w:color w:val="000000" w:themeColor="text1"/>
              </w:rPr>
              <w:t xml:space="preserve">En esta línea, atendiendo a que la CIIU no es un requisito que dé cuenta de la capacidad jurídica de los proponentes, no existe objeto para requerir este requisito como habilitante en proceso de contratación alguno, exceptuando aquellos casos en los que de manera inequívoca así lo determinase la ley. Sin perjuicio de lo anterior, sumado a las implicaciones estadísticas de la </w:t>
            </w:r>
            <w:r w:rsidRPr="00FA4CEE">
              <w:rPr>
                <w:rFonts w:ascii="Verdana" w:eastAsia="Times New Roman" w:hAnsi="Verdana" w:cs="Arial"/>
                <w:color w:val="000000" w:themeColor="text1"/>
                <w:lang w:val="es-ES_tradnl" w:eastAsia="es-ES_tradnl"/>
              </w:rPr>
              <w:t>CIIU, los interesados deben registrar adecuadamente los códigos de sus actividades económicas en el RUES. Lo anterior teniendo en cuenta que son un parámetro para la DIAN en lo relativo al control y determinación de los impuestos y demás obligaciones tributarias, aduaneras y cambiarias.</w:t>
            </w:r>
          </w:p>
          <w:p w14:paraId="71615260" w14:textId="77777777" w:rsidR="00BC6358" w:rsidRPr="00FD09FB" w:rsidRDefault="00BC6358" w:rsidP="001A1E9A">
            <w:pPr>
              <w:shd w:val="clear" w:color="auto" w:fill="FFFFFF"/>
              <w:spacing w:before="120" w:after="120" w:line="276" w:lineRule="auto"/>
              <w:ind w:right="51" w:firstLine="709"/>
              <w:jc w:val="both"/>
              <w:rPr>
                <w:rFonts w:ascii="Verdana" w:eastAsia="Times New Roman" w:hAnsi="Verdana" w:cs="Times New Roman"/>
                <w:color w:val="7030A0"/>
                <w:lang w:eastAsia="es-ES"/>
              </w:rPr>
            </w:pPr>
            <w:r w:rsidRPr="00A833D4">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  </w:t>
            </w:r>
            <w:r w:rsidRPr="00A833D4">
              <w:rPr>
                <w:rFonts w:ascii="Verdana" w:eastAsia="Times New Roman" w:hAnsi="Verdana" w:cs="Times New Roman"/>
                <w:lang w:eastAsia="es-ES"/>
              </w:rPr>
              <w:t xml:space="preserve">En otras palabras, los conceptos de esta </w:t>
            </w:r>
            <w:r w:rsidRPr="00A833D4">
              <w:rPr>
                <w:rFonts w:ascii="Verdana" w:eastAsia="Times New Roman" w:hAnsi="Verdana" w:cs="Times New Roman"/>
                <w:lang w:eastAsia="es-ES"/>
              </w:rPr>
              <w:lastRenderedPageBreak/>
              <w:t>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tc>
      </w:tr>
    </w:tbl>
    <w:p w14:paraId="10ED527F" w14:textId="77777777" w:rsidR="00BC6358" w:rsidRDefault="00BC6358" w:rsidP="00BC6358">
      <w:pPr>
        <w:tabs>
          <w:tab w:val="left" w:pos="142"/>
          <w:tab w:val="left" w:pos="284"/>
        </w:tabs>
        <w:spacing w:before="240" w:after="240" w:line="276" w:lineRule="auto"/>
        <w:jc w:val="both"/>
        <w:rPr>
          <w:rFonts w:ascii="Verdana" w:eastAsia="Century Gothic" w:hAnsi="Verdana" w:cs="Century Gothic"/>
          <w:b/>
          <w:lang w:val="es-ES"/>
        </w:rPr>
      </w:pPr>
      <w:r w:rsidRPr="001246E5">
        <w:rPr>
          <w:rFonts w:ascii="Verdana" w:eastAsia="Century Gothic" w:hAnsi="Verdana" w:cs="Century Gothic"/>
          <w:b/>
          <w:lang w:val="es-ES"/>
        </w:rPr>
        <w:lastRenderedPageBreak/>
        <w:t>3. Razones de la respuesta:</w:t>
      </w:r>
    </w:p>
    <w:p w14:paraId="7B82926C" w14:textId="77777777" w:rsidR="00BC6358" w:rsidRDefault="00BC6358" w:rsidP="00BC6358">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5B383397" w14:textId="77777777" w:rsidR="00BC6358" w:rsidRPr="00172EC1" w:rsidRDefault="00BC6358" w:rsidP="00BC6358">
      <w:pPr>
        <w:spacing w:after="0" w:line="276" w:lineRule="auto"/>
        <w:jc w:val="both"/>
        <w:rPr>
          <w:rFonts w:ascii="Verdana" w:eastAsia="Calibri" w:hAnsi="Verdana" w:cs="Arial"/>
          <w:lang w:val="es-ES"/>
        </w:rPr>
      </w:pPr>
    </w:p>
    <w:p w14:paraId="16201986" w14:textId="77777777" w:rsidR="00BC6358" w:rsidRPr="00886F14" w:rsidRDefault="00BC6358" w:rsidP="00BC6358">
      <w:pPr>
        <w:spacing w:after="120" w:line="276" w:lineRule="auto"/>
        <w:jc w:val="both"/>
        <w:rPr>
          <w:rFonts w:ascii="Verdana" w:hAnsi="Verdana" w:cs="Arial"/>
          <w:color w:val="000000" w:themeColor="text1"/>
          <w:lang w:val="es-ES_tradnl"/>
        </w:rPr>
      </w:pPr>
      <w:r w:rsidRPr="00AE41EE">
        <w:rPr>
          <w:rFonts w:ascii="Verdana" w:eastAsia="Calibri" w:hAnsi="Verdana" w:cs="Arial"/>
          <w:lang w:val="es-ES"/>
        </w:rPr>
        <w:t xml:space="preserve">i. </w:t>
      </w:r>
      <w:r w:rsidRPr="00AE41EE">
        <w:rPr>
          <w:rFonts w:ascii="Verdana" w:hAnsi="Verdana" w:cs="Arial"/>
          <w:color w:val="000000" w:themeColor="text1"/>
          <w:lang w:val="es-ES_tradnl"/>
        </w:rPr>
        <w:t xml:space="preserve">Los </w:t>
      </w:r>
      <w:r w:rsidRPr="00AE41EE">
        <w:rPr>
          <w:rFonts w:ascii="Verdana" w:hAnsi="Verdana" w:cs="Arial"/>
          <w:i/>
          <w:iCs/>
          <w:color w:val="000000" w:themeColor="text1"/>
          <w:lang w:val="es-ES_tradnl"/>
        </w:rPr>
        <w:t>requisitos habilitantes</w:t>
      </w:r>
      <w:r w:rsidRPr="00AE41EE">
        <w:rPr>
          <w:rFonts w:ascii="Verdana" w:hAnsi="Verdana" w:cs="Arial"/>
          <w:color w:val="000000" w:themeColor="text1"/>
          <w:lang w:val="es-ES_tradnl"/>
        </w:rPr>
        <w:t xml:space="preserve"> se definen como exigencias de participación en los procedimientos de selección, establecidos en disposiciones normativas, de</w:t>
      </w:r>
      <w:r w:rsidRPr="00886F14">
        <w:rPr>
          <w:rFonts w:ascii="Verdana" w:hAnsi="Verdana" w:cs="Arial"/>
          <w:color w:val="000000" w:themeColor="text1"/>
          <w:lang w:val="es-ES_tradnl"/>
        </w:rPr>
        <w:t xml:space="preserve"> carácter legal o reglamentario, o las contenidas en el acto administrativo que regula las reglas de la convocatoria, es decir, en el pliego de condiciones o el documento equivalente a este. Se diferencian de los </w:t>
      </w:r>
      <w:r w:rsidRPr="00886F14">
        <w:rPr>
          <w:rFonts w:ascii="Verdana" w:hAnsi="Verdana" w:cs="Arial"/>
          <w:i/>
          <w:iCs/>
          <w:color w:val="000000" w:themeColor="text1"/>
          <w:lang w:val="es-ES_tradnl"/>
        </w:rPr>
        <w:t>criterios de evaluación</w:t>
      </w:r>
      <w:r w:rsidRPr="00886F14">
        <w:rPr>
          <w:rFonts w:ascii="Verdana" w:hAnsi="Verdana" w:cs="Arial"/>
          <w:color w:val="000000" w:themeColor="text1"/>
          <w:lang w:val="es-ES_tradnl"/>
        </w:rPr>
        <w:t xml:space="preserve"> –también conocidos como </w:t>
      </w:r>
      <w:r w:rsidRPr="00886F14">
        <w:rPr>
          <w:rFonts w:ascii="Verdana" w:hAnsi="Verdana" w:cs="Arial"/>
          <w:i/>
          <w:iCs/>
          <w:color w:val="000000" w:themeColor="text1"/>
          <w:lang w:val="es-ES_tradnl"/>
        </w:rPr>
        <w:t>criterios de calificación</w:t>
      </w:r>
      <w:r w:rsidRPr="00886F14">
        <w:rPr>
          <w:rFonts w:ascii="Verdana" w:hAnsi="Verdana" w:cs="Arial"/>
          <w:color w:val="000000" w:themeColor="text1"/>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687FF235" w14:textId="77777777" w:rsidR="00BC6358" w:rsidRPr="00886F14" w:rsidRDefault="00BC6358" w:rsidP="00BC6358">
      <w:pPr>
        <w:spacing w:after="120" w:line="276" w:lineRule="auto"/>
        <w:ind w:firstLine="708"/>
        <w:jc w:val="both"/>
        <w:rPr>
          <w:rFonts w:ascii="Verdana" w:hAnsi="Verdana" w:cs="Arial"/>
          <w:color w:val="000000" w:themeColor="text1"/>
          <w:lang w:val="es-ES_tradnl"/>
        </w:rPr>
      </w:pPr>
      <w:r w:rsidRPr="00886F14">
        <w:rPr>
          <w:rFonts w:ascii="Verdana" w:hAnsi="Verdana" w:cs="Arial"/>
          <w:color w:val="000000" w:themeColor="text1"/>
          <w:lang w:val="es-ES_tradnl"/>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w:t>
      </w:r>
      <w:r>
        <w:rPr>
          <w:rFonts w:ascii="Verdana" w:hAnsi="Verdana" w:cs="Arial"/>
          <w:color w:val="000000" w:themeColor="text1"/>
          <w:lang w:val="es-ES_tradnl"/>
        </w:rPr>
        <w:t>. D</w:t>
      </w:r>
      <w:r w:rsidRPr="00886F14">
        <w:rPr>
          <w:rFonts w:ascii="Verdana" w:hAnsi="Verdana" w:cs="Arial"/>
          <w:color w:val="000000" w:themeColor="text1"/>
          <w:lang w:val="es-ES_tradnl"/>
        </w:rPr>
        <w:t xml:space="preserve">e </w:t>
      </w:r>
      <w:r>
        <w:rPr>
          <w:rFonts w:ascii="Verdana" w:hAnsi="Verdana" w:cs="Arial"/>
          <w:color w:val="000000" w:themeColor="text1"/>
          <w:lang w:val="es-ES_tradnl"/>
        </w:rPr>
        <w:t xml:space="preserve">esta </w:t>
      </w:r>
      <w:r w:rsidRPr="00886F14">
        <w:rPr>
          <w:rFonts w:ascii="Verdana" w:hAnsi="Verdana" w:cs="Arial"/>
          <w:color w:val="000000" w:themeColor="text1"/>
          <w:lang w:val="es-ES_tradnl"/>
        </w:rPr>
        <w:t>manera</w:t>
      </w:r>
      <w:r>
        <w:rPr>
          <w:rFonts w:ascii="Verdana" w:hAnsi="Verdana" w:cs="Arial"/>
          <w:color w:val="000000" w:themeColor="text1"/>
          <w:lang w:val="es-ES_tradnl"/>
        </w:rPr>
        <w:t>,</w:t>
      </w:r>
      <w:r w:rsidRPr="00886F14">
        <w:rPr>
          <w:rFonts w:ascii="Verdana" w:hAnsi="Verdana" w:cs="Arial"/>
          <w:color w:val="000000" w:themeColor="text1"/>
          <w:lang w:val="es-ES_tradnl"/>
        </w:rPr>
        <w:t xml:space="preserve"> quienes no los reúnan no pueden continuar en el procedimiento de selección, </w:t>
      </w:r>
      <w:r>
        <w:rPr>
          <w:rFonts w:ascii="Verdana" w:hAnsi="Verdana" w:cs="Arial"/>
          <w:color w:val="000000" w:themeColor="text1"/>
          <w:lang w:val="es-ES_tradnl"/>
        </w:rPr>
        <w:t>es decir</w:t>
      </w:r>
      <w:r w:rsidRPr="00886F14">
        <w:rPr>
          <w:rFonts w:ascii="Verdana" w:hAnsi="Verdana" w:cs="Arial"/>
          <w:color w:val="000000" w:themeColor="text1"/>
          <w:lang w:val="es-ES_tradnl"/>
        </w:rPr>
        <w:t>, incurren en causal de rechazo. Esto</w:t>
      </w:r>
      <w:r>
        <w:rPr>
          <w:rFonts w:ascii="Verdana" w:hAnsi="Verdana" w:cs="Arial"/>
          <w:color w:val="000000" w:themeColor="text1"/>
          <w:lang w:val="es-ES_tradnl"/>
        </w:rPr>
        <w:t>,</w:t>
      </w:r>
      <w:r w:rsidRPr="00886F14">
        <w:rPr>
          <w:rFonts w:ascii="Verdana" w:hAnsi="Verdana" w:cs="Arial"/>
          <w:color w:val="000000" w:themeColor="text1"/>
          <w:lang w:val="es-ES_tradnl"/>
        </w:rPr>
        <w:t xml:space="preserve"> sin perjuicio del derecho que tienen los oferentes de subsanar los defectos que se presenten en la prueba de tales requisitos, de conformidad con el artículo 5, parágrafos 1º al 4º, de la Ley 1150 de 2007.</w:t>
      </w:r>
    </w:p>
    <w:p w14:paraId="0F7BD4DE" w14:textId="77777777" w:rsidR="00BC6358" w:rsidRDefault="00BC6358" w:rsidP="00BC6358">
      <w:pPr>
        <w:spacing w:after="120" w:line="276" w:lineRule="auto"/>
        <w:ind w:firstLine="708"/>
        <w:jc w:val="both"/>
        <w:rPr>
          <w:rFonts w:ascii="Verdana" w:hAnsi="Verdana" w:cs="Arial"/>
          <w:color w:val="000000" w:themeColor="text1"/>
          <w:lang w:val="es-ES_tradnl"/>
        </w:rPr>
      </w:pPr>
      <w:r w:rsidRPr="00886F14">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886F14">
        <w:rPr>
          <w:rFonts w:ascii="Verdana" w:hAnsi="Verdana" w:cs="Arial"/>
          <w:i/>
          <w:iCs/>
          <w:color w:val="000000" w:themeColor="text1"/>
          <w:lang w:val="es-ES_tradnl"/>
        </w:rPr>
        <w:t>.</w:t>
      </w:r>
      <w:r w:rsidRPr="00886F14">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1CA1F48F" w14:textId="77777777" w:rsidR="00BC6358" w:rsidRPr="00886F14" w:rsidRDefault="00BC6358" w:rsidP="00BC6358">
      <w:pPr>
        <w:spacing w:after="0" w:line="276" w:lineRule="auto"/>
        <w:ind w:firstLine="708"/>
        <w:jc w:val="both"/>
        <w:rPr>
          <w:rFonts w:ascii="Verdana" w:hAnsi="Verdana" w:cs="Arial"/>
          <w:color w:val="000000" w:themeColor="text1"/>
          <w:lang w:val="es-ES"/>
        </w:rPr>
      </w:pPr>
      <w:r w:rsidRPr="5D636007">
        <w:rPr>
          <w:rFonts w:ascii="Verdana" w:hAnsi="Verdana" w:cs="Arial"/>
          <w:color w:val="000000" w:themeColor="text1"/>
          <w:lang w:val="es-ES"/>
        </w:rPr>
        <w:lastRenderedPageBreak/>
        <w:t xml:space="preserve">Específicamente, el numeral 1º del referido artículo 5 establece que en los procesos de selección de contratistas serán objeto de verificación, como requisitos habilitantes, </w:t>
      </w:r>
      <w:r w:rsidRPr="5D636007">
        <w:rPr>
          <w:rFonts w:ascii="Verdana" w:hAnsi="Verdana" w:cs="Arial"/>
          <w:i/>
          <w:color w:val="000000" w:themeColor="text1"/>
          <w:lang w:val="es-ES"/>
        </w:rPr>
        <w:t>entre otros</w:t>
      </w:r>
      <w:r w:rsidRPr="5D636007">
        <w:rPr>
          <w:rFonts w:ascii="Verdana" w:hAnsi="Verdana" w:cs="Arial"/>
          <w:color w:val="000000" w:themeColor="text1"/>
          <w:lang w:val="es-ES"/>
        </w:rPr>
        <w:t xml:space="preserve">, los siguientes: i) la capacidad jurídica; ii) la experiencia; iii) la capacidad financiera y iv) la capacidad de organización. En efecto, la normativa citada prescribe lo siguiente: </w:t>
      </w:r>
    </w:p>
    <w:p w14:paraId="0C2FD65D" w14:textId="77777777" w:rsidR="00BC6358" w:rsidRPr="00886F14" w:rsidRDefault="00BC6358" w:rsidP="00BC6358">
      <w:pPr>
        <w:spacing w:after="0" w:line="276" w:lineRule="auto"/>
        <w:ind w:firstLine="708"/>
        <w:jc w:val="both"/>
        <w:rPr>
          <w:rFonts w:ascii="Verdana" w:hAnsi="Verdana" w:cs="Arial"/>
          <w:color w:val="000000" w:themeColor="text1"/>
          <w:lang w:val="es-ES_tradnl"/>
        </w:rPr>
      </w:pPr>
    </w:p>
    <w:p w14:paraId="223F5B0B" w14:textId="77777777" w:rsidR="00BC6358" w:rsidRPr="00E123D7" w:rsidRDefault="00BC6358" w:rsidP="00BC6358">
      <w:pPr>
        <w:spacing w:after="0" w:line="240" w:lineRule="auto"/>
        <w:ind w:left="709" w:right="709"/>
        <w:rPr>
          <w:rFonts w:ascii="Verdana" w:hAnsi="Verdana" w:cs="Arial"/>
          <w:color w:val="000000" w:themeColor="text1"/>
          <w:sz w:val="20"/>
          <w:szCs w:val="20"/>
          <w:lang w:val="es-ES_tradnl"/>
        </w:rPr>
      </w:pPr>
      <w:r w:rsidRPr="00E123D7">
        <w:rPr>
          <w:rFonts w:ascii="Verdana" w:hAnsi="Verdana" w:cs="Arial"/>
          <w:i/>
          <w:color w:val="000000" w:themeColor="text1"/>
          <w:sz w:val="20"/>
          <w:szCs w:val="20"/>
          <w:lang w:val="es-ES_tradnl"/>
        </w:rPr>
        <w:t>“</w:t>
      </w:r>
      <w:r w:rsidRPr="00E123D7">
        <w:rPr>
          <w:rFonts w:ascii="Verdana" w:hAnsi="Verdana" w:cs="Arial"/>
          <w:color w:val="000000" w:themeColor="text1"/>
          <w:sz w:val="20"/>
          <w:szCs w:val="20"/>
          <w:lang w:val="es-ES_tradnl"/>
        </w:rPr>
        <w:t xml:space="preserve">Artículo 5. De la Selección Objetiva. </w:t>
      </w:r>
    </w:p>
    <w:p w14:paraId="739483BE" w14:textId="77777777" w:rsidR="00BC6358" w:rsidRPr="00E123D7" w:rsidRDefault="00BC6358" w:rsidP="00BC6358">
      <w:pPr>
        <w:spacing w:after="0" w:line="240" w:lineRule="auto"/>
        <w:ind w:left="709" w:right="709"/>
        <w:rPr>
          <w:rFonts w:ascii="Verdana" w:hAnsi="Verdana" w:cs="Arial"/>
          <w:color w:val="000000" w:themeColor="text1"/>
          <w:sz w:val="20"/>
          <w:szCs w:val="20"/>
          <w:lang w:val="es-ES_tradnl"/>
        </w:rPr>
      </w:pPr>
      <w:r>
        <w:rPr>
          <w:rFonts w:ascii="Verdana" w:hAnsi="Verdana" w:cs="Arial"/>
          <w:color w:val="000000" w:themeColor="text1"/>
          <w:sz w:val="20"/>
          <w:szCs w:val="20"/>
          <w:lang w:val="es-ES_tradnl"/>
        </w:rPr>
        <w:t>(</w:t>
      </w:r>
      <w:r w:rsidRPr="00E123D7">
        <w:rPr>
          <w:rFonts w:ascii="Verdana" w:hAnsi="Verdana" w:cs="Arial"/>
          <w:color w:val="000000" w:themeColor="text1"/>
          <w:sz w:val="20"/>
          <w:szCs w:val="20"/>
          <w:lang w:val="es-ES_tradnl"/>
        </w:rPr>
        <w:t>…</w:t>
      </w:r>
      <w:r>
        <w:rPr>
          <w:rFonts w:ascii="Verdana" w:hAnsi="Verdana" w:cs="Arial"/>
          <w:color w:val="000000" w:themeColor="text1"/>
          <w:sz w:val="20"/>
          <w:szCs w:val="20"/>
          <w:lang w:val="es-ES_tradnl"/>
        </w:rPr>
        <w:t>)</w:t>
      </w:r>
    </w:p>
    <w:p w14:paraId="238F0C8E" w14:textId="77777777" w:rsidR="00BC6358" w:rsidRPr="00E14120" w:rsidRDefault="00BC6358" w:rsidP="00BC6358">
      <w:pPr>
        <w:pStyle w:val="Prrafodelista"/>
        <w:spacing w:after="0" w:line="240" w:lineRule="auto"/>
        <w:ind w:left="709" w:right="709"/>
        <w:jc w:val="both"/>
        <w:rPr>
          <w:rFonts w:ascii="Verdana" w:eastAsia="Calibri" w:hAnsi="Verdana" w:cs="Arial"/>
          <w:color w:val="000000" w:themeColor="text1"/>
          <w:sz w:val="20"/>
          <w:szCs w:val="20"/>
        </w:rPr>
      </w:pPr>
      <w:r w:rsidRPr="00E123D7">
        <w:rPr>
          <w:rFonts w:ascii="Verdana" w:eastAsia="Calibri" w:hAnsi="Verdana" w:cs="Arial"/>
          <w:color w:val="000000" w:themeColor="text1"/>
          <w:sz w:val="20"/>
          <w:szCs w:val="20"/>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r w:rsidRPr="00E123D7">
        <w:rPr>
          <w:rFonts w:ascii="Verdana" w:eastAsia="Calibri" w:hAnsi="Verdana" w:cs="Arial"/>
          <w:i/>
          <w:color w:val="000000" w:themeColor="text1"/>
          <w:sz w:val="20"/>
          <w:szCs w:val="20"/>
        </w:rPr>
        <w:t>”</w:t>
      </w:r>
      <w:r w:rsidRPr="00E123D7">
        <w:rPr>
          <w:rFonts w:ascii="Verdana" w:eastAsia="Calibri" w:hAnsi="Verdana" w:cs="Arial"/>
          <w:color w:val="000000" w:themeColor="text1"/>
          <w:sz w:val="20"/>
          <w:szCs w:val="20"/>
        </w:rPr>
        <w:t>.</w:t>
      </w:r>
    </w:p>
    <w:p w14:paraId="2EED4D03" w14:textId="77777777" w:rsidR="000176BB" w:rsidRDefault="000176BB" w:rsidP="00BC6358">
      <w:pPr>
        <w:spacing w:after="120" w:line="276" w:lineRule="auto"/>
        <w:ind w:firstLine="708"/>
        <w:jc w:val="both"/>
        <w:rPr>
          <w:rFonts w:ascii="Verdana" w:eastAsia="Times New Roman" w:hAnsi="Verdana" w:cs="Arial"/>
          <w:lang w:val="es-ES_tradnl" w:eastAsia="es-MX"/>
        </w:rPr>
      </w:pPr>
      <w:bookmarkStart w:id="1" w:name="_Hlk99547809"/>
      <w:bookmarkStart w:id="2" w:name="_Hlk99546625"/>
    </w:p>
    <w:p w14:paraId="41E1793B" w14:textId="3E67CB41" w:rsidR="00BC6358" w:rsidRPr="00C94107" w:rsidRDefault="00BC6358" w:rsidP="00BC6358">
      <w:pPr>
        <w:spacing w:after="120" w:line="276" w:lineRule="auto"/>
        <w:ind w:firstLine="708"/>
        <w:jc w:val="both"/>
        <w:rPr>
          <w:rFonts w:ascii="Verdana" w:eastAsia="Times New Roman" w:hAnsi="Verdana" w:cs="Arial"/>
          <w:highlight w:val="cyan"/>
          <w:lang w:val="es-ES_tradnl" w:eastAsia="es-MX"/>
        </w:rPr>
      </w:pPr>
      <w:r w:rsidRPr="00C94107">
        <w:rPr>
          <w:rFonts w:ascii="Verdana" w:eastAsia="Times New Roman" w:hAnsi="Verdana" w:cs="Arial"/>
          <w:lang w:val="es-ES_tradnl" w:eastAsia="es-MX"/>
        </w:rPr>
        <w:t xml:space="preserve">La Agencia Nacional de Contratación Pública – Colombia Compra Eficiente ha defendido el carácter </w:t>
      </w:r>
      <w:bookmarkStart w:id="3" w:name="_Hlk99547799"/>
      <w:r w:rsidRPr="00C94107">
        <w:rPr>
          <w:rFonts w:ascii="Verdana" w:eastAsia="Times New Roman" w:hAnsi="Verdana" w:cs="Arial"/>
          <w:lang w:val="es-ES_tradnl" w:eastAsia="es-MX"/>
        </w:rPr>
        <w:t xml:space="preserve">enunciativo del listado de los requisitos habilitantes contenidos en el numeral 1 del artículo 5 de la Ley 1150 de 2007, en la medida en que la mencionada disposición, al referirse a los requisitos habilitantes, no contiene una expresión como “únicamente” o “solo”, de la que pueda colegirse la taxatividad de los requisitos señalados. </w:t>
      </w:r>
      <w:bookmarkEnd w:id="1"/>
      <w:bookmarkEnd w:id="3"/>
      <w:r w:rsidRPr="00C94107">
        <w:rPr>
          <w:rFonts w:ascii="Verdana" w:eastAsia="Times New Roman" w:hAnsi="Verdana" w:cs="Arial"/>
          <w:lang w:val="es-ES_tradnl" w:eastAsia="es-MX"/>
        </w:rPr>
        <w:t>Esta conclusión además se apoya en una la lectura integral de las normas que regulan la contratación estatal, en virtud de la cual es posible evidenciar que existen otras condiciones que deben cumplirse para la contratación con Entidades Estatales, de las que derivan requisitos habilitantes, como sucede, por ejemplo, con la capacidad residual a la que se refiere el artículo 6º, parágrafo 1, de la Ley 1150 de 2007</w:t>
      </w:r>
      <w:bookmarkEnd w:id="2"/>
      <w:r w:rsidRPr="00C94107">
        <w:rPr>
          <w:rFonts w:ascii="Verdana" w:eastAsia="Times New Roman" w:hAnsi="Verdana" w:cs="Arial"/>
          <w:vertAlign w:val="superscript"/>
          <w:lang w:val="es-ES_tradnl" w:eastAsia="es-MX"/>
        </w:rPr>
        <w:footnoteReference w:id="1"/>
      </w:r>
      <w:r w:rsidRPr="00C94107">
        <w:rPr>
          <w:rFonts w:ascii="Verdana" w:eastAsia="Times New Roman" w:hAnsi="Verdana" w:cs="Arial"/>
          <w:lang w:val="es-ES_tradnl" w:eastAsia="es-MX"/>
        </w:rPr>
        <w:t xml:space="preserve">. </w:t>
      </w:r>
    </w:p>
    <w:p w14:paraId="01F49784" w14:textId="77777777" w:rsidR="00BC6358" w:rsidRPr="007E4577" w:rsidRDefault="00BC6358" w:rsidP="00BC6358">
      <w:pPr>
        <w:spacing w:after="120" w:line="276" w:lineRule="auto"/>
        <w:ind w:firstLine="708"/>
        <w:jc w:val="both"/>
        <w:rPr>
          <w:rFonts w:ascii="Verdana" w:hAnsi="Verdana" w:cs="Arial"/>
        </w:rPr>
      </w:pPr>
      <w:r w:rsidRPr="00886F14">
        <w:rPr>
          <w:rFonts w:ascii="Verdana" w:hAnsi="Verdana" w:cs="Arial"/>
        </w:rPr>
        <w:t xml:space="preserve">Una vez fijados los requisitos habilitantes por la Entidad Estatal, quienes presenten ofertas deben acreditar que cumplen con los mismos, pues, en el evento contrario, las propuestas deberán ser rechazadas. El ente encargado de </w:t>
      </w:r>
      <w:r w:rsidRPr="00886F14">
        <w:rPr>
          <w:rFonts w:ascii="Verdana" w:hAnsi="Verdana" w:cs="Arial"/>
        </w:rPr>
        <w:lastRenderedPageBreak/>
        <w:t>verificar el cumplimiento por parte de los proponentes sobre los requisitos que haya considerado la Entidad como habilitantes será la Cámara de Comercio</w:t>
      </w:r>
      <w:r w:rsidRPr="007E4577">
        <w:rPr>
          <w:rFonts w:ascii="Verdana" w:hAnsi="Verdana" w:cs="Arial"/>
        </w:rPr>
        <w:t xml:space="preserve">. Lo anterior, </w:t>
      </w:r>
      <w:r w:rsidRPr="00886F14">
        <w:rPr>
          <w:rFonts w:ascii="Verdana" w:hAnsi="Verdana" w:cs="Arial"/>
        </w:rPr>
        <w:t>en la medida en que, mediante el Registro Único de Proponentes –</w:t>
      </w:r>
      <w:r w:rsidRPr="007E4577">
        <w:rPr>
          <w:rFonts w:ascii="Verdana" w:hAnsi="Verdana" w:cs="Arial"/>
        </w:rPr>
        <w:t xml:space="preserve">en adelante </w:t>
      </w:r>
      <w:r w:rsidRPr="00886F14">
        <w:rPr>
          <w:rFonts w:ascii="Verdana" w:hAnsi="Verdana" w:cs="Arial"/>
        </w:rPr>
        <w:t>RUP–, se pondrá de presente toda la información relacionada con la experiencia, capacidad jurídica, capacidad financiera y organizacional, así como la clasificación del proponente</w:t>
      </w:r>
      <w:r w:rsidRPr="00886F14">
        <w:rPr>
          <w:rStyle w:val="Refdenotaalpie"/>
          <w:rFonts w:ascii="Verdana" w:hAnsi="Verdana" w:cs="Arial"/>
          <w:color w:val="000000" w:themeColor="text1"/>
          <w:lang w:val="es-ES_tradnl"/>
        </w:rPr>
        <w:footnoteReference w:id="2"/>
      </w:r>
      <w:r w:rsidRPr="00886F14">
        <w:rPr>
          <w:rFonts w:ascii="Verdana" w:hAnsi="Verdana" w:cs="Arial"/>
        </w:rPr>
        <w:t xml:space="preserve">. </w:t>
      </w:r>
    </w:p>
    <w:p w14:paraId="1F655695" w14:textId="77777777" w:rsidR="00BC6358" w:rsidRDefault="00BC6358" w:rsidP="00BC6358">
      <w:pPr>
        <w:spacing w:after="0" w:line="276" w:lineRule="auto"/>
        <w:ind w:firstLine="708"/>
        <w:jc w:val="both"/>
        <w:rPr>
          <w:rFonts w:ascii="Verdana" w:eastAsia="Times New Roman" w:hAnsi="Verdana" w:cs="Arial"/>
          <w:lang w:eastAsia="es-ES_tradnl"/>
        </w:rPr>
      </w:pPr>
      <w:r w:rsidRPr="00886F14">
        <w:rPr>
          <w:rFonts w:ascii="Verdana" w:hAnsi="Verdana" w:cs="Arial"/>
        </w:rPr>
        <w:t>De la misma manera</w:t>
      </w:r>
      <w:r w:rsidRPr="007E4577">
        <w:rPr>
          <w:rFonts w:ascii="Verdana" w:hAnsi="Verdana" w:cs="Arial"/>
        </w:rPr>
        <w:t>,</w:t>
      </w:r>
      <w:r w:rsidRPr="00886F14">
        <w:rPr>
          <w:rFonts w:ascii="Verdana" w:hAnsi="Verdana" w:cs="Arial"/>
        </w:rPr>
        <w:t xml:space="preserve"> es pertinente mencionar que existen determinados procesos en donde se excepciona el uso del mencionado registro y de la clasificación del proponente, siendo estos los siguientes: contratación directa, contratos para la prestación de servicios de salud, contratos de mínima cuantía, entre otros puestos de presente por el artículo 6 de la Ley 1150 de 2007</w:t>
      </w:r>
      <w:r w:rsidRPr="00886F14">
        <w:rPr>
          <w:rStyle w:val="Refdenotaalpie"/>
          <w:rFonts w:ascii="Verdana" w:hAnsi="Verdana" w:cs="Arial"/>
          <w:color w:val="000000" w:themeColor="text1"/>
          <w:lang w:val="es-ES_tradnl"/>
        </w:rPr>
        <w:footnoteReference w:id="3"/>
      </w:r>
      <w:r w:rsidRPr="00886F14">
        <w:rPr>
          <w:rFonts w:ascii="Verdana" w:hAnsi="Verdana" w:cs="Arial"/>
          <w:color w:val="000000" w:themeColor="text1"/>
          <w:lang w:val="es-ES_tradnl"/>
        </w:rPr>
        <w:t>.</w:t>
      </w:r>
      <w:r w:rsidRPr="00640182">
        <w:rPr>
          <w:rFonts w:ascii="Verdana" w:hAnsi="Verdana" w:cs="Arial"/>
          <w:color w:val="000000" w:themeColor="text1"/>
          <w:lang w:val="es-ES_tradnl"/>
        </w:rPr>
        <w:t xml:space="preserve"> En estos eventos, </w:t>
      </w:r>
      <w:r w:rsidRPr="00640182">
        <w:rPr>
          <w:rFonts w:ascii="Verdana" w:hAnsi="Verdana" w:cs="Arial"/>
        </w:rPr>
        <w:t>las Entidades deberán verificar directamente el cumplimiento de los requisitos habilitantes</w:t>
      </w:r>
      <w:r w:rsidRPr="00640182">
        <w:rPr>
          <w:rFonts w:ascii="Verdana" w:hAnsi="Verdana" w:cs="Arial"/>
          <w:vertAlign w:val="superscript"/>
        </w:rPr>
        <w:footnoteReference w:id="4"/>
      </w:r>
      <w:r w:rsidRPr="00640182">
        <w:rPr>
          <w:rFonts w:ascii="Verdana" w:hAnsi="Verdana" w:cs="Arial"/>
        </w:rPr>
        <w:t xml:space="preserve">. Para esto, deberá señalar en la invitación, o el documento que haga sus veces, </w:t>
      </w:r>
      <w:r w:rsidRPr="00640182">
        <w:rPr>
          <w:rFonts w:ascii="Verdana" w:eastAsia="Times New Roman" w:hAnsi="Verdana" w:cs="Arial"/>
          <w:lang w:eastAsia="es-ES_tradnl"/>
        </w:rPr>
        <w:t>cuál es la información que se debe acreditar, así como los documentos que tendrá como válidos para tal fin.</w:t>
      </w:r>
    </w:p>
    <w:p w14:paraId="0DB74B61" w14:textId="77777777" w:rsidR="00BC6358" w:rsidRDefault="00BC6358" w:rsidP="00BC6358">
      <w:pPr>
        <w:spacing w:after="0" w:line="276" w:lineRule="auto"/>
        <w:ind w:firstLine="708"/>
        <w:jc w:val="both"/>
        <w:rPr>
          <w:rFonts w:ascii="Verdana" w:eastAsia="Times New Roman" w:hAnsi="Verdana" w:cs="Arial"/>
          <w:lang w:eastAsia="es-ES_tradnl"/>
        </w:rPr>
      </w:pPr>
    </w:p>
    <w:p w14:paraId="4BD38A06" w14:textId="77777777" w:rsidR="00BC6358" w:rsidRPr="00392904" w:rsidRDefault="00BC6358" w:rsidP="00BC6358">
      <w:pPr>
        <w:tabs>
          <w:tab w:val="left" w:pos="8505"/>
        </w:tabs>
        <w:spacing w:after="120" w:line="276" w:lineRule="auto"/>
        <w:ind w:right="142"/>
        <w:jc w:val="both"/>
        <w:rPr>
          <w:rFonts w:ascii="Verdana" w:hAnsi="Verdana" w:cs="Arial"/>
        </w:rPr>
      </w:pPr>
      <w:r w:rsidRPr="00AE41EE">
        <w:rPr>
          <w:rFonts w:ascii="Verdana" w:hAnsi="Verdana" w:cs="Arial"/>
          <w:iCs/>
          <w:lang w:val="es-ES_tradnl"/>
        </w:rPr>
        <w:t>ii. Ahora bien, r</w:t>
      </w:r>
      <w:r w:rsidRPr="00AE41EE">
        <w:rPr>
          <w:rFonts w:ascii="Verdana" w:hAnsi="Verdana" w:cs="Arial"/>
          <w:i/>
          <w:iCs/>
        </w:rPr>
        <w:t>especto a la capacidad jurídica</w:t>
      </w:r>
      <w:r w:rsidRPr="00AE41EE">
        <w:rPr>
          <w:rFonts w:ascii="Verdana" w:hAnsi="Verdana" w:cs="Arial"/>
        </w:rPr>
        <w:t>, ésta es un presupuesto de la</w:t>
      </w:r>
      <w:r w:rsidRPr="00392904">
        <w:rPr>
          <w:rFonts w:ascii="Verdana" w:hAnsi="Verdana" w:cs="Arial"/>
        </w:rPr>
        <w:t xml:space="preserve"> validez del contrato. No en vano, en concordancia con el numeral 1 del artículo </w:t>
      </w:r>
      <w:r w:rsidRPr="00392904">
        <w:rPr>
          <w:rFonts w:ascii="Verdana" w:hAnsi="Verdana" w:cs="Arial"/>
        </w:rPr>
        <w:lastRenderedPageBreak/>
        <w:t>1502 del Código Civil</w:t>
      </w:r>
      <w:r w:rsidRPr="00392904">
        <w:rPr>
          <w:rStyle w:val="Refdenotaalpie"/>
          <w:rFonts w:ascii="Verdana" w:hAnsi="Verdana" w:cs="Arial"/>
        </w:rPr>
        <w:footnoteReference w:id="5"/>
      </w:r>
      <w:r w:rsidRPr="00392904">
        <w:rPr>
          <w:rFonts w:ascii="Verdana" w:hAnsi="Verdana" w:cs="Arial"/>
        </w:rPr>
        <w:t xml:space="preserve">, el artículo 6 de la Ley 80 de 1993 dispone que “Pueden celebrar contratos con las entidades estatales las personas consideradas legalmente capaces en las disposiciones vigentes”. Así las cosas, la capacidad jurídica </w:t>
      </w:r>
      <w:r w:rsidRPr="00392904">
        <w:rPr>
          <w:rFonts w:ascii="Verdana" w:eastAsia="Calibri" w:hAnsi="Verdana" w:cs="Arial"/>
          <w:lang w:val="es-ES" w:eastAsia="es-ES"/>
        </w:rPr>
        <w:t>es la aptitud que recae en los sujetos activos o pasivos de las relaciones jurídicas</w:t>
      </w:r>
      <w:r w:rsidRPr="00392904">
        <w:rPr>
          <w:rFonts w:ascii="Verdana" w:eastAsia="Calibri" w:hAnsi="Verdana" w:cs="Arial"/>
          <w:vertAlign w:val="superscript"/>
          <w:lang w:val="es-ES" w:eastAsia="es-ES"/>
        </w:rPr>
        <w:footnoteReference w:id="6"/>
      </w:r>
      <w:r w:rsidRPr="00392904">
        <w:rPr>
          <w:rFonts w:ascii="Verdana" w:eastAsia="Calibri" w:hAnsi="Verdana" w:cs="Arial"/>
          <w:lang w:val="es-ES" w:eastAsia="es-ES"/>
        </w:rPr>
        <w:t>. Para efectos de las relaciones contractuales en las que uno de los extremos de la relación sea una Entidad Estatal, la capacidad jurídica es la facultad que tiene una persona natural o jurídica para celebrar contratos con estas Entidades. En otras palabras, se refiere a la capacidad de obligarse a cumplir el objeto del contrato, así como a no estar incursa en inhabilidades o incompatibilidades que impidan su celebración.</w:t>
      </w:r>
    </w:p>
    <w:p w14:paraId="0D62F474" w14:textId="77777777" w:rsidR="00BC6358" w:rsidRPr="00392904" w:rsidRDefault="00BC6358" w:rsidP="00BC6358">
      <w:pPr>
        <w:tabs>
          <w:tab w:val="left" w:pos="8505"/>
        </w:tabs>
        <w:spacing w:after="0" w:line="276" w:lineRule="auto"/>
        <w:ind w:right="142" w:firstLine="709"/>
        <w:jc w:val="both"/>
        <w:rPr>
          <w:rFonts w:ascii="Verdana" w:hAnsi="Verdana" w:cs="Arial"/>
        </w:rPr>
      </w:pPr>
      <w:r w:rsidRPr="00392904">
        <w:rPr>
          <w:rFonts w:ascii="Verdana" w:hAnsi="Verdana" w:cs="Arial"/>
        </w:rPr>
        <w:t xml:space="preserve">Para estos efectos, tratándose de </w:t>
      </w:r>
      <w:r w:rsidRPr="00392904">
        <w:rPr>
          <w:rFonts w:ascii="Verdana" w:hAnsi="Verdana" w:cs="Arial"/>
          <w:i/>
          <w:iCs/>
        </w:rPr>
        <w:t>personas naturales</w:t>
      </w:r>
      <w:r w:rsidRPr="00392904">
        <w:rPr>
          <w:rFonts w:ascii="Verdana" w:hAnsi="Verdana" w:cs="Arial"/>
        </w:rPr>
        <w:t xml:space="preserve">, si bien todos los seres humanos, por el hecho de gozar de personalidad jurídica, son sujetos de derechos y obligaciones, algunas no pueden ejercerlos por sí mismos, sino a través de interpuesta persona. Lo anterior significa que, si bien todas las personas tienen </w:t>
      </w:r>
      <w:r w:rsidRPr="00392904">
        <w:rPr>
          <w:rFonts w:ascii="Verdana" w:hAnsi="Verdana" w:cs="Arial"/>
          <w:i/>
        </w:rPr>
        <w:t>capacidad de goce</w:t>
      </w:r>
      <w:r w:rsidRPr="00392904">
        <w:rPr>
          <w:rFonts w:ascii="Verdana" w:hAnsi="Verdana" w:cs="Arial"/>
        </w:rPr>
        <w:t xml:space="preserve">, no todas tienen </w:t>
      </w:r>
      <w:r w:rsidRPr="00392904">
        <w:rPr>
          <w:rFonts w:ascii="Verdana" w:hAnsi="Verdana" w:cs="Arial"/>
          <w:i/>
        </w:rPr>
        <w:t>capacidad de ejercicio</w:t>
      </w:r>
      <w:r w:rsidRPr="00392904">
        <w:rPr>
          <w:rFonts w:ascii="Verdana" w:hAnsi="Verdana" w:cs="Arial"/>
        </w:rPr>
        <w:t>. En efecto, la primera es reconocida por el artículo 14 de la Constitución Política de 1991, en el sentido que “Toda persona tiene derecho al reconocimiento de su personalidad jurídica”. Adicionalmente, el artículo 74 del Código Civil prescribe que “Son personas todos los individuos de la especie humana, cualquiera que sea su edad, sexo, estirpe o condición”. Al respecto, la doctrina explica que:</w:t>
      </w:r>
    </w:p>
    <w:p w14:paraId="2848CBAD" w14:textId="77777777" w:rsidR="00BC6358" w:rsidRPr="00392904" w:rsidRDefault="00BC6358" w:rsidP="00BC6358">
      <w:pPr>
        <w:tabs>
          <w:tab w:val="left" w:pos="8505"/>
        </w:tabs>
        <w:spacing w:after="0" w:line="276" w:lineRule="auto"/>
        <w:ind w:right="142"/>
        <w:jc w:val="both"/>
        <w:rPr>
          <w:rFonts w:ascii="Verdana" w:hAnsi="Verdana" w:cs="Arial"/>
        </w:rPr>
      </w:pPr>
    </w:p>
    <w:p w14:paraId="0BBA74E8"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w:t>
      </w:r>
      <w:r w:rsidRPr="00392904">
        <w:rPr>
          <w:rFonts w:ascii="Verdana" w:hAnsi="Verdana" w:cs="Arial"/>
          <w:i/>
          <w:sz w:val="20"/>
          <w:szCs w:val="20"/>
        </w:rPr>
        <w:t>Capacidad</w:t>
      </w:r>
      <w:r w:rsidRPr="00392904">
        <w:rPr>
          <w:rFonts w:ascii="Verdana" w:hAnsi="Verdana" w:cs="Arial"/>
          <w:sz w:val="20"/>
          <w:szCs w:val="20"/>
        </w:rPr>
        <w:t xml:space="preserve"> es una palabra de doble sentido, lo mismo que </w:t>
      </w:r>
      <w:r w:rsidRPr="00392904">
        <w:rPr>
          <w:rFonts w:ascii="Verdana" w:hAnsi="Verdana" w:cs="Arial"/>
          <w:i/>
          <w:sz w:val="20"/>
          <w:szCs w:val="20"/>
        </w:rPr>
        <w:t>incapacidad</w:t>
      </w:r>
      <w:r w:rsidRPr="00392904">
        <w:rPr>
          <w:rFonts w:ascii="Verdana" w:hAnsi="Verdana" w:cs="Arial"/>
          <w:sz w:val="20"/>
          <w:szCs w:val="20"/>
        </w:rPr>
        <w:t xml:space="preserve">, su contraria: a veces designa con ella la aptitud o falta de aptitud para </w:t>
      </w:r>
      <w:r w:rsidRPr="00392904">
        <w:rPr>
          <w:rFonts w:ascii="Verdana" w:hAnsi="Verdana" w:cs="Arial"/>
          <w:i/>
          <w:sz w:val="20"/>
          <w:szCs w:val="20"/>
        </w:rPr>
        <w:t>adquirir</w:t>
      </w:r>
      <w:r w:rsidRPr="00392904">
        <w:rPr>
          <w:rFonts w:ascii="Verdana" w:hAnsi="Verdana" w:cs="Arial"/>
          <w:sz w:val="20"/>
          <w:szCs w:val="20"/>
        </w:rPr>
        <w:t xml:space="preserve"> y para </w:t>
      </w:r>
      <w:r w:rsidRPr="00392904">
        <w:rPr>
          <w:rFonts w:ascii="Verdana" w:hAnsi="Verdana" w:cs="Arial"/>
          <w:i/>
          <w:sz w:val="20"/>
          <w:szCs w:val="20"/>
        </w:rPr>
        <w:t>poseer</w:t>
      </w:r>
      <w:r w:rsidRPr="00392904">
        <w:rPr>
          <w:rFonts w:ascii="Verdana" w:hAnsi="Verdana" w:cs="Arial"/>
          <w:sz w:val="20"/>
          <w:szCs w:val="20"/>
        </w:rPr>
        <w:t xml:space="preserve"> derechos, para ser titular de esos derechos, y entonces se trata de una </w:t>
      </w:r>
      <w:r w:rsidRPr="00392904">
        <w:rPr>
          <w:rFonts w:ascii="Verdana" w:hAnsi="Verdana" w:cs="Arial"/>
          <w:i/>
          <w:sz w:val="20"/>
          <w:szCs w:val="20"/>
        </w:rPr>
        <w:t>capacidad</w:t>
      </w:r>
      <w:r w:rsidRPr="00392904">
        <w:rPr>
          <w:rFonts w:ascii="Verdana" w:hAnsi="Verdana" w:cs="Arial"/>
          <w:sz w:val="20"/>
          <w:szCs w:val="20"/>
        </w:rPr>
        <w:t xml:space="preserve"> o una </w:t>
      </w:r>
      <w:r w:rsidRPr="00392904">
        <w:rPr>
          <w:rFonts w:ascii="Verdana" w:hAnsi="Verdana" w:cs="Arial"/>
          <w:i/>
          <w:sz w:val="20"/>
          <w:szCs w:val="20"/>
        </w:rPr>
        <w:t>incapacidad</w:t>
      </w:r>
      <w:r w:rsidRPr="00392904">
        <w:rPr>
          <w:rFonts w:ascii="Verdana" w:hAnsi="Verdana" w:cs="Arial"/>
          <w:sz w:val="20"/>
          <w:szCs w:val="20"/>
        </w:rPr>
        <w:t xml:space="preserve"> </w:t>
      </w:r>
      <w:r w:rsidRPr="00392904">
        <w:rPr>
          <w:rFonts w:ascii="Verdana" w:hAnsi="Verdana" w:cs="Arial"/>
          <w:i/>
          <w:sz w:val="20"/>
          <w:szCs w:val="20"/>
        </w:rPr>
        <w:t>de goce</w:t>
      </w:r>
      <w:r w:rsidRPr="00392904">
        <w:rPr>
          <w:rFonts w:ascii="Verdana" w:hAnsi="Verdana" w:cs="Arial"/>
          <w:sz w:val="20"/>
          <w:szCs w:val="20"/>
        </w:rPr>
        <w:t xml:space="preserve"> […]; otras veces, y con mayor frecuencia, se trata sólo de la aptitud o falta de aptitud para </w:t>
      </w:r>
      <w:r w:rsidRPr="00392904">
        <w:rPr>
          <w:rFonts w:ascii="Verdana" w:hAnsi="Verdana" w:cs="Arial"/>
          <w:i/>
          <w:sz w:val="20"/>
          <w:szCs w:val="20"/>
        </w:rPr>
        <w:t>ejercer</w:t>
      </w:r>
      <w:r w:rsidRPr="00392904">
        <w:rPr>
          <w:rFonts w:ascii="Verdana" w:hAnsi="Verdana" w:cs="Arial"/>
          <w:sz w:val="20"/>
          <w:szCs w:val="20"/>
        </w:rPr>
        <w:t xml:space="preserve"> los derechos de que una persona está investida y, en tal caso, se trata sólo de una </w:t>
      </w:r>
      <w:r w:rsidRPr="00392904">
        <w:rPr>
          <w:rFonts w:ascii="Verdana" w:hAnsi="Verdana" w:cs="Arial"/>
          <w:i/>
          <w:sz w:val="20"/>
          <w:szCs w:val="20"/>
        </w:rPr>
        <w:t>capacidad</w:t>
      </w:r>
      <w:r w:rsidRPr="00392904">
        <w:rPr>
          <w:rFonts w:ascii="Verdana" w:hAnsi="Verdana" w:cs="Arial"/>
          <w:sz w:val="20"/>
          <w:szCs w:val="20"/>
        </w:rPr>
        <w:t xml:space="preserve"> o de una </w:t>
      </w:r>
      <w:r w:rsidRPr="00392904">
        <w:rPr>
          <w:rFonts w:ascii="Verdana" w:hAnsi="Verdana" w:cs="Arial"/>
          <w:i/>
          <w:sz w:val="20"/>
          <w:szCs w:val="20"/>
        </w:rPr>
        <w:t>incapacidad de ejercicio</w:t>
      </w:r>
      <w:r w:rsidRPr="00392904">
        <w:rPr>
          <w:rFonts w:ascii="Verdana" w:hAnsi="Verdana" w:cs="Arial"/>
          <w:sz w:val="20"/>
          <w:szCs w:val="20"/>
        </w:rPr>
        <w:t>.</w:t>
      </w:r>
    </w:p>
    <w:p w14:paraId="0B239F95"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p>
    <w:p w14:paraId="70ADCC8D"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 xml:space="preserve">Ejemplos: un menor no tiene derechos políticos, está totalmente privado de ellos; la incapacidad se refiere al </w:t>
      </w:r>
      <w:r w:rsidRPr="00392904">
        <w:rPr>
          <w:rFonts w:ascii="Verdana" w:hAnsi="Verdana" w:cs="Arial"/>
          <w:i/>
          <w:sz w:val="20"/>
          <w:szCs w:val="20"/>
        </w:rPr>
        <w:t>goce</w:t>
      </w:r>
      <w:r w:rsidRPr="00392904">
        <w:rPr>
          <w:rFonts w:ascii="Verdana" w:hAnsi="Verdana" w:cs="Arial"/>
          <w:sz w:val="20"/>
          <w:szCs w:val="20"/>
        </w:rPr>
        <w:t xml:space="preserve">, a la </w:t>
      </w:r>
      <w:r w:rsidRPr="00392904">
        <w:rPr>
          <w:rFonts w:ascii="Verdana" w:hAnsi="Verdana" w:cs="Arial"/>
          <w:i/>
          <w:sz w:val="20"/>
          <w:szCs w:val="20"/>
        </w:rPr>
        <w:t>existencia</w:t>
      </w:r>
      <w:r w:rsidRPr="00392904">
        <w:rPr>
          <w:rFonts w:ascii="Verdana" w:hAnsi="Verdana" w:cs="Arial"/>
          <w:sz w:val="20"/>
          <w:szCs w:val="20"/>
        </w:rPr>
        <w:t xml:space="preserve"> misma de esos </w:t>
      </w:r>
      <w:r w:rsidRPr="00392904">
        <w:rPr>
          <w:rFonts w:ascii="Verdana" w:hAnsi="Verdana" w:cs="Arial"/>
          <w:sz w:val="20"/>
          <w:szCs w:val="20"/>
        </w:rPr>
        <w:lastRenderedPageBreak/>
        <w:t>derechos. Pero ese mismo menor puede ser propietario o acreedor; puede poseer bienes, tener una fortuna considerable; desde este punto de vista, en ese terreno, le pertenece la capacidad de goce, pero, esos derechos de que está investido de propiedad o de crédito, no puede ejercerlos por sí mismo, sobre todo sí es todavía un niño; es preciso, de toda necesidad, que alguien los ejerza por él, en su nombre. Le falta capacidad de ejercicio.</w:t>
      </w:r>
    </w:p>
    <w:p w14:paraId="568D2A9E"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p>
    <w:p w14:paraId="00A8D0BC" w14:textId="77777777" w:rsidR="00BC6358" w:rsidRPr="00392904" w:rsidRDefault="00BC6358" w:rsidP="00BC6358">
      <w:pPr>
        <w:tabs>
          <w:tab w:val="left" w:pos="8505"/>
        </w:tabs>
        <w:spacing w:after="0" w:line="240" w:lineRule="auto"/>
        <w:ind w:left="8505" w:right="709" w:hanging="7796"/>
        <w:jc w:val="both"/>
        <w:rPr>
          <w:rFonts w:ascii="Verdana" w:hAnsi="Verdana" w:cs="Arial"/>
          <w:sz w:val="20"/>
          <w:szCs w:val="20"/>
        </w:rPr>
      </w:pPr>
      <w:r>
        <w:rPr>
          <w:rFonts w:ascii="Verdana" w:hAnsi="Verdana" w:cs="Arial"/>
          <w:sz w:val="20"/>
          <w:szCs w:val="20"/>
        </w:rPr>
        <w:t>(</w:t>
      </w:r>
      <w:r w:rsidRPr="00392904">
        <w:rPr>
          <w:rFonts w:ascii="Verdana" w:hAnsi="Verdana" w:cs="Arial"/>
          <w:sz w:val="20"/>
          <w:szCs w:val="20"/>
        </w:rPr>
        <w:t>…</w:t>
      </w:r>
      <w:r>
        <w:rPr>
          <w:rFonts w:ascii="Verdana" w:hAnsi="Verdana" w:cs="Arial"/>
          <w:sz w:val="20"/>
          <w:szCs w:val="20"/>
        </w:rPr>
        <w:t>)</w:t>
      </w:r>
    </w:p>
    <w:p w14:paraId="675C6DE6"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p>
    <w:p w14:paraId="5FF0F3D6" w14:textId="77777777" w:rsidR="00BC6358" w:rsidRPr="00392904" w:rsidRDefault="00BC6358" w:rsidP="00BC6358">
      <w:pPr>
        <w:tabs>
          <w:tab w:val="left" w:pos="8505"/>
        </w:tabs>
        <w:spacing w:after="0" w:line="240" w:lineRule="auto"/>
        <w:ind w:left="709" w:right="709"/>
        <w:jc w:val="both"/>
        <w:rPr>
          <w:rFonts w:ascii="Verdana" w:hAnsi="Verdana" w:cs="Arial"/>
          <w:sz w:val="20"/>
          <w:szCs w:val="20"/>
        </w:rPr>
      </w:pPr>
      <w:r w:rsidRPr="00392904">
        <w:rPr>
          <w:rFonts w:ascii="Verdana" w:hAnsi="Verdana" w:cs="Arial"/>
          <w:sz w:val="20"/>
          <w:szCs w:val="20"/>
        </w:rPr>
        <w:t>Resulta de las explicaciones precedentes que la incapacidad de goce es más grave que la de ejercicio, porque la primera lleva consigo la segunda, y no recíprocamente. Y, sobre todo, una es irremediable mientras que la otra lleva consigo paliativos, remedios: el menor es incapaz de ejercitar los derechos que le pertenecen, pero eso no importa, porque alguien los ejercerá por él, su padre o su tutor. Lo esencial es tener, poseer los derechos; la cuestión de su ejercicio es, si no secundaria, por lo menos susceptible de ser resuelta por un medio o por otro”</w:t>
      </w:r>
      <w:r w:rsidRPr="00392904">
        <w:rPr>
          <w:rStyle w:val="Refdenotaalpie"/>
          <w:rFonts w:ascii="Verdana" w:hAnsi="Verdana" w:cs="Arial"/>
          <w:sz w:val="20"/>
          <w:szCs w:val="20"/>
        </w:rPr>
        <w:footnoteReference w:id="7"/>
      </w:r>
      <w:r w:rsidRPr="00392904">
        <w:rPr>
          <w:rFonts w:ascii="Verdana" w:hAnsi="Verdana" w:cs="Arial"/>
          <w:sz w:val="20"/>
          <w:szCs w:val="20"/>
        </w:rPr>
        <w:t xml:space="preserve">. (Énfasis dentro del texto)               </w:t>
      </w:r>
    </w:p>
    <w:p w14:paraId="39C73188" w14:textId="77777777" w:rsidR="00BC6358" w:rsidRPr="00392904" w:rsidRDefault="00BC6358" w:rsidP="00BC6358">
      <w:pPr>
        <w:tabs>
          <w:tab w:val="left" w:pos="709"/>
        </w:tabs>
        <w:spacing w:after="0" w:line="276" w:lineRule="auto"/>
        <w:ind w:firstLine="709"/>
        <w:jc w:val="both"/>
        <w:rPr>
          <w:rFonts w:ascii="Verdana" w:hAnsi="Verdana" w:cs="Arial"/>
        </w:rPr>
      </w:pPr>
    </w:p>
    <w:p w14:paraId="29C4119D" w14:textId="77777777" w:rsidR="00BC6358" w:rsidRPr="00392904" w:rsidRDefault="00BC6358" w:rsidP="00BC6358">
      <w:pPr>
        <w:tabs>
          <w:tab w:val="left" w:pos="709"/>
        </w:tabs>
        <w:spacing w:after="120" w:line="276" w:lineRule="auto"/>
        <w:ind w:firstLine="709"/>
        <w:jc w:val="both"/>
        <w:rPr>
          <w:rFonts w:ascii="Verdana" w:hAnsi="Verdana" w:cs="Arial"/>
        </w:rPr>
      </w:pPr>
      <w:r w:rsidRPr="00392904">
        <w:rPr>
          <w:rFonts w:ascii="Verdana" w:hAnsi="Verdana" w:cs="Arial"/>
        </w:rPr>
        <w:t>Por ello, ante la necesidad de proteger a determinados sujetos, el ordenamiento jurídico exige que se actúe a través de terceros, bien sea para adquirir derechos o contraer obligaciones. No en vano, el Código Civil dispone que “La capacidad legal de una persona consiste en poderse obligar por sí misma, y sin el ministerio o la autorización de otra” –inciso 2 del artículo 1502– y que “Toda persona es legalmente capaz, excepto aquéllas que la ley declara incapaces” –artículo 1503–</w:t>
      </w:r>
      <w:r w:rsidRPr="00392904">
        <w:rPr>
          <w:rStyle w:val="Refdenotaalpie"/>
          <w:rFonts w:ascii="Verdana" w:hAnsi="Verdana" w:cs="Arial"/>
        </w:rPr>
        <w:footnoteReference w:id="8"/>
      </w:r>
      <w:r w:rsidRPr="00392904">
        <w:rPr>
          <w:rFonts w:ascii="Verdana" w:hAnsi="Verdana" w:cs="Arial"/>
        </w:rPr>
        <w:t>.</w:t>
      </w:r>
    </w:p>
    <w:p w14:paraId="61E47A64" w14:textId="77777777" w:rsidR="00BC6358" w:rsidRPr="00392904" w:rsidRDefault="00BC6358" w:rsidP="00BC6358">
      <w:pPr>
        <w:spacing w:after="120" w:line="276" w:lineRule="auto"/>
        <w:ind w:firstLine="708"/>
        <w:jc w:val="both"/>
        <w:rPr>
          <w:rFonts w:ascii="Verdana" w:hAnsi="Verdana" w:cs="Arial"/>
          <w:lang w:val="es-ES_tradnl"/>
        </w:rPr>
      </w:pPr>
      <w:r w:rsidRPr="00392904">
        <w:rPr>
          <w:rFonts w:ascii="Verdana" w:hAnsi="Verdana" w:cs="Arial"/>
        </w:rPr>
        <w:t xml:space="preserve">Para el Consejo de Estado </w:t>
      </w:r>
      <w:r>
        <w:rPr>
          <w:rFonts w:ascii="Verdana" w:hAnsi="Verdana" w:cs="Arial"/>
        </w:rPr>
        <w:t>“</w:t>
      </w:r>
      <w:r w:rsidRPr="00392904">
        <w:rPr>
          <w:rFonts w:ascii="Verdana" w:hAnsi="Verdana" w:cs="Arial"/>
        </w:rPr>
        <w:t xml:space="preserve">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w:t>
      </w:r>
      <w:r w:rsidRPr="00392904">
        <w:rPr>
          <w:rFonts w:ascii="Verdana" w:hAnsi="Verdana" w:cs="Arial"/>
        </w:rPr>
        <w:lastRenderedPageBreak/>
        <w:t>intervenir en el iter contractual”</w:t>
      </w:r>
      <w:r w:rsidRPr="00392904">
        <w:rPr>
          <w:rStyle w:val="Refdenotaalpie"/>
          <w:rFonts w:ascii="Verdana" w:hAnsi="Verdana" w:cs="Arial"/>
        </w:rPr>
        <w:footnoteReference w:id="9"/>
      </w:r>
      <w:r w:rsidRPr="00392904">
        <w:rPr>
          <w:rFonts w:ascii="Verdana" w:hAnsi="Verdana" w:cs="Arial"/>
        </w:rPr>
        <w:t>. Si bien las inhabilidades y las incompatibilidades guardan relación con las incapacidades particulares que consisten en la prohibición que la ley ha impuesto a ciertas personas para ejecutar ciertos actos</w:t>
      </w:r>
      <w:r w:rsidRPr="00392904">
        <w:rPr>
          <w:rStyle w:val="Refdenotaalpie"/>
          <w:rFonts w:ascii="Verdana" w:hAnsi="Verdana" w:cs="Arial"/>
        </w:rPr>
        <w:footnoteReference w:id="10"/>
      </w:r>
      <w:r w:rsidRPr="00392904">
        <w:rPr>
          <w:rFonts w:ascii="Verdana" w:hAnsi="Verdana" w:cs="Arial"/>
        </w:rPr>
        <w:t>, para efectos de la capacidad de ejercicio, es necesario estarse a lo dispuesto en inciso 1 del artículo 34 del Código Civil.</w:t>
      </w:r>
      <w:r w:rsidRPr="00392904">
        <w:rPr>
          <w:rFonts w:ascii="Verdana" w:hAnsi="Verdana" w:cs="Arial"/>
          <w:lang w:val="es-ES_tradnl"/>
        </w:rPr>
        <w:t xml:space="preserve"> </w:t>
      </w:r>
    </w:p>
    <w:p w14:paraId="15383DAD" w14:textId="77777777" w:rsidR="00BC6358" w:rsidRPr="008708F3" w:rsidRDefault="00BC6358" w:rsidP="00BC6358">
      <w:pPr>
        <w:spacing w:before="120" w:after="0" w:line="276" w:lineRule="auto"/>
        <w:ind w:firstLine="709"/>
        <w:jc w:val="both"/>
        <w:rPr>
          <w:rFonts w:ascii="Verdana" w:eastAsia="Calibri" w:hAnsi="Verdana" w:cs="Arial"/>
          <w:lang w:val="es-ES" w:eastAsia="es-ES"/>
        </w:rPr>
      </w:pPr>
      <w:r w:rsidRPr="00392904">
        <w:rPr>
          <w:rFonts w:ascii="Verdana" w:eastAsia="Calibri" w:hAnsi="Verdana" w:cs="Arial"/>
          <w:lang w:val="es-ES" w:eastAsia="es-ES"/>
        </w:rPr>
        <w:t>Se concluye que, las personas naturales que tienen capacidad jurídica para contratar son los mayores de edad, salvo que por disposición expresa se encuentren limitados por decisión judicial, y que no estén incursas en inhabilidades, incompatibilidades o prohibiciones derivadas de la ley.</w:t>
      </w:r>
      <w:r w:rsidRPr="008708F3">
        <w:rPr>
          <w:rFonts w:ascii="Verdana" w:eastAsia="Calibri" w:hAnsi="Verdana" w:cs="Arial"/>
          <w:lang w:val="es-ES" w:eastAsia="es-ES"/>
        </w:rPr>
        <w:t xml:space="preserve"> </w:t>
      </w:r>
    </w:p>
    <w:p w14:paraId="29A2C62E" w14:textId="77777777" w:rsidR="00BC6358" w:rsidRPr="008708F3" w:rsidRDefault="00BC6358" w:rsidP="00BC6358">
      <w:pPr>
        <w:spacing w:after="0" w:line="276" w:lineRule="auto"/>
        <w:jc w:val="both"/>
        <w:rPr>
          <w:rFonts w:ascii="Verdana" w:hAnsi="Verdana" w:cs="Arial"/>
          <w:lang w:val="es-ES_tradnl"/>
        </w:rPr>
      </w:pPr>
    </w:p>
    <w:p w14:paraId="64998C41" w14:textId="77777777" w:rsidR="00BC6358" w:rsidRPr="00620DA8" w:rsidRDefault="00BC6358" w:rsidP="00BC6358">
      <w:pPr>
        <w:spacing w:after="120" w:line="276" w:lineRule="auto"/>
        <w:jc w:val="both"/>
        <w:rPr>
          <w:rFonts w:ascii="Verdana" w:eastAsia="Calibri" w:hAnsi="Verdana" w:cs="Arial"/>
          <w:lang w:val="es-ES_tradnl" w:eastAsia="es-ES_tradnl"/>
        </w:rPr>
      </w:pPr>
      <w:r w:rsidRPr="00620DA8">
        <w:rPr>
          <w:rFonts w:ascii="Verdana" w:eastAsia="Calibri" w:hAnsi="Verdana" w:cs="Arial"/>
        </w:rPr>
        <w:t>iii. Por otra parte, e</w:t>
      </w:r>
      <w:r w:rsidRPr="00620DA8">
        <w:rPr>
          <w:rFonts w:ascii="Verdana" w:eastAsia="Calibri" w:hAnsi="Verdana" w:cs="Arial"/>
          <w:lang w:val="es-ES_tradnl" w:eastAsia="es-ES_tradnl"/>
        </w:rPr>
        <w:t xml:space="preserve">n el </w:t>
      </w:r>
      <w:r w:rsidRPr="00620DA8">
        <w:rPr>
          <w:rFonts w:ascii="Verdana" w:eastAsia="Times New Roman" w:hAnsi="Verdana" w:cs="Arial"/>
          <w:lang w:val="es-ES" w:eastAsia="es-ES"/>
        </w:rPr>
        <w:t xml:space="preserve">Registro Único Empresarial y Social –en adelante </w:t>
      </w:r>
      <w:r w:rsidRPr="00620DA8">
        <w:rPr>
          <w:rFonts w:ascii="Verdana" w:eastAsia="Times New Roman" w:hAnsi="Verdana" w:cs="Arial"/>
          <w:lang w:val="es-ES_tradnl" w:eastAsia="es-ES_tradnl"/>
        </w:rPr>
        <w:t>RUES</w:t>
      </w:r>
      <w:r w:rsidRPr="00620DA8">
        <w:rPr>
          <w:rFonts w:ascii="Verdana" w:eastAsia="Times New Roman" w:hAnsi="Verdana" w:cs="Arial"/>
          <w:lang w:val="es-ES" w:eastAsia="es-ES"/>
        </w:rPr>
        <w:t>–</w:t>
      </w:r>
      <w:r w:rsidRPr="00620DA8">
        <w:rPr>
          <w:rFonts w:ascii="Verdana" w:eastAsia="Times New Roman" w:hAnsi="Verdana" w:cs="Arial"/>
          <w:lang w:val="es-ES_tradnl" w:eastAsia="es-ES_tradnl"/>
        </w:rPr>
        <w:t>,</w:t>
      </w:r>
      <w:r>
        <w:rPr>
          <w:rFonts w:ascii="Verdana" w:eastAsia="Times New Roman" w:hAnsi="Verdana" w:cs="Arial"/>
          <w:lang w:val="es-ES_tradnl" w:eastAsia="es-ES_tradnl"/>
        </w:rPr>
        <w:t xml:space="preserve"> </w:t>
      </w:r>
      <w:r w:rsidRPr="00620DA8">
        <w:rPr>
          <w:rFonts w:ascii="Verdana" w:eastAsia="Times New Roman" w:hAnsi="Verdana" w:cs="Arial"/>
          <w:lang w:val="es-ES_tradnl" w:eastAsia="es-ES_tradnl"/>
        </w:rPr>
        <w:t xml:space="preserve">administrado por las Cámaras de Comercio, se encuentra el listado de las actividades económicas que desarrolla cada empresa, según los códigos de la Clasificación Industrial Internacional Uniforme –CIIU–, en virtud de lo dispuesto en el artículo 11 de la Ley 590 de 2000 y el artículo 166 del Decreto Ley 019 de 2012. </w:t>
      </w:r>
    </w:p>
    <w:p w14:paraId="71A686A2" w14:textId="77777777" w:rsidR="00BC6358" w:rsidRDefault="00BC6358" w:rsidP="00BC6358">
      <w:pPr>
        <w:spacing w:after="120" w:line="276" w:lineRule="auto"/>
        <w:ind w:firstLine="708"/>
        <w:jc w:val="both"/>
        <w:rPr>
          <w:rFonts w:ascii="Verdana" w:eastAsia="Calibri" w:hAnsi="Verdana" w:cs="Arial"/>
          <w:color w:val="000000" w:themeColor="text1"/>
        </w:rPr>
      </w:pPr>
      <w:r w:rsidRPr="00FA4CEE">
        <w:rPr>
          <w:rFonts w:ascii="Verdana" w:eastAsia="Calibri" w:hAnsi="Verdana" w:cs="Arial"/>
          <w:color w:val="000000" w:themeColor="text1"/>
        </w:rPr>
        <w:t xml:space="preserve">Sin embargo, ninguna de las normas citadas en el acápite precedente condiciona la capacidad de las </w:t>
      </w:r>
      <w:r w:rsidRPr="006B1C6E">
        <w:rPr>
          <w:rFonts w:ascii="Verdana" w:eastAsia="Calibri" w:hAnsi="Verdana" w:cs="Arial"/>
          <w:color w:val="000000" w:themeColor="text1"/>
        </w:rPr>
        <w:t>personas naturales</w:t>
      </w:r>
      <w:r w:rsidRPr="00FA4CEE">
        <w:rPr>
          <w:rFonts w:ascii="Verdana" w:eastAsia="Calibri" w:hAnsi="Verdana" w:cs="Arial"/>
          <w:color w:val="000000" w:themeColor="text1"/>
        </w:rPr>
        <w:t xml:space="preserve"> a los códigos mencionados</w:t>
      </w:r>
      <w:r>
        <w:rPr>
          <w:rFonts w:ascii="Verdana" w:eastAsia="Calibri" w:hAnsi="Verdana" w:cs="Arial"/>
          <w:color w:val="000000" w:themeColor="text1"/>
        </w:rPr>
        <w:t>.</w:t>
      </w:r>
      <w:r w:rsidRPr="00620DA8">
        <w:rPr>
          <w:rFonts w:ascii="Verdana" w:eastAsia="Calibri" w:hAnsi="Verdana" w:cs="Arial"/>
          <w:color w:val="000000" w:themeColor="text1"/>
        </w:rPr>
        <w:t xml:space="preserve"> L</w:t>
      </w:r>
      <w:r>
        <w:rPr>
          <w:rFonts w:ascii="Verdana" w:eastAsia="Calibri" w:hAnsi="Verdana" w:cs="Arial"/>
          <w:color w:val="000000" w:themeColor="text1"/>
        </w:rPr>
        <w:t>os</w:t>
      </w:r>
      <w:r w:rsidRPr="00620DA8">
        <w:rPr>
          <w:rFonts w:ascii="Verdana" w:eastAsia="Calibri" w:hAnsi="Verdana" w:cs="Arial"/>
          <w:color w:val="000000" w:themeColor="text1"/>
        </w:rPr>
        <w:t xml:space="preserve"> </w:t>
      </w:r>
      <w:r w:rsidRPr="00620DA8">
        <w:rPr>
          <w:rFonts w:ascii="Verdana" w:eastAsia="Times New Roman" w:hAnsi="Verdana" w:cs="Arial"/>
          <w:color w:val="000000" w:themeColor="text1"/>
          <w:lang w:val="es-ES_tradnl" w:eastAsia="es-ES_tradnl"/>
        </w:rPr>
        <w:t>CIIU</w:t>
      </w:r>
      <w:r w:rsidRPr="00620DA8">
        <w:rPr>
          <w:rFonts w:ascii="Verdana" w:eastAsia="Calibri" w:hAnsi="Verdana" w:cs="Arial"/>
          <w:color w:val="000000" w:themeColor="text1"/>
        </w:rPr>
        <w:t xml:space="preserve"> corresponde a un sistema estandarizado desarrollado por las Naciones Unidas para clasificar las actividades económicas en distintos sectores. Como </w:t>
      </w:r>
      <w:r w:rsidRPr="00620DA8">
        <w:rPr>
          <w:rFonts w:ascii="Verdana" w:eastAsia="Calibri" w:hAnsi="Verdana" w:cs="Arial"/>
          <w:color w:val="000000" w:themeColor="text1"/>
        </w:rPr>
        <w:lastRenderedPageBreak/>
        <w:t>explica el DANE, su objetivo es facilitar la recopilación, análisis y comparación de datos estadísticos a nivel nacional e internacional:</w:t>
      </w:r>
    </w:p>
    <w:p w14:paraId="1C87D9B5" w14:textId="77777777" w:rsidR="00BC6358" w:rsidRPr="00620DA8" w:rsidRDefault="00BC6358" w:rsidP="00BC6358">
      <w:pPr>
        <w:spacing w:after="0" w:line="240" w:lineRule="auto"/>
        <w:ind w:firstLine="709"/>
        <w:jc w:val="both"/>
        <w:rPr>
          <w:rFonts w:ascii="Verdana" w:eastAsia="Calibri" w:hAnsi="Verdana" w:cs="Arial"/>
          <w:color w:val="000000" w:themeColor="text1"/>
        </w:rPr>
      </w:pPr>
    </w:p>
    <w:p w14:paraId="22B7BB1D" w14:textId="77777777" w:rsidR="00BC6358" w:rsidRPr="00FA4CEE" w:rsidRDefault="00BC6358" w:rsidP="00BC6358">
      <w:pPr>
        <w:spacing w:after="0" w:line="240" w:lineRule="auto"/>
        <w:ind w:left="709" w:right="709"/>
        <w:jc w:val="both"/>
        <w:rPr>
          <w:rFonts w:ascii="Verdana" w:eastAsia="Calibri" w:hAnsi="Verdana" w:cs="Arial"/>
          <w:color w:val="000000" w:themeColor="text1"/>
          <w:sz w:val="20"/>
          <w:szCs w:val="20"/>
        </w:rPr>
      </w:pPr>
      <w:r w:rsidRPr="00620DA8">
        <w:rPr>
          <w:rFonts w:ascii="Verdana" w:eastAsia="Calibri" w:hAnsi="Verdana" w:cs="Arial"/>
          <w:color w:val="000000" w:themeColor="text1"/>
          <w:sz w:val="20"/>
          <w:szCs w:val="20"/>
        </w:rPr>
        <w:t>“La CIIU tiene por finalidad establecer una clasificación uniforme de las actividades económicas productivas. Su propósito principal es ofrecer un conjunto de categorías de actividades económicas que se pueda utilizar para la reunión y presentación de estadísticas de acuerdo con esas actividades. Por consiguiente, la CIIU se propone presentar ese conjunto de categorías de actividades de tal modo que las entidades puedan clasificarse según la actividad económica que realizan. Las categorías de la CIIU se han definido vinculándolas, en la medida de lo posible, con la forma en que el proceso económico está estructurado en diferentes tipos de unidades estadísticas y la manera como se describe ese proceso en las estadísticas económicas”</w:t>
      </w:r>
      <w:r w:rsidRPr="00620DA8">
        <w:rPr>
          <w:rFonts w:ascii="Verdana" w:eastAsia="Calibri" w:hAnsi="Verdana" w:cs="Arial"/>
          <w:color w:val="000000" w:themeColor="text1"/>
          <w:sz w:val="20"/>
          <w:szCs w:val="20"/>
          <w:vertAlign w:val="superscript"/>
        </w:rPr>
        <w:footnoteReference w:id="11"/>
      </w:r>
      <w:r w:rsidRPr="00620DA8">
        <w:rPr>
          <w:rFonts w:ascii="Verdana" w:eastAsia="Calibri" w:hAnsi="Verdana" w:cs="Arial"/>
          <w:color w:val="000000" w:themeColor="text1"/>
          <w:sz w:val="20"/>
          <w:szCs w:val="20"/>
        </w:rPr>
        <w:t>.</w:t>
      </w:r>
      <w:r w:rsidRPr="00FA4CEE">
        <w:rPr>
          <w:rFonts w:ascii="Verdana" w:eastAsia="Calibri" w:hAnsi="Verdana" w:cs="Arial"/>
          <w:color w:val="000000" w:themeColor="text1"/>
          <w:sz w:val="20"/>
          <w:szCs w:val="20"/>
        </w:rPr>
        <w:t xml:space="preserve"> </w:t>
      </w:r>
    </w:p>
    <w:p w14:paraId="7D921083" w14:textId="77777777" w:rsidR="00BC6358" w:rsidRPr="00636C44" w:rsidRDefault="00BC6358" w:rsidP="00BC6358">
      <w:pPr>
        <w:spacing w:after="0" w:line="276" w:lineRule="auto"/>
        <w:ind w:firstLine="708"/>
        <w:jc w:val="both"/>
        <w:rPr>
          <w:rFonts w:ascii="Verdana" w:hAnsi="Verdana" w:cs="Arial"/>
          <w:color w:val="000000" w:themeColor="text1"/>
        </w:rPr>
      </w:pPr>
    </w:p>
    <w:p w14:paraId="67906EA5" w14:textId="77777777" w:rsidR="00BC6358" w:rsidRPr="00160294" w:rsidRDefault="00BC6358" w:rsidP="00BC6358">
      <w:pPr>
        <w:pBdr>
          <w:top w:val="nil"/>
          <w:left w:val="nil"/>
          <w:bottom w:val="nil"/>
          <w:right w:val="nil"/>
          <w:between w:val="nil"/>
        </w:pBdr>
        <w:spacing w:after="120" w:line="276" w:lineRule="auto"/>
        <w:ind w:firstLine="708"/>
        <w:jc w:val="both"/>
        <w:rPr>
          <w:rFonts w:ascii="Verdana" w:eastAsia="Calibri" w:hAnsi="Verdana" w:cs="Arial"/>
        </w:rPr>
      </w:pPr>
      <w:r w:rsidRPr="00160294">
        <w:rPr>
          <w:rFonts w:ascii="Verdana" w:eastAsia="Calibri" w:hAnsi="Verdana" w:cs="Arial"/>
        </w:rPr>
        <w:t xml:space="preserve">De esta manera, los códigos del </w:t>
      </w:r>
      <w:r w:rsidRPr="00160294">
        <w:rPr>
          <w:rFonts w:ascii="Verdana" w:eastAsia="Times New Roman" w:hAnsi="Verdana" w:cs="Arial"/>
          <w:lang w:val="es-ES_tradnl" w:eastAsia="es-ES_tradnl"/>
        </w:rPr>
        <w:t>CIIU</w:t>
      </w:r>
      <w:r w:rsidRPr="00160294">
        <w:rPr>
          <w:rFonts w:ascii="Verdana" w:eastAsia="Calibri" w:hAnsi="Verdana" w:cs="Arial"/>
        </w:rPr>
        <w:t xml:space="preserve"> tienen efectos declarativos, no constitutivos. Por ello, respecto de la persona natural existe capacidad jurídica </w:t>
      </w:r>
      <w:r w:rsidRPr="00160294">
        <w:rPr>
          <w:rFonts w:ascii="Verdana" w:eastAsia="Calibri" w:hAnsi="Verdana" w:cs="Arial"/>
          <w:lang w:val="es-ES" w:eastAsia="es-ES"/>
        </w:rPr>
        <w:t xml:space="preserve">cuando son mayores de edad, salvo que por disposición expresa se encuentren limitados por decisión judicial, y que no estén incursas en inhabilidades, incompatibilidades o prohibiciones derivadas de la ley </w:t>
      </w:r>
      <w:r w:rsidRPr="00160294">
        <w:rPr>
          <w:rFonts w:ascii="Verdana" w:eastAsia="Calibri" w:hAnsi="Verdana" w:cs="Arial"/>
        </w:rPr>
        <w:t xml:space="preserve">y aquella se mantiene aunque la actividad económica no se haya recogido en la clasificación. </w:t>
      </w:r>
    </w:p>
    <w:p w14:paraId="2AF18FED" w14:textId="77777777" w:rsidR="00BC6358" w:rsidRPr="00160294" w:rsidRDefault="00BC6358" w:rsidP="00BC6358">
      <w:pPr>
        <w:pBdr>
          <w:top w:val="nil"/>
          <w:left w:val="nil"/>
          <w:bottom w:val="nil"/>
          <w:right w:val="nil"/>
          <w:between w:val="nil"/>
        </w:pBdr>
        <w:spacing w:after="0" w:line="276" w:lineRule="auto"/>
        <w:ind w:firstLine="708"/>
        <w:jc w:val="both"/>
        <w:rPr>
          <w:rFonts w:ascii="Verdana" w:eastAsia="Times New Roman" w:hAnsi="Verdana" w:cs="Arial"/>
          <w:lang w:val="es-ES_tradnl" w:eastAsia="es-ES_tradnl"/>
        </w:rPr>
      </w:pPr>
      <w:r w:rsidRPr="00160294">
        <w:rPr>
          <w:rFonts w:ascii="Verdana" w:eastAsia="Calibri" w:hAnsi="Verdana" w:cs="Arial"/>
        </w:rPr>
        <w:t xml:space="preserve">Sin perjuicio de lo anterior, sumado a las implicaciones estadísticas de la </w:t>
      </w:r>
      <w:r w:rsidRPr="00160294">
        <w:rPr>
          <w:rFonts w:ascii="Verdana" w:eastAsia="Times New Roman" w:hAnsi="Verdana" w:cs="Arial"/>
          <w:lang w:val="es-ES_tradnl" w:eastAsia="es-ES_tradnl"/>
        </w:rPr>
        <w:t>CIIU, los interesados deben registrar adecuadamente los códigos de sus actividades económicas en el RUES. Lo anterior teniendo en cuenta que son un parámetro para la DIAN en lo relativo al control y determinación de los impuestos y demás obligaciones tributarias, aduaneras y cambiarias.</w:t>
      </w:r>
    </w:p>
    <w:p w14:paraId="102B44BA" w14:textId="77777777" w:rsidR="00BC6358" w:rsidRPr="00D73D08" w:rsidRDefault="00BC6358" w:rsidP="00BC6358">
      <w:pPr>
        <w:tabs>
          <w:tab w:val="left" w:pos="3900"/>
        </w:tabs>
        <w:spacing w:after="0" w:line="276" w:lineRule="auto"/>
        <w:ind w:firstLine="708"/>
        <w:jc w:val="both"/>
        <w:rPr>
          <w:rFonts w:ascii="Verdana" w:hAnsi="Verdana" w:cs="Arial"/>
          <w:color w:val="000000" w:themeColor="text1"/>
          <w:lang w:val="es-ES_tradnl"/>
        </w:rPr>
      </w:pPr>
    </w:p>
    <w:p w14:paraId="66F84DF0" w14:textId="77777777" w:rsidR="00BC6358" w:rsidRPr="00E47911" w:rsidRDefault="00BC6358" w:rsidP="00BC6358">
      <w:pPr>
        <w:pBdr>
          <w:top w:val="nil"/>
          <w:left w:val="nil"/>
          <w:bottom w:val="nil"/>
          <w:right w:val="nil"/>
          <w:between w:val="nil"/>
        </w:pBdr>
        <w:spacing w:after="120" w:line="276" w:lineRule="auto"/>
        <w:jc w:val="both"/>
        <w:rPr>
          <w:rFonts w:ascii="Verdana" w:eastAsia="Calibri" w:hAnsi="Verdana" w:cs="Arial"/>
          <w:color w:val="000000" w:themeColor="text1"/>
        </w:rPr>
      </w:pPr>
      <w:r>
        <w:rPr>
          <w:rFonts w:ascii="Verdana" w:hAnsi="Verdana" w:cs="Arial"/>
          <w:lang w:eastAsia="es-ES"/>
        </w:rPr>
        <w:t xml:space="preserve">iv. </w:t>
      </w: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 la gestión contractual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 xml:space="preserve">Por lo anterior, previo concepto de sus asesores, la solución de </w:t>
      </w:r>
      <w:r w:rsidRPr="00301910">
        <w:rPr>
          <w:rFonts w:ascii="Verdana" w:hAnsi="Verdana" w:cs="Arial"/>
          <w:lang w:eastAsia="es-ES"/>
        </w:rPr>
        <w:lastRenderedPageBreak/>
        <w:t>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5ED2DD22" w14:textId="77777777" w:rsidR="00BC6358" w:rsidRDefault="00BC6358" w:rsidP="00BC6358">
      <w:pPr>
        <w:spacing w:before="120" w:after="0" w:line="276" w:lineRule="auto"/>
        <w:ind w:firstLine="709"/>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r>
        <w:rPr>
          <w:rFonts w:ascii="Verdana" w:hAnsi="Verdana" w:cs="Arial"/>
          <w:lang w:eastAsia="es-ES"/>
        </w:rPr>
        <w:t>Así</w:t>
      </w:r>
      <w:r w:rsidRPr="00301910">
        <w:rPr>
          <w:rFonts w:ascii="Verdana" w:hAnsi="Verdana" w:cs="Arial"/>
          <w:lang w:eastAsia="es-ES"/>
        </w:rPr>
        <w:t>, cada Entidad definirá la forma de adelantar su gestión contractual, sin que sea atribución de Colombia Compra Eficiente validar sus actuaciones.</w:t>
      </w:r>
    </w:p>
    <w:p w14:paraId="5A7A3F3C" w14:textId="77777777" w:rsidR="00BC6358" w:rsidRPr="00301910" w:rsidRDefault="00BC6358" w:rsidP="00BC6358">
      <w:pPr>
        <w:spacing w:before="120" w:after="0" w:line="276" w:lineRule="auto"/>
        <w:ind w:firstLine="709"/>
        <w:jc w:val="both"/>
        <w:rPr>
          <w:rFonts w:ascii="Verdana" w:hAnsi="Verdana" w:cs="Arial"/>
          <w:lang w:eastAsia="es-ES"/>
        </w:rPr>
      </w:pPr>
    </w:p>
    <w:p w14:paraId="1ED8D17E" w14:textId="77777777" w:rsidR="00BC6358" w:rsidRPr="00635125" w:rsidRDefault="00BC6358" w:rsidP="00BC6358">
      <w:pPr>
        <w:spacing w:after="120" w:line="276" w:lineRule="auto"/>
        <w:jc w:val="both"/>
        <w:rPr>
          <w:rFonts w:ascii="Verdana" w:eastAsia="Century Gothic" w:hAnsi="Verdana" w:cs="Century Gothic"/>
          <w:b/>
          <w:lang w:val="es-ES"/>
        </w:rPr>
      </w:pPr>
      <w:r w:rsidRPr="00635125">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C6358" w:rsidRPr="00FD09FB" w14:paraId="2ABE7E10" w14:textId="77777777" w:rsidTr="001A1E9A">
        <w:trPr>
          <w:trHeight w:val="494"/>
        </w:trPr>
        <w:tc>
          <w:tcPr>
            <w:tcW w:w="8647" w:type="dxa"/>
          </w:tcPr>
          <w:p w14:paraId="7EE98970"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Constitución Política de Colombia. Artículo 14.</w:t>
            </w:r>
          </w:p>
          <w:p w14:paraId="604A9681"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Código Civil Colombiano. Artículos 1502, 1503 y 1504.</w:t>
            </w:r>
          </w:p>
          <w:p w14:paraId="287CC6C7"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Ley 80 de 1993. Artículo 6</w:t>
            </w:r>
          </w:p>
          <w:p w14:paraId="55E29A0E"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 xml:space="preserve">Ley 1150 de 2007. Artículos 5, 6 </w:t>
            </w:r>
          </w:p>
          <w:p w14:paraId="713CFC26"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Consejo de Estado. Sección Tercera. Sentencia del 26 de enero de 2011. Rad. 36.408. C.P. Jaime Orlando Santofimio Gamboa.</w:t>
            </w:r>
          </w:p>
          <w:p w14:paraId="4BA241AE" w14:textId="77777777" w:rsidR="00BC6358" w:rsidRPr="00903124" w:rsidRDefault="00BC6358" w:rsidP="001A1E9A">
            <w:pPr>
              <w:widowControl w:val="0"/>
              <w:numPr>
                <w:ilvl w:val="0"/>
                <w:numId w:val="16"/>
              </w:numPr>
              <w:autoSpaceDE w:val="0"/>
              <w:autoSpaceDN w:val="0"/>
              <w:spacing w:line="276" w:lineRule="auto"/>
              <w:jc w:val="both"/>
              <w:rPr>
                <w:rFonts w:ascii="Verdana" w:eastAsia="Arial MT" w:hAnsi="Verdana" w:cs="Arial"/>
                <w:bCs/>
                <w:lang w:eastAsia="es-ES" w:bidi="es-ES"/>
              </w:rPr>
            </w:pPr>
            <w:r w:rsidRPr="00903124">
              <w:rPr>
                <w:rFonts w:ascii="Verdana" w:eastAsia="Arial MT" w:hAnsi="Verdana" w:cs="Arial"/>
                <w:bCs/>
                <w:lang w:eastAsia="es-ES" w:bidi="es-ES"/>
              </w:rPr>
              <w:t xml:space="preserve">Departamento Administrativo Nacional de Estadística. Clasificación Industrial Internacional Uniforme de todas las actividades económicas. Revisión 4 Adaptada para Colombia. 2022. Consultado el 19 de marzo de 2025 en la página web </w:t>
            </w:r>
            <w:hyperlink r:id="rId11" w:history="1">
              <w:r w:rsidRPr="00DE2B9F">
                <w:rPr>
                  <w:rStyle w:val="Hipervnculo"/>
                  <w:rFonts w:ascii="Verdana" w:eastAsia="Arial MT" w:hAnsi="Verdana" w:cs="Arial"/>
                  <w:bCs/>
                  <w:lang w:eastAsia="es-ES" w:bidi="es-ES"/>
                </w:rPr>
                <w:t>https://www.dane.gov.co/files/sen/nomenclatura/ciiu/CIIU_Rev_4_AC2022.pdf</w:t>
              </w:r>
            </w:hyperlink>
            <w:r w:rsidRPr="00903124">
              <w:rPr>
                <w:rFonts w:ascii="Verdana" w:eastAsia="Arial MT" w:hAnsi="Verdana" w:cs="Arial"/>
                <w:bCs/>
                <w:lang w:eastAsia="es-ES" w:bidi="es-ES"/>
              </w:rPr>
              <w:t>.</w:t>
            </w:r>
          </w:p>
        </w:tc>
      </w:tr>
    </w:tbl>
    <w:p w14:paraId="68F6FB16" w14:textId="77777777" w:rsidR="00BC6358" w:rsidRPr="00FD09FB" w:rsidRDefault="00BC6358" w:rsidP="00BC6358">
      <w:pPr>
        <w:widowControl w:val="0"/>
        <w:autoSpaceDE w:val="0"/>
        <w:autoSpaceDN w:val="0"/>
        <w:spacing w:after="0" w:line="276" w:lineRule="auto"/>
        <w:jc w:val="both"/>
        <w:rPr>
          <w:rFonts w:ascii="Verdana" w:hAnsi="Verdana" w:cs="Arial"/>
          <w:color w:val="7030A0"/>
          <w:lang w:val="es-ES"/>
        </w:rPr>
      </w:pPr>
    </w:p>
    <w:p w14:paraId="660B5B93" w14:textId="77777777" w:rsidR="00BC6358" w:rsidRPr="00635125" w:rsidRDefault="00BC6358" w:rsidP="00BC6358">
      <w:pPr>
        <w:tabs>
          <w:tab w:val="left" w:pos="142"/>
          <w:tab w:val="left" w:pos="284"/>
        </w:tabs>
        <w:spacing w:after="0" w:line="276" w:lineRule="auto"/>
        <w:jc w:val="both"/>
        <w:rPr>
          <w:rFonts w:ascii="Verdana" w:eastAsia="Century Gothic" w:hAnsi="Verdana" w:cs="Century Gothic"/>
          <w:b/>
          <w:lang w:val="es-ES"/>
        </w:rPr>
      </w:pPr>
      <w:r w:rsidRPr="00635125">
        <w:rPr>
          <w:rFonts w:ascii="Verdana" w:eastAsia="Century Gothic" w:hAnsi="Verdana" w:cs="Century Gothic"/>
          <w:b/>
          <w:lang w:val="es-ES"/>
        </w:rPr>
        <w:t>5. Doctrina de la Agencia Nacional de Contratación Pública:</w:t>
      </w:r>
    </w:p>
    <w:p w14:paraId="5CC4F569" w14:textId="77777777" w:rsidR="00BC6358" w:rsidRPr="00FD09FB" w:rsidRDefault="00BC6358" w:rsidP="00BC6358">
      <w:pPr>
        <w:widowControl w:val="0"/>
        <w:autoSpaceDE w:val="0"/>
        <w:autoSpaceDN w:val="0"/>
        <w:spacing w:after="0" w:line="276" w:lineRule="auto"/>
        <w:jc w:val="both"/>
        <w:rPr>
          <w:rFonts w:ascii="Verdana" w:hAnsi="Verdana" w:cs="Arial"/>
          <w:color w:val="7030A0"/>
          <w:lang w:val="es-ES"/>
        </w:rPr>
      </w:pPr>
    </w:p>
    <w:p w14:paraId="0B07A346" w14:textId="77777777" w:rsidR="00BC6358" w:rsidRPr="00DA790C" w:rsidRDefault="00BC6358" w:rsidP="00BC6358">
      <w:pPr>
        <w:widowControl w:val="0"/>
        <w:autoSpaceDE w:val="0"/>
        <w:autoSpaceDN w:val="0"/>
        <w:spacing w:after="0" w:line="276" w:lineRule="auto"/>
        <w:jc w:val="both"/>
        <w:rPr>
          <w:rFonts w:ascii="Verdana" w:eastAsia="Calibri" w:hAnsi="Verdana" w:cs="Arial"/>
          <w:lang w:val="es-ES_tradnl"/>
        </w:rPr>
      </w:pPr>
      <w:r w:rsidRPr="00772875">
        <w:rPr>
          <w:rFonts w:ascii="Verdana" w:eastAsia="Calibri" w:hAnsi="Verdana" w:cs="Arial"/>
          <w:lang w:val="es-ES"/>
        </w:rPr>
        <w:t xml:space="preserve">La Agencia Nacional de Contratación Pública – Colombia Compra Eficiente se ha referido </w:t>
      </w:r>
      <w:r w:rsidRPr="00772875">
        <w:rPr>
          <w:rFonts w:ascii="Verdana" w:hAnsi="Verdana" w:cs="Arial"/>
          <w:shd w:val="clear" w:color="auto" w:fill="FFFFFF"/>
        </w:rPr>
        <w:t xml:space="preserve">sobre </w:t>
      </w:r>
      <w:r w:rsidRPr="00772875">
        <w:rPr>
          <w:rFonts w:ascii="Verdana" w:eastAsia="Calibri" w:hAnsi="Verdana" w:cs="Arial"/>
          <w:lang w:val="es-ES_tradnl"/>
        </w:rPr>
        <w:t>sobre requisitos habilitantes y los códigos CIIU</w:t>
      </w:r>
      <w:r w:rsidRPr="00772875">
        <w:rPr>
          <w:rFonts w:ascii="Verdana" w:hAnsi="Verdana" w:cs="Arial"/>
          <w:shd w:val="clear" w:color="auto" w:fill="FFFFFF"/>
        </w:rPr>
        <w:t xml:space="preserve"> en</w:t>
      </w:r>
      <w:r w:rsidRPr="00772875">
        <w:rPr>
          <w:rStyle w:val="normaltextrun"/>
          <w:rFonts w:ascii="Verdana" w:hAnsi="Verdana" w:cs="Arial"/>
          <w:shd w:val="clear" w:color="auto" w:fill="FFFFFF"/>
          <w:lang w:val="es-ES"/>
        </w:rPr>
        <w:t xml:space="preserve"> los conceptos</w:t>
      </w:r>
      <w:r w:rsidRPr="00772875">
        <w:rPr>
          <w:rFonts w:ascii="Verdana" w:eastAsia="Aptos" w:hAnsi="Verdana" w:cs="Arial"/>
          <w:shd w:val="clear" w:color="auto" w:fill="FFFFFF"/>
          <w:lang w:val="es-ES"/>
        </w:rPr>
        <w:t xml:space="preserve">, </w:t>
      </w:r>
      <w:r w:rsidRPr="00772875">
        <w:rPr>
          <w:rFonts w:ascii="Verdana" w:eastAsia="Calibri" w:hAnsi="Verdana" w:cs="Arial"/>
          <w:lang w:val="es-ES_tradnl"/>
        </w:rPr>
        <w:t xml:space="preserve">C- 187 del 25 de marzo de 2025, C-296 del 26 de marzo de 2025, C-501 del 03 de junio de 2025, C- 337 del 18 de agosto de 2023, C-397 del 7 de mayo de 2025, C-926 del 18 de agosto de 2025, C-1014 del 01 de septiembre de 2025, C-1153 del 10 de septiembre de 2025, </w:t>
      </w:r>
      <w:r>
        <w:rPr>
          <w:rFonts w:ascii="Verdana" w:eastAsia="Calibri" w:hAnsi="Verdana" w:cs="Arial"/>
          <w:lang w:val="es-ES_tradnl"/>
        </w:rPr>
        <w:t xml:space="preserve">C-302 del 8 de abril de 2026, </w:t>
      </w:r>
      <w:r w:rsidRPr="00772875">
        <w:rPr>
          <w:rFonts w:ascii="Verdana" w:eastAsia="Calibri" w:hAnsi="Verdana" w:cs="Arial"/>
          <w:lang w:val="es-ES_tradnl"/>
        </w:rPr>
        <w:t>entre otros.</w:t>
      </w:r>
      <w:r>
        <w:rPr>
          <w:rFonts w:ascii="Verdana" w:eastAsia="Calibri" w:hAnsi="Verdana" w:cs="Arial"/>
          <w:lang w:val="es-ES_tradnl"/>
        </w:rPr>
        <w:t xml:space="preserve"> </w:t>
      </w:r>
      <w:r w:rsidRPr="00FD09FB">
        <w:rPr>
          <w:rFonts w:ascii="Verdana" w:hAnsi="Verdana" w:cs="Arial"/>
          <w:shd w:val="clear" w:color="auto" w:fill="FFFFFF"/>
          <w:lang w:val="es-ES"/>
        </w:rPr>
        <w:lastRenderedPageBreak/>
        <w:t>Estos</w:t>
      </w:r>
      <w:r w:rsidRPr="00FD09FB">
        <w:rPr>
          <w:rFonts w:ascii="Verdana" w:hAnsi="Verdana"/>
          <w:lang w:val="es-ES"/>
        </w:rPr>
        <w:t xml:space="preserve"> y otros se encuentran disponibles para consulta en el Sistema de relatoría de la Agencia, al cual se puede acceder a través del siguiente enlace:</w:t>
      </w:r>
      <w:r w:rsidRPr="00FD09FB">
        <w:rPr>
          <w:rFonts w:ascii="Verdana" w:hAnsi="Verdana" w:cs="Arial"/>
          <w:shd w:val="clear" w:color="auto" w:fill="FFFFFF"/>
          <w:lang w:val="es-ES"/>
        </w:rPr>
        <w:t xml:space="preserve"> </w:t>
      </w:r>
      <w:hyperlink r:id="rId12" w:history="1">
        <w:r w:rsidRPr="00027D20">
          <w:rPr>
            <w:rStyle w:val="Hipervnculo"/>
            <w:rFonts w:ascii="Verdana" w:hAnsi="Verdana"/>
          </w:rPr>
          <w:t>https://relatoria.colombiacompra.gov.co/busqueda/conceptos</w:t>
        </w:r>
      </w:hyperlink>
    </w:p>
    <w:p w14:paraId="3F0F7E02" w14:textId="77777777" w:rsidR="00BC6358" w:rsidRPr="00FD09FB" w:rsidRDefault="00BC6358" w:rsidP="00BC6358">
      <w:pPr>
        <w:spacing w:after="0" w:line="276" w:lineRule="auto"/>
        <w:jc w:val="both"/>
        <w:rPr>
          <w:rFonts w:ascii="Verdana" w:hAnsi="Verdana"/>
        </w:rPr>
      </w:pPr>
    </w:p>
    <w:bookmarkEnd w:id="0"/>
    <w:p w14:paraId="5061FACD" w14:textId="77777777" w:rsidR="00BC6358" w:rsidRPr="00F74645" w:rsidRDefault="00BC6358" w:rsidP="00BC6358">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59DF6FC6" w14:textId="77777777" w:rsidR="00BC6358" w:rsidRPr="00F74645" w:rsidRDefault="00BC6358" w:rsidP="00BC6358">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6BCFEEF2" w14:textId="77777777" w:rsidR="00BC6358" w:rsidRPr="00F74645" w:rsidRDefault="00BC6358" w:rsidP="00BC6358">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F74645">
        <w:rPr>
          <w:rFonts w:ascii="Verdana" w:eastAsia="Times New Roman" w:hAnsi="Verdana" w:cs="Times New Roman"/>
          <w:color w:val="000000"/>
          <w:lang w:eastAsia="es-CO"/>
        </w:rPr>
        <w:lastRenderedPageBreak/>
        <w:t>aquí: </w:t>
      </w:r>
      <w:hyperlink r:id="rId15"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230EA8F6" w14:textId="77777777" w:rsidR="00BC6358" w:rsidRPr="00F74645" w:rsidRDefault="00BC6358" w:rsidP="00BC6358">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0474A057" w14:textId="77777777" w:rsidR="00BC6358" w:rsidRPr="00F74645" w:rsidRDefault="00BC6358" w:rsidP="00BC6358">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0937DB36" w14:textId="77777777" w:rsidR="00BC6358" w:rsidRPr="00F74645" w:rsidRDefault="00BC6358" w:rsidP="00BC6358">
      <w:pPr>
        <w:spacing w:after="0" w:line="276" w:lineRule="auto"/>
        <w:jc w:val="both"/>
        <w:rPr>
          <w:rFonts w:ascii="Verdana" w:hAnsi="Verdana"/>
          <w:lang w:val="es-ES"/>
        </w:rPr>
      </w:pPr>
    </w:p>
    <w:p w14:paraId="3EE16389" w14:textId="77777777" w:rsidR="00BC6358" w:rsidRPr="00F74645" w:rsidRDefault="00BC6358" w:rsidP="00BC6358">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67B44C18" w14:textId="77777777" w:rsidR="00BC6358" w:rsidRPr="00F74645" w:rsidRDefault="00BC6358" w:rsidP="00BC6358">
      <w:pPr>
        <w:spacing w:after="0" w:line="276" w:lineRule="auto"/>
        <w:jc w:val="both"/>
        <w:rPr>
          <w:rFonts w:ascii="Verdana" w:hAnsi="Verdana"/>
          <w:lang w:val="es-ES"/>
        </w:rPr>
      </w:pPr>
      <w:r w:rsidRPr="00F74645">
        <w:rPr>
          <w:rFonts w:ascii="Verdana" w:hAnsi="Verdana"/>
          <w:lang w:val="es-ES"/>
        </w:rPr>
        <w:t xml:space="preserve">Facebook: </w:t>
      </w:r>
      <w:r w:rsidRPr="00F74645">
        <w:rPr>
          <w:rFonts w:ascii="Verdana" w:hAnsi="Verdana" w:cs="Arial"/>
          <w:color w:val="0000FF"/>
          <w:u w:val="single"/>
          <w:shd w:val="clear" w:color="auto" w:fill="FFFFFF"/>
          <w:lang w:val="es-ES"/>
        </w:rPr>
        <w:t>ColombiaCompraEficiente</w:t>
      </w:r>
    </w:p>
    <w:p w14:paraId="0AD81FF2" w14:textId="77777777" w:rsidR="00BC6358" w:rsidRPr="00F74645" w:rsidRDefault="00BC6358" w:rsidP="00BC6358">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204E379F" w14:textId="77777777" w:rsidR="00BC6358" w:rsidRPr="00F74645" w:rsidRDefault="00BC6358" w:rsidP="00BC6358">
      <w:pPr>
        <w:spacing w:after="0" w:line="276" w:lineRule="auto"/>
        <w:jc w:val="both"/>
        <w:rPr>
          <w:rFonts w:ascii="Verdana" w:hAnsi="Verdana"/>
          <w:lang w:val="es-ES"/>
        </w:rPr>
      </w:pPr>
    </w:p>
    <w:p w14:paraId="73B884C8" w14:textId="77777777" w:rsidR="00BC6358" w:rsidRPr="00F74645" w:rsidRDefault="00BC6358" w:rsidP="00BC6358">
      <w:pPr>
        <w:spacing w:before="120" w:after="0" w:line="276" w:lineRule="auto"/>
        <w:jc w:val="both"/>
        <w:rPr>
          <w:rFonts w:ascii="Verdana" w:hAnsi="Verdana"/>
        </w:rPr>
      </w:pPr>
      <w:r w:rsidRPr="00F74645">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8CAEB70" w14:textId="77777777" w:rsidR="00BC6358" w:rsidRPr="003E3009" w:rsidRDefault="00BC6358" w:rsidP="00BC6358">
      <w:pPr>
        <w:widowControl w:val="0"/>
        <w:autoSpaceDE w:val="0"/>
        <w:autoSpaceDN w:val="0"/>
        <w:spacing w:after="0" w:line="276" w:lineRule="auto"/>
        <w:jc w:val="both"/>
        <w:rPr>
          <w:rFonts w:ascii="Verdana" w:hAnsi="Verdana" w:cs="Arial"/>
        </w:rPr>
      </w:pPr>
    </w:p>
    <w:p w14:paraId="6BB6E80C" w14:textId="77777777" w:rsidR="00BC6358" w:rsidRPr="003E3009" w:rsidRDefault="00BC6358" w:rsidP="00BC6358">
      <w:pPr>
        <w:spacing w:after="0" w:line="276" w:lineRule="auto"/>
        <w:rPr>
          <w:rFonts w:ascii="Verdana" w:hAnsi="Verdana" w:cs="Arial"/>
          <w:lang w:eastAsia="es-CO"/>
        </w:rPr>
      </w:pPr>
      <w:r w:rsidRPr="003E3009">
        <w:rPr>
          <w:rFonts w:ascii="Verdana" w:eastAsia="Times New Roman" w:hAnsi="Verdana" w:cs="Arial"/>
          <w:lang w:eastAsia="es-CO"/>
        </w:rPr>
        <w:t>Atentamente,</w:t>
      </w:r>
      <w:r w:rsidRPr="003E3009">
        <w:rPr>
          <w:rFonts w:ascii="Verdana" w:hAnsi="Verdana" w:cs="Arial"/>
          <w:lang w:eastAsia="es-CO"/>
        </w:rPr>
        <w:t xml:space="preserve"> </w:t>
      </w:r>
    </w:p>
    <w:p w14:paraId="62F115AF" w14:textId="6CC14D5F" w:rsidR="00BC6358" w:rsidRPr="003E3009" w:rsidRDefault="000176BB" w:rsidP="00BC6358">
      <w:pPr>
        <w:spacing w:line="276" w:lineRule="auto"/>
        <w:jc w:val="center"/>
        <w:rPr>
          <w:rFonts w:ascii="Verdana" w:hAnsi="Verdana" w:cs="Arial"/>
          <w:color w:val="000000"/>
          <w:lang w:eastAsia="es-CO"/>
        </w:rPr>
      </w:pPr>
      <w:r w:rsidRPr="00F21F0B">
        <w:rPr>
          <w:rFonts w:ascii="Century Gothic" w:hAnsi="Century Gothic"/>
          <w:noProof/>
        </w:rPr>
        <w:drawing>
          <wp:inline distT="0" distB="0" distL="0" distR="0" wp14:anchorId="4EC22BF9" wp14:editId="0A1DD00B">
            <wp:extent cx="3771900" cy="1402080"/>
            <wp:effectExtent l="0" t="0" r="0" b="7620"/>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C6358" w:rsidRPr="003E3009" w14:paraId="2A714734" w14:textId="77777777" w:rsidTr="001A1E9A">
        <w:trPr>
          <w:trHeight w:val="315"/>
        </w:trPr>
        <w:tc>
          <w:tcPr>
            <w:tcW w:w="893" w:type="dxa"/>
            <w:vAlign w:val="center"/>
            <w:hideMark/>
          </w:tcPr>
          <w:p w14:paraId="55D9C831" w14:textId="77777777" w:rsidR="00BC6358" w:rsidRPr="003E3009" w:rsidRDefault="00BC6358" w:rsidP="001A1E9A">
            <w:pPr>
              <w:contextualSpacing/>
              <w:rPr>
                <w:rFonts w:ascii="Verdana" w:hAnsi="Verdana" w:cs="Arial"/>
                <w:sz w:val="16"/>
                <w:szCs w:val="16"/>
                <w:lang w:val="es-ES" w:eastAsia="es-ES"/>
              </w:rPr>
            </w:pPr>
            <w:r w:rsidRPr="003E300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EE1F60A" w14:textId="77777777" w:rsidR="00BC6358" w:rsidRPr="003E3009" w:rsidRDefault="00BC6358" w:rsidP="001A1E9A">
            <w:pPr>
              <w:contextualSpacing/>
              <w:rPr>
                <w:rFonts w:ascii="Verdana" w:hAnsi="Verdana"/>
                <w:sz w:val="16"/>
                <w:szCs w:val="16"/>
              </w:rPr>
            </w:pPr>
            <w:r w:rsidRPr="003E3009">
              <w:rPr>
                <w:rFonts w:ascii="Verdana" w:hAnsi="Verdana"/>
                <w:sz w:val="16"/>
                <w:szCs w:val="16"/>
              </w:rPr>
              <w:t>Tatiana Baquero Iguarán</w:t>
            </w:r>
          </w:p>
          <w:p w14:paraId="5DA8A93C" w14:textId="77777777" w:rsidR="00BC6358" w:rsidRPr="003E3009" w:rsidRDefault="00BC6358" w:rsidP="001A1E9A">
            <w:pPr>
              <w:contextualSpacing/>
              <w:rPr>
                <w:rFonts w:ascii="Verdana" w:eastAsia="Arial" w:hAnsi="Verdana" w:cs="Arial"/>
                <w:sz w:val="16"/>
                <w:szCs w:val="16"/>
              </w:rPr>
            </w:pPr>
            <w:r w:rsidRPr="003E3009">
              <w:rPr>
                <w:rFonts w:ascii="Verdana" w:hAnsi="Verdana"/>
                <w:sz w:val="16"/>
                <w:szCs w:val="16"/>
              </w:rPr>
              <w:t>Contratista de la Subdirección de Gestión Contractual</w:t>
            </w:r>
          </w:p>
        </w:tc>
      </w:tr>
      <w:tr w:rsidR="00BC6358" w:rsidRPr="003E3009" w14:paraId="2AA303E1" w14:textId="77777777" w:rsidTr="001A1E9A">
        <w:trPr>
          <w:trHeight w:val="330"/>
        </w:trPr>
        <w:tc>
          <w:tcPr>
            <w:tcW w:w="893" w:type="dxa"/>
            <w:vAlign w:val="center"/>
            <w:hideMark/>
          </w:tcPr>
          <w:p w14:paraId="56C558A7" w14:textId="77777777" w:rsidR="00BC6358" w:rsidRPr="003E3009" w:rsidRDefault="00BC6358" w:rsidP="001A1E9A">
            <w:pPr>
              <w:contextualSpacing/>
              <w:rPr>
                <w:rFonts w:ascii="Verdana" w:hAnsi="Verdana" w:cs="Arial"/>
                <w:sz w:val="16"/>
                <w:szCs w:val="16"/>
                <w:lang w:val="es-ES" w:eastAsia="es-ES"/>
              </w:rPr>
            </w:pPr>
            <w:r w:rsidRPr="003E300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BE6D26F" w14:textId="77777777" w:rsidR="00BC6358" w:rsidRPr="003E3009" w:rsidRDefault="00BC6358" w:rsidP="001A1E9A">
            <w:pPr>
              <w:spacing w:before="100" w:beforeAutospacing="1" w:afterAutospacing="1"/>
              <w:contextualSpacing/>
              <w:textAlignment w:val="baseline"/>
              <w:rPr>
                <w:rFonts w:ascii="Verdana" w:eastAsia="Times New Roman" w:hAnsi="Verdana" w:cs="Arial"/>
                <w:sz w:val="16"/>
                <w:szCs w:val="16"/>
                <w:lang w:val="es-ES" w:eastAsia="es-ES_tradnl"/>
              </w:rPr>
            </w:pPr>
            <w:r w:rsidRPr="003E3009">
              <w:rPr>
                <w:rFonts w:ascii="Verdana" w:eastAsia="Times New Roman" w:hAnsi="Verdana" w:cs="Arial"/>
                <w:sz w:val="16"/>
                <w:szCs w:val="16"/>
                <w:lang w:val="es-ES" w:eastAsia="es-ES_tradnl"/>
              </w:rPr>
              <w:t>Alejandro Sarmiento Cantillo</w:t>
            </w:r>
          </w:p>
          <w:p w14:paraId="1123EF61" w14:textId="77777777" w:rsidR="00BC6358" w:rsidRPr="003E3009" w:rsidRDefault="00BC6358" w:rsidP="001A1E9A">
            <w:pPr>
              <w:contextualSpacing/>
              <w:textAlignment w:val="baseline"/>
              <w:rPr>
                <w:rFonts w:ascii="Verdana" w:eastAsia="Times New Roman" w:hAnsi="Verdana" w:cs="Segoe UI"/>
                <w:sz w:val="16"/>
                <w:szCs w:val="16"/>
                <w:lang w:eastAsia="es-ES_tradnl"/>
              </w:rPr>
            </w:pPr>
            <w:r w:rsidRPr="003E3009">
              <w:rPr>
                <w:rFonts w:ascii="Verdana" w:eastAsia="Times New Roman" w:hAnsi="Verdana" w:cs="Arial"/>
                <w:sz w:val="16"/>
                <w:szCs w:val="16"/>
                <w:lang w:val="es-ES" w:eastAsia="es-ES_tradnl"/>
              </w:rPr>
              <w:t>Gestor T1 ‒ 15 de la Subdirección de Gestión Contractual</w:t>
            </w:r>
            <w:r w:rsidRPr="003E3009">
              <w:rPr>
                <w:rFonts w:ascii="Verdana" w:eastAsia="Times New Roman" w:hAnsi="Verdana" w:cs="Arial"/>
                <w:sz w:val="16"/>
                <w:szCs w:val="16"/>
                <w:lang w:eastAsia="es-ES_tradnl"/>
              </w:rPr>
              <w:t> </w:t>
            </w:r>
          </w:p>
        </w:tc>
      </w:tr>
      <w:tr w:rsidR="00BC6358" w:rsidRPr="003E3009" w14:paraId="6DE1D7F2" w14:textId="77777777" w:rsidTr="001A1E9A">
        <w:trPr>
          <w:trHeight w:val="300"/>
        </w:trPr>
        <w:tc>
          <w:tcPr>
            <w:tcW w:w="893" w:type="dxa"/>
            <w:vAlign w:val="center"/>
          </w:tcPr>
          <w:p w14:paraId="4AD88596" w14:textId="77777777" w:rsidR="00BC6358" w:rsidRPr="003E3009" w:rsidRDefault="00BC6358" w:rsidP="001A1E9A">
            <w:pPr>
              <w:contextualSpacing/>
              <w:rPr>
                <w:rFonts w:ascii="Verdana" w:hAnsi="Verdana" w:cs="Arial"/>
                <w:sz w:val="16"/>
                <w:szCs w:val="16"/>
                <w:lang w:val="es-ES" w:eastAsia="es-ES"/>
              </w:rPr>
            </w:pPr>
            <w:r w:rsidRPr="003E300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F89A3D4" w14:textId="77777777" w:rsidR="00BC6358" w:rsidRPr="003E3009" w:rsidRDefault="00BC6358" w:rsidP="001A1E9A">
            <w:pPr>
              <w:contextualSpacing/>
              <w:rPr>
                <w:rFonts w:ascii="Verdana" w:eastAsia="Calibri" w:hAnsi="Verdana" w:cs="Arial"/>
                <w:sz w:val="16"/>
                <w:szCs w:val="16"/>
                <w:lang w:val="pt-BR" w:eastAsia="es-ES"/>
              </w:rPr>
            </w:pPr>
            <w:r w:rsidRPr="003E3009">
              <w:rPr>
                <w:rFonts w:ascii="Verdana" w:eastAsia="Calibri" w:hAnsi="Verdana" w:cs="Arial"/>
                <w:sz w:val="16"/>
                <w:szCs w:val="16"/>
                <w:lang w:val="pt-BR" w:eastAsia="es-ES"/>
              </w:rPr>
              <w:t>Carolina Quintero Gacharná</w:t>
            </w:r>
          </w:p>
          <w:p w14:paraId="0E5F0224" w14:textId="77777777" w:rsidR="00BC6358" w:rsidRPr="003E3009" w:rsidRDefault="00BC6358" w:rsidP="001A1E9A">
            <w:pPr>
              <w:contextualSpacing/>
              <w:rPr>
                <w:rFonts w:ascii="Verdana" w:eastAsia="Calibri" w:hAnsi="Verdana" w:cs="Arial"/>
                <w:sz w:val="16"/>
                <w:szCs w:val="16"/>
                <w:lang w:val="pt-BR" w:eastAsia="es-ES"/>
              </w:rPr>
            </w:pPr>
            <w:r w:rsidRPr="003E3009">
              <w:rPr>
                <w:rFonts w:ascii="Verdana" w:eastAsia="Calibri" w:hAnsi="Verdana" w:cs="Arial"/>
                <w:sz w:val="16"/>
                <w:szCs w:val="16"/>
                <w:lang w:eastAsia="es-ES"/>
              </w:rPr>
              <w:lastRenderedPageBreak/>
              <w:t>Subdirectora</w:t>
            </w:r>
            <w:r w:rsidRPr="003E3009">
              <w:rPr>
                <w:rFonts w:ascii="Verdana" w:eastAsia="Calibri" w:hAnsi="Verdana" w:cs="Arial"/>
                <w:sz w:val="16"/>
                <w:szCs w:val="16"/>
                <w:lang w:val="pt-BR" w:eastAsia="es-ES"/>
              </w:rPr>
              <w:t xml:space="preserve"> de Gestión Contractual ANCP – CCE</w:t>
            </w:r>
          </w:p>
        </w:tc>
      </w:tr>
    </w:tbl>
    <w:p w14:paraId="0C2659F3" w14:textId="77777777" w:rsidR="00BC6358" w:rsidRPr="003E3009" w:rsidRDefault="00BC6358" w:rsidP="00BC6358">
      <w:pPr>
        <w:spacing w:after="0" w:line="240" w:lineRule="auto"/>
        <w:jc w:val="both"/>
        <w:textAlignment w:val="baseline"/>
        <w:rPr>
          <w:rFonts w:ascii="Verdana" w:eastAsia="Verdana" w:hAnsi="Verdana" w:cs="Verdana"/>
          <w:lang w:eastAsia="es-CO"/>
        </w:rPr>
      </w:pPr>
    </w:p>
    <w:p w14:paraId="36557CA5" w14:textId="77777777" w:rsidR="00BC6358" w:rsidRPr="003E3009" w:rsidRDefault="00BC6358" w:rsidP="00BC6358">
      <w:pPr>
        <w:spacing w:after="0" w:line="240" w:lineRule="auto"/>
        <w:jc w:val="both"/>
        <w:textAlignment w:val="baseline"/>
        <w:rPr>
          <w:rFonts w:ascii="Verdana" w:eastAsia="Verdana" w:hAnsi="Verdana" w:cs="Verdana"/>
          <w:lang w:eastAsia="es-CO"/>
        </w:rPr>
      </w:pPr>
    </w:p>
    <w:p w14:paraId="089B96B8" w14:textId="325E76E9" w:rsidR="00BC6358" w:rsidRPr="003E3009" w:rsidRDefault="00BC6358" w:rsidP="00BC6358">
      <w:pPr>
        <w:spacing w:after="0" w:line="240" w:lineRule="auto"/>
        <w:textAlignment w:val="baseline"/>
        <w:rPr>
          <w:rFonts w:ascii="Verdana" w:eastAsia="Verdana" w:hAnsi="Verdana" w:cs="Verdana"/>
          <w:lang w:eastAsia="es-CO"/>
        </w:rPr>
      </w:pPr>
      <w:r w:rsidRPr="003E3009">
        <w:rPr>
          <w:rFonts w:ascii="Verdana" w:eastAsia="Verdana" w:hAnsi="Verdana" w:cs="Verdana"/>
          <w:lang w:eastAsia="es-CO"/>
        </w:rPr>
        <w:t> </w:t>
      </w:r>
    </w:p>
    <w:p w14:paraId="0F293BF4" w14:textId="72777237" w:rsidR="00127233" w:rsidRPr="00BC6358" w:rsidRDefault="00127233" w:rsidP="00BC6358"/>
    <w:sectPr w:rsidR="00127233" w:rsidRPr="00BC6358"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A0ED" w14:textId="77777777" w:rsidR="00241CE7" w:rsidRDefault="00241CE7" w:rsidP="004A1847">
      <w:pPr>
        <w:spacing w:after="0" w:line="240" w:lineRule="auto"/>
      </w:pPr>
      <w:r>
        <w:separator/>
      </w:r>
    </w:p>
  </w:endnote>
  <w:endnote w:type="continuationSeparator" w:id="0">
    <w:p w14:paraId="5905626E" w14:textId="77777777" w:rsidR="00241CE7" w:rsidRDefault="00241CE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5EC6" w14:textId="77777777" w:rsidR="00241CE7" w:rsidRDefault="00241CE7" w:rsidP="004A1847">
      <w:pPr>
        <w:spacing w:after="0" w:line="240" w:lineRule="auto"/>
      </w:pPr>
      <w:r>
        <w:separator/>
      </w:r>
    </w:p>
  </w:footnote>
  <w:footnote w:type="continuationSeparator" w:id="0">
    <w:p w14:paraId="2D9AD9FF" w14:textId="77777777" w:rsidR="00241CE7" w:rsidRDefault="00241CE7" w:rsidP="004A1847">
      <w:pPr>
        <w:spacing w:after="0" w:line="240" w:lineRule="auto"/>
      </w:pPr>
      <w:r>
        <w:continuationSeparator/>
      </w:r>
    </w:p>
  </w:footnote>
  <w:footnote w:id="1">
    <w:p w14:paraId="1937B9FB" w14:textId="77777777" w:rsidR="00BC6358" w:rsidRPr="00F266FF" w:rsidRDefault="00BC6358" w:rsidP="00BC6358">
      <w:pPr>
        <w:pStyle w:val="NormalWeb"/>
        <w:snapToGrid w:val="0"/>
        <w:spacing w:before="0" w:beforeAutospacing="0" w:after="0" w:afterAutospacing="0"/>
        <w:ind w:firstLine="709"/>
        <w:contextualSpacing/>
        <w:jc w:val="both"/>
        <w:rPr>
          <w:rFonts w:ascii="Verdana" w:hAnsi="Verdana" w:cs="Arial"/>
          <w:sz w:val="16"/>
          <w:szCs w:val="16"/>
        </w:rPr>
      </w:pPr>
      <w:r w:rsidRPr="00F266FF">
        <w:rPr>
          <w:rStyle w:val="Refdenotaalpie"/>
          <w:rFonts w:ascii="Verdana" w:hAnsi="Verdana" w:cs="Arial"/>
          <w:sz w:val="16"/>
          <w:szCs w:val="16"/>
        </w:rPr>
        <w:footnoteRef/>
      </w:r>
      <w:r w:rsidRPr="00F266FF">
        <w:rPr>
          <w:rFonts w:ascii="Verdana" w:hAnsi="Verdana" w:cs="Arial"/>
          <w:sz w:val="16"/>
          <w:szCs w:val="16"/>
        </w:rPr>
        <w:t xml:space="preserve"> </w:t>
      </w:r>
      <w:r w:rsidRPr="00F266FF">
        <w:rPr>
          <w:rFonts w:ascii="Verdana" w:hAnsi="Verdana" w:cs="Arial"/>
          <w:sz w:val="16"/>
          <w:szCs w:val="16"/>
          <w:lang w:val="es-ES"/>
        </w:rPr>
        <w:t>“</w:t>
      </w:r>
      <w:r w:rsidRPr="00F266FF">
        <w:rPr>
          <w:rFonts w:ascii="Verdana" w:hAnsi="Verdana" w:cs="Arial"/>
          <w:sz w:val="16"/>
          <w:szCs w:val="16"/>
        </w:rPr>
        <w:t xml:space="preserve">Para poder participar en los procesos de selección de los contratos de obra, la capacidad residual del proponente o K de contratación deberá ser igual o superior al que la entidad haya establecido para el efecto en los pliegos de condiciones. </w:t>
      </w:r>
    </w:p>
    <w:p w14:paraId="09E69553" w14:textId="77777777" w:rsidR="00BC6358" w:rsidRPr="00F266FF" w:rsidRDefault="00BC6358" w:rsidP="00BC6358">
      <w:pPr>
        <w:snapToGrid w:val="0"/>
        <w:spacing w:after="0" w:line="240" w:lineRule="auto"/>
        <w:ind w:firstLine="708"/>
        <w:contextualSpacing/>
        <w:jc w:val="both"/>
        <w:rPr>
          <w:rFonts w:ascii="Verdana" w:hAnsi="Verdana" w:cs="Arial"/>
          <w:sz w:val="16"/>
          <w:szCs w:val="16"/>
        </w:rPr>
      </w:pPr>
      <w:r w:rsidRPr="00F266FF">
        <w:rPr>
          <w:rFonts w:ascii="Verdana" w:hAnsi="Verdana" w:cs="Arial"/>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footnote>
  <w:footnote w:id="2">
    <w:p w14:paraId="6DFB3B09" w14:textId="77777777" w:rsidR="00BC6358" w:rsidRPr="00F266FF" w:rsidRDefault="00BC6358" w:rsidP="00BC6358">
      <w:pPr>
        <w:pStyle w:val="NormalWeb"/>
        <w:spacing w:before="0" w:beforeAutospacing="0" w:after="0" w:afterAutospacing="0"/>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w:t>
      </w:r>
      <w:r w:rsidRPr="00F266FF">
        <w:rPr>
          <w:rFonts w:ascii="Verdana" w:hAnsi="Verdana" w:cs="Arial"/>
          <w:color w:val="000000" w:themeColor="text1"/>
          <w:sz w:val="16"/>
          <w:szCs w:val="16"/>
          <w:lang w:val="es-ES"/>
        </w:rPr>
        <w:t xml:space="preserve">Artículo 6 Ley 1150 de 2007 </w:t>
      </w:r>
      <w:r w:rsidRPr="00F266FF">
        <w:rPr>
          <w:rFonts w:ascii="Verdana" w:eastAsia="Calibri" w:hAnsi="Verdana" w:cs="Arial"/>
          <w:i/>
          <w:iCs/>
          <w:color w:val="000000" w:themeColor="text1"/>
          <w:sz w:val="16"/>
          <w:szCs w:val="16"/>
          <w:lang w:val="es-ES_tradnl"/>
        </w:rPr>
        <w:t>“</w:t>
      </w:r>
      <w:r w:rsidRPr="00F266FF">
        <w:rPr>
          <w:rFonts w:ascii="Verdana" w:hAnsi="Verdana" w:cs="Arial"/>
          <w:color w:val="000000" w:themeColor="text1"/>
          <w:sz w:val="16"/>
          <w:szCs w:val="16"/>
        </w:rPr>
        <w:t>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5A14B6B6" w14:textId="77777777" w:rsidR="00BC6358" w:rsidRPr="00F266FF" w:rsidRDefault="00BC6358" w:rsidP="00BC6358">
      <w:pPr>
        <w:pStyle w:val="NormalWeb"/>
        <w:spacing w:before="0" w:beforeAutospacing="0" w:after="0" w:afterAutospacing="0"/>
        <w:ind w:firstLine="708"/>
        <w:jc w:val="both"/>
        <w:rPr>
          <w:rFonts w:ascii="Verdana" w:hAnsi="Verdana" w:cs="Arial"/>
          <w:color w:val="000000" w:themeColor="text1"/>
          <w:sz w:val="16"/>
          <w:szCs w:val="16"/>
        </w:rPr>
      </w:pPr>
      <w:r>
        <w:rPr>
          <w:rFonts w:ascii="Verdana" w:hAnsi="Verdana" w:cs="Arial"/>
          <w:color w:val="000000" w:themeColor="text1"/>
          <w:sz w:val="16"/>
          <w:szCs w:val="16"/>
        </w:rPr>
        <w:t>(</w:t>
      </w:r>
      <w:r w:rsidRPr="00F266FF">
        <w:rPr>
          <w:rFonts w:ascii="Verdana" w:hAnsi="Verdana" w:cs="Arial"/>
          <w:color w:val="000000" w:themeColor="text1"/>
          <w:sz w:val="16"/>
          <w:szCs w:val="16"/>
        </w:rPr>
        <w:t>…</w:t>
      </w:r>
      <w:r>
        <w:rPr>
          <w:rFonts w:ascii="Verdana" w:hAnsi="Verdana" w:cs="Arial"/>
          <w:color w:val="000000" w:themeColor="text1"/>
          <w:sz w:val="16"/>
          <w:szCs w:val="16"/>
        </w:rPr>
        <w:t>)</w:t>
      </w:r>
    </w:p>
    <w:p w14:paraId="67B25A6D" w14:textId="77777777" w:rsidR="00BC6358" w:rsidRPr="00F266FF" w:rsidRDefault="00BC6358" w:rsidP="00BC6358">
      <w:pPr>
        <w:pStyle w:val="NormalWeb"/>
        <w:spacing w:before="0" w:beforeAutospacing="0" w:after="0" w:afterAutospacing="0"/>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En dicho registro constará la información relacionada con la experiencia, capacidad jurídica, financiera y de organización del proponente y su clasificación</w:t>
      </w:r>
      <w:r w:rsidRPr="00F266FF">
        <w:rPr>
          <w:rFonts w:ascii="Verdana" w:eastAsia="Calibri" w:hAnsi="Verdana" w:cs="Arial"/>
          <w:i/>
          <w:iCs/>
          <w:color w:val="000000" w:themeColor="text1"/>
          <w:sz w:val="16"/>
          <w:szCs w:val="16"/>
          <w:lang w:val="es-ES_tradnl"/>
        </w:rPr>
        <w:t>”</w:t>
      </w:r>
      <w:r w:rsidRPr="00F266FF">
        <w:rPr>
          <w:rFonts w:ascii="Verdana" w:hAnsi="Verdana" w:cs="Arial"/>
          <w:color w:val="000000" w:themeColor="text1"/>
          <w:sz w:val="16"/>
          <w:szCs w:val="16"/>
        </w:rPr>
        <w:t>.</w:t>
      </w:r>
    </w:p>
  </w:footnote>
  <w:footnote w:id="3">
    <w:p w14:paraId="40440088" w14:textId="77777777" w:rsidR="00BC6358" w:rsidRPr="00E2347F" w:rsidRDefault="00BC6358" w:rsidP="00BC6358">
      <w:pPr>
        <w:spacing w:after="0" w:line="240" w:lineRule="auto"/>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w:t>
      </w:r>
      <w:r w:rsidRPr="00F266FF">
        <w:rPr>
          <w:rFonts w:ascii="Verdana" w:hAnsi="Verdana" w:cs="Arial"/>
          <w:i/>
          <w:iCs/>
          <w:color w:val="000000" w:themeColor="text1"/>
          <w:sz w:val="16"/>
          <w:szCs w:val="16"/>
          <w:lang w:val="es-ES_tradnl"/>
        </w:rPr>
        <w:t>“</w:t>
      </w:r>
      <w:r w:rsidRPr="00F266FF">
        <w:rPr>
          <w:rFonts w:ascii="Verdana" w:hAnsi="Verdana" w:cs="Arial"/>
          <w:color w:val="000000" w:themeColor="text1"/>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r w:rsidRPr="00F266FF">
        <w:rPr>
          <w:rFonts w:ascii="Verdana" w:hAnsi="Verdana" w:cs="Arial"/>
          <w:i/>
          <w:iCs/>
          <w:sz w:val="16"/>
          <w:szCs w:val="16"/>
        </w:rPr>
        <w:t>”</w:t>
      </w:r>
      <w:r w:rsidRPr="00F266FF">
        <w:rPr>
          <w:rFonts w:ascii="Verdana" w:hAnsi="Verdana" w:cs="Arial"/>
          <w:color w:val="000000" w:themeColor="text1"/>
          <w:sz w:val="16"/>
          <w:szCs w:val="16"/>
        </w:rPr>
        <w:t xml:space="preserve">. </w:t>
      </w:r>
    </w:p>
  </w:footnote>
  <w:footnote w:id="4">
    <w:p w14:paraId="0BD541B1" w14:textId="77777777" w:rsidR="00BC6358" w:rsidRPr="00F266FF" w:rsidRDefault="00BC6358" w:rsidP="00BC6358">
      <w:pPr>
        <w:pStyle w:val="Textonotapie"/>
        <w:snapToGrid w:val="0"/>
        <w:ind w:firstLine="708"/>
        <w:jc w:val="both"/>
        <w:rPr>
          <w:rFonts w:ascii="Verdana" w:hAnsi="Verdana" w:cs="Arial"/>
          <w:sz w:val="16"/>
          <w:szCs w:val="16"/>
          <w:lang w:eastAsia="es-CO"/>
        </w:rPr>
      </w:pPr>
      <w:r w:rsidRPr="00F266FF">
        <w:rPr>
          <w:rStyle w:val="Refdenotaalpie"/>
          <w:rFonts w:ascii="Verdana" w:hAnsi="Verdana" w:cs="Arial"/>
          <w:sz w:val="16"/>
          <w:szCs w:val="16"/>
        </w:rPr>
        <w:footnoteRef/>
      </w:r>
      <w:r w:rsidRPr="00F266FF">
        <w:rPr>
          <w:rFonts w:ascii="Verdana" w:hAnsi="Verdana" w:cs="Arial"/>
          <w:sz w:val="16"/>
          <w:szCs w:val="16"/>
        </w:rPr>
        <w:t xml:space="preserve"> </w:t>
      </w:r>
      <w:r w:rsidRPr="00F266FF">
        <w:rPr>
          <w:rFonts w:ascii="Verdana" w:hAnsi="Verdana" w:cs="Arial"/>
          <w:sz w:val="16"/>
          <w:szCs w:val="16"/>
          <w:lang w:eastAsia="es-CO"/>
        </w:rPr>
        <w:t xml:space="preserve">Ley 1150 de 2007: “Artículo 6.  De la verificación de las condiciones de los proponentes. </w:t>
      </w:r>
      <w:r>
        <w:rPr>
          <w:rFonts w:ascii="Verdana" w:hAnsi="Verdana" w:cs="Arial"/>
          <w:sz w:val="16"/>
          <w:szCs w:val="16"/>
          <w:lang w:eastAsia="es-CO"/>
        </w:rPr>
        <w:t>(</w:t>
      </w:r>
      <w:r w:rsidRPr="00F266FF">
        <w:rPr>
          <w:rFonts w:ascii="Verdana" w:hAnsi="Verdana" w:cs="Arial"/>
          <w:sz w:val="16"/>
          <w:szCs w:val="16"/>
          <w:lang w:eastAsia="es-CO"/>
        </w:rPr>
        <w:t>...</w:t>
      </w:r>
      <w:r>
        <w:rPr>
          <w:rFonts w:ascii="Verdana" w:hAnsi="Verdana" w:cs="Arial"/>
          <w:sz w:val="16"/>
          <w:szCs w:val="16"/>
          <w:lang w:eastAsia="es-CO"/>
        </w:rPr>
        <w:t>)</w:t>
      </w:r>
      <w:r w:rsidRPr="00F266FF">
        <w:rPr>
          <w:rFonts w:ascii="Verdana" w:hAnsi="Verdana" w:cs="Arial"/>
          <w:sz w:val="16"/>
          <w:szCs w:val="16"/>
          <w:lang w:eastAsia="es-CO"/>
        </w:rPr>
        <w:t xml:space="preserve"> “No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Pr>
          <w:rFonts w:ascii="Verdana" w:hAnsi="Verdana" w:cs="Arial"/>
          <w:sz w:val="16"/>
          <w:szCs w:val="16"/>
          <w:lang w:eastAsia="es-CO"/>
        </w:rPr>
        <w:t>(</w:t>
      </w:r>
      <w:r w:rsidRPr="00F266FF">
        <w:rPr>
          <w:rFonts w:ascii="Verdana" w:hAnsi="Verdana" w:cs="Arial"/>
          <w:sz w:val="16"/>
          <w:szCs w:val="16"/>
          <w:lang w:eastAsia="es-CO"/>
        </w:rPr>
        <w:t>...</w:t>
      </w:r>
      <w:r>
        <w:rPr>
          <w:rFonts w:ascii="Verdana" w:hAnsi="Verdana" w:cs="Arial"/>
          <w:sz w:val="16"/>
          <w:szCs w:val="16"/>
          <w:lang w:eastAsia="es-CO"/>
        </w:rPr>
        <w:t>)</w:t>
      </w:r>
      <w:r w:rsidRPr="00F266FF">
        <w:rPr>
          <w:rFonts w:ascii="Verdana" w:hAnsi="Verdana" w:cs="Arial"/>
          <w:sz w:val="16"/>
          <w:szCs w:val="16"/>
          <w:lang w:eastAsia="es-CO"/>
        </w:rPr>
        <w:t xml:space="preserve">”. </w:t>
      </w:r>
    </w:p>
  </w:footnote>
  <w:footnote w:id="5">
    <w:p w14:paraId="0F45E671"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rPr>
        <w:t xml:space="preserve"> Esta norma prescribe que “Para que una persona se obligue a otra por un acto o declaración de voluntad, es necesario:</w:t>
      </w:r>
    </w:p>
    <w:p w14:paraId="07A626F1"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1o.) que sea legalmente capaz;</w:t>
      </w:r>
    </w:p>
    <w:p w14:paraId="0C308D46"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2o.) que consienta en dicho acto o declaración y su consentimiento no adolezca de vicio;</w:t>
      </w:r>
    </w:p>
    <w:p w14:paraId="3DA85FDE"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3o.) que recaiga sobre un objeto lícito;</w:t>
      </w:r>
    </w:p>
    <w:p w14:paraId="7F728C47"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4o.) que tenga una causa lícita.</w:t>
      </w:r>
    </w:p>
    <w:p w14:paraId="687C8EAE" w14:textId="77777777" w:rsidR="00BC6358" w:rsidRPr="00F266FF" w:rsidRDefault="00BC6358" w:rsidP="00BC6358">
      <w:pPr>
        <w:pStyle w:val="Textonotapie"/>
        <w:ind w:firstLine="708"/>
        <w:jc w:val="both"/>
        <w:rPr>
          <w:rFonts w:ascii="Verdana" w:hAnsi="Verdana" w:cs="Arial"/>
          <w:color w:val="000000" w:themeColor="text1"/>
          <w:sz w:val="16"/>
          <w:szCs w:val="16"/>
        </w:rPr>
      </w:pPr>
      <w:r w:rsidRPr="00F266FF">
        <w:rPr>
          <w:rFonts w:ascii="Verdana" w:hAnsi="Verdana" w:cs="Arial"/>
          <w:color w:val="000000" w:themeColor="text1"/>
          <w:sz w:val="16"/>
          <w:szCs w:val="16"/>
        </w:rPr>
        <w:t>La capacidad legal de una persona consiste en poderse obligar por sí misma, y sin el ministerio o la autorización de otra”.</w:t>
      </w:r>
    </w:p>
  </w:footnote>
  <w:footnote w:id="6">
    <w:p w14:paraId="0D7A920A" w14:textId="77777777" w:rsidR="00BC6358" w:rsidRPr="00F22A64" w:rsidRDefault="00BC6358" w:rsidP="00BC6358">
      <w:pPr>
        <w:pStyle w:val="Textonotapie"/>
        <w:snapToGrid w:val="0"/>
        <w:ind w:firstLine="420"/>
        <w:jc w:val="both"/>
        <w:rPr>
          <w:rFonts w:ascii="Verdana" w:hAnsi="Verdana" w:cs="Arial"/>
          <w:color w:val="000000" w:themeColor="text1"/>
          <w:sz w:val="15"/>
          <w:szCs w:val="15"/>
        </w:rPr>
      </w:pPr>
      <w:r w:rsidRPr="00F266FF">
        <w:rPr>
          <w:rStyle w:val="Refdenotaalpie"/>
          <w:rFonts w:ascii="Verdana" w:hAnsi="Verdana" w:cs="Arial"/>
          <w:color w:val="000000" w:themeColor="text1"/>
          <w:sz w:val="16"/>
          <w:szCs w:val="16"/>
        </w:rPr>
        <w:footnoteRef/>
      </w:r>
      <w:r w:rsidRPr="00F266FF">
        <w:rPr>
          <w:rFonts w:ascii="Verdana" w:hAnsi="Verdana" w:cs="Arial"/>
          <w:color w:val="000000" w:themeColor="text1"/>
          <w:sz w:val="16"/>
          <w:szCs w:val="16"/>
          <w:lang w:val="pt-BR"/>
        </w:rPr>
        <w:t xml:space="preserve"> Corte Constitucional. Sala Plena. Sentencia C 178 de 29 de abril de 1996. </w:t>
      </w:r>
      <w:r w:rsidRPr="00F266FF">
        <w:rPr>
          <w:rFonts w:ascii="Verdana" w:hAnsi="Verdana" w:cs="Arial"/>
          <w:color w:val="000000" w:themeColor="text1"/>
          <w:sz w:val="16"/>
          <w:szCs w:val="16"/>
        </w:rPr>
        <w:t>Magistrado Ponente: Antonio Barrera Carbonell. Expediente No. D-974.</w:t>
      </w:r>
      <w:r w:rsidRPr="00F22A64">
        <w:rPr>
          <w:rFonts w:ascii="Verdana" w:hAnsi="Verdana" w:cs="Arial"/>
          <w:color w:val="000000" w:themeColor="text1"/>
          <w:sz w:val="15"/>
          <w:szCs w:val="15"/>
        </w:rPr>
        <w:t xml:space="preserve"> </w:t>
      </w:r>
    </w:p>
  </w:footnote>
  <w:footnote w:id="7">
    <w:p w14:paraId="32414188" w14:textId="77777777" w:rsidR="00BC6358" w:rsidRPr="00E2347F" w:rsidRDefault="00BC6358" w:rsidP="00BC6358">
      <w:pPr>
        <w:pStyle w:val="Textonotapie"/>
        <w:ind w:firstLine="708"/>
        <w:jc w:val="both"/>
        <w:rPr>
          <w:rFonts w:ascii="Verdana" w:hAnsi="Verdana" w:cs="Arial"/>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JOSSERAND, Louis. Derecho civil: teorías generales del derecho y de los derechos. Las personas. Tomo I. Volumen I. Buenos Aires: EJEA, 1952. pp. 262-263.</w:t>
      </w:r>
    </w:p>
  </w:footnote>
  <w:footnote w:id="8">
    <w:p w14:paraId="0C7BC538" w14:textId="77777777" w:rsidR="00BC6358" w:rsidRPr="00E2347F" w:rsidRDefault="00BC6358" w:rsidP="00BC6358">
      <w:pPr>
        <w:pStyle w:val="Textonotapie"/>
        <w:ind w:firstLine="708"/>
        <w:jc w:val="both"/>
        <w:rPr>
          <w:rFonts w:ascii="Verdana" w:hAnsi="Verdana"/>
          <w:sz w:val="16"/>
          <w:szCs w:val="16"/>
        </w:rPr>
      </w:pPr>
      <w:r w:rsidRPr="00E2347F">
        <w:rPr>
          <w:rStyle w:val="Refdenotaalpie"/>
          <w:rFonts w:ascii="Verdana" w:hAnsi="Verdana"/>
          <w:sz w:val="16"/>
          <w:szCs w:val="16"/>
        </w:rPr>
        <w:footnoteRef/>
      </w:r>
      <w:r w:rsidRPr="00E2347F">
        <w:rPr>
          <w:rFonts w:ascii="Verdana" w:hAnsi="Verdana"/>
          <w:sz w:val="16"/>
          <w:szCs w:val="16"/>
        </w:rPr>
        <w:t xml:space="preserve"> En esta medida, la limitación de la capacidad de ejercicio de los menores de edad tiene su fundamento en el artículo 1504 del Código Civil, el cual –después de la modificación introducida por el artículo 57 de la Ley 1996 de 2019– dispone que “Son absolutamente incapaces los impúberes. Sus actos no producen ni aún obligaciones naturales, y no admiten caución. Son también incapaces los menores púberes. Pero la incapacidad de estas personas no es absoluta y sus actos pueden tener valor en ciertas circunstancias y bajo ciertos respectos determinados por las leyes. Además de estas incapacidades hay otras particulares que consisten en la prohibición que la ley ha impuesto a ciertas personas para ejecutar ciertos actos”. </w:t>
      </w:r>
    </w:p>
  </w:footnote>
  <w:footnote w:id="9">
    <w:p w14:paraId="03499B69" w14:textId="77777777" w:rsidR="00BC6358" w:rsidRPr="00E2347F" w:rsidRDefault="00BC6358" w:rsidP="00BC6358">
      <w:pPr>
        <w:pStyle w:val="Textonotapie"/>
        <w:ind w:firstLine="708"/>
        <w:jc w:val="both"/>
        <w:rPr>
          <w:rFonts w:ascii="Verdana" w:hAnsi="Verdana"/>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Consejo De Estado. Sección Tercera. Sentencia del 26 de enero de 2011. Rad. 36.408. C.P. Jaime Orlando Santofimio Gamboa.</w:t>
      </w:r>
      <w:r w:rsidRPr="00E2347F">
        <w:rPr>
          <w:rFonts w:ascii="Verdana" w:hAnsi="Verdana"/>
          <w:color w:val="000000" w:themeColor="text1"/>
          <w:sz w:val="16"/>
          <w:szCs w:val="16"/>
        </w:rPr>
        <w:t xml:space="preserve">  </w:t>
      </w:r>
    </w:p>
  </w:footnote>
  <w:footnote w:id="10">
    <w:p w14:paraId="39DBC91C" w14:textId="77777777" w:rsidR="00BC6358" w:rsidRPr="00E2347F" w:rsidRDefault="00BC6358" w:rsidP="00BC6358">
      <w:pPr>
        <w:pStyle w:val="Textonotapie"/>
        <w:ind w:firstLine="708"/>
        <w:jc w:val="both"/>
        <w:rPr>
          <w:rFonts w:ascii="Verdana" w:hAnsi="Verdana" w:cs="Arial"/>
          <w:color w:val="000000" w:themeColor="text1"/>
          <w:sz w:val="16"/>
          <w:szCs w:val="16"/>
        </w:rPr>
      </w:pPr>
      <w:r w:rsidRPr="00E2347F">
        <w:rPr>
          <w:rStyle w:val="Refdenotaalpie"/>
          <w:rFonts w:ascii="Verdana" w:hAnsi="Verdana"/>
          <w:color w:val="000000" w:themeColor="text1"/>
          <w:sz w:val="16"/>
          <w:szCs w:val="16"/>
        </w:rPr>
        <w:footnoteRef/>
      </w:r>
      <w:r w:rsidRPr="00E2347F">
        <w:rPr>
          <w:rFonts w:ascii="Verdana" w:hAnsi="Verdana"/>
          <w:color w:val="000000" w:themeColor="text1"/>
          <w:sz w:val="16"/>
          <w:szCs w:val="16"/>
        </w:rPr>
        <w:t xml:space="preserve"> </w:t>
      </w:r>
      <w:r w:rsidRPr="00E2347F">
        <w:rPr>
          <w:rFonts w:ascii="Verdana" w:hAnsi="Verdana" w:cs="Arial"/>
          <w:color w:val="000000" w:themeColor="text1"/>
          <w:sz w:val="16"/>
          <w:szCs w:val="16"/>
        </w:rPr>
        <w:t>Para estos efectos, la doctrina considera que “</w:t>
      </w:r>
      <w:r>
        <w:rPr>
          <w:rFonts w:ascii="Verdana" w:hAnsi="Verdana" w:cs="Arial"/>
          <w:color w:val="000000" w:themeColor="text1"/>
          <w:sz w:val="16"/>
          <w:szCs w:val="16"/>
        </w:rPr>
        <w:t>(</w:t>
      </w:r>
      <w:r w:rsidRPr="00E2347F">
        <w:rPr>
          <w:rFonts w:ascii="Verdana" w:hAnsi="Verdana" w:cs="Arial"/>
          <w:color w:val="000000" w:themeColor="text1"/>
          <w:sz w:val="16"/>
          <w:szCs w:val="16"/>
        </w:rPr>
        <w:t>…</w:t>
      </w:r>
      <w:r>
        <w:rPr>
          <w:rFonts w:ascii="Verdana" w:hAnsi="Verdana" w:cs="Arial"/>
          <w:color w:val="000000" w:themeColor="text1"/>
          <w:sz w:val="16"/>
          <w:szCs w:val="16"/>
        </w:rPr>
        <w:t>)</w:t>
      </w:r>
      <w:r w:rsidRPr="00E2347F">
        <w:rPr>
          <w:rFonts w:ascii="Verdana" w:hAnsi="Verdana" w:cs="Arial"/>
          <w:color w:val="000000" w:themeColor="text1"/>
          <w:sz w:val="16"/>
          <w:szCs w:val="16"/>
        </w:rPr>
        <w:t xml:space="preserve"> la incapacidad especial afecta únicamente a ciertas personas, impidiéndoles que puedan ejecutar actos específicos que la ley señala en cada caso; de modo que, para que sea aplicable, se requieren dos condiciones: la persona misma y el acto.</w:t>
      </w:r>
    </w:p>
    <w:p w14:paraId="3FBF1955" w14:textId="77777777" w:rsidR="00BC6358" w:rsidRPr="00E2347F" w:rsidRDefault="00BC6358" w:rsidP="00BC6358">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Si esas personas, que, por otra parte, son plenamente capaces para celebrar o ejecutar válidamente cualquier acto o contrato de la vida civil, celebran uno, para el cual son capaces, el acto o contrato es válido, porque la incapacidad sólo dice relación con el acto o contrato específico que la ley señala.</w:t>
      </w:r>
    </w:p>
    <w:p w14:paraId="213B9A69" w14:textId="77777777" w:rsidR="00BC6358" w:rsidRPr="00E2347F" w:rsidRDefault="00BC6358" w:rsidP="00BC6358">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Igualmente, el acto o contrato para cuya ejecución o celebración la ley considera incapaz a ciertas y determinadas personas no tiene en sí nada de reprobable, y puede, por lo general, ser ejecutado por cualquier individuo, estando las más de las veces expresamente reglamentado por la legislación. Pero si es ejecutado por aquellas personas, la ley no permite su subsistencia y autoriza su anulación, porque no quiere que esas personas, que están en situaciones especiales, celebren o ejecuten tales actos o contratos.</w:t>
      </w:r>
    </w:p>
    <w:p w14:paraId="069F8165" w14:textId="77777777" w:rsidR="00BC6358" w:rsidRPr="00E2347F" w:rsidRDefault="00BC6358" w:rsidP="00BC6358">
      <w:pPr>
        <w:pStyle w:val="Textonotapie"/>
        <w:ind w:firstLine="708"/>
        <w:jc w:val="both"/>
        <w:rPr>
          <w:rFonts w:ascii="Verdana" w:hAnsi="Verdana" w:cs="Arial"/>
          <w:color w:val="000000" w:themeColor="text1"/>
          <w:sz w:val="16"/>
          <w:szCs w:val="16"/>
        </w:rPr>
      </w:pPr>
      <w:r w:rsidRPr="00E2347F">
        <w:rPr>
          <w:rFonts w:ascii="Verdana" w:hAnsi="Verdana" w:cs="Arial"/>
          <w:color w:val="000000" w:themeColor="text1"/>
          <w:sz w:val="16"/>
          <w:szCs w:val="16"/>
        </w:rPr>
        <w:t>En consecuencia, en las incapacidades especiales existe una relación íntima entre la calidad o estado de que está revestida una persona, y el acto específico que realiza. Por tal motivo, tratándose de una persona que no reúna esa calidad o estado, el acto puede ejecutarse sin ningún inconveniente; y en igual forma, tratándose de otro acto diverso, la persona que tenga esa calidad puede ejecutarlo válidamente. La incapacidad especial se produce, pues, por la conjunción de dos circunstancias, que deben coexistir: persona que reúna ciertas condiciones o que tenga un estado especial determinado por la ley, y acto cuya celebración sea prohibida a esa persona” (</w:t>
      </w:r>
      <w:bookmarkStart w:id="4" w:name="_Hlk35615848"/>
      <w:r w:rsidRPr="00E2347F">
        <w:rPr>
          <w:rFonts w:ascii="Verdana" w:hAnsi="Verdana" w:cs="Arial"/>
          <w:color w:val="000000" w:themeColor="text1"/>
          <w:sz w:val="16"/>
          <w:szCs w:val="16"/>
        </w:rPr>
        <w:t>ALESSADRI BESA, Arturo. La nulidad y la rescisión en el derecho civil chileno. Tomo I. Santiago de Chile: Ediar Editores LTDA, 1949. p. 471</w:t>
      </w:r>
      <w:bookmarkEnd w:id="4"/>
      <w:r w:rsidRPr="00E2347F">
        <w:rPr>
          <w:rFonts w:ascii="Verdana" w:hAnsi="Verdana" w:cs="Arial"/>
          <w:color w:val="000000" w:themeColor="text1"/>
          <w:sz w:val="16"/>
          <w:szCs w:val="16"/>
        </w:rPr>
        <w:t xml:space="preserve">). </w:t>
      </w:r>
    </w:p>
  </w:footnote>
  <w:footnote w:id="11">
    <w:p w14:paraId="3033AB9A" w14:textId="77777777" w:rsidR="00BC6358" w:rsidRPr="00F455A3" w:rsidRDefault="00BC6358" w:rsidP="00BC6358">
      <w:pPr>
        <w:pStyle w:val="Textonotapie"/>
        <w:ind w:firstLine="708"/>
        <w:jc w:val="both"/>
        <w:rPr>
          <w:rFonts w:ascii="Verdana" w:hAnsi="Verdana"/>
          <w:sz w:val="16"/>
          <w:szCs w:val="16"/>
        </w:rPr>
      </w:pPr>
      <w:r w:rsidRPr="00F455A3">
        <w:rPr>
          <w:rStyle w:val="Refdenotaalpie"/>
          <w:rFonts w:ascii="Verdana" w:hAnsi="Verdana"/>
          <w:sz w:val="16"/>
          <w:szCs w:val="16"/>
        </w:rPr>
        <w:footnoteRef/>
      </w:r>
      <w:r>
        <w:rPr>
          <w:rFonts w:ascii="Verdana" w:hAnsi="Verdana"/>
          <w:sz w:val="16"/>
          <w:szCs w:val="16"/>
        </w:rPr>
        <w:t xml:space="preserve"> </w:t>
      </w:r>
      <w:r w:rsidRPr="00F455A3">
        <w:rPr>
          <w:rFonts w:ascii="Verdana" w:hAnsi="Verdana"/>
          <w:sz w:val="16"/>
          <w:szCs w:val="16"/>
        </w:rPr>
        <w:t xml:space="preserve">DEPARTAMENTO ADMINISTRATIVO NACIONAL DE ESTADÍSTICA. Clasificación Industrial Internacional Uniforme de todas las actividades económicas. Revisión 4 Adaptada para Colombia. 2022. Consultado el 19 de marzo de 2025 en la página web </w:t>
      </w:r>
      <w:hyperlink r:id="rId1" w:history="1">
        <w:r w:rsidRPr="00F455A3">
          <w:rPr>
            <w:rStyle w:val="Hipervnculo"/>
            <w:rFonts w:ascii="Verdana" w:hAnsi="Verdana"/>
            <w:sz w:val="16"/>
            <w:szCs w:val="16"/>
          </w:rPr>
          <w:t>https://www.dane.gov.co/files/sen/nomenclatura/ciiu/CIIU_Rev_4_AC2022.pdf</w:t>
        </w:r>
      </w:hyperlink>
      <w:r w:rsidRPr="00F455A3">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FC064B"/>
    <w:multiLevelType w:val="hybridMultilevel"/>
    <w:tmpl w:val="12EA156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8679D0"/>
    <w:multiLevelType w:val="hybridMultilevel"/>
    <w:tmpl w:val="2C6ECA9C"/>
    <w:lvl w:ilvl="0" w:tplc="240A0001">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53255849">
    <w:abstractNumId w:val="9"/>
  </w:num>
  <w:num w:numId="17" w16cid:durableId="1715933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0AB"/>
    <w:rsid w:val="00016F78"/>
    <w:rsid w:val="000176BB"/>
    <w:rsid w:val="00017F55"/>
    <w:rsid w:val="00046945"/>
    <w:rsid w:val="00051E98"/>
    <w:rsid w:val="00061B2A"/>
    <w:rsid w:val="00082362"/>
    <w:rsid w:val="000975E5"/>
    <w:rsid w:val="000A12F3"/>
    <w:rsid w:val="000A683E"/>
    <w:rsid w:val="000B19B9"/>
    <w:rsid w:val="000C6F49"/>
    <w:rsid w:val="000D0334"/>
    <w:rsid w:val="000D5DA7"/>
    <w:rsid w:val="000F6486"/>
    <w:rsid w:val="00116940"/>
    <w:rsid w:val="00125105"/>
    <w:rsid w:val="00127233"/>
    <w:rsid w:val="00144AB9"/>
    <w:rsid w:val="0015699B"/>
    <w:rsid w:val="00161773"/>
    <w:rsid w:val="001A33BF"/>
    <w:rsid w:val="001D00F3"/>
    <w:rsid w:val="001E4177"/>
    <w:rsid w:val="001F0B24"/>
    <w:rsid w:val="001F7DC6"/>
    <w:rsid w:val="0022400B"/>
    <w:rsid w:val="00240ACB"/>
    <w:rsid w:val="00241CE7"/>
    <w:rsid w:val="002421BB"/>
    <w:rsid w:val="0025796E"/>
    <w:rsid w:val="002707A2"/>
    <w:rsid w:val="002717F6"/>
    <w:rsid w:val="00273B46"/>
    <w:rsid w:val="002773AB"/>
    <w:rsid w:val="002860BE"/>
    <w:rsid w:val="00294F08"/>
    <w:rsid w:val="002951A0"/>
    <w:rsid w:val="002962BC"/>
    <w:rsid w:val="002A093D"/>
    <w:rsid w:val="002A0DD0"/>
    <w:rsid w:val="002A49AC"/>
    <w:rsid w:val="002A64FD"/>
    <w:rsid w:val="002B05E1"/>
    <w:rsid w:val="002C7A84"/>
    <w:rsid w:val="002E2BF8"/>
    <w:rsid w:val="002E4FD9"/>
    <w:rsid w:val="002F6EAB"/>
    <w:rsid w:val="0030657A"/>
    <w:rsid w:val="00322A85"/>
    <w:rsid w:val="00324168"/>
    <w:rsid w:val="00327B8B"/>
    <w:rsid w:val="00330834"/>
    <w:rsid w:val="003448F4"/>
    <w:rsid w:val="00374F5E"/>
    <w:rsid w:val="00377E3E"/>
    <w:rsid w:val="003A779E"/>
    <w:rsid w:val="003D0F4D"/>
    <w:rsid w:val="003D5B0D"/>
    <w:rsid w:val="003E0499"/>
    <w:rsid w:val="003E2CC1"/>
    <w:rsid w:val="003E4F80"/>
    <w:rsid w:val="003E6439"/>
    <w:rsid w:val="003F3941"/>
    <w:rsid w:val="00406575"/>
    <w:rsid w:val="00414C74"/>
    <w:rsid w:val="0042722E"/>
    <w:rsid w:val="0044528D"/>
    <w:rsid w:val="00466E39"/>
    <w:rsid w:val="004A1847"/>
    <w:rsid w:val="004A305D"/>
    <w:rsid w:val="004F21C4"/>
    <w:rsid w:val="004F685F"/>
    <w:rsid w:val="005100B6"/>
    <w:rsid w:val="005544C6"/>
    <w:rsid w:val="00555D82"/>
    <w:rsid w:val="005566E8"/>
    <w:rsid w:val="00570231"/>
    <w:rsid w:val="00574867"/>
    <w:rsid w:val="00591460"/>
    <w:rsid w:val="005A65E0"/>
    <w:rsid w:val="005C3777"/>
    <w:rsid w:val="005C5CDC"/>
    <w:rsid w:val="005C781F"/>
    <w:rsid w:val="005D476C"/>
    <w:rsid w:val="005F370B"/>
    <w:rsid w:val="006200BF"/>
    <w:rsid w:val="006219F8"/>
    <w:rsid w:val="006302F7"/>
    <w:rsid w:val="00646B9F"/>
    <w:rsid w:val="00665D70"/>
    <w:rsid w:val="00677C6E"/>
    <w:rsid w:val="006900D9"/>
    <w:rsid w:val="006A38D5"/>
    <w:rsid w:val="006B1C6E"/>
    <w:rsid w:val="00706C16"/>
    <w:rsid w:val="00710A49"/>
    <w:rsid w:val="007335AE"/>
    <w:rsid w:val="007340C3"/>
    <w:rsid w:val="0075235A"/>
    <w:rsid w:val="00756841"/>
    <w:rsid w:val="007649AB"/>
    <w:rsid w:val="00771D0C"/>
    <w:rsid w:val="00777D45"/>
    <w:rsid w:val="007833AC"/>
    <w:rsid w:val="00795149"/>
    <w:rsid w:val="007B268C"/>
    <w:rsid w:val="007B469B"/>
    <w:rsid w:val="007B7171"/>
    <w:rsid w:val="007C0C0F"/>
    <w:rsid w:val="007C3DC2"/>
    <w:rsid w:val="007E5497"/>
    <w:rsid w:val="00806F5F"/>
    <w:rsid w:val="00820278"/>
    <w:rsid w:val="008230D4"/>
    <w:rsid w:val="008258C9"/>
    <w:rsid w:val="00844AE9"/>
    <w:rsid w:val="00867F95"/>
    <w:rsid w:val="00882C31"/>
    <w:rsid w:val="008843B6"/>
    <w:rsid w:val="00891928"/>
    <w:rsid w:val="00894542"/>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25A7"/>
    <w:rsid w:val="009D3058"/>
    <w:rsid w:val="009F3A13"/>
    <w:rsid w:val="00A122D3"/>
    <w:rsid w:val="00A14468"/>
    <w:rsid w:val="00A17F13"/>
    <w:rsid w:val="00A20739"/>
    <w:rsid w:val="00A23AF9"/>
    <w:rsid w:val="00A33C78"/>
    <w:rsid w:val="00AB0ADB"/>
    <w:rsid w:val="00AF37DB"/>
    <w:rsid w:val="00B00764"/>
    <w:rsid w:val="00B00C0E"/>
    <w:rsid w:val="00B01B1A"/>
    <w:rsid w:val="00B0381D"/>
    <w:rsid w:val="00B12014"/>
    <w:rsid w:val="00B44A47"/>
    <w:rsid w:val="00B6029D"/>
    <w:rsid w:val="00B72CD3"/>
    <w:rsid w:val="00B72FFF"/>
    <w:rsid w:val="00BA78DD"/>
    <w:rsid w:val="00BC3D36"/>
    <w:rsid w:val="00BC6358"/>
    <w:rsid w:val="00BD54A6"/>
    <w:rsid w:val="00BD7F72"/>
    <w:rsid w:val="00BE10C1"/>
    <w:rsid w:val="00BF7425"/>
    <w:rsid w:val="00C04FB3"/>
    <w:rsid w:val="00C11D8B"/>
    <w:rsid w:val="00C15139"/>
    <w:rsid w:val="00C1782B"/>
    <w:rsid w:val="00C330EB"/>
    <w:rsid w:val="00C50D69"/>
    <w:rsid w:val="00C5365C"/>
    <w:rsid w:val="00C65122"/>
    <w:rsid w:val="00C754BE"/>
    <w:rsid w:val="00C76B1C"/>
    <w:rsid w:val="00C8385A"/>
    <w:rsid w:val="00C925AC"/>
    <w:rsid w:val="00CB6357"/>
    <w:rsid w:val="00CC1B26"/>
    <w:rsid w:val="00D0009B"/>
    <w:rsid w:val="00D361FD"/>
    <w:rsid w:val="00D40B18"/>
    <w:rsid w:val="00D423A2"/>
    <w:rsid w:val="00D44E26"/>
    <w:rsid w:val="00D520D8"/>
    <w:rsid w:val="00D63AC2"/>
    <w:rsid w:val="00D7383B"/>
    <w:rsid w:val="00D7788A"/>
    <w:rsid w:val="00DA231B"/>
    <w:rsid w:val="00DA790C"/>
    <w:rsid w:val="00DC21CD"/>
    <w:rsid w:val="00DC39FC"/>
    <w:rsid w:val="00DF5254"/>
    <w:rsid w:val="00E02524"/>
    <w:rsid w:val="00E14120"/>
    <w:rsid w:val="00E16408"/>
    <w:rsid w:val="00E17846"/>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32E6D"/>
    <w:rsid w:val="00F462B3"/>
    <w:rsid w:val="00F5664F"/>
    <w:rsid w:val="00F666C4"/>
    <w:rsid w:val="00F76AFC"/>
    <w:rsid w:val="00F952FB"/>
    <w:rsid w:val="00FA2F94"/>
    <w:rsid w:val="00FA47C0"/>
    <w:rsid w:val="00FB5DD1"/>
    <w:rsid w:val="00FC2B5D"/>
    <w:rsid w:val="00FC5C06"/>
    <w:rsid w:val="00FD5A0A"/>
    <w:rsid w:val="00FF0DF2"/>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14120"/>
    <w:pPr>
      <w:spacing w:line="240" w:lineRule="exact"/>
    </w:pPr>
    <w:rPr>
      <w:vertAlign w:val="superscript"/>
    </w:rPr>
  </w:style>
  <w:style w:type="character" w:customStyle="1" w:styleId="NormalWebCar">
    <w:name w:val="Normal (Web) Car"/>
    <w:link w:val="NormalWeb"/>
    <w:uiPriority w:val="99"/>
    <w:locked/>
    <w:rsid w:val="00E14120"/>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14120"/>
    <w:rPr>
      <w:rFonts w:ascii="Geomanist Light" w:hAnsi="Geomanist Light"/>
      <w:lang w:val="es-ES"/>
    </w:rPr>
  </w:style>
  <w:style w:type="paragraph" w:styleId="Textoindependiente">
    <w:name w:val="Body Text"/>
    <w:basedOn w:val="Normal"/>
    <w:link w:val="TextoindependienteCar"/>
    <w:uiPriority w:val="1"/>
    <w:unhideWhenUsed/>
    <w:qFormat/>
    <w:rsid w:val="00E14120"/>
    <w:pPr>
      <w:spacing w:after="120"/>
    </w:pPr>
  </w:style>
  <w:style w:type="character" w:customStyle="1" w:styleId="TextoindependienteCar">
    <w:name w:val="Texto independiente Car"/>
    <w:basedOn w:val="Fuentedeprrafopredeter"/>
    <w:link w:val="Textoindependiente"/>
    <w:uiPriority w:val="1"/>
    <w:rsid w:val="00E1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ne.gov.co/files/sen/nomenclatura/ciiu/CIIU_Rev_4_AC2022.pdf"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ane.gov.co/files/sen/nomenclatura/ciiu/CIIU_Rev_4_AC20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B2ABABBA-5E66-4928-8CEE-834DC4AE3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16</Pages>
  <Words>5086</Words>
  <Characters>27974</Characters>
  <Application>Microsoft Office Word</Application>
  <DocSecurity>0</DocSecurity>
  <Lines>233</Lines>
  <Paragraphs>65</Paragraphs>
  <ScaleCrop>false</ScaleCrop>
  <Company/>
  <LinksUpToDate>false</LinksUpToDate>
  <CharactersWithSpaces>32995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2026-08-24T14:48:00Z</dcterms:created>
  <dcterms:modified xsi:type="dcterms:W3CDTF">2026-08-25T13:01:00Z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