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A9EA" w14:textId="75A84CB2" w:rsidR="00C438EB" w:rsidRPr="00C438EB" w:rsidRDefault="00C438EB" w:rsidP="00CE56B4">
      <w:pPr>
        <w:spacing w:after="0" w:line="240" w:lineRule="auto"/>
        <w:rPr>
          <w:rFonts w:ascii="Verdana" w:eastAsia="Arial" w:hAnsi="Verdana" w:cs="Arial"/>
          <w:b/>
          <w:bCs/>
          <w:lang w:val="es-ES"/>
        </w:rPr>
      </w:pPr>
      <w:bookmarkStart w:id="0" w:name="_Hlk143780582"/>
      <w:r w:rsidRPr="00C438EB">
        <w:rPr>
          <w:rFonts w:ascii="Verdana" w:eastAsia="Arial" w:hAnsi="Verdana" w:cs="Arial"/>
          <w:b/>
          <w:bCs/>
          <w:lang w:val="es-ES"/>
        </w:rPr>
        <w:t>PRINCIPIO DE PUBLICIDAD – Concepto – Fundamento axiológico – Fundamento constitucional</w:t>
      </w:r>
    </w:p>
    <w:p w14:paraId="2BAFFAE2"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6BE510AF" w14:textId="63C6CF76" w:rsidR="00C438EB" w:rsidRPr="00C438EB" w:rsidRDefault="00C438EB" w:rsidP="00C438EB">
      <w:pPr>
        <w:spacing w:after="0" w:line="240" w:lineRule="auto"/>
        <w:jc w:val="both"/>
        <w:rPr>
          <w:rFonts w:ascii="Verdana" w:eastAsia="Calibri" w:hAnsi="Verdana" w:cs="Arial"/>
          <w:color w:val="000000" w:themeColor="text1"/>
          <w:sz w:val="21"/>
          <w:szCs w:val="21"/>
          <w:lang w:val="es-ES"/>
        </w:rPr>
      </w:pPr>
      <w:r w:rsidRPr="00C438EB">
        <w:rPr>
          <w:rFonts w:ascii="Verdana" w:eastAsia="Calibri" w:hAnsi="Verdana" w:cs="Arial"/>
          <w:color w:val="000000" w:themeColor="text1"/>
          <w:sz w:val="21"/>
          <w:szCs w:val="21"/>
          <w:lang w:val="es-ES"/>
        </w:rPr>
        <w:t xml:space="preserve">Ahora bien, explicado lo anterior, Uno de los postulados más importantes de un Estado social y democrático de derecho es el principio de </w:t>
      </w:r>
      <w:r w:rsidRPr="00C438EB">
        <w:rPr>
          <w:rFonts w:ascii="Verdana" w:eastAsia="Calibri" w:hAnsi="Verdana" w:cs="Arial"/>
          <w:i/>
          <w:color w:val="000000" w:themeColor="text1"/>
          <w:sz w:val="21"/>
          <w:szCs w:val="21"/>
          <w:lang w:val="es-ES"/>
        </w:rPr>
        <w:t>publicidad</w:t>
      </w:r>
      <w:r w:rsidRPr="00C438EB">
        <w:rPr>
          <w:rFonts w:ascii="Verdana" w:eastAsia="Calibri" w:hAnsi="Verdana" w:cs="Arial"/>
          <w:color w:val="000000" w:themeColor="text1"/>
          <w:sz w:val="21"/>
          <w:szCs w:val="21"/>
          <w:lang w:val="es-ES"/>
        </w:rPr>
        <w:t xml:space="preserve">, pues este permite que las actuaciones de las autoridades gocen de visibilidad. En tal sentido, la filosofía política explica que la democracia “[…] es idealmente el gobierno de un poder visible, es decir, el gobierno cuyos actos se realizan ante el público y bajo la supervisión de la opinión pública”. El secreto generalizado en el ejercicio del poder político constituye, por el contrario, una negación de la democracia, porque dificulta la supervisión de las autoridades por parte de la sociedad civil y establece una barrera para la participación ciudadana. </w:t>
      </w:r>
    </w:p>
    <w:p w14:paraId="39CDC927" w14:textId="77777777" w:rsidR="00C438EB" w:rsidRPr="00C438EB" w:rsidRDefault="00C438EB" w:rsidP="00C438EB">
      <w:pPr>
        <w:spacing w:after="0" w:line="240" w:lineRule="auto"/>
        <w:jc w:val="both"/>
        <w:rPr>
          <w:rFonts w:ascii="Verdana" w:eastAsia="Calibri" w:hAnsi="Verdana" w:cs="Arial"/>
          <w:color w:val="000000" w:themeColor="text1"/>
          <w:sz w:val="21"/>
          <w:szCs w:val="21"/>
          <w:lang w:val="es-ES"/>
        </w:rPr>
      </w:pPr>
    </w:p>
    <w:p w14:paraId="0F091E88" w14:textId="025C314C" w:rsidR="00C438EB" w:rsidRPr="00C438EB" w:rsidRDefault="00C438EB" w:rsidP="00C438EB">
      <w:pPr>
        <w:spacing w:after="0" w:line="240" w:lineRule="auto"/>
        <w:jc w:val="both"/>
        <w:rPr>
          <w:rFonts w:ascii="Verdana" w:eastAsia="Calibri" w:hAnsi="Verdana" w:cs="Arial"/>
          <w:color w:val="000000" w:themeColor="text1"/>
          <w:sz w:val="21"/>
          <w:szCs w:val="21"/>
          <w:lang w:val="es-ES_tradnl"/>
        </w:rPr>
      </w:pPr>
      <w:r w:rsidRPr="00C438EB">
        <w:rPr>
          <w:rFonts w:ascii="Verdana" w:eastAsia="Calibri" w:hAnsi="Verdana" w:cs="Arial"/>
          <w:color w:val="000000" w:themeColor="text1"/>
          <w:sz w:val="21"/>
          <w:szCs w:val="21"/>
          <w:lang w:val="es-ES_tradnl"/>
        </w:rPr>
        <w:t>Inspirada en esta concepción axiológica,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En tal perspectiva, la Corte Constitucional ha señalado que el principio de publicidad es la garantía que tienen las personas de conocer las actuaciones judiciales y administrativas</w:t>
      </w:r>
      <w:r>
        <w:rPr>
          <w:rFonts w:ascii="Verdana" w:eastAsia="Calibri" w:hAnsi="Verdana" w:cs="Arial"/>
          <w:color w:val="000000" w:themeColor="text1"/>
          <w:sz w:val="21"/>
          <w:szCs w:val="21"/>
          <w:lang w:val="es-ES_tradnl"/>
        </w:rPr>
        <w:t xml:space="preserve">. </w:t>
      </w:r>
    </w:p>
    <w:p w14:paraId="4B914979" w14:textId="77777777" w:rsidR="00C438EB" w:rsidRDefault="00C438EB" w:rsidP="00C438EB">
      <w:pPr>
        <w:spacing w:after="0" w:line="240" w:lineRule="auto"/>
        <w:jc w:val="both"/>
        <w:rPr>
          <w:rFonts w:ascii="Verdana" w:eastAsia="Calibri" w:hAnsi="Verdana" w:cs="Arial"/>
          <w:color w:val="000000" w:themeColor="text1"/>
          <w:lang w:val="es-ES_tradnl"/>
        </w:rPr>
      </w:pPr>
    </w:p>
    <w:p w14:paraId="1FAB4C81" w14:textId="245ECC0D" w:rsidR="00C438EB" w:rsidRPr="00C438EB" w:rsidRDefault="00C438EB" w:rsidP="00C438EB">
      <w:pPr>
        <w:spacing w:after="0" w:line="240" w:lineRule="auto"/>
        <w:jc w:val="both"/>
        <w:rPr>
          <w:rFonts w:ascii="Verdana" w:eastAsia="Calibri" w:hAnsi="Verdana" w:cs="Arial"/>
          <w:b/>
          <w:color w:val="000000" w:themeColor="text1"/>
          <w:lang w:val="es-ES_tradnl"/>
        </w:rPr>
      </w:pPr>
      <w:r w:rsidRPr="00C438EB">
        <w:rPr>
          <w:rFonts w:ascii="Verdana" w:eastAsia="Arial" w:hAnsi="Verdana" w:cs="Arial"/>
          <w:b/>
          <w:lang w:val="es-ES_tradnl"/>
        </w:rPr>
        <w:t>PRINCIPIO DE PUBLICIDAD – SECOP – Documentos del proceso – Deber de publicación</w:t>
      </w:r>
    </w:p>
    <w:p w14:paraId="43478415" w14:textId="77777777" w:rsidR="00C438EB" w:rsidRDefault="00C438EB" w:rsidP="00C438EB">
      <w:pPr>
        <w:spacing w:after="0" w:line="240" w:lineRule="auto"/>
        <w:jc w:val="both"/>
        <w:rPr>
          <w:rFonts w:ascii="Verdana" w:eastAsia="Calibri" w:hAnsi="Verdana" w:cs="Arial"/>
          <w:color w:val="000000" w:themeColor="text1"/>
          <w:lang w:val="es-ES_tradnl"/>
        </w:rPr>
      </w:pPr>
    </w:p>
    <w:p w14:paraId="3F5475E5" w14:textId="104FF7A2" w:rsidR="00C438EB" w:rsidRDefault="00C438EB" w:rsidP="00C438EB">
      <w:pPr>
        <w:spacing w:after="0" w:line="240" w:lineRule="auto"/>
        <w:jc w:val="both"/>
        <w:rPr>
          <w:rFonts w:ascii="Verdana" w:eastAsia="Calibri" w:hAnsi="Verdana" w:cs="Arial"/>
          <w:color w:val="000000" w:themeColor="text1"/>
          <w:sz w:val="21"/>
          <w:szCs w:val="21"/>
          <w:lang w:val="es-ES"/>
        </w:rPr>
      </w:pPr>
      <w:r w:rsidRPr="00C438EB">
        <w:rPr>
          <w:rFonts w:ascii="Verdana" w:eastAsia="Calibri" w:hAnsi="Verdana" w:cs="Arial"/>
          <w:color w:val="000000" w:themeColor="text1"/>
          <w:sz w:val="21"/>
          <w:szCs w:val="21"/>
          <w:lang w:val="es-ES"/>
        </w:rPr>
        <w:t>[…] el deber de publicidad de la contratación no depende exclusivamente de que la entidad tenga naturaleza pública ni de que se encuentre sometida al Estatuto General de Contratación de la Administración Pública. El literal c) del artículo 3 de la Ley 1150 de 2007 establece que el SECOP es el sistema de información en el cual los sujetos obligados que contratan con recursos públicos deben publicar la información de su gestión contractual. De igual manera, el literal g) del artículo 11 de la Ley 1712 de 2014 exige garantizar la publicidad de los procedimientos, políticas de adquisiciones y datos de adjudicación y ejecución de contratos.</w:t>
      </w:r>
    </w:p>
    <w:p w14:paraId="26BC7F28" w14:textId="77777777" w:rsidR="00C438EB" w:rsidRPr="00C438EB" w:rsidRDefault="00C438EB" w:rsidP="00C438EB">
      <w:pPr>
        <w:spacing w:after="0" w:line="240" w:lineRule="auto"/>
        <w:jc w:val="both"/>
        <w:rPr>
          <w:rFonts w:ascii="Verdana" w:eastAsia="Calibri" w:hAnsi="Verdana" w:cs="Arial"/>
          <w:color w:val="000000" w:themeColor="text1"/>
          <w:sz w:val="21"/>
          <w:szCs w:val="21"/>
          <w:lang w:val="es-ES"/>
        </w:rPr>
      </w:pPr>
    </w:p>
    <w:p w14:paraId="263BBAF1" w14:textId="77777777" w:rsidR="00C438EB" w:rsidRPr="00C438EB" w:rsidRDefault="00C438EB" w:rsidP="00C438EB">
      <w:pPr>
        <w:spacing w:after="0" w:line="240" w:lineRule="auto"/>
        <w:jc w:val="both"/>
        <w:rPr>
          <w:rFonts w:ascii="Verdana" w:eastAsia="Calibri" w:hAnsi="Verdana" w:cs="Arial"/>
          <w:color w:val="000000" w:themeColor="text1"/>
          <w:sz w:val="21"/>
          <w:szCs w:val="21"/>
          <w:lang w:val="es-ES"/>
        </w:rPr>
      </w:pPr>
      <w:r w:rsidRPr="00C438EB">
        <w:rPr>
          <w:rFonts w:ascii="Verdana" w:eastAsia="Calibri" w:hAnsi="Verdana" w:cs="Arial"/>
          <w:color w:val="000000" w:themeColor="text1"/>
          <w:sz w:val="21"/>
          <w:szCs w:val="21"/>
          <w:lang w:val="es-ES"/>
        </w:rPr>
        <w:t xml:space="preserve">Bajo esta perspectiva, Colombia Compra Eficiente ha sostenido que las entidades que contratan con recursos públicos deben publicar la información correspondiente en el SECOP, con independencia de su naturaleza jurídica o régimen contractual. Incluso, respecto de sujetos que no tienen la condición de entidades estatales, se ha señalado que cuando ejecutan recursos públicos deben publicar en el SECOP la contratación realizada con cargo a dichos recursos. Por consiguiente, el hecho de que una EPS se encuentre sometida a un régimen contractual de derecho privado </w:t>
      </w:r>
      <w:r w:rsidRPr="00C438EB">
        <w:rPr>
          <w:rFonts w:ascii="Verdana" w:eastAsia="Calibri" w:hAnsi="Verdana" w:cs="Arial"/>
          <w:color w:val="000000" w:themeColor="text1"/>
          <w:sz w:val="21"/>
          <w:szCs w:val="21"/>
          <w:lang w:val="es-ES"/>
        </w:rPr>
        <w:lastRenderedPageBreak/>
        <w:t>no excluye, por sí mismo, el deber de publicidad respecto de la contratación financiada con recursos públicos.</w:t>
      </w:r>
    </w:p>
    <w:p w14:paraId="1F49285D" w14:textId="77777777" w:rsidR="00CC3818" w:rsidRDefault="00CC3818" w:rsidP="00C438EB">
      <w:pPr>
        <w:spacing w:after="0" w:line="240" w:lineRule="auto"/>
        <w:jc w:val="both"/>
        <w:rPr>
          <w:rFonts w:ascii="Verdana" w:eastAsia="Arial" w:hAnsi="Verdana" w:cs="Arial"/>
          <w:b/>
          <w:bCs/>
        </w:rPr>
      </w:pPr>
    </w:p>
    <w:p w14:paraId="6C040D05" w14:textId="3104C6BE" w:rsidR="00C438EB" w:rsidRPr="00C438EB" w:rsidRDefault="00C438EB" w:rsidP="00C438EB">
      <w:pPr>
        <w:spacing w:after="0" w:line="240" w:lineRule="auto"/>
        <w:jc w:val="both"/>
        <w:rPr>
          <w:rFonts w:ascii="Verdana" w:eastAsia="Calibri" w:hAnsi="Verdana" w:cs="Arial"/>
          <w:b/>
          <w:bCs/>
          <w:color w:val="000000" w:themeColor="text1"/>
        </w:rPr>
      </w:pPr>
      <w:r w:rsidRPr="00C438EB">
        <w:rPr>
          <w:rFonts w:ascii="Verdana" w:eastAsia="Arial" w:hAnsi="Verdana" w:cs="Arial"/>
          <w:b/>
          <w:bCs/>
        </w:rPr>
        <w:t>DEBER DE PUBLICIDAD – Sujetos Obligados</w:t>
      </w:r>
    </w:p>
    <w:p w14:paraId="3FF95206" w14:textId="69AAB50D" w:rsidR="00C438EB" w:rsidRPr="00C438EB" w:rsidRDefault="00C438EB" w:rsidP="00C438EB">
      <w:pPr>
        <w:spacing w:before="120" w:line="240" w:lineRule="auto"/>
        <w:jc w:val="both"/>
        <w:rPr>
          <w:rFonts w:ascii="Verdana" w:eastAsia="Calibri" w:hAnsi="Verdana" w:cs="Arial"/>
          <w:color w:val="000000" w:themeColor="text1"/>
          <w:sz w:val="21"/>
          <w:szCs w:val="21"/>
          <w:lang w:val="es-ES"/>
        </w:rPr>
      </w:pPr>
      <w:r w:rsidRPr="00C438EB">
        <w:rPr>
          <w:rFonts w:ascii="Verdana" w:hAnsi="Verdana" w:cs="Arial"/>
          <w:color w:val="000000" w:themeColor="text1"/>
          <w:sz w:val="21"/>
          <w:szCs w:val="21"/>
          <w:lang w:val="es-ES"/>
        </w:rPr>
        <w:t xml:space="preserve">De otra parte, la Ley 1712 de 2014 –ley estatutaria que regula la transparencia y el derecho de acceso a la información y a los documentos públicos–, identifica como principios que orientan el derecho de acceso a la información pública, el de máxima publicidad, transparencia en la información y buena fe. El principio de máxima publicidad establece que </w:t>
      </w:r>
      <w:r>
        <w:rPr>
          <w:rFonts w:ascii="Verdana" w:hAnsi="Verdana" w:cs="Arial"/>
          <w:color w:val="000000" w:themeColor="text1"/>
          <w:sz w:val="21"/>
          <w:szCs w:val="21"/>
          <w:lang w:val="es-ES"/>
        </w:rPr>
        <w:t>“</w:t>
      </w:r>
      <w:r w:rsidRPr="00C438EB">
        <w:rPr>
          <w:rFonts w:ascii="Verdana" w:hAnsi="Verdana" w:cs="Arial"/>
          <w:color w:val="000000" w:themeColor="text1"/>
          <w:sz w:val="21"/>
          <w:szCs w:val="21"/>
          <w:lang w:val="es-ES"/>
        </w:rPr>
        <w:t>toda información en posesión, bajo control o custodia de un sujeto obligado es pública y no podrá ser reservada o limitada sino por disposición constitucional o legal</w:t>
      </w:r>
      <w:r>
        <w:rPr>
          <w:rFonts w:ascii="Verdana" w:hAnsi="Verdana" w:cs="Arial"/>
          <w:color w:val="000000" w:themeColor="text1"/>
          <w:sz w:val="21"/>
          <w:szCs w:val="21"/>
          <w:lang w:val="es-ES"/>
        </w:rPr>
        <w:t>”</w:t>
      </w:r>
      <w:r w:rsidRPr="00C438EB">
        <w:rPr>
          <w:rFonts w:ascii="Verdana" w:hAnsi="Verdana" w:cs="Arial"/>
          <w:color w:val="000000" w:themeColor="text1"/>
          <w:sz w:val="21"/>
          <w:szCs w:val="21"/>
          <w:lang w:val="es-ES"/>
        </w:rPr>
        <w:t>. El principio de transparencia en la información alude al deber de los sujetos de proporcionar y facilitar el acceso a la misma en los términos más amplios posibles, y a través de los medios y procedimientos legales. En el literal e) del artículo 9, la ley estatutaria citada establece dispone que los sujetos obligados, que son todas las entidades públicas, deben publicar la información relativa a su contratación. Esta obligación fue desarrollada por el Decreto Único Reglamentario 1081 de 2015, el cual dispuso que la publicación de la información contractual de los sujetos obligados, que contratan con cargo a recursos públicos, debe hacerse en el Sistema Electrónico para la Contratación Pública ─</w:t>
      </w:r>
      <w:r w:rsidRPr="00C438EB">
        <w:rPr>
          <w:rFonts w:ascii="Verdana" w:hAnsi="Verdana" w:cs="Arial"/>
          <w:color w:val="000000" w:themeColor="text1"/>
          <w:sz w:val="21"/>
          <w:szCs w:val="21"/>
          <w:lang w:val="es-ES_tradnl"/>
        </w:rPr>
        <w:softHyphen/>
      </w:r>
      <w:r w:rsidRPr="00C438EB">
        <w:rPr>
          <w:rFonts w:ascii="Verdana" w:hAnsi="Verdana" w:cs="Arial"/>
          <w:color w:val="000000" w:themeColor="text1"/>
          <w:sz w:val="21"/>
          <w:szCs w:val="21"/>
          <w:lang w:val="es-ES"/>
        </w:rPr>
        <w:t xml:space="preserve"> </w:t>
      </w:r>
      <w:r w:rsidRPr="00C438EB">
        <w:rPr>
          <w:rFonts w:ascii="Verdana" w:hAnsi="Verdana" w:cs="Arial"/>
          <w:color w:val="000000" w:themeColor="text1"/>
          <w:sz w:val="21"/>
          <w:szCs w:val="21"/>
          <w:lang w:val="es-ES_tradnl"/>
        </w:rPr>
        <w:softHyphen/>
      </w:r>
      <w:r w:rsidRPr="00C438EB">
        <w:rPr>
          <w:rFonts w:ascii="Verdana" w:hAnsi="Verdana" w:cs="Arial"/>
          <w:color w:val="000000" w:themeColor="text1"/>
          <w:sz w:val="21"/>
          <w:szCs w:val="21"/>
          <w:lang w:val="es-ES"/>
        </w:rPr>
        <w:t>SECOP–.</w:t>
      </w:r>
    </w:p>
    <w:p w14:paraId="4A569F77" w14:textId="0AC4CB05" w:rsidR="00C438EB" w:rsidRPr="00C438EB" w:rsidRDefault="00C438EB" w:rsidP="00C438EB">
      <w:pPr>
        <w:spacing w:line="276" w:lineRule="auto"/>
        <w:jc w:val="both"/>
        <w:rPr>
          <w:rFonts w:ascii="Verdana" w:eastAsia="Arial" w:hAnsi="Verdana" w:cs="Arial"/>
          <w:b/>
          <w:bCs/>
        </w:rPr>
      </w:pPr>
      <w:r w:rsidRPr="00C438EB">
        <w:rPr>
          <w:rFonts w:ascii="Verdana" w:eastAsia="Arial" w:hAnsi="Verdana" w:cs="Arial"/>
          <w:b/>
          <w:bCs/>
        </w:rPr>
        <w:t>EPS</w:t>
      </w:r>
      <w:r w:rsidRPr="00C438EB">
        <w:rPr>
          <w:rFonts w:ascii="Verdana" w:eastAsia="Arial" w:hAnsi="Verdana" w:cs="Arial"/>
          <w:b/>
          <w:bCs/>
          <w:color w:val="C00000"/>
        </w:rPr>
        <w:t xml:space="preserve">– </w:t>
      </w:r>
      <w:r w:rsidRPr="00C438EB">
        <w:rPr>
          <w:rFonts w:ascii="Verdana" w:eastAsia="Arial" w:hAnsi="Verdana" w:cs="Arial"/>
          <w:b/>
          <w:bCs/>
        </w:rPr>
        <w:t xml:space="preserve">Naturaleza Jurídica – Formas organizativas </w:t>
      </w:r>
      <w:r w:rsidR="00CC3818" w:rsidRPr="00CC3818">
        <w:rPr>
          <w:rFonts w:ascii="Verdana" w:eastAsia="Arial" w:hAnsi="Verdana" w:cs="Arial"/>
          <w:b/>
          <w:bCs/>
          <w:lang w:val="es-ES"/>
        </w:rPr>
        <w:t>–</w:t>
      </w:r>
      <w:r w:rsidRPr="00C438EB">
        <w:rPr>
          <w:rFonts w:ascii="Verdana" w:eastAsia="Arial" w:hAnsi="Verdana" w:cs="Arial"/>
          <w:b/>
          <w:bCs/>
        </w:rPr>
        <w:t xml:space="preserve"> </w:t>
      </w:r>
      <w:r w:rsidR="00CC3818">
        <w:rPr>
          <w:rFonts w:ascii="Verdana" w:eastAsia="Arial" w:hAnsi="Verdana" w:cs="Arial"/>
          <w:b/>
          <w:bCs/>
        </w:rPr>
        <w:t>D</w:t>
      </w:r>
      <w:r w:rsidR="00CC3818" w:rsidRPr="00C438EB">
        <w:rPr>
          <w:rFonts w:ascii="Verdana" w:eastAsia="Arial" w:hAnsi="Verdana" w:cs="Arial"/>
          <w:b/>
          <w:bCs/>
        </w:rPr>
        <w:t>eber de publicidad</w:t>
      </w:r>
      <w:r w:rsidRPr="00C438EB">
        <w:rPr>
          <w:rFonts w:ascii="Verdana" w:eastAsia="Arial" w:hAnsi="Verdana" w:cs="Arial"/>
          <w:b/>
          <w:bCs/>
        </w:rPr>
        <w:t xml:space="preserve"> – Sujetos Obligados – Particulares que gestionan recursos públicos – Entidades de Régimen Especial </w:t>
      </w:r>
    </w:p>
    <w:p w14:paraId="55362CEB" w14:textId="77777777" w:rsidR="00C438EB" w:rsidRPr="0094168B" w:rsidRDefault="00C438EB" w:rsidP="00C438EB">
      <w:pPr>
        <w:spacing w:after="120" w:line="240" w:lineRule="auto"/>
        <w:jc w:val="both"/>
        <w:rPr>
          <w:rFonts w:ascii="Verdana" w:eastAsia="Calibri" w:hAnsi="Verdana" w:cs="Times New Roman"/>
          <w:sz w:val="21"/>
          <w:szCs w:val="21"/>
        </w:rPr>
      </w:pPr>
      <w:r w:rsidRPr="0094168B">
        <w:rPr>
          <w:rFonts w:ascii="Verdana" w:eastAsia="Calibri" w:hAnsi="Verdana" w:cs="Times New Roman"/>
          <w:sz w:val="21"/>
          <w:szCs w:val="21"/>
        </w:rPr>
        <w:t>Frente a la obligación de las Entidades Promotoras de Salud –EPS– de publicar su contratación en el Sistema Electrónico para la Contratación Pública –SECOP–, resulta pertinente señalar que el análisis debe partir de su naturaleza jurídica y de la fuente de los recursos con los cuales se financia la contratación. Al respecto, el artículo 180 de la Ley 100 de 1993 establece que las EPS pueden ser de naturaleza pública, privada o mixta. No obstante, independientemente de su naturaleza jurídica, las EPS, en su calidad de actores del Sistema General de Seguridad Social en Salud, administran recursos públicos, circunstancia que ha sido reconocida por la Agencia Nacional de Contratación Pública –Colombia Compra Eficiente–.</w:t>
      </w:r>
    </w:p>
    <w:p w14:paraId="1A6627D0" w14:textId="77777777" w:rsidR="00C438EB" w:rsidRPr="0094168B" w:rsidRDefault="00C438EB" w:rsidP="00C438EB">
      <w:pPr>
        <w:spacing w:after="120" w:line="240" w:lineRule="auto"/>
        <w:jc w:val="both"/>
        <w:rPr>
          <w:rFonts w:ascii="Verdana" w:eastAsia="Calibri" w:hAnsi="Verdana" w:cs="Times New Roman"/>
          <w:sz w:val="21"/>
          <w:szCs w:val="21"/>
        </w:rPr>
      </w:pPr>
      <w:r w:rsidRPr="0094168B">
        <w:rPr>
          <w:rFonts w:ascii="Verdana" w:eastAsia="Calibri" w:hAnsi="Verdana" w:cs="Times New Roman"/>
          <w:sz w:val="21"/>
          <w:szCs w:val="21"/>
        </w:rPr>
        <w:t>En este sentido, el deber de publicidad de la contratación no depende exclusivamente de que la entidad tenga naturaleza pública ni de que se encuentre sometida al Estatuto General de Contratación de la Administración Pública. El literal c) del artículo 3 de la Ley 1150 de 2007 establece que el SECOP es el sistema de información en el cual los sujetos obligados que contratan con recursos públicos deben publicar la información de su gestión contractual. De igual manera, el literal g) del artículo 11 de la Ley 1712 de 2014 exige garantizar la publicidad de los procedimientos, políticas de adquisiciones y datos de adjudicación y ejecución de contratos.</w:t>
      </w:r>
    </w:p>
    <w:p w14:paraId="5C121461" w14:textId="77777777" w:rsidR="00C438EB" w:rsidRPr="0094168B" w:rsidRDefault="00C438EB" w:rsidP="00C438EB">
      <w:pPr>
        <w:spacing w:after="120" w:line="240" w:lineRule="auto"/>
        <w:jc w:val="both"/>
        <w:rPr>
          <w:rFonts w:ascii="Verdana" w:eastAsia="Calibri" w:hAnsi="Verdana" w:cs="Times New Roman"/>
          <w:sz w:val="21"/>
          <w:szCs w:val="21"/>
        </w:rPr>
      </w:pPr>
      <w:r w:rsidRPr="0094168B">
        <w:rPr>
          <w:rFonts w:ascii="Verdana" w:eastAsia="Calibri" w:hAnsi="Verdana" w:cs="Times New Roman"/>
          <w:sz w:val="21"/>
          <w:szCs w:val="21"/>
        </w:rPr>
        <w:lastRenderedPageBreak/>
        <w:t>Bajo esta perspectiva, Colombia Compra Eficiente ha sostenido que las entidades que contratan con recursos públicos deben publicar la información correspondiente en el SECOP, con independencia de su naturaleza jurídica o régimen contractual. Incluso, respecto de sujetos que no tienen la condición de entidades estatales, se ha señalado que cuando ejecutan recursos públicos deben publicar en el SECOP la contratación realizada con cargo a dichos recursos. Por consiguiente, el hecho de que una EPS se encuentre sometida a un régimen contractual de derecho privado no excluye, por sí mismo, el deber de publicidad respecto de la contratación financiada con recursos públicos.</w:t>
      </w:r>
    </w:p>
    <w:p w14:paraId="4C3B67B2" w14:textId="77777777" w:rsidR="00C438EB" w:rsidRPr="00C438EB" w:rsidRDefault="00C438EB" w:rsidP="00C438EB">
      <w:pPr>
        <w:spacing w:after="0" w:line="240" w:lineRule="auto"/>
        <w:jc w:val="both"/>
        <w:rPr>
          <w:rFonts w:ascii="Verdana" w:eastAsia="Calibri" w:hAnsi="Verdana" w:cs="Arial"/>
          <w:color w:val="000000" w:themeColor="text1"/>
        </w:rPr>
      </w:pPr>
    </w:p>
    <w:p w14:paraId="65119367" w14:textId="77777777" w:rsidR="00C438EB" w:rsidRDefault="00C438EB" w:rsidP="00C438EB">
      <w:pPr>
        <w:spacing w:after="0" w:line="240" w:lineRule="auto"/>
        <w:jc w:val="both"/>
        <w:rPr>
          <w:rFonts w:ascii="Verdana" w:eastAsia="Geomanist Light" w:hAnsi="Verdana" w:cs="Arial"/>
          <w:color w:val="000000" w:themeColor="text1"/>
          <w:sz w:val="20"/>
          <w:szCs w:val="20"/>
          <w:lang w:val="es-MX"/>
        </w:rPr>
      </w:pPr>
    </w:p>
    <w:p w14:paraId="2D95C66A"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4DCC05F0"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BCA6B8B"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1AFD919C"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69F2B650"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5279D372"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042EE0B0"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49E3F474"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4F5E9737"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62303D45"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1FD23AD9"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7E5884E"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53E66A63"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350F2A5"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16A775A9"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524B4CDB"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BF392D9"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59E0E31"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3431ED9"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8458B70"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05161622"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4D1547C5"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A4A0BF7"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4929BDF0"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F7497D7"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01BB99ED"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96F79CA"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BC1A58C"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4028A0AE"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A727F67"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1B001F7A"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78CC93BC"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54495EB"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2CA0822A" w14:textId="77777777" w:rsidR="00C438EB" w:rsidRDefault="00C438EB" w:rsidP="00CE56B4">
      <w:pPr>
        <w:spacing w:after="0" w:line="240" w:lineRule="auto"/>
        <w:rPr>
          <w:rFonts w:ascii="Verdana" w:eastAsia="Geomanist Light" w:hAnsi="Verdana" w:cs="Arial"/>
          <w:color w:val="000000" w:themeColor="text1"/>
          <w:sz w:val="20"/>
          <w:szCs w:val="20"/>
          <w:lang w:val="es-MX"/>
        </w:rPr>
      </w:pPr>
    </w:p>
    <w:p w14:paraId="0DBDB7C4" w14:textId="0D077F82" w:rsidR="00CE56B4" w:rsidRPr="000D5931" w:rsidRDefault="00CE56B4" w:rsidP="00CE56B4">
      <w:pPr>
        <w:spacing w:after="0" w:line="240" w:lineRule="auto"/>
        <w:rPr>
          <w:rFonts w:ascii="Verdana" w:eastAsia="Times New Roman" w:hAnsi="Verdana" w:cs="Arial"/>
          <w:lang w:val="pt-PT" w:eastAsia="es-ES_tradnl"/>
        </w:rPr>
      </w:pPr>
      <w:r w:rsidRPr="000D5931">
        <w:rPr>
          <w:rFonts w:ascii="Verdana" w:eastAsia="Geomanist Light" w:hAnsi="Verdana" w:cs="Arial"/>
          <w:color w:val="000000" w:themeColor="text1"/>
          <w:lang w:val="pt-PT"/>
        </w:rPr>
        <w:lastRenderedPageBreak/>
        <w:t>Bogotá D.C., </w:t>
      </w:r>
      <w:r w:rsidR="00C438EB" w:rsidRPr="000D5931">
        <w:rPr>
          <w:rFonts w:ascii="Verdana" w:eastAsia="Geomanist Light" w:hAnsi="Verdana" w:cs="Arial"/>
          <w:color w:val="201F1E"/>
          <w:lang w:val="pt-PT"/>
        </w:rPr>
        <w:t>13</w:t>
      </w:r>
      <w:r w:rsidRPr="000D5931">
        <w:rPr>
          <w:rFonts w:ascii="Verdana" w:eastAsia="Geomanist Light" w:hAnsi="Verdana" w:cs="Arial"/>
          <w:color w:val="201F1E"/>
          <w:lang w:val="pt-PT"/>
        </w:rPr>
        <w:t xml:space="preserve"> de </w:t>
      </w:r>
      <w:r w:rsidR="00C438EB" w:rsidRPr="000D5931">
        <w:rPr>
          <w:rFonts w:ascii="Verdana" w:eastAsia="Geomanist Light" w:hAnsi="Verdana" w:cs="Arial"/>
          <w:color w:val="201F1E"/>
          <w:lang w:val="pt-PT"/>
        </w:rPr>
        <w:t>agosto</w:t>
      </w:r>
      <w:r w:rsidRPr="000D5931">
        <w:rPr>
          <w:rFonts w:ascii="Verdana" w:eastAsia="Geomanist Light" w:hAnsi="Verdana" w:cs="Arial"/>
          <w:color w:val="201F1E"/>
          <w:lang w:val="pt-PT"/>
        </w:rPr>
        <w:t xml:space="preserve"> de </w:t>
      </w:r>
      <w:r w:rsidR="00C438EB" w:rsidRPr="000D5931">
        <w:rPr>
          <w:rFonts w:ascii="Verdana" w:eastAsia="Geomanist Light" w:hAnsi="Verdana" w:cs="Arial"/>
          <w:color w:val="201F1E"/>
          <w:lang w:val="pt-PT"/>
        </w:rPr>
        <w:t>2026</w:t>
      </w:r>
    </w:p>
    <w:p w14:paraId="4600E227" w14:textId="215BFB99" w:rsidR="00C438EB" w:rsidRPr="000D5931" w:rsidRDefault="00CE56B4" w:rsidP="00C438EB">
      <w:pPr>
        <w:spacing w:after="0"/>
        <w:ind w:left="4956"/>
        <w:rPr>
          <w:rFonts w:ascii="Verdana" w:eastAsia="Calibri" w:hAnsi="Verdana" w:cs="Times New Roman"/>
          <w:lang w:val="es-MX"/>
        </w:rPr>
      </w:pPr>
      <w:r w:rsidRPr="000D5931">
        <w:rPr>
          <w:lang w:val="pt-PT"/>
        </w:rPr>
        <w:tab/>
      </w:r>
      <w:r w:rsidRPr="000D5931">
        <w:rPr>
          <w:lang w:val="pt-PT"/>
        </w:rPr>
        <w:br/>
      </w:r>
    </w:p>
    <w:p w14:paraId="1C56106F" w14:textId="60CFE496" w:rsidR="00CE56B4" w:rsidRPr="000D5931" w:rsidRDefault="000D5931" w:rsidP="0024208A">
      <w:pPr>
        <w:spacing w:after="0"/>
        <w:rPr>
          <w:rFonts w:ascii="Verdana" w:hAnsi="Verdana" w:cs="Arial"/>
          <w:bCs/>
          <w:lang w:eastAsia="es-ES" w:bidi="es-ES"/>
        </w:rPr>
      </w:pPr>
      <w:r w:rsidRPr="000D5931">
        <w:rPr>
          <w:rFonts w:ascii="Verdana" w:eastAsia="Calibri" w:hAnsi="Verdana" w:cs="Times New Roman"/>
          <w:noProof/>
          <w:lang w:val="es-MX"/>
        </w:rPr>
        <w:drawing>
          <wp:anchor distT="0" distB="0" distL="114300" distR="114300" simplePos="0" relativeHeight="251658240" behindDoc="0" locked="0" layoutInCell="1" allowOverlap="1" wp14:anchorId="7804258F" wp14:editId="22813DB0">
            <wp:simplePos x="0" y="0"/>
            <wp:positionH relativeFrom="margin">
              <wp:align>right</wp:align>
            </wp:positionH>
            <wp:positionV relativeFrom="paragraph">
              <wp:posOffset>5411</wp:posOffset>
            </wp:positionV>
            <wp:extent cx="2571750" cy="790575"/>
            <wp:effectExtent l="0" t="0" r="0" b="9525"/>
            <wp:wrapSquare wrapText="bothSides"/>
            <wp:docPr id="2078879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79740" name=""/>
                    <pic:cNvPicPr/>
                  </pic:nvPicPr>
                  <pic:blipFill>
                    <a:blip r:embed="rId11">
                      <a:extLst>
                        <a:ext uri="{28A0092B-C50C-407E-A947-70E740481C1C}">
                          <a14:useLocalDpi xmlns:a14="http://schemas.microsoft.com/office/drawing/2010/main" val="0"/>
                        </a:ext>
                      </a:extLst>
                    </a:blip>
                    <a:stretch>
                      <a:fillRect/>
                    </a:stretch>
                  </pic:blipFill>
                  <pic:spPr>
                    <a:xfrm>
                      <a:off x="0" y="0"/>
                      <a:ext cx="2571750" cy="790575"/>
                    </a:xfrm>
                    <a:prstGeom prst="rect">
                      <a:avLst/>
                    </a:prstGeom>
                  </pic:spPr>
                </pic:pic>
              </a:graphicData>
            </a:graphic>
          </wp:anchor>
        </w:drawing>
      </w:r>
      <w:r w:rsidR="00CE56B4" w:rsidRPr="000D5931">
        <w:rPr>
          <w:rFonts w:ascii="Verdana" w:eastAsia="Calibri" w:hAnsi="Verdana" w:cs="Times New Roman"/>
          <w:lang w:val="es-MX"/>
        </w:rPr>
        <w:t>Señora</w:t>
      </w:r>
    </w:p>
    <w:p w14:paraId="2CC1451F" w14:textId="4CD2DB73" w:rsidR="00CE56B4" w:rsidRPr="000D5931" w:rsidRDefault="00CE56B4" w:rsidP="00CE56B4">
      <w:pPr>
        <w:spacing w:after="0" w:line="240" w:lineRule="auto"/>
        <w:rPr>
          <w:rFonts w:ascii="Verdana" w:eastAsia="Calibri" w:hAnsi="Verdana" w:cs="Times New Roman"/>
          <w:b/>
          <w:bCs/>
        </w:rPr>
      </w:pPr>
      <w:r w:rsidRPr="000D5931">
        <w:rPr>
          <w:rFonts w:ascii="Verdana" w:eastAsia="Calibri" w:hAnsi="Verdana" w:cs="Times New Roman"/>
          <w:b/>
          <w:bCs/>
        </w:rPr>
        <w:t xml:space="preserve">Claudia Liliana Reyes </w:t>
      </w:r>
      <w:r w:rsidR="000D5931" w:rsidRPr="000D5931">
        <w:rPr>
          <w:rFonts w:ascii="Verdana" w:eastAsia="Calibri" w:hAnsi="Verdana" w:cs="Times New Roman"/>
          <w:b/>
          <w:bCs/>
        </w:rPr>
        <w:t>Pérez</w:t>
      </w:r>
    </w:p>
    <w:p w14:paraId="0D858517" w14:textId="77777777" w:rsidR="00CE56B4" w:rsidRPr="000D5931" w:rsidRDefault="00CE56B4" w:rsidP="00CE56B4">
      <w:pPr>
        <w:spacing w:after="0" w:line="240" w:lineRule="auto"/>
        <w:rPr>
          <w:rFonts w:ascii="Verdana" w:eastAsia="Calibri" w:hAnsi="Verdana" w:cs="Times New Roman"/>
          <w:b/>
          <w:bCs/>
        </w:rPr>
      </w:pPr>
      <w:hyperlink r:id="rId12" w:history="1">
        <w:r w:rsidRPr="000D5931">
          <w:rPr>
            <w:rStyle w:val="Hipervnculo"/>
            <w:rFonts w:ascii="Verdana" w:eastAsia="Calibri" w:hAnsi="Verdana" w:cs="Times New Roman"/>
            <w:b/>
            <w:bCs/>
          </w:rPr>
          <w:t>claudialreyesperez23@gmail.com</w:t>
        </w:r>
      </w:hyperlink>
      <w:r w:rsidRPr="000D5931">
        <w:rPr>
          <w:rFonts w:ascii="Verdana" w:eastAsia="Calibri" w:hAnsi="Verdana" w:cs="Times New Roman"/>
          <w:b/>
          <w:bCs/>
        </w:rPr>
        <w:t xml:space="preserve">: </w:t>
      </w:r>
    </w:p>
    <w:p w14:paraId="564F7A21" w14:textId="77777777" w:rsidR="00CE56B4" w:rsidRPr="000D5931" w:rsidRDefault="00CE56B4" w:rsidP="00CE56B4">
      <w:pPr>
        <w:spacing w:after="0" w:line="240" w:lineRule="auto"/>
        <w:rPr>
          <w:rFonts w:ascii="Verdana" w:eastAsia="Calibri" w:hAnsi="Verdana" w:cs="Times New Roman"/>
        </w:rPr>
      </w:pPr>
      <w:r w:rsidRPr="000D5931">
        <w:rPr>
          <w:rFonts w:ascii="Verdana" w:eastAsia="Calibri" w:hAnsi="Verdana" w:cs="Times New Roman"/>
        </w:rPr>
        <w:t>Barranquilla, Atlántico</w:t>
      </w:r>
    </w:p>
    <w:p w14:paraId="420D155C" w14:textId="77777777" w:rsidR="00CE56B4" w:rsidRPr="00574E8B" w:rsidRDefault="00CE56B4" w:rsidP="00CE56B4">
      <w:pPr>
        <w:spacing w:after="0" w:line="240" w:lineRule="auto"/>
        <w:rPr>
          <w:rFonts w:ascii="Verdana" w:eastAsia="Calibri" w:hAnsi="Verdana" w:cs="Times New Roman"/>
          <w:sz w:val="20"/>
          <w:szCs w:val="20"/>
        </w:rPr>
      </w:pPr>
    </w:p>
    <w:p w14:paraId="0AF94E4E" w14:textId="77777777" w:rsidR="00CE56B4" w:rsidRPr="00574E8B" w:rsidRDefault="00CE56B4" w:rsidP="00CE56B4">
      <w:pPr>
        <w:spacing w:after="0" w:line="240" w:lineRule="auto"/>
        <w:rPr>
          <w:rFonts w:ascii="Verdana" w:eastAsia="Verdana" w:hAnsi="Verdana" w:cs="Verdana"/>
          <w:sz w:val="20"/>
          <w:szCs w:val="20"/>
          <w:lang w:eastAsia="es-ES_tradnl"/>
        </w:rPr>
      </w:pPr>
    </w:p>
    <w:p w14:paraId="193DBEAF" w14:textId="11DE3E87" w:rsidR="00CE56B4" w:rsidRPr="000D5931" w:rsidRDefault="00CE56B4" w:rsidP="00CE56B4">
      <w:pPr>
        <w:spacing w:after="0" w:line="240" w:lineRule="auto"/>
        <w:rPr>
          <w:rFonts w:ascii="Verdana" w:eastAsia="Verdana" w:hAnsi="Verdana" w:cs="Verdana"/>
          <w:b/>
          <w:lang w:eastAsia="es-ES_tradnl"/>
        </w:rPr>
      </w:pPr>
      <w:r w:rsidRPr="000D5931">
        <w:rPr>
          <w:rFonts w:ascii="Verdana" w:eastAsia="Verdana" w:hAnsi="Verdana" w:cs="Verdana"/>
          <w:b/>
          <w:lang w:eastAsia="es-ES_tradnl"/>
        </w:rPr>
        <w:t xml:space="preserve">                                    </w:t>
      </w:r>
      <w:r w:rsidR="000D5931" w:rsidRPr="000D5931">
        <w:rPr>
          <w:rFonts w:ascii="Verdana" w:eastAsia="Verdana" w:hAnsi="Verdana" w:cs="Verdana"/>
          <w:b/>
          <w:lang w:eastAsia="es-ES_tradnl"/>
        </w:rPr>
        <w:t xml:space="preserve">  </w:t>
      </w:r>
      <w:r w:rsidRPr="000D5931">
        <w:rPr>
          <w:rFonts w:ascii="Verdana" w:eastAsia="Verdana" w:hAnsi="Verdana" w:cs="Verdana"/>
          <w:b/>
          <w:lang w:eastAsia="es-ES_tradnl"/>
        </w:rPr>
        <w:t>Concepto C-1163 de 2026</w:t>
      </w:r>
    </w:p>
    <w:p w14:paraId="70C909D3" w14:textId="77777777" w:rsidR="00CE56B4" w:rsidRPr="0018199A" w:rsidRDefault="00CE56B4" w:rsidP="00CE56B4">
      <w:pPr>
        <w:spacing w:after="0" w:line="240" w:lineRule="auto"/>
        <w:rPr>
          <w:rFonts w:ascii="Verdana" w:eastAsia="Calibri" w:hAnsi="Verdana" w:cs="Times New Roman"/>
          <w:sz w:val="21"/>
          <w:szCs w:val="21"/>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CE56B4" w:rsidRPr="0018199A" w14:paraId="4FE08269" w14:textId="77777777" w:rsidTr="003625D3">
        <w:trPr>
          <w:trHeight w:val="645"/>
        </w:trPr>
        <w:tc>
          <w:tcPr>
            <w:tcW w:w="2685" w:type="dxa"/>
            <w:hideMark/>
          </w:tcPr>
          <w:p w14:paraId="6B8AE414" w14:textId="77777777" w:rsidR="00CE56B4" w:rsidRPr="0018199A" w:rsidRDefault="00CE56B4" w:rsidP="003625D3">
            <w:pPr>
              <w:spacing w:line="256" w:lineRule="auto"/>
              <w:rPr>
                <w:rFonts w:ascii="Verdana" w:hAnsi="Verdana"/>
                <w:b/>
                <w:bCs/>
                <w:sz w:val="21"/>
                <w:szCs w:val="21"/>
                <w:lang w:val="es-ES_tradnl"/>
              </w:rPr>
            </w:pPr>
            <w:r w:rsidRPr="0018199A">
              <w:rPr>
                <w:rFonts w:ascii="Verdana" w:hAnsi="Verdana"/>
                <w:b/>
                <w:bCs/>
                <w:sz w:val="21"/>
                <w:szCs w:val="21"/>
                <w:lang w:val="es-ES_tradnl"/>
              </w:rPr>
              <w:t xml:space="preserve">Temas:                   </w:t>
            </w:r>
          </w:p>
        </w:tc>
        <w:tc>
          <w:tcPr>
            <w:tcW w:w="6241" w:type="dxa"/>
            <w:hideMark/>
          </w:tcPr>
          <w:p w14:paraId="4A5CB9FE" w14:textId="5B48006A" w:rsidR="00CE56B4" w:rsidRPr="000D5931" w:rsidRDefault="00CE56B4" w:rsidP="003625D3">
            <w:pPr>
              <w:spacing w:line="276" w:lineRule="auto"/>
              <w:jc w:val="both"/>
              <w:rPr>
                <w:rFonts w:ascii="Verdana" w:eastAsia="Arial" w:hAnsi="Verdana" w:cs="Arial"/>
              </w:rPr>
            </w:pPr>
            <w:r w:rsidRPr="000D5931">
              <w:rPr>
                <w:rFonts w:ascii="Verdana" w:eastAsia="Arial" w:hAnsi="Verdana" w:cs="Arial"/>
                <w:lang w:val="es-ES"/>
              </w:rPr>
              <w:t>PRINCIPIO DE PUBLICIDAD – Concepto – Fundamento axiológico – Fundamento constitucional</w:t>
            </w:r>
            <w:r w:rsidRPr="000D5931">
              <w:rPr>
                <w:rFonts w:ascii="Verdana" w:eastAsia="Arial" w:hAnsi="Verdana" w:cs="Arial"/>
                <w:bCs/>
                <w:lang w:val="es-ES_tradnl"/>
              </w:rPr>
              <w:t xml:space="preserve"> / PRINCIPIO DE PUBLICIDAD – SECOP – Documentos del proceso – Deber de publicación</w:t>
            </w:r>
            <w:r w:rsidRPr="000D5931">
              <w:rPr>
                <w:rFonts w:ascii="Verdana" w:eastAsia="Arial" w:hAnsi="Verdana" w:cs="Arial"/>
                <w:bCs/>
              </w:rPr>
              <w:t xml:space="preserve"> </w:t>
            </w:r>
            <w:r w:rsidR="008666F4" w:rsidRPr="008666F4">
              <w:rPr>
                <w:rFonts w:ascii="Verdana" w:eastAsia="Arial" w:hAnsi="Verdana" w:cs="Arial"/>
                <w:b/>
                <w:bCs/>
                <w:lang w:val="es-ES"/>
              </w:rPr>
              <w:t>–</w:t>
            </w:r>
            <w:r w:rsidRPr="000D5931">
              <w:rPr>
                <w:rFonts w:ascii="Verdana" w:eastAsia="Arial" w:hAnsi="Verdana" w:cs="Arial"/>
                <w:bCs/>
              </w:rPr>
              <w:t xml:space="preserve"> </w:t>
            </w:r>
            <w:r w:rsidRPr="000D5931">
              <w:rPr>
                <w:rFonts w:ascii="Verdana" w:eastAsia="Arial" w:hAnsi="Verdana" w:cs="Arial"/>
              </w:rPr>
              <w:t>D</w:t>
            </w:r>
            <w:r w:rsidR="008666F4" w:rsidRPr="000D5931">
              <w:rPr>
                <w:rFonts w:ascii="Verdana" w:eastAsia="Arial" w:hAnsi="Verdana" w:cs="Arial"/>
              </w:rPr>
              <w:t>eber de publicidad</w:t>
            </w:r>
            <w:r w:rsidRPr="000D5931">
              <w:rPr>
                <w:rFonts w:ascii="Verdana" w:eastAsia="Arial" w:hAnsi="Verdana" w:cs="Arial"/>
              </w:rPr>
              <w:t xml:space="preserve"> – Sujetos Obligados </w:t>
            </w:r>
            <w:r w:rsidR="008666F4" w:rsidRPr="008666F4">
              <w:rPr>
                <w:rFonts w:ascii="Verdana" w:eastAsia="Arial" w:hAnsi="Verdana" w:cs="Arial"/>
                <w:b/>
                <w:bCs/>
                <w:lang w:val="es-ES"/>
              </w:rPr>
              <w:t>–</w:t>
            </w:r>
            <w:r w:rsidRPr="000D5931">
              <w:rPr>
                <w:rFonts w:ascii="Verdana" w:eastAsia="Arial" w:hAnsi="Verdana" w:cs="Arial"/>
              </w:rPr>
              <w:t xml:space="preserve"> EPS</w:t>
            </w:r>
            <w:r w:rsidR="000D5931">
              <w:rPr>
                <w:rFonts w:ascii="Verdana" w:eastAsia="Arial" w:hAnsi="Verdana" w:cs="Arial"/>
              </w:rPr>
              <w:t xml:space="preserve"> </w:t>
            </w:r>
            <w:r w:rsidR="000D5931" w:rsidRPr="000D5931">
              <w:rPr>
                <w:rFonts w:ascii="Verdana" w:eastAsia="Arial" w:hAnsi="Verdana" w:cs="Arial"/>
                <w:b/>
                <w:bCs/>
                <w:lang w:val="es-ES"/>
              </w:rPr>
              <w:t>–</w:t>
            </w:r>
            <w:r w:rsidRPr="000D5931">
              <w:rPr>
                <w:rFonts w:ascii="Verdana" w:eastAsia="Arial" w:hAnsi="Verdana" w:cs="Arial"/>
                <w:color w:val="C00000"/>
              </w:rPr>
              <w:t xml:space="preserve"> </w:t>
            </w:r>
            <w:r w:rsidRPr="000D5931">
              <w:rPr>
                <w:rFonts w:ascii="Verdana" w:eastAsia="Arial" w:hAnsi="Verdana" w:cs="Arial"/>
              </w:rPr>
              <w:t xml:space="preserve">Naturaleza Jurídica – Formas organizativas </w:t>
            </w:r>
            <w:r w:rsidR="008666F4" w:rsidRPr="008666F4">
              <w:rPr>
                <w:rFonts w:ascii="Verdana" w:eastAsia="Arial" w:hAnsi="Verdana" w:cs="Arial"/>
                <w:b/>
                <w:bCs/>
                <w:lang w:val="es-ES"/>
              </w:rPr>
              <w:t>–</w:t>
            </w:r>
            <w:r w:rsidRPr="000D5931">
              <w:rPr>
                <w:rFonts w:ascii="Verdana" w:eastAsia="Arial" w:hAnsi="Verdana" w:cs="Arial"/>
              </w:rPr>
              <w:t xml:space="preserve"> D</w:t>
            </w:r>
            <w:r w:rsidR="008666F4" w:rsidRPr="000D5931">
              <w:rPr>
                <w:rFonts w:ascii="Verdana" w:eastAsia="Arial" w:hAnsi="Verdana" w:cs="Arial"/>
              </w:rPr>
              <w:t>eber de publicidad</w:t>
            </w:r>
            <w:r w:rsidRPr="000D5931">
              <w:rPr>
                <w:rFonts w:ascii="Verdana" w:eastAsia="Arial" w:hAnsi="Verdana" w:cs="Arial"/>
              </w:rPr>
              <w:t xml:space="preserve"> – Sujetos Obligados – Particulares que gestionan recursos públicos – Entidades de Régimen Especial </w:t>
            </w:r>
          </w:p>
          <w:p w14:paraId="6258204F" w14:textId="77777777" w:rsidR="00CE56B4" w:rsidRPr="000D5931" w:rsidRDefault="00CE56B4" w:rsidP="003625D3">
            <w:pPr>
              <w:spacing w:line="276" w:lineRule="auto"/>
              <w:jc w:val="both"/>
              <w:rPr>
                <w:rFonts w:ascii="Verdana" w:eastAsia="Arial" w:hAnsi="Verdana" w:cs="Arial"/>
              </w:rPr>
            </w:pPr>
          </w:p>
          <w:p w14:paraId="69DC6B23" w14:textId="77777777" w:rsidR="00CE56B4" w:rsidRPr="000D5931" w:rsidRDefault="00CE56B4" w:rsidP="003625D3">
            <w:pPr>
              <w:spacing w:line="276" w:lineRule="auto"/>
              <w:jc w:val="both"/>
              <w:rPr>
                <w:rFonts w:ascii="Verdana" w:hAnsi="Verdana" w:cs="Arial"/>
                <w:highlight w:val="yellow"/>
                <w:lang w:eastAsia="es-ES"/>
              </w:rPr>
            </w:pPr>
          </w:p>
        </w:tc>
        <w:tc>
          <w:tcPr>
            <w:tcW w:w="6237" w:type="dxa"/>
          </w:tcPr>
          <w:p w14:paraId="480701E5" w14:textId="77777777" w:rsidR="00CE56B4" w:rsidRPr="0018199A" w:rsidRDefault="00CE56B4" w:rsidP="003625D3">
            <w:pPr>
              <w:spacing w:line="256" w:lineRule="auto"/>
              <w:rPr>
                <w:rFonts w:ascii="Verdana" w:hAnsi="Verdana"/>
                <w:sz w:val="21"/>
                <w:szCs w:val="21"/>
              </w:rPr>
            </w:pPr>
          </w:p>
        </w:tc>
      </w:tr>
      <w:tr w:rsidR="00CE56B4" w:rsidRPr="0018199A" w14:paraId="6AF325D9" w14:textId="77777777" w:rsidTr="003625D3">
        <w:tc>
          <w:tcPr>
            <w:tcW w:w="2685" w:type="dxa"/>
          </w:tcPr>
          <w:p w14:paraId="72F7D646" w14:textId="77777777" w:rsidR="00CE56B4" w:rsidRPr="0018199A" w:rsidRDefault="00CE56B4" w:rsidP="003625D3">
            <w:pPr>
              <w:spacing w:line="256" w:lineRule="auto"/>
              <w:rPr>
                <w:rFonts w:ascii="Verdana" w:hAnsi="Verdana"/>
                <w:b/>
                <w:bCs/>
                <w:sz w:val="21"/>
                <w:szCs w:val="21"/>
                <w:lang w:val="es-ES_tradnl"/>
              </w:rPr>
            </w:pPr>
            <w:r w:rsidRPr="0018199A">
              <w:rPr>
                <w:rFonts w:ascii="Verdana" w:hAnsi="Verdana"/>
                <w:b/>
                <w:bCs/>
                <w:sz w:val="21"/>
                <w:szCs w:val="21"/>
                <w:lang w:val="es-ES_tradnl"/>
              </w:rPr>
              <w:t xml:space="preserve">Radicación:               </w:t>
            </w:r>
          </w:p>
        </w:tc>
        <w:tc>
          <w:tcPr>
            <w:tcW w:w="6241" w:type="dxa"/>
          </w:tcPr>
          <w:p w14:paraId="28E43D5B" w14:textId="77777777" w:rsidR="00CE56B4" w:rsidRPr="000D5931" w:rsidRDefault="00CE56B4" w:rsidP="003625D3">
            <w:pPr>
              <w:spacing w:line="257" w:lineRule="auto"/>
              <w:jc w:val="both"/>
              <w:rPr>
                <w:rFonts w:ascii="Verdana" w:hAnsi="Verdana"/>
                <w:lang w:val="es-ES_tradnl"/>
              </w:rPr>
            </w:pPr>
            <w:r w:rsidRPr="000D5931">
              <w:rPr>
                <w:rFonts w:ascii="Verdana" w:hAnsi="Verdana"/>
                <w:lang w:val="es-ES_tradnl"/>
              </w:rPr>
              <w:t>Respuesta a consulta con radicado No.</w:t>
            </w:r>
            <w:r w:rsidRPr="000D5931">
              <w:rPr>
                <w:rFonts w:ascii="Verdana" w:hAnsi="Verdana" w:cs="Segoe UI"/>
                <w:shd w:val="clear" w:color="auto" w:fill="FFFFFF"/>
              </w:rPr>
              <w:t xml:space="preserve"> 1_2026_07_22_009642</w:t>
            </w:r>
          </w:p>
          <w:p w14:paraId="5712A4B3" w14:textId="77777777" w:rsidR="00CE56B4" w:rsidRPr="000D5931" w:rsidRDefault="00CE56B4" w:rsidP="003625D3">
            <w:pPr>
              <w:spacing w:line="257" w:lineRule="auto"/>
              <w:jc w:val="both"/>
              <w:rPr>
                <w:rFonts w:ascii="Verdana" w:hAnsi="Verdana"/>
              </w:rPr>
            </w:pPr>
          </w:p>
          <w:p w14:paraId="01453C4D" w14:textId="77777777" w:rsidR="00CE56B4" w:rsidRPr="000D5931" w:rsidRDefault="00CE56B4" w:rsidP="003625D3">
            <w:pPr>
              <w:spacing w:line="257" w:lineRule="auto"/>
              <w:jc w:val="both"/>
              <w:rPr>
                <w:rFonts w:ascii="Verdana" w:hAnsi="Verdana"/>
              </w:rPr>
            </w:pPr>
          </w:p>
        </w:tc>
        <w:tc>
          <w:tcPr>
            <w:tcW w:w="6237" w:type="dxa"/>
          </w:tcPr>
          <w:p w14:paraId="5826FE35" w14:textId="77777777" w:rsidR="00CE56B4" w:rsidRPr="0018199A" w:rsidRDefault="00CE56B4" w:rsidP="003625D3">
            <w:pPr>
              <w:spacing w:line="256" w:lineRule="auto"/>
              <w:rPr>
                <w:rFonts w:ascii="Verdana" w:hAnsi="Verdana"/>
                <w:sz w:val="21"/>
                <w:szCs w:val="21"/>
                <w:lang w:val="es-ES_tradnl"/>
              </w:rPr>
            </w:pPr>
          </w:p>
        </w:tc>
      </w:tr>
    </w:tbl>
    <w:p w14:paraId="0CFFDF09" w14:textId="77777777" w:rsidR="00CE56B4" w:rsidRPr="00B57A1B" w:rsidRDefault="00CE56B4" w:rsidP="00CE56B4">
      <w:pPr>
        <w:spacing w:after="0" w:line="256" w:lineRule="auto"/>
        <w:rPr>
          <w:rFonts w:ascii="Verdana" w:eastAsia="Calibri" w:hAnsi="Verdana" w:cs="Times New Roman"/>
          <w:lang w:val="es-ES"/>
        </w:rPr>
      </w:pPr>
      <w:r>
        <w:rPr>
          <w:rFonts w:ascii="Verdana" w:eastAsia="Calibri" w:hAnsi="Verdana" w:cs="Times New Roman"/>
          <w:lang w:val="es-ES"/>
        </w:rPr>
        <w:t>Estimada Señora Reyes</w:t>
      </w:r>
      <w:r w:rsidRPr="00B57A1B">
        <w:rPr>
          <w:rFonts w:ascii="Verdana" w:eastAsia="Calibri" w:hAnsi="Verdana" w:cs="Times New Roman"/>
          <w:lang w:val="es-ES"/>
        </w:rPr>
        <w:t xml:space="preserve">: </w:t>
      </w:r>
    </w:p>
    <w:p w14:paraId="4F1C10A5" w14:textId="77777777" w:rsidR="00CE56B4" w:rsidRPr="00B57A1B" w:rsidRDefault="00CE56B4" w:rsidP="00CE56B4">
      <w:pPr>
        <w:spacing w:after="0" w:line="256" w:lineRule="auto"/>
        <w:rPr>
          <w:rFonts w:ascii="Verdana" w:eastAsia="Calibri" w:hAnsi="Verdana" w:cs="Times New Roman"/>
          <w:lang w:val="es-ES"/>
        </w:rPr>
      </w:pPr>
    </w:p>
    <w:p w14:paraId="341B7505" w14:textId="77777777" w:rsidR="000D5931" w:rsidRDefault="00CE56B4" w:rsidP="0024208A">
      <w:pPr>
        <w:spacing w:after="0" w:line="276" w:lineRule="auto"/>
        <w:jc w:val="both"/>
        <w:rPr>
          <w:rFonts w:ascii="Verdana" w:eastAsia="Calibri" w:hAnsi="Verdana" w:cs="Times New Roman"/>
          <w:bCs/>
          <w:lang w:bidi="es-ES"/>
        </w:rPr>
      </w:pPr>
      <w:r w:rsidRPr="00B57A1B">
        <w:rPr>
          <w:rFonts w:ascii="Verdana" w:eastAsia="Calibri" w:hAnsi="Verdana" w:cs="Times New Roman"/>
          <w:bCs/>
          <w:lang w:val="es-ES" w:bidi="es-ES"/>
        </w:rPr>
        <w:t xml:space="preserve">En ejercicio de la competencia otorgada por los artículos 3, numeral 5º, y 11, numeral 8º, del Decreto Ley 4170 de 2011, </w:t>
      </w:r>
      <w:r w:rsidRPr="00B57A1B">
        <w:rPr>
          <w:rFonts w:ascii="Verdana" w:eastAsia="Calibri" w:hAnsi="Verdana" w:cs="Times New Roman"/>
          <w:bCs/>
        </w:rPr>
        <w:t xml:space="preserve">así como lo establecido por la Resolución 469 de 2025 expedida por esta Entidad, </w:t>
      </w:r>
      <w:r w:rsidRPr="00FD0FC8">
        <w:rPr>
          <w:rFonts w:ascii="Verdana" w:eastAsia="Calibri" w:hAnsi="Verdana" w:cs="Times New Roman"/>
          <w:bCs/>
        </w:rPr>
        <w:t xml:space="preserve">La Agencia Nacional de Contratación Pública – Colombia Compra Eficiente – atiende la solicitud de consulta </w:t>
      </w:r>
      <w:r>
        <w:rPr>
          <w:rFonts w:ascii="Verdana" w:eastAsia="Calibri" w:hAnsi="Verdana" w:cs="Times New Roman"/>
          <w:bCs/>
        </w:rPr>
        <w:t>del 22 de julio</w:t>
      </w:r>
      <w:r w:rsidRPr="00FD0FC8">
        <w:rPr>
          <w:rFonts w:ascii="Verdana" w:eastAsia="Calibri" w:hAnsi="Verdana" w:cs="Times New Roman"/>
          <w:bCs/>
        </w:rPr>
        <w:t xml:space="preserve">. </w:t>
      </w:r>
      <w:r>
        <w:rPr>
          <w:rFonts w:ascii="Verdana" w:eastAsia="Calibri" w:hAnsi="Verdana" w:cs="Times New Roman"/>
          <w:bCs/>
        </w:rPr>
        <w:t xml:space="preserve">En donde </w:t>
      </w:r>
      <w:r w:rsidRPr="00FD0FC8">
        <w:rPr>
          <w:rFonts w:ascii="Verdana" w:eastAsia="Calibri" w:hAnsi="Verdana" w:cs="Times New Roman"/>
          <w:bCs/>
        </w:rPr>
        <w:t>formula la siguiente consulta:</w:t>
      </w:r>
      <w:r w:rsidR="007E53D9">
        <w:rPr>
          <w:rFonts w:ascii="Verdana" w:eastAsia="Calibri" w:hAnsi="Verdana" w:cs="Times New Roman"/>
          <w:bCs/>
          <w:lang w:bidi="es-ES"/>
        </w:rPr>
        <w:t xml:space="preserve"> </w:t>
      </w:r>
    </w:p>
    <w:p w14:paraId="6D99F241" w14:textId="77777777" w:rsidR="000D5931" w:rsidRDefault="000D5931" w:rsidP="0024208A">
      <w:pPr>
        <w:spacing w:after="0" w:line="276" w:lineRule="auto"/>
        <w:jc w:val="both"/>
        <w:rPr>
          <w:rFonts w:ascii="Verdana" w:eastAsia="Calibri" w:hAnsi="Verdana" w:cs="Times New Roman"/>
          <w:bCs/>
          <w:lang w:bidi="es-ES"/>
        </w:rPr>
      </w:pPr>
    </w:p>
    <w:p w14:paraId="640784C4" w14:textId="1C6519C2" w:rsidR="00CE56B4" w:rsidRPr="0024208A" w:rsidRDefault="00CE56B4" w:rsidP="0024208A">
      <w:pPr>
        <w:spacing w:after="0" w:line="276" w:lineRule="auto"/>
        <w:jc w:val="both"/>
        <w:rPr>
          <w:rFonts w:ascii="Verdana" w:eastAsia="Calibri" w:hAnsi="Verdana" w:cs="Times New Roman"/>
          <w:bCs/>
          <w:lang w:val="es-ES" w:bidi="es-ES"/>
        </w:rPr>
      </w:pPr>
      <w:r w:rsidRPr="00C348D1">
        <w:rPr>
          <w:rFonts w:ascii="Verdana" w:eastAsia="Calibri" w:hAnsi="Verdana" w:cs="Times New Roman"/>
          <w:bCs/>
          <w:i/>
          <w:iCs/>
          <w:sz w:val="21"/>
          <w:szCs w:val="21"/>
          <w:lang w:bidi="es-ES"/>
        </w:rPr>
        <w:t xml:space="preserve">“Dentro de la AC de la CGR vigencia 2025, el equipo auditor dejó cómo hallazgo "Como resultado de la revisión de la muestra de contratos suscritos por la EPS Familiar de Colombia S.A.S. durante la vigencia 2025, se evidenciaron debilidades en el cumplimiento de las obligaciones de publicidad de la actividad contractual, debido a que los contratos analizados no se encontraban publicados en el Sistema Electrónico para la Contratación Pública – SECOP II". se solicita respetuosamente se </w:t>
      </w:r>
      <w:r w:rsidRPr="00C348D1">
        <w:rPr>
          <w:rFonts w:ascii="Verdana" w:eastAsia="Calibri" w:hAnsi="Verdana" w:cs="Times New Roman"/>
          <w:bCs/>
          <w:i/>
          <w:iCs/>
          <w:sz w:val="21"/>
          <w:szCs w:val="21"/>
          <w:lang w:bidi="es-ES"/>
        </w:rPr>
        <w:lastRenderedPageBreak/>
        <w:t xml:space="preserve">informe la procedencia de dicha obligación, y de ser así, cuál sería </w:t>
      </w:r>
      <w:proofErr w:type="gramStart"/>
      <w:r w:rsidRPr="00C348D1">
        <w:rPr>
          <w:rFonts w:ascii="Verdana" w:eastAsia="Calibri" w:hAnsi="Verdana" w:cs="Times New Roman"/>
          <w:bCs/>
          <w:i/>
          <w:iCs/>
          <w:sz w:val="21"/>
          <w:szCs w:val="21"/>
          <w:lang w:bidi="es-ES"/>
        </w:rPr>
        <w:t>los pasos a seguir</w:t>
      </w:r>
      <w:proofErr w:type="gramEnd"/>
      <w:r w:rsidRPr="00C348D1">
        <w:rPr>
          <w:rFonts w:ascii="Verdana" w:eastAsia="Calibri" w:hAnsi="Verdana" w:cs="Times New Roman"/>
          <w:bCs/>
          <w:i/>
          <w:iCs/>
          <w:sz w:val="21"/>
          <w:szCs w:val="21"/>
          <w:lang w:bidi="es-ES"/>
        </w:rPr>
        <w:t xml:space="preserve"> para cumplir con dicha obligación. Se informe que la entidad auditada es una EPS del régimen subsidiado, de derecho privada, constituida como una SAS.:”</w:t>
      </w:r>
    </w:p>
    <w:p w14:paraId="0F7D3211" w14:textId="77777777" w:rsidR="00CE56B4" w:rsidRPr="00812F2C" w:rsidRDefault="00CE56B4" w:rsidP="00CE56B4">
      <w:pPr>
        <w:spacing w:after="0" w:line="240" w:lineRule="auto"/>
        <w:ind w:left="709" w:right="709"/>
        <w:jc w:val="both"/>
        <w:rPr>
          <w:rFonts w:ascii="Verdana" w:eastAsia="Calibri" w:hAnsi="Verdana" w:cs="Times New Roman"/>
          <w:bCs/>
          <w:sz w:val="21"/>
          <w:szCs w:val="21"/>
          <w:lang w:bidi="es-ES"/>
        </w:rPr>
      </w:pPr>
    </w:p>
    <w:p w14:paraId="50F66801" w14:textId="77777777" w:rsidR="00CE56B4" w:rsidRPr="00B57A1B" w:rsidRDefault="00CE56B4" w:rsidP="00CE56B4">
      <w:pPr>
        <w:spacing w:after="120" w:line="276" w:lineRule="auto"/>
        <w:ind w:firstLine="709"/>
        <w:jc w:val="both"/>
        <w:rPr>
          <w:rFonts w:ascii="Verdana" w:eastAsia="Calibri" w:hAnsi="Verdana" w:cs="Times New Roman"/>
          <w:lang w:val="es-ES"/>
        </w:rPr>
      </w:pPr>
      <w:r w:rsidRPr="17205C8A">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800C030" w14:textId="77777777" w:rsidR="00CE56B4" w:rsidRPr="00B57A1B" w:rsidRDefault="00CE56B4" w:rsidP="00CE56B4">
      <w:pPr>
        <w:spacing w:after="120" w:line="276" w:lineRule="auto"/>
        <w:ind w:firstLine="708"/>
        <w:jc w:val="both"/>
        <w:rPr>
          <w:rFonts w:ascii="Verdana" w:eastAsia="Calibri" w:hAnsi="Verdana" w:cs="Times New Roman"/>
          <w:lang w:val="es-ES"/>
        </w:rPr>
      </w:pPr>
      <w:r w:rsidRPr="17205C8A">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consulta. </w:t>
      </w:r>
    </w:p>
    <w:p w14:paraId="6FD9B266" w14:textId="77777777" w:rsidR="00CE56B4" w:rsidRPr="00B57A1B" w:rsidRDefault="00CE56B4" w:rsidP="00CE56B4">
      <w:pPr>
        <w:spacing w:after="0" w:line="256" w:lineRule="auto"/>
        <w:rPr>
          <w:rFonts w:ascii="Verdana" w:eastAsia="Calibri" w:hAnsi="Verdana" w:cs="Times New Roman"/>
          <w:lang w:val="es-ES"/>
        </w:rPr>
      </w:pPr>
    </w:p>
    <w:p w14:paraId="0D9DDF68" w14:textId="77777777" w:rsidR="00CE56B4" w:rsidRPr="00B57A1B" w:rsidRDefault="00CE56B4" w:rsidP="00CE56B4">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Problema planteado:</w:t>
      </w:r>
    </w:p>
    <w:p w14:paraId="7C903F11" w14:textId="77777777" w:rsidR="00CE56B4" w:rsidRPr="00B57A1B" w:rsidRDefault="00CE56B4" w:rsidP="00CE56B4">
      <w:pPr>
        <w:spacing w:after="0" w:line="256" w:lineRule="auto"/>
        <w:rPr>
          <w:rFonts w:ascii="Verdana" w:eastAsia="Calibri" w:hAnsi="Verdana" w:cs="Times New Roman"/>
        </w:rPr>
      </w:pPr>
    </w:p>
    <w:p w14:paraId="44D06869" w14:textId="77777777" w:rsidR="00CE56B4" w:rsidRDefault="00CE56B4" w:rsidP="00CE56B4">
      <w:pPr>
        <w:spacing w:after="0" w:line="276" w:lineRule="auto"/>
        <w:jc w:val="both"/>
        <w:rPr>
          <w:rFonts w:ascii="Verdana" w:eastAsia="Calibri" w:hAnsi="Verdana" w:cs="Times New Roman"/>
        </w:rPr>
      </w:pPr>
      <w:r w:rsidRPr="00B57A1B">
        <w:rPr>
          <w:rFonts w:ascii="Verdana" w:eastAsia="Calibri" w:hAnsi="Verdana" w:cs="Times New Roman"/>
        </w:rPr>
        <w:t xml:space="preserve">De acuerdo </w:t>
      </w:r>
      <w:r>
        <w:rPr>
          <w:rFonts w:ascii="Verdana" w:eastAsia="Calibri" w:hAnsi="Verdana" w:cs="Times New Roman"/>
        </w:rPr>
        <w:t>con el contenido de sus solicitudes</w:t>
      </w:r>
      <w:r w:rsidRPr="00B57A1B">
        <w:rPr>
          <w:rFonts w:ascii="Verdana" w:eastAsia="Calibri" w:hAnsi="Verdana" w:cs="Times New Roman"/>
        </w:rPr>
        <w:t>, es</w:t>
      </w:r>
      <w:r>
        <w:rPr>
          <w:rFonts w:ascii="Verdana" w:eastAsia="Calibri" w:hAnsi="Verdana" w:cs="Times New Roman"/>
        </w:rPr>
        <w:t xml:space="preserve">ta Agencia procede a resolver el siguiente problema jurídico: </w:t>
      </w:r>
      <w:r w:rsidRPr="00C348D1">
        <w:rPr>
          <w:rFonts w:ascii="Verdana" w:eastAsia="Calibri" w:hAnsi="Verdana" w:cs="Times New Roman"/>
        </w:rPr>
        <w:t>¿Las Entidades Promotoras de Salud (EPS) están obligadas a publicar en el Sistema Electrónico para la Contratación Pública –SECOP– la información relacionada con su contratación y, de ser así, cuáles son las condiciones normativas que determinan el alcance y cumplimiento de dicha obligación?</w:t>
      </w:r>
    </w:p>
    <w:p w14:paraId="0A425A17" w14:textId="77777777" w:rsidR="00CE56B4" w:rsidRPr="00B57A1B" w:rsidRDefault="00CE56B4" w:rsidP="00CE56B4">
      <w:pPr>
        <w:spacing w:after="0" w:line="276" w:lineRule="auto"/>
        <w:jc w:val="both"/>
        <w:rPr>
          <w:rFonts w:ascii="Verdana" w:eastAsia="Calibri" w:hAnsi="Verdana" w:cs="Times New Roman"/>
          <w:i/>
          <w:iCs/>
          <w:lang w:val="es-ES"/>
        </w:rPr>
      </w:pPr>
    </w:p>
    <w:p w14:paraId="2E86E4F2" w14:textId="77777777" w:rsidR="00CE56B4" w:rsidRPr="00B57A1B" w:rsidRDefault="00CE56B4" w:rsidP="00CE56B4">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Respuesta:</w:t>
      </w:r>
    </w:p>
    <w:p w14:paraId="0809E16C" w14:textId="77777777" w:rsidR="00CE56B4" w:rsidRPr="00B57A1B" w:rsidRDefault="00CE56B4" w:rsidP="00CE56B4">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CE56B4" w:rsidRPr="00B57A1B" w14:paraId="7923275E" w14:textId="77777777" w:rsidTr="003625D3">
        <w:trPr>
          <w:trHeight w:val="345"/>
          <w:jc w:val="center"/>
        </w:trPr>
        <w:tc>
          <w:tcPr>
            <w:tcW w:w="8784" w:type="dxa"/>
            <w:tcBorders>
              <w:bottom w:val="single" w:sz="4" w:space="0" w:color="auto"/>
            </w:tcBorders>
          </w:tcPr>
          <w:p w14:paraId="7E19A6FA" w14:textId="77777777" w:rsidR="00CE56B4" w:rsidRPr="00640826" w:rsidRDefault="00CE56B4" w:rsidP="00640826">
            <w:pPr>
              <w:spacing w:after="120" w:line="276" w:lineRule="auto"/>
              <w:jc w:val="both"/>
              <w:rPr>
                <w:rFonts w:ascii="Verdana" w:eastAsia="Calibri" w:hAnsi="Verdana" w:cs="Times New Roman"/>
              </w:rPr>
            </w:pPr>
            <w:r w:rsidRPr="00640826">
              <w:rPr>
                <w:rFonts w:ascii="Verdana" w:eastAsia="Calibri" w:hAnsi="Verdana" w:cs="Times New Roman"/>
              </w:rPr>
              <w:lastRenderedPageBreak/>
              <w:t>Frente a la obligación de las Entidades Promotoras de Salud –EPS– de publicar su contratación en el Sistema Electrónico para la Contratación Pública –SECOP–, resulta pertinente señalar que el análisis debe partir de su naturaleza jurídica y de la fuente de los recursos con los cuales se financia la contratación. Al respecto, el artículo 180 de la Ley 100 de 1993 establece que las EPS pueden ser de naturaleza pública, privada o mixta. No obstante, independientemente de su naturaleza jurídica, las EPS, en su calidad de actores del Sistema General de Seguridad Social en Salud, administran recursos públicos, circunstancia que ha sido reconocida por la Agencia Nacional de Contratación Pública –Colombia Compra Eficiente–.</w:t>
            </w:r>
          </w:p>
          <w:p w14:paraId="3927AE3F" w14:textId="77777777" w:rsidR="00CE56B4" w:rsidRPr="00640826" w:rsidRDefault="00CE56B4" w:rsidP="003625D3">
            <w:pPr>
              <w:spacing w:after="120" w:line="276" w:lineRule="auto"/>
              <w:jc w:val="both"/>
              <w:rPr>
                <w:rFonts w:ascii="Verdana" w:eastAsia="Calibri" w:hAnsi="Verdana" w:cs="Times New Roman"/>
              </w:rPr>
            </w:pPr>
            <w:r w:rsidRPr="00640826">
              <w:rPr>
                <w:rFonts w:ascii="Verdana" w:eastAsia="Calibri" w:hAnsi="Verdana" w:cs="Times New Roman"/>
              </w:rPr>
              <w:t>En este sentido, el deber de publicidad de la contratación no depende exclusivamente de que la entidad tenga naturaleza pública ni de que se encuentre sometida al Estatuto General de Contratación de la Administración Pública. El literal c) del artículo 3 de la Ley 1150 de 2007 establece que el SECOP es el sistema de información en el cual los sujetos obligados que contratan con recursos públicos deben publicar la información de su gestión contractual. De igual manera, el literal g) del artículo 11 de la Ley 1712 de 2014 exige garantizar la publicidad de los procedimientos, políticas de adquisiciones y datos de adjudicación y ejecución de contratos.</w:t>
            </w:r>
          </w:p>
          <w:p w14:paraId="4254703E" w14:textId="77777777" w:rsidR="00CE56B4" w:rsidRPr="00640826" w:rsidRDefault="00CE56B4" w:rsidP="003625D3">
            <w:pPr>
              <w:spacing w:after="120" w:line="276" w:lineRule="auto"/>
              <w:jc w:val="both"/>
              <w:rPr>
                <w:rFonts w:ascii="Verdana" w:eastAsia="Calibri" w:hAnsi="Verdana" w:cs="Times New Roman"/>
              </w:rPr>
            </w:pPr>
            <w:r w:rsidRPr="00640826">
              <w:rPr>
                <w:rFonts w:ascii="Verdana" w:eastAsia="Calibri" w:hAnsi="Verdana" w:cs="Times New Roman"/>
              </w:rPr>
              <w:t>Bajo esta perspectiva, Colombia Compra Eficiente ha sostenido que las entidades que contratan con recursos públicos deben publicar la información correspondiente en el SECOP, con independencia de su naturaleza jurídica o régimen contractual. Incluso, respecto de sujetos que no tienen la condición de entidades estatales, se ha señalado que cuando ejecutan recursos públicos deben publicar en el SECOP la contratación realizada con cargo a dichos recursos. Por consiguiente, el hecho de que una EPS se encuentre sometida a un régimen contractual de derecho privado no excluye, por sí mismo, el deber de publicidad respecto de la contratación financiada con recursos públicos.</w:t>
            </w:r>
          </w:p>
          <w:p w14:paraId="3C62CDB2" w14:textId="77777777" w:rsidR="00CE56B4" w:rsidRPr="00640826" w:rsidRDefault="00CE56B4" w:rsidP="003625D3">
            <w:pPr>
              <w:spacing w:after="120" w:line="276" w:lineRule="auto"/>
              <w:jc w:val="both"/>
              <w:rPr>
                <w:rFonts w:ascii="Verdana" w:eastAsia="Calibri" w:hAnsi="Verdana" w:cs="Times New Roman"/>
              </w:rPr>
            </w:pPr>
            <w:r w:rsidRPr="00640826">
              <w:rPr>
                <w:rFonts w:ascii="Verdana" w:eastAsia="Calibri" w:hAnsi="Verdana" w:cs="Times New Roman"/>
              </w:rPr>
              <w:t xml:space="preserve">Ahora bien, debe precisarse que el alcance de esta obligación no necesariamente es idéntico al que corresponde a las entidades sometidas al Estatuto General de Contratación. El Consejo de Estado ha diferenciado el deber de publicidad de las entidades sometidas a dicho Estatuto frente al de aquellas que cuentan con regímenes especiales o se rigen por el derecho privado. En esta línea, el análisis debe distinguir entre la obligación de publicar </w:t>
            </w:r>
            <w:r w:rsidRPr="00640826">
              <w:rPr>
                <w:rFonts w:ascii="Verdana" w:eastAsia="Calibri" w:hAnsi="Verdana" w:cs="Times New Roman"/>
              </w:rPr>
              <w:lastRenderedPageBreak/>
              <w:t>la información contractual financiada con recursos públicos y la pretensión de exigir a una EPS la publicación de la totalidad de su actividad contractual.</w:t>
            </w:r>
          </w:p>
          <w:p w14:paraId="3579F0F8" w14:textId="77777777" w:rsidR="00CE56B4" w:rsidRPr="00640826" w:rsidRDefault="00CE56B4" w:rsidP="003625D3">
            <w:pPr>
              <w:spacing w:after="120" w:line="276" w:lineRule="auto"/>
              <w:jc w:val="both"/>
              <w:rPr>
                <w:rFonts w:ascii="Verdana" w:eastAsia="Calibri" w:hAnsi="Verdana" w:cs="Times New Roman"/>
              </w:rPr>
            </w:pPr>
            <w:r w:rsidRPr="00640826">
              <w:rPr>
                <w:rFonts w:ascii="Verdana" w:eastAsia="Calibri" w:hAnsi="Verdana" w:cs="Times New Roman"/>
              </w:rPr>
              <w:t xml:space="preserve">En consecuencia, las EPS se encuentran obligadas a garantizar la publicidad en el SECOP de la información contractual que corresponda conforme al régimen jurídico aplicable y, particularmente, cuando la contratación se financie con recursos públicos. Esta conclusión resulta concordante con el criterio desarrollado por la Agencia tanto para las EPS como para otros actores privados del sector salud, según el cual la naturaleza jurídica de la entidad y su régimen contractual deben analizarse </w:t>
            </w:r>
            <w:proofErr w:type="gramStart"/>
            <w:r w:rsidRPr="00640826">
              <w:rPr>
                <w:rFonts w:ascii="Verdana" w:eastAsia="Calibri" w:hAnsi="Verdana" w:cs="Times New Roman"/>
              </w:rPr>
              <w:t>conjuntamente con</w:t>
            </w:r>
            <w:proofErr w:type="gramEnd"/>
            <w:r w:rsidRPr="00640826">
              <w:rPr>
                <w:rFonts w:ascii="Verdana" w:eastAsia="Calibri" w:hAnsi="Verdana" w:cs="Times New Roman"/>
              </w:rPr>
              <w:t xml:space="preserve"> el origen y destinación de los recursos, sin que la aplicación del derecho privado excluya, por sí sola, las obligaciones de transparencia y publicidad asociadas al manejo de recursos públicos.</w:t>
            </w:r>
          </w:p>
          <w:p w14:paraId="221E22A0" w14:textId="77777777" w:rsidR="00CE56B4" w:rsidRPr="00587265" w:rsidRDefault="00CE56B4" w:rsidP="00640826">
            <w:pPr>
              <w:tabs>
                <w:tab w:val="left" w:pos="709"/>
              </w:tabs>
              <w:spacing w:before="120" w:after="120" w:line="276" w:lineRule="auto"/>
              <w:jc w:val="both"/>
              <w:rPr>
                <w:rFonts w:ascii="Verdana" w:eastAsia="Calibri" w:hAnsi="Verdana" w:cs="Arial"/>
                <w:lang w:val="es-ES" w:eastAsia="es-ES_tradnl"/>
              </w:rPr>
            </w:pPr>
            <w:r w:rsidRPr="00640826">
              <w:rPr>
                <w:rFonts w:ascii="Verdana" w:eastAsia="Calibri" w:hAnsi="Verdana" w:cs="Arial"/>
                <w:lang w:val="es-ES" w:eastAsia="es-ES_tradnl"/>
              </w:rPr>
              <w:t xml:space="preserve">Al </w:t>
            </w:r>
            <w:r w:rsidRPr="00640826">
              <w:rPr>
                <w:rFonts w:ascii="Verdana" w:eastAsia="Calibri" w:hAnsi="Verdana" w:cs="Arial"/>
                <w:lang w:val="es-ES_tradnl" w:eastAsia="es-ES_tradnl"/>
              </w:rPr>
              <w:t>margen de la explicación precedente debe advertirse que el análisis requerido para resolver problemas específicos en torno a la naturaleza de una IPS y su deber de publicación debe realizarse por quienes tengan interés en ello, de acuerdo con lo explicado en la aclaración preliminar del presente oficio. De esta manera, las afirmaciones aquí realizadas no pueden interpretarse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54AA39C8" w14:textId="77777777" w:rsidR="00CE56B4" w:rsidRPr="00B57A1B" w:rsidRDefault="00CE56B4" w:rsidP="00CE56B4">
      <w:pPr>
        <w:spacing w:after="0" w:line="276" w:lineRule="auto"/>
        <w:jc w:val="both"/>
        <w:rPr>
          <w:rFonts w:ascii="Verdana" w:eastAsia="Calibri" w:hAnsi="Verdana" w:cs="Arial"/>
          <w:bCs/>
          <w:color w:val="000000" w:themeColor="text1"/>
        </w:rPr>
      </w:pPr>
    </w:p>
    <w:p w14:paraId="21779895" w14:textId="77777777" w:rsidR="00CE56B4" w:rsidRPr="00B57A1B" w:rsidRDefault="00CE56B4" w:rsidP="00CE56B4">
      <w:pPr>
        <w:numPr>
          <w:ilvl w:val="0"/>
          <w:numId w:val="16"/>
        </w:numPr>
        <w:tabs>
          <w:tab w:val="left" w:pos="2268"/>
        </w:tabs>
        <w:spacing w:after="0" w:line="256"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04254754" w14:textId="77777777" w:rsidR="00CE56B4" w:rsidRPr="00B57A1B" w:rsidRDefault="00CE56B4" w:rsidP="00CE56B4">
      <w:pPr>
        <w:spacing w:after="0" w:line="240" w:lineRule="auto"/>
        <w:rPr>
          <w:rFonts w:ascii="Verdana" w:eastAsia="Calibri" w:hAnsi="Verdana" w:cs="Times New Roman"/>
          <w:b/>
          <w:bCs/>
          <w:lang w:val="es-ES"/>
        </w:rPr>
      </w:pPr>
    </w:p>
    <w:p w14:paraId="252E01A9" w14:textId="77777777" w:rsidR="00CE56B4" w:rsidRPr="00B57A1B" w:rsidRDefault="00CE56B4" w:rsidP="00CE56B4">
      <w:pPr>
        <w:spacing w:after="0" w:line="240"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7102874F" w14:textId="77777777" w:rsidR="00CE56B4" w:rsidRPr="00AD6B46" w:rsidRDefault="00CE56B4" w:rsidP="00CE56B4">
      <w:pPr>
        <w:spacing w:after="0" w:line="240" w:lineRule="auto"/>
        <w:jc w:val="both"/>
        <w:rPr>
          <w:rFonts w:ascii="Verdana" w:hAnsi="Verdana" w:cs="Arial"/>
          <w:bCs/>
          <w:lang w:val="es-ES" w:eastAsia="es-ES" w:bidi="es-ES"/>
        </w:rPr>
      </w:pPr>
    </w:p>
    <w:p w14:paraId="090DD684" w14:textId="77777777" w:rsidR="00CE56B4" w:rsidRPr="00484149" w:rsidRDefault="00CE56B4" w:rsidP="00CE56B4">
      <w:pPr>
        <w:spacing w:after="120" w:line="276" w:lineRule="auto"/>
        <w:jc w:val="both"/>
        <w:rPr>
          <w:rFonts w:ascii="Verdana" w:hAnsi="Verdana" w:cs="Arial"/>
          <w:lang w:eastAsia="es-CO"/>
        </w:rPr>
      </w:pPr>
      <w:r w:rsidRPr="00484149">
        <w:rPr>
          <w:rFonts w:ascii="Verdana" w:eastAsia="Times New Roman" w:hAnsi="Verdana" w:cs="Arial"/>
          <w:lang w:val="es-ES" w:eastAsia="es-ES"/>
          <w14:ligatures w14:val="standardContextual"/>
        </w:rPr>
        <w:t xml:space="preserve">i. </w:t>
      </w:r>
      <w:bookmarkStart w:id="1" w:name="_Hlk98877945"/>
      <w:r w:rsidRPr="00484149">
        <w:rPr>
          <w:rFonts w:ascii="Verdana" w:hAnsi="Verdana" w:cs="Arial"/>
          <w:lang w:eastAsia="es-CO"/>
        </w:rPr>
        <w:t xml:space="preserve">Respecto de la naturaleza jurídica de las Entidades Promotoras de Salud –E.P.S.–, el artículo 180 de la Ley 100 de 1993 establece que estas pueden ser públicas, privadas o mixtas. Esto implica que las EPS pueden conformarse de acuerdo con los diferentes tipos de entidades que engloban las categorías de pública, mixta o privada, lo que, en principio, en el caso de las públicas y mixtas, </w:t>
      </w:r>
      <w:r w:rsidRPr="00484149">
        <w:rPr>
          <w:rFonts w:ascii="Verdana" w:hAnsi="Verdana" w:cs="Arial"/>
          <w:lang w:eastAsia="es-CO"/>
        </w:rPr>
        <w:lastRenderedPageBreak/>
        <w:t>determina sus regímenes de contratación, en los términos del artículo 14 de la Ley 1150 de 2007, modificado por la Ley 1474 de 2011</w:t>
      </w:r>
      <w:bookmarkEnd w:id="1"/>
      <w:r w:rsidRPr="00484149">
        <w:rPr>
          <w:rStyle w:val="Refdenotaalpie"/>
          <w:rFonts w:ascii="Verdana" w:hAnsi="Verdana" w:cs="Arial"/>
          <w:lang w:eastAsia="es-CO"/>
        </w:rPr>
        <w:footnoteReference w:id="1"/>
      </w:r>
      <w:r w:rsidRPr="00484149">
        <w:rPr>
          <w:rFonts w:ascii="Verdana" w:hAnsi="Verdana" w:cs="Arial"/>
          <w:lang w:eastAsia="es-CO"/>
        </w:rPr>
        <w:t xml:space="preserve">. </w:t>
      </w:r>
    </w:p>
    <w:p w14:paraId="72EB4052" w14:textId="77777777" w:rsidR="00CE56B4" w:rsidRPr="00484149" w:rsidRDefault="00CE56B4" w:rsidP="00CE56B4">
      <w:pPr>
        <w:spacing w:after="120" w:line="276" w:lineRule="auto"/>
        <w:jc w:val="both"/>
        <w:rPr>
          <w:rFonts w:ascii="Verdana" w:hAnsi="Verdana" w:cs="Arial"/>
          <w:lang w:eastAsia="es-CO"/>
        </w:rPr>
      </w:pPr>
      <w:r w:rsidRPr="00484149">
        <w:rPr>
          <w:rFonts w:ascii="Verdana" w:hAnsi="Verdana" w:cs="Arial"/>
          <w:lang w:eastAsia="es-CO"/>
        </w:rPr>
        <w:tab/>
        <w:t>Tratándose de E.P.S de naturaleza pública, estas pueden ser conformadas como empresas industriales y comerciales del Estado, conforme indica el artículo 85 de la Ley 489 de 1998</w:t>
      </w:r>
      <w:r w:rsidRPr="00484149">
        <w:rPr>
          <w:rStyle w:val="Refdenotaalpie"/>
          <w:rFonts w:ascii="Verdana" w:hAnsi="Verdana" w:cs="Arial"/>
          <w:lang w:eastAsia="es-CO"/>
        </w:rPr>
        <w:footnoteReference w:id="2"/>
      </w:r>
      <w:r w:rsidRPr="00484149">
        <w:rPr>
          <w:rFonts w:ascii="Verdana" w:hAnsi="Verdana" w:cs="Arial"/>
          <w:lang w:eastAsia="es-CO"/>
        </w:rPr>
        <w:t xml:space="preserve"> o como sociedades públicas conformadas con participación de una o diversas entidades estatales. En ambos casos, estas tienen la calidad de entidades descentralizadas por servicios, por lo que deben ser creadas por disposición o autorización de la ley, en los términos de los artículos 68 y 69 de la Ley 489 de 1998</w:t>
      </w:r>
      <w:r w:rsidRPr="00484149">
        <w:rPr>
          <w:rStyle w:val="Refdenotaalpie"/>
          <w:rFonts w:ascii="Verdana" w:hAnsi="Verdana" w:cs="Arial"/>
          <w:lang w:eastAsia="es-CO"/>
        </w:rPr>
        <w:footnoteReference w:id="3"/>
      </w:r>
      <w:r w:rsidRPr="00484149">
        <w:rPr>
          <w:rFonts w:ascii="Verdana" w:hAnsi="Verdana" w:cs="Arial"/>
          <w:lang w:eastAsia="es-CO"/>
        </w:rPr>
        <w:t xml:space="preserve">. </w:t>
      </w:r>
    </w:p>
    <w:p w14:paraId="460F76BC" w14:textId="77777777" w:rsidR="00CE56B4" w:rsidRPr="00484149" w:rsidRDefault="00CE56B4" w:rsidP="00CE56B4">
      <w:pPr>
        <w:spacing w:after="120" w:line="276" w:lineRule="auto"/>
        <w:ind w:firstLine="708"/>
        <w:jc w:val="both"/>
        <w:rPr>
          <w:rFonts w:ascii="Verdana" w:hAnsi="Verdana" w:cs="Arial"/>
          <w:lang w:eastAsia="es-CO"/>
        </w:rPr>
      </w:pPr>
      <w:r w:rsidRPr="00484149">
        <w:rPr>
          <w:rFonts w:ascii="Verdana" w:hAnsi="Verdana" w:cs="Arial"/>
          <w:lang w:eastAsia="es-CO"/>
        </w:rPr>
        <w:lastRenderedPageBreak/>
        <w:t>Sin embargo, en cuanto al régimen de contratación de las E.P.S. públicas existe una norma especial que regula su régimen de contratación, establecida en el artículo 45 de la Ley 1122 de 2007</w:t>
      </w:r>
      <w:r w:rsidRPr="00484149">
        <w:rPr>
          <w:rStyle w:val="Refdenotaalpie"/>
          <w:rFonts w:ascii="Verdana" w:hAnsi="Verdana" w:cs="Arial"/>
          <w:lang w:eastAsia="es-CO"/>
        </w:rPr>
        <w:footnoteReference w:id="4"/>
      </w:r>
      <w:r w:rsidRPr="00484149">
        <w:rPr>
          <w:rFonts w:ascii="Verdana" w:hAnsi="Verdana" w:cs="Arial"/>
          <w:lang w:eastAsia="es-CO"/>
        </w:rPr>
        <w:t>, que les hace extensivo el régimen de contratación de las empresas sociales del Estado –E.S.E.–, entidades cuya contratación, de conformidad con el artículo 195, numeral 6, está regida de manera prevalente por el derecho privado</w:t>
      </w:r>
      <w:r w:rsidRPr="00484149">
        <w:rPr>
          <w:rStyle w:val="Refdenotaalpie"/>
          <w:rFonts w:ascii="Verdana" w:hAnsi="Verdana" w:cs="Arial"/>
          <w:lang w:eastAsia="es-CO"/>
        </w:rPr>
        <w:footnoteReference w:id="5"/>
      </w:r>
      <w:r w:rsidRPr="00484149">
        <w:rPr>
          <w:rFonts w:ascii="Verdana" w:hAnsi="Verdana" w:cs="Arial"/>
          <w:lang w:eastAsia="es-CO"/>
        </w:rPr>
        <w:t>.</w:t>
      </w:r>
    </w:p>
    <w:p w14:paraId="5A4AE855" w14:textId="77777777" w:rsidR="00CE56B4" w:rsidRPr="00484149" w:rsidRDefault="00CE56B4" w:rsidP="00CE56B4">
      <w:pPr>
        <w:spacing w:after="120" w:line="276" w:lineRule="auto"/>
        <w:ind w:firstLine="708"/>
        <w:jc w:val="both"/>
        <w:rPr>
          <w:rFonts w:ascii="Verdana" w:hAnsi="Verdana" w:cs="Arial"/>
          <w:lang w:eastAsia="es-CO"/>
        </w:rPr>
      </w:pPr>
      <w:r w:rsidRPr="00484149">
        <w:rPr>
          <w:rFonts w:ascii="Verdana" w:hAnsi="Verdana" w:cs="Arial"/>
          <w:lang w:eastAsia="es-CO"/>
        </w:rPr>
        <w:t>En cuanto a las E.P.S mixtas, estas son creadas como sociedades de economía mixta, de acuerdo con el artículo 97 de la Ley 489 de 1998</w:t>
      </w:r>
      <w:r w:rsidRPr="00484149">
        <w:rPr>
          <w:rStyle w:val="Refdenotaalpie"/>
          <w:rFonts w:ascii="Verdana" w:hAnsi="Verdana" w:cs="Arial"/>
          <w:lang w:eastAsia="es-CO"/>
        </w:rPr>
        <w:footnoteReference w:id="6"/>
      </w:r>
      <w:r w:rsidRPr="00484149">
        <w:rPr>
          <w:rFonts w:ascii="Verdana" w:hAnsi="Verdana" w:cs="Arial"/>
          <w:lang w:eastAsia="es-CO"/>
        </w:rPr>
        <w:t xml:space="preserve">. Este tipo de entidades, bajo ciertos supuestos, </w:t>
      </w:r>
      <w:r w:rsidRPr="00484149">
        <w:rPr>
          <w:rFonts w:ascii="Verdana" w:hAnsi="Verdana" w:cs="Arial"/>
        </w:rPr>
        <w:t>se encuentran exceptuadas de la aplicación del Estatuto General de Contratación de la Administración Pública, de conformidad con el artículo 14 de la Ley 1150 de 2007.</w:t>
      </w:r>
    </w:p>
    <w:p w14:paraId="06BFDD26" w14:textId="77777777" w:rsidR="00CE56B4" w:rsidRPr="00484149" w:rsidRDefault="00CE56B4" w:rsidP="00CE56B4">
      <w:pPr>
        <w:spacing w:after="120" w:line="276" w:lineRule="auto"/>
        <w:ind w:firstLine="708"/>
        <w:jc w:val="both"/>
        <w:rPr>
          <w:rFonts w:ascii="Verdana" w:hAnsi="Verdana" w:cs="Arial"/>
          <w:lang w:eastAsia="es-CO"/>
        </w:rPr>
      </w:pPr>
      <w:r w:rsidRPr="00484149">
        <w:rPr>
          <w:rFonts w:ascii="Verdana" w:hAnsi="Verdana" w:cs="Arial"/>
          <w:lang w:eastAsia="es-CO"/>
        </w:rPr>
        <w:t>Por otro lado, respecto de las E.P.S privadas, el artículo 181 de la Ley 100 de 1993 permite que distintos tipos de entidades regidas por el derecho privado se constituyan como E.P.S. Así, por ejemplo, podrán hacerlo las asociaciones de cajas de compensación</w:t>
      </w:r>
      <w:r w:rsidRPr="00484149">
        <w:rPr>
          <w:rStyle w:val="Refdenotaalpie"/>
          <w:rFonts w:ascii="Verdana" w:hAnsi="Verdana" w:cs="Arial"/>
          <w:lang w:eastAsia="es-CO"/>
        </w:rPr>
        <w:footnoteReference w:id="7"/>
      </w:r>
      <w:r w:rsidRPr="00484149">
        <w:rPr>
          <w:rFonts w:ascii="Verdana" w:hAnsi="Verdana" w:cs="Arial"/>
          <w:lang w:eastAsia="es-CO"/>
        </w:rPr>
        <w:t xml:space="preserve"> –literal c)–, las sociedades comerciales y entidades de economía solidaria</w:t>
      </w:r>
      <w:r w:rsidRPr="00484149">
        <w:rPr>
          <w:rStyle w:val="Refdenotaalpie"/>
          <w:rFonts w:ascii="Verdana" w:hAnsi="Verdana" w:cs="Arial"/>
          <w:lang w:eastAsia="es-CO"/>
        </w:rPr>
        <w:footnoteReference w:id="8"/>
      </w:r>
      <w:r w:rsidRPr="00484149">
        <w:rPr>
          <w:rFonts w:ascii="Verdana" w:hAnsi="Verdana" w:cs="Arial"/>
          <w:lang w:eastAsia="es-CO"/>
        </w:rPr>
        <w:t xml:space="preserve"> que se creen con el propósito de funcionar como E.P.S –</w:t>
      </w:r>
      <w:r w:rsidRPr="00484149">
        <w:rPr>
          <w:rFonts w:ascii="Verdana" w:hAnsi="Verdana" w:cs="Arial"/>
          <w:lang w:eastAsia="es-CO"/>
        </w:rPr>
        <w:lastRenderedPageBreak/>
        <w:t>literal h–. Este tipo de entidades, en tanto son personas jurídicas de derecho privado, les corresponde contratar conforme a dicho régimen, sin perjuicio de que en virtud de sus calidades de sujetos miembros del sistema de seguridad social en salud deban aplicar las disposiciones sectoriales correspondientes.</w:t>
      </w:r>
    </w:p>
    <w:p w14:paraId="0993AD3C" w14:textId="77777777" w:rsidR="00CE56B4" w:rsidRPr="00484149" w:rsidRDefault="00CE56B4" w:rsidP="00CE56B4">
      <w:pPr>
        <w:spacing w:after="120" w:line="276" w:lineRule="auto"/>
        <w:ind w:firstLine="708"/>
        <w:jc w:val="both"/>
        <w:rPr>
          <w:rFonts w:ascii="Verdana" w:hAnsi="Verdana" w:cs="Arial"/>
          <w:lang w:eastAsia="es-CO"/>
        </w:rPr>
      </w:pPr>
      <w:r w:rsidRPr="00484149">
        <w:rPr>
          <w:rFonts w:ascii="Verdana" w:hAnsi="Verdana" w:cs="Arial"/>
          <w:lang w:eastAsia="es-CO"/>
        </w:rPr>
        <w:t>Ahora bien, independientemente de la naturaleza jurídica concreta a la que obedezca una E.P.S, es claro que estas como actores del sistema general de seguridad social en salud</w:t>
      </w:r>
      <w:r w:rsidRPr="00484149">
        <w:rPr>
          <w:rStyle w:val="Refdenotaalpie"/>
          <w:rFonts w:ascii="Verdana" w:hAnsi="Verdana" w:cs="Arial"/>
          <w:lang w:eastAsia="es-CO"/>
        </w:rPr>
        <w:footnoteReference w:id="9"/>
      </w:r>
      <w:r w:rsidRPr="00484149">
        <w:rPr>
          <w:rFonts w:ascii="Verdana" w:hAnsi="Verdana" w:cs="Arial"/>
          <w:lang w:eastAsia="es-CO"/>
        </w:rPr>
        <w:t>, administran recursos públicos. Así se desprende, en el caso de las E.P.S del régimen subsidiado del artículo 214 de la Ley 100 de 1993, modificado por el 11 de la Ley 1122 de 2007, en donde se establecen como fuentes de financiación recursos transferidos por parte de entidades territoriales, así como otros provenientes del Fondo de Solidaridad y Garantía.</w:t>
      </w:r>
    </w:p>
    <w:p w14:paraId="016993A5" w14:textId="1719BDF4" w:rsidR="00CE56B4" w:rsidRPr="001869FC" w:rsidRDefault="00CE56B4" w:rsidP="00CE56B4">
      <w:pPr>
        <w:spacing w:after="120" w:line="276" w:lineRule="auto"/>
        <w:jc w:val="both"/>
        <w:rPr>
          <w:rFonts w:ascii="Verdana" w:eastAsia="Calibri" w:hAnsi="Verdana" w:cs="Arial"/>
          <w:color w:val="000000" w:themeColor="text1"/>
          <w:lang w:val="es-ES"/>
        </w:rPr>
      </w:pPr>
      <w:r w:rsidRPr="47441D2F">
        <w:rPr>
          <w:rFonts w:ascii="Verdana" w:eastAsia="Calibri" w:hAnsi="Verdana" w:cs="Arial"/>
          <w:color w:val="000000" w:themeColor="text1"/>
          <w:lang w:val="es-ES"/>
        </w:rPr>
        <w:t xml:space="preserve">Ahora bien, explicado lo </w:t>
      </w:r>
      <w:proofErr w:type="gramStart"/>
      <w:r w:rsidRPr="47441D2F">
        <w:rPr>
          <w:rFonts w:ascii="Verdana" w:eastAsia="Calibri" w:hAnsi="Verdana" w:cs="Arial"/>
          <w:color w:val="000000" w:themeColor="text1"/>
          <w:lang w:val="es-ES"/>
        </w:rPr>
        <w:t>anterior,  Uno</w:t>
      </w:r>
      <w:proofErr w:type="gramEnd"/>
      <w:r w:rsidRPr="47441D2F">
        <w:rPr>
          <w:rFonts w:ascii="Verdana" w:eastAsia="Calibri" w:hAnsi="Verdana" w:cs="Arial"/>
          <w:color w:val="000000" w:themeColor="text1"/>
          <w:lang w:val="es-ES"/>
        </w:rPr>
        <w:t xml:space="preserve"> de los postulados más importantes de un Estado social y democrático de derecho es el principio de </w:t>
      </w:r>
      <w:r w:rsidRPr="47441D2F">
        <w:rPr>
          <w:rFonts w:ascii="Verdana" w:eastAsia="Calibri" w:hAnsi="Verdana" w:cs="Arial"/>
          <w:i/>
          <w:color w:val="000000" w:themeColor="text1"/>
          <w:lang w:val="es-ES"/>
        </w:rPr>
        <w:t>publicidad</w:t>
      </w:r>
      <w:r w:rsidRPr="47441D2F">
        <w:rPr>
          <w:rFonts w:ascii="Verdana" w:eastAsia="Calibri" w:hAnsi="Verdana" w:cs="Arial"/>
          <w:color w:val="000000" w:themeColor="text1"/>
          <w:lang w:val="es-ES"/>
        </w:rPr>
        <w:t>, pues este permite que las actuaciones de las autoridades gocen de visibilidad. En tal sentido, la filosofía política explica que la democracia «[…] es idealmente el gobierno de un poder visible, es decir, el gobierno cuyos actos se realizan ante el público y bajo la supervisión de la opinión pública»</w:t>
      </w:r>
      <w:r w:rsidRPr="47441D2F">
        <w:rPr>
          <w:rStyle w:val="Refdenotaalpie"/>
          <w:rFonts w:ascii="Verdana" w:eastAsia="Calibri" w:hAnsi="Verdana" w:cs="Arial"/>
          <w:color w:val="000000" w:themeColor="text1"/>
          <w:lang w:val="es-ES"/>
        </w:rPr>
        <w:footnoteReference w:id="10"/>
      </w:r>
      <w:r w:rsidRPr="47441D2F">
        <w:rPr>
          <w:rFonts w:ascii="Verdana" w:eastAsia="Calibri" w:hAnsi="Verdana" w:cs="Arial"/>
          <w:color w:val="000000" w:themeColor="text1"/>
          <w:lang w:val="es-ES"/>
        </w:rPr>
        <w:t xml:space="preserve">. El secreto generalizado en el ejercicio del poder político constituye, por el contrario, una negación de la democracia, porque dificulta la supervisión de las autoridades por parte de la sociedad civil y establece una barrera para la participación ciudadana. </w:t>
      </w:r>
    </w:p>
    <w:p w14:paraId="4A51C0EF" w14:textId="77777777" w:rsidR="00CE56B4" w:rsidRPr="001869FC" w:rsidRDefault="00CE56B4" w:rsidP="00CE56B4">
      <w:pPr>
        <w:spacing w:line="276" w:lineRule="auto"/>
        <w:ind w:firstLine="708"/>
        <w:jc w:val="both"/>
        <w:rPr>
          <w:rFonts w:ascii="Verdana" w:eastAsia="Calibri" w:hAnsi="Verdana" w:cs="Arial"/>
          <w:color w:val="000000" w:themeColor="text1"/>
          <w:lang w:val="es-ES_tradnl"/>
        </w:rPr>
      </w:pPr>
      <w:r w:rsidRPr="001869FC">
        <w:rPr>
          <w:rFonts w:ascii="Verdana" w:eastAsia="Calibri" w:hAnsi="Verdana" w:cs="Arial"/>
          <w:color w:val="000000" w:themeColor="text1"/>
          <w:lang w:val="es-ES_tradnl"/>
        </w:rPr>
        <w:t xml:space="preserve">Inspirada en esta concepción axiológica,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w:t>
      </w:r>
      <w:r w:rsidRPr="001869FC">
        <w:rPr>
          <w:rFonts w:ascii="Verdana" w:eastAsia="Calibri" w:hAnsi="Verdana" w:cs="Arial"/>
          <w:color w:val="000000" w:themeColor="text1"/>
          <w:lang w:val="es-ES_tradnl"/>
        </w:rPr>
        <w:lastRenderedPageBreak/>
        <w:t>documentos públicos que no gocen de reserva –y esta, además, es excepcional, pues solo procede si existe causal constitucional o legal expresa–. En tal perspectiva, la Corte Constitucional ha señalado que el principio de publicidad es la garantía que tienen las personas de conocer las actuaciones judiciales y administrativas. De este modo, explica:</w:t>
      </w:r>
    </w:p>
    <w:p w14:paraId="3D63802B" w14:textId="77777777" w:rsidR="00CE56B4" w:rsidRPr="001869FC" w:rsidRDefault="00CE56B4" w:rsidP="00CE56B4">
      <w:pPr>
        <w:tabs>
          <w:tab w:val="left" w:pos="3885"/>
        </w:tabs>
        <w:spacing w:after="120"/>
        <w:ind w:left="709" w:right="709"/>
        <w:jc w:val="both"/>
        <w:rPr>
          <w:rFonts w:ascii="Verdana" w:hAnsi="Verdana" w:cs="Arial"/>
          <w:color w:val="000000" w:themeColor="text1"/>
          <w:sz w:val="21"/>
          <w:szCs w:val="21"/>
          <w:lang w:val="es-ES_tradnl"/>
        </w:rPr>
      </w:pPr>
      <w:r w:rsidRPr="001869FC">
        <w:rPr>
          <w:rFonts w:ascii="Verdana" w:hAnsi="Verdana" w:cs="Arial"/>
          <w:color w:val="000000" w:themeColor="text1"/>
          <w:sz w:val="21"/>
          <w:szCs w:val="21"/>
          <w:lang w:val="es-ES_tradnl"/>
        </w:rPr>
        <w:t>El principio de publicidad se encuentra consagrado en el artículo 209 de la Constitución Política, que señala que la función administrativa está al servicio de los intereses generales y se desarrolla con fundamento entre otros, en el «principio de publicidad», el cual se evidencia en dos dimensiones.</w:t>
      </w:r>
    </w:p>
    <w:p w14:paraId="2D38D3C7" w14:textId="77777777" w:rsidR="00CE56B4" w:rsidRPr="001869FC" w:rsidRDefault="00CE56B4" w:rsidP="00CE56B4">
      <w:pPr>
        <w:tabs>
          <w:tab w:val="left" w:pos="3885"/>
          <w:tab w:val="left" w:pos="8222"/>
        </w:tabs>
        <w:ind w:left="709" w:right="709"/>
        <w:jc w:val="both"/>
        <w:rPr>
          <w:rFonts w:ascii="Verdana" w:hAnsi="Verdana" w:cs="Arial"/>
          <w:color w:val="000000" w:themeColor="text1"/>
          <w:lang w:val="es-ES"/>
        </w:rPr>
      </w:pPr>
      <w:r w:rsidRPr="47441D2F">
        <w:rPr>
          <w:rFonts w:ascii="Verdana" w:hAnsi="Verdana" w:cs="Arial"/>
          <w:color w:val="000000" w:themeColor="text1"/>
          <w:sz w:val="21"/>
          <w:szCs w:val="21"/>
          <w:lang w:val="es-ES"/>
        </w:rPr>
        <w:t xml:space="preserve">La primera de ellas, como el derecho que tienen las personas directamente involucradas, al conocimiento de las actuaciones judiciales y administrativas, la cual se concreta a través de los mecanismos de comunicación y la segunda, como el reconocimiento del derecho que tiene la comunidad de conocer las actuaciones de las </w:t>
      </w:r>
      <w:proofErr w:type="gramStart"/>
      <w:r w:rsidRPr="47441D2F">
        <w:rPr>
          <w:rFonts w:ascii="Verdana" w:hAnsi="Verdana" w:cs="Arial"/>
          <w:color w:val="000000" w:themeColor="text1"/>
          <w:sz w:val="21"/>
          <w:szCs w:val="21"/>
          <w:lang w:val="es-ES"/>
        </w:rPr>
        <w:t>autoridades públicas</w:t>
      </w:r>
      <w:proofErr w:type="gramEnd"/>
      <w:r w:rsidRPr="47441D2F">
        <w:rPr>
          <w:rFonts w:ascii="Verdana" w:hAnsi="Verdana" w:cs="Arial"/>
          <w:color w:val="000000" w:themeColor="text1"/>
          <w:sz w:val="21"/>
          <w:szCs w:val="21"/>
          <w:lang w:val="es-ES"/>
        </w:rPr>
        <w:t xml:space="preserve"> y, a través de ese conocimiento, a exigir que ellas se surtan conforme a la ley</w:t>
      </w:r>
      <w:r w:rsidRPr="47441D2F">
        <w:rPr>
          <w:rStyle w:val="Refdenotaalpie"/>
          <w:rFonts w:ascii="Verdana" w:eastAsia="Calibri" w:hAnsi="Verdana" w:cs="Arial"/>
          <w:color w:val="000000" w:themeColor="text1"/>
          <w:sz w:val="21"/>
          <w:szCs w:val="21"/>
          <w:lang w:val="es-ES"/>
        </w:rPr>
        <w:footnoteReference w:id="11"/>
      </w:r>
      <w:r w:rsidRPr="47441D2F">
        <w:rPr>
          <w:rFonts w:ascii="Verdana" w:eastAsia="Calibri" w:hAnsi="Verdana" w:cs="Arial"/>
          <w:color w:val="000000" w:themeColor="text1"/>
          <w:sz w:val="21"/>
          <w:szCs w:val="21"/>
          <w:lang w:val="es-ES"/>
        </w:rPr>
        <w:t>.</w:t>
      </w:r>
    </w:p>
    <w:p w14:paraId="7821512E" w14:textId="77777777" w:rsidR="00CE56B4" w:rsidRPr="001869FC" w:rsidRDefault="00CE56B4" w:rsidP="00CE56B4">
      <w:pPr>
        <w:spacing w:line="276" w:lineRule="auto"/>
        <w:ind w:firstLine="709"/>
        <w:jc w:val="both"/>
        <w:rPr>
          <w:rFonts w:ascii="Verdana" w:eastAsia="Calibri" w:hAnsi="Verdana" w:cs="Arial"/>
          <w:color w:val="000000" w:themeColor="text1"/>
          <w:lang w:val="es-ES"/>
        </w:rPr>
      </w:pPr>
      <w:r w:rsidRPr="47441D2F">
        <w:rPr>
          <w:rFonts w:ascii="Verdana" w:eastAsia="Calibri" w:hAnsi="Verdana" w:cs="Arial"/>
          <w:color w:val="000000" w:themeColor="text1"/>
          <w:lang w:val="es-ES"/>
        </w:rPr>
        <w:t xml:space="preserve">El principio de publicidad impone a las autoridades administrativas el deber de dar a conocer sus actos, contratos y decisiones, para que se divulguen y eventualmente se controlen dichas actuaciones. Es por eso </w:t>
      </w:r>
      <w:proofErr w:type="gramStart"/>
      <w:r w:rsidRPr="47441D2F">
        <w:rPr>
          <w:rFonts w:ascii="Verdana" w:eastAsia="Calibri" w:hAnsi="Verdana" w:cs="Arial"/>
          <w:color w:val="000000" w:themeColor="text1"/>
          <w:lang w:val="es-ES"/>
        </w:rPr>
        <w:t>que</w:t>
      </w:r>
      <w:proofErr w:type="gramEnd"/>
      <w:r w:rsidRPr="47441D2F">
        <w:rPr>
          <w:rFonts w:ascii="Verdana" w:eastAsia="Calibri" w:hAnsi="Verdana" w:cs="Arial"/>
          <w:color w:val="000000" w:themeColor="text1"/>
          <w:lang w:val="es-ES"/>
        </w:rPr>
        <w:t>, en la contratación estatal, el literal c) del artículo 3 de la Ley 1150 de 2007 establece el Sistema Electrónico para la Contratación Pública –SECOP– como un mecanismo que “contará con la información oficial de la contratación realizada con dineros públicos, para lo cual establecerá los patrones a que haya lugar y se encargará de su difusión a través de canales electrónicos”</w:t>
      </w:r>
      <w:r w:rsidRPr="47441D2F">
        <w:rPr>
          <w:rStyle w:val="Refdenotaalpie"/>
          <w:rFonts w:ascii="Verdana" w:eastAsia="Calibri" w:hAnsi="Verdana" w:cs="Arial"/>
          <w:color w:val="000000" w:themeColor="text1"/>
          <w:lang w:val="es-ES"/>
        </w:rPr>
        <w:footnoteReference w:id="12"/>
      </w:r>
      <w:r w:rsidRPr="47441D2F">
        <w:rPr>
          <w:rFonts w:ascii="Verdana" w:eastAsia="Calibri" w:hAnsi="Verdana" w:cs="Arial"/>
          <w:color w:val="000000" w:themeColor="text1"/>
          <w:lang w:val="es-ES"/>
        </w:rPr>
        <w:t xml:space="preserve">. </w:t>
      </w:r>
    </w:p>
    <w:p w14:paraId="31345463" w14:textId="77777777" w:rsidR="00CE56B4" w:rsidRPr="001869FC" w:rsidRDefault="00CE56B4" w:rsidP="00CE56B4">
      <w:pPr>
        <w:spacing w:before="120" w:line="276" w:lineRule="auto"/>
        <w:ind w:firstLine="709"/>
        <w:jc w:val="both"/>
        <w:rPr>
          <w:rFonts w:ascii="Verdana" w:eastAsia="Calibri" w:hAnsi="Verdana" w:cs="Arial"/>
          <w:color w:val="000000" w:themeColor="text1"/>
          <w:lang w:val="es-ES"/>
        </w:rPr>
      </w:pPr>
      <w:r w:rsidRPr="47441D2F">
        <w:rPr>
          <w:rFonts w:ascii="Verdana" w:hAnsi="Verdana" w:cs="Arial"/>
          <w:color w:val="000000" w:themeColor="text1"/>
          <w:lang w:val="es-ES"/>
        </w:rPr>
        <w:t xml:space="preserve">De otra parte, la Ley 1712 de 2014 –ley estatutaria que regula la transparencia y el derecho de acceso a la información y a los documentos </w:t>
      </w:r>
      <w:r w:rsidRPr="47441D2F">
        <w:rPr>
          <w:rFonts w:ascii="Verdana" w:hAnsi="Verdana" w:cs="Arial"/>
          <w:color w:val="000000" w:themeColor="text1"/>
          <w:lang w:val="es-ES"/>
        </w:rPr>
        <w:lastRenderedPageBreak/>
        <w:t>públicos–,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w:t>
      </w:r>
      <w:r w:rsidRPr="47441D2F">
        <w:rPr>
          <w:rStyle w:val="Refdenotaalpie"/>
          <w:rFonts w:ascii="Verdana" w:hAnsi="Verdana" w:cs="Arial"/>
          <w:color w:val="000000" w:themeColor="text1"/>
          <w:lang w:val="es-ES"/>
        </w:rPr>
        <w:footnoteReference w:id="13"/>
      </w:r>
      <w:r w:rsidRPr="47441D2F">
        <w:rPr>
          <w:rFonts w:ascii="Verdana" w:hAnsi="Verdana" w:cs="Arial"/>
          <w:color w:val="000000" w:themeColor="text1"/>
          <w:lang w:val="es-ES"/>
        </w:rPr>
        <w:t>. El principio de transparencia en la información alude al deber de los sujetos de proporcionar y facilitar el acceso a la misma en los términos más amplios posibles, y a través de los medios y procedimientos legales. En el literal e) del artículo 9, la ley estatutaria citada establece dispone que los sujetos obligados, que son todas las entidades públicas</w:t>
      </w:r>
      <w:r w:rsidRPr="47441D2F">
        <w:rPr>
          <w:rStyle w:val="Refdenotaalpie"/>
          <w:rFonts w:ascii="Verdana" w:hAnsi="Verdana" w:cs="Arial"/>
          <w:color w:val="000000" w:themeColor="text1"/>
          <w:lang w:val="es-ES"/>
        </w:rPr>
        <w:footnoteReference w:id="14"/>
      </w:r>
      <w:r w:rsidRPr="47441D2F">
        <w:rPr>
          <w:rFonts w:ascii="Verdana" w:hAnsi="Verdana" w:cs="Arial"/>
          <w:color w:val="000000" w:themeColor="text1"/>
          <w:lang w:val="es-ES"/>
        </w:rPr>
        <w:t>, deben publicar la información relativa a su contratación. Esta obligación fue desarrollada por el Decreto Único Reglamentario 1081 de 2015</w:t>
      </w:r>
      <w:r w:rsidRPr="47441D2F">
        <w:rPr>
          <w:rStyle w:val="Refdenotaalpie"/>
          <w:rFonts w:ascii="Verdana" w:hAnsi="Verdana" w:cs="Arial"/>
          <w:color w:val="000000" w:themeColor="text1"/>
          <w:lang w:val="es-ES"/>
        </w:rPr>
        <w:footnoteReference w:id="15"/>
      </w:r>
      <w:r w:rsidRPr="47441D2F">
        <w:rPr>
          <w:rFonts w:ascii="Verdana" w:hAnsi="Verdana" w:cs="Arial"/>
          <w:color w:val="000000" w:themeColor="text1"/>
          <w:lang w:val="es-ES"/>
        </w:rPr>
        <w:t>, el cual dispuso que la publicación de la información contractual de los sujetos obligados, que contratan con cargo a recursos públicos, debe hacerse en el Sistema Electrónico para la Contratación Pública ─</w:t>
      </w:r>
      <w:r w:rsidRPr="001869FC">
        <w:rPr>
          <w:rFonts w:ascii="Verdana" w:hAnsi="Verdana" w:cs="Arial"/>
          <w:color w:val="000000" w:themeColor="text1"/>
          <w:lang w:val="es-ES_tradnl"/>
        </w:rPr>
        <w:softHyphen/>
      </w:r>
      <w:r w:rsidRPr="47441D2F">
        <w:rPr>
          <w:rFonts w:ascii="Verdana" w:hAnsi="Verdana" w:cs="Arial"/>
          <w:color w:val="000000" w:themeColor="text1"/>
          <w:lang w:val="es-ES"/>
        </w:rPr>
        <w:t xml:space="preserve"> </w:t>
      </w:r>
      <w:r w:rsidRPr="001869FC">
        <w:rPr>
          <w:rFonts w:ascii="Verdana" w:hAnsi="Verdana" w:cs="Arial"/>
          <w:color w:val="000000" w:themeColor="text1"/>
          <w:lang w:val="es-ES_tradnl"/>
        </w:rPr>
        <w:softHyphen/>
      </w:r>
      <w:r w:rsidRPr="47441D2F">
        <w:rPr>
          <w:rFonts w:ascii="Verdana" w:hAnsi="Verdana" w:cs="Arial"/>
          <w:color w:val="000000" w:themeColor="text1"/>
          <w:lang w:val="es-ES"/>
        </w:rPr>
        <w:t>SECOP–.</w:t>
      </w:r>
    </w:p>
    <w:p w14:paraId="3F962B6A" w14:textId="77777777" w:rsidR="00CE56B4" w:rsidRPr="001869FC" w:rsidRDefault="00CE56B4" w:rsidP="00CE56B4">
      <w:pPr>
        <w:spacing w:before="120" w:line="276" w:lineRule="auto"/>
        <w:ind w:firstLine="709"/>
        <w:jc w:val="both"/>
        <w:rPr>
          <w:rFonts w:ascii="Verdana" w:hAnsi="Verdana" w:cs="Arial"/>
          <w:color w:val="000000" w:themeColor="text1"/>
          <w:lang w:val="es-ES_tradnl"/>
        </w:rPr>
      </w:pPr>
      <w:r w:rsidRPr="001869FC">
        <w:rPr>
          <w:rFonts w:ascii="Verdana" w:hAnsi="Verdana" w:cs="Arial"/>
          <w:color w:val="000000" w:themeColor="text1"/>
          <w:lang w:val="es-ES_tradnl"/>
        </w:rPr>
        <w:t xml:space="preserve">Asimismo, de acuerdo con el literal g) del artículo 11 de la misma Ley, todos los destinatarios de la ley de transparencia deben garantizar la publicidad de </w:t>
      </w:r>
      <w:r>
        <w:rPr>
          <w:rFonts w:ascii="Verdana" w:hAnsi="Verdana" w:cs="Arial"/>
          <w:color w:val="000000" w:themeColor="text1"/>
          <w:lang w:val="es-ES_tradnl"/>
        </w:rPr>
        <w:t>“</w:t>
      </w:r>
      <w:r w:rsidRPr="001869FC">
        <w:rPr>
          <w:rFonts w:ascii="Verdana" w:hAnsi="Verdana" w:cs="Arial"/>
          <w:color w:val="000000" w:themeColor="text1"/>
          <w:lang w:val="es-ES_tradnl"/>
        </w:rPr>
        <w:t>sus procedimientos, lineamientos, políticas en materia de adquisiciones y compras, así como todos los datos de adjudicación y ejecución de contratos, incluidos concursos y licitaciones</w:t>
      </w:r>
      <w:r>
        <w:rPr>
          <w:rFonts w:ascii="Verdana" w:hAnsi="Verdana" w:cs="Arial"/>
          <w:color w:val="000000" w:themeColor="text1"/>
          <w:lang w:val="es-ES_tradnl"/>
        </w:rPr>
        <w:t>”</w:t>
      </w:r>
      <w:r w:rsidRPr="001869FC">
        <w:rPr>
          <w:rFonts w:ascii="Verdana" w:hAnsi="Verdana" w:cs="Arial"/>
          <w:color w:val="000000" w:themeColor="text1"/>
          <w:lang w:val="es-ES_tradnl"/>
        </w:rPr>
        <w:t xml:space="preserve">, y esta información también debe estar en el SECOP. </w:t>
      </w:r>
      <w:r w:rsidRPr="001869FC">
        <w:rPr>
          <w:rFonts w:ascii="Verdana" w:eastAsia="Calibri" w:hAnsi="Verdana" w:cs="Arial"/>
          <w:color w:val="000000" w:themeColor="text1"/>
          <w:lang w:val="es-ES_tradn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1869FC">
        <w:rPr>
          <w:rStyle w:val="Refdenotaalpie"/>
          <w:rFonts w:ascii="Verdana" w:eastAsia="Calibri" w:hAnsi="Verdana" w:cs="Arial"/>
          <w:color w:val="000000" w:themeColor="text1"/>
          <w:lang w:val="es-ES_tradnl"/>
        </w:rPr>
        <w:footnoteReference w:id="16"/>
      </w:r>
      <w:r w:rsidRPr="001869FC">
        <w:rPr>
          <w:rFonts w:ascii="Verdana" w:eastAsia="Calibri" w:hAnsi="Verdana" w:cs="Arial"/>
          <w:color w:val="000000" w:themeColor="text1"/>
          <w:lang w:val="es-ES_tradnl"/>
        </w:rPr>
        <w:t>.</w:t>
      </w:r>
    </w:p>
    <w:p w14:paraId="7F0C45FD" w14:textId="77777777" w:rsidR="00CE56B4" w:rsidRPr="001869FC" w:rsidRDefault="00CE56B4" w:rsidP="00CE56B4">
      <w:pPr>
        <w:spacing w:before="120" w:line="276" w:lineRule="auto"/>
        <w:ind w:firstLine="709"/>
        <w:jc w:val="both"/>
        <w:rPr>
          <w:rFonts w:ascii="Verdana" w:hAnsi="Verdana" w:cs="Arial"/>
          <w:color w:val="000000" w:themeColor="text1"/>
          <w:lang w:val="es-ES_tradnl"/>
        </w:rPr>
      </w:pPr>
      <w:r w:rsidRPr="001869FC">
        <w:rPr>
          <w:rFonts w:ascii="Verdana" w:hAnsi="Verdana" w:cs="Arial"/>
          <w:color w:val="000000" w:themeColor="text1"/>
          <w:lang w:val="es-ES_tradnl"/>
        </w:rPr>
        <w:t xml:space="preserve">Para el año 2013, la Agencia Nacional de Contratación Pública – Colombia Compra Eficiente, mediante la Circular Externa No 1 del 21 de junio de 2013, </w:t>
      </w:r>
      <w:r w:rsidRPr="001869FC">
        <w:rPr>
          <w:rFonts w:ascii="Verdana" w:hAnsi="Verdana" w:cs="Arial"/>
          <w:color w:val="000000" w:themeColor="text1"/>
          <w:lang w:val="es-ES_tradnl"/>
        </w:rPr>
        <w:lastRenderedPageBreak/>
        <w:t>recopilada en la Circular Externa Única, recordó a todas las entidades del Estado el deber de publicar oportunamente la información oficial de la contratación en el SECOP, sin distinción de su régimen jurídico, naturaleza jurídica o la pertenencia a una u otra rama del poder público</w:t>
      </w:r>
      <w:r w:rsidRPr="001869FC">
        <w:rPr>
          <w:rStyle w:val="Refdenotaalpie"/>
          <w:rFonts w:ascii="Verdana" w:hAnsi="Verdana" w:cs="Arial"/>
          <w:color w:val="000000" w:themeColor="text1"/>
          <w:lang w:val="es-ES_tradnl"/>
        </w:rPr>
        <w:footnoteReference w:id="17"/>
      </w:r>
      <w:r w:rsidRPr="001869FC">
        <w:rPr>
          <w:rFonts w:ascii="Verdana" w:hAnsi="Verdana" w:cs="Arial"/>
          <w:color w:val="000000" w:themeColor="text1"/>
          <w:lang w:val="es-ES_tradnl"/>
        </w:rPr>
        <w:t xml:space="preserve">. Este deber, como se verá más adelante, permanece vigente, incluso con el auto del 25 de febrero de 2021. Además, la Circular Externa Única, en el numeral 1.1., estableció, de manera enunciativa, que deben publicar en el SECOP: </w:t>
      </w:r>
      <w:r>
        <w:rPr>
          <w:rFonts w:ascii="Verdana" w:hAnsi="Verdana" w:cs="Arial"/>
          <w:color w:val="000000" w:themeColor="text1"/>
          <w:lang w:val="es-ES_tradnl"/>
        </w:rPr>
        <w:t>“</w:t>
      </w:r>
      <w:r w:rsidRPr="001869FC">
        <w:rPr>
          <w:rFonts w:ascii="Verdana" w:hAnsi="Verdana" w:cs="Arial"/>
          <w:color w:val="000000" w:themeColor="text1"/>
          <w:lang w:val="es-ES_tradnl"/>
        </w:rPr>
        <w:t>2. Las entidades del Estado que tienen un régimen especial de contratación, siempre y cuando el contrato ejecute o tenga como fuente de financiación dineros públicos, sin importar su proporción, a través del módulo [Régimen Especial], de acuerdo con lo establecido en su propio manual de contratación</w:t>
      </w:r>
      <w:r>
        <w:rPr>
          <w:rFonts w:ascii="Verdana" w:hAnsi="Verdana" w:cs="Arial"/>
          <w:color w:val="000000" w:themeColor="text1"/>
          <w:lang w:val="es-ES_tradnl"/>
        </w:rPr>
        <w:t>”</w:t>
      </w:r>
      <w:r w:rsidRPr="001869FC">
        <w:rPr>
          <w:rFonts w:ascii="Verdana" w:hAnsi="Verdana" w:cs="Arial"/>
          <w:color w:val="000000" w:themeColor="text1"/>
          <w:lang w:val="es-ES_tradnl"/>
        </w:rPr>
        <w:t>.</w:t>
      </w:r>
    </w:p>
    <w:p w14:paraId="14E5FBDD" w14:textId="77777777" w:rsidR="00CE56B4" w:rsidRPr="001869FC" w:rsidRDefault="00CE56B4" w:rsidP="00CE56B4">
      <w:pPr>
        <w:spacing w:before="120" w:line="276" w:lineRule="auto"/>
        <w:ind w:firstLine="709"/>
        <w:jc w:val="both"/>
        <w:rPr>
          <w:rFonts w:ascii="Verdana" w:hAnsi="Verdana" w:cs="Arial"/>
          <w:color w:val="000000" w:themeColor="text1"/>
          <w:lang w:val="es-ES_tradnl"/>
        </w:rPr>
      </w:pPr>
      <w:r w:rsidRPr="001869FC">
        <w:rPr>
          <w:rFonts w:ascii="Verdana" w:hAnsi="Verdana" w:cs="Arial"/>
          <w:color w:val="000000" w:themeColor="text1"/>
          <w:lang w:val="es-ES_tradnl"/>
        </w:rPr>
        <w:t>El debate sobre la obligatoriedad o no de publicar en el SECOP, para las entidades con régimen especial de contratación, había sido definido, al menos de manera preliminar, por el Consejo de Estado. En este sentido, la Sección Tercera, Subsección C, en el Auto del 14 de agosto de 2017</w:t>
      </w:r>
      <w:r w:rsidRPr="001869FC">
        <w:rPr>
          <w:rStyle w:val="Refdenotaalpie"/>
          <w:rFonts w:ascii="Verdana" w:hAnsi="Verdana" w:cs="Arial"/>
          <w:color w:val="000000" w:themeColor="text1"/>
          <w:lang w:val="es-ES_tradnl"/>
        </w:rPr>
        <w:footnoteReference w:id="18"/>
      </w:r>
      <w:r w:rsidRPr="001869FC">
        <w:rPr>
          <w:rFonts w:ascii="Verdana" w:hAnsi="Verdana" w:cs="Arial"/>
          <w:color w:val="000000" w:themeColor="text1"/>
          <w:lang w:val="es-ES_tradnl"/>
        </w:rPr>
        <w:t>, expresó que la obligación prevista en la Circular Externa No. 1 se ajusta a la normativa superior, en los siguientes términos:</w:t>
      </w:r>
    </w:p>
    <w:p w14:paraId="55FC17FD" w14:textId="77777777" w:rsidR="00CE56B4" w:rsidRPr="001869FC" w:rsidRDefault="00CE56B4" w:rsidP="00CE56B4">
      <w:pPr>
        <w:tabs>
          <w:tab w:val="left" w:pos="3885"/>
        </w:tabs>
        <w:spacing w:after="120"/>
        <w:ind w:left="709" w:right="709"/>
        <w:jc w:val="both"/>
        <w:rPr>
          <w:rFonts w:ascii="Verdana" w:hAnsi="Verdana" w:cs="Arial"/>
          <w:color w:val="000000" w:themeColor="text1"/>
          <w:sz w:val="21"/>
          <w:szCs w:val="21"/>
          <w:lang w:val="es-ES_tradnl"/>
        </w:rPr>
      </w:pPr>
      <w:r w:rsidRPr="001869FC">
        <w:rPr>
          <w:rFonts w:ascii="Verdana" w:hAnsi="Verdana" w:cs="Arial"/>
          <w:color w:val="000000" w:themeColor="text1"/>
          <w:sz w:val="21"/>
          <w:szCs w:val="21"/>
          <w:lang w:val="es-ES_tradnl"/>
        </w:rPr>
        <w:t>[…] resulta razonable concluir, en esta oportunidad, que en virtud del deber de información prescrito en el literal c) del artículo 3 o de la Ley 1150 de 2007 los sujetos obligados bajo tal norma [todos los que realizan contratación con dineros públicos] deben suministrar información sobre su contratación en términos veraces, auténticos y completos en el sistema electrónico SECOP, lo que incluye, entonces, todo acto que sea expresión de ejercicio o despliegue de actividad contractual.</w:t>
      </w:r>
    </w:p>
    <w:p w14:paraId="4331226C" w14:textId="77777777" w:rsidR="00CE56B4" w:rsidRPr="001869FC" w:rsidRDefault="00CE56B4" w:rsidP="00CE56B4">
      <w:pPr>
        <w:tabs>
          <w:tab w:val="left" w:pos="3885"/>
        </w:tabs>
        <w:ind w:left="709" w:right="709"/>
        <w:jc w:val="both"/>
        <w:rPr>
          <w:rFonts w:ascii="Verdana" w:hAnsi="Verdana" w:cs="Arial"/>
          <w:color w:val="000000" w:themeColor="text1"/>
          <w:sz w:val="21"/>
          <w:szCs w:val="21"/>
          <w:lang w:val="es-ES"/>
        </w:rPr>
      </w:pPr>
      <w:r w:rsidRPr="47441D2F">
        <w:rPr>
          <w:rFonts w:ascii="Verdana" w:hAnsi="Verdana" w:cs="Arial"/>
          <w:color w:val="000000" w:themeColor="text1"/>
          <w:sz w:val="21"/>
          <w:szCs w:val="21"/>
          <w:lang w:val="es-ES"/>
        </w:rPr>
        <w:t>11.5. ─Y es que, si se quiere en términos más detallados el literal c) del artículo 3o de la Ley en comento responde claramente las siguientes inquietudes: ¿Quiénes están obligados? los que realizan contratación con dineros públicos; ¿</w:t>
      </w:r>
      <w:proofErr w:type="gramStart"/>
      <w:r w:rsidRPr="47441D2F">
        <w:rPr>
          <w:rFonts w:ascii="Verdana" w:hAnsi="Verdana" w:cs="Arial"/>
          <w:color w:val="000000" w:themeColor="text1"/>
          <w:sz w:val="21"/>
          <w:szCs w:val="21"/>
          <w:lang w:val="es-ES"/>
        </w:rPr>
        <w:t>en razón de</w:t>
      </w:r>
      <w:proofErr w:type="gramEnd"/>
      <w:r w:rsidRPr="47441D2F">
        <w:rPr>
          <w:rFonts w:ascii="Verdana" w:hAnsi="Verdana" w:cs="Arial"/>
          <w:color w:val="000000" w:themeColor="text1"/>
          <w:sz w:val="21"/>
          <w:szCs w:val="21"/>
          <w:lang w:val="es-ES"/>
        </w:rPr>
        <w:t xml:space="preserve"> qué están obligados? En razón al manejo de tales recursos públicos y no por razón diferente; ¿Cuál es el límite o la extensión de ese deber? Única y exclusivamente comprende la información relativa a lo que sea objeto de contratación con recursos públicos, se excluyen de allí la que se realice con otras </w:t>
      </w:r>
      <w:r w:rsidRPr="47441D2F">
        <w:rPr>
          <w:rFonts w:ascii="Verdana" w:hAnsi="Verdana" w:cs="Arial"/>
          <w:color w:val="000000" w:themeColor="text1"/>
          <w:sz w:val="21"/>
          <w:szCs w:val="21"/>
          <w:lang w:val="es-ES"/>
        </w:rPr>
        <w:lastRenderedPageBreak/>
        <w:t>fuentes. ¿Dónde se debe surtir ese deber de información? Por conducto del sistema electrónico SECOP.</w:t>
      </w:r>
    </w:p>
    <w:p w14:paraId="4F025716" w14:textId="77777777" w:rsidR="00CE56B4" w:rsidRPr="001869FC" w:rsidRDefault="00CE56B4" w:rsidP="00CE56B4">
      <w:pPr>
        <w:tabs>
          <w:tab w:val="left" w:pos="3885"/>
        </w:tabs>
        <w:spacing w:after="120"/>
        <w:ind w:left="709" w:right="709"/>
        <w:jc w:val="both"/>
        <w:rPr>
          <w:rFonts w:ascii="Verdana" w:hAnsi="Verdana" w:cs="Arial"/>
          <w:color w:val="000000" w:themeColor="text1"/>
          <w:sz w:val="21"/>
          <w:szCs w:val="21"/>
          <w:lang w:val="es-ES_tradnl"/>
        </w:rPr>
      </w:pPr>
      <w:r w:rsidRPr="001869FC">
        <w:rPr>
          <w:rFonts w:ascii="Verdana" w:hAnsi="Verdana" w:cs="Arial"/>
          <w:color w:val="000000" w:themeColor="text1"/>
          <w:sz w:val="21"/>
          <w:szCs w:val="21"/>
          <w:lang w:val="es-ES_tradnl"/>
        </w:rPr>
        <w:t>[…]</w:t>
      </w:r>
    </w:p>
    <w:p w14:paraId="27D3B645" w14:textId="77777777" w:rsidR="00CE56B4" w:rsidRPr="001869FC" w:rsidRDefault="00CE56B4" w:rsidP="00CE56B4">
      <w:pPr>
        <w:tabs>
          <w:tab w:val="left" w:pos="3885"/>
        </w:tabs>
        <w:ind w:left="709" w:right="709"/>
        <w:jc w:val="both"/>
        <w:rPr>
          <w:rFonts w:ascii="Verdana" w:hAnsi="Verdana" w:cs="Arial"/>
          <w:color w:val="000000" w:themeColor="text1"/>
          <w:sz w:val="21"/>
          <w:szCs w:val="21"/>
          <w:lang w:val="es-ES"/>
        </w:rPr>
      </w:pPr>
      <w:r w:rsidRPr="47441D2F">
        <w:rPr>
          <w:rFonts w:ascii="Verdana" w:hAnsi="Verdana" w:cs="Arial"/>
          <w:color w:val="000000" w:themeColor="text1"/>
          <w:sz w:val="21"/>
          <w:szCs w:val="21"/>
          <w:lang w:val="es-ES"/>
        </w:rPr>
        <w:t>Así, lo que resulta también razonable afirmar es que el aludido deber de informar ya se encontraba bien dispuesto y definido desde el precepto legal de 2007, pues del texto del inciso de marras se sabe qué, quién y cómo se debe satisfacer ese deber y no surgió, como parece anotarlo la Fundación, con la expedición de la Circular Externa contra la cual se promueve este juicio contencioso de legalidad. Y, agrega este Despacho, este deber vino a ser reiterado [no creado] en la Ley 1712 de 2014</w:t>
      </w:r>
      <w:r w:rsidRPr="47441D2F">
        <w:rPr>
          <w:rStyle w:val="Refdenotaalpie"/>
          <w:rFonts w:ascii="Verdana" w:hAnsi="Verdana" w:cs="Arial"/>
          <w:color w:val="000000" w:themeColor="text1"/>
          <w:sz w:val="21"/>
          <w:szCs w:val="21"/>
          <w:lang w:val="es-ES"/>
        </w:rPr>
        <w:footnoteReference w:id="19"/>
      </w:r>
      <w:r w:rsidRPr="47441D2F">
        <w:rPr>
          <w:rFonts w:ascii="Verdana" w:hAnsi="Verdana" w:cs="Arial"/>
          <w:color w:val="000000" w:themeColor="text1"/>
          <w:sz w:val="21"/>
          <w:szCs w:val="21"/>
          <w:lang w:val="es-ES"/>
        </w:rPr>
        <w:t>.</w:t>
      </w:r>
    </w:p>
    <w:p w14:paraId="00042F4A" w14:textId="77777777" w:rsidR="00CE56B4" w:rsidRPr="001869FC" w:rsidRDefault="00CE56B4" w:rsidP="00CE56B4">
      <w:pPr>
        <w:spacing w:line="276" w:lineRule="auto"/>
        <w:ind w:firstLine="708"/>
        <w:jc w:val="both"/>
        <w:rPr>
          <w:rFonts w:ascii="Verdana" w:hAnsi="Verdana" w:cs="Arial"/>
          <w:color w:val="000000" w:themeColor="text1"/>
          <w:lang w:val="es-ES_tradnl"/>
        </w:rPr>
      </w:pPr>
      <w:r w:rsidRPr="001869FC">
        <w:rPr>
          <w:rFonts w:ascii="Verdana" w:hAnsi="Verdana" w:cs="Arial"/>
          <w:color w:val="000000" w:themeColor="text1"/>
          <w:lang w:val="es-ES_tradnl"/>
        </w:rPr>
        <w:t xml:space="preserve">Adicionalmente, la publicación de la información contractual oficial no se determina por la naturaleza de la entidad ejecutora ─pública o privada─, ni por el régimen sustantivo contractual que aplique, sea la Ley 80 de 1993 o un régimen exceptuado. En particular, sobre el deber de publicidad de las entidades con régimen especial, el Consejo de Estado sostuvo: </w:t>
      </w:r>
    </w:p>
    <w:p w14:paraId="3B96E287" w14:textId="77777777" w:rsidR="00CE56B4" w:rsidRPr="001869FC" w:rsidRDefault="00CE56B4" w:rsidP="00CE56B4">
      <w:pPr>
        <w:ind w:left="709" w:right="709"/>
        <w:jc w:val="both"/>
        <w:rPr>
          <w:rFonts w:ascii="Verdana" w:hAnsi="Verdana" w:cs="Arial"/>
          <w:color w:val="000000" w:themeColor="text1"/>
          <w:sz w:val="21"/>
          <w:szCs w:val="21"/>
          <w:lang w:val="es-ES_tradnl"/>
        </w:rPr>
      </w:pPr>
      <w:r w:rsidRPr="001869FC">
        <w:rPr>
          <w:rFonts w:ascii="Verdana" w:hAnsi="Verdana" w:cs="Arial"/>
          <w:color w:val="000000" w:themeColor="text1"/>
          <w:sz w:val="21"/>
          <w:szCs w:val="21"/>
          <w:lang w:val="es-ES_tradnl"/>
        </w:rPr>
        <w:t>Por consiguiente, otra conclusión natural de lo que se viene de decir es que la exigibilidad prevista en el literal c) del artículo 3° de la Ley 1150 de 2007 y aquella reflejada en la Circular Externa sobre deber de informar no alteran ni trastocan el régimen jurídico contractual, por la potísima razón que lo único que impone o carga a cuenta de los sujetos obligados es hacer público, publicitar, reportar, informar ciertos asuntos específicos: la completa actividad contractual que hayan ejecutado con cargo a tales recursos públicos, de donde se desprende que no se estructura ese deber informativo en relación a los negocios que celebren con cargo a recursos de otra índole</w:t>
      </w:r>
      <w:r w:rsidRPr="001869FC">
        <w:rPr>
          <w:rStyle w:val="Refdenotaalpie"/>
          <w:rFonts w:ascii="Verdana" w:hAnsi="Verdana" w:cs="Arial"/>
          <w:color w:val="000000" w:themeColor="text1"/>
          <w:sz w:val="21"/>
          <w:szCs w:val="21"/>
          <w:lang w:val="es-ES_tradnl"/>
        </w:rPr>
        <w:footnoteReference w:id="20"/>
      </w:r>
      <w:r w:rsidRPr="001869FC">
        <w:rPr>
          <w:rFonts w:ascii="Verdana" w:hAnsi="Verdana" w:cs="Arial"/>
          <w:color w:val="000000" w:themeColor="text1"/>
          <w:sz w:val="21"/>
          <w:szCs w:val="21"/>
          <w:lang w:val="es-ES_tradnl"/>
        </w:rPr>
        <w:t>.</w:t>
      </w:r>
    </w:p>
    <w:p w14:paraId="267D3B2C" w14:textId="77777777" w:rsidR="00CE56B4" w:rsidRPr="001869FC" w:rsidRDefault="00CE56B4" w:rsidP="00CE56B4">
      <w:pPr>
        <w:spacing w:after="120" w:line="276" w:lineRule="auto"/>
        <w:ind w:firstLine="709"/>
        <w:jc w:val="both"/>
        <w:rPr>
          <w:rFonts w:ascii="Verdana" w:hAnsi="Verdana" w:cs="Arial"/>
          <w:color w:val="000000" w:themeColor="text1"/>
          <w:lang w:val="es-ES_tradnl"/>
        </w:rPr>
      </w:pPr>
      <w:r w:rsidRPr="001869FC">
        <w:rPr>
          <w:rFonts w:ascii="Verdana" w:hAnsi="Verdana" w:cs="Arial"/>
          <w:color w:val="000000" w:themeColor="text1"/>
          <w:lang w:val="es-ES_tradnl"/>
        </w:rPr>
        <w:t xml:space="preserve">Nótese, entonces, que en ese momento el Consejo de Estado asumió como criterio para determinar la obligatoriedad de publicar en el SECOP que la contratación se realizara con recursos públicos, conclusión que se fundamenta en el literal c) del artículo 3 de la Ley 1150 de 2007. Así, la decisión judicial citada refuerza la obligación de publicar en el SECOP, mandato que además está </w:t>
      </w:r>
      <w:r w:rsidRPr="001869FC">
        <w:rPr>
          <w:rFonts w:ascii="Verdana" w:hAnsi="Verdana" w:cs="Arial"/>
          <w:color w:val="000000" w:themeColor="text1"/>
          <w:lang w:val="es-ES_tradnl"/>
        </w:rPr>
        <w:lastRenderedPageBreak/>
        <w:t>expresamente consagrado en las Leyes 1150 de 2007, 1712 de 2014 y la Circular Externa Única.</w:t>
      </w:r>
    </w:p>
    <w:p w14:paraId="0588D477" w14:textId="65006E8E" w:rsidR="00CE56B4" w:rsidRPr="00574E8B" w:rsidRDefault="00CE56B4" w:rsidP="00574E8B">
      <w:pPr>
        <w:spacing w:before="120" w:line="276" w:lineRule="auto"/>
        <w:ind w:firstLine="709"/>
        <w:jc w:val="both"/>
        <w:rPr>
          <w:rFonts w:ascii="Verdana" w:eastAsia="Calibri" w:hAnsi="Verdana" w:cs="Arial"/>
          <w:color w:val="000000"/>
          <w:lang w:val="es-ES"/>
        </w:rPr>
      </w:pPr>
      <w:r w:rsidRPr="47441D2F">
        <w:rPr>
          <w:rFonts w:ascii="Verdana" w:hAnsi="Verdana" w:cs="Arial"/>
          <w:color w:val="000000" w:themeColor="text1"/>
          <w:lang w:val="es-ES"/>
        </w:rPr>
        <w:t xml:space="preserve">De otro lado, </w:t>
      </w:r>
      <w:r w:rsidRPr="47441D2F">
        <w:rPr>
          <w:rFonts w:ascii="Verdana" w:eastAsia="Calibri" w:hAnsi="Verdana" w:cs="Arial"/>
          <w:color w:val="000000" w:themeColor="text1"/>
          <w:lang w:val="es-ES"/>
        </w:rPr>
        <w:t>el 18 de enero del año en curso se promulgó la Ley 2195 de 2022. Según lo establece su artículo 1, esta Ley «</w:t>
      </w:r>
      <w:r w:rsidRPr="47441D2F">
        <w:rPr>
          <w:rFonts w:ascii="Verdana" w:hAnsi="Verdana" w:cs="Arial"/>
          <w:lang w:val="es-ES"/>
        </w:rPr>
        <w:t xml:space="preserve">[…] </w:t>
      </w:r>
      <w:r w:rsidRPr="47441D2F">
        <w:rPr>
          <w:rFonts w:ascii="Verdana" w:eastAsia="Calibri" w:hAnsi="Verdana" w:cs="Arial"/>
          <w:color w:val="000000" w:themeColor="text1"/>
          <w:lang w:val="es-ES"/>
        </w:rPr>
        <w:t xml:space="preserve">tiene por objeto adoptar disposiciones tendientes a prevenir los actos de corrupción, a reforzar la articulación y coordinación de las entidades del Estado y a recuperar los daños ocasionados por dichos actos con el fin de asegurar promover la cultura de la legalidad e integridad y recuperar la confianza ciudadana y el respeto por lo público». Dentro del capítulo VIII de esta Ley, que lleva por título «Disposiciones en materia contractual para la moralización y la transparencia», se ubican los artículos 50 al 58, que, en su conjunto, regulan los siguientes aspectos: i) el registro de la contabilidad, por parte de los contratistas del Estado obligados a ello, que ejecuten recursos públicos –artículo 50–, </w:t>
      </w:r>
      <w:proofErr w:type="spellStart"/>
      <w:r w:rsidRPr="47441D2F">
        <w:rPr>
          <w:rFonts w:ascii="Verdana" w:eastAsia="Calibri" w:hAnsi="Verdana" w:cs="Arial"/>
          <w:color w:val="000000" w:themeColor="text1"/>
          <w:lang w:val="es-ES"/>
        </w:rPr>
        <w:t>ii</w:t>
      </w:r>
      <w:proofErr w:type="spellEnd"/>
      <w:r w:rsidRPr="47441D2F">
        <w:rPr>
          <w:rFonts w:ascii="Verdana" w:eastAsia="Calibri" w:hAnsi="Verdana" w:cs="Arial"/>
          <w:color w:val="000000" w:themeColor="text1"/>
          <w:lang w:val="es-ES"/>
        </w:rPr>
        <w:t xml:space="preserve">) la inhabilidad por incumplimiento reiterado en los contratos de alimentación escolar –artículo 51–, </w:t>
      </w:r>
      <w:proofErr w:type="spellStart"/>
      <w:r w:rsidRPr="47441D2F">
        <w:rPr>
          <w:rFonts w:ascii="Verdana" w:eastAsia="Calibri" w:hAnsi="Verdana" w:cs="Arial"/>
          <w:color w:val="000000" w:themeColor="text1"/>
          <w:lang w:val="es-ES"/>
        </w:rPr>
        <w:t>iii</w:t>
      </w:r>
      <w:proofErr w:type="spellEnd"/>
      <w:r w:rsidRPr="47441D2F">
        <w:rPr>
          <w:rFonts w:ascii="Verdana" w:eastAsia="Calibri" w:hAnsi="Verdana" w:cs="Arial"/>
          <w:color w:val="000000" w:themeColor="text1"/>
          <w:lang w:val="es-ES"/>
        </w:rPr>
        <w:t xml:space="preserve">) las cláusulas excepcionales en los contratos celebrados con el objeto señalado anteriormente –artículo 52–, </w:t>
      </w:r>
      <w:proofErr w:type="spellStart"/>
      <w:r w:rsidRPr="47441D2F">
        <w:rPr>
          <w:rFonts w:ascii="Verdana" w:eastAsia="Calibri" w:hAnsi="Verdana" w:cs="Arial"/>
          <w:color w:val="000000" w:themeColor="text1"/>
          <w:lang w:val="es-ES"/>
        </w:rPr>
        <w:t>iv</w:t>
      </w:r>
      <w:proofErr w:type="spellEnd"/>
      <w:r w:rsidRPr="47441D2F">
        <w:rPr>
          <w:rFonts w:ascii="Verdana" w:eastAsia="Calibri" w:hAnsi="Verdana" w:cs="Arial"/>
          <w:color w:val="000000" w:themeColor="text1"/>
          <w:lang w:val="es-ES"/>
        </w:rPr>
        <w:t xml:space="preserve">) el deber de las entidades que cuentan con un régimen contractual especial, de publicar los documentos relacionados con su actividad contractual en el SECOP II –artículo 53–, v) la nueva causal de selección abreviada para la adquisición de bienes o servicios </w:t>
      </w:r>
      <w:r w:rsidRPr="47441D2F">
        <w:rPr>
          <w:rFonts w:ascii="Verdana" w:eastAsia="Calibri" w:hAnsi="Verdana" w:cs="Arial"/>
          <w:i/>
          <w:color w:val="000000" w:themeColor="text1"/>
          <w:lang w:val="es-ES"/>
        </w:rPr>
        <w:t>no</w:t>
      </w:r>
      <w:r w:rsidRPr="47441D2F">
        <w:rPr>
          <w:rFonts w:ascii="Verdana" w:eastAsia="Calibri" w:hAnsi="Verdana" w:cs="Arial"/>
          <w:color w:val="000000" w:themeColor="text1"/>
          <w:lang w:val="es-ES"/>
        </w:rPr>
        <w:t xml:space="preserve"> uniformes de común utilización –artículo 54–, vi) la obligación de adoptar el modelo de autoevaluación periódico para los sujetos obligados a implementar políticas de transparencia y ética empresarial –artículo 55–, </w:t>
      </w:r>
      <w:proofErr w:type="spellStart"/>
      <w:r w:rsidRPr="47441D2F">
        <w:rPr>
          <w:rFonts w:ascii="Verdana" w:eastAsia="Calibri" w:hAnsi="Verdana" w:cs="Arial"/>
          <w:color w:val="000000" w:themeColor="text1"/>
          <w:lang w:val="es-ES"/>
        </w:rPr>
        <w:t>vii</w:t>
      </w:r>
      <w:proofErr w:type="spellEnd"/>
      <w:r w:rsidRPr="47441D2F">
        <w:rPr>
          <w:rFonts w:ascii="Verdana" w:eastAsia="Calibri" w:hAnsi="Verdana" w:cs="Arial"/>
          <w:color w:val="000000" w:themeColor="text1"/>
          <w:lang w:val="es-ES"/>
        </w:rPr>
        <w:t xml:space="preserve">) la aplicación de los documentos tipo a entidades con régimen especial –artículo 56–, </w:t>
      </w:r>
      <w:proofErr w:type="spellStart"/>
      <w:r w:rsidRPr="47441D2F">
        <w:rPr>
          <w:rFonts w:ascii="Verdana" w:eastAsia="Calibri" w:hAnsi="Verdana" w:cs="Arial"/>
          <w:color w:val="000000" w:themeColor="text1"/>
          <w:lang w:val="es-ES"/>
        </w:rPr>
        <w:t>viii</w:t>
      </w:r>
      <w:proofErr w:type="spellEnd"/>
      <w:r w:rsidRPr="47441D2F">
        <w:rPr>
          <w:rFonts w:ascii="Verdana" w:eastAsia="Calibri" w:hAnsi="Verdana" w:cs="Arial"/>
          <w:color w:val="000000" w:themeColor="text1"/>
          <w:lang w:val="es-ES"/>
        </w:rPr>
        <w:t xml:space="preserve">) la obligación, radicada en los revisores fiscales, de denunciar los actos de corrupción –artículo 57–, y </w:t>
      </w:r>
      <w:proofErr w:type="spellStart"/>
      <w:r w:rsidRPr="47441D2F">
        <w:rPr>
          <w:rFonts w:ascii="Verdana" w:eastAsia="Calibri" w:hAnsi="Verdana" w:cs="Arial"/>
          <w:color w:val="000000" w:themeColor="text1"/>
          <w:lang w:val="es-ES"/>
        </w:rPr>
        <w:t>ix</w:t>
      </w:r>
      <w:proofErr w:type="spellEnd"/>
      <w:r w:rsidRPr="47441D2F">
        <w:rPr>
          <w:rFonts w:ascii="Verdana" w:eastAsia="Calibri" w:hAnsi="Verdana" w:cs="Arial"/>
          <w:color w:val="000000" w:themeColor="text1"/>
          <w:lang w:val="es-ES"/>
        </w:rPr>
        <w:t>) la reducción de puntaje por incumplimiento de contratos –artículo 58–.</w:t>
      </w:r>
      <w:r w:rsidR="00574E8B">
        <w:rPr>
          <w:rFonts w:ascii="Verdana" w:eastAsia="Calibri" w:hAnsi="Verdana" w:cs="Arial"/>
          <w:color w:val="000000"/>
          <w:lang w:val="es-ES"/>
        </w:rPr>
        <w:t xml:space="preserve"> </w:t>
      </w:r>
      <w:r w:rsidRPr="001869FC">
        <w:rPr>
          <w:rFonts w:ascii="Verdana" w:eastAsia="Calibri" w:hAnsi="Verdana" w:cs="Arial"/>
          <w:color w:val="000000"/>
          <w:lang w:val="es-ES_tradnl"/>
        </w:rPr>
        <w:t>Según se indicó, el artículo 53 de la Ley 2195 de 2022 hace obligatorio el uso del SECOP II para las entidades exceptuadas del Estatuto General de Contratación de la Administración Pública. En efecto, esta norma dispone:</w:t>
      </w:r>
    </w:p>
    <w:p w14:paraId="6D4B9D0A" w14:textId="77777777" w:rsidR="00CE56B4" w:rsidRDefault="00CE56B4" w:rsidP="00CE56B4">
      <w:pPr>
        <w:ind w:left="709" w:right="709"/>
        <w:jc w:val="both"/>
        <w:rPr>
          <w:rFonts w:ascii="Verdana" w:eastAsia="Calibri" w:hAnsi="Verdana" w:cs="Arial"/>
          <w:sz w:val="21"/>
          <w:szCs w:val="21"/>
        </w:rPr>
      </w:pPr>
      <w:r w:rsidRPr="001869FC">
        <w:rPr>
          <w:rFonts w:ascii="Verdana" w:eastAsia="Calibri" w:hAnsi="Verdana" w:cs="Arial"/>
          <w:sz w:val="21"/>
          <w:szCs w:val="21"/>
        </w:rPr>
        <w:t>Adiciónese los siguientes incisos al artículo 13 de la Ley 1150 de 2007, el cual quedará así:</w:t>
      </w:r>
    </w:p>
    <w:p w14:paraId="08D4713D" w14:textId="77777777" w:rsidR="00CE56B4" w:rsidRDefault="00CE56B4" w:rsidP="00CE56B4">
      <w:pPr>
        <w:ind w:left="709" w:right="709"/>
        <w:jc w:val="both"/>
        <w:rPr>
          <w:rFonts w:ascii="Verdana" w:eastAsia="Calibri" w:hAnsi="Verdana" w:cs="Arial"/>
          <w:sz w:val="21"/>
          <w:szCs w:val="21"/>
        </w:rPr>
      </w:pPr>
      <w:r w:rsidRPr="001869FC">
        <w:rPr>
          <w:rFonts w:ascii="Verdana" w:eastAsia="Calibri" w:hAnsi="Verdana" w:cs="Arial"/>
          <w:sz w:val="21"/>
          <w:szCs w:val="21"/>
        </w:rPr>
        <w:t xml:space="preserve">Artículo 13. PRINCIPIOS GENERALES DE LA ACTIVIDAD CONTRACTUAL PARA ENTIDADES NO SOMETIDAS AL ESTATUTO GENERAL DE CONTRATACIÓN DE LA ADMINISTRACIÓN PÚBLICA. Las entidades estatales que por disposición legal cuenten con un régimen contractual excepcional al del Estatuto General de Contratación de la </w:t>
      </w:r>
      <w:r w:rsidRPr="001869FC">
        <w:rPr>
          <w:rFonts w:ascii="Verdana" w:eastAsia="Calibri" w:hAnsi="Verdana" w:cs="Arial"/>
          <w:sz w:val="21"/>
          <w:szCs w:val="21"/>
        </w:rPr>
        <w:lastRenderedPageBreak/>
        <w:t>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5908D427" w14:textId="77777777" w:rsidR="00CE56B4" w:rsidRDefault="00CE56B4" w:rsidP="00CE56B4">
      <w:pPr>
        <w:ind w:right="709"/>
        <w:jc w:val="both"/>
        <w:rPr>
          <w:rFonts w:ascii="Verdana" w:eastAsia="Calibri" w:hAnsi="Verdana" w:cs="Arial"/>
          <w:sz w:val="21"/>
          <w:szCs w:val="21"/>
        </w:rPr>
      </w:pPr>
      <w:r w:rsidRPr="001869FC">
        <w:rPr>
          <w:rFonts w:ascii="Verdana" w:eastAsia="Calibri" w:hAnsi="Verdana" w:cs="Arial"/>
          <w:sz w:val="21"/>
          <w:szCs w:val="21"/>
        </w:rPr>
        <w:t xml:space="preserve">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w:t>
      </w:r>
      <w:proofErr w:type="spellStart"/>
      <w:r w:rsidRPr="001869FC">
        <w:rPr>
          <w:rFonts w:ascii="Verdana" w:eastAsia="Calibri" w:hAnsi="Verdana" w:cs="Arial"/>
          <w:sz w:val="21"/>
          <w:szCs w:val="21"/>
        </w:rPr>
        <w:t>postcontractual</w:t>
      </w:r>
      <w:proofErr w:type="spellEnd"/>
      <w:r w:rsidRPr="001869FC">
        <w:rPr>
          <w:rFonts w:ascii="Verdana" w:eastAsia="Calibri" w:hAnsi="Verdana" w:cs="Arial"/>
          <w:sz w:val="21"/>
          <w:szCs w:val="21"/>
        </w:rPr>
        <w:t>.</w:t>
      </w:r>
    </w:p>
    <w:p w14:paraId="42BFAF57" w14:textId="77777777" w:rsidR="00CE56B4" w:rsidRPr="001869FC" w:rsidRDefault="00CE56B4" w:rsidP="00CE56B4">
      <w:pPr>
        <w:ind w:left="709" w:right="709"/>
        <w:jc w:val="both"/>
        <w:rPr>
          <w:rFonts w:ascii="Verdana" w:eastAsia="Calibri" w:hAnsi="Verdana" w:cs="Arial"/>
          <w:sz w:val="21"/>
          <w:szCs w:val="21"/>
        </w:rPr>
      </w:pPr>
      <w:r w:rsidRPr="001869FC">
        <w:rPr>
          <w:rFonts w:ascii="Verdana" w:eastAsia="Calibri" w:hAnsi="Verdana" w:cs="Arial"/>
          <w:sz w:val="21"/>
          <w:szCs w:val="21"/>
        </w:rPr>
        <w:t xml:space="preserve">A partir de la </w:t>
      </w:r>
      <w:proofErr w:type="gramStart"/>
      <w:r w:rsidRPr="001869FC">
        <w:rPr>
          <w:rFonts w:ascii="Verdana" w:eastAsia="Calibri" w:hAnsi="Verdana" w:cs="Arial"/>
          <w:sz w:val="21"/>
          <w:szCs w:val="21"/>
        </w:rPr>
        <w:t>entrada en vigencia</w:t>
      </w:r>
      <w:proofErr w:type="gramEnd"/>
      <w:r w:rsidRPr="001869FC">
        <w:rPr>
          <w:rFonts w:ascii="Verdana" w:eastAsia="Calibri" w:hAnsi="Verdana" w:cs="Arial"/>
          <w:sz w:val="21"/>
          <w:szCs w:val="21"/>
        </w:rPr>
        <w:t xml:space="preserve"> de la presente Ley, se establecerá un periodo de transición de seis (6) meses, para que las entidades den cumplimiento efectivo a lo aquí establecido.</w:t>
      </w:r>
    </w:p>
    <w:p w14:paraId="4EB667E8" w14:textId="77777777" w:rsidR="00CE56B4" w:rsidRPr="001869FC" w:rsidRDefault="00CE56B4" w:rsidP="00CE56B4">
      <w:pPr>
        <w:spacing w:line="276" w:lineRule="auto"/>
        <w:ind w:firstLine="709"/>
        <w:jc w:val="both"/>
        <w:rPr>
          <w:rFonts w:ascii="Verdana" w:eastAsia="Calibri" w:hAnsi="Verdana" w:cs="Arial"/>
          <w:color w:val="000000"/>
          <w:lang w:val="es-ES_tradnl"/>
        </w:rPr>
      </w:pPr>
      <w:r w:rsidRPr="001869FC">
        <w:rPr>
          <w:rFonts w:ascii="Verdana" w:eastAsia="Calibri" w:hAnsi="Verdana" w:cs="Arial"/>
          <w:color w:val="000000"/>
          <w:lang w:val="es-ES_tradnl"/>
        </w:rPr>
        <w:t xml:space="preserve">Como puede observarse, aunque la publicación en el SECOP de los documentos relacionados con la actividad contractual ya era obligatoria –lo sigue siendo– para las entidades que cuentan con un régimen especial, el artículo 53 de la Ley 2195 de 2022 –que modifica el artículo 13 de la Ley 1150 de 2007– establece con mayor precisión este deber y lo complementa con la exigencia de emplear el SECOP II. En otras palabras, en el artículo 53 de la Ley 2195 de 2022 el Congreso de la República dispone que las entidades estatales exceptuadas del Estatuto General de Contratación de la Administración Pública deben publicar en el SECOP II –es decir en la plataforma transaccional vigente– su actividad contractual. </w:t>
      </w:r>
    </w:p>
    <w:p w14:paraId="46BD1E2D" w14:textId="77777777" w:rsidR="00CE56B4" w:rsidRPr="001869FC" w:rsidRDefault="00CE56B4" w:rsidP="00CE56B4">
      <w:pPr>
        <w:spacing w:before="120" w:line="276" w:lineRule="auto"/>
        <w:ind w:firstLine="709"/>
        <w:jc w:val="both"/>
        <w:rPr>
          <w:rFonts w:ascii="Verdana" w:eastAsia="Calibri" w:hAnsi="Verdana" w:cs="Arial"/>
          <w:color w:val="000000"/>
          <w:lang w:val="es-ES_tradnl"/>
        </w:rPr>
      </w:pPr>
      <w:r w:rsidRPr="001869FC">
        <w:rPr>
          <w:rFonts w:ascii="Verdana" w:eastAsia="Calibri" w:hAnsi="Verdana" w:cs="Arial"/>
          <w:color w:val="000000"/>
          <w:lang w:val="es-ES_tradnl"/>
        </w:rPr>
        <w:t xml:space="preserve">La Agencia Nacional de Contratación Pública – Colombia Compra Eficiente considera que al establecer el artículo 53 que este deber ha de cumplirse en el SECOP II «o la plataforma transaccional que haga sus veces» esto debe interpretarse en el sentido en que a pesar de que en la actualidad el SECOP II es la plataforma transaccional vigente en el Estado colombiano, si en el futuro esta es reemplazada por otra que tenga otra denominación, las entidades que tienen un régimen especial de contratación pública deben continuar publicando la documentación de su actividad transaccional en la nueva plataforma. </w:t>
      </w:r>
    </w:p>
    <w:p w14:paraId="603B7797" w14:textId="77777777" w:rsidR="00CE56B4" w:rsidRDefault="00CE56B4" w:rsidP="00CE56B4">
      <w:pPr>
        <w:spacing w:before="120" w:line="276" w:lineRule="auto"/>
        <w:ind w:firstLine="709"/>
        <w:jc w:val="both"/>
        <w:rPr>
          <w:rFonts w:ascii="Verdana" w:eastAsia="Calibri" w:hAnsi="Verdana" w:cs="Arial"/>
          <w:color w:val="000000"/>
          <w:lang w:val="es-ES"/>
        </w:rPr>
      </w:pPr>
      <w:r w:rsidRPr="47441D2F">
        <w:rPr>
          <w:rFonts w:ascii="Verdana" w:eastAsia="Calibri" w:hAnsi="Verdana" w:cs="Arial"/>
          <w:color w:val="000000"/>
          <w:lang w:val="es-ES"/>
        </w:rPr>
        <w:lastRenderedPageBreak/>
        <w:t xml:space="preserve">Finalmente, el referido artículo dispone, en el inciso final, que “A partir de la </w:t>
      </w:r>
      <w:proofErr w:type="gramStart"/>
      <w:r w:rsidRPr="47441D2F">
        <w:rPr>
          <w:rFonts w:ascii="Verdana" w:eastAsia="Calibri" w:hAnsi="Verdana" w:cs="Arial"/>
          <w:color w:val="000000"/>
          <w:lang w:val="es-ES"/>
        </w:rPr>
        <w:t>entrada en vigencia</w:t>
      </w:r>
      <w:proofErr w:type="gramEnd"/>
      <w:r w:rsidRPr="47441D2F">
        <w:rPr>
          <w:rFonts w:ascii="Verdana" w:eastAsia="Calibri" w:hAnsi="Verdana" w:cs="Arial"/>
          <w:color w:val="000000"/>
          <w:lang w:val="es-ES"/>
        </w:rPr>
        <w:t xml:space="preserve"> de la presente Ley, se establecerá un periodo de transición de seis (6) meses, para que las entidades den cumplimiento efectivo a lo aquí establecido». Es decir que se trata de un período concedido por el Legislador a las entidades que tienen un régimen especial de contratación para adelantar las gestiones administrativas, técnicas y jurídicas pertinentes, a fin de cumplir lo establecido en el artículo 53. Este período de transición va del 18 de enero al 18 de julio de 2022. La Agencia Nacional de Contratación Pública – Colombia Compra Eficiente también podría impartir directrices sobre este tema a través de sus instrumentos doctrinarios y reglamentarios</w:t>
      </w:r>
      <w:r w:rsidRPr="47441D2F">
        <w:rPr>
          <w:rStyle w:val="Refdenotaalpie"/>
          <w:rFonts w:ascii="Verdana" w:eastAsia="Calibri" w:hAnsi="Verdana" w:cs="Arial"/>
          <w:color w:val="000000"/>
          <w:lang w:val="es-ES"/>
        </w:rPr>
        <w:footnoteReference w:id="21"/>
      </w:r>
      <w:r w:rsidRPr="47441D2F">
        <w:rPr>
          <w:rFonts w:ascii="Verdana" w:eastAsia="Calibri" w:hAnsi="Verdana" w:cs="Arial"/>
          <w:color w:val="000000"/>
          <w:lang w:val="es-ES"/>
        </w:rPr>
        <w:t>.</w:t>
      </w:r>
    </w:p>
    <w:p w14:paraId="6467D47D" w14:textId="77777777" w:rsidR="00CE56B4" w:rsidRDefault="00CE56B4" w:rsidP="00CE56B4">
      <w:pPr>
        <w:spacing w:before="120" w:line="276" w:lineRule="auto"/>
        <w:ind w:firstLine="709"/>
        <w:jc w:val="both"/>
        <w:rPr>
          <w:rFonts w:ascii="Verdana" w:eastAsia="Calibri" w:hAnsi="Verdana" w:cs="Arial"/>
          <w:color w:val="000000"/>
          <w:lang w:val="es-ES_tradnl"/>
        </w:rPr>
      </w:pPr>
      <w:r>
        <w:rPr>
          <w:rFonts w:ascii="Verdana" w:eastAsia="Calibri" w:hAnsi="Verdana" w:cs="Arial"/>
          <w:color w:val="000000"/>
        </w:rPr>
        <w:t>En</w:t>
      </w:r>
      <w:r w:rsidRPr="00D7558E">
        <w:rPr>
          <w:rFonts w:ascii="Verdana" w:eastAsia="Calibri" w:hAnsi="Verdana" w:cs="Arial"/>
          <w:color w:val="000000"/>
        </w:rPr>
        <w:t xml:space="preserve"> conclusión,</w:t>
      </w:r>
      <w:r>
        <w:rPr>
          <w:rFonts w:ascii="Verdana" w:eastAsia="Calibri" w:hAnsi="Verdana" w:cs="Arial"/>
          <w:color w:val="000000"/>
        </w:rPr>
        <w:t xml:space="preserve"> de los argumentos precedentes se puede indicar que</w:t>
      </w:r>
      <w:r w:rsidRPr="00D7558E">
        <w:rPr>
          <w:rFonts w:ascii="Verdana" w:eastAsia="Calibri" w:hAnsi="Verdana" w:cs="Arial"/>
          <w:color w:val="000000"/>
        </w:rPr>
        <w:t xml:space="preserve"> las EPS están obligadas a publicar en el SECOP la información contractual correspondiente cuando esta se encuentre asociada a la ejecución de recursos públicos, con independencia de su naturaleza jurídica o régimen contractual, sin que ello implique, en todos los casos, la obligación de publicar la totalidad de su actividad contractual. El alcance del deber deberá determinarse atendiendo a la naturaleza de la EPS, su régimen jurídico y el origen y destinación de los recursos involucrados.</w:t>
      </w:r>
    </w:p>
    <w:p w14:paraId="5140A0B2" w14:textId="7B0229DC" w:rsidR="00CE56B4" w:rsidRPr="00324ECD" w:rsidRDefault="00CE56B4" w:rsidP="00324ECD">
      <w:pPr>
        <w:spacing w:before="12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definirá</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7619B6A" w14:textId="77777777" w:rsidR="00CE56B4" w:rsidRPr="00AD6B46" w:rsidRDefault="00CE56B4" w:rsidP="00CE56B4">
      <w:pPr>
        <w:numPr>
          <w:ilvl w:val="0"/>
          <w:numId w:val="16"/>
        </w:numPr>
        <w:spacing w:after="0" w:line="256" w:lineRule="auto"/>
        <w:rPr>
          <w:rFonts w:ascii="Verdana" w:eastAsia="Calibri" w:hAnsi="Verdana" w:cs="Times New Roman"/>
          <w:b/>
          <w:bCs/>
          <w:lang w:val="es-ES"/>
        </w:rPr>
      </w:pPr>
      <w:r w:rsidRPr="00AD6B46">
        <w:rPr>
          <w:rFonts w:ascii="Verdana" w:eastAsia="Calibri" w:hAnsi="Verdana" w:cs="Times New Roman"/>
          <w:b/>
          <w:bCs/>
          <w:lang w:val="es-ES"/>
        </w:rPr>
        <w:t>Referencias normativas:</w:t>
      </w:r>
    </w:p>
    <w:p w14:paraId="369407AD" w14:textId="77777777" w:rsidR="00CE56B4" w:rsidRPr="003C5A95" w:rsidRDefault="00CE56B4" w:rsidP="00CE56B4">
      <w:pPr>
        <w:widowControl w:val="0"/>
        <w:autoSpaceDE w:val="0"/>
        <w:autoSpaceDN w:val="0"/>
        <w:spacing w:after="0" w:line="276" w:lineRule="auto"/>
        <w:jc w:val="both"/>
        <w:rPr>
          <w:rFonts w:ascii="Verdana" w:hAnsi="Verdana" w:cs="Arial"/>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E56B4" w:rsidRPr="00AD6B46" w14:paraId="31F1E9DB" w14:textId="77777777" w:rsidTr="003625D3">
        <w:trPr>
          <w:trHeight w:val="453"/>
          <w:jc w:val="center"/>
        </w:trPr>
        <w:tc>
          <w:tcPr>
            <w:tcW w:w="8647" w:type="dxa"/>
          </w:tcPr>
          <w:p w14:paraId="67F74D57"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Constitución Política, artículos 48, 74 y 209.</w:t>
            </w:r>
          </w:p>
          <w:p w14:paraId="155EE61D"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Ley 100 de 1993, artículo 185</w:t>
            </w:r>
          </w:p>
          <w:p w14:paraId="74AEA266"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lastRenderedPageBreak/>
              <w:t>Ley 1438 de 2011, artículo 100.</w:t>
            </w:r>
          </w:p>
          <w:p w14:paraId="6A992846"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Ley 1150 de 2007, artículos 3 y 13.</w:t>
            </w:r>
          </w:p>
          <w:p w14:paraId="10AB0423"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Ley 2333 de 2023.</w:t>
            </w:r>
          </w:p>
          <w:p w14:paraId="0BCA6C1D"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rPr>
              <w:t xml:space="preserve">Decreto Ley 4170 de 2011, artículo 3° numerales 2, 5 y 8. </w:t>
            </w:r>
          </w:p>
          <w:p w14:paraId="6FA24D41"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 xml:space="preserve">Ley 1712 de 2014, artículos 5, 9, 10 y 11. </w:t>
            </w:r>
          </w:p>
          <w:p w14:paraId="407AA3B6" w14:textId="77777777" w:rsidR="00CE56B4" w:rsidRPr="00521ECA"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 xml:space="preserve">Decreto 1081 de 2015, artículos 2.1.1.2.1.7., </w:t>
            </w:r>
            <w:r w:rsidRPr="00521ECA">
              <w:rPr>
                <w:rFonts w:ascii="Verdana" w:eastAsia="Calibri" w:hAnsi="Verdana" w:cs="Arial"/>
                <w:color w:val="000000"/>
                <w:lang w:val="es-ES"/>
              </w:rPr>
              <w:t xml:space="preserve">2.1.1.4.3.2. </w:t>
            </w:r>
          </w:p>
          <w:p w14:paraId="3BE74294" w14:textId="77777777" w:rsidR="00CE56B4" w:rsidRPr="007313A1" w:rsidRDefault="00CE56B4" w:rsidP="003625D3">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521ECA">
              <w:rPr>
                <w:rFonts w:ascii="Verdana" w:hAnsi="Verdana" w:cs="Arial"/>
                <w:lang w:val="es-ES_tradnl"/>
              </w:rPr>
              <w:t>Decreto 1082 de 2015, artículos 2.2.1.1.1.7.1, 2.2.1.1.1.3.1., 2.2.2.1.8.3., 2.2.2.1.5.11., 2.2.2.1.12.7.</w:t>
            </w:r>
          </w:p>
        </w:tc>
      </w:tr>
    </w:tbl>
    <w:p w14:paraId="28A531FA" w14:textId="77777777" w:rsidR="00CE56B4" w:rsidRPr="00B57A1B" w:rsidRDefault="00CE56B4" w:rsidP="00CE56B4">
      <w:pPr>
        <w:widowControl w:val="0"/>
        <w:autoSpaceDE w:val="0"/>
        <w:autoSpaceDN w:val="0"/>
        <w:spacing w:after="0" w:line="276" w:lineRule="auto"/>
        <w:jc w:val="both"/>
        <w:rPr>
          <w:rFonts w:ascii="Verdana" w:hAnsi="Verdana" w:cs="Arial"/>
        </w:rPr>
      </w:pPr>
    </w:p>
    <w:p w14:paraId="647B1F3B" w14:textId="77777777" w:rsidR="00CE56B4" w:rsidRPr="00B57A1B" w:rsidRDefault="00CE56B4" w:rsidP="00CE56B4">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57A1B">
        <w:rPr>
          <w:rFonts w:ascii="Verdana" w:eastAsia="Century Gothic" w:hAnsi="Verdana" w:cs="Century Gothic"/>
          <w:b/>
          <w:bCs/>
          <w:lang w:val="es-ES"/>
        </w:rPr>
        <w:t>Doctrina de la Agencia Nacional de Contratación Pública:</w:t>
      </w:r>
    </w:p>
    <w:p w14:paraId="626A0B59" w14:textId="77777777" w:rsidR="00CE56B4" w:rsidRPr="00B57A1B" w:rsidRDefault="00CE56B4" w:rsidP="00CE56B4">
      <w:pPr>
        <w:widowControl w:val="0"/>
        <w:autoSpaceDE w:val="0"/>
        <w:autoSpaceDN w:val="0"/>
        <w:spacing w:after="0" w:line="276" w:lineRule="auto"/>
        <w:jc w:val="both"/>
        <w:rPr>
          <w:rFonts w:ascii="Verdana" w:hAnsi="Verdana" w:cs="Arial"/>
        </w:rPr>
      </w:pPr>
    </w:p>
    <w:p w14:paraId="19424B46" w14:textId="77777777" w:rsidR="00CE56B4" w:rsidRPr="00530A1F" w:rsidRDefault="00CE56B4" w:rsidP="00CE56B4">
      <w:pPr>
        <w:widowControl w:val="0"/>
        <w:autoSpaceDE w:val="0"/>
        <w:autoSpaceDN w:val="0"/>
        <w:spacing w:after="0" w:line="276" w:lineRule="auto"/>
        <w:jc w:val="both"/>
        <w:rPr>
          <w:rFonts w:ascii="Verdana" w:hAnsi="Verdana" w:cs="Arial"/>
          <w:bCs/>
          <w:shd w:val="clear" w:color="auto" w:fill="FFFFFF"/>
        </w:rPr>
      </w:pPr>
      <w:r w:rsidRPr="00392E13">
        <w:rPr>
          <w:rFonts w:ascii="Verdana" w:hAnsi="Verdana" w:cs="Arial"/>
          <w:bCs/>
          <w:shd w:val="clear" w:color="auto" w:fill="FFFFFF"/>
        </w:rPr>
        <w:t>La Agencia Nacional de Contratación Públi</w:t>
      </w:r>
      <w:r>
        <w:rPr>
          <w:rFonts w:ascii="Verdana" w:hAnsi="Verdana" w:cs="Arial"/>
          <w:bCs/>
          <w:shd w:val="clear" w:color="auto" w:fill="FFFFFF"/>
        </w:rPr>
        <w:t xml:space="preserve">ca – Colombia Compra Eficiente, en referencia a al deber de publicidad contractual </w:t>
      </w:r>
      <w:r w:rsidRPr="00392E13">
        <w:rPr>
          <w:rFonts w:ascii="Verdana" w:hAnsi="Verdana" w:cs="Arial"/>
          <w:bCs/>
          <w:shd w:val="clear" w:color="auto" w:fill="FFFFFF"/>
        </w:rPr>
        <w:t xml:space="preserve">en los conceptos </w:t>
      </w:r>
      <w:r w:rsidRPr="00392E13">
        <w:rPr>
          <w:rFonts w:ascii="Verdana" w:hAnsi="Verdana" w:cs="Arial"/>
          <w:bCs/>
          <w:shd w:val="clear" w:color="auto" w:fill="FFFFFF"/>
          <w:lang w:val="es-ES_tradnl"/>
        </w:rPr>
        <w:t>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w:t>
      </w:r>
      <w:r w:rsidRPr="00392E13">
        <w:rPr>
          <w:rFonts w:ascii="Verdana" w:hAnsi="Verdana" w:cs="Arial"/>
          <w:bCs/>
          <w:shd w:val="clear" w:color="auto" w:fill="FFFFFF"/>
        </w:rPr>
        <w:t>, C-185 del 2</w:t>
      </w:r>
      <w:r>
        <w:rPr>
          <w:rFonts w:ascii="Verdana" w:hAnsi="Verdana" w:cs="Arial"/>
          <w:bCs/>
          <w:shd w:val="clear" w:color="auto" w:fill="FFFFFF"/>
        </w:rPr>
        <w:t xml:space="preserve">4 de marzo de 2025, C-487 del 30 de mayo de 2025, 1177 del 1 de octubre de 2025, C-1784 del 22 de diciembre de 2026, C-809 del 25 de junio de 2026, entre otros. </w:t>
      </w:r>
      <w:r w:rsidRPr="00832866">
        <w:rPr>
          <w:rFonts w:ascii="Verdana" w:hAnsi="Verdana" w:cs="Arial"/>
          <w:bCs/>
          <w:shd w:val="clear" w:color="auto" w:fill="FFFFFF"/>
        </w:rPr>
        <w:t>“Asimismo, se adelantó un análisis sobre las IPS Universitarias con el fin de identificar y comprender sus distintas configuraciones organizativas.</w:t>
      </w:r>
      <w:r>
        <w:rPr>
          <w:rFonts w:ascii="Verdana" w:hAnsi="Verdana" w:cs="Arial"/>
          <w:bCs/>
          <w:shd w:val="clear" w:color="auto" w:fill="FFFFFF"/>
        </w:rPr>
        <w:t xml:space="preserve"> </w:t>
      </w:r>
      <w:r w:rsidRPr="00185EE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1F4E6C29" w14:textId="77777777" w:rsidR="00CE56B4" w:rsidRPr="00185EE9" w:rsidRDefault="00CE56B4" w:rsidP="00CE56B4">
      <w:pPr>
        <w:spacing w:after="0" w:line="256" w:lineRule="auto"/>
        <w:jc w:val="both"/>
        <w:rPr>
          <w:rFonts w:ascii="Verdana" w:eastAsia="Calibri" w:hAnsi="Verdana" w:cs="Times New Roman"/>
        </w:rPr>
      </w:pPr>
      <w:hyperlink r:id="rId13"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1E982F6C" w14:textId="77777777" w:rsidR="00CE56B4" w:rsidRDefault="00CE56B4" w:rsidP="00CE56B4">
      <w:pPr>
        <w:spacing w:after="0" w:line="240" w:lineRule="auto"/>
        <w:rPr>
          <w:rFonts w:ascii="Verdana" w:eastAsia="Verdana" w:hAnsi="Verdana" w:cs="Verdana"/>
          <w:bCs/>
        </w:rPr>
      </w:pPr>
    </w:p>
    <w:p w14:paraId="4F60037F" w14:textId="77777777" w:rsidR="00CE56B4" w:rsidRPr="003D5C91" w:rsidRDefault="00CE56B4" w:rsidP="00CE56B4">
      <w:pPr>
        <w:spacing w:after="120" w:line="276" w:lineRule="auto"/>
        <w:ind w:firstLine="709"/>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 xml:space="preserve">Guía para la Exigencia y Constitución de </w:t>
      </w:r>
      <w:r w:rsidRPr="003D5C91">
        <w:rPr>
          <w:rFonts w:ascii="Verdana" w:eastAsia="Calibri" w:hAnsi="Verdana" w:cs="Arial"/>
          <w:b/>
          <w:bCs/>
          <w:color w:val="000000"/>
          <w:lang w:eastAsia="es-ES_tradnl"/>
        </w:rPr>
        <w:lastRenderedPageBreak/>
        <w:t>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317300FF" w14:textId="77777777" w:rsidR="00CE56B4" w:rsidRPr="003D5C91" w:rsidRDefault="00CE56B4" w:rsidP="00CE56B4">
      <w:pPr>
        <w:spacing w:after="120" w:line="276" w:lineRule="auto"/>
        <w:ind w:firstLine="709"/>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23F9F2A8" w14:textId="77777777" w:rsidR="00CE56B4" w:rsidRPr="003D5C91" w:rsidRDefault="00CE56B4" w:rsidP="00CE56B4">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46DEDD77" w14:textId="77777777" w:rsidR="00CE56B4" w:rsidRPr="003D5C91" w:rsidRDefault="00CE56B4" w:rsidP="00CE56B4">
      <w:pPr>
        <w:spacing w:after="120" w:line="276" w:lineRule="auto"/>
        <w:ind w:firstLine="709"/>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w:t>
      </w:r>
      <w:r w:rsidRPr="003D5C91">
        <w:rPr>
          <w:rFonts w:ascii="Verdana" w:eastAsia="Calibri" w:hAnsi="Verdana" w:cs="Arial"/>
          <w:color w:val="000000"/>
          <w:lang w:eastAsia="es-ES_tradnl"/>
        </w:rPr>
        <w:lastRenderedPageBreak/>
        <w:t>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6EE2EE2D" w14:textId="77777777" w:rsidR="00CE56B4" w:rsidRPr="00116940" w:rsidRDefault="00CE56B4" w:rsidP="00CE56B4">
      <w:pPr>
        <w:spacing w:after="0"/>
        <w:ind w:firstLine="425"/>
        <w:jc w:val="both"/>
        <w:rPr>
          <w:rFonts w:ascii="Verdana" w:hAnsi="Verdana"/>
        </w:rPr>
      </w:pPr>
      <w:r>
        <w:rPr>
          <w:rFonts w:ascii="Verdana" w:hAnsi="Verdana"/>
        </w:rPr>
        <w:tab/>
      </w: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2D82D49" w14:textId="77777777" w:rsidR="00CE56B4" w:rsidRPr="00116940" w:rsidRDefault="00CE56B4" w:rsidP="00CE56B4">
      <w:pPr>
        <w:spacing w:after="0"/>
        <w:jc w:val="both"/>
        <w:rPr>
          <w:rFonts w:ascii="Verdana" w:hAnsi="Verdana"/>
        </w:rPr>
      </w:pPr>
    </w:p>
    <w:p w14:paraId="0A4E0398" w14:textId="77777777" w:rsidR="00CE56B4" w:rsidRPr="00574E8B" w:rsidRDefault="00CE56B4" w:rsidP="00CE56B4">
      <w:pPr>
        <w:pStyle w:val="Prrafodelista"/>
        <w:numPr>
          <w:ilvl w:val="0"/>
          <w:numId w:val="15"/>
        </w:numPr>
        <w:spacing w:after="0" w:line="240" w:lineRule="auto"/>
        <w:jc w:val="both"/>
        <w:rPr>
          <w:rFonts w:ascii="Verdana" w:eastAsia="Verdana" w:hAnsi="Verdana" w:cs="Verdana"/>
          <w:color w:val="4472C4" w:themeColor="accent1"/>
          <w:sz w:val="20"/>
          <w:szCs w:val="20"/>
          <w:u w:val="single"/>
          <w:lang w:val="es-MX"/>
        </w:rPr>
      </w:pPr>
      <w:r w:rsidRPr="00574E8B">
        <w:rPr>
          <w:rFonts w:ascii="Verdana" w:eastAsia="Verdana" w:hAnsi="Verdana" w:cs="Verdana"/>
          <w:sz w:val="20"/>
          <w:szCs w:val="20"/>
          <w:lang w:val="es-MX"/>
        </w:rPr>
        <w:t xml:space="preserve">Línea nacional gratuita o servicio a la ciudadanía (Mesa de servicio): </w:t>
      </w:r>
      <w:r w:rsidRPr="00574E8B">
        <w:rPr>
          <w:rStyle w:val="Hipervnculo"/>
          <w:rFonts w:ascii="Verdana" w:hAnsi="Verdana"/>
          <w:sz w:val="20"/>
          <w:szCs w:val="20"/>
        </w:rPr>
        <w:t>01800 0520808</w:t>
      </w:r>
    </w:p>
    <w:p w14:paraId="6DEC88ED" w14:textId="77777777" w:rsidR="00CE56B4" w:rsidRPr="00574E8B" w:rsidRDefault="00CE56B4" w:rsidP="00CE56B4">
      <w:pPr>
        <w:pStyle w:val="Prrafodelista"/>
        <w:numPr>
          <w:ilvl w:val="0"/>
          <w:numId w:val="15"/>
        </w:numPr>
        <w:spacing w:after="0"/>
        <w:rPr>
          <w:rFonts w:ascii="Verdana" w:eastAsia="Verdana" w:hAnsi="Verdana" w:cs="Verdana"/>
          <w:color w:val="4472C4" w:themeColor="accent1"/>
          <w:sz w:val="20"/>
          <w:szCs w:val="20"/>
          <w:u w:val="single"/>
          <w:lang w:val="es-MX"/>
        </w:rPr>
      </w:pPr>
      <w:r w:rsidRPr="00574E8B">
        <w:rPr>
          <w:rFonts w:ascii="Verdana" w:eastAsia="Verdana" w:hAnsi="Verdana" w:cs="Verdana"/>
          <w:sz w:val="20"/>
          <w:szCs w:val="20"/>
          <w:lang w:val="es-MX"/>
        </w:rPr>
        <w:t>Línea en Bogotá (Mesa de servicio</w:t>
      </w:r>
      <w:proofErr w:type="gramStart"/>
      <w:r w:rsidRPr="00574E8B">
        <w:rPr>
          <w:rFonts w:ascii="Verdana" w:eastAsia="Verdana" w:hAnsi="Verdana" w:cs="Verdana"/>
          <w:sz w:val="20"/>
          <w:szCs w:val="20"/>
          <w:lang w:val="es-MX"/>
        </w:rPr>
        <w:t>):</w:t>
      </w:r>
      <w:r w:rsidRPr="00574E8B">
        <w:rPr>
          <w:rStyle w:val="Hipervnculo"/>
          <w:rFonts w:ascii="Verdana" w:hAnsi="Verdana"/>
          <w:sz w:val="20"/>
          <w:szCs w:val="20"/>
        </w:rPr>
        <w:t>+</w:t>
      </w:r>
      <w:proofErr w:type="gramEnd"/>
      <w:r w:rsidRPr="00574E8B">
        <w:rPr>
          <w:rStyle w:val="Hipervnculo"/>
          <w:rFonts w:ascii="Verdana" w:hAnsi="Verdana"/>
          <w:sz w:val="20"/>
          <w:szCs w:val="20"/>
        </w:rPr>
        <w:t>57 601 7456788</w:t>
      </w:r>
    </w:p>
    <w:p w14:paraId="264DDA78" w14:textId="77777777" w:rsidR="00CE56B4" w:rsidRPr="00574E8B" w:rsidRDefault="00CE56B4" w:rsidP="00CE56B4">
      <w:pPr>
        <w:pStyle w:val="Prrafodelista"/>
        <w:numPr>
          <w:ilvl w:val="0"/>
          <w:numId w:val="15"/>
        </w:numPr>
        <w:spacing w:after="0"/>
        <w:rPr>
          <w:rFonts w:ascii="Verdana" w:eastAsia="Verdana" w:hAnsi="Verdana" w:cs="Verdana"/>
          <w:color w:val="0000FF"/>
          <w:sz w:val="20"/>
          <w:szCs w:val="20"/>
          <w:u w:val="single"/>
          <w:lang w:val="es-MX"/>
        </w:rPr>
      </w:pPr>
      <w:r w:rsidRPr="00574E8B">
        <w:rPr>
          <w:rFonts w:ascii="Verdana" w:eastAsia="Verdana" w:hAnsi="Verdana" w:cs="Verdana"/>
          <w:sz w:val="20"/>
          <w:szCs w:val="20"/>
          <w:lang w:val="es-MX"/>
        </w:rPr>
        <w:t xml:space="preserve">Correo de radicación de correspondencia: </w:t>
      </w:r>
      <w:hyperlink r:id="rId18">
        <w:r w:rsidRPr="00574E8B">
          <w:rPr>
            <w:rStyle w:val="Hipervnculo"/>
            <w:rFonts w:ascii="Verdana" w:eastAsia="Verdana" w:hAnsi="Verdana" w:cs="Verdana"/>
            <w:sz w:val="20"/>
            <w:szCs w:val="20"/>
            <w:lang w:val="es-MX"/>
          </w:rPr>
          <w:t>ventanilladeradicacion@colombiacompra.gov.co</w:t>
        </w:r>
      </w:hyperlink>
    </w:p>
    <w:p w14:paraId="13C2F681" w14:textId="77777777" w:rsidR="00CE56B4" w:rsidRPr="00574E8B" w:rsidRDefault="00CE56B4" w:rsidP="00CE56B4">
      <w:pPr>
        <w:pStyle w:val="Prrafodelista"/>
        <w:numPr>
          <w:ilvl w:val="0"/>
          <w:numId w:val="15"/>
        </w:numPr>
        <w:spacing w:after="0"/>
        <w:rPr>
          <w:rFonts w:ascii="Verdana" w:eastAsia="Verdana" w:hAnsi="Verdana" w:cs="Verdana"/>
          <w:color w:val="0000FF"/>
          <w:sz w:val="20"/>
          <w:szCs w:val="20"/>
          <w:u w:val="single"/>
          <w:lang w:val="es-MX"/>
        </w:rPr>
      </w:pPr>
      <w:r w:rsidRPr="00574E8B">
        <w:rPr>
          <w:rFonts w:ascii="Verdana" w:eastAsia="Verdana" w:hAnsi="Verdana" w:cs="Verdana"/>
          <w:sz w:val="20"/>
          <w:szCs w:val="20"/>
        </w:rPr>
        <w:t>Formulario web para</w:t>
      </w:r>
      <w:r w:rsidRPr="00574E8B">
        <w:rPr>
          <w:rFonts w:ascii="Verdana" w:eastAsia="Verdana" w:hAnsi="Verdana" w:cs="Verdana"/>
          <w:sz w:val="20"/>
          <w:szCs w:val="20"/>
          <w:lang w:val="es"/>
        </w:rPr>
        <w:t xml:space="preserve"> PQRSD: </w:t>
      </w:r>
      <w:hyperlink r:id="rId19">
        <w:r w:rsidRPr="00574E8B">
          <w:rPr>
            <w:rStyle w:val="Hipervnculo"/>
            <w:rFonts w:ascii="Verdana" w:eastAsia="Verdana" w:hAnsi="Verdana" w:cs="Verdana"/>
            <w:sz w:val="20"/>
            <w:szCs w:val="20"/>
            <w:lang w:val="es-MX"/>
          </w:rPr>
          <w:t>https://www.colombiacompra.gov.co/pqrsd/informacion-importante-antes-de-formular-una-pqrsd</w:t>
        </w:r>
      </w:hyperlink>
    </w:p>
    <w:p w14:paraId="39775C39" w14:textId="77777777" w:rsidR="00CE56B4" w:rsidRPr="00116940" w:rsidRDefault="00CE56B4" w:rsidP="00CE56B4">
      <w:pPr>
        <w:spacing w:after="0" w:line="240" w:lineRule="auto"/>
        <w:ind w:left="720"/>
        <w:jc w:val="both"/>
        <w:rPr>
          <w:rFonts w:ascii="Verdana" w:hAnsi="Verdana"/>
        </w:rPr>
      </w:pPr>
    </w:p>
    <w:p w14:paraId="3319DABD" w14:textId="77777777" w:rsidR="00CE56B4" w:rsidRPr="00116940" w:rsidRDefault="00CE56B4" w:rsidP="00CE56B4">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01E94AF2" w14:textId="77777777" w:rsidR="00CE56B4" w:rsidRPr="00116940" w:rsidRDefault="00CE56B4" w:rsidP="00CE56B4">
      <w:pPr>
        <w:spacing w:after="0" w:line="240" w:lineRule="auto"/>
        <w:rPr>
          <w:rFonts w:ascii="Verdana" w:hAnsi="Verdana"/>
        </w:rPr>
      </w:pPr>
    </w:p>
    <w:p w14:paraId="6DECE7EC" w14:textId="77777777" w:rsidR="00CE56B4" w:rsidRPr="00116940" w:rsidRDefault="00CE56B4" w:rsidP="00CE56B4">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48A49EA" w14:textId="77777777" w:rsidR="00CE56B4" w:rsidRPr="00116940" w:rsidRDefault="00CE56B4" w:rsidP="00CE56B4">
      <w:pPr>
        <w:spacing w:after="0" w:line="240" w:lineRule="auto"/>
        <w:jc w:val="both"/>
        <w:rPr>
          <w:rFonts w:ascii="Verdana" w:hAnsi="Verdana"/>
        </w:rPr>
      </w:pPr>
    </w:p>
    <w:p w14:paraId="38426642" w14:textId="77777777" w:rsidR="00CE56B4" w:rsidRPr="00116940" w:rsidRDefault="00CE56B4" w:rsidP="00CE56B4">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659BA0E" w14:textId="77777777" w:rsidR="00CE56B4" w:rsidRPr="00116940" w:rsidRDefault="00CE56B4" w:rsidP="00CE56B4">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B43A140" w14:textId="77777777" w:rsidR="00CE56B4" w:rsidRPr="00116940" w:rsidRDefault="00CE56B4" w:rsidP="00CE56B4">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0C8DD8E3" w14:textId="77777777" w:rsidR="00CE56B4" w:rsidRPr="00116940" w:rsidRDefault="00CE56B4" w:rsidP="00CE56B4">
      <w:pPr>
        <w:spacing w:after="0" w:line="240" w:lineRule="auto"/>
        <w:jc w:val="both"/>
        <w:rPr>
          <w:rFonts w:ascii="Verdana" w:hAnsi="Verdana"/>
        </w:rPr>
      </w:pPr>
    </w:p>
    <w:p w14:paraId="38C63EA1" w14:textId="77777777" w:rsidR="00CE56B4" w:rsidRPr="009037F6" w:rsidRDefault="00CE56B4" w:rsidP="00CE56B4">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85D68E0" w14:textId="77777777" w:rsidR="00CE56B4" w:rsidRPr="00492C4A" w:rsidRDefault="00CE56B4" w:rsidP="00CE56B4">
      <w:pPr>
        <w:spacing w:after="0" w:line="256" w:lineRule="auto"/>
        <w:jc w:val="both"/>
        <w:rPr>
          <w:rFonts w:ascii="Verdana" w:eastAsia="Calibri" w:hAnsi="Verdana" w:cs="Times New Roman"/>
          <w:lang w:val="es-ES_tradnl"/>
        </w:rPr>
      </w:pPr>
    </w:p>
    <w:p w14:paraId="1D90DB0D" w14:textId="6A436D12" w:rsidR="00CE56B4" w:rsidRDefault="00CE56B4" w:rsidP="00CE56B4">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59304DC6" w14:textId="716E5B45" w:rsidR="00CE56B4" w:rsidRPr="0093150F" w:rsidRDefault="00C438EB" w:rsidP="00CE56B4">
      <w:pPr>
        <w:spacing w:after="0" w:line="256" w:lineRule="auto"/>
        <w:jc w:val="center"/>
        <w:rPr>
          <w:rFonts w:ascii="Century Gothic" w:eastAsia="Century Gothic" w:hAnsi="Century Gothic" w:cs="Century Gothic"/>
          <w:lang w:eastAsia="es-CO"/>
        </w:rPr>
      </w:pPr>
      <w:r w:rsidRPr="002C3AD6">
        <w:rPr>
          <w:rFonts w:ascii="Century Gothic" w:hAnsi="Century Gothic"/>
          <w:noProof/>
        </w:rPr>
        <w:lastRenderedPageBreak/>
        <w:drawing>
          <wp:inline distT="0" distB="0" distL="0" distR="0" wp14:anchorId="31B06A8A" wp14:editId="57F40F5E">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772426" cy="1400370"/>
                    </a:xfrm>
                    <a:prstGeom prst="rect">
                      <a:avLst/>
                    </a:prstGeom>
                  </pic:spPr>
                </pic:pic>
              </a:graphicData>
            </a:graphic>
          </wp:inline>
        </w:drawing>
      </w:r>
    </w:p>
    <w:p w14:paraId="2D248CC8" w14:textId="77777777" w:rsidR="00CE56B4" w:rsidRPr="0093150F" w:rsidRDefault="00CE56B4" w:rsidP="00CE56B4">
      <w:pPr>
        <w:spacing w:after="0" w:line="256" w:lineRule="auto"/>
        <w:rPr>
          <w:rFonts w:ascii="Century Gothic" w:eastAsia="Century Gothic" w:hAnsi="Century Gothic" w:cs="Century Gothic"/>
          <w:sz w:val="16"/>
          <w:szCs w:val="16"/>
          <w:lang w:eastAsia="es-CO"/>
        </w:rPr>
      </w:pPr>
    </w:p>
    <w:tbl>
      <w:tblPr>
        <w:tblW w:w="623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34"/>
        <w:gridCol w:w="5103"/>
      </w:tblGrid>
      <w:tr w:rsidR="00CE56B4" w:rsidRPr="0093150F" w14:paraId="34BE6288" w14:textId="77777777" w:rsidTr="003625D3">
        <w:trPr>
          <w:trHeight w:val="409"/>
        </w:trPr>
        <w:tc>
          <w:tcPr>
            <w:tcW w:w="1134" w:type="dxa"/>
            <w:tcBorders>
              <w:top w:val="nil"/>
              <w:left w:val="nil"/>
              <w:bottom w:val="nil"/>
              <w:right w:val="nil"/>
            </w:tcBorders>
            <w:vAlign w:val="center"/>
          </w:tcPr>
          <w:p w14:paraId="6E39A50D" w14:textId="77777777" w:rsidR="00CE56B4" w:rsidRPr="0093150F" w:rsidRDefault="00CE56B4" w:rsidP="003625D3">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Elaboró: </w:t>
            </w:r>
          </w:p>
        </w:tc>
        <w:tc>
          <w:tcPr>
            <w:tcW w:w="5103" w:type="dxa"/>
            <w:tcBorders>
              <w:top w:val="nil"/>
              <w:left w:val="nil"/>
              <w:bottom w:val="dotted" w:sz="6" w:space="0" w:color="7F7F7F"/>
              <w:right w:val="nil"/>
            </w:tcBorders>
            <w:vAlign w:val="center"/>
          </w:tcPr>
          <w:p w14:paraId="347DE01B" w14:textId="77777777" w:rsidR="00CE56B4" w:rsidRPr="0093150F" w:rsidRDefault="00CE56B4" w:rsidP="003625D3">
            <w:pPr>
              <w:spacing w:after="0" w:line="256" w:lineRule="auto"/>
              <w:rPr>
                <w:rFonts w:ascii="Verdana" w:eastAsia="Verdana" w:hAnsi="Verdana" w:cs="Verdana"/>
                <w:sz w:val="16"/>
                <w:szCs w:val="16"/>
                <w:lang w:eastAsia="es-CO"/>
              </w:rPr>
            </w:pPr>
            <w:r>
              <w:rPr>
                <w:rFonts w:ascii="Verdana" w:eastAsia="Verdana" w:hAnsi="Verdana" w:cs="Verdana"/>
                <w:sz w:val="16"/>
                <w:szCs w:val="16"/>
                <w:lang w:eastAsia="es-CO"/>
              </w:rPr>
              <w:t>Richard Andrés Montenegro Siefken</w:t>
            </w:r>
          </w:p>
          <w:p w14:paraId="5C0B335D" w14:textId="77777777" w:rsidR="00CE56B4" w:rsidRPr="0093150F" w:rsidRDefault="00CE56B4" w:rsidP="003625D3">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Contratista de la Subdirección de Gestión Contractual</w:t>
            </w:r>
          </w:p>
        </w:tc>
      </w:tr>
      <w:tr w:rsidR="00CE56B4" w:rsidRPr="0093150F" w14:paraId="564D9296" w14:textId="77777777" w:rsidTr="003625D3">
        <w:trPr>
          <w:trHeight w:val="409"/>
        </w:trPr>
        <w:tc>
          <w:tcPr>
            <w:tcW w:w="1134" w:type="dxa"/>
            <w:tcBorders>
              <w:top w:val="nil"/>
              <w:left w:val="nil"/>
              <w:bottom w:val="nil"/>
              <w:right w:val="nil"/>
            </w:tcBorders>
            <w:vAlign w:val="center"/>
          </w:tcPr>
          <w:p w14:paraId="06D6DCE4" w14:textId="77777777" w:rsidR="00CE56B4" w:rsidRPr="0093150F" w:rsidRDefault="00CE56B4" w:rsidP="003625D3">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Revisó</w:t>
            </w:r>
            <w:r>
              <w:rPr>
                <w:rFonts w:ascii="Verdana" w:eastAsia="Verdana" w:hAnsi="Verdana" w:cs="Verdana"/>
                <w:sz w:val="16"/>
                <w:szCs w:val="16"/>
                <w:lang w:eastAsia="es-CO"/>
              </w:rPr>
              <w:t>:</w:t>
            </w:r>
            <w:r w:rsidRPr="0093150F">
              <w:rPr>
                <w:rFonts w:ascii="Verdana" w:eastAsia="Verdana" w:hAnsi="Verdana" w:cs="Verdana"/>
                <w:sz w:val="16"/>
                <w:szCs w:val="16"/>
                <w:lang w:eastAsia="es-CO"/>
              </w:rPr>
              <w:t> </w:t>
            </w:r>
          </w:p>
        </w:tc>
        <w:tc>
          <w:tcPr>
            <w:tcW w:w="5103" w:type="dxa"/>
            <w:tcBorders>
              <w:top w:val="dotted" w:sz="6" w:space="0" w:color="7F7F7F"/>
              <w:left w:val="nil"/>
              <w:bottom w:val="dotted" w:sz="6" w:space="0" w:color="7F7F7F"/>
              <w:right w:val="nil"/>
            </w:tcBorders>
            <w:vAlign w:val="center"/>
          </w:tcPr>
          <w:p w14:paraId="7BE4D65D" w14:textId="77777777" w:rsidR="00CE56B4" w:rsidRPr="0093150F" w:rsidRDefault="00CE56B4" w:rsidP="003625D3">
            <w:pPr>
              <w:spacing w:after="0" w:line="256" w:lineRule="auto"/>
              <w:rPr>
                <w:rFonts w:ascii="Verdana" w:eastAsia="Verdana" w:hAnsi="Verdana" w:cs="Verdana"/>
                <w:sz w:val="16"/>
                <w:szCs w:val="16"/>
                <w:lang w:eastAsia="es-CO"/>
              </w:rPr>
            </w:pPr>
            <w:r>
              <w:rPr>
                <w:rFonts w:ascii="Verdana" w:eastAsia="Verdana" w:hAnsi="Verdana" w:cs="Verdana"/>
                <w:sz w:val="16"/>
                <w:szCs w:val="16"/>
                <w:lang w:eastAsia="es-CO"/>
              </w:rPr>
              <w:t>Adriana Katherine López</w:t>
            </w:r>
          </w:p>
          <w:p w14:paraId="1500AF30" w14:textId="77777777" w:rsidR="00CE56B4" w:rsidRPr="0093150F" w:rsidRDefault="00CE56B4" w:rsidP="003625D3">
            <w:pPr>
              <w:spacing w:after="0" w:line="256" w:lineRule="auto"/>
              <w:rPr>
                <w:rFonts w:ascii="Calibri" w:eastAsia="Calibri" w:hAnsi="Calibri" w:cs="Calibri"/>
                <w:lang w:eastAsia="es-CO"/>
              </w:rPr>
            </w:pPr>
            <w:r>
              <w:rPr>
                <w:rFonts w:ascii="Verdana" w:eastAsia="Verdana" w:hAnsi="Verdana" w:cs="Verdana"/>
                <w:sz w:val="16"/>
                <w:szCs w:val="16"/>
                <w:lang w:eastAsia="es-CO"/>
              </w:rPr>
              <w:t>Contratista</w:t>
            </w:r>
            <w:r w:rsidRPr="0093150F">
              <w:rPr>
                <w:rFonts w:ascii="Verdana" w:eastAsia="Verdana" w:hAnsi="Verdana" w:cs="Verdana"/>
                <w:sz w:val="16"/>
                <w:szCs w:val="16"/>
                <w:lang w:eastAsia="es-CO"/>
              </w:rPr>
              <w:t xml:space="preserve"> de la Subdirección de Gestión Contractual  </w:t>
            </w:r>
          </w:p>
        </w:tc>
      </w:tr>
      <w:tr w:rsidR="00CE56B4" w:rsidRPr="0093150F" w14:paraId="5AC0B9F8" w14:textId="77777777" w:rsidTr="003625D3">
        <w:trPr>
          <w:trHeight w:val="389"/>
        </w:trPr>
        <w:tc>
          <w:tcPr>
            <w:tcW w:w="1134" w:type="dxa"/>
            <w:tcBorders>
              <w:top w:val="nil"/>
              <w:left w:val="nil"/>
              <w:bottom w:val="nil"/>
              <w:right w:val="nil"/>
            </w:tcBorders>
            <w:vAlign w:val="center"/>
          </w:tcPr>
          <w:p w14:paraId="78FD6FA3" w14:textId="77777777" w:rsidR="00CE56B4" w:rsidRPr="0093150F" w:rsidRDefault="00CE56B4" w:rsidP="003625D3">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Aprobó: </w:t>
            </w:r>
          </w:p>
        </w:tc>
        <w:tc>
          <w:tcPr>
            <w:tcW w:w="5103" w:type="dxa"/>
            <w:tcBorders>
              <w:top w:val="dotted" w:sz="6" w:space="0" w:color="7F7F7F"/>
              <w:left w:val="nil"/>
              <w:bottom w:val="dotted" w:sz="6" w:space="0" w:color="7F7F7F"/>
              <w:right w:val="nil"/>
            </w:tcBorders>
            <w:vAlign w:val="center"/>
          </w:tcPr>
          <w:p w14:paraId="2DB0B6AE" w14:textId="77777777" w:rsidR="00CE56B4" w:rsidRPr="0093150F" w:rsidRDefault="00CE56B4" w:rsidP="003625D3">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Carolina Quintero Gacharná</w:t>
            </w:r>
          </w:p>
          <w:p w14:paraId="6F5CEB6D" w14:textId="77777777" w:rsidR="00CE56B4" w:rsidRPr="0093150F" w:rsidRDefault="00CE56B4" w:rsidP="003625D3">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Subdirectora de Gestión Contractual ANCP – CCE</w:t>
            </w:r>
          </w:p>
        </w:tc>
      </w:tr>
    </w:tbl>
    <w:p w14:paraId="2EAB4539" w14:textId="77777777" w:rsidR="00CE56B4" w:rsidRPr="000E2B93" w:rsidRDefault="00CE56B4" w:rsidP="00CE56B4">
      <w:pPr>
        <w:spacing w:after="0" w:line="240" w:lineRule="auto"/>
        <w:jc w:val="both"/>
        <w:textAlignment w:val="baseline"/>
        <w:rPr>
          <w:rFonts w:ascii="Verdana" w:eastAsia="Verdana" w:hAnsi="Verdana" w:cs="Verdana"/>
          <w:lang w:eastAsia="es-CO"/>
        </w:rPr>
      </w:pPr>
    </w:p>
    <w:p w14:paraId="2DB98999" w14:textId="58252AC7" w:rsidR="00CE56B4" w:rsidRPr="003012C4" w:rsidRDefault="00CE56B4" w:rsidP="003012C4">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73B35239" w:rsidR="00127233" w:rsidRPr="003A1826" w:rsidRDefault="00127233" w:rsidP="003A1826"/>
    <w:sectPr w:rsidR="00127233" w:rsidRPr="003A1826"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69A1" w14:textId="77777777" w:rsidR="00AE0790" w:rsidRDefault="00AE0790" w:rsidP="004A1847">
      <w:pPr>
        <w:spacing w:after="0" w:line="240" w:lineRule="auto"/>
      </w:pPr>
      <w:r>
        <w:separator/>
      </w:r>
    </w:p>
  </w:endnote>
  <w:endnote w:type="continuationSeparator" w:id="0">
    <w:p w14:paraId="2241F6B7" w14:textId="77777777" w:rsidR="00AE0790" w:rsidRDefault="00AE079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9D2FC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9D2FC8">
      <w:rPr>
        <w:rFonts w:ascii="Verdana" w:eastAsia="Verdana" w:hAnsi="Verdana" w:cs="Verdana"/>
        <w:b/>
        <w:bCs/>
        <w:color w:val="000000" w:themeColor="text1"/>
        <w:sz w:val="18"/>
        <w:szCs w:val="18"/>
        <w:lang w:val="pt-PT" w:eastAsia="es-CO"/>
      </w:rPr>
      <w:t xml:space="preserve">Código: </w:t>
    </w:r>
    <w:r w:rsidRPr="009D2FC8">
      <w:rPr>
        <w:rFonts w:ascii="Verdana" w:eastAsia="Verdana" w:hAnsi="Verdana" w:cs="Verdana"/>
        <w:color w:val="000000" w:themeColor="text1"/>
        <w:sz w:val="18"/>
        <w:szCs w:val="18"/>
        <w:lang w:val="pt-PT" w:eastAsia="es-CO"/>
      </w:rPr>
      <w:t xml:space="preserve">CCE-REC-FM-17 </w:t>
    </w:r>
    <w:r w:rsidRPr="009D2FC8">
      <w:rPr>
        <w:rFonts w:ascii="Verdana" w:eastAsia="Verdana" w:hAnsi="Verdana" w:cs="Verdana"/>
        <w:b/>
        <w:bCs/>
        <w:color w:val="000000" w:themeColor="text1"/>
        <w:sz w:val="18"/>
        <w:szCs w:val="18"/>
        <w:lang w:val="pt-PT" w:eastAsia="es-CO"/>
      </w:rPr>
      <w:t xml:space="preserve">V: </w:t>
    </w:r>
    <w:r w:rsidRPr="009D2FC8">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35FC8" w14:textId="77777777" w:rsidR="00AE0790" w:rsidRDefault="00AE0790" w:rsidP="004A1847">
      <w:pPr>
        <w:spacing w:after="0" w:line="240" w:lineRule="auto"/>
      </w:pPr>
      <w:r>
        <w:separator/>
      </w:r>
    </w:p>
  </w:footnote>
  <w:footnote w:type="continuationSeparator" w:id="0">
    <w:p w14:paraId="46483415" w14:textId="77777777" w:rsidR="00AE0790" w:rsidRDefault="00AE0790" w:rsidP="004A1847">
      <w:pPr>
        <w:spacing w:after="0" w:line="240" w:lineRule="auto"/>
      </w:pPr>
      <w:r>
        <w:continuationSeparator/>
      </w:r>
    </w:p>
  </w:footnote>
  <w:footnote w:id="1">
    <w:p w14:paraId="00EA74D1" w14:textId="77777777" w:rsidR="00CE56B4" w:rsidRPr="001869FC" w:rsidRDefault="00CE56B4" w:rsidP="00CE56B4">
      <w:pPr>
        <w:pStyle w:val="NormalWeb"/>
        <w:spacing w:before="0" w:beforeAutospacing="0" w:after="0" w:afterAutospacing="0"/>
        <w:ind w:firstLine="708"/>
        <w:jc w:val="both"/>
        <w:rPr>
          <w:rFonts w:ascii="Verdana" w:hAnsi="Verdana" w:cs="Arial"/>
          <w:color w:val="000000"/>
          <w:sz w:val="14"/>
          <w:szCs w:val="14"/>
        </w:rPr>
      </w:pPr>
      <w:r w:rsidRPr="001869FC">
        <w:rPr>
          <w:rStyle w:val="Refdenotaalpie"/>
          <w:rFonts w:ascii="Verdana" w:hAnsi="Verdana" w:cs="Arial"/>
          <w:sz w:val="14"/>
          <w:szCs w:val="14"/>
        </w:rPr>
        <w:footnoteRef/>
      </w:r>
      <w:r w:rsidRPr="001869FC">
        <w:rPr>
          <w:rFonts w:ascii="Verdana" w:hAnsi="Verdana" w:cs="Arial"/>
          <w:sz w:val="14"/>
          <w:szCs w:val="14"/>
        </w:rPr>
        <w:t xml:space="preserve">  Ley 1474 de 2011 “</w:t>
      </w:r>
      <w:r w:rsidRPr="001869FC">
        <w:rPr>
          <w:rStyle w:val="Fuerte"/>
          <w:rFonts w:ascii="Verdana" w:hAnsi="Verdana" w:cs="Arial"/>
          <w:b w:val="0"/>
          <w:bCs w:val="0"/>
          <w:color w:val="000000"/>
          <w:sz w:val="14"/>
          <w:szCs w:val="14"/>
        </w:rPr>
        <w:t>Artículo 93.</w:t>
      </w:r>
      <w:r w:rsidRPr="001869FC">
        <w:rPr>
          <w:rStyle w:val="nfasis"/>
          <w:rFonts w:ascii="Verdana" w:eastAsia="Arial" w:hAnsi="Verdana" w:cs="Arial"/>
          <w:color w:val="000000"/>
          <w:sz w:val="14"/>
          <w:szCs w:val="14"/>
        </w:rPr>
        <w:t> Del régimen contractual de las Empresas Industriales y Comerciales del Estado, las Sociedades de Economía Mixta, sus filiales y empresas con participación mayoritaria del Estado.</w:t>
      </w:r>
      <w:r w:rsidRPr="001869FC">
        <w:rPr>
          <w:rFonts w:ascii="Verdana" w:hAnsi="Verdana" w:cs="Arial"/>
          <w:color w:val="000000"/>
          <w:sz w:val="14"/>
          <w:szCs w:val="14"/>
        </w:rPr>
        <w:t> Modifíquese el artículo 14 de la Ley 1150 de 2007, el cual quedará así:   </w:t>
      </w:r>
      <w:r w:rsidRPr="001869FC">
        <w:rPr>
          <w:rFonts w:ascii="Verdana" w:hAnsi="Verdana" w:cs="Arial"/>
          <w:color w:val="000000"/>
          <w:sz w:val="14"/>
          <w:szCs w:val="14"/>
        </w:rPr>
        <w:tab/>
        <w:t>“Las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tecnología, que se regirán por la Ley 29 de 1990 y las disposiciones normativas existentes». </w:t>
      </w:r>
    </w:p>
    <w:p w14:paraId="3D90311F" w14:textId="77777777" w:rsidR="00CE56B4" w:rsidRPr="001869FC" w:rsidRDefault="00CE56B4" w:rsidP="00CE56B4">
      <w:pPr>
        <w:pStyle w:val="Textonotapie"/>
        <w:jc w:val="both"/>
        <w:rPr>
          <w:rFonts w:ascii="Verdana" w:hAnsi="Verdana" w:cs="Arial"/>
          <w:sz w:val="14"/>
          <w:szCs w:val="14"/>
        </w:rPr>
      </w:pPr>
    </w:p>
  </w:footnote>
  <w:footnote w:id="2">
    <w:p w14:paraId="5FB938C5" w14:textId="77777777" w:rsidR="00CE56B4" w:rsidRPr="001869FC" w:rsidRDefault="00CE56B4" w:rsidP="00CE56B4">
      <w:pPr>
        <w:pStyle w:val="NormalWeb"/>
        <w:spacing w:before="0" w:beforeAutospacing="0" w:after="0" w:afterAutospacing="0"/>
        <w:ind w:firstLine="708"/>
        <w:jc w:val="both"/>
        <w:rPr>
          <w:rFonts w:ascii="Verdana" w:hAnsi="Verdana" w:cs="Arial"/>
          <w:color w:val="000000"/>
          <w:sz w:val="14"/>
          <w:szCs w:val="14"/>
        </w:rPr>
      </w:pPr>
      <w:r w:rsidRPr="001869FC">
        <w:rPr>
          <w:rStyle w:val="Refdenotaalpie"/>
          <w:rFonts w:ascii="Verdana" w:hAnsi="Verdana" w:cs="Arial"/>
          <w:sz w:val="14"/>
          <w:szCs w:val="14"/>
        </w:rPr>
        <w:footnoteRef/>
      </w:r>
      <w:r w:rsidRPr="001869FC">
        <w:rPr>
          <w:rFonts w:ascii="Verdana" w:hAnsi="Verdana" w:cs="Arial"/>
          <w:sz w:val="14"/>
          <w:szCs w:val="14"/>
        </w:rPr>
        <w:t xml:space="preserve"> Ley 489 de 1998 «</w:t>
      </w:r>
      <w:r w:rsidRPr="001869FC">
        <w:rPr>
          <w:rStyle w:val="Fuerte"/>
          <w:rFonts w:ascii="Verdana" w:hAnsi="Verdana" w:cs="Arial"/>
          <w:b w:val="0"/>
          <w:bCs w:val="0"/>
          <w:color w:val="000000"/>
          <w:sz w:val="14"/>
          <w:szCs w:val="14"/>
        </w:rPr>
        <w:t>Artículo 85.</w:t>
      </w:r>
      <w:r w:rsidRPr="001869FC">
        <w:rPr>
          <w:rStyle w:val="Fuerte"/>
          <w:rFonts w:ascii="Verdana" w:hAnsi="Verdana" w:cs="Arial"/>
          <w:color w:val="000000"/>
          <w:sz w:val="14"/>
          <w:szCs w:val="14"/>
        </w:rPr>
        <w:t xml:space="preserve"> </w:t>
      </w:r>
      <w:r w:rsidRPr="001869FC">
        <w:rPr>
          <w:rStyle w:val="nfasis"/>
          <w:rFonts w:ascii="Verdana" w:eastAsia="Arial" w:hAnsi="Verdana" w:cs="Arial"/>
          <w:color w:val="000000"/>
          <w:sz w:val="14"/>
          <w:szCs w:val="14"/>
        </w:rPr>
        <w:t>Empresas industriales y comerciales del Estado. </w:t>
      </w:r>
      <w:r w:rsidRPr="001869FC">
        <w:rPr>
          <w:rFonts w:ascii="Verdana" w:hAnsi="Verdana" w:cs="Arial"/>
          <w:color w:val="000000"/>
          <w:sz w:val="14"/>
          <w:szCs w:val="14"/>
        </w:rPr>
        <w:t>Las empresas industriales y comerciales del Estado son organismos creados por la ley o autorizados por ésta, que desarrollan actividades de naturaleza industrial o comercial y de gestión económica conforme a las reglas del Derecho Privado, salvo las excepciones que consagra la ley, y que reúnen las siguientes características: </w:t>
      </w:r>
    </w:p>
    <w:p w14:paraId="5FC3BFF2"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“a) Personería jurídica; </w:t>
      </w:r>
    </w:p>
    <w:p w14:paraId="73A793B5"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“b) Autonomía administrativa y financiera; </w:t>
      </w:r>
    </w:p>
    <w:p w14:paraId="7EDA7D10"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“c) Capital independiente, constituido totalmente con bienes o fondos públicos comunes, los productos de ellos, o el rendimiento de tasas que perciban por las funciones o servicios, y contribuciones de destinación especial en los casos autorizados por la Constitución. </w:t>
      </w:r>
    </w:p>
    <w:p w14:paraId="1EFCC7D3"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“El capital de las empresas industriales y comerciales del Estado podrá estar representado en cuotas o acciones de igual valor nominal. </w:t>
      </w:r>
    </w:p>
    <w:p w14:paraId="628AAA9D"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“A las empresas industriales y comerciales del Estado y a las sociedades de economía mixta se les aplicará en lo pertinente los artículos 19, numerales 2°, 4°, 5°, 6°, 12, 13, 17, 27, numerales 2°, 3°, 4°, 5°, y 7°, y 183 de la Ley 142 de 1994. </w:t>
      </w:r>
    </w:p>
    <w:p w14:paraId="7CC03561" w14:textId="77777777" w:rsidR="00CE56B4" w:rsidRPr="001869FC" w:rsidRDefault="00CE56B4" w:rsidP="00CE56B4">
      <w:pPr>
        <w:pStyle w:val="NormalWeb"/>
        <w:spacing w:before="0" w:beforeAutospacing="0" w:after="0" w:afterAutospacing="0"/>
        <w:ind w:firstLine="708"/>
        <w:jc w:val="both"/>
        <w:rPr>
          <w:rFonts w:ascii="Verdana" w:hAnsi="Verdana" w:cs="Arial"/>
          <w:color w:val="000000"/>
          <w:sz w:val="14"/>
          <w:szCs w:val="14"/>
        </w:rPr>
      </w:pPr>
      <w:r w:rsidRPr="001869FC">
        <w:rPr>
          <w:rFonts w:ascii="Verdana" w:hAnsi="Verdana" w:cs="Arial"/>
          <w:color w:val="000000"/>
          <w:sz w:val="14"/>
          <w:szCs w:val="14"/>
        </w:rPr>
        <w:t>“</w:t>
      </w:r>
      <w:r w:rsidRPr="001869FC">
        <w:rPr>
          <w:rStyle w:val="Fuerte"/>
          <w:rFonts w:ascii="Verdana" w:hAnsi="Verdana" w:cs="Arial"/>
          <w:b w:val="0"/>
          <w:bCs w:val="0"/>
          <w:color w:val="000000"/>
          <w:sz w:val="14"/>
          <w:szCs w:val="14"/>
        </w:rPr>
        <w:t>Parágrafo</w:t>
      </w:r>
      <w:r w:rsidRPr="001869FC">
        <w:rPr>
          <w:rStyle w:val="Fuerte"/>
          <w:rFonts w:ascii="Verdana" w:hAnsi="Verdana" w:cs="Arial"/>
          <w:color w:val="000000"/>
          <w:sz w:val="14"/>
          <w:szCs w:val="14"/>
        </w:rPr>
        <w:t>.</w:t>
      </w:r>
      <w:r w:rsidRPr="001869FC">
        <w:rPr>
          <w:rFonts w:ascii="Verdana" w:hAnsi="Verdana" w:cs="Arial"/>
          <w:color w:val="000000"/>
          <w:sz w:val="14"/>
          <w:szCs w:val="14"/>
        </w:rPr>
        <w:t> Las disposiciones legales que protegen el secreto industrial y la información comercial se aplicarán a aquellos secretos e informaciones de esa naturaleza que desarrollen y posean las empresas industriales y comerciales del Estado». </w:t>
      </w:r>
    </w:p>
    <w:p w14:paraId="74CCBD1A" w14:textId="77777777" w:rsidR="00CE56B4" w:rsidRPr="001869FC" w:rsidRDefault="00CE56B4" w:rsidP="00CE56B4">
      <w:pPr>
        <w:pStyle w:val="Textonotapie"/>
        <w:jc w:val="both"/>
        <w:rPr>
          <w:rFonts w:ascii="Verdana" w:hAnsi="Verdana" w:cs="Arial"/>
          <w:sz w:val="14"/>
          <w:szCs w:val="14"/>
        </w:rPr>
      </w:pPr>
    </w:p>
  </w:footnote>
  <w:footnote w:id="3">
    <w:p w14:paraId="6D7F79D1" w14:textId="77777777" w:rsidR="00CE56B4" w:rsidRPr="001869FC" w:rsidRDefault="00CE56B4" w:rsidP="00CE56B4">
      <w:pPr>
        <w:pStyle w:val="NormalWeb"/>
        <w:spacing w:before="0" w:beforeAutospacing="0" w:after="0" w:afterAutospacing="0"/>
        <w:ind w:firstLine="708"/>
        <w:jc w:val="both"/>
        <w:rPr>
          <w:rFonts w:ascii="Verdana" w:hAnsi="Verdana" w:cs="Arial"/>
          <w:color w:val="000000"/>
          <w:sz w:val="14"/>
          <w:szCs w:val="14"/>
        </w:rPr>
      </w:pPr>
      <w:r w:rsidRPr="001869FC">
        <w:rPr>
          <w:rStyle w:val="Refdenotaalpie"/>
          <w:rFonts w:ascii="Verdana" w:hAnsi="Verdana" w:cs="Arial"/>
          <w:sz w:val="14"/>
          <w:szCs w:val="14"/>
        </w:rPr>
        <w:footnoteRef/>
      </w:r>
      <w:r w:rsidRPr="001869FC">
        <w:rPr>
          <w:rFonts w:ascii="Verdana" w:hAnsi="Verdana" w:cs="Arial"/>
          <w:sz w:val="14"/>
          <w:szCs w:val="14"/>
        </w:rPr>
        <w:t xml:space="preserve"> Ley 489 de 1998 «</w:t>
      </w:r>
      <w:r w:rsidRPr="001869FC">
        <w:rPr>
          <w:rStyle w:val="Fuerte"/>
          <w:rFonts w:ascii="Verdana" w:hAnsi="Verdana" w:cs="Arial"/>
          <w:b w:val="0"/>
          <w:bCs w:val="0"/>
          <w:color w:val="000000"/>
          <w:sz w:val="14"/>
          <w:szCs w:val="14"/>
        </w:rPr>
        <w:t>Artículo 68.</w:t>
      </w:r>
      <w:r w:rsidRPr="001869FC">
        <w:rPr>
          <w:rStyle w:val="Fuerte"/>
          <w:rFonts w:ascii="Verdana" w:hAnsi="Verdana" w:cs="Arial"/>
          <w:color w:val="000000"/>
          <w:sz w:val="14"/>
          <w:szCs w:val="14"/>
        </w:rPr>
        <w:t xml:space="preserve"> </w:t>
      </w:r>
      <w:r w:rsidRPr="001869FC">
        <w:rPr>
          <w:rStyle w:val="nfasis"/>
          <w:rFonts w:ascii="Verdana" w:eastAsia="Arial" w:hAnsi="Verdana" w:cs="Arial"/>
          <w:color w:val="000000"/>
          <w:sz w:val="14"/>
          <w:szCs w:val="14"/>
        </w:rPr>
        <w:t>Entidades descentralizadas. </w:t>
      </w:r>
      <w:r w:rsidRPr="001869FC">
        <w:rPr>
          <w:rFonts w:ascii="Verdana" w:hAnsi="Verdana" w:cs="Arial"/>
          <w:color w:val="000000"/>
          <w:sz w:val="14"/>
          <w:szCs w:val="14"/>
        </w:rPr>
        <w:t>Son entidades descentralizadas del orden nacional, los establecimientos públicos, las empresas industriales y comerciales del Estado, las sociedades públicas y las sociedades de economía mixta, las superintendencias y las unidades</w:t>
      </w:r>
      <w:r w:rsidRPr="00856A34">
        <w:rPr>
          <w:rFonts w:ascii="Arial" w:hAnsi="Arial" w:cs="Arial"/>
          <w:color w:val="000000"/>
          <w:sz w:val="19"/>
          <w:szCs w:val="19"/>
        </w:rPr>
        <w:t xml:space="preserve"> </w:t>
      </w:r>
      <w:r w:rsidRPr="001869FC">
        <w:rPr>
          <w:rFonts w:ascii="Verdana" w:hAnsi="Verdana" w:cs="Arial"/>
          <w:color w:val="000000"/>
          <w:sz w:val="14"/>
          <w:szCs w:val="14"/>
        </w:rPr>
        <w:t>administrativas especiales con personería jurídica, las empresas sociales del Estado, las empresas oficiales de servicios públicos y las demás entidades creadas por la ley o con su autorización, cuyo objeto principal sea el ejercicio de funciones administrativas, la prestación de servicios públicos o la realización de actividades industriales o comerciales con personería jurídica, autonomía administrativa y patrimonio propio. </w:t>
      </w:r>
    </w:p>
    <w:p w14:paraId="4E712C01"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“Como órganos del Estado aun cuando gozan de autonomía administrativa están sujetas al control político y a la suprema dirección del órgano de la administración al cual están adscritas. </w:t>
      </w:r>
    </w:p>
    <w:p w14:paraId="66B1FD8D"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9"/>
          <w:szCs w:val="19"/>
        </w:rPr>
        <w:t>  </w:t>
      </w:r>
      <w:r w:rsidRPr="001869FC">
        <w:rPr>
          <w:rFonts w:ascii="Verdana" w:hAnsi="Verdana" w:cs="Arial"/>
          <w:color w:val="000000"/>
          <w:sz w:val="19"/>
          <w:szCs w:val="19"/>
        </w:rPr>
        <w:tab/>
      </w:r>
      <w:r w:rsidRPr="001869FC">
        <w:rPr>
          <w:rFonts w:ascii="Verdana" w:hAnsi="Verdana" w:cs="Arial"/>
          <w:color w:val="000000"/>
          <w:sz w:val="14"/>
          <w:szCs w:val="14"/>
        </w:rPr>
        <w:t>“Las entidades descentralizadas se sujetan a las reglas señaladas en la Constitución Política, en la presente ley, en las leyes que las creen y determinen su estructura orgánica y a sus estatutos internos. </w:t>
      </w:r>
    </w:p>
    <w:p w14:paraId="5558E63C" w14:textId="77777777" w:rsidR="00CE56B4" w:rsidRPr="001869FC" w:rsidRDefault="00CE56B4" w:rsidP="00CE56B4">
      <w:pPr>
        <w:pStyle w:val="NormalWeb"/>
        <w:spacing w:before="0" w:beforeAutospacing="0" w:after="0" w:afterAutospacing="0"/>
        <w:jc w:val="both"/>
        <w:rPr>
          <w:rFonts w:ascii="Verdana" w:hAnsi="Verdana" w:cs="Arial"/>
          <w:color w:val="000000"/>
          <w:sz w:val="14"/>
          <w:szCs w:val="14"/>
        </w:rPr>
      </w:pPr>
      <w:r w:rsidRPr="001869FC">
        <w:rPr>
          <w:rFonts w:ascii="Verdana" w:hAnsi="Verdana" w:cs="Arial"/>
          <w:color w:val="000000"/>
          <w:sz w:val="14"/>
          <w:szCs w:val="14"/>
        </w:rPr>
        <w:t>  </w:t>
      </w:r>
      <w:r w:rsidRPr="001869FC">
        <w:rPr>
          <w:rFonts w:ascii="Verdana" w:hAnsi="Verdana" w:cs="Arial"/>
          <w:color w:val="000000"/>
          <w:sz w:val="14"/>
          <w:szCs w:val="14"/>
        </w:rPr>
        <w:tab/>
        <w:t>“Los organismos y entidades descentralizados, sujetos a regímenes especiales por mandato de la Constitución Política, se someterán a las disposiciones que para ellos establezca la respectiva ley. </w:t>
      </w:r>
    </w:p>
    <w:p w14:paraId="4E8567BC" w14:textId="77777777" w:rsidR="00CE56B4" w:rsidRPr="001869FC" w:rsidRDefault="00CE56B4" w:rsidP="00CE56B4">
      <w:pPr>
        <w:pStyle w:val="NormalWeb"/>
        <w:spacing w:before="0" w:beforeAutospacing="0" w:after="0" w:afterAutospacing="0"/>
        <w:jc w:val="both"/>
        <w:rPr>
          <w:rFonts w:ascii="Verdana" w:hAnsi="Verdana" w:cs="Arial"/>
          <w:color w:val="000000"/>
          <w:sz w:val="19"/>
          <w:szCs w:val="19"/>
        </w:rPr>
      </w:pPr>
      <w:r w:rsidRPr="001869FC">
        <w:rPr>
          <w:rFonts w:ascii="Verdana" w:hAnsi="Verdana" w:cs="Arial"/>
          <w:color w:val="000000"/>
          <w:sz w:val="19"/>
          <w:szCs w:val="19"/>
        </w:rPr>
        <w:t>  </w:t>
      </w:r>
      <w:r w:rsidRPr="001869FC">
        <w:rPr>
          <w:rFonts w:ascii="Verdana" w:hAnsi="Verdana" w:cs="Arial"/>
          <w:color w:val="000000"/>
          <w:sz w:val="19"/>
          <w:szCs w:val="19"/>
        </w:rPr>
        <w:tab/>
      </w:r>
      <w:r w:rsidRPr="001869FC">
        <w:rPr>
          <w:rStyle w:val="Fuerte"/>
          <w:rFonts w:ascii="Verdana" w:hAnsi="Verdana" w:cs="Arial"/>
          <w:b w:val="0"/>
          <w:bCs w:val="0"/>
          <w:color w:val="000000"/>
          <w:sz w:val="14"/>
          <w:szCs w:val="14"/>
        </w:rPr>
        <w:t>“Parágrafo 1°.</w:t>
      </w:r>
      <w:r w:rsidRPr="001869FC">
        <w:rPr>
          <w:rFonts w:ascii="Verdana" w:hAnsi="Verdana" w:cs="Arial"/>
          <w:color w:val="000000"/>
          <w:sz w:val="14"/>
          <w:szCs w:val="14"/>
        </w:rPr>
        <w:t> De conformidad con el inciso segundo del artículo 210 de la Constitución Política, el régimen jurídico aquí previsto para las entidades descentralizadas es</w:t>
      </w:r>
      <w:r w:rsidRPr="001869FC">
        <w:rPr>
          <w:rFonts w:ascii="Verdana" w:hAnsi="Verdana" w:cs="Arial"/>
          <w:color w:val="000000"/>
          <w:sz w:val="19"/>
          <w:szCs w:val="19"/>
        </w:rPr>
        <w:t xml:space="preserve"> </w:t>
      </w:r>
      <w:r w:rsidRPr="001869FC">
        <w:rPr>
          <w:rFonts w:ascii="Verdana" w:hAnsi="Verdana" w:cs="Arial"/>
          <w:color w:val="000000"/>
          <w:sz w:val="14"/>
          <w:szCs w:val="14"/>
        </w:rPr>
        <w:t>aplicable a las de las entidades territoriales sin</w:t>
      </w:r>
      <w:r w:rsidRPr="001869FC">
        <w:rPr>
          <w:rFonts w:ascii="Verdana" w:hAnsi="Verdana" w:cs="Arial"/>
          <w:color w:val="000000"/>
          <w:sz w:val="19"/>
          <w:szCs w:val="19"/>
        </w:rPr>
        <w:t xml:space="preserve"> </w:t>
      </w:r>
      <w:r w:rsidRPr="001869FC">
        <w:rPr>
          <w:rFonts w:ascii="Verdana" w:hAnsi="Verdana" w:cs="Arial"/>
          <w:color w:val="000000"/>
          <w:sz w:val="14"/>
          <w:szCs w:val="14"/>
        </w:rPr>
        <w:t>perjuicio de las competencias asignadas por la Constitución y la ley a las autoridades del orden territorial.</w:t>
      </w:r>
      <w:r w:rsidRPr="001869FC">
        <w:rPr>
          <w:rFonts w:ascii="Verdana" w:hAnsi="Verdana" w:cs="Arial"/>
          <w:color w:val="000000"/>
          <w:sz w:val="19"/>
          <w:szCs w:val="19"/>
        </w:rPr>
        <w:t> </w:t>
      </w:r>
    </w:p>
    <w:p w14:paraId="6EE96C43" w14:textId="77777777" w:rsidR="00CE56B4" w:rsidRPr="001869FC" w:rsidRDefault="00CE56B4" w:rsidP="00CE56B4">
      <w:pPr>
        <w:pStyle w:val="Textonotapie"/>
        <w:jc w:val="both"/>
        <w:rPr>
          <w:rFonts w:ascii="Verdana" w:hAnsi="Verdana" w:cs="Arial"/>
          <w:sz w:val="19"/>
          <w:szCs w:val="19"/>
        </w:rPr>
      </w:pPr>
    </w:p>
  </w:footnote>
  <w:footnote w:id="4">
    <w:p w14:paraId="0BEB45CC" w14:textId="77777777" w:rsidR="00CE56B4" w:rsidRPr="001869FC" w:rsidRDefault="00CE56B4" w:rsidP="00CE56B4">
      <w:pPr>
        <w:pStyle w:val="NormalWeb"/>
        <w:spacing w:before="0" w:beforeAutospacing="0" w:after="0" w:afterAutospacing="0"/>
        <w:ind w:firstLine="708"/>
        <w:jc w:val="both"/>
        <w:rPr>
          <w:rFonts w:ascii="Verdana" w:hAnsi="Verdana" w:cs="Arial"/>
          <w:color w:val="000000"/>
          <w:sz w:val="14"/>
          <w:szCs w:val="14"/>
        </w:rPr>
      </w:pPr>
      <w:r w:rsidRPr="001869FC">
        <w:rPr>
          <w:rStyle w:val="Refdenotaalpie"/>
          <w:rFonts w:ascii="Verdana" w:hAnsi="Verdana" w:cs="Arial"/>
          <w:sz w:val="14"/>
          <w:szCs w:val="14"/>
        </w:rPr>
        <w:footnoteRef/>
      </w:r>
      <w:r w:rsidRPr="001869FC">
        <w:rPr>
          <w:rFonts w:ascii="Verdana" w:hAnsi="Verdana" w:cs="Arial"/>
          <w:sz w:val="14"/>
          <w:szCs w:val="14"/>
        </w:rPr>
        <w:t xml:space="preserve"> Ley 1122 de 2007. “</w:t>
      </w:r>
      <w:r w:rsidRPr="001869FC">
        <w:rPr>
          <w:rStyle w:val="Fuerte"/>
          <w:rFonts w:ascii="Verdana" w:hAnsi="Verdana" w:cs="Arial"/>
          <w:b w:val="0"/>
          <w:bCs w:val="0"/>
          <w:color w:val="000000"/>
          <w:sz w:val="14"/>
          <w:szCs w:val="14"/>
        </w:rPr>
        <w:t>Artículo 45.</w:t>
      </w:r>
      <w:r w:rsidRPr="001869FC">
        <w:rPr>
          <w:rStyle w:val="Fuerte"/>
          <w:rFonts w:ascii="Verdana" w:hAnsi="Verdana" w:cs="Arial"/>
          <w:color w:val="000000"/>
          <w:sz w:val="14"/>
          <w:szCs w:val="14"/>
        </w:rPr>
        <w:t xml:space="preserve"> </w:t>
      </w:r>
      <w:r w:rsidRPr="001869FC">
        <w:rPr>
          <w:rStyle w:val="nfasis"/>
          <w:rFonts w:ascii="Verdana" w:eastAsia="Arial" w:hAnsi="Verdana" w:cs="Arial"/>
          <w:color w:val="000000"/>
          <w:sz w:val="14"/>
          <w:szCs w:val="14"/>
        </w:rPr>
        <w:t>Régimen de contratación de EPS públicas. </w:t>
      </w:r>
      <w:r w:rsidRPr="001869FC">
        <w:rPr>
          <w:rFonts w:ascii="Verdana" w:hAnsi="Verdana" w:cs="Arial"/>
          <w:color w:val="000000"/>
          <w:sz w:val="14"/>
          <w:szCs w:val="14"/>
        </w:rPr>
        <w:t>Las Empresas promotoras de Salud del Régimen Subsidiado y Contributivo Públicas tendrán el mismo régimen de contratación que las Empresas Sociales del Estado”. </w:t>
      </w:r>
    </w:p>
    <w:p w14:paraId="5BE15589" w14:textId="77777777" w:rsidR="00CE56B4" w:rsidRPr="001869FC" w:rsidRDefault="00CE56B4" w:rsidP="00CE56B4">
      <w:pPr>
        <w:pStyle w:val="NormalWeb"/>
        <w:spacing w:before="0" w:beforeAutospacing="0" w:after="0" w:afterAutospacing="0"/>
        <w:jc w:val="both"/>
        <w:rPr>
          <w:rFonts w:ascii="Verdana" w:hAnsi="Verdana" w:cs="Arial"/>
          <w:sz w:val="14"/>
          <w:szCs w:val="14"/>
        </w:rPr>
      </w:pPr>
      <w:r w:rsidRPr="001869FC">
        <w:rPr>
          <w:rFonts w:ascii="Verdana" w:hAnsi="Verdana" w:cs="Arial"/>
          <w:color w:val="000000"/>
          <w:sz w:val="14"/>
          <w:szCs w:val="14"/>
        </w:rPr>
        <w:t>  </w:t>
      </w:r>
    </w:p>
  </w:footnote>
  <w:footnote w:id="5">
    <w:p w14:paraId="6E9B4BF9" w14:textId="77777777" w:rsidR="00CE56B4" w:rsidRPr="001869FC" w:rsidRDefault="00CE56B4" w:rsidP="00CE56B4">
      <w:pPr>
        <w:pStyle w:val="Textonotapie"/>
        <w:ind w:firstLine="708"/>
        <w:jc w:val="both"/>
        <w:rPr>
          <w:rFonts w:ascii="Verdana" w:hAnsi="Verdana" w:cs="Arial"/>
          <w:sz w:val="14"/>
          <w:szCs w:val="14"/>
        </w:rPr>
      </w:pPr>
      <w:r w:rsidRPr="001869FC">
        <w:rPr>
          <w:rStyle w:val="Refdenotaalpie"/>
          <w:rFonts w:ascii="Verdana" w:hAnsi="Verdana" w:cs="Arial"/>
          <w:sz w:val="14"/>
          <w:szCs w:val="14"/>
        </w:rPr>
        <w:footnoteRef/>
      </w:r>
      <w:r w:rsidRPr="001869FC">
        <w:rPr>
          <w:rFonts w:ascii="Verdana" w:hAnsi="Verdana" w:cs="Arial"/>
          <w:sz w:val="14"/>
          <w:szCs w:val="14"/>
        </w:rPr>
        <w:t xml:space="preserve"> Ley 100 de 1993 «Artículo 195. Régimen jurídico. Las Empresas Sociales de Salud se someterán al siguiente régimen jurídico: </w:t>
      </w:r>
    </w:p>
    <w:p w14:paraId="56BE7C2D" w14:textId="77777777" w:rsidR="00CE56B4" w:rsidRPr="001869FC" w:rsidRDefault="00CE56B4" w:rsidP="00CE56B4">
      <w:pPr>
        <w:pStyle w:val="Textonotapie"/>
        <w:ind w:firstLine="708"/>
        <w:jc w:val="both"/>
        <w:rPr>
          <w:rFonts w:ascii="Verdana" w:hAnsi="Verdana" w:cs="Arial"/>
          <w:sz w:val="14"/>
          <w:szCs w:val="14"/>
        </w:rPr>
      </w:pPr>
      <w:r w:rsidRPr="001869FC">
        <w:rPr>
          <w:rFonts w:ascii="Verdana" w:hAnsi="Verdana" w:cs="Arial"/>
          <w:sz w:val="14"/>
          <w:szCs w:val="14"/>
        </w:rPr>
        <w:t>[…]</w:t>
      </w:r>
    </w:p>
    <w:p w14:paraId="64AEB9C4" w14:textId="77777777" w:rsidR="00CE56B4" w:rsidRPr="001869FC" w:rsidRDefault="00CE56B4" w:rsidP="00CE56B4">
      <w:pPr>
        <w:pStyle w:val="Textonotapie"/>
        <w:ind w:firstLine="708"/>
        <w:jc w:val="both"/>
        <w:rPr>
          <w:rFonts w:ascii="Verdana" w:hAnsi="Verdana" w:cs="Arial"/>
          <w:sz w:val="14"/>
          <w:szCs w:val="14"/>
        </w:rPr>
      </w:pPr>
      <w:r w:rsidRPr="001869FC">
        <w:rPr>
          <w:rFonts w:ascii="Verdana" w:hAnsi="Verdana" w:cs="Arial"/>
          <w:sz w:val="14"/>
          <w:szCs w:val="14"/>
        </w:rPr>
        <w:t>“6. En materia contractual se regirá por el derecho privado, pero podrá discrecionalmente utilizar las cláusulas exorbitantes previstas en el Estatuto General de Contratación de la Administración Pública”.</w:t>
      </w:r>
    </w:p>
    <w:p w14:paraId="1E1971DE" w14:textId="77777777" w:rsidR="00CE56B4" w:rsidRPr="001869FC" w:rsidRDefault="00CE56B4" w:rsidP="00CE56B4">
      <w:pPr>
        <w:pStyle w:val="Textonotapie"/>
        <w:ind w:firstLine="708"/>
        <w:jc w:val="both"/>
        <w:rPr>
          <w:rFonts w:ascii="Arial" w:hAnsi="Arial" w:cs="Arial"/>
          <w:sz w:val="14"/>
          <w:szCs w:val="14"/>
        </w:rPr>
      </w:pPr>
      <w:r w:rsidRPr="001869FC">
        <w:rPr>
          <w:rFonts w:ascii="Arial" w:hAnsi="Arial" w:cs="Arial"/>
          <w:sz w:val="14"/>
          <w:szCs w:val="14"/>
        </w:rPr>
        <w:t xml:space="preserve"> </w:t>
      </w:r>
    </w:p>
  </w:footnote>
  <w:footnote w:id="6">
    <w:p w14:paraId="51320712" w14:textId="77777777" w:rsidR="00CE56B4" w:rsidRPr="001869FC" w:rsidRDefault="00CE56B4" w:rsidP="00CE56B4">
      <w:pPr>
        <w:pStyle w:val="NormalWeb"/>
        <w:spacing w:before="0" w:beforeAutospacing="0" w:after="0" w:afterAutospacing="0"/>
        <w:ind w:firstLine="708"/>
        <w:jc w:val="both"/>
        <w:rPr>
          <w:rFonts w:ascii="Arial" w:hAnsi="Arial" w:cs="Arial"/>
          <w:color w:val="000000"/>
          <w:sz w:val="14"/>
          <w:szCs w:val="14"/>
        </w:rPr>
      </w:pPr>
      <w:r w:rsidRPr="001869FC">
        <w:rPr>
          <w:rStyle w:val="Refdenotaalpie"/>
          <w:rFonts w:ascii="Arial" w:hAnsi="Arial" w:cs="Arial"/>
          <w:sz w:val="14"/>
          <w:szCs w:val="14"/>
        </w:rPr>
        <w:footnoteRef/>
      </w:r>
      <w:r w:rsidRPr="001869FC">
        <w:rPr>
          <w:rFonts w:ascii="Arial" w:hAnsi="Arial" w:cs="Arial"/>
          <w:sz w:val="14"/>
          <w:szCs w:val="14"/>
        </w:rPr>
        <w:t xml:space="preserve"> Ley 489 de 1998 “</w:t>
      </w:r>
      <w:r w:rsidRPr="001869FC">
        <w:rPr>
          <w:rStyle w:val="Fuerte"/>
          <w:rFonts w:ascii="Arial" w:hAnsi="Arial" w:cs="Arial"/>
          <w:b w:val="0"/>
          <w:bCs w:val="0"/>
          <w:color w:val="000000"/>
          <w:sz w:val="14"/>
          <w:szCs w:val="14"/>
        </w:rPr>
        <w:t>Artículo 97.</w:t>
      </w:r>
      <w:r w:rsidRPr="001869FC">
        <w:rPr>
          <w:rStyle w:val="nfasis"/>
          <w:rFonts w:ascii="Arial" w:eastAsia="Arial" w:hAnsi="Arial" w:cs="Arial"/>
          <w:color w:val="000000"/>
          <w:sz w:val="14"/>
          <w:szCs w:val="14"/>
        </w:rPr>
        <w:t xml:space="preserve"> Sociedades de economía mixta. </w:t>
      </w:r>
      <w:r w:rsidRPr="001869FC">
        <w:rPr>
          <w:rFonts w:ascii="Arial" w:hAnsi="Arial" w:cs="Arial"/>
          <w:color w:val="000000"/>
          <w:sz w:val="14"/>
          <w:szCs w:val="14"/>
        </w:rPr>
        <w:t>Las sociedades de economía mixta son organismos autorizados por la ley, constituidos bajo la forma de sociedades comerciales con aportes estatales y de capital privado, que desarrollan actividades de naturaleza industrial o comercial conforme a las reglas de Derecho Privado, salvo las excepciones que consagra la ley. </w:t>
      </w:r>
    </w:p>
    <w:p w14:paraId="07462AF0" w14:textId="77777777" w:rsidR="00CE56B4" w:rsidRPr="001869FC" w:rsidRDefault="00CE56B4" w:rsidP="00CE56B4">
      <w:pPr>
        <w:pStyle w:val="NormalWeb"/>
        <w:spacing w:before="0" w:beforeAutospacing="0" w:after="0" w:afterAutospacing="0"/>
        <w:ind w:firstLine="708"/>
        <w:jc w:val="both"/>
        <w:rPr>
          <w:rFonts w:ascii="Arial" w:hAnsi="Arial" w:cs="Arial"/>
          <w:color w:val="000000"/>
          <w:sz w:val="14"/>
          <w:szCs w:val="14"/>
        </w:rPr>
      </w:pPr>
      <w:r w:rsidRPr="001869FC">
        <w:rPr>
          <w:rFonts w:ascii="Arial" w:hAnsi="Arial" w:cs="Arial"/>
          <w:color w:val="000000"/>
          <w:sz w:val="14"/>
          <w:szCs w:val="14"/>
        </w:rPr>
        <w:t>“Las inversiones temporales de carácter financiero no afectan su naturaleza jurídica ni su régimen. </w:t>
      </w:r>
    </w:p>
    <w:p w14:paraId="29E9F428"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t>“</w:t>
      </w:r>
      <w:r w:rsidRPr="001869FC">
        <w:rPr>
          <w:rStyle w:val="Fuerte"/>
          <w:rFonts w:ascii="Arial" w:hAnsi="Arial" w:cs="Arial"/>
          <w:b w:val="0"/>
          <w:bCs w:val="0"/>
          <w:color w:val="000000"/>
          <w:sz w:val="14"/>
          <w:szCs w:val="14"/>
        </w:rPr>
        <w:t>Parágrafo.</w:t>
      </w:r>
      <w:r w:rsidRPr="001869FC">
        <w:rPr>
          <w:rFonts w:ascii="Arial" w:hAnsi="Arial" w:cs="Arial"/>
          <w:b/>
          <w:color w:val="000000"/>
          <w:sz w:val="14"/>
          <w:szCs w:val="14"/>
        </w:rPr>
        <w:t> </w:t>
      </w:r>
      <w:r w:rsidRPr="001869FC">
        <w:rPr>
          <w:rFonts w:ascii="Arial" w:hAnsi="Arial" w:cs="Arial"/>
          <w:color w:val="000000"/>
          <w:sz w:val="14"/>
          <w:szCs w:val="14"/>
        </w:rPr>
        <w:t>Los regímenes de las actividades y de los servidores de las sociedades de economía mixta en las cuales el aporte de la Nación, de entidades territoriales y de entidades descentralizadas, sea igual o superior al noventa (90%) del capital social es el de las empresas industriales y comerciales del Estado». </w:t>
      </w:r>
    </w:p>
    <w:p w14:paraId="0F487A80" w14:textId="77777777" w:rsidR="00CE56B4" w:rsidRPr="001869FC" w:rsidRDefault="00CE56B4" w:rsidP="00CE56B4">
      <w:pPr>
        <w:pStyle w:val="Textonotapie"/>
        <w:ind w:firstLine="708"/>
        <w:jc w:val="both"/>
        <w:rPr>
          <w:rFonts w:ascii="Arial" w:hAnsi="Arial" w:cs="Arial"/>
          <w:sz w:val="14"/>
          <w:szCs w:val="14"/>
        </w:rPr>
      </w:pPr>
      <w:r w:rsidRPr="001869FC">
        <w:rPr>
          <w:rFonts w:ascii="Arial" w:hAnsi="Arial" w:cs="Arial"/>
          <w:sz w:val="14"/>
          <w:szCs w:val="14"/>
        </w:rPr>
        <w:t xml:space="preserve"> </w:t>
      </w:r>
    </w:p>
  </w:footnote>
  <w:footnote w:id="7">
    <w:p w14:paraId="6A903D6A" w14:textId="77777777" w:rsidR="00CE56B4" w:rsidRPr="00856A34" w:rsidRDefault="00CE56B4" w:rsidP="00CE56B4">
      <w:pPr>
        <w:pStyle w:val="Textonotapie"/>
        <w:ind w:firstLine="708"/>
        <w:jc w:val="both"/>
        <w:rPr>
          <w:rFonts w:ascii="Arial" w:hAnsi="Arial" w:cs="Arial"/>
          <w:sz w:val="19"/>
          <w:szCs w:val="19"/>
        </w:rPr>
      </w:pPr>
      <w:r w:rsidRPr="001869FC">
        <w:rPr>
          <w:rStyle w:val="Refdenotaalpie"/>
          <w:rFonts w:ascii="Arial" w:hAnsi="Arial" w:cs="Arial"/>
          <w:sz w:val="14"/>
          <w:szCs w:val="14"/>
        </w:rPr>
        <w:footnoteRef/>
      </w:r>
      <w:r w:rsidRPr="001869FC">
        <w:rPr>
          <w:rFonts w:ascii="Arial" w:hAnsi="Arial" w:cs="Arial"/>
          <w:sz w:val="14"/>
          <w:szCs w:val="14"/>
        </w:rPr>
        <w:t xml:space="preserve">  Ley 21 de 1982 “</w:t>
      </w:r>
      <w:r w:rsidRPr="001869FC">
        <w:rPr>
          <w:rFonts w:ascii="Arial" w:hAnsi="Arial" w:cs="Arial"/>
          <w:color w:val="000000"/>
          <w:sz w:val="14"/>
          <w:szCs w:val="14"/>
        </w:rPr>
        <w:t>Artículo 39. Las Cajas de Compensación Familiar son personas jurídicas de derecho privado sin ánimo de lucro, organizadas como corporaciones en la forma prevista en el Código</w:t>
      </w:r>
      <w:r w:rsidRPr="00856A34">
        <w:rPr>
          <w:rFonts w:ascii="Arial" w:hAnsi="Arial" w:cs="Arial"/>
          <w:color w:val="000000"/>
          <w:sz w:val="19"/>
          <w:szCs w:val="19"/>
        </w:rPr>
        <w:t xml:space="preserve"> </w:t>
      </w:r>
      <w:r w:rsidRPr="001869FC">
        <w:rPr>
          <w:rFonts w:ascii="Arial" w:hAnsi="Arial" w:cs="Arial"/>
          <w:color w:val="000000"/>
          <w:sz w:val="14"/>
          <w:szCs w:val="14"/>
        </w:rPr>
        <w:t>Civil, cumplen funciones de seguridad social y se hallan sometidas al control y vigilancia del Estado en la forma establecida por la ley</w:t>
      </w:r>
      <w:r>
        <w:rPr>
          <w:rFonts w:ascii="Arial" w:hAnsi="Arial" w:cs="Arial"/>
          <w:color w:val="000000"/>
          <w:sz w:val="19"/>
          <w:szCs w:val="19"/>
        </w:rPr>
        <w:t>”</w:t>
      </w:r>
      <w:r w:rsidRPr="00856A34">
        <w:rPr>
          <w:rFonts w:ascii="Arial" w:hAnsi="Arial" w:cs="Arial"/>
          <w:color w:val="000000"/>
          <w:sz w:val="19"/>
          <w:szCs w:val="19"/>
        </w:rPr>
        <w:t>. </w:t>
      </w:r>
    </w:p>
  </w:footnote>
  <w:footnote w:id="8">
    <w:p w14:paraId="3A90FF33" w14:textId="77777777" w:rsidR="00CE56B4" w:rsidRPr="00856A34" w:rsidRDefault="00CE56B4" w:rsidP="00CE56B4">
      <w:pPr>
        <w:pStyle w:val="Textonotapie"/>
        <w:jc w:val="both"/>
        <w:rPr>
          <w:rFonts w:ascii="Arial" w:hAnsi="Arial" w:cs="Arial"/>
          <w:sz w:val="19"/>
          <w:szCs w:val="19"/>
        </w:rPr>
      </w:pPr>
    </w:p>
    <w:p w14:paraId="679B0C62" w14:textId="77777777" w:rsidR="00CE56B4" w:rsidRPr="001869FC" w:rsidRDefault="00CE56B4" w:rsidP="00CE56B4">
      <w:pPr>
        <w:pStyle w:val="NormalWeb"/>
        <w:spacing w:before="0" w:beforeAutospacing="0" w:after="0" w:afterAutospacing="0"/>
        <w:ind w:firstLine="708"/>
        <w:jc w:val="both"/>
        <w:rPr>
          <w:rFonts w:ascii="Arial" w:hAnsi="Arial" w:cs="Arial"/>
          <w:color w:val="000000"/>
          <w:sz w:val="14"/>
          <w:szCs w:val="14"/>
        </w:rPr>
      </w:pPr>
      <w:r w:rsidRPr="001869FC">
        <w:rPr>
          <w:rStyle w:val="Refdenotaalpie"/>
          <w:rFonts w:ascii="Arial" w:hAnsi="Arial" w:cs="Arial"/>
          <w:sz w:val="14"/>
          <w:szCs w:val="14"/>
        </w:rPr>
        <w:footnoteRef/>
      </w:r>
      <w:r w:rsidRPr="001869FC">
        <w:rPr>
          <w:rFonts w:ascii="Arial" w:hAnsi="Arial" w:cs="Arial"/>
          <w:sz w:val="14"/>
          <w:szCs w:val="14"/>
        </w:rPr>
        <w:t xml:space="preserve"> Ley 454 de 1998 «</w:t>
      </w:r>
      <w:r w:rsidRPr="001869FC">
        <w:rPr>
          <w:rStyle w:val="Fuerte"/>
          <w:rFonts w:ascii="Arial" w:hAnsi="Arial" w:cs="Arial"/>
          <w:b w:val="0"/>
          <w:bCs w:val="0"/>
          <w:color w:val="000000"/>
          <w:sz w:val="14"/>
          <w:szCs w:val="14"/>
        </w:rPr>
        <w:t>Artículo 6</w:t>
      </w:r>
      <w:r w:rsidRPr="001869FC">
        <w:rPr>
          <w:rStyle w:val="Fuerte"/>
          <w:rFonts w:ascii="Arial" w:hAnsi="Arial" w:cs="Arial"/>
          <w:color w:val="000000"/>
          <w:sz w:val="14"/>
          <w:szCs w:val="14"/>
        </w:rPr>
        <w:t xml:space="preserve">°. </w:t>
      </w:r>
      <w:r w:rsidRPr="001869FC">
        <w:rPr>
          <w:rStyle w:val="nfasis"/>
          <w:rFonts w:ascii="Arial" w:eastAsia="Arial" w:hAnsi="Arial" w:cs="Arial"/>
          <w:color w:val="000000"/>
          <w:sz w:val="14"/>
          <w:szCs w:val="14"/>
        </w:rPr>
        <w:t>Características de las organizaciones de Economía Solidaria. </w:t>
      </w:r>
      <w:r w:rsidRPr="001869FC">
        <w:rPr>
          <w:rFonts w:ascii="Arial" w:hAnsi="Arial" w:cs="Arial"/>
          <w:color w:val="000000"/>
          <w:sz w:val="14"/>
          <w:szCs w:val="14"/>
        </w:rPr>
        <w:t>Son sujetos de la presente ley las personas jurídicas organizadas para realizar actividades sin ánimo de lucro, en las cuales los trabajadores o los usuarios según el caso, son simultáneamente sus aportantes y gestores, creadas con el objeto de producir, distribuir y consumir conjunta y eficientemente, bienes y servicios para satisfacer las necesidades de sus miembros y al desarrollo de obras de servicio a la comunidad en general, observando en su funcionamiento las siguientes características: </w:t>
      </w:r>
    </w:p>
    <w:p w14:paraId="42370908"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856A34">
        <w:rPr>
          <w:rFonts w:ascii="Arial" w:hAnsi="Arial" w:cs="Arial"/>
          <w:color w:val="000000"/>
          <w:sz w:val="19"/>
          <w:szCs w:val="19"/>
        </w:rPr>
        <w:t>  </w:t>
      </w:r>
      <w:r w:rsidRPr="00856A34">
        <w:rPr>
          <w:rFonts w:ascii="Arial" w:hAnsi="Arial" w:cs="Arial"/>
          <w:color w:val="000000"/>
          <w:sz w:val="19"/>
          <w:szCs w:val="19"/>
        </w:rPr>
        <w:tab/>
      </w:r>
      <w:r>
        <w:rPr>
          <w:rFonts w:ascii="Arial" w:hAnsi="Arial" w:cs="Arial"/>
          <w:color w:val="000000"/>
          <w:sz w:val="19"/>
          <w:szCs w:val="19"/>
        </w:rPr>
        <w:t>“</w:t>
      </w:r>
      <w:r w:rsidRPr="001869FC">
        <w:rPr>
          <w:rFonts w:ascii="Arial" w:hAnsi="Arial" w:cs="Arial"/>
          <w:color w:val="000000"/>
          <w:sz w:val="14"/>
          <w:szCs w:val="14"/>
        </w:rPr>
        <w:t>1. Estar organizada como empresa que contemple en su objeto social, el ejercicio de una actividad socioeconómica, tendiente a satisfacer necesidades de sus asociados y el desarrollo de obras de servicio comunitario. </w:t>
      </w:r>
    </w:p>
    <w:p w14:paraId="5462544B"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856A34">
        <w:rPr>
          <w:rFonts w:ascii="Arial" w:hAnsi="Arial" w:cs="Arial"/>
          <w:color w:val="000000"/>
          <w:sz w:val="19"/>
          <w:szCs w:val="19"/>
        </w:rPr>
        <w:t>  </w:t>
      </w:r>
      <w:r w:rsidRPr="00856A34">
        <w:rPr>
          <w:rFonts w:ascii="Arial" w:hAnsi="Arial" w:cs="Arial"/>
          <w:color w:val="000000"/>
          <w:sz w:val="19"/>
          <w:szCs w:val="19"/>
        </w:rPr>
        <w:tab/>
      </w:r>
      <w:r w:rsidRPr="001869FC">
        <w:rPr>
          <w:rFonts w:ascii="Arial" w:hAnsi="Arial" w:cs="Arial"/>
          <w:color w:val="000000"/>
          <w:sz w:val="14"/>
          <w:szCs w:val="14"/>
        </w:rPr>
        <w:t>“2. Tener establecido un vínculo asociativo, fundado en los principios y fines contemplados en la presente ley. </w:t>
      </w:r>
    </w:p>
    <w:p w14:paraId="5B4899A9"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t>“3. Tener incluido en sus estatutos o reglas básicas de funcionamiento la ausencia de ánimo de lucro, movida por la solidaridad, el servicio social o comunitario. </w:t>
      </w:r>
    </w:p>
    <w:p w14:paraId="0B3BCF20"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p>
    <w:p w14:paraId="1085B33A" w14:textId="77777777" w:rsidR="00CE56B4" w:rsidRPr="001869FC" w:rsidRDefault="00CE56B4" w:rsidP="00CE56B4">
      <w:pPr>
        <w:pStyle w:val="NormalWeb"/>
        <w:spacing w:before="0" w:beforeAutospacing="0" w:after="0" w:afterAutospacing="0"/>
        <w:ind w:firstLine="708"/>
        <w:jc w:val="both"/>
        <w:rPr>
          <w:rFonts w:ascii="Arial" w:hAnsi="Arial" w:cs="Arial"/>
          <w:color w:val="000000"/>
          <w:sz w:val="14"/>
          <w:szCs w:val="14"/>
        </w:rPr>
      </w:pPr>
      <w:r w:rsidRPr="001869FC">
        <w:rPr>
          <w:rFonts w:ascii="Arial" w:hAnsi="Arial" w:cs="Arial"/>
          <w:color w:val="000000"/>
          <w:sz w:val="14"/>
          <w:szCs w:val="14"/>
        </w:rPr>
        <w:t>4. Garantizar la igualdad de derechos y obligaciones de sus miembros sin consideración a sus aportes. </w:t>
      </w:r>
    </w:p>
    <w:p w14:paraId="74397F2D"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t>5. Establecer en sus estatutos un monto mínimo de aportes sociales no reducibles, debidamente pagados, durante su existencia. </w:t>
      </w:r>
    </w:p>
    <w:p w14:paraId="5CD0C9A5"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t>6. Integrarse social y económicamente, sin perjuicio de sus vínculos con otras entidades sin ánimo de lucro que tengan por fin promover el desarrollo integral del ser humano. </w:t>
      </w:r>
    </w:p>
    <w:p w14:paraId="50D4B926"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r>
      <w:r w:rsidRPr="001869FC">
        <w:rPr>
          <w:rStyle w:val="Fuerte"/>
          <w:rFonts w:ascii="Arial" w:hAnsi="Arial" w:cs="Arial"/>
          <w:b w:val="0"/>
          <w:bCs w:val="0"/>
          <w:color w:val="000000"/>
          <w:sz w:val="14"/>
          <w:szCs w:val="14"/>
        </w:rPr>
        <w:t>Parágrafo 1°.</w:t>
      </w:r>
      <w:r w:rsidRPr="001869FC">
        <w:rPr>
          <w:rFonts w:ascii="Arial" w:hAnsi="Arial" w:cs="Arial"/>
          <w:color w:val="000000"/>
          <w:sz w:val="14"/>
          <w:szCs w:val="14"/>
        </w:rPr>
        <w:t> En todo caso, las organizaciones de la economía solidaria deberán cumplir con los siguientes principios económicos: </w:t>
      </w:r>
    </w:p>
    <w:p w14:paraId="0BCFCA76"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t>1. Establecer la irrepartibilidad de las reservas sociales y, en caso de liquidación, la del remanente patrimonial. </w:t>
      </w:r>
    </w:p>
    <w:p w14:paraId="3D96DAAC" w14:textId="77777777" w:rsidR="00CE56B4" w:rsidRPr="001869FC" w:rsidRDefault="00CE56B4" w:rsidP="00CE56B4">
      <w:pPr>
        <w:pStyle w:val="NormalWeb"/>
        <w:spacing w:before="0" w:beforeAutospacing="0" w:after="0" w:afterAutospacing="0"/>
        <w:jc w:val="both"/>
        <w:rPr>
          <w:rFonts w:ascii="Arial" w:hAnsi="Arial" w:cs="Arial"/>
          <w:color w:val="000000"/>
          <w:sz w:val="14"/>
          <w:szCs w:val="14"/>
        </w:rPr>
      </w:pPr>
      <w:r w:rsidRPr="001869FC">
        <w:rPr>
          <w:rFonts w:ascii="Arial" w:hAnsi="Arial" w:cs="Arial"/>
          <w:color w:val="000000"/>
          <w:sz w:val="14"/>
          <w:szCs w:val="14"/>
        </w:rPr>
        <w:t>  </w:t>
      </w:r>
      <w:r w:rsidRPr="001869FC">
        <w:rPr>
          <w:rFonts w:ascii="Arial" w:hAnsi="Arial" w:cs="Arial"/>
          <w:color w:val="000000"/>
          <w:sz w:val="14"/>
          <w:szCs w:val="14"/>
        </w:rPr>
        <w:tab/>
        <w:t xml:space="preserve">2. Destinar sus excedentes a la prestación de servicios de carácter social, al crecimiento de sus reservas y fondos, y a reintegrar a sus asociados parte de </w:t>
      </w:r>
      <w:proofErr w:type="gramStart"/>
      <w:r w:rsidRPr="001869FC">
        <w:rPr>
          <w:rFonts w:ascii="Arial" w:hAnsi="Arial" w:cs="Arial"/>
          <w:color w:val="000000"/>
          <w:sz w:val="14"/>
          <w:szCs w:val="14"/>
        </w:rPr>
        <w:t>los mismos</w:t>
      </w:r>
      <w:proofErr w:type="gramEnd"/>
      <w:r w:rsidRPr="001869FC">
        <w:rPr>
          <w:rFonts w:ascii="Arial" w:hAnsi="Arial" w:cs="Arial"/>
          <w:color w:val="000000"/>
          <w:sz w:val="14"/>
          <w:szCs w:val="14"/>
        </w:rPr>
        <w:t xml:space="preserve"> en proporción al uso de los servicios o a la participación en el trabajo de la empresa, sin perjuicio de amortizar los aportes y conservarlos en su valor real. </w:t>
      </w:r>
    </w:p>
    <w:p w14:paraId="5F4FCF1A" w14:textId="77777777" w:rsidR="00CE56B4" w:rsidRPr="001869FC" w:rsidRDefault="00CE56B4" w:rsidP="00CE56B4">
      <w:pPr>
        <w:pStyle w:val="NormalWeb"/>
        <w:spacing w:before="0" w:beforeAutospacing="0" w:after="0" w:afterAutospacing="0"/>
        <w:jc w:val="both"/>
        <w:rPr>
          <w:rFonts w:ascii="Arial" w:hAnsi="Arial" w:cs="Arial"/>
          <w:sz w:val="14"/>
          <w:szCs w:val="14"/>
        </w:rPr>
      </w:pPr>
      <w:r w:rsidRPr="001869FC">
        <w:rPr>
          <w:rFonts w:ascii="Arial" w:hAnsi="Arial" w:cs="Arial"/>
          <w:color w:val="000000"/>
          <w:sz w:val="14"/>
          <w:szCs w:val="14"/>
        </w:rPr>
        <w:t>  </w:t>
      </w:r>
      <w:r w:rsidRPr="001869FC">
        <w:rPr>
          <w:rFonts w:ascii="Arial" w:hAnsi="Arial" w:cs="Arial"/>
          <w:color w:val="000000"/>
          <w:sz w:val="14"/>
          <w:szCs w:val="14"/>
        </w:rPr>
        <w:tab/>
      </w:r>
      <w:r w:rsidRPr="001869FC">
        <w:rPr>
          <w:rStyle w:val="Fuerte"/>
          <w:rFonts w:ascii="Arial" w:hAnsi="Arial" w:cs="Arial"/>
          <w:b w:val="0"/>
          <w:bCs w:val="0"/>
          <w:color w:val="000000"/>
          <w:sz w:val="14"/>
          <w:szCs w:val="14"/>
        </w:rPr>
        <w:t>Parágrafo 2°.</w:t>
      </w:r>
      <w:r w:rsidRPr="001869FC">
        <w:rPr>
          <w:rFonts w:ascii="Arial" w:hAnsi="Arial" w:cs="Arial"/>
          <w:b/>
          <w:color w:val="000000"/>
          <w:sz w:val="14"/>
          <w:szCs w:val="14"/>
        </w:rPr>
        <w:t> </w:t>
      </w:r>
      <w:r w:rsidRPr="001869FC">
        <w:rPr>
          <w:rFonts w:ascii="Arial" w:hAnsi="Arial" w:cs="Arial"/>
          <w:color w:val="000000"/>
          <w:sz w:val="14"/>
          <w:szCs w:val="14"/>
        </w:rPr>
        <w:t>Tienen el carácter de organizaciones solidarias entre otras: cooperativas, los organismos de segundo y tercer grado que agrupen cooperativas u otras formas asociativas y solidarias de propiedad, las instituciones auxiliares de la Economía solidaria, las empresas comunitarias, las empresas solidarias de salud, las precooperativas, los fondos de empleados, las asociaciones mutualistas, las empresas de servicios en las formas de administraciones públicas cooperativas, las empresas asociativas de trabajo y todas aquellas formas asociativas solidarias que cumplan con las características mencionadas en el presente capítulo». </w:t>
      </w:r>
    </w:p>
  </w:footnote>
  <w:footnote w:id="9">
    <w:p w14:paraId="13C8F163" w14:textId="77777777" w:rsidR="00CE56B4" w:rsidRPr="001869FC" w:rsidRDefault="00CE56B4" w:rsidP="00CE56B4">
      <w:pPr>
        <w:pStyle w:val="Textonotapie"/>
        <w:ind w:firstLine="708"/>
        <w:jc w:val="both"/>
        <w:rPr>
          <w:rFonts w:ascii="Arial" w:hAnsi="Arial" w:cs="Arial"/>
          <w:sz w:val="14"/>
          <w:szCs w:val="14"/>
        </w:rPr>
      </w:pPr>
    </w:p>
    <w:p w14:paraId="1EE12DBF" w14:textId="77777777" w:rsidR="00CE56B4" w:rsidRPr="00F1638D" w:rsidRDefault="00CE56B4" w:rsidP="00CE56B4">
      <w:pPr>
        <w:pStyle w:val="Textonotapie"/>
        <w:ind w:firstLine="708"/>
        <w:jc w:val="both"/>
        <w:rPr>
          <w:rFonts w:ascii="Arial" w:hAnsi="Arial" w:cs="Arial"/>
          <w:sz w:val="19"/>
          <w:szCs w:val="19"/>
          <w:lang w:val="es-ES"/>
        </w:rPr>
      </w:pPr>
      <w:r w:rsidRPr="001869FC">
        <w:rPr>
          <w:rStyle w:val="Refdenotaalpie"/>
          <w:rFonts w:ascii="Arial" w:hAnsi="Arial" w:cs="Arial"/>
          <w:sz w:val="14"/>
          <w:szCs w:val="14"/>
        </w:rPr>
        <w:footnoteRef/>
      </w:r>
      <w:r w:rsidRPr="001869FC">
        <w:rPr>
          <w:rFonts w:ascii="Arial" w:hAnsi="Arial" w:cs="Arial"/>
          <w:sz w:val="14"/>
          <w:szCs w:val="14"/>
        </w:rPr>
        <w:t xml:space="preserve"> </w:t>
      </w:r>
      <w:bookmarkStart w:id="2" w:name="8"/>
      <w:bookmarkEnd w:id="2"/>
      <w:r w:rsidRPr="001869FC">
        <w:rPr>
          <w:rFonts w:ascii="Arial" w:eastAsia="Times New Roman" w:hAnsi="Arial" w:cs="Arial"/>
          <w:color w:val="000000"/>
          <w:sz w:val="14"/>
          <w:szCs w:val="14"/>
          <w:lang w:val="es-CO" w:eastAsia="es-CO"/>
        </w:rPr>
        <w:t xml:space="preserve">Ley 100 de 1993, </w:t>
      </w:r>
      <w:r w:rsidRPr="001869FC">
        <w:rPr>
          <w:rFonts w:ascii="Arial" w:hAnsi="Arial" w:cs="Arial"/>
          <w:sz w:val="14"/>
          <w:szCs w:val="14"/>
        </w:rPr>
        <w:t>A</w:t>
      </w:r>
      <w:proofErr w:type="spellStart"/>
      <w:r w:rsidRPr="001869FC">
        <w:rPr>
          <w:rFonts w:ascii="Arial" w:eastAsia="Times New Roman" w:hAnsi="Arial" w:cs="Arial"/>
          <w:color w:val="000000"/>
          <w:sz w:val="14"/>
          <w:szCs w:val="14"/>
          <w:lang w:val="es-CO" w:eastAsia="es-CO"/>
        </w:rPr>
        <w:t>rtículo</w:t>
      </w:r>
      <w:proofErr w:type="spellEnd"/>
      <w:r w:rsidRPr="001869FC">
        <w:rPr>
          <w:rFonts w:ascii="Arial" w:eastAsia="Times New Roman" w:hAnsi="Arial" w:cs="Arial"/>
          <w:b/>
          <w:bCs/>
          <w:color w:val="000000"/>
          <w:sz w:val="14"/>
          <w:szCs w:val="14"/>
          <w:lang w:val="es-CO" w:eastAsia="es-CO"/>
        </w:rPr>
        <w:t> </w:t>
      </w:r>
      <w:r w:rsidRPr="001869FC">
        <w:rPr>
          <w:rFonts w:ascii="Arial" w:eastAsia="Times New Roman" w:hAnsi="Arial" w:cs="Arial"/>
          <w:color w:val="000000"/>
          <w:sz w:val="14"/>
          <w:szCs w:val="14"/>
          <w:lang w:val="es-CO" w:eastAsia="es-CO"/>
        </w:rPr>
        <w:t>8</w:t>
      </w:r>
      <w:r w:rsidRPr="001869FC">
        <w:rPr>
          <w:rFonts w:ascii="Arial" w:eastAsia="Times New Roman" w:hAnsi="Arial" w:cs="Arial"/>
          <w:b/>
          <w:bCs/>
          <w:color w:val="000000"/>
          <w:sz w:val="14"/>
          <w:szCs w:val="14"/>
          <w:lang w:val="es-CO" w:eastAsia="es-CO"/>
        </w:rPr>
        <w:t>.</w:t>
      </w:r>
      <w:r w:rsidRPr="001869FC">
        <w:rPr>
          <w:rFonts w:ascii="Arial" w:eastAsia="Times New Roman" w:hAnsi="Arial" w:cs="Arial"/>
          <w:color w:val="000000"/>
          <w:sz w:val="14"/>
          <w:szCs w:val="14"/>
          <w:lang w:val="es-CO" w:eastAsia="es-CO"/>
        </w:rPr>
        <w:t> Conformación del Sistema de Seguridad Social Integral. El Sistema de Seguridad Social Integral es el conjunto armónico de entidades públicas y privadas, normas y procedimientos y está conformado por los regímenes generales establecidos para pensiones, salud, riesgos profesionales y los servicios sociales complementarios que se definen en la presente</w:t>
      </w:r>
      <w:bookmarkStart w:id="3" w:name="LPHit20"/>
      <w:bookmarkEnd w:id="3"/>
      <w:r w:rsidRPr="001869FC">
        <w:rPr>
          <w:rFonts w:ascii="Arial" w:eastAsia="Times New Roman" w:hAnsi="Arial" w:cs="Arial"/>
          <w:color w:val="000000"/>
          <w:sz w:val="14"/>
          <w:szCs w:val="14"/>
          <w:lang w:val="es-CO" w:eastAsia="es-CO"/>
        </w:rPr>
        <w:t> Ley</w:t>
      </w:r>
    </w:p>
  </w:footnote>
  <w:footnote w:id="10">
    <w:p w14:paraId="3FA4B681" w14:textId="77777777" w:rsidR="00CE56B4" w:rsidRPr="001869FC" w:rsidRDefault="00CE56B4" w:rsidP="00CE56B4">
      <w:pPr>
        <w:pStyle w:val="Textonotapie"/>
        <w:ind w:firstLine="709"/>
        <w:jc w:val="both"/>
        <w:rPr>
          <w:rFonts w:ascii="Arial" w:hAnsi="Arial" w:cs="Arial"/>
          <w:sz w:val="14"/>
          <w:szCs w:val="14"/>
          <w:lang w:val="es-ES"/>
        </w:rPr>
      </w:pPr>
      <w:r w:rsidRPr="00F1638D">
        <w:rPr>
          <w:rStyle w:val="Refdenotaalpie"/>
          <w:rFonts w:ascii="Arial" w:hAnsi="Arial" w:cs="Arial"/>
          <w:sz w:val="19"/>
          <w:szCs w:val="19"/>
        </w:rPr>
        <w:footnoteRef/>
      </w:r>
      <w:r w:rsidRPr="00F1638D">
        <w:rPr>
          <w:rFonts w:ascii="Arial" w:hAnsi="Arial" w:cs="Arial"/>
          <w:sz w:val="19"/>
          <w:szCs w:val="19"/>
        </w:rPr>
        <w:t xml:space="preserve"> </w:t>
      </w:r>
      <w:r w:rsidRPr="001869FC">
        <w:rPr>
          <w:rFonts w:ascii="Arial" w:hAnsi="Arial" w:cs="Arial"/>
          <w:sz w:val="14"/>
          <w:szCs w:val="14"/>
          <w:lang w:val="es-ES"/>
        </w:rPr>
        <w:t>BOBBIO, Norberto. Democracia y secreto. México: Fondo de Cultura Económica, 2013. p. 27.</w:t>
      </w:r>
    </w:p>
  </w:footnote>
  <w:footnote w:id="11">
    <w:p w14:paraId="2CFA3C98" w14:textId="77777777" w:rsidR="00CE56B4" w:rsidRPr="001869FC" w:rsidRDefault="00CE56B4" w:rsidP="00CE56B4">
      <w:pPr>
        <w:pStyle w:val="Textonotapie"/>
        <w:ind w:firstLine="709"/>
        <w:jc w:val="both"/>
        <w:rPr>
          <w:rFonts w:ascii="Arial" w:hAnsi="Arial" w:cs="Arial"/>
          <w:color w:val="000000" w:themeColor="text1"/>
          <w:sz w:val="14"/>
          <w:szCs w:val="14"/>
        </w:rPr>
      </w:pPr>
    </w:p>
    <w:p w14:paraId="16F362DF"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Corte Constitucional. Sentencia C- 341 del 4 de junio de 2014. M. P. Mauricio González Cuervo.</w:t>
      </w:r>
    </w:p>
    <w:p w14:paraId="1224BBB6" w14:textId="77777777" w:rsidR="00CE56B4" w:rsidRPr="001869FC" w:rsidRDefault="00CE56B4" w:rsidP="00CE56B4">
      <w:pPr>
        <w:pStyle w:val="Textonotapie"/>
        <w:ind w:firstLine="709"/>
        <w:jc w:val="both"/>
        <w:rPr>
          <w:rFonts w:ascii="Arial" w:hAnsi="Arial" w:cs="Arial"/>
          <w:color w:val="000000" w:themeColor="text1"/>
          <w:sz w:val="14"/>
          <w:szCs w:val="14"/>
        </w:rPr>
      </w:pPr>
    </w:p>
  </w:footnote>
  <w:footnote w:id="12">
    <w:p w14:paraId="2641FF86"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4CF47951"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Fonts w:ascii="Arial" w:hAnsi="Arial" w:cs="Arial"/>
          <w:color w:val="000000" w:themeColor="text1"/>
          <w:sz w:val="14"/>
          <w:szCs w:val="14"/>
        </w:rPr>
        <w:t>“Lo anterior, sin perjuicio de las publicaciones previstas en el numeral 3 del artículo 30 de la Ley 80 de 1993.</w:t>
      </w:r>
    </w:p>
    <w:p w14:paraId="59DEF6C2"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Fonts w:ascii="Arial" w:hAnsi="Arial" w:cs="Arial"/>
          <w:color w:val="000000" w:themeColor="text1"/>
          <w:sz w:val="14"/>
          <w:szCs w:val="14"/>
        </w:rPr>
        <w:t xml:space="preserve">“Con el fin de materializar los objetivos a que se refiere el inciso anterior, el Gobierno Nacional desarrollará el Sistema Electrónico para la Contratación Pública, </w:t>
      </w:r>
      <w:proofErr w:type="spellStart"/>
      <w:r w:rsidRPr="001869FC">
        <w:rPr>
          <w:rFonts w:ascii="Arial" w:hAnsi="Arial" w:cs="Arial"/>
          <w:color w:val="000000" w:themeColor="text1"/>
          <w:sz w:val="14"/>
          <w:szCs w:val="14"/>
        </w:rPr>
        <w:t>Secop</w:t>
      </w:r>
      <w:proofErr w:type="spellEnd"/>
      <w:r w:rsidRPr="001869FC">
        <w:rPr>
          <w:rFonts w:ascii="Arial" w:hAnsi="Arial" w:cs="Arial"/>
          <w:color w:val="000000" w:themeColor="text1"/>
          <w:sz w:val="14"/>
          <w:szCs w:val="14"/>
        </w:rPr>
        <w:t xml:space="preserve">, el cual: </w:t>
      </w:r>
    </w:p>
    <w:p w14:paraId="59AD649D" w14:textId="77777777" w:rsidR="00CE56B4" w:rsidRPr="001869FC" w:rsidRDefault="00CE56B4" w:rsidP="00CE56B4">
      <w:pPr>
        <w:pStyle w:val="Textonotapie"/>
        <w:ind w:firstLine="709"/>
        <w:jc w:val="both"/>
        <w:rPr>
          <w:rFonts w:ascii="Arial" w:hAnsi="Arial" w:cs="Arial"/>
          <w:color w:val="000000" w:themeColor="text1"/>
          <w:sz w:val="16"/>
          <w:szCs w:val="16"/>
        </w:rPr>
      </w:pPr>
      <w:r w:rsidRPr="001869FC">
        <w:rPr>
          <w:rFonts w:ascii="Arial" w:hAnsi="Arial" w:cs="Arial"/>
          <w:color w:val="000000" w:themeColor="text1"/>
          <w:sz w:val="16"/>
          <w:szCs w:val="16"/>
        </w:rPr>
        <w:t>[…]</w:t>
      </w:r>
    </w:p>
    <w:p w14:paraId="6BF9C9B4"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Fonts w:ascii="Arial" w:hAnsi="Arial" w:cs="Arial"/>
          <w:color w:val="000000" w:themeColor="text1"/>
          <w:sz w:val="14"/>
          <w:szCs w:val="14"/>
        </w:rPr>
        <w:t xml:space="preserve">“c) Contará con la información oficial de la contratación realizada con dineros públicos, para lo cual establecerá los patrones a que haya lugar y se encargará de su difusión a través de canales electrónico». </w:t>
      </w:r>
    </w:p>
    <w:p w14:paraId="68BBE318" w14:textId="77777777" w:rsidR="00CE56B4" w:rsidRPr="001869FC" w:rsidRDefault="00CE56B4" w:rsidP="00CE56B4">
      <w:pPr>
        <w:pStyle w:val="Textonotapie"/>
        <w:ind w:firstLine="709"/>
        <w:jc w:val="both"/>
        <w:rPr>
          <w:rFonts w:ascii="Arial" w:hAnsi="Arial" w:cs="Arial"/>
          <w:color w:val="000000" w:themeColor="text1"/>
          <w:sz w:val="14"/>
          <w:szCs w:val="14"/>
          <w:lang w:val="es-CO"/>
        </w:rPr>
      </w:pPr>
    </w:p>
  </w:footnote>
  <w:footnote w:id="13">
    <w:p w14:paraId="0B03EE5B"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30DBDC58" w14:textId="77777777" w:rsidR="00CE56B4" w:rsidRPr="001869FC" w:rsidRDefault="00CE56B4" w:rsidP="00CE56B4">
      <w:pPr>
        <w:pStyle w:val="Textonotapie"/>
        <w:ind w:firstLine="709"/>
        <w:jc w:val="both"/>
        <w:rPr>
          <w:rFonts w:ascii="Arial" w:hAnsi="Arial" w:cs="Arial"/>
          <w:color w:val="000000" w:themeColor="text1"/>
          <w:sz w:val="14"/>
          <w:szCs w:val="14"/>
          <w:lang w:val="es-CO"/>
        </w:rPr>
      </w:pPr>
    </w:p>
  </w:footnote>
  <w:footnote w:id="14">
    <w:p w14:paraId="7DA0FA26"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Ley 1712 de 2014: “Artículo 5. Ámbito de aplicación. Las disposiciones de esta ley serán aplicables a las siguientes personas en calidad de sujetos obligados: </w:t>
      </w:r>
    </w:p>
    <w:p w14:paraId="23A9905F"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Fonts w:ascii="Arial" w:hAnsi="Arial" w:cs="Arial"/>
          <w:color w:val="000000" w:themeColor="text1"/>
          <w:sz w:val="14"/>
          <w:szCs w:val="14"/>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3B145D0F" w14:textId="77777777" w:rsidR="00CE56B4" w:rsidRPr="001869FC" w:rsidRDefault="00CE56B4" w:rsidP="00CE56B4">
      <w:pPr>
        <w:pStyle w:val="Textonotapie"/>
        <w:ind w:firstLine="709"/>
        <w:jc w:val="both"/>
        <w:rPr>
          <w:rFonts w:ascii="Arial" w:hAnsi="Arial" w:cs="Arial"/>
          <w:color w:val="000000" w:themeColor="text1"/>
          <w:sz w:val="14"/>
          <w:szCs w:val="14"/>
          <w:lang w:val="es-CO"/>
        </w:rPr>
      </w:pPr>
    </w:p>
  </w:footnote>
  <w:footnote w:id="15">
    <w:p w14:paraId="1742EC68"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Fonts w:ascii="Arial" w:eastAsia="Times New Roman" w:hAnsi="Arial" w:cs="Arial"/>
          <w:color w:val="000000" w:themeColor="text1"/>
          <w:sz w:val="14"/>
          <w:szCs w:val="14"/>
          <w:vertAlign w:val="superscript"/>
          <w:lang w:val="es-ES" w:eastAsia="es-ES"/>
        </w:rPr>
        <w:footnoteRef/>
      </w:r>
      <w:r w:rsidRPr="001869FC">
        <w:rPr>
          <w:rFonts w:ascii="Arial" w:eastAsia="Times New Roman" w:hAnsi="Arial" w:cs="Arial"/>
          <w:color w:val="000000" w:themeColor="text1"/>
          <w:sz w:val="14"/>
          <w:szCs w:val="14"/>
          <w:vertAlign w:val="superscript"/>
          <w:lang w:val="es-ES" w:eastAsia="es-ES"/>
        </w:rPr>
        <w:t xml:space="preserve"> </w:t>
      </w:r>
      <w:r w:rsidRPr="001869FC">
        <w:rPr>
          <w:rFonts w:ascii="Arial" w:eastAsia="Times New Roman" w:hAnsi="Arial" w:cs="Arial"/>
          <w:color w:val="000000" w:themeColor="text1"/>
          <w:sz w:val="14"/>
          <w:szCs w:val="14"/>
          <w:lang w:val="es-ES" w:eastAsia="es-ES"/>
        </w:rPr>
        <w:t>“</w:t>
      </w:r>
      <w:r w:rsidRPr="001869FC">
        <w:rPr>
          <w:rFonts w:ascii="Arial" w:hAnsi="Arial" w:cs="Arial"/>
          <w:color w:val="000000" w:themeColor="text1"/>
          <w:sz w:val="14"/>
          <w:szCs w:val="14"/>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7D741118" w14:textId="77777777" w:rsidR="00CE56B4" w:rsidRPr="001869FC" w:rsidRDefault="00CE56B4" w:rsidP="00CE56B4">
      <w:pPr>
        <w:pStyle w:val="Textonotapie"/>
        <w:ind w:firstLine="709"/>
        <w:jc w:val="both"/>
        <w:rPr>
          <w:rFonts w:ascii="Arial" w:eastAsia="Times New Roman" w:hAnsi="Arial" w:cs="Arial"/>
          <w:color w:val="000000" w:themeColor="text1"/>
          <w:sz w:val="14"/>
          <w:szCs w:val="14"/>
          <w:lang w:val="es-ES" w:eastAsia="es-ES"/>
        </w:rPr>
      </w:pPr>
      <w:r w:rsidRPr="001869FC">
        <w:rPr>
          <w:rFonts w:ascii="Arial" w:hAnsi="Arial" w:cs="Arial"/>
          <w:color w:val="000000" w:themeColor="text1"/>
          <w:sz w:val="14"/>
          <w:szCs w:val="14"/>
        </w:rPr>
        <w:t>[…].</w:t>
      </w:r>
    </w:p>
    <w:p w14:paraId="68C0B236" w14:textId="77777777" w:rsidR="00CE56B4" w:rsidRPr="001869FC" w:rsidRDefault="00CE56B4" w:rsidP="00CE56B4">
      <w:pPr>
        <w:pStyle w:val="Textonotapie"/>
        <w:ind w:firstLine="709"/>
        <w:jc w:val="both"/>
        <w:rPr>
          <w:rFonts w:ascii="Arial" w:eastAsia="Times New Roman" w:hAnsi="Arial" w:cs="Arial"/>
          <w:color w:val="000000" w:themeColor="text1"/>
          <w:sz w:val="14"/>
          <w:szCs w:val="14"/>
          <w:lang w:val="es-ES" w:eastAsia="es-ES"/>
        </w:rPr>
      </w:pPr>
      <w:r w:rsidRPr="001869FC">
        <w:rPr>
          <w:rFonts w:ascii="Arial" w:eastAsia="Times New Roman" w:hAnsi="Arial" w:cs="Arial"/>
          <w:color w:val="000000" w:themeColor="text1"/>
          <w:sz w:val="14"/>
          <w:szCs w:val="14"/>
          <w:lang w:val="es-ES" w:eastAsia="es-ES"/>
        </w:rPr>
        <w:t>“Los sujetos obligados que contratan con recursos públicos y recursos privados, deben publicar la información de su gestión contractual con cargo a recursos públicos en el Sistema Electrónico para la Contratación Pública [SECOP]”.</w:t>
      </w:r>
    </w:p>
    <w:p w14:paraId="4381C26B" w14:textId="77777777" w:rsidR="00CE56B4" w:rsidRPr="001869FC" w:rsidRDefault="00CE56B4" w:rsidP="00CE56B4">
      <w:pPr>
        <w:pStyle w:val="Textonotapie"/>
        <w:ind w:firstLine="709"/>
        <w:jc w:val="both"/>
        <w:rPr>
          <w:rFonts w:ascii="Arial" w:eastAsia="Times New Roman" w:hAnsi="Arial" w:cs="Arial"/>
          <w:color w:val="000000" w:themeColor="text1"/>
          <w:sz w:val="14"/>
          <w:szCs w:val="14"/>
          <w:lang w:val="es-ES" w:eastAsia="es-ES"/>
        </w:rPr>
      </w:pPr>
    </w:p>
  </w:footnote>
  <w:footnote w:id="16">
    <w:p w14:paraId="640C65ED"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C</w:t>
      </w:r>
      <w:proofErr w:type="spellStart"/>
      <w:r w:rsidRPr="001869FC">
        <w:rPr>
          <w:rFonts w:ascii="Arial" w:eastAsia="Times New Roman" w:hAnsi="Arial" w:cs="Arial"/>
          <w:color w:val="000000" w:themeColor="text1"/>
          <w:sz w:val="14"/>
          <w:szCs w:val="14"/>
          <w:lang w:val="es-ES" w:eastAsia="es-ES"/>
        </w:rPr>
        <w:t>orte</w:t>
      </w:r>
      <w:proofErr w:type="spellEnd"/>
      <w:r w:rsidRPr="001869FC">
        <w:rPr>
          <w:rFonts w:ascii="Arial" w:eastAsia="Times New Roman" w:hAnsi="Arial" w:cs="Arial"/>
          <w:color w:val="000000" w:themeColor="text1"/>
          <w:sz w:val="14"/>
          <w:szCs w:val="14"/>
          <w:lang w:val="es-ES" w:eastAsia="es-ES"/>
        </w:rPr>
        <w:t xml:space="preserve"> Constitucional. Sentencia C‒274 de 9 de mayo de 2013. M.P. María Victoria Calle Correa. </w:t>
      </w:r>
    </w:p>
    <w:p w14:paraId="4AAF13E2" w14:textId="77777777" w:rsidR="00CE56B4" w:rsidRPr="001869FC" w:rsidRDefault="00CE56B4" w:rsidP="00CE56B4">
      <w:pPr>
        <w:pStyle w:val="Textonotapie"/>
        <w:ind w:firstLine="709"/>
        <w:jc w:val="both"/>
        <w:rPr>
          <w:rFonts w:ascii="Arial" w:hAnsi="Arial" w:cs="Arial"/>
          <w:color w:val="000000" w:themeColor="text1"/>
          <w:sz w:val="14"/>
          <w:szCs w:val="14"/>
          <w:lang w:val="es-CO"/>
        </w:rPr>
      </w:pPr>
    </w:p>
  </w:footnote>
  <w:footnote w:id="17">
    <w:p w14:paraId="399A9653"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“Numeral 1.1 […] Las Entidades que contratan con cargo a recursos públicos están obligadas a publicar oportunamente su actividad contractual en el SECOP, sin que sea relevante para la exigencia de esta obligación su régimen jurídico, naturaleza de público o privado o la pertenencia a una u otra rama del poder público”.</w:t>
      </w:r>
    </w:p>
    <w:p w14:paraId="7A85C418" w14:textId="77777777" w:rsidR="00CE56B4" w:rsidRPr="001869FC" w:rsidRDefault="00CE56B4" w:rsidP="00CE56B4">
      <w:pPr>
        <w:pStyle w:val="Textonotapie"/>
        <w:ind w:firstLine="709"/>
        <w:jc w:val="both"/>
        <w:rPr>
          <w:rFonts w:ascii="Arial" w:hAnsi="Arial" w:cs="Arial"/>
          <w:color w:val="000000" w:themeColor="text1"/>
          <w:sz w:val="14"/>
          <w:szCs w:val="14"/>
          <w:lang w:val="es-CO"/>
        </w:rPr>
      </w:pPr>
    </w:p>
  </w:footnote>
  <w:footnote w:id="18">
    <w:p w14:paraId="78C0B3AB" w14:textId="77777777" w:rsidR="00CE56B4" w:rsidRPr="00F1638D" w:rsidRDefault="00CE56B4" w:rsidP="00CE56B4">
      <w:pPr>
        <w:pStyle w:val="Textonotapie"/>
        <w:ind w:firstLine="709"/>
        <w:jc w:val="both"/>
        <w:rPr>
          <w:rFonts w:ascii="Arial" w:hAnsi="Arial" w:cs="Arial"/>
          <w:sz w:val="19"/>
          <w:szCs w:val="19"/>
          <w:lang w:val="es-ES"/>
        </w:rPr>
      </w:pPr>
      <w:r w:rsidRPr="001869FC">
        <w:rPr>
          <w:rStyle w:val="Refdenotaalpie"/>
          <w:rFonts w:ascii="Arial" w:hAnsi="Arial" w:cs="Arial"/>
          <w:sz w:val="14"/>
          <w:szCs w:val="14"/>
        </w:rPr>
        <w:footnoteRef/>
      </w:r>
      <w:r w:rsidRPr="001869FC">
        <w:rPr>
          <w:rFonts w:ascii="Arial" w:hAnsi="Arial" w:cs="Arial"/>
          <w:sz w:val="14"/>
          <w:szCs w:val="14"/>
        </w:rPr>
        <w:t xml:space="preserve"> </w:t>
      </w:r>
      <w:r w:rsidRPr="001869FC">
        <w:rPr>
          <w:rFonts w:ascii="Arial" w:hAnsi="Arial" w:cs="Arial"/>
          <w:color w:val="000000" w:themeColor="text1"/>
          <w:sz w:val="14"/>
          <w:szCs w:val="14"/>
          <w:lang w:val="es-ES"/>
        </w:rPr>
        <w:t>Consejero Ponente: Jaime Orlando Santofimio Gamboa.</w:t>
      </w:r>
    </w:p>
  </w:footnote>
  <w:footnote w:id="19">
    <w:p w14:paraId="13B99724" w14:textId="77777777" w:rsidR="00CE56B4" w:rsidRPr="001869FC" w:rsidRDefault="00CE56B4" w:rsidP="00CE56B4">
      <w:pPr>
        <w:pStyle w:val="Textonotapie"/>
        <w:ind w:firstLine="709"/>
        <w:jc w:val="both"/>
        <w:rPr>
          <w:rFonts w:ascii="Arial" w:hAnsi="Arial" w:cs="Arial"/>
          <w:color w:val="000000" w:themeColor="text1"/>
          <w:sz w:val="14"/>
          <w:szCs w:val="14"/>
        </w:rPr>
      </w:pPr>
    </w:p>
    <w:p w14:paraId="51E808D5" w14:textId="77777777" w:rsidR="00CE56B4" w:rsidRPr="001869FC" w:rsidRDefault="00CE56B4" w:rsidP="00CE56B4">
      <w:pPr>
        <w:pStyle w:val="Textonotapie"/>
        <w:ind w:firstLine="709"/>
        <w:jc w:val="both"/>
        <w:rPr>
          <w:rFonts w:ascii="Arial" w:hAnsi="Arial" w:cs="Arial"/>
          <w:color w:val="000000" w:themeColor="text1"/>
          <w:sz w:val="14"/>
          <w:szCs w:val="14"/>
        </w:rPr>
      </w:pPr>
      <w:r w:rsidRPr="001869FC">
        <w:rPr>
          <w:rStyle w:val="Refdenotaalpie"/>
          <w:rFonts w:ascii="Arial" w:hAnsi="Arial" w:cs="Arial"/>
          <w:color w:val="000000" w:themeColor="text1"/>
          <w:sz w:val="14"/>
          <w:szCs w:val="14"/>
        </w:rPr>
        <w:footnoteRef/>
      </w:r>
      <w:r w:rsidRPr="001869FC">
        <w:rPr>
          <w:rFonts w:ascii="Arial" w:hAnsi="Arial" w:cs="Arial"/>
          <w:color w:val="000000" w:themeColor="text1"/>
          <w:sz w:val="14"/>
          <w:szCs w:val="14"/>
        </w:rPr>
        <w:t xml:space="preserve"> Consejo de Estado. Sección Tercera. Subsección C. Auto del 14 de agosto de 2017. </w:t>
      </w:r>
      <w:proofErr w:type="spellStart"/>
      <w:r w:rsidRPr="001869FC">
        <w:rPr>
          <w:rFonts w:ascii="Arial" w:hAnsi="Arial" w:cs="Arial"/>
          <w:color w:val="000000" w:themeColor="text1"/>
          <w:sz w:val="14"/>
          <w:szCs w:val="14"/>
        </w:rPr>
        <w:t>Exp</w:t>
      </w:r>
      <w:proofErr w:type="spellEnd"/>
      <w:r w:rsidRPr="001869FC">
        <w:rPr>
          <w:rFonts w:ascii="Arial" w:hAnsi="Arial" w:cs="Arial"/>
          <w:color w:val="000000" w:themeColor="text1"/>
          <w:sz w:val="14"/>
          <w:szCs w:val="14"/>
        </w:rPr>
        <w:t xml:space="preserve">. 58.820. C.P. Jaime Orlando Santofimio Gamboa. </w:t>
      </w:r>
    </w:p>
    <w:p w14:paraId="4DA7BB87" w14:textId="77777777" w:rsidR="00CE56B4" w:rsidRPr="00F1638D" w:rsidRDefault="00CE56B4" w:rsidP="00CE56B4">
      <w:pPr>
        <w:pStyle w:val="Textonotapie"/>
        <w:ind w:firstLine="709"/>
        <w:jc w:val="both"/>
        <w:rPr>
          <w:rFonts w:ascii="Arial" w:hAnsi="Arial" w:cs="Arial"/>
          <w:color w:val="000000" w:themeColor="text1"/>
          <w:sz w:val="19"/>
          <w:szCs w:val="19"/>
          <w:lang w:val="es-CO"/>
        </w:rPr>
      </w:pPr>
    </w:p>
  </w:footnote>
  <w:footnote w:id="20">
    <w:p w14:paraId="36D21651" w14:textId="77777777" w:rsidR="00CE56B4" w:rsidRPr="00F1638D" w:rsidRDefault="00CE56B4" w:rsidP="00CE56B4">
      <w:pPr>
        <w:pStyle w:val="Textonotapie"/>
        <w:ind w:firstLine="709"/>
        <w:jc w:val="both"/>
        <w:rPr>
          <w:rFonts w:ascii="Arial" w:hAnsi="Arial" w:cs="Arial"/>
          <w:sz w:val="19"/>
          <w:szCs w:val="19"/>
        </w:rPr>
      </w:pPr>
      <w:r w:rsidRPr="00F1638D">
        <w:rPr>
          <w:rStyle w:val="Refdenotaalpie"/>
          <w:rFonts w:ascii="Arial" w:hAnsi="Arial" w:cs="Arial"/>
          <w:sz w:val="19"/>
          <w:szCs w:val="19"/>
        </w:rPr>
        <w:footnoteRef/>
      </w:r>
      <w:r w:rsidRPr="00F1638D">
        <w:rPr>
          <w:rFonts w:ascii="Arial" w:hAnsi="Arial" w:cs="Arial"/>
          <w:sz w:val="19"/>
          <w:szCs w:val="19"/>
        </w:rPr>
        <w:t xml:space="preserve"> </w:t>
      </w:r>
      <w:proofErr w:type="spellStart"/>
      <w:r w:rsidRPr="00F1638D">
        <w:rPr>
          <w:rFonts w:ascii="Arial" w:hAnsi="Arial" w:cs="Arial"/>
          <w:sz w:val="19"/>
          <w:szCs w:val="19"/>
        </w:rPr>
        <w:t>Ibíd</w:t>
      </w:r>
      <w:proofErr w:type="spellEnd"/>
      <w:r w:rsidRPr="00F1638D">
        <w:rPr>
          <w:rFonts w:ascii="Arial" w:hAnsi="Arial" w:cs="Arial"/>
          <w:sz w:val="19"/>
          <w:szCs w:val="19"/>
        </w:rPr>
        <w:t xml:space="preserve">. </w:t>
      </w:r>
    </w:p>
  </w:footnote>
  <w:footnote w:id="21">
    <w:p w14:paraId="34AEE6F6" w14:textId="77777777" w:rsidR="00CE56B4" w:rsidRPr="001869FC" w:rsidRDefault="00CE56B4" w:rsidP="00CE56B4">
      <w:pPr>
        <w:pStyle w:val="Textonotapie"/>
        <w:ind w:firstLine="708"/>
        <w:jc w:val="both"/>
        <w:rPr>
          <w:rFonts w:ascii="Arial" w:hAnsi="Arial" w:cs="Arial"/>
          <w:sz w:val="14"/>
          <w:szCs w:val="14"/>
          <w:lang w:val="es-CO"/>
        </w:rPr>
      </w:pPr>
      <w:r w:rsidRPr="001869FC">
        <w:rPr>
          <w:rStyle w:val="Refdenotaalpie"/>
          <w:sz w:val="14"/>
          <w:szCs w:val="14"/>
        </w:rPr>
        <w:footnoteRef/>
      </w:r>
      <w:r w:rsidRPr="001869FC">
        <w:rPr>
          <w:sz w:val="14"/>
          <w:szCs w:val="14"/>
        </w:rPr>
        <w:t xml:space="preserve"> </w:t>
      </w:r>
      <w:r w:rsidRPr="001869FC">
        <w:rPr>
          <w:rFonts w:ascii="Arial" w:hAnsi="Arial" w:cs="Arial"/>
          <w:sz w:val="14"/>
          <w:szCs w:val="14"/>
        </w:rPr>
        <w:t xml:space="preserve">En relación con este aspecto, también resulta relevante la Circular Externa 002 del 17 de marzo de 2022, de la Agencia Nacional de Contratación Pública – Colombia Compra Eficiente, disponible en: </w:t>
      </w:r>
      <w:hyperlink r:id="rId1" w:history="1">
        <w:r w:rsidRPr="001869FC">
          <w:rPr>
            <w:rStyle w:val="Hipervnculo"/>
            <w:rFonts w:ascii="Arial" w:hAnsi="Arial" w:cs="Arial"/>
            <w:sz w:val="14"/>
            <w:szCs w:val="14"/>
          </w:rPr>
          <w:t>https://www.colombiacompra.gov.co/circulares</w:t>
        </w:r>
      </w:hyperlink>
      <w:r w:rsidRPr="001869FC">
        <w:rPr>
          <w:rFonts w:ascii="Arial" w:hAnsi="Arial" w:cs="Arial"/>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732120449">
    <w:abstractNumId w:val="3"/>
  </w:num>
  <w:num w:numId="17" w16cid:durableId="822624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931"/>
    <w:rsid w:val="000D5DA7"/>
    <w:rsid w:val="000F6486"/>
    <w:rsid w:val="00116940"/>
    <w:rsid w:val="00125105"/>
    <w:rsid w:val="00127233"/>
    <w:rsid w:val="0013092F"/>
    <w:rsid w:val="0015699B"/>
    <w:rsid w:val="001639CA"/>
    <w:rsid w:val="0018199A"/>
    <w:rsid w:val="001A33BF"/>
    <w:rsid w:val="001E4177"/>
    <w:rsid w:val="001F0B24"/>
    <w:rsid w:val="001F7DC6"/>
    <w:rsid w:val="0022400B"/>
    <w:rsid w:val="0024208A"/>
    <w:rsid w:val="002421BB"/>
    <w:rsid w:val="0025796E"/>
    <w:rsid w:val="002707A2"/>
    <w:rsid w:val="002951A0"/>
    <w:rsid w:val="002962BC"/>
    <w:rsid w:val="002A093D"/>
    <w:rsid w:val="002A0DD0"/>
    <w:rsid w:val="002A49AC"/>
    <w:rsid w:val="002A64FD"/>
    <w:rsid w:val="002C53B9"/>
    <w:rsid w:val="002C7A84"/>
    <w:rsid w:val="002E2BF8"/>
    <w:rsid w:val="002E4FD9"/>
    <w:rsid w:val="003012C4"/>
    <w:rsid w:val="003036ED"/>
    <w:rsid w:val="0030657A"/>
    <w:rsid w:val="00322A85"/>
    <w:rsid w:val="00324168"/>
    <w:rsid w:val="00324ECD"/>
    <w:rsid w:val="00330834"/>
    <w:rsid w:val="003448F4"/>
    <w:rsid w:val="003625D3"/>
    <w:rsid w:val="00374F5E"/>
    <w:rsid w:val="00377E3E"/>
    <w:rsid w:val="003A1826"/>
    <w:rsid w:val="003A779E"/>
    <w:rsid w:val="003D0F4D"/>
    <w:rsid w:val="003D5B0D"/>
    <w:rsid w:val="003E0499"/>
    <w:rsid w:val="003E4F80"/>
    <w:rsid w:val="003E6439"/>
    <w:rsid w:val="003F3941"/>
    <w:rsid w:val="00406575"/>
    <w:rsid w:val="00414C74"/>
    <w:rsid w:val="0042722E"/>
    <w:rsid w:val="0044528D"/>
    <w:rsid w:val="00466E39"/>
    <w:rsid w:val="004814AA"/>
    <w:rsid w:val="004A1847"/>
    <w:rsid w:val="004A305D"/>
    <w:rsid w:val="004F21C4"/>
    <w:rsid w:val="004F685F"/>
    <w:rsid w:val="00521ECA"/>
    <w:rsid w:val="005566E8"/>
    <w:rsid w:val="00574867"/>
    <w:rsid w:val="00574E8B"/>
    <w:rsid w:val="00581FD1"/>
    <w:rsid w:val="00591460"/>
    <w:rsid w:val="005A65E0"/>
    <w:rsid w:val="005A68A1"/>
    <w:rsid w:val="005B30F4"/>
    <w:rsid w:val="005C3777"/>
    <w:rsid w:val="005C5CDC"/>
    <w:rsid w:val="005D476C"/>
    <w:rsid w:val="00605276"/>
    <w:rsid w:val="006200BF"/>
    <w:rsid w:val="006219F8"/>
    <w:rsid w:val="006302F7"/>
    <w:rsid w:val="00640826"/>
    <w:rsid w:val="00646B9F"/>
    <w:rsid w:val="00665D70"/>
    <w:rsid w:val="006900D9"/>
    <w:rsid w:val="006B4AB4"/>
    <w:rsid w:val="00706C16"/>
    <w:rsid w:val="007340C3"/>
    <w:rsid w:val="0075235A"/>
    <w:rsid w:val="00756841"/>
    <w:rsid w:val="007649AB"/>
    <w:rsid w:val="00771D0C"/>
    <w:rsid w:val="007833AC"/>
    <w:rsid w:val="007929A2"/>
    <w:rsid w:val="007B268C"/>
    <w:rsid w:val="007B7171"/>
    <w:rsid w:val="007C0C0F"/>
    <w:rsid w:val="007C3DC2"/>
    <w:rsid w:val="007E53D9"/>
    <w:rsid w:val="007E5497"/>
    <w:rsid w:val="00803B12"/>
    <w:rsid w:val="00806F5F"/>
    <w:rsid w:val="00820278"/>
    <w:rsid w:val="008258C9"/>
    <w:rsid w:val="00844AE9"/>
    <w:rsid w:val="00852BF2"/>
    <w:rsid w:val="008538C4"/>
    <w:rsid w:val="008666F4"/>
    <w:rsid w:val="00867F95"/>
    <w:rsid w:val="008843B6"/>
    <w:rsid w:val="00891928"/>
    <w:rsid w:val="008A32CD"/>
    <w:rsid w:val="008A446D"/>
    <w:rsid w:val="008B25F1"/>
    <w:rsid w:val="008D180B"/>
    <w:rsid w:val="008F0EA7"/>
    <w:rsid w:val="00923EEF"/>
    <w:rsid w:val="0094168B"/>
    <w:rsid w:val="009419F9"/>
    <w:rsid w:val="00953D91"/>
    <w:rsid w:val="0095685E"/>
    <w:rsid w:val="00961B09"/>
    <w:rsid w:val="00965334"/>
    <w:rsid w:val="0097093E"/>
    <w:rsid w:val="009A0DFA"/>
    <w:rsid w:val="009A1C6F"/>
    <w:rsid w:val="009B2D26"/>
    <w:rsid w:val="009C71FA"/>
    <w:rsid w:val="009C72E7"/>
    <w:rsid w:val="009C7F7E"/>
    <w:rsid w:val="009D2FC8"/>
    <w:rsid w:val="009D3058"/>
    <w:rsid w:val="009F3A13"/>
    <w:rsid w:val="00A122D3"/>
    <w:rsid w:val="00A14468"/>
    <w:rsid w:val="00A17F13"/>
    <w:rsid w:val="00A20739"/>
    <w:rsid w:val="00A23AF9"/>
    <w:rsid w:val="00A33C78"/>
    <w:rsid w:val="00A67408"/>
    <w:rsid w:val="00AB0ADB"/>
    <w:rsid w:val="00AD3244"/>
    <w:rsid w:val="00AE0790"/>
    <w:rsid w:val="00B00C0E"/>
    <w:rsid w:val="00B01B1A"/>
    <w:rsid w:val="00B0381D"/>
    <w:rsid w:val="00B44A47"/>
    <w:rsid w:val="00B72CD3"/>
    <w:rsid w:val="00B72FFF"/>
    <w:rsid w:val="00BC3D36"/>
    <w:rsid w:val="00BD54A6"/>
    <w:rsid w:val="00BD7F72"/>
    <w:rsid w:val="00BF7425"/>
    <w:rsid w:val="00C04FB3"/>
    <w:rsid w:val="00C11D8B"/>
    <w:rsid w:val="00C15139"/>
    <w:rsid w:val="00C224A8"/>
    <w:rsid w:val="00C330EB"/>
    <w:rsid w:val="00C41565"/>
    <w:rsid w:val="00C438EB"/>
    <w:rsid w:val="00C50D69"/>
    <w:rsid w:val="00C5365C"/>
    <w:rsid w:val="00C754BE"/>
    <w:rsid w:val="00C76B1C"/>
    <w:rsid w:val="00C925AC"/>
    <w:rsid w:val="00C967B2"/>
    <w:rsid w:val="00CB6357"/>
    <w:rsid w:val="00CC1B26"/>
    <w:rsid w:val="00CC3818"/>
    <w:rsid w:val="00CE56B4"/>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11F3"/>
    <w:rsid w:val="00FC2B5D"/>
    <w:rsid w:val="00FF0FB0"/>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7441D2F"/>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12FC29F-44EC-4F45-9BF3-5005B113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CE56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CE56B4"/>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E56B4"/>
    <w:rPr>
      <w:rFonts w:ascii="Geomanist Light" w:hAnsi="Geomanist Light"/>
      <w:lang w:val="es-ES"/>
    </w:rPr>
  </w:style>
  <w:style w:type="character" w:styleId="Fuerte">
    <w:name w:val="Strong"/>
    <w:basedOn w:val="Fuentedeprrafopredeter"/>
    <w:uiPriority w:val="22"/>
    <w:qFormat/>
    <w:rsid w:val="00CE56B4"/>
    <w:rPr>
      <w:b/>
      <w:bCs/>
    </w:rPr>
  </w:style>
  <w:style w:type="character" w:customStyle="1" w:styleId="NormalWebCar">
    <w:name w:val="Normal (Web) Car"/>
    <w:link w:val="NormalWeb"/>
    <w:uiPriority w:val="99"/>
    <w:locked/>
    <w:rsid w:val="00CE56B4"/>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CE5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claudialreyesperez23@gmail.com"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circular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9B62B-3445-47A3-BE50-4B14DA9FA7C2}">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0EDD9BB6-D667-4EF1-84FC-7293870C4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TotalTime>
  <Pages>21</Pages>
  <Words>6322</Words>
  <Characters>34777</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41017</CharactersWithSpaces>
  <SharedDoc>false</SharedDoc>
  <HLinks>
    <vt:vector size="60"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589855</vt:i4>
      </vt:variant>
      <vt:variant>
        <vt:i4>15</vt:i4>
      </vt:variant>
      <vt:variant>
        <vt:i4>0</vt:i4>
      </vt:variant>
      <vt:variant>
        <vt:i4>5</vt:i4>
      </vt:variant>
      <vt:variant>
        <vt:lpwstr>https://www.colombiacompra.gov.co/archivos/boletin/boletin-edicion-n-3-de-2026-radar-de-la-compra-publica</vt:lpwstr>
      </vt:variant>
      <vt:variant>
        <vt:lpwstr/>
      </vt:variant>
      <vt:variant>
        <vt:i4>393222</vt:i4>
      </vt:variant>
      <vt:variant>
        <vt:i4>12</vt:i4>
      </vt:variant>
      <vt:variant>
        <vt:i4>0</vt:i4>
      </vt:variant>
      <vt:variant>
        <vt:i4>5</vt:i4>
      </vt:variant>
      <vt:variant>
        <vt:lpwstr>https://www.colombiacompra.gov.co/archivos/circular/circular-externa-002-de-2026</vt:lpwstr>
      </vt:variant>
      <vt:variant>
        <vt:lpwstr/>
      </vt:variant>
      <vt:variant>
        <vt:i4>458758</vt:i4>
      </vt:variant>
      <vt:variant>
        <vt:i4>9</vt:i4>
      </vt:variant>
      <vt:variant>
        <vt:i4>0</vt:i4>
      </vt:variant>
      <vt:variant>
        <vt:i4>5</vt:i4>
      </vt:variant>
      <vt:variant>
        <vt:lpwstr>https://www.colombiacompra.gov.co/archivos/circular/circular-externa-003-de-2026</vt:lpwstr>
      </vt:variant>
      <vt:variant>
        <vt:lpwstr/>
      </vt:variant>
      <vt:variant>
        <vt:i4>7012385</vt:i4>
      </vt:variant>
      <vt:variant>
        <vt:i4>6</vt:i4>
      </vt:variant>
      <vt:variant>
        <vt:i4>0</vt:i4>
      </vt:variant>
      <vt:variant>
        <vt:i4>5</vt:i4>
      </vt:variant>
      <vt:variant>
        <vt:lpwstr>https://www.colombiacompra.gov.co/archivos/manual/guia-de-garantias-en-procesos-de-contratacion</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2752532</vt:i4>
      </vt:variant>
      <vt:variant>
        <vt:i4>0</vt:i4>
      </vt:variant>
      <vt:variant>
        <vt:i4>0</vt:i4>
      </vt:variant>
      <vt:variant>
        <vt:i4>5</vt:i4>
      </vt:variant>
      <vt:variant>
        <vt:lpwstr>mailto:claudialreyesperez23@gmail.com</vt:lpwstr>
      </vt:variant>
      <vt:variant>
        <vt:lpwstr/>
      </vt:variant>
      <vt:variant>
        <vt:i4>983127</vt:i4>
      </vt:variant>
      <vt:variant>
        <vt:i4>0</vt:i4>
      </vt:variant>
      <vt:variant>
        <vt:i4>0</vt:i4>
      </vt:variant>
      <vt:variant>
        <vt:i4>5</vt:i4>
      </vt:variant>
      <vt:variant>
        <vt:lpwstr>https://www.colombiacompra.gov.co/circulares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2026-08-13T21:25:00Z</dcterms:created>
  <dcterms:modified xsi:type="dcterms:W3CDTF">2026-08-14T17:00:00Z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