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F754E" w14:textId="77777777" w:rsidR="00E04E3B" w:rsidRDefault="00E04E3B" w:rsidP="008A6431">
      <w:pPr>
        <w:pStyle w:val="Textoindependiente"/>
        <w:ind w:right="102"/>
        <w:jc w:val="both"/>
        <w:rPr>
          <w:rFonts w:ascii="Verdana" w:hAnsi="Verdana"/>
          <w:b/>
          <w:color w:val="000000" w:themeColor="text1"/>
          <w:lang w:val="es-ES_tradnl"/>
        </w:rPr>
      </w:pPr>
    </w:p>
    <w:p w14:paraId="7B3C3171" w14:textId="315F2872" w:rsidR="008A6431" w:rsidRPr="00396DBB" w:rsidRDefault="008A6431" w:rsidP="008A6431">
      <w:pPr>
        <w:pStyle w:val="Textoindependiente"/>
        <w:ind w:right="102"/>
        <w:jc w:val="both"/>
        <w:rPr>
          <w:rFonts w:ascii="Verdana" w:hAnsi="Verdana"/>
          <w:b/>
          <w:color w:val="000000" w:themeColor="text1"/>
          <w:lang w:val="es-ES_tradnl"/>
        </w:rPr>
      </w:pPr>
      <w:r w:rsidRPr="005D4B9C">
        <w:rPr>
          <w:rFonts w:ascii="Verdana" w:hAnsi="Verdana"/>
          <w:b/>
          <w:color w:val="000000" w:themeColor="text1"/>
          <w:lang w:val="es-ES_tradnl"/>
        </w:rPr>
        <w:t>REQUISITOS HABILITANTES – Noción</w:t>
      </w:r>
      <w:r>
        <w:rPr>
          <w:rFonts w:ascii="Verdana" w:hAnsi="Verdana"/>
          <w:b/>
          <w:color w:val="000000" w:themeColor="text1"/>
          <w:lang w:val="es-ES_tradnl"/>
        </w:rPr>
        <w:t xml:space="preserve"> </w:t>
      </w:r>
      <w:r w:rsidRPr="00396DBB">
        <w:rPr>
          <w:rFonts w:ascii="Verdana" w:hAnsi="Verdana"/>
          <w:b/>
          <w:color w:val="000000" w:themeColor="text1"/>
          <w:lang w:val="es-ES_tradnl"/>
        </w:rPr>
        <w:t xml:space="preserve"> </w:t>
      </w:r>
    </w:p>
    <w:p w14:paraId="4F41AF5D" w14:textId="77777777" w:rsidR="008A6431" w:rsidRPr="00396DBB" w:rsidRDefault="008A6431" w:rsidP="008A6431">
      <w:pPr>
        <w:pStyle w:val="Textoindependiente"/>
        <w:ind w:right="102"/>
        <w:jc w:val="both"/>
        <w:rPr>
          <w:rFonts w:ascii="Verdana" w:hAnsi="Verdana"/>
          <w:color w:val="000000" w:themeColor="text1"/>
          <w:sz w:val="20"/>
          <w:szCs w:val="20"/>
          <w:lang w:val="es-ES_tradnl"/>
        </w:rPr>
      </w:pPr>
    </w:p>
    <w:p w14:paraId="25F1719B" w14:textId="77777777" w:rsidR="008A6431" w:rsidRPr="005D4B9C" w:rsidRDefault="008A6431" w:rsidP="008A6431">
      <w:pPr>
        <w:spacing w:after="0" w:line="240" w:lineRule="auto"/>
        <w:jc w:val="both"/>
        <w:rPr>
          <w:rFonts w:ascii="Verdana" w:eastAsia="Arial" w:hAnsi="Verdana" w:cs="Arial"/>
          <w:bCs/>
          <w:color w:val="000000" w:themeColor="text1"/>
          <w:sz w:val="20"/>
          <w:szCs w:val="20"/>
        </w:rPr>
      </w:pPr>
      <w:r>
        <w:rPr>
          <w:rFonts w:ascii="Verdana" w:eastAsia="Arial" w:hAnsi="Verdana" w:cs="Arial"/>
          <w:bCs/>
          <w:color w:val="000000" w:themeColor="text1"/>
          <w:sz w:val="20"/>
          <w:szCs w:val="20"/>
        </w:rPr>
        <w:t xml:space="preserve">[…] </w:t>
      </w:r>
      <w:r w:rsidRPr="005D4B9C">
        <w:rPr>
          <w:rFonts w:ascii="Verdana" w:eastAsia="Arial" w:hAnsi="Verdana" w:cs="Arial"/>
          <w:bCs/>
          <w:color w:val="000000" w:themeColor="text1"/>
          <w:sz w:val="20"/>
          <w:szCs w:val="20"/>
        </w:rPr>
        <w:t xml:space="preserve">Los requisitos habilitantes se definen como exigencias de participación en los procedimientos de selección, establecidos en disposiciones normativas, de carácter legal o reglamentario, o las contenidas en el acto administrativo que regula las reglas de la convocatoria, es decir, en el pliego de condiciones o el documento equivalente a este. Se diferencian de los criterios de evaluación –también conocidos como criterios de calificación– en que estos son los factores definidos por la Entidad Estatal para la asignación de puntaje en el momento de la comparación de las ofertas, y que, a partir de su ponderación, permiten establecer el orden de elegibilidad y, por ende, la propuesta ganadora. </w:t>
      </w:r>
    </w:p>
    <w:p w14:paraId="3AA01396" w14:textId="77777777" w:rsidR="008A6431" w:rsidRPr="005D4B9C" w:rsidRDefault="008A6431" w:rsidP="008A6431">
      <w:pPr>
        <w:spacing w:after="0" w:line="240" w:lineRule="auto"/>
        <w:jc w:val="both"/>
        <w:rPr>
          <w:rFonts w:ascii="Verdana" w:eastAsia="Arial" w:hAnsi="Verdana" w:cs="Arial"/>
          <w:bCs/>
          <w:color w:val="000000" w:themeColor="text1"/>
          <w:sz w:val="20"/>
          <w:szCs w:val="20"/>
        </w:rPr>
      </w:pPr>
    </w:p>
    <w:p w14:paraId="2A1C37E3" w14:textId="77777777" w:rsidR="008A6431" w:rsidRDefault="008A6431" w:rsidP="008A6431">
      <w:pPr>
        <w:spacing w:after="0" w:line="240" w:lineRule="auto"/>
        <w:jc w:val="both"/>
        <w:rPr>
          <w:rFonts w:ascii="Verdana" w:eastAsia="Arial" w:hAnsi="Verdana" w:cs="Arial"/>
          <w:color w:val="000000" w:themeColor="text1"/>
          <w:sz w:val="20"/>
          <w:szCs w:val="20"/>
        </w:rPr>
      </w:pPr>
      <w:r w:rsidRPr="005D4B9C">
        <w:rPr>
          <w:rFonts w:ascii="Verdana" w:eastAsia="Arial" w:hAnsi="Verdana" w:cs="Arial"/>
          <w:bCs/>
          <w:color w:val="000000" w:themeColor="text1"/>
          <w:sz w:val="20"/>
          <w:szCs w:val="20"/>
        </w:rPr>
        <w:t>A partir de lo dicho se deduce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 de manera que quienes no los reúnan no pueden continuar en el procedimiento de selección, o sea, incurren en causal de rechazo. Esto sin perjuicio del derecho que tienen los oferentes de subsanar los defectos que se presenten en la prueba de tales requisitos, de conformidad con el artículo 5, parágrafos 1º al 4º, de la Ley 1150 de 2007</w:t>
      </w:r>
      <w:r>
        <w:rPr>
          <w:rFonts w:ascii="Verdana" w:eastAsia="Arial" w:hAnsi="Verdana" w:cs="Arial"/>
          <w:bCs/>
          <w:color w:val="000000" w:themeColor="text1"/>
          <w:sz w:val="20"/>
          <w:szCs w:val="20"/>
        </w:rPr>
        <w:t xml:space="preserve"> […]</w:t>
      </w:r>
      <w:r w:rsidRPr="00FB1576">
        <w:rPr>
          <w:rFonts w:ascii="Verdana" w:eastAsia="Arial" w:hAnsi="Verdana" w:cs="Arial"/>
          <w:color w:val="000000" w:themeColor="text1"/>
          <w:sz w:val="20"/>
          <w:szCs w:val="20"/>
        </w:rPr>
        <w:t xml:space="preserve"> </w:t>
      </w:r>
    </w:p>
    <w:p w14:paraId="1798C381" w14:textId="77777777" w:rsidR="008A6431" w:rsidRDefault="008A6431" w:rsidP="008A6431">
      <w:pPr>
        <w:spacing w:after="0" w:line="240" w:lineRule="auto"/>
        <w:jc w:val="both"/>
        <w:rPr>
          <w:rFonts w:ascii="Verdana" w:eastAsia="Arial" w:hAnsi="Verdana" w:cs="Arial"/>
          <w:color w:val="000000" w:themeColor="text1"/>
          <w:sz w:val="20"/>
          <w:szCs w:val="20"/>
        </w:rPr>
      </w:pPr>
    </w:p>
    <w:p w14:paraId="5A90DCA4" w14:textId="77777777" w:rsidR="008A6431" w:rsidRDefault="008A6431" w:rsidP="008A6431">
      <w:pPr>
        <w:spacing w:after="0" w:line="240" w:lineRule="auto"/>
        <w:jc w:val="both"/>
        <w:rPr>
          <w:rFonts w:ascii="Verdana" w:eastAsia="Calibri" w:hAnsi="Verdana" w:cs="Arial"/>
          <w:b/>
          <w:color w:val="000000" w:themeColor="text1"/>
          <w:lang w:val="es-ES_tradnl"/>
        </w:rPr>
      </w:pPr>
      <w:r>
        <w:rPr>
          <w:rFonts w:ascii="Verdana" w:eastAsia="Calibri" w:hAnsi="Verdana" w:cs="Arial"/>
          <w:b/>
          <w:color w:val="000000" w:themeColor="text1"/>
          <w:lang w:val="es-ES_tradnl"/>
        </w:rPr>
        <w:t>CAPACIDAD JURÍDICA</w:t>
      </w:r>
      <w:r w:rsidRPr="00396DBB">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Personas naturales – Objeto social</w:t>
      </w:r>
    </w:p>
    <w:p w14:paraId="026D62F0" w14:textId="77777777" w:rsidR="008A6431" w:rsidRPr="00066843" w:rsidRDefault="008A6431" w:rsidP="008A6431">
      <w:pPr>
        <w:spacing w:after="0" w:line="240" w:lineRule="auto"/>
        <w:jc w:val="both"/>
        <w:rPr>
          <w:rFonts w:ascii="Verdana" w:eastAsia="Calibri" w:hAnsi="Verdana" w:cs="Arial"/>
          <w:b/>
          <w:color w:val="000000" w:themeColor="text1"/>
          <w:lang w:val="es-ES_tradnl"/>
        </w:rPr>
      </w:pPr>
    </w:p>
    <w:p w14:paraId="39793F1F" w14:textId="77777777" w:rsidR="008A6431" w:rsidRPr="00E72132" w:rsidRDefault="008A6431" w:rsidP="008A6431">
      <w:pPr>
        <w:spacing w:line="240" w:lineRule="auto"/>
        <w:jc w:val="both"/>
        <w:rPr>
          <w:sz w:val="20"/>
          <w:szCs w:val="20"/>
        </w:rPr>
      </w:pPr>
      <w:r>
        <w:rPr>
          <w:rFonts w:ascii="Verdana" w:eastAsia="Arial" w:hAnsi="Verdana" w:cs="Arial"/>
          <w:bCs/>
          <w:color w:val="000000" w:themeColor="text1"/>
          <w:sz w:val="20"/>
          <w:szCs w:val="20"/>
        </w:rPr>
        <w:t xml:space="preserve">[…] </w:t>
      </w:r>
      <w:r w:rsidRPr="00E72132">
        <w:rPr>
          <w:rFonts w:ascii="Verdana" w:hAnsi="Verdana" w:cs="Arial"/>
          <w:sz w:val="20"/>
          <w:szCs w:val="20"/>
        </w:rPr>
        <w:t>Para el Consejo de Estado “la capacidad jurídica en la contratación estatal se integra no solamente por la capacidad de goce y la capacidad de ejercicio del proponente sino también por la ausencia de inhabilidades o incompatibilidades de su parte. En otros términos, en la actividad negocial de la administración tiene capacidad jurídica el proponente que existe, que tiene plena capacidad de ejercicio o de obrar y que no tiene inhabilidad o impedimento alguno para intervenir en el iter contractual”. Si bien las inhabilidades y las incompatibilidades guardan relación con las incapacidades particulares que consisten en la prohibición que la ley ha impuesto a ciertas personas para ejecutar ciertos actos, para efectos de la capacidad de ejercicio, es necesario estarse a lo dispuesto en inciso 1 del artículo 34 del Código Civil.</w:t>
      </w:r>
      <w:r w:rsidRPr="00E72132">
        <w:rPr>
          <w:rFonts w:ascii="Verdana" w:hAnsi="Verdana" w:cs="Arial"/>
          <w:sz w:val="20"/>
          <w:szCs w:val="20"/>
          <w:lang w:val="es-ES_tradnl"/>
        </w:rPr>
        <w:t xml:space="preserve"> </w:t>
      </w:r>
    </w:p>
    <w:p w14:paraId="7B774900" w14:textId="77777777" w:rsidR="008A6431" w:rsidRPr="00E72132" w:rsidRDefault="008A6431" w:rsidP="008A6431">
      <w:pPr>
        <w:spacing w:line="240" w:lineRule="auto"/>
        <w:jc w:val="both"/>
        <w:rPr>
          <w:sz w:val="20"/>
          <w:szCs w:val="20"/>
        </w:rPr>
      </w:pPr>
      <w:r w:rsidRPr="00E72132">
        <w:rPr>
          <w:rFonts w:ascii="Verdana" w:eastAsia="Calibri" w:hAnsi="Verdana" w:cs="Arial"/>
          <w:sz w:val="20"/>
          <w:szCs w:val="20"/>
          <w:lang w:val="es-ES" w:eastAsia="es-ES"/>
        </w:rPr>
        <w:t xml:space="preserve">Se concluye que, las personas naturales que tienen capacidad jurídica para contratar son los mayores de edad, salvo que por disposición expresa se encuentren limitados por decisión judicial, y que no estén incursas en inhabilidades, incompatibilidades o prohibiciones derivadas de la ley. </w:t>
      </w:r>
      <w:r>
        <w:rPr>
          <w:rFonts w:ascii="Verdana" w:eastAsia="Arial" w:hAnsi="Verdana" w:cs="Arial"/>
          <w:bCs/>
          <w:color w:val="000000" w:themeColor="text1"/>
          <w:sz w:val="20"/>
          <w:szCs w:val="20"/>
        </w:rPr>
        <w:t>[…]</w:t>
      </w:r>
    </w:p>
    <w:p w14:paraId="2A387372" w14:textId="77777777" w:rsidR="008A6431" w:rsidRPr="007D07DC" w:rsidRDefault="008A6431" w:rsidP="008A6431">
      <w:pPr>
        <w:spacing w:after="0" w:line="240" w:lineRule="auto"/>
        <w:jc w:val="both"/>
        <w:rPr>
          <w:rFonts w:ascii="Verdana" w:eastAsia="Calibri" w:hAnsi="Verdana" w:cs="Arial"/>
          <w:b/>
          <w:lang w:val="es-ES_tradnl"/>
        </w:rPr>
      </w:pPr>
    </w:p>
    <w:p w14:paraId="52B1AC5D" w14:textId="77777777" w:rsidR="008A6431" w:rsidRPr="007D07DC" w:rsidRDefault="008A6431" w:rsidP="008A6431">
      <w:pPr>
        <w:spacing w:after="0" w:line="240" w:lineRule="auto"/>
        <w:jc w:val="both"/>
        <w:rPr>
          <w:rFonts w:ascii="Verdana" w:eastAsia="Calibri" w:hAnsi="Verdana" w:cs="Arial"/>
          <w:b/>
          <w:lang w:val="es-ES_tradnl"/>
        </w:rPr>
      </w:pPr>
      <w:r w:rsidRPr="007D07DC">
        <w:rPr>
          <w:rFonts w:ascii="Verdana" w:eastAsia="Calibri" w:hAnsi="Verdana" w:cs="Arial"/>
          <w:b/>
          <w:lang w:val="es-ES_tradnl"/>
        </w:rPr>
        <w:t xml:space="preserve">PERSONAS NATURALES – Capacidad – Clasificación Industrial Internacional Uniforme – </w:t>
      </w:r>
      <w:r>
        <w:rPr>
          <w:rFonts w:ascii="Verdana" w:eastAsia="Calibri" w:hAnsi="Verdana" w:cs="Arial"/>
          <w:b/>
          <w:lang w:val="es-ES_tradnl"/>
        </w:rPr>
        <w:t>Noción</w:t>
      </w:r>
    </w:p>
    <w:p w14:paraId="052E3E5C" w14:textId="77777777" w:rsidR="008A6431" w:rsidRPr="007D07DC" w:rsidRDefault="008A6431" w:rsidP="008A6431">
      <w:pPr>
        <w:spacing w:after="0" w:line="240" w:lineRule="auto"/>
        <w:jc w:val="both"/>
        <w:rPr>
          <w:rFonts w:ascii="Verdana" w:eastAsia="Calibri" w:hAnsi="Verdana" w:cs="Arial"/>
          <w:bCs/>
          <w:sz w:val="20"/>
          <w:szCs w:val="20"/>
          <w:lang w:val="es-ES_tradnl"/>
        </w:rPr>
      </w:pPr>
    </w:p>
    <w:p w14:paraId="5A1B0957" w14:textId="77777777" w:rsidR="008A6431" w:rsidRPr="00BA78DD" w:rsidRDefault="008A6431" w:rsidP="008A6431">
      <w:pPr>
        <w:spacing w:after="120" w:line="240" w:lineRule="auto"/>
        <w:jc w:val="both"/>
        <w:rPr>
          <w:rFonts w:ascii="Verdana" w:eastAsia="Times New Roman" w:hAnsi="Verdana" w:cs="Arial"/>
          <w:sz w:val="20"/>
          <w:szCs w:val="20"/>
          <w:lang w:val="es-ES_tradnl" w:eastAsia="es-ES_tradnl"/>
        </w:rPr>
      </w:pPr>
      <w:r>
        <w:rPr>
          <w:rFonts w:ascii="Verdana" w:eastAsia="Arial" w:hAnsi="Verdana" w:cs="Arial"/>
          <w:bCs/>
          <w:color w:val="000000" w:themeColor="text1"/>
          <w:sz w:val="20"/>
          <w:szCs w:val="20"/>
        </w:rPr>
        <w:lastRenderedPageBreak/>
        <w:t xml:space="preserve">[…] </w:t>
      </w:r>
      <w:r w:rsidRPr="00BA78DD">
        <w:rPr>
          <w:rFonts w:ascii="Verdana" w:eastAsia="Calibri" w:hAnsi="Verdana" w:cs="Arial"/>
          <w:sz w:val="20"/>
          <w:szCs w:val="20"/>
        </w:rPr>
        <w:t>Por otra parte, e</w:t>
      </w:r>
      <w:r w:rsidRPr="00BA78DD">
        <w:rPr>
          <w:rFonts w:ascii="Verdana" w:eastAsia="Calibri" w:hAnsi="Verdana" w:cs="Arial"/>
          <w:sz w:val="20"/>
          <w:szCs w:val="20"/>
          <w:lang w:val="es-ES_tradnl" w:eastAsia="es-ES_tradnl"/>
        </w:rPr>
        <w:t xml:space="preserve">n el </w:t>
      </w:r>
      <w:r w:rsidRPr="00BA78DD">
        <w:rPr>
          <w:rFonts w:ascii="Verdana" w:eastAsia="Times New Roman" w:hAnsi="Verdana" w:cs="Arial"/>
          <w:sz w:val="20"/>
          <w:szCs w:val="20"/>
          <w:lang w:val="es-ES" w:eastAsia="es-ES"/>
        </w:rPr>
        <w:t xml:space="preserve">Registro Único Empresarial y Social –en adelante </w:t>
      </w:r>
      <w:r w:rsidRPr="00BA78DD">
        <w:rPr>
          <w:rFonts w:ascii="Verdana" w:eastAsia="Times New Roman" w:hAnsi="Verdana" w:cs="Arial"/>
          <w:sz w:val="20"/>
          <w:szCs w:val="20"/>
          <w:lang w:val="es-ES_tradnl" w:eastAsia="es-ES_tradnl"/>
        </w:rPr>
        <w:t>RUES</w:t>
      </w:r>
      <w:r w:rsidRPr="00BA78DD">
        <w:rPr>
          <w:rFonts w:ascii="Verdana" w:eastAsia="Times New Roman" w:hAnsi="Verdana" w:cs="Arial"/>
          <w:sz w:val="20"/>
          <w:szCs w:val="20"/>
          <w:lang w:val="es-ES" w:eastAsia="es-ES"/>
        </w:rPr>
        <w:t>–</w:t>
      </w:r>
      <w:r w:rsidRPr="00BA78DD">
        <w:rPr>
          <w:rFonts w:ascii="Verdana" w:eastAsia="Times New Roman" w:hAnsi="Verdana" w:cs="Arial"/>
          <w:sz w:val="20"/>
          <w:szCs w:val="20"/>
          <w:lang w:val="es-ES_tradnl" w:eastAsia="es-ES_tradnl"/>
        </w:rPr>
        <w:t>, administrado por las Cámaras de Comercio, se encuentra el listado de las actividades económicas que desarrolla cada empresa, según los códigos de la Clasificación Industrial Internacional Uniforme –CIIU–, en virtud de lo dispuesto en el artículo 11 de la Ley 590 de 2000 y el artículo 166 del Decreto Ley 019 de 2012.</w:t>
      </w:r>
    </w:p>
    <w:p w14:paraId="5A42381A" w14:textId="77777777" w:rsidR="008A6431" w:rsidRDefault="008A6431" w:rsidP="008A6431">
      <w:pPr>
        <w:spacing w:after="120" w:line="240" w:lineRule="auto"/>
        <w:jc w:val="both"/>
        <w:rPr>
          <w:rFonts w:ascii="Verdana" w:eastAsia="Calibri" w:hAnsi="Verdana" w:cs="Arial"/>
          <w:sz w:val="20"/>
          <w:szCs w:val="20"/>
        </w:rPr>
      </w:pPr>
      <w:r w:rsidRPr="00BA78DD">
        <w:rPr>
          <w:rFonts w:ascii="Verdana" w:eastAsia="Calibri" w:hAnsi="Verdana" w:cs="Arial"/>
          <w:sz w:val="20"/>
          <w:szCs w:val="20"/>
        </w:rPr>
        <w:t xml:space="preserve">La </w:t>
      </w:r>
      <w:r w:rsidRPr="00BA78DD">
        <w:rPr>
          <w:rFonts w:ascii="Verdana" w:eastAsia="Times New Roman" w:hAnsi="Verdana" w:cs="Arial"/>
          <w:sz w:val="20"/>
          <w:szCs w:val="20"/>
          <w:lang w:val="es-ES_tradnl" w:eastAsia="es-ES_tradnl"/>
        </w:rPr>
        <w:t>CIIU</w:t>
      </w:r>
      <w:r w:rsidRPr="00BA78DD">
        <w:rPr>
          <w:rFonts w:ascii="Verdana" w:eastAsia="Calibri" w:hAnsi="Verdana" w:cs="Arial"/>
          <w:sz w:val="20"/>
          <w:szCs w:val="20"/>
        </w:rPr>
        <w:t xml:space="preserve"> corresponde a un sistema estandarizado desarrollado por las Naciones Unidas para clasificar las actividades económicas en distintos sectores. Como explica el DANE, su objetivo es facilitar la recopilación, análisis y comparación de datos estadísticos a nivel nacional e internacional “La CIIU tiene por finalidad establecer una clasificación uniforme de las actividades económicas productivas. Su propósito principal es ofrecer un conjunto de categorías de actividades económicas que se pueda utilizar para la reunión y presentación de estadísticas de acuerdo con esas actividades. Por consiguiente, la CIIU se propone presentar ese conjunto de categorías de actividades de tal modo que las entidades puedan clasificarse según la actividad económica que realizan. Las categorías de la CIIU se han definido vinculándolas, en la medida de lo posible, con la forma en que el proceso económico está estructurado en diferentes tipos de unidades estadísticas y la manera como se describe ese proceso en las estadísticas económicas”. </w:t>
      </w:r>
      <w:r>
        <w:rPr>
          <w:rFonts w:ascii="Verdana" w:eastAsia="Arial" w:hAnsi="Verdana" w:cs="Arial"/>
          <w:bCs/>
          <w:color w:val="000000" w:themeColor="text1"/>
          <w:sz w:val="20"/>
          <w:szCs w:val="20"/>
        </w:rPr>
        <w:t>[…]</w:t>
      </w:r>
    </w:p>
    <w:p w14:paraId="396F340F" w14:textId="77777777" w:rsidR="008A6431" w:rsidRDefault="008A6431" w:rsidP="008A6431">
      <w:pPr>
        <w:spacing w:after="0" w:line="240" w:lineRule="auto"/>
        <w:jc w:val="both"/>
        <w:rPr>
          <w:rFonts w:ascii="Verdana" w:eastAsia="Calibri" w:hAnsi="Verdana" w:cs="Arial"/>
          <w:b/>
          <w:lang w:val="es-ES_tradnl"/>
        </w:rPr>
      </w:pPr>
      <w:r w:rsidRPr="007D07DC">
        <w:rPr>
          <w:rFonts w:ascii="Verdana" w:eastAsia="Calibri" w:hAnsi="Verdana" w:cs="Arial"/>
          <w:b/>
          <w:lang w:val="es-ES_tradnl"/>
        </w:rPr>
        <w:t xml:space="preserve">PERSONAS NATURALES – Capacidad – Clasificación Industrial Internacional Uniforme – Efectos declarativos </w:t>
      </w:r>
    </w:p>
    <w:p w14:paraId="7A2CEB87" w14:textId="77777777" w:rsidR="008A6431" w:rsidRPr="009910CD" w:rsidRDefault="008A6431" w:rsidP="008A6431">
      <w:pPr>
        <w:spacing w:after="0" w:line="240" w:lineRule="auto"/>
        <w:jc w:val="both"/>
        <w:rPr>
          <w:rFonts w:ascii="Verdana" w:eastAsia="Calibri" w:hAnsi="Verdana" w:cs="Arial"/>
          <w:b/>
          <w:lang w:val="es-ES_tradnl"/>
        </w:rPr>
      </w:pPr>
    </w:p>
    <w:p w14:paraId="28549035" w14:textId="77777777" w:rsidR="008A6431" w:rsidRDefault="008A6431" w:rsidP="008A6431">
      <w:pPr>
        <w:spacing w:after="120" w:line="240" w:lineRule="auto"/>
        <w:jc w:val="both"/>
        <w:rPr>
          <w:rFonts w:ascii="Verdana" w:eastAsia="Calibri" w:hAnsi="Verdana" w:cs="Arial"/>
          <w:sz w:val="20"/>
          <w:szCs w:val="20"/>
        </w:rPr>
      </w:pPr>
      <w:r>
        <w:rPr>
          <w:rFonts w:ascii="Verdana" w:eastAsia="Arial" w:hAnsi="Verdana" w:cs="Arial"/>
          <w:bCs/>
          <w:color w:val="000000" w:themeColor="text1"/>
          <w:sz w:val="20"/>
          <w:szCs w:val="20"/>
        </w:rPr>
        <w:t xml:space="preserve">[…] </w:t>
      </w:r>
      <w:r w:rsidRPr="00BA78DD">
        <w:rPr>
          <w:rFonts w:ascii="Verdana" w:eastAsia="Calibri" w:hAnsi="Verdana" w:cs="Arial"/>
          <w:sz w:val="20"/>
          <w:szCs w:val="20"/>
        </w:rPr>
        <w:t xml:space="preserve">De esta manera, los códigos del </w:t>
      </w:r>
      <w:r w:rsidRPr="00BA78DD">
        <w:rPr>
          <w:rFonts w:ascii="Verdana" w:eastAsia="Times New Roman" w:hAnsi="Verdana" w:cs="Arial"/>
          <w:sz w:val="20"/>
          <w:szCs w:val="20"/>
          <w:lang w:val="es-ES_tradnl" w:eastAsia="es-ES_tradnl"/>
        </w:rPr>
        <w:t>CIIU</w:t>
      </w:r>
      <w:r w:rsidRPr="00BA78DD">
        <w:rPr>
          <w:rFonts w:ascii="Verdana" w:eastAsia="Calibri" w:hAnsi="Verdana" w:cs="Arial"/>
          <w:sz w:val="20"/>
          <w:szCs w:val="20"/>
        </w:rPr>
        <w:t xml:space="preserve"> tienen efectos declarativos, no constitutivos. Por ello, respecto de la persona natural existe capacidad jurídica </w:t>
      </w:r>
      <w:r w:rsidRPr="00BA78DD">
        <w:rPr>
          <w:rFonts w:ascii="Verdana" w:eastAsia="Calibri" w:hAnsi="Verdana" w:cs="Arial"/>
          <w:sz w:val="20"/>
          <w:szCs w:val="20"/>
          <w:lang w:val="es-ES" w:eastAsia="es-ES"/>
        </w:rPr>
        <w:t xml:space="preserve">cuando son mayores de edad, salvo que por disposición expresa se encuentren limitados por decisión judicial, y que no estén incursas en inhabilidades, incompatibilidades o prohibiciones derivadas de la ley </w:t>
      </w:r>
      <w:r w:rsidRPr="00BA78DD">
        <w:rPr>
          <w:rFonts w:ascii="Verdana" w:eastAsia="Calibri" w:hAnsi="Verdana" w:cs="Arial"/>
          <w:sz w:val="20"/>
          <w:szCs w:val="20"/>
        </w:rPr>
        <w:t xml:space="preserve">y aquella se mantiene aunque la actividad económica no se haya recogido en la clasificación. </w:t>
      </w:r>
    </w:p>
    <w:p w14:paraId="4F2D05F6" w14:textId="77777777" w:rsidR="008A6431" w:rsidRPr="009910CD" w:rsidRDefault="008A6431" w:rsidP="008A6431">
      <w:pPr>
        <w:spacing w:after="120" w:line="240" w:lineRule="auto"/>
        <w:jc w:val="both"/>
        <w:rPr>
          <w:rFonts w:ascii="Verdana" w:eastAsia="Calibri" w:hAnsi="Verdana" w:cs="Arial"/>
          <w:sz w:val="18"/>
          <w:szCs w:val="18"/>
        </w:rPr>
      </w:pPr>
      <w:r w:rsidRPr="009910CD">
        <w:rPr>
          <w:rFonts w:ascii="Verdana" w:eastAsia="Calibri" w:hAnsi="Verdana" w:cs="Arial"/>
          <w:sz w:val="20"/>
          <w:szCs w:val="20"/>
        </w:rPr>
        <w:t xml:space="preserve">Sin perjuicio de lo anterior, sumado a las implicaciones estadísticas de la </w:t>
      </w:r>
      <w:r w:rsidRPr="009910CD">
        <w:rPr>
          <w:rFonts w:ascii="Verdana" w:eastAsia="Times New Roman" w:hAnsi="Verdana" w:cs="Arial"/>
          <w:sz w:val="20"/>
          <w:szCs w:val="20"/>
          <w:lang w:val="es-ES_tradnl" w:eastAsia="es-ES_tradnl"/>
        </w:rPr>
        <w:t>CIIU, los interesados deben registrar adecuadamente los códigos de sus actividades económicas en el RUES. Lo anterior teniendo en cuenta que son un parámetro para la DIAN en lo relativo al control y determinación de los impuestos y demás obligaciones tributarias, aduaneras y cambiarias.</w:t>
      </w:r>
      <w:r>
        <w:rPr>
          <w:rFonts w:ascii="Verdana" w:eastAsia="Calibri" w:hAnsi="Verdana" w:cs="Arial"/>
          <w:sz w:val="18"/>
          <w:szCs w:val="18"/>
        </w:rPr>
        <w:t xml:space="preserve"> </w:t>
      </w:r>
      <w:r>
        <w:rPr>
          <w:rFonts w:ascii="Verdana" w:eastAsia="Arial" w:hAnsi="Verdana" w:cs="Arial"/>
          <w:bCs/>
          <w:color w:val="000000" w:themeColor="text1"/>
          <w:sz w:val="20"/>
          <w:szCs w:val="20"/>
        </w:rPr>
        <w:t>[…]</w:t>
      </w:r>
    </w:p>
    <w:p w14:paraId="0D4A9DDD" w14:textId="77777777" w:rsidR="008A6431" w:rsidRPr="00357F20" w:rsidRDefault="008A6431" w:rsidP="008A6431">
      <w:pPr>
        <w:spacing w:after="0" w:line="240" w:lineRule="auto"/>
        <w:contextualSpacing/>
        <w:jc w:val="both"/>
        <w:rPr>
          <w:rFonts w:ascii="Verdana" w:eastAsia="Calibri" w:hAnsi="Verdana" w:cs="Arial"/>
          <w:b/>
          <w:bCs/>
          <w:color w:val="EE0000"/>
          <w:lang w:val="es-ES_tradnl" w:eastAsia="es-ES"/>
        </w:rPr>
      </w:pPr>
    </w:p>
    <w:p w14:paraId="0296E58E" w14:textId="77777777" w:rsidR="008A6431" w:rsidRPr="00C57C02" w:rsidRDefault="008A6431" w:rsidP="008A6431">
      <w:pPr>
        <w:spacing w:after="0" w:line="240" w:lineRule="auto"/>
        <w:contextualSpacing/>
        <w:jc w:val="both"/>
        <w:rPr>
          <w:rFonts w:ascii="Verdana" w:eastAsia="Calibri" w:hAnsi="Verdana" w:cs="Arial"/>
          <w:b/>
          <w:bCs/>
          <w:color w:val="EE0000"/>
          <w:lang w:eastAsia="es-ES"/>
        </w:rPr>
      </w:pPr>
    </w:p>
    <w:p w14:paraId="71F129E3" w14:textId="77777777" w:rsidR="008A6431" w:rsidRPr="00C57C02" w:rsidRDefault="008A6431" w:rsidP="008A6431">
      <w:pPr>
        <w:spacing w:after="0" w:line="240" w:lineRule="auto"/>
        <w:contextualSpacing/>
        <w:jc w:val="both"/>
        <w:rPr>
          <w:rFonts w:ascii="Verdana" w:eastAsia="Calibri" w:hAnsi="Verdana" w:cs="Arial"/>
          <w:color w:val="EE0000"/>
          <w:sz w:val="20"/>
          <w:szCs w:val="20"/>
          <w:lang w:eastAsia="es-ES"/>
        </w:rPr>
      </w:pPr>
    </w:p>
    <w:p w14:paraId="4BE0D73D" w14:textId="77777777" w:rsidR="008A6431" w:rsidRPr="00C57C02" w:rsidRDefault="008A6431" w:rsidP="008A6431">
      <w:pPr>
        <w:spacing w:after="0" w:line="240" w:lineRule="auto"/>
        <w:contextualSpacing/>
        <w:jc w:val="both"/>
        <w:rPr>
          <w:rFonts w:ascii="Verdana" w:eastAsia="Calibri" w:hAnsi="Verdana" w:cs="Arial"/>
          <w:color w:val="EE0000"/>
          <w:sz w:val="20"/>
          <w:szCs w:val="20"/>
          <w:lang w:eastAsia="es-ES"/>
        </w:rPr>
      </w:pPr>
    </w:p>
    <w:p w14:paraId="0BAE0D9D" w14:textId="77777777" w:rsidR="008A6431" w:rsidRPr="00C57C02" w:rsidRDefault="008A6431" w:rsidP="008A6431">
      <w:pPr>
        <w:spacing w:after="0" w:line="240" w:lineRule="auto"/>
        <w:contextualSpacing/>
        <w:jc w:val="both"/>
        <w:rPr>
          <w:rFonts w:ascii="Verdana" w:eastAsia="Calibri" w:hAnsi="Verdana" w:cs="Arial"/>
          <w:color w:val="EE0000"/>
          <w:sz w:val="20"/>
          <w:szCs w:val="20"/>
          <w:lang w:eastAsia="es-ES"/>
        </w:rPr>
      </w:pPr>
    </w:p>
    <w:p w14:paraId="2F4CFA55" w14:textId="77777777" w:rsidR="008A6431" w:rsidRPr="00C57C02" w:rsidRDefault="008A6431" w:rsidP="008A6431">
      <w:pPr>
        <w:spacing w:after="0" w:line="240" w:lineRule="auto"/>
        <w:contextualSpacing/>
        <w:jc w:val="both"/>
        <w:rPr>
          <w:rFonts w:ascii="Verdana" w:eastAsia="Calibri" w:hAnsi="Verdana" w:cs="Arial"/>
          <w:color w:val="EE0000"/>
          <w:sz w:val="20"/>
          <w:szCs w:val="20"/>
          <w:lang w:eastAsia="es-ES"/>
        </w:rPr>
      </w:pPr>
    </w:p>
    <w:p w14:paraId="372C4E7E" w14:textId="77777777" w:rsidR="008A6431" w:rsidRPr="00C57C02" w:rsidRDefault="008A6431" w:rsidP="008A6431">
      <w:pPr>
        <w:spacing w:after="0" w:line="240" w:lineRule="auto"/>
        <w:contextualSpacing/>
        <w:jc w:val="both"/>
        <w:rPr>
          <w:rFonts w:ascii="Verdana" w:eastAsia="Calibri" w:hAnsi="Verdana" w:cs="Arial"/>
          <w:color w:val="EE0000"/>
          <w:sz w:val="20"/>
          <w:szCs w:val="20"/>
          <w:lang w:eastAsia="es-ES"/>
        </w:rPr>
      </w:pPr>
    </w:p>
    <w:p w14:paraId="39CC19C8" w14:textId="77777777" w:rsidR="008A6431" w:rsidRPr="00C57C02" w:rsidRDefault="008A6431" w:rsidP="008A6431">
      <w:pPr>
        <w:spacing w:after="0" w:line="240" w:lineRule="auto"/>
        <w:contextualSpacing/>
        <w:jc w:val="both"/>
        <w:rPr>
          <w:rFonts w:ascii="Verdana" w:eastAsia="Calibri" w:hAnsi="Verdana" w:cs="Arial"/>
          <w:color w:val="EE0000"/>
          <w:sz w:val="20"/>
          <w:szCs w:val="20"/>
          <w:lang w:eastAsia="es-ES"/>
        </w:rPr>
      </w:pPr>
    </w:p>
    <w:p w14:paraId="6605D79C" w14:textId="77777777" w:rsidR="008A6431" w:rsidRPr="00C57C02" w:rsidRDefault="008A6431" w:rsidP="008A6431">
      <w:pPr>
        <w:spacing w:after="0" w:line="240" w:lineRule="auto"/>
        <w:contextualSpacing/>
        <w:jc w:val="both"/>
        <w:rPr>
          <w:rFonts w:ascii="Verdana" w:eastAsia="Calibri" w:hAnsi="Verdana" w:cs="Arial"/>
          <w:color w:val="EE0000"/>
          <w:sz w:val="20"/>
          <w:szCs w:val="20"/>
          <w:lang w:eastAsia="es-ES"/>
        </w:rPr>
      </w:pPr>
    </w:p>
    <w:p w14:paraId="092D603B" w14:textId="77777777" w:rsidR="008A6431" w:rsidRPr="00C57C02" w:rsidRDefault="008A6431" w:rsidP="008A6431">
      <w:pPr>
        <w:spacing w:after="0" w:line="240" w:lineRule="auto"/>
        <w:contextualSpacing/>
        <w:jc w:val="both"/>
        <w:rPr>
          <w:rFonts w:ascii="Verdana" w:eastAsia="Calibri" w:hAnsi="Verdana" w:cs="Arial"/>
          <w:color w:val="EE0000"/>
          <w:sz w:val="20"/>
          <w:szCs w:val="20"/>
          <w:lang w:eastAsia="es-ES"/>
        </w:rPr>
      </w:pPr>
    </w:p>
    <w:p w14:paraId="0AC1AB5A" w14:textId="77777777" w:rsidR="00450343" w:rsidRDefault="00450343" w:rsidP="008A6431">
      <w:pPr>
        <w:spacing w:after="0"/>
        <w:rPr>
          <w:rFonts w:ascii="Verdana" w:eastAsia="Calibri" w:hAnsi="Verdana" w:cs="Arial"/>
          <w:color w:val="EE0000"/>
          <w:sz w:val="20"/>
          <w:szCs w:val="20"/>
          <w:lang w:eastAsia="es-ES"/>
        </w:rPr>
      </w:pPr>
    </w:p>
    <w:p w14:paraId="4977217D" w14:textId="516054E2" w:rsidR="008A6431" w:rsidRPr="00F903C9" w:rsidRDefault="008A6431" w:rsidP="008A6431">
      <w:pPr>
        <w:spacing w:after="0"/>
        <w:rPr>
          <w:rFonts w:ascii="Verdana" w:hAnsi="Verdana"/>
        </w:rPr>
      </w:pPr>
      <w:r w:rsidRPr="00F903C9">
        <w:rPr>
          <w:rFonts w:ascii="Verdana" w:hAnsi="Verdana"/>
        </w:rPr>
        <w:lastRenderedPageBreak/>
        <w:t xml:space="preserve">Bogotá D.C., </w:t>
      </w:r>
      <w:r w:rsidR="00653F94">
        <w:rPr>
          <w:rFonts w:ascii="Verdana" w:hAnsi="Verdana"/>
        </w:rPr>
        <w:t>24 Agosto 2026</w:t>
      </w:r>
      <w:r w:rsidR="00653F94">
        <w:rPr>
          <w:rFonts w:ascii="Verdana" w:hAnsi="Verdana"/>
        </w:rPr>
        <w:tab/>
      </w:r>
    </w:p>
    <w:p w14:paraId="7A4C92C5" w14:textId="77A54408" w:rsidR="008A6431" w:rsidRPr="00C57C02" w:rsidRDefault="008F1BAB" w:rsidP="008A6431">
      <w:pPr>
        <w:spacing w:after="0"/>
        <w:rPr>
          <w:rFonts w:ascii="Verdana" w:hAnsi="Verdana"/>
          <w:color w:val="EE0000"/>
          <w:lang w:val="es-ES"/>
        </w:rPr>
      </w:pPr>
      <w:r w:rsidRPr="008F1BAB">
        <w:rPr>
          <w:rFonts w:ascii="Verdana" w:hAnsi="Verdana"/>
        </w:rPr>
        <w:drawing>
          <wp:anchor distT="0" distB="0" distL="114300" distR="114300" simplePos="0" relativeHeight="251660288" behindDoc="1" locked="0" layoutInCell="1" allowOverlap="1" wp14:anchorId="767381DF" wp14:editId="447FBE43">
            <wp:simplePos x="0" y="0"/>
            <wp:positionH relativeFrom="column">
              <wp:posOffset>3137535</wp:posOffset>
            </wp:positionH>
            <wp:positionV relativeFrom="paragraph">
              <wp:posOffset>12065</wp:posOffset>
            </wp:positionV>
            <wp:extent cx="2738157" cy="771525"/>
            <wp:effectExtent l="0" t="0" r="5080" b="0"/>
            <wp:wrapNone/>
            <wp:docPr id="9994313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31311" name=""/>
                    <pic:cNvPicPr/>
                  </pic:nvPicPr>
                  <pic:blipFill>
                    <a:blip r:embed="rId10">
                      <a:extLst>
                        <a:ext uri="{28A0092B-C50C-407E-A947-70E740481C1C}">
                          <a14:useLocalDpi xmlns:a14="http://schemas.microsoft.com/office/drawing/2010/main" val="0"/>
                        </a:ext>
                      </a:extLst>
                    </a:blip>
                    <a:stretch>
                      <a:fillRect/>
                    </a:stretch>
                  </pic:blipFill>
                  <pic:spPr>
                    <a:xfrm>
                      <a:off x="0" y="0"/>
                      <a:ext cx="2738157" cy="771525"/>
                    </a:xfrm>
                    <a:prstGeom prst="rect">
                      <a:avLst/>
                    </a:prstGeom>
                  </pic:spPr>
                </pic:pic>
              </a:graphicData>
            </a:graphic>
            <wp14:sizeRelH relativeFrom="margin">
              <wp14:pctWidth>0</wp14:pctWidth>
            </wp14:sizeRelH>
            <wp14:sizeRelV relativeFrom="margin">
              <wp14:pctHeight>0</wp14:pctHeight>
            </wp14:sizeRelV>
          </wp:anchor>
        </w:drawing>
      </w:r>
    </w:p>
    <w:p w14:paraId="66A79204" w14:textId="77777777" w:rsidR="008A6431" w:rsidRPr="005C029E" w:rsidRDefault="008A6431" w:rsidP="008A6431">
      <w:pPr>
        <w:spacing w:after="0" w:line="240" w:lineRule="auto"/>
        <w:rPr>
          <w:rFonts w:ascii="Verdana" w:hAnsi="Verdana"/>
          <w:lang w:val="es-ES"/>
        </w:rPr>
      </w:pPr>
      <w:bookmarkStart w:id="0" w:name="_Hlk143780582"/>
      <w:r w:rsidRPr="005C029E">
        <w:rPr>
          <w:rFonts w:ascii="Verdana" w:eastAsia="Calibri" w:hAnsi="Verdana" w:cs="Arial"/>
          <w:lang w:val="es-ES" w:eastAsia="es-ES"/>
        </w:rPr>
        <w:t>Señor</w:t>
      </w:r>
    </w:p>
    <w:p w14:paraId="4599866F" w14:textId="77777777" w:rsidR="008A6431" w:rsidRPr="005C029E" w:rsidRDefault="008A6431" w:rsidP="008A6431">
      <w:pPr>
        <w:spacing w:after="0" w:line="240" w:lineRule="auto"/>
        <w:rPr>
          <w:rFonts w:ascii="Verdana" w:eastAsia="Calibri" w:hAnsi="Verdana" w:cs="Arial"/>
          <w:b/>
          <w:bCs/>
          <w:lang w:eastAsia="es-ES"/>
        </w:rPr>
      </w:pPr>
      <w:r w:rsidRPr="005C029E">
        <w:rPr>
          <w:rFonts w:ascii="Verdana" w:eastAsia="Calibri" w:hAnsi="Verdana" w:cs="Arial"/>
          <w:b/>
          <w:bCs/>
          <w:lang w:eastAsia="es-ES"/>
        </w:rPr>
        <w:t>Rodolfo Eucario Gómez Zuluaga</w:t>
      </w:r>
    </w:p>
    <w:p w14:paraId="2DC72824" w14:textId="77777777" w:rsidR="008A6431" w:rsidRPr="00C57C02" w:rsidRDefault="008A6431" w:rsidP="008A6431">
      <w:pPr>
        <w:spacing w:after="0"/>
        <w:rPr>
          <w:rFonts w:ascii="Verdana" w:hAnsi="Verdana"/>
          <w:color w:val="EE0000"/>
        </w:rPr>
      </w:pPr>
      <w:hyperlink r:id="rId11" w:history="1"/>
      <w:hyperlink r:id="rId12" w:history="1">
        <w:r w:rsidRPr="00471D20">
          <w:rPr>
            <w:rStyle w:val="Hipervnculo"/>
            <w:rFonts w:ascii="Verdana" w:hAnsi="Verdana"/>
          </w:rPr>
          <w:t>diran.arlof-con@policia.gov.co</w:t>
        </w:r>
      </w:hyperlink>
      <w:r>
        <w:rPr>
          <w:rFonts w:ascii="Verdana" w:hAnsi="Verdana"/>
          <w:color w:val="EE0000"/>
        </w:rPr>
        <w:t xml:space="preserve"> </w:t>
      </w:r>
    </w:p>
    <w:p w14:paraId="4C5BC26C" w14:textId="77777777" w:rsidR="008A6431" w:rsidRPr="00D32C99" w:rsidRDefault="008A6431" w:rsidP="008A6431">
      <w:pPr>
        <w:spacing w:after="0"/>
        <w:rPr>
          <w:rFonts w:ascii="Verdana" w:eastAsia="Calibri" w:hAnsi="Verdana" w:cs="Arial"/>
          <w:lang w:val="es-ES" w:eastAsia="es-ES"/>
        </w:rPr>
      </w:pPr>
      <w:r w:rsidRPr="00D32C99">
        <w:rPr>
          <w:rFonts w:ascii="Verdana" w:eastAsia="Calibri" w:hAnsi="Verdana" w:cs="Arial"/>
          <w:lang w:val="es-ES" w:eastAsia="es-ES"/>
        </w:rPr>
        <w:t>Bogotá D.C</w:t>
      </w:r>
    </w:p>
    <w:p w14:paraId="773E7ECD" w14:textId="77777777" w:rsidR="008A6431" w:rsidRPr="00C57C02" w:rsidRDefault="008A6431" w:rsidP="008A6431">
      <w:pPr>
        <w:spacing w:after="0"/>
        <w:rPr>
          <w:rFonts w:ascii="Verdana" w:eastAsia="Calibri" w:hAnsi="Verdana" w:cs="Arial"/>
          <w:color w:val="EE0000"/>
          <w:lang w:val="es-ES" w:eastAsia="es-ES"/>
        </w:rPr>
      </w:pPr>
    </w:p>
    <w:p w14:paraId="339368F2" w14:textId="77777777" w:rsidR="008A6431" w:rsidRPr="00C57C02" w:rsidRDefault="008A6431" w:rsidP="008A6431">
      <w:pPr>
        <w:spacing w:after="0" w:line="240" w:lineRule="auto"/>
        <w:rPr>
          <w:rFonts w:ascii="Verdana" w:eastAsia="Calibri" w:hAnsi="Verdana" w:cs="Arial"/>
          <w:b/>
          <w:bCs/>
          <w:color w:val="EE0000"/>
          <w:lang w:val="es-ES" w:eastAsia="es-ES"/>
        </w:rPr>
      </w:pPr>
    </w:p>
    <w:tbl>
      <w:tblPr>
        <w:tblStyle w:val="Tablaconcuadrcul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379"/>
      </w:tblGrid>
      <w:tr w:rsidR="008A6431" w:rsidRPr="00C57C02" w14:paraId="78EEAC21" w14:textId="77777777" w:rsidTr="00E75E29">
        <w:trPr>
          <w:trHeight w:val="300"/>
        </w:trPr>
        <w:tc>
          <w:tcPr>
            <w:tcW w:w="2410" w:type="dxa"/>
          </w:tcPr>
          <w:p w14:paraId="392DEA1A" w14:textId="77777777" w:rsidR="008A6431" w:rsidRPr="00F903C9" w:rsidRDefault="008A6431" w:rsidP="00E75E29">
            <w:pPr>
              <w:ind w:left="-142"/>
              <w:jc w:val="both"/>
              <w:rPr>
                <w:rFonts w:ascii="Verdana" w:eastAsia="Calibri" w:hAnsi="Verdana" w:cs="Arial"/>
                <w:b/>
                <w:bCs/>
                <w:lang w:val="es-ES" w:eastAsia="es-ES_tradnl"/>
              </w:rPr>
            </w:pPr>
          </w:p>
        </w:tc>
        <w:tc>
          <w:tcPr>
            <w:tcW w:w="6379" w:type="dxa"/>
          </w:tcPr>
          <w:p w14:paraId="317AA749" w14:textId="77777777" w:rsidR="008A6431" w:rsidRPr="00F903C9" w:rsidRDefault="008A6431" w:rsidP="00E75E29">
            <w:pPr>
              <w:ind w:left="3"/>
              <w:jc w:val="both"/>
              <w:rPr>
                <w:rFonts w:ascii="Verdana" w:eastAsia="Calibri" w:hAnsi="Verdana" w:cs="Arial"/>
                <w:b/>
                <w:bCs/>
                <w:lang w:val="es-ES" w:eastAsia="es-ES"/>
              </w:rPr>
            </w:pPr>
            <w:r w:rsidRPr="00F903C9">
              <w:rPr>
                <w:rFonts w:ascii="Verdana" w:eastAsia="Calibri" w:hAnsi="Verdana" w:cs="Arial"/>
                <w:b/>
                <w:bCs/>
                <w:lang w:val="es-ES" w:eastAsia="es-ES"/>
              </w:rPr>
              <w:t>Concepto C-1164 de 2026</w:t>
            </w:r>
          </w:p>
          <w:p w14:paraId="49706C11" w14:textId="77777777" w:rsidR="008A6431" w:rsidRPr="00F903C9" w:rsidRDefault="008A6431" w:rsidP="00E75E29">
            <w:pPr>
              <w:ind w:left="3"/>
              <w:jc w:val="both"/>
              <w:rPr>
                <w:rFonts w:ascii="Verdana" w:eastAsia="Calibri" w:hAnsi="Verdana" w:cs="Arial"/>
                <w:b/>
                <w:bCs/>
                <w:lang w:val="es-ES" w:eastAsia="es-ES"/>
              </w:rPr>
            </w:pPr>
          </w:p>
        </w:tc>
      </w:tr>
      <w:tr w:rsidR="008A6431" w:rsidRPr="00C57C02" w14:paraId="6DF10C89" w14:textId="77777777" w:rsidTr="00E75E29">
        <w:trPr>
          <w:trHeight w:val="300"/>
        </w:trPr>
        <w:tc>
          <w:tcPr>
            <w:tcW w:w="2410" w:type="dxa"/>
          </w:tcPr>
          <w:p w14:paraId="774E53AA" w14:textId="77777777" w:rsidR="008A6431" w:rsidRPr="00C57C02" w:rsidRDefault="008A6431" w:rsidP="00E75E29">
            <w:pPr>
              <w:ind w:left="424" w:firstLine="142"/>
              <w:jc w:val="both"/>
              <w:rPr>
                <w:rFonts w:ascii="Verdana" w:eastAsia="Calibri" w:hAnsi="Verdana" w:cs="Arial"/>
                <w:color w:val="EE0000"/>
                <w:lang w:val="es-ES" w:eastAsia="es-ES_tradnl"/>
              </w:rPr>
            </w:pPr>
            <w:r w:rsidRPr="005C029E">
              <w:rPr>
                <w:rFonts w:ascii="Verdana" w:eastAsia="Calibri" w:hAnsi="Verdana" w:cs="Arial"/>
                <w:b/>
                <w:lang w:val="es-ES" w:eastAsia="es-ES_tradnl"/>
              </w:rPr>
              <w:t>Temas:</w:t>
            </w:r>
            <w:r w:rsidRPr="005C029E">
              <w:rPr>
                <w:rFonts w:ascii="Verdana" w:eastAsia="Calibri" w:hAnsi="Verdana" w:cs="Arial"/>
                <w:lang w:val="es-ES" w:eastAsia="es-ES_tradnl"/>
              </w:rPr>
              <w:t xml:space="preserve">                  </w:t>
            </w:r>
          </w:p>
        </w:tc>
        <w:tc>
          <w:tcPr>
            <w:tcW w:w="6379" w:type="dxa"/>
          </w:tcPr>
          <w:p w14:paraId="12EC8D55" w14:textId="77777777" w:rsidR="008A6431" w:rsidRPr="0095163C" w:rsidRDefault="008A6431" w:rsidP="00E75E29">
            <w:pPr>
              <w:jc w:val="both"/>
              <w:rPr>
                <w:rFonts w:ascii="Verdana" w:eastAsia="Calibri" w:hAnsi="Verdana" w:cs="Arial"/>
                <w:lang w:val="es-ES_tradnl"/>
              </w:rPr>
            </w:pPr>
            <w:r w:rsidRPr="0095163C">
              <w:rPr>
                <w:rFonts w:ascii="Verdana" w:hAnsi="Verdana"/>
              </w:rPr>
              <w:t xml:space="preserve">REQUISITOS HABILITANTES – Noción / CAPACIDAD JURÍDICA – Personas naturales – Objeto social / </w:t>
            </w:r>
            <w:r w:rsidRPr="0095163C">
              <w:rPr>
                <w:rFonts w:ascii="Verdana" w:eastAsia="Calibri" w:hAnsi="Verdana" w:cs="Arial"/>
                <w:lang w:val="es-ES_tradnl"/>
              </w:rPr>
              <w:t xml:space="preserve">PERSONAS NATURALES – Capacidad – Clasificación Industrial Internacional Uniforme – Noción / </w:t>
            </w:r>
            <w:r w:rsidRPr="0095163C">
              <w:rPr>
                <w:rFonts w:ascii="Verdana" w:hAnsi="Verdana"/>
              </w:rPr>
              <w:t xml:space="preserve">PERSONAS NATURALES – Capacidad – Clasificación Industrial Internacional Uniforme – Efectos declarativos </w:t>
            </w:r>
          </w:p>
          <w:p w14:paraId="17F6B100" w14:textId="77777777" w:rsidR="008A6431" w:rsidRPr="00C57C02" w:rsidRDefault="008A6431" w:rsidP="00E75E29">
            <w:pPr>
              <w:jc w:val="both"/>
              <w:rPr>
                <w:rFonts w:ascii="Verdana" w:eastAsia="Calibri" w:hAnsi="Verdana" w:cs="Arial"/>
                <w:color w:val="EE0000"/>
              </w:rPr>
            </w:pPr>
          </w:p>
        </w:tc>
      </w:tr>
      <w:tr w:rsidR="008A6431" w:rsidRPr="00C57C02" w14:paraId="73D0DE7F" w14:textId="77777777" w:rsidTr="00E75E29">
        <w:trPr>
          <w:trHeight w:val="350"/>
        </w:trPr>
        <w:tc>
          <w:tcPr>
            <w:tcW w:w="2410" w:type="dxa"/>
          </w:tcPr>
          <w:p w14:paraId="537AE52B" w14:textId="77777777" w:rsidR="008A6431" w:rsidRPr="00966EE5" w:rsidRDefault="008A6431" w:rsidP="00E75E29">
            <w:pPr>
              <w:ind w:left="561"/>
              <w:jc w:val="both"/>
              <w:rPr>
                <w:rFonts w:ascii="Verdana" w:eastAsia="Calibri" w:hAnsi="Verdana" w:cs="Arial"/>
                <w:b/>
                <w:lang w:val="es-ES" w:eastAsia="es-ES_tradnl"/>
              </w:rPr>
            </w:pPr>
            <w:r w:rsidRPr="00966EE5">
              <w:rPr>
                <w:rFonts w:ascii="Verdana" w:eastAsia="Calibri" w:hAnsi="Verdana" w:cs="Arial"/>
                <w:b/>
                <w:lang w:val="es-ES" w:eastAsia="es-ES_tradnl"/>
              </w:rPr>
              <w:t>Radicación:</w:t>
            </w:r>
            <w:r w:rsidRPr="00966EE5">
              <w:rPr>
                <w:rFonts w:ascii="Verdana" w:eastAsia="Calibri" w:hAnsi="Verdana" w:cs="Arial"/>
                <w:lang w:val="es-ES" w:eastAsia="es-ES_tradnl"/>
              </w:rPr>
              <w:t xml:space="preserve">              </w:t>
            </w:r>
          </w:p>
        </w:tc>
        <w:tc>
          <w:tcPr>
            <w:tcW w:w="6379" w:type="dxa"/>
          </w:tcPr>
          <w:p w14:paraId="2CB69723" w14:textId="77777777" w:rsidR="008A6431" w:rsidRPr="00966EE5" w:rsidRDefault="008A6431" w:rsidP="00E75E29">
            <w:pPr>
              <w:ind w:left="3"/>
              <w:jc w:val="both"/>
              <w:rPr>
                <w:rFonts w:ascii="Verdana" w:hAnsi="Verdana"/>
                <w:lang w:val="es-ES"/>
              </w:rPr>
            </w:pPr>
            <w:r w:rsidRPr="00966EE5">
              <w:rPr>
                <w:rFonts w:ascii="Verdana" w:eastAsia="Calibri" w:hAnsi="Verdana" w:cs="Arial"/>
                <w:lang w:val="es-ES" w:eastAsia="es-ES"/>
              </w:rPr>
              <w:t>Respuesta a consulta con radicado No. 1_2026_07_22_009643</w:t>
            </w:r>
          </w:p>
        </w:tc>
      </w:tr>
      <w:tr w:rsidR="008A6431" w:rsidRPr="00C57C02" w14:paraId="1ED1C445" w14:textId="77777777" w:rsidTr="00E75E29">
        <w:trPr>
          <w:trHeight w:val="350"/>
        </w:trPr>
        <w:tc>
          <w:tcPr>
            <w:tcW w:w="2410" w:type="dxa"/>
          </w:tcPr>
          <w:p w14:paraId="2EF4A49A" w14:textId="77777777" w:rsidR="008A6431" w:rsidRPr="00C57C02" w:rsidRDefault="008A6431" w:rsidP="00E75E29">
            <w:pPr>
              <w:jc w:val="both"/>
              <w:rPr>
                <w:rFonts w:ascii="Verdana" w:eastAsia="Calibri" w:hAnsi="Verdana" w:cs="Arial"/>
                <w:b/>
                <w:color w:val="EE0000"/>
                <w:lang w:val="es-ES" w:eastAsia="es-ES_tradnl"/>
              </w:rPr>
            </w:pPr>
          </w:p>
        </w:tc>
        <w:tc>
          <w:tcPr>
            <w:tcW w:w="6379" w:type="dxa"/>
          </w:tcPr>
          <w:p w14:paraId="7A5B6229" w14:textId="77777777" w:rsidR="008A6431" w:rsidRPr="00C57C02" w:rsidRDefault="008A6431" w:rsidP="00E75E29">
            <w:pPr>
              <w:jc w:val="both"/>
              <w:rPr>
                <w:rFonts w:ascii="Verdana" w:eastAsia="Calibri" w:hAnsi="Verdana" w:cs="Arial"/>
                <w:color w:val="EE0000"/>
                <w:lang w:val="es-ES" w:eastAsia="es-ES"/>
              </w:rPr>
            </w:pPr>
          </w:p>
        </w:tc>
      </w:tr>
    </w:tbl>
    <w:p w14:paraId="70634AD4" w14:textId="77777777" w:rsidR="008A6431" w:rsidRPr="00D32C99" w:rsidRDefault="008A6431" w:rsidP="008A6431">
      <w:pPr>
        <w:spacing w:after="0" w:line="276" w:lineRule="auto"/>
        <w:jc w:val="both"/>
        <w:rPr>
          <w:rFonts w:ascii="Verdana" w:eastAsia="Calibri" w:hAnsi="Verdana" w:cs="Arial"/>
          <w:lang w:val="es-ES" w:eastAsia="es-ES"/>
        </w:rPr>
      </w:pPr>
      <w:r w:rsidRPr="00D32C99">
        <w:rPr>
          <w:rFonts w:ascii="Verdana" w:eastAsia="Calibri" w:hAnsi="Verdana" w:cs="Arial"/>
          <w:lang w:val="es-ES" w:eastAsia="es-ES"/>
        </w:rPr>
        <w:t>Estimada Señor Gómez:</w:t>
      </w:r>
    </w:p>
    <w:p w14:paraId="2C3A96F6" w14:textId="77777777" w:rsidR="008A6431" w:rsidRPr="00C57C02" w:rsidRDefault="008A6431" w:rsidP="008A6431">
      <w:pPr>
        <w:tabs>
          <w:tab w:val="left" w:pos="3768"/>
        </w:tabs>
        <w:spacing w:after="0" w:line="276" w:lineRule="auto"/>
        <w:jc w:val="both"/>
        <w:rPr>
          <w:rFonts w:ascii="Verdana" w:eastAsia="Calibri" w:hAnsi="Verdana" w:cs="Arial"/>
          <w:color w:val="EE0000"/>
          <w:lang w:val="es-ES" w:eastAsia="es-ES"/>
        </w:rPr>
      </w:pPr>
      <w:r w:rsidRPr="00C57C02">
        <w:rPr>
          <w:rFonts w:ascii="Verdana" w:eastAsia="Calibri" w:hAnsi="Verdana" w:cs="Arial"/>
          <w:color w:val="EE0000"/>
          <w:lang w:val="es-ES" w:eastAsia="es-ES"/>
        </w:rPr>
        <w:tab/>
      </w:r>
    </w:p>
    <w:p w14:paraId="5EBE1D3A" w14:textId="77777777" w:rsidR="008A6431" w:rsidRPr="00E610E1" w:rsidRDefault="008A6431" w:rsidP="008A6431">
      <w:pPr>
        <w:spacing w:after="0" w:line="276" w:lineRule="auto"/>
        <w:jc w:val="both"/>
        <w:rPr>
          <w:rFonts w:ascii="Verdana" w:eastAsia="Calibri" w:hAnsi="Verdana" w:cs="Arial"/>
          <w:lang w:val="es-ES" w:eastAsia="es-ES"/>
        </w:rPr>
      </w:pPr>
      <w:r w:rsidRPr="00E610E1">
        <w:rPr>
          <w:rFonts w:ascii="Verdana" w:eastAsia="Calibri" w:hAnsi="Verdana" w:cs="Arial"/>
          <w:lang w:val="es-ES" w:eastAsia="es-ES"/>
        </w:rPr>
        <w:t>En ejercicio de la competencia otorgada por los artículos 3, numeral 5º, y 11, numeral 8º, del Decreto Ley 4170 de 2011,</w:t>
      </w:r>
      <w:r w:rsidRPr="00E610E1">
        <w:rPr>
          <w:rFonts w:ascii="Verdana" w:eastAsia="Arial MT" w:hAnsi="Verdana" w:cs="Arial MT"/>
          <w:lang w:val="es-ES" w:eastAsia="es-ES"/>
        </w:rPr>
        <w:t xml:space="preserve"> </w:t>
      </w:r>
      <w:r w:rsidRPr="00E610E1">
        <w:rPr>
          <w:rFonts w:ascii="Verdana" w:hAnsi="Verdana" w:cs="Arial"/>
          <w:lang w:val="es-ES"/>
        </w:rPr>
        <w:t xml:space="preserve">así como lo establecido en el artículo 4 de la Resolución 469 de 2025 expedida por esta Entidad, </w:t>
      </w:r>
      <w:r w:rsidRPr="00E610E1">
        <w:rPr>
          <w:rFonts w:ascii="Verdana" w:eastAsia="Calibri" w:hAnsi="Verdana" w:cs="Arial"/>
          <w:lang w:val="es-ES" w:eastAsia="es-ES"/>
        </w:rPr>
        <w:t>la Agencia Nacional de Contratación Pública – Colombia Compra Eficiente– responde a su solicitud de consulta</w:t>
      </w:r>
      <w:r>
        <w:rPr>
          <w:rFonts w:ascii="Verdana" w:eastAsia="Calibri" w:hAnsi="Verdana" w:cs="Arial"/>
          <w:lang w:val="es-ES" w:eastAsia="es-ES"/>
        </w:rPr>
        <w:t xml:space="preserve"> </w:t>
      </w:r>
      <w:r w:rsidRPr="00E610E1">
        <w:rPr>
          <w:rFonts w:ascii="Verdana" w:eastAsia="Calibri" w:hAnsi="Verdana" w:cs="Arial"/>
          <w:lang w:val="es-ES" w:eastAsia="es-ES"/>
        </w:rPr>
        <w:t xml:space="preserve">de fecha 22 de julio de 2026 </w:t>
      </w:r>
      <w:r>
        <w:rPr>
          <w:rFonts w:ascii="Verdana" w:eastAsia="Calibri" w:hAnsi="Verdana" w:cs="Arial"/>
          <w:lang w:val="es-ES" w:eastAsia="es-ES"/>
        </w:rPr>
        <w:t>remitida por la Cámara de Comercio Aburrá Sur referente de los puntos 3,4 y 5</w:t>
      </w:r>
      <w:r w:rsidRPr="00E610E1">
        <w:rPr>
          <w:rFonts w:ascii="Verdana" w:eastAsia="Calibri" w:hAnsi="Verdana" w:cs="Arial"/>
          <w:lang w:val="es-ES" w:eastAsia="es-ES"/>
        </w:rPr>
        <w:t xml:space="preserve">, en la cual manifiesta lo siguiente: </w:t>
      </w:r>
    </w:p>
    <w:p w14:paraId="3E742D4F" w14:textId="77777777" w:rsidR="008A6431" w:rsidRPr="00C57C02" w:rsidRDefault="008A6431" w:rsidP="008A6431">
      <w:pPr>
        <w:tabs>
          <w:tab w:val="left" w:pos="142"/>
          <w:tab w:val="left" w:pos="284"/>
        </w:tabs>
        <w:spacing w:after="0" w:line="276" w:lineRule="auto"/>
        <w:jc w:val="both"/>
        <w:rPr>
          <w:rFonts w:ascii="Verdana" w:eastAsia="Century Gothic" w:hAnsi="Verdana" w:cs="Century Gothic"/>
          <w:b/>
          <w:bCs/>
          <w:color w:val="EE0000"/>
          <w:lang w:val="es-ES"/>
        </w:rPr>
      </w:pPr>
    </w:p>
    <w:p w14:paraId="09FB177B"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t>“[…]  Con fundamento en lo dispuesto en el Artículo 21 del Código de Procedimiento Administrativo y de lo Contencioso Administrativo, les remitimos derecho de petición – solicitud de información sobre el alcance de actividades económicas registradas, presentada por el señor RODOLFO EUCARIO GÓMEZ ZULUAGA, para lo de su competencia, que hace referencia en los puntos 3, 4 y 5:</w:t>
      </w:r>
    </w:p>
    <w:p w14:paraId="00C06CC1"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p>
    <w:p w14:paraId="7118DBE3"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t xml:space="preserve">3. De manera especial, informar si el código CIIU 0161 – Actividades de apoyo a la agricultura comprende o permite la ejecución de actividades relacionadas con: </w:t>
      </w:r>
    </w:p>
    <w:p w14:paraId="61B88102" w14:textId="77777777" w:rsidR="008A6431" w:rsidRPr="00133835" w:rsidRDefault="008A6431" w:rsidP="008A6431">
      <w:pPr>
        <w:spacing w:after="0" w:line="240" w:lineRule="auto"/>
        <w:ind w:right="709"/>
        <w:jc w:val="both"/>
        <w:rPr>
          <w:rFonts w:ascii="Verdana" w:eastAsia="Century Gothic" w:hAnsi="Verdana" w:cs="Century Gothic"/>
          <w:i/>
          <w:iCs/>
          <w:sz w:val="20"/>
          <w:szCs w:val="20"/>
          <w:lang w:val="es-ES"/>
        </w:rPr>
      </w:pPr>
    </w:p>
    <w:p w14:paraId="7E3A2488"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t xml:space="preserve">a) Apoyo técnico a actividades agrícolas. </w:t>
      </w:r>
    </w:p>
    <w:p w14:paraId="17986A72"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lastRenderedPageBreak/>
        <w:t xml:space="preserve">b) Manejo e intervención de cultivos. </w:t>
      </w:r>
    </w:p>
    <w:p w14:paraId="4D3866C3"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t>c) Tratamiento de cultivos.</w:t>
      </w:r>
    </w:p>
    <w:p w14:paraId="07CB2E65"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t>d) Aplicación de medidas fitosanitarias.</w:t>
      </w:r>
    </w:p>
    <w:p w14:paraId="18BF8D38"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t>e) Control de malezas.</w:t>
      </w:r>
    </w:p>
    <w:p w14:paraId="07995D7C"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t>f) Erradicación de especies vegetales, malezas o cultivos cuando dichas actividades sean ejecutadas como apoyo a procesos agrícolas o en desarrollo de contratos relacionados con actividades agropecuarias.</w:t>
      </w:r>
    </w:p>
    <w:p w14:paraId="21A4241B"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t>g) Actividades agrícolas ejecutadas por contrato para terceros</w:t>
      </w:r>
    </w:p>
    <w:p w14:paraId="3109F348"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p>
    <w:p w14:paraId="65C6D1F8"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t xml:space="preserve">4. Indicar si una persona natural inscrita con la actividad económica CIIU 0161 se encuentra facultada para ejecutar contratos que contemplen actividades de erradicación, manejo, intervención, tratamiento o control de vegetación, malezas o cultivos, siempre que estas se desarrollen dentro del ámbito de las actividades de apoyo a la agricultura. </w:t>
      </w:r>
    </w:p>
    <w:p w14:paraId="1771F582"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p>
    <w:p w14:paraId="09E42A9C" w14:textId="77777777" w:rsidR="008A6431" w:rsidRPr="00133835" w:rsidRDefault="008A6431" w:rsidP="008A6431">
      <w:pPr>
        <w:spacing w:after="0" w:line="240" w:lineRule="auto"/>
        <w:ind w:left="709" w:right="709"/>
        <w:jc w:val="both"/>
        <w:rPr>
          <w:rFonts w:ascii="Verdana" w:eastAsia="Century Gothic" w:hAnsi="Verdana" w:cs="Century Gothic"/>
          <w:i/>
          <w:iCs/>
          <w:sz w:val="20"/>
          <w:szCs w:val="20"/>
          <w:lang w:val="es-ES"/>
        </w:rPr>
      </w:pPr>
      <w:r w:rsidRPr="00133835">
        <w:rPr>
          <w:rFonts w:ascii="Verdana" w:eastAsia="Century Gothic" w:hAnsi="Verdana" w:cs="Century Gothic"/>
          <w:i/>
          <w:iCs/>
          <w:sz w:val="20"/>
          <w:szCs w:val="20"/>
          <w:lang w:val="es-ES"/>
        </w:rPr>
        <w:t xml:space="preserve">5. Remitir copia de los documentos técnicos, conceptos, definiciones, manuales o disposiciones normativas que sirvan de fundamento a la respuesta suministrada. </w:t>
      </w:r>
      <w:r w:rsidRPr="00133835">
        <w:rPr>
          <w:rFonts w:ascii="Verdana" w:eastAsia="Century Gothic" w:hAnsi="Verdana" w:cs="Century Gothic"/>
          <w:i/>
          <w:iCs/>
          <w:sz w:val="20"/>
          <w:szCs w:val="20"/>
        </w:rPr>
        <w:t>[…]”</w:t>
      </w:r>
    </w:p>
    <w:p w14:paraId="114366DC" w14:textId="77777777" w:rsidR="008A6431" w:rsidRPr="00133835" w:rsidRDefault="008A6431" w:rsidP="008A6431">
      <w:pPr>
        <w:spacing w:before="120" w:after="120" w:line="240" w:lineRule="auto"/>
        <w:ind w:left="709" w:right="709"/>
        <w:contextualSpacing/>
        <w:jc w:val="both"/>
        <w:rPr>
          <w:rFonts w:ascii="Verdana" w:eastAsia="Century Gothic" w:hAnsi="Verdana" w:cs="Century Gothic"/>
          <w:i/>
          <w:iCs/>
          <w:sz w:val="20"/>
          <w:szCs w:val="20"/>
          <w:lang w:val="es-ES"/>
        </w:rPr>
      </w:pPr>
    </w:p>
    <w:p w14:paraId="61CDC4A3" w14:textId="77777777" w:rsidR="008A6431" w:rsidRPr="00E610E1" w:rsidRDefault="008A6431" w:rsidP="008A6431">
      <w:pPr>
        <w:spacing w:after="120" w:line="276" w:lineRule="auto"/>
        <w:ind w:firstLine="708"/>
        <w:jc w:val="both"/>
        <w:rPr>
          <w:rFonts w:ascii="Verdana" w:eastAsia="Calibri" w:hAnsi="Verdana" w:cs="Arial"/>
          <w:lang w:val="es-ES" w:eastAsia="es-ES"/>
        </w:rPr>
      </w:pPr>
      <w:r w:rsidRPr="00E610E1">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610E1">
        <w:rPr>
          <w:rFonts w:ascii="Verdana" w:hAnsi="Verdana"/>
          <w:lang w:val="es-ES"/>
        </w:rPr>
        <w:tab/>
      </w:r>
    </w:p>
    <w:p w14:paraId="2DFD7C54" w14:textId="77777777" w:rsidR="008A6431" w:rsidRPr="00E610E1" w:rsidRDefault="008A6431" w:rsidP="008A6431">
      <w:pPr>
        <w:spacing w:after="0" w:line="276" w:lineRule="auto"/>
        <w:ind w:firstLine="709"/>
        <w:jc w:val="both"/>
        <w:rPr>
          <w:rFonts w:ascii="Verdana" w:eastAsia="Calibri" w:hAnsi="Verdana" w:cs="Arial"/>
          <w:lang w:val="es-ES" w:eastAsia="es-ES"/>
        </w:rPr>
      </w:pPr>
      <w:r w:rsidRPr="00E610E1">
        <w:rPr>
          <w:rFonts w:ascii="Verdana" w:eastAsia="Calibri" w:hAnsi="Verdana" w:cs="Arial"/>
          <w:lang w:val="es-ES" w:eastAsia="es-ES"/>
        </w:rPr>
        <w:t xml:space="preserve">Conforme lo expuesto, en aras de satisfacer el derecho fundamental de petición se resolverá s consultas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7097778E" w14:textId="77777777" w:rsidR="008A6431" w:rsidRPr="00C57C02" w:rsidRDefault="008A6431" w:rsidP="008A6431">
      <w:pPr>
        <w:spacing w:after="0" w:line="276" w:lineRule="auto"/>
        <w:ind w:firstLine="709"/>
        <w:jc w:val="both"/>
        <w:rPr>
          <w:rFonts w:ascii="Verdana" w:eastAsia="Calibri" w:hAnsi="Verdana" w:cs="Arial"/>
          <w:color w:val="EE0000"/>
          <w:lang w:val="es-ES" w:eastAsia="es-ES"/>
        </w:rPr>
      </w:pPr>
    </w:p>
    <w:p w14:paraId="7DD28901" w14:textId="77777777" w:rsidR="008A6431" w:rsidRPr="00EB7FF2" w:rsidRDefault="008A6431" w:rsidP="008A6431">
      <w:pPr>
        <w:tabs>
          <w:tab w:val="left" w:pos="142"/>
          <w:tab w:val="left" w:pos="284"/>
        </w:tabs>
        <w:spacing w:after="0" w:line="276" w:lineRule="auto"/>
        <w:jc w:val="both"/>
        <w:rPr>
          <w:rFonts w:ascii="Verdana" w:eastAsia="Century Gothic" w:hAnsi="Verdana" w:cs="Century Gothic"/>
          <w:b/>
          <w:lang w:val="es-ES"/>
        </w:rPr>
      </w:pPr>
      <w:r w:rsidRPr="00354027">
        <w:rPr>
          <w:rFonts w:ascii="Verdana" w:eastAsia="Century Gothic" w:hAnsi="Verdana" w:cs="Century Gothic"/>
          <w:b/>
          <w:lang w:val="es-ES"/>
        </w:rPr>
        <w:t>1. Problema planteado:</w:t>
      </w:r>
    </w:p>
    <w:p w14:paraId="10DEE679" w14:textId="77777777" w:rsidR="008A6431" w:rsidRPr="00C57C02" w:rsidRDefault="008A6431" w:rsidP="008A6431">
      <w:pPr>
        <w:spacing w:after="0" w:line="276" w:lineRule="auto"/>
        <w:jc w:val="both"/>
        <w:rPr>
          <w:rFonts w:ascii="Verdana" w:eastAsia="Century Gothic" w:hAnsi="Verdana" w:cs="Century Gothic"/>
          <w:color w:val="EE0000"/>
        </w:rPr>
      </w:pPr>
      <w:r w:rsidRPr="00354027">
        <w:rPr>
          <w:rFonts w:ascii="Verdana" w:eastAsia="Century Gothic" w:hAnsi="Verdana" w:cs="Century Gothic"/>
          <w:lang w:val="es-ES"/>
        </w:rPr>
        <w:lastRenderedPageBreak/>
        <w:t xml:space="preserve">De acuerdo con el contenido de su solicitud, esta Agencia resolverá el siguiente </w:t>
      </w:r>
      <w:r w:rsidRPr="00A45A7B">
        <w:rPr>
          <w:rFonts w:ascii="Verdana" w:eastAsia="Century Gothic" w:hAnsi="Verdana" w:cs="Century Gothic"/>
          <w:lang w:val="es-ES"/>
        </w:rPr>
        <w:t>problema jurídico:</w:t>
      </w:r>
      <w:r w:rsidRPr="00A45A7B">
        <w:rPr>
          <w:rFonts w:ascii="Verdana" w:eastAsia="Century Gothic" w:hAnsi="Verdana" w:cs="Century Gothic"/>
        </w:rPr>
        <w:t xml:space="preserve"> i. ¿Qué incidencia tienen los códigos CIIU en la capacidad jurídica de las personas naturales para ejecutar actividades en el marco de contratos estatales?</w:t>
      </w:r>
    </w:p>
    <w:p w14:paraId="523C7437" w14:textId="77777777" w:rsidR="008A6431" w:rsidRPr="006F64E3" w:rsidRDefault="008A6431" w:rsidP="008A6431">
      <w:pPr>
        <w:spacing w:after="0" w:line="276" w:lineRule="auto"/>
        <w:jc w:val="both"/>
        <w:rPr>
          <w:rFonts w:ascii="Verdana" w:eastAsia="Century Gothic" w:hAnsi="Verdana" w:cs="Century Gothic"/>
        </w:rPr>
      </w:pPr>
      <w:r w:rsidRPr="006F64E3">
        <w:rPr>
          <w:rFonts w:ascii="Verdana" w:eastAsia="Century Gothic" w:hAnsi="Verdana" w:cs="Century Gothic"/>
        </w:rPr>
        <w:t xml:space="preserve">    </w:t>
      </w:r>
    </w:p>
    <w:p w14:paraId="74434E06" w14:textId="77777777" w:rsidR="008A6431" w:rsidRPr="006F64E3" w:rsidRDefault="008A6431" w:rsidP="008A6431">
      <w:pPr>
        <w:tabs>
          <w:tab w:val="left" w:pos="142"/>
          <w:tab w:val="left" w:pos="284"/>
        </w:tabs>
        <w:spacing w:after="0" w:line="276" w:lineRule="auto"/>
        <w:jc w:val="both"/>
        <w:rPr>
          <w:rFonts w:ascii="Verdana" w:eastAsia="Century Gothic" w:hAnsi="Verdana" w:cs="Century Gothic"/>
          <w:b/>
          <w:lang w:val="es-ES"/>
        </w:rPr>
      </w:pPr>
      <w:r w:rsidRPr="006F64E3">
        <w:rPr>
          <w:rFonts w:ascii="Verdana" w:eastAsia="Century Gothic" w:hAnsi="Verdana" w:cs="Century Gothic"/>
          <w:b/>
          <w:lang w:val="es-ES"/>
        </w:rPr>
        <w:t>2. Respuesta:</w:t>
      </w:r>
    </w:p>
    <w:p w14:paraId="55153989" w14:textId="77777777" w:rsidR="008A6431" w:rsidRPr="00C57C02" w:rsidRDefault="008A6431" w:rsidP="008A6431">
      <w:pPr>
        <w:tabs>
          <w:tab w:val="left" w:pos="142"/>
          <w:tab w:val="left" w:pos="284"/>
        </w:tabs>
        <w:spacing w:after="0" w:line="276" w:lineRule="auto"/>
        <w:jc w:val="both"/>
        <w:rPr>
          <w:rFonts w:ascii="Verdana" w:eastAsia="Century Gothic" w:hAnsi="Verdana" w:cs="Century Gothic"/>
          <w:b/>
          <w:color w:val="EE0000"/>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A6431" w:rsidRPr="00C57C02" w14:paraId="36314ADB" w14:textId="77777777" w:rsidTr="00E75E29">
        <w:tc>
          <w:tcPr>
            <w:tcW w:w="8828" w:type="dxa"/>
          </w:tcPr>
          <w:p w14:paraId="2A4D1244" w14:textId="77777777" w:rsidR="008A6431" w:rsidRPr="00AC34EA" w:rsidRDefault="008A6431" w:rsidP="00E75E29">
            <w:pPr>
              <w:widowControl w:val="0"/>
              <w:autoSpaceDE w:val="0"/>
              <w:autoSpaceDN w:val="0"/>
              <w:spacing w:after="120" w:line="276" w:lineRule="auto"/>
              <w:jc w:val="both"/>
              <w:rPr>
                <w:rFonts w:ascii="Verdana" w:eastAsia="Times New Roman" w:hAnsi="Verdana" w:cs="Arial"/>
                <w:lang w:eastAsia="es-ES_tradnl"/>
              </w:rPr>
            </w:pPr>
            <w:r w:rsidRPr="009C0982">
              <w:rPr>
                <w:rFonts w:ascii="Verdana" w:eastAsia="Times New Roman" w:hAnsi="Verdana" w:cs="Arial"/>
                <w:lang w:eastAsia="es-ES_tradnl"/>
              </w:rPr>
              <w:t xml:space="preserve">Conforme a la interpretación de las normas generales del sistema de compras públicas y en relación con el problema jurídico planteado, debe señalarse que los códigos de la Clasificación Industrial Internacional Uniforme (CIIU) no determinan ni limitan la capacidad jurídica de las personas naturales en los procesos de contratación estatal. En efecto, la capacidad jurídica constituye un requisito habilitante que se refiere a la aptitud legal para obligarse válidamente, la cual, tratándose de personas naturales, se concreta en la posibilidad de ejercer derechos y contraer obligaciones por sí mismas, sin perjuicio de las inhabilidades, incompatibilidades o prohibiciones previstas en el </w:t>
            </w:r>
            <w:r w:rsidRPr="00AC34EA">
              <w:rPr>
                <w:rFonts w:ascii="Verdana" w:eastAsia="Times New Roman" w:hAnsi="Verdana" w:cs="Arial"/>
                <w:lang w:eastAsia="es-ES_tradnl"/>
              </w:rPr>
              <w:t>ordenamiento jurídico.</w:t>
            </w:r>
          </w:p>
          <w:p w14:paraId="69C277D8" w14:textId="77777777" w:rsidR="008A6431" w:rsidRPr="00AC34EA" w:rsidRDefault="008A6431" w:rsidP="00E75E29">
            <w:pPr>
              <w:widowControl w:val="0"/>
              <w:autoSpaceDE w:val="0"/>
              <w:autoSpaceDN w:val="0"/>
              <w:spacing w:after="120" w:line="276" w:lineRule="auto"/>
              <w:ind w:firstLine="737"/>
              <w:jc w:val="both"/>
              <w:rPr>
                <w:rFonts w:ascii="Verdana" w:eastAsia="Calibri" w:hAnsi="Verdana" w:cs="Arial"/>
              </w:rPr>
            </w:pPr>
            <w:r w:rsidRPr="00AC34EA">
              <w:rPr>
                <w:rFonts w:ascii="Verdana" w:eastAsia="Calibri" w:hAnsi="Verdana" w:cs="Arial"/>
              </w:rPr>
              <w:t>Por su parte, la Clasificación Industrial Internacional Uniforme –CIIU– corresponde a un sistema estandarizado desarrollado por las Naciones Unidas para clasificar las actividades económicas en distintos sectores. Como explica el DANE, su finalidad es facilitar la recopilación, análisis y comparación de información estadística a nivel nacional e internacional. En consecuencia, la clasificación de una persona natural en un determinado código CIIU no constituye un requisito habilitante para participar en un proceso de contratación estatal ni determina, por sí misma, su capacidad jurídica para celebrar o ejecutar un contrato.</w:t>
            </w:r>
          </w:p>
          <w:p w14:paraId="647C7BB3" w14:textId="77777777" w:rsidR="008A6431" w:rsidRDefault="008A6431" w:rsidP="00E75E29">
            <w:pPr>
              <w:widowControl w:val="0"/>
              <w:autoSpaceDE w:val="0"/>
              <w:autoSpaceDN w:val="0"/>
              <w:spacing w:after="120" w:line="276" w:lineRule="auto"/>
              <w:ind w:firstLine="737"/>
              <w:jc w:val="both"/>
              <w:rPr>
                <w:rFonts w:ascii="Verdana" w:eastAsia="Calibri" w:hAnsi="Verdana" w:cs="Arial"/>
              </w:rPr>
            </w:pPr>
            <w:r w:rsidRPr="007B5A0B">
              <w:rPr>
                <w:rFonts w:ascii="Verdana" w:eastAsia="Calibri" w:hAnsi="Verdana" w:cs="Arial"/>
              </w:rPr>
              <w:t xml:space="preserve">En </w:t>
            </w:r>
            <w:r w:rsidRPr="00491027">
              <w:rPr>
                <w:rFonts w:ascii="Verdana" w:eastAsia="Calibri" w:hAnsi="Verdana" w:cs="Arial"/>
              </w:rPr>
              <w:t>ese sentido, el hecho de que una persona natural tenga registrada una determinada actividad económica mediante un código CIIU no condiciona, por sí solo, las actividades que jurídicamente puede ejecutar en el marco de un contrato estatal. De igual manera, la ausencia de un código CIIU específico no implica, por sí misma, una limitación a su capacidad jurídica para contratar con el Estado. La posibilidad de ejecutar las actividades previstas en el objeto contractual deberá determinarse de acuerdo con las obligaciones y condiciones establecidas en el respectivo proceso contractual.</w:t>
            </w:r>
          </w:p>
          <w:p w14:paraId="16A260E4" w14:textId="77777777" w:rsidR="008A6431" w:rsidRDefault="008A6431" w:rsidP="00E75E29">
            <w:pPr>
              <w:widowControl w:val="0"/>
              <w:autoSpaceDE w:val="0"/>
              <w:autoSpaceDN w:val="0"/>
              <w:spacing w:after="120" w:line="276" w:lineRule="auto"/>
              <w:ind w:firstLine="737"/>
              <w:jc w:val="both"/>
              <w:rPr>
                <w:rFonts w:ascii="Verdana" w:eastAsia="Calibri" w:hAnsi="Verdana" w:cs="Arial"/>
              </w:rPr>
            </w:pPr>
            <w:r w:rsidRPr="00E759B9">
              <w:rPr>
                <w:rFonts w:ascii="Verdana" w:eastAsia="Calibri" w:hAnsi="Verdana" w:cs="Arial"/>
              </w:rPr>
              <w:t xml:space="preserve">Ahora bien, lo anterior debe distinguirse de los efectos que la </w:t>
            </w:r>
            <w:r w:rsidRPr="00E759B9">
              <w:rPr>
                <w:rFonts w:ascii="Verdana" w:eastAsia="Calibri" w:hAnsi="Verdana" w:cs="Arial"/>
              </w:rPr>
              <w:lastRenderedPageBreak/>
              <w:t>clasificación de las actividades económicas pueda generar en materia tributaria. En particular, la determinación del alcance y contenido de los códigos CIIU, así como del tratamiento tributario aplicable a los ingresos percibidos por la ejecución de las actividades objeto del contrato, corresponde a la Dirección de Impuestos y Aduanas Nacionales –DIAN–, en el marco de las competencias que le han sido atribuidas por el ordenamiento jurídico. De igual manera, corresponde a dicha entidad determinar, en el marco de sus competencias, si una determinada actividad económica se encuentra comprendida en un código CIIU específico y los efectos que ello pueda generar para el cumplimiento de las obligaciones a su cargo.</w:t>
            </w:r>
          </w:p>
          <w:p w14:paraId="6E6BBCA7" w14:textId="77777777" w:rsidR="008A6431" w:rsidRPr="00E759B9" w:rsidRDefault="008A6431" w:rsidP="00E75E29">
            <w:pPr>
              <w:widowControl w:val="0"/>
              <w:autoSpaceDE w:val="0"/>
              <w:autoSpaceDN w:val="0"/>
              <w:spacing w:after="120" w:line="276" w:lineRule="auto"/>
              <w:ind w:firstLine="737"/>
              <w:jc w:val="both"/>
              <w:rPr>
                <w:rFonts w:ascii="Verdana" w:eastAsia="Calibri" w:hAnsi="Verdana" w:cs="Arial"/>
              </w:rPr>
            </w:pPr>
            <w:r w:rsidRPr="00962755">
              <w:rPr>
                <w:rFonts w:ascii="Verdana" w:eastAsia="Calibri" w:hAnsi="Verdana" w:cs="Arial"/>
              </w:rPr>
              <w:t xml:space="preserve">Finalmente, es pertinente indicar que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para determinar en cada caso particular y concreto, con los principios básicos y las normas que rigen el EGCAP.  </w:t>
            </w:r>
            <w:r w:rsidRPr="00962755">
              <w:rPr>
                <w:rFonts w:ascii="Verdana" w:eastAsia="Times New Roman" w:hAnsi="Verdana" w:cs="Times New Roman"/>
                <w:lang w:eastAsia="es-ES"/>
              </w:rPr>
              <w:t>En otras palabras, los conceptos de esta 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p>
        </w:tc>
      </w:tr>
    </w:tbl>
    <w:p w14:paraId="1C117486" w14:textId="77777777" w:rsidR="008A6431" w:rsidRPr="00C57C02" w:rsidRDefault="008A6431" w:rsidP="008A6431">
      <w:pPr>
        <w:tabs>
          <w:tab w:val="left" w:pos="142"/>
          <w:tab w:val="left" w:pos="284"/>
        </w:tabs>
        <w:spacing w:after="0" w:line="276" w:lineRule="auto"/>
        <w:jc w:val="both"/>
        <w:rPr>
          <w:rFonts w:ascii="Verdana" w:eastAsia="Century Gothic" w:hAnsi="Verdana" w:cs="Century Gothic"/>
          <w:b/>
          <w:bCs/>
          <w:color w:val="EE0000"/>
          <w:lang w:val="es-ES"/>
        </w:rPr>
      </w:pPr>
    </w:p>
    <w:p w14:paraId="64AFFEA9" w14:textId="77777777" w:rsidR="008A6431" w:rsidRPr="006F64E3" w:rsidRDefault="008A6431" w:rsidP="008A6431">
      <w:pPr>
        <w:tabs>
          <w:tab w:val="left" w:pos="142"/>
          <w:tab w:val="left" w:pos="284"/>
        </w:tabs>
        <w:spacing w:after="0" w:line="276" w:lineRule="auto"/>
        <w:jc w:val="both"/>
        <w:rPr>
          <w:rFonts w:ascii="Verdana" w:eastAsia="Century Gothic" w:hAnsi="Verdana" w:cs="Century Gothic"/>
          <w:b/>
          <w:lang w:val="es-ES"/>
        </w:rPr>
      </w:pPr>
      <w:r w:rsidRPr="006F64E3">
        <w:rPr>
          <w:rFonts w:ascii="Verdana" w:eastAsia="Century Gothic" w:hAnsi="Verdana" w:cs="Century Gothic"/>
          <w:b/>
          <w:lang w:val="es-ES"/>
        </w:rPr>
        <w:t>3. Razones de la respuesta:</w:t>
      </w:r>
    </w:p>
    <w:p w14:paraId="4EC98C42" w14:textId="77777777" w:rsidR="008A6431" w:rsidRPr="006F64E3" w:rsidRDefault="008A6431" w:rsidP="008A6431">
      <w:pPr>
        <w:spacing w:after="0" w:line="276" w:lineRule="auto"/>
        <w:jc w:val="both"/>
        <w:rPr>
          <w:rFonts w:ascii="Verdana" w:eastAsia="Calibri" w:hAnsi="Verdana" w:cs="Arial"/>
          <w:lang w:val="es-ES"/>
        </w:rPr>
      </w:pPr>
    </w:p>
    <w:p w14:paraId="2516AB47" w14:textId="77777777" w:rsidR="008A6431" w:rsidRPr="006F64E3" w:rsidRDefault="008A6431" w:rsidP="008A6431">
      <w:pPr>
        <w:spacing w:after="0" w:line="276" w:lineRule="auto"/>
        <w:jc w:val="both"/>
        <w:rPr>
          <w:rFonts w:ascii="Verdana" w:eastAsia="Calibri" w:hAnsi="Verdana" w:cs="Arial"/>
          <w:lang w:val="es-ES"/>
        </w:rPr>
      </w:pPr>
      <w:r w:rsidRPr="006F64E3">
        <w:rPr>
          <w:rFonts w:ascii="Verdana" w:eastAsia="Calibri" w:hAnsi="Verdana" w:cs="Arial"/>
          <w:lang w:val="es-ES"/>
        </w:rPr>
        <w:t xml:space="preserve">Las respuestas anteriores se sustentan en las siguientes consideraciones: </w:t>
      </w:r>
      <w:bookmarkStart w:id="1" w:name="_Hlk102983874"/>
      <w:bookmarkStart w:id="2" w:name="_Hlk102388095"/>
    </w:p>
    <w:p w14:paraId="71B57A76" w14:textId="77777777" w:rsidR="008A6431" w:rsidRPr="00C57C02" w:rsidRDefault="008A6431" w:rsidP="008A6431">
      <w:pPr>
        <w:spacing w:after="0" w:line="276" w:lineRule="auto"/>
        <w:jc w:val="both"/>
        <w:rPr>
          <w:rFonts w:ascii="Verdana" w:eastAsia="Calibri" w:hAnsi="Verdana" w:cs="Arial"/>
          <w:color w:val="EE0000"/>
          <w:lang w:val="es-ES"/>
        </w:rPr>
      </w:pPr>
    </w:p>
    <w:bookmarkEnd w:id="1"/>
    <w:bookmarkEnd w:id="2"/>
    <w:p w14:paraId="5A27FF7F" w14:textId="77777777" w:rsidR="008A6431" w:rsidRPr="00886F14" w:rsidRDefault="008A6431" w:rsidP="008A6431">
      <w:pPr>
        <w:spacing w:after="120" w:line="276" w:lineRule="auto"/>
        <w:jc w:val="both"/>
        <w:rPr>
          <w:rFonts w:ascii="Verdana" w:hAnsi="Verdana" w:cs="Arial"/>
          <w:color w:val="000000" w:themeColor="text1"/>
          <w:lang w:val="es-ES_tradnl"/>
        </w:rPr>
      </w:pPr>
      <w:r w:rsidRPr="00AE41EE">
        <w:rPr>
          <w:rFonts w:ascii="Verdana" w:eastAsia="Calibri" w:hAnsi="Verdana" w:cs="Arial"/>
          <w:lang w:val="es-ES"/>
        </w:rPr>
        <w:t xml:space="preserve">i. </w:t>
      </w:r>
      <w:r w:rsidRPr="00AE41EE">
        <w:rPr>
          <w:rFonts w:ascii="Verdana" w:hAnsi="Verdana" w:cs="Arial"/>
          <w:color w:val="000000" w:themeColor="text1"/>
          <w:lang w:val="es-ES_tradnl"/>
        </w:rPr>
        <w:t xml:space="preserve">Los </w:t>
      </w:r>
      <w:r w:rsidRPr="00AE41EE">
        <w:rPr>
          <w:rFonts w:ascii="Verdana" w:hAnsi="Verdana" w:cs="Arial"/>
          <w:i/>
          <w:iCs/>
          <w:color w:val="000000" w:themeColor="text1"/>
          <w:lang w:val="es-ES_tradnl"/>
        </w:rPr>
        <w:t>requisitos habilitantes</w:t>
      </w:r>
      <w:r w:rsidRPr="00AE41EE">
        <w:rPr>
          <w:rFonts w:ascii="Verdana" w:hAnsi="Verdana" w:cs="Arial"/>
          <w:color w:val="000000" w:themeColor="text1"/>
          <w:lang w:val="es-ES_tradnl"/>
        </w:rPr>
        <w:t xml:space="preserve"> se definen como exigencias de participación en los procedimientos de selección, establecidos en disposiciones normativas, de</w:t>
      </w:r>
      <w:r w:rsidRPr="00886F14">
        <w:rPr>
          <w:rFonts w:ascii="Verdana" w:hAnsi="Verdana" w:cs="Arial"/>
          <w:color w:val="000000" w:themeColor="text1"/>
          <w:lang w:val="es-ES_tradnl"/>
        </w:rPr>
        <w:t xml:space="preserve"> carácter legal o reglamentario, o las contenidas en el acto administrativo que regula las reglas de la convocatoria, es decir, en el pliego de condiciones o el documento equivalente a este. Se diferencian de los </w:t>
      </w:r>
      <w:r w:rsidRPr="00886F14">
        <w:rPr>
          <w:rFonts w:ascii="Verdana" w:hAnsi="Verdana" w:cs="Arial"/>
          <w:i/>
          <w:iCs/>
          <w:color w:val="000000" w:themeColor="text1"/>
          <w:lang w:val="es-ES_tradnl"/>
        </w:rPr>
        <w:t>criterios de evaluación</w:t>
      </w:r>
      <w:r w:rsidRPr="00886F14">
        <w:rPr>
          <w:rFonts w:ascii="Verdana" w:hAnsi="Verdana" w:cs="Arial"/>
          <w:color w:val="000000" w:themeColor="text1"/>
          <w:lang w:val="es-ES_tradnl"/>
        </w:rPr>
        <w:t xml:space="preserve"> –también conocidos como </w:t>
      </w:r>
      <w:r w:rsidRPr="00886F14">
        <w:rPr>
          <w:rFonts w:ascii="Verdana" w:hAnsi="Verdana" w:cs="Arial"/>
          <w:i/>
          <w:iCs/>
          <w:color w:val="000000" w:themeColor="text1"/>
          <w:lang w:val="es-ES_tradnl"/>
        </w:rPr>
        <w:t>criterios de calificación</w:t>
      </w:r>
      <w:r w:rsidRPr="00886F14">
        <w:rPr>
          <w:rFonts w:ascii="Verdana" w:hAnsi="Verdana" w:cs="Arial"/>
          <w:color w:val="000000" w:themeColor="text1"/>
          <w:lang w:val="es-ES_tradnl"/>
        </w:rPr>
        <w:t xml:space="preserve">– en que estos son los factores definidos por la Entidad Estatal para la asignación de puntaje en el momento de </w:t>
      </w:r>
      <w:r w:rsidRPr="00886F14">
        <w:rPr>
          <w:rFonts w:ascii="Verdana" w:hAnsi="Verdana" w:cs="Arial"/>
          <w:color w:val="000000" w:themeColor="text1"/>
          <w:lang w:val="es-ES_tradnl"/>
        </w:rPr>
        <w:lastRenderedPageBreak/>
        <w:t xml:space="preserve">la comparación de las ofertas, y que, a partir de su ponderación, permiten establecer el orden de elegibilidad y, por ende, la propuesta ganadora. </w:t>
      </w:r>
    </w:p>
    <w:p w14:paraId="4B818414" w14:textId="77777777" w:rsidR="008A6431" w:rsidRPr="00886F14" w:rsidRDefault="008A6431" w:rsidP="008A6431">
      <w:pPr>
        <w:spacing w:after="120" w:line="276" w:lineRule="auto"/>
        <w:ind w:firstLine="708"/>
        <w:jc w:val="both"/>
        <w:rPr>
          <w:rFonts w:ascii="Verdana" w:hAnsi="Verdana" w:cs="Arial"/>
          <w:color w:val="000000" w:themeColor="text1"/>
          <w:lang w:val="es-ES_tradnl"/>
        </w:rPr>
      </w:pPr>
      <w:r w:rsidRPr="00886F14">
        <w:rPr>
          <w:rFonts w:ascii="Verdana" w:hAnsi="Verdana" w:cs="Arial"/>
          <w:color w:val="000000" w:themeColor="text1"/>
          <w:lang w:val="es-ES_tradnl"/>
        </w:rPr>
        <w:t>A partir de lo dicho se deduce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w:t>
      </w:r>
      <w:r>
        <w:rPr>
          <w:rFonts w:ascii="Verdana" w:hAnsi="Verdana" w:cs="Arial"/>
          <w:color w:val="000000" w:themeColor="text1"/>
          <w:lang w:val="es-ES_tradnl"/>
        </w:rPr>
        <w:t>. D</w:t>
      </w:r>
      <w:r w:rsidRPr="00886F14">
        <w:rPr>
          <w:rFonts w:ascii="Verdana" w:hAnsi="Verdana" w:cs="Arial"/>
          <w:color w:val="000000" w:themeColor="text1"/>
          <w:lang w:val="es-ES_tradnl"/>
        </w:rPr>
        <w:t xml:space="preserve">e </w:t>
      </w:r>
      <w:r>
        <w:rPr>
          <w:rFonts w:ascii="Verdana" w:hAnsi="Verdana" w:cs="Arial"/>
          <w:color w:val="000000" w:themeColor="text1"/>
          <w:lang w:val="es-ES_tradnl"/>
        </w:rPr>
        <w:t xml:space="preserve">esta </w:t>
      </w:r>
      <w:r w:rsidRPr="00886F14">
        <w:rPr>
          <w:rFonts w:ascii="Verdana" w:hAnsi="Verdana" w:cs="Arial"/>
          <w:color w:val="000000" w:themeColor="text1"/>
          <w:lang w:val="es-ES_tradnl"/>
        </w:rPr>
        <w:t>manera</w:t>
      </w:r>
      <w:r>
        <w:rPr>
          <w:rFonts w:ascii="Verdana" w:hAnsi="Verdana" w:cs="Arial"/>
          <w:color w:val="000000" w:themeColor="text1"/>
          <w:lang w:val="es-ES_tradnl"/>
        </w:rPr>
        <w:t>,</w:t>
      </w:r>
      <w:r w:rsidRPr="00886F14">
        <w:rPr>
          <w:rFonts w:ascii="Verdana" w:hAnsi="Verdana" w:cs="Arial"/>
          <w:color w:val="000000" w:themeColor="text1"/>
          <w:lang w:val="es-ES_tradnl"/>
        </w:rPr>
        <w:t xml:space="preserve"> quienes no los reúnan no pueden continuar en el procedimiento de selección, </w:t>
      </w:r>
      <w:r>
        <w:rPr>
          <w:rFonts w:ascii="Verdana" w:hAnsi="Verdana" w:cs="Arial"/>
          <w:color w:val="000000" w:themeColor="text1"/>
          <w:lang w:val="es-ES_tradnl"/>
        </w:rPr>
        <w:t>es decir</w:t>
      </w:r>
      <w:r w:rsidRPr="00886F14">
        <w:rPr>
          <w:rFonts w:ascii="Verdana" w:hAnsi="Verdana" w:cs="Arial"/>
          <w:color w:val="000000" w:themeColor="text1"/>
          <w:lang w:val="es-ES_tradnl"/>
        </w:rPr>
        <w:t>, incurren en causal de rechazo. Esto</w:t>
      </w:r>
      <w:r>
        <w:rPr>
          <w:rFonts w:ascii="Verdana" w:hAnsi="Verdana" w:cs="Arial"/>
          <w:color w:val="000000" w:themeColor="text1"/>
          <w:lang w:val="es-ES_tradnl"/>
        </w:rPr>
        <w:t>,</w:t>
      </w:r>
      <w:r w:rsidRPr="00886F14">
        <w:rPr>
          <w:rFonts w:ascii="Verdana" w:hAnsi="Verdana" w:cs="Arial"/>
          <w:color w:val="000000" w:themeColor="text1"/>
          <w:lang w:val="es-ES_tradnl"/>
        </w:rPr>
        <w:t xml:space="preserve"> sin perjuicio del derecho que tienen los oferentes de subsanar los defectos que se presenten en la prueba de tales requisitos, de conformidad con el artículo 5, parágrafos 1º al 4º, de la Ley 1150 de 2007.</w:t>
      </w:r>
    </w:p>
    <w:p w14:paraId="42B4BE0B" w14:textId="77777777" w:rsidR="008A6431" w:rsidRDefault="008A6431" w:rsidP="008A6431">
      <w:pPr>
        <w:spacing w:after="120" w:line="276" w:lineRule="auto"/>
        <w:ind w:firstLine="708"/>
        <w:jc w:val="both"/>
        <w:rPr>
          <w:rFonts w:ascii="Verdana" w:hAnsi="Verdana" w:cs="Arial"/>
          <w:color w:val="000000" w:themeColor="text1"/>
          <w:lang w:val="es-ES_tradnl"/>
        </w:rPr>
      </w:pPr>
      <w:r w:rsidRPr="00886F14">
        <w:rPr>
          <w:rFonts w:ascii="Verdana" w:hAnsi="Verdana" w:cs="Arial"/>
          <w:color w:val="000000" w:themeColor="text1"/>
          <w:lang w:val="es-ES_tradnl"/>
        </w:rPr>
        <w:t>El mencionado artículo dispone que se considera objetiva la selección en la cual la escogencia se haga al ofrecimiento más favorable a la Entidad y a los fines que ella busca, sin tener en consideración factores de afecto o de interés y, en general, cualquier clase de motivación subjetiva</w:t>
      </w:r>
      <w:r w:rsidRPr="00886F14">
        <w:rPr>
          <w:rFonts w:ascii="Verdana" w:hAnsi="Verdana" w:cs="Arial"/>
          <w:i/>
          <w:iCs/>
          <w:color w:val="000000" w:themeColor="text1"/>
          <w:lang w:val="es-ES_tradnl"/>
        </w:rPr>
        <w:t>.</w:t>
      </w:r>
      <w:r w:rsidRPr="00886F14">
        <w:rPr>
          <w:rFonts w:ascii="Verdana" w:hAnsi="Verdana" w:cs="Arial"/>
          <w:color w:val="000000" w:themeColor="text1"/>
          <w:lang w:val="es-ES_tradnl"/>
        </w:rPr>
        <w:t xml:space="preserve"> En ese contexto, los factores de escogencia y calificación que establezcan las Entidades en los pliegos de condiciones o en sus documentos equivalentes deberán tener en cuenta, entre otras cuestiones, los criterios establecidos en dicha disposición. </w:t>
      </w:r>
    </w:p>
    <w:p w14:paraId="2AEB907A" w14:textId="77777777" w:rsidR="008A6431" w:rsidRPr="00886F14" w:rsidRDefault="008A6431" w:rsidP="008A6431">
      <w:pPr>
        <w:spacing w:after="0" w:line="276" w:lineRule="auto"/>
        <w:ind w:firstLine="708"/>
        <w:jc w:val="both"/>
        <w:rPr>
          <w:rFonts w:ascii="Verdana" w:hAnsi="Verdana" w:cs="Arial"/>
          <w:color w:val="000000" w:themeColor="text1"/>
          <w:lang w:val="es-ES"/>
        </w:rPr>
      </w:pPr>
      <w:r w:rsidRPr="5D636007">
        <w:rPr>
          <w:rFonts w:ascii="Verdana" w:hAnsi="Verdana" w:cs="Arial"/>
          <w:color w:val="000000" w:themeColor="text1"/>
          <w:lang w:val="es-ES"/>
        </w:rPr>
        <w:t xml:space="preserve">Específicamente, el numeral 1º del referido artículo 5 establece que en los procesos de selección de contratistas serán objeto de verificación, como requisitos habilitantes, </w:t>
      </w:r>
      <w:r w:rsidRPr="5D636007">
        <w:rPr>
          <w:rFonts w:ascii="Verdana" w:hAnsi="Verdana" w:cs="Arial"/>
          <w:i/>
          <w:color w:val="000000" w:themeColor="text1"/>
          <w:lang w:val="es-ES"/>
        </w:rPr>
        <w:t>entre otros</w:t>
      </w:r>
      <w:r w:rsidRPr="5D636007">
        <w:rPr>
          <w:rFonts w:ascii="Verdana" w:hAnsi="Verdana" w:cs="Arial"/>
          <w:color w:val="000000" w:themeColor="text1"/>
          <w:lang w:val="es-ES"/>
        </w:rPr>
        <w:t xml:space="preserve">, los siguientes: i) la capacidad jurídica; ii) la experiencia; iii) la capacidad financiera y iv) la capacidad de organización. En efecto, la normativa citada prescribe lo siguiente: </w:t>
      </w:r>
    </w:p>
    <w:p w14:paraId="2A12620D" w14:textId="77777777" w:rsidR="008A6431" w:rsidRPr="00886F14" w:rsidRDefault="008A6431" w:rsidP="008A6431">
      <w:pPr>
        <w:spacing w:after="0" w:line="276" w:lineRule="auto"/>
        <w:ind w:firstLine="708"/>
        <w:jc w:val="both"/>
        <w:rPr>
          <w:rFonts w:ascii="Verdana" w:hAnsi="Verdana" w:cs="Arial"/>
          <w:color w:val="000000" w:themeColor="text1"/>
          <w:lang w:val="es-ES_tradnl"/>
        </w:rPr>
      </w:pPr>
    </w:p>
    <w:p w14:paraId="1E485C60" w14:textId="77777777" w:rsidR="008A6431" w:rsidRPr="00E123D7" w:rsidRDefault="008A6431" w:rsidP="008A6431">
      <w:pPr>
        <w:spacing w:after="0" w:line="240" w:lineRule="auto"/>
        <w:ind w:left="709" w:right="709"/>
        <w:rPr>
          <w:rFonts w:ascii="Verdana" w:hAnsi="Verdana" w:cs="Arial"/>
          <w:color w:val="000000" w:themeColor="text1"/>
          <w:sz w:val="20"/>
          <w:szCs w:val="20"/>
          <w:lang w:val="es-ES_tradnl"/>
        </w:rPr>
      </w:pPr>
      <w:r w:rsidRPr="00E123D7">
        <w:rPr>
          <w:rFonts w:ascii="Verdana" w:hAnsi="Verdana" w:cs="Arial"/>
          <w:i/>
          <w:color w:val="000000" w:themeColor="text1"/>
          <w:sz w:val="20"/>
          <w:szCs w:val="20"/>
          <w:lang w:val="es-ES_tradnl"/>
        </w:rPr>
        <w:t>“</w:t>
      </w:r>
      <w:r w:rsidRPr="00E123D7">
        <w:rPr>
          <w:rFonts w:ascii="Verdana" w:hAnsi="Verdana" w:cs="Arial"/>
          <w:color w:val="000000" w:themeColor="text1"/>
          <w:sz w:val="20"/>
          <w:szCs w:val="20"/>
          <w:lang w:val="es-ES_tradnl"/>
        </w:rPr>
        <w:t xml:space="preserve">Artículo 5. De la Selección Objetiva. </w:t>
      </w:r>
    </w:p>
    <w:p w14:paraId="590C8592" w14:textId="77777777" w:rsidR="008A6431" w:rsidRPr="00E123D7" w:rsidRDefault="008A6431" w:rsidP="008A6431">
      <w:pPr>
        <w:spacing w:after="0" w:line="240" w:lineRule="auto"/>
        <w:ind w:left="709" w:right="709"/>
        <w:rPr>
          <w:rFonts w:ascii="Verdana" w:hAnsi="Verdana" w:cs="Arial"/>
          <w:color w:val="000000" w:themeColor="text1"/>
          <w:sz w:val="20"/>
          <w:szCs w:val="20"/>
          <w:lang w:val="es-ES_tradnl"/>
        </w:rPr>
      </w:pPr>
      <w:r>
        <w:rPr>
          <w:rFonts w:ascii="Verdana" w:hAnsi="Verdana" w:cs="Arial"/>
          <w:color w:val="000000" w:themeColor="text1"/>
          <w:sz w:val="20"/>
          <w:szCs w:val="20"/>
          <w:lang w:val="es-ES_tradnl"/>
        </w:rPr>
        <w:t>(</w:t>
      </w:r>
      <w:r w:rsidRPr="00E123D7">
        <w:rPr>
          <w:rFonts w:ascii="Verdana" w:hAnsi="Verdana" w:cs="Arial"/>
          <w:color w:val="000000" w:themeColor="text1"/>
          <w:sz w:val="20"/>
          <w:szCs w:val="20"/>
          <w:lang w:val="es-ES_tradnl"/>
        </w:rPr>
        <w:t>…</w:t>
      </w:r>
      <w:r>
        <w:rPr>
          <w:rFonts w:ascii="Verdana" w:hAnsi="Verdana" w:cs="Arial"/>
          <w:color w:val="000000" w:themeColor="text1"/>
          <w:sz w:val="20"/>
          <w:szCs w:val="20"/>
          <w:lang w:val="es-ES_tradnl"/>
        </w:rPr>
        <w:t>)</w:t>
      </w:r>
    </w:p>
    <w:p w14:paraId="506D22CE" w14:textId="77777777" w:rsidR="008A6431" w:rsidRDefault="008A6431" w:rsidP="008A6431">
      <w:pPr>
        <w:pStyle w:val="Prrafodelista"/>
        <w:spacing w:after="0" w:line="240" w:lineRule="auto"/>
        <w:ind w:left="709" w:right="709"/>
        <w:jc w:val="both"/>
        <w:rPr>
          <w:rFonts w:ascii="Verdana" w:eastAsia="Calibri" w:hAnsi="Verdana" w:cs="Arial"/>
          <w:color w:val="000000" w:themeColor="text1"/>
          <w:sz w:val="20"/>
          <w:szCs w:val="20"/>
        </w:rPr>
      </w:pPr>
      <w:r w:rsidRPr="00E123D7">
        <w:rPr>
          <w:rFonts w:ascii="Verdana" w:eastAsia="Calibri" w:hAnsi="Verdana" w:cs="Arial"/>
          <w:color w:val="000000" w:themeColor="text1"/>
          <w:sz w:val="20"/>
          <w:szCs w:val="20"/>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w:t>
      </w:r>
      <w:r w:rsidRPr="00E123D7">
        <w:rPr>
          <w:rFonts w:ascii="Verdana" w:eastAsia="Calibri" w:hAnsi="Verdana" w:cs="Arial"/>
          <w:i/>
          <w:color w:val="000000" w:themeColor="text1"/>
          <w:sz w:val="20"/>
          <w:szCs w:val="20"/>
        </w:rPr>
        <w:t>”</w:t>
      </w:r>
      <w:r w:rsidRPr="00E123D7">
        <w:rPr>
          <w:rFonts w:ascii="Verdana" w:eastAsia="Calibri" w:hAnsi="Verdana" w:cs="Arial"/>
          <w:color w:val="000000" w:themeColor="text1"/>
          <w:sz w:val="20"/>
          <w:szCs w:val="20"/>
        </w:rPr>
        <w:t>.</w:t>
      </w:r>
    </w:p>
    <w:p w14:paraId="05DD20D7" w14:textId="77777777" w:rsidR="008A6431" w:rsidRPr="00E14120" w:rsidRDefault="008A6431" w:rsidP="008A6431">
      <w:pPr>
        <w:pStyle w:val="Prrafodelista"/>
        <w:spacing w:after="0" w:line="240" w:lineRule="auto"/>
        <w:ind w:left="709" w:right="709"/>
        <w:jc w:val="both"/>
        <w:rPr>
          <w:rFonts w:ascii="Verdana" w:eastAsia="Calibri" w:hAnsi="Verdana" w:cs="Arial"/>
          <w:color w:val="000000" w:themeColor="text1"/>
          <w:sz w:val="20"/>
          <w:szCs w:val="20"/>
        </w:rPr>
      </w:pPr>
    </w:p>
    <w:p w14:paraId="0F419015" w14:textId="77777777" w:rsidR="008A6431" w:rsidRPr="00C94107" w:rsidRDefault="008A6431" w:rsidP="008A6431">
      <w:pPr>
        <w:spacing w:after="120" w:line="276" w:lineRule="auto"/>
        <w:ind w:firstLine="708"/>
        <w:jc w:val="both"/>
        <w:rPr>
          <w:rFonts w:ascii="Verdana" w:eastAsia="Times New Roman" w:hAnsi="Verdana" w:cs="Arial"/>
          <w:highlight w:val="cyan"/>
          <w:lang w:val="es-ES_tradnl" w:eastAsia="es-MX"/>
        </w:rPr>
      </w:pPr>
      <w:bookmarkStart w:id="3" w:name="_Hlk99547809"/>
      <w:bookmarkStart w:id="4" w:name="_Hlk99546625"/>
      <w:r w:rsidRPr="00C94107">
        <w:rPr>
          <w:rFonts w:ascii="Verdana" w:eastAsia="Times New Roman" w:hAnsi="Verdana" w:cs="Arial"/>
          <w:lang w:val="es-ES_tradnl" w:eastAsia="es-MX"/>
        </w:rPr>
        <w:lastRenderedPageBreak/>
        <w:t xml:space="preserve">La Agencia Nacional de Contratación Pública – Colombia Compra Eficiente ha defendido el carácter </w:t>
      </w:r>
      <w:bookmarkStart w:id="5" w:name="_Hlk99547799"/>
      <w:r w:rsidRPr="00C94107">
        <w:rPr>
          <w:rFonts w:ascii="Verdana" w:eastAsia="Times New Roman" w:hAnsi="Verdana" w:cs="Arial"/>
          <w:lang w:val="es-ES_tradnl" w:eastAsia="es-MX"/>
        </w:rPr>
        <w:t xml:space="preserve">enunciativo del listado de los requisitos habilitantes contenidos en el numeral 1 del artículo 5 de la Ley 1150 de 2007, en la medida en que la mencionada disposición, al referirse a los requisitos habilitantes, no contiene una expresión como “únicamente” o “solo”, de la que pueda colegirse la taxatividad de los requisitos señalados. </w:t>
      </w:r>
      <w:bookmarkEnd w:id="3"/>
      <w:bookmarkEnd w:id="5"/>
      <w:r w:rsidRPr="00C94107">
        <w:rPr>
          <w:rFonts w:ascii="Verdana" w:eastAsia="Times New Roman" w:hAnsi="Verdana" w:cs="Arial"/>
          <w:lang w:val="es-ES_tradnl" w:eastAsia="es-MX"/>
        </w:rPr>
        <w:t>Esta conclusión además se apoya en una la lectura integral de las normas que regulan la contratación estatal, en virtud de la cual es posible evidenciar que existen otras condiciones que deben cumplirse para la contratación con Entidades Estatales, de las que derivan requisitos habilitantes, como sucede, por ejemplo, con la capacidad residual a la que se refiere el artículo 6º, parágrafo 1, de la Ley 1150 de 2007</w:t>
      </w:r>
      <w:bookmarkEnd w:id="4"/>
      <w:r w:rsidRPr="00C94107">
        <w:rPr>
          <w:rFonts w:ascii="Verdana" w:eastAsia="Times New Roman" w:hAnsi="Verdana" w:cs="Arial"/>
          <w:vertAlign w:val="superscript"/>
          <w:lang w:val="es-ES_tradnl" w:eastAsia="es-MX"/>
        </w:rPr>
        <w:footnoteReference w:id="1"/>
      </w:r>
      <w:r w:rsidRPr="00C94107">
        <w:rPr>
          <w:rFonts w:ascii="Verdana" w:eastAsia="Times New Roman" w:hAnsi="Verdana" w:cs="Arial"/>
          <w:lang w:val="es-ES_tradnl" w:eastAsia="es-MX"/>
        </w:rPr>
        <w:t xml:space="preserve">. </w:t>
      </w:r>
    </w:p>
    <w:p w14:paraId="61411D0A" w14:textId="77777777" w:rsidR="008A6431" w:rsidRPr="007E4577" w:rsidRDefault="008A6431" w:rsidP="008A6431">
      <w:pPr>
        <w:spacing w:after="120" w:line="276" w:lineRule="auto"/>
        <w:ind w:firstLine="708"/>
        <w:jc w:val="both"/>
        <w:rPr>
          <w:rFonts w:ascii="Verdana" w:hAnsi="Verdana" w:cs="Arial"/>
        </w:rPr>
      </w:pPr>
      <w:r w:rsidRPr="00886F14">
        <w:rPr>
          <w:rFonts w:ascii="Verdana" w:hAnsi="Verdana" w:cs="Arial"/>
        </w:rPr>
        <w:t>Una vez fijados los requisitos habilitantes por la Entidad Estatal, quienes presenten ofertas deben acreditar que cumplen con los mismos, pues, en el evento contrario, las propuestas deberán ser rechazadas. El ente encargado de verificar el cumplimiento por parte de los proponentes sobre los requisitos que haya considerado la Entidad como habilitantes será la Cámara de Comercio</w:t>
      </w:r>
      <w:r w:rsidRPr="007E4577">
        <w:rPr>
          <w:rFonts w:ascii="Verdana" w:hAnsi="Verdana" w:cs="Arial"/>
        </w:rPr>
        <w:t xml:space="preserve">. Lo anterior, </w:t>
      </w:r>
      <w:r w:rsidRPr="00886F14">
        <w:rPr>
          <w:rFonts w:ascii="Verdana" w:hAnsi="Verdana" w:cs="Arial"/>
        </w:rPr>
        <w:t>en la medida en que, mediante el Registro Único de Proponentes –</w:t>
      </w:r>
      <w:r w:rsidRPr="007E4577">
        <w:rPr>
          <w:rFonts w:ascii="Verdana" w:hAnsi="Verdana" w:cs="Arial"/>
        </w:rPr>
        <w:t xml:space="preserve">en adelante </w:t>
      </w:r>
      <w:r w:rsidRPr="00886F14">
        <w:rPr>
          <w:rFonts w:ascii="Verdana" w:hAnsi="Verdana" w:cs="Arial"/>
        </w:rPr>
        <w:t>RUP–, se pondrá de presente toda la información relacionada con la experiencia, capacidad jurídica, capacidad financiera y organizacional, así como la clasificación del proponente</w:t>
      </w:r>
      <w:r w:rsidRPr="00886F14">
        <w:rPr>
          <w:rStyle w:val="Refdenotaalpie"/>
          <w:rFonts w:ascii="Verdana" w:hAnsi="Verdana" w:cs="Arial"/>
          <w:color w:val="000000" w:themeColor="text1"/>
          <w:lang w:val="es-ES_tradnl"/>
        </w:rPr>
        <w:footnoteReference w:id="2"/>
      </w:r>
      <w:r w:rsidRPr="00886F14">
        <w:rPr>
          <w:rFonts w:ascii="Verdana" w:hAnsi="Verdana" w:cs="Arial"/>
        </w:rPr>
        <w:t xml:space="preserve">. </w:t>
      </w:r>
    </w:p>
    <w:p w14:paraId="1A03F74E" w14:textId="77777777" w:rsidR="008A6431" w:rsidRDefault="008A6431" w:rsidP="008A6431">
      <w:pPr>
        <w:spacing w:after="0" w:line="276" w:lineRule="auto"/>
        <w:ind w:firstLine="708"/>
        <w:jc w:val="both"/>
        <w:rPr>
          <w:rFonts w:ascii="Verdana" w:eastAsia="Times New Roman" w:hAnsi="Verdana" w:cs="Arial"/>
          <w:lang w:eastAsia="es-ES_tradnl"/>
        </w:rPr>
      </w:pPr>
      <w:r w:rsidRPr="00886F14">
        <w:rPr>
          <w:rFonts w:ascii="Verdana" w:hAnsi="Verdana" w:cs="Arial"/>
        </w:rPr>
        <w:t>De la misma manera</w:t>
      </w:r>
      <w:r w:rsidRPr="007E4577">
        <w:rPr>
          <w:rFonts w:ascii="Verdana" w:hAnsi="Verdana" w:cs="Arial"/>
        </w:rPr>
        <w:t>,</w:t>
      </w:r>
      <w:r w:rsidRPr="00886F14">
        <w:rPr>
          <w:rFonts w:ascii="Verdana" w:hAnsi="Verdana" w:cs="Arial"/>
        </w:rPr>
        <w:t xml:space="preserve"> es pertinente mencionar que existen determinados procesos en donde se excepciona el uso del mencionado registro y de la clasificación del proponente, siendo estos los siguientes: contratación directa, contratos para la prestación de servicios de salud, contratos de mínima cuantía, </w:t>
      </w:r>
      <w:r w:rsidRPr="00886F14">
        <w:rPr>
          <w:rFonts w:ascii="Verdana" w:hAnsi="Verdana" w:cs="Arial"/>
        </w:rPr>
        <w:lastRenderedPageBreak/>
        <w:t>entre otros puestos de presente por el artículo 6 de la Ley 1150 de 2007</w:t>
      </w:r>
      <w:r w:rsidRPr="00886F14">
        <w:rPr>
          <w:rStyle w:val="Refdenotaalpie"/>
          <w:rFonts w:ascii="Verdana" w:hAnsi="Verdana" w:cs="Arial"/>
          <w:color w:val="000000" w:themeColor="text1"/>
          <w:lang w:val="es-ES_tradnl"/>
        </w:rPr>
        <w:footnoteReference w:id="3"/>
      </w:r>
      <w:r w:rsidRPr="00886F14">
        <w:rPr>
          <w:rFonts w:ascii="Verdana" w:hAnsi="Verdana" w:cs="Arial"/>
          <w:color w:val="000000" w:themeColor="text1"/>
          <w:lang w:val="es-ES_tradnl"/>
        </w:rPr>
        <w:t>.</w:t>
      </w:r>
      <w:r w:rsidRPr="00640182">
        <w:rPr>
          <w:rFonts w:ascii="Verdana" w:hAnsi="Verdana" w:cs="Arial"/>
          <w:color w:val="000000" w:themeColor="text1"/>
          <w:lang w:val="es-ES_tradnl"/>
        </w:rPr>
        <w:t xml:space="preserve"> En estos eventos, </w:t>
      </w:r>
      <w:r w:rsidRPr="00640182">
        <w:rPr>
          <w:rFonts w:ascii="Verdana" w:hAnsi="Verdana" w:cs="Arial"/>
        </w:rPr>
        <w:t>las Entidades deberán verificar directamente el cumplimiento de los requisitos habilitantes</w:t>
      </w:r>
      <w:r w:rsidRPr="00640182">
        <w:rPr>
          <w:rFonts w:ascii="Verdana" w:hAnsi="Verdana" w:cs="Arial"/>
          <w:vertAlign w:val="superscript"/>
        </w:rPr>
        <w:footnoteReference w:id="4"/>
      </w:r>
      <w:r w:rsidRPr="00640182">
        <w:rPr>
          <w:rFonts w:ascii="Verdana" w:hAnsi="Verdana" w:cs="Arial"/>
        </w:rPr>
        <w:t xml:space="preserve">. Para esto, deberá señalar en la invitación, o el documento que haga sus veces, </w:t>
      </w:r>
      <w:r w:rsidRPr="00640182">
        <w:rPr>
          <w:rFonts w:ascii="Verdana" w:eastAsia="Times New Roman" w:hAnsi="Verdana" w:cs="Arial"/>
          <w:lang w:eastAsia="es-ES_tradnl"/>
        </w:rPr>
        <w:t>cuál es la información que se debe acreditar, así como los documentos que tendrá como válidos para tal fin.</w:t>
      </w:r>
    </w:p>
    <w:p w14:paraId="253329AE" w14:textId="77777777" w:rsidR="008A6431" w:rsidRDefault="008A6431" w:rsidP="008A6431">
      <w:pPr>
        <w:spacing w:after="0" w:line="276" w:lineRule="auto"/>
        <w:ind w:firstLine="708"/>
        <w:jc w:val="both"/>
        <w:rPr>
          <w:rFonts w:ascii="Verdana" w:eastAsia="Times New Roman" w:hAnsi="Verdana" w:cs="Arial"/>
          <w:lang w:eastAsia="es-ES_tradnl"/>
        </w:rPr>
      </w:pPr>
    </w:p>
    <w:p w14:paraId="36D2B07C" w14:textId="77777777" w:rsidR="008A6431" w:rsidRPr="00392904" w:rsidRDefault="008A6431" w:rsidP="008A6431">
      <w:pPr>
        <w:tabs>
          <w:tab w:val="left" w:pos="8505"/>
        </w:tabs>
        <w:spacing w:after="120" w:line="276" w:lineRule="auto"/>
        <w:ind w:right="142"/>
        <w:jc w:val="both"/>
        <w:rPr>
          <w:rFonts w:ascii="Verdana" w:hAnsi="Verdana" w:cs="Arial"/>
        </w:rPr>
      </w:pPr>
      <w:r w:rsidRPr="00AE41EE">
        <w:rPr>
          <w:rFonts w:ascii="Verdana" w:hAnsi="Verdana" w:cs="Arial"/>
          <w:iCs/>
          <w:lang w:val="es-ES_tradnl"/>
        </w:rPr>
        <w:t>ii. Ahora bien, r</w:t>
      </w:r>
      <w:r w:rsidRPr="00AE41EE">
        <w:rPr>
          <w:rFonts w:ascii="Verdana" w:hAnsi="Verdana" w:cs="Arial"/>
          <w:i/>
          <w:iCs/>
        </w:rPr>
        <w:t>especto a la capacidad jurídica</w:t>
      </w:r>
      <w:r w:rsidRPr="00AE41EE">
        <w:rPr>
          <w:rFonts w:ascii="Verdana" w:hAnsi="Verdana" w:cs="Arial"/>
        </w:rPr>
        <w:t>, ésta es un presupuesto de la</w:t>
      </w:r>
      <w:r w:rsidRPr="00392904">
        <w:rPr>
          <w:rFonts w:ascii="Verdana" w:hAnsi="Verdana" w:cs="Arial"/>
        </w:rPr>
        <w:t xml:space="preserve"> validez del contrato. No en vano, en concordancia con el numeral 1 del artículo 1502 del Código Civil</w:t>
      </w:r>
      <w:r w:rsidRPr="00392904">
        <w:rPr>
          <w:rStyle w:val="Refdenotaalpie"/>
          <w:rFonts w:ascii="Verdana" w:hAnsi="Verdana" w:cs="Arial"/>
        </w:rPr>
        <w:footnoteReference w:id="5"/>
      </w:r>
      <w:r w:rsidRPr="00392904">
        <w:rPr>
          <w:rFonts w:ascii="Verdana" w:hAnsi="Verdana" w:cs="Arial"/>
        </w:rPr>
        <w:t xml:space="preserve">, el artículo 6 de la Ley 80 de 1993 dispone que “Pueden celebrar contratos con las entidades estatales las personas consideradas legalmente capaces en las disposiciones vigentes”. Así las cosas, la capacidad jurídica </w:t>
      </w:r>
      <w:r w:rsidRPr="00392904">
        <w:rPr>
          <w:rFonts w:ascii="Verdana" w:eastAsia="Calibri" w:hAnsi="Verdana" w:cs="Arial"/>
          <w:lang w:val="es-ES" w:eastAsia="es-ES"/>
        </w:rPr>
        <w:t>es la aptitud que recae en los sujetos activos o pasivos de las relaciones jurídicas</w:t>
      </w:r>
      <w:r w:rsidRPr="00392904">
        <w:rPr>
          <w:rFonts w:ascii="Verdana" w:eastAsia="Calibri" w:hAnsi="Verdana" w:cs="Arial"/>
          <w:vertAlign w:val="superscript"/>
          <w:lang w:val="es-ES" w:eastAsia="es-ES"/>
        </w:rPr>
        <w:footnoteReference w:id="6"/>
      </w:r>
      <w:r w:rsidRPr="00392904">
        <w:rPr>
          <w:rFonts w:ascii="Verdana" w:eastAsia="Calibri" w:hAnsi="Verdana" w:cs="Arial"/>
          <w:lang w:val="es-ES" w:eastAsia="es-ES"/>
        </w:rPr>
        <w:t xml:space="preserve">. Para efectos de las relaciones contractuales en las que uno de los extremos de la relación sea una Entidad Estatal, la capacidad jurídica es la facultad que tiene una persona natural o jurídica para celebrar contratos con estas Entidades. En otras palabras, se refiere a la capacidad de obligarse a </w:t>
      </w:r>
      <w:r w:rsidRPr="00392904">
        <w:rPr>
          <w:rFonts w:ascii="Verdana" w:eastAsia="Calibri" w:hAnsi="Verdana" w:cs="Arial"/>
          <w:lang w:val="es-ES" w:eastAsia="es-ES"/>
        </w:rPr>
        <w:lastRenderedPageBreak/>
        <w:t>cumplir el objeto del contrato, así como a no estar incursa en inhabilidades o incompatibilidades que impidan su celebración.</w:t>
      </w:r>
    </w:p>
    <w:p w14:paraId="4BC94855" w14:textId="77777777" w:rsidR="008A6431" w:rsidRPr="00392904" w:rsidRDefault="008A6431" w:rsidP="008A6431">
      <w:pPr>
        <w:tabs>
          <w:tab w:val="left" w:pos="8505"/>
        </w:tabs>
        <w:spacing w:after="0" w:line="276" w:lineRule="auto"/>
        <w:ind w:right="142" w:firstLine="709"/>
        <w:jc w:val="both"/>
        <w:rPr>
          <w:rFonts w:ascii="Verdana" w:hAnsi="Verdana" w:cs="Arial"/>
        </w:rPr>
      </w:pPr>
      <w:r w:rsidRPr="00392904">
        <w:rPr>
          <w:rFonts w:ascii="Verdana" w:hAnsi="Verdana" w:cs="Arial"/>
        </w:rPr>
        <w:t xml:space="preserve">Para estos efectos, tratándose de </w:t>
      </w:r>
      <w:r w:rsidRPr="00392904">
        <w:rPr>
          <w:rFonts w:ascii="Verdana" w:hAnsi="Verdana" w:cs="Arial"/>
          <w:i/>
          <w:iCs/>
        </w:rPr>
        <w:t>personas naturales</w:t>
      </w:r>
      <w:r w:rsidRPr="00392904">
        <w:rPr>
          <w:rFonts w:ascii="Verdana" w:hAnsi="Verdana" w:cs="Arial"/>
        </w:rPr>
        <w:t xml:space="preserve">, si bien todos los seres humanos, por el hecho de gozar de personalidad jurídica, son sujetos de derechos y obligaciones, algunas no pueden ejercerlos por sí mismos, sino a través de interpuesta persona. Lo anterior significa que, si bien todas las personas tienen </w:t>
      </w:r>
      <w:r w:rsidRPr="00392904">
        <w:rPr>
          <w:rFonts w:ascii="Verdana" w:hAnsi="Verdana" w:cs="Arial"/>
          <w:i/>
        </w:rPr>
        <w:t>capacidad de goce</w:t>
      </w:r>
      <w:r w:rsidRPr="00392904">
        <w:rPr>
          <w:rFonts w:ascii="Verdana" w:hAnsi="Verdana" w:cs="Arial"/>
        </w:rPr>
        <w:t xml:space="preserve">, no todas tienen </w:t>
      </w:r>
      <w:r w:rsidRPr="00392904">
        <w:rPr>
          <w:rFonts w:ascii="Verdana" w:hAnsi="Verdana" w:cs="Arial"/>
          <w:i/>
        </w:rPr>
        <w:t>capacidad de ejercicio</w:t>
      </w:r>
      <w:r w:rsidRPr="00392904">
        <w:rPr>
          <w:rFonts w:ascii="Verdana" w:hAnsi="Verdana" w:cs="Arial"/>
        </w:rPr>
        <w:t>. En efecto, la primera es reconocida por el artículo 14 de la Constitución Política de 1991, en el sentido que “Toda persona tiene derecho al reconocimiento de su personalidad jurídica”. Adicionalmente, el artículo 74 del Código Civil prescribe que “Son personas todos los individuos de la especie humana, cualquiera que sea su edad, sexo, estirpe o condición”. Al respecto, la doctrina explica que:</w:t>
      </w:r>
    </w:p>
    <w:p w14:paraId="03E8C311" w14:textId="77777777" w:rsidR="008A6431" w:rsidRPr="00392904" w:rsidRDefault="008A6431" w:rsidP="008A6431">
      <w:pPr>
        <w:tabs>
          <w:tab w:val="left" w:pos="8505"/>
        </w:tabs>
        <w:spacing w:after="0" w:line="276" w:lineRule="auto"/>
        <w:ind w:right="142"/>
        <w:jc w:val="both"/>
        <w:rPr>
          <w:rFonts w:ascii="Verdana" w:hAnsi="Verdana" w:cs="Arial"/>
        </w:rPr>
      </w:pPr>
    </w:p>
    <w:p w14:paraId="13902305" w14:textId="77777777" w:rsidR="008A6431" w:rsidRPr="00392904" w:rsidRDefault="008A6431" w:rsidP="008A6431">
      <w:pPr>
        <w:tabs>
          <w:tab w:val="left" w:pos="8505"/>
        </w:tabs>
        <w:spacing w:after="0" w:line="240" w:lineRule="auto"/>
        <w:ind w:left="709" w:right="709"/>
        <w:jc w:val="both"/>
        <w:rPr>
          <w:rFonts w:ascii="Verdana" w:hAnsi="Verdana" w:cs="Arial"/>
          <w:sz w:val="20"/>
          <w:szCs w:val="20"/>
        </w:rPr>
      </w:pPr>
      <w:r w:rsidRPr="00392904">
        <w:rPr>
          <w:rFonts w:ascii="Verdana" w:hAnsi="Verdana" w:cs="Arial"/>
          <w:sz w:val="20"/>
          <w:szCs w:val="20"/>
        </w:rPr>
        <w:t>“</w:t>
      </w:r>
      <w:r w:rsidRPr="00392904">
        <w:rPr>
          <w:rFonts w:ascii="Verdana" w:hAnsi="Verdana" w:cs="Arial"/>
          <w:i/>
          <w:sz w:val="20"/>
          <w:szCs w:val="20"/>
        </w:rPr>
        <w:t>Capacidad</w:t>
      </w:r>
      <w:r w:rsidRPr="00392904">
        <w:rPr>
          <w:rFonts w:ascii="Verdana" w:hAnsi="Verdana" w:cs="Arial"/>
          <w:sz w:val="20"/>
          <w:szCs w:val="20"/>
        </w:rPr>
        <w:t xml:space="preserve"> es una palabra de doble sentido, lo mismo que </w:t>
      </w:r>
      <w:r w:rsidRPr="00392904">
        <w:rPr>
          <w:rFonts w:ascii="Verdana" w:hAnsi="Verdana" w:cs="Arial"/>
          <w:i/>
          <w:sz w:val="20"/>
          <w:szCs w:val="20"/>
        </w:rPr>
        <w:t>incapacidad</w:t>
      </w:r>
      <w:r w:rsidRPr="00392904">
        <w:rPr>
          <w:rFonts w:ascii="Verdana" w:hAnsi="Verdana" w:cs="Arial"/>
          <w:sz w:val="20"/>
          <w:szCs w:val="20"/>
        </w:rPr>
        <w:t xml:space="preserve">, su contraria: a veces designa con ella la aptitud o falta de aptitud para </w:t>
      </w:r>
      <w:r w:rsidRPr="00392904">
        <w:rPr>
          <w:rFonts w:ascii="Verdana" w:hAnsi="Verdana" w:cs="Arial"/>
          <w:i/>
          <w:sz w:val="20"/>
          <w:szCs w:val="20"/>
        </w:rPr>
        <w:t>adquirir</w:t>
      </w:r>
      <w:r w:rsidRPr="00392904">
        <w:rPr>
          <w:rFonts w:ascii="Verdana" w:hAnsi="Verdana" w:cs="Arial"/>
          <w:sz w:val="20"/>
          <w:szCs w:val="20"/>
        </w:rPr>
        <w:t xml:space="preserve"> y para </w:t>
      </w:r>
      <w:r w:rsidRPr="00392904">
        <w:rPr>
          <w:rFonts w:ascii="Verdana" w:hAnsi="Verdana" w:cs="Arial"/>
          <w:i/>
          <w:sz w:val="20"/>
          <w:szCs w:val="20"/>
        </w:rPr>
        <w:t>poseer</w:t>
      </w:r>
      <w:r w:rsidRPr="00392904">
        <w:rPr>
          <w:rFonts w:ascii="Verdana" w:hAnsi="Verdana" w:cs="Arial"/>
          <w:sz w:val="20"/>
          <w:szCs w:val="20"/>
        </w:rPr>
        <w:t xml:space="preserve"> derechos, para ser titular de esos derechos, y entonces se trata de una </w:t>
      </w:r>
      <w:r w:rsidRPr="00392904">
        <w:rPr>
          <w:rFonts w:ascii="Verdana" w:hAnsi="Verdana" w:cs="Arial"/>
          <w:i/>
          <w:sz w:val="20"/>
          <w:szCs w:val="20"/>
        </w:rPr>
        <w:t>capacidad</w:t>
      </w:r>
      <w:r w:rsidRPr="00392904">
        <w:rPr>
          <w:rFonts w:ascii="Verdana" w:hAnsi="Verdana" w:cs="Arial"/>
          <w:sz w:val="20"/>
          <w:szCs w:val="20"/>
        </w:rPr>
        <w:t xml:space="preserve"> o una </w:t>
      </w:r>
      <w:r w:rsidRPr="00392904">
        <w:rPr>
          <w:rFonts w:ascii="Verdana" w:hAnsi="Verdana" w:cs="Arial"/>
          <w:i/>
          <w:sz w:val="20"/>
          <w:szCs w:val="20"/>
        </w:rPr>
        <w:t>incapacidad</w:t>
      </w:r>
      <w:r w:rsidRPr="00392904">
        <w:rPr>
          <w:rFonts w:ascii="Verdana" w:hAnsi="Verdana" w:cs="Arial"/>
          <w:sz w:val="20"/>
          <w:szCs w:val="20"/>
        </w:rPr>
        <w:t xml:space="preserve"> </w:t>
      </w:r>
      <w:r w:rsidRPr="00392904">
        <w:rPr>
          <w:rFonts w:ascii="Verdana" w:hAnsi="Verdana" w:cs="Arial"/>
          <w:i/>
          <w:sz w:val="20"/>
          <w:szCs w:val="20"/>
        </w:rPr>
        <w:t>de goce</w:t>
      </w:r>
      <w:r w:rsidRPr="00392904">
        <w:rPr>
          <w:rFonts w:ascii="Verdana" w:hAnsi="Verdana" w:cs="Arial"/>
          <w:sz w:val="20"/>
          <w:szCs w:val="20"/>
        </w:rPr>
        <w:t xml:space="preserve"> […]; otras veces, y con mayor frecuencia, se trata sólo de la aptitud o falta de aptitud para </w:t>
      </w:r>
      <w:r w:rsidRPr="00392904">
        <w:rPr>
          <w:rFonts w:ascii="Verdana" w:hAnsi="Verdana" w:cs="Arial"/>
          <w:i/>
          <w:sz w:val="20"/>
          <w:szCs w:val="20"/>
        </w:rPr>
        <w:t>ejercer</w:t>
      </w:r>
      <w:r w:rsidRPr="00392904">
        <w:rPr>
          <w:rFonts w:ascii="Verdana" w:hAnsi="Verdana" w:cs="Arial"/>
          <w:sz w:val="20"/>
          <w:szCs w:val="20"/>
        </w:rPr>
        <w:t xml:space="preserve"> los derechos de que una persona está investida y, en tal caso, se trata sólo de una </w:t>
      </w:r>
      <w:r w:rsidRPr="00392904">
        <w:rPr>
          <w:rFonts w:ascii="Verdana" w:hAnsi="Verdana" w:cs="Arial"/>
          <w:i/>
          <w:sz w:val="20"/>
          <w:szCs w:val="20"/>
        </w:rPr>
        <w:t>capacidad</w:t>
      </w:r>
      <w:r w:rsidRPr="00392904">
        <w:rPr>
          <w:rFonts w:ascii="Verdana" w:hAnsi="Verdana" w:cs="Arial"/>
          <w:sz w:val="20"/>
          <w:szCs w:val="20"/>
        </w:rPr>
        <w:t xml:space="preserve"> o de una </w:t>
      </w:r>
      <w:r w:rsidRPr="00392904">
        <w:rPr>
          <w:rFonts w:ascii="Verdana" w:hAnsi="Verdana" w:cs="Arial"/>
          <w:i/>
          <w:sz w:val="20"/>
          <w:szCs w:val="20"/>
        </w:rPr>
        <w:t>incapacidad de ejercicio</w:t>
      </w:r>
      <w:r w:rsidRPr="00392904">
        <w:rPr>
          <w:rFonts w:ascii="Verdana" w:hAnsi="Verdana" w:cs="Arial"/>
          <w:sz w:val="20"/>
          <w:szCs w:val="20"/>
        </w:rPr>
        <w:t>.</w:t>
      </w:r>
    </w:p>
    <w:p w14:paraId="1B9C2101" w14:textId="77777777" w:rsidR="008A6431" w:rsidRPr="00392904" w:rsidRDefault="008A6431" w:rsidP="008A6431">
      <w:pPr>
        <w:tabs>
          <w:tab w:val="left" w:pos="8505"/>
        </w:tabs>
        <w:spacing w:after="0" w:line="240" w:lineRule="auto"/>
        <w:ind w:left="709" w:right="709"/>
        <w:jc w:val="both"/>
        <w:rPr>
          <w:rFonts w:ascii="Verdana" w:hAnsi="Verdana" w:cs="Arial"/>
          <w:sz w:val="20"/>
          <w:szCs w:val="20"/>
        </w:rPr>
      </w:pPr>
    </w:p>
    <w:p w14:paraId="4FAAE0F4" w14:textId="77777777" w:rsidR="008A6431" w:rsidRPr="00392904" w:rsidRDefault="008A6431" w:rsidP="008A6431">
      <w:pPr>
        <w:tabs>
          <w:tab w:val="left" w:pos="8505"/>
        </w:tabs>
        <w:spacing w:after="0" w:line="240" w:lineRule="auto"/>
        <w:ind w:left="709" w:right="709"/>
        <w:jc w:val="both"/>
        <w:rPr>
          <w:rFonts w:ascii="Verdana" w:hAnsi="Verdana" w:cs="Arial"/>
          <w:sz w:val="20"/>
          <w:szCs w:val="20"/>
        </w:rPr>
      </w:pPr>
      <w:r w:rsidRPr="00392904">
        <w:rPr>
          <w:rFonts w:ascii="Verdana" w:hAnsi="Verdana" w:cs="Arial"/>
          <w:sz w:val="20"/>
          <w:szCs w:val="20"/>
        </w:rPr>
        <w:t xml:space="preserve">Ejemplos: un menor no tiene derechos políticos, está totalmente privado de ellos; la incapacidad se refiere al </w:t>
      </w:r>
      <w:r w:rsidRPr="00392904">
        <w:rPr>
          <w:rFonts w:ascii="Verdana" w:hAnsi="Verdana" w:cs="Arial"/>
          <w:i/>
          <w:sz w:val="20"/>
          <w:szCs w:val="20"/>
        </w:rPr>
        <w:t>goce</w:t>
      </w:r>
      <w:r w:rsidRPr="00392904">
        <w:rPr>
          <w:rFonts w:ascii="Verdana" w:hAnsi="Verdana" w:cs="Arial"/>
          <w:sz w:val="20"/>
          <w:szCs w:val="20"/>
        </w:rPr>
        <w:t xml:space="preserve">, a la </w:t>
      </w:r>
      <w:r w:rsidRPr="00392904">
        <w:rPr>
          <w:rFonts w:ascii="Verdana" w:hAnsi="Verdana" w:cs="Arial"/>
          <w:i/>
          <w:sz w:val="20"/>
          <w:szCs w:val="20"/>
        </w:rPr>
        <w:t>existencia</w:t>
      </w:r>
      <w:r w:rsidRPr="00392904">
        <w:rPr>
          <w:rFonts w:ascii="Verdana" w:hAnsi="Verdana" w:cs="Arial"/>
          <w:sz w:val="20"/>
          <w:szCs w:val="20"/>
        </w:rPr>
        <w:t xml:space="preserve"> misma de esos derechos. Pero ese mismo menor puede ser propietario o acreedor; puede poseer bienes, tener una fortuna considerable; desde este punto de vista, en ese terreno, le pertenece la capacidad de goce, pero, esos derechos de que está investido de propiedad o de crédito, no puede ejercerlos por sí mismo, sobre todo sí es todavía un niño; es preciso, de toda necesidad, que alguien los ejerza por él, en su nombre. Le falta capacidad de ejercicio.</w:t>
      </w:r>
    </w:p>
    <w:p w14:paraId="6984D651" w14:textId="77777777" w:rsidR="008A6431" w:rsidRPr="00392904" w:rsidRDefault="008A6431" w:rsidP="008A6431">
      <w:pPr>
        <w:tabs>
          <w:tab w:val="left" w:pos="8505"/>
        </w:tabs>
        <w:spacing w:after="0" w:line="240" w:lineRule="auto"/>
        <w:ind w:left="709" w:right="709"/>
        <w:jc w:val="both"/>
        <w:rPr>
          <w:rFonts w:ascii="Verdana" w:hAnsi="Verdana" w:cs="Arial"/>
          <w:sz w:val="20"/>
          <w:szCs w:val="20"/>
        </w:rPr>
      </w:pPr>
    </w:p>
    <w:p w14:paraId="281ECDEC" w14:textId="77777777" w:rsidR="008A6431" w:rsidRPr="00392904" w:rsidRDefault="008A6431" w:rsidP="008A6431">
      <w:pPr>
        <w:tabs>
          <w:tab w:val="left" w:pos="8505"/>
        </w:tabs>
        <w:spacing w:after="0" w:line="240" w:lineRule="auto"/>
        <w:ind w:left="8505" w:right="709" w:hanging="7796"/>
        <w:jc w:val="both"/>
        <w:rPr>
          <w:rFonts w:ascii="Verdana" w:hAnsi="Verdana" w:cs="Arial"/>
          <w:sz w:val="20"/>
          <w:szCs w:val="20"/>
        </w:rPr>
      </w:pPr>
      <w:r>
        <w:rPr>
          <w:rFonts w:ascii="Verdana" w:hAnsi="Verdana" w:cs="Arial"/>
          <w:sz w:val="20"/>
          <w:szCs w:val="20"/>
        </w:rPr>
        <w:t>(</w:t>
      </w:r>
      <w:r w:rsidRPr="00392904">
        <w:rPr>
          <w:rFonts w:ascii="Verdana" w:hAnsi="Verdana" w:cs="Arial"/>
          <w:sz w:val="20"/>
          <w:szCs w:val="20"/>
        </w:rPr>
        <w:t>…</w:t>
      </w:r>
      <w:r>
        <w:rPr>
          <w:rFonts w:ascii="Verdana" w:hAnsi="Verdana" w:cs="Arial"/>
          <w:sz w:val="20"/>
          <w:szCs w:val="20"/>
        </w:rPr>
        <w:t>)</w:t>
      </w:r>
    </w:p>
    <w:p w14:paraId="40CEB12C" w14:textId="77777777" w:rsidR="008A6431" w:rsidRPr="00392904" w:rsidRDefault="008A6431" w:rsidP="008A6431">
      <w:pPr>
        <w:tabs>
          <w:tab w:val="left" w:pos="8505"/>
        </w:tabs>
        <w:spacing w:after="0" w:line="240" w:lineRule="auto"/>
        <w:ind w:left="709" w:right="709"/>
        <w:jc w:val="both"/>
        <w:rPr>
          <w:rFonts w:ascii="Verdana" w:hAnsi="Verdana" w:cs="Arial"/>
          <w:sz w:val="20"/>
          <w:szCs w:val="20"/>
        </w:rPr>
      </w:pPr>
    </w:p>
    <w:p w14:paraId="546FC80A" w14:textId="77777777" w:rsidR="008A6431" w:rsidRPr="00392904" w:rsidRDefault="008A6431" w:rsidP="008A6431">
      <w:pPr>
        <w:tabs>
          <w:tab w:val="left" w:pos="8505"/>
        </w:tabs>
        <w:spacing w:after="0" w:line="240" w:lineRule="auto"/>
        <w:ind w:left="709" w:right="709"/>
        <w:jc w:val="both"/>
        <w:rPr>
          <w:rFonts w:ascii="Verdana" w:hAnsi="Verdana" w:cs="Arial"/>
          <w:sz w:val="20"/>
          <w:szCs w:val="20"/>
        </w:rPr>
      </w:pPr>
      <w:r w:rsidRPr="00392904">
        <w:rPr>
          <w:rFonts w:ascii="Verdana" w:hAnsi="Verdana" w:cs="Arial"/>
          <w:sz w:val="20"/>
          <w:szCs w:val="20"/>
        </w:rPr>
        <w:t xml:space="preserve">Resulta de las explicaciones precedentes que la incapacidad de goce es más grave que la de ejercicio, porque la primera lleva consigo la segunda, y no recíprocamente. Y, sobre todo, una es irremediable mientras que la otra lleva consigo paliativos, remedios: el menor es incapaz de ejercitar los derechos que le pertenecen, pero eso no importa, porque alguien los ejercerá por él, su padre o su tutor. Lo esencial es tener, poseer los derechos; la cuestión de su ejercicio es, si no secundaria, por lo menos </w:t>
      </w:r>
      <w:r w:rsidRPr="00392904">
        <w:rPr>
          <w:rFonts w:ascii="Verdana" w:hAnsi="Verdana" w:cs="Arial"/>
          <w:sz w:val="20"/>
          <w:szCs w:val="20"/>
        </w:rPr>
        <w:lastRenderedPageBreak/>
        <w:t>susceptible de ser resuelta por un medio o por otro”</w:t>
      </w:r>
      <w:r w:rsidRPr="00392904">
        <w:rPr>
          <w:rStyle w:val="Refdenotaalpie"/>
          <w:rFonts w:ascii="Verdana" w:hAnsi="Verdana" w:cs="Arial"/>
          <w:sz w:val="20"/>
          <w:szCs w:val="20"/>
        </w:rPr>
        <w:footnoteReference w:id="7"/>
      </w:r>
      <w:r w:rsidRPr="00392904">
        <w:rPr>
          <w:rFonts w:ascii="Verdana" w:hAnsi="Verdana" w:cs="Arial"/>
          <w:sz w:val="20"/>
          <w:szCs w:val="20"/>
        </w:rPr>
        <w:t xml:space="preserve">. (Énfasis dentro del texto)               </w:t>
      </w:r>
    </w:p>
    <w:p w14:paraId="5F5A066A" w14:textId="77777777" w:rsidR="008A6431" w:rsidRPr="00392904" w:rsidRDefault="008A6431" w:rsidP="008A6431">
      <w:pPr>
        <w:tabs>
          <w:tab w:val="left" w:pos="709"/>
        </w:tabs>
        <w:spacing w:after="0" w:line="276" w:lineRule="auto"/>
        <w:ind w:firstLine="709"/>
        <w:jc w:val="both"/>
        <w:rPr>
          <w:rFonts w:ascii="Verdana" w:hAnsi="Verdana" w:cs="Arial"/>
        </w:rPr>
      </w:pPr>
    </w:p>
    <w:p w14:paraId="1BB50819" w14:textId="77777777" w:rsidR="008A6431" w:rsidRPr="00392904" w:rsidRDefault="008A6431" w:rsidP="008A6431">
      <w:pPr>
        <w:tabs>
          <w:tab w:val="left" w:pos="709"/>
        </w:tabs>
        <w:spacing w:after="120" w:line="276" w:lineRule="auto"/>
        <w:ind w:firstLine="709"/>
        <w:jc w:val="both"/>
        <w:rPr>
          <w:rFonts w:ascii="Verdana" w:hAnsi="Verdana" w:cs="Arial"/>
        </w:rPr>
      </w:pPr>
      <w:r w:rsidRPr="00392904">
        <w:rPr>
          <w:rFonts w:ascii="Verdana" w:hAnsi="Verdana" w:cs="Arial"/>
        </w:rPr>
        <w:t>Por ello, ante la necesidad de proteger a determinados sujetos, el ordenamiento jurídico exige que se actúe a través de terceros, bien sea para adquirir derechos o contraer obligaciones. No en vano, el Código Civil dispone que “La capacidad legal de una persona consiste en poderse obligar por sí misma, y sin el ministerio o la autorización de otra” –inciso 2 del artículo 1502– y que “Toda persona es legalmente capaz, excepto aquéllas que la ley declara incapaces” –artículo 1503–</w:t>
      </w:r>
      <w:r w:rsidRPr="00392904">
        <w:rPr>
          <w:rStyle w:val="Refdenotaalpie"/>
          <w:rFonts w:ascii="Verdana" w:hAnsi="Verdana" w:cs="Arial"/>
        </w:rPr>
        <w:footnoteReference w:id="8"/>
      </w:r>
      <w:r w:rsidRPr="00392904">
        <w:rPr>
          <w:rFonts w:ascii="Verdana" w:hAnsi="Verdana" w:cs="Arial"/>
        </w:rPr>
        <w:t>.</w:t>
      </w:r>
    </w:p>
    <w:p w14:paraId="0B0456AA" w14:textId="77777777" w:rsidR="008A6431" w:rsidRPr="00392904" w:rsidRDefault="008A6431" w:rsidP="008A6431">
      <w:pPr>
        <w:spacing w:after="120" w:line="276" w:lineRule="auto"/>
        <w:ind w:firstLine="708"/>
        <w:jc w:val="both"/>
        <w:rPr>
          <w:rFonts w:ascii="Verdana" w:hAnsi="Verdana" w:cs="Arial"/>
          <w:lang w:val="es-ES_tradnl"/>
        </w:rPr>
      </w:pPr>
      <w:r w:rsidRPr="00392904">
        <w:rPr>
          <w:rFonts w:ascii="Verdana" w:hAnsi="Verdana" w:cs="Arial"/>
        </w:rPr>
        <w:t xml:space="preserve">Para el Consejo de Estado </w:t>
      </w:r>
      <w:r>
        <w:rPr>
          <w:rFonts w:ascii="Verdana" w:hAnsi="Verdana" w:cs="Arial"/>
        </w:rPr>
        <w:t>“</w:t>
      </w:r>
      <w:r w:rsidRPr="00392904">
        <w:rPr>
          <w:rFonts w:ascii="Verdana" w:hAnsi="Verdana" w:cs="Arial"/>
        </w:rPr>
        <w:t>la capacidad jurídica en la contratación estatal se integra no solamente por la capacidad de goce y la capacidad de ejercicio del proponente sino también por la ausencia de inhabilidades o incompatibilidades de su parte. En otros términos, en la actividad negocial de la administración tiene capacidad jurídica el proponente que existe, que tiene plena capacidad de ejercicio o de obrar y que no tiene inhabilidad o impedimento alguno para intervenir en el iter contractual”</w:t>
      </w:r>
      <w:r w:rsidRPr="00392904">
        <w:rPr>
          <w:rStyle w:val="Refdenotaalpie"/>
          <w:rFonts w:ascii="Verdana" w:hAnsi="Verdana" w:cs="Arial"/>
        </w:rPr>
        <w:footnoteReference w:id="9"/>
      </w:r>
      <w:r w:rsidRPr="00392904">
        <w:rPr>
          <w:rFonts w:ascii="Verdana" w:hAnsi="Verdana" w:cs="Arial"/>
        </w:rPr>
        <w:t>. Si bien las inhabilidades y las incompatibilidades guardan relación con las incapacidades particulares que consisten en la prohibición que la ley ha impuesto a ciertas personas para ejecutar ciertos actos</w:t>
      </w:r>
      <w:r w:rsidRPr="00392904">
        <w:rPr>
          <w:rStyle w:val="Refdenotaalpie"/>
          <w:rFonts w:ascii="Verdana" w:hAnsi="Verdana" w:cs="Arial"/>
        </w:rPr>
        <w:footnoteReference w:id="10"/>
      </w:r>
      <w:r w:rsidRPr="00392904">
        <w:rPr>
          <w:rFonts w:ascii="Verdana" w:hAnsi="Verdana" w:cs="Arial"/>
        </w:rPr>
        <w:t>, para efectos de la capacidad de ejercicio, es necesario estarse a lo dispuesto en inciso 1 del artículo 34 del Código Civil.</w:t>
      </w:r>
      <w:r w:rsidRPr="00392904">
        <w:rPr>
          <w:rFonts w:ascii="Verdana" w:hAnsi="Verdana" w:cs="Arial"/>
          <w:lang w:val="es-ES_tradnl"/>
        </w:rPr>
        <w:t xml:space="preserve"> </w:t>
      </w:r>
    </w:p>
    <w:p w14:paraId="407D7859" w14:textId="77777777" w:rsidR="008A6431" w:rsidRPr="008708F3" w:rsidRDefault="008A6431" w:rsidP="008A6431">
      <w:pPr>
        <w:spacing w:before="120" w:after="0" w:line="276" w:lineRule="auto"/>
        <w:ind w:firstLine="709"/>
        <w:jc w:val="both"/>
        <w:rPr>
          <w:rFonts w:ascii="Verdana" w:eastAsia="Calibri" w:hAnsi="Verdana" w:cs="Arial"/>
          <w:lang w:val="es-ES" w:eastAsia="es-ES"/>
        </w:rPr>
      </w:pPr>
      <w:r w:rsidRPr="00392904">
        <w:rPr>
          <w:rFonts w:ascii="Verdana" w:eastAsia="Calibri" w:hAnsi="Verdana" w:cs="Arial"/>
          <w:lang w:val="es-ES" w:eastAsia="es-ES"/>
        </w:rPr>
        <w:lastRenderedPageBreak/>
        <w:t>Se concluye que, las personas naturales que tienen capacidad jurídica para contratar son los mayores de edad, salvo que por disposición expresa se encuentren limitados por decisión judicial, y que no estén incursas en inhabilidades, incompatibilidades o prohibiciones derivadas de la ley.</w:t>
      </w:r>
      <w:r w:rsidRPr="008708F3">
        <w:rPr>
          <w:rFonts w:ascii="Verdana" w:eastAsia="Calibri" w:hAnsi="Verdana" w:cs="Arial"/>
          <w:lang w:val="es-ES" w:eastAsia="es-ES"/>
        </w:rPr>
        <w:t xml:space="preserve"> </w:t>
      </w:r>
    </w:p>
    <w:p w14:paraId="287EB7D7" w14:textId="77777777" w:rsidR="008A6431" w:rsidRPr="008708F3" w:rsidRDefault="008A6431" w:rsidP="008A6431">
      <w:pPr>
        <w:spacing w:after="0" w:line="276" w:lineRule="auto"/>
        <w:jc w:val="both"/>
        <w:rPr>
          <w:rFonts w:ascii="Verdana" w:hAnsi="Verdana" w:cs="Arial"/>
          <w:lang w:val="es-ES_tradnl"/>
        </w:rPr>
      </w:pPr>
    </w:p>
    <w:p w14:paraId="205F6DDA" w14:textId="77777777" w:rsidR="008A6431" w:rsidRPr="00620DA8" w:rsidRDefault="008A6431" w:rsidP="008A6431">
      <w:pPr>
        <w:spacing w:after="120" w:line="276" w:lineRule="auto"/>
        <w:jc w:val="both"/>
        <w:rPr>
          <w:rFonts w:ascii="Verdana" w:eastAsia="Calibri" w:hAnsi="Verdana" w:cs="Arial"/>
          <w:lang w:val="es-ES_tradnl" w:eastAsia="es-ES_tradnl"/>
        </w:rPr>
      </w:pPr>
      <w:r w:rsidRPr="00620DA8">
        <w:rPr>
          <w:rFonts w:ascii="Verdana" w:eastAsia="Calibri" w:hAnsi="Verdana" w:cs="Arial"/>
        </w:rPr>
        <w:t>iii. Por otra parte, e</w:t>
      </w:r>
      <w:r w:rsidRPr="00620DA8">
        <w:rPr>
          <w:rFonts w:ascii="Verdana" w:eastAsia="Calibri" w:hAnsi="Verdana" w:cs="Arial"/>
          <w:lang w:val="es-ES_tradnl" w:eastAsia="es-ES_tradnl"/>
        </w:rPr>
        <w:t xml:space="preserve">n el </w:t>
      </w:r>
      <w:r w:rsidRPr="00620DA8">
        <w:rPr>
          <w:rFonts w:ascii="Verdana" w:eastAsia="Times New Roman" w:hAnsi="Verdana" w:cs="Arial"/>
          <w:lang w:val="es-ES" w:eastAsia="es-ES"/>
        </w:rPr>
        <w:t xml:space="preserve">Registro Único Empresarial y Social –en adelante </w:t>
      </w:r>
      <w:r w:rsidRPr="00620DA8">
        <w:rPr>
          <w:rFonts w:ascii="Verdana" w:eastAsia="Times New Roman" w:hAnsi="Verdana" w:cs="Arial"/>
          <w:lang w:val="es-ES_tradnl" w:eastAsia="es-ES_tradnl"/>
        </w:rPr>
        <w:t>RUES</w:t>
      </w:r>
      <w:r w:rsidRPr="00620DA8">
        <w:rPr>
          <w:rFonts w:ascii="Verdana" w:eastAsia="Times New Roman" w:hAnsi="Verdana" w:cs="Arial"/>
          <w:lang w:val="es-ES" w:eastAsia="es-ES"/>
        </w:rPr>
        <w:t>–</w:t>
      </w:r>
      <w:r w:rsidRPr="00620DA8">
        <w:rPr>
          <w:rFonts w:ascii="Verdana" w:eastAsia="Times New Roman" w:hAnsi="Verdana" w:cs="Arial"/>
          <w:lang w:val="es-ES_tradnl" w:eastAsia="es-ES_tradnl"/>
        </w:rPr>
        <w:t>,</w:t>
      </w:r>
      <w:r>
        <w:rPr>
          <w:rFonts w:ascii="Verdana" w:eastAsia="Times New Roman" w:hAnsi="Verdana" w:cs="Arial"/>
          <w:lang w:val="es-ES_tradnl" w:eastAsia="es-ES_tradnl"/>
        </w:rPr>
        <w:t xml:space="preserve"> </w:t>
      </w:r>
      <w:r w:rsidRPr="00620DA8">
        <w:rPr>
          <w:rFonts w:ascii="Verdana" w:eastAsia="Times New Roman" w:hAnsi="Verdana" w:cs="Arial"/>
          <w:lang w:val="es-ES_tradnl" w:eastAsia="es-ES_tradnl"/>
        </w:rPr>
        <w:t xml:space="preserve">administrado por las Cámaras de Comercio, se encuentra el listado de las actividades económicas que desarrolla cada empresa, según los códigos de la Clasificación Industrial Internacional Uniforme –CIIU–, en virtud de lo dispuesto en el artículo 11 de la Ley 590 de 2000 y el artículo 166 del Decreto Ley 019 de 2012. </w:t>
      </w:r>
    </w:p>
    <w:p w14:paraId="08060743" w14:textId="77777777" w:rsidR="008A6431" w:rsidRPr="00620DA8" w:rsidRDefault="008A6431" w:rsidP="008A6431">
      <w:pPr>
        <w:spacing w:after="120" w:line="276" w:lineRule="auto"/>
        <w:ind w:firstLine="708"/>
        <w:jc w:val="both"/>
        <w:rPr>
          <w:rFonts w:ascii="Verdana" w:eastAsia="Calibri" w:hAnsi="Verdana" w:cs="Arial"/>
          <w:color w:val="000000" w:themeColor="text1"/>
        </w:rPr>
      </w:pPr>
      <w:r w:rsidRPr="00620DA8">
        <w:rPr>
          <w:rFonts w:ascii="Verdana" w:eastAsia="Calibri" w:hAnsi="Verdana" w:cs="Arial"/>
          <w:color w:val="000000" w:themeColor="text1"/>
        </w:rPr>
        <w:t xml:space="preserve">La </w:t>
      </w:r>
      <w:r w:rsidRPr="00620DA8">
        <w:rPr>
          <w:rFonts w:ascii="Verdana" w:eastAsia="Times New Roman" w:hAnsi="Verdana" w:cs="Arial"/>
          <w:color w:val="000000" w:themeColor="text1"/>
          <w:lang w:val="es-ES_tradnl" w:eastAsia="es-ES_tradnl"/>
        </w:rPr>
        <w:t>CIIU</w:t>
      </w:r>
      <w:r w:rsidRPr="00620DA8">
        <w:rPr>
          <w:rFonts w:ascii="Verdana" w:eastAsia="Calibri" w:hAnsi="Verdana" w:cs="Arial"/>
          <w:color w:val="000000" w:themeColor="text1"/>
        </w:rPr>
        <w:t xml:space="preserve"> corresponde a un sistema estandarizado desarrollado por las Naciones Unidas para clasificar las actividades económicas en distintos sectores. Como explica el DANE, su objetivo es facilitar la recopilación, análisis y comparación de datos estadísticos a nivel nacional e internacional:</w:t>
      </w:r>
    </w:p>
    <w:p w14:paraId="6A513841" w14:textId="77777777" w:rsidR="008A6431" w:rsidRPr="00FA4CEE" w:rsidRDefault="008A6431" w:rsidP="008A6431">
      <w:pPr>
        <w:spacing w:after="0" w:line="240" w:lineRule="auto"/>
        <w:ind w:left="709" w:right="709"/>
        <w:jc w:val="both"/>
        <w:rPr>
          <w:rFonts w:ascii="Verdana" w:eastAsia="Calibri" w:hAnsi="Verdana" w:cs="Arial"/>
          <w:color w:val="000000" w:themeColor="text1"/>
          <w:sz w:val="20"/>
          <w:szCs w:val="20"/>
        </w:rPr>
      </w:pPr>
      <w:r w:rsidRPr="00620DA8">
        <w:rPr>
          <w:rFonts w:ascii="Verdana" w:eastAsia="Calibri" w:hAnsi="Verdana" w:cs="Arial"/>
          <w:color w:val="000000" w:themeColor="text1"/>
          <w:sz w:val="20"/>
          <w:szCs w:val="20"/>
        </w:rPr>
        <w:t>“La CIIU tiene por finalidad establecer una clasificación uniforme de las actividades económicas productivas. Su propósito principal es ofrecer un conjunto de categorías de actividades económicas que se pueda utilizar para la reunión y presentación de estadísticas de acuerdo con esas actividades. Por consiguiente, la CIIU se propone presentar ese conjunto de categorías de actividades de tal modo que las entidades puedan clasificarse según la actividad económica que realizan. Las categorías de la CIIU se han definido vinculándolas, en la medida de lo posible, con la forma en que el proceso económico está estructurado en diferentes tipos de unidades estadísticas y la manera como se describe ese proceso en las estadísticas económicas”</w:t>
      </w:r>
      <w:r w:rsidRPr="00620DA8">
        <w:rPr>
          <w:rFonts w:ascii="Verdana" w:eastAsia="Calibri" w:hAnsi="Verdana" w:cs="Arial"/>
          <w:color w:val="000000" w:themeColor="text1"/>
          <w:sz w:val="20"/>
          <w:szCs w:val="20"/>
          <w:vertAlign w:val="superscript"/>
        </w:rPr>
        <w:footnoteReference w:id="11"/>
      </w:r>
      <w:r w:rsidRPr="00620DA8">
        <w:rPr>
          <w:rFonts w:ascii="Verdana" w:eastAsia="Calibri" w:hAnsi="Verdana" w:cs="Arial"/>
          <w:color w:val="000000" w:themeColor="text1"/>
          <w:sz w:val="20"/>
          <w:szCs w:val="20"/>
        </w:rPr>
        <w:t>.</w:t>
      </w:r>
      <w:r w:rsidRPr="00FA4CEE">
        <w:rPr>
          <w:rFonts w:ascii="Verdana" w:eastAsia="Calibri" w:hAnsi="Verdana" w:cs="Arial"/>
          <w:color w:val="000000" w:themeColor="text1"/>
          <w:sz w:val="20"/>
          <w:szCs w:val="20"/>
        </w:rPr>
        <w:t xml:space="preserve"> </w:t>
      </w:r>
    </w:p>
    <w:p w14:paraId="48E8082E" w14:textId="77777777" w:rsidR="008A6431" w:rsidRPr="00636C44" w:rsidRDefault="008A6431" w:rsidP="008A6431">
      <w:pPr>
        <w:spacing w:after="0" w:line="276" w:lineRule="auto"/>
        <w:ind w:firstLine="708"/>
        <w:jc w:val="both"/>
        <w:rPr>
          <w:rFonts w:ascii="Verdana" w:hAnsi="Verdana" w:cs="Arial"/>
          <w:color w:val="000000" w:themeColor="text1"/>
        </w:rPr>
      </w:pPr>
    </w:p>
    <w:p w14:paraId="088E9C23" w14:textId="77777777" w:rsidR="008A6431" w:rsidRPr="00160294" w:rsidRDefault="008A6431" w:rsidP="008A6431">
      <w:pPr>
        <w:pBdr>
          <w:top w:val="nil"/>
          <w:left w:val="nil"/>
          <w:bottom w:val="nil"/>
          <w:right w:val="nil"/>
          <w:between w:val="nil"/>
        </w:pBdr>
        <w:spacing w:after="120" w:line="276" w:lineRule="auto"/>
        <w:ind w:firstLine="708"/>
        <w:jc w:val="both"/>
        <w:rPr>
          <w:rFonts w:ascii="Verdana" w:eastAsia="Calibri" w:hAnsi="Verdana" w:cs="Arial"/>
        </w:rPr>
      </w:pPr>
      <w:r w:rsidRPr="00160294">
        <w:rPr>
          <w:rFonts w:ascii="Verdana" w:eastAsia="Calibri" w:hAnsi="Verdana" w:cs="Arial"/>
        </w:rPr>
        <w:lastRenderedPageBreak/>
        <w:t xml:space="preserve">De esta manera, los códigos del </w:t>
      </w:r>
      <w:r w:rsidRPr="00160294">
        <w:rPr>
          <w:rFonts w:ascii="Verdana" w:eastAsia="Times New Roman" w:hAnsi="Verdana" w:cs="Arial"/>
          <w:lang w:val="es-ES_tradnl" w:eastAsia="es-ES_tradnl"/>
        </w:rPr>
        <w:t>CIIU</w:t>
      </w:r>
      <w:r w:rsidRPr="00160294">
        <w:rPr>
          <w:rFonts w:ascii="Verdana" w:eastAsia="Calibri" w:hAnsi="Verdana" w:cs="Arial"/>
        </w:rPr>
        <w:t xml:space="preserve"> tienen efectos declarativos, no constitutivos. Por ello, respecto de la persona natural existe capacidad jurídica </w:t>
      </w:r>
      <w:r w:rsidRPr="00160294">
        <w:rPr>
          <w:rFonts w:ascii="Verdana" w:eastAsia="Calibri" w:hAnsi="Verdana" w:cs="Arial"/>
          <w:lang w:val="es-ES" w:eastAsia="es-ES"/>
        </w:rPr>
        <w:t xml:space="preserve">cuando son mayores de edad, salvo que por disposición expresa se encuentren limitados por decisión judicial, y que no estén incursas en inhabilidades, incompatibilidades o prohibiciones derivadas de la ley </w:t>
      </w:r>
      <w:r w:rsidRPr="00160294">
        <w:rPr>
          <w:rFonts w:ascii="Verdana" w:eastAsia="Calibri" w:hAnsi="Verdana" w:cs="Arial"/>
        </w:rPr>
        <w:t xml:space="preserve">y aquella se mantiene aunque la actividad económica no se haya recogido en la clasificación. </w:t>
      </w:r>
    </w:p>
    <w:p w14:paraId="6208B2DE" w14:textId="77777777" w:rsidR="008A6431" w:rsidRPr="00160294" w:rsidRDefault="008A6431" w:rsidP="008A6431">
      <w:pPr>
        <w:pBdr>
          <w:top w:val="nil"/>
          <w:left w:val="nil"/>
          <w:bottom w:val="nil"/>
          <w:right w:val="nil"/>
          <w:between w:val="nil"/>
        </w:pBdr>
        <w:spacing w:after="0" w:line="276" w:lineRule="auto"/>
        <w:ind w:firstLine="708"/>
        <w:jc w:val="both"/>
        <w:rPr>
          <w:rFonts w:ascii="Verdana" w:eastAsia="Times New Roman" w:hAnsi="Verdana" w:cs="Arial"/>
          <w:lang w:val="es-ES_tradnl" w:eastAsia="es-ES_tradnl"/>
        </w:rPr>
      </w:pPr>
      <w:r w:rsidRPr="00160294">
        <w:rPr>
          <w:rFonts w:ascii="Verdana" w:eastAsia="Calibri" w:hAnsi="Verdana" w:cs="Arial"/>
        </w:rPr>
        <w:t xml:space="preserve">Sin perjuicio de lo anterior, sumado a las implicaciones estadísticas de la </w:t>
      </w:r>
      <w:r w:rsidRPr="00160294">
        <w:rPr>
          <w:rFonts w:ascii="Verdana" w:eastAsia="Times New Roman" w:hAnsi="Verdana" w:cs="Arial"/>
          <w:lang w:val="es-ES_tradnl" w:eastAsia="es-ES_tradnl"/>
        </w:rPr>
        <w:t>CIIU, los interesados deben registrar adecuadamente los códigos de sus actividades económicas en el RUES. Lo anterior teniendo en cuenta que son un parámetro para la DIAN en lo relativo al control y determinación de los impuestos y demás obligaciones tributarias, aduaneras y cambiarias.</w:t>
      </w:r>
    </w:p>
    <w:p w14:paraId="02C2EBC8" w14:textId="77777777" w:rsidR="008A6431" w:rsidRPr="00D73D08" w:rsidRDefault="008A6431" w:rsidP="008A6431">
      <w:pPr>
        <w:tabs>
          <w:tab w:val="left" w:pos="3900"/>
        </w:tabs>
        <w:spacing w:after="0" w:line="276" w:lineRule="auto"/>
        <w:ind w:firstLine="708"/>
        <w:jc w:val="both"/>
        <w:rPr>
          <w:rFonts w:ascii="Verdana" w:hAnsi="Verdana" w:cs="Arial"/>
          <w:color w:val="000000" w:themeColor="text1"/>
          <w:lang w:val="es-ES_tradnl"/>
        </w:rPr>
      </w:pPr>
    </w:p>
    <w:p w14:paraId="0ADC182C" w14:textId="77777777" w:rsidR="008A6431" w:rsidRPr="00E47911" w:rsidRDefault="008A6431" w:rsidP="008A6431">
      <w:pPr>
        <w:pBdr>
          <w:top w:val="nil"/>
          <w:left w:val="nil"/>
          <w:bottom w:val="nil"/>
          <w:right w:val="nil"/>
          <w:between w:val="nil"/>
        </w:pBdr>
        <w:spacing w:after="120" w:line="276" w:lineRule="auto"/>
        <w:jc w:val="both"/>
        <w:rPr>
          <w:rFonts w:ascii="Verdana" w:eastAsia="Calibri" w:hAnsi="Verdana" w:cs="Arial"/>
          <w:color w:val="000000" w:themeColor="text1"/>
        </w:rPr>
      </w:pPr>
      <w:r>
        <w:rPr>
          <w:rFonts w:ascii="Verdana" w:hAnsi="Verdana" w:cs="Arial"/>
          <w:lang w:eastAsia="es-ES"/>
        </w:rPr>
        <w:t xml:space="preserve">iv. </w:t>
      </w:r>
      <w:r w:rsidRPr="00301910">
        <w:rPr>
          <w:rFonts w:ascii="Verdana" w:hAnsi="Verdana" w:cs="Arial"/>
          <w:lang w:eastAsia="es-ES"/>
        </w:rPr>
        <w:t>Al margen de la explicación precedente</w:t>
      </w:r>
      <w:r>
        <w:rPr>
          <w:rFonts w:ascii="Verdana" w:hAnsi="Verdana" w:cs="Arial"/>
          <w:lang w:eastAsia="es-ES"/>
        </w:rPr>
        <w:t xml:space="preserve"> </w:t>
      </w:r>
      <w:r w:rsidRPr="00301910">
        <w:rPr>
          <w:rFonts w:ascii="Verdana" w:hAnsi="Verdana" w:cs="Arial"/>
          <w:lang w:eastAsia="es-ES"/>
        </w:rPr>
        <w:t>debe advertirse que el análisis requerido</w:t>
      </w:r>
      <w:r>
        <w:rPr>
          <w:rFonts w:ascii="Verdana" w:hAnsi="Verdana" w:cs="Arial"/>
          <w:lang w:eastAsia="es-ES"/>
        </w:rPr>
        <w:t xml:space="preserve"> </w:t>
      </w:r>
      <w:r w:rsidRPr="00301910">
        <w:rPr>
          <w:rFonts w:ascii="Verdana" w:hAnsi="Verdana" w:cs="Arial"/>
          <w:lang w:eastAsia="es-ES"/>
        </w:rPr>
        <w:t>para</w:t>
      </w:r>
      <w:r>
        <w:rPr>
          <w:rFonts w:ascii="Verdana" w:hAnsi="Verdana" w:cs="Arial"/>
          <w:lang w:eastAsia="es-ES"/>
        </w:rPr>
        <w:t xml:space="preserve"> resolver problemas específicos en torno a la gestión contractual </w:t>
      </w:r>
      <w:r w:rsidRPr="00301910">
        <w:rPr>
          <w:rFonts w:ascii="Verdana" w:hAnsi="Verdana" w:cs="Arial"/>
          <w:lang w:eastAsia="es-ES"/>
        </w:rPr>
        <w:t>debe ser realizado por</w:t>
      </w:r>
      <w:r>
        <w:rPr>
          <w:rFonts w:ascii="Verdana" w:hAnsi="Verdana" w:cs="Arial"/>
          <w:lang w:eastAsia="es-ES"/>
        </w:rPr>
        <w:t xml:space="preserve"> </w:t>
      </w:r>
      <w:r w:rsidRPr="00301910">
        <w:rPr>
          <w:rFonts w:ascii="Verdana" w:hAnsi="Verdana" w:cs="Arial"/>
          <w:lang w:eastAsia="es-ES"/>
        </w:rPr>
        <w:t>quienes tengan interés en ello, de acuerdo con lo explicado</w:t>
      </w:r>
      <w:r>
        <w:rPr>
          <w:rFonts w:ascii="Verdana" w:hAnsi="Verdana" w:cs="Arial"/>
          <w:lang w:eastAsia="es-ES"/>
        </w:rPr>
        <w:t xml:space="preserve"> </w:t>
      </w:r>
      <w:r w:rsidRPr="00301910">
        <w:rPr>
          <w:rFonts w:ascii="Verdana" w:hAnsi="Verdana" w:cs="Arial"/>
          <w:lang w:eastAsia="es-ES"/>
        </w:rPr>
        <w:t>la aclaración preliminar del presente oficio. De esta manera, las afirmaciones aquí realizadas</w:t>
      </w:r>
      <w:r>
        <w:rPr>
          <w:rFonts w:ascii="Verdana" w:hAnsi="Verdana" w:cs="Arial"/>
          <w:lang w:eastAsia="es-ES"/>
        </w:rPr>
        <w:t xml:space="preserve"> </w:t>
      </w:r>
      <w:r w:rsidRPr="00301910">
        <w:rPr>
          <w:rFonts w:ascii="Verdana" w:hAnsi="Verdana" w:cs="Arial"/>
          <w:lang w:eastAsia="es-ES"/>
        </w:rPr>
        <w:t>no</w:t>
      </w:r>
      <w:r>
        <w:rPr>
          <w:rFonts w:ascii="Verdana" w:hAnsi="Verdana" w:cs="Arial"/>
          <w:lang w:eastAsia="es-ES"/>
        </w:rPr>
        <w:t xml:space="preserve"> </w:t>
      </w:r>
      <w:r w:rsidRPr="00301910">
        <w:rPr>
          <w:rFonts w:ascii="Verdana" w:hAnsi="Verdana" w:cs="Arial"/>
          <w:lang w:eastAsia="es-ES"/>
        </w:rPr>
        <w:t>pueden ser interpretadas como juicios de valor sobre circunstancias</w:t>
      </w:r>
      <w:r>
        <w:rPr>
          <w:rFonts w:ascii="Verdana" w:hAnsi="Verdana" w:cs="Arial"/>
          <w:lang w:eastAsia="es-ES"/>
        </w:rPr>
        <w:t xml:space="preserve"> </w:t>
      </w:r>
      <w:r w:rsidRPr="00301910">
        <w:rPr>
          <w:rFonts w:ascii="Verdana" w:hAnsi="Verdana" w:cs="Arial"/>
          <w:lang w:eastAsia="es-ES"/>
        </w:rPr>
        <w:t>concretas</w:t>
      </w:r>
      <w:r>
        <w:rPr>
          <w:rFonts w:ascii="Verdana" w:hAnsi="Verdana" w:cs="Arial"/>
          <w:lang w:eastAsia="es-ES"/>
        </w:rPr>
        <w:t xml:space="preserve"> </w:t>
      </w:r>
      <w:r w:rsidRPr="00301910">
        <w:rPr>
          <w:rFonts w:ascii="Verdana" w:hAnsi="Verdana" w:cs="Arial"/>
          <w:lang w:eastAsia="es-ES"/>
        </w:rPr>
        <w:t>relacionadas con los hechos que motivan la</w:t>
      </w:r>
      <w:r>
        <w:rPr>
          <w:rFonts w:ascii="Verdana" w:hAnsi="Verdana" w:cs="Arial"/>
          <w:lang w:eastAsia="es-ES"/>
        </w:rPr>
        <w:t xml:space="preserve"> </w:t>
      </w:r>
      <w:r w:rsidRPr="00301910">
        <w:rPr>
          <w:rFonts w:ascii="Verdana" w:hAnsi="Verdana" w:cs="Arial"/>
          <w:lang w:eastAsia="es-ES"/>
        </w:rPr>
        <w:t>consulta.</w:t>
      </w:r>
      <w:r>
        <w:rPr>
          <w:rFonts w:ascii="Verdana" w:hAnsi="Verdana" w:cs="Arial"/>
          <w:lang w:eastAsia="es-ES"/>
        </w:rPr>
        <w:t xml:space="preserve"> </w:t>
      </w:r>
      <w:r w:rsidRPr="00301910">
        <w:rPr>
          <w:rFonts w:ascii="Verdana" w:hAnsi="Verdana" w:cs="Arial"/>
          <w:lang w:eastAsia="es-ES"/>
        </w:rPr>
        <w:t>Por lo anterior, previo concepto de sus asesores, la solución de situaciones particulares corresponde a los interesados</w:t>
      </w:r>
      <w:r>
        <w:rPr>
          <w:rFonts w:ascii="Verdana" w:hAnsi="Verdana" w:cs="Arial"/>
          <w:lang w:eastAsia="es-ES"/>
        </w:rPr>
        <w:t xml:space="preserve"> </w:t>
      </w:r>
      <w:r w:rsidRPr="00301910">
        <w:rPr>
          <w:rFonts w:ascii="Verdana" w:hAnsi="Verdana" w:cs="Arial"/>
          <w:lang w:eastAsia="es-ES"/>
        </w:rPr>
        <w:t>adoptar la decisión correspondiente y, en caso de conflicto, a las autoridades judiciales, fiscales y disciplinarias.</w:t>
      </w:r>
    </w:p>
    <w:p w14:paraId="38981286" w14:textId="77777777" w:rsidR="008A6431" w:rsidRDefault="008A6431" w:rsidP="008A6431">
      <w:pPr>
        <w:spacing w:before="120" w:after="0" w:line="276" w:lineRule="auto"/>
        <w:ind w:firstLine="709"/>
        <w:jc w:val="both"/>
        <w:rPr>
          <w:rFonts w:ascii="Verdana" w:hAnsi="Verdana" w:cs="Arial"/>
          <w:lang w:eastAsia="es-ES"/>
        </w:rPr>
      </w:pPr>
      <w:r w:rsidRPr="00301910">
        <w:rPr>
          <w:rFonts w:ascii="Verdana" w:hAnsi="Verdana" w:cs="Arial"/>
          <w:lang w:eastAsia="es-ES"/>
        </w:rPr>
        <w:t>Dentro de este marco, la Entidad contratante definirá en cada caso concreto lo</w:t>
      </w:r>
      <w:r>
        <w:rPr>
          <w:rFonts w:ascii="Verdana" w:hAnsi="Verdana" w:cs="Arial"/>
          <w:lang w:eastAsia="es-ES"/>
        </w:rPr>
        <w:t xml:space="preserve"> </w:t>
      </w:r>
      <w:r w:rsidRPr="00301910">
        <w:rPr>
          <w:rFonts w:ascii="Verdana" w:hAnsi="Verdana" w:cs="Arial"/>
          <w:lang w:eastAsia="es-ES"/>
        </w:rPr>
        <w:t>relacionado con el tema objeto de consulta. Al tratarse de un análisis</w:t>
      </w:r>
      <w:r>
        <w:rPr>
          <w:rFonts w:ascii="Verdana" w:hAnsi="Verdana" w:cs="Arial"/>
          <w:lang w:eastAsia="es-ES"/>
        </w:rPr>
        <w:t xml:space="preserve"> </w:t>
      </w:r>
      <w:r w:rsidRPr="00301910">
        <w:rPr>
          <w:rFonts w:ascii="Verdana" w:hAnsi="Verdana" w:cs="Arial"/>
          <w:lang w:eastAsia="es-ES"/>
        </w:rPr>
        <w:t xml:space="preserve">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w:t>
      </w:r>
      <w:r>
        <w:rPr>
          <w:rFonts w:ascii="Verdana" w:hAnsi="Verdana" w:cs="Arial"/>
          <w:lang w:eastAsia="es-ES"/>
        </w:rPr>
        <w:t>Así</w:t>
      </w:r>
      <w:r w:rsidRPr="00301910">
        <w:rPr>
          <w:rFonts w:ascii="Verdana" w:hAnsi="Verdana" w:cs="Arial"/>
          <w:lang w:eastAsia="es-ES"/>
        </w:rPr>
        <w:t>, cada Entidad definirá la forma de adelantar su gestión contractual, sin que sea atribución de Colombia Compra Eficiente validar sus actuaciones.</w:t>
      </w:r>
    </w:p>
    <w:p w14:paraId="3D0B748A" w14:textId="77777777" w:rsidR="008A6431" w:rsidRDefault="008A6431" w:rsidP="008A6431">
      <w:pPr>
        <w:spacing w:before="120" w:after="0" w:line="276" w:lineRule="auto"/>
        <w:ind w:firstLine="709"/>
        <w:jc w:val="both"/>
        <w:rPr>
          <w:rFonts w:ascii="Verdana" w:hAnsi="Verdana" w:cs="Arial"/>
          <w:lang w:eastAsia="es-ES"/>
        </w:rPr>
      </w:pPr>
    </w:p>
    <w:p w14:paraId="7B82A2D4" w14:textId="77777777" w:rsidR="008A6431" w:rsidRPr="00A45A7B" w:rsidRDefault="008A6431" w:rsidP="008A6431">
      <w:pPr>
        <w:spacing w:after="0" w:line="276" w:lineRule="auto"/>
        <w:jc w:val="both"/>
        <w:rPr>
          <w:rFonts w:ascii="Verdana" w:eastAsia="Century Gothic" w:hAnsi="Verdana" w:cs="Century Gothic"/>
          <w:b/>
          <w:lang w:val="es-ES"/>
        </w:rPr>
      </w:pPr>
      <w:r w:rsidRPr="00A45A7B">
        <w:rPr>
          <w:rFonts w:ascii="Verdana" w:eastAsia="Century Gothic" w:hAnsi="Verdana" w:cs="Century Gothic"/>
          <w:b/>
          <w:lang w:val="es-ES"/>
        </w:rPr>
        <w:t>4. Referencias normativas, jurisprudenciales y otras fuentes:</w:t>
      </w:r>
    </w:p>
    <w:p w14:paraId="5DAD90E8" w14:textId="77777777" w:rsidR="008A6431" w:rsidRPr="00C57C02" w:rsidRDefault="008A6431" w:rsidP="008A6431">
      <w:pPr>
        <w:spacing w:after="0" w:line="276" w:lineRule="auto"/>
        <w:jc w:val="both"/>
        <w:rPr>
          <w:rFonts w:ascii="Verdana" w:eastAsia="Century Gothic" w:hAnsi="Verdana" w:cs="Century Gothic"/>
          <w:b/>
          <w:color w:val="EE0000"/>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A6431" w:rsidRPr="00C57C02" w14:paraId="309E80B0" w14:textId="77777777" w:rsidTr="00E75E29">
        <w:trPr>
          <w:trHeight w:val="311"/>
        </w:trPr>
        <w:tc>
          <w:tcPr>
            <w:tcW w:w="8647" w:type="dxa"/>
          </w:tcPr>
          <w:p w14:paraId="669CF1B7" w14:textId="77777777" w:rsidR="008A6431" w:rsidRPr="002111E4" w:rsidRDefault="008A6431" w:rsidP="00E75E29">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t>Constitución Política de Colombia. Artículo 14.</w:t>
            </w:r>
          </w:p>
          <w:p w14:paraId="2DF1E6BA" w14:textId="77777777" w:rsidR="008A6431" w:rsidRPr="00903124" w:rsidRDefault="008A6431" w:rsidP="00E75E29">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lastRenderedPageBreak/>
              <w:t>Código Civil Colombiano. Artículos 1502, 1503 y 1504.</w:t>
            </w:r>
          </w:p>
          <w:p w14:paraId="342D40F7" w14:textId="77777777" w:rsidR="008A6431" w:rsidRPr="00903124" w:rsidRDefault="008A6431" w:rsidP="00E75E29">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t>Ley 80 de 1993. Artículo 6</w:t>
            </w:r>
          </w:p>
          <w:p w14:paraId="472223F0" w14:textId="77777777" w:rsidR="008A6431" w:rsidRPr="00903124" w:rsidRDefault="008A6431" w:rsidP="00E75E29">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t xml:space="preserve">Ley 1150 de 2007. Artículos 5, 6 </w:t>
            </w:r>
          </w:p>
          <w:p w14:paraId="03C990B9" w14:textId="77777777" w:rsidR="008A6431" w:rsidRPr="00903124" w:rsidRDefault="008A6431" w:rsidP="00E75E29">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t>Consejo de Estado. Sección Tercera. Sentencia del 26 de enero de 2011. Rad. 36.408. C.P. Jaime Orlando Santofimio Gamboa.</w:t>
            </w:r>
          </w:p>
          <w:p w14:paraId="66C1B736" w14:textId="77777777" w:rsidR="008A6431" w:rsidRPr="00C57C02" w:rsidRDefault="008A6431" w:rsidP="00E75E29">
            <w:pPr>
              <w:widowControl w:val="0"/>
              <w:numPr>
                <w:ilvl w:val="0"/>
                <w:numId w:val="16"/>
              </w:numPr>
              <w:autoSpaceDE w:val="0"/>
              <w:autoSpaceDN w:val="0"/>
              <w:spacing w:line="276" w:lineRule="auto"/>
              <w:contextualSpacing/>
              <w:jc w:val="both"/>
              <w:rPr>
                <w:rFonts w:ascii="Verdana" w:eastAsia="Arial MT" w:hAnsi="Verdana" w:cs="Arial"/>
                <w:color w:val="EE0000"/>
                <w:lang w:val="es-ES" w:eastAsia="es-ES" w:bidi="es-ES"/>
              </w:rPr>
            </w:pPr>
            <w:r w:rsidRPr="00903124">
              <w:rPr>
                <w:rFonts w:ascii="Verdana" w:eastAsia="Arial MT" w:hAnsi="Verdana" w:cs="Arial"/>
                <w:bCs/>
                <w:lang w:eastAsia="es-ES" w:bidi="es-ES"/>
              </w:rPr>
              <w:t xml:space="preserve">Departamento Administrativo Nacional de Estadística. Clasificación Industrial Internacional Uniforme de todas las actividades económicas. Revisión 4 Adaptada para Colombia. 2022. Consultado el 19 de marzo de 2025 en la página web </w:t>
            </w:r>
            <w:hyperlink r:id="rId13" w:history="1">
              <w:r w:rsidRPr="00DE2B9F">
                <w:rPr>
                  <w:rStyle w:val="Hipervnculo"/>
                  <w:rFonts w:ascii="Verdana" w:eastAsia="Arial MT" w:hAnsi="Verdana" w:cs="Arial"/>
                  <w:bCs/>
                  <w:lang w:eastAsia="es-ES" w:bidi="es-ES"/>
                </w:rPr>
                <w:t>https://www.dane.gov.co/files/sen/nomenclatura/ciiu/CIIU_Rev_4_AC2022.pdf</w:t>
              </w:r>
            </w:hyperlink>
            <w:r w:rsidRPr="00903124">
              <w:rPr>
                <w:rFonts w:ascii="Verdana" w:eastAsia="Arial MT" w:hAnsi="Verdana" w:cs="Arial"/>
                <w:bCs/>
                <w:lang w:eastAsia="es-ES" w:bidi="es-ES"/>
              </w:rPr>
              <w:t>.</w:t>
            </w:r>
          </w:p>
        </w:tc>
      </w:tr>
    </w:tbl>
    <w:p w14:paraId="4BBBB342" w14:textId="77777777" w:rsidR="008A6431" w:rsidRPr="00C57C02" w:rsidRDefault="008A6431" w:rsidP="008A6431">
      <w:pPr>
        <w:widowControl w:val="0"/>
        <w:autoSpaceDE w:val="0"/>
        <w:autoSpaceDN w:val="0"/>
        <w:spacing w:after="0" w:line="276" w:lineRule="auto"/>
        <w:jc w:val="both"/>
        <w:rPr>
          <w:rFonts w:ascii="Verdana" w:hAnsi="Verdana" w:cs="Arial"/>
          <w:color w:val="EE0000"/>
          <w:lang w:val="es-ES"/>
        </w:rPr>
      </w:pPr>
    </w:p>
    <w:p w14:paraId="7AD8C437" w14:textId="77777777" w:rsidR="008A6431" w:rsidRPr="00A45A7B" w:rsidRDefault="008A6431" w:rsidP="008A6431">
      <w:pPr>
        <w:tabs>
          <w:tab w:val="left" w:pos="142"/>
          <w:tab w:val="left" w:pos="284"/>
        </w:tabs>
        <w:spacing w:after="0" w:line="276" w:lineRule="auto"/>
        <w:jc w:val="both"/>
        <w:rPr>
          <w:rFonts w:ascii="Verdana" w:eastAsia="Century Gothic" w:hAnsi="Verdana" w:cs="Century Gothic"/>
          <w:b/>
          <w:lang w:val="es-ES"/>
        </w:rPr>
      </w:pPr>
      <w:r w:rsidRPr="00A45A7B">
        <w:rPr>
          <w:rFonts w:ascii="Verdana" w:eastAsia="Century Gothic" w:hAnsi="Verdana" w:cs="Century Gothic"/>
          <w:b/>
          <w:lang w:val="es-ES"/>
        </w:rPr>
        <w:t>5. Doctrina de la Agencia Nacional de Contratación Pública:</w:t>
      </w:r>
    </w:p>
    <w:p w14:paraId="68EC58A1" w14:textId="77777777" w:rsidR="008A6431" w:rsidRPr="00C57C02" w:rsidRDefault="008A6431" w:rsidP="008A6431">
      <w:pPr>
        <w:tabs>
          <w:tab w:val="left" w:pos="142"/>
          <w:tab w:val="left" w:pos="284"/>
        </w:tabs>
        <w:spacing w:after="0" w:line="276" w:lineRule="auto"/>
        <w:jc w:val="both"/>
        <w:rPr>
          <w:rFonts w:ascii="Verdana" w:eastAsia="Century Gothic" w:hAnsi="Verdana" w:cs="Century Gothic"/>
          <w:b/>
          <w:color w:val="EE0000"/>
          <w:lang w:val="es-ES"/>
        </w:rPr>
      </w:pPr>
    </w:p>
    <w:p w14:paraId="4E1112FF" w14:textId="77777777" w:rsidR="008A6431" w:rsidRDefault="008A6431" w:rsidP="008A6431">
      <w:pPr>
        <w:widowControl w:val="0"/>
        <w:autoSpaceDE w:val="0"/>
        <w:autoSpaceDN w:val="0"/>
        <w:spacing w:after="0" w:line="276" w:lineRule="auto"/>
        <w:jc w:val="both"/>
        <w:rPr>
          <w:rFonts w:ascii="Verdana" w:eastAsia="Calibri" w:hAnsi="Verdana" w:cs="Arial"/>
          <w:lang w:val="es-ES_tradnl"/>
        </w:rPr>
      </w:pPr>
      <w:r w:rsidRPr="00772875">
        <w:rPr>
          <w:rFonts w:ascii="Verdana" w:eastAsia="Calibri" w:hAnsi="Verdana" w:cs="Arial"/>
          <w:lang w:val="es-ES"/>
        </w:rPr>
        <w:t xml:space="preserve">La Agencia Nacional de Contratación Pública – Colombia Compra Eficiente se ha referido </w:t>
      </w:r>
      <w:r w:rsidRPr="00772875">
        <w:rPr>
          <w:rFonts w:ascii="Verdana" w:hAnsi="Verdana" w:cs="Arial"/>
          <w:shd w:val="clear" w:color="auto" w:fill="FFFFFF"/>
        </w:rPr>
        <w:t xml:space="preserve">sobre </w:t>
      </w:r>
      <w:r w:rsidRPr="00772875">
        <w:rPr>
          <w:rFonts w:ascii="Verdana" w:eastAsia="Calibri" w:hAnsi="Verdana" w:cs="Arial"/>
          <w:lang w:val="es-ES_tradnl"/>
        </w:rPr>
        <w:t>sobre requisitos habilitantes y los códigos CIIU</w:t>
      </w:r>
      <w:r w:rsidRPr="00772875">
        <w:rPr>
          <w:rFonts w:ascii="Verdana" w:hAnsi="Verdana" w:cs="Arial"/>
          <w:shd w:val="clear" w:color="auto" w:fill="FFFFFF"/>
        </w:rPr>
        <w:t xml:space="preserve"> en</w:t>
      </w:r>
      <w:r w:rsidRPr="00772875">
        <w:rPr>
          <w:rStyle w:val="normaltextrun"/>
          <w:rFonts w:ascii="Verdana" w:hAnsi="Verdana" w:cs="Arial"/>
          <w:shd w:val="clear" w:color="auto" w:fill="FFFFFF"/>
          <w:lang w:val="es-ES"/>
        </w:rPr>
        <w:t xml:space="preserve"> los conceptos</w:t>
      </w:r>
      <w:r w:rsidRPr="00772875">
        <w:rPr>
          <w:rFonts w:ascii="Verdana" w:eastAsia="Aptos" w:hAnsi="Verdana" w:cs="Arial"/>
          <w:shd w:val="clear" w:color="auto" w:fill="FFFFFF"/>
          <w:lang w:val="es-ES"/>
        </w:rPr>
        <w:t xml:space="preserve">, </w:t>
      </w:r>
      <w:r w:rsidRPr="00772875">
        <w:rPr>
          <w:rFonts w:ascii="Verdana" w:eastAsia="Calibri" w:hAnsi="Verdana" w:cs="Arial"/>
          <w:lang w:val="es-ES_tradnl"/>
        </w:rPr>
        <w:t>C- 187 del 25 de marzo de 2025, C-296 del 26 de marzo de 2025, C-501 del 03 de junio de 2025, C- 337 del 18 de agosto de 2023, C-397 del 7 de mayo de 2025, C-926 del 18 de agosto de 2025, C-1014 del 01 de septiembre de 2025, C-1153 del 10 de septiembre de 2025,</w:t>
      </w:r>
      <w:r>
        <w:rPr>
          <w:rFonts w:ascii="Verdana" w:eastAsia="Calibri" w:hAnsi="Verdana" w:cs="Arial"/>
          <w:lang w:val="es-ES_tradnl"/>
        </w:rPr>
        <w:t xml:space="preserve"> C-302 del 08 de abril de 2026,</w:t>
      </w:r>
      <w:r w:rsidRPr="00772875">
        <w:rPr>
          <w:rFonts w:ascii="Verdana" w:eastAsia="Calibri" w:hAnsi="Verdana" w:cs="Arial"/>
          <w:lang w:val="es-ES_tradnl"/>
        </w:rPr>
        <w:t xml:space="preserve"> entre otros.</w:t>
      </w:r>
    </w:p>
    <w:p w14:paraId="001299CE" w14:textId="77777777" w:rsidR="008A6431" w:rsidRPr="00E63B4C" w:rsidRDefault="008A6431" w:rsidP="008A6431">
      <w:pPr>
        <w:widowControl w:val="0"/>
        <w:autoSpaceDE w:val="0"/>
        <w:autoSpaceDN w:val="0"/>
        <w:spacing w:after="0" w:line="276" w:lineRule="auto"/>
        <w:jc w:val="both"/>
        <w:rPr>
          <w:rFonts w:ascii="Verdana" w:hAnsi="Verdana" w:cs="Arial"/>
          <w:color w:val="EE0000"/>
          <w:shd w:val="clear" w:color="auto" w:fill="FFFFFF"/>
          <w:lang w:val="es-ES_tradnl"/>
        </w:rPr>
      </w:pPr>
    </w:p>
    <w:p w14:paraId="64A32D27" w14:textId="77777777" w:rsidR="008A6431" w:rsidRDefault="008A6431" w:rsidP="008A6431">
      <w:pPr>
        <w:widowControl w:val="0"/>
        <w:autoSpaceDE w:val="0"/>
        <w:autoSpaceDN w:val="0"/>
        <w:spacing w:after="0" w:line="276" w:lineRule="auto"/>
        <w:jc w:val="both"/>
        <w:rPr>
          <w:rStyle w:val="Hipervnculo"/>
          <w:rFonts w:ascii="Verdana" w:hAnsi="Verdana" w:cs="Arial"/>
          <w:color w:val="EE0000"/>
          <w:shd w:val="clear" w:color="auto" w:fill="FFFFFF"/>
          <w:lang w:val="es-ES"/>
        </w:rPr>
      </w:pPr>
      <w:r w:rsidRPr="00AC6529">
        <w:rPr>
          <w:rFonts w:ascii="Verdana" w:hAnsi="Verdana" w:cs="Arial"/>
          <w:shd w:val="clear" w:color="auto" w:fill="FFFFFF"/>
          <w:lang w:val="es-ES"/>
        </w:rPr>
        <w:t>Estos</w:t>
      </w:r>
      <w:r w:rsidRPr="00AC6529">
        <w:rPr>
          <w:rFonts w:ascii="Verdana" w:hAnsi="Verdana"/>
          <w:lang w:val="es-ES"/>
        </w:rPr>
        <w:t xml:space="preserve"> y otros se encuentran disponibles para consulta en el Sistema de relatoría de la Agencia, al cual se puede acceder a través del siguiente enlace:</w:t>
      </w:r>
      <w:r w:rsidRPr="00AC6529">
        <w:rPr>
          <w:rFonts w:ascii="Verdana" w:hAnsi="Verdana" w:cs="Arial"/>
          <w:shd w:val="clear" w:color="auto" w:fill="FFFFFF"/>
          <w:lang w:val="es-ES"/>
        </w:rPr>
        <w:t xml:space="preserve"> </w:t>
      </w:r>
      <w:hyperlink r:id="rId14" w:history="1">
        <w:r w:rsidRPr="00AC6529">
          <w:rPr>
            <w:rStyle w:val="Hipervnculo"/>
            <w:rFonts w:ascii="Verdana" w:hAnsi="Verdana" w:cs="Arial"/>
            <w:shd w:val="clear" w:color="auto" w:fill="FFFFFF"/>
            <w:lang w:val="es-ES"/>
          </w:rPr>
          <w:t>https://relatoria.colombiacompra.gov.co/busqueda/conceptos</w:t>
        </w:r>
      </w:hyperlink>
    </w:p>
    <w:p w14:paraId="63082FA6" w14:textId="77777777" w:rsidR="008A6431" w:rsidRPr="00AC6529" w:rsidRDefault="008A6431" w:rsidP="008A6431">
      <w:pPr>
        <w:widowControl w:val="0"/>
        <w:autoSpaceDE w:val="0"/>
        <w:autoSpaceDN w:val="0"/>
        <w:spacing w:after="0" w:line="276" w:lineRule="auto"/>
        <w:jc w:val="both"/>
        <w:rPr>
          <w:rFonts w:ascii="Verdana" w:hAnsi="Verdana" w:cs="Arial"/>
          <w:color w:val="EE0000"/>
          <w:u w:val="single"/>
          <w:shd w:val="clear" w:color="auto" w:fill="FFFFFF"/>
          <w:lang w:val="es-ES"/>
        </w:rPr>
      </w:pPr>
    </w:p>
    <w:p w14:paraId="4C18CBCB" w14:textId="77777777" w:rsidR="008A6431" w:rsidRDefault="008A6431" w:rsidP="008A6431">
      <w:pPr>
        <w:spacing w:after="0" w:line="276" w:lineRule="auto"/>
        <w:jc w:val="both"/>
        <w:rPr>
          <w:rFonts w:ascii="Verdana" w:hAnsi="Verdana"/>
          <w:color w:val="EE0000"/>
        </w:rPr>
      </w:pPr>
      <w:r w:rsidRPr="00AC6529">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AC6529">
        <w:rPr>
          <w:rFonts w:ascii="Verdana" w:hAnsi="Verdana"/>
          <w:b/>
          <w:bCs/>
        </w:rPr>
        <w:t>Guía para la Exigencia y Constitución de Garantías en los Procesos de Contratación</w:t>
      </w:r>
      <w:r w:rsidRPr="00AC6529">
        <w:rPr>
          <w:rFonts w:ascii="Verdana" w:hAnsi="Verdana"/>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w:t>
      </w:r>
      <w:r w:rsidRPr="00AC6529">
        <w:rPr>
          <w:rFonts w:ascii="Verdana" w:hAnsi="Verdana"/>
        </w:rPr>
        <w:lastRenderedPageBreak/>
        <w:t>aquí:</w:t>
      </w:r>
      <w:r w:rsidRPr="00AC6529">
        <w:rPr>
          <w:rFonts w:ascii="Verdana" w:hAnsi="Verdana"/>
          <w:color w:val="EE0000"/>
        </w:rPr>
        <w:t> </w:t>
      </w:r>
      <w:hyperlink r:id="rId15" w:tgtFrame="_blank" w:tooltip="Dirección URL original: https://www.colombiacompra.gov.co/archivos/manual/guia-de-garantias-en-procesos-de-contratacion. Haga clic o pulse si confía en este vínculo." w:history="1">
        <w:r w:rsidRPr="00AC6529">
          <w:rPr>
            <w:rStyle w:val="Hipervnculo"/>
            <w:rFonts w:ascii="Verdana" w:hAnsi="Verdana"/>
          </w:rPr>
          <w:t>https://www.colombiacompra.gov.co/archivos/manual/guia-de-garantias-en-procesos-de-contratacion</w:t>
        </w:r>
      </w:hyperlink>
    </w:p>
    <w:p w14:paraId="6E4F1870" w14:textId="77777777" w:rsidR="008A6431" w:rsidRDefault="008A6431" w:rsidP="008A6431">
      <w:pPr>
        <w:spacing w:after="0" w:line="276" w:lineRule="auto"/>
        <w:jc w:val="both"/>
        <w:rPr>
          <w:rFonts w:ascii="Verdana" w:hAnsi="Verdana"/>
          <w:color w:val="EE0000"/>
        </w:rPr>
      </w:pPr>
    </w:p>
    <w:p w14:paraId="6B697DE4" w14:textId="77777777" w:rsidR="008A6431" w:rsidRDefault="008A6431" w:rsidP="008A6431">
      <w:pPr>
        <w:spacing w:after="0" w:line="276" w:lineRule="auto"/>
        <w:jc w:val="both"/>
        <w:rPr>
          <w:rFonts w:ascii="Verdana" w:hAnsi="Verdana"/>
          <w:color w:val="EE0000"/>
        </w:rPr>
      </w:pPr>
      <w:r w:rsidRPr="00AC6529">
        <w:rPr>
          <w:rFonts w:ascii="Verdana" w:hAnsi="Verdana"/>
        </w:rPr>
        <w:t>De otro lado, te contamos que el Decreto 287 del 19 de marzo de 2026 sustituyó los artículos 2.2.1.2.4.2.6., 2.2.1.2.4.2.7. y 2.2.1.2.4.2.8. del Decreto 1082 de 2015 y estructuró el </w:t>
      </w:r>
      <w:r w:rsidRPr="00AC6529">
        <w:rPr>
          <w:rFonts w:ascii="Verdana" w:hAnsi="Verdana"/>
          <w:b/>
          <w:bCs/>
        </w:rPr>
        <w:t>Sistema Integral de Preferencias en favor de las personas con discapacidad</w:t>
      </w:r>
      <w:r w:rsidRPr="00AC6529">
        <w:rPr>
          <w:rFonts w:ascii="Verdana" w:hAnsi="Verdana"/>
        </w:rPr>
        <w:t>, en cumplimiento del artículo 13 de la Ley Estatutaria 1618 de 2013. Para orientar su aplicación, esta Agencia expidió la </w:t>
      </w:r>
      <w:r w:rsidRPr="00AC6529">
        <w:rPr>
          <w:rFonts w:ascii="Verdana" w:hAnsi="Verdana"/>
          <w:b/>
          <w:bCs/>
        </w:rPr>
        <w:t>Circular Externa 003 del 12 de mayo de 2026, </w:t>
      </w:r>
      <w:r w:rsidRPr="00AC6529">
        <w:rPr>
          <w:rFonts w:ascii="Verdana" w:hAnsi="Verdana"/>
        </w:rPr>
        <w:t>en la que precisa quiénes son los beneficiarios, las cinco medidas que integran el sistema y su obligatoriedad según la modalidad de selección, y el régimen de transición aplicable a los procesos en curso. Consúltala aquí:</w:t>
      </w:r>
      <w:r w:rsidRPr="00AC6529">
        <w:rPr>
          <w:rFonts w:ascii="Verdana" w:hAnsi="Verdana"/>
          <w:color w:val="EE0000"/>
        </w:rPr>
        <w:t> </w:t>
      </w:r>
      <w:hyperlink r:id="rId16" w:tgtFrame="_blank" w:tooltip="Dirección URL original: https://www.colombiacompra.gov.co/archivos/circular/circular-externa-003-de-2026. Haga clic o pulse si confía en este vínculo." w:history="1">
        <w:r w:rsidRPr="00AC6529">
          <w:rPr>
            <w:rStyle w:val="Hipervnculo"/>
            <w:rFonts w:ascii="Verdana" w:hAnsi="Verdana"/>
          </w:rPr>
          <w:t>https://www.colombiacompra.gov.co/archivos/circular/circular-externa-003-de-2026</w:t>
        </w:r>
      </w:hyperlink>
    </w:p>
    <w:p w14:paraId="490F81BF" w14:textId="77777777" w:rsidR="008A6431" w:rsidRPr="00AC6529" w:rsidRDefault="008A6431" w:rsidP="008A6431">
      <w:pPr>
        <w:spacing w:after="0" w:line="276" w:lineRule="auto"/>
        <w:jc w:val="both"/>
        <w:rPr>
          <w:rFonts w:ascii="Verdana" w:hAnsi="Verdana"/>
          <w:color w:val="EE0000"/>
        </w:rPr>
      </w:pPr>
    </w:p>
    <w:p w14:paraId="72F16835" w14:textId="77777777" w:rsidR="008A6431" w:rsidRDefault="008A6431" w:rsidP="008A6431">
      <w:pPr>
        <w:spacing w:after="0" w:line="276" w:lineRule="auto"/>
        <w:jc w:val="both"/>
        <w:rPr>
          <w:rFonts w:ascii="Verdana" w:hAnsi="Verdana"/>
          <w:color w:val="EE0000"/>
        </w:rPr>
      </w:pPr>
      <w:r w:rsidRPr="00AC6529">
        <w:rPr>
          <w:rFonts w:ascii="Verdana" w:hAnsi="Verdana"/>
        </w:rPr>
        <w:t>Recuerda también que la</w:t>
      </w:r>
      <w:r w:rsidRPr="00AC6529">
        <w:rPr>
          <w:rFonts w:ascii="Verdana" w:hAnsi="Verdana"/>
          <w:b/>
          <w:bCs/>
        </w:rPr>
        <w:t> información sobre sanciones e inhabilidades </w:t>
      </w:r>
      <w:r w:rsidRPr="00AC6529">
        <w:rPr>
          <w:rFonts w:ascii="Verdana" w:hAnsi="Verdana"/>
        </w:rPr>
        <w:t>solo cumple su función preventiva si llega oportunamente a los registros públicos. Sobre este deber, esta Agencia expidió la </w:t>
      </w:r>
      <w:r w:rsidRPr="00AC6529">
        <w:rPr>
          <w:rFonts w:ascii="Verdana" w:hAnsi="Verdana"/>
          <w:b/>
          <w:bCs/>
        </w:rPr>
        <w:t>Circular Externa 002 del 5 de mayo de 2026,</w:t>
      </w:r>
      <w:r w:rsidRPr="00AC6529">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gtFrame="_blank" w:tooltip="Dirección URL original: https://www.colombiacompra.gov.co/archivos/circular/circular-externa-002-de-2026. Haga clic o pulse si confía en este vínculo." w:history="1">
        <w:r w:rsidRPr="00AC6529">
          <w:rPr>
            <w:rStyle w:val="Hipervnculo"/>
            <w:rFonts w:ascii="Verdana" w:hAnsi="Verdana"/>
          </w:rPr>
          <w:t>https://www.colombiacompra.gov.co/archivos/circular/circular-externa-002-de-2026</w:t>
        </w:r>
      </w:hyperlink>
    </w:p>
    <w:p w14:paraId="3237A1B5" w14:textId="77777777" w:rsidR="008A6431" w:rsidRDefault="008A6431" w:rsidP="008A6431">
      <w:pPr>
        <w:spacing w:after="0" w:line="276" w:lineRule="auto"/>
        <w:jc w:val="both"/>
        <w:rPr>
          <w:rFonts w:ascii="Verdana" w:hAnsi="Verdana"/>
          <w:color w:val="EE0000"/>
        </w:rPr>
      </w:pPr>
    </w:p>
    <w:p w14:paraId="1B435853" w14:textId="77777777" w:rsidR="008A6431" w:rsidRPr="00AC6529" w:rsidRDefault="008A6431" w:rsidP="008A6431">
      <w:pPr>
        <w:spacing w:after="0" w:line="276" w:lineRule="auto"/>
        <w:jc w:val="both"/>
        <w:rPr>
          <w:rFonts w:ascii="Verdana" w:hAnsi="Verdana"/>
          <w:color w:val="EE0000"/>
        </w:rPr>
      </w:pPr>
      <w:r w:rsidRPr="00AC6529">
        <w:rPr>
          <w:rFonts w:ascii="Verdana" w:hAnsi="Verdana"/>
        </w:rPr>
        <w:t>Finalmente, si quieres seguir de cerca la actividad de la Agencia, la tercera edición de 2026 del</w:t>
      </w:r>
      <w:r w:rsidRPr="00AC6529">
        <w:rPr>
          <w:rFonts w:ascii="Verdana" w:hAnsi="Verdana"/>
          <w:b/>
          <w:bCs/>
        </w:rPr>
        <w:t> Radar de la Compra Pública</w:t>
      </w:r>
      <w:r w:rsidRPr="00AC6529">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w:t>
      </w:r>
      <w:r w:rsidRPr="00AC6529">
        <w:rPr>
          <w:rFonts w:ascii="Verdana" w:hAnsi="Verdana"/>
          <w:color w:val="EE0000"/>
        </w:rPr>
        <w:t> </w:t>
      </w:r>
      <w:hyperlink r:id="rId18" w:tgtFrame="_blank" w:tooltip="Dirección URL original: https://www.colombiacompra.gov.co/archivos/boletin/boletin-edicion-n-3-de-2026-radar-de-la-compra-publica. Haga clic o pulse si confía en este vínculo." w:history="1">
        <w:r w:rsidRPr="00AC6529">
          <w:rPr>
            <w:rStyle w:val="Hipervnculo"/>
            <w:rFonts w:ascii="Verdana" w:hAnsi="Verdana"/>
          </w:rPr>
          <w:t>https://www.colombiacompra.gov.co/archivos/boletin/boletin-edicion-n-3-de-2026-radar-de-la-compra-publica</w:t>
        </w:r>
      </w:hyperlink>
    </w:p>
    <w:p w14:paraId="01A02B24" w14:textId="77777777" w:rsidR="008A6431" w:rsidRPr="006C695D" w:rsidRDefault="008A6431" w:rsidP="008A6431">
      <w:pPr>
        <w:spacing w:after="0" w:line="276" w:lineRule="auto"/>
        <w:jc w:val="both"/>
        <w:rPr>
          <w:rFonts w:ascii="Verdana" w:hAnsi="Verdana" w:cs="Arial"/>
          <w:shd w:val="clear" w:color="auto" w:fill="FFFFFF"/>
        </w:rPr>
      </w:pPr>
    </w:p>
    <w:p w14:paraId="78A3C663" w14:textId="77777777" w:rsidR="008A6431" w:rsidRPr="006C695D" w:rsidRDefault="008A6431" w:rsidP="008A6431">
      <w:pPr>
        <w:spacing w:after="0" w:line="276" w:lineRule="auto"/>
        <w:jc w:val="both"/>
        <w:rPr>
          <w:rFonts w:ascii="Verdana" w:hAnsi="Verdana" w:cs="Arial"/>
          <w:shd w:val="clear" w:color="auto" w:fill="FFFFFF"/>
        </w:rPr>
      </w:pPr>
      <w:r w:rsidRPr="006C695D">
        <w:rPr>
          <w:rFonts w:ascii="Verdana" w:hAnsi="Verdana" w:cs="Arial"/>
          <w:shd w:val="clear" w:color="auto" w:fill="FFFFFF"/>
        </w:rPr>
        <w:lastRenderedPageBreak/>
        <w:t xml:space="preserve">Por último, lo invitamos a seguirnos en las redes sociales en las cuales se difunde información institucional: </w:t>
      </w:r>
    </w:p>
    <w:p w14:paraId="3DFEBAA7" w14:textId="77777777" w:rsidR="008A6431" w:rsidRPr="006C695D" w:rsidRDefault="008A6431" w:rsidP="008A6431">
      <w:pPr>
        <w:spacing w:after="0" w:line="276" w:lineRule="auto"/>
        <w:jc w:val="both"/>
        <w:rPr>
          <w:rFonts w:ascii="Verdana" w:hAnsi="Verdana" w:cs="Arial"/>
          <w:shd w:val="clear" w:color="auto" w:fill="FFFFFF"/>
        </w:rPr>
      </w:pPr>
    </w:p>
    <w:p w14:paraId="704B7341" w14:textId="77777777" w:rsidR="008A6431" w:rsidRPr="006C695D" w:rsidRDefault="008A6431" w:rsidP="008A6431">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Twitter: </w:t>
      </w:r>
      <w:r w:rsidRPr="006C695D">
        <w:rPr>
          <w:rStyle w:val="Hipervnculo"/>
          <w:rFonts w:ascii="Verdana" w:hAnsi="Verdana"/>
        </w:rPr>
        <w:t>@colombiacompra</w:t>
      </w:r>
      <w:r w:rsidRPr="006C695D">
        <w:rPr>
          <w:rFonts w:ascii="Verdana" w:hAnsi="Verdana" w:cs="Arial"/>
          <w:shd w:val="clear" w:color="auto" w:fill="FFFFFF"/>
        </w:rPr>
        <w:t xml:space="preserve"> </w:t>
      </w:r>
    </w:p>
    <w:p w14:paraId="1991759C" w14:textId="77777777" w:rsidR="008A6431" w:rsidRPr="006C695D" w:rsidRDefault="008A6431" w:rsidP="008A6431">
      <w:pPr>
        <w:spacing w:after="0" w:line="276" w:lineRule="auto"/>
        <w:jc w:val="both"/>
        <w:rPr>
          <w:rFonts w:ascii="Verdana" w:hAnsi="Verdana" w:cs="Arial"/>
          <w:shd w:val="clear" w:color="auto" w:fill="FFFFFF"/>
        </w:rPr>
      </w:pPr>
      <w:r w:rsidRPr="006C695D">
        <w:rPr>
          <w:rFonts w:ascii="Verdana" w:hAnsi="Verdana" w:cs="Arial"/>
          <w:shd w:val="clear" w:color="auto" w:fill="FFFFFF"/>
        </w:rPr>
        <w:t>Facebook:</w:t>
      </w:r>
      <w:r w:rsidRPr="006C695D">
        <w:rPr>
          <w:rStyle w:val="Hipervnculo"/>
          <w:rFonts w:ascii="Verdana" w:hAnsi="Verdana"/>
          <w:color w:val="auto"/>
          <w:lang w:val="es-ES"/>
        </w:rPr>
        <w:t xml:space="preserve"> </w:t>
      </w:r>
      <w:r w:rsidRPr="006C695D">
        <w:rPr>
          <w:rStyle w:val="Hipervnculo"/>
          <w:rFonts w:ascii="Verdana" w:hAnsi="Verdana"/>
        </w:rPr>
        <w:t>ColombiaCompraEficiente</w:t>
      </w:r>
    </w:p>
    <w:p w14:paraId="7C5991D9" w14:textId="77777777" w:rsidR="008A6431" w:rsidRPr="006C695D" w:rsidRDefault="008A6431" w:rsidP="008A6431">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LinkedIn: </w:t>
      </w:r>
      <w:r w:rsidRPr="006C695D">
        <w:rPr>
          <w:rStyle w:val="Hipervnculo"/>
          <w:rFonts w:ascii="Verdana" w:hAnsi="Verdana"/>
        </w:rPr>
        <w:t>Agencia Nacional de Contratación Pública - Colombia Compra Eficiente</w:t>
      </w:r>
      <w:r w:rsidRPr="006C695D">
        <w:rPr>
          <w:rFonts w:ascii="Verdana" w:hAnsi="Verdana" w:cs="Arial"/>
          <w:shd w:val="clear" w:color="auto" w:fill="FFFFFF"/>
        </w:rPr>
        <w:t xml:space="preserve"> </w:t>
      </w:r>
    </w:p>
    <w:p w14:paraId="133D2A2C" w14:textId="77777777" w:rsidR="008A6431" w:rsidRPr="006C695D" w:rsidRDefault="008A6431" w:rsidP="008A6431">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Instagram: </w:t>
      </w:r>
      <w:r w:rsidRPr="006C695D">
        <w:rPr>
          <w:rStyle w:val="Hipervnculo"/>
          <w:rFonts w:ascii="Verdana" w:hAnsi="Verdana"/>
        </w:rPr>
        <w:t>@colombiacompraeficiente_cce</w:t>
      </w:r>
    </w:p>
    <w:p w14:paraId="2C8782AC" w14:textId="77777777" w:rsidR="008A6431" w:rsidRPr="006C695D" w:rsidRDefault="008A6431" w:rsidP="008A6431">
      <w:pPr>
        <w:widowControl w:val="0"/>
        <w:autoSpaceDE w:val="0"/>
        <w:autoSpaceDN w:val="0"/>
        <w:spacing w:after="0" w:line="276" w:lineRule="auto"/>
        <w:jc w:val="both"/>
        <w:rPr>
          <w:rFonts w:ascii="Verdana" w:hAnsi="Verdana" w:cs="Arial"/>
          <w:lang w:val="es-ES"/>
        </w:rPr>
      </w:pPr>
    </w:p>
    <w:p w14:paraId="65ACCC29" w14:textId="77777777" w:rsidR="008A6431" w:rsidRPr="006C695D" w:rsidRDefault="008A6431" w:rsidP="008A6431">
      <w:pPr>
        <w:widowControl w:val="0"/>
        <w:autoSpaceDE w:val="0"/>
        <w:autoSpaceDN w:val="0"/>
        <w:spacing w:after="0" w:line="276" w:lineRule="auto"/>
        <w:jc w:val="both"/>
        <w:rPr>
          <w:rFonts w:ascii="Verdana" w:hAnsi="Verdana" w:cs="Arial"/>
          <w:lang w:val="es-ES"/>
        </w:rPr>
      </w:pPr>
      <w:r w:rsidRPr="006C695D">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1212C45" w14:textId="77777777" w:rsidR="008A6431" w:rsidRPr="006C695D" w:rsidRDefault="008A6431" w:rsidP="008A6431">
      <w:pPr>
        <w:widowControl w:val="0"/>
        <w:autoSpaceDE w:val="0"/>
        <w:autoSpaceDN w:val="0"/>
        <w:spacing w:after="0" w:line="276" w:lineRule="auto"/>
        <w:jc w:val="both"/>
        <w:rPr>
          <w:rFonts w:ascii="Verdana" w:hAnsi="Verdana" w:cs="Arial"/>
          <w:lang w:val="es-ES"/>
        </w:rPr>
      </w:pPr>
    </w:p>
    <w:p w14:paraId="60AC11B4" w14:textId="77777777" w:rsidR="008A6431" w:rsidRDefault="008A6431" w:rsidP="008A6431">
      <w:pPr>
        <w:spacing w:after="0" w:line="276" w:lineRule="auto"/>
        <w:rPr>
          <w:rFonts w:ascii="Verdana" w:hAnsi="Verdana" w:cs="Arial"/>
          <w:lang w:val="es-ES" w:eastAsia="es-CO"/>
        </w:rPr>
      </w:pPr>
      <w:r w:rsidRPr="006C695D">
        <w:rPr>
          <w:rFonts w:ascii="Verdana" w:eastAsia="Times New Roman" w:hAnsi="Verdana" w:cs="Arial"/>
          <w:lang w:val="es-ES" w:eastAsia="es-CO"/>
        </w:rPr>
        <w:t>Atentamente,</w:t>
      </w:r>
    </w:p>
    <w:p w14:paraId="3DE4ED29" w14:textId="77777777" w:rsidR="008A6431" w:rsidRPr="006C695D" w:rsidRDefault="008A6431" w:rsidP="008A6431">
      <w:pPr>
        <w:spacing w:after="0" w:line="276" w:lineRule="auto"/>
        <w:jc w:val="center"/>
        <w:rPr>
          <w:rFonts w:ascii="Verdana" w:hAnsi="Verdana"/>
          <w:noProof/>
          <w:color w:val="ED7D31" w:themeColor="accent2"/>
        </w:rPr>
      </w:pPr>
    </w:p>
    <w:p w14:paraId="16B1415A" w14:textId="2D9D7F0F" w:rsidR="008A6431" w:rsidRPr="006C695D" w:rsidRDefault="006B4252" w:rsidP="008A6431">
      <w:pPr>
        <w:spacing w:after="0" w:line="276" w:lineRule="auto"/>
        <w:jc w:val="center"/>
        <w:rPr>
          <w:rFonts w:ascii="Verdana" w:hAnsi="Verdana" w:cs="Arial"/>
          <w:color w:val="ED7D31" w:themeColor="accent2"/>
          <w:lang w:val="es-ES" w:eastAsia="es-CO"/>
        </w:rPr>
      </w:pPr>
      <w:r w:rsidRPr="006B4252">
        <w:rPr>
          <w:rFonts w:ascii="Verdana" w:hAnsi="Verdana" w:cs="Arial"/>
          <w:color w:val="ED7D31" w:themeColor="accent2"/>
          <w:lang w:val="es-ES" w:eastAsia="es-CO"/>
        </w:rPr>
        <w:drawing>
          <wp:inline distT="0" distB="0" distL="0" distR="0" wp14:anchorId="29AEA1D9" wp14:editId="31857A52">
            <wp:extent cx="2922015" cy="1038225"/>
            <wp:effectExtent l="0" t="0" r="0" b="0"/>
            <wp:docPr id="1118479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7901" name=""/>
                    <pic:cNvPicPr/>
                  </pic:nvPicPr>
                  <pic:blipFill>
                    <a:blip r:embed="rId19"/>
                    <a:stretch>
                      <a:fillRect/>
                    </a:stretch>
                  </pic:blipFill>
                  <pic:spPr>
                    <a:xfrm>
                      <a:off x="0" y="0"/>
                      <a:ext cx="2923839" cy="1038873"/>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8A6431" w:rsidRPr="006C695D" w14:paraId="7806FAB6" w14:textId="77777777" w:rsidTr="00E75E29">
        <w:trPr>
          <w:trHeight w:val="315"/>
        </w:trPr>
        <w:tc>
          <w:tcPr>
            <w:tcW w:w="893" w:type="dxa"/>
            <w:vAlign w:val="center"/>
            <w:hideMark/>
          </w:tcPr>
          <w:p w14:paraId="2924E9B8" w14:textId="77777777" w:rsidR="008A6431" w:rsidRPr="006C695D" w:rsidRDefault="008A6431" w:rsidP="00E75E29">
            <w:pPr>
              <w:contextualSpacing/>
              <w:rPr>
                <w:rFonts w:ascii="Verdana" w:hAnsi="Verdana" w:cs="Arial"/>
                <w:sz w:val="16"/>
                <w:szCs w:val="16"/>
                <w:lang w:val="es-ES" w:eastAsia="es-ES"/>
              </w:rPr>
            </w:pPr>
            <w:r w:rsidRPr="006C695D">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8271163" w14:textId="77777777" w:rsidR="008A6431" w:rsidRPr="006C695D" w:rsidRDefault="008A6431" w:rsidP="00E75E29">
            <w:pPr>
              <w:rPr>
                <w:rFonts w:ascii="Verdana" w:eastAsia="Times New Roman" w:hAnsi="Verdana" w:cs="Arial"/>
                <w:sz w:val="16"/>
                <w:szCs w:val="16"/>
                <w:lang w:eastAsia="es-ES"/>
              </w:rPr>
            </w:pPr>
            <w:r w:rsidRPr="006C695D">
              <w:rPr>
                <w:rFonts w:ascii="Verdana" w:eastAsia="Times New Roman" w:hAnsi="Verdana" w:cs="Arial"/>
                <w:sz w:val="16"/>
                <w:szCs w:val="16"/>
                <w:lang w:eastAsia="es-ES"/>
              </w:rPr>
              <w:t>Camila Alejandra Naranjo Gómez</w:t>
            </w:r>
          </w:p>
          <w:p w14:paraId="5DD2B8C3" w14:textId="77777777" w:rsidR="008A6431" w:rsidRPr="006C695D" w:rsidRDefault="008A6431" w:rsidP="00E75E29">
            <w:pPr>
              <w:contextualSpacing/>
              <w:rPr>
                <w:rFonts w:ascii="Verdana" w:eastAsia="Arial" w:hAnsi="Verdana" w:cs="Arial"/>
                <w:sz w:val="16"/>
                <w:szCs w:val="16"/>
                <w:lang w:val="es-ES"/>
              </w:rPr>
            </w:pPr>
            <w:r w:rsidRPr="006C695D">
              <w:rPr>
                <w:rFonts w:ascii="Verdana" w:eastAsia="Times New Roman" w:hAnsi="Verdana" w:cs="Arial"/>
                <w:sz w:val="16"/>
                <w:szCs w:val="16"/>
                <w:lang w:eastAsia="es-ES"/>
              </w:rPr>
              <w:t>Analista T2-02 de la Subdirección de Gestión Contractual</w:t>
            </w:r>
          </w:p>
        </w:tc>
      </w:tr>
      <w:tr w:rsidR="008A6431" w:rsidRPr="006C695D" w14:paraId="6D99F1B7" w14:textId="77777777" w:rsidTr="00E75E29">
        <w:trPr>
          <w:trHeight w:val="330"/>
        </w:trPr>
        <w:tc>
          <w:tcPr>
            <w:tcW w:w="893" w:type="dxa"/>
            <w:vAlign w:val="center"/>
            <w:hideMark/>
          </w:tcPr>
          <w:p w14:paraId="3ECD0B35" w14:textId="77777777" w:rsidR="008A6431" w:rsidRPr="006C695D" w:rsidRDefault="008A6431" w:rsidP="00E75E29">
            <w:pPr>
              <w:contextualSpacing/>
              <w:rPr>
                <w:rFonts w:ascii="Verdana" w:hAnsi="Verdana" w:cs="Arial"/>
                <w:sz w:val="16"/>
                <w:szCs w:val="16"/>
                <w:lang w:val="es-ES" w:eastAsia="es-ES"/>
              </w:rPr>
            </w:pPr>
            <w:r w:rsidRPr="006C695D">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B33CA17" w14:textId="77777777" w:rsidR="008A6431" w:rsidRPr="006C695D" w:rsidRDefault="008A6431" w:rsidP="00E75E29">
            <w:pPr>
              <w:rPr>
                <w:rFonts w:ascii="Verdana" w:eastAsia="Times New Roman" w:hAnsi="Verdana" w:cs="Arial"/>
                <w:sz w:val="16"/>
                <w:szCs w:val="16"/>
                <w:lang w:eastAsia="es-ES"/>
              </w:rPr>
            </w:pPr>
            <w:r>
              <w:rPr>
                <w:rFonts w:ascii="Verdana" w:eastAsia="Times New Roman" w:hAnsi="Verdana" w:cs="Arial"/>
                <w:sz w:val="16"/>
                <w:szCs w:val="16"/>
                <w:lang w:eastAsia="es-ES"/>
              </w:rPr>
              <w:t>Juan David Cárdenas Cabeza</w:t>
            </w:r>
          </w:p>
          <w:p w14:paraId="6CDCCC63" w14:textId="77777777" w:rsidR="008A6431" w:rsidRPr="006C695D" w:rsidRDefault="008A6431" w:rsidP="00E75E29">
            <w:pPr>
              <w:pStyle w:val="paragraph"/>
              <w:spacing w:before="0" w:beforeAutospacing="0" w:after="0" w:afterAutospacing="0"/>
              <w:contextualSpacing/>
              <w:textAlignment w:val="baseline"/>
              <w:rPr>
                <w:rFonts w:ascii="Verdana" w:hAnsi="Verdana" w:cs="Segoe UI"/>
                <w:sz w:val="16"/>
                <w:szCs w:val="16"/>
                <w:lang w:val="es-ES"/>
              </w:rPr>
            </w:pPr>
            <w:r w:rsidRPr="006C695D">
              <w:rPr>
                <w:rFonts w:ascii="Verdana" w:hAnsi="Verdana" w:cs="Arial"/>
                <w:sz w:val="16"/>
                <w:szCs w:val="16"/>
                <w:lang w:eastAsia="es-ES"/>
              </w:rPr>
              <w:t>Contratista de la Subdirección de Gestión Contractual</w:t>
            </w:r>
          </w:p>
        </w:tc>
      </w:tr>
      <w:tr w:rsidR="008A6431" w:rsidRPr="006C695D" w14:paraId="381FFEAF" w14:textId="77777777" w:rsidTr="00E75E29">
        <w:trPr>
          <w:trHeight w:val="300"/>
        </w:trPr>
        <w:tc>
          <w:tcPr>
            <w:tcW w:w="893" w:type="dxa"/>
            <w:vAlign w:val="center"/>
          </w:tcPr>
          <w:p w14:paraId="45DAEE25" w14:textId="77777777" w:rsidR="008A6431" w:rsidRPr="006C695D" w:rsidRDefault="008A6431" w:rsidP="00E75E29">
            <w:pPr>
              <w:contextualSpacing/>
              <w:rPr>
                <w:rFonts w:ascii="Verdana" w:hAnsi="Verdana" w:cs="Arial"/>
                <w:sz w:val="16"/>
                <w:szCs w:val="16"/>
                <w:lang w:val="es-ES" w:eastAsia="es-ES"/>
              </w:rPr>
            </w:pPr>
            <w:r w:rsidRPr="006C695D">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AEED43C" w14:textId="77777777" w:rsidR="008A6431" w:rsidRPr="006C695D" w:rsidRDefault="008A6431" w:rsidP="00E75E29">
            <w:pPr>
              <w:contextualSpacing/>
              <w:rPr>
                <w:rFonts w:ascii="Verdana" w:eastAsia="Calibri" w:hAnsi="Verdana" w:cs="Arial"/>
                <w:sz w:val="16"/>
                <w:szCs w:val="16"/>
                <w:lang w:val="es-ES" w:eastAsia="es-ES"/>
              </w:rPr>
            </w:pPr>
            <w:r w:rsidRPr="006C695D">
              <w:rPr>
                <w:rFonts w:ascii="Verdana" w:eastAsia="Calibri" w:hAnsi="Verdana" w:cs="Arial"/>
                <w:sz w:val="16"/>
                <w:szCs w:val="16"/>
                <w:lang w:val="es-ES" w:eastAsia="es-ES"/>
              </w:rPr>
              <w:t>Carolina Quintero Gacharná</w:t>
            </w:r>
          </w:p>
          <w:p w14:paraId="3750F6FC" w14:textId="77777777" w:rsidR="008A6431" w:rsidRPr="006C695D" w:rsidRDefault="008A6431" w:rsidP="00E75E29">
            <w:pPr>
              <w:contextualSpacing/>
              <w:rPr>
                <w:rFonts w:ascii="Verdana" w:eastAsia="Calibri" w:hAnsi="Verdana" w:cs="Arial"/>
                <w:sz w:val="16"/>
                <w:szCs w:val="16"/>
                <w:lang w:val="es-ES" w:eastAsia="es-ES"/>
              </w:rPr>
            </w:pPr>
            <w:r w:rsidRPr="006C695D">
              <w:rPr>
                <w:rFonts w:ascii="Verdana" w:eastAsia="Calibri" w:hAnsi="Verdana" w:cs="Arial"/>
                <w:sz w:val="16"/>
                <w:szCs w:val="16"/>
                <w:lang w:val="es-ES" w:eastAsia="es-ES"/>
              </w:rPr>
              <w:t>Subdirectora de Gestión Contractual ANCP – CCE</w:t>
            </w:r>
          </w:p>
        </w:tc>
      </w:tr>
      <w:bookmarkEnd w:id="0"/>
    </w:tbl>
    <w:p w14:paraId="3E7A50F2" w14:textId="77777777" w:rsidR="008A6431" w:rsidRPr="006C695D" w:rsidRDefault="008A6431" w:rsidP="008A6431">
      <w:pPr>
        <w:spacing w:after="120" w:line="276" w:lineRule="auto"/>
        <w:jc w:val="both"/>
        <w:rPr>
          <w:rFonts w:ascii="Verdana" w:eastAsia="Century Gothic" w:hAnsi="Verdana" w:cs="Century Gothic"/>
          <w:b/>
          <w:color w:val="ED7D31" w:themeColor="accent2"/>
          <w:lang w:val="es-ES"/>
        </w:rPr>
      </w:pPr>
    </w:p>
    <w:p w14:paraId="758037CA" w14:textId="005FE517" w:rsidR="008A6431" w:rsidRPr="002E294E" w:rsidRDefault="008A6431" w:rsidP="008A6431">
      <w:pPr>
        <w:spacing w:after="120" w:line="276" w:lineRule="auto"/>
        <w:jc w:val="both"/>
        <w:rPr>
          <w:rFonts w:ascii="Verdana" w:eastAsia="Century Gothic" w:hAnsi="Verdana" w:cs="Century Gothic"/>
          <w:b/>
          <w:color w:val="ED7D31" w:themeColor="accent2"/>
          <w:lang w:val="es-ES"/>
        </w:rPr>
      </w:pPr>
    </w:p>
    <w:sectPr w:rsidR="008A6431" w:rsidRPr="002E294E"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1717F" w14:textId="77777777" w:rsidR="00B236A0" w:rsidRDefault="00B236A0" w:rsidP="004A1847">
      <w:pPr>
        <w:spacing w:after="0" w:line="240" w:lineRule="auto"/>
      </w:pPr>
      <w:r>
        <w:separator/>
      </w:r>
    </w:p>
  </w:endnote>
  <w:endnote w:type="continuationSeparator" w:id="0">
    <w:p w14:paraId="6B078ED7" w14:textId="77777777" w:rsidR="00B236A0" w:rsidRDefault="00B236A0"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Arial"/>
    <w:panose1 w:val="02000503000000020004"/>
    <w:charset w:val="00"/>
    <w:family w:val="modern"/>
    <w:notTrueType/>
    <w:pitch w:val="variable"/>
    <w:sig w:usb0="A000002F" w:usb1="1000004A" w:usb2="00000000" w:usb3="00000000" w:csb0="00000193" w:csb1="00000000"/>
  </w:font>
  <w:font w:name="Geomanist">
    <w:altName w:val="Arial"/>
    <w:panose1 w:val="020005030000000200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Arial"/>
    <w:panose1 w:val="02000503000000020004"/>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53092" w14:textId="77777777" w:rsidR="00B236A0" w:rsidRDefault="00B236A0" w:rsidP="004A1847">
      <w:pPr>
        <w:spacing w:after="0" w:line="240" w:lineRule="auto"/>
      </w:pPr>
      <w:r>
        <w:separator/>
      </w:r>
    </w:p>
  </w:footnote>
  <w:footnote w:type="continuationSeparator" w:id="0">
    <w:p w14:paraId="336526A0" w14:textId="77777777" w:rsidR="00B236A0" w:rsidRDefault="00B236A0" w:rsidP="004A1847">
      <w:pPr>
        <w:spacing w:after="0" w:line="240" w:lineRule="auto"/>
      </w:pPr>
      <w:r>
        <w:continuationSeparator/>
      </w:r>
    </w:p>
  </w:footnote>
  <w:footnote w:id="1">
    <w:p w14:paraId="46551225" w14:textId="77777777" w:rsidR="008A6431" w:rsidRPr="00F266FF" w:rsidRDefault="008A6431" w:rsidP="008A6431">
      <w:pPr>
        <w:pStyle w:val="NormalWeb"/>
        <w:snapToGrid w:val="0"/>
        <w:spacing w:before="0" w:beforeAutospacing="0" w:after="0" w:afterAutospacing="0"/>
        <w:ind w:firstLine="709"/>
        <w:contextualSpacing/>
        <w:jc w:val="both"/>
        <w:rPr>
          <w:rFonts w:ascii="Verdana" w:hAnsi="Verdana" w:cs="Arial"/>
          <w:sz w:val="16"/>
          <w:szCs w:val="16"/>
        </w:rPr>
      </w:pPr>
      <w:r w:rsidRPr="00F266FF">
        <w:rPr>
          <w:rStyle w:val="Refdenotaalpie"/>
          <w:rFonts w:ascii="Verdana" w:hAnsi="Verdana" w:cs="Arial"/>
          <w:sz w:val="16"/>
          <w:szCs w:val="16"/>
        </w:rPr>
        <w:footnoteRef/>
      </w:r>
      <w:r w:rsidRPr="00F266FF">
        <w:rPr>
          <w:rFonts w:ascii="Verdana" w:hAnsi="Verdana" w:cs="Arial"/>
          <w:sz w:val="16"/>
          <w:szCs w:val="16"/>
        </w:rPr>
        <w:t xml:space="preserve"> </w:t>
      </w:r>
      <w:r w:rsidRPr="00F266FF">
        <w:rPr>
          <w:rFonts w:ascii="Verdana" w:hAnsi="Verdana" w:cs="Arial"/>
          <w:sz w:val="16"/>
          <w:szCs w:val="16"/>
          <w:lang w:val="es-ES"/>
        </w:rPr>
        <w:t>“</w:t>
      </w:r>
      <w:r w:rsidRPr="00F266FF">
        <w:rPr>
          <w:rFonts w:ascii="Verdana" w:hAnsi="Verdana" w:cs="Arial"/>
          <w:sz w:val="16"/>
          <w:szCs w:val="16"/>
        </w:rPr>
        <w:t xml:space="preserve">Para poder participar en los procesos de selección de los contratos de obra, la capacidad residual del proponente o K de contratación deberá ser igual o superior al que la entidad haya establecido para el efecto en los pliegos de condiciones. </w:t>
      </w:r>
    </w:p>
    <w:p w14:paraId="48A5E4CA" w14:textId="77777777" w:rsidR="008A6431" w:rsidRDefault="008A6431" w:rsidP="008A6431">
      <w:pPr>
        <w:snapToGrid w:val="0"/>
        <w:spacing w:after="0" w:line="240" w:lineRule="auto"/>
        <w:ind w:firstLine="708"/>
        <w:contextualSpacing/>
        <w:jc w:val="both"/>
        <w:rPr>
          <w:rFonts w:ascii="Verdana" w:hAnsi="Verdana" w:cs="Arial"/>
          <w:sz w:val="16"/>
          <w:szCs w:val="16"/>
        </w:rPr>
      </w:pPr>
      <w:r w:rsidRPr="00F266FF">
        <w:rPr>
          <w:rFonts w:ascii="Verdana" w:hAnsi="Verdana" w:cs="Arial"/>
          <w:sz w:val="16"/>
          <w:szCs w:val="16"/>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1F4700F0" w14:textId="77777777" w:rsidR="008A6431" w:rsidRPr="00F266FF" w:rsidRDefault="008A6431" w:rsidP="008A6431">
      <w:pPr>
        <w:snapToGrid w:val="0"/>
        <w:spacing w:after="0" w:line="240" w:lineRule="auto"/>
        <w:ind w:firstLine="708"/>
        <w:contextualSpacing/>
        <w:jc w:val="both"/>
        <w:rPr>
          <w:rFonts w:ascii="Verdana" w:hAnsi="Verdana" w:cs="Arial"/>
          <w:sz w:val="16"/>
          <w:szCs w:val="16"/>
        </w:rPr>
      </w:pPr>
    </w:p>
  </w:footnote>
  <w:footnote w:id="2">
    <w:p w14:paraId="01FBABB7" w14:textId="77777777" w:rsidR="008A6431" w:rsidRPr="00F266FF" w:rsidRDefault="008A6431" w:rsidP="008A6431">
      <w:pPr>
        <w:pStyle w:val="NormalWeb"/>
        <w:spacing w:before="0" w:beforeAutospacing="0" w:after="0" w:afterAutospacing="0"/>
        <w:ind w:firstLine="708"/>
        <w:jc w:val="both"/>
        <w:rPr>
          <w:rFonts w:ascii="Verdana" w:hAnsi="Verdana" w:cs="Arial"/>
          <w:color w:val="000000" w:themeColor="text1"/>
          <w:sz w:val="16"/>
          <w:szCs w:val="16"/>
        </w:rPr>
      </w:pPr>
      <w:r w:rsidRPr="00F266FF">
        <w:rPr>
          <w:rStyle w:val="Refdenotaalpie"/>
          <w:rFonts w:ascii="Verdana" w:hAnsi="Verdana" w:cs="Arial"/>
          <w:color w:val="000000" w:themeColor="text1"/>
          <w:sz w:val="16"/>
          <w:szCs w:val="16"/>
        </w:rPr>
        <w:footnoteRef/>
      </w:r>
      <w:r w:rsidRPr="00F266FF">
        <w:rPr>
          <w:rFonts w:ascii="Verdana" w:hAnsi="Verdana" w:cs="Arial"/>
          <w:color w:val="000000" w:themeColor="text1"/>
          <w:sz w:val="16"/>
          <w:szCs w:val="16"/>
        </w:rPr>
        <w:t xml:space="preserve"> </w:t>
      </w:r>
      <w:r w:rsidRPr="00F266FF">
        <w:rPr>
          <w:rFonts w:ascii="Verdana" w:hAnsi="Verdana" w:cs="Arial"/>
          <w:color w:val="000000" w:themeColor="text1"/>
          <w:sz w:val="16"/>
          <w:szCs w:val="16"/>
          <w:lang w:val="es-ES"/>
        </w:rPr>
        <w:t xml:space="preserve">Artículo 6 Ley 1150 de 2007 </w:t>
      </w:r>
      <w:r w:rsidRPr="00F266FF">
        <w:rPr>
          <w:rFonts w:ascii="Verdana" w:eastAsia="Calibri" w:hAnsi="Verdana" w:cs="Arial"/>
          <w:i/>
          <w:iCs/>
          <w:color w:val="000000" w:themeColor="text1"/>
          <w:sz w:val="16"/>
          <w:szCs w:val="16"/>
          <w:lang w:val="es-ES_tradnl"/>
        </w:rPr>
        <w:t>“</w:t>
      </w:r>
      <w:r w:rsidRPr="00F266FF">
        <w:rPr>
          <w:rFonts w:ascii="Verdana" w:hAnsi="Verdana" w:cs="Arial"/>
          <w:color w:val="000000" w:themeColor="text1"/>
          <w:sz w:val="16"/>
          <w:szCs w:val="16"/>
        </w:rPr>
        <w:t>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2EF74B9F" w14:textId="77777777" w:rsidR="008A6431" w:rsidRPr="00F266FF" w:rsidRDefault="008A6431" w:rsidP="008A6431">
      <w:pPr>
        <w:pStyle w:val="NormalWeb"/>
        <w:spacing w:before="0" w:beforeAutospacing="0" w:after="0" w:afterAutospacing="0"/>
        <w:ind w:firstLine="708"/>
        <w:jc w:val="both"/>
        <w:rPr>
          <w:rFonts w:ascii="Verdana" w:hAnsi="Verdana" w:cs="Arial"/>
          <w:color w:val="000000" w:themeColor="text1"/>
          <w:sz w:val="16"/>
          <w:szCs w:val="16"/>
        </w:rPr>
      </w:pPr>
      <w:r>
        <w:rPr>
          <w:rFonts w:ascii="Verdana" w:hAnsi="Verdana" w:cs="Arial"/>
          <w:color w:val="000000" w:themeColor="text1"/>
          <w:sz w:val="16"/>
          <w:szCs w:val="16"/>
        </w:rPr>
        <w:t>(</w:t>
      </w:r>
      <w:r w:rsidRPr="00F266FF">
        <w:rPr>
          <w:rFonts w:ascii="Verdana" w:hAnsi="Verdana" w:cs="Arial"/>
          <w:color w:val="000000" w:themeColor="text1"/>
          <w:sz w:val="16"/>
          <w:szCs w:val="16"/>
        </w:rPr>
        <w:t>…</w:t>
      </w:r>
      <w:r>
        <w:rPr>
          <w:rFonts w:ascii="Verdana" w:hAnsi="Verdana" w:cs="Arial"/>
          <w:color w:val="000000" w:themeColor="text1"/>
          <w:sz w:val="16"/>
          <w:szCs w:val="16"/>
        </w:rPr>
        <w:t>)</w:t>
      </w:r>
    </w:p>
    <w:p w14:paraId="601CD8D2" w14:textId="77777777" w:rsidR="008A6431" w:rsidRDefault="008A6431" w:rsidP="008A6431">
      <w:pPr>
        <w:pStyle w:val="NormalWeb"/>
        <w:spacing w:before="0" w:beforeAutospacing="0" w:after="0" w:afterAutospacing="0"/>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En dicho registro constará la información relacionada con la experiencia, capacidad jurídica, financiera y de organización del proponente y su clasificación</w:t>
      </w:r>
      <w:r w:rsidRPr="00F266FF">
        <w:rPr>
          <w:rFonts w:ascii="Verdana" w:eastAsia="Calibri" w:hAnsi="Verdana" w:cs="Arial"/>
          <w:i/>
          <w:iCs/>
          <w:color w:val="000000" w:themeColor="text1"/>
          <w:sz w:val="16"/>
          <w:szCs w:val="16"/>
          <w:lang w:val="es-ES_tradnl"/>
        </w:rPr>
        <w:t>”</w:t>
      </w:r>
      <w:r w:rsidRPr="00F266FF">
        <w:rPr>
          <w:rFonts w:ascii="Verdana" w:hAnsi="Verdana" w:cs="Arial"/>
          <w:color w:val="000000" w:themeColor="text1"/>
          <w:sz w:val="16"/>
          <w:szCs w:val="16"/>
        </w:rPr>
        <w:t>.</w:t>
      </w:r>
    </w:p>
    <w:p w14:paraId="4DB6DAC3" w14:textId="77777777" w:rsidR="008A6431" w:rsidRPr="00F266FF" w:rsidRDefault="008A6431" w:rsidP="008A6431">
      <w:pPr>
        <w:pStyle w:val="NormalWeb"/>
        <w:spacing w:before="0" w:beforeAutospacing="0" w:after="0" w:afterAutospacing="0"/>
        <w:ind w:firstLine="708"/>
        <w:jc w:val="both"/>
        <w:rPr>
          <w:rFonts w:ascii="Verdana" w:hAnsi="Verdana" w:cs="Arial"/>
          <w:color w:val="000000" w:themeColor="text1"/>
          <w:sz w:val="16"/>
          <w:szCs w:val="16"/>
        </w:rPr>
      </w:pPr>
    </w:p>
  </w:footnote>
  <w:footnote w:id="3">
    <w:p w14:paraId="7AF348F2" w14:textId="77777777" w:rsidR="008A6431" w:rsidRDefault="008A6431" w:rsidP="008A6431">
      <w:pPr>
        <w:spacing w:after="0" w:line="240" w:lineRule="auto"/>
        <w:ind w:firstLine="708"/>
        <w:jc w:val="both"/>
        <w:rPr>
          <w:rFonts w:ascii="Verdana" w:hAnsi="Verdana" w:cs="Arial"/>
          <w:color w:val="000000" w:themeColor="text1"/>
          <w:sz w:val="16"/>
          <w:szCs w:val="16"/>
        </w:rPr>
      </w:pPr>
      <w:r w:rsidRPr="00F266FF">
        <w:rPr>
          <w:rStyle w:val="Refdenotaalpie"/>
          <w:rFonts w:ascii="Verdana" w:hAnsi="Verdana" w:cs="Arial"/>
          <w:color w:val="000000" w:themeColor="text1"/>
          <w:sz w:val="16"/>
          <w:szCs w:val="16"/>
        </w:rPr>
        <w:footnoteRef/>
      </w:r>
      <w:r w:rsidRPr="00F266FF">
        <w:rPr>
          <w:rFonts w:ascii="Verdana" w:hAnsi="Verdana" w:cs="Arial"/>
          <w:color w:val="000000" w:themeColor="text1"/>
          <w:sz w:val="16"/>
          <w:szCs w:val="16"/>
        </w:rPr>
        <w:t xml:space="preserve"> </w:t>
      </w:r>
      <w:r w:rsidRPr="00F266FF">
        <w:rPr>
          <w:rFonts w:ascii="Verdana" w:hAnsi="Verdana" w:cs="Arial"/>
          <w:i/>
          <w:iCs/>
          <w:color w:val="000000" w:themeColor="text1"/>
          <w:sz w:val="16"/>
          <w:szCs w:val="16"/>
          <w:lang w:val="es-ES_tradnl"/>
        </w:rPr>
        <w:t>“</w:t>
      </w:r>
      <w:r w:rsidRPr="00F266FF">
        <w:rPr>
          <w:rFonts w:ascii="Verdana" w:hAnsi="Verdana" w:cs="Arial"/>
          <w:color w:val="000000" w:themeColor="text1"/>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r w:rsidRPr="00F266FF">
        <w:rPr>
          <w:rFonts w:ascii="Verdana" w:hAnsi="Verdana" w:cs="Arial"/>
          <w:i/>
          <w:iCs/>
          <w:sz w:val="16"/>
          <w:szCs w:val="16"/>
        </w:rPr>
        <w:t>”</w:t>
      </w:r>
      <w:r w:rsidRPr="00F266FF">
        <w:rPr>
          <w:rFonts w:ascii="Verdana" w:hAnsi="Verdana" w:cs="Arial"/>
          <w:color w:val="000000" w:themeColor="text1"/>
          <w:sz w:val="16"/>
          <w:szCs w:val="16"/>
        </w:rPr>
        <w:t xml:space="preserve">. </w:t>
      </w:r>
    </w:p>
    <w:p w14:paraId="62427182" w14:textId="77777777" w:rsidR="008A6431" w:rsidRPr="00E2347F" w:rsidRDefault="008A6431" w:rsidP="008A6431">
      <w:pPr>
        <w:spacing w:after="0" w:line="240" w:lineRule="auto"/>
        <w:ind w:firstLine="708"/>
        <w:jc w:val="both"/>
        <w:rPr>
          <w:rFonts w:ascii="Verdana" w:hAnsi="Verdana" w:cs="Arial"/>
          <w:color w:val="000000" w:themeColor="text1"/>
          <w:sz w:val="16"/>
          <w:szCs w:val="16"/>
        </w:rPr>
      </w:pPr>
    </w:p>
  </w:footnote>
  <w:footnote w:id="4">
    <w:p w14:paraId="2A098356" w14:textId="77777777" w:rsidR="008A6431" w:rsidRDefault="008A6431" w:rsidP="008A6431">
      <w:pPr>
        <w:pStyle w:val="Textonotapie"/>
        <w:snapToGrid w:val="0"/>
        <w:ind w:firstLine="708"/>
        <w:jc w:val="both"/>
        <w:rPr>
          <w:rFonts w:ascii="Verdana" w:hAnsi="Verdana" w:cs="Arial"/>
          <w:sz w:val="16"/>
          <w:szCs w:val="16"/>
          <w:lang w:eastAsia="es-CO"/>
        </w:rPr>
      </w:pPr>
      <w:r w:rsidRPr="00F266FF">
        <w:rPr>
          <w:rStyle w:val="Refdenotaalpie"/>
          <w:rFonts w:ascii="Verdana" w:hAnsi="Verdana" w:cs="Arial"/>
          <w:sz w:val="16"/>
          <w:szCs w:val="16"/>
        </w:rPr>
        <w:footnoteRef/>
      </w:r>
      <w:r w:rsidRPr="00F266FF">
        <w:rPr>
          <w:rFonts w:ascii="Verdana" w:hAnsi="Verdana" w:cs="Arial"/>
          <w:sz w:val="16"/>
          <w:szCs w:val="16"/>
        </w:rPr>
        <w:t xml:space="preserve"> </w:t>
      </w:r>
      <w:r w:rsidRPr="00F266FF">
        <w:rPr>
          <w:rFonts w:ascii="Verdana" w:hAnsi="Verdana" w:cs="Arial"/>
          <w:sz w:val="16"/>
          <w:szCs w:val="16"/>
          <w:lang w:eastAsia="es-CO"/>
        </w:rPr>
        <w:t xml:space="preserve">Ley 1150 de 2007: “Artículo 6.  De la verificación de las condiciones de los proponentes. </w:t>
      </w:r>
      <w:r>
        <w:rPr>
          <w:rFonts w:ascii="Verdana" w:hAnsi="Verdana" w:cs="Arial"/>
          <w:sz w:val="16"/>
          <w:szCs w:val="16"/>
          <w:lang w:eastAsia="es-CO"/>
        </w:rPr>
        <w:t>(</w:t>
      </w:r>
      <w:r w:rsidRPr="00F266FF">
        <w:rPr>
          <w:rFonts w:ascii="Verdana" w:hAnsi="Verdana" w:cs="Arial"/>
          <w:sz w:val="16"/>
          <w:szCs w:val="16"/>
          <w:lang w:eastAsia="es-CO"/>
        </w:rPr>
        <w:t>...</w:t>
      </w:r>
      <w:r>
        <w:rPr>
          <w:rFonts w:ascii="Verdana" w:hAnsi="Verdana" w:cs="Arial"/>
          <w:sz w:val="16"/>
          <w:szCs w:val="16"/>
          <w:lang w:eastAsia="es-CO"/>
        </w:rPr>
        <w:t>)</w:t>
      </w:r>
      <w:r w:rsidRPr="00F266FF">
        <w:rPr>
          <w:rFonts w:ascii="Verdana" w:hAnsi="Verdana" w:cs="Arial"/>
          <w:sz w:val="16"/>
          <w:szCs w:val="16"/>
          <w:lang w:eastAsia="es-CO"/>
        </w:rPr>
        <w:t xml:space="preserve"> “No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r>
        <w:rPr>
          <w:rFonts w:ascii="Verdana" w:hAnsi="Verdana" w:cs="Arial"/>
          <w:sz w:val="16"/>
          <w:szCs w:val="16"/>
          <w:lang w:eastAsia="es-CO"/>
        </w:rPr>
        <w:t>(</w:t>
      </w:r>
      <w:r w:rsidRPr="00F266FF">
        <w:rPr>
          <w:rFonts w:ascii="Verdana" w:hAnsi="Verdana" w:cs="Arial"/>
          <w:sz w:val="16"/>
          <w:szCs w:val="16"/>
          <w:lang w:eastAsia="es-CO"/>
        </w:rPr>
        <w:t>...</w:t>
      </w:r>
      <w:r>
        <w:rPr>
          <w:rFonts w:ascii="Verdana" w:hAnsi="Verdana" w:cs="Arial"/>
          <w:sz w:val="16"/>
          <w:szCs w:val="16"/>
          <w:lang w:eastAsia="es-CO"/>
        </w:rPr>
        <w:t>)</w:t>
      </w:r>
      <w:r w:rsidRPr="00F266FF">
        <w:rPr>
          <w:rFonts w:ascii="Verdana" w:hAnsi="Verdana" w:cs="Arial"/>
          <w:sz w:val="16"/>
          <w:szCs w:val="16"/>
          <w:lang w:eastAsia="es-CO"/>
        </w:rPr>
        <w:t xml:space="preserve">”. </w:t>
      </w:r>
    </w:p>
    <w:p w14:paraId="4A003E6D" w14:textId="77777777" w:rsidR="008A6431" w:rsidRPr="00F266FF" w:rsidRDefault="008A6431" w:rsidP="008A6431">
      <w:pPr>
        <w:pStyle w:val="Textonotapie"/>
        <w:snapToGrid w:val="0"/>
        <w:ind w:firstLine="708"/>
        <w:jc w:val="both"/>
        <w:rPr>
          <w:rFonts w:ascii="Verdana" w:hAnsi="Verdana" w:cs="Arial"/>
          <w:sz w:val="16"/>
          <w:szCs w:val="16"/>
          <w:lang w:eastAsia="es-CO"/>
        </w:rPr>
      </w:pPr>
    </w:p>
  </w:footnote>
  <w:footnote w:id="5">
    <w:p w14:paraId="0667C0AE" w14:textId="77777777" w:rsidR="008A6431" w:rsidRPr="00F266FF" w:rsidRDefault="008A6431" w:rsidP="008A6431">
      <w:pPr>
        <w:pStyle w:val="Textonotapie"/>
        <w:ind w:firstLine="708"/>
        <w:jc w:val="both"/>
        <w:rPr>
          <w:rFonts w:ascii="Verdana" w:hAnsi="Verdana" w:cs="Arial"/>
          <w:color w:val="000000" w:themeColor="text1"/>
          <w:sz w:val="16"/>
          <w:szCs w:val="16"/>
        </w:rPr>
      </w:pPr>
      <w:r w:rsidRPr="00F266FF">
        <w:rPr>
          <w:rStyle w:val="Refdenotaalpie"/>
          <w:rFonts w:ascii="Verdana" w:hAnsi="Verdana" w:cs="Arial"/>
          <w:color w:val="000000" w:themeColor="text1"/>
          <w:sz w:val="16"/>
          <w:szCs w:val="16"/>
        </w:rPr>
        <w:footnoteRef/>
      </w:r>
      <w:r w:rsidRPr="00F266FF">
        <w:rPr>
          <w:rFonts w:ascii="Verdana" w:hAnsi="Verdana" w:cs="Arial"/>
          <w:color w:val="000000" w:themeColor="text1"/>
          <w:sz w:val="16"/>
          <w:szCs w:val="16"/>
        </w:rPr>
        <w:t xml:space="preserve"> Esta norma prescribe que “Para que una persona se obligue a otra por un acto o declaración de voluntad, es necesario:</w:t>
      </w:r>
    </w:p>
    <w:p w14:paraId="555787F6" w14:textId="77777777" w:rsidR="008A6431" w:rsidRPr="00F266FF" w:rsidRDefault="008A6431" w:rsidP="008A6431">
      <w:pPr>
        <w:pStyle w:val="Textonotapie"/>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1o.) que sea legalmente capaz;</w:t>
      </w:r>
    </w:p>
    <w:p w14:paraId="1A07BD6A" w14:textId="77777777" w:rsidR="008A6431" w:rsidRPr="00F266FF" w:rsidRDefault="008A6431" w:rsidP="008A6431">
      <w:pPr>
        <w:pStyle w:val="Textonotapie"/>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2o.) que consienta en dicho acto o declaración y su consentimiento no adolezca de vicio;</w:t>
      </w:r>
    </w:p>
    <w:p w14:paraId="35FA4534" w14:textId="77777777" w:rsidR="008A6431" w:rsidRPr="00F266FF" w:rsidRDefault="008A6431" w:rsidP="008A6431">
      <w:pPr>
        <w:pStyle w:val="Textonotapie"/>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3o.) que recaiga sobre un objeto lícito;</w:t>
      </w:r>
    </w:p>
    <w:p w14:paraId="5D3DB07C" w14:textId="77777777" w:rsidR="008A6431" w:rsidRPr="00F266FF" w:rsidRDefault="008A6431" w:rsidP="008A6431">
      <w:pPr>
        <w:pStyle w:val="Textonotapie"/>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4o.) que tenga una causa lícita.</w:t>
      </w:r>
    </w:p>
    <w:p w14:paraId="22A861A9" w14:textId="77777777" w:rsidR="008A6431" w:rsidRDefault="008A6431" w:rsidP="008A6431">
      <w:pPr>
        <w:pStyle w:val="Textonotapie"/>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La capacidad legal de una persona consiste en poderse obligar por sí misma, y sin el ministerio o la autorización de otra”.</w:t>
      </w:r>
    </w:p>
    <w:p w14:paraId="30B7575A" w14:textId="77777777" w:rsidR="008A6431" w:rsidRPr="00F266FF" w:rsidRDefault="008A6431" w:rsidP="008A6431">
      <w:pPr>
        <w:pStyle w:val="Textonotapie"/>
        <w:ind w:firstLine="708"/>
        <w:jc w:val="both"/>
        <w:rPr>
          <w:rFonts w:ascii="Verdana" w:hAnsi="Verdana" w:cs="Arial"/>
          <w:color w:val="000000" w:themeColor="text1"/>
          <w:sz w:val="16"/>
          <w:szCs w:val="16"/>
        </w:rPr>
      </w:pPr>
    </w:p>
  </w:footnote>
  <w:footnote w:id="6">
    <w:p w14:paraId="049EF210" w14:textId="77777777" w:rsidR="008A6431" w:rsidRPr="00F22A64" w:rsidRDefault="008A6431" w:rsidP="008A6431">
      <w:pPr>
        <w:pStyle w:val="Textonotapie"/>
        <w:snapToGrid w:val="0"/>
        <w:ind w:firstLine="420"/>
        <w:jc w:val="both"/>
        <w:rPr>
          <w:rFonts w:ascii="Verdana" w:hAnsi="Verdana" w:cs="Arial"/>
          <w:color w:val="000000" w:themeColor="text1"/>
          <w:sz w:val="15"/>
          <w:szCs w:val="15"/>
        </w:rPr>
      </w:pPr>
      <w:r w:rsidRPr="00F266FF">
        <w:rPr>
          <w:rStyle w:val="Refdenotaalpie"/>
          <w:rFonts w:ascii="Verdana" w:hAnsi="Verdana" w:cs="Arial"/>
          <w:color w:val="000000" w:themeColor="text1"/>
          <w:sz w:val="16"/>
          <w:szCs w:val="16"/>
        </w:rPr>
        <w:footnoteRef/>
      </w:r>
      <w:r w:rsidRPr="00F266FF">
        <w:rPr>
          <w:rFonts w:ascii="Verdana" w:hAnsi="Verdana" w:cs="Arial"/>
          <w:color w:val="000000" w:themeColor="text1"/>
          <w:sz w:val="16"/>
          <w:szCs w:val="16"/>
          <w:lang w:val="pt-BR"/>
        </w:rPr>
        <w:t xml:space="preserve"> Corte Constitucional. Sala Plena. Sentencia C 178 de 29 de abril de 1996. </w:t>
      </w:r>
      <w:r w:rsidRPr="00F266FF">
        <w:rPr>
          <w:rFonts w:ascii="Verdana" w:hAnsi="Verdana" w:cs="Arial"/>
          <w:color w:val="000000" w:themeColor="text1"/>
          <w:sz w:val="16"/>
          <w:szCs w:val="16"/>
        </w:rPr>
        <w:t>Magistrado Ponente: Antonio Barrera Carbonell. Expediente No. D-974.</w:t>
      </w:r>
      <w:r w:rsidRPr="00F22A64">
        <w:rPr>
          <w:rFonts w:ascii="Verdana" w:hAnsi="Verdana" w:cs="Arial"/>
          <w:color w:val="000000" w:themeColor="text1"/>
          <w:sz w:val="15"/>
          <w:szCs w:val="15"/>
        </w:rPr>
        <w:t xml:space="preserve"> </w:t>
      </w:r>
    </w:p>
  </w:footnote>
  <w:footnote w:id="7">
    <w:p w14:paraId="60B90589" w14:textId="77777777" w:rsidR="008A6431" w:rsidRDefault="008A6431" w:rsidP="008A6431">
      <w:pPr>
        <w:pStyle w:val="Textonotapie"/>
        <w:ind w:firstLine="708"/>
        <w:jc w:val="both"/>
        <w:rPr>
          <w:rFonts w:ascii="Verdana" w:hAnsi="Verdana" w:cs="Arial"/>
          <w:color w:val="000000" w:themeColor="text1"/>
          <w:sz w:val="16"/>
          <w:szCs w:val="16"/>
        </w:rPr>
      </w:pPr>
      <w:r w:rsidRPr="00E2347F">
        <w:rPr>
          <w:rStyle w:val="Refdenotaalpie"/>
          <w:rFonts w:ascii="Verdana" w:hAnsi="Verdana"/>
          <w:color w:val="000000" w:themeColor="text1"/>
          <w:sz w:val="16"/>
          <w:szCs w:val="16"/>
        </w:rPr>
        <w:footnoteRef/>
      </w:r>
      <w:r w:rsidRPr="00E2347F">
        <w:rPr>
          <w:rFonts w:ascii="Verdana" w:hAnsi="Verdana"/>
          <w:color w:val="000000" w:themeColor="text1"/>
          <w:sz w:val="16"/>
          <w:szCs w:val="16"/>
        </w:rPr>
        <w:t xml:space="preserve"> </w:t>
      </w:r>
      <w:r w:rsidRPr="00E2347F">
        <w:rPr>
          <w:rFonts w:ascii="Verdana" w:hAnsi="Verdana" w:cs="Arial"/>
          <w:color w:val="000000" w:themeColor="text1"/>
          <w:sz w:val="16"/>
          <w:szCs w:val="16"/>
        </w:rPr>
        <w:t>JOSSERAND, Louis. Derecho civil: teorías generales del derecho y de los derechos. Las personas. Tomo I. Volumen I. Buenos Aires: EJEA, 1952. pp. 262-263.</w:t>
      </w:r>
    </w:p>
    <w:p w14:paraId="35163BAD" w14:textId="77777777" w:rsidR="008A6431" w:rsidRPr="00E2347F" w:rsidRDefault="008A6431" w:rsidP="008A6431">
      <w:pPr>
        <w:pStyle w:val="Textonotapie"/>
        <w:ind w:firstLine="708"/>
        <w:jc w:val="both"/>
        <w:rPr>
          <w:rFonts w:ascii="Verdana" w:hAnsi="Verdana" w:cs="Arial"/>
          <w:color w:val="000000" w:themeColor="text1"/>
          <w:sz w:val="16"/>
          <w:szCs w:val="16"/>
        </w:rPr>
      </w:pPr>
    </w:p>
  </w:footnote>
  <w:footnote w:id="8">
    <w:p w14:paraId="30FC2CB2" w14:textId="77777777" w:rsidR="008A6431" w:rsidRDefault="008A6431" w:rsidP="008A6431">
      <w:pPr>
        <w:pStyle w:val="Textonotapie"/>
        <w:ind w:firstLine="708"/>
        <w:jc w:val="both"/>
        <w:rPr>
          <w:rFonts w:ascii="Verdana" w:hAnsi="Verdana"/>
          <w:sz w:val="16"/>
          <w:szCs w:val="16"/>
        </w:rPr>
      </w:pPr>
      <w:r w:rsidRPr="00E2347F">
        <w:rPr>
          <w:rStyle w:val="Refdenotaalpie"/>
          <w:rFonts w:ascii="Verdana" w:hAnsi="Verdana"/>
          <w:sz w:val="16"/>
          <w:szCs w:val="16"/>
        </w:rPr>
        <w:footnoteRef/>
      </w:r>
      <w:r w:rsidRPr="00E2347F">
        <w:rPr>
          <w:rFonts w:ascii="Verdana" w:hAnsi="Verdana"/>
          <w:sz w:val="16"/>
          <w:szCs w:val="16"/>
        </w:rPr>
        <w:t xml:space="preserve"> En esta medida, la limitación de la capacidad de ejercicio de los menores de edad tiene su fundamento en el artículo 1504 del Código Civil, el cual –después de la modificación introducida por el artículo 57 de la Ley 1996 de 2019– dispone que “Son absolutamente incapaces los impúberes. Sus actos no producen ni aún obligaciones naturales, y no admiten caución. Son también incapaces los menores púberes. Pero la incapacidad de estas personas no es absoluta y sus actos pueden tener valor en ciertas circunstancias y bajo ciertos respectos determinados por las leyes. Además de estas incapacidades hay otras particulares que consisten en la prohibición que la ley ha impuesto a ciertas personas para ejecutar ciertos actos”. </w:t>
      </w:r>
    </w:p>
    <w:p w14:paraId="554B8221" w14:textId="77777777" w:rsidR="008A6431" w:rsidRPr="00E2347F" w:rsidRDefault="008A6431" w:rsidP="008A6431">
      <w:pPr>
        <w:pStyle w:val="Textonotapie"/>
        <w:ind w:firstLine="708"/>
        <w:jc w:val="both"/>
        <w:rPr>
          <w:rFonts w:ascii="Verdana" w:hAnsi="Verdana"/>
          <w:sz w:val="16"/>
          <w:szCs w:val="16"/>
        </w:rPr>
      </w:pPr>
    </w:p>
  </w:footnote>
  <w:footnote w:id="9">
    <w:p w14:paraId="4CCC012E" w14:textId="77777777" w:rsidR="008A6431" w:rsidRDefault="008A6431" w:rsidP="008A6431">
      <w:pPr>
        <w:pStyle w:val="Textonotapie"/>
        <w:ind w:firstLine="708"/>
        <w:jc w:val="both"/>
        <w:rPr>
          <w:rFonts w:ascii="Verdana" w:hAnsi="Verdana"/>
          <w:color w:val="000000" w:themeColor="text1"/>
          <w:sz w:val="16"/>
          <w:szCs w:val="16"/>
        </w:rPr>
      </w:pPr>
      <w:r w:rsidRPr="00E2347F">
        <w:rPr>
          <w:rStyle w:val="Refdenotaalpie"/>
          <w:rFonts w:ascii="Verdana" w:hAnsi="Verdana"/>
          <w:color w:val="000000" w:themeColor="text1"/>
          <w:sz w:val="16"/>
          <w:szCs w:val="16"/>
        </w:rPr>
        <w:footnoteRef/>
      </w:r>
      <w:r w:rsidRPr="00E2347F">
        <w:rPr>
          <w:rFonts w:ascii="Verdana" w:hAnsi="Verdana"/>
          <w:color w:val="000000" w:themeColor="text1"/>
          <w:sz w:val="16"/>
          <w:szCs w:val="16"/>
        </w:rPr>
        <w:t xml:space="preserve"> </w:t>
      </w:r>
      <w:r w:rsidRPr="00E2347F">
        <w:rPr>
          <w:rFonts w:ascii="Verdana" w:hAnsi="Verdana" w:cs="Arial"/>
          <w:color w:val="000000" w:themeColor="text1"/>
          <w:sz w:val="16"/>
          <w:szCs w:val="16"/>
        </w:rPr>
        <w:t>Consejo De Estado. Sección Tercera. Sentencia del 26 de enero de 2011. Rad. 36.408. C.P. Jaime Orlando Santofimio Gamboa.</w:t>
      </w:r>
      <w:r w:rsidRPr="00E2347F">
        <w:rPr>
          <w:rFonts w:ascii="Verdana" w:hAnsi="Verdana"/>
          <w:color w:val="000000" w:themeColor="text1"/>
          <w:sz w:val="16"/>
          <w:szCs w:val="16"/>
        </w:rPr>
        <w:t xml:space="preserve">  </w:t>
      </w:r>
    </w:p>
    <w:p w14:paraId="49562FB5" w14:textId="77777777" w:rsidR="008A6431" w:rsidRPr="00E2347F" w:rsidRDefault="008A6431" w:rsidP="008A6431">
      <w:pPr>
        <w:pStyle w:val="Textonotapie"/>
        <w:ind w:firstLine="708"/>
        <w:jc w:val="both"/>
        <w:rPr>
          <w:rFonts w:ascii="Verdana" w:hAnsi="Verdana"/>
          <w:color w:val="000000" w:themeColor="text1"/>
          <w:sz w:val="16"/>
          <w:szCs w:val="16"/>
        </w:rPr>
      </w:pPr>
    </w:p>
  </w:footnote>
  <w:footnote w:id="10">
    <w:p w14:paraId="0A70FF1C" w14:textId="77777777" w:rsidR="008A6431" w:rsidRPr="00E2347F" w:rsidRDefault="008A6431" w:rsidP="008A6431">
      <w:pPr>
        <w:pStyle w:val="Textonotapie"/>
        <w:ind w:firstLine="708"/>
        <w:jc w:val="both"/>
        <w:rPr>
          <w:rFonts w:ascii="Verdana" w:hAnsi="Verdana" w:cs="Arial"/>
          <w:color w:val="000000" w:themeColor="text1"/>
          <w:sz w:val="16"/>
          <w:szCs w:val="16"/>
        </w:rPr>
      </w:pPr>
      <w:r w:rsidRPr="00E2347F">
        <w:rPr>
          <w:rStyle w:val="Refdenotaalpie"/>
          <w:rFonts w:ascii="Verdana" w:hAnsi="Verdana"/>
          <w:color w:val="000000" w:themeColor="text1"/>
          <w:sz w:val="16"/>
          <w:szCs w:val="16"/>
        </w:rPr>
        <w:footnoteRef/>
      </w:r>
      <w:r w:rsidRPr="00E2347F">
        <w:rPr>
          <w:rFonts w:ascii="Verdana" w:hAnsi="Verdana"/>
          <w:color w:val="000000" w:themeColor="text1"/>
          <w:sz w:val="16"/>
          <w:szCs w:val="16"/>
        </w:rPr>
        <w:t xml:space="preserve"> </w:t>
      </w:r>
      <w:r w:rsidRPr="00E2347F">
        <w:rPr>
          <w:rFonts w:ascii="Verdana" w:hAnsi="Verdana" w:cs="Arial"/>
          <w:color w:val="000000" w:themeColor="text1"/>
          <w:sz w:val="16"/>
          <w:szCs w:val="16"/>
        </w:rPr>
        <w:t>Para estos efectos, la doctrina considera que “</w:t>
      </w:r>
      <w:r>
        <w:rPr>
          <w:rFonts w:ascii="Verdana" w:hAnsi="Verdana" w:cs="Arial"/>
          <w:color w:val="000000" w:themeColor="text1"/>
          <w:sz w:val="16"/>
          <w:szCs w:val="16"/>
        </w:rPr>
        <w:t>(</w:t>
      </w:r>
      <w:r w:rsidRPr="00E2347F">
        <w:rPr>
          <w:rFonts w:ascii="Verdana" w:hAnsi="Verdana" w:cs="Arial"/>
          <w:color w:val="000000" w:themeColor="text1"/>
          <w:sz w:val="16"/>
          <w:szCs w:val="16"/>
        </w:rPr>
        <w:t>…</w:t>
      </w:r>
      <w:r>
        <w:rPr>
          <w:rFonts w:ascii="Verdana" w:hAnsi="Verdana" w:cs="Arial"/>
          <w:color w:val="000000" w:themeColor="text1"/>
          <w:sz w:val="16"/>
          <w:szCs w:val="16"/>
        </w:rPr>
        <w:t>)</w:t>
      </w:r>
      <w:r w:rsidRPr="00E2347F">
        <w:rPr>
          <w:rFonts w:ascii="Verdana" w:hAnsi="Verdana" w:cs="Arial"/>
          <w:color w:val="000000" w:themeColor="text1"/>
          <w:sz w:val="16"/>
          <w:szCs w:val="16"/>
        </w:rPr>
        <w:t xml:space="preserve"> la incapacidad especial afecta únicamente a ciertas personas, impidiéndoles que puedan ejecutar actos específicos que la ley señala en cada caso; de modo que, para que sea aplicable, se requieren dos condiciones: la persona misma y el acto.</w:t>
      </w:r>
    </w:p>
    <w:p w14:paraId="2BF78C2C" w14:textId="77777777" w:rsidR="008A6431" w:rsidRPr="00E2347F" w:rsidRDefault="008A6431" w:rsidP="008A6431">
      <w:pPr>
        <w:pStyle w:val="Textonotapie"/>
        <w:ind w:firstLine="708"/>
        <w:jc w:val="both"/>
        <w:rPr>
          <w:rFonts w:ascii="Verdana" w:hAnsi="Verdana" w:cs="Arial"/>
          <w:color w:val="000000" w:themeColor="text1"/>
          <w:sz w:val="16"/>
          <w:szCs w:val="16"/>
        </w:rPr>
      </w:pPr>
      <w:r w:rsidRPr="00E2347F">
        <w:rPr>
          <w:rFonts w:ascii="Verdana" w:hAnsi="Verdana" w:cs="Arial"/>
          <w:color w:val="000000" w:themeColor="text1"/>
          <w:sz w:val="16"/>
          <w:szCs w:val="16"/>
        </w:rPr>
        <w:t>Si esas personas, que, por otra parte, son plenamente capaces para celebrar o ejecutar válidamente cualquier acto o contrato de la vida civil, celebran uno, para el cual son capaces, el acto o contrato es válido, porque la incapacidad sólo dice relación con el acto o contrato específico que la ley señala.</w:t>
      </w:r>
    </w:p>
    <w:p w14:paraId="52C933E6" w14:textId="77777777" w:rsidR="008A6431" w:rsidRPr="00E2347F" w:rsidRDefault="008A6431" w:rsidP="008A6431">
      <w:pPr>
        <w:pStyle w:val="Textonotapie"/>
        <w:ind w:firstLine="708"/>
        <w:jc w:val="both"/>
        <w:rPr>
          <w:rFonts w:ascii="Verdana" w:hAnsi="Verdana" w:cs="Arial"/>
          <w:color w:val="000000" w:themeColor="text1"/>
          <w:sz w:val="16"/>
          <w:szCs w:val="16"/>
        </w:rPr>
      </w:pPr>
      <w:r w:rsidRPr="00E2347F">
        <w:rPr>
          <w:rFonts w:ascii="Verdana" w:hAnsi="Verdana" w:cs="Arial"/>
          <w:color w:val="000000" w:themeColor="text1"/>
          <w:sz w:val="16"/>
          <w:szCs w:val="16"/>
        </w:rPr>
        <w:t>Igualmente, el acto o contrato para cuya ejecución o celebración la ley considera incapaz a ciertas y determinadas personas no tiene en sí nada de reprobable, y puede, por lo general, ser ejecutado por cualquier individuo, estando las más de las veces expresamente reglamentado por la legislación. Pero si es ejecutado por aquellas personas, la ley no permite su subsistencia y autoriza su anulación, porque no quiere que esas personas, que están en situaciones especiales, celebren o ejecuten tales actos o contratos.</w:t>
      </w:r>
    </w:p>
    <w:p w14:paraId="0BD8D613" w14:textId="77777777" w:rsidR="008A6431" w:rsidRDefault="008A6431" w:rsidP="008A6431">
      <w:pPr>
        <w:pStyle w:val="Textonotapie"/>
        <w:ind w:firstLine="708"/>
        <w:jc w:val="both"/>
        <w:rPr>
          <w:rFonts w:ascii="Verdana" w:hAnsi="Verdana" w:cs="Arial"/>
          <w:color w:val="000000" w:themeColor="text1"/>
          <w:sz w:val="16"/>
          <w:szCs w:val="16"/>
        </w:rPr>
      </w:pPr>
      <w:r w:rsidRPr="00E2347F">
        <w:rPr>
          <w:rFonts w:ascii="Verdana" w:hAnsi="Verdana" w:cs="Arial"/>
          <w:color w:val="000000" w:themeColor="text1"/>
          <w:sz w:val="16"/>
          <w:szCs w:val="16"/>
        </w:rPr>
        <w:t>En consecuencia, en las incapacidades especiales existe una relación íntima entre la calidad o estado de que está revestida una persona, y el acto específico que realiza. Por tal motivo, tratándose de una persona que no reúna esa calidad o estado, el acto puede ejecutarse sin ningún inconveniente; y en igual forma, tratándose de otro acto diverso, la persona que tenga esa calidad puede ejecutarlo válidamente. La incapacidad especial se produce, pues, por la conjunción de dos circunstancias, que deben coexistir: persona que reúna ciertas condiciones o que tenga un estado especial determinado por la ley, y acto cuya celebración sea prohibida a esa persona” (</w:t>
      </w:r>
      <w:bookmarkStart w:id="6" w:name="_Hlk35615848"/>
      <w:r w:rsidRPr="00E2347F">
        <w:rPr>
          <w:rFonts w:ascii="Verdana" w:hAnsi="Verdana" w:cs="Arial"/>
          <w:color w:val="000000" w:themeColor="text1"/>
          <w:sz w:val="16"/>
          <w:szCs w:val="16"/>
        </w:rPr>
        <w:t>ALESSADRI BESA, Arturo. La nulidad y la rescisión en el derecho civil chileno. Tomo I. Santiago de Chile: Ediar Editores LTDA, 1949. p. 471</w:t>
      </w:r>
      <w:bookmarkEnd w:id="6"/>
      <w:r w:rsidRPr="00E2347F">
        <w:rPr>
          <w:rFonts w:ascii="Verdana" w:hAnsi="Verdana" w:cs="Arial"/>
          <w:color w:val="000000" w:themeColor="text1"/>
          <w:sz w:val="16"/>
          <w:szCs w:val="16"/>
        </w:rPr>
        <w:t xml:space="preserve">). </w:t>
      </w:r>
    </w:p>
    <w:p w14:paraId="18995060" w14:textId="77777777" w:rsidR="008A6431" w:rsidRPr="00E2347F" w:rsidRDefault="008A6431" w:rsidP="008A6431">
      <w:pPr>
        <w:pStyle w:val="Textonotapie"/>
        <w:ind w:firstLine="708"/>
        <w:jc w:val="both"/>
        <w:rPr>
          <w:rFonts w:ascii="Verdana" w:hAnsi="Verdana" w:cs="Arial"/>
          <w:color w:val="000000" w:themeColor="text1"/>
          <w:sz w:val="16"/>
          <w:szCs w:val="16"/>
        </w:rPr>
      </w:pPr>
    </w:p>
  </w:footnote>
  <w:footnote w:id="11">
    <w:p w14:paraId="4CAD3290" w14:textId="77777777" w:rsidR="008A6431" w:rsidRPr="00F455A3" w:rsidRDefault="008A6431" w:rsidP="008A6431">
      <w:pPr>
        <w:pStyle w:val="Textonotapie"/>
        <w:ind w:firstLine="708"/>
        <w:jc w:val="both"/>
        <w:rPr>
          <w:rFonts w:ascii="Verdana" w:hAnsi="Verdana"/>
          <w:sz w:val="16"/>
          <w:szCs w:val="16"/>
        </w:rPr>
      </w:pPr>
      <w:r w:rsidRPr="00F455A3">
        <w:rPr>
          <w:rStyle w:val="Refdenotaalpie"/>
          <w:rFonts w:ascii="Verdana" w:hAnsi="Verdana"/>
          <w:sz w:val="16"/>
          <w:szCs w:val="16"/>
        </w:rPr>
        <w:footnoteRef/>
      </w:r>
      <w:r>
        <w:rPr>
          <w:rFonts w:ascii="Verdana" w:hAnsi="Verdana"/>
          <w:sz w:val="16"/>
          <w:szCs w:val="16"/>
        </w:rPr>
        <w:t xml:space="preserve"> </w:t>
      </w:r>
      <w:r w:rsidRPr="00F455A3">
        <w:rPr>
          <w:rFonts w:ascii="Verdana" w:hAnsi="Verdana"/>
          <w:sz w:val="16"/>
          <w:szCs w:val="16"/>
        </w:rPr>
        <w:t xml:space="preserve">Departamento Administrativo Nacional De Estadística. Clasificación Industrial Internacional Uniforme de todas las actividades económicas. Revisión 4 Adaptada para Colombia. 2022. Consultado el 19 de marzo de 2025 en la página web </w:t>
      </w:r>
      <w:hyperlink r:id="rId1" w:history="1">
        <w:r w:rsidRPr="00F455A3">
          <w:rPr>
            <w:rStyle w:val="Hipervnculo"/>
            <w:rFonts w:ascii="Verdana" w:hAnsi="Verdana"/>
            <w:sz w:val="16"/>
            <w:szCs w:val="16"/>
          </w:rPr>
          <w:t>https://www.dane.gov.co/files/sen/nomenclatura/ciiu/CIIU_Rev_4_AC2022.pdf</w:t>
        </w:r>
      </w:hyperlink>
      <w:r w:rsidRPr="00F455A3">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2.1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15691464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92BF0"/>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D795C"/>
    <w:rsid w:val="002E2BF8"/>
    <w:rsid w:val="002E4FD9"/>
    <w:rsid w:val="0030657A"/>
    <w:rsid w:val="00322A85"/>
    <w:rsid w:val="00324168"/>
    <w:rsid w:val="00330834"/>
    <w:rsid w:val="003448F4"/>
    <w:rsid w:val="00374F5E"/>
    <w:rsid w:val="00377E3E"/>
    <w:rsid w:val="0038699F"/>
    <w:rsid w:val="003A779E"/>
    <w:rsid w:val="003D0F4D"/>
    <w:rsid w:val="003D5B0D"/>
    <w:rsid w:val="003E0499"/>
    <w:rsid w:val="003E4F80"/>
    <w:rsid w:val="003E6439"/>
    <w:rsid w:val="003F3941"/>
    <w:rsid w:val="00406575"/>
    <w:rsid w:val="00414C74"/>
    <w:rsid w:val="0042722E"/>
    <w:rsid w:val="0044528D"/>
    <w:rsid w:val="00450343"/>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53F94"/>
    <w:rsid w:val="00665D70"/>
    <w:rsid w:val="006900D9"/>
    <w:rsid w:val="006B4252"/>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2F16"/>
    <w:rsid w:val="008A446D"/>
    <w:rsid w:val="008A6431"/>
    <w:rsid w:val="008B25F1"/>
    <w:rsid w:val="008D180B"/>
    <w:rsid w:val="008F0EA7"/>
    <w:rsid w:val="008F1BAB"/>
    <w:rsid w:val="00923EEF"/>
    <w:rsid w:val="009419F9"/>
    <w:rsid w:val="0095685E"/>
    <w:rsid w:val="00961B09"/>
    <w:rsid w:val="00965334"/>
    <w:rsid w:val="0097093E"/>
    <w:rsid w:val="0098617A"/>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236A0"/>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8195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04E3B"/>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8A6431"/>
    <w:pPr>
      <w:spacing w:line="240" w:lineRule="exact"/>
    </w:pPr>
    <w:rPr>
      <w:vertAlign w:val="superscript"/>
    </w:rPr>
  </w:style>
  <w:style w:type="character" w:customStyle="1" w:styleId="NormalWebCar">
    <w:name w:val="Normal (Web) Car"/>
    <w:link w:val="NormalWeb"/>
    <w:uiPriority w:val="99"/>
    <w:locked/>
    <w:rsid w:val="008A6431"/>
    <w:rPr>
      <w:rFonts w:ascii="Times New Roman" w:eastAsia="Times New Roman" w:hAnsi="Times New Roman" w:cs="Times New Roman"/>
      <w:sz w:val="24"/>
      <w:szCs w:val="24"/>
      <w:lang w:eastAsia="es-CO"/>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A6431"/>
    <w:rPr>
      <w:rFonts w:ascii="Geomanist Light" w:hAnsi="Geomanist Light"/>
      <w:lang w:val="es-ES"/>
    </w:rPr>
  </w:style>
  <w:style w:type="paragraph" w:styleId="Textoindependiente">
    <w:name w:val="Body Text"/>
    <w:basedOn w:val="Normal"/>
    <w:link w:val="TextoindependienteCar"/>
    <w:uiPriority w:val="1"/>
    <w:qFormat/>
    <w:rsid w:val="008A6431"/>
    <w:pPr>
      <w:widowControl w:val="0"/>
      <w:autoSpaceDE w:val="0"/>
      <w:autoSpaceDN w:val="0"/>
      <w:spacing w:after="0" w:line="240" w:lineRule="auto"/>
    </w:pPr>
    <w:rPr>
      <w:rFonts w:ascii="Arial" w:eastAsia="Arial" w:hAnsi="Arial" w:cs="Arial"/>
      <w:lang w:val="es-ES" w:eastAsia="es-ES" w:bidi="es-ES"/>
    </w:rPr>
  </w:style>
  <w:style w:type="character" w:customStyle="1" w:styleId="TextoindependienteCar">
    <w:name w:val="Texto independiente Car"/>
    <w:basedOn w:val="Fuentedeprrafopredeter"/>
    <w:link w:val="Textoindependiente"/>
    <w:uiPriority w:val="1"/>
    <w:rsid w:val="008A6431"/>
    <w:rPr>
      <w:rFonts w:ascii="Arial" w:eastAsia="Arial" w:hAnsi="Arial" w:cs="Arial"/>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ane.gov.co/files/sen/nomenclatura/ciiu/CIIU_Rev_4_AC2022.pdf" TargetMode="External"/><Relationship Id="rId18" Type="http://schemas.openxmlformats.org/officeDocument/2006/relationships/hyperlink" Target="https://nam02.safelinks.protection.outlook.com/?url=https%3A%2F%2Fwww.colombiacompra.gov.co%2Farchivos%2Fboletin%2Fboletin-edicion-n-3-de-2026-radar-de-la-compra-publica&amp;data=05%7C02%7Ccamila.naranjo%40colombiacompra.gov.co%7C7128555136e04fa6887d08dee99e1b50%7C7b09041e245149d08cb179d5e3d8c1be%7C0%7C0%7C639205062447538818%7CUnknown%7CTWFpbGZsb3d8eyJFbXB0eU1hcGkiOnRydWUsIlYiOiIwLjAuMDAwMCIsIlAiOiJXaW4zMiIsIkFOIjoiTWFpbCIsIldUIjoyfQ%3D%3D%7C0%7C%7C%7C&amp;sdata=htOO1E4Iq0U7bOaX%2FCUf50akUuT6OlzdNIisS0pUddU%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diran.arlof-con@policia.gov.co" TargetMode="External"/><Relationship Id="rId17" Type="http://schemas.openxmlformats.org/officeDocument/2006/relationships/hyperlink" Target="https://nam02.safelinks.protection.outlook.com/?url=https%3A%2F%2Fwww.colombiacompra.gov.co%2Farchivos%2Fcircular%2Fcircular-externa-002-de-2026&amp;data=05%7C02%7Ccamila.naranjo%40colombiacompra.gov.co%7C7128555136e04fa6887d08dee99e1b50%7C7b09041e245149d08cb179d5e3d8c1be%7C0%7C0%7C639205062447518524%7CUnknown%7CTWFpbGZsb3d8eyJFbXB0eU1hcGkiOnRydWUsIlYiOiIwLjAuMDAwMCIsIlAiOiJXaW4zMiIsIkFOIjoiTWFpbCIsIldUIjoyfQ%3D%3D%7C0%7C%7C%7C&amp;sdata=C9rzHVFfqyFYl0X%2BRTLH%2FMZujmz6a9lKSqxwbAcUN%2F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camila.naranjo%40colombiacompra.gov.co%7C7128555136e04fa6887d08dee99e1b50%7C7b09041e245149d08cb179d5e3d8c1be%7C0%7C0%7C639205062447486303%7CUnknown%7CTWFpbGZsb3d8eyJFbXB0eU1hcGkiOnRydWUsIlYiOiIwLjAuMDAwMCIsIlAiOiJXaW4zMiIsIkFOIjoiTWFpbCIsIldUIjoyfQ%3D%3D%7C0%7C%7C%7C&amp;sdata=MshF4iCZI5oujYh78hGTEvsz%2BP8GLnrx4Ldozcj0SM8%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camila.naranjo%40colombiacompra.gov.co%7C7128555136e04fa6887d08dee99e1b50%7C7b09041e245149d08cb179d5e3d8c1be%7C0%7C0%7C639205062447422308%7CUnknown%7CTWFpbGZsb3d8eyJFbXB0eU1hcGkiOnRydWUsIlYiOiIwLjAuMDAwMCIsIlAiOiJXaW4zMiIsIkFOIjoiTWFpbCIsIldUIjoyfQ%3D%3D%7C0%7C%7C%7C&amp;sdata=CmhnFTbuAL9DMRrtAjh3P4T2J5MzIdmW2COR7ofLoAA%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dane.gov.co/files/sen/nomenclatura/ciiu/CIIU_Rev_4_AC202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D1BF7F-F981-48E3-A24B-6C16292128BB}"/>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16</Pages>
  <Words>5388</Words>
  <Characters>29635</Characters>
  <Application>Microsoft Office Word</Application>
  <DocSecurity>0</DocSecurity>
  <Lines>246</Lines>
  <Paragraphs>69</Paragraphs>
  <ScaleCrop>false</ScaleCrop>
  <Company/>
  <LinksUpToDate>false</LinksUpToDate>
  <CharactersWithSpaces>34954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Camila Alejandra Naranjo Gómez</cp:lastModifiedBy>
  <cp:revision>7</cp:revision>
  <cp:lastPrinted>2023-01-10T21:18:00Z</cp:lastPrinted>
  <dcterms:created xsi:type="dcterms:W3CDTF">2026-08-24T13:44:00Z</dcterms:created>
  <dcterms:modified xsi:type="dcterms:W3CDTF">2026-08-24T17:08:00Z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