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21A51" w14:textId="77777777" w:rsidR="00BE6284" w:rsidRPr="002602F6" w:rsidRDefault="00BE6284" w:rsidP="002602F6">
      <w:pPr>
        <w:spacing w:after="0" w:line="240" w:lineRule="auto"/>
        <w:jc w:val="both"/>
        <w:rPr>
          <w:rFonts w:ascii="Verdana" w:eastAsia="Verdana" w:hAnsi="Verdana" w:cs="Verdana"/>
          <w:b/>
        </w:rPr>
      </w:pPr>
      <w:bookmarkStart w:id="0" w:name="_Hlk143780582"/>
      <w:r w:rsidRPr="002602F6">
        <w:rPr>
          <w:rFonts w:ascii="Verdana" w:eastAsia="Verdana" w:hAnsi="Verdana" w:cs="Verdana"/>
          <w:b/>
        </w:rPr>
        <w:t xml:space="preserve">ADICIÓN – Concepto – Distintos supuestos – Prohibición – Adición en más del 50% </w:t>
      </w:r>
    </w:p>
    <w:p w14:paraId="18D46B29" w14:textId="77777777" w:rsidR="00BE6284" w:rsidRPr="00583346" w:rsidRDefault="00BE6284" w:rsidP="00583346">
      <w:pPr>
        <w:spacing w:after="0" w:line="240" w:lineRule="auto"/>
        <w:jc w:val="both"/>
        <w:rPr>
          <w:rFonts w:ascii="Verdana" w:eastAsia="Verdana" w:hAnsi="Verdana" w:cs="Verdana"/>
          <w:bCs/>
          <w:sz w:val="20"/>
          <w:szCs w:val="20"/>
        </w:rPr>
      </w:pPr>
    </w:p>
    <w:p w14:paraId="0CF8490F" w14:textId="77777777" w:rsidR="00583346" w:rsidRPr="00583346" w:rsidRDefault="00583346" w:rsidP="00583346">
      <w:pPr>
        <w:spacing w:after="0" w:line="240" w:lineRule="auto"/>
        <w:jc w:val="both"/>
        <w:rPr>
          <w:rFonts w:ascii="Verdana" w:eastAsia="Verdana" w:hAnsi="Verdana" w:cs="Verdana"/>
          <w:bCs/>
          <w:sz w:val="20"/>
          <w:szCs w:val="20"/>
        </w:rPr>
      </w:pPr>
      <w:r w:rsidRPr="00583346">
        <w:rPr>
          <w:rFonts w:ascii="Verdana" w:eastAsia="Verdana" w:hAnsi="Verdana" w:cs="Verdana"/>
          <w:bCs/>
          <w:sz w:val="20"/>
          <w:szCs w:val="20"/>
        </w:rPr>
        <w:t>Lo importante es que, frente a cualquier incremento del valor inicial del contrato</w:t>
      </w:r>
      <w:r w:rsidRPr="00583346">
        <w:rPr>
          <w:rFonts w:ascii="Verdana" w:eastAsia="Verdana" w:hAnsi="Verdana" w:cs="Verdana"/>
          <w:bCs/>
          <w:i/>
          <w:iCs/>
          <w:sz w:val="20"/>
          <w:szCs w:val="20"/>
        </w:rPr>
        <w:t xml:space="preserve"> </w:t>
      </w:r>
      <w:r w:rsidRPr="00583346">
        <w:rPr>
          <w:rFonts w:ascii="Verdana" w:eastAsia="Verdana" w:hAnsi="Verdana" w:cs="Verdana"/>
          <w:bCs/>
          <w:sz w:val="20"/>
          <w:szCs w:val="20"/>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EGCAP.</w:t>
      </w:r>
    </w:p>
    <w:p w14:paraId="379697B4" w14:textId="77777777" w:rsidR="00583346" w:rsidRPr="00583346" w:rsidRDefault="00583346" w:rsidP="00583346">
      <w:pPr>
        <w:spacing w:after="0" w:line="240" w:lineRule="auto"/>
        <w:jc w:val="both"/>
        <w:rPr>
          <w:rFonts w:ascii="Verdana" w:eastAsia="Verdana" w:hAnsi="Verdana" w:cs="Verdana"/>
          <w:bCs/>
          <w:sz w:val="20"/>
          <w:szCs w:val="20"/>
        </w:rPr>
      </w:pPr>
    </w:p>
    <w:p w14:paraId="2C176AAB" w14:textId="77777777" w:rsidR="00583346" w:rsidRPr="00583346" w:rsidRDefault="00583346" w:rsidP="00583346">
      <w:pPr>
        <w:spacing w:after="0" w:line="240" w:lineRule="auto"/>
        <w:jc w:val="both"/>
        <w:rPr>
          <w:rFonts w:ascii="Verdana" w:eastAsia="Verdana" w:hAnsi="Verdana" w:cs="Verdana"/>
          <w:bCs/>
          <w:sz w:val="20"/>
          <w:szCs w:val="20"/>
        </w:rPr>
      </w:pPr>
      <w:r w:rsidRPr="00583346">
        <w:rPr>
          <w:rFonts w:ascii="Verdana" w:eastAsia="Verdana" w:hAnsi="Verdana" w:cs="Verdana"/>
          <w:bCs/>
          <w:sz w:val="20"/>
          <w:szCs w:val="20"/>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Para tales efectos, para adicionar un contrato debe dividirse el valor inicial por el salario mínimo legal mensual vigente – en adelante SMLMV – al momento de la suscripción del contrato, y luego dividirlo por dos (2); el resultado obtenido constituirá el número de SMLMV por los cuales podrá adicionarse el contrato. </w:t>
      </w:r>
    </w:p>
    <w:p w14:paraId="0286EB2A" w14:textId="77777777" w:rsidR="00583346" w:rsidRPr="002602F6" w:rsidRDefault="00583346" w:rsidP="002602F6">
      <w:pPr>
        <w:spacing w:after="0" w:line="240" w:lineRule="auto"/>
        <w:jc w:val="both"/>
        <w:rPr>
          <w:rFonts w:ascii="Verdana" w:eastAsia="Verdana" w:hAnsi="Verdana" w:cs="Verdana"/>
          <w:b/>
        </w:rPr>
      </w:pPr>
    </w:p>
    <w:p w14:paraId="4CF78C91" w14:textId="77777777" w:rsidR="00BE6284" w:rsidRPr="002602F6" w:rsidRDefault="00BE6284" w:rsidP="002602F6">
      <w:pPr>
        <w:spacing w:after="0" w:line="240" w:lineRule="auto"/>
        <w:jc w:val="both"/>
        <w:rPr>
          <w:rFonts w:ascii="Verdana" w:eastAsia="Verdana" w:hAnsi="Verdana" w:cs="Verdana"/>
          <w:b/>
        </w:rPr>
      </w:pPr>
      <w:r w:rsidRPr="002602F6">
        <w:rPr>
          <w:rFonts w:ascii="Verdana" w:eastAsia="Verdana" w:hAnsi="Verdana" w:cs="Verdana"/>
          <w:b/>
        </w:rPr>
        <w:t xml:space="preserve">ADICIÓN – Prohibición – Monto – Cálculo – Parágrafo artículo 40 – Ley 80 de 1993 </w:t>
      </w:r>
    </w:p>
    <w:p w14:paraId="3D9DA6E9" w14:textId="77777777" w:rsidR="00BE6284" w:rsidRPr="0092278A" w:rsidRDefault="00BE6284" w:rsidP="0092278A">
      <w:pPr>
        <w:spacing w:after="0" w:line="240" w:lineRule="auto"/>
        <w:jc w:val="both"/>
        <w:rPr>
          <w:rFonts w:ascii="Verdana" w:eastAsia="Verdana" w:hAnsi="Verdana" w:cs="Verdana"/>
          <w:bCs/>
          <w:sz w:val="20"/>
          <w:szCs w:val="20"/>
        </w:rPr>
      </w:pPr>
    </w:p>
    <w:p w14:paraId="750BF11F" w14:textId="77777777" w:rsidR="0092278A" w:rsidRPr="0092278A" w:rsidRDefault="0092278A" w:rsidP="0092278A">
      <w:pPr>
        <w:spacing w:after="0" w:line="240" w:lineRule="auto"/>
        <w:jc w:val="both"/>
        <w:rPr>
          <w:rFonts w:ascii="Verdana" w:eastAsia="Verdana" w:hAnsi="Verdana" w:cs="Verdana"/>
          <w:bCs/>
          <w:sz w:val="20"/>
          <w:szCs w:val="20"/>
        </w:rPr>
      </w:pPr>
      <w:r w:rsidRPr="0092278A">
        <w:rPr>
          <w:rFonts w:ascii="Verdana" w:eastAsia="Verdana" w:hAnsi="Verdana" w:cs="Verdana"/>
          <w:bCs/>
          <w:sz w:val="20"/>
          <w:szCs w:val="20"/>
        </w:rPr>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 expresada en SMLMV, y valga la redundancia, el valor inicial es el contemplado en el contrato originario y cualquier alteración a ese valor constituirá, técnicamente, una adición, independientemente de cuál sea su causa. </w:t>
      </w:r>
    </w:p>
    <w:p w14:paraId="2F5D2270" w14:textId="77777777" w:rsidR="00BE6284" w:rsidRPr="0092278A" w:rsidRDefault="00BE6284" w:rsidP="0092278A">
      <w:pPr>
        <w:spacing w:after="0" w:line="240" w:lineRule="auto"/>
        <w:jc w:val="both"/>
        <w:rPr>
          <w:rFonts w:ascii="Verdana" w:eastAsia="Verdana" w:hAnsi="Verdana" w:cs="Verdana"/>
          <w:bCs/>
          <w:sz w:val="20"/>
          <w:szCs w:val="20"/>
        </w:rPr>
      </w:pPr>
    </w:p>
    <w:p w14:paraId="3FB3539F" w14:textId="77777777" w:rsidR="00BE6284" w:rsidRPr="002602F6" w:rsidRDefault="00BE6284" w:rsidP="002602F6">
      <w:pPr>
        <w:spacing w:after="0" w:line="240" w:lineRule="auto"/>
        <w:jc w:val="both"/>
        <w:rPr>
          <w:rFonts w:ascii="Verdana" w:eastAsia="Verdana" w:hAnsi="Verdana" w:cs="Verdana"/>
          <w:b/>
        </w:rPr>
      </w:pPr>
      <w:r w:rsidRPr="002602F6">
        <w:rPr>
          <w:rFonts w:ascii="Verdana" w:eastAsia="Verdana" w:hAnsi="Verdana" w:cs="Verdana"/>
          <w:b/>
        </w:rPr>
        <w:t xml:space="preserve">MODIFICACIÓN DE LOS CONTRATOS ESTATALES – Procedencia – Condiciones – Limites </w:t>
      </w:r>
    </w:p>
    <w:p w14:paraId="3B4F6B1D" w14:textId="77777777" w:rsidR="00BE6284" w:rsidRPr="00464AF4" w:rsidRDefault="00BE6284" w:rsidP="00464AF4">
      <w:pPr>
        <w:spacing w:after="0" w:line="240" w:lineRule="auto"/>
        <w:jc w:val="both"/>
        <w:rPr>
          <w:rFonts w:ascii="Verdana" w:eastAsia="Verdana" w:hAnsi="Verdana" w:cs="Verdana"/>
          <w:bCs/>
          <w:sz w:val="20"/>
          <w:szCs w:val="20"/>
        </w:rPr>
      </w:pPr>
    </w:p>
    <w:p w14:paraId="05098E18" w14:textId="02518D1B" w:rsidR="00BE6284" w:rsidRPr="00464AF4" w:rsidRDefault="00464AF4" w:rsidP="00464AF4">
      <w:pPr>
        <w:spacing w:after="0" w:line="240" w:lineRule="auto"/>
        <w:jc w:val="both"/>
        <w:rPr>
          <w:rFonts w:ascii="Verdana" w:eastAsia="Verdana" w:hAnsi="Verdana" w:cs="Verdana"/>
          <w:bCs/>
          <w:sz w:val="20"/>
          <w:szCs w:val="20"/>
        </w:rPr>
      </w:pPr>
      <w:r w:rsidRPr="00464AF4">
        <w:rPr>
          <w:rFonts w:ascii="Verdana" w:eastAsia="Verdana" w:hAnsi="Verdana" w:cs="Verdana"/>
          <w:bCs/>
          <w:sz w:val="20"/>
          <w:szCs w:val="20"/>
        </w:rPr>
        <w:t xml:space="preserve">Ahora bien, también es importante mencionar que 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w:t>
      </w:r>
      <w:r w:rsidRPr="00464AF4">
        <w:rPr>
          <w:rFonts w:ascii="Verdana" w:eastAsia="Verdana" w:hAnsi="Verdana" w:cs="Verdana"/>
          <w:bCs/>
          <w:sz w:val="20"/>
          <w:szCs w:val="20"/>
        </w:rPr>
        <w:lastRenderedPageBreak/>
        <w:t>de origen legal como es el principio de planeación, de selección objetiva de libertad de concurrencia, de transparencia, de igualdad, entre otros, tal y como se explicará a continuación.</w:t>
      </w:r>
    </w:p>
    <w:p w14:paraId="285FA669" w14:textId="77777777" w:rsidR="00464AF4" w:rsidRPr="002602F6" w:rsidRDefault="00464AF4" w:rsidP="002602F6">
      <w:pPr>
        <w:spacing w:after="0" w:line="240" w:lineRule="auto"/>
        <w:jc w:val="both"/>
        <w:rPr>
          <w:rFonts w:ascii="Verdana" w:eastAsia="Verdana" w:hAnsi="Verdana" w:cs="Verdana"/>
          <w:b/>
        </w:rPr>
      </w:pPr>
    </w:p>
    <w:p w14:paraId="27C48129" w14:textId="77777777" w:rsidR="00BE6284" w:rsidRPr="002602F6" w:rsidRDefault="00BE6284" w:rsidP="002602F6">
      <w:pPr>
        <w:spacing w:after="0" w:line="240" w:lineRule="auto"/>
        <w:jc w:val="both"/>
        <w:rPr>
          <w:rFonts w:ascii="Verdana" w:eastAsia="Verdana" w:hAnsi="Verdana" w:cs="Verdana"/>
          <w:b/>
        </w:rPr>
      </w:pPr>
      <w:r w:rsidRPr="002602F6">
        <w:rPr>
          <w:rFonts w:ascii="Verdana" w:eastAsia="Verdana" w:hAnsi="Verdana" w:cs="Verdana"/>
          <w:b/>
        </w:rPr>
        <w:t xml:space="preserve">MODIFICACIÓN DE LOS CONTRATOS ESTATALES – Condiciones – Registro Presupuestal </w:t>
      </w:r>
    </w:p>
    <w:p w14:paraId="4A950326" w14:textId="77777777" w:rsidR="00BE6284" w:rsidRPr="009A0177" w:rsidRDefault="00BE6284" w:rsidP="009A0177">
      <w:pPr>
        <w:spacing w:after="0" w:line="240" w:lineRule="auto"/>
        <w:jc w:val="both"/>
        <w:rPr>
          <w:rFonts w:ascii="Verdana" w:eastAsia="Verdana" w:hAnsi="Verdana" w:cs="Verdana"/>
          <w:bCs/>
          <w:sz w:val="20"/>
          <w:szCs w:val="20"/>
        </w:rPr>
      </w:pPr>
    </w:p>
    <w:p w14:paraId="7FAF11A3" w14:textId="31ADB537" w:rsidR="00BE6284" w:rsidRDefault="009A0177" w:rsidP="009A0177">
      <w:pPr>
        <w:spacing w:after="0" w:line="240" w:lineRule="auto"/>
        <w:jc w:val="both"/>
        <w:rPr>
          <w:rFonts w:ascii="Verdana" w:eastAsia="Verdana" w:hAnsi="Verdana" w:cs="Verdana"/>
          <w:bCs/>
          <w:sz w:val="20"/>
          <w:szCs w:val="20"/>
        </w:rPr>
      </w:pPr>
      <w:r w:rsidRPr="009A0177">
        <w:rPr>
          <w:rFonts w:ascii="Verdana" w:eastAsia="Verdana" w:hAnsi="Verdana" w:cs="Verdana"/>
          <w:bCs/>
          <w:sz w:val="20"/>
          <w:szCs w:val="20"/>
        </w:rPr>
        <w:t>En el ámbito de las adiciones contractuales, el Registro Presupuestal conserva su carácter de requisito de ejecución y no de perfeccionamiento. La adición en valor se perfecciona con la suscripción del acto modificatorio -llámese otrosí, adición, entre otros- que cumpla las solemnidades legales, pero para que pueda desplegar efectos prácticos es indispensable que se expida el RP que comprometa los recursos adicionales. De esta manera, se asegura la coherencia entre el acto jurídico de modificación y la disponibilidad real de recursos, evitando que la entidad asuma obligaciones sin respaldo presupuestal.</w:t>
      </w:r>
    </w:p>
    <w:p w14:paraId="4F84C492" w14:textId="77777777" w:rsidR="009A0177" w:rsidRPr="009A0177" w:rsidRDefault="009A0177" w:rsidP="009A0177">
      <w:pPr>
        <w:spacing w:after="0" w:line="240" w:lineRule="auto"/>
        <w:jc w:val="both"/>
        <w:rPr>
          <w:rFonts w:ascii="Verdana" w:eastAsia="Verdana" w:hAnsi="Verdana" w:cs="Verdana"/>
          <w:bCs/>
          <w:sz w:val="20"/>
          <w:szCs w:val="20"/>
        </w:rPr>
      </w:pPr>
    </w:p>
    <w:p w14:paraId="78144554" w14:textId="77777777" w:rsidR="00BE6284" w:rsidRPr="002602F6" w:rsidRDefault="00BE6284" w:rsidP="002602F6">
      <w:pPr>
        <w:spacing w:after="0" w:line="240" w:lineRule="auto"/>
        <w:jc w:val="both"/>
        <w:rPr>
          <w:rFonts w:ascii="Verdana" w:eastAsia="Verdana" w:hAnsi="Verdana" w:cs="Verdana"/>
          <w:b/>
        </w:rPr>
      </w:pPr>
      <w:r w:rsidRPr="002602F6">
        <w:rPr>
          <w:rFonts w:ascii="Verdana" w:eastAsia="Verdana" w:hAnsi="Verdana" w:cs="Verdana"/>
          <w:b/>
        </w:rPr>
        <w:t xml:space="preserve">REGISTRO PRESUPUESTAL – Ausencia de RP </w:t>
      </w:r>
    </w:p>
    <w:p w14:paraId="76E6EE5E" w14:textId="77777777" w:rsidR="00BE6284" w:rsidRPr="002602F6" w:rsidRDefault="00BE6284" w:rsidP="002602F6">
      <w:pPr>
        <w:spacing w:after="0" w:line="240" w:lineRule="auto"/>
        <w:jc w:val="both"/>
        <w:rPr>
          <w:rFonts w:ascii="Verdana" w:eastAsia="Verdana" w:hAnsi="Verdana" w:cs="Verdana"/>
          <w:b/>
        </w:rPr>
      </w:pPr>
    </w:p>
    <w:p w14:paraId="269FE343" w14:textId="078216A8" w:rsidR="001402C9" w:rsidRPr="001402C9" w:rsidRDefault="001402C9" w:rsidP="001402C9">
      <w:pPr>
        <w:spacing w:after="0" w:line="240" w:lineRule="auto"/>
        <w:jc w:val="both"/>
        <w:rPr>
          <w:rFonts w:ascii="Verdana" w:eastAsia="Verdana" w:hAnsi="Verdana" w:cs="Verdana"/>
          <w:bCs/>
          <w:sz w:val="20"/>
          <w:szCs w:val="20"/>
        </w:rPr>
      </w:pPr>
      <w:r w:rsidRPr="001402C9">
        <w:rPr>
          <w:rFonts w:ascii="Verdana" w:eastAsia="Verdana" w:hAnsi="Verdana" w:cs="Verdana"/>
          <w:bCs/>
          <w:sz w:val="20"/>
          <w:szCs w:val="20"/>
        </w:rPr>
        <w:t>Por lo tanto, la expedición tardía o la omisión del RP no afecta la validez de la adición ni suspende, por sí misma, la ejecución material de las prestaciones adicionales, la cual depende de las condiciones reales en que se desenvuelve la relación contractual. Lo que la falta de RP compromete es la legalidad de la actuación de la entidad, ya que si esta celebra la adición o permite la ejecución de las prestaciones adicionales sin contar previamente con el respaldo presupuestal, podría dar lugar a la configuración de los denominados hechos cumplidos, esto es, la asunción de obligaciones o la materialización de prestaciones sin el previo cumplimiento de las apropiaciones presupuestales, figura que no afecta la validez del negocio jurídico, pero que genera consecuencias de orden fiscal, disciplinario y, eventualmente, contractual para los servidores y para la entidad que adelanten la ejecución sin contar con el registro. El Registro Presupuestal, al ser un requisito de ejecución del contrato, normalmente se expide después de celebrado el contrato, tal como se desprende de lo establecido en el inciso segundo del artículo 41 de la Ley 80 de 1993. Aplicado este razonamiento a las adiciones contractuales, la oportunidad del RP adquiere especial importancia: debe estar expedido antes de que la entidad celebre el acto modificatorio y dé inicio o permita la ejecución de las obligaciones adicionales derivadas de él. De esta forma, se garantiza que la entidad cuente con el respaldo presupuestal suficiente para atender las nuevas cargas económicas, se evita la configuración de hechos cumplidos y se preserva la legalidad del gasto público, sin que la ausencia inicial del RP afecte la validez de la adición.</w:t>
      </w:r>
    </w:p>
    <w:p w14:paraId="62B81BD3" w14:textId="77777777" w:rsidR="00BE6284" w:rsidRPr="002602F6" w:rsidRDefault="00BE6284" w:rsidP="002602F6">
      <w:pPr>
        <w:spacing w:after="0" w:line="240" w:lineRule="auto"/>
        <w:jc w:val="both"/>
        <w:rPr>
          <w:rFonts w:ascii="Verdana" w:eastAsia="Verdana" w:hAnsi="Verdana" w:cs="Verdana"/>
          <w:b/>
        </w:rPr>
      </w:pPr>
    </w:p>
    <w:p w14:paraId="1B05B3F5" w14:textId="77777777" w:rsidR="00BE6284" w:rsidRDefault="00BE6284" w:rsidP="002602F6">
      <w:pPr>
        <w:spacing w:after="0" w:line="240" w:lineRule="auto"/>
        <w:jc w:val="both"/>
        <w:rPr>
          <w:rFonts w:ascii="Verdana" w:eastAsia="Verdana" w:hAnsi="Verdana" w:cs="Verdana"/>
          <w:b/>
          <w:lang w:bidi="es-ES"/>
        </w:rPr>
      </w:pPr>
      <w:r w:rsidRPr="002602F6">
        <w:rPr>
          <w:rFonts w:ascii="Verdana" w:eastAsia="Verdana" w:hAnsi="Verdana" w:cs="Verdana"/>
          <w:b/>
          <w:lang w:bidi="es-ES"/>
        </w:rPr>
        <w:t xml:space="preserve">CESIÓN DEL CONTRATO ESTATAL – Noción </w:t>
      </w:r>
    </w:p>
    <w:p w14:paraId="71362AE1" w14:textId="77777777" w:rsidR="001402C9" w:rsidRDefault="001402C9" w:rsidP="002602F6">
      <w:pPr>
        <w:spacing w:after="0" w:line="240" w:lineRule="auto"/>
        <w:jc w:val="both"/>
        <w:rPr>
          <w:rFonts w:ascii="Verdana" w:eastAsia="Verdana" w:hAnsi="Verdana" w:cs="Verdana"/>
          <w:b/>
          <w:lang w:bidi="es-ES"/>
        </w:rPr>
      </w:pPr>
    </w:p>
    <w:p w14:paraId="1CFF90CA" w14:textId="3DA62461" w:rsidR="001402C9" w:rsidRPr="008B21F6" w:rsidRDefault="008B21F6" w:rsidP="008B21F6">
      <w:pPr>
        <w:spacing w:after="0" w:line="240" w:lineRule="auto"/>
        <w:jc w:val="both"/>
        <w:rPr>
          <w:rFonts w:ascii="Verdana" w:eastAsia="Verdana" w:hAnsi="Verdana" w:cs="Verdana"/>
          <w:bCs/>
          <w:sz w:val="20"/>
          <w:szCs w:val="20"/>
          <w:lang w:bidi="es-ES"/>
        </w:rPr>
      </w:pPr>
      <w:r w:rsidRPr="008B21F6">
        <w:rPr>
          <w:rFonts w:ascii="Verdana" w:eastAsia="Verdana" w:hAnsi="Verdana" w:cs="Verdana"/>
          <w:bCs/>
          <w:sz w:val="20"/>
          <w:szCs w:val="20"/>
          <w:lang w:bidi="es-ES"/>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w:t>
      </w:r>
      <w:proofErr w:type="spellStart"/>
      <w:r w:rsidRPr="008B21F6">
        <w:rPr>
          <w:rFonts w:ascii="Verdana" w:eastAsia="Verdana" w:hAnsi="Verdana" w:cs="Verdana"/>
          <w:bCs/>
          <w:sz w:val="20"/>
          <w:szCs w:val="20"/>
          <w:lang w:bidi="es-ES"/>
        </w:rPr>
        <w:t>subentra</w:t>
      </w:r>
      <w:proofErr w:type="spellEnd"/>
      <w:r w:rsidRPr="008B21F6">
        <w:rPr>
          <w:rFonts w:ascii="Verdana" w:eastAsia="Verdana" w:hAnsi="Verdana" w:cs="Verdana"/>
          <w:bCs/>
          <w:sz w:val="20"/>
          <w:szCs w:val="20"/>
          <w:lang w:bidi="es-ES"/>
        </w:rPr>
        <w:t xml:space="preserve"> en la relación con el cedido […]”. Por otro, “[…] es la transferencia de la posición contractual de un contratante a otro sujeto, </w:t>
      </w:r>
      <w:r w:rsidRPr="008B21F6">
        <w:rPr>
          <w:rFonts w:ascii="Verdana" w:eastAsia="Verdana" w:hAnsi="Verdana" w:cs="Verdana"/>
          <w:bCs/>
          <w:sz w:val="20"/>
          <w:szCs w:val="20"/>
          <w:lang w:bidi="es-ES"/>
        </w:rPr>
        <w:lastRenderedPageBreak/>
        <w:t xml:space="preserve">que le </w:t>
      </w:r>
      <w:proofErr w:type="spellStart"/>
      <w:r w:rsidRPr="008B21F6">
        <w:rPr>
          <w:rFonts w:ascii="Verdana" w:eastAsia="Verdana" w:hAnsi="Verdana" w:cs="Verdana"/>
          <w:bCs/>
          <w:sz w:val="20"/>
          <w:szCs w:val="20"/>
          <w:lang w:bidi="es-ES"/>
        </w:rPr>
        <w:t>subentra</w:t>
      </w:r>
      <w:proofErr w:type="spellEnd"/>
      <w:r w:rsidRPr="008B21F6">
        <w:rPr>
          <w:rFonts w:ascii="Verdana" w:eastAsia="Verdana" w:hAnsi="Verdana" w:cs="Verdana"/>
          <w:bCs/>
          <w:sz w:val="20"/>
          <w:szCs w:val="20"/>
          <w:lang w:bidi="es-ES"/>
        </w:rPr>
        <w:t xml:space="preserve"> en la relación con la contraparte […]”. De esta manera, concurren tres (3) sujetos: i) el cedente, esto es, el contratista inicial; </w:t>
      </w:r>
      <w:proofErr w:type="spellStart"/>
      <w:r w:rsidRPr="008B21F6">
        <w:rPr>
          <w:rFonts w:ascii="Verdana" w:eastAsia="Verdana" w:hAnsi="Verdana" w:cs="Verdana"/>
          <w:bCs/>
          <w:sz w:val="20"/>
          <w:szCs w:val="20"/>
          <w:lang w:bidi="es-ES"/>
        </w:rPr>
        <w:t>ii</w:t>
      </w:r>
      <w:proofErr w:type="spellEnd"/>
      <w:r w:rsidRPr="008B21F6">
        <w:rPr>
          <w:rFonts w:ascii="Verdana" w:eastAsia="Verdana" w:hAnsi="Verdana" w:cs="Verdana"/>
          <w:bCs/>
          <w:sz w:val="20"/>
          <w:szCs w:val="20"/>
          <w:lang w:bidi="es-ES"/>
        </w:rPr>
        <w:t xml:space="preserve">) el cesionario, es decir, quien asume total o parcialmente los derechos y obligaciones de este último; y </w:t>
      </w:r>
      <w:proofErr w:type="spellStart"/>
      <w:r w:rsidRPr="008B21F6">
        <w:rPr>
          <w:rFonts w:ascii="Verdana" w:eastAsia="Verdana" w:hAnsi="Verdana" w:cs="Verdana"/>
          <w:bCs/>
          <w:sz w:val="20"/>
          <w:szCs w:val="20"/>
          <w:lang w:bidi="es-ES"/>
        </w:rPr>
        <w:t>iii</w:t>
      </w:r>
      <w:proofErr w:type="spellEnd"/>
      <w:r w:rsidRPr="008B21F6">
        <w:rPr>
          <w:rFonts w:ascii="Verdana" w:eastAsia="Verdana" w:hAnsi="Verdana" w:cs="Verdana"/>
          <w:bCs/>
          <w:sz w:val="20"/>
          <w:szCs w:val="20"/>
          <w:lang w:bidi="es-ES"/>
        </w:rPr>
        <w:t>) el cedido que, en el caso de los contratos estatales, sería la entidad que suscribió el contrato. 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w:t>
      </w:r>
    </w:p>
    <w:p w14:paraId="4ED9260A" w14:textId="77777777" w:rsidR="00BE6284" w:rsidRPr="002602F6" w:rsidRDefault="00BE6284" w:rsidP="002602F6">
      <w:pPr>
        <w:spacing w:after="0" w:line="240" w:lineRule="auto"/>
        <w:jc w:val="both"/>
        <w:rPr>
          <w:rFonts w:ascii="Verdana" w:eastAsia="Verdana" w:hAnsi="Verdana" w:cs="Verdana"/>
          <w:b/>
          <w:lang w:bidi="es-ES"/>
        </w:rPr>
      </w:pPr>
    </w:p>
    <w:p w14:paraId="2C55CB6F" w14:textId="77777777" w:rsidR="00BE6284" w:rsidRPr="002602F6" w:rsidRDefault="00BE6284" w:rsidP="002602F6">
      <w:pPr>
        <w:spacing w:after="0" w:line="240" w:lineRule="auto"/>
        <w:jc w:val="both"/>
        <w:rPr>
          <w:rFonts w:ascii="Verdana" w:eastAsia="Verdana" w:hAnsi="Verdana" w:cs="Verdana"/>
          <w:b/>
          <w:lang w:bidi="es-ES"/>
        </w:rPr>
      </w:pPr>
      <w:r w:rsidRPr="002602F6">
        <w:rPr>
          <w:rFonts w:ascii="Verdana" w:eastAsia="Verdana" w:hAnsi="Verdana" w:cs="Verdana"/>
          <w:b/>
          <w:lang w:bidi="es-ES"/>
        </w:rPr>
        <w:t xml:space="preserve">CESIÓN DEL CONTRATO ESTATAL – Régimen jurídico aplicable – EGCAP – Código de comercio </w:t>
      </w:r>
    </w:p>
    <w:p w14:paraId="7094CA1E" w14:textId="77777777" w:rsidR="00BE6284" w:rsidRPr="005F7D5F" w:rsidRDefault="00BE6284" w:rsidP="002602F6">
      <w:pPr>
        <w:spacing w:after="0" w:line="240" w:lineRule="auto"/>
        <w:jc w:val="both"/>
        <w:rPr>
          <w:rFonts w:ascii="Verdana" w:eastAsia="Verdana" w:hAnsi="Verdana" w:cs="Verdana"/>
          <w:sz w:val="20"/>
          <w:szCs w:val="20"/>
          <w:lang w:bidi="es-ES"/>
        </w:rPr>
      </w:pPr>
    </w:p>
    <w:p w14:paraId="74D68288" w14:textId="1A533FDE" w:rsidR="005F7D5F" w:rsidRDefault="005F7D5F" w:rsidP="005F7D5F">
      <w:pPr>
        <w:spacing w:after="0" w:line="240" w:lineRule="auto"/>
        <w:jc w:val="both"/>
        <w:rPr>
          <w:rFonts w:ascii="Verdana" w:eastAsia="Verdana" w:hAnsi="Verdana" w:cs="Verdana"/>
          <w:sz w:val="20"/>
          <w:szCs w:val="20"/>
          <w:lang w:bidi="es-ES"/>
        </w:rPr>
      </w:pPr>
      <w:r w:rsidRPr="005F7D5F">
        <w:rPr>
          <w:rFonts w:ascii="Verdana" w:eastAsia="Verdana" w:hAnsi="Verdana" w:cs="Verdana"/>
          <w:sz w:val="20"/>
          <w:szCs w:val="20"/>
          <w:lang w:bidi="es-ES"/>
        </w:rPr>
        <w:t xml:space="preserve">En lo que respecta a la </w:t>
      </w:r>
      <w:r w:rsidRPr="005F7D5F">
        <w:rPr>
          <w:rFonts w:ascii="Verdana" w:eastAsia="Verdana" w:hAnsi="Verdana" w:cs="Verdana"/>
          <w:i/>
          <w:iCs/>
          <w:sz w:val="20"/>
          <w:szCs w:val="20"/>
          <w:lang w:bidi="es-ES"/>
        </w:rPr>
        <w:t>faceta negativa</w:t>
      </w:r>
      <w:r w:rsidRPr="005F7D5F">
        <w:rPr>
          <w:rFonts w:ascii="Verdana" w:eastAsia="Verdana" w:hAnsi="Verdana" w:cs="Verdana"/>
          <w:sz w:val="20"/>
          <w:szCs w:val="20"/>
          <w:lang w:bidi="es-ES"/>
        </w:rPr>
        <w:t xml:space="preserve">, el artículo 41 del Estatuto General ordena que el contrato se ejecute con quien inicialmente se celebró el acuerdo de voluntades, pues es la persona que –de acuerdo con los criterios definidos por la entidad para la selección del contratista– resulta idónea para cumplir con las obligaciones. De esta manera, la prohibición contenida en la norma citada es uno de los elementos de la naturaleza del contrato estatal, pues –conforme a lo previsto en el artículo 1501 del Código Civil– es de aquellos “[…] </w:t>
      </w:r>
      <w:proofErr w:type="gramStart"/>
      <w:r w:rsidRPr="005F7D5F">
        <w:rPr>
          <w:rFonts w:ascii="Verdana" w:eastAsia="Verdana" w:hAnsi="Verdana" w:cs="Verdana"/>
          <w:sz w:val="20"/>
          <w:szCs w:val="20"/>
          <w:lang w:bidi="es-ES"/>
        </w:rPr>
        <w:t>que</w:t>
      </w:r>
      <w:proofErr w:type="gramEnd"/>
      <w:r w:rsidRPr="005F7D5F">
        <w:rPr>
          <w:rFonts w:ascii="Verdana" w:eastAsia="Verdana" w:hAnsi="Verdana" w:cs="Verdana"/>
          <w:sz w:val="20"/>
          <w:szCs w:val="20"/>
          <w:lang w:bidi="es-ES"/>
        </w:rPr>
        <w:t xml:space="preserve"> no siendo esenciales en él, se entienden pertenecerle, sin necesidad de una cláusula especial […]”.  </w:t>
      </w:r>
    </w:p>
    <w:p w14:paraId="1D0EA9AA" w14:textId="77777777" w:rsidR="005F7D5F" w:rsidRPr="005F7D5F" w:rsidRDefault="005F7D5F" w:rsidP="005F7D5F">
      <w:pPr>
        <w:spacing w:after="0" w:line="240" w:lineRule="auto"/>
        <w:jc w:val="both"/>
        <w:rPr>
          <w:rFonts w:ascii="Verdana" w:eastAsia="Verdana" w:hAnsi="Verdana" w:cs="Verdana"/>
          <w:sz w:val="20"/>
          <w:szCs w:val="20"/>
          <w:lang w:bidi="es-ES"/>
        </w:rPr>
      </w:pPr>
    </w:p>
    <w:p w14:paraId="7A439655" w14:textId="0F64FCA2" w:rsidR="00BE6284" w:rsidRDefault="005F7D5F" w:rsidP="005F7D5F">
      <w:pPr>
        <w:spacing w:after="0" w:line="240" w:lineRule="auto"/>
        <w:jc w:val="both"/>
        <w:rPr>
          <w:rFonts w:ascii="Verdana" w:eastAsia="Verdana" w:hAnsi="Verdana" w:cs="Verdana"/>
          <w:sz w:val="20"/>
          <w:szCs w:val="20"/>
          <w:lang w:bidi="es-ES"/>
        </w:rPr>
      </w:pPr>
      <w:r w:rsidRPr="005F7D5F">
        <w:rPr>
          <w:rFonts w:ascii="Verdana" w:eastAsia="Verdana" w:hAnsi="Verdana" w:cs="Verdana"/>
          <w:sz w:val="20"/>
          <w:szCs w:val="20"/>
          <w:lang w:bidi="es-ES"/>
        </w:rPr>
        <w:t xml:space="preserve">En su </w:t>
      </w:r>
      <w:r w:rsidRPr="005F7D5F">
        <w:rPr>
          <w:rFonts w:ascii="Verdana" w:eastAsia="Verdana" w:hAnsi="Verdana" w:cs="Verdana"/>
          <w:i/>
          <w:iCs/>
          <w:sz w:val="20"/>
          <w:szCs w:val="20"/>
          <w:lang w:bidi="es-ES"/>
        </w:rPr>
        <w:t>faceta positiva</w:t>
      </w:r>
      <w:r w:rsidRPr="005F7D5F">
        <w:rPr>
          <w:rFonts w:ascii="Verdana" w:eastAsia="Verdana" w:hAnsi="Verdana" w:cs="Verdana"/>
          <w:sz w:val="20"/>
          <w:szCs w:val="20"/>
          <w:lang w:bidi="es-ES"/>
        </w:rPr>
        <w:t>, la Ley 80 de 1993 permite excepcionalmente la cesión del contrato estatal siempre que exista autorización previa escrita de la entidad contratante. Por ello, “[…] El cocontratante que ‘</w:t>
      </w:r>
      <w:r w:rsidRPr="005F7D5F">
        <w:rPr>
          <w:rFonts w:ascii="Verdana" w:eastAsia="Verdana" w:hAnsi="Verdana" w:cs="Verdana"/>
          <w:i/>
          <w:iCs/>
          <w:sz w:val="20"/>
          <w:szCs w:val="20"/>
          <w:lang w:bidi="es-ES"/>
        </w:rPr>
        <w:t>ceda</w:t>
      </w:r>
      <w:r w:rsidRPr="005F7D5F">
        <w:rPr>
          <w:rFonts w:ascii="Verdana" w:eastAsia="Verdana" w:hAnsi="Verdana" w:cs="Verdana"/>
          <w:sz w:val="20"/>
          <w:szCs w:val="20"/>
          <w:lang w:bidi="es-ES"/>
        </w:rPr>
        <w:t>’ el contrato sin estar autorizado para ello incurre en grave responsabilidad: su actitud implica ‘</w:t>
      </w:r>
      <w:r w:rsidRPr="005F7D5F">
        <w:rPr>
          <w:rFonts w:ascii="Verdana" w:eastAsia="Verdana" w:hAnsi="Verdana" w:cs="Verdana"/>
          <w:i/>
          <w:iCs/>
          <w:sz w:val="20"/>
          <w:szCs w:val="20"/>
          <w:lang w:bidi="es-ES"/>
        </w:rPr>
        <w:t>incumplimiento</w:t>
      </w:r>
      <w:r w:rsidRPr="005F7D5F">
        <w:rPr>
          <w:rFonts w:ascii="Verdana" w:eastAsia="Verdana" w:hAnsi="Verdana" w:cs="Verdana"/>
          <w:sz w:val="20"/>
          <w:szCs w:val="20"/>
          <w:lang w:bidi="es-ES"/>
        </w:rPr>
        <w:t>’ del contrato; de ahí que esa cesión ilícita no resulte oponible a la Administración Pública […]”. 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w:t>
      </w:r>
    </w:p>
    <w:p w14:paraId="72DB251C" w14:textId="77777777" w:rsidR="005F7D5F" w:rsidRPr="005F7D5F" w:rsidRDefault="005F7D5F" w:rsidP="005F7D5F">
      <w:pPr>
        <w:spacing w:after="0" w:line="240" w:lineRule="auto"/>
        <w:jc w:val="both"/>
        <w:rPr>
          <w:rFonts w:ascii="Verdana" w:eastAsia="Verdana" w:hAnsi="Verdana" w:cs="Verdana"/>
          <w:sz w:val="20"/>
          <w:szCs w:val="20"/>
          <w:lang w:bidi="es-ES"/>
        </w:rPr>
      </w:pPr>
    </w:p>
    <w:p w14:paraId="51F21DED" w14:textId="77777777" w:rsidR="00BE6284" w:rsidRPr="002602F6" w:rsidRDefault="00BE6284" w:rsidP="002602F6">
      <w:pPr>
        <w:spacing w:after="0" w:line="240" w:lineRule="auto"/>
        <w:jc w:val="both"/>
        <w:rPr>
          <w:rFonts w:ascii="Verdana" w:eastAsia="Verdana" w:hAnsi="Verdana" w:cs="Verdana"/>
          <w:b/>
          <w:lang w:bidi="es-ES"/>
        </w:rPr>
      </w:pPr>
      <w:r w:rsidRPr="002602F6">
        <w:rPr>
          <w:rFonts w:ascii="Verdana" w:eastAsia="Verdana" w:hAnsi="Verdana" w:cs="Verdana"/>
          <w:b/>
          <w:lang w:bidi="es-ES"/>
        </w:rPr>
        <w:t xml:space="preserve">CESIÓN DEL CONTRATO ESTATAL – Requisitos – Restricciones </w:t>
      </w:r>
    </w:p>
    <w:p w14:paraId="61C7C5BB" w14:textId="77777777" w:rsidR="00BE6284" w:rsidRPr="00563377" w:rsidRDefault="00BE6284" w:rsidP="00563377">
      <w:pPr>
        <w:spacing w:after="0" w:line="240" w:lineRule="auto"/>
        <w:jc w:val="both"/>
        <w:rPr>
          <w:rFonts w:ascii="Verdana" w:eastAsia="Verdana" w:hAnsi="Verdana" w:cs="Verdana"/>
          <w:bCs/>
          <w:sz w:val="20"/>
          <w:szCs w:val="20"/>
          <w:lang w:bidi="es-ES"/>
        </w:rPr>
      </w:pPr>
    </w:p>
    <w:p w14:paraId="528259EC" w14:textId="46186904" w:rsidR="00563377" w:rsidRPr="00563377" w:rsidRDefault="00563377" w:rsidP="00563377">
      <w:pPr>
        <w:spacing w:after="0" w:line="240" w:lineRule="auto"/>
        <w:jc w:val="both"/>
        <w:rPr>
          <w:rFonts w:ascii="Verdana" w:eastAsia="Verdana" w:hAnsi="Verdana" w:cs="Verdana"/>
          <w:bCs/>
          <w:sz w:val="20"/>
          <w:szCs w:val="20"/>
          <w:lang w:bidi="es-ES"/>
        </w:rPr>
      </w:pPr>
      <w:r w:rsidRPr="00563377">
        <w:rPr>
          <w:rFonts w:ascii="Verdana" w:eastAsia="Verdana" w:hAnsi="Verdana" w:cs="Verdana"/>
          <w:bCs/>
          <w:sz w:val="20"/>
          <w:szCs w:val="20"/>
          <w:lang w:bidi="es-ES"/>
        </w:rPr>
        <w:t xml:space="preserve">Por lo demás, el Consejo de Estado ha precisado como requisitos de la cesión del contrato estatal los siguientes: i) debe recaer en un tercero; </w:t>
      </w:r>
      <w:proofErr w:type="spellStart"/>
      <w:r w:rsidRPr="00563377">
        <w:rPr>
          <w:rFonts w:ascii="Verdana" w:eastAsia="Verdana" w:hAnsi="Verdana" w:cs="Verdana"/>
          <w:bCs/>
          <w:sz w:val="20"/>
          <w:szCs w:val="20"/>
          <w:lang w:bidi="es-ES"/>
        </w:rPr>
        <w:t>ii</w:t>
      </w:r>
      <w:proofErr w:type="spellEnd"/>
      <w:r w:rsidRPr="00563377">
        <w:rPr>
          <w:rFonts w:ascii="Verdana" w:eastAsia="Verdana" w:hAnsi="Verdana" w:cs="Verdana"/>
          <w:bCs/>
          <w:sz w:val="20"/>
          <w:szCs w:val="20"/>
          <w:lang w:bidi="es-ES"/>
        </w:rPr>
        <w:t xml:space="preserve">) el cesionario debe tener capacidad jurídica para continuar con la ejecución del objeto contractual y no estar incurso en causales de inhabilidad e incompatibilidad para contratar; y </w:t>
      </w:r>
      <w:proofErr w:type="spellStart"/>
      <w:r w:rsidRPr="00563377">
        <w:rPr>
          <w:rFonts w:ascii="Verdana" w:eastAsia="Verdana" w:hAnsi="Verdana" w:cs="Verdana"/>
          <w:bCs/>
          <w:sz w:val="20"/>
          <w:szCs w:val="20"/>
          <w:lang w:bidi="es-ES"/>
        </w:rPr>
        <w:t>iii</w:t>
      </w:r>
      <w:proofErr w:type="spellEnd"/>
      <w:r w:rsidRPr="00563377">
        <w:rPr>
          <w:rFonts w:ascii="Verdana" w:eastAsia="Verdana" w:hAnsi="Verdana" w:cs="Verdana"/>
          <w:bCs/>
          <w:sz w:val="20"/>
          <w:szCs w:val="20"/>
          <w:lang w:bidi="es-ES"/>
        </w:rPr>
        <w:t xml:space="preserve">)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 ya que “[…] el proceso cesión del contrato y las exigencias que se le impongan al tercero, no pueden alterar ni burlar los procedimientos de selección del </w:t>
      </w:r>
      <w:r w:rsidRPr="00563377">
        <w:rPr>
          <w:rFonts w:ascii="Verdana" w:eastAsia="Verdana" w:hAnsi="Verdana" w:cs="Verdana"/>
          <w:bCs/>
          <w:sz w:val="20"/>
          <w:szCs w:val="20"/>
          <w:lang w:bidi="es-ES"/>
        </w:rPr>
        <w:lastRenderedPageBreak/>
        <w:t>contratista, en otras palabras, la figura de la cesión de contrato no puede servir como instrumento para desviar las obligaciones que tiene la entidad contratante de cumplimiento de los parámetros de la selección objetiva”.</w:t>
      </w:r>
    </w:p>
    <w:p w14:paraId="495F36F8" w14:textId="6DC08920" w:rsidR="00BE6284" w:rsidRPr="002602F6" w:rsidRDefault="00563377" w:rsidP="00563377">
      <w:pPr>
        <w:spacing w:after="0" w:line="240" w:lineRule="auto"/>
        <w:jc w:val="both"/>
        <w:rPr>
          <w:rFonts w:ascii="Verdana" w:eastAsia="Verdana" w:hAnsi="Verdana" w:cs="Verdana"/>
          <w:b/>
          <w:lang w:bidi="es-ES"/>
        </w:rPr>
      </w:pPr>
      <w:r w:rsidRPr="00563377">
        <w:rPr>
          <w:rFonts w:ascii="Verdana" w:eastAsia="Verdana" w:hAnsi="Verdana" w:cs="Verdana"/>
          <w:b/>
          <w:lang w:bidi="es-ES"/>
        </w:rPr>
        <w:tab/>
      </w:r>
    </w:p>
    <w:p w14:paraId="77B550DD" w14:textId="5D53A71F" w:rsidR="00BE6284" w:rsidRPr="002602F6" w:rsidRDefault="00BE6284" w:rsidP="002602F6">
      <w:pPr>
        <w:spacing w:after="0" w:line="240" w:lineRule="auto"/>
        <w:jc w:val="both"/>
        <w:rPr>
          <w:rFonts w:ascii="Verdana" w:eastAsia="Verdana" w:hAnsi="Verdana" w:cs="Verdana"/>
          <w:b/>
        </w:rPr>
      </w:pPr>
      <w:r w:rsidRPr="002602F6">
        <w:rPr>
          <w:rFonts w:ascii="Verdana" w:eastAsia="Verdana" w:hAnsi="Verdana" w:cs="Verdana"/>
          <w:b/>
          <w:lang w:bidi="es-ES"/>
        </w:rPr>
        <w:t>CESIÓN DEL CONTRATO ESTATAL – Registro Presupuestal</w:t>
      </w:r>
      <w:r w:rsidR="00320965">
        <w:rPr>
          <w:rFonts w:ascii="Verdana" w:eastAsia="Verdana" w:hAnsi="Verdana" w:cs="Verdana"/>
          <w:b/>
          <w:lang w:bidi="es-ES"/>
        </w:rPr>
        <w:t xml:space="preserve"> </w:t>
      </w:r>
      <w:r w:rsidR="00320965" w:rsidRPr="00320965">
        <w:rPr>
          <w:rFonts w:ascii="Verdana" w:eastAsia="Verdana" w:hAnsi="Verdana" w:cs="Verdana"/>
          <w:b/>
          <w:bCs/>
          <w:lang w:val="es-ES" w:bidi="es-ES"/>
        </w:rPr>
        <w:t>–</w:t>
      </w:r>
      <w:r w:rsidR="00320965">
        <w:rPr>
          <w:rFonts w:ascii="Verdana" w:eastAsia="Verdana" w:hAnsi="Verdana" w:cs="Verdana"/>
          <w:b/>
          <w:lang w:bidi="es-ES"/>
        </w:rPr>
        <w:t xml:space="preserve"> </w:t>
      </w:r>
      <w:r w:rsidRPr="002602F6">
        <w:rPr>
          <w:rFonts w:ascii="Verdana" w:eastAsia="Verdana" w:hAnsi="Verdana" w:cs="Verdana"/>
          <w:b/>
          <w:lang w:bidi="es-ES"/>
        </w:rPr>
        <w:t>Trámites financieros y contables</w:t>
      </w:r>
    </w:p>
    <w:p w14:paraId="59F1A37D" w14:textId="77777777" w:rsidR="00BE6284" w:rsidRDefault="00BE6284" w:rsidP="004707E2">
      <w:pPr>
        <w:spacing w:after="0"/>
        <w:rPr>
          <w:rFonts w:ascii="Verdana" w:eastAsia="Verdana" w:hAnsi="Verdana" w:cs="Verdana"/>
        </w:rPr>
      </w:pPr>
    </w:p>
    <w:p w14:paraId="0C0B0370" w14:textId="77777777" w:rsidR="00D87653" w:rsidRPr="00D87653" w:rsidRDefault="00D87653" w:rsidP="00D87653">
      <w:pPr>
        <w:spacing w:after="0" w:line="240" w:lineRule="auto"/>
        <w:jc w:val="both"/>
        <w:rPr>
          <w:rFonts w:ascii="Verdana" w:eastAsia="Verdana" w:hAnsi="Verdana" w:cs="Verdana"/>
          <w:sz w:val="20"/>
          <w:szCs w:val="20"/>
        </w:rPr>
      </w:pPr>
      <w:r w:rsidRPr="00D87653">
        <w:rPr>
          <w:rFonts w:ascii="Verdana" w:eastAsia="Verdana" w:hAnsi="Verdana" w:cs="Verdana"/>
          <w:sz w:val="20"/>
          <w:szCs w:val="20"/>
        </w:rPr>
        <w:t xml:space="preserve">En este contexto, la cesión del contrato estatal no implica, en sí misma, la celebración de un nuevo contrato, pues lo único que se modifica es la parte que asume la ejecución de las obligaciones ya pactadas. En este sentido, no puede entenderse como una modificación contractual en estricto sentido, dado que el objeto, el valor y las condiciones esenciales permanecen inalteradas. Por ello, el Registro Presupuestal que respalda el contrato inicial conserva su vigencia y, en principio, no resulta necesaria la expedición de un nuevo RP como un elemento </w:t>
      </w:r>
      <w:proofErr w:type="gramStart"/>
      <w:r w:rsidRPr="00D87653">
        <w:rPr>
          <w:rFonts w:ascii="Verdana" w:eastAsia="Verdana" w:hAnsi="Verdana" w:cs="Verdana"/>
          <w:sz w:val="20"/>
          <w:szCs w:val="20"/>
        </w:rPr>
        <w:t>a</w:t>
      </w:r>
      <w:proofErr w:type="gramEnd"/>
      <w:r w:rsidRPr="00D87653">
        <w:rPr>
          <w:rFonts w:ascii="Verdana" w:eastAsia="Verdana" w:hAnsi="Verdana" w:cs="Verdana"/>
          <w:sz w:val="20"/>
          <w:szCs w:val="20"/>
        </w:rPr>
        <w:t xml:space="preserve"> tener en cuenta cuando el contrato estatal ya fue cedido.</w:t>
      </w:r>
    </w:p>
    <w:p w14:paraId="718353B8" w14:textId="77777777" w:rsidR="00D87653" w:rsidRDefault="00D87653" w:rsidP="00D87653">
      <w:pPr>
        <w:spacing w:after="0" w:line="240" w:lineRule="auto"/>
        <w:jc w:val="both"/>
        <w:rPr>
          <w:rFonts w:ascii="Verdana" w:eastAsia="Verdana" w:hAnsi="Verdana" w:cs="Verdana"/>
          <w:sz w:val="20"/>
          <w:szCs w:val="20"/>
        </w:rPr>
      </w:pPr>
    </w:p>
    <w:p w14:paraId="1D8F8A66" w14:textId="71D773D3" w:rsidR="00D87653" w:rsidRPr="00D87653" w:rsidRDefault="00D87653" w:rsidP="00D87653">
      <w:pPr>
        <w:spacing w:after="0" w:line="240" w:lineRule="auto"/>
        <w:jc w:val="both"/>
        <w:rPr>
          <w:rFonts w:ascii="Verdana" w:eastAsia="Verdana" w:hAnsi="Verdana" w:cs="Verdana"/>
          <w:sz w:val="20"/>
          <w:szCs w:val="20"/>
        </w:rPr>
      </w:pPr>
      <w:r w:rsidRPr="00D87653">
        <w:rPr>
          <w:rFonts w:ascii="Verdana" w:eastAsia="Verdana" w:hAnsi="Verdana" w:cs="Verdana"/>
          <w:sz w:val="20"/>
          <w:szCs w:val="20"/>
        </w:rPr>
        <w:t>Sin embargo, desde la perspectiva administrativa y financiera, la entidad debe actualizar los registros presupuestales para identificar al cesionario como beneficiario de los pagos, pues la cesión sustituye al acreedor de las obligaciones pendientes de ejecutar. Dicha actualización no obedece a la creación de nuevas obligaciones económicas, sino a la necesidad de garantizar la trazabilidad y legalidad del gasto público, y constituye una condición para que los pagos posteriores a la cesión puedan girarse válidamente al cesionario en su calidad de nuevo ejecutor del contrato; de no realizarse, la entidad se expone a efectuar pagos irregulares a quien ya no es parte del contrato.</w:t>
      </w:r>
    </w:p>
    <w:p w14:paraId="3CF7C992" w14:textId="77777777" w:rsidR="00D87653" w:rsidRDefault="00D87653" w:rsidP="00D87653">
      <w:pPr>
        <w:spacing w:after="0" w:line="240" w:lineRule="auto"/>
        <w:jc w:val="both"/>
        <w:rPr>
          <w:rFonts w:ascii="Verdana" w:eastAsia="Verdana" w:hAnsi="Verdana" w:cs="Verdana"/>
          <w:sz w:val="20"/>
          <w:szCs w:val="20"/>
        </w:rPr>
      </w:pPr>
    </w:p>
    <w:p w14:paraId="26BD3310" w14:textId="7F09FB3A" w:rsidR="00D87653" w:rsidRPr="00D87653" w:rsidRDefault="00D87653" w:rsidP="00D87653">
      <w:pPr>
        <w:spacing w:after="0" w:line="240" w:lineRule="auto"/>
        <w:jc w:val="both"/>
        <w:rPr>
          <w:rFonts w:ascii="Verdana" w:eastAsia="Verdana" w:hAnsi="Verdana" w:cs="Verdana"/>
          <w:sz w:val="20"/>
          <w:szCs w:val="20"/>
        </w:rPr>
      </w:pPr>
      <w:r w:rsidRPr="00D87653">
        <w:rPr>
          <w:rFonts w:ascii="Verdana" w:eastAsia="Verdana" w:hAnsi="Verdana" w:cs="Verdana"/>
          <w:sz w:val="20"/>
          <w:szCs w:val="20"/>
        </w:rPr>
        <w:t>Por tanto, aunque la cesión no demanda un nuevo RP en términos de perfeccionamiento o de ejecución del objeto contractual, que continúa sin solución de continuidad, sí impone la actualización oportuna del registro presupuestal y de los demás soportes de ejecución del gasto como condición de legalidad del pago al cesionario. Estos ajustes buscan armonizar la sustitución del contratista con los procedimientos de control financiero de la entidad, evitando inconsistencias en la gestión de los recursos y asegurando la correcta y oportuna remuneración de quien ejecuta el contrato bajo la nueva posición contractual.</w:t>
      </w:r>
    </w:p>
    <w:p w14:paraId="17BDE83E" w14:textId="77777777" w:rsidR="000B1586" w:rsidRDefault="000B1586" w:rsidP="004707E2">
      <w:pPr>
        <w:spacing w:after="0"/>
        <w:rPr>
          <w:rFonts w:ascii="Verdana" w:eastAsia="Verdana" w:hAnsi="Verdana" w:cs="Verdana"/>
        </w:rPr>
      </w:pPr>
    </w:p>
    <w:p w14:paraId="61E9FCF6" w14:textId="77777777" w:rsidR="00D87653" w:rsidRDefault="00D87653" w:rsidP="004707E2">
      <w:pPr>
        <w:spacing w:after="0"/>
        <w:rPr>
          <w:rFonts w:ascii="Verdana" w:eastAsia="Verdana" w:hAnsi="Verdana" w:cs="Verdana"/>
        </w:rPr>
      </w:pPr>
    </w:p>
    <w:p w14:paraId="054FA90B" w14:textId="77777777" w:rsidR="00D87653" w:rsidRDefault="00D87653" w:rsidP="004707E2">
      <w:pPr>
        <w:spacing w:after="0"/>
        <w:rPr>
          <w:rFonts w:ascii="Verdana" w:eastAsia="Verdana" w:hAnsi="Verdana" w:cs="Verdana"/>
        </w:rPr>
      </w:pPr>
    </w:p>
    <w:p w14:paraId="250F6048" w14:textId="77777777" w:rsidR="00D87653" w:rsidRDefault="00D87653" w:rsidP="004707E2">
      <w:pPr>
        <w:spacing w:after="0"/>
        <w:rPr>
          <w:rFonts w:ascii="Verdana" w:eastAsia="Verdana" w:hAnsi="Verdana" w:cs="Verdana"/>
        </w:rPr>
      </w:pPr>
    </w:p>
    <w:p w14:paraId="078BE3B6" w14:textId="77777777" w:rsidR="00D87653" w:rsidRDefault="00D87653" w:rsidP="004707E2">
      <w:pPr>
        <w:spacing w:after="0"/>
        <w:rPr>
          <w:rFonts w:ascii="Verdana" w:eastAsia="Verdana" w:hAnsi="Verdana" w:cs="Verdana"/>
        </w:rPr>
      </w:pPr>
    </w:p>
    <w:p w14:paraId="75FA60AF" w14:textId="77777777" w:rsidR="00D87653" w:rsidRDefault="00D87653" w:rsidP="004707E2">
      <w:pPr>
        <w:spacing w:after="0"/>
        <w:rPr>
          <w:rFonts w:ascii="Verdana" w:eastAsia="Verdana" w:hAnsi="Verdana" w:cs="Verdana"/>
        </w:rPr>
      </w:pPr>
    </w:p>
    <w:p w14:paraId="63EB8955" w14:textId="77777777" w:rsidR="00D87653" w:rsidRDefault="00D87653" w:rsidP="004707E2">
      <w:pPr>
        <w:spacing w:after="0"/>
        <w:rPr>
          <w:rFonts w:ascii="Verdana" w:eastAsia="Verdana" w:hAnsi="Verdana" w:cs="Verdana"/>
        </w:rPr>
      </w:pPr>
    </w:p>
    <w:p w14:paraId="52D924D4" w14:textId="77777777" w:rsidR="00D87653" w:rsidRDefault="00D87653" w:rsidP="004707E2">
      <w:pPr>
        <w:spacing w:after="0"/>
        <w:rPr>
          <w:rFonts w:ascii="Verdana" w:eastAsia="Verdana" w:hAnsi="Verdana" w:cs="Verdana"/>
        </w:rPr>
      </w:pPr>
    </w:p>
    <w:p w14:paraId="4E533772" w14:textId="77777777" w:rsidR="00D87653" w:rsidRDefault="00D87653" w:rsidP="004707E2">
      <w:pPr>
        <w:spacing w:after="0"/>
        <w:rPr>
          <w:rFonts w:ascii="Verdana" w:eastAsia="Verdana" w:hAnsi="Verdana" w:cs="Verdana"/>
        </w:rPr>
      </w:pPr>
    </w:p>
    <w:p w14:paraId="3962E6EA" w14:textId="3A22889B" w:rsidR="004707E2" w:rsidRPr="003E4CC9" w:rsidRDefault="004707E2" w:rsidP="004707E2">
      <w:pPr>
        <w:spacing w:after="0"/>
        <w:rPr>
          <w:rFonts w:ascii="Verdana" w:hAnsi="Verdana" w:cs="Arial"/>
          <w:bCs/>
          <w:lang w:eastAsia="es-ES" w:bidi="es-ES"/>
        </w:rPr>
      </w:pPr>
      <w:r w:rsidRPr="30821638">
        <w:rPr>
          <w:rFonts w:ascii="Verdana" w:eastAsia="Verdana" w:hAnsi="Verdana" w:cs="Verdana"/>
        </w:rPr>
        <w:lastRenderedPageBreak/>
        <w:t>Bogotá D.C.,</w:t>
      </w:r>
      <w:r w:rsidR="00790E65">
        <w:rPr>
          <w:rFonts w:ascii="Verdana" w:eastAsia="Verdana" w:hAnsi="Verdana" w:cs="Verdana"/>
        </w:rPr>
        <w:t xml:space="preserve"> 27 de agosto de 2026</w:t>
      </w:r>
      <w:r>
        <w:tab/>
      </w:r>
      <w:r>
        <w:br/>
      </w:r>
    </w:p>
    <w:p w14:paraId="22417B19" w14:textId="59DF667E" w:rsidR="004707E2" w:rsidRPr="003E4CC9" w:rsidRDefault="00320965" w:rsidP="004707E2">
      <w:pPr>
        <w:spacing w:after="0" w:line="240" w:lineRule="auto"/>
        <w:rPr>
          <w:rFonts w:ascii="Verdana" w:hAnsi="Verdana" w:cs="Arial"/>
          <w:bCs/>
          <w:lang w:eastAsia="es-ES" w:bidi="es-ES"/>
        </w:rPr>
      </w:pPr>
      <w:r w:rsidRPr="0020550F">
        <w:rPr>
          <w:noProof/>
        </w:rPr>
        <w:drawing>
          <wp:anchor distT="0" distB="0" distL="114300" distR="114300" simplePos="0" relativeHeight="251658240" behindDoc="0" locked="0" layoutInCell="1" allowOverlap="1" wp14:anchorId="6AE6CD91" wp14:editId="31B8C02E">
            <wp:simplePos x="0" y="0"/>
            <wp:positionH relativeFrom="margin">
              <wp:align>right</wp:align>
            </wp:positionH>
            <wp:positionV relativeFrom="paragraph">
              <wp:posOffset>8255</wp:posOffset>
            </wp:positionV>
            <wp:extent cx="2900680" cy="842645"/>
            <wp:effectExtent l="0" t="0" r="0" b="0"/>
            <wp:wrapSquare wrapText="bothSides"/>
            <wp:docPr id="19737217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0680" cy="842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1C2AA0" w14:textId="77777777" w:rsidR="004707E2" w:rsidRPr="003E4CC9" w:rsidRDefault="004707E2" w:rsidP="004707E2">
      <w:pPr>
        <w:spacing w:after="0" w:line="240" w:lineRule="auto"/>
        <w:jc w:val="both"/>
        <w:rPr>
          <w:rFonts w:ascii="Verdana" w:hAnsi="Verdana" w:cs="Arial"/>
          <w:bCs/>
          <w:lang w:eastAsia="es-ES" w:bidi="es-ES"/>
        </w:rPr>
      </w:pPr>
      <w:r w:rsidRPr="003E4CC9">
        <w:rPr>
          <w:rFonts w:ascii="Verdana" w:hAnsi="Verdana" w:cs="Arial"/>
          <w:bCs/>
          <w:lang w:eastAsia="es-ES" w:bidi="es-ES"/>
        </w:rPr>
        <w:t>Señor</w:t>
      </w:r>
    </w:p>
    <w:p w14:paraId="649C0CF9" w14:textId="77777777" w:rsidR="004707E2" w:rsidRDefault="004707E2" w:rsidP="004707E2">
      <w:pPr>
        <w:spacing w:after="0" w:line="240" w:lineRule="auto"/>
        <w:jc w:val="both"/>
        <w:rPr>
          <w:rFonts w:ascii="Verdana" w:hAnsi="Verdana" w:cs="Arial"/>
          <w:b/>
          <w:bCs/>
          <w:lang w:eastAsia="es-ES" w:bidi="es-ES"/>
        </w:rPr>
      </w:pPr>
      <w:r>
        <w:rPr>
          <w:rFonts w:ascii="Verdana" w:hAnsi="Verdana" w:cs="Arial"/>
          <w:b/>
          <w:bCs/>
          <w:lang w:eastAsia="es-ES" w:bidi="es-ES"/>
        </w:rPr>
        <w:t>Juan Pablo Bustos</w:t>
      </w:r>
    </w:p>
    <w:p w14:paraId="51AA85EC" w14:textId="77777777" w:rsidR="004707E2" w:rsidRPr="002C0DE5" w:rsidRDefault="004707E2" w:rsidP="004707E2">
      <w:pPr>
        <w:spacing w:after="0" w:line="240" w:lineRule="auto"/>
        <w:jc w:val="both"/>
        <w:rPr>
          <w:rFonts w:ascii="Verdana" w:hAnsi="Verdana" w:cs="Arial"/>
          <w:lang w:eastAsia="es-ES" w:bidi="es-ES"/>
        </w:rPr>
      </w:pPr>
      <w:hyperlink r:id="rId12" w:history="1">
        <w:r w:rsidRPr="002C0DE5">
          <w:rPr>
            <w:rStyle w:val="Hipervnculo"/>
            <w:rFonts w:ascii="Verdana" w:hAnsi="Verdana" w:cs="Arial"/>
            <w:lang w:eastAsia="es-ES" w:bidi="es-ES"/>
          </w:rPr>
          <w:t>jpbustosj@dane.gov.co</w:t>
        </w:r>
      </w:hyperlink>
      <w:r w:rsidRPr="002C0DE5">
        <w:rPr>
          <w:rFonts w:ascii="Verdana" w:hAnsi="Verdana" w:cs="Arial"/>
          <w:lang w:eastAsia="es-ES" w:bidi="es-ES"/>
        </w:rPr>
        <w:t xml:space="preserve"> </w:t>
      </w:r>
    </w:p>
    <w:p w14:paraId="15E083EE" w14:textId="77777777" w:rsidR="004707E2" w:rsidRPr="003E4CC9" w:rsidRDefault="004707E2" w:rsidP="004707E2">
      <w:pPr>
        <w:spacing w:after="0" w:line="240" w:lineRule="auto"/>
        <w:jc w:val="both"/>
        <w:rPr>
          <w:rFonts w:ascii="Verdana" w:hAnsi="Verdana" w:cs="Arial"/>
          <w:bCs/>
          <w:lang w:val="es-MX" w:eastAsia="es-ES" w:bidi="es-ES"/>
        </w:rPr>
      </w:pPr>
      <w:r w:rsidRPr="003E4CC9">
        <w:rPr>
          <w:rFonts w:ascii="Verdana" w:hAnsi="Verdana" w:cs="Arial"/>
          <w:bCs/>
          <w:lang w:val="es-MX" w:eastAsia="es-ES" w:bidi="es-ES"/>
        </w:rPr>
        <w:t xml:space="preserve">Bogotá D.C. </w:t>
      </w:r>
    </w:p>
    <w:p w14:paraId="61320917" w14:textId="77777777" w:rsidR="004707E2" w:rsidRPr="003E4CC9" w:rsidRDefault="004707E2" w:rsidP="004707E2">
      <w:pPr>
        <w:spacing w:after="0" w:line="240" w:lineRule="auto"/>
        <w:jc w:val="both"/>
        <w:rPr>
          <w:rFonts w:ascii="Verdana" w:hAnsi="Verdana" w:cs="Arial"/>
          <w:b/>
          <w:bCs/>
          <w:lang w:val="es-ES_tradnl" w:eastAsia="es-ES" w:bidi="es-ES"/>
        </w:rPr>
      </w:pPr>
    </w:p>
    <w:p w14:paraId="5793AA12" w14:textId="77777777" w:rsidR="004707E2" w:rsidRPr="003E4CC9" w:rsidRDefault="004707E2" w:rsidP="004707E2">
      <w:pPr>
        <w:tabs>
          <w:tab w:val="left" w:pos="7184"/>
        </w:tabs>
        <w:spacing w:after="0" w:line="240" w:lineRule="auto"/>
        <w:jc w:val="both"/>
        <w:rPr>
          <w:rFonts w:ascii="Verdana" w:hAnsi="Verdana" w:cs="Arial"/>
          <w:b/>
          <w:bCs/>
          <w:lang w:val="es-ES_tradnl" w:eastAsia="es-ES" w:bidi="es-ES"/>
        </w:rPr>
      </w:pPr>
      <w:r w:rsidRPr="003E4CC9">
        <w:rPr>
          <w:rFonts w:ascii="Verdana" w:hAnsi="Verdana" w:cs="Arial"/>
          <w:b/>
          <w:bCs/>
          <w:lang w:val="es-ES_tradnl"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4707E2" w:rsidRPr="003E4CC9" w14:paraId="07104507" w14:textId="77777777" w:rsidTr="003B5A01">
        <w:trPr>
          <w:trHeight w:val="312"/>
        </w:trPr>
        <w:tc>
          <w:tcPr>
            <w:tcW w:w="2689" w:type="dxa"/>
          </w:tcPr>
          <w:p w14:paraId="56F051E6" w14:textId="77777777" w:rsidR="004707E2" w:rsidRPr="003E4CC9" w:rsidRDefault="004707E2" w:rsidP="003B5A01">
            <w:pPr>
              <w:jc w:val="both"/>
              <w:rPr>
                <w:rFonts w:ascii="Verdana" w:hAnsi="Verdana" w:cs="Arial"/>
                <w:b/>
                <w:bCs/>
                <w:lang w:val="es-ES_tradnl" w:eastAsia="es-ES" w:bidi="es-ES"/>
              </w:rPr>
            </w:pPr>
          </w:p>
        </w:tc>
        <w:tc>
          <w:tcPr>
            <w:tcW w:w="6242" w:type="dxa"/>
          </w:tcPr>
          <w:p w14:paraId="5C82CAD5" w14:textId="77777777" w:rsidR="004707E2" w:rsidRPr="003E4CC9" w:rsidRDefault="004707E2" w:rsidP="003B5A01">
            <w:pPr>
              <w:tabs>
                <w:tab w:val="right" w:pos="6242"/>
              </w:tabs>
              <w:jc w:val="both"/>
              <w:rPr>
                <w:rFonts w:ascii="Verdana" w:hAnsi="Verdana" w:cs="Arial"/>
                <w:b/>
                <w:bCs/>
                <w:lang w:val="es-MX" w:eastAsia="es-ES" w:bidi="es-ES"/>
              </w:rPr>
            </w:pPr>
            <w:r w:rsidRPr="003E4CC9">
              <w:rPr>
                <w:rFonts w:ascii="Verdana" w:hAnsi="Verdana" w:cs="Arial"/>
                <w:b/>
                <w:bCs/>
                <w:lang w:val="es-MX" w:eastAsia="es-ES" w:bidi="es-ES"/>
              </w:rPr>
              <w:t>Concepto C-</w:t>
            </w:r>
            <w:r>
              <w:rPr>
                <w:rFonts w:ascii="Verdana" w:hAnsi="Verdana" w:cs="Arial"/>
                <w:b/>
                <w:bCs/>
                <w:lang w:val="es-MX" w:eastAsia="es-ES" w:bidi="es-ES"/>
              </w:rPr>
              <w:t>1172 de 2026</w:t>
            </w:r>
            <w:r w:rsidRPr="003E4CC9">
              <w:rPr>
                <w:rFonts w:ascii="Verdana" w:hAnsi="Verdana" w:cs="Arial"/>
                <w:b/>
                <w:bCs/>
                <w:lang w:val="es-MX" w:eastAsia="es-ES" w:bidi="es-ES"/>
              </w:rPr>
              <w:tab/>
            </w:r>
          </w:p>
          <w:p w14:paraId="20AC24E6" w14:textId="77777777" w:rsidR="004707E2" w:rsidRPr="003E4CC9" w:rsidRDefault="004707E2" w:rsidP="003B5A01">
            <w:pPr>
              <w:jc w:val="both"/>
              <w:rPr>
                <w:rFonts w:ascii="Verdana" w:hAnsi="Verdana" w:cs="Arial"/>
                <w:b/>
                <w:bCs/>
                <w:lang w:val="es-MX" w:eastAsia="es-ES" w:bidi="es-ES"/>
              </w:rPr>
            </w:pPr>
          </w:p>
        </w:tc>
      </w:tr>
      <w:tr w:rsidR="004707E2" w:rsidRPr="003E4CC9" w14:paraId="551517ED" w14:textId="77777777" w:rsidTr="003B5A01">
        <w:trPr>
          <w:trHeight w:val="884"/>
        </w:trPr>
        <w:tc>
          <w:tcPr>
            <w:tcW w:w="2689" w:type="dxa"/>
          </w:tcPr>
          <w:p w14:paraId="1634DD3C" w14:textId="77777777" w:rsidR="004707E2" w:rsidRPr="00BF58C7" w:rsidRDefault="004707E2" w:rsidP="003B5A01">
            <w:pPr>
              <w:jc w:val="both"/>
              <w:rPr>
                <w:rFonts w:ascii="Verdana" w:hAnsi="Verdana" w:cs="Arial"/>
                <w:b/>
                <w:lang w:val="es-MX" w:eastAsia="es-ES" w:bidi="es-ES"/>
              </w:rPr>
            </w:pPr>
            <w:r w:rsidRPr="00BF58C7">
              <w:rPr>
                <w:rFonts w:ascii="Verdana" w:hAnsi="Verdana" w:cs="Arial"/>
                <w:b/>
                <w:lang w:val="es-MX" w:eastAsia="es-ES" w:bidi="es-ES"/>
              </w:rPr>
              <w:t xml:space="preserve">Temas:                   </w:t>
            </w:r>
          </w:p>
        </w:tc>
        <w:tc>
          <w:tcPr>
            <w:tcW w:w="6242" w:type="dxa"/>
          </w:tcPr>
          <w:p w14:paraId="05180969" w14:textId="5A145604" w:rsidR="004707E2" w:rsidRPr="00C92578" w:rsidRDefault="004707E2" w:rsidP="00BE6284">
            <w:pPr>
              <w:spacing w:line="276" w:lineRule="auto"/>
              <w:jc w:val="both"/>
              <w:rPr>
                <w:rFonts w:ascii="Verdana" w:hAnsi="Verdana" w:cs="Arial"/>
                <w:bCs/>
                <w:lang w:val="es-ES" w:eastAsia="es-ES" w:bidi="es-ES"/>
              </w:rPr>
            </w:pPr>
            <w:r w:rsidRPr="003E4CC9">
              <w:rPr>
                <w:rFonts w:ascii="Verdana" w:hAnsi="Verdana" w:cs="Arial"/>
                <w:bCs/>
                <w:lang w:eastAsia="es-ES" w:bidi="es-ES"/>
              </w:rPr>
              <w:t>ADICIÓN – Concepto – Distintos supuestos – Prohibición – Adición en más del 50% / ADICIÓN – Prohibición – Monto – Cálculo – Parágrafo artículo 40 – Ley 80 de 1993 / MODIFICACIÓN DE LOS CONTRATOS ESTATALES – Procedencia –</w:t>
            </w:r>
            <w:r>
              <w:rPr>
                <w:rFonts w:ascii="Verdana" w:hAnsi="Verdana" w:cs="Arial"/>
                <w:bCs/>
                <w:lang w:eastAsia="es-ES" w:bidi="es-ES"/>
              </w:rPr>
              <w:t xml:space="preserve"> Condiciones – Limites / MODIFICACIÓN DE LOS CONTRATOS ESTATALES – Condiciones – Registro Presupuestal / REGISTRO PRESUPUESTAL – Ausencia de RP / </w:t>
            </w:r>
            <w:r w:rsidRPr="00C92578">
              <w:rPr>
                <w:rFonts w:ascii="Verdana" w:hAnsi="Verdana" w:cs="Arial"/>
                <w:bCs/>
                <w:lang w:val="es-ES" w:eastAsia="es-ES" w:bidi="es-ES"/>
              </w:rPr>
              <w:t xml:space="preserve">CESIÓN DEL CONTRATO ESTATAL – Noción / CESIÓN DEL CONTRATO ESTATAL – Régimen jurídico aplicable – EGCAP – Código de comercio / CESIÓN DEL CONTRATO ESTATAL – Requisitos – Restricciones </w:t>
            </w:r>
            <w:r>
              <w:rPr>
                <w:rFonts w:ascii="Verdana" w:hAnsi="Verdana" w:cs="Arial"/>
                <w:bCs/>
                <w:lang w:val="es-ES" w:eastAsia="es-ES" w:bidi="es-ES"/>
              </w:rPr>
              <w:t xml:space="preserve">/ CESIÓN DEL CONTRATO ESTATAL – Registro Presupuestal </w:t>
            </w:r>
            <w:r w:rsidR="00320965" w:rsidRPr="00320965">
              <w:rPr>
                <w:rFonts w:ascii="Verdana" w:hAnsi="Verdana" w:cs="Arial"/>
                <w:b/>
                <w:bCs/>
                <w:lang w:val="es-ES" w:eastAsia="es-ES" w:bidi="es-ES"/>
              </w:rPr>
              <w:t>–</w:t>
            </w:r>
            <w:r w:rsidR="00320965">
              <w:rPr>
                <w:rFonts w:ascii="Verdana" w:hAnsi="Verdana" w:cs="Arial"/>
                <w:bCs/>
                <w:lang w:val="es-ES" w:eastAsia="es-ES" w:bidi="es-ES"/>
              </w:rPr>
              <w:t xml:space="preserve"> </w:t>
            </w:r>
            <w:r>
              <w:rPr>
                <w:rFonts w:ascii="Verdana" w:hAnsi="Verdana" w:cs="Arial"/>
                <w:bCs/>
                <w:lang w:val="es-ES" w:eastAsia="es-ES" w:bidi="es-ES"/>
              </w:rPr>
              <w:t xml:space="preserve">Trámites financieros y contables </w:t>
            </w:r>
          </w:p>
          <w:p w14:paraId="062DC6FB" w14:textId="77777777" w:rsidR="004707E2" w:rsidRPr="003E4CC9" w:rsidRDefault="004707E2" w:rsidP="00BE6284">
            <w:pPr>
              <w:spacing w:line="276" w:lineRule="auto"/>
              <w:jc w:val="both"/>
              <w:rPr>
                <w:rFonts w:ascii="Verdana" w:hAnsi="Verdana" w:cs="Arial"/>
                <w:bCs/>
                <w:lang w:eastAsia="es-ES" w:bidi="es-ES"/>
              </w:rPr>
            </w:pPr>
          </w:p>
          <w:p w14:paraId="253749C0" w14:textId="77777777" w:rsidR="004707E2" w:rsidRPr="003E4CC9" w:rsidRDefault="004707E2" w:rsidP="00BE6284">
            <w:pPr>
              <w:spacing w:line="276" w:lineRule="auto"/>
              <w:jc w:val="both"/>
              <w:rPr>
                <w:rFonts w:ascii="Verdana" w:hAnsi="Verdana" w:cs="Arial"/>
                <w:bCs/>
                <w:highlight w:val="yellow"/>
                <w:lang w:val="es-MX" w:eastAsia="es-ES" w:bidi="es-ES"/>
              </w:rPr>
            </w:pPr>
          </w:p>
        </w:tc>
      </w:tr>
      <w:tr w:rsidR="004707E2" w:rsidRPr="003E4CC9" w14:paraId="3E81C19E" w14:textId="77777777" w:rsidTr="003B5A01">
        <w:tc>
          <w:tcPr>
            <w:tcW w:w="2689" w:type="dxa"/>
          </w:tcPr>
          <w:p w14:paraId="2543BC63" w14:textId="77777777" w:rsidR="004707E2" w:rsidRPr="00BF58C7" w:rsidRDefault="004707E2" w:rsidP="003B5A01">
            <w:pPr>
              <w:jc w:val="both"/>
              <w:rPr>
                <w:rFonts w:ascii="Verdana" w:hAnsi="Verdana" w:cs="Arial"/>
                <w:b/>
                <w:lang w:val="es-MX" w:eastAsia="es-ES" w:bidi="es-ES"/>
              </w:rPr>
            </w:pPr>
            <w:r w:rsidRPr="00BF58C7">
              <w:rPr>
                <w:rFonts w:ascii="Verdana" w:hAnsi="Verdana" w:cs="Arial"/>
                <w:b/>
                <w:lang w:val="es-MX" w:eastAsia="es-ES" w:bidi="es-ES"/>
              </w:rPr>
              <w:t xml:space="preserve">Radicación:               </w:t>
            </w:r>
          </w:p>
        </w:tc>
        <w:tc>
          <w:tcPr>
            <w:tcW w:w="6242" w:type="dxa"/>
          </w:tcPr>
          <w:p w14:paraId="329EDAE9" w14:textId="77777777" w:rsidR="004707E2" w:rsidRPr="00BF58C7" w:rsidRDefault="004707E2" w:rsidP="003B5A01">
            <w:pPr>
              <w:jc w:val="both"/>
              <w:rPr>
                <w:rFonts w:ascii="Verdana" w:hAnsi="Verdana" w:cs="Arial"/>
                <w:bCs/>
                <w:lang w:eastAsia="es-ES" w:bidi="es-ES"/>
              </w:rPr>
            </w:pPr>
            <w:r w:rsidRPr="003E4CC9">
              <w:rPr>
                <w:rFonts w:ascii="Verdana" w:hAnsi="Verdana" w:cs="Arial"/>
                <w:bCs/>
                <w:lang w:val="es-MX" w:eastAsia="es-ES" w:bidi="es-ES"/>
              </w:rPr>
              <w:t xml:space="preserve">Respuesta a consulta con radicado No. </w:t>
            </w:r>
            <w:r w:rsidRPr="001316B2">
              <w:rPr>
                <w:rFonts w:ascii="Verdana" w:hAnsi="Verdana" w:cs="Arial"/>
                <w:bCs/>
                <w:lang w:eastAsia="es-ES" w:bidi="es-ES"/>
              </w:rPr>
              <w:t>1_2026_07_23_009730</w:t>
            </w:r>
          </w:p>
          <w:p w14:paraId="1340F849" w14:textId="77777777" w:rsidR="004707E2" w:rsidRPr="00BF58C7" w:rsidRDefault="004707E2" w:rsidP="003B5A01">
            <w:pPr>
              <w:jc w:val="both"/>
              <w:rPr>
                <w:rFonts w:ascii="Verdana" w:hAnsi="Verdana" w:cs="Arial"/>
                <w:bCs/>
                <w:lang w:eastAsia="es-ES" w:bidi="es-ES"/>
              </w:rPr>
            </w:pPr>
          </w:p>
        </w:tc>
      </w:tr>
    </w:tbl>
    <w:p w14:paraId="12ED8D9D" w14:textId="77777777" w:rsidR="004707E2" w:rsidRPr="003E4CC9" w:rsidRDefault="004707E2" w:rsidP="004707E2">
      <w:pPr>
        <w:spacing w:after="0" w:line="240" w:lineRule="auto"/>
        <w:jc w:val="both"/>
        <w:rPr>
          <w:rFonts w:ascii="Verdana" w:hAnsi="Verdana" w:cs="Arial"/>
          <w:bCs/>
          <w:lang w:val="es-ES_tradnl" w:eastAsia="es-ES" w:bidi="es-ES"/>
        </w:rPr>
      </w:pPr>
    </w:p>
    <w:p w14:paraId="3E5E70E4" w14:textId="77777777" w:rsidR="004707E2" w:rsidRPr="003E4CC9" w:rsidRDefault="004707E2" w:rsidP="004707E2">
      <w:pPr>
        <w:spacing w:after="0" w:line="240" w:lineRule="auto"/>
        <w:jc w:val="both"/>
        <w:rPr>
          <w:rFonts w:ascii="Verdana" w:hAnsi="Verdana" w:cs="Arial"/>
          <w:bCs/>
          <w:lang w:val="es-ES_tradnl" w:eastAsia="es-ES" w:bidi="es-ES"/>
        </w:rPr>
      </w:pPr>
    </w:p>
    <w:p w14:paraId="481D9ECA" w14:textId="77777777" w:rsidR="004707E2" w:rsidRPr="003E4CC9" w:rsidRDefault="004707E2" w:rsidP="004707E2">
      <w:pPr>
        <w:spacing w:after="0" w:line="276" w:lineRule="auto"/>
        <w:jc w:val="both"/>
        <w:rPr>
          <w:rFonts w:ascii="Verdana" w:hAnsi="Verdana" w:cs="Arial"/>
          <w:bCs/>
          <w:lang w:val="es-MX" w:eastAsia="es-ES" w:bidi="es-ES"/>
        </w:rPr>
      </w:pPr>
      <w:r w:rsidRPr="003E4CC9">
        <w:rPr>
          <w:rFonts w:ascii="Verdana" w:hAnsi="Verdana" w:cs="Arial"/>
          <w:bCs/>
          <w:lang w:val="es-MX" w:eastAsia="es-ES" w:bidi="es-ES"/>
        </w:rPr>
        <w:t xml:space="preserve">Estimado </w:t>
      </w:r>
      <w:r>
        <w:rPr>
          <w:rFonts w:ascii="Verdana" w:hAnsi="Verdana" w:cs="Arial"/>
          <w:bCs/>
          <w:lang w:val="es-MX" w:eastAsia="es-ES" w:bidi="es-ES"/>
        </w:rPr>
        <w:t>Señor Bustos</w:t>
      </w:r>
      <w:r w:rsidRPr="003E4CC9">
        <w:rPr>
          <w:rFonts w:ascii="Verdana" w:hAnsi="Verdana" w:cs="Arial"/>
          <w:bCs/>
          <w:lang w:val="es-MX" w:eastAsia="es-ES" w:bidi="es-ES"/>
        </w:rPr>
        <w:t>:</w:t>
      </w:r>
    </w:p>
    <w:p w14:paraId="33617B8F" w14:textId="77777777" w:rsidR="004707E2" w:rsidRPr="003E4CC9" w:rsidRDefault="004707E2" w:rsidP="004707E2">
      <w:pPr>
        <w:spacing w:after="0" w:line="276" w:lineRule="auto"/>
        <w:jc w:val="both"/>
        <w:rPr>
          <w:rFonts w:ascii="Verdana" w:hAnsi="Verdana" w:cs="Arial"/>
          <w:bCs/>
          <w:lang w:val="es-ES" w:eastAsia="es-ES" w:bidi="es-ES"/>
        </w:rPr>
      </w:pPr>
      <w:r w:rsidRPr="003E4CC9">
        <w:rPr>
          <w:rFonts w:ascii="Verdana" w:hAnsi="Verdana" w:cs="Arial"/>
          <w:bCs/>
          <w:lang w:val="es-ES" w:eastAsia="es-ES" w:bidi="es-ES"/>
        </w:rPr>
        <w:tab/>
      </w:r>
    </w:p>
    <w:p w14:paraId="3DCDDE10" w14:textId="77777777" w:rsidR="004707E2" w:rsidRPr="003E4CC9" w:rsidRDefault="004707E2" w:rsidP="004707E2">
      <w:pPr>
        <w:spacing w:after="0" w:line="276" w:lineRule="auto"/>
        <w:jc w:val="both"/>
        <w:rPr>
          <w:rFonts w:ascii="Verdana" w:hAnsi="Verdana" w:cs="Arial"/>
          <w:bCs/>
          <w:lang w:val="es-ES" w:eastAsia="es-ES" w:bidi="es-ES"/>
        </w:rPr>
      </w:pPr>
      <w:r w:rsidRPr="003E4CC9">
        <w:rPr>
          <w:rFonts w:ascii="Verdana" w:hAnsi="Verdana" w:cs="Arial"/>
          <w:bCs/>
          <w:lang w:val="es-ES" w:eastAsia="es-ES" w:bidi="es-ES"/>
        </w:rPr>
        <w:t xml:space="preserve">En ejercicio de la competencia otorgada por los artículos 3, numeral 5º, y 11, numeral 8º, del Decreto Ley 4170 de 2011, </w:t>
      </w:r>
      <w:r w:rsidRPr="003E4CC9">
        <w:rPr>
          <w:rFonts w:ascii="Verdana" w:hAnsi="Verdana" w:cs="Arial"/>
          <w:lang w:val="es-ES_tradnl"/>
        </w:rPr>
        <w:t>así como lo establecido en</w:t>
      </w:r>
      <w:r w:rsidRPr="003E4CC9">
        <w:rPr>
          <w:rFonts w:ascii="Verdana" w:hAnsi="Verdana" w:cs="Arial"/>
        </w:rPr>
        <w:t xml:space="preserve"> la Resolución 469 de 2025 expedida por esta Entidad</w:t>
      </w:r>
      <w:r w:rsidRPr="003E4CC9">
        <w:rPr>
          <w:rFonts w:ascii="Verdana" w:hAnsi="Verdana" w:cs="Arial"/>
          <w:bCs/>
          <w:lang w:eastAsia="es-ES" w:bidi="es-ES"/>
        </w:rPr>
        <w:t xml:space="preserve">, </w:t>
      </w:r>
      <w:r w:rsidRPr="003E4CC9">
        <w:rPr>
          <w:rFonts w:ascii="Verdana" w:hAnsi="Verdana" w:cs="Arial"/>
          <w:bCs/>
          <w:lang w:val="es-ES" w:eastAsia="es-ES" w:bidi="es-ES"/>
        </w:rPr>
        <w:t>la Agencia Nacional de Contratación Pública – Colombia Compra Eficiente– responde su solicitud de consulta de</w:t>
      </w:r>
      <w:r>
        <w:rPr>
          <w:rFonts w:ascii="Verdana" w:hAnsi="Verdana" w:cs="Arial"/>
          <w:bCs/>
          <w:lang w:val="es-ES" w:eastAsia="es-ES" w:bidi="es-ES"/>
        </w:rPr>
        <w:t>l 23 de julio de</w:t>
      </w:r>
      <w:r w:rsidRPr="003E4CC9">
        <w:rPr>
          <w:rFonts w:ascii="Verdana" w:hAnsi="Verdana" w:cs="Arial"/>
          <w:bCs/>
          <w:lang w:val="es-ES" w:eastAsia="es-ES" w:bidi="es-ES"/>
        </w:rPr>
        <w:t xml:space="preserve"> </w:t>
      </w:r>
      <w:r>
        <w:rPr>
          <w:rFonts w:ascii="Verdana" w:hAnsi="Verdana" w:cs="Arial"/>
          <w:bCs/>
          <w:lang w:val="es-ES" w:eastAsia="es-ES" w:bidi="es-ES"/>
        </w:rPr>
        <w:t>2026</w:t>
      </w:r>
      <w:r w:rsidRPr="003E4CC9">
        <w:rPr>
          <w:rFonts w:ascii="Verdana" w:hAnsi="Verdana" w:cs="Arial"/>
          <w:bCs/>
          <w:lang w:val="es-ES" w:eastAsia="es-ES" w:bidi="es-ES"/>
        </w:rPr>
        <w:t xml:space="preserve">, en la cual manifiesta: </w:t>
      </w:r>
    </w:p>
    <w:p w14:paraId="1DCCDFBC" w14:textId="77777777" w:rsidR="004707E2" w:rsidRPr="002E418D" w:rsidRDefault="004707E2" w:rsidP="004707E2">
      <w:pPr>
        <w:spacing w:after="0" w:line="240" w:lineRule="auto"/>
        <w:ind w:right="709"/>
        <w:jc w:val="both"/>
        <w:rPr>
          <w:rFonts w:ascii="Verdana" w:hAnsi="Verdana" w:cs="Arial"/>
          <w:bCs/>
          <w:sz w:val="20"/>
          <w:szCs w:val="20"/>
          <w:lang w:eastAsia="es-ES" w:bidi="es-ES"/>
        </w:rPr>
      </w:pPr>
    </w:p>
    <w:p w14:paraId="57AFF38E" w14:textId="77777777" w:rsidR="004707E2" w:rsidRDefault="004707E2" w:rsidP="004707E2">
      <w:pPr>
        <w:spacing w:after="0" w:line="240" w:lineRule="auto"/>
        <w:ind w:left="709" w:right="709"/>
        <w:jc w:val="both"/>
        <w:rPr>
          <w:rFonts w:ascii="Verdana" w:hAnsi="Verdana" w:cs="Arial"/>
          <w:bCs/>
          <w:sz w:val="20"/>
          <w:szCs w:val="20"/>
          <w:lang w:eastAsia="es-ES" w:bidi="es-ES"/>
        </w:rPr>
      </w:pPr>
      <w:r>
        <w:rPr>
          <w:rFonts w:ascii="Verdana" w:hAnsi="Verdana" w:cs="Arial"/>
          <w:bCs/>
          <w:sz w:val="20"/>
          <w:szCs w:val="20"/>
          <w:lang w:eastAsia="es-ES" w:bidi="es-ES"/>
        </w:rPr>
        <w:t xml:space="preserve">”1. </w:t>
      </w:r>
      <w:r w:rsidRPr="00965AD9">
        <w:rPr>
          <w:rFonts w:ascii="Verdana" w:hAnsi="Verdana" w:cs="Arial"/>
          <w:bCs/>
          <w:sz w:val="20"/>
          <w:szCs w:val="20"/>
          <w:lang w:eastAsia="es-ES" w:bidi="es-ES"/>
        </w:rPr>
        <w:t xml:space="preserve">Considerando que el Registro Presupuestal de una modificación contractual solo puede modificarse una vez perfeccionado el acto modificatorio, ¿puede un contrato estatal objeto de una cesión o de una adición en valor iniciar y continuar su ejecución material desde la suscripción del respectivo acto modificatorio, aun cuando el Registro Presupuestal no haya sido modificado? ¿O, por el contrario, dicha ejecución material queda condicionada a la previa modificación del RP? </w:t>
      </w:r>
    </w:p>
    <w:p w14:paraId="141F7AA3" w14:textId="77777777" w:rsidR="004707E2" w:rsidRDefault="004707E2" w:rsidP="004707E2">
      <w:pPr>
        <w:spacing w:after="0" w:line="240" w:lineRule="auto"/>
        <w:ind w:left="709" w:right="709"/>
        <w:jc w:val="both"/>
        <w:rPr>
          <w:rFonts w:ascii="Verdana" w:hAnsi="Verdana" w:cs="Arial"/>
          <w:bCs/>
          <w:sz w:val="20"/>
          <w:szCs w:val="20"/>
          <w:lang w:eastAsia="es-ES" w:bidi="es-ES"/>
        </w:rPr>
      </w:pPr>
      <w:r>
        <w:rPr>
          <w:rFonts w:ascii="Verdana" w:hAnsi="Verdana" w:cs="Arial"/>
          <w:bCs/>
          <w:sz w:val="20"/>
          <w:szCs w:val="20"/>
          <w:lang w:eastAsia="es-ES" w:bidi="es-ES"/>
        </w:rPr>
        <w:t xml:space="preserve">2. </w:t>
      </w:r>
      <w:r w:rsidRPr="00965AD9">
        <w:rPr>
          <w:rFonts w:ascii="Verdana" w:hAnsi="Verdana" w:cs="Arial"/>
          <w:bCs/>
          <w:sz w:val="20"/>
          <w:szCs w:val="20"/>
          <w:lang w:eastAsia="es-ES" w:bidi="es-ES"/>
        </w:rPr>
        <w:t xml:space="preserve">¿Existe en el ordenamiento jurídico colombiano un plazo legal, reglamentario o razonable dentro del cual la entidad estatal deba modificar el Registro Presupuestal con posterioridad al perfeccionamiento de la modificación contractual (cesión o adición)? De existir, se solicita indicar la norma que lo consagra y su alcance. </w:t>
      </w:r>
    </w:p>
    <w:p w14:paraId="16B06FD9" w14:textId="77777777" w:rsidR="004707E2" w:rsidRPr="00965AD9" w:rsidRDefault="004707E2" w:rsidP="004707E2">
      <w:pPr>
        <w:spacing w:after="0" w:line="240" w:lineRule="auto"/>
        <w:ind w:left="709" w:right="709"/>
        <w:jc w:val="both"/>
        <w:rPr>
          <w:rFonts w:ascii="Verdana" w:hAnsi="Verdana" w:cs="Arial"/>
          <w:bCs/>
          <w:sz w:val="20"/>
          <w:szCs w:val="20"/>
          <w:lang w:eastAsia="es-ES" w:bidi="es-ES"/>
        </w:rPr>
      </w:pPr>
      <w:r>
        <w:rPr>
          <w:rFonts w:ascii="Verdana" w:hAnsi="Verdana" w:cs="Arial"/>
          <w:bCs/>
          <w:sz w:val="20"/>
          <w:szCs w:val="20"/>
          <w:lang w:eastAsia="es-ES" w:bidi="es-ES"/>
        </w:rPr>
        <w:t xml:space="preserve">3. </w:t>
      </w:r>
      <w:r w:rsidRPr="00965AD9">
        <w:rPr>
          <w:rFonts w:ascii="Verdana" w:hAnsi="Verdana" w:cs="Arial"/>
          <w:bCs/>
          <w:sz w:val="20"/>
          <w:szCs w:val="20"/>
          <w:lang w:eastAsia="es-ES" w:bidi="es-ES"/>
        </w:rPr>
        <w:t>Sin perjuicio de la validez y eficacia del acto modificatorio, ¿cuáles son las consecuencias jurídicas, en relación con la ejecución contractual, si la modificación del Registro Presupuestal se produce con posterioridad al perfeccionamiento del acto modificatorio, y no de manera simultánea?</w:t>
      </w:r>
      <w:r>
        <w:rPr>
          <w:rFonts w:ascii="Verdana" w:hAnsi="Verdana" w:cs="Arial"/>
          <w:bCs/>
          <w:sz w:val="20"/>
          <w:szCs w:val="20"/>
          <w:lang w:eastAsia="es-ES" w:bidi="es-ES"/>
        </w:rPr>
        <w:t>”</w:t>
      </w:r>
      <w:r w:rsidRPr="00965AD9">
        <w:rPr>
          <w:rFonts w:ascii="Verdana" w:hAnsi="Verdana" w:cs="Arial"/>
          <w:bCs/>
          <w:sz w:val="20"/>
          <w:szCs w:val="20"/>
          <w:lang w:eastAsia="es-ES" w:bidi="es-ES"/>
        </w:rPr>
        <w:t xml:space="preserve"> </w:t>
      </w:r>
    </w:p>
    <w:p w14:paraId="09BF86E4" w14:textId="77777777" w:rsidR="004707E2" w:rsidRPr="003E4CC9" w:rsidRDefault="004707E2" w:rsidP="004707E2">
      <w:pPr>
        <w:spacing w:after="0" w:line="276" w:lineRule="auto"/>
        <w:jc w:val="both"/>
        <w:rPr>
          <w:rFonts w:ascii="Verdana" w:hAnsi="Verdana" w:cs="Arial"/>
          <w:bCs/>
          <w:lang w:eastAsia="es-ES" w:bidi="es-ES"/>
        </w:rPr>
      </w:pPr>
    </w:p>
    <w:p w14:paraId="13A68F01" w14:textId="77777777" w:rsidR="004707E2" w:rsidRPr="003E4CC9" w:rsidRDefault="004707E2" w:rsidP="004707E2">
      <w:pPr>
        <w:spacing w:after="120" w:line="276" w:lineRule="auto"/>
        <w:ind w:firstLine="709"/>
        <w:jc w:val="both"/>
        <w:rPr>
          <w:rFonts w:ascii="Verdana" w:eastAsia="Calibri" w:hAnsi="Verdana" w:cs="Times New Roman"/>
          <w:lang w:val="es-ES"/>
        </w:rPr>
      </w:pPr>
      <w:r w:rsidRPr="003E4CC9">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7C8D959" w14:textId="77777777" w:rsidR="004707E2" w:rsidRPr="003E4CC9" w:rsidRDefault="004707E2" w:rsidP="004707E2">
      <w:pPr>
        <w:spacing w:after="0" w:line="276" w:lineRule="auto"/>
        <w:ind w:firstLine="708"/>
        <w:jc w:val="both"/>
        <w:rPr>
          <w:rFonts w:ascii="Verdana" w:eastAsia="Calibri" w:hAnsi="Verdana" w:cs="Times New Roman"/>
          <w:lang w:val="es-ES"/>
        </w:rPr>
      </w:pPr>
      <w:r w:rsidRPr="003E4CC9">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Times New Roman"/>
          <w:lang w:val="es-ES"/>
        </w:rPr>
        <w:t xml:space="preserve">los problemas jurídicos de su consulta. </w:t>
      </w:r>
    </w:p>
    <w:p w14:paraId="6F47302D" w14:textId="77777777" w:rsidR="004707E2" w:rsidRPr="003E4CC9" w:rsidRDefault="004707E2" w:rsidP="004707E2">
      <w:pPr>
        <w:spacing w:after="0" w:line="256" w:lineRule="auto"/>
        <w:rPr>
          <w:rFonts w:ascii="Verdana" w:eastAsia="Calibri" w:hAnsi="Verdana" w:cs="Times New Roman"/>
          <w:lang w:val="es-ES"/>
        </w:rPr>
      </w:pPr>
    </w:p>
    <w:p w14:paraId="19103080" w14:textId="77777777" w:rsidR="004707E2" w:rsidRPr="003E4CC9" w:rsidRDefault="004707E2" w:rsidP="004707E2">
      <w:pPr>
        <w:numPr>
          <w:ilvl w:val="0"/>
          <w:numId w:val="16"/>
        </w:numPr>
        <w:spacing w:after="0" w:line="256" w:lineRule="auto"/>
        <w:contextualSpacing/>
        <w:rPr>
          <w:rFonts w:ascii="Verdana" w:eastAsia="Calibri" w:hAnsi="Verdana" w:cs="Times New Roman"/>
          <w:b/>
          <w:bCs/>
          <w:lang w:val="es-ES"/>
        </w:rPr>
      </w:pPr>
      <w:r w:rsidRPr="003E4CC9">
        <w:rPr>
          <w:rFonts w:ascii="Verdana" w:eastAsia="Calibri" w:hAnsi="Verdana" w:cs="Times New Roman"/>
          <w:b/>
          <w:bCs/>
          <w:lang w:val="es-ES"/>
        </w:rPr>
        <w:lastRenderedPageBreak/>
        <w:t>Problema planteado:</w:t>
      </w:r>
    </w:p>
    <w:p w14:paraId="1D21659C" w14:textId="77777777" w:rsidR="004707E2" w:rsidRPr="003E4CC9" w:rsidRDefault="004707E2" w:rsidP="004707E2">
      <w:pPr>
        <w:spacing w:after="0" w:line="256" w:lineRule="auto"/>
        <w:rPr>
          <w:rFonts w:ascii="Verdana" w:eastAsia="Calibri" w:hAnsi="Verdana" w:cs="Times New Roman"/>
        </w:rPr>
      </w:pPr>
    </w:p>
    <w:p w14:paraId="2543D39C" w14:textId="77777777" w:rsidR="004707E2" w:rsidRPr="0057428E" w:rsidRDefault="004707E2" w:rsidP="004707E2">
      <w:pPr>
        <w:spacing w:after="0" w:line="276" w:lineRule="auto"/>
        <w:jc w:val="both"/>
        <w:rPr>
          <w:rFonts w:ascii="Verdana" w:eastAsia="Calibri" w:hAnsi="Verdana"/>
        </w:rPr>
      </w:pPr>
      <w:r w:rsidRPr="003E4CC9">
        <w:rPr>
          <w:rFonts w:ascii="Verdana" w:eastAsia="Calibri" w:hAnsi="Verdana" w:cs="Times New Roman"/>
        </w:rPr>
        <w:t>De acuerdo con el contenido de su solicitud, se presenta</w:t>
      </w:r>
      <w:r>
        <w:rPr>
          <w:rFonts w:ascii="Verdana" w:eastAsia="Calibri" w:hAnsi="Verdana" w:cs="Times New Roman"/>
        </w:rPr>
        <w:t>n los siguientes problemas jurídicos</w:t>
      </w:r>
      <w:r w:rsidRPr="003E4CC9">
        <w:rPr>
          <w:rFonts w:ascii="Verdana" w:eastAsia="Calibri" w:hAnsi="Verdana" w:cs="Times New Roman"/>
        </w:rPr>
        <w:t>:</w:t>
      </w:r>
      <w:r>
        <w:rPr>
          <w:rFonts w:ascii="Verdana" w:eastAsia="Calibri" w:hAnsi="Verdana" w:cs="Times New Roman"/>
        </w:rPr>
        <w:t xml:space="preserve"> i)</w:t>
      </w:r>
      <w:r w:rsidRPr="003E4CC9">
        <w:rPr>
          <w:rFonts w:ascii="Verdana" w:eastAsia="Calibri" w:hAnsi="Verdana" w:cs="Times New Roman"/>
        </w:rPr>
        <w:t xml:space="preserve"> </w:t>
      </w:r>
      <w:r w:rsidRPr="0057428E">
        <w:rPr>
          <w:rFonts w:ascii="Verdana" w:eastAsia="Calibri" w:hAnsi="Verdana"/>
        </w:rPr>
        <w:t>¿Puede un contrato estatal que ha sido objeto de una cesión o de una adición continuar su ejecución material desde la suscripción del</w:t>
      </w:r>
      <w:r>
        <w:rPr>
          <w:rFonts w:ascii="Verdana" w:eastAsia="Calibri" w:hAnsi="Verdana"/>
        </w:rPr>
        <w:t xml:space="preserve"> otrosí o del acta de cesión</w:t>
      </w:r>
      <w:r w:rsidRPr="0057428E">
        <w:rPr>
          <w:rFonts w:ascii="Verdana" w:eastAsia="Calibri" w:hAnsi="Verdana"/>
        </w:rPr>
        <w:t>, aun cuando el Registro Presupuestal correspondiente no haya sido ajustado</w:t>
      </w:r>
      <w:r>
        <w:rPr>
          <w:rFonts w:ascii="Verdana" w:eastAsia="Calibri" w:hAnsi="Verdana"/>
        </w:rPr>
        <w:t xml:space="preserve"> o expedido</w:t>
      </w:r>
      <w:r w:rsidRPr="0057428E">
        <w:rPr>
          <w:rFonts w:ascii="Verdana" w:eastAsia="Calibri" w:hAnsi="Verdana"/>
        </w:rPr>
        <w:t xml:space="preserve">?; </w:t>
      </w:r>
      <w:proofErr w:type="spellStart"/>
      <w:r>
        <w:rPr>
          <w:rFonts w:ascii="Verdana" w:eastAsia="Calibri" w:hAnsi="Verdana"/>
        </w:rPr>
        <w:t>ii</w:t>
      </w:r>
      <w:proofErr w:type="spellEnd"/>
      <w:r>
        <w:rPr>
          <w:rFonts w:ascii="Verdana" w:eastAsia="Calibri" w:hAnsi="Verdana"/>
        </w:rPr>
        <w:t xml:space="preserve">) </w:t>
      </w:r>
      <w:r w:rsidRPr="00960BFE">
        <w:rPr>
          <w:rFonts w:ascii="Verdana" w:eastAsia="Calibri" w:hAnsi="Verdana"/>
        </w:rPr>
        <w:t>¿En el marco del Sistema de Compras Públicas, existe un plazo legal o reglamentario que obligue a la entidad estatal a expedir el Registro Presupuestal con posterioridad al perfeccionamiento de un acto modificatorio —adición en valor— y</w:t>
      </w:r>
      <w:r>
        <w:rPr>
          <w:rFonts w:ascii="Verdana" w:eastAsia="Calibri" w:hAnsi="Verdana"/>
        </w:rPr>
        <w:t xml:space="preserve"> la cesión del contrato</w:t>
      </w:r>
      <w:r w:rsidRPr="00960BFE">
        <w:rPr>
          <w:rFonts w:ascii="Verdana" w:eastAsia="Calibri" w:hAnsi="Verdana"/>
        </w:rPr>
        <w:t>, de no hacerlo de manera simultánea, cuáles son los efectos jurídicos que ello genera</w:t>
      </w:r>
      <w:r>
        <w:rPr>
          <w:rFonts w:ascii="Verdana" w:eastAsia="Calibri" w:hAnsi="Verdana"/>
        </w:rPr>
        <w:t xml:space="preserve"> en el contrato estatal</w:t>
      </w:r>
      <w:r w:rsidRPr="00960BFE">
        <w:rPr>
          <w:rFonts w:ascii="Verdana" w:eastAsia="Calibri" w:hAnsi="Verdana"/>
        </w:rPr>
        <w:t>?</w:t>
      </w:r>
    </w:p>
    <w:p w14:paraId="3619DB84" w14:textId="77777777" w:rsidR="004707E2" w:rsidRPr="003E4CC9" w:rsidRDefault="004707E2" w:rsidP="004707E2">
      <w:pPr>
        <w:spacing w:after="0" w:line="276" w:lineRule="auto"/>
        <w:jc w:val="both"/>
        <w:rPr>
          <w:rFonts w:ascii="Verdana" w:eastAsia="Calibri" w:hAnsi="Verdana" w:cs="Times New Roman"/>
        </w:rPr>
      </w:pPr>
    </w:p>
    <w:p w14:paraId="19073A9C" w14:textId="77777777" w:rsidR="004707E2" w:rsidRPr="003E4CC9" w:rsidRDefault="004707E2" w:rsidP="004707E2">
      <w:pPr>
        <w:numPr>
          <w:ilvl w:val="0"/>
          <w:numId w:val="16"/>
        </w:numPr>
        <w:spacing w:after="0" w:line="256" w:lineRule="auto"/>
        <w:contextualSpacing/>
        <w:rPr>
          <w:rFonts w:ascii="Verdana" w:eastAsia="Calibri" w:hAnsi="Verdana" w:cs="Times New Roman"/>
          <w:b/>
          <w:bCs/>
          <w:lang w:val="es-ES"/>
        </w:rPr>
      </w:pPr>
      <w:r w:rsidRPr="003E4CC9">
        <w:rPr>
          <w:rFonts w:ascii="Verdana" w:eastAsia="Calibri" w:hAnsi="Verdana" w:cs="Times New Roman"/>
          <w:b/>
          <w:bCs/>
          <w:lang w:val="es-ES"/>
        </w:rPr>
        <w:t>Respuesta:</w:t>
      </w:r>
    </w:p>
    <w:p w14:paraId="45603C7A" w14:textId="77777777" w:rsidR="004707E2" w:rsidRPr="003E4CC9" w:rsidRDefault="004707E2" w:rsidP="004707E2">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707E2" w:rsidRPr="003E4CC9" w14:paraId="18BB4AA6" w14:textId="77777777" w:rsidTr="003B5A01">
        <w:trPr>
          <w:trHeight w:val="870"/>
          <w:jc w:val="center"/>
        </w:trPr>
        <w:tc>
          <w:tcPr>
            <w:tcW w:w="8647" w:type="dxa"/>
          </w:tcPr>
          <w:p w14:paraId="17FCEAF1" w14:textId="77777777" w:rsidR="004707E2" w:rsidRDefault="004707E2" w:rsidP="003B5A01">
            <w:pPr>
              <w:spacing w:line="276" w:lineRule="auto"/>
              <w:jc w:val="both"/>
              <w:rPr>
                <w:rFonts w:ascii="Verdana" w:eastAsiaTheme="minorEastAsia" w:hAnsi="Verdana"/>
                <w:lang w:eastAsia="es-CO"/>
              </w:rPr>
            </w:pPr>
            <w:r>
              <w:rPr>
                <w:rFonts w:ascii="Verdana" w:eastAsiaTheme="minorEastAsia" w:hAnsi="Verdana"/>
                <w:lang w:eastAsia="es-CO"/>
              </w:rPr>
              <w:t>En relación con los dos problemas jurídicos de su consulta, se expresa lo siguiente:</w:t>
            </w:r>
          </w:p>
          <w:p w14:paraId="5CCDD220" w14:textId="77777777" w:rsidR="004707E2" w:rsidRDefault="004707E2" w:rsidP="003B5A01">
            <w:pPr>
              <w:spacing w:line="276" w:lineRule="auto"/>
              <w:jc w:val="both"/>
              <w:rPr>
                <w:rFonts w:ascii="Verdana" w:eastAsiaTheme="minorEastAsia" w:hAnsi="Verdana"/>
                <w:lang w:eastAsia="es-CO"/>
              </w:rPr>
            </w:pPr>
          </w:p>
          <w:p w14:paraId="5F0306C4" w14:textId="77777777" w:rsidR="004707E2" w:rsidRDefault="004707E2" w:rsidP="003B5A01">
            <w:pPr>
              <w:spacing w:after="120" w:line="276" w:lineRule="auto"/>
              <w:jc w:val="both"/>
              <w:rPr>
                <w:rFonts w:ascii="Verdana" w:eastAsia="Times New Roman" w:hAnsi="Verdana" w:cs="Arial"/>
                <w:lang w:eastAsia="es-ES_tradnl"/>
              </w:rPr>
            </w:pPr>
            <w:r>
              <w:rPr>
                <w:rFonts w:ascii="Verdana" w:eastAsiaTheme="minorEastAsia" w:hAnsi="Verdana"/>
                <w:lang w:eastAsia="es-CO"/>
              </w:rPr>
              <w:t>i</w:t>
            </w:r>
            <w:r w:rsidRPr="007A074E">
              <w:rPr>
                <w:rFonts w:ascii="Verdana" w:eastAsiaTheme="minorEastAsia" w:hAnsi="Verdana"/>
                <w:lang w:eastAsia="es-CO"/>
              </w:rPr>
              <w:t xml:space="preserve">. En relación con el primer problema jurídico de su consulta, se </w:t>
            </w:r>
            <w:r>
              <w:rPr>
                <w:rFonts w:ascii="Verdana" w:eastAsiaTheme="minorEastAsia" w:hAnsi="Verdana"/>
              </w:rPr>
              <w:t>expresa que,</w:t>
            </w:r>
            <w:r w:rsidRPr="007A074E">
              <w:rPr>
                <w:rFonts w:ascii="Verdana" w:eastAsiaTheme="minorEastAsia" w:hAnsi="Verdana"/>
              </w:rPr>
              <w:t xml:space="preserve"> Ley 80 de 1993, en su artículo 41, establece que el Registro Presupuestal (RP) es un requisito indispensable para iniciar la ejecución de los contratos estatales, una vez definidos su valor y plazo. </w:t>
            </w:r>
            <w:r w:rsidRPr="00BF48AB">
              <w:rPr>
                <w:rFonts w:ascii="Verdana" w:eastAsia="Times New Roman" w:hAnsi="Verdana" w:cs="Arial"/>
                <w:lang w:eastAsia="es-ES_tradnl"/>
              </w:rPr>
              <w:t xml:space="preserve">En aplicación del mismo principio, dicho registro resulta igualmente necesario frente a una eventual adición contractual, pues esta implica la asunción de nuevas obligaciones económicas por parte de la entidad. </w:t>
            </w:r>
          </w:p>
          <w:p w14:paraId="122771AF" w14:textId="77777777" w:rsidR="004707E2" w:rsidRPr="009D4B18" w:rsidRDefault="004707E2" w:rsidP="003B5A01">
            <w:pPr>
              <w:spacing w:after="120" w:line="276" w:lineRule="auto"/>
              <w:ind w:firstLine="709"/>
              <w:jc w:val="both"/>
              <w:rPr>
                <w:rFonts w:ascii="Verdana" w:eastAsiaTheme="minorEastAsia" w:hAnsi="Verdana"/>
              </w:rPr>
            </w:pPr>
            <w:r w:rsidRPr="00625198">
              <w:rPr>
                <w:rStyle w:val="Refdecomentario"/>
                <w:rFonts w:ascii="Verdana" w:eastAsiaTheme="minorEastAsia" w:hAnsi="Verdana"/>
                <w:sz w:val="22"/>
                <w:szCs w:val="22"/>
              </w:rPr>
              <w:t xml:space="preserve">En armonía con lo anterior, el Consejo de Estado mediante sentencia del 16 de mayo de 2016, expedida en el marco del expediente No. 46.185, precisó que tanto la disponibilidad presupuestal (CDP) como el compromiso presupuestal (RP) son condiciones que inciden en la legalidad del gasto público y en la regularidad de la ejecución de los contratos estatales, en la medida en que garantizan la existencia de recursos suficientes para respaldar las obligaciones a cargo de la entidad. En este sentido, cuando se trata de una adición del valor del contrato, el acto modificatorio se perfecciona con la suscripción del documento correspondiente –otrosí, acta de modificación, adición, </w:t>
            </w:r>
            <w:proofErr w:type="spellStart"/>
            <w:r w:rsidRPr="00625198">
              <w:rPr>
                <w:rStyle w:val="Refdecomentario"/>
                <w:rFonts w:ascii="Verdana" w:eastAsiaTheme="minorEastAsia" w:hAnsi="Verdana"/>
                <w:sz w:val="22"/>
                <w:szCs w:val="22"/>
              </w:rPr>
              <w:t>etc</w:t>
            </w:r>
            <w:proofErr w:type="spellEnd"/>
            <w:r w:rsidRPr="00625198">
              <w:rPr>
                <w:rStyle w:val="Refdecomentario"/>
                <w:rFonts w:ascii="Verdana" w:eastAsiaTheme="minorEastAsia" w:hAnsi="Verdana"/>
                <w:sz w:val="22"/>
                <w:szCs w:val="22"/>
              </w:rPr>
              <w:t xml:space="preserve">–. Sin </w:t>
            </w:r>
            <w:r w:rsidRPr="00205EB0">
              <w:rPr>
                <w:rStyle w:val="Refdecomentario"/>
                <w:rFonts w:ascii="Verdana" w:eastAsiaTheme="minorEastAsia" w:hAnsi="Verdana"/>
                <w:sz w:val="22"/>
                <w:szCs w:val="22"/>
              </w:rPr>
              <w:t>embargo,</w:t>
            </w:r>
            <w:r w:rsidRPr="00625198">
              <w:rPr>
                <w:rStyle w:val="Refdecomentario"/>
                <w:rFonts w:ascii="Verdana" w:eastAsiaTheme="minorEastAsia" w:hAnsi="Verdana"/>
                <w:sz w:val="22"/>
                <w:szCs w:val="22"/>
              </w:rPr>
              <w:t xml:space="preserve"> la ejecución material de las prestaciones que de él se deriven es una cuestión de hecho, que depende de las condiciones </w:t>
            </w:r>
            <w:r w:rsidRPr="00625198">
              <w:rPr>
                <w:rStyle w:val="Refdecomentario"/>
                <w:rFonts w:ascii="Verdana" w:eastAsiaTheme="minorEastAsia" w:hAnsi="Verdana"/>
                <w:sz w:val="22"/>
                <w:szCs w:val="22"/>
              </w:rPr>
              <w:lastRenderedPageBreak/>
              <w:t>reales de la relación contractual y no de la expedición del RP. Lo que exige el ordenamiento es que la entidad cuente con el respaldo presupuestal correspondiente antes de suscribir el acto modificatorio y de dar inicio a la ejecución de las prestaciones adicionales; de no hacerlo, podría dar lugar a la configuración de los denominados hechos cumplidos, esto es, la asunción de obligaciones o la materialización de prestaciones sin el previo cumplimiento de las apropiaciones presupuestales, figura que no afecta la validez de la adición, pero sí genera consecuencias fiscales y disciplinarias para los servidores responsables y puede constituir un incumplimiento imputable a la propia entidad, por no haber dispuesto oportunamente de los recursos necesarios para que el contratista ejecute y sea remunerado con regularidad.</w:t>
            </w:r>
          </w:p>
          <w:p w14:paraId="0E41104F" w14:textId="77777777" w:rsidR="004707E2" w:rsidRPr="009D4B18" w:rsidRDefault="004707E2" w:rsidP="003B5A01">
            <w:pPr>
              <w:spacing w:after="120" w:line="276" w:lineRule="auto"/>
              <w:ind w:firstLine="709"/>
              <w:jc w:val="both"/>
              <w:rPr>
                <w:rFonts w:ascii="Verdana" w:eastAsiaTheme="minorEastAsia" w:hAnsi="Verdana"/>
                <w:lang w:eastAsia="es-CO"/>
              </w:rPr>
            </w:pPr>
            <w:r w:rsidRPr="00625198">
              <w:rPr>
                <w:rFonts w:ascii="Verdana" w:eastAsiaTheme="minorEastAsia" w:hAnsi="Verdana"/>
                <w:lang w:eastAsia="es-CO"/>
              </w:rPr>
              <w:t>En cuanto a la cesión del contrato estatal, esta no implica la celebración de un nuevo contrato, pues lo único que se modifica es la parte que asume la ejecución de las obligaciones ya pactadas. Por esta razón, la ejecución material del objeto contractual no se interrumpe ni queda condicionada a un nuevo trámite presupuestal, en la medida en que las obligaciones económicas amparadas y el respaldo del RP inicial permanecen inalterados. Por ello, el RP inicial conserva su vigencia y, en principio, no resulta necesaria la expedición de un nuevo registro. Cuestión distinta es la legalidad del pago: como la cesión sustituye al acreedor de las obligaciones pendientes de ejecutar, la entidad debe actualizar el registro presupuestal y los demás soportes de ejecución del gasto (obligación y orden de pago) para identificar al cesionario como el nuevo beneficiario, en aplicación del artículo 71 del Decreto 111 de 1996.</w:t>
            </w:r>
            <w:r w:rsidRPr="00625198">
              <w:rPr>
                <w:rStyle w:val="Refdenotaalpie"/>
                <w:rFonts w:ascii="Verdana" w:eastAsia="Times New Roman" w:hAnsi="Verdana" w:cs="Arial"/>
                <w:color w:val="1A1A1A" w:themeColor="background1" w:themeShade="1A"/>
                <w:sz w:val="20"/>
                <w:szCs w:val="20"/>
                <w:lang w:eastAsia="es-ES_tradnl"/>
              </w:rPr>
              <w:footnoteReference w:id="1"/>
            </w:r>
            <w:r w:rsidRPr="00625198">
              <w:rPr>
                <w:rFonts w:ascii="Verdana" w:eastAsiaTheme="minorEastAsia" w:hAnsi="Verdana"/>
                <w:lang w:eastAsia="es-CO"/>
              </w:rPr>
              <w:t xml:space="preserve"> Mientras esa actualización no se realice, la entidad no puede efectuar pagos válidos al cesionario, pues los registros presupuestales seguirían identificando como acreedor a quien ya no es parte del contrato; un pago efectuado en tales condiciones sería irregular y daría lugar al deber de repetición, sin perjuicio de la eventual responsabilidad fiscal y disciplinaria de los funcionarios responsables. Así, aunque la cesión no necesariamente exige la expedición de un nuevo RP en términos de ejecución </w:t>
            </w:r>
            <w:r w:rsidRPr="00625198">
              <w:rPr>
                <w:rFonts w:ascii="Verdana" w:eastAsiaTheme="minorEastAsia" w:hAnsi="Verdana"/>
                <w:lang w:eastAsia="es-CO"/>
              </w:rPr>
              <w:lastRenderedPageBreak/>
              <w:t>del objeto contractual, sí exige la actualización oportuna del registro para asegurar la correcta identificación del acreedor y la legalidad de los pagos derivados del contrato cedido.</w:t>
            </w:r>
          </w:p>
          <w:p w14:paraId="711B4FFB" w14:textId="77777777" w:rsidR="004707E2" w:rsidRPr="009D4B18" w:rsidRDefault="004707E2" w:rsidP="003B5A01">
            <w:pPr>
              <w:spacing w:after="120" w:line="276" w:lineRule="auto"/>
              <w:jc w:val="both"/>
              <w:rPr>
                <w:rFonts w:ascii="Verdana" w:eastAsiaTheme="minorEastAsia" w:hAnsi="Verdana"/>
              </w:rPr>
            </w:pPr>
            <w:proofErr w:type="spellStart"/>
            <w:r w:rsidRPr="00625198">
              <w:rPr>
                <w:rFonts w:ascii="Verdana" w:eastAsiaTheme="minorEastAsia" w:hAnsi="Verdana"/>
              </w:rPr>
              <w:t>ii</w:t>
            </w:r>
            <w:proofErr w:type="spellEnd"/>
            <w:r w:rsidRPr="00625198">
              <w:rPr>
                <w:rFonts w:ascii="Verdana" w:eastAsiaTheme="minorEastAsia" w:hAnsi="Verdana"/>
              </w:rPr>
              <w:t xml:space="preserve">. En torno al segundo problema jurídico de su consulta, se señala que no hay un plazo legal o reglamentario expreso para la expedición o el ajuste del RP con posterioridad al perfeccionamiento de un acto jurídico modificatorio -llámese otrosí, adición, entre otros- o de la cesión del contrato. Lo que sí exige la normativa es que el RP debe estar expedido antes de que la entidad </w:t>
            </w:r>
            <w:proofErr w:type="gramStart"/>
            <w:r w:rsidRPr="00625198">
              <w:rPr>
                <w:rFonts w:ascii="Verdana" w:eastAsiaTheme="minorEastAsia" w:hAnsi="Verdana"/>
              </w:rPr>
              <w:t>dé inicio a</w:t>
            </w:r>
            <w:proofErr w:type="gramEnd"/>
            <w:r w:rsidRPr="00625198">
              <w:rPr>
                <w:rFonts w:ascii="Verdana" w:eastAsiaTheme="minorEastAsia" w:hAnsi="Verdana"/>
              </w:rPr>
              <w:t xml:space="preserve"> la ejecución de las obligaciones derivadas del acto modificatorio, garantizando que los recursos estén comprometidos de manera definitiva y evitando la afectación del principio de legalidad del gasto público, conforme a las reglas del artículo 41 de la Ley 80 de 1993 y artículo 71 del Decreto 111 de 1996. Que no exista un plazo legal o reglamentario expreso no habilita a la entidad para dilatar indefinidamente este trámite: en virtud de los principios de economía, celeridad y eficacia que rigen las actuaciones administrativas (artículo 3 de la Ley 1437 de 2011) y del deber de planeación que gobierna la actividad contractual del Estado, la entidad debe surtirlo dentro de un plazo razonable, esto es, el estrictamente necesario según sus propios procedimientos de ejecución presupuestal.</w:t>
            </w:r>
          </w:p>
          <w:p w14:paraId="3FD8539C" w14:textId="77777777" w:rsidR="004707E2" w:rsidRDefault="004707E2" w:rsidP="003B5A01">
            <w:pPr>
              <w:spacing w:after="120" w:line="276" w:lineRule="auto"/>
              <w:ind w:firstLine="709"/>
              <w:jc w:val="both"/>
              <w:rPr>
                <w:rFonts w:ascii="Verdana" w:eastAsiaTheme="minorEastAsia" w:hAnsi="Verdana"/>
                <w:lang w:eastAsia="es-CO"/>
              </w:rPr>
            </w:pPr>
            <w:r w:rsidRPr="00625198">
              <w:rPr>
                <w:rFonts w:ascii="Verdana" w:eastAsiaTheme="minorEastAsia" w:hAnsi="Verdana"/>
                <w:lang w:eastAsia="es-CO"/>
              </w:rPr>
              <w:t xml:space="preserve">En el caso de las adiciones, la expedición tardía del RP no afecta la validez del acto modificatorio ni suspende, por sí sola, la ejecución material de las prestaciones adicionales, que es una cuestión de hecho ajena a la existencia del registro. Lo que la falta de RP compromete es la legalidad de la actuación de la entidad, </w:t>
            </w:r>
            <w:r w:rsidRPr="00205EB0">
              <w:rPr>
                <w:rFonts w:ascii="Verdana" w:eastAsiaTheme="minorEastAsia" w:hAnsi="Verdana"/>
                <w:lang w:eastAsia="es-CO"/>
              </w:rPr>
              <w:t>ya que,</w:t>
            </w:r>
            <w:r w:rsidRPr="00625198">
              <w:rPr>
                <w:rFonts w:ascii="Verdana" w:eastAsiaTheme="minorEastAsia" w:hAnsi="Verdana"/>
                <w:lang w:eastAsia="es-CO"/>
              </w:rPr>
              <w:t xml:space="preserve"> si esta permite o exige la ejecución de las prestaciones adicionales sin contar previamente con el RP, podrían configurarse hechos cumplidos, con las consecuencias fiscales y disciplinarias que ello apareja para los servidores responsables, sin perjuicio de que dicha omisión pueda constituir un incumplimiento imputable a la entidad contratante. En la cesión contractual, el RP inicial conserva su vigencia, pues no se crean nuevas obligaciones económicas, y la ejecución material del objeto tampoco se interrumpe. Sin embargo, la entidad debe actualizar el registro para identificar al cesionario como beneficiario de los pagos, pues de no hacerlo, los pagos que se giren a quien cedió el contrato serían irregulares. Por tanto, los efectos jurídicos de la expedición tardía o de la falta de actualización del RP se despliegan sobre la legalidad de la actuación </w:t>
            </w:r>
            <w:r w:rsidRPr="00625198">
              <w:rPr>
                <w:rFonts w:ascii="Verdana" w:eastAsiaTheme="minorEastAsia" w:hAnsi="Verdana"/>
                <w:lang w:eastAsia="es-CO"/>
              </w:rPr>
              <w:lastRenderedPageBreak/>
              <w:t>de la entidad, y no sobre la validez del acto modificatorio ni sobre la ejecución material del contrato: en la adición, mediante la eventual configuración de hechos cumplidos; y en la cesión, mediante la imposibilidad de efectuar pagos válidos al cesionario mientras el registro no lo identifique como acreedor.</w:t>
            </w:r>
          </w:p>
          <w:p w14:paraId="690C5239" w14:textId="77777777" w:rsidR="004707E2" w:rsidRPr="003E4CC9" w:rsidRDefault="004707E2" w:rsidP="003B5A01">
            <w:pPr>
              <w:spacing w:after="120" w:line="276" w:lineRule="auto"/>
              <w:ind w:firstLine="709"/>
              <w:jc w:val="both"/>
              <w:rPr>
                <w:rFonts w:ascii="Verdana" w:eastAsiaTheme="minorEastAsia" w:hAnsi="Verdana"/>
                <w:lang w:eastAsia="es-CO"/>
              </w:rPr>
            </w:pPr>
            <w:r>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A47393">
              <w:rPr>
                <w:rFonts w:ascii="Verdana" w:eastAsia="Calibri" w:hAnsi="Verdana" w:cs="Arial"/>
                <w:bCs/>
                <w:color w:val="000000" w:themeColor="text1"/>
              </w:rPr>
              <w:t xml:space="preserve">.  </w:t>
            </w:r>
            <w:r w:rsidRPr="00185EE9">
              <w:rPr>
                <w:rFonts w:ascii="Verdana" w:eastAsia="Calibri" w:hAnsi="Verdana" w:cs="Arial"/>
                <w:bCs/>
                <w:color w:val="000000" w:themeColor="text1"/>
              </w:rPr>
              <w:t xml:space="preserve"> </w:t>
            </w:r>
          </w:p>
        </w:tc>
      </w:tr>
    </w:tbl>
    <w:p w14:paraId="642B7208" w14:textId="77777777" w:rsidR="004707E2" w:rsidRPr="003E4CC9" w:rsidRDefault="004707E2" w:rsidP="004707E2">
      <w:pPr>
        <w:spacing w:after="0" w:line="276" w:lineRule="auto"/>
        <w:jc w:val="both"/>
        <w:rPr>
          <w:rFonts w:ascii="Verdana" w:eastAsia="Calibri" w:hAnsi="Verdana" w:cs="Arial"/>
          <w:bCs/>
          <w:color w:val="000000" w:themeColor="text1"/>
        </w:rPr>
      </w:pPr>
    </w:p>
    <w:p w14:paraId="71C291CB" w14:textId="77777777" w:rsidR="004707E2" w:rsidRPr="003E4CC9" w:rsidRDefault="004707E2" w:rsidP="004707E2">
      <w:pPr>
        <w:numPr>
          <w:ilvl w:val="0"/>
          <w:numId w:val="16"/>
        </w:numPr>
        <w:spacing w:after="0" w:line="276" w:lineRule="auto"/>
        <w:rPr>
          <w:rFonts w:ascii="Verdana" w:eastAsia="Calibri" w:hAnsi="Verdana" w:cs="Times New Roman"/>
          <w:b/>
          <w:bCs/>
          <w:lang w:val="es-ES"/>
        </w:rPr>
      </w:pPr>
      <w:r w:rsidRPr="003E4CC9">
        <w:rPr>
          <w:rFonts w:ascii="Verdana" w:eastAsia="Calibri" w:hAnsi="Verdana" w:cs="Times New Roman"/>
          <w:b/>
          <w:bCs/>
          <w:lang w:val="es-ES"/>
        </w:rPr>
        <w:t>Razones de la respuesta:</w:t>
      </w:r>
    </w:p>
    <w:p w14:paraId="5060005F" w14:textId="77777777" w:rsidR="004707E2" w:rsidRPr="003E4CC9" w:rsidRDefault="004707E2" w:rsidP="004707E2">
      <w:pPr>
        <w:spacing w:after="0" w:line="276" w:lineRule="auto"/>
        <w:rPr>
          <w:rFonts w:ascii="Verdana" w:eastAsia="Calibri" w:hAnsi="Verdana" w:cs="Times New Roman"/>
          <w:b/>
          <w:bCs/>
          <w:lang w:val="es-ES"/>
        </w:rPr>
      </w:pPr>
    </w:p>
    <w:p w14:paraId="0DFB1E72" w14:textId="77777777" w:rsidR="004707E2" w:rsidRPr="003E4CC9" w:rsidRDefault="004707E2" w:rsidP="004707E2">
      <w:pPr>
        <w:spacing w:after="0" w:line="276" w:lineRule="auto"/>
        <w:jc w:val="both"/>
        <w:rPr>
          <w:rFonts w:ascii="Verdana" w:eastAsia="Calibri" w:hAnsi="Verdana" w:cs="Arial"/>
          <w:lang w:val="es-ES"/>
        </w:rPr>
      </w:pPr>
      <w:r w:rsidRPr="003E4CC9">
        <w:rPr>
          <w:rFonts w:ascii="Verdana" w:eastAsia="Calibri" w:hAnsi="Verdana" w:cs="Arial"/>
          <w:lang w:val="es-ES"/>
        </w:rPr>
        <w:t xml:space="preserve">Lo anterior se sustenta en las siguientes consideraciones: </w:t>
      </w:r>
    </w:p>
    <w:p w14:paraId="75CBBE66" w14:textId="77777777" w:rsidR="004707E2" w:rsidRPr="003E4CC9" w:rsidRDefault="004707E2" w:rsidP="004707E2">
      <w:pPr>
        <w:spacing w:after="0" w:line="276" w:lineRule="auto"/>
        <w:jc w:val="both"/>
        <w:rPr>
          <w:rFonts w:ascii="Verdana" w:hAnsi="Verdana" w:cs="Arial"/>
          <w:bCs/>
          <w:lang w:val="es-ES" w:eastAsia="es-ES" w:bidi="es-ES"/>
        </w:rPr>
      </w:pPr>
    </w:p>
    <w:p w14:paraId="245437BB" w14:textId="77777777" w:rsidR="004707E2" w:rsidRPr="003E4CC9" w:rsidRDefault="004707E2" w:rsidP="004707E2">
      <w:pPr>
        <w:tabs>
          <w:tab w:val="left" w:pos="284"/>
        </w:tabs>
        <w:spacing w:after="120" w:line="276" w:lineRule="auto"/>
        <w:jc w:val="both"/>
        <w:rPr>
          <w:rFonts w:ascii="Verdana" w:eastAsia="Arial" w:hAnsi="Verdana" w:cs="Arial"/>
          <w:color w:val="000000"/>
          <w:lang w:eastAsia="es-ES" w:bidi="es-ES"/>
        </w:rPr>
      </w:pPr>
      <w:r w:rsidRPr="003E4CC9">
        <w:rPr>
          <w:rFonts w:ascii="Verdana" w:hAnsi="Verdana" w:cs="Arial"/>
          <w:bCs/>
          <w:lang w:val="es-ES" w:eastAsia="es-ES" w:bidi="es-ES"/>
        </w:rPr>
        <w:t xml:space="preserve">i. </w:t>
      </w:r>
      <w:r w:rsidRPr="003E4CC9">
        <w:rPr>
          <w:rFonts w:ascii="Verdana" w:eastAsia="Arial" w:hAnsi="Verdana" w:cs="Arial"/>
          <w:color w:val="000000"/>
          <w:lang w:eastAsia="es-ES" w:bidi="es-ES"/>
        </w:rPr>
        <w:t xml:space="preserve">Una de las manifestaciones de modificación de los contratos es mediante la adición. Al respecto, es oportuno explicar que la palabra </w:t>
      </w:r>
      <w:r w:rsidRPr="003E4CC9">
        <w:rPr>
          <w:rFonts w:ascii="Verdana" w:eastAsia="Arial" w:hAnsi="Verdana" w:cs="Arial"/>
          <w:i/>
          <w:iCs/>
          <w:color w:val="000000"/>
          <w:lang w:eastAsia="es-ES" w:bidi="es-ES"/>
        </w:rPr>
        <w:t xml:space="preserve">adición </w:t>
      </w:r>
      <w:r w:rsidRPr="003E4CC9">
        <w:rPr>
          <w:rFonts w:ascii="Verdana" w:eastAsia="Arial" w:hAnsi="Verdana" w:cs="Arial"/>
          <w:color w:val="000000"/>
          <w:lang w:eastAsia="es-ES" w:bidi="es-ES"/>
        </w:rPr>
        <w:t xml:space="preserve">significa “acción y efecto de añadir o agregar”. Los contratos estatales pueden ser objeto de 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 </w:t>
      </w:r>
    </w:p>
    <w:p w14:paraId="4DEAD155" w14:textId="77777777" w:rsidR="004707E2" w:rsidRPr="003E4CC9" w:rsidRDefault="004707E2" w:rsidP="004707E2">
      <w:pPr>
        <w:spacing w:after="120" w:line="276" w:lineRule="auto"/>
        <w:ind w:firstLine="708"/>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3E4CC9">
        <w:rPr>
          <w:rFonts w:ascii="Verdana" w:eastAsia="Calibri" w:hAnsi="Verdana" w:cs="Arial"/>
          <w:color w:val="000000"/>
          <w:szCs w:val="24"/>
          <w:lang w:eastAsia="es-ES_tradnl"/>
        </w:rPr>
        <w:t>ii</w:t>
      </w:r>
      <w:proofErr w:type="spellEnd"/>
      <w:r w:rsidRPr="003E4CC9">
        <w:rPr>
          <w:rFonts w:ascii="Verdana" w:eastAsia="Calibri" w:hAnsi="Verdana" w:cs="Arial"/>
          <w:color w:val="000000"/>
          <w:szCs w:val="24"/>
          <w:lang w:eastAsia="es-ES_tradnl"/>
        </w:rPr>
        <w:t xml:space="preserve">) la necesidad de </w:t>
      </w:r>
      <w:r w:rsidRPr="003E4CC9">
        <w:rPr>
          <w:rFonts w:ascii="Verdana" w:eastAsia="Calibri" w:hAnsi="Verdana" w:cs="Arial"/>
          <w:color w:val="000000"/>
          <w:szCs w:val="24"/>
          <w:lang w:eastAsia="es-ES_tradnl"/>
        </w:rPr>
        <w:lastRenderedPageBreak/>
        <w:t xml:space="preserve">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446D7FE6" w14:textId="77777777" w:rsidR="004707E2" w:rsidRPr="003E4CC9" w:rsidRDefault="004707E2" w:rsidP="004707E2">
      <w:pPr>
        <w:spacing w:after="120" w:line="276" w:lineRule="auto"/>
        <w:ind w:firstLine="709"/>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t>Lo importante es que, frente a cualquier incremento del valor inicial del contrato</w:t>
      </w:r>
      <w:r w:rsidRPr="003E4CC9">
        <w:rPr>
          <w:rFonts w:ascii="Verdana" w:eastAsia="Calibri" w:hAnsi="Verdana" w:cs="Arial"/>
          <w:i/>
          <w:iCs/>
          <w:color w:val="000000"/>
          <w:szCs w:val="24"/>
          <w:lang w:eastAsia="es-ES_tradnl"/>
        </w:rPr>
        <w:t xml:space="preserve"> </w:t>
      </w:r>
      <w:r w:rsidRPr="003E4CC9">
        <w:rPr>
          <w:rFonts w:ascii="Verdana" w:eastAsia="Calibri" w:hAnsi="Verdana" w:cs="Arial"/>
          <w:color w:val="000000"/>
          <w:szCs w:val="24"/>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EGCAP.</w:t>
      </w:r>
    </w:p>
    <w:p w14:paraId="37D0621D" w14:textId="77777777" w:rsidR="004707E2" w:rsidRPr="003E4CC9" w:rsidRDefault="004707E2" w:rsidP="004707E2">
      <w:pPr>
        <w:spacing w:after="120" w:line="276" w:lineRule="auto"/>
        <w:ind w:firstLine="709"/>
        <w:jc w:val="both"/>
        <w:rPr>
          <w:rFonts w:ascii="Verdana" w:hAnsi="Verdana" w:cs="Arial"/>
          <w:color w:val="000000"/>
          <w:szCs w:val="24"/>
          <w:lang w:eastAsia="es-ES_tradnl"/>
        </w:rPr>
      </w:pPr>
      <w:r w:rsidRPr="003E4CC9">
        <w:rPr>
          <w:rFonts w:ascii="Verdana" w:eastAsia="Calibri" w:hAnsi="Verdana" w:cs="Arial"/>
          <w:color w:val="000000"/>
          <w:szCs w:val="24"/>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w:t>
      </w:r>
      <w:r w:rsidRPr="003E4CC9">
        <w:rPr>
          <w:rFonts w:ascii="Verdana" w:hAnsi="Verdana" w:cs="Arial"/>
          <w:color w:val="000000"/>
          <w:szCs w:val="24"/>
          <w:lang w:eastAsia="es-ES_tradnl"/>
        </w:rPr>
        <w:t xml:space="preserve">Para tales efectos, para adicionar un contrato debe dividirse el valor inicial por el salario mínimo legal mensual vigente – en adelante SMLMV – al momento de la suscripción del contrato, y luego dividirlo por dos (2); el resultado obtenido constituirá el número de SMLMV por los cuales podrá adicionarse el contrato. </w:t>
      </w:r>
    </w:p>
    <w:p w14:paraId="5050B7EB" w14:textId="77777777" w:rsidR="004707E2" w:rsidRPr="003E4CC9" w:rsidRDefault="004707E2" w:rsidP="004707E2">
      <w:pPr>
        <w:spacing w:after="120" w:line="276" w:lineRule="auto"/>
        <w:ind w:firstLine="709"/>
        <w:jc w:val="both"/>
        <w:rPr>
          <w:rFonts w:ascii="Verdana" w:hAnsi="Verdana" w:cs="Arial"/>
          <w:color w:val="000000"/>
          <w:szCs w:val="24"/>
          <w:lang w:eastAsia="es-ES_tradnl"/>
        </w:rPr>
      </w:pPr>
      <w:r w:rsidRPr="003E4CC9">
        <w:rPr>
          <w:rFonts w:ascii="Verdana" w:hAnsi="Verdana" w:cs="Arial"/>
          <w:color w:val="000000"/>
          <w:szCs w:val="24"/>
          <w:lang w:eastAsia="es-ES_tradnl"/>
        </w:rPr>
        <w:t xml:space="preserve">En este sentido, para evitar equivocaciones, lo ideal es que cada vez que se efectúe una adición, se estime su valor en SMLMV, </w:t>
      </w:r>
      <w:r w:rsidRPr="003E4CC9">
        <w:rPr>
          <w:rFonts w:ascii="Verdana" w:hAnsi="Verdana" w:cs="Arial"/>
          <w:i/>
          <w:iCs/>
          <w:color w:val="000000"/>
          <w:szCs w:val="24"/>
          <w:lang w:eastAsia="es-ES_tradnl"/>
        </w:rPr>
        <w:t>que se calcularán con base en el vigente al momento de la adición</w:t>
      </w:r>
      <w:r w:rsidRPr="003E4CC9">
        <w:rPr>
          <w:rFonts w:ascii="Verdana" w:hAnsi="Verdana" w:cs="Arial"/>
          <w:color w:val="000000"/>
          <w:szCs w:val="24"/>
          <w:lang w:eastAsia="es-ES_tradnl"/>
        </w:rPr>
        <w:t xml:space="preserve">, de manera que se descuenten estos de los salarios mínimos que restan por adicionar, ya que las adiciones podrían hacerse en diferentes vigencias fiscales, porque si el contrato se ejecuta sin existir variación en el valor del SMMLV la operación sería la misma si se toma el monto en pesos. </w:t>
      </w:r>
    </w:p>
    <w:p w14:paraId="43AC93DA" w14:textId="77777777" w:rsidR="004707E2" w:rsidRPr="003E4CC9" w:rsidRDefault="004707E2" w:rsidP="004707E2">
      <w:pPr>
        <w:widowControl w:val="0"/>
        <w:autoSpaceDE w:val="0"/>
        <w:autoSpaceDN w:val="0"/>
        <w:spacing w:after="120" w:line="276" w:lineRule="auto"/>
        <w:ind w:firstLine="709"/>
        <w:jc w:val="both"/>
        <w:rPr>
          <w:rFonts w:ascii="Verdana" w:eastAsia="Arial MT" w:hAnsi="Verdana" w:cs="Arial"/>
          <w:lang w:eastAsia="es-ES" w:bidi="es-ES"/>
        </w:rPr>
      </w:pPr>
      <w:r w:rsidRPr="003E4CC9">
        <w:rPr>
          <w:rFonts w:ascii="Verdana" w:eastAsia="Arial MT" w:hAnsi="Verdana" w:cs="Arial"/>
          <w:lang w:eastAsia="es-ES" w:bidi="es-ES"/>
        </w:rPr>
        <w:t xml:space="preserve">A modo ilustrativo, y con fines netamente pedagógicos, exponemos a </w:t>
      </w:r>
      <w:r w:rsidRPr="003E4CC9">
        <w:rPr>
          <w:rFonts w:ascii="Verdana" w:eastAsia="Arial MT" w:hAnsi="Verdana" w:cs="Arial"/>
          <w:lang w:eastAsia="es-ES" w:bidi="es-ES"/>
        </w:rPr>
        <w:lastRenderedPageBreak/>
        <w:t>continuación el siguiente ejemplo: la entidad estatal celebra un contrato de prestación de servicios por un valor de $10.000.000 en vigencia 2022. Para esa vigencia el valor del SMLMV era de $1.000.000. Para efectos del cálculo del 50%</w:t>
      </w:r>
      <w:r w:rsidRPr="003E4CC9">
        <w:t xml:space="preserve"> </w:t>
      </w:r>
      <w:r w:rsidRPr="003E4CC9">
        <w:rPr>
          <w:rFonts w:ascii="Verdana" w:eastAsia="Arial MT" w:hAnsi="Verdana" w:cs="Arial"/>
          <w:lang w:eastAsia="es-ES" w:bidi="es-ES"/>
        </w:rPr>
        <w:t>límite para llevar a cabo la adición del contrato, necesariamente debemos dividir el valor del contrato (10.000.000) por el salario mínimo vigente al momento de la suscripción del contrato (1.000.000). El resultado de la operación anterior (10) pasa a dividirse por 2, por cuanto es claro que la adición debe ser por, máximo, el 50 % del valor del contrato. En ese orden, el resultado de la segunda operación (5) constituye el número de salarios mínimos por los cuales podrá adicionarse el contrato. Supongamos que, en nuestro ejemplo, la adición se llevará a cabo en la vigencia 2026 y el valor será de $6.500.000. En el año 2026, el SMLMV es de $</w:t>
      </w:r>
      <w:r w:rsidRPr="003E4CC9">
        <w:t xml:space="preserve"> </w:t>
      </w:r>
      <w:r w:rsidRPr="003E4CC9">
        <w:rPr>
          <w:rFonts w:ascii="Verdana" w:eastAsia="Arial MT" w:hAnsi="Verdana" w:cs="Arial"/>
          <w:lang w:eastAsia="es-ES" w:bidi="es-ES"/>
        </w:rPr>
        <w:t>1.750.905</w:t>
      </w:r>
      <w:r w:rsidRPr="003E4CC9">
        <w:rPr>
          <w:rFonts w:ascii="Verdana" w:eastAsia="Arial MT" w:hAnsi="Verdana" w:cs="Arial"/>
          <w:vertAlign w:val="superscript"/>
          <w:lang w:eastAsia="es-ES" w:bidi="es-ES"/>
        </w:rPr>
        <w:footnoteReference w:id="2"/>
      </w:r>
      <w:r w:rsidRPr="003E4CC9">
        <w:rPr>
          <w:rFonts w:ascii="Verdana" w:eastAsia="Arial MT" w:hAnsi="Verdana" w:cs="Arial"/>
          <w:lang w:eastAsia="es-ES" w:bidi="es-ES"/>
        </w:rPr>
        <w:t>, lo que supone que la adición corresponde a 3,71 SMLMV al momento de la adición, en la medida en que la división del valor de la adición 6.500.000 y el valor del SMLMV al momento de la adición arroja 3,71 SMLMV. Por lo tanto, la adición que se pretende en el contrato ejemplo es válida y se ajusta a la prohibición contenida en el parágrafo del artículo 40, toda vez que será de 3,71 SMLMV, sin superar el 50% del valor inicialmente pactado que fue de 5 SMLMV en el año 2022.</w:t>
      </w:r>
    </w:p>
    <w:p w14:paraId="4EB0F819" w14:textId="77777777" w:rsidR="004707E2" w:rsidRPr="003E4CC9" w:rsidRDefault="004707E2" w:rsidP="004707E2">
      <w:pPr>
        <w:spacing w:after="120" w:line="276" w:lineRule="auto"/>
        <w:ind w:firstLine="708"/>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 expresada en SMLMV, y valga la redundancia, el valor inicial es el contemplado en el contrato originario y cualquier alteración a ese valor constituirá, técnicamente, una adición, independientemente de cuál sea su causa. </w:t>
      </w:r>
    </w:p>
    <w:p w14:paraId="762AB21E" w14:textId="77777777" w:rsidR="004707E2" w:rsidRPr="003E4CC9" w:rsidRDefault="004707E2" w:rsidP="004707E2">
      <w:pPr>
        <w:spacing w:after="120" w:line="276" w:lineRule="auto"/>
        <w:ind w:firstLine="708"/>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t xml:space="preserve">Sin perjuicio de lo anterior, actualmente existe una posibilidad para adicionar contratos en más del cincuenta por ciento (50%) del valor inicial del contrato expresado en SMLMV y es la contenida en el artículo 85 de la Ley 1474 de 2011, para los contratos de interventoría que, por su naturaleza de </w:t>
      </w:r>
      <w:r w:rsidRPr="003E4CC9">
        <w:rPr>
          <w:rFonts w:ascii="Verdana" w:eastAsia="Calibri" w:hAnsi="Verdana" w:cs="Arial"/>
          <w:color w:val="000000"/>
          <w:szCs w:val="24"/>
          <w:lang w:eastAsia="es-ES_tradnl"/>
        </w:rPr>
        <w:lastRenderedPageBreak/>
        <w:t xml:space="preserve">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5F001D56" w14:textId="77777777" w:rsidR="004707E2" w:rsidRPr="003E4CC9" w:rsidRDefault="004707E2" w:rsidP="004707E2">
      <w:pPr>
        <w:spacing w:after="0" w:line="276" w:lineRule="auto"/>
        <w:ind w:firstLine="709"/>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t xml:space="preserve">Así las cosas, </w:t>
      </w:r>
      <w:r w:rsidRPr="003E4CC9">
        <w:rPr>
          <w:rFonts w:ascii="Verdana" w:hAnsi="Verdana"/>
        </w:rPr>
        <w:t>la regla establecida en el parágrafo de dicha norma aplica a todos los contratos estatales regidos por el Estatuto General de Contratación de la Administración Pública – EGCAP –, independientemente de la modalidad de selección, de la tipología contractual del negocio jurídico que se considere necesario adicionar o del sistema de precios pactados. Lo anterior, salvo lo prescrito por la Ley 1474 de 2011 en su artículo 85 sobre los contratos de interventoría.</w:t>
      </w:r>
    </w:p>
    <w:p w14:paraId="22725093" w14:textId="77777777" w:rsidR="004707E2" w:rsidRPr="003E4CC9" w:rsidRDefault="004707E2" w:rsidP="004707E2">
      <w:pPr>
        <w:widowControl w:val="0"/>
        <w:autoSpaceDE w:val="0"/>
        <w:autoSpaceDN w:val="0"/>
        <w:spacing w:after="0" w:line="276" w:lineRule="auto"/>
        <w:jc w:val="both"/>
        <w:rPr>
          <w:rFonts w:ascii="Verdana" w:eastAsia="Calibri" w:hAnsi="Verdana" w:cs="Arial"/>
        </w:rPr>
      </w:pPr>
    </w:p>
    <w:p w14:paraId="1689D333" w14:textId="77777777" w:rsidR="004707E2" w:rsidRPr="003E4CC9" w:rsidRDefault="004707E2" w:rsidP="004707E2">
      <w:pPr>
        <w:widowControl w:val="0"/>
        <w:autoSpaceDE w:val="0"/>
        <w:autoSpaceDN w:val="0"/>
        <w:spacing w:after="120" w:line="276" w:lineRule="auto"/>
        <w:jc w:val="both"/>
        <w:rPr>
          <w:rFonts w:ascii="Verdana" w:hAnsi="Verdana"/>
        </w:rPr>
      </w:pPr>
      <w:proofErr w:type="spellStart"/>
      <w:r w:rsidRPr="003E4CC9">
        <w:rPr>
          <w:rFonts w:ascii="Verdana" w:eastAsia="Calibri" w:hAnsi="Verdana" w:cs="Arial"/>
        </w:rPr>
        <w:t>ii</w:t>
      </w:r>
      <w:proofErr w:type="spellEnd"/>
      <w:r w:rsidRPr="003E4CC9">
        <w:rPr>
          <w:rFonts w:ascii="Verdana" w:eastAsia="Calibri" w:hAnsi="Verdana" w:cs="Arial"/>
        </w:rPr>
        <w:t xml:space="preserve">. Ahora bien, también es importante mencionar que </w:t>
      </w:r>
      <w:r w:rsidRPr="003E4CC9">
        <w:rPr>
          <w:rFonts w:ascii="Verdana" w:hAnsi="Verdana"/>
        </w:rPr>
        <w:t>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w:t>
      </w:r>
      <w:r w:rsidRPr="003E4CC9">
        <w:rPr>
          <w:rFonts w:ascii="Verdana" w:hAnsi="Verdana"/>
          <w:vertAlign w:val="superscript"/>
        </w:rPr>
        <w:footnoteReference w:id="3"/>
      </w:r>
      <w:r w:rsidRPr="003E4CC9">
        <w:rPr>
          <w:rFonts w:ascii="Verdana" w:hAnsi="Verdana"/>
        </w:rPr>
        <w:t xml:space="preserve">. </w:t>
      </w:r>
    </w:p>
    <w:p w14:paraId="4077FD0E" w14:textId="77777777" w:rsidR="004707E2" w:rsidRPr="00B001E4" w:rsidRDefault="004707E2" w:rsidP="004707E2">
      <w:pPr>
        <w:widowControl w:val="0"/>
        <w:autoSpaceDE w:val="0"/>
        <w:autoSpaceDN w:val="0"/>
        <w:spacing w:after="120" w:line="276" w:lineRule="auto"/>
        <w:ind w:firstLine="709"/>
        <w:jc w:val="both"/>
        <w:rPr>
          <w:rFonts w:ascii="Verdana" w:eastAsia="Arial" w:hAnsi="Verdana" w:cs="Arial"/>
          <w:lang w:eastAsia="es-ES" w:bidi="es-ES"/>
        </w:rPr>
      </w:pPr>
      <w:r w:rsidRPr="003E4CC9">
        <w:rPr>
          <w:rFonts w:ascii="Verdana" w:hAnsi="Verdana"/>
        </w:rPr>
        <w:t xml:space="preserve">Dentro de los límites de </w:t>
      </w:r>
      <w:r w:rsidRPr="003E4CC9">
        <w:rPr>
          <w:rFonts w:ascii="Verdana" w:hAnsi="Verdana"/>
          <w:i/>
        </w:rPr>
        <w:t xml:space="preserve">orden temporal </w:t>
      </w:r>
      <w:r w:rsidRPr="003E4CC9">
        <w:rPr>
          <w:rFonts w:ascii="Verdana" w:hAnsi="Verdana"/>
        </w:rPr>
        <w:t xml:space="preserve">están comprendidos: </w:t>
      </w:r>
      <w:r w:rsidRPr="003E4CC9">
        <w:rPr>
          <w:rFonts w:ascii="Verdana" w:eastAsia="Arial" w:hAnsi="Verdana" w:cs="Arial"/>
          <w:lang w:val="es-MX" w:eastAsia="es-ES" w:bidi="es-ES"/>
        </w:rPr>
        <w:t xml:space="preserve">i) la vigencia del contrato, pues no podría modificarse un contrato cuyo plazo ha culminado y; </w:t>
      </w:r>
      <w:proofErr w:type="spellStart"/>
      <w:r w:rsidRPr="003E4CC9">
        <w:rPr>
          <w:rFonts w:ascii="Verdana" w:eastAsia="Arial" w:hAnsi="Verdana" w:cs="Arial"/>
          <w:lang w:val="es-MX" w:eastAsia="es-ES" w:bidi="es-ES"/>
        </w:rPr>
        <w:t>ii</w:t>
      </w:r>
      <w:proofErr w:type="spellEnd"/>
      <w:r w:rsidRPr="003E4CC9">
        <w:rPr>
          <w:rFonts w:ascii="Verdana" w:eastAsia="Arial" w:hAnsi="Verdana" w:cs="Arial"/>
          <w:lang w:val="es-MX" w:eastAsia="es-ES" w:bidi="es-ES"/>
        </w:rPr>
        <w:t>) la prohibición de consagrar prórrogas automáticas, sucesivas o indefinidas, en tanto resultan contrarias al derecho esencial de la libertad de competencia.</w:t>
      </w:r>
      <w:r w:rsidRPr="003E4CC9">
        <w:rPr>
          <w:rFonts w:ascii="Verdana" w:eastAsia="Calibri" w:hAnsi="Verdana" w:cs="Arial"/>
        </w:rPr>
        <w:t xml:space="preserve"> En torno a los límites de </w:t>
      </w:r>
      <w:r w:rsidRPr="003E4CC9">
        <w:rPr>
          <w:rFonts w:ascii="Verdana" w:eastAsia="Calibri" w:hAnsi="Verdana" w:cs="Arial"/>
          <w:i/>
        </w:rPr>
        <w:t>orden formal</w:t>
      </w:r>
      <w:r w:rsidRPr="003E4CC9">
        <w:rPr>
          <w:rFonts w:ascii="Verdana" w:eastAsia="Calibri" w:hAnsi="Verdana" w:cs="Arial"/>
        </w:rPr>
        <w:t xml:space="preserve">, debe señalarse que, por un lado, es necesario que, la </w:t>
      </w:r>
      <w:r w:rsidRPr="003E4CC9">
        <w:rPr>
          <w:rFonts w:ascii="Verdana" w:eastAsia="Arial" w:hAnsi="Verdana" w:cs="Arial"/>
          <w:lang w:val="es-MX" w:eastAsia="es-ES" w:bidi="es-ES"/>
        </w:rPr>
        <w:t xml:space="preserve">modificación de los contratos conste por escrito, dado el carácter solemne del contrato estatal y que sea suscrito por el jefe o </w:t>
      </w:r>
      <w:r w:rsidRPr="003E4CC9">
        <w:rPr>
          <w:rFonts w:ascii="Verdana" w:eastAsia="Arial" w:hAnsi="Verdana" w:cs="Arial"/>
          <w:lang w:val="es-MX" w:eastAsia="es-ES" w:bidi="es-ES"/>
        </w:rPr>
        <w:lastRenderedPageBreak/>
        <w:t>representante legal o su delegado, de conformidad con los artículos 11</w:t>
      </w:r>
      <w:r w:rsidRPr="003E4CC9">
        <w:rPr>
          <w:rFonts w:ascii="Verdana" w:eastAsia="Arial" w:hAnsi="Verdana" w:cs="Arial"/>
          <w:vertAlign w:val="superscript"/>
          <w:lang w:val="es-MX" w:eastAsia="es-ES" w:bidi="es-ES"/>
        </w:rPr>
        <w:footnoteReference w:id="4"/>
      </w:r>
      <w:r w:rsidRPr="003E4CC9">
        <w:rPr>
          <w:rFonts w:ascii="Verdana" w:eastAsia="Arial" w:hAnsi="Verdana" w:cs="Arial"/>
          <w:lang w:val="es-MX" w:eastAsia="es-ES" w:bidi="es-ES"/>
        </w:rPr>
        <w:t xml:space="preserve"> y 12 de la Ley 80 de 1993</w:t>
      </w:r>
      <w:r w:rsidRPr="003E4CC9">
        <w:rPr>
          <w:rFonts w:ascii="Verdana" w:eastAsia="Arial" w:hAnsi="Verdana" w:cs="Arial"/>
          <w:vertAlign w:val="superscript"/>
          <w:lang w:val="es-MX" w:eastAsia="es-ES" w:bidi="es-ES"/>
        </w:rPr>
        <w:footnoteReference w:id="5"/>
      </w:r>
      <w:r>
        <w:rPr>
          <w:rFonts w:ascii="Verdana" w:eastAsia="Arial" w:hAnsi="Verdana" w:cs="Arial"/>
          <w:lang w:val="es-MX" w:eastAsia="es-ES" w:bidi="es-ES"/>
        </w:rPr>
        <w:t xml:space="preserve">. </w:t>
      </w:r>
      <w:r w:rsidRPr="00B001E4">
        <w:rPr>
          <w:rFonts w:ascii="Verdana" w:eastAsia="Arial" w:hAnsi="Verdana" w:cs="Arial"/>
          <w:lang w:eastAsia="es-ES" w:bidi="es-ES"/>
        </w:rPr>
        <w:t>Asimismo, resulta indispensable la existencia de las disponibilidades presupuestales que respalden el cumplimiento de las obligaciones derivadas de la modificación, así como la expedición del respectivo compromiso presupuestal.</w:t>
      </w:r>
    </w:p>
    <w:p w14:paraId="5633DE66" w14:textId="77777777" w:rsidR="004707E2" w:rsidRPr="00B001E4" w:rsidRDefault="004707E2" w:rsidP="004707E2">
      <w:pPr>
        <w:widowControl w:val="0"/>
        <w:autoSpaceDE w:val="0"/>
        <w:autoSpaceDN w:val="0"/>
        <w:spacing w:after="120" w:line="276" w:lineRule="auto"/>
        <w:ind w:firstLine="709"/>
        <w:jc w:val="both"/>
        <w:rPr>
          <w:rFonts w:ascii="Verdana" w:eastAsia="Arial" w:hAnsi="Verdana" w:cs="Arial"/>
          <w:lang w:eastAsia="es-ES" w:bidi="es-ES"/>
        </w:rPr>
      </w:pPr>
      <w:r w:rsidRPr="00B001E4">
        <w:rPr>
          <w:rFonts w:ascii="Verdana" w:eastAsia="Arial" w:hAnsi="Verdana" w:cs="Arial"/>
          <w:lang w:eastAsia="es-ES" w:bidi="es-ES"/>
        </w:rPr>
        <w:t xml:space="preserve">En este sentido, el artículo 25, numeral 6, de la Ley 80 de 1993 establece que “las entidades estatales abrirán licitaciones </w:t>
      </w:r>
      <w:r w:rsidRPr="005F2DC9">
        <w:rPr>
          <w:rFonts w:ascii="Verdana" w:eastAsia="Arial" w:hAnsi="Verdana" w:cs="Arial"/>
          <w:lang w:eastAsia="es-ES" w:bidi="es-ES"/>
        </w:rPr>
        <w:t xml:space="preserve">o concursos </w:t>
      </w:r>
      <w:r w:rsidRPr="00B001E4">
        <w:rPr>
          <w:rFonts w:ascii="Verdana" w:eastAsia="Arial" w:hAnsi="Verdana" w:cs="Arial"/>
          <w:lang w:eastAsia="es-ES" w:bidi="es-ES"/>
        </w:rPr>
        <w:t>e iniciarán procesos de suscripción de contratos, cuando existan las respectivas partidas o disponibilidades presupuestales”. De allí se desprende que el Certificado de Disponibilidad Presupuestal (CDP) debe expedirse de manera previa al inicio del proceso de selección o de la negociación en los casos de contratación directa.</w:t>
      </w:r>
      <w:r>
        <w:rPr>
          <w:rFonts w:ascii="Verdana" w:eastAsia="Arial" w:hAnsi="Verdana" w:cs="Arial"/>
          <w:lang w:eastAsia="es-ES" w:bidi="es-ES"/>
        </w:rPr>
        <w:t xml:space="preserve"> </w:t>
      </w:r>
      <w:r w:rsidRPr="00B001E4">
        <w:rPr>
          <w:rFonts w:ascii="Verdana" w:eastAsia="Arial" w:hAnsi="Verdana" w:cs="Arial"/>
          <w:lang w:eastAsia="es-ES" w:bidi="es-ES"/>
        </w:rPr>
        <w:t xml:space="preserve">En consecuencia, tanto la disponibilidad como el registro presupuestal </w:t>
      </w:r>
      <w:r>
        <w:rPr>
          <w:rFonts w:ascii="Verdana" w:eastAsia="Arial" w:hAnsi="Verdana" w:cs="Arial"/>
          <w:lang w:eastAsia="es-ES" w:bidi="es-ES"/>
        </w:rPr>
        <w:t xml:space="preserve">son necesarios para poder ejecutar las actividades propias que </w:t>
      </w:r>
      <w:r w:rsidRPr="005F2DC9">
        <w:rPr>
          <w:rFonts w:ascii="Verdana" w:eastAsia="Arial" w:hAnsi="Verdana" w:cs="Arial"/>
          <w:lang w:eastAsia="es-ES" w:bidi="es-ES"/>
        </w:rPr>
        <w:t>justifiquen</w:t>
      </w:r>
      <w:r>
        <w:rPr>
          <w:rFonts w:ascii="Verdana" w:eastAsia="Arial" w:hAnsi="Verdana" w:cs="Arial"/>
          <w:lang w:eastAsia="es-ES" w:bidi="es-ES"/>
        </w:rPr>
        <w:t xml:space="preserve"> la adición contractual</w:t>
      </w:r>
      <w:r w:rsidRPr="00625198">
        <w:rPr>
          <w:rStyle w:val="Refdenotaalpie"/>
          <w:rFonts w:ascii="Verdana" w:eastAsia="Times New Roman" w:hAnsi="Verdana" w:cs="Arial"/>
          <w:color w:val="1A1A1A" w:themeColor="background1" w:themeShade="1A"/>
          <w:sz w:val="20"/>
          <w:szCs w:val="20"/>
          <w:lang w:eastAsia="es-ES_tradnl"/>
        </w:rPr>
        <w:footnoteReference w:id="6"/>
      </w:r>
      <w:r>
        <w:rPr>
          <w:rFonts w:ascii="Verdana" w:eastAsia="Arial" w:hAnsi="Verdana" w:cs="Arial"/>
          <w:lang w:eastAsia="es-ES" w:bidi="es-ES"/>
        </w:rPr>
        <w:t xml:space="preserve">. </w:t>
      </w:r>
    </w:p>
    <w:p w14:paraId="1EE7C081" w14:textId="77777777" w:rsidR="004707E2" w:rsidRDefault="004707E2" w:rsidP="004707E2">
      <w:pPr>
        <w:widowControl w:val="0"/>
        <w:autoSpaceDE w:val="0"/>
        <w:autoSpaceDN w:val="0"/>
        <w:spacing w:after="120" w:line="276" w:lineRule="auto"/>
        <w:ind w:firstLine="709"/>
        <w:jc w:val="both"/>
        <w:rPr>
          <w:rFonts w:ascii="Verdana" w:eastAsia="Arial" w:hAnsi="Verdana" w:cs="Arial"/>
          <w:lang w:eastAsia="es-ES" w:bidi="es-ES"/>
        </w:rPr>
      </w:pPr>
      <w:r w:rsidRPr="00B001E4">
        <w:rPr>
          <w:rFonts w:ascii="Verdana" w:eastAsia="Arial" w:hAnsi="Verdana" w:cs="Arial"/>
          <w:lang w:eastAsia="es-ES" w:bidi="es-ES"/>
        </w:rPr>
        <w:lastRenderedPageBreak/>
        <w:t>Por su parte, el artículo 71 del Decreto 111 de 1996 – Estatuto Orgánico del Presupuesto dispone que todos los actos que afecten apropiaciones “deberán contar con certificados de disponibilidad previos”. En consecuencia, “ninguna autoridad podrá contraer obligaciones” sin que exista previamente el respaldo presupuestal correspondiente, lo cual reafirma el principio de legalidad del gasto público</w:t>
      </w:r>
      <w:r w:rsidRPr="00625198">
        <w:rPr>
          <w:rStyle w:val="Refdenotaalpie"/>
          <w:rFonts w:ascii="Verdana" w:eastAsia="Times New Roman" w:hAnsi="Verdana" w:cs="Arial"/>
          <w:color w:val="1A1A1A" w:themeColor="background1" w:themeShade="1A"/>
          <w:sz w:val="20"/>
          <w:szCs w:val="20"/>
          <w:lang w:eastAsia="es-ES_tradnl"/>
        </w:rPr>
        <w:footnoteReference w:id="7"/>
      </w:r>
      <w:r w:rsidRPr="00B001E4">
        <w:rPr>
          <w:rFonts w:ascii="Verdana" w:eastAsia="Arial" w:hAnsi="Verdana" w:cs="Arial"/>
          <w:lang w:eastAsia="es-ES" w:bidi="es-ES"/>
        </w:rPr>
        <w:t xml:space="preserve"> y la necesidad de que toda modificación contractual esté acompañada de los soportes presupuestales pertinentes.</w:t>
      </w:r>
      <w:r>
        <w:rPr>
          <w:rFonts w:ascii="Verdana" w:eastAsia="Arial" w:hAnsi="Verdana" w:cs="Arial"/>
          <w:lang w:eastAsia="es-ES" w:bidi="es-ES"/>
        </w:rPr>
        <w:t xml:space="preserve"> En este sentido, no es posible ejecutar las obligaciones que se amparan en la adición contractual si no se ha expedido las disponibilidades presupuestales y el respectivo registro presupuestal. </w:t>
      </w:r>
    </w:p>
    <w:p w14:paraId="3BD0D959" w14:textId="77777777" w:rsidR="004707E2" w:rsidRPr="00BF48AB" w:rsidRDefault="004707E2" w:rsidP="004707E2">
      <w:pPr>
        <w:widowControl w:val="0"/>
        <w:autoSpaceDE w:val="0"/>
        <w:autoSpaceDN w:val="0"/>
        <w:spacing w:after="0" w:line="276" w:lineRule="auto"/>
        <w:ind w:firstLine="709"/>
        <w:jc w:val="both"/>
        <w:rPr>
          <w:rFonts w:ascii="Verdana" w:eastAsia="Times New Roman" w:hAnsi="Verdana" w:cs="Arial"/>
          <w:lang w:eastAsia="es-ES_tradnl"/>
        </w:rPr>
      </w:pPr>
      <w:r w:rsidRPr="00625198">
        <w:rPr>
          <w:rFonts w:ascii="Verdana" w:eastAsia="Times New Roman" w:hAnsi="Verdana" w:cs="Arial"/>
          <w:lang w:eastAsia="es-ES_tradnl"/>
        </w:rPr>
        <w:t xml:space="preserve">Conforme al artículo 41 de la Ley 80 de 1993, el Registro Presupuestal (RP) constituye un requisito indispensable para iniciar la ejecución del contrato, una vez se haya definido su valor y plazo. En aplicación del mismo principio, dicho registro resulta igualmente necesario frente a una eventual adición contractual, pues esta implica la asunción de nuevas obligaciones económicas por parte de la entidad. Esta es, además, la posición consolidada de esta Agencia, que ha señalado que, a partir del año 2006, el Consejo de Estado modificó su primera posición jurisprudencial, que consideraba al RP como requisito de perfeccionamiento, para en adelante considerarlo un requisito de ejecución –en línea con los Conceptos C-1039 del 23 de diciembre de 2024 y C-844 del 9 de diciembre de 2024 de esta Agencia–. En armonía con lo anterior, el Consejo de Estado ha precisado que tanto la disponibilidad presupuestal (CDP) como el compromiso presupuestal (RP) son condiciones esenciales para la legalidad del gasto público y la eficacia de la ejecución de los contratos estatales, mas no para su perfeccionamiento o validez, en la medida en que garantizan la existencia de recursos suficientes para respaldar las obligaciones a cargo de la entidad. Al respecto, el Consejo de Estado expresa: </w:t>
      </w:r>
    </w:p>
    <w:p w14:paraId="562F05EB" w14:textId="77777777" w:rsidR="004707E2" w:rsidRPr="005671C4" w:rsidRDefault="004707E2" w:rsidP="004707E2">
      <w:pPr>
        <w:pStyle w:val="Prrafodelista"/>
        <w:spacing w:after="0" w:line="276" w:lineRule="auto"/>
        <w:ind w:left="709" w:right="709"/>
        <w:jc w:val="both"/>
        <w:rPr>
          <w:rFonts w:ascii="Verdana" w:eastAsia="Times New Roman" w:hAnsi="Verdana" w:cs="Arial"/>
          <w:color w:val="1A1A1A" w:themeColor="background1" w:themeShade="1A"/>
          <w:lang w:eastAsia="es-ES_tradnl"/>
        </w:rPr>
      </w:pPr>
    </w:p>
    <w:p w14:paraId="6502F95C" w14:textId="77777777" w:rsidR="004707E2" w:rsidRPr="00BF48AB" w:rsidRDefault="004707E2" w:rsidP="004707E2">
      <w:pPr>
        <w:pStyle w:val="Prrafodelista"/>
        <w:spacing w:after="0" w:line="240" w:lineRule="auto"/>
        <w:ind w:left="709" w:right="709"/>
        <w:jc w:val="both"/>
        <w:rPr>
          <w:rFonts w:ascii="Verdana" w:eastAsia="Times New Roman" w:hAnsi="Verdana" w:cs="Arial"/>
          <w:color w:val="000000" w:themeColor="text1"/>
          <w:sz w:val="20"/>
          <w:szCs w:val="20"/>
          <w:lang w:eastAsia="es-ES_tradnl"/>
        </w:rPr>
      </w:pPr>
      <w:r w:rsidRPr="005671C4">
        <w:rPr>
          <w:rFonts w:ascii="Verdana" w:eastAsia="Times New Roman" w:hAnsi="Verdana" w:cs="Arial"/>
          <w:color w:val="000000" w:themeColor="text1"/>
          <w:sz w:val="20"/>
          <w:szCs w:val="20"/>
          <w:lang w:eastAsia="es-ES_tradnl"/>
        </w:rPr>
        <w:t xml:space="preserve">“En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w:t>
      </w:r>
      <w:r w:rsidRPr="005671C4">
        <w:rPr>
          <w:rFonts w:ascii="Verdana" w:eastAsia="Times New Roman" w:hAnsi="Verdana" w:cs="Arial"/>
          <w:color w:val="000000" w:themeColor="text1"/>
          <w:sz w:val="20"/>
          <w:szCs w:val="20"/>
          <w:lang w:eastAsia="es-ES_tradnl"/>
        </w:rPr>
        <w:lastRenderedPageBreak/>
        <w:t>del compromiso presupuestal, lo cual se logra a través del registro presupuestal. En otras palabras, el 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w:t>
      </w:r>
      <w:r w:rsidRPr="005671C4">
        <w:rPr>
          <w:rFonts w:ascii="Verdana" w:eastAsia="Times New Roman" w:hAnsi="Verdana" w:cs="Arial"/>
          <w:color w:val="000000" w:themeColor="text1"/>
          <w:spacing w:val="-3"/>
          <w:sz w:val="20"/>
          <w:szCs w:val="20"/>
          <w:lang w:eastAsia="es-ES_tradnl"/>
        </w:rPr>
        <w:t xml:space="preserve"> </w:t>
      </w:r>
      <w:r w:rsidRPr="005671C4">
        <w:rPr>
          <w:rFonts w:ascii="Verdana" w:eastAsia="Times New Roman" w:hAnsi="Verdana" w:cs="Arial"/>
          <w:color w:val="000000" w:themeColor="text1"/>
          <w:sz w:val="20"/>
          <w:szCs w:val="20"/>
          <w:lang w:eastAsia="es-ES_tradnl"/>
        </w:rPr>
        <w:t>partes.</w:t>
      </w:r>
    </w:p>
    <w:p w14:paraId="3E253B54" w14:textId="77777777" w:rsidR="004707E2" w:rsidRPr="00BF48AB" w:rsidRDefault="004707E2" w:rsidP="004707E2">
      <w:pPr>
        <w:pStyle w:val="Prrafodelista"/>
        <w:spacing w:after="0" w:line="240" w:lineRule="auto"/>
        <w:ind w:left="709" w:right="709"/>
        <w:rPr>
          <w:rFonts w:ascii="Verdana" w:eastAsia="Times New Roman" w:hAnsi="Verdana" w:cs="Arial"/>
          <w:color w:val="000000" w:themeColor="text1"/>
          <w:sz w:val="20"/>
          <w:szCs w:val="20"/>
          <w:lang w:eastAsia="es-ES_tradnl"/>
        </w:rPr>
      </w:pPr>
      <w:r w:rsidRPr="005671C4">
        <w:rPr>
          <w:rFonts w:ascii="Verdana" w:eastAsia="Times New Roman" w:hAnsi="Verdana" w:cs="Arial"/>
          <w:sz w:val="20"/>
          <w:szCs w:val="20"/>
          <w:lang w:eastAsia="es-ES_tradnl"/>
        </w:rPr>
        <w:t>[…]</w:t>
      </w:r>
    </w:p>
    <w:p w14:paraId="3561D77D" w14:textId="77777777" w:rsidR="004707E2" w:rsidRPr="005671C4" w:rsidRDefault="004707E2" w:rsidP="004707E2">
      <w:pPr>
        <w:pStyle w:val="Prrafodelista"/>
        <w:spacing w:after="0" w:line="240" w:lineRule="auto"/>
        <w:ind w:left="709" w:right="709"/>
        <w:jc w:val="both"/>
        <w:rPr>
          <w:rFonts w:ascii="Verdana" w:eastAsia="Times New Roman" w:hAnsi="Verdana" w:cs="Arial"/>
          <w:color w:val="000000" w:themeColor="text1"/>
          <w:sz w:val="20"/>
          <w:szCs w:val="20"/>
          <w:lang w:eastAsia="es-ES_tradnl"/>
        </w:rPr>
      </w:pPr>
      <w:r w:rsidRPr="005671C4">
        <w:rPr>
          <w:rFonts w:ascii="Verdana" w:eastAsia="Times New Roman" w:hAnsi="Verdana" w:cs="Arial"/>
          <w:color w:val="000000" w:themeColor="text1"/>
          <w:sz w:val="20"/>
          <w:szCs w:val="20"/>
          <w:lang w:eastAsia="es-ES_tradnl"/>
        </w:rPr>
        <w:t>Conviene recordarse que el certificado de disponibilidad presupuestal, en el terreno de lo contratos estatales sometidos al imperio de la Ley 80, no corresponde a un requisito de perfeccionamiento del negocio jurídico, pues su exigencia se circunscribe a una etapa previa a su ocurrencia, esto es, debe obtenerse con anterioridad a la apertura al procedimiento de selección que habrá de dar origen a la relación contractual. Lo mismo puede decirse del registro presupuestal en el ámbito de cobertura del Estatuto de Contratación Estatal, habida consideración de que su implementación constituye una exigencia para la ejecución del contrato y no para su</w:t>
      </w:r>
      <w:r w:rsidRPr="005671C4">
        <w:rPr>
          <w:rFonts w:ascii="Verdana" w:eastAsia="Times New Roman" w:hAnsi="Verdana" w:cs="Arial"/>
          <w:color w:val="000000" w:themeColor="text1"/>
          <w:spacing w:val="-19"/>
          <w:sz w:val="20"/>
          <w:szCs w:val="20"/>
          <w:lang w:eastAsia="es-ES_tradnl"/>
        </w:rPr>
        <w:t xml:space="preserve"> </w:t>
      </w:r>
      <w:r w:rsidRPr="005671C4">
        <w:rPr>
          <w:rFonts w:ascii="Verdana" w:eastAsia="Times New Roman" w:hAnsi="Verdana" w:cs="Arial"/>
          <w:color w:val="000000" w:themeColor="text1"/>
          <w:sz w:val="20"/>
          <w:szCs w:val="20"/>
          <w:lang w:eastAsia="es-ES_tradnl"/>
        </w:rPr>
        <w:t>existencia”</w:t>
      </w:r>
      <w:r w:rsidRPr="005671C4">
        <w:rPr>
          <w:rFonts w:ascii="Verdana" w:hAnsi="Verdana"/>
          <w:sz w:val="20"/>
          <w:szCs w:val="20"/>
          <w:vertAlign w:val="superscript"/>
          <w:lang w:eastAsia="es-ES_tradnl"/>
        </w:rPr>
        <w:footnoteReference w:id="8"/>
      </w:r>
      <w:r w:rsidRPr="005671C4">
        <w:rPr>
          <w:rFonts w:ascii="Verdana" w:eastAsia="Times New Roman" w:hAnsi="Verdana" w:cs="Arial"/>
          <w:color w:val="000000" w:themeColor="text1"/>
          <w:sz w:val="20"/>
          <w:szCs w:val="20"/>
          <w:lang w:eastAsia="es-ES_tradnl"/>
        </w:rPr>
        <w:t>.</w:t>
      </w:r>
    </w:p>
    <w:p w14:paraId="0594A550" w14:textId="77777777" w:rsidR="004707E2" w:rsidRPr="005671C4" w:rsidRDefault="004707E2" w:rsidP="004707E2">
      <w:pPr>
        <w:pStyle w:val="Prrafodelista"/>
        <w:spacing w:after="0" w:line="276" w:lineRule="auto"/>
        <w:ind w:right="709"/>
        <w:jc w:val="both"/>
        <w:rPr>
          <w:rFonts w:ascii="Verdana" w:eastAsia="Times New Roman" w:hAnsi="Verdana" w:cs="Arial"/>
          <w:color w:val="000000" w:themeColor="text1"/>
          <w:lang w:eastAsia="es-ES_tradnl"/>
        </w:rPr>
      </w:pPr>
    </w:p>
    <w:p w14:paraId="3296ABCE" w14:textId="77777777" w:rsidR="004707E2" w:rsidRPr="00A12DE3" w:rsidRDefault="004707E2" w:rsidP="004707E2">
      <w:pPr>
        <w:spacing w:after="0" w:line="276" w:lineRule="auto"/>
        <w:ind w:firstLine="708"/>
        <w:jc w:val="both"/>
        <w:rPr>
          <w:rFonts w:ascii="Verdana" w:eastAsia="Times New Roman" w:hAnsi="Verdana" w:cs="Arial"/>
          <w:color w:val="1A1A1A" w:themeColor="background1" w:themeShade="1A"/>
          <w:lang w:eastAsia="es-ES_tradnl"/>
        </w:rPr>
      </w:pPr>
      <w:r w:rsidRPr="00A12DE3">
        <w:rPr>
          <w:rFonts w:ascii="Verdana" w:eastAsia="Arial" w:hAnsi="Verdana" w:cs="Arial"/>
          <w:lang w:eastAsia="es-ES" w:bidi="es-ES"/>
        </w:rPr>
        <w:t>En el ámbito de las adiciones contractuales, el Registro Presupuestal conserva su carácter de requisito de ejecución y no de perfeccionamiento. La adición en valor se perfecciona con la suscripción del acto modificatorio -llámese otrosí, adición, entre otros- que cumpla las solemnidades legales, pero para que pueda desplegar efectos prácticos es indispensable que se expida el RP que comprometa los recursos adicionales. De esta manera, se asegura la coherencia entre el acto jurídico de modificación y la disponibilidad real de recursos, evitando que la entidad asuma obligaciones sin respaldo presupuestal.</w:t>
      </w:r>
      <w:r>
        <w:rPr>
          <w:rFonts w:ascii="Verdana" w:eastAsia="Arial" w:hAnsi="Verdana" w:cs="Arial"/>
          <w:lang w:eastAsia="es-ES" w:bidi="es-ES"/>
        </w:rPr>
        <w:t xml:space="preserve"> En torno a la ausencia de Registro Presupuestal, e</w:t>
      </w:r>
      <w:r w:rsidRPr="00A12DE3">
        <w:rPr>
          <w:rFonts w:ascii="Verdana" w:eastAsia="Times New Roman" w:hAnsi="Verdana" w:cs="Arial"/>
          <w:color w:val="1A1A1A" w:themeColor="background1" w:themeShade="1A"/>
          <w:lang w:eastAsia="es-ES_tradnl"/>
        </w:rPr>
        <w:t>l Consejo de Estado en sentencia del 6 de julio de 2022, señaló:</w:t>
      </w:r>
    </w:p>
    <w:p w14:paraId="5949CB16" w14:textId="77777777" w:rsidR="004707E2" w:rsidRPr="000C67A7" w:rsidRDefault="004707E2" w:rsidP="004707E2">
      <w:pPr>
        <w:pStyle w:val="Prrafodelista"/>
        <w:rPr>
          <w:rFonts w:ascii="Verdana" w:eastAsia="Times New Roman" w:hAnsi="Verdana" w:cs="Arial"/>
          <w:color w:val="1A1A1A" w:themeColor="background1" w:themeShade="1A"/>
          <w:lang w:eastAsia="es-ES_tradnl"/>
        </w:rPr>
      </w:pPr>
    </w:p>
    <w:p w14:paraId="7F00EF3E" w14:textId="77777777" w:rsidR="004707E2" w:rsidRPr="00284914" w:rsidRDefault="004707E2" w:rsidP="004707E2">
      <w:pPr>
        <w:pStyle w:val="Prrafodelista"/>
        <w:spacing w:after="0" w:line="240" w:lineRule="auto"/>
        <w:ind w:left="709" w:right="709"/>
        <w:jc w:val="both"/>
        <w:rPr>
          <w:rFonts w:ascii="Verdana" w:eastAsia="Times New Roman" w:hAnsi="Verdana" w:cs="Arial"/>
          <w:color w:val="1A1A1A" w:themeColor="background1" w:themeShade="1A"/>
          <w:sz w:val="20"/>
          <w:szCs w:val="20"/>
          <w:lang w:eastAsia="es-ES_tradnl"/>
        </w:rPr>
      </w:pPr>
      <w:r w:rsidRPr="00284914">
        <w:rPr>
          <w:rFonts w:ascii="Verdana" w:eastAsia="Times New Roman" w:hAnsi="Verdana" w:cs="Arial"/>
          <w:color w:val="1A1A1A" w:themeColor="background1" w:themeShade="1A"/>
          <w:sz w:val="20"/>
          <w:szCs w:val="20"/>
          <w:lang w:eastAsia="es-ES_tradnl"/>
        </w:rPr>
        <w:t xml:space="preserve">“En efecto, la ausencia de la disponibilidad o registro presupuestal no denota un juicio de invalidez por la constatación de irregularidades o vicios que inciden en el valor del acto o contrato, pues su carencia lo que produce es una afectación a la viabilidad y legalidad del pago y puede comprometer la responsabilidad disciplinaria de los funcionarios por los perjuicios que se ocasionen con el desconocimiento de las normas presupuestales y contractuales antes citadas. De modo que, es evidente que la falta de dicho requisito de ejecución genera una alteración que puede perjudicar el pago del negocio jurídico, en términos de su determinación presupuestal –lo que además sería imputable exclusivamente a la </w:t>
      </w:r>
      <w:proofErr w:type="gramStart"/>
      <w:r w:rsidRPr="00284914">
        <w:rPr>
          <w:rFonts w:ascii="Verdana" w:eastAsia="Times New Roman" w:hAnsi="Verdana" w:cs="Arial"/>
          <w:color w:val="1A1A1A" w:themeColor="background1" w:themeShade="1A"/>
          <w:sz w:val="20"/>
          <w:szCs w:val="20"/>
          <w:lang w:eastAsia="es-ES_tradnl"/>
        </w:rPr>
        <w:t>autoridad pública</w:t>
      </w:r>
      <w:proofErr w:type="gramEnd"/>
      <w:r w:rsidRPr="00284914">
        <w:rPr>
          <w:rFonts w:ascii="Verdana" w:eastAsia="Times New Roman" w:hAnsi="Verdana" w:cs="Arial"/>
          <w:color w:val="1A1A1A" w:themeColor="background1" w:themeShade="1A"/>
          <w:sz w:val="20"/>
          <w:szCs w:val="20"/>
          <w:lang w:eastAsia="es-ES_tradnl"/>
        </w:rPr>
        <w:t xml:space="preserve"> </w:t>
      </w:r>
      <w:r w:rsidRPr="00284914">
        <w:rPr>
          <w:rFonts w:ascii="Verdana" w:eastAsia="Times New Roman" w:hAnsi="Verdana" w:cs="Arial"/>
          <w:color w:val="1A1A1A" w:themeColor="background1" w:themeShade="1A"/>
          <w:sz w:val="20"/>
          <w:szCs w:val="20"/>
          <w:lang w:eastAsia="es-ES_tradnl"/>
        </w:rPr>
        <w:lastRenderedPageBreak/>
        <w:t>contratante–, mas no da lugar a la declaración de nulidad absoluta del contrato estatal”</w:t>
      </w:r>
      <w:r>
        <w:rPr>
          <w:rStyle w:val="Refdenotaalpie"/>
          <w:rFonts w:ascii="Verdana" w:eastAsia="Times New Roman" w:hAnsi="Verdana" w:cs="Arial"/>
          <w:color w:val="1A1A1A" w:themeColor="background1" w:themeShade="1A"/>
          <w:sz w:val="20"/>
          <w:szCs w:val="20"/>
          <w:lang w:eastAsia="es-ES_tradnl"/>
        </w:rPr>
        <w:footnoteReference w:id="9"/>
      </w:r>
      <w:r w:rsidRPr="00284914">
        <w:rPr>
          <w:rFonts w:ascii="Verdana" w:eastAsia="Times New Roman" w:hAnsi="Verdana" w:cs="Arial"/>
          <w:color w:val="1A1A1A" w:themeColor="background1" w:themeShade="1A"/>
          <w:sz w:val="20"/>
          <w:szCs w:val="20"/>
          <w:lang w:eastAsia="es-ES_tradnl"/>
        </w:rPr>
        <w:t>.</w:t>
      </w:r>
    </w:p>
    <w:p w14:paraId="61E71F13" w14:textId="77777777" w:rsidR="004707E2" w:rsidRPr="00A12DE3" w:rsidRDefault="004707E2" w:rsidP="004707E2">
      <w:pPr>
        <w:widowControl w:val="0"/>
        <w:autoSpaceDE w:val="0"/>
        <w:autoSpaceDN w:val="0"/>
        <w:spacing w:after="0" w:line="276" w:lineRule="auto"/>
        <w:ind w:firstLine="709"/>
        <w:jc w:val="both"/>
        <w:rPr>
          <w:rFonts w:ascii="Verdana" w:eastAsia="Arial" w:hAnsi="Verdana" w:cs="Arial"/>
          <w:lang w:val="es-ES" w:eastAsia="es-ES" w:bidi="es-ES"/>
        </w:rPr>
      </w:pPr>
    </w:p>
    <w:p w14:paraId="7A9FF7FC" w14:textId="77777777" w:rsidR="004707E2" w:rsidRPr="00F02749" w:rsidRDefault="004707E2" w:rsidP="004707E2">
      <w:pPr>
        <w:widowControl w:val="0"/>
        <w:autoSpaceDE w:val="0"/>
        <w:autoSpaceDN w:val="0"/>
        <w:spacing w:after="120" w:line="276" w:lineRule="auto"/>
        <w:ind w:firstLine="709"/>
        <w:jc w:val="both"/>
        <w:rPr>
          <w:rFonts w:ascii="Verdana" w:eastAsia="Arial" w:hAnsi="Verdana" w:cs="Arial"/>
          <w:lang w:eastAsia="es-ES" w:bidi="es-ES"/>
        </w:rPr>
      </w:pPr>
      <w:r w:rsidRPr="00625198">
        <w:rPr>
          <w:rFonts w:ascii="Verdana" w:eastAsia="Arial" w:hAnsi="Verdana" w:cs="Arial"/>
          <w:lang w:eastAsia="es-ES" w:bidi="es-ES"/>
        </w:rPr>
        <w:t>Por lo tanto, la expedición tardía o la omisión del RP no afecta la validez de la adición ni suspende, por sí misma, la ejecución material de las prestaciones adicionales, la cual depende de las condiciones reales en que se desenvuelve la relación contractual. Lo que la falta de RP compromete es la legalidad de la actuación de la entidad, ya que si esta celebra la adición o permite la ejecución de las prestaciones adicionales sin contar previamente con el respaldo presupuestal, podría dar lugar a la configuración de los denominados hechos cumplidos, esto es, la asunción de obligaciones o la materialización de prestaciones sin el previo cumplimiento de las apropiaciones presupuestales,</w:t>
      </w:r>
      <w:r w:rsidRPr="00625198">
        <w:rPr>
          <w:rStyle w:val="Refdenotaalpie"/>
          <w:rFonts w:ascii="Verdana" w:eastAsia="Times New Roman" w:hAnsi="Verdana" w:cs="Arial"/>
          <w:color w:val="1A1A1A" w:themeColor="background1" w:themeShade="1A"/>
          <w:sz w:val="20"/>
          <w:szCs w:val="20"/>
          <w:lang w:eastAsia="es-ES_tradnl"/>
        </w:rPr>
        <w:footnoteReference w:id="10"/>
      </w:r>
      <w:r w:rsidRPr="00625198">
        <w:rPr>
          <w:rFonts w:ascii="Verdana" w:eastAsia="Arial" w:hAnsi="Verdana" w:cs="Arial"/>
          <w:lang w:eastAsia="es-ES" w:bidi="es-ES"/>
        </w:rPr>
        <w:t xml:space="preserve"> figura que no afecta la validez del negocio jurídico, pero que genera consecuencias de orden fiscal, disciplinario y, eventualmente, contractual para los servidores y para la entidad que adelanten la ejecución sin contar con el registro. El Registro Presupuestal, al ser un requisito de ejecución del contrato, normalmente se expide después de celebrado el contrato, tal como se desprende de lo establecido en el inciso segundo del artículo 41 de la Ley 80 de 1993. Aplicado este razonamiento a las adiciones contractuales, la oportunidad del RP adquiere especial importancia: debe estar expedido antes de que la entidad celebre el acto modificatorio y dé inicio o permita la ejecución de las obligaciones adicionales derivadas de él. De esta forma, se garantiza que la entidad cuente con el respaldo presupuestal suficiente para atender las nuevas cargas económicas, se evita la configuración de hechos cumplidos</w:t>
      </w:r>
      <w:r w:rsidRPr="00625198">
        <w:rPr>
          <w:rStyle w:val="Refdenotaalpie"/>
          <w:rFonts w:ascii="Verdana" w:eastAsia="Times New Roman" w:hAnsi="Verdana" w:cs="Arial"/>
          <w:color w:val="1A1A1A" w:themeColor="background1" w:themeShade="1A"/>
          <w:sz w:val="20"/>
          <w:szCs w:val="20"/>
          <w:lang w:eastAsia="es-ES_tradnl"/>
        </w:rPr>
        <w:footnoteReference w:id="11"/>
      </w:r>
      <w:r w:rsidRPr="00625198">
        <w:rPr>
          <w:rFonts w:ascii="Verdana" w:eastAsia="Arial" w:hAnsi="Verdana" w:cs="Arial"/>
          <w:lang w:eastAsia="es-ES" w:bidi="es-ES"/>
        </w:rPr>
        <w:t xml:space="preserve"> y se preserva la legalidad del gasto público, sin que la ausencia inicial del RP afecte la validez de </w:t>
      </w:r>
      <w:r w:rsidRPr="00625198">
        <w:rPr>
          <w:rFonts w:ascii="Verdana" w:eastAsia="Arial" w:hAnsi="Verdana" w:cs="Arial"/>
          <w:lang w:eastAsia="es-ES" w:bidi="es-ES"/>
        </w:rPr>
        <w:lastRenderedPageBreak/>
        <w:t>la adición.</w:t>
      </w:r>
    </w:p>
    <w:p w14:paraId="65F987D0" w14:textId="77777777" w:rsidR="004707E2" w:rsidRPr="003E4CC9" w:rsidRDefault="004707E2" w:rsidP="004707E2">
      <w:pPr>
        <w:widowControl w:val="0"/>
        <w:autoSpaceDE w:val="0"/>
        <w:autoSpaceDN w:val="0"/>
        <w:spacing w:after="0" w:line="276" w:lineRule="auto"/>
        <w:ind w:firstLine="708"/>
        <w:jc w:val="both"/>
        <w:rPr>
          <w:rFonts w:ascii="Verdana" w:hAnsi="Verdana"/>
          <w:b/>
          <w:i/>
        </w:rPr>
      </w:pPr>
      <w:r w:rsidRPr="003E4CC9">
        <w:rPr>
          <w:rFonts w:ascii="Verdana" w:eastAsia="Arial" w:hAnsi="Verdana" w:cs="Arial"/>
          <w:lang w:val="es-MX" w:eastAsia="es-ES" w:bidi="es-ES"/>
        </w:rPr>
        <w:t>Por otro lado,</w:t>
      </w:r>
      <w:r>
        <w:rPr>
          <w:rFonts w:ascii="Verdana" w:eastAsia="Arial" w:hAnsi="Verdana" w:cs="Arial"/>
          <w:lang w:val="es-MX" w:eastAsia="es-ES" w:bidi="es-ES"/>
        </w:rPr>
        <w:t xml:space="preserve"> dentro de los límites de orden formal, también se encuentra que</w:t>
      </w:r>
      <w:r w:rsidRPr="003E4CC9">
        <w:rPr>
          <w:rFonts w:ascii="Verdana" w:eastAsia="Arial" w:hAnsi="Verdana" w:cs="Arial"/>
          <w:lang w:val="es-MX" w:eastAsia="es-ES" w:bidi="es-ES"/>
        </w:rPr>
        <w:t xml:space="preserve"> </w:t>
      </w:r>
      <w:r w:rsidRPr="003E4CC9">
        <w:rPr>
          <w:rFonts w:ascii="Verdana" w:eastAsia="Calibri" w:hAnsi="Verdana" w:cs="Arial"/>
        </w:rPr>
        <w:t>la entidad debe motivar y justificar la modificación. Al respecto el Consejo de Estado ha señalado:</w:t>
      </w:r>
    </w:p>
    <w:p w14:paraId="30DC2DC6" w14:textId="77777777" w:rsidR="004707E2" w:rsidRPr="003E4CC9" w:rsidRDefault="004707E2" w:rsidP="004707E2">
      <w:pPr>
        <w:spacing w:after="0" w:line="276" w:lineRule="auto"/>
        <w:jc w:val="both"/>
        <w:rPr>
          <w:rFonts w:ascii="Verdana" w:hAnsi="Verdana"/>
          <w:i/>
        </w:rPr>
      </w:pPr>
    </w:p>
    <w:p w14:paraId="09D4DE66" w14:textId="77777777" w:rsidR="004707E2" w:rsidRPr="003E4CC9" w:rsidRDefault="004707E2" w:rsidP="004707E2">
      <w:pPr>
        <w:spacing w:after="0" w:line="240" w:lineRule="auto"/>
        <w:ind w:left="709" w:right="709"/>
        <w:jc w:val="both"/>
        <w:rPr>
          <w:rFonts w:ascii="Verdana" w:hAnsi="Verdana"/>
          <w:sz w:val="20"/>
          <w:szCs w:val="20"/>
        </w:rPr>
      </w:pPr>
      <w:r w:rsidRPr="003E4CC9">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46649DE3" w14:textId="77777777" w:rsidR="004707E2" w:rsidRPr="003E4CC9" w:rsidRDefault="004707E2" w:rsidP="004707E2">
      <w:pPr>
        <w:spacing w:after="0" w:line="240" w:lineRule="auto"/>
        <w:ind w:left="709" w:right="709"/>
        <w:jc w:val="both"/>
        <w:rPr>
          <w:rFonts w:ascii="Verdana" w:hAnsi="Verdana"/>
          <w:sz w:val="20"/>
          <w:szCs w:val="20"/>
        </w:rPr>
      </w:pPr>
    </w:p>
    <w:p w14:paraId="1D09D519" w14:textId="77777777" w:rsidR="004707E2" w:rsidRPr="003E4CC9" w:rsidRDefault="004707E2" w:rsidP="004707E2">
      <w:pPr>
        <w:spacing w:after="0" w:line="240" w:lineRule="auto"/>
        <w:ind w:left="709" w:right="709"/>
        <w:jc w:val="both"/>
        <w:rPr>
          <w:rFonts w:ascii="Verdana" w:hAnsi="Verdana"/>
          <w:sz w:val="20"/>
          <w:szCs w:val="20"/>
        </w:rPr>
      </w:pPr>
      <w:r w:rsidRPr="003E4CC9">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1D40EC70" w14:textId="77777777" w:rsidR="004707E2" w:rsidRPr="003E4CC9" w:rsidRDefault="004707E2" w:rsidP="004707E2">
      <w:pPr>
        <w:spacing w:after="0" w:line="240" w:lineRule="auto"/>
        <w:ind w:left="709" w:right="709"/>
        <w:jc w:val="both"/>
        <w:rPr>
          <w:rFonts w:ascii="Verdana" w:hAnsi="Verdana"/>
          <w:sz w:val="20"/>
          <w:szCs w:val="20"/>
        </w:rPr>
      </w:pPr>
    </w:p>
    <w:p w14:paraId="5EBB3BAF" w14:textId="77777777" w:rsidR="004707E2" w:rsidRPr="003E4CC9" w:rsidRDefault="004707E2" w:rsidP="004707E2">
      <w:pPr>
        <w:spacing w:after="0" w:line="240" w:lineRule="auto"/>
        <w:ind w:left="709" w:right="709"/>
        <w:jc w:val="both"/>
        <w:rPr>
          <w:rFonts w:ascii="Verdana" w:hAnsi="Verdana"/>
          <w:sz w:val="20"/>
          <w:szCs w:val="20"/>
        </w:rPr>
      </w:pPr>
      <w:r w:rsidRPr="003E4CC9">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3E4CC9">
        <w:rPr>
          <w:rFonts w:ascii="Verdana" w:hAnsi="Verdana"/>
          <w:sz w:val="20"/>
          <w:szCs w:val="20"/>
          <w:vertAlign w:val="superscript"/>
        </w:rPr>
        <w:footnoteReference w:id="12"/>
      </w:r>
      <w:r w:rsidRPr="003E4CC9">
        <w:rPr>
          <w:rFonts w:ascii="Verdana" w:hAnsi="Verdana"/>
          <w:sz w:val="20"/>
          <w:szCs w:val="20"/>
        </w:rPr>
        <w:t>.</w:t>
      </w:r>
    </w:p>
    <w:p w14:paraId="4FED8EDA" w14:textId="77777777" w:rsidR="004707E2" w:rsidRPr="003E4CC9" w:rsidRDefault="004707E2" w:rsidP="004707E2">
      <w:pPr>
        <w:widowControl w:val="0"/>
        <w:autoSpaceDE w:val="0"/>
        <w:autoSpaceDN w:val="0"/>
        <w:spacing w:after="0" w:line="276" w:lineRule="auto"/>
        <w:jc w:val="both"/>
        <w:rPr>
          <w:rFonts w:ascii="Verdana" w:eastAsia="Calibri" w:hAnsi="Verdana" w:cs="Arial"/>
        </w:rPr>
      </w:pPr>
      <w:r w:rsidRPr="003E4CC9">
        <w:rPr>
          <w:rFonts w:ascii="Verdana" w:eastAsia="Calibri" w:hAnsi="Verdana" w:cs="Arial"/>
        </w:rPr>
        <w:t xml:space="preserve"> </w:t>
      </w:r>
    </w:p>
    <w:p w14:paraId="678E18B6" w14:textId="77777777" w:rsidR="004707E2" w:rsidRPr="003E4CC9" w:rsidRDefault="004707E2" w:rsidP="004707E2">
      <w:pPr>
        <w:widowControl w:val="0"/>
        <w:autoSpaceDE w:val="0"/>
        <w:autoSpaceDN w:val="0"/>
        <w:spacing w:after="120" w:line="276" w:lineRule="auto"/>
        <w:ind w:firstLine="708"/>
        <w:jc w:val="both"/>
        <w:rPr>
          <w:rFonts w:ascii="Verdana" w:eastAsia="Arial" w:hAnsi="Verdana" w:cs="Arial"/>
          <w:i/>
          <w:lang w:val="es-MX" w:eastAsia="es-ES" w:bidi="es-ES"/>
        </w:rPr>
      </w:pPr>
      <w:r w:rsidRPr="003E4CC9">
        <w:rPr>
          <w:rFonts w:ascii="Verdana" w:eastAsia="Calibri" w:hAnsi="Verdana" w:cs="Arial"/>
        </w:rPr>
        <w:t xml:space="preserve">Los </w:t>
      </w:r>
      <w:r w:rsidRPr="003E4CC9">
        <w:rPr>
          <w:rFonts w:ascii="Verdana" w:eastAsia="Calibri" w:hAnsi="Verdana" w:cs="Arial"/>
          <w:i/>
        </w:rPr>
        <w:t>límites materiales</w:t>
      </w:r>
      <w:r w:rsidRPr="003E4CC9">
        <w:rPr>
          <w:rFonts w:ascii="Verdana" w:eastAsia="Calibri" w:hAnsi="Verdana" w:cs="Arial"/>
        </w:rPr>
        <w:t xml:space="preserve"> </w:t>
      </w:r>
      <w:r w:rsidRPr="003E4CC9">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3E4CC9">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3E4CC9">
        <w:rPr>
          <w:rFonts w:ascii="Verdana" w:eastAsia="Arial" w:hAnsi="Verdana" w:cs="Arial"/>
          <w:i/>
          <w:vertAlign w:val="superscript"/>
          <w:lang w:val="es-MX" w:eastAsia="es-ES" w:bidi="es-ES"/>
        </w:rPr>
        <w:footnoteReference w:id="13"/>
      </w:r>
      <w:r w:rsidRPr="003E4CC9">
        <w:rPr>
          <w:rFonts w:ascii="Verdana" w:eastAsia="Arial" w:hAnsi="Verdana" w:cs="Arial"/>
          <w:i/>
          <w:lang w:val="es-MX" w:eastAsia="es-ES" w:bidi="es-ES"/>
        </w:rPr>
        <w:t xml:space="preserve">. </w:t>
      </w:r>
      <w:r w:rsidRPr="003E4CC9">
        <w:rPr>
          <w:rFonts w:ascii="Verdana" w:eastAsia="Arial" w:hAnsi="Verdana" w:cs="Arial"/>
          <w:lang w:val="es-MX" w:eastAsia="es-ES" w:bidi="es-ES"/>
        </w:rPr>
        <w:t xml:space="preserve">Finalmente, se encuentran los </w:t>
      </w:r>
      <w:r w:rsidRPr="003E4CC9">
        <w:rPr>
          <w:rFonts w:ascii="Verdana" w:eastAsia="Arial" w:hAnsi="Verdana" w:cs="Arial"/>
          <w:i/>
          <w:lang w:val="es-MX" w:eastAsia="es-ES" w:bidi="es-ES"/>
        </w:rPr>
        <w:t>límites axiológicos</w:t>
      </w:r>
      <w:r w:rsidRPr="003E4CC9">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3E4CC9">
        <w:rPr>
          <w:rFonts w:ascii="Verdana" w:eastAsia="Calibri" w:hAnsi="Verdana" w:cs="Arial"/>
          <w:lang w:eastAsia="es-ES_tradnl"/>
        </w:rPr>
        <w:t xml:space="preserve">Lo anterior, con la finalidad de realizar la escogencia diligente de la mejor oferta, para beneficiar los intereses y fines públicos inmersos en la contratación de las Entidades Estatales. A modo </w:t>
      </w:r>
      <w:r w:rsidRPr="003E4CC9">
        <w:rPr>
          <w:rFonts w:ascii="Verdana" w:eastAsia="Calibri" w:hAnsi="Verdana" w:cs="Arial"/>
          <w:lang w:eastAsia="es-ES_tradnl"/>
        </w:rPr>
        <w:lastRenderedPageBreak/>
        <w:t>de ejemplo, l</w:t>
      </w:r>
      <w:r w:rsidRPr="003E4CC9">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5156DDF3" w14:textId="77777777" w:rsidR="004707E2" w:rsidRPr="003E4CC9" w:rsidRDefault="004707E2" w:rsidP="004707E2">
      <w:pPr>
        <w:widowControl w:val="0"/>
        <w:autoSpaceDE w:val="0"/>
        <w:autoSpaceDN w:val="0"/>
        <w:spacing w:after="120" w:line="276" w:lineRule="auto"/>
        <w:ind w:firstLine="708"/>
        <w:jc w:val="both"/>
        <w:rPr>
          <w:rFonts w:ascii="Verdana" w:eastAsia="Calibri" w:hAnsi="Verdana" w:cs="Arial"/>
          <w:lang w:val="es-MX" w:eastAsia="es-ES_tradnl"/>
        </w:rPr>
      </w:pPr>
      <w:r w:rsidRPr="003E4CC9">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3E4CC9">
        <w:rPr>
          <w:rFonts w:ascii="Verdana" w:eastAsia="Arial" w:hAnsi="Verdana" w:cs="Arial"/>
          <w:lang w:val="es-ES_tradnl" w:eastAsia="es-ES" w:bidi="es-ES"/>
        </w:rPr>
        <w:t>”</w:t>
      </w:r>
      <w:r w:rsidRPr="003E4CC9">
        <w:rPr>
          <w:rFonts w:ascii="Verdana" w:eastAsia="Arial" w:hAnsi="Verdana" w:cs="Arial"/>
          <w:lang w:val="es-MX" w:eastAsia="es-ES" w:bidi="es-ES"/>
        </w:rPr>
        <w:t>. Esto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r w:rsidRPr="003E4CC9">
        <w:rPr>
          <w:rFonts w:ascii="Verdana" w:eastAsia="Calibri" w:hAnsi="Verdana" w:cs="Arial"/>
          <w:lang w:val="es-MX" w:eastAsia="es-ES_tradnl"/>
        </w:rPr>
        <w:t xml:space="preserve"> </w:t>
      </w:r>
    </w:p>
    <w:p w14:paraId="0C8D9955" w14:textId="77777777" w:rsidR="004707E2" w:rsidRPr="003E4CC9" w:rsidRDefault="004707E2" w:rsidP="004707E2">
      <w:pPr>
        <w:widowControl w:val="0"/>
        <w:autoSpaceDE w:val="0"/>
        <w:autoSpaceDN w:val="0"/>
        <w:spacing w:after="0" w:line="276" w:lineRule="auto"/>
        <w:ind w:firstLine="709"/>
        <w:jc w:val="both"/>
        <w:rPr>
          <w:rFonts w:ascii="Verdana" w:eastAsia="Calibri" w:hAnsi="Verdana" w:cs="Arial"/>
          <w:bCs/>
          <w:lang w:eastAsia="es-ES_tradnl"/>
        </w:rPr>
      </w:pPr>
      <w:r w:rsidRPr="003E4CC9">
        <w:rPr>
          <w:rFonts w:ascii="Verdana" w:eastAsia="Calibri" w:hAnsi="Verdana" w:cs="Arial"/>
          <w:lang w:val="es-MX" w:eastAsia="es-ES_tradnl"/>
        </w:rPr>
        <w:t>E</w:t>
      </w:r>
      <w:r w:rsidRPr="003E4CC9">
        <w:rPr>
          <w:rFonts w:ascii="Verdana" w:eastAsia="Arial" w:hAnsi="Verdana" w:cs="Arial"/>
          <w:lang w:val="es-MX" w:eastAsia="es-ES" w:bidi="es-ES"/>
        </w:rPr>
        <w:t>n virtud de la aplicación de los principios de transparencia, libertad de concurrencia e igualdad, consagrados en el EGCAP, y las reglas sustanciales del Pliego de Condiciones, que permitieron elegir la mejor oferta, previo cumplimiento de unos requisitos con base en los cuales la oferta del contratista fue considerada la más favorable, estos deben ser de estricta observancia y deben mantenerse durante la ejecución del contrato y en su liquidación, como garantía de inalterabilidad de lo pactado y de acatamiento a la legalidad de las reglas aplicadas en la actuación previa</w:t>
      </w:r>
      <w:r w:rsidRPr="003E4CC9">
        <w:rPr>
          <w:rFonts w:ascii="Verdana" w:eastAsia="Arial" w:hAnsi="Verdana" w:cs="Arial"/>
          <w:lang w:val="es-ES_tradnl" w:eastAsia="es-ES" w:bidi="es-ES"/>
        </w:rPr>
        <w:t>.</w:t>
      </w:r>
      <w:r w:rsidRPr="003E4CC9">
        <w:rPr>
          <w:rFonts w:ascii="Verdana" w:eastAsia="Calibri" w:hAnsi="Verdana" w:cs="Arial"/>
          <w:bCs/>
          <w:lang w:eastAsia="es-ES_tradnl"/>
        </w:rPr>
        <w:t xml:space="preserve"> </w:t>
      </w:r>
    </w:p>
    <w:p w14:paraId="2F40147E" w14:textId="77777777" w:rsidR="004707E2" w:rsidRDefault="004707E2" w:rsidP="004707E2">
      <w:pPr>
        <w:widowControl w:val="0"/>
        <w:autoSpaceDE w:val="0"/>
        <w:autoSpaceDN w:val="0"/>
        <w:spacing w:after="0" w:line="276" w:lineRule="auto"/>
        <w:jc w:val="both"/>
        <w:rPr>
          <w:rFonts w:ascii="Verdana" w:hAnsi="Verdana"/>
        </w:rPr>
      </w:pPr>
    </w:p>
    <w:p w14:paraId="485EEB9B" w14:textId="77777777" w:rsidR="004707E2" w:rsidRPr="004C544B" w:rsidRDefault="004707E2" w:rsidP="004707E2">
      <w:pPr>
        <w:spacing w:after="0" w:line="276" w:lineRule="auto"/>
        <w:jc w:val="both"/>
        <w:rPr>
          <w:rFonts w:ascii="Verdana" w:hAnsi="Verdana" w:cs="Arial"/>
        </w:rPr>
      </w:pPr>
      <w:proofErr w:type="spellStart"/>
      <w:r>
        <w:rPr>
          <w:rFonts w:ascii="Verdana" w:hAnsi="Verdana"/>
        </w:rPr>
        <w:t>iii</w:t>
      </w:r>
      <w:proofErr w:type="spellEnd"/>
      <w:r>
        <w:rPr>
          <w:rFonts w:ascii="Verdana" w:hAnsi="Verdana"/>
        </w:rPr>
        <w:t xml:space="preserve">. </w:t>
      </w:r>
      <w:r w:rsidRPr="004C544B">
        <w:rPr>
          <w:rFonts w:ascii="Verdana" w:eastAsia="Calibri" w:hAnsi="Verdana" w:cs="Arial"/>
          <w:bCs/>
          <w:color w:val="000000" w:themeColor="text1"/>
        </w:rPr>
        <w:t>Conforme a los artículos 887 y siguientes del Código de Comercio, la cesión de los contratos juega un papel importante en la gestión de los intereses patrimoniales de los sujetos de derecho privado, ya que –a diferencia de la regulada en los artículos 1959 y siguientes del Código Civil– facilita el tráfico jurídico tanto de los derechos como de las obligaciones surgidos con ocasión del acuerdo de voluntades, lo que permite su transferencia total o parcial a terceros como negocio generador de riqueza</w:t>
      </w:r>
      <w:r w:rsidRPr="004C544B">
        <w:rPr>
          <w:rStyle w:val="Refdenotaalpie"/>
          <w:rFonts w:ascii="Verdana" w:eastAsia="Calibri" w:hAnsi="Verdana" w:cs="Arial"/>
          <w:bCs/>
          <w:color w:val="000000" w:themeColor="text1"/>
        </w:rPr>
        <w:footnoteReference w:id="14"/>
      </w:r>
      <w:r w:rsidRPr="004C544B">
        <w:rPr>
          <w:rFonts w:ascii="Verdana" w:eastAsia="Calibri" w:hAnsi="Verdana" w:cs="Arial"/>
          <w:bCs/>
          <w:color w:val="000000" w:themeColor="text1"/>
        </w:rPr>
        <w:t>.</w:t>
      </w:r>
      <w:r w:rsidRPr="004C544B">
        <w:rPr>
          <w:rFonts w:ascii="Verdana" w:eastAsia="Calibri" w:hAnsi="Verdana" w:cs="Arial"/>
          <w:color w:val="000000" w:themeColor="text1"/>
        </w:rPr>
        <w:t xml:space="preserve"> </w:t>
      </w:r>
      <w:r w:rsidRPr="004C544B">
        <w:rPr>
          <w:rFonts w:ascii="Verdana" w:hAnsi="Verdana" w:cs="Arial"/>
        </w:rPr>
        <w:t>Para la doctrina:</w:t>
      </w:r>
    </w:p>
    <w:p w14:paraId="7C817E3C" w14:textId="77777777" w:rsidR="004707E2" w:rsidRPr="004C544B" w:rsidRDefault="004707E2" w:rsidP="004707E2">
      <w:pPr>
        <w:spacing w:after="0" w:line="240" w:lineRule="auto"/>
        <w:ind w:firstLine="708"/>
        <w:jc w:val="both"/>
        <w:rPr>
          <w:rFonts w:ascii="Verdana" w:hAnsi="Verdana" w:cs="Arial"/>
        </w:rPr>
      </w:pPr>
    </w:p>
    <w:p w14:paraId="0ED4B757" w14:textId="77777777" w:rsidR="004707E2" w:rsidRPr="004C4E62" w:rsidRDefault="004707E2" w:rsidP="004707E2">
      <w:pPr>
        <w:spacing w:after="0" w:line="240" w:lineRule="auto"/>
        <w:ind w:left="709" w:right="709"/>
        <w:jc w:val="both"/>
        <w:rPr>
          <w:rFonts w:ascii="Verdana" w:eastAsia="Calibri" w:hAnsi="Verdana" w:cs="Arial"/>
          <w:color w:val="000000" w:themeColor="text1"/>
          <w:sz w:val="20"/>
          <w:szCs w:val="20"/>
        </w:rPr>
      </w:pPr>
      <w:r w:rsidRPr="004C4E62">
        <w:rPr>
          <w:rFonts w:ascii="Verdana" w:hAnsi="Verdana" w:cs="Arial"/>
          <w:sz w:val="20"/>
          <w:szCs w:val="20"/>
        </w:rPr>
        <w:t xml:space="preserve">“La cesión de contrato (presupuesto éste último como </w:t>
      </w:r>
      <w:r w:rsidRPr="004C4E62">
        <w:rPr>
          <w:rFonts w:ascii="Verdana" w:hAnsi="Verdana" w:cs="Arial"/>
          <w:i/>
          <w:iCs/>
          <w:sz w:val="20"/>
          <w:szCs w:val="20"/>
        </w:rPr>
        <w:t>bilateral</w:t>
      </w:r>
      <w:r w:rsidRPr="004C4E62">
        <w:rPr>
          <w:rFonts w:ascii="Verdana" w:hAnsi="Verdana" w:cs="Arial"/>
          <w:sz w:val="20"/>
          <w:szCs w:val="20"/>
        </w:rPr>
        <w:t xml:space="preserve">, al menos en la configuración típica de la institución) es el instrumento que permite realizar la llamada </w:t>
      </w:r>
      <w:r w:rsidRPr="004C4E62">
        <w:rPr>
          <w:rFonts w:ascii="Verdana" w:hAnsi="Verdana" w:cs="Arial"/>
          <w:i/>
          <w:iCs/>
          <w:sz w:val="20"/>
          <w:szCs w:val="20"/>
        </w:rPr>
        <w:t>circulación del contrato</w:t>
      </w:r>
      <w:r w:rsidRPr="004C4E62">
        <w:rPr>
          <w:rFonts w:ascii="Verdana" w:hAnsi="Verdana" w:cs="Arial"/>
          <w:sz w:val="20"/>
          <w:szCs w:val="20"/>
        </w:rPr>
        <w:t xml:space="preserve">, es decir, la transferencia negocial a un tercero (llamado </w:t>
      </w:r>
      <w:r w:rsidRPr="004C4E62">
        <w:rPr>
          <w:rFonts w:ascii="Verdana" w:hAnsi="Verdana" w:cs="Arial"/>
          <w:i/>
          <w:iCs/>
          <w:sz w:val="20"/>
          <w:szCs w:val="20"/>
        </w:rPr>
        <w:t>cesionario</w:t>
      </w:r>
      <w:r w:rsidRPr="004C4E62">
        <w:rPr>
          <w:rFonts w:ascii="Verdana" w:hAnsi="Verdana" w:cs="Arial"/>
          <w:sz w:val="20"/>
          <w:szCs w:val="20"/>
        </w:rPr>
        <w:t xml:space="preserve">) del conjunto de posiciones contractuales (entendido como resultante unitario de derechos y obligaciones orgánicamente interdependientes), constituida en la persona de uno de los originarios contratantes (llamado </w:t>
      </w:r>
      <w:r w:rsidRPr="004C4E62">
        <w:rPr>
          <w:rFonts w:ascii="Verdana" w:hAnsi="Verdana" w:cs="Arial"/>
          <w:i/>
          <w:iCs/>
          <w:sz w:val="20"/>
          <w:szCs w:val="20"/>
        </w:rPr>
        <w:t>cedente</w:t>
      </w:r>
      <w:r w:rsidRPr="004C4E62">
        <w:rPr>
          <w:rFonts w:ascii="Verdana" w:hAnsi="Verdana" w:cs="Arial"/>
          <w:sz w:val="20"/>
          <w:szCs w:val="20"/>
        </w:rPr>
        <w:t xml:space="preserve">); de tal forma que, a través de esa sustitución </w:t>
      </w:r>
      <w:r w:rsidRPr="004C4E62">
        <w:rPr>
          <w:rFonts w:ascii="Verdana" w:hAnsi="Verdana" w:cs="Arial"/>
          <w:i/>
          <w:iCs/>
          <w:sz w:val="20"/>
          <w:szCs w:val="20"/>
        </w:rPr>
        <w:t>negocial</w:t>
      </w:r>
      <w:r w:rsidRPr="004C4E62">
        <w:rPr>
          <w:rFonts w:ascii="Verdana" w:hAnsi="Verdana" w:cs="Arial"/>
          <w:sz w:val="20"/>
          <w:szCs w:val="20"/>
        </w:rPr>
        <w:t xml:space="preserve"> del tercero en la posición de ‘parte’ del contrato, en lugar del cedente, dicho tercero </w:t>
      </w:r>
      <w:proofErr w:type="spellStart"/>
      <w:r w:rsidRPr="004C4E62">
        <w:rPr>
          <w:rFonts w:ascii="Verdana" w:hAnsi="Verdana" w:cs="Arial"/>
          <w:sz w:val="20"/>
          <w:szCs w:val="20"/>
        </w:rPr>
        <w:t>subentra</w:t>
      </w:r>
      <w:proofErr w:type="spellEnd"/>
      <w:r w:rsidRPr="004C4E62">
        <w:rPr>
          <w:rFonts w:ascii="Verdana" w:hAnsi="Verdana" w:cs="Arial"/>
          <w:sz w:val="20"/>
          <w:szCs w:val="20"/>
        </w:rPr>
        <w:t xml:space="preserve"> en la totalidad de los derechos y obligaciones que en su orgánica interdependencia se derivan del contrato estipulado por el cedente.</w:t>
      </w:r>
    </w:p>
    <w:p w14:paraId="118A3BAE" w14:textId="77777777" w:rsidR="004707E2" w:rsidRPr="004C544B" w:rsidRDefault="004707E2" w:rsidP="004707E2">
      <w:pPr>
        <w:spacing w:after="0" w:line="240" w:lineRule="auto"/>
        <w:ind w:left="709" w:right="709"/>
        <w:jc w:val="both"/>
        <w:rPr>
          <w:rFonts w:ascii="Verdana" w:hAnsi="Verdana" w:cs="Arial"/>
          <w:sz w:val="21"/>
          <w:szCs w:val="21"/>
        </w:rPr>
      </w:pPr>
      <w:r w:rsidRPr="004C4E62">
        <w:rPr>
          <w:rFonts w:ascii="Verdana" w:hAnsi="Verdana" w:cs="Arial"/>
          <w:sz w:val="20"/>
          <w:szCs w:val="20"/>
        </w:rPr>
        <w:t xml:space="preserve">A este respecto justamente se ha notado que el tráfico considera aquí los contratos sobre todo como </w:t>
      </w:r>
      <w:r w:rsidRPr="004C4E62">
        <w:rPr>
          <w:rFonts w:ascii="Verdana" w:hAnsi="Verdana" w:cs="Arial"/>
          <w:i/>
          <w:iCs/>
          <w:sz w:val="20"/>
          <w:szCs w:val="20"/>
        </w:rPr>
        <w:t>valores económicos</w:t>
      </w:r>
      <w:r w:rsidRPr="004C4E62">
        <w:rPr>
          <w:rFonts w:ascii="Verdana" w:hAnsi="Verdana" w:cs="Arial"/>
          <w:sz w:val="20"/>
          <w:szCs w:val="20"/>
        </w:rPr>
        <w:t xml:space="preserve">, idóneos como tales para una determinada forma de circulación: en consideración a la utilidad futura a que el contrato está encaminado a procurar, la práctica atribuye al mismo contrato un valor económico actual, considerándolo, por tanto, como un bien capaz de circular. Ahora bien; el Derecho apresta, precisamente, el instrumento para tal circulación en cuanto admite que uno de los originarios contratantes pueda transferir a un tercero, con el consentimiento imprescindible del otro contratante original (llamado </w:t>
      </w:r>
      <w:r w:rsidRPr="004C4E62">
        <w:rPr>
          <w:rFonts w:ascii="Verdana" w:hAnsi="Verdana" w:cs="Arial"/>
          <w:i/>
          <w:iCs/>
          <w:sz w:val="20"/>
          <w:szCs w:val="20"/>
        </w:rPr>
        <w:t>contratante cedido</w:t>
      </w:r>
      <w:r w:rsidRPr="004C4E62">
        <w:rPr>
          <w:rFonts w:ascii="Verdana" w:hAnsi="Verdana" w:cs="Arial"/>
          <w:sz w:val="20"/>
          <w:szCs w:val="20"/>
        </w:rPr>
        <w:t>), la relación contractual entera, como conjunto de derecho y obligaciones, como única resultante de elementos activos y pasivos […]”</w:t>
      </w:r>
      <w:r w:rsidRPr="004C4E62">
        <w:rPr>
          <w:rStyle w:val="Refdenotaalpie"/>
          <w:rFonts w:ascii="Verdana" w:hAnsi="Verdana" w:cs="Arial"/>
          <w:color w:val="000000" w:themeColor="text1"/>
          <w:sz w:val="20"/>
          <w:szCs w:val="20"/>
        </w:rPr>
        <w:footnoteReference w:id="15"/>
      </w:r>
      <w:r w:rsidRPr="004C4E62">
        <w:rPr>
          <w:rFonts w:ascii="Verdana" w:hAnsi="Verdana" w:cs="Arial"/>
          <w:sz w:val="20"/>
          <w:szCs w:val="20"/>
        </w:rPr>
        <w:t>.</w:t>
      </w:r>
    </w:p>
    <w:p w14:paraId="7F204917" w14:textId="77777777" w:rsidR="004707E2" w:rsidRPr="004C544B" w:rsidRDefault="004707E2" w:rsidP="004707E2">
      <w:pPr>
        <w:spacing w:after="0" w:line="276" w:lineRule="auto"/>
        <w:ind w:left="709" w:right="709"/>
        <w:jc w:val="both"/>
        <w:rPr>
          <w:rFonts w:ascii="Verdana" w:eastAsia="Calibri" w:hAnsi="Verdana" w:cs="Arial"/>
          <w:color w:val="000000" w:themeColor="text1"/>
        </w:rPr>
      </w:pPr>
    </w:p>
    <w:p w14:paraId="14A0F11E" w14:textId="77777777" w:rsidR="004707E2" w:rsidRPr="004C544B" w:rsidRDefault="004707E2" w:rsidP="004707E2">
      <w:pPr>
        <w:spacing w:after="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w:t>
      </w:r>
      <w:proofErr w:type="spellStart"/>
      <w:r w:rsidRPr="004C544B">
        <w:rPr>
          <w:rFonts w:ascii="Verdana" w:eastAsia="Calibri" w:hAnsi="Verdana" w:cs="Arial"/>
          <w:color w:val="000000" w:themeColor="text1"/>
        </w:rPr>
        <w:t>subentra</w:t>
      </w:r>
      <w:proofErr w:type="spellEnd"/>
      <w:r w:rsidRPr="004C544B">
        <w:rPr>
          <w:rFonts w:ascii="Verdana" w:eastAsia="Calibri" w:hAnsi="Verdana" w:cs="Arial"/>
          <w:color w:val="000000" w:themeColor="text1"/>
        </w:rPr>
        <w:t xml:space="preserve"> en la relación con el cedido […]”</w:t>
      </w:r>
      <w:r w:rsidRPr="004C544B">
        <w:rPr>
          <w:rStyle w:val="Refdenotaalpie"/>
          <w:rFonts w:ascii="Verdana" w:eastAsia="Calibri" w:hAnsi="Verdana" w:cs="Arial"/>
          <w:color w:val="000000" w:themeColor="text1"/>
        </w:rPr>
        <w:footnoteReference w:id="16"/>
      </w:r>
      <w:r w:rsidRPr="004C544B">
        <w:rPr>
          <w:rFonts w:ascii="Verdana" w:eastAsia="Calibri" w:hAnsi="Verdana" w:cs="Arial"/>
          <w:color w:val="000000" w:themeColor="text1"/>
        </w:rPr>
        <w:t xml:space="preserve">. Por otro, “[…] es la transferencia de la posición contractual de un contratante a otro sujeto, que le </w:t>
      </w:r>
      <w:proofErr w:type="spellStart"/>
      <w:r w:rsidRPr="004C544B">
        <w:rPr>
          <w:rFonts w:ascii="Verdana" w:eastAsia="Calibri" w:hAnsi="Verdana" w:cs="Arial"/>
          <w:color w:val="000000" w:themeColor="text1"/>
        </w:rPr>
        <w:t>subentra</w:t>
      </w:r>
      <w:proofErr w:type="spellEnd"/>
      <w:r w:rsidRPr="004C544B">
        <w:rPr>
          <w:rFonts w:ascii="Verdana" w:eastAsia="Calibri" w:hAnsi="Verdana" w:cs="Arial"/>
          <w:color w:val="000000" w:themeColor="text1"/>
        </w:rPr>
        <w:t xml:space="preserve"> en la relación con la contraparte […]”</w:t>
      </w:r>
      <w:r w:rsidRPr="004C544B">
        <w:rPr>
          <w:rStyle w:val="Refdenotaalpie"/>
          <w:rFonts w:ascii="Verdana" w:eastAsia="Calibri" w:hAnsi="Verdana" w:cs="Arial"/>
          <w:color w:val="000000" w:themeColor="text1"/>
        </w:rPr>
        <w:footnoteReference w:id="17"/>
      </w:r>
      <w:r w:rsidRPr="004C544B">
        <w:rPr>
          <w:rFonts w:ascii="Verdana" w:eastAsia="Calibri" w:hAnsi="Verdana" w:cs="Arial"/>
          <w:color w:val="000000" w:themeColor="text1"/>
        </w:rPr>
        <w:t xml:space="preserve">. De esta manera, </w:t>
      </w:r>
      <w:r w:rsidRPr="004C544B">
        <w:rPr>
          <w:rFonts w:ascii="Verdana" w:hAnsi="Verdana" w:cs="Arial"/>
          <w:color w:val="000000" w:themeColor="text1"/>
        </w:rPr>
        <w:t xml:space="preserve">concurren tres (3) sujetos: i) el cedente, esto es, el contratista inicial; </w:t>
      </w:r>
      <w:proofErr w:type="spellStart"/>
      <w:r w:rsidRPr="004C544B">
        <w:rPr>
          <w:rFonts w:ascii="Verdana" w:hAnsi="Verdana" w:cs="Arial"/>
          <w:color w:val="000000" w:themeColor="text1"/>
        </w:rPr>
        <w:t>ii</w:t>
      </w:r>
      <w:proofErr w:type="spellEnd"/>
      <w:r w:rsidRPr="004C544B">
        <w:rPr>
          <w:rFonts w:ascii="Verdana" w:hAnsi="Verdana" w:cs="Arial"/>
          <w:color w:val="000000" w:themeColor="text1"/>
        </w:rPr>
        <w:t xml:space="preserve">) el cesionario, es decir, quien asume total o parcialmente los derechos y obligaciones de este último; y </w:t>
      </w:r>
      <w:proofErr w:type="spellStart"/>
      <w:r w:rsidRPr="004C544B">
        <w:rPr>
          <w:rFonts w:ascii="Verdana" w:hAnsi="Verdana" w:cs="Arial"/>
          <w:color w:val="000000" w:themeColor="text1"/>
        </w:rPr>
        <w:t>iii</w:t>
      </w:r>
      <w:proofErr w:type="spellEnd"/>
      <w:r w:rsidRPr="004C544B">
        <w:rPr>
          <w:rFonts w:ascii="Verdana" w:hAnsi="Verdana" w:cs="Arial"/>
          <w:color w:val="000000" w:themeColor="text1"/>
        </w:rPr>
        <w:t xml:space="preserve">) el cedido </w:t>
      </w:r>
      <w:r w:rsidRPr="004C544B">
        <w:rPr>
          <w:rFonts w:ascii="Verdana" w:hAnsi="Verdana" w:cs="Arial"/>
          <w:color w:val="000000" w:themeColor="text1"/>
        </w:rPr>
        <w:lastRenderedPageBreak/>
        <w:t xml:space="preserve">que, en el caso de los contratos estatales, sería la entidad que suscribió el contrato. </w:t>
      </w:r>
      <w:r w:rsidRPr="004C544B">
        <w:rPr>
          <w:rFonts w:ascii="Verdana" w:eastAsia="Calibri" w:hAnsi="Verdana" w:cs="Arial"/>
          <w:color w:val="000000" w:themeColor="text1"/>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 En efecto:</w:t>
      </w:r>
    </w:p>
    <w:p w14:paraId="7D4EC5D1" w14:textId="77777777" w:rsidR="004707E2" w:rsidRPr="004C544B" w:rsidRDefault="004707E2" w:rsidP="004707E2">
      <w:pPr>
        <w:spacing w:after="0" w:line="276" w:lineRule="auto"/>
        <w:ind w:firstLine="708"/>
        <w:jc w:val="both"/>
        <w:rPr>
          <w:rFonts w:ascii="Verdana" w:hAnsi="Verdana" w:cs="Arial"/>
          <w:color w:val="000000" w:themeColor="text1"/>
        </w:rPr>
      </w:pPr>
    </w:p>
    <w:p w14:paraId="5207CC6D" w14:textId="77777777" w:rsidR="004707E2" w:rsidRPr="004C4E62" w:rsidRDefault="004707E2" w:rsidP="004707E2">
      <w:pPr>
        <w:tabs>
          <w:tab w:val="left" w:pos="709"/>
        </w:tabs>
        <w:spacing w:after="0" w:line="240" w:lineRule="auto"/>
        <w:ind w:left="709" w:right="709"/>
        <w:jc w:val="both"/>
        <w:rPr>
          <w:rFonts w:ascii="Verdana" w:eastAsia="Calibri" w:hAnsi="Verdana" w:cs="Arial"/>
          <w:color w:val="000000" w:themeColor="text1"/>
          <w:sz w:val="20"/>
          <w:szCs w:val="20"/>
        </w:rPr>
      </w:pPr>
      <w:r w:rsidRPr="004C4E62">
        <w:rPr>
          <w:rFonts w:ascii="Verdana" w:eastAsia="Calibri" w:hAnsi="Verdana" w:cs="Arial"/>
          <w:color w:val="000000" w:themeColor="text1"/>
          <w:sz w:val="20"/>
          <w:szCs w:val="20"/>
        </w:rPr>
        <w:t>“[…] cuando lo que se cede (o asume) es un contrato, el punto de partida es la presencia de uno o varios créditos y otras tantas obligaciones, entrelazadas en términos de correlatividad y consideradas, tratadas y dispuestas como una unidad, o sea: el objeto de la operación es el traspaso simultáneo de unos créditos y de las obligaciones recíprocas, surgidos a una de un mismo contrato, por parte de uno de los contratantes a un tercero, esto es, en últimas, la transferencia de una posición o relación contractual, cuyo resultado es la sustitución de una de las partes (acreedora-deudora) […]”</w:t>
      </w:r>
      <w:r w:rsidRPr="004C4E62">
        <w:rPr>
          <w:rStyle w:val="Refdenotaalpie"/>
          <w:rFonts w:ascii="Verdana" w:eastAsia="Calibri" w:hAnsi="Verdana" w:cs="Arial"/>
          <w:color w:val="000000" w:themeColor="text1"/>
          <w:sz w:val="20"/>
          <w:szCs w:val="20"/>
        </w:rPr>
        <w:footnoteReference w:id="18"/>
      </w:r>
      <w:r w:rsidRPr="004C4E62">
        <w:rPr>
          <w:rFonts w:ascii="Verdana" w:eastAsia="Calibri" w:hAnsi="Verdana" w:cs="Arial"/>
          <w:color w:val="000000" w:themeColor="text1"/>
          <w:sz w:val="20"/>
          <w:szCs w:val="20"/>
        </w:rPr>
        <w:t>.</w:t>
      </w:r>
    </w:p>
    <w:p w14:paraId="103A41D9" w14:textId="77777777" w:rsidR="004707E2" w:rsidRPr="004C544B" w:rsidRDefault="004707E2" w:rsidP="004707E2">
      <w:pPr>
        <w:tabs>
          <w:tab w:val="left" w:pos="709"/>
        </w:tabs>
        <w:spacing w:after="0" w:line="276" w:lineRule="auto"/>
        <w:ind w:left="709" w:right="709"/>
        <w:jc w:val="both"/>
        <w:rPr>
          <w:rFonts w:ascii="Verdana" w:eastAsia="Calibri" w:hAnsi="Verdana" w:cs="Arial"/>
          <w:color w:val="000000" w:themeColor="text1"/>
        </w:rPr>
      </w:pPr>
    </w:p>
    <w:p w14:paraId="25FCE9EA" w14:textId="77777777" w:rsidR="004707E2" w:rsidRPr="004C544B" w:rsidRDefault="004707E2" w:rsidP="004707E2">
      <w:pPr>
        <w:spacing w:after="12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w:t>
      </w:r>
      <w:proofErr w:type="spellStart"/>
      <w:r w:rsidRPr="004C544B">
        <w:rPr>
          <w:rFonts w:ascii="Verdana" w:eastAsia="Calibri" w:hAnsi="Verdana" w:cs="Arial"/>
          <w:color w:val="000000" w:themeColor="text1"/>
        </w:rPr>
        <w:t>ii</w:t>
      </w:r>
      <w:proofErr w:type="spellEnd"/>
      <w:r w:rsidRPr="004C544B">
        <w:rPr>
          <w:rFonts w:ascii="Verdana" w:eastAsia="Calibri" w:hAnsi="Verdana" w:cs="Arial"/>
          <w:color w:val="000000" w:themeColor="text1"/>
        </w:rPr>
        <w:t xml:space="preserve">) corresponderán como actos jurídicos bilaterales generadores de obligaciones, entre otros, a los previstos en el derecho privado, en los términos del artículo 32 </w:t>
      </w:r>
      <w:r w:rsidRPr="004C544B">
        <w:rPr>
          <w:rFonts w:ascii="Verdana" w:eastAsia="Calibri" w:hAnsi="Verdana" w:cs="Arial"/>
          <w:i/>
          <w:iCs/>
          <w:color w:val="000000" w:themeColor="text1"/>
        </w:rPr>
        <w:t>ibidem</w:t>
      </w:r>
      <w:r w:rsidRPr="004C544B">
        <w:rPr>
          <w:rFonts w:ascii="Verdana" w:eastAsia="Calibri" w:hAnsi="Verdana" w:cs="Arial"/>
          <w:color w:val="000000" w:themeColor="text1"/>
        </w:rPr>
        <w:t xml:space="preserve">; y </w:t>
      </w:r>
      <w:proofErr w:type="spellStart"/>
      <w:r w:rsidRPr="004C544B">
        <w:rPr>
          <w:rFonts w:ascii="Verdana" w:eastAsia="Calibri" w:hAnsi="Verdana" w:cs="Arial"/>
          <w:color w:val="000000" w:themeColor="text1"/>
        </w:rPr>
        <w:t>iii</w:t>
      </w:r>
      <w:proofErr w:type="spellEnd"/>
      <w:r w:rsidRPr="004C544B">
        <w:rPr>
          <w:rFonts w:ascii="Verdana" w:eastAsia="Calibri" w:hAnsi="Verdana" w:cs="Arial"/>
          <w:color w:val="000000" w:themeColor="text1"/>
        </w:rPr>
        <w:t xml:space="preserve">) contendrán las estipulaciones que, de acuerdo con las normas civiles, comerciales y las previstas en esta ley, correspondan a su esencia y naturaleza, conforme a lo dispuesto por el artículo 40 </w:t>
      </w:r>
      <w:r w:rsidRPr="004C544B">
        <w:rPr>
          <w:rFonts w:ascii="Verdana" w:eastAsia="Calibri" w:hAnsi="Verdana" w:cs="Arial"/>
          <w:i/>
          <w:iCs/>
          <w:color w:val="000000" w:themeColor="text1"/>
        </w:rPr>
        <w:t>ibidem</w:t>
      </w:r>
      <w:r w:rsidRPr="004C544B">
        <w:rPr>
          <w:rFonts w:ascii="Verdana" w:eastAsia="Calibri" w:hAnsi="Verdana" w:cs="Arial"/>
          <w:color w:val="000000" w:themeColor="text1"/>
        </w:rPr>
        <w:t xml:space="preserve">. </w:t>
      </w:r>
    </w:p>
    <w:p w14:paraId="72A685CE" w14:textId="77777777" w:rsidR="004707E2" w:rsidRPr="004C544B" w:rsidRDefault="004707E2" w:rsidP="004707E2">
      <w:pPr>
        <w:spacing w:after="12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lastRenderedPageBreak/>
        <w:t>En este sentido, el Estatuto General de Contratación de la Administración Pública establece disposiciones específicas relativas a la figura de la cesión contractual. En principio, si bien rigen las normas relativas a la cesión del contrato contenidas en sus artículos 887 y siguientes del Código de Comercio, su aplicación procede ante la ausencia de norma que de manera particular regule el asunto frente a la categoría especial del contrato estatal.</w:t>
      </w:r>
    </w:p>
    <w:p w14:paraId="79681AD5" w14:textId="77777777" w:rsidR="004707E2" w:rsidRPr="004C544B" w:rsidRDefault="004707E2" w:rsidP="004707E2">
      <w:pPr>
        <w:tabs>
          <w:tab w:val="left" w:pos="709"/>
        </w:tabs>
        <w:spacing w:after="120" w:line="276" w:lineRule="auto"/>
        <w:jc w:val="both"/>
        <w:rPr>
          <w:rFonts w:ascii="Verdana" w:eastAsia="Calibri" w:hAnsi="Verdana" w:cs="Arial"/>
          <w:color w:val="000000" w:themeColor="text1"/>
        </w:rPr>
      </w:pPr>
      <w:r w:rsidRPr="004C544B">
        <w:rPr>
          <w:rFonts w:ascii="Verdana" w:eastAsia="Calibri" w:hAnsi="Verdana" w:cs="Arial"/>
          <w:color w:val="000000" w:themeColor="text1"/>
        </w:rPr>
        <w:tab/>
        <w:t>Por ello, es pertinente indicar que el Decreto Ley 410 de 1971 contempla ciertas disposiciones que no se encuentran en la Ley 80 de 1993, lo que conlleva su aplicación en materia de contratos estatales. Por ejemplo, el artículo 890 establece lo relativo a la responsabilidad del cedente frente al cesionario y en torno a la existencia, validez y garantías del contrato cedido</w:t>
      </w:r>
      <w:r w:rsidRPr="004C544B">
        <w:rPr>
          <w:rStyle w:val="Refdenotaalpie"/>
          <w:rFonts w:ascii="Verdana" w:eastAsia="Calibri" w:hAnsi="Verdana" w:cs="Arial"/>
          <w:color w:val="000000" w:themeColor="text1"/>
        </w:rPr>
        <w:footnoteReference w:id="19"/>
      </w:r>
      <w:r w:rsidRPr="004C544B">
        <w:rPr>
          <w:rFonts w:ascii="Verdana" w:eastAsia="Calibri" w:hAnsi="Verdana" w:cs="Arial"/>
          <w:color w:val="000000" w:themeColor="text1"/>
        </w:rPr>
        <w:t>. Por otra parte, el artículo 891 obliga al cesionario a avisar al cedente de la mora o el incumplimiento dentro de los 10 días siguientes, siempre y cuando este se haya obligado a garantizar el cumplimiento por parte del contratante cedido</w:t>
      </w:r>
      <w:r w:rsidRPr="004C544B">
        <w:rPr>
          <w:rStyle w:val="Refdenotaalpie"/>
          <w:rFonts w:ascii="Verdana" w:eastAsia="Calibri" w:hAnsi="Verdana" w:cs="Arial"/>
          <w:color w:val="000000" w:themeColor="text1"/>
        </w:rPr>
        <w:footnoteReference w:id="20"/>
      </w:r>
      <w:r w:rsidRPr="004C544B">
        <w:rPr>
          <w:rFonts w:ascii="Verdana" w:eastAsia="Calibri" w:hAnsi="Verdana" w:cs="Arial"/>
          <w:color w:val="000000" w:themeColor="text1"/>
        </w:rPr>
        <w:t>. Asimismo, los artículos 895 y 896 disponen que la cesión de un contrato implica la transferencia de las acciones, privilegios y beneficios legales inherentes a la naturaleza y condiciones del contrato, excluyendo a aquellas que sean extrañas al mismo o que se funden en el estado o calidad particular de las partes, pudiendo, el contratante cedido, oponer contra el cesionario todas las excepciones que se deriven del contrato</w:t>
      </w:r>
      <w:r w:rsidRPr="004C544B">
        <w:rPr>
          <w:rStyle w:val="Refdenotaalpie"/>
          <w:rFonts w:ascii="Verdana" w:eastAsia="Calibri" w:hAnsi="Verdana" w:cs="Arial"/>
          <w:color w:val="000000" w:themeColor="text1"/>
        </w:rPr>
        <w:footnoteReference w:id="21"/>
      </w:r>
      <w:r w:rsidRPr="004C544B">
        <w:rPr>
          <w:rFonts w:ascii="Verdana" w:eastAsia="Calibri" w:hAnsi="Verdana" w:cs="Arial"/>
          <w:color w:val="000000" w:themeColor="text1"/>
        </w:rPr>
        <w:t xml:space="preserve">. </w:t>
      </w:r>
    </w:p>
    <w:p w14:paraId="29DA45E8" w14:textId="77777777" w:rsidR="004707E2" w:rsidRPr="004C544B" w:rsidRDefault="004707E2" w:rsidP="004707E2">
      <w:pPr>
        <w:tabs>
          <w:tab w:val="left" w:pos="709"/>
        </w:tabs>
        <w:spacing w:after="120" w:line="276" w:lineRule="auto"/>
        <w:jc w:val="both"/>
        <w:rPr>
          <w:rFonts w:ascii="Verdana" w:eastAsia="Calibri" w:hAnsi="Verdana" w:cs="Arial"/>
          <w:color w:val="000000" w:themeColor="text1"/>
        </w:rPr>
      </w:pPr>
      <w:r w:rsidRPr="004C544B">
        <w:rPr>
          <w:rFonts w:ascii="Verdana" w:eastAsia="Calibri" w:hAnsi="Verdana" w:cs="Arial"/>
          <w:color w:val="000000" w:themeColor="text1"/>
        </w:rPr>
        <w:tab/>
        <w:t xml:space="preserve">Al margen de estas y otras disposiciones que de manera particular consagra el Código de Comercio sobre la cesión del contrato, esta figura cuenta con algunas normas especiales en la Ley 80 de 1993. Por ejemplo, </w:t>
      </w:r>
      <w:bookmarkStart w:id="1" w:name="_Hlk79822251"/>
      <w:r w:rsidRPr="004C544B">
        <w:rPr>
          <w:rFonts w:ascii="Verdana" w:eastAsia="Calibri" w:hAnsi="Verdana" w:cs="Arial"/>
          <w:color w:val="000000" w:themeColor="text1"/>
        </w:rPr>
        <w:t>el artículo 41, inciso tercero</w:t>
      </w:r>
      <w:bookmarkEnd w:id="1"/>
      <w:r w:rsidRPr="004C544B">
        <w:rPr>
          <w:rFonts w:ascii="Verdana" w:eastAsia="Calibri" w:hAnsi="Verdana" w:cs="Arial"/>
          <w:color w:val="000000" w:themeColor="text1"/>
        </w:rPr>
        <w:t xml:space="preserve">, del EGCAP prescribe que “Los contratos estatales son </w:t>
      </w:r>
      <w:r w:rsidRPr="004C544B">
        <w:rPr>
          <w:rFonts w:ascii="Verdana" w:eastAsia="Calibri" w:hAnsi="Verdana" w:cs="Arial"/>
          <w:i/>
          <w:iCs/>
          <w:color w:val="000000" w:themeColor="text1"/>
        </w:rPr>
        <w:t xml:space="preserve">intuito </w:t>
      </w:r>
      <w:proofErr w:type="spellStart"/>
      <w:r w:rsidRPr="004C544B">
        <w:rPr>
          <w:rFonts w:ascii="Verdana" w:eastAsia="Calibri" w:hAnsi="Verdana" w:cs="Arial"/>
          <w:i/>
          <w:iCs/>
          <w:color w:val="000000" w:themeColor="text1"/>
        </w:rPr>
        <w:t>personae</w:t>
      </w:r>
      <w:proofErr w:type="spellEnd"/>
      <w:r w:rsidRPr="004C544B">
        <w:rPr>
          <w:rFonts w:ascii="Verdana" w:eastAsia="Calibri" w:hAnsi="Verdana" w:cs="Arial"/>
          <w:color w:val="000000" w:themeColor="text1"/>
        </w:rPr>
        <w:t xml:space="preserve"> y, en consecuencia, una vez celebrados no podrán cederse sin previa autorización escrita de la entidad contratante”. Esta norma contiene una </w:t>
      </w:r>
      <w:r w:rsidRPr="004C544B">
        <w:rPr>
          <w:rFonts w:ascii="Verdana" w:eastAsia="Calibri" w:hAnsi="Verdana" w:cs="Arial"/>
          <w:color w:val="000000" w:themeColor="text1"/>
        </w:rPr>
        <w:lastRenderedPageBreak/>
        <w:t>prohibición general –</w:t>
      </w:r>
      <w:r w:rsidRPr="004C544B">
        <w:rPr>
          <w:rFonts w:ascii="Verdana" w:eastAsia="Calibri" w:hAnsi="Verdana" w:cs="Arial"/>
          <w:i/>
          <w:iCs/>
          <w:color w:val="000000" w:themeColor="text1"/>
        </w:rPr>
        <w:t>faceta negativa</w:t>
      </w:r>
      <w:r w:rsidRPr="004C544B">
        <w:rPr>
          <w:rFonts w:ascii="Verdana" w:eastAsia="Calibri" w:hAnsi="Verdana" w:cs="Arial"/>
          <w:color w:val="000000" w:themeColor="text1"/>
        </w:rPr>
        <w:t>– y una autorización excepcional –</w:t>
      </w:r>
      <w:r w:rsidRPr="004C544B">
        <w:rPr>
          <w:rFonts w:ascii="Verdana" w:eastAsia="Calibri" w:hAnsi="Verdana" w:cs="Arial"/>
          <w:i/>
          <w:iCs/>
          <w:color w:val="000000" w:themeColor="text1"/>
        </w:rPr>
        <w:t>faceta positiva</w:t>
      </w:r>
      <w:r w:rsidRPr="004C544B">
        <w:rPr>
          <w:rFonts w:ascii="Verdana" w:eastAsia="Calibri" w:hAnsi="Verdana" w:cs="Arial"/>
          <w:color w:val="000000" w:themeColor="text1"/>
        </w:rPr>
        <w:t>–.</w:t>
      </w:r>
    </w:p>
    <w:p w14:paraId="35B897BE" w14:textId="77777777" w:rsidR="004707E2" w:rsidRPr="004C544B" w:rsidRDefault="004707E2" w:rsidP="004707E2">
      <w:pPr>
        <w:tabs>
          <w:tab w:val="left" w:pos="709"/>
        </w:tabs>
        <w:spacing w:after="120" w:line="276" w:lineRule="auto"/>
        <w:jc w:val="both"/>
        <w:rPr>
          <w:rFonts w:ascii="Verdana" w:eastAsia="Calibri" w:hAnsi="Verdana" w:cs="Arial"/>
          <w:bCs/>
          <w:color w:val="000000" w:themeColor="text1"/>
        </w:rPr>
      </w:pPr>
      <w:r w:rsidRPr="004C544B">
        <w:rPr>
          <w:rFonts w:ascii="Verdana" w:eastAsia="Calibri" w:hAnsi="Verdana" w:cs="Arial"/>
          <w:bCs/>
          <w:color w:val="000000" w:themeColor="text1"/>
        </w:rPr>
        <w:tab/>
        <w:t xml:space="preserve">En lo que respecta a la </w:t>
      </w:r>
      <w:r w:rsidRPr="004C544B">
        <w:rPr>
          <w:rFonts w:ascii="Verdana" w:eastAsia="Calibri" w:hAnsi="Verdana" w:cs="Arial"/>
          <w:bCs/>
          <w:i/>
          <w:iCs/>
          <w:color w:val="000000" w:themeColor="text1"/>
        </w:rPr>
        <w:t>faceta negativa</w:t>
      </w:r>
      <w:r w:rsidRPr="004C544B">
        <w:rPr>
          <w:rFonts w:ascii="Verdana" w:eastAsia="Calibri" w:hAnsi="Verdana" w:cs="Arial"/>
          <w:bCs/>
          <w:color w:val="000000" w:themeColor="text1"/>
        </w:rPr>
        <w:t xml:space="preserve">, el artículo 41 del Estatuto General ordena que el contrato se ejecute con quien inicialmente se celebró el acuerdo de voluntades, pues es la persona que –de acuerdo con los criterios definidos por la entidad para la selección del contratista– resulta idónea para cumplir con las obligaciones. De esta manera, la prohibición contenida en la norma citada es uno de los elementos de la naturaleza del contrato estatal, pues –conforme a lo previsto en el artículo 1501 del Código Civil– es de aquellos “[…] </w:t>
      </w:r>
      <w:proofErr w:type="gramStart"/>
      <w:r w:rsidRPr="004C544B">
        <w:rPr>
          <w:rFonts w:ascii="Verdana" w:eastAsia="Calibri" w:hAnsi="Verdana" w:cs="Arial"/>
          <w:bCs/>
          <w:color w:val="000000" w:themeColor="text1"/>
        </w:rPr>
        <w:t>que</w:t>
      </w:r>
      <w:proofErr w:type="gramEnd"/>
      <w:r w:rsidRPr="004C544B">
        <w:rPr>
          <w:rFonts w:ascii="Verdana" w:eastAsia="Calibri" w:hAnsi="Verdana" w:cs="Arial"/>
          <w:bCs/>
          <w:color w:val="000000" w:themeColor="text1"/>
        </w:rPr>
        <w:t xml:space="preserve"> no siendo esenciales en él, se entienden pertenecerle, sin necesidad de una cláusula especial […]”</w:t>
      </w:r>
      <w:r w:rsidRPr="004C544B">
        <w:rPr>
          <w:rStyle w:val="Refdenotaalpie"/>
          <w:rFonts w:ascii="Verdana" w:eastAsia="Calibri" w:hAnsi="Verdana" w:cs="Arial"/>
          <w:bCs/>
          <w:color w:val="000000" w:themeColor="text1"/>
        </w:rPr>
        <w:footnoteReference w:id="22"/>
      </w:r>
      <w:r w:rsidRPr="004C544B">
        <w:rPr>
          <w:rFonts w:ascii="Verdana" w:eastAsia="Calibri" w:hAnsi="Verdana" w:cs="Arial"/>
          <w:bCs/>
          <w:color w:val="000000" w:themeColor="text1"/>
        </w:rPr>
        <w:t xml:space="preserve">.  </w:t>
      </w:r>
    </w:p>
    <w:p w14:paraId="05A2324A" w14:textId="77777777" w:rsidR="004707E2" w:rsidRPr="004C544B" w:rsidRDefault="004707E2" w:rsidP="004707E2">
      <w:pPr>
        <w:spacing w:after="0" w:line="276" w:lineRule="auto"/>
        <w:ind w:firstLine="708"/>
        <w:jc w:val="both"/>
        <w:rPr>
          <w:rFonts w:ascii="Verdana" w:eastAsia="Calibri" w:hAnsi="Verdana" w:cs="Arial"/>
          <w:bCs/>
          <w:color w:val="000000" w:themeColor="text1"/>
        </w:rPr>
      </w:pPr>
      <w:r w:rsidRPr="004C544B">
        <w:rPr>
          <w:rFonts w:ascii="Verdana" w:eastAsia="Calibri" w:hAnsi="Verdana" w:cs="Arial"/>
          <w:bCs/>
          <w:color w:val="000000" w:themeColor="text1"/>
        </w:rPr>
        <w:t xml:space="preserve">En su </w:t>
      </w:r>
      <w:r w:rsidRPr="004C544B">
        <w:rPr>
          <w:rFonts w:ascii="Verdana" w:eastAsia="Calibri" w:hAnsi="Verdana" w:cs="Arial"/>
          <w:bCs/>
          <w:i/>
          <w:iCs/>
          <w:color w:val="000000" w:themeColor="text1"/>
        </w:rPr>
        <w:t>faceta positiva</w:t>
      </w:r>
      <w:r w:rsidRPr="004C544B">
        <w:rPr>
          <w:rFonts w:ascii="Verdana" w:eastAsia="Calibri" w:hAnsi="Verdana" w:cs="Arial"/>
          <w:bCs/>
          <w:color w:val="000000" w:themeColor="text1"/>
        </w:rPr>
        <w:t xml:space="preserve">, la Ley 80 de 1993 permite excepcionalmente la cesión del contrato estatal siempre que exista autorización previa escrita de la entidad contratante. Por ello, “[…] El cocontratante que </w:t>
      </w:r>
      <w:r w:rsidRPr="00DE5DE4">
        <w:rPr>
          <w:rFonts w:ascii="Verdana" w:eastAsia="Calibri" w:hAnsi="Verdana" w:cs="Arial"/>
          <w:bCs/>
          <w:color w:val="000000" w:themeColor="text1"/>
          <w:sz w:val="24"/>
          <w:szCs w:val="24"/>
        </w:rPr>
        <w:t>‘</w:t>
      </w:r>
      <w:r w:rsidRPr="004C544B">
        <w:rPr>
          <w:rFonts w:ascii="Verdana" w:eastAsia="Calibri" w:hAnsi="Verdana" w:cs="Arial"/>
          <w:bCs/>
          <w:i/>
          <w:iCs/>
          <w:color w:val="000000" w:themeColor="text1"/>
        </w:rPr>
        <w:t>ceda</w:t>
      </w:r>
      <w:r w:rsidRPr="00DE5DE4">
        <w:rPr>
          <w:rFonts w:ascii="Verdana" w:eastAsia="Calibri" w:hAnsi="Verdana" w:cs="Arial"/>
          <w:bCs/>
          <w:color w:val="000000" w:themeColor="text1"/>
        </w:rPr>
        <w:t>’</w:t>
      </w:r>
      <w:r w:rsidRPr="004C544B">
        <w:rPr>
          <w:rFonts w:ascii="Verdana" w:eastAsia="Calibri" w:hAnsi="Verdana" w:cs="Arial"/>
          <w:bCs/>
          <w:color w:val="000000" w:themeColor="text1"/>
        </w:rPr>
        <w:t xml:space="preserve"> el contrato sin estar autorizado para ello incurre en grave responsabilidad: su actitud implica </w:t>
      </w:r>
      <w:r>
        <w:rPr>
          <w:rFonts w:ascii="Verdana" w:eastAsia="Calibri" w:hAnsi="Verdana" w:cs="Arial"/>
          <w:bCs/>
          <w:color w:val="000000" w:themeColor="text1"/>
        </w:rPr>
        <w:t>‘</w:t>
      </w:r>
      <w:r w:rsidRPr="004C544B">
        <w:rPr>
          <w:rFonts w:ascii="Verdana" w:eastAsia="Calibri" w:hAnsi="Verdana" w:cs="Arial"/>
          <w:bCs/>
          <w:i/>
          <w:iCs/>
          <w:color w:val="000000" w:themeColor="text1"/>
        </w:rPr>
        <w:t>incumplimiento</w:t>
      </w:r>
      <w:r>
        <w:rPr>
          <w:rFonts w:ascii="Verdana" w:eastAsia="Calibri" w:hAnsi="Verdana" w:cs="Arial"/>
          <w:bCs/>
          <w:color w:val="000000" w:themeColor="text1"/>
        </w:rPr>
        <w:t>’</w:t>
      </w:r>
      <w:r w:rsidRPr="004C544B">
        <w:rPr>
          <w:rFonts w:ascii="Verdana" w:eastAsia="Calibri" w:hAnsi="Verdana" w:cs="Arial"/>
          <w:bCs/>
          <w:color w:val="000000" w:themeColor="text1"/>
        </w:rPr>
        <w:t xml:space="preserve"> del contrato; de ahí que esa cesión ilícita no resulte oponible a la Administración Pública […]”</w:t>
      </w:r>
      <w:r w:rsidRPr="004C544B">
        <w:rPr>
          <w:rStyle w:val="Refdenotaalpie"/>
          <w:rFonts w:ascii="Verdana" w:eastAsia="Calibri" w:hAnsi="Verdana" w:cs="Arial"/>
          <w:bCs/>
          <w:color w:val="000000" w:themeColor="text1"/>
        </w:rPr>
        <w:footnoteReference w:id="23"/>
      </w:r>
      <w:r w:rsidRPr="004C544B">
        <w:rPr>
          <w:rFonts w:ascii="Verdana" w:eastAsia="Calibri" w:hAnsi="Verdana" w:cs="Arial"/>
          <w:bCs/>
          <w:color w:val="000000" w:themeColor="text1"/>
        </w:rPr>
        <w:t xml:space="preserve">. 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 </w:t>
      </w:r>
      <w:r w:rsidRPr="004C544B">
        <w:rPr>
          <w:rFonts w:ascii="Verdana" w:eastAsia="Calibri" w:hAnsi="Verdana" w:cs="Arial"/>
          <w:color w:val="000000" w:themeColor="text1"/>
        </w:rPr>
        <w:t>En relación con lo anterior la doctrina define la cesión en los contratos estatales de la siguiente manera:</w:t>
      </w:r>
    </w:p>
    <w:p w14:paraId="3A6FE154" w14:textId="77777777" w:rsidR="004707E2" w:rsidRPr="004C544B" w:rsidRDefault="004707E2" w:rsidP="004707E2">
      <w:pPr>
        <w:spacing w:after="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 </w:t>
      </w:r>
    </w:p>
    <w:p w14:paraId="71241FF1" w14:textId="77777777" w:rsidR="004707E2" w:rsidRPr="004C4E62" w:rsidRDefault="004707E2" w:rsidP="004707E2">
      <w:pPr>
        <w:spacing w:after="0" w:line="240" w:lineRule="auto"/>
        <w:ind w:left="709" w:right="709"/>
        <w:jc w:val="both"/>
        <w:rPr>
          <w:rFonts w:ascii="Verdana" w:eastAsia="Calibri" w:hAnsi="Verdana" w:cs="Arial"/>
          <w:color w:val="000000" w:themeColor="text1"/>
          <w:sz w:val="20"/>
          <w:szCs w:val="20"/>
        </w:rPr>
      </w:pPr>
      <w:r w:rsidRPr="004C4E62">
        <w:rPr>
          <w:rFonts w:ascii="Verdana" w:eastAsia="Calibri" w:hAnsi="Verdana" w:cs="Arial"/>
          <w:color w:val="000000" w:themeColor="text1"/>
          <w:sz w:val="20"/>
          <w:szCs w:val="20"/>
        </w:rPr>
        <w:t xml:space="preserve">“La cesión en la contratación estatal supone, previa autorización de la entidad contratante, la sustitución </w:t>
      </w:r>
      <w:r w:rsidRPr="004C4E62">
        <w:rPr>
          <w:rFonts w:ascii="Verdana" w:eastAsia="Calibri" w:hAnsi="Verdana" w:cs="Arial"/>
          <w:i/>
          <w:iCs/>
          <w:color w:val="000000" w:themeColor="text1"/>
          <w:sz w:val="20"/>
          <w:szCs w:val="20"/>
        </w:rPr>
        <w:t>in genere</w:t>
      </w:r>
      <w:r w:rsidRPr="004C4E62">
        <w:rPr>
          <w:rFonts w:ascii="Verdana" w:eastAsia="Calibri" w:hAnsi="Verdana" w:cs="Arial"/>
          <w:color w:val="000000" w:themeColor="text1"/>
          <w:sz w:val="20"/>
          <w:szCs w:val="20"/>
        </w:rPr>
        <w:t xml:space="preserve">,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w:t>
      </w:r>
      <w:r w:rsidRPr="004C4E62">
        <w:rPr>
          <w:rFonts w:ascii="Verdana" w:eastAsia="Calibri" w:hAnsi="Verdana" w:cs="Arial"/>
          <w:color w:val="000000" w:themeColor="text1"/>
          <w:sz w:val="20"/>
          <w:szCs w:val="20"/>
        </w:rPr>
        <w:lastRenderedPageBreak/>
        <w:t>originaria, sin que sea precisa la transferencia individual de cuantos derechos y obligaciones conforman la universalidad jurídica a ceder […]”</w:t>
      </w:r>
      <w:r w:rsidRPr="004C4E62">
        <w:rPr>
          <w:rStyle w:val="Refdenotaalpie"/>
          <w:rFonts w:ascii="Verdana" w:hAnsi="Verdana" w:cs="Arial"/>
          <w:color w:val="000000" w:themeColor="text1"/>
          <w:sz w:val="20"/>
          <w:szCs w:val="20"/>
        </w:rPr>
        <w:footnoteReference w:id="24"/>
      </w:r>
      <w:r w:rsidRPr="004C4E62">
        <w:rPr>
          <w:rFonts w:ascii="Verdana" w:eastAsia="Calibri" w:hAnsi="Verdana" w:cs="Arial"/>
          <w:color w:val="000000" w:themeColor="text1"/>
          <w:sz w:val="20"/>
          <w:szCs w:val="20"/>
        </w:rPr>
        <w:t>.</w:t>
      </w:r>
    </w:p>
    <w:p w14:paraId="11EA44E2" w14:textId="77777777" w:rsidR="004707E2" w:rsidRPr="004C544B" w:rsidRDefault="004707E2" w:rsidP="004707E2">
      <w:pPr>
        <w:spacing w:after="0" w:line="276" w:lineRule="auto"/>
        <w:jc w:val="both"/>
        <w:rPr>
          <w:rFonts w:ascii="Verdana" w:eastAsia="Calibri" w:hAnsi="Verdana" w:cs="Arial"/>
          <w:color w:val="000000" w:themeColor="text1"/>
        </w:rPr>
      </w:pPr>
    </w:p>
    <w:p w14:paraId="63614DF8" w14:textId="77777777" w:rsidR="004707E2" w:rsidRPr="004C544B" w:rsidRDefault="004707E2" w:rsidP="004707E2">
      <w:pPr>
        <w:spacing w:after="120" w:line="276" w:lineRule="auto"/>
        <w:ind w:firstLine="709"/>
        <w:jc w:val="both"/>
        <w:rPr>
          <w:rFonts w:ascii="Verdana" w:eastAsia="Calibri" w:hAnsi="Verdana" w:cs="Arial"/>
          <w:bCs/>
          <w:color w:val="000000" w:themeColor="text1"/>
        </w:rPr>
      </w:pPr>
      <w:r w:rsidRPr="004C544B">
        <w:rPr>
          <w:rFonts w:ascii="Verdana" w:eastAsia="Calibri" w:hAnsi="Verdana" w:cs="Arial"/>
          <w:bCs/>
          <w:color w:val="000000" w:themeColor="text1"/>
        </w:rPr>
        <w:t>Autorizada previamente por la entidad cedida, esta forma de cesión requiere la suscripción de un contrato entre el cedente y el cesionario, por lo que es bilateral en la medida en que requiere un acuerdo voluntades. Con fundamento en el mismo, el cesionario reemplaza –en todo o en parte– al contratista cedente en la ejecución del contrato estatal, respondiendo por el cumplimiento de las obligaciones frente a la Administración.</w:t>
      </w:r>
      <w:r w:rsidRPr="004C544B">
        <w:rPr>
          <w:rFonts w:ascii="Verdana" w:hAnsi="Verdana"/>
        </w:rPr>
        <w:t xml:space="preserve"> </w:t>
      </w:r>
      <w:r w:rsidRPr="004C544B">
        <w:rPr>
          <w:rFonts w:ascii="Verdana" w:eastAsia="Calibri" w:hAnsi="Verdana" w:cs="Arial"/>
          <w:bCs/>
          <w:color w:val="000000" w:themeColor="text1"/>
        </w:rPr>
        <w:t>El inciso primero del artículo 888 del Código de Comercio señala que “La sustitución podrá hacerse por escrito o verbalmente, según que el contrato conste o no por escrito”. Como el contrato estatal es solemne en los términos de los artículos 39 y 41 de la Ley 80 de 1993, se impone la forma escrita para cederlo</w:t>
      </w:r>
      <w:r w:rsidRPr="004C544B">
        <w:rPr>
          <w:rFonts w:ascii="Verdana" w:eastAsia="Calibri" w:hAnsi="Verdana" w:cs="Arial"/>
          <w:color w:val="000000" w:themeColor="text1"/>
        </w:rPr>
        <w:t xml:space="preserve">. </w:t>
      </w:r>
    </w:p>
    <w:p w14:paraId="26F901F4" w14:textId="77777777" w:rsidR="004707E2" w:rsidRDefault="004707E2" w:rsidP="004707E2">
      <w:pPr>
        <w:tabs>
          <w:tab w:val="left" w:pos="709"/>
        </w:tabs>
        <w:spacing w:after="120" w:line="276" w:lineRule="auto"/>
        <w:jc w:val="both"/>
        <w:rPr>
          <w:rFonts w:ascii="Verdana" w:eastAsia="Calibri" w:hAnsi="Verdana" w:cs="Arial"/>
          <w:color w:val="000000" w:themeColor="text1"/>
        </w:rPr>
      </w:pPr>
      <w:bookmarkStart w:id="2" w:name="_Hlk80369799"/>
      <w:r w:rsidRPr="004C544B">
        <w:rPr>
          <w:rFonts w:ascii="Verdana" w:eastAsia="Calibri" w:hAnsi="Verdana" w:cs="Arial"/>
          <w:color w:val="000000" w:themeColor="text1"/>
        </w:rPr>
        <w:tab/>
        <w:t xml:space="preserve">Por lo demás, el Consejo de Estado ha precisado como requisitos de la cesión del contrato estatal los siguientes: i) debe recaer en un tercero; </w:t>
      </w:r>
      <w:proofErr w:type="spellStart"/>
      <w:r w:rsidRPr="004C544B">
        <w:rPr>
          <w:rFonts w:ascii="Verdana" w:eastAsia="Calibri" w:hAnsi="Verdana" w:cs="Arial"/>
          <w:color w:val="000000" w:themeColor="text1"/>
        </w:rPr>
        <w:t>ii</w:t>
      </w:r>
      <w:proofErr w:type="spellEnd"/>
      <w:r w:rsidRPr="004C544B">
        <w:rPr>
          <w:rFonts w:ascii="Verdana" w:eastAsia="Calibri" w:hAnsi="Verdana" w:cs="Arial"/>
          <w:color w:val="000000" w:themeColor="text1"/>
        </w:rPr>
        <w:t xml:space="preserve">) el cesionario debe tener capacidad jurídica para continuar con la ejecución del objeto contractual y no estar incurso en causales de inhabilidad e incompatibilidad para contratar; y </w:t>
      </w:r>
      <w:proofErr w:type="spellStart"/>
      <w:r w:rsidRPr="004C544B">
        <w:rPr>
          <w:rFonts w:ascii="Verdana" w:eastAsia="Calibri" w:hAnsi="Verdana" w:cs="Arial"/>
          <w:color w:val="000000" w:themeColor="text1"/>
        </w:rPr>
        <w:t>iii</w:t>
      </w:r>
      <w:proofErr w:type="spellEnd"/>
      <w:r w:rsidRPr="004C544B">
        <w:rPr>
          <w:rFonts w:ascii="Verdana" w:eastAsia="Calibri" w:hAnsi="Verdana" w:cs="Arial"/>
          <w:color w:val="000000" w:themeColor="text1"/>
        </w:rPr>
        <w:t>)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w:t>
      </w:r>
      <w:bookmarkStart w:id="3" w:name="_Hlk80369829"/>
      <w:bookmarkEnd w:id="2"/>
      <w:r w:rsidRPr="004C544B">
        <w:rPr>
          <w:rFonts w:ascii="Verdana" w:eastAsia="Calibri" w:hAnsi="Verdana" w:cs="Arial"/>
          <w:color w:val="000000" w:themeColor="text1"/>
        </w:rPr>
        <w:t>,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bookmarkEnd w:id="3"/>
      <w:r w:rsidRPr="004C544B">
        <w:rPr>
          <w:rFonts w:ascii="Verdana" w:eastAsia="Calibri" w:hAnsi="Verdana" w:cs="Arial"/>
          <w:color w:val="000000" w:themeColor="text1"/>
        </w:rPr>
        <w:t>”</w:t>
      </w:r>
      <w:r w:rsidRPr="004C544B">
        <w:rPr>
          <w:rStyle w:val="Refdenotaalpie"/>
          <w:rFonts w:ascii="Verdana" w:eastAsia="Calibri" w:hAnsi="Verdana" w:cs="Arial"/>
          <w:color w:val="000000" w:themeColor="text1"/>
        </w:rPr>
        <w:footnoteReference w:id="25"/>
      </w:r>
      <w:r w:rsidRPr="004C544B">
        <w:rPr>
          <w:rFonts w:ascii="Verdana" w:eastAsia="Calibri" w:hAnsi="Verdana" w:cs="Arial"/>
          <w:color w:val="000000" w:themeColor="text1"/>
        </w:rPr>
        <w:t>.</w:t>
      </w:r>
    </w:p>
    <w:p w14:paraId="39CCC5D5" w14:textId="77777777" w:rsidR="004707E2" w:rsidRPr="000D3981" w:rsidRDefault="004707E2" w:rsidP="004707E2">
      <w:pPr>
        <w:tabs>
          <w:tab w:val="left" w:pos="709"/>
        </w:tabs>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0D3981">
        <w:rPr>
          <w:rFonts w:ascii="Verdana" w:eastAsia="Calibri" w:hAnsi="Verdana" w:cs="Arial"/>
          <w:color w:val="000000" w:themeColor="text1"/>
        </w:rPr>
        <w:t xml:space="preserve">En este contexto, </w:t>
      </w:r>
      <w:r>
        <w:rPr>
          <w:rFonts w:ascii="Verdana" w:eastAsia="Calibri" w:hAnsi="Verdana" w:cs="Arial"/>
          <w:color w:val="000000" w:themeColor="text1"/>
        </w:rPr>
        <w:t>l</w:t>
      </w:r>
      <w:r w:rsidRPr="000D3981">
        <w:rPr>
          <w:rFonts w:ascii="Verdana" w:eastAsia="Calibri" w:hAnsi="Verdana" w:cs="Arial"/>
          <w:color w:val="000000" w:themeColor="text1"/>
        </w:rPr>
        <w:t xml:space="preserve">a cesión del contrato estatal no implica, en sí misma, la celebración de un nuevo contrato, pues lo único que se modifica es la parte </w:t>
      </w:r>
      <w:r w:rsidRPr="000D3981">
        <w:rPr>
          <w:rFonts w:ascii="Verdana" w:eastAsia="Calibri" w:hAnsi="Verdana" w:cs="Arial"/>
          <w:color w:val="000000" w:themeColor="text1"/>
        </w:rPr>
        <w:lastRenderedPageBreak/>
        <w:t>que asume la ejecución de las obligaciones ya pactadas. En este sentido, no puede entenderse como una modificación contractual en estricto sentido, dado que el objeto, el valor y las condiciones esenciales permanecen inalteradas. Por ello, el Registro Presupuestal que respalda el contrato inicial conserva su vigencia y, en principio, no resulta necesaria la expedición de un nuevo RP</w:t>
      </w:r>
      <w:r>
        <w:rPr>
          <w:rFonts w:ascii="Verdana" w:eastAsia="Calibri" w:hAnsi="Verdana" w:cs="Arial"/>
          <w:color w:val="000000" w:themeColor="text1"/>
        </w:rPr>
        <w:t xml:space="preserve"> como un elemento </w:t>
      </w:r>
      <w:proofErr w:type="gramStart"/>
      <w:r>
        <w:rPr>
          <w:rFonts w:ascii="Verdana" w:eastAsia="Calibri" w:hAnsi="Verdana" w:cs="Arial"/>
          <w:color w:val="000000" w:themeColor="text1"/>
        </w:rPr>
        <w:t>a</w:t>
      </w:r>
      <w:proofErr w:type="gramEnd"/>
      <w:r>
        <w:rPr>
          <w:rFonts w:ascii="Verdana" w:eastAsia="Calibri" w:hAnsi="Verdana" w:cs="Arial"/>
          <w:color w:val="000000" w:themeColor="text1"/>
        </w:rPr>
        <w:t xml:space="preserve"> tener en cuenta cuando el contrato estatal ya fue cedido</w:t>
      </w:r>
      <w:r w:rsidRPr="000D3981">
        <w:rPr>
          <w:rFonts w:ascii="Verdana" w:eastAsia="Calibri" w:hAnsi="Verdana" w:cs="Arial"/>
          <w:color w:val="000000" w:themeColor="text1"/>
        </w:rPr>
        <w:t>.</w:t>
      </w:r>
    </w:p>
    <w:p w14:paraId="7FCE4E32" w14:textId="77777777" w:rsidR="004707E2" w:rsidRPr="009C1985" w:rsidRDefault="004707E2" w:rsidP="004707E2">
      <w:pPr>
        <w:tabs>
          <w:tab w:val="left" w:pos="709"/>
        </w:tabs>
        <w:spacing w:after="120" w:line="276" w:lineRule="auto"/>
        <w:jc w:val="both"/>
        <w:rPr>
          <w:rFonts w:ascii="Verdana" w:eastAsia="Calibri" w:hAnsi="Verdana" w:cs="Arial"/>
          <w:color w:val="000000" w:themeColor="text1"/>
        </w:rPr>
      </w:pPr>
      <w:r w:rsidRPr="000D3981">
        <w:rPr>
          <w:rFonts w:ascii="Verdana" w:eastAsia="Calibri" w:hAnsi="Verdana" w:cs="Arial"/>
          <w:color w:val="000000" w:themeColor="text1"/>
        </w:rPr>
        <w:tab/>
      </w:r>
      <w:r w:rsidRPr="00EB3A2C">
        <w:rPr>
          <w:rFonts w:ascii="Verdana" w:eastAsia="Calibri" w:hAnsi="Verdana" w:cs="Arial"/>
          <w:color w:val="000000" w:themeColor="text1"/>
        </w:rPr>
        <w:t xml:space="preserve">Sin embargo, desde la perspectiva administrativa y financiera, la </w:t>
      </w:r>
      <w:r w:rsidRPr="00625198">
        <w:rPr>
          <w:rFonts w:ascii="Verdana" w:eastAsia="Calibri" w:hAnsi="Verdana" w:cs="Arial"/>
          <w:color w:val="000000" w:themeColor="text1"/>
        </w:rPr>
        <w:t>entidad debe actualizar los registros presupuestales para identificar al cesionario como beneficiario de los pagos, pues la cesión sustituye al acreedor de las obligaciones pendientes de ejecutar. Dicha actualización no obedece a la creación de nuevas obligaciones económicas, sino a la necesidad de garantizar la trazabilidad y legalidad del gasto público, y constituye una condición para que los pagos posteriores a la cesión puedan girarse válidamente al cesionario en su calidad de nuevo ejecutor del contrato; de no realizarse, la entidad se expone a efectuar pagos irregulares a quien ya no es parte del contrato.</w:t>
      </w:r>
    </w:p>
    <w:p w14:paraId="289AE1DB" w14:textId="77777777" w:rsidR="004707E2" w:rsidRDefault="004707E2" w:rsidP="004707E2">
      <w:pPr>
        <w:tabs>
          <w:tab w:val="left" w:pos="709"/>
        </w:tabs>
        <w:spacing w:after="0" w:line="276" w:lineRule="auto"/>
        <w:jc w:val="both"/>
        <w:rPr>
          <w:rFonts w:ascii="Verdana" w:eastAsia="Calibri" w:hAnsi="Verdana" w:cs="Arial"/>
          <w:color w:val="000000" w:themeColor="text1"/>
        </w:rPr>
      </w:pPr>
      <w:r w:rsidRPr="009C1985">
        <w:rPr>
          <w:rFonts w:ascii="Verdana" w:eastAsia="Calibri" w:hAnsi="Verdana" w:cs="Arial"/>
          <w:color w:val="000000" w:themeColor="text1"/>
        </w:rPr>
        <w:tab/>
      </w:r>
      <w:r w:rsidRPr="00625198">
        <w:rPr>
          <w:rFonts w:ascii="Verdana" w:eastAsia="Calibri" w:hAnsi="Verdana" w:cs="Arial"/>
          <w:color w:val="000000" w:themeColor="text1"/>
        </w:rPr>
        <w:t>Por tanto, aunque la cesión no demanda un nuevo RP en términos de perfeccionamiento o de ejecución del objeto contractual, que continúa sin solución de continuidad, sí impone la actualización oportuna del registro presupuestal y de los demás soportes de ejecución del gasto como condición de legalidad del pago al cesionario. Estos ajustes buscan armonizar la sustitución del contratista con los procedimientos de control financiero de la entidad, evitando inconsistencias en la gestión de los recursos y asegurando la correcta y oportuna remuneración de quien ejecuta el contrato bajo la nueva posición contractual.</w:t>
      </w:r>
    </w:p>
    <w:p w14:paraId="58D7549E" w14:textId="77777777" w:rsidR="004707E2" w:rsidRDefault="004707E2" w:rsidP="004707E2">
      <w:pPr>
        <w:tabs>
          <w:tab w:val="left" w:pos="709"/>
        </w:tabs>
        <w:spacing w:after="0" w:line="276" w:lineRule="auto"/>
        <w:jc w:val="both"/>
        <w:rPr>
          <w:rFonts w:ascii="Verdana" w:eastAsia="Calibri" w:hAnsi="Verdana" w:cs="Arial"/>
          <w:color w:val="000000" w:themeColor="text1"/>
        </w:rPr>
      </w:pPr>
    </w:p>
    <w:p w14:paraId="57D604DE" w14:textId="77777777" w:rsidR="004707E2" w:rsidRPr="00272F92" w:rsidRDefault="004707E2" w:rsidP="004707E2">
      <w:pPr>
        <w:tabs>
          <w:tab w:val="left" w:pos="709"/>
        </w:tabs>
        <w:spacing w:after="120" w:line="276" w:lineRule="auto"/>
        <w:jc w:val="both"/>
        <w:rPr>
          <w:rFonts w:ascii="Verdana" w:eastAsia="Calibri" w:hAnsi="Verdana" w:cs="Arial"/>
          <w:color w:val="000000" w:themeColor="text1"/>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A47393">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8859FD3" w14:textId="77777777" w:rsidR="004707E2" w:rsidRPr="00185EE9" w:rsidRDefault="004707E2" w:rsidP="004707E2">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lastRenderedPageBreak/>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49514010" w14:textId="77777777" w:rsidR="004707E2" w:rsidRPr="003E4CC9" w:rsidRDefault="004707E2" w:rsidP="004707E2">
      <w:pPr>
        <w:spacing w:after="0" w:line="276" w:lineRule="auto"/>
        <w:jc w:val="both"/>
        <w:rPr>
          <w:rFonts w:ascii="Verdana" w:eastAsia="Calibri" w:hAnsi="Verdana" w:cs="Arial"/>
          <w:lang w:val="es-ES_tradnl" w:eastAsia="es-ES_tradnl"/>
        </w:rPr>
      </w:pPr>
    </w:p>
    <w:p w14:paraId="4D137A8E" w14:textId="77777777" w:rsidR="004707E2" w:rsidRPr="003E4CC9" w:rsidRDefault="004707E2" w:rsidP="004707E2">
      <w:pPr>
        <w:numPr>
          <w:ilvl w:val="0"/>
          <w:numId w:val="16"/>
        </w:numPr>
        <w:spacing w:after="0" w:line="276" w:lineRule="auto"/>
        <w:rPr>
          <w:rFonts w:ascii="Verdana" w:eastAsia="Calibri" w:hAnsi="Verdana" w:cs="Times New Roman"/>
          <w:b/>
          <w:bCs/>
          <w:lang w:val="es-ES"/>
        </w:rPr>
      </w:pPr>
      <w:r w:rsidRPr="003E4CC9">
        <w:rPr>
          <w:rFonts w:ascii="Verdana" w:eastAsia="Calibri" w:hAnsi="Verdana" w:cs="Times New Roman"/>
          <w:b/>
          <w:bCs/>
          <w:lang w:val="es-ES"/>
        </w:rPr>
        <w:t>Referencias normativas:</w:t>
      </w:r>
    </w:p>
    <w:p w14:paraId="7F518421" w14:textId="77777777" w:rsidR="004707E2" w:rsidRPr="003E4CC9" w:rsidRDefault="004707E2" w:rsidP="004707E2">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707E2" w:rsidRPr="003E4CC9" w14:paraId="5D3167E8" w14:textId="77777777" w:rsidTr="003B5A01">
        <w:trPr>
          <w:trHeight w:val="501"/>
          <w:jc w:val="center"/>
        </w:trPr>
        <w:tc>
          <w:tcPr>
            <w:tcW w:w="8647" w:type="dxa"/>
          </w:tcPr>
          <w:p w14:paraId="7546F16D" w14:textId="77777777" w:rsidR="004707E2" w:rsidRPr="008E1619" w:rsidRDefault="004707E2" w:rsidP="003B5A01">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8E1619">
              <w:rPr>
                <w:rFonts w:ascii="Verdana" w:hAnsi="Verdana" w:cs="Arial"/>
                <w:color w:val="000000" w:themeColor="text1"/>
                <w:lang w:val="es-ES"/>
              </w:rPr>
              <w:t>Código Civil, artículos 1501, 1959 y ss.</w:t>
            </w:r>
          </w:p>
          <w:p w14:paraId="3DA8E426" w14:textId="77777777" w:rsidR="004707E2" w:rsidRDefault="004707E2" w:rsidP="003B5A01">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8E1619">
              <w:rPr>
                <w:rFonts w:ascii="Verdana" w:hAnsi="Verdana" w:cs="Arial"/>
                <w:color w:val="000000" w:themeColor="text1"/>
                <w:lang w:val="es-ES"/>
              </w:rPr>
              <w:t xml:space="preserve">Código de Comercio, artículos 887 y ss. </w:t>
            </w:r>
          </w:p>
          <w:p w14:paraId="134561E5" w14:textId="77777777" w:rsidR="004707E2" w:rsidRPr="003E4CC9" w:rsidRDefault="004707E2" w:rsidP="003B5A01">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3E4CC9">
              <w:rPr>
                <w:rFonts w:ascii="Verdana" w:hAnsi="Verdana" w:cs="Arial"/>
                <w:color w:val="000000" w:themeColor="text1"/>
                <w:lang w:val="es-ES"/>
              </w:rPr>
              <w:t>Ley 80 de 1993, artículo 11, 12</w:t>
            </w:r>
            <w:r>
              <w:rPr>
                <w:rFonts w:ascii="Verdana" w:hAnsi="Verdana" w:cs="Arial"/>
                <w:color w:val="000000" w:themeColor="text1"/>
                <w:lang w:val="es-ES"/>
              </w:rPr>
              <w:t>,13, 25, 32, 40 y 41</w:t>
            </w:r>
            <w:r w:rsidRPr="003E4CC9">
              <w:rPr>
                <w:rFonts w:ascii="Verdana" w:hAnsi="Verdana" w:cs="Arial"/>
                <w:color w:val="000000" w:themeColor="text1"/>
                <w:lang w:val="es-ES"/>
              </w:rPr>
              <w:t>.</w:t>
            </w:r>
          </w:p>
          <w:p w14:paraId="67C94ABB" w14:textId="77777777" w:rsidR="004707E2" w:rsidRDefault="004707E2" w:rsidP="003B5A01">
            <w:pPr>
              <w:widowControl w:val="0"/>
              <w:numPr>
                <w:ilvl w:val="0"/>
                <w:numId w:val="17"/>
              </w:numPr>
              <w:autoSpaceDE w:val="0"/>
              <w:autoSpaceDN w:val="0"/>
              <w:spacing w:before="120" w:after="120" w:line="276" w:lineRule="auto"/>
              <w:ind w:left="714" w:hanging="357"/>
              <w:jc w:val="both"/>
              <w:rPr>
                <w:rFonts w:ascii="Verdana" w:hAnsi="Verdana" w:cs="Arial"/>
                <w:color w:val="000000" w:themeColor="text1"/>
                <w:lang w:val="es-ES"/>
              </w:rPr>
            </w:pPr>
            <w:r>
              <w:rPr>
                <w:rFonts w:ascii="Verdana" w:hAnsi="Verdana" w:cs="Arial"/>
                <w:color w:val="000000" w:themeColor="text1"/>
                <w:lang w:val="es-ES"/>
              </w:rPr>
              <w:t>Decreto ley 111 de 1996, artículo 71.</w:t>
            </w:r>
          </w:p>
          <w:p w14:paraId="3044DF25" w14:textId="77777777" w:rsidR="004707E2" w:rsidRPr="008E1619" w:rsidRDefault="004707E2" w:rsidP="003B5A01">
            <w:pPr>
              <w:widowControl w:val="0"/>
              <w:numPr>
                <w:ilvl w:val="0"/>
                <w:numId w:val="17"/>
              </w:numPr>
              <w:autoSpaceDE w:val="0"/>
              <w:autoSpaceDN w:val="0"/>
              <w:spacing w:before="120" w:after="120" w:line="276" w:lineRule="auto"/>
              <w:ind w:left="714" w:hanging="357"/>
              <w:jc w:val="both"/>
              <w:rPr>
                <w:rFonts w:ascii="Verdana" w:hAnsi="Verdana" w:cs="Arial"/>
                <w:color w:val="000000" w:themeColor="text1"/>
                <w:lang w:val="es-ES"/>
              </w:rPr>
            </w:pPr>
            <w:r w:rsidRPr="003E4CC9">
              <w:rPr>
                <w:rFonts w:ascii="Verdana" w:hAnsi="Verdana" w:cs="Arial"/>
                <w:color w:val="000000" w:themeColor="text1"/>
                <w:lang w:val="es-ES"/>
              </w:rPr>
              <w:t>Ley 1474, artículo 85</w:t>
            </w:r>
            <w:r>
              <w:rPr>
                <w:rFonts w:ascii="Verdana" w:hAnsi="Verdana" w:cs="Arial"/>
                <w:color w:val="000000" w:themeColor="text1"/>
                <w:lang w:val="es-ES"/>
              </w:rPr>
              <w:t xml:space="preserve">. </w:t>
            </w:r>
          </w:p>
        </w:tc>
      </w:tr>
    </w:tbl>
    <w:p w14:paraId="4B6C0479" w14:textId="77777777" w:rsidR="004707E2" w:rsidRPr="003E4CC9" w:rsidRDefault="004707E2" w:rsidP="004707E2">
      <w:pPr>
        <w:spacing w:after="0" w:line="276" w:lineRule="auto"/>
        <w:ind w:right="709"/>
        <w:jc w:val="both"/>
        <w:rPr>
          <w:rFonts w:ascii="Verdana" w:hAnsi="Verdana" w:cs="Arial"/>
          <w:color w:val="000000" w:themeColor="text1"/>
          <w:lang w:val="es-ES_tradnl"/>
        </w:rPr>
      </w:pPr>
    </w:p>
    <w:p w14:paraId="09F483F5" w14:textId="77777777" w:rsidR="004707E2" w:rsidRPr="003E4CC9" w:rsidRDefault="004707E2" w:rsidP="004707E2">
      <w:pPr>
        <w:numPr>
          <w:ilvl w:val="0"/>
          <w:numId w:val="16"/>
        </w:numPr>
        <w:spacing w:after="0" w:line="276" w:lineRule="auto"/>
        <w:rPr>
          <w:rFonts w:ascii="Verdana" w:eastAsia="Calibri" w:hAnsi="Verdana" w:cs="Times New Roman"/>
          <w:b/>
          <w:bCs/>
          <w:lang w:val="es-ES"/>
        </w:rPr>
      </w:pPr>
      <w:r w:rsidRPr="003E4CC9">
        <w:rPr>
          <w:rFonts w:ascii="Verdana" w:eastAsia="Calibri" w:hAnsi="Verdana" w:cs="Times New Roman"/>
          <w:b/>
          <w:bCs/>
          <w:lang w:val="es-ES"/>
        </w:rPr>
        <w:t>Doctrina de la Agencia Nacional de Contratación Pública:</w:t>
      </w:r>
    </w:p>
    <w:p w14:paraId="0476F3FF" w14:textId="77777777" w:rsidR="004707E2" w:rsidRPr="003E4CC9" w:rsidRDefault="004707E2" w:rsidP="004707E2">
      <w:pPr>
        <w:widowControl w:val="0"/>
        <w:autoSpaceDE w:val="0"/>
        <w:autoSpaceDN w:val="0"/>
        <w:spacing w:after="0" w:line="276" w:lineRule="auto"/>
        <w:jc w:val="both"/>
        <w:rPr>
          <w:rFonts w:ascii="Verdana" w:hAnsi="Verdana" w:cs="Arial"/>
          <w:bCs/>
          <w:shd w:val="clear" w:color="auto" w:fill="FFFFFF"/>
        </w:rPr>
      </w:pPr>
    </w:p>
    <w:p w14:paraId="627B34A2" w14:textId="77777777" w:rsidR="004707E2" w:rsidRPr="003E4CC9" w:rsidRDefault="004707E2" w:rsidP="004707E2">
      <w:pPr>
        <w:widowControl w:val="0"/>
        <w:autoSpaceDE w:val="0"/>
        <w:autoSpaceDN w:val="0"/>
        <w:spacing w:after="0" w:line="276" w:lineRule="auto"/>
        <w:jc w:val="both"/>
        <w:rPr>
          <w:rFonts w:ascii="Verdana" w:hAnsi="Verdana" w:cs="Arial"/>
          <w:bCs/>
          <w:shd w:val="clear" w:color="auto" w:fill="FFFFFF"/>
        </w:rPr>
      </w:pPr>
      <w:r w:rsidRPr="00E116FA">
        <w:rPr>
          <w:rFonts w:ascii="Verdana" w:hAnsi="Verdana" w:cs="Arial"/>
          <w:bCs/>
          <w:shd w:val="clear" w:color="auto" w:fill="FFFFFF"/>
        </w:rPr>
        <w:t xml:space="preserve">La Agencia Nacional de Contratación Pública – Colombia Compra Eficiente se ha pronunciado, a través de diversos conceptos, sobre las modificaciones y adiciones a los contratos estatales, entre los que se encuentran los Conceptos Nro. C-277 del 21 de junio de 2021, C-644 del 18 de noviembre de 2021, C-755 del 21 de enero de 2022, C-152 del 1 de abril de 2022, C-267 del 5 de mayo de 2022, C-432 del 13 de julio de 2022, C-630 del 29 de septiembre de 2022, C-784 del 21 de noviembre de 2022, C-398 del 27 de septiembre de 2023, C-452 del 7 de noviembre de 2023, C-463 del 22 de noviembre de 2023, C-471 del 25 de enero de 2024, C-903 del 2 de enero de 2024, C-329 del 22 de agosto de 2024, C-563 del 21 de octubre de 2024, C-844 del 9 de diciembre de 2024, C-1039 del 23 de diciembre de 2024, C-1008 del 30 de enero de 2025, C-308 del 28 de abril de 2025, C-451 del 19 de mayo de 2025, C-491 del 3 de junio de 2025 y C-165 del 26 de febrero de 2026, entre otros. De igual manera, la Agencia ha desarrollado doctrina sobre la cesión de contratos estatales en los </w:t>
      </w:r>
      <w:r w:rsidRPr="00E116FA">
        <w:rPr>
          <w:rFonts w:ascii="Verdana" w:hAnsi="Verdana" w:cs="Arial"/>
          <w:bCs/>
          <w:shd w:val="clear" w:color="auto" w:fill="FFFFFF"/>
        </w:rPr>
        <w:lastRenderedPageBreak/>
        <w:t xml:space="preserve">Conceptos Nro. 4201913000007643 y 4201913000007669 del 26 de diciembre de 2019, C-572 del 27 de agosto de 2020, C-582 del 28 de agosto de 2020, C-551 del 24 de septiembre de 2020, C-385 del 20 de agosto de 2021, C-069 del 24 de abril de 2023, C-868 del 20 de diciembre de 2024, C-880 del 30 de diciembre de 2024, C-214 del 25 de marzo de 2025, C-675 del 4 de junio de 2025 y C-1051 del 15 de julio de 2026, entre otros. Estos y otros conceptos se encuentran disponibles para consulta en el Sistema de Relatoría de la Agencia, en el cual también se puede acceder a jurisprudencia del Consejo de Estado, laudos arbitrales y normativa de contratación concordada con la doctrina de la Subdirección de Gestión Contractual, a través del siguiente enlace: </w:t>
      </w:r>
      <w:hyperlink r:id="rId13" w:history="1">
        <w:r w:rsidRPr="00E116FA">
          <w:rPr>
            <w:rStyle w:val="Hipervnculo"/>
            <w:rFonts w:ascii="Verdana" w:hAnsi="Verdana" w:cs="Arial"/>
            <w:bCs/>
            <w:shd w:val="clear" w:color="auto" w:fill="FFFFFF"/>
          </w:rPr>
          <w:t>https://relatoria.colombiacompra.gov.co/busqueda/conceptos</w:t>
        </w:r>
      </w:hyperlink>
      <w:r w:rsidRPr="00E116FA">
        <w:rPr>
          <w:rFonts w:ascii="Verdana" w:hAnsi="Verdana" w:cs="Arial"/>
          <w:bCs/>
          <w:shd w:val="clear" w:color="auto" w:fill="FFFFFF"/>
        </w:rPr>
        <w:t>.</w:t>
      </w:r>
    </w:p>
    <w:p w14:paraId="2B9F1121" w14:textId="77777777" w:rsidR="004707E2" w:rsidRDefault="004707E2" w:rsidP="004707E2">
      <w:pPr>
        <w:spacing w:after="0" w:line="240" w:lineRule="auto"/>
        <w:textAlignment w:val="baseline"/>
        <w:rPr>
          <w:rFonts w:ascii="Verdana" w:eastAsia="Verdana" w:hAnsi="Verdana" w:cs="Verdana"/>
          <w:lang w:eastAsia="es-CO"/>
        </w:rPr>
      </w:pPr>
    </w:p>
    <w:p w14:paraId="1060F682" w14:textId="77777777" w:rsidR="004707E2" w:rsidRPr="003D5C91" w:rsidRDefault="004707E2" w:rsidP="004707E2">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D5C91">
        <w:rPr>
          <w:rFonts w:ascii="Verdana" w:eastAsia="Calibri" w:hAnsi="Verdana" w:cs="Arial"/>
          <w:b/>
          <w:bCs/>
          <w:color w:val="000000"/>
          <w:lang w:eastAsia="es-ES_tradnl"/>
        </w:rPr>
        <w:t>Guía para la Exigencia y Constitución de Garantías en los Procesos de Contratación</w:t>
      </w:r>
      <w:r w:rsidRPr="003D5C91">
        <w:rPr>
          <w:rFonts w:ascii="Verdana" w:eastAsia="Calibri" w:hAnsi="Verdana" w:cs="Arial"/>
          <w:color w:val="000000"/>
          <w:lang w:eastAsia="es-ES_tradn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https://www.colombiacompra.gov.co/archivos/manual/guia-de-garantias-en-procesos-de-contratacion" w:history="1">
        <w:r w:rsidRPr="003D5C91">
          <w:rPr>
            <w:rStyle w:val="Hipervnculo"/>
            <w:rFonts w:ascii="Verdana" w:eastAsia="Calibri" w:hAnsi="Verdana" w:cs="Arial"/>
            <w:lang w:eastAsia="es-ES_tradnl"/>
          </w:rPr>
          <w:t>https://www.colombiacompra.gov.co/archivos/manual/guia-de-garantias-en-procesos-de-contratacion</w:t>
        </w:r>
      </w:hyperlink>
    </w:p>
    <w:p w14:paraId="72DD92B2" w14:textId="77777777" w:rsidR="004707E2" w:rsidRDefault="004707E2" w:rsidP="004707E2">
      <w:pPr>
        <w:spacing w:after="0" w:line="276" w:lineRule="auto"/>
        <w:jc w:val="both"/>
        <w:rPr>
          <w:rFonts w:ascii="Verdana" w:eastAsia="Calibri" w:hAnsi="Verdana" w:cs="Arial"/>
          <w:color w:val="000000"/>
          <w:lang w:eastAsia="es-ES_tradnl"/>
        </w:rPr>
      </w:pPr>
    </w:p>
    <w:p w14:paraId="39519CB8" w14:textId="77777777" w:rsidR="004707E2" w:rsidRPr="003D5C91" w:rsidRDefault="004707E2" w:rsidP="004707E2">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sidRPr="003D5C91">
        <w:rPr>
          <w:rFonts w:ascii="Verdana" w:eastAsia="Calibri" w:hAnsi="Verdana" w:cs="Arial"/>
          <w:b/>
          <w:bCs/>
          <w:color w:val="000000"/>
          <w:lang w:eastAsia="es-ES_tradnl"/>
        </w:rPr>
        <w:t>Sistema Integral de Preferencias en favor de las personas con discapacidad</w:t>
      </w:r>
      <w:r w:rsidRPr="003D5C91">
        <w:rPr>
          <w:rFonts w:ascii="Verdana" w:eastAsia="Calibri" w:hAnsi="Verdana" w:cs="Arial"/>
          <w:color w:val="000000"/>
          <w:lang w:eastAsia="es-ES_tradnl"/>
        </w:rPr>
        <w:t>, en cumplimiento del artículo 13 de la Ley Estatutaria 1618 de 2013. Para orientar su aplicación, esta Agencia expidió la </w:t>
      </w:r>
      <w:r w:rsidRPr="003D5C91">
        <w:rPr>
          <w:rFonts w:ascii="Verdana" w:eastAsia="Calibri" w:hAnsi="Verdana" w:cs="Arial"/>
          <w:b/>
          <w:bCs/>
          <w:color w:val="000000"/>
          <w:lang w:eastAsia="es-ES_tradnl"/>
        </w:rPr>
        <w:t>Circular Externa 003 del 12 de mayo de 2026, </w:t>
      </w:r>
      <w:r w:rsidRPr="003D5C91">
        <w:rPr>
          <w:rFonts w:ascii="Verdana" w:eastAsia="Calibri" w:hAnsi="Verdana" w:cs="Arial"/>
          <w:color w:val="000000"/>
          <w:lang w:eastAsia="es-ES_tradnl"/>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https://www.colombiacompra.gov.co/archivos/circular/circular-externa-003-de-2026" w:history="1">
        <w:r w:rsidRPr="003D5C91">
          <w:rPr>
            <w:rStyle w:val="Hipervnculo"/>
            <w:rFonts w:ascii="Verdana" w:eastAsia="Calibri" w:hAnsi="Verdana" w:cs="Arial"/>
            <w:lang w:eastAsia="es-ES_tradnl"/>
          </w:rPr>
          <w:t>https://www.colombiacompra.gov.co/archivos/circular/circular-externa-003-de-2026</w:t>
        </w:r>
      </w:hyperlink>
    </w:p>
    <w:p w14:paraId="0AF6019C" w14:textId="77777777" w:rsidR="004707E2" w:rsidRDefault="004707E2" w:rsidP="004707E2">
      <w:pPr>
        <w:spacing w:after="0" w:line="276" w:lineRule="auto"/>
        <w:jc w:val="both"/>
        <w:rPr>
          <w:rFonts w:ascii="Verdana" w:eastAsia="Calibri" w:hAnsi="Verdana" w:cs="Arial"/>
          <w:color w:val="000000"/>
          <w:lang w:eastAsia="es-ES_tradnl"/>
        </w:rPr>
      </w:pPr>
    </w:p>
    <w:p w14:paraId="1AA86B15" w14:textId="77777777" w:rsidR="004707E2" w:rsidRDefault="004707E2" w:rsidP="004707E2">
      <w:pPr>
        <w:spacing w:after="0" w:line="276" w:lineRule="auto"/>
        <w:jc w:val="both"/>
      </w:pPr>
      <w:r w:rsidRPr="003D5C91">
        <w:rPr>
          <w:rFonts w:ascii="Verdana" w:eastAsia="Calibri" w:hAnsi="Verdana" w:cs="Arial"/>
          <w:color w:val="000000"/>
          <w:lang w:eastAsia="es-ES_tradnl"/>
        </w:rPr>
        <w:lastRenderedPageBreak/>
        <w:t>Recuerda también que la</w:t>
      </w:r>
      <w:r w:rsidRPr="003D5C91">
        <w:rPr>
          <w:rFonts w:ascii="Verdana" w:eastAsia="Calibri" w:hAnsi="Verdana" w:cs="Arial"/>
          <w:b/>
          <w:bCs/>
          <w:color w:val="000000"/>
          <w:lang w:eastAsia="es-ES_tradnl"/>
        </w:rPr>
        <w:t> información sobre sanciones e inhabilidades </w:t>
      </w:r>
      <w:r w:rsidRPr="003D5C91">
        <w:rPr>
          <w:rFonts w:ascii="Verdana" w:eastAsia="Calibri" w:hAnsi="Verdana" w:cs="Arial"/>
          <w:color w:val="000000"/>
          <w:lang w:eastAsia="es-ES_tradnl"/>
        </w:rPr>
        <w:t>solo cumple su función preventiva si llega oportunamente a los registros públicos. Sobre este deber, esta Agencia expidió la </w:t>
      </w:r>
      <w:r w:rsidRPr="003D5C91">
        <w:rPr>
          <w:rFonts w:ascii="Verdana" w:eastAsia="Calibri" w:hAnsi="Verdana" w:cs="Arial"/>
          <w:b/>
          <w:bCs/>
          <w:color w:val="000000"/>
          <w:lang w:eastAsia="es-ES_tradnl"/>
        </w:rPr>
        <w:t>Circular Externa 002 del 5 de mayo de 2026,</w:t>
      </w:r>
      <w:r w:rsidRPr="003D5C91">
        <w:rPr>
          <w:rFonts w:ascii="Verdana" w:eastAsia="Calibri" w:hAnsi="Verdana" w:cs="Arial"/>
          <w:color w:val="000000"/>
          <w:lang w:eastAsia="es-ES_tradn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https://www.colombiacompra.gov.co/archivos/circular/circular-externa-002-de-2026" w:history="1">
        <w:r w:rsidRPr="003D5C91">
          <w:rPr>
            <w:rStyle w:val="Hipervnculo"/>
            <w:rFonts w:ascii="Verdana" w:eastAsia="Calibri" w:hAnsi="Verdana" w:cs="Arial"/>
            <w:lang w:eastAsia="es-ES_tradnl"/>
          </w:rPr>
          <w:t>https://www.colombiacompra.gov.co/archivos/circular/circular-externa-002-de-2026</w:t>
        </w:r>
      </w:hyperlink>
    </w:p>
    <w:p w14:paraId="4A20BAF4" w14:textId="77777777" w:rsidR="004707E2" w:rsidRPr="003D5C91" w:rsidRDefault="004707E2" w:rsidP="004707E2">
      <w:pPr>
        <w:spacing w:after="0" w:line="276" w:lineRule="auto"/>
        <w:jc w:val="both"/>
        <w:rPr>
          <w:rFonts w:ascii="Verdana" w:eastAsia="Calibri" w:hAnsi="Verdana" w:cs="Arial"/>
          <w:color w:val="000000"/>
          <w:lang w:eastAsia="es-ES_tradnl"/>
        </w:rPr>
      </w:pPr>
    </w:p>
    <w:p w14:paraId="64B0F090" w14:textId="77777777" w:rsidR="004707E2" w:rsidRPr="003D5C91" w:rsidRDefault="004707E2" w:rsidP="004707E2">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Finalmente, si quieres seguir de cerca la actividad de la Agencia, la tercera edición de 2026 del</w:t>
      </w:r>
      <w:r w:rsidRPr="003D5C91">
        <w:rPr>
          <w:rFonts w:ascii="Verdana" w:eastAsia="Calibri" w:hAnsi="Verdana" w:cs="Arial"/>
          <w:b/>
          <w:bCs/>
          <w:color w:val="000000"/>
          <w:lang w:eastAsia="es-ES_tradnl"/>
        </w:rPr>
        <w:t> Radar de la Compra Pública</w:t>
      </w:r>
      <w:r w:rsidRPr="003D5C91">
        <w:rPr>
          <w:rFonts w:ascii="Verdana" w:eastAsia="Calibri" w:hAnsi="Verdana" w:cs="Arial"/>
          <w:color w:val="000000"/>
          <w:lang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https://www.colombiacompra.gov.co/archivos/boletin/boletin-edicion-n-3-de-2026-radar-de-la-compra-publica" w:history="1">
        <w:r w:rsidRPr="003D5C91">
          <w:rPr>
            <w:rStyle w:val="Hipervnculo"/>
            <w:rFonts w:ascii="Verdana" w:eastAsia="Calibri" w:hAnsi="Verdana" w:cs="Arial"/>
            <w:lang w:eastAsia="es-ES_tradnl"/>
          </w:rPr>
          <w:t>https://www.colombiacompra.gov.co/archivos/boletin/boletin-edicion-n-3-de-2026-radar-de-la-compra-publica</w:t>
        </w:r>
      </w:hyperlink>
    </w:p>
    <w:p w14:paraId="7309C0EA" w14:textId="77777777" w:rsidR="004707E2" w:rsidRDefault="004707E2" w:rsidP="004707E2">
      <w:pPr>
        <w:spacing w:after="0"/>
        <w:jc w:val="both"/>
        <w:rPr>
          <w:rFonts w:ascii="Verdana" w:hAnsi="Verdana"/>
        </w:rPr>
      </w:pPr>
    </w:p>
    <w:p w14:paraId="583AD3D5" w14:textId="77777777" w:rsidR="004707E2" w:rsidRPr="00116940" w:rsidRDefault="004707E2" w:rsidP="004707E2">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63DD71E9" w14:textId="77777777" w:rsidR="004707E2" w:rsidRPr="00116940" w:rsidRDefault="004707E2" w:rsidP="004707E2">
      <w:pPr>
        <w:spacing w:after="0"/>
        <w:jc w:val="both"/>
        <w:rPr>
          <w:rFonts w:ascii="Verdana" w:hAnsi="Verdana"/>
        </w:rPr>
      </w:pPr>
    </w:p>
    <w:p w14:paraId="4167E830" w14:textId="77777777" w:rsidR="004707E2" w:rsidRPr="00116940" w:rsidRDefault="004707E2" w:rsidP="004707E2">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4A434C88" w14:textId="77777777" w:rsidR="004707E2" w:rsidRPr="00116940" w:rsidRDefault="004707E2" w:rsidP="004707E2">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12DBE81B" w14:textId="77777777" w:rsidR="004707E2" w:rsidRPr="00116940" w:rsidRDefault="004707E2" w:rsidP="004707E2">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8">
        <w:r w:rsidRPr="00116940">
          <w:rPr>
            <w:rStyle w:val="Hipervnculo"/>
            <w:rFonts w:ascii="Verdana" w:eastAsia="Verdana" w:hAnsi="Verdana" w:cs="Verdana"/>
            <w:lang w:val="es-MX"/>
          </w:rPr>
          <w:t>ventanilladeradicacion@colombiacompra.gov.co</w:t>
        </w:r>
      </w:hyperlink>
    </w:p>
    <w:p w14:paraId="19642077" w14:textId="77777777" w:rsidR="004707E2" w:rsidRPr="00116940" w:rsidRDefault="004707E2" w:rsidP="004707E2">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9">
        <w:r w:rsidRPr="00116940">
          <w:rPr>
            <w:rStyle w:val="Hipervnculo"/>
            <w:rFonts w:ascii="Verdana" w:eastAsia="Verdana" w:hAnsi="Verdana" w:cs="Verdana"/>
            <w:lang w:val="es-MX"/>
          </w:rPr>
          <w:t>https://www.colombiacompra.gov.co/pqrsd/informacion-importante-antes-de-formular-una-pqrsd</w:t>
        </w:r>
      </w:hyperlink>
    </w:p>
    <w:p w14:paraId="313E21BD" w14:textId="77777777" w:rsidR="004707E2" w:rsidRPr="00116940" w:rsidRDefault="004707E2" w:rsidP="004707E2">
      <w:pPr>
        <w:spacing w:after="0" w:line="240" w:lineRule="auto"/>
        <w:ind w:left="720"/>
        <w:jc w:val="both"/>
        <w:rPr>
          <w:rFonts w:ascii="Verdana" w:hAnsi="Verdana"/>
        </w:rPr>
      </w:pPr>
    </w:p>
    <w:p w14:paraId="37A12574" w14:textId="77777777" w:rsidR="004707E2" w:rsidRPr="00116940" w:rsidRDefault="004707E2" w:rsidP="004707E2">
      <w:pPr>
        <w:spacing w:after="0" w:line="240" w:lineRule="auto"/>
        <w:rPr>
          <w:rFonts w:ascii="Verdana" w:hAnsi="Verdana"/>
        </w:rPr>
      </w:pPr>
      <w:r w:rsidRPr="00116940">
        <w:rPr>
          <w:rFonts w:ascii="Verdana" w:hAnsi="Verdana"/>
        </w:rPr>
        <w:lastRenderedPageBreak/>
        <w:t xml:space="preserve">Evalúa el servicio que ofrece la Agencia por el canal de atención de PQRSD en el siguiente </w:t>
      </w:r>
      <w:proofErr w:type="gramStart"/>
      <w:r w:rsidRPr="00116940">
        <w:rPr>
          <w:rFonts w:ascii="Verdana" w:hAnsi="Verdana"/>
        </w:rPr>
        <w:t>enlace :</w:t>
      </w:r>
      <w:proofErr w:type="gramEnd"/>
      <w:hyperlink r:id="rId20"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3C26AC28" w14:textId="77777777" w:rsidR="004707E2" w:rsidRPr="00116940" w:rsidRDefault="004707E2" w:rsidP="004707E2">
      <w:pPr>
        <w:spacing w:after="0" w:line="240" w:lineRule="auto"/>
        <w:rPr>
          <w:rFonts w:ascii="Verdana" w:hAnsi="Verdana"/>
        </w:rPr>
      </w:pPr>
    </w:p>
    <w:p w14:paraId="32A74C47" w14:textId="77777777" w:rsidR="004707E2" w:rsidRPr="00116940" w:rsidRDefault="004707E2" w:rsidP="004707E2">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57262026" w14:textId="77777777" w:rsidR="004707E2" w:rsidRPr="00116940" w:rsidRDefault="004707E2" w:rsidP="004707E2">
      <w:pPr>
        <w:spacing w:after="0" w:line="240" w:lineRule="auto"/>
        <w:jc w:val="both"/>
        <w:rPr>
          <w:rFonts w:ascii="Verdana" w:hAnsi="Verdana"/>
        </w:rPr>
      </w:pPr>
    </w:p>
    <w:p w14:paraId="6CAC4245" w14:textId="77777777" w:rsidR="004707E2" w:rsidRPr="00116940" w:rsidRDefault="004707E2" w:rsidP="004707E2">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777438F" w14:textId="77777777" w:rsidR="004707E2" w:rsidRPr="00116940" w:rsidRDefault="004707E2" w:rsidP="004707E2">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25678D68" w14:textId="77777777" w:rsidR="004707E2" w:rsidRPr="00116940" w:rsidRDefault="004707E2" w:rsidP="004707E2">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0A89B10" w14:textId="77777777" w:rsidR="004707E2" w:rsidRPr="00116940" w:rsidRDefault="004707E2" w:rsidP="004707E2">
      <w:pPr>
        <w:spacing w:after="0" w:line="240" w:lineRule="auto"/>
        <w:jc w:val="both"/>
        <w:rPr>
          <w:rFonts w:ascii="Verdana" w:hAnsi="Verdana"/>
        </w:rPr>
      </w:pPr>
    </w:p>
    <w:p w14:paraId="2F5164D8" w14:textId="77777777" w:rsidR="004707E2" w:rsidRPr="009037F6" w:rsidRDefault="004707E2" w:rsidP="004707E2">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0967681" w14:textId="77777777" w:rsidR="004707E2" w:rsidRPr="00492C4A" w:rsidRDefault="004707E2" w:rsidP="004707E2">
      <w:pPr>
        <w:spacing w:after="0" w:line="256" w:lineRule="auto"/>
        <w:jc w:val="both"/>
        <w:rPr>
          <w:rFonts w:ascii="Verdana" w:eastAsia="Calibri" w:hAnsi="Verdana" w:cs="Times New Roman"/>
          <w:lang w:val="es-ES_tradnl"/>
        </w:rPr>
      </w:pPr>
    </w:p>
    <w:p w14:paraId="074D0A02" w14:textId="77777777" w:rsidR="004707E2" w:rsidRDefault="004707E2" w:rsidP="004707E2">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3185ABB8" w14:textId="77777777" w:rsidR="004707E2" w:rsidRPr="005B7C68" w:rsidRDefault="004707E2" w:rsidP="004707E2">
      <w:pPr>
        <w:spacing w:after="0" w:line="256" w:lineRule="auto"/>
        <w:jc w:val="both"/>
        <w:rPr>
          <w:rFonts w:ascii="Verdana" w:eastAsia="Calibri" w:hAnsi="Verdana" w:cs="Times New Roman"/>
        </w:rPr>
      </w:pPr>
    </w:p>
    <w:p w14:paraId="70198623" w14:textId="7680AF0C" w:rsidR="004707E2" w:rsidRDefault="00A85C59" w:rsidP="004707E2">
      <w:pPr>
        <w:spacing w:after="0" w:line="256" w:lineRule="auto"/>
        <w:jc w:val="center"/>
        <w:rPr>
          <w:rFonts w:ascii="Century Gothic" w:hAnsi="Century Gothic"/>
          <w:noProof/>
          <w:sz w:val="16"/>
          <w:szCs w:val="16"/>
          <w:lang w:val="en-US"/>
        </w:rPr>
      </w:pPr>
      <w:r w:rsidRPr="002C3AD6">
        <w:rPr>
          <w:rFonts w:ascii="Century Gothic" w:hAnsi="Century Gothic"/>
          <w:noProof/>
          <w:lang w:val="en-US"/>
        </w:rPr>
        <w:drawing>
          <wp:inline distT="0" distB="0" distL="0" distR="0" wp14:anchorId="41C85200" wp14:editId="3CFEA08B">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891299" cy="1509270"/>
                    </a:xfrm>
                    <a:prstGeom prst="rect">
                      <a:avLst/>
                    </a:prstGeom>
                  </pic:spPr>
                </pic:pic>
              </a:graphicData>
            </a:graphic>
          </wp:inline>
        </w:drawing>
      </w:r>
    </w:p>
    <w:p w14:paraId="1E3BD3D2" w14:textId="77777777" w:rsidR="004707E2" w:rsidRPr="002961A6" w:rsidRDefault="004707E2" w:rsidP="004707E2">
      <w:pPr>
        <w:spacing w:after="0" w:line="256" w:lineRule="auto"/>
        <w:jc w:val="center"/>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707E2" w:rsidRPr="00D56F8A" w14:paraId="59FF32AE" w14:textId="77777777" w:rsidTr="003B5A01">
        <w:trPr>
          <w:trHeight w:val="409"/>
        </w:trPr>
        <w:tc>
          <w:tcPr>
            <w:tcW w:w="817" w:type="dxa"/>
            <w:tcBorders>
              <w:top w:val="nil"/>
              <w:left w:val="nil"/>
              <w:bottom w:val="nil"/>
              <w:right w:val="nil"/>
            </w:tcBorders>
            <w:vAlign w:val="center"/>
            <w:hideMark/>
          </w:tcPr>
          <w:p w14:paraId="7839D05D" w14:textId="77777777" w:rsidR="004707E2" w:rsidRPr="00D56F8A" w:rsidRDefault="004707E2" w:rsidP="003B5A0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CFB7F03" w14:textId="77777777" w:rsidR="004707E2" w:rsidRPr="00D56F8A" w:rsidRDefault="004707E2" w:rsidP="003B5A0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José Luis Sánchez Cardona</w:t>
            </w:r>
          </w:p>
          <w:p w14:paraId="3744806A" w14:textId="77777777" w:rsidR="004707E2" w:rsidRPr="00D56F8A" w:rsidRDefault="004707E2" w:rsidP="003B5A0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Contratista de la Subdirección de Gestión Contractual</w:t>
            </w:r>
          </w:p>
        </w:tc>
      </w:tr>
      <w:tr w:rsidR="004707E2" w:rsidRPr="00D56F8A" w14:paraId="038FDBC3" w14:textId="77777777" w:rsidTr="003B5A01">
        <w:trPr>
          <w:trHeight w:val="409"/>
        </w:trPr>
        <w:tc>
          <w:tcPr>
            <w:tcW w:w="817" w:type="dxa"/>
            <w:tcBorders>
              <w:top w:val="nil"/>
              <w:left w:val="nil"/>
              <w:bottom w:val="nil"/>
              <w:right w:val="nil"/>
            </w:tcBorders>
            <w:vAlign w:val="center"/>
            <w:hideMark/>
          </w:tcPr>
          <w:p w14:paraId="2E4824B0" w14:textId="77777777" w:rsidR="004707E2" w:rsidRPr="00D56F8A" w:rsidRDefault="004707E2" w:rsidP="003B5A0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0B447DC" w14:textId="77777777" w:rsidR="004707E2" w:rsidRPr="00D56F8A" w:rsidRDefault="004707E2" w:rsidP="003B5A0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Alejandro R</w:t>
            </w:r>
            <w:r>
              <w:rPr>
                <w:rFonts w:ascii="Verdana" w:eastAsia="Calibri" w:hAnsi="Verdana" w:cs="Times New Roman"/>
                <w:sz w:val="16"/>
                <w:szCs w:val="16"/>
              </w:rPr>
              <w:t>aúl</w:t>
            </w:r>
            <w:r w:rsidRPr="00D56F8A">
              <w:rPr>
                <w:rFonts w:ascii="Verdana" w:eastAsia="Calibri" w:hAnsi="Verdana" w:cs="Times New Roman"/>
                <w:sz w:val="16"/>
                <w:szCs w:val="16"/>
              </w:rPr>
              <w:t xml:space="preserve"> Sarmiento Cantillo</w:t>
            </w:r>
          </w:p>
          <w:p w14:paraId="3F35872F" w14:textId="77777777" w:rsidR="004707E2" w:rsidRPr="00D56F8A" w:rsidRDefault="004707E2" w:rsidP="003B5A0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Gestor T1-15 de la Subdirección de Gestión Contractual </w:t>
            </w:r>
          </w:p>
        </w:tc>
      </w:tr>
      <w:tr w:rsidR="004707E2" w:rsidRPr="00D56F8A" w14:paraId="5D9C047A" w14:textId="77777777" w:rsidTr="003B5A01">
        <w:trPr>
          <w:trHeight w:val="389"/>
        </w:trPr>
        <w:tc>
          <w:tcPr>
            <w:tcW w:w="817" w:type="dxa"/>
            <w:tcBorders>
              <w:top w:val="nil"/>
              <w:left w:val="nil"/>
              <w:bottom w:val="nil"/>
              <w:right w:val="nil"/>
            </w:tcBorders>
            <w:vAlign w:val="center"/>
            <w:hideMark/>
          </w:tcPr>
          <w:p w14:paraId="40EE7878" w14:textId="77777777" w:rsidR="004707E2" w:rsidRPr="00D56F8A" w:rsidRDefault="004707E2" w:rsidP="003B5A0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7906904" w14:textId="77777777" w:rsidR="004707E2" w:rsidRPr="00D56F8A" w:rsidRDefault="004707E2" w:rsidP="003B5A0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Carolina Quintero Gacharná</w:t>
            </w:r>
          </w:p>
          <w:p w14:paraId="1A1974A1" w14:textId="77777777" w:rsidR="004707E2" w:rsidRPr="00D56F8A" w:rsidRDefault="004707E2" w:rsidP="003B5A0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Subdirectora de Gestión Contractual ANCP – CCE</w:t>
            </w:r>
          </w:p>
        </w:tc>
      </w:tr>
    </w:tbl>
    <w:p w14:paraId="45649ACE" w14:textId="77777777" w:rsidR="004707E2" w:rsidRPr="000E2B93" w:rsidRDefault="004707E2" w:rsidP="004707E2">
      <w:pPr>
        <w:spacing w:after="0" w:line="240" w:lineRule="auto"/>
        <w:jc w:val="both"/>
        <w:textAlignment w:val="baseline"/>
        <w:rPr>
          <w:rFonts w:ascii="Verdana" w:eastAsia="Verdana" w:hAnsi="Verdana" w:cs="Verdana"/>
          <w:lang w:eastAsia="es-CO"/>
        </w:rPr>
      </w:pPr>
    </w:p>
    <w:p w14:paraId="3F93AC8C" w14:textId="5701F80C" w:rsidR="004707E2" w:rsidRPr="000E2B93" w:rsidRDefault="004707E2" w:rsidP="004707E2">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5908846E" w14:textId="2D235492" w:rsidR="00D534FB" w:rsidRPr="004707E2" w:rsidRDefault="00D534FB" w:rsidP="004707E2"/>
    <w:sectPr w:rsidR="00D534FB" w:rsidRPr="004707E2"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CB852" w14:textId="77777777" w:rsidR="009171DB" w:rsidRDefault="009171DB" w:rsidP="004A1847">
      <w:pPr>
        <w:spacing w:after="0" w:line="240" w:lineRule="auto"/>
      </w:pPr>
      <w:r>
        <w:separator/>
      </w:r>
    </w:p>
  </w:endnote>
  <w:endnote w:type="continuationSeparator" w:id="0">
    <w:p w14:paraId="2C6D4685" w14:textId="77777777" w:rsidR="009171DB" w:rsidRDefault="009171D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BE429B" w:rsidRDefault="00BE429B">
    <w:pPr>
      <w:pStyle w:val="Piedepgina"/>
    </w:pPr>
  </w:p>
  <w:p w14:paraId="594D6D9F" w14:textId="4827F3E8" w:rsidR="00BE429B" w:rsidRPr="00174B77" w:rsidRDefault="00BE429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8371D" w:rsidRPr="00D8371D">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E429B" w:rsidRDefault="00BE429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E429B" w:rsidRPr="00E41027" w:rsidRDefault="00BE429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BE429B" w:rsidRDefault="00BE429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A8EF0" w14:textId="77777777" w:rsidR="009171DB" w:rsidRDefault="009171DB" w:rsidP="004A1847">
      <w:pPr>
        <w:spacing w:after="0" w:line="240" w:lineRule="auto"/>
      </w:pPr>
      <w:r>
        <w:separator/>
      </w:r>
    </w:p>
  </w:footnote>
  <w:footnote w:type="continuationSeparator" w:id="0">
    <w:p w14:paraId="55601C9D" w14:textId="77777777" w:rsidR="009171DB" w:rsidRDefault="009171DB" w:rsidP="004A1847">
      <w:pPr>
        <w:spacing w:after="0" w:line="240" w:lineRule="auto"/>
      </w:pPr>
      <w:r>
        <w:continuationSeparator/>
      </w:r>
    </w:p>
  </w:footnote>
  <w:footnote w:id="1">
    <w:p w14:paraId="2AFA8BD4" w14:textId="77777777" w:rsidR="004707E2" w:rsidRPr="006F77F4" w:rsidRDefault="004707E2" w:rsidP="004707E2">
      <w:pPr>
        <w:pStyle w:val="Textonotapie"/>
        <w:ind w:firstLine="708"/>
        <w:jc w:val="both"/>
        <w:rPr>
          <w:rFonts w:ascii="Verdana" w:hAnsi="Verdana"/>
          <w:sz w:val="16"/>
          <w:szCs w:val="16"/>
          <w:lang w:val="es-ES"/>
        </w:rPr>
      </w:pPr>
      <w:r w:rsidRPr="006F77F4">
        <w:rPr>
          <w:rStyle w:val="Refdenotaalpie"/>
          <w:rFonts w:ascii="Verdana" w:hAnsi="Verdana"/>
          <w:sz w:val="16"/>
          <w:szCs w:val="16"/>
        </w:rPr>
        <w:footnoteRef/>
      </w:r>
      <w:r w:rsidRPr="006F77F4">
        <w:rPr>
          <w:rFonts w:ascii="Verdana" w:hAnsi="Verdana"/>
          <w:sz w:val="16"/>
          <w:szCs w:val="16"/>
        </w:rPr>
        <w:t xml:space="preserve"> </w:t>
      </w:r>
      <w:r w:rsidRPr="006F77F4">
        <w:rPr>
          <w:rFonts w:ascii="Verdana" w:hAnsi="Verdana"/>
          <w:sz w:val="16"/>
          <w:szCs w:val="16"/>
          <w:lang w:val="es-ES"/>
        </w:rPr>
        <w:t>Decreto 111 de 1996, Estatuto Orgánico del Presupuesto, artículo 71: los actos que afecten apropiaciones “deberán contar con certificados de disponibilidad previos”; los compromisos requieren registro presupuestal; “ninguna autoridad podrá contraer obligaciones sobre apropiaciones inexistentes”, y su violación “creará responsabilidad personal y pecuniaria” a cargo de quien las contraiga.</w:t>
      </w:r>
    </w:p>
    <w:p w14:paraId="68D30713" w14:textId="77777777" w:rsidR="004707E2" w:rsidRPr="006F77F4" w:rsidRDefault="004707E2" w:rsidP="004707E2">
      <w:pPr>
        <w:pStyle w:val="Textonotapie"/>
        <w:rPr>
          <w:lang w:val="es-CO"/>
        </w:rPr>
      </w:pPr>
    </w:p>
  </w:footnote>
  <w:footnote w:id="2">
    <w:p w14:paraId="02C3538D" w14:textId="77777777" w:rsidR="004707E2" w:rsidRPr="001947A2" w:rsidRDefault="004707E2" w:rsidP="004707E2">
      <w:pPr>
        <w:pStyle w:val="Textonotapie"/>
        <w:ind w:firstLine="709"/>
        <w:jc w:val="both"/>
        <w:rPr>
          <w:rFonts w:ascii="Verdana" w:hAnsi="Verdana"/>
          <w:sz w:val="16"/>
          <w:szCs w:val="16"/>
          <w:lang w:val="es-CO"/>
        </w:rPr>
      </w:pPr>
      <w:r w:rsidRPr="001947A2">
        <w:rPr>
          <w:rStyle w:val="Refdenotaalpie"/>
          <w:rFonts w:ascii="Verdana" w:hAnsi="Verdana"/>
          <w:sz w:val="16"/>
          <w:szCs w:val="16"/>
        </w:rPr>
        <w:footnoteRef/>
      </w:r>
      <w:r w:rsidRPr="001947A2">
        <w:rPr>
          <w:rFonts w:ascii="Verdana" w:hAnsi="Verdana"/>
          <w:sz w:val="16"/>
          <w:szCs w:val="16"/>
        </w:rPr>
        <w:t xml:space="preserve"> Debe tenerse en cuenta que </w:t>
      </w:r>
      <w:r w:rsidRPr="001947A2">
        <w:rPr>
          <w:rFonts w:ascii="Verdana" w:hAnsi="Verdana"/>
          <w:sz w:val="16"/>
          <w:szCs w:val="16"/>
          <w:lang w:val="es-CO"/>
        </w:rPr>
        <w:t xml:space="preserve">de conformidad con el Decreto 0159 del 19 de febrero de 2026 se fijó transitoriamente el SMLMV en $ 1.750.905, el cual se encontrará vigente hasta que </w:t>
      </w:r>
      <w:r w:rsidRPr="001947A2">
        <w:rPr>
          <w:rFonts w:ascii="Verdana" w:hAnsi="Verdana"/>
          <w:sz w:val="16"/>
          <w:szCs w:val="16"/>
        </w:rPr>
        <w:t>se dicte sentencia en el proceso de nulidad radicado 11001-03-25-000-2026-00004-00 (0004-2026) que cursa en la Sección Segunda, Subsección A, de la Sala de lo Contencioso Administrativo del Consejo de Estado.</w:t>
      </w:r>
    </w:p>
  </w:footnote>
  <w:footnote w:id="3">
    <w:p w14:paraId="1A68EE10" w14:textId="77777777" w:rsidR="004707E2" w:rsidRPr="003E4CC9" w:rsidRDefault="004707E2" w:rsidP="004707E2">
      <w:pPr>
        <w:spacing w:after="0" w:line="240" w:lineRule="auto"/>
        <w:ind w:firstLine="709"/>
        <w:jc w:val="both"/>
        <w:rPr>
          <w:rFonts w:ascii="Verdana" w:hAnsi="Verdana"/>
          <w:sz w:val="16"/>
          <w:szCs w:val="16"/>
        </w:rPr>
      </w:pPr>
      <w:r w:rsidRPr="001947A2">
        <w:rPr>
          <w:rStyle w:val="Refdenotaalpie"/>
          <w:rFonts w:ascii="Verdana" w:hAnsi="Verdana"/>
          <w:sz w:val="16"/>
          <w:szCs w:val="16"/>
        </w:rPr>
        <w:footnoteRef/>
      </w:r>
      <w:r w:rsidRPr="001947A2">
        <w:rPr>
          <w:rFonts w:ascii="Verdana" w:hAnsi="Verdana"/>
          <w:sz w:val="16"/>
          <w:szCs w:val="16"/>
        </w:rPr>
        <w:t xml:space="preserve"> </w:t>
      </w:r>
      <w:r>
        <w:rPr>
          <w:rFonts w:ascii="Verdana" w:hAnsi="Verdana"/>
          <w:sz w:val="16"/>
          <w:szCs w:val="16"/>
        </w:rPr>
        <w:t>Consejo d</w:t>
      </w:r>
      <w:r w:rsidRPr="001947A2">
        <w:rPr>
          <w:rFonts w:ascii="Verdana" w:hAnsi="Verdana"/>
          <w:sz w:val="16"/>
          <w:szCs w:val="16"/>
        </w:rPr>
        <w:t>e Estado. Sala de Consulta y Servicio Civil.</w:t>
      </w:r>
      <w:r w:rsidRPr="001947A2">
        <w:rPr>
          <w:rFonts w:ascii="Verdana" w:hAnsi="Verdana"/>
          <w:i/>
          <w:iCs/>
          <w:sz w:val="16"/>
          <w:szCs w:val="16"/>
        </w:rPr>
        <w:t xml:space="preserve"> </w:t>
      </w:r>
      <w:r w:rsidRPr="001947A2">
        <w:rPr>
          <w:rFonts w:ascii="Verdana" w:hAnsi="Verdana"/>
          <w:sz w:val="16"/>
          <w:szCs w:val="16"/>
        </w:rPr>
        <w:t>C.P.: Óscar Darí</w:t>
      </w:r>
      <w:r>
        <w:rPr>
          <w:rFonts w:ascii="Verdana" w:hAnsi="Verdana"/>
          <w:sz w:val="16"/>
          <w:szCs w:val="16"/>
        </w:rPr>
        <w:t>o</w:t>
      </w:r>
      <w:r w:rsidRPr="001947A2">
        <w:rPr>
          <w:rFonts w:ascii="Verdana" w:hAnsi="Verdana"/>
          <w:sz w:val="16"/>
          <w:szCs w:val="16"/>
        </w:rPr>
        <w:t xml:space="preserve"> Amaya Navas. Concepto</w:t>
      </w:r>
      <w:r>
        <w:rPr>
          <w:rFonts w:ascii="Verdana" w:hAnsi="Verdana"/>
          <w:sz w:val="16"/>
          <w:szCs w:val="16"/>
        </w:rPr>
        <w:t xml:space="preserve"> del 06 de junio 2018. Rad.</w:t>
      </w:r>
      <w:r w:rsidRPr="001947A2">
        <w:rPr>
          <w:rFonts w:ascii="Verdana" w:hAnsi="Verdana"/>
          <w:sz w:val="16"/>
          <w:szCs w:val="16"/>
        </w:rPr>
        <w:t xml:space="preserve"> 2369.</w:t>
      </w:r>
    </w:p>
  </w:footnote>
  <w:footnote w:id="4">
    <w:p w14:paraId="4681AB3D" w14:textId="77777777" w:rsidR="004707E2" w:rsidRPr="001947A2" w:rsidRDefault="004707E2" w:rsidP="004707E2">
      <w:pPr>
        <w:pStyle w:val="Textonotapie"/>
        <w:ind w:firstLine="709"/>
        <w:jc w:val="both"/>
        <w:rPr>
          <w:rFonts w:ascii="Verdana" w:hAnsi="Verdana"/>
          <w:sz w:val="16"/>
          <w:szCs w:val="16"/>
          <w:lang w:val="es-CO"/>
        </w:rPr>
      </w:pPr>
      <w:r w:rsidRPr="001947A2">
        <w:rPr>
          <w:rStyle w:val="Refdenotaalpie"/>
          <w:rFonts w:ascii="Verdana" w:hAnsi="Verdana"/>
          <w:sz w:val="16"/>
          <w:szCs w:val="16"/>
        </w:rPr>
        <w:footnoteRef/>
      </w:r>
      <w:r w:rsidRPr="001947A2">
        <w:rPr>
          <w:rFonts w:ascii="Verdana" w:hAnsi="Verdana"/>
          <w:sz w:val="16"/>
          <w:szCs w:val="16"/>
        </w:rPr>
        <w:t xml:space="preserve"> </w:t>
      </w:r>
      <w:r w:rsidRPr="001947A2">
        <w:rPr>
          <w:rFonts w:ascii="Verdana" w:hAnsi="Verdana"/>
          <w:bCs/>
          <w:sz w:val="16"/>
          <w:szCs w:val="16"/>
          <w:lang w:val="es-CO"/>
        </w:rPr>
        <w:t>ARTICULO 11. DE LA COMPETENCIA PARA DIRIGIR LICITACIONES O CONCURSOS Y PARA CELEBRAR CONTRATOS ESTATALES. </w:t>
      </w:r>
      <w:r w:rsidRPr="001947A2">
        <w:rPr>
          <w:rFonts w:ascii="Verdana" w:hAnsi="Verdana"/>
          <w:sz w:val="16"/>
          <w:szCs w:val="16"/>
          <w:lang w:val="es-CO"/>
        </w:rPr>
        <w:t>En las entidades estatales a que se refiere el artículo 2o.: </w:t>
      </w:r>
    </w:p>
    <w:p w14:paraId="77932251" w14:textId="77777777" w:rsidR="004707E2" w:rsidRPr="001947A2" w:rsidRDefault="004707E2" w:rsidP="004707E2">
      <w:pPr>
        <w:pStyle w:val="Textonotapie"/>
        <w:ind w:firstLine="709"/>
        <w:jc w:val="both"/>
        <w:rPr>
          <w:rFonts w:ascii="Verdana" w:hAnsi="Verdana"/>
          <w:sz w:val="16"/>
          <w:szCs w:val="16"/>
          <w:lang w:val="es-CO"/>
        </w:rPr>
      </w:pPr>
      <w:r w:rsidRPr="001947A2">
        <w:rPr>
          <w:rFonts w:ascii="Verdana" w:hAnsi="Verdana"/>
          <w:sz w:val="16"/>
          <w:szCs w:val="16"/>
          <w:lang w:val="es-CO"/>
        </w:rPr>
        <w:t>1o. La competencia para ordenar y dirigir la celebración de licitaciones o concursos y para escoger contratistas será del jefe o representante de la entidad, según el caso. </w:t>
      </w:r>
    </w:p>
    <w:p w14:paraId="6298717D" w14:textId="77777777" w:rsidR="004707E2" w:rsidRPr="001947A2" w:rsidRDefault="004707E2" w:rsidP="004707E2">
      <w:pPr>
        <w:pStyle w:val="Textonotapie"/>
        <w:ind w:firstLine="709"/>
        <w:jc w:val="both"/>
        <w:rPr>
          <w:rFonts w:ascii="Verdana" w:hAnsi="Verdana"/>
          <w:sz w:val="16"/>
          <w:szCs w:val="16"/>
          <w:lang w:val="es-CO"/>
        </w:rPr>
      </w:pPr>
      <w:r w:rsidRPr="001947A2">
        <w:rPr>
          <w:rFonts w:ascii="Verdana" w:hAnsi="Verdana"/>
          <w:sz w:val="16"/>
          <w:szCs w:val="16"/>
          <w:lang w:val="es-CO"/>
        </w:rPr>
        <w:t xml:space="preserve">2o. Tiene competencia para celebrar contratos a nombre de la Nación, el </w:t>
      </w:r>
      <w:r w:rsidRPr="001947A2">
        <w:rPr>
          <w:rFonts w:ascii="Verdana" w:hAnsi="Verdana"/>
          <w:sz w:val="16"/>
          <w:szCs w:val="16"/>
          <w:lang w:val="es-CO"/>
        </w:rPr>
        <w:t>Presidente de la República. </w:t>
      </w:r>
    </w:p>
    <w:p w14:paraId="0D46B030" w14:textId="77777777" w:rsidR="004707E2" w:rsidRPr="001947A2" w:rsidRDefault="004707E2" w:rsidP="004707E2">
      <w:pPr>
        <w:pStyle w:val="Textonotapie"/>
        <w:ind w:firstLine="709"/>
        <w:jc w:val="both"/>
        <w:rPr>
          <w:rFonts w:ascii="Verdana" w:hAnsi="Verdana"/>
          <w:sz w:val="16"/>
          <w:szCs w:val="16"/>
          <w:lang w:val="es-CO"/>
        </w:rPr>
      </w:pPr>
      <w:r w:rsidRPr="001947A2">
        <w:rPr>
          <w:rFonts w:ascii="Verdana" w:hAnsi="Verdana"/>
          <w:sz w:val="16"/>
          <w:szCs w:val="16"/>
          <w:lang w:val="es-CO"/>
        </w:rPr>
        <w:t>3o. Tienen competencia para celebrar contratos a nombre de la entidad respectiva: </w:t>
      </w:r>
    </w:p>
    <w:p w14:paraId="6BE1EADD" w14:textId="77777777" w:rsidR="004707E2" w:rsidRPr="001947A2" w:rsidRDefault="004707E2" w:rsidP="004707E2">
      <w:pPr>
        <w:pStyle w:val="Textonotapie"/>
        <w:ind w:firstLine="709"/>
        <w:jc w:val="both"/>
        <w:rPr>
          <w:rFonts w:ascii="Verdana" w:hAnsi="Verdana"/>
          <w:sz w:val="16"/>
          <w:szCs w:val="16"/>
          <w:lang w:val="es-CO"/>
        </w:rPr>
      </w:pPr>
      <w:r w:rsidRPr="001947A2">
        <w:rPr>
          <w:rFonts w:ascii="Verdana" w:hAnsi="Verdana"/>
          <w:sz w:val="16"/>
          <w:szCs w:val="16"/>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54FC20C9" w14:textId="77777777" w:rsidR="004707E2" w:rsidRPr="001947A2" w:rsidRDefault="004707E2" w:rsidP="004707E2">
      <w:pPr>
        <w:pStyle w:val="Textonotapie"/>
        <w:ind w:firstLine="709"/>
        <w:jc w:val="both"/>
        <w:rPr>
          <w:rFonts w:ascii="Verdana" w:hAnsi="Verdana"/>
          <w:sz w:val="16"/>
          <w:szCs w:val="16"/>
          <w:lang w:val="es-CO"/>
        </w:rPr>
      </w:pPr>
      <w:r w:rsidRPr="001947A2">
        <w:rPr>
          <w:rFonts w:ascii="Verdana" w:hAnsi="Verdana"/>
          <w:sz w:val="16"/>
          <w:szCs w:val="16"/>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6782ACA3" w14:textId="77777777" w:rsidR="004707E2" w:rsidRPr="001947A2" w:rsidRDefault="004707E2" w:rsidP="004707E2">
      <w:pPr>
        <w:pStyle w:val="Textonotapie"/>
        <w:ind w:firstLine="709"/>
        <w:jc w:val="both"/>
        <w:rPr>
          <w:rFonts w:ascii="Verdana" w:hAnsi="Verdana"/>
          <w:sz w:val="16"/>
          <w:szCs w:val="16"/>
          <w:lang w:val="es-CO"/>
        </w:rPr>
      </w:pPr>
      <w:r w:rsidRPr="001947A2">
        <w:rPr>
          <w:rFonts w:ascii="Verdana" w:hAnsi="Verdana"/>
          <w:sz w:val="16"/>
          <w:szCs w:val="16"/>
          <w:lang w:val="es-CO"/>
        </w:rPr>
        <w:t>c) Los representantes legales de las entidades descentralizadas en todos los órdenes y niveles. </w:t>
      </w:r>
    </w:p>
  </w:footnote>
  <w:footnote w:id="5">
    <w:p w14:paraId="1B25DF74" w14:textId="77777777" w:rsidR="004707E2" w:rsidRPr="001947A2" w:rsidRDefault="004707E2" w:rsidP="004707E2">
      <w:pPr>
        <w:pStyle w:val="Textonotapie"/>
        <w:ind w:firstLine="709"/>
        <w:jc w:val="both"/>
        <w:rPr>
          <w:rFonts w:ascii="Verdana" w:hAnsi="Verdana"/>
          <w:sz w:val="16"/>
          <w:szCs w:val="16"/>
          <w:lang w:val="es-CO"/>
        </w:rPr>
      </w:pPr>
      <w:r w:rsidRPr="001947A2">
        <w:rPr>
          <w:rStyle w:val="Refdenotaalpie"/>
          <w:rFonts w:ascii="Verdana" w:hAnsi="Verdana"/>
          <w:sz w:val="16"/>
          <w:szCs w:val="16"/>
        </w:rPr>
        <w:footnoteRef/>
      </w:r>
      <w:r w:rsidRPr="001947A2">
        <w:rPr>
          <w:rFonts w:ascii="Verdana" w:hAnsi="Verdana"/>
          <w:sz w:val="16"/>
          <w:szCs w:val="16"/>
        </w:rPr>
        <w:t xml:space="preserve"> </w:t>
      </w:r>
      <w:r w:rsidRPr="001947A2">
        <w:rPr>
          <w:rFonts w:ascii="Verdana" w:hAnsi="Verdana"/>
          <w:bCs/>
          <w:sz w:val="16"/>
          <w:szCs w:val="16"/>
          <w:lang w:val="es-CO"/>
        </w:rPr>
        <w:t>ARTICULO 12. DE LA DELEGACION PARA CONTRATAR.</w:t>
      </w:r>
      <w:r w:rsidRPr="001947A2">
        <w:rPr>
          <w:rFonts w:ascii="Verdana" w:hAnsi="Verdana"/>
          <w:sz w:val="16"/>
          <w:szCs w:val="16"/>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16FA30BF" w14:textId="77777777" w:rsidR="004707E2" w:rsidRPr="001947A2" w:rsidRDefault="004707E2" w:rsidP="004707E2">
      <w:pPr>
        <w:pStyle w:val="Textonotapie"/>
        <w:ind w:firstLine="709"/>
        <w:jc w:val="both"/>
        <w:rPr>
          <w:rFonts w:ascii="Verdana" w:hAnsi="Verdana"/>
          <w:sz w:val="16"/>
          <w:szCs w:val="16"/>
          <w:lang w:val="es-CO"/>
        </w:rPr>
      </w:pPr>
      <w:r w:rsidRPr="001947A2">
        <w:rPr>
          <w:rFonts w:ascii="Verdana" w:hAnsi="Verdana"/>
          <w:sz w:val="16"/>
          <w:szCs w:val="16"/>
          <w:lang w:val="es-CO"/>
        </w:rPr>
        <w:t>En ningún caso, los jefes y representantes legales de las entidades estatales quedarán exonerados por virtud de la delegación de sus deberes de control y vigilancia de la actividad precontractual y contractual.  </w:t>
      </w:r>
    </w:p>
    <w:p w14:paraId="172CCD6E" w14:textId="77777777" w:rsidR="004707E2" w:rsidRPr="001947A2" w:rsidRDefault="004707E2" w:rsidP="004707E2">
      <w:pPr>
        <w:pStyle w:val="Textonotapie"/>
        <w:ind w:firstLine="708"/>
        <w:jc w:val="both"/>
        <w:rPr>
          <w:rFonts w:ascii="Verdana" w:hAnsi="Verdana"/>
          <w:sz w:val="16"/>
          <w:szCs w:val="16"/>
          <w:lang w:val="es-ES"/>
        </w:rPr>
      </w:pPr>
      <w:r w:rsidRPr="001947A2">
        <w:rPr>
          <w:rFonts w:ascii="Verdana" w:hAnsi="Verdana"/>
          <w:bCs/>
          <w:sz w:val="16"/>
          <w:szCs w:val="16"/>
          <w:lang w:val="es-CO"/>
        </w:rPr>
        <w:t>Parágrafo. </w:t>
      </w:r>
      <w:r w:rsidRPr="001947A2">
        <w:rPr>
          <w:rFonts w:ascii="Verdana" w:hAnsi="Verdana"/>
          <w:sz w:val="16"/>
          <w:szCs w:val="16"/>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footnote>
  <w:footnote w:id="6">
    <w:p w14:paraId="2CD1B7B9" w14:textId="77777777" w:rsidR="004707E2" w:rsidRPr="006F77F4" w:rsidRDefault="004707E2" w:rsidP="004707E2">
      <w:pPr>
        <w:pStyle w:val="Textonotapie"/>
        <w:ind w:firstLine="708"/>
        <w:jc w:val="both"/>
        <w:rPr>
          <w:rFonts w:ascii="Verdana" w:hAnsi="Verdana"/>
          <w:sz w:val="16"/>
          <w:szCs w:val="16"/>
          <w:lang w:val="es-ES"/>
        </w:rPr>
      </w:pPr>
      <w:r w:rsidRPr="006F77F4">
        <w:rPr>
          <w:rStyle w:val="Refdenotaalpie"/>
          <w:rFonts w:ascii="Verdana" w:hAnsi="Verdana"/>
          <w:sz w:val="16"/>
          <w:szCs w:val="16"/>
        </w:rPr>
        <w:footnoteRef/>
      </w:r>
      <w:r w:rsidRPr="006F77F4">
        <w:rPr>
          <w:rFonts w:ascii="Verdana" w:hAnsi="Verdana"/>
          <w:sz w:val="16"/>
          <w:szCs w:val="16"/>
        </w:rPr>
        <w:t xml:space="preserve"> </w:t>
      </w:r>
      <w:r w:rsidRPr="006F77F4">
        <w:rPr>
          <w:rFonts w:ascii="Verdana" w:hAnsi="Verdana"/>
          <w:sz w:val="16"/>
          <w:szCs w:val="16"/>
          <w:lang w:val="es-ES"/>
        </w:rPr>
        <w:t>AGENCIA NACIONAL DE CONTRATACIÓN PÚBLICA – COLOMBIA COMPRA EFICIENTE. Concepto C-566 del 19 de junio de 2025: la regla presupuestal del numeral 6 del artículo 25 de la Ley 80 de 1993 “aplica incluso en los contratos que tienen la modalidad de pago de cuota litis, primas o comisiones de éxito, toda vez que la Ley no hizo ninguna exclusión”; en el mismo sentido, Concepto C-641 del 11 de octubre de 2024.</w:t>
      </w:r>
    </w:p>
    <w:p w14:paraId="048207FB" w14:textId="77777777" w:rsidR="004707E2" w:rsidRPr="006F77F4" w:rsidRDefault="004707E2" w:rsidP="004707E2">
      <w:pPr>
        <w:pStyle w:val="Textonotapie"/>
        <w:rPr>
          <w:lang w:val="es-CO"/>
        </w:rPr>
      </w:pPr>
    </w:p>
  </w:footnote>
  <w:footnote w:id="7">
    <w:p w14:paraId="0B78DE83" w14:textId="77777777" w:rsidR="004707E2" w:rsidRPr="006F77F4" w:rsidRDefault="004707E2" w:rsidP="004707E2">
      <w:pPr>
        <w:pStyle w:val="Textonotapie"/>
        <w:ind w:firstLine="708"/>
        <w:jc w:val="both"/>
        <w:rPr>
          <w:rFonts w:ascii="Verdana" w:hAnsi="Verdana"/>
          <w:sz w:val="16"/>
          <w:szCs w:val="16"/>
          <w:lang w:val="es-ES"/>
        </w:rPr>
      </w:pPr>
      <w:r w:rsidRPr="006F77F4">
        <w:rPr>
          <w:rStyle w:val="Refdenotaalpie"/>
          <w:rFonts w:ascii="Verdana" w:hAnsi="Verdana"/>
          <w:sz w:val="16"/>
          <w:szCs w:val="16"/>
        </w:rPr>
        <w:footnoteRef/>
      </w:r>
      <w:r w:rsidRPr="006F77F4">
        <w:rPr>
          <w:rFonts w:ascii="Verdana" w:hAnsi="Verdana"/>
          <w:sz w:val="16"/>
          <w:szCs w:val="16"/>
        </w:rPr>
        <w:t xml:space="preserve"> </w:t>
      </w:r>
      <w:r w:rsidRPr="006F77F4">
        <w:rPr>
          <w:rFonts w:ascii="Verdana" w:hAnsi="Verdana"/>
          <w:sz w:val="16"/>
          <w:szCs w:val="16"/>
          <w:lang w:val="es-ES"/>
        </w:rPr>
        <w:t>Constitución Política, artículos 345, 346 y 347. Véase también CORTE CONSTITUCIONAL. Sentencia C-073 de 1993. M.P. Alejandro Martínez Caballero, que identifica la disponibilidad presupuestal como instrumento protector del principio de legalidad del gasto público.</w:t>
      </w:r>
    </w:p>
    <w:p w14:paraId="36FCEF27" w14:textId="77777777" w:rsidR="004707E2" w:rsidRPr="006F77F4" w:rsidRDefault="004707E2" w:rsidP="004707E2">
      <w:pPr>
        <w:pStyle w:val="Textonotapie"/>
        <w:rPr>
          <w:lang w:val="es-CO"/>
        </w:rPr>
      </w:pPr>
    </w:p>
  </w:footnote>
  <w:footnote w:id="8">
    <w:p w14:paraId="206F816A" w14:textId="77777777" w:rsidR="004707E2" w:rsidRPr="00D33448" w:rsidRDefault="004707E2" w:rsidP="004707E2">
      <w:pPr>
        <w:pStyle w:val="Textonotapie"/>
        <w:ind w:firstLine="708"/>
        <w:jc w:val="both"/>
        <w:rPr>
          <w:rFonts w:ascii="Verdana" w:hAnsi="Verdana"/>
          <w:sz w:val="14"/>
          <w:szCs w:val="14"/>
          <w:lang w:val="es-CO"/>
        </w:rPr>
      </w:pPr>
      <w:r w:rsidRPr="00D33448">
        <w:rPr>
          <w:rStyle w:val="Refdenotaalpie"/>
          <w:rFonts w:ascii="Verdana" w:hAnsi="Verdana"/>
          <w:sz w:val="14"/>
          <w:szCs w:val="14"/>
        </w:rPr>
        <w:footnoteRef/>
      </w:r>
      <w:r w:rsidRPr="00D33448">
        <w:rPr>
          <w:rFonts w:ascii="Verdana" w:hAnsi="Verdana"/>
          <w:sz w:val="14"/>
          <w:szCs w:val="14"/>
        </w:rPr>
        <w:t xml:space="preserve"> </w:t>
      </w:r>
      <w:r w:rsidRPr="00D33448">
        <w:rPr>
          <w:rFonts w:ascii="Verdana" w:hAnsi="Verdana" w:cs="Arial"/>
          <w:color w:val="1A1A1A" w:themeColor="background1" w:themeShade="1A"/>
          <w:sz w:val="14"/>
          <w:szCs w:val="14"/>
        </w:rPr>
        <w:t xml:space="preserve">CONSEJO DE ESTADO. Sección Tercera. Subsección A. Sentencia del del 24 de febrero de 2016. </w:t>
      </w:r>
      <w:r w:rsidRPr="00D33448">
        <w:rPr>
          <w:rFonts w:ascii="Verdana" w:hAnsi="Verdana" w:cs="Arial"/>
          <w:color w:val="1A1A1A" w:themeColor="background1" w:themeShade="1A"/>
          <w:sz w:val="14"/>
          <w:szCs w:val="14"/>
        </w:rPr>
        <w:t>Exp. 46.185. C.P. Marta Nubia Velásquez Rico.</w:t>
      </w:r>
    </w:p>
  </w:footnote>
  <w:footnote w:id="9">
    <w:p w14:paraId="70C4759A" w14:textId="77777777" w:rsidR="004707E2" w:rsidRPr="006F77F4" w:rsidRDefault="004707E2" w:rsidP="004707E2">
      <w:pPr>
        <w:pStyle w:val="Textonotapie"/>
        <w:ind w:firstLine="708"/>
        <w:jc w:val="both"/>
        <w:rPr>
          <w:rFonts w:ascii="Verdana" w:hAnsi="Verdana"/>
          <w:sz w:val="16"/>
          <w:szCs w:val="16"/>
          <w:lang w:val="es-ES"/>
        </w:rPr>
      </w:pPr>
      <w:r w:rsidRPr="006F77F4">
        <w:rPr>
          <w:rStyle w:val="Refdenotaalpie"/>
          <w:rFonts w:ascii="Verdana" w:hAnsi="Verdana"/>
          <w:sz w:val="16"/>
          <w:szCs w:val="16"/>
        </w:rPr>
        <w:footnoteRef/>
      </w:r>
      <w:r w:rsidRPr="006F77F4">
        <w:rPr>
          <w:rFonts w:ascii="Verdana" w:hAnsi="Verdana"/>
          <w:sz w:val="16"/>
          <w:szCs w:val="16"/>
        </w:rPr>
        <w:t xml:space="preserve"> </w:t>
      </w:r>
      <w:r w:rsidRPr="006F77F4">
        <w:rPr>
          <w:rFonts w:ascii="Verdana" w:hAnsi="Verdana"/>
          <w:sz w:val="16"/>
          <w:szCs w:val="16"/>
          <w:lang w:val="es-ES"/>
        </w:rPr>
        <w:t>Consejo de Estado. Sección tercera. Sentencia del 6 de julio de 2022. Exp. 54.711. C.P. José Roberto Sáchica Méndez.</w:t>
      </w:r>
    </w:p>
    <w:p w14:paraId="3BE09AB1" w14:textId="77777777" w:rsidR="004707E2" w:rsidRPr="006F77F4" w:rsidRDefault="004707E2" w:rsidP="004707E2">
      <w:pPr>
        <w:pStyle w:val="Textonotapie"/>
        <w:rPr>
          <w:lang w:val="es-CO"/>
        </w:rPr>
      </w:pPr>
    </w:p>
  </w:footnote>
  <w:footnote w:id="10">
    <w:p w14:paraId="329B5AFC" w14:textId="77777777" w:rsidR="004707E2" w:rsidRPr="006F77F4" w:rsidRDefault="004707E2" w:rsidP="004707E2">
      <w:pPr>
        <w:pStyle w:val="Textonotapie"/>
        <w:ind w:firstLine="708"/>
        <w:jc w:val="both"/>
        <w:rPr>
          <w:rFonts w:ascii="Verdana" w:hAnsi="Verdana"/>
          <w:sz w:val="16"/>
          <w:szCs w:val="16"/>
          <w:lang w:val="es-ES"/>
        </w:rPr>
      </w:pPr>
      <w:r w:rsidRPr="006F77F4">
        <w:rPr>
          <w:rStyle w:val="Refdenotaalpie"/>
          <w:rFonts w:ascii="Verdana" w:hAnsi="Verdana"/>
          <w:sz w:val="16"/>
          <w:szCs w:val="16"/>
        </w:rPr>
        <w:footnoteRef/>
      </w:r>
      <w:r w:rsidRPr="006F77F4">
        <w:rPr>
          <w:rFonts w:ascii="Verdana" w:hAnsi="Verdana"/>
          <w:sz w:val="16"/>
          <w:szCs w:val="16"/>
        </w:rPr>
        <w:t xml:space="preserve"> </w:t>
      </w:r>
      <w:r w:rsidRPr="006F77F4">
        <w:rPr>
          <w:rFonts w:ascii="Verdana" w:hAnsi="Verdana"/>
          <w:sz w:val="16"/>
          <w:szCs w:val="16"/>
          <w:lang w:val="es-ES"/>
        </w:rPr>
        <w:t>CONTRALORÍA GENERAL DE LA REPÚBLICA. Concepto 2013EE0066330 del 12 de julio de 2013, Oficina Jurídica: “aquellos negocios jurídicos materializados y que pueden generar obligaciones o erogaciones que afecten recursos públicos, sin que previamente hayan cumplido de lleno con las apropiaciones presupuestales”. En el mismo sentido, Decreto 1068 de 2015, artículos 2.6.6.2.10, 2.10.1.5.3.10 y 2.8.3.2.9, que prohíben tramitar o legalizar actos administrativos u obligaciones que afecten el presupuesto de gastos cuando no reúnan los requisitos legales o se configuren como hechos cumplidos, y hacen responder disciplinaria, fiscal y penalmente a los ordenadores del gasto que incurran en ella.</w:t>
      </w:r>
    </w:p>
    <w:p w14:paraId="0CFE317E" w14:textId="77777777" w:rsidR="004707E2" w:rsidRPr="006F77F4" w:rsidRDefault="004707E2" w:rsidP="004707E2">
      <w:pPr>
        <w:pStyle w:val="Textonotapie"/>
        <w:rPr>
          <w:lang w:val="es-CO"/>
        </w:rPr>
      </w:pPr>
    </w:p>
  </w:footnote>
  <w:footnote w:id="11">
    <w:p w14:paraId="0EBD6E3E" w14:textId="77777777" w:rsidR="004707E2" w:rsidRPr="006F77F4" w:rsidRDefault="004707E2" w:rsidP="004707E2">
      <w:pPr>
        <w:pStyle w:val="Textonotapie"/>
        <w:ind w:firstLine="708"/>
        <w:jc w:val="both"/>
        <w:rPr>
          <w:rFonts w:ascii="Verdana" w:hAnsi="Verdana"/>
          <w:sz w:val="16"/>
          <w:szCs w:val="16"/>
          <w:lang w:val="es-ES"/>
        </w:rPr>
      </w:pPr>
      <w:r w:rsidRPr="006F77F4">
        <w:rPr>
          <w:rStyle w:val="Refdenotaalpie"/>
          <w:rFonts w:ascii="Verdana" w:hAnsi="Verdana"/>
          <w:sz w:val="16"/>
          <w:szCs w:val="16"/>
        </w:rPr>
        <w:footnoteRef/>
      </w:r>
      <w:r w:rsidRPr="006F77F4">
        <w:rPr>
          <w:rFonts w:ascii="Verdana" w:hAnsi="Verdana"/>
          <w:sz w:val="16"/>
          <w:szCs w:val="16"/>
        </w:rPr>
        <w:t xml:space="preserve"> </w:t>
      </w:r>
      <w:r w:rsidRPr="006F77F4">
        <w:rPr>
          <w:rFonts w:ascii="Verdana" w:hAnsi="Verdana"/>
          <w:sz w:val="16"/>
          <w:szCs w:val="16"/>
          <w:lang w:val="es-ES"/>
        </w:rPr>
        <w:t>AGENCIA NACIONAL DE CONTRATACIÓN PÚBLICA – COLOMBIA COMPRA EFICIENTE. Concepto C-1140 del 11 de agosto de 2026: “el hecho cumplido tiene un origen eminentemente presupuestal, aunque produzca efectos directos en la contratación estatal”.</w:t>
      </w:r>
    </w:p>
    <w:p w14:paraId="143AEE3C" w14:textId="77777777" w:rsidR="004707E2" w:rsidRPr="006F77F4" w:rsidRDefault="004707E2" w:rsidP="004707E2">
      <w:pPr>
        <w:pStyle w:val="Textonotapie"/>
        <w:rPr>
          <w:lang w:val="es-CO"/>
        </w:rPr>
      </w:pPr>
    </w:p>
  </w:footnote>
  <w:footnote w:id="12">
    <w:p w14:paraId="33D21FA2" w14:textId="77777777" w:rsidR="004707E2" w:rsidRPr="001947A2" w:rsidRDefault="004707E2" w:rsidP="004707E2">
      <w:pPr>
        <w:spacing w:after="0" w:line="240" w:lineRule="auto"/>
        <w:ind w:firstLine="708"/>
        <w:jc w:val="both"/>
        <w:rPr>
          <w:rFonts w:ascii="Verdana" w:hAnsi="Verdana"/>
          <w:sz w:val="16"/>
          <w:szCs w:val="16"/>
        </w:rPr>
      </w:pPr>
      <w:r w:rsidRPr="001947A2">
        <w:rPr>
          <w:rStyle w:val="Refdenotaalpie"/>
          <w:rFonts w:ascii="Verdana" w:hAnsi="Verdana"/>
          <w:sz w:val="16"/>
          <w:szCs w:val="16"/>
        </w:rPr>
        <w:footnoteRef/>
      </w:r>
      <w:r w:rsidRPr="001947A2">
        <w:rPr>
          <w:rFonts w:ascii="Verdana" w:hAnsi="Verdana"/>
          <w:sz w:val="16"/>
          <w:szCs w:val="16"/>
        </w:rPr>
        <w:t xml:space="preserve"> </w:t>
      </w:r>
      <w:r>
        <w:rPr>
          <w:rFonts w:ascii="Verdana" w:hAnsi="Verdana"/>
          <w:sz w:val="16"/>
          <w:szCs w:val="16"/>
        </w:rPr>
        <w:t>CONSEJO D</w:t>
      </w:r>
      <w:r w:rsidRPr="001947A2">
        <w:rPr>
          <w:rFonts w:ascii="Verdana" w:hAnsi="Verdana"/>
          <w:sz w:val="16"/>
          <w:szCs w:val="16"/>
        </w:rPr>
        <w:t>E ESTADO. Sala de Consulta y Servicio Civil. C.P.: Óscar Darí</w:t>
      </w:r>
      <w:r>
        <w:rPr>
          <w:rFonts w:ascii="Verdana" w:hAnsi="Verdana"/>
          <w:sz w:val="16"/>
          <w:szCs w:val="16"/>
        </w:rPr>
        <w:t>o</w:t>
      </w:r>
      <w:r w:rsidRPr="001947A2">
        <w:rPr>
          <w:rFonts w:ascii="Verdana" w:hAnsi="Verdana"/>
          <w:sz w:val="16"/>
          <w:szCs w:val="16"/>
        </w:rPr>
        <w:t xml:space="preserve"> Amaya Navas. Concepto del 6 de j</w:t>
      </w:r>
      <w:r>
        <w:rPr>
          <w:rFonts w:ascii="Verdana" w:hAnsi="Verdana"/>
          <w:sz w:val="16"/>
          <w:szCs w:val="16"/>
        </w:rPr>
        <w:t>unio de 2018. Rad.</w:t>
      </w:r>
      <w:r w:rsidRPr="001947A2">
        <w:rPr>
          <w:rFonts w:ascii="Verdana" w:hAnsi="Verdana"/>
          <w:sz w:val="16"/>
          <w:szCs w:val="16"/>
        </w:rPr>
        <w:t xml:space="preserve"> 2369.</w:t>
      </w:r>
    </w:p>
    <w:p w14:paraId="1F14474C" w14:textId="77777777" w:rsidR="004707E2" w:rsidRPr="001947A2" w:rsidRDefault="004707E2" w:rsidP="004707E2">
      <w:pPr>
        <w:pStyle w:val="Textonotapie"/>
        <w:jc w:val="both"/>
        <w:rPr>
          <w:rFonts w:ascii="Verdana" w:hAnsi="Verdana"/>
          <w:sz w:val="16"/>
          <w:szCs w:val="16"/>
        </w:rPr>
      </w:pPr>
    </w:p>
  </w:footnote>
  <w:footnote w:id="13">
    <w:p w14:paraId="67FFDFFC" w14:textId="77777777" w:rsidR="004707E2" w:rsidRPr="001947A2" w:rsidRDefault="004707E2" w:rsidP="004707E2">
      <w:pPr>
        <w:pStyle w:val="Textonotapie"/>
        <w:ind w:firstLine="708"/>
        <w:jc w:val="both"/>
        <w:rPr>
          <w:rFonts w:ascii="Verdana" w:hAnsi="Verdana"/>
          <w:sz w:val="16"/>
          <w:szCs w:val="16"/>
        </w:rPr>
      </w:pPr>
      <w:r w:rsidRPr="001947A2">
        <w:rPr>
          <w:rStyle w:val="Refdenotaalpie"/>
          <w:rFonts w:ascii="Verdana" w:hAnsi="Verdana"/>
          <w:sz w:val="16"/>
          <w:szCs w:val="16"/>
        </w:rPr>
        <w:footnoteRef/>
      </w:r>
      <w:r w:rsidRPr="001947A2">
        <w:rPr>
          <w:rFonts w:ascii="Verdana" w:hAnsi="Verdana"/>
          <w:sz w:val="16"/>
          <w:szCs w:val="16"/>
        </w:rPr>
        <w:t xml:space="preserve"> Ibidem. </w:t>
      </w:r>
    </w:p>
  </w:footnote>
  <w:footnote w:id="14">
    <w:p w14:paraId="5E40BB49" w14:textId="77777777" w:rsidR="004707E2" w:rsidRPr="004C544B" w:rsidRDefault="004707E2" w:rsidP="004707E2">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Al respecto, el artículo 887 del Código de Comercio dispone lo siguiente: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745DB935" w14:textId="77777777" w:rsidR="004707E2" w:rsidRPr="004C544B" w:rsidRDefault="004707E2" w:rsidP="004707E2">
      <w:pPr>
        <w:pStyle w:val="Textonotapie"/>
        <w:ind w:firstLine="708"/>
        <w:jc w:val="both"/>
        <w:rPr>
          <w:rFonts w:ascii="Verdana" w:hAnsi="Verdana" w:cs="Arial"/>
          <w:sz w:val="16"/>
          <w:szCs w:val="16"/>
        </w:rPr>
      </w:pPr>
      <w:r w:rsidRPr="004C544B">
        <w:rPr>
          <w:rFonts w:ascii="Verdana" w:hAnsi="Verdana" w:cs="Arial"/>
          <w:sz w:val="16"/>
          <w:szCs w:val="16"/>
        </w:rPr>
        <w:t xml:space="preserve">La misma sustitución podrá hacerse en los contratos mercantiles de ejecución instantánea que aún no hayan sido cumplidos en todo o en parte, y en los celebrados </w:t>
      </w:r>
      <w:r w:rsidRPr="004C544B">
        <w:rPr>
          <w:rFonts w:ascii="Verdana" w:hAnsi="Verdana" w:cs="Arial"/>
          <w:i/>
          <w:iCs/>
          <w:sz w:val="16"/>
          <w:szCs w:val="16"/>
        </w:rPr>
        <w:t>intuitu personae</w:t>
      </w:r>
      <w:r w:rsidRPr="004C544B">
        <w:rPr>
          <w:rFonts w:ascii="Verdana" w:hAnsi="Verdana" w:cs="Arial"/>
          <w:sz w:val="16"/>
          <w:szCs w:val="16"/>
        </w:rPr>
        <w:t>, pero en estos casos será necesaria la aceptación del contratante cedido”.</w:t>
      </w:r>
    </w:p>
    <w:p w14:paraId="4A97105A" w14:textId="77777777" w:rsidR="004707E2" w:rsidRPr="004C544B" w:rsidRDefault="004707E2" w:rsidP="004707E2">
      <w:pPr>
        <w:pStyle w:val="Textonotapie"/>
        <w:ind w:firstLine="708"/>
        <w:jc w:val="both"/>
        <w:rPr>
          <w:rFonts w:ascii="Verdana" w:hAnsi="Verdana" w:cs="Arial"/>
          <w:sz w:val="16"/>
          <w:szCs w:val="16"/>
        </w:rPr>
      </w:pPr>
      <w:r w:rsidRPr="004C544B">
        <w:rPr>
          <w:rFonts w:ascii="Verdana" w:hAnsi="Verdana" w:cs="Arial"/>
          <w:sz w:val="16"/>
          <w:szCs w:val="16"/>
        </w:rPr>
        <w:t>En contraste, el artículo 1959 del Código Civil prescribe que “La cesión de un crédito, a cualquier título que se haga, no tendrá efecto entre el cedente y el cesionario sino en virtud de la entrega del título. Pero si el crédito que se cede no consta en documento, la cesión puede hacerse otorgándose uno por el cedente al cesionario, y en este caso la notificación de que trata el artículo 1961 debe hacerse con exhibición de dicho documento”.</w:t>
      </w:r>
    </w:p>
  </w:footnote>
  <w:footnote w:id="15">
    <w:p w14:paraId="205B2E54" w14:textId="77777777" w:rsidR="004707E2" w:rsidRPr="004C544B" w:rsidRDefault="004707E2" w:rsidP="004707E2">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ANDREOLI, </w:t>
      </w:r>
      <w:r w:rsidRPr="004C544B">
        <w:rPr>
          <w:rFonts w:ascii="Verdana" w:hAnsi="Verdana" w:cs="Arial"/>
          <w:sz w:val="16"/>
          <w:szCs w:val="16"/>
        </w:rPr>
        <w:t xml:space="preserve">Marcello. La cesión del contrato. Santiago: Ediciones Olejnik, 2019. p. 12. Énfasis dentro del texto. En este contexto, “La cesión del contrato sirve para hacer posible la </w:t>
      </w:r>
      <w:r w:rsidRPr="004C544B">
        <w:rPr>
          <w:rFonts w:ascii="Verdana" w:hAnsi="Verdana" w:cs="Arial"/>
          <w:i/>
          <w:iCs/>
          <w:sz w:val="16"/>
          <w:szCs w:val="16"/>
        </w:rPr>
        <w:t>circulación del contrato en su integridad</w:t>
      </w:r>
      <w:r w:rsidRPr="004C544B">
        <w:rPr>
          <w:rFonts w:ascii="Verdana" w:hAnsi="Verdana" w:cs="Arial"/>
          <w:sz w:val="16"/>
          <w:szCs w:val="16"/>
        </w:rPr>
        <w:t xml:space="preserve">, es decir, para hacer </w:t>
      </w:r>
      <w:r w:rsidRPr="004C544B">
        <w:rPr>
          <w:rFonts w:ascii="Verdana" w:hAnsi="Verdana" w:cs="Arial"/>
          <w:i/>
          <w:iCs/>
          <w:sz w:val="16"/>
          <w:szCs w:val="16"/>
        </w:rPr>
        <w:t>subintrar</w:t>
      </w:r>
      <w:r w:rsidRPr="004C544B">
        <w:rPr>
          <w:rFonts w:ascii="Verdana" w:hAnsi="Verdana" w:cs="Arial"/>
          <w:sz w:val="16"/>
          <w:szCs w:val="16"/>
        </w:rPr>
        <w:t xml:space="preserve"> un extraño en la categoría de </w:t>
      </w:r>
      <w:r w:rsidRPr="004C544B">
        <w:rPr>
          <w:rFonts w:ascii="Verdana" w:hAnsi="Verdana" w:cs="Arial"/>
          <w:i/>
          <w:iCs/>
          <w:sz w:val="16"/>
          <w:szCs w:val="16"/>
        </w:rPr>
        <w:t>parte</w:t>
      </w:r>
      <w:r w:rsidRPr="004C544B">
        <w:rPr>
          <w:rFonts w:ascii="Verdana" w:hAnsi="Verdana" w:cs="Arial"/>
          <w:sz w:val="16"/>
          <w:szCs w:val="16"/>
        </w:rPr>
        <w:t xml:space="preserve"> contractual, </w:t>
      </w:r>
      <w:r w:rsidRPr="004C544B">
        <w:rPr>
          <w:rFonts w:ascii="Verdana" w:hAnsi="Verdana" w:cs="Arial"/>
          <w:i/>
          <w:iCs/>
          <w:sz w:val="16"/>
          <w:szCs w:val="16"/>
        </w:rPr>
        <w:t>en lugar</w:t>
      </w:r>
      <w:r w:rsidRPr="004C544B">
        <w:rPr>
          <w:rFonts w:ascii="Verdana" w:hAnsi="Verdana" w:cs="Arial"/>
          <w:sz w:val="16"/>
          <w:szCs w:val="16"/>
        </w:rPr>
        <w:t xml:space="preserve"> de uno de los contratantes originarios” (MESSINEO, Francesco. Doctrina general del contrato. Santiago: Olejnik, 2018. p. 633. Énfasis dentro del texto).</w:t>
      </w:r>
    </w:p>
  </w:footnote>
  <w:footnote w:id="16">
    <w:p w14:paraId="650D19FD" w14:textId="77777777" w:rsidR="004707E2" w:rsidRPr="004C544B" w:rsidRDefault="004707E2" w:rsidP="004707E2">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ROPPO, Vincenzo. El contrato. Lima: Gaceta Jurídica, 2009. p. 547.</w:t>
      </w:r>
    </w:p>
  </w:footnote>
  <w:footnote w:id="17">
    <w:p w14:paraId="42AAF812" w14:textId="77777777" w:rsidR="004707E2" w:rsidRPr="004C544B" w:rsidRDefault="004707E2" w:rsidP="004707E2">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w:t>
      </w:r>
      <w:r w:rsidRPr="004C544B">
        <w:rPr>
          <w:rFonts w:ascii="Verdana" w:hAnsi="Verdana" w:cs="Arial"/>
          <w:i/>
          <w:iCs/>
          <w:sz w:val="16"/>
          <w:szCs w:val="16"/>
        </w:rPr>
        <w:t>Ibidem</w:t>
      </w:r>
      <w:r w:rsidRPr="004C544B">
        <w:rPr>
          <w:rFonts w:ascii="Verdana" w:hAnsi="Verdana" w:cs="Arial"/>
          <w:sz w:val="16"/>
          <w:szCs w:val="16"/>
        </w:rPr>
        <w:t>.</w:t>
      </w:r>
    </w:p>
  </w:footnote>
  <w:footnote w:id="18">
    <w:p w14:paraId="33FB995D" w14:textId="77777777" w:rsidR="004707E2" w:rsidRPr="004C544B" w:rsidRDefault="004707E2" w:rsidP="004707E2">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HINESTROSA, Fernando. Tratado de las obligaciones: concepto, estructura y vicisitudes. Tercera Edición. Bogotá: Universidad Externado de Colombia, 2007. Libro en formato EPUB. En contraste con la cesión de créditos, “La cesión de contrato […] al permitir la sustitución de una de las partes en el contrato que se ejecuta, valida al tercero cesionario para que adquiera los derechos y las obligaciones que correspondían al contratante cedente como efectos del contrato. Es decir, lo que en realidad se cede, es mucho más que las posiciones o lados activos de las relaciones obligacionales. se cede también el lado pasivo, pues del contrato surgen como efecto obligaciones y derechos para las partes y la cesión de la posición contractual de una de ellas coloca al tercero cesionario en su lugar, en las mismas circunstancias frente al otro contratante” (ARRUBLA PAUCAR, Jaime Alberto. Contratos mercantiles: teoría general del negocio mercantil. Decimocuarta Edición. Bogotá: Legis, 2021. p. 251).   </w:t>
      </w:r>
    </w:p>
  </w:footnote>
  <w:footnote w:id="19">
    <w:p w14:paraId="563761EC" w14:textId="77777777" w:rsidR="004707E2" w:rsidRPr="004C544B" w:rsidRDefault="004707E2" w:rsidP="004707E2">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Código de Comercio: “Artículo 890. El que cede un contrato se obliga a responder de la existencia y validez </w:t>
      </w:r>
      <w:r w:rsidRPr="004C544B">
        <w:rPr>
          <w:rFonts w:ascii="Verdana" w:hAnsi="Verdana" w:cs="Arial"/>
          <w:sz w:val="16"/>
          <w:szCs w:val="16"/>
        </w:rPr>
        <w:t>del mismo y de sus garantías, pero, salvo estipulación expresa en contrario, no responderá de su cumplimiento por parte del otro contratante y de los garantes”.</w:t>
      </w:r>
    </w:p>
  </w:footnote>
  <w:footnote w:id="20">
    <w:p w14:paraId="25B46C1C" w14:textId="77777777" w:rsidR="004707E2" w:rsidRPr="004C544B" w:rsidRDefault="004707E2" w:rsidP="004707E2">
      <w:pPr>
        <w:pStyle w:val="Textonotapie"/>
        <w:ind w:firstLine="709"/>
        <w:jc w:val="both"/>
        <w:rPr>
          <w:rFonts w:ascii="Verdana" w:hAnsi="Verdana" w:cs="Arial"/>
          <w:sz w:val="16"/>
          <w:szCs w:val="16"/>
          <w:lang w:val="es-CO"/>
        </w:rPr>
      </w:pPr>
      <w:r w:rsidRPr="004C544B">
        <w:rPr>
          <w:rStyle w:val="Refdenotaalpie"/>
          <w:rFonts w:ascii="Verdana" w:hAnsi="Verdana" w:cs="Arial"/>
          <w:sz w:val="16"/>
          <w:szCs w:val="16"/>
        </w:rPr>
        <w:footnoteRef/>
      </w:r>
      <w:r w:rsidRPr="004C544B">
        <w:rPr>
          <w:rFonts w:ascii="Verdana" w:hAnsi="Verdana" w:cs="Arial"/>
          <w:sz w:val="16"/>
          <w:szCs w:val="16"/>
        </w:rPr>
        <w:t xml:space="preserve"> Código de Comercio: “Artículo 891: Cuando el cedente se obliga a responder del cumplimiento del contrato por parte del contratante cedido, el cesionario deberá darle aviso dentro de los diez días siguientes a la mora o al incumplimiento, so pena de ser exonerado el cedente de la obligación de la garantía contraída con el cesionario”.</w:t>
      </w:r>
    </w:p>
  </w:footnote>
  <w:footnote w:id="21">
    <w:p w14:paraId="15A42BB1" w14:textId="77777777" w:rsidR="004707E2" w:rsidRPr="004C544B" w:rsidRDefault="004707E2" w:rsidP="004707E2">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Código de Comercio: “Artículo 895. La cesión de un contrato implica la de las acciones, privilegios y beneficios legales inherentes a la naturaleza y condiciones del contrato; pero no transfiere los que se funden en causas ajenas al mismo, o en la calidad o estado de la persona de los contratantes”.</w:t>
      </w:r>
    </w:p>
    <w:p w14:paraId="562CDDA5" w14:textId="77777777" w:rsidR="004707E2" w:rsidRPr="004C544B" w:rsidRDefault="004707E2" w:rsidP="004707E2">
      <w:pPr>
        <w:pStyle w:val="Textonotapie"/>
        <w:ind w:firstLine="709"/>
        <w:jc w:val="both"/>
        <w:rPr>
          <w:rFonts w:ascii="Verdana" w:hAnsi="Verdana" w:cs="Arial"/>
          <w:sz w:val="16"/>
          <w:szCs w:val="16"/>
        </w:rPr>
      </w:pPr>
      <w:r w:rsidRPr="004C544B">
        <w:rPr>
          <w:rFonts w:ascii="Verdana" w:hAnsi="Verdana" w:cs="Arial"/>
          <w:sz w:val="16"/>
          <w:szCs w:val="16"/>
        </w:rPr>
        <w:t>“Artículo 896. El contratante cedido podrá oponer al cesionario todas las excepciones que se deriven del contrato. Podrá también oponer aquellas que se funden sobre otras relaciones con el cedente, respecto de las cuales haya hecho expresa reserva al momento de notificársele o aceptar la cesión”.</w:t>
      </w:r>
    </w:p>
  </w:footnote>
  <w:footnote w:id="22">
    <w:p w14:paraId="123FF390" w14:textId="77777777" w:rsidR="004707E2" w:rsidRPr="004C544B" w:rsidRDefault="004707E2" w:rsidP="004707E2">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3A6F8F04" w14:textId="77777777" w:rsidR="004707E2" w:rsidRPr="004C544B" w:rsidRDefault="004707E2" w:rsidP="004707E2">
      <w:pPr>
        <w:pStyle w:val="Textonotapie"/>
        <w:ind w:firstLine="708"/>
        <w:jc w:val="both"/>
        <w:rPr>
          <w:rFonts w:ascii="Verdana" w:hAnsi="Verdana" w:cs="Arial"/>
          <w:sz w:val="16"/>
          <w:szCs w:val="16"/>
        </w:rPr>
      </w:pPr>
      <w:r w:rsidRPr="004C544B">
        <w:rPr>
          <w:rFonts w:ascii="Verdana" w:hAnsi="Verdana" w:cs="Arial"/>
          <w:sz w:val="16"/>
          <w:szCs w:val="16"/>
        </w:rPr>
        <w:t>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Depalma, 2012. p. 424).</w:t>
      </w:r>
    </w:p>
  </w:footnote>
  <w:footnote w:id="23">
    <w:p w14:paraId="64CE4CAA" w14:textId="77777777" w:rsidR="004707E2" w:rsidRPr="004C544B" w:rsidRDefault="004707E2" w:rsidP="004707E2">
      <w:pPr>
        <w:pStyle w:val="Textonotapie"/>
        <w:ind w:firstLine="708"/>
        <w:jc w:val="both"/>
        <w:rPr>
          <w:rFonts w:ascii="Verdana" w:hAnsi="Verdana" w:cs="Arial"/>
          <w:sz w:val="16"/>
          <w:szCs w:val="16"/>
          <w:lang w:val="es-ES"/>
        </w:rPr>
      </w:pPr>
      <w:r w:rsidRPr="004C544B">
        <w:rPr>
          <w:rStyle w:val="Refdenotaalpie"/>
          <w:rFonts w:ascii="Verdana" w:hAnsi="Verdana" w:cs="Arial"/>
          <w:sz w:val="16"/>
          <w:szCs w:val="16"/>
        </w:rPr>
        <w:footnoteRef/>
      </w:r>
      <w:r w:rsidRPr="004C544B">
        <w:rPr>
          <w:rFonts w:ascii="Verdana" w:hAnsi="Verdana" w:cs="Arial"/>
          <w:sz w:val="16"/>
          <w:szCs w:val="16"/>
        </w:rPr>
        <w:t xml:space="preserve"> MARIENHOFF, Miguel S. Tratado de derecho administrativo. Tomo IIIA. Cuarta Edición. Buenos Aires: Abeledo Perrot, 1998. p. 318. Énfasis dentro del texto.</w:t>
      </w:r>
    </w:p>
  </w:footnote>
  <w:footnote w:id="24">
    <w:p w14:paraId="59600925" w14:textId="77777777" w:rsidR="004707E2" w:rsidRPr="004C544B" w:rsidRDefault="004707E2" w:rsidP="004707E2">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RAMÍREZ GRISALES, Richard. La cesión. Serie: Las cláusulas del contrato estatal. Medellín: Centro de Estudios de Derecho Administrativo –CEDA– y Librería Jurídica Sánchez R., 2014. pp. 71-72.</w:t>
      </w:r>
    </w:p>
  </w:footnote>
  <w:footnote w:id="25">
    <w:p w14:paraId="544BC627" w14:textId="77777777" w:rsidR="004707E2" w:rsidRPr="004C544B" w:rsidRDefault="004707E2" w:rsidP="004707E2">
      <w:pPr>
        <w:pStyle w:val="Textonotapie"/>
        <w:ind w:firstLine="709"/>
        <w:jc w:val="both"/>
        <w:rPr>
          <w:rFonts w:ascii="Verdana" w:hAnsi="Verdana" w:cs="Arial"/>
          <w:sz w:val="16"/>
          <w:szCs w:val="16"/>
          <w:lang w:val="es-ES"/>
        </w:rPr>
      </w:pPr>
      <w:r w:rsidRPr="004C544B">
        <w:rPr>
          <w:rStyle w:val="Refdenotaalpie"/>
          <w:rFonts w:ascii="Verdana" w:hAnsi="Verdana" w:cs="Arial"/>
          <w:sz w:val="16"/>
          <w:szCs w:val="16"/>
        </w:rPr>
        <w:footnoteRef/>
      </w:r>
      <w:r w:rsidRPr="004C544B">
        <w:rPr>
          <w:rFonts w:ascii="Verdana" w:hAnsi="Verdana" w:cs="Arial"/>
          <w:sz w:val="16"/>
          <w:szCs w:val="16"/>
        </w:rPr>
        <w:t xml:space="preserve"> </w:t>
      </w:r>
      <w:r w:rsidRPr="004C544B">
        <w:rPr>
          <w:rFonts w:ascii="Verdana" w:hAnsi="Verdana" w:cs="Arial"/>
          <w:sz w:val="16"/>
          <w:szCs w:val="16"/>
          <w:lang w:val="es-ES"/>
        </w:rPr>
        <w:t>CONSEJO DE ESTADO</w:t>
      </w:r>
      <w:r>
        <w:rPr>
          <w:rFonts w:ascii="Verdana" w:hAnsi="Verdana" w:cs="Arial"/>
          <w:sz w:val="16"/>
          <w:szCs w:val="16"/>
          <w:lang w:val="es-ES"/>
        </w:rPr>
        <w:t>.</w:t>
      </w:r>
      <w:r w:rsidRPr="004C544B">
        <w:rPr>
          <w:rFonts w:ascii="Verdana" w:hAnsi="Verdana" w:cs="Arial"/>
          <w:sz w:val="16"/>
          <w:szCs w:val="16"/>
          <w:lang w:val="es-ES"/>
        </w:rPr>
        <w:t xml:space="preserve"> Sección Tercera</w:t>
      </w:r>
      <w:r>
        <w:rPr>
          <w:rFonts w:ascii="Verdana" w:hAnsi="Verdana" w:cs="Arial"/>
          <w:sz w:val="16"/>
          <w:szCs w:val="16"/>
          <w:lang w:val="es-ES"/>
        </w:rPr>
        <w:t>.</w:t>
      </w:r>
      <w:r w:rsidRPr="004C544B">
        <w:rPr>
          <w:rFonts w:ascii="Verdana" w:hAnsi="Verdana" w:cs="Arial"/>
          <w:sz w:val="16"/>
          <w:szCs w:val="16"/>
          <w:lang w:val="es-ES"/>
        </w:rPr>
        <w:t xml:space="preserve"> Sentencia del 16 de marzo de 2015</w:t>
      </w:r>
      <w:r>
        <w:rPr>
          <w:rFonts w:ascii="Verdana" w:hAnsi="Verdana" w:cs="Arial"/>
          <w:sz w:val="16"/>
          <w:szCs w:val="16"/>
          <w:lang w:val="es-ES"/>
        </w:rPr>
        <w:t>.</w:t>
      </w:r>
      <w:r w:rsidRPr="004C544B">
        <w:rPr>
          <w:rFonts w:ascii="Verdana" w:hAnsi="Verdana" w:cs="Arial"/>
          <w:sz w:val="16"/>
          <w:szCs w:val="16"/>
          <w:lang w:val="es-ES"/>
        </w:rPr>
        <w:t xml:space="preserve"> Rad. 1999-03028, M.P. Jaime Orlando Santofimio Gamboa.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BE429B" w:rsidRDefault="00BE429B"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E429B" w:rsidRDefault="00BE429B">
    <w:pPr>
      <w:pStyle w:val="Encabezado"/>
    </w:pPr>
  </w:p>
  <w:p w14:paraId="5E18350A" w14:textId="705F7B76" w:rsidR="00BE429B" w:rsidRPr="004A305D" w:rsidRDefault="00BE429B" w:rsidP="00B01B1A">
    <w:pPr>
      <w:spacing w:after="0" w:line="120" w:lineRule="auto"/>
      <w:rPr>
        <w:rFonts w:ascii="Century Gothic" w:eastAsia="Geo" w:hAnsi="Century Gothic" w:cs="Geo"/>
        <w:sz w:val="16"/>
        <w:szCs w:val="16"/>
        <w:lang w:eastAsia="es-CO"/>
      </w:rPr>
    </w:pPr>
  </w:p>
  <w:p w14:paraId="211B7F5D" w14:textId="77777777" w:rsidR="00BE429B" w:rsidRDefault="00BE429B" w:rsidP="00844AE9">
    <w:pPr>
      <w:spacing w:after="0" w:line="240" w:lineRule="auto"/>
      <w:rPr>
        <w:rFonts w:ascii="Verdana" w:hAnsi="Verdana"/>
        <w:sz w:val="24"/>
        <w:szCs w:val="24"/>
      </w:rPr>
    </w:pPr>
  </w:p>
  <w:p w14:paraId="5A0054B1" w14:textId="77777777" w:rsidR="00BE429B" w:rsidRPr="00C925AC" w:rsidRDefault="00BE429B" w:rsidP="00844AE9">
    <w:pPr>
      <w:spacing w:after="0" w:line="240" w:lineRule="auto"/>
      <w:rPr>
        <w:rFonts w:ascii="Verdana" w:hAnsi="Verdana"/>
        <w:sz w:val="24"/>
        <w:szCs w:val="24"/>
      </w:rPr>
    </w:pPr>
  </w:p>
  <w:p w14:paraId="1FD1C243" w14:textId="37C5500A" w:rsidR="00BE429B" w:rsidRPr="00C925AC" w:rsidRDefault="00BE429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E527D73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6F4012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A58319A"/>
    <w:multiLevelType w:val="hybridMultilevel"/>
    <w:tmpl w:val="DC06961A"/>
    <w:lvl w:ilvl="0" w:tplc="F9F2639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9D133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68161">
    <w:abstractNumId w:val="8"/>
  </w:num>
  <w:num w:numId="2" w16cid:durableId="374351543">
    <w:abstractNumId w:val="2"/>
  </w:num>
  <w:num w:numId="3" w16cid:durableId="1152529079">
    <w:abstractNumId w:val="5"/>
  </w:num>
  <w:num w:numId="4" w16cid:durableId="16604289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556058">
    <w:abstractNumId w:val="2"/>
  </w:num>
  <w:num w:numId="6" w16cid:durableId="1124035714">
    <w:abstractNumId w:val="18"/>
  </w:num>
  <w:num w:numId="7" w16cid:durableId="382825845">
    <w:abstractNumId w:val="7"/>
  </w:num>
  <w:num w:numId="8" w16cid:durableId="1947342167">
    <w:abstractNumId w:val="16"/>
  </w:num>
  <w:num w:numId="9" w16cid:durableId="2096123706">
    <w:abstractNumId w:val="9"/>
  </w:num>
  <w:num w:numId="10" w16cid:durableId="24258392">
    <w:abstractNumId w:val="15"/>
  </w:num>
  <w:num w:numId="11" w16cid:durableId="1664354151">
    <w:abstractNumId w:val="10"/>
  </w:num>
  <w:num w:numId="12" w16cid:durableId="1521818467">
    <w:abstractNumId w:val="1"/>
  </w:num>
  <w:num w:numId="13" w16cid:durableId="742069231">
    <w:abstractNumId w:val="3"/>
  </w:num>
  <w:num w:numId="14" w16cid:durableId="1786463676">
    <w:abstractNumId w:val="19"/>
  </w:num>
  <w:num w:numId="15" w16cid:durableId="515383840">
    <w:abstractNumId w:val="14"/>
  </w:num>
  <w:num w:numId="16" w16cid:durableId="74788305">
    <w:abstractNumId w:val="4"/>
  </w:num>
  <w:num w:numId="17" w16cid:durableId="1309940973">
    <w:abstractNumId w:val="11"/>
  </w:num>
  <w:num w:numId="18" w16cid:durableId="49884031">
    <w:abstractNumId w:val="20"/>
  </w:num>
  <w:num w:numId="19" w16cid:durableId="1916627832">
    <w:abstractNumId w:val="0"/>
  </w:num>
  <w:num w:numId="20" w16cid:durableId="916481850">
    <w:abstractNumId w:val="17"/>
  </w:num>
  <w:num w:numId="21" w16cid:durableId="1464810940">
    <w:abstractNumId w:val="12"/>
  </w:num>
  <w:num w:numId="22" w16cid:durableId="1492209491">
    <w:abstractNumId w:val="6"/>
  </w:num>
  <w:num w:numId="23" w16cid:durableId="13155983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276"/>
    <w:rsid w:val="000130CF"/>
    <w:rsid w:val="00016F78"/>
    <w:rsid w:val="000277FD"/>
    <w:rsid w:val="00033D6D"/>
    <w:rsid w:val="00046945"/>
    <w:rsid w:val="00051C15"/>
    <w:rsid w:val="00055945"/>
    <w:rsid w:val="00061B2A"/>
    <w:rsid w:val="000750A5"/>
    <w:rsid w:val="00081489"/>
    <w:rsid w:val="00082362"/>
    <w:rsid w:val="000A0001"/>
    <w:rsid w:val="000A683E"/>
    <w:rsid w:val="000B13C6"/>
    <w:rsid w:val="000B1586"/>
    <w:rsid w:val="000B19B9"/>
    <w:rsid w:val="000C7D33"/>
    <w:rsid w:val="000D0334"/>
    <w:rsid w:val="000D079C"/>
    <w:rsid w:val="000D0844"/>
    <w:rsid w:val="000D3981"/>
    <w:rsid w:val="000D5DA7"/>
    <w:rsid w:val="000E4662"/>
    <w:rsid w:val="000F5033"/>
    <w:rsid w:val="000F6486"/>
    <w:rsid w:val="00116940"/>
    <w:rsid w:val="00125105"/>
    <w:rsid w:val="00127233"/>
    <w:rsid w:val="00127E5C"/>
    <w:rsid w:val="001316B2"/>
    <w:rsid w:val="0013361C"/>
    <w:rsid w:val="001402C9"/>
    <w:rsid w:val="0015527C"/>
    <w:rsid w:val="0015699B"/>
    <w:rsid w:val="001743CA"/>
    <w:rsid w:val="00193EAE"/>
    <w:rsid w:val="001A33BF"/>
    <w:rsid w:val="001B0572"/>
    <w:rsid w:val="001B4736"/>
    <w:rsid w:val="001B5AFF"/>
    <w:rsid w:val="001E4177"/>
    <w:rsid w:val="001E4784"/>
    <w:rsid w:val="001F0B24"/>
    <w:rsid w:val="001F7DC6"/>
    <w:rsid w:val="0020550F"/>
    <w:rsid w:val="00211230"/>
    <w:rsid w:val="002153D5"/>
    <w:rsid w:val="0022400B"/>
    <w:rsid w:val="00226271"/>
    <w:rsid w:val="002421BB"/>
    <w:rsid w:val="00242525"/>
    <w:rsid w:val="00246CBB"/>
    <w:rsid w:val="00252059"/>
    <w:rsid w:val="0025796E"/>
    <w:rsid w:val="002602F6"/>
    <w:rsid w:val="00267BBE"/>
    <w:rsid w:val="002707A2"/>
    <w:rsid w:val="002753C0"/>
    <w:rsid w:val="00284D6E"/>
    <w:rsid w:val="002951A0"/>
    <w:rsid w:val="002962BC"/>
    <w:rsid w:val="002A093D"/>
    <w:rsid w:val="002A0DD0"/>
    <w:rsid w:val="002A2C2C"/>
    <w:rsid w:val="002A49AC"/>
    <w:rsid w:val="002A58CD"/>
    <w:rsid w:val="002A64FD"/>
    <w:rsid w:val="002A6F3F"/>
    <w:rsid w:val="002B730F"/>
    <w:rsid w:val="002B76E5"/>
    <w:rsid w:val="002C0DE5"/>
    <w:rsid w:val="002C680E"/>
    <w:rsid w:val="002C7A84"/>
    <w:rsid w:val="002E1503"/>
    <w:rsid w:val="002E2BF8"/>
    <w:rsid w:val="002E418D"/>
    <w:rsid w:val="002E4FD9"/>
    <w:rsid w:val="003004D2"/>
    <w:rsid w:val="003046D0"/>
    <w:rsid w:val="0030657A"/>
    <w:rsid w:val="0030689F"/>
    <w:rsid w:val="00320965"/>
    <w:rsid w:val="003210A8"/>
    <w:rsid w:val="00322A85"/>
    <w:rsid w:val="00324168"/>
    <w:rsid w:val="00325055"/>
    <w:rsid w:val="00330834"/>
    <w:rsid w:val="003448F4"/>
    <w:rsid w:val="0036053B"/>
    <w:rsid w:val="0037015E"/>
    <w:rsid w:val="00374F5E"/>
    <w:rsid w:val="0037721D"/>
    <w:rsid w:val="00377E3E"/>
    <w:rsid w:val="00390A05"/>
    <w:rsid w:val="003A4D80"/>
    <w:rsid w:val="003A779E"/>
    <w:rsid w:val="003C5FD9"/>
    <w:rsid w:val="003D0F4D"/>
    <w:rsid w:val="003D48B0"/>
    <w:rsid w:val="003D4B5D"/>
    <w:rsid w:val="003D5B0D"/>
    <w:rsid w:val="003E0499"/>
    <w:rsid w:val="003E4F80"/>
    <w:rsid w:val="003E6439"/>
    <w:rsid w:val="003F3941"/>
    <w:rsid w:val="00406575"/>
    <w:rsid w:val="00410A05"/>
    <w:rsid w:val="00414C74"/>
    <w:rsid w:val="00417DF8"/>
    <w:rsid w:val="00426779"/>
    <w:rsid w:val="0042722E"/>
    <w:rsid w:val="004329B4"/>
    <w:rsid w:val="00442203"/>
    <w:rsid w:val="0044528D"/>
    <w:rsid w:val="00464AF4"/>
    <w:rsid w:val="00466E39"/>
    <w:rsid w:val="00470178"/>
    <w:rsid w:val="004707E2"/>
    <w:rsid w:val="00474655"/>
    <w:rsid w:val="004A1847"/>
    <w:rsid w:val="004A305D"/>
    <w:rsid w:val="004D5664"/>
    <w:rsid w:val="004D5C33"/>
    <w:rsid w:val="004E24D3"/>
    <w:rsid w:val="004F21C4"/>
    <w:rsid w:val="004F685F"/>
    <w:rsid w:val="0052648D"/>
    <w:rsid w:val="005330A9"/>
    <w:rsid w:val="00551AF3"/>
    <w:rsid w:val="005566E8"/>
    <w:rsid w:val="00560ECB"/>
    <w:rsid w:val="00563377"/>
    <w:rsid w:val="005720E3"/>
    <w:rsid w:val="0057428E"/>
    <w:rsid w:val="00574867"/>
    <w:rsid w:val="00583346"/>
    <w:rsid w:val="00591460"/>
    <w:rsid w:val="005919E8"/>
    <w:rsid w:val="005A65E0"/>
    <w:rsid w:val="005C3777"/>
    <w:rsid w:val="005C47DD"/>
    <w:rsid w:val="005C5CDC"/>
    <w:rsid w:val="005D476C"/>
    <w:rsid w:val="005E7C99"/>
    <w:rsid w:val="005F1A8F"/>
    <w:rsid w:val="005F6B50"/>
    <w:rsid w:val="005F7D5F"/>
    <w:rsid w:val="00603964"/>
    <w:rsid w:val="006200BF"/>
    <w:rsid w:val="006219F8"/>
    <w:rsid w:val="006302F7"/>
    <w:rsid w:val="00632508"/>
    <w:rsid w:val="00646B9F"/>
    <w:rsid w:val="006506D8"/>
    <w:rsid w:val="006571B8"/>
    <w:rsid w:val="00663F30"/>
    <w:rsid w:val="00665D70"/>
    <w:rsid w:val="00671542"/>
    <w:rsid w:val="006900D9"/>
    <w:rsid w:val="006E16A7"/>
    <w:rsid w:val="006F30F8"/>
    <w:rsid w:val="006F77F4"/>
    <w:rsid w:val="0070084B"/>
    <w:rsid w:val="00706C16"/>
    <w:rsid w:val="0071632A"/>
    <w:rsid w:val="007203DD"/>
    <w:rsid w:val="00720735"/>
    <w:rsid w:val="00730E86"/>
    <w:rsid w:val="007340C3"/>
    <w:rsid w:val="00747A86"/>
    <w:rsid w:val="0075235A"/>
    <w:rsid w:val="00756841"/>
    <w:rsid w:val="007649AB"/>
    <w:rsid w:val="00771D0C"/>
    <w:rsid w:val="007833AC"/>
    <w:rsid w:val="00790E65"/>
    <w:rsid w:val="007A074E"/>
    <w:rsid w:val="007A1830"/>
    <w:rsid w:val="007B268C"/>
    <w:rsid w:val="007B7171"/>
    <w:rsid w:val="007C0C0F"/>
    <w:rsid w:val="007C3DC2"/>
    <w:rsid w:val="007C4589"/>
    <w:rsid w:val="007D0BAB"/>
    <w:rsid w:val="007D1AA3"/>
    <w:rsid w:val="007E5497"/>
    <w:rsid w:val="00806F5F"/>
    <w:rsid w:val="00813A5F"/>
    <w:rsid w:val="00814FD2"/>
    <w:rsid w:val="00820278"/>
    <w:rsid w:val="008258C9"/>
    <w:rsid w:val="008316FF"/>
    <w:rsid w:val="00844AE9"/>
    <w:rsid w:val="00855445"/>
    <w:rsid w:val="00864FA6"/>
    <w:rsid w:val="00867F95"/>
    <w:rsid w:val="008839F0"/>
    <w:rsid w:val="008843B6"/>
    <w:rsid w:val="008853C8"/>
    <w:rsid w:val="00891928"/>
    <w:rsid w:val="008A37D6"/>
    <w:rsid w:val="008A3E33"/>
    <w:rsid w:val="008A446D"/>
    <w:rsid w:val="008B21F6"/>
    <w:rsid w:val="008B25F1"/>
    <w:rsid w:val="008D180B"/>
    <w:rsid w:val="008E1619"/>
    <w:rsid w:val="008F0EA7"/>
    <w:rsid w:val="008F3654"/>
    <w:rsid w:val="00907B57"/>
    <w:rsid w:val="009171DB"/>
    <w:rsid w:val="0092278A"/>
    <w:rsid w:val="00923EEF"/>
    <w:rsid w:val="009419F9"/>
    <w:rsid w:val="00945E3D"/>
    <w:rsid w:val="0095685E"/>
    <w:rsid w:val="00960BFE"/>
    <w:rsid w:val="00961B09"/>
    <w:rsid w:val="00965334"/>
    <w:rsid w:val="00965AD9"/>
    <w:rsid w:val="00967EF6"/>
    <w:rsid w:val="0097093E"/>
    <w:rsid w:val="00976B55"/>
    <w:rsid w:val="00982C6E"/>
    <w:rsid w:val="0099043B"/>
    <w:rsid w:val="009A0177"/>
    <w:rsid w:val="009A0DFA"/>
    <w:rsid w:val="009B27CB"/>
    <w:rsid w:val="009B2D26"/>
    <w:rsid w:val="009C71FA"/>
    <w:rsid w:val="009C72E7"/>
    <w:rsid w:val="009C7F7E"/>
    <w:rsid w:val="009D3058"/>
    <w:rsid w:val="009D53A2"/>
    <w:rsid w:val="009F3A13"/>
    <w:rsid w:val="00A0223C"/>
    <w:rsid w:val="00A02AB0"/>
    <w:rsid w:val="00A05272"/>
    <w:rsid w:val="00A0761A"/>
    <w:rsid w:val="00A122D3"/>
    <w:rsid w:val="00A12DE3"/>
    <w:rsid w:val="00A14468"/>
    <w:rsid w:val="00A17F13"/>
    <w:rsid w:val="00A20739"/>
    <w:rsid w:val="00A23AF9"/>
    <w:rsid w:val="00A2655B"/>
    <w:rsid w:val="00A33C78"/>
    <w:rsid w:val="00A60D8F"/>
    <w:rsid w:val="00A7153D"/>
    <w:rsid w:val="00A85C59"/>
    <w:rsid w:val="00A96668"/>
    <w:rsid w:val="00AB00A7"/>
    <w:rsid w:val="00AB0ADB"/>
    <w:rsid w:val="00AC271C"/>
    <w:rsid w:val="00AF7433"/>
    <w:rsid w:val="00B001E4"/>
    <w:rsid w:val="00B00412"/>
    <w:rsid w:val="00B00C0E"/>
    <w:rsid w:val="00B01B1A"/>
    <w:rsid w:val="00B230A7"/>
    <w:rsid w:val="00B44A47"/>
    <w:rsid w:val="00B478FC"/>
    <w:rsid w:val="00B72CD3"/>
    <w:rsid w:val="00B72FFF"/>
    <w:rsid w:val="00B77287"/>
    <w:rsid w:val="00B84666"/>
    <w:rsid w:val="00B87FFD"/>
    <w:rsid w:val="00BB4134"/>
    <w:rsid w:val="00BC3D36"/>
    <w:rsid w:val="00BD54A6"/>
    <w:rsid w:val="00BD7F72"/>
    <w:rsid w:val="00BE429B"/>
    <w:rsid w:val="00BE6284"/>
    <w:rsid w:val="00BF1FB2"/>
    <w:rsid w:val="00BF48AB"/>
    <w:rsid w:val="00BF58C7"/>
    <w:rsid w:val="00BF7425"/>
    <w:rsid w:val="00C04FB3"/>
    <w:rsid w:val="00C06D13"/>
    <w:rsid w:val="00C11D8B"/>
    <w:rsid w:val="00C16B06"/>
    <w:rsid w:val="00C330EB"/>
    <w:rsid w:val="00C50D69"/>
    <w:rsid w:val="00C5365C"/>
    <w:rsid w:val="00C72D3A"/>
    <w:rsid w:val="00C754BE"/>
    <w:rsid w:val="00C76B1C"/>
    <w:rsid w:val="00C839F1"/>
    <w:rsid w:val="00C92578"/>
    <w:rsid w:val="00C925AC"/>
    <w:rsid w:val="00CA400E"/>
    <w:rsid w:val="00CB56C2"/>
    <w:rsid w:val="00CB6357"/>
    <w:rsid w:val="00CC1B26"/>
    <w:rsid w:val="00CC41EB"/>
    <w:rsid w:val="00CC6745"/>
    <w:rsid w:val="00CF2A81"/>
    <w:rsid w:val="00D01973"/>
    <w:rsid w:val="00D11ED6"/>
    <w:rsid w:val="00D24E1B"/>
    <w:rsid w:val="00D2630C"/>
    <w:rsid w:val="00D314C4"/>
    <w:rsid w:val="00D361FD"/>
    <w:rsid w:val="00D40EE0"/>
    <w:rsid w:val="00D423A2"/>
    <w:rsid w:val="00D44E26"/>
    <w:rsid w:val="00D46910"/>
    <w:rsid w:val="00D520D8"/>
    <w:rsid w:val="00D532F2"/>
    <w:rsid w:val="00D534FB"/>
    <w:rsid w:val="00D63AC2"/>
    <w:rsid w:val="00D73839"/>
    <w:rsid w:val="00D7383B"/>
    <w:rsid w:val="00D7788A"/>
    <w:rsid w:val="00D8371D"/>
    <w:rsid w:val="00D87653"/>
    <w:rsid w:val="00DA01E5"/>
    <w:rsid w:val="00DA231B"/>
    <w:rsid w:val="00DA607D"/>
    <w:rsid w:val="00DC39FC"/>
    <w:rsid w:val="00DF3306"/>
    <w:rsid w:val="00DF3FFE"/>
    <w:rsid w:val="00DF5254"/>
    <w:rsid w:val="00E02524"/>
    <w:rsid w:val="00E16408"/>
    <w:rsid w:val="00E20894"/>
    <w:rsid w:val="00E245AB"/>
    <w:rsid w:val="00E2764C"/>
    <w:rsid w:val="00E27F2E"/>
    <w:rsid w:val="00E335FD"/>
    <w:rsid w:val="00E36953"/>
    <w:rsid w:val="00E50AFE"/>
    <w:rsid w:val="00E75C92"/>
    <w:rsid w:val="00E771DC"/>
    <w:rsid w:val="00E8772A"/>
    <w:rsid w:val="00E90F6B"/>
    <w:rsid w:val="00E92C27"/>
    <w:rsid w:val="00E94B76"/>
    <w:rsid w:val="00EA0E3D"/>
    <w:rsid w:val="00EB44B9"/>
    <w:rsid w:val="00EB7691"/>
    <w:rsid w:val="00EC2733"/>
    <w:rsid w:val="00EC38A7"/>
    <w:rsid w:val="00ED0AD9"/>
    <w:rsid w:val="00EE1AA8"/>
    <w:rsid w:val="00F02749"/>
    <w:rsid w:val="00F12E8F"/>
    <w:rsid w:val="00F23FEA"/>
    <w:rsid w:val="00F27B7B"/>
    <w:rsid w:val="00F31EDC"/>
    <w:rsid w:val="00F462B3"/>
    <w:rsid w:val="00F46EDD"/>
    <w:rsid w:val="00F5007B"/>
    <w:rsid w:val="00F5664F"/>
    <w:rsid w:val="00F666C4"/>
    <w:rsid w:val="00F7501A"/>
    <w:rsid w:val="00F76AFC"/>
    <w:rsid w:val="00F97153"/>
    <w:rsid w:val="00FA4768"/>
    <w:rsid w:val="00FA47C0"/>
    <w:rsid w:val="00FB448C"/>
    <w:rsid w:val="00FB5DD1"/>
    <w:rsid w:val="00FC27F2"/>
    <w:rsid w:val="00FC2B5D"/>
    <w:rsid w:val="00FD2581"/>
    <w:rsid w:val="00FD7439"/>
    <w:rsid w:val="00FE7F80"/>
    <w:rsid w:val="00FF1449"/>
    <w:rsid w:val="00FF3D97"/>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1E5"/>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FF3D97"/>
    <w:rPr>
      <w:rFonts w:ascii="Geomanist Light" w:hAnsi="Geomanist Light"/>
      <w:lang w:val="es-ES"/>
    </w:rPr>
  </w:style>
  <w:style w:type="character" w:customStyle="1" w:styleId="NormalWebCar">
    <w:name w:val="Normal (Web) Car"/>
    <w:link w:val="NormalWeb"/>
    <w:uiPriority w:val="99"/>
    <w:locked/>
    <w:rsid w:val="00A7153D"/>
    <w:rPr>
      <w:rFonts w:ascii="Times New Roman" w:eastAsia="Times New Roman" w:hAnsi="Times New Roman" w:cs="Times New Roman"/>
      <w:sz w:val="24"/>
      <w:szCs w:val="24"/>
      <w:lang w:eastAsia="es-CO"/>
    </w:rPr>
  </w:style>
  <w:style w:type="character" w:customStyle="1" w:styleId="baj">
    <w:name w:val="b_aj"/>
    <w:basedOn w:val="Fuentedeprrafopredeter"/>
    <w:rsid w:val="00A7153D"/>
  </w:style>
  <w:style w:type="character" w:styleId="Refdecomentario">
    <w:name w:val="annotation reference"/>
    <w:basedOn w:val="Fuentedeprrafopredeter"/>
    <w:uiPriority w:val="99"/>
    <w:semiHidden/>
    <w:unhideWhenUsed/>
    <w:rsid w:val="009B27CB"/>
    <w:rPr>
      <w:sz w:val="16"/>
      <w:szCs w:val="16"/>
    </w:rPr>
  </w:style>
  <w:style w:type="paragraph" w:styleId="Textocomentario">
    <w:name w:val="annotation text"/>
    <w:basedOn w:val="Normal"/>
    <w:link w:val="TextocomentarioCar"/>
    <w:uiPriority w:val="99"/>
    <w:unhideWhenUsed/>
    <w:rsid w:val="009B27CB"/>
    <w:pPr>
      <w:spacing w:line="240" w:lineRule="auto"/>
    </w:pPr>
    <w:rPr>
      <w:sz w:val="20"/>
      <w:szCs w:val="20"/>
    </w:rPr>
  </w:style>
  <w:style w:type="character" w:customStyle="1" w:styleId="TextocomentarioCar">
    <w:name w:val="Texto comentario Car"/>
    <w:basedOn w:val="Fuentedeprrafopredeter"/>
    <w:link w:val="Textocomentario"/>
    <w:uiPriority w:val="99"/>
    <w:rsid w:val="009B27CB"/>
    <w:rPr>
      <w:sz w:val="20"/>
      <w:szCs w:val="20"/>
    </w:rPr>
  </w:style>
  <w:style w:type="table" w:customStyle="1" w:styleId="Tablaconcuadrcula11">
    <w:name w:val="Tabla con cuadrícula11"/>
    <w:basedOn w:val="Tablanormal"/>
    <w:next w:val="Tablaconcuadrcula"/>
    <w:uiPriority w:val="39"/>
    <w:qFormat/>
    <w:rsid w:val="009B2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8371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371D"/>
    <w:rPr>
      <w:rFonts w:ascii="Segoe UI" w:hAnsi="Segoe UI" w:cs="Segoe UI"/>
      <w:sz w:val="18"/>
      <w:szCs w:val="18"/>
    </w:rPr>
  </w:style>
  <w:style w:type="character" w:styleId="Mencinsinresolver">
    <w:name w:val="Unresolved Mention"/>
    <w:basedOn w:val="Fuentedeprrafopredeter"/>
    <w:uiPriority w:val="99"/>
    <w:semiHidden/>
    <w:unhideWhenUsed/>
    <w:rsid w:val="00B87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7703">
      <w:bodyDiv w:val="1"/>
      <w:marLeft w:val="0"/>
      <w:marRight w:val="0"/>
      <w:marTop w:val="0"/>
      <w:marBottom w:val="0"/>
      <w:divBdr>
        <w:top w:val="none" w:sz="0" w:space="0" w:color="auto"/>
        <w:left w:val="none" w:sz="0" w:space="0" w:color="auto"/>
        <w:bottom w:val="none" w:sz="0" w:space="0" w:color="auto"/>
        <w:right w:val="none" w:sz="0" w:space="0" w:color="auto"/>
      </w:divBdr>
    </w:div>
    <w:div w:id="362830511">
      <w:bodyDiv w:val="1"/>
      <w:marLeft w:val="0"/>
      <w:marRight w:val="0"/>
      <w:marTop w:val="0"/>
      <w:marBottom w:val="0"/>
      <w:divBdr>
        <w:top w:val="none" w:sz="0" w:space="0" w:color="auto"/>
        <w:left w:val="none" w:sz="0" w:space="0" w:color="auto"/>
        <w:bottom w:val="none" w:sz="0" w:space="0" w:color="auto"/>
        <w:right w:val="none" w:sz="0" w:space="0" w:color="auto"/>
      </w:divBdr>
    </w:div>
    <w:div w:id="364061825">
      <w:bodyDiv w:val="1"/>
      <w:marLeft w:val="0"/>
      <w:marRight w:val="0"/>
      <w:marTop w:val="0"/>
      <w:marBottom w:val="0"/>
      <w:divBdr>
        <w:top w:val="none" w:sz="0" w:space="0" w:color="auto"/>
        <w:left w:val="none" w:sz="0" w:space="0" w:color="auto"/>
        <w:bottom w:val="none" w:sz="0" w:space="0" w:color="auto"/>
        <w:right w:val="none" w:sz="0" w:space="0" w:color="auto"/>
      </w:divBdr>
    </w:div>
    <w:div w:id="55589833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4171352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jpbustosj@dane.gov.co" TargetMode="External"/><Relationship Id="rId17" Type="http://schemas.openxmlformats.org/officeDocument/2006/relationships/hyperlink" Target="https://www.colombiacompra.gov.co/archivos/boletin/boletin-edicion-n-3-de-2026-radar-de-la-compra-public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archivos/circular/circular-externa-002-de-2026"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olombiacompra.gov.co/archivos/circular/circular-externa-003-de-2026"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manual/guia-de-garantias-en-procesos-de-contratacio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8F1307-EBF3-4E7D-B838-813347232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DC843E3-D620-4881-8440-74CA2CD00A2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29</Pages>
  <Words>10056</Words>
  <Characters>55314</Characters>
  <Application>Microsoft Office Word</Application>
  <DocSecurity>0</DocSecurity>
  <Lines>460</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20</cp:revision>
  <cp:lastPrinted>2023-01-10T21:18:00Z</cp:lastPrinted>
  <dcterms:created xsi:type="dcterms:W3CDTF">2026-08-27T15:32:00Z</dcterms:created>
  <dcterms:modified xsi:type="dcterms:W3CDTF">2026-08-28T18:38:00Z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