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248C" w14:textId="77777777" w:rsidR="003472C0" w:rsidRPr="00523932" w:rsidRDefault="003472C0" w:rsidP="003472C0">
      <w:pPr>
        <w:spacing w:after="0" w:line="240" w:lineRule="auto"/>
        <w:jc w:val="both"/>
        <w:rPr>
          <w:rFonts w:ascii="Verdana" w:eastAsia="Calibri" w:hAnsi="Verdana" w:cs="Arial"/>
          <w:b/>
          <w:lang w:val="es-MX" w:eastAsia="es-ES_tradnl"/>
        </w:rPr>
      </w:pPr>
      <w:r w:rsidRPr="00523932">
        <w:rPr>
          <w:rFonts w:ascii="Verdana" w:eastAsia="Calibri" w:hAnsi="Verdana" w:cs="Arial"/>
          <w:b/>
          <w:lang w:val="es-MX" w:eastAsia="es-ES_tradnl"/>
        </w:rPr>
        <w:t>INHABILIDADES – Definición – Finalidad – Limitación capacidad contractual</w:t>
      </w:r>
    </w:p>
    <w:p w14:paraId="6A4214E7" w14:textId="77777777" w:rsidR="003472C0" w:rsidRPr="00523932" w:rsidRDefault="003472C0" w:rsidP="003472C0">
      <w:pPr>
        <w:spacing w:after="0" w:line="240" w:lineRule="auto"/>
        <w:rPr>
          <w:rFonts w:ascii="Verdana" w:eastAsia="Calibri" w:hAnsi="Verdana" w:cs="Arial"/>
          <w:bCs/>
          <w:sz w:val="20"/>
          <w:szCs w:val="20"/>
          <w:lang w:val="es-MX" w:eastAsia="es-ES_tradnl"/>
        </w:rPr>
      </w:pPr>
    </w:p>
    <w:p w14:paraId="0428E07A" w14:textId="77777777" w:rsidR="003472C0" w:rsidRPr="00523932" w:rsidRDefault="003472C0" w:rsidP="003472C0">
      <w:pPr>
        <w:spacing w:after="0" w:line="240" w:lineRule="auto"/>
        <w:jc w:val="both"/>
        <w:rPr>
          <w:rFonts w:ascii="Verdana" w:eastAsia="Geomanist Light" w:hAnsi="Verdana" w:cs="Arial"/>
          <w:color w:val="000000" w:themeColor="text1"/>
          <w:sz w:val="20"/>
          <w:szCs w:val="20"/>
          <w:lang w:val="es-MX"/>
        </w:rPr>
      </w:pPr>
      <w:r w:rsidRPr="00523932">
        <w:rPr>
          <w:rFonts w:ascii="Verdana" w:eastAsia="Geomanist Light" w:hAnsi="Verdana" w:cs="Arial"/>
          <w:color w:val="000000" w:themeColor="text1"/>
          <w:sz w:val="20"/>
          <w:szCs w:val="20"/>
          <w:lang w:val="es-MX"/>
        </w:rPr>
        <w:t>Las inhabilidades son circunstancias establecidas por la Constitución o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 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 La consagración limitaciones que afectan la capacidad jurídica para contratar desarrolla los principios de la función administrativa consagrados en el artículo 209 de la Constitución Política, con especial énfasis el de moralidad.</w:t>
      </w:r>
    </w:p>
    <w:p w14:paraId="2F3853C8" w14:textId="77777777" w:rsidR="003472C0" w:rsidRPr="00523932" w:rsidRDefault="003472C0" w:rsidP="003472C0">
      <w:pPr>
        <w:spacing w:after="0" w:line="240" w:lineRule="auto"/>
        <w:jc w:val="both"/>
        <w:rPr>
          <w:rFonts w:ascii="Verdana" w:eastAsia="Geomanist Light" w:hAnsi="Verdana" w:cs="Arial"/>
          <w:color w:val="000000" w:themeColor="text1"/>
          <w:sz w:val="20"/>
          <w:szCs w:val="20"/>
          <w:lang w:val="es-MX"/>
        </w:rPr>
      </w:pPr>
    </w:p>
    <w:p w14:paraId="1EF2E09F" w14:textId="77777777" w:rsidR="003472C0" w:rsidRPr="00523932" w:rsidRDefault="003472C0" w:rsidP="003472C0">
      <w:pPr>
        <w:spacing w:after="0" w:line="240" w:lineRule="auto"/>
        <w:jc w:val="both"/>
        <w:rPr>
          <w:rFonts w:ascii="Verdana" w:eastAsia="Calibri" w:hAnsi="Verdana" w:cs="Arial"/>
          <w:b/>
          <w:lang w:val="es-MX" w:eastAsia="es-ES_tradnl"/>
        </w:rPr>
      </w:pPr>
      <w:r w:rsidRPr="00523932">
        <w:rPr>
          <w:rFonts w:ascii="Verdana" w:eastAsia="Calibri" w:hAnsi="Verdana" w:cs="Arial"/>
          <w:b/>
          <w:lang w:val="es-MX" w:eastAsia="es-ES_tradnl"/>
        </w:rPr>
        <w:t>CONTRATACIÓN ESTATAL – Capacidad – Validez contratos – Régimen de contratación – Inscripción – Limitación de la capacidad</w:t>
      </w:r>
    </w:p>
    <w:p w14:paraId="669FF9BE" w14:textId="77777777" w:rsidR="003472C0" w:rsidRPr="00523932" w:rsidRDefault="003472C0" w:rsidP="003472C0">
      <w:pPr>
        <w:spacing w:after="0" w:line="240" w:lineRule="auto"/>
        <w:jc w:val="both"/>
        <w:rPr>
          <w:rFonts w:ascii="Verdana" w:eastAsia="Calibri" w:hAnsi="Verdana" w:cs="Arial"/>
          <w:bCs/>
          <w:sz w:val="20"/>
          <w:szCs w:val="20"/>
          <w:lang w:val="es-MX" w:eastAsia="es-ES_tradnl"/>
        </w:rPr>
      </w:pPr>
    </w:p>
    <w:p w14:paraId="223CE0E4" w14:textId="77777777" w:rsidR="003472C0" w:rsidRPr="00523932" w:rsidRDefault="003472C0" w:rsidP="003472C0">
      <w:pPr>
        <w:spacing w:after="0" w:line="240" w:lineRule="auto"/>
        <w:jc w:val="both"/>
        <w:rPr>
          <w:rFonts w:ascii="Verdana" w:eastAsia="Calibri" w:hAnsi="Verdana" w:cs="Arial"/>
          <w:bCs/>
          <w:sz w:val="20"/>
          <w:szCs w:val="20"/>
          <w:lang w:val="es-MX" w:eastAsia="es-ES_tradnl"/>
        </w:rPr>
      </w:pPr>
      <w:r w:rsidRPr="00523932">
        <w:rPr>
          <w:rFonts w:ascii="Verdana" w:eastAsia="Calibri" w:hAnsi="Verdana" w:cs="Arial"/>
          <w:bCs/>
          <w:sz w:val="20"/>
          <w:szCs w:val="20"/>
          <w:lang w:val="es-MX" w:eastAsia="es-ES_tradnl"/>
        </w:rPr>
        <w:t>[…] en la contratación estatal, la capacidad también es un requisito de validez de los contratos, tanto en el régimen de las entidades sujetas al Estatuto General de Contratación de la Administración Pública como en el de las entidades exceptuadas de aquel. Si bien la regulación de la capacidad se integra por varias disposiciones y exigencias especiales –como el requisito de inscribirse, por regla general, en el Registro Único de Proponentes (RUP), establecido en el artículo 6 de la Ley 1150 de 2007, modificado por el artículo 221 del Decreto 19 de 2012 –, se destaca el régimen de inhabilidades e incompatibilidades como un conjunto de normas que imponen restricciones para los sujetos que, eventualmente, pretendan participar en los procedimientos de selección o celebrar contratos con las entidades estatales.</w:t>
      </w:r>
    </w:p>
    <w:p w14:paraId="148C4FC4" w14:textId="77777777" w:rsidR="003472C0" w:rsidRPr="00523932" w:rsidRDefault="003472C0" w:rsidP="003472C0">
      <w:pPr>
        <w:spacing w:after="0" w:line="240" w:lineRule="auto"/>
        <w:jc w:val="both"/>
        <w:rPr>
          <w:rFonts w:ascii="Verdana" w:eastAsia="Calibri" w:hAnsi="Verdana" w:cs="Arial"/>
          <w:bCs/>
          <w:sz w:val="20"/>
          <w:szCs w:val="20"/>
          <w:lang w:val="es-MX" w:eastAsia="es-ES_tradnl"/>
        </w:rPr>
      </w:pPr>
    </w:p>
    <w:p w14:paraId="65DCC9DF" w14:textId="77777777" w:rsidR="003472C0" w:rsidRPr="00523932" w:rsidRDefault="003472C0" w:rsidP="003472C0">
      <w:pPr>
        <w:spacing w:after="0" w:line="240" w:lineRule="auto"/>
        <w:jc w:val="both"/>
        <w:rPr>
          <w:rFonts w:ascii="Verdana" w:eastAsia="Calibri" w:hAnsi="Verdana" w:cs="Arial"/>
          <w:bCs/>
          <w:sz w:val="20"/>
          <w:szCs w:val="20"/>
          <w:lang w:val="es-MX" w:eastAsia="es-ES_tradnl"/>
        </w:rPr>
      </w:pPr>
      <w:r w:rsidRPr="00523932">
        <w:rPr>
          <w:rFonts w:ascii="Verdana" w:eastAsia="Calibri" w:hAnsi="Verdana" w:cs="Arial"/>
          <w:bCs/>
          <w:sz w:val="20"/>
          <w:szCs w:val="20"/>
          <w:lang w:val="es-MX" w:eastAsia="es-ES_tradnl"/>
        </w:rPr>
        <w:t xml:space="preserve">Las inhabilidades son prohibiciones para concurrir a los procedimientos de selección y para contratar con el Estado, que se derivan: i) de la existencia de comportamientos reprochables o de sanciones anteriormente impuestas, ii) de vínculos personales relativos al parentesco o al estado civil o iii) de una actividad u oficio que se desempeñó en el pasado. De otro lado, las incompatibilidades, según un sector de la doctrina, son prohibiciones para participar en los procedimientos de selección y para celebrar contratos estatales, fundadas en la presencia de una calidad que ostenta el sujeto interesado en realizar alguna de dichas actividades, que no puede coexistir con su calidad de proponente o contratista del Estado. En todo caso, a pesar de la existencia de distintos criterios para diferenciar las inhabilidades de las incompatibilidades, de la presencia de ellas se derivan las mismas consecuencias jurídicas, esto es, la limitación de la capacidad contractual, como se desarrolló en el numeral 2.1. de este concepto. De </w:t>
      </w:r>
      <w:r w:rsidRPr="00523932">
        <w:rPr>
          <w:rFonts w:ascii="Verdana" w:eastAsia="Calibri" w:hAnsi="Verdana" w:cs="Arial"/>
          <w:bCs/>
          <w:sz w:val="20"/>
          <w:szCs w:val="20"/>
          <w:lang w:val="es-MX" w:eastAsia="es-ES_tradnl"/>
        </w:rPr>
        <w:lastRenderedPageBreak/>
        <w:t>manera que la presencia de ellas impide que se puedan celebrar contratos con el Estado o participar en procedimientos de selección de las entidades estatales, por lo que de cualquiera de ellas se derivan los mismos efectos jurídicos.</w:t>
      </w:r>
    </w:p>
    <w:p w14:paraId="62396EA4" w14:textId="77777777" w:rsidR="003472C0" w:rsidRPr="00523932" w:rsidRDefault="003472C0" w:rsidP="003472C0">
      <w:pPr>
        <w:spacing w:after="0" w:line="240" w:lineRule="auto"/>
        <w:jc w:val="both"/>
        <w:rPr>
          <w:rFonts w:ascii="Verdana" w:eastAsia="Geomanist Light" w:hAnsi="Verdana" w:cs="Arial"/>
          <w:color w:val="000000" w:themeColor="text1"/>
          <w:sz w:val="20"/>
          <w:szCs w:val="20"/>
          <w:lang w:val="es-MX"/>
        </w:rPr>
      </w:pPr>
    </w:p>
    <w:p w14:paraId="5056625E" w14:textId="77777777" w:rsidR="003472C0" w:rsidRPr="00523932" w:rsidRDefault="003472C0" w:rsidP="003472C0">
      <w:pPr>
        <w:spacing w:after="0" w:line="240" w:lineRule="auto"/>
        <w:jc w:val="both"/>
        <w:rPr>
          <w:rFonts w:ascii="Verdana" w:eastAsia="Calibri" w:hAnsi="Verdana" w:cs="Arial"/>
          <w:b/>
          <w:lang w:val="es-MX" w:eastAsia="es-ES_tradnl"/>
        </w:rPr>
      </w:pPr>
      <w:r w:rsidRPr="00523932">
        <w:rPr>
          <w:rFonts w:ascii="Verdana" w:eastAsia="Calibri" w:hAnsi="Verdana" w:cs="Arial"/>
          <w:b/>
          <w:lang w:val="es-MX" w:eastAsia="es-ES_tradnl"/>
        </w:rPr>
        <w:t>INHABILIDADES – Taxatividad – Principio de legalidad – Interpretación restrictiva</w:t>
      </w:r>
    </w:p>
    <w:p w14:paraId="1D08935B" w14:textId="77777777" w:rsidR="003472C0" w:rsidRPr="00523932" w:rsidRDefault="003472C0" w:rsidP="003472C0">
      <w:pPr>
        <w:spacing w:after="0" w:line="240" w:lineRule="auto"/>
        <w:rPr>
          <w:rFonts w:ascii="Verdana" w:eastAsia="Calibri" w:hAnsi="Verdana" w:cs="Arial"/>
          <w:bCs/>
          <w:sz w:val="20"/>
          <w:szCs w:val="20"/>
          <w:lang w:val="es-MX" w:eastAsia="es-ES_tradnl"/>
        </w:rPr>
      </w:pPr>
    </w:p>
    <w:p w14:paraId="6D09D06A" w14:textId="77777777" w:rsidR="003472C0" w:rsidRDefault="003472C0" w:rsidP="003472C0">
      <w:pPr>
        <w:spacing w:after="0" w:line="240" w:lineRule="auto"/>
        <w:jc w:val="both"/>
        <w:rPr>
          <w:rFonts w:ascii="Verdana" w:eastAsia="Calibri" w:hAnsi="Verdana" w:cs="Arial"/>
          <w:bCs/>
          <w:sz w:val="20"/>
          <w:szCs w:val="20"/>
          <w:lang w:val="es-MX" w:eastAsia="es-ES_tradnl"/>
        </w:rPr>
      </w:pPr>
      <w:r w:rsidRPr="00523932">
        <w:rPr>
          <w:rFonts w:ascii="Verdana" w:eastAsia="Calibri" w:hAnsi="Verdana" w:cs="Arial"/>
          <w:bCs/>
          <w:sz w:val="20"/>
          <w:szCs w:val="20"/>
          <w:lang w:val="es-MX" w:eastAsia="es-ES_tradnl"/>
        </w:rPr>
        <w:t>[…] la doctrina y la jurisprudencia son pacíficas en considerar que la creación de inhabilidades e incompatibilidades es un asunto con reserva de ley, en tanto, “[…] su previsión y desarrollo es materia exclusiva del legislador (reserva de ley), quien en virtud del principio democrático debe definir y tipificar expresamente sus causas, vigencia, naturaleza y efectos”. En similar sentido, la Sala de Consulta y Servicio Civil del Consejo de Estado expresó que “[…] las causales de inhabilidad e incompatibilidad deben estar expresa y taxativamente establecidas en la Constitución o en la ley y son de aplicación e interpretación restrictivas […]”. En este sentido, como se observa, existe consenso, incluso como lo ha expresado esta Agencia en ocasiones anteriores, que la creación de inhabilidades o incompatibilidades está reservada al constituyente o al legislador.</w:t>
      </w:r>
    </w:p>
    <w:p w14:paraId="2C8D61DA" w14:textId="77777777" w:rsidR="003472C0" w:rsidRDefault="003472C0" w:rsidP="003472C0">
      <w:pPr>
        <w:spacing w:after="0"/>
        <w:jc w:val="both"/>
        <w:rPr>
          <w:rFonts w:ascii="Verdana" w:eastAsia="Calibri" w:hAnsi="Verdana" w:cs="Arial"/>
          <w:bCs/>
          <w:sz w:val="20"/>
          <w:szCs w:val="20"/>
          <w:lang w:val="es-MX" w:eastAsia="es-ES_tradnl"/>
        </w:rPr>
      </w:pPr>
    </w:p>
    <w:p w14:paraId="46EFBEE3" w14:textId="77777777" w:rsidR="003472C0" w:rsidRPr="00E44C09" w:rsidRDefault="003472C0" w:rsidP="003472C0">
      <w:pPr>
        <w:spacing w:after="0" w:line="240" w:lineRule="auto"/>
        <w:jc w:val="both"/>
        <w:textAlignment w:val="baseline"/>
        <w:rPr>
          <w:rFonts w:ascii="Verdana" w:hAnsi="Verdana" w:cs="Arial"/>
          <w:b/>
          <w:lang w:val="es-ES_tradnl" w:eastAsia="es-CO"/>
        </w:rPr>
      </w:pPr>
      <w:r>
        <w:rPr>
          <w:rFonts w:ascii="Verdana" w:hAnsi="Verdana" w:cs="Arial"/>
          <w:b/>
          <w:lang w:val="es-ES_tradnl" w:eastAsia="es-CO"/>
        </w:rPr>
        <w:t>ENTIDADES TERRITORIALES</w:t>
      </w:r>
      <w:r w:rsidRPr="00E44C09">
        <w:rPr>
          <w:rFonts w:ascii="Verdana" w:hAnsi="Verdana" w:cs="Arial"/>
          <w:b/>
          <w:lang w:val="es-ES_tradnl" w:eastAsia="es-CO"/>
        </w:rPr>
        <w:t xml:space="preserve"> –</w:t>
      </w:r>
      <w:r>
        <w:rPr>
          <w:rFonts w:ascii="Verdana" w:hAnsi="Verdana" w:cs="Arial"/>
          <w:b/>
          <w:lang w:val="es-ES_tradnl" w:eastAsia="es-CO"/>
        </w:rPr>
        <w:t xml:space="preserve"> Inhabilidad – Contratos con municipios y entidades descentralizadas</w:t>
      </w:r>
    </w:p>
    <w:p w14:paraId="767AEA5F" w14:textId="77777777" w:rsidR="003472C0" w:rsidRDefault="003472C0" w:rsidP="003472C0">
      <w:pPr>
        <w:spacing w:after="0" w:line="240" w:lineRule="auto"/>
        <w:jc w:val="both"/>
        <w:textAlignment w:val="baseline"/>
        <w:rPr>
          <w:rFonts w:ascii="Verdana" w:hAnsi="Verdana" w:cs="Arial"/>
          <w:bCs/>
          <w:sz w:val="20"/>
          <w:szCs w:val="20"/>
          <w:lang w:val="es-ES_tradnl" w:eastAsia="es-CO"/>
        </w:rPr>
      </w:pPr>
    </w:p>
    <w:p w14:paraId="647E2B88" w14:textId="77777777" w:rsidR="003472C0" w:rsidRPr="00351C52" w:rsidRDefault="003472C0" w:rsidP="003472C0">
      <w:pPr>
        <w:spacing w:after="0" w:line="240" w:lineRule="auto"/>
        <w:jc w:val="both"/>
        <w:textAlignment w:val="baseline"/>
        <w:rPr>
          <w:rFonts w:ascii="Verdana" w:hAnsi="Verdana" w:cs="Arial"/>
          <w:bCs/>
          <w:sz w:val="20"/>
          <w:szCs w:val="20"/>
          <w:lang w:val="es-ES_tradnl" w:eastAsia="es-CO"/>
        </w:rPr>
      </w:pPr>
      <w:r>
        <w:rPr>
          <w:rFonts w:ascii="Verdana" w:hAnsi="Verdana" w:cs="Arial"/>
          <w:bCs/>
          <w:sz w:val="20"/>
          <w:szCs w:val="20"/>
          <w:lang w:val="es-ES_tradnl" w:eastAsia="es-CO"/>
        </w:rPr>
        <w:t>E</w:t>
      </w:r>
      <w:r w:rsidRPr="0060509F">
        <w:rPr>
          <w:rFonts w:ascii="Verdana" w:hAnsi="Verdana" w:cs="Arial"/>
          <w:bCs/>
          <w:sz w:val="20"/>
          <w:szCs w:val="20"/>
          <w:lang w:val="es-ES_tradnl" w:eastAsia="es-CO"/>
        </w:rPr>
        <w:t xml:space="preserve">l inciso tercero del artículo 49 de la Ley 617 de 2000 –modificado por las Leyes 821 de 2003, 1148 de 2007 y 1296 de 2009– dispone lo siguiente: “Los cónyuges o compañeros permanentes de los gobernadores, diputados, alcaldes municipales y distritales, concejales municipales y distritales y sus parientes dentro del cuarto grado de consanguinidad, segundo de afinidad, o primero civil no podrán ser contratistas del respectivo departamento, distrito o municipio, o de sus entidades descentralizadas, ni directa, ni indirectamente”. Los efectos de esta restricción deben armonizarse con el parágrafo tercero de la norma precitada, pues “Tratándose de concejales de municipios de cuarta, quinta y sexta categoría, las prohibiciones establecidas en el presente artículo se aplicarán únicamente para los cónyuges o compañeros permanentes y parientes hasta el segundo grado de consanguinidad, primero de afinidad o único civil”. </w:t>
      </w:r>
    </w:p>
    <w:p w14:paraId="5758E555" w14:textId="77777777" w:rsidR="003472C0" w:rsidRDefault="003472C0" w:rsidP="003472C0">
      <w:pPr>
        <w:spacing w:after="0"/>
        <w:jc w:val="both"/>
        <w:rPr>
          <w:rFonts w:ascii="Verdana" w:eastAsia="Calibri" w:hAnsi="Verdana" w:cs="Arial"/>
          <w:bCs/>
          <w:sz w:val="20"/>
          <w:szCs w:val="20"/>
          <w:lang w:val="es-MX" w:eastAsia="es-ES_tradnl"/>
        </w:rPr>
      </w:pPr>
    </w:p>
    <w:p w14:paraId="0862E16C" w14:textId="77777777" w:rsidR="003472C0" w:rsidRPr="00E44C09" w:rsidRDefault="003472C0" w:rsidP="003472C0">
      <w:pPr>
        <w:spacing w:after="0" w:line="240" w:lineRule="auto"/>
        <w:jc w:val="both"/>
        <w:textAlignment w:val="baseline"/>
        <w:rPr>
          <w:rFonts w:ascii="Verdana" w:hAnsi="Verdana" w:cs="Arial"/>
          <w:b/>
          <w:lang w:val="es-ES_tradnl" w:eastAsia="es-CO"/>
        </w:rPr>
      </w:pPr>
      <w:r>
        <w:rPr>
          <w:rFonts w:ascii="Verdana" w:hAnsi="Verdana" w:cs="Arial"/>
          <w:b/>
          <w:lang w:val="es-ES_tradnl" w:eastAsia="es-CO"/>
        </w:rPr>
        <w:t>AUSENCIA DE SANEAMIENTO</w:t>
      </w:r>
      <w:r w:rsidRPr="00E44C09">
        <w:rPr>
          <w:rFonts w:ascii="Verdana" w:hAnsi="Verdana" w:cs="Arial"/>
          <w:b/>
          <w:lang w:val="es-ES_tradnl" w:eastAsia="es-CO"/>
        </w:rPr>
        <w:t xml:space="preserve"> –</w:t>
      </w:r>
      <w:r>
        <w:rPr>
          <w:rFonts w:ascii="Verdana" w:hAnsi="Verdana" w:cs="Arial"/>
          <w:b/>
          <w:lang w:val="es-ES_tradnl" w:eastAsia="es-CO"/>
        </w:rPr>
        <w:t xml:space="preserve"> Falta de autorización – Aceptación del impedimento – Prosperidad de recusación</w:t>
      </w:r>
    </w:p>
    <w:p w14:paraId="546EA328" w14:textId="77777777" w:rsidR="003472C0" w:rsidRDefault="003472C0" w:rsidP="003472C0">
      <w:pPr>
        <w:spacing w:after="0" w:line="240" w:lineRule="auto"/>
        <w:jc w:val="both"/>
        <w:textAlignment w:val="baseline"/>
        <w:rPr>
          <w:rFonts w:ascii="Verdana" w:hAnsi="Verdana" w:cs="Arial"/>
          <w:bCs/>
          <w:sz w:val="20"/>
          <w:szCs w:val="20"/>
          <w:lang w:val="es-ES_tradnl" w:eastAsia="es-CO"/>
        </w:rPr>
      </w:pPr>
    </w:p>
    <w:p w14:paraId="337614D7" w14:textId="77777777" w:rsidR="003472C0" w:rsidRDefault="003472C0" w:rsidP="003472C0">
      <w:pPr>
        <w:spacing w:after="0" w:line="240" w:lineRule="auto"/>
        <w:jc w:val="both"/>
        <w:textAlignment w:val="baseline"/>
        <w:rPr>
          <w:rFonts w:ascii="Verdana" w:hAnsi="Verdana" w:cs="Arial"/>
          <w:bCs/>
          <w:sz w:val="20"/>
          <w:szCs w:val="20"/>
          <w:lang w:val="es-ES_tradnl" w:eastAsia="es-CO"/>
        </w:rPr>
      </w:pPr>
      <w:r w:rsidRPr="0060509F">
        <w:rPr>
          <w:rFonts w:ascii="Verdana" w:hAnsi="Verdana" w:cs="Arial"/>
          <w:bCs/>
          <w:sz w:val="20"/>
          <w:szCs w:val="20"/>
          <w:lang w:val="es-ES_tradnl" w:eastAsia="es-CO"/>
        </w:rPr>
        <w:t xml:space="preserve">Si bien el artículo el artículo 313.3 de la Constitución Política de 1991 faculta a los concejos para “Autorizar al alcalde para celebrar contratos […]”, la inhabilidad prevista en el inciso tercero y en el parágrafo 3 del artículo 49 de la Ley 617 de 2000 es independiente la competencia regulada tanto en el numeral tercero como en el parágrafo 4 del artículo 32 de la Ley 136 de 1994. Así, la restricción a la capacidad depende de la existencia del vínculo jurídico con </w:t>
      </w:r>
      <w:r>
        <w:rPr>
          <w:rFonts w:ascii="Verdana" w:hAnsi="Verdana" w:cs="Arial"/>
          <w:bCs/>
          <w:sz w:val="20"/>
          <w:szCs w:val="20"/>
          <w:lang w:val="es-ES_tradnl" w:eastAsia="es-CO"/>
        </w:rPr>
        <w:t>las personas mencionadas</w:t>
      </w:r>
      <w:r w:rsidRPr="0060509F">
        <w:rPr>
          <w:rFonts w:ascii="Verdana" w:hAnsi="Verdana" w:cs="Arial"/>
          <w:bCs/>
          <w:sz w:val="20"/>
          <w:szCs w:val="20"/>
          <w:lang w:val="es-ES_tradnl" w:eastAsia="es-CO"/>
        </w:rPr>
        <w:t xml:space="preserve"> en el párrafo anterior, sin importar que el concejal haya participado o no en la votación en la que se autoriza al alcalde para contratar. </w:t>
      </w:r>
    </w:p>
    <w:p w14:paraId="540A57BE" w14:textId="77777777" w:rsidR="003472C0" w:rsidRPr="0060509F" w:rsidRDefault="003472C0" w:rsidP="003472C0">
      <w:pPr>
        <w:spacing w:after="0" w:line="240" w:lineRule="auto"/>
        <w:jc w:val="both"/>
        <w:textAlignment w:val="baseline"/>
        <w:rPr>
          <w:rFonts w:ascii="Verdana" w:hAnsi="Verdana" w:cs="Arial"/>
          <w:bCs/>
          <w:sz w:val="20"/>
          <w:szCs w:val="20"/>
          <w:lang w:val="es-ES_tradnl" w:eastAsia="es-CO"/>
        </w:rPr>
      </w:pPr>
    </w:p>
    <w:p w14:paraId="2BD4F37C" w14:textId="77777777" w:rsidR="003472C0" w:rsidRPr="002D2E27" w:rsidRDefault="003472C0" w:rsidP="003472C0">
      <w:pPr>
        <w:spacing w:after="0" w:line="240" w:lineRule="auto"/>
        <w:jc w:val="both"/>
        <w:textAlignment w:val="baseline"/>
        <w:rPr>
          <w:rFonts w:ascii="Verdana" w:hAnsi="Verdana" w:cs="Arial"/>
          <w:bCs/>
          <w:sz w:val="20"/>
          <w:szCs w:val="20"/>
          <w:lang w:val="es-ES_tradnl" w:eastAsia="es-CO"/>
        </w:rPr>
      </w:pPr>
      <w:r w:rsidRPr="0060509F">
        <w:rPr>
          <w:rFonts w:ascii="Verdana" w:hAnsi="Verdana" w:cs="Arial"/>
          <w:bCs/>
          <w:sz w:val="20"/>
          <w:szCs w:val="20"/>
          <w:lang w:val="es-ES_tradnl" w:eastAsia="es-CO"/>
        </w:rPr>
        <w:lastRenderedPageBreak/>
        <w:t>Aunque las causales de impedimento y recusación convergen con el régimen de inhabilidades e incompatibilidades en la protección de la moralidad como principio de la función administrativa, la declaración del conflicto de interés por parte del concejal se limita a abstenerse o separarse de la sesión donde se vota la autorización para contratar. Sin embargo, como se explica en el primer epígrafe del presente oficio, las inhabilidades e incompatibilidades afectan la capacidad dentro del sistema de compras públicas. Luego, se refieren a personas totalmente distintas: la primera, a un miembro de corporación pública de elección popular; la segunda, a una persona interesada en participar en procesos de selección y/o celebrar contratos con el Estado. Por tanto, los efectos de la inhabilidad no desaparecen por la aceptación del impedimento o la prosperidad de la recusación del concejal, especialmente, cuando no existe regulación expresa sobre el “saneamiento de la capacidad” por esta causa.</w:t>
      </w:r>
    </w:p>
    <w:p w14:paraId="238D9F42" w14:textId="77777777" w:rsidR="003472C0" w:rsidRDefault="003472C0" w:rsidP="003472C0">
      <w:pPr>
        <w:spacing w:after="0"/>
        <w:jc w:val="both"/>
        <w:rPr>
          <w:rFonts w:ascii="Verdana" w:eastAsia="Calibri" w:hAnsi="Verdana" w:cs="Arial"/>
          <w:bCs/>
          <w:sz w:val="20"/>
          <w:szCs w:val="20"/>
          <w:lang w:val="es-MX" w:eastAsia="es-ES_tradnl"/>
        </w:rPr>
      </w:pPr>
    </w:p>
    <w:p w14:paraId="0B237E32" w14:textId="77777777" w:rsidR="003472C0" w:rsidRPr="00E44C09" w:rsidRDefault="003472C0" w:rsidP="003472C0">
      <w:pPr>
        <w:spacing w:after="0" w:line="240" w:lineRule="auto"/>
        <w:jc w:val="both"/>
        <w:textAlignment w:val="baseline"/>
        <w:rPr>
          <w:rFonts w:ascii="Verdana" w:hAnsi="Verdana" w:cs="Arial"/>
          <w:b/>
          <w:lang w:val="es-ES_tradnl" w:eastAsia="es-CO"/>
        </w:rPr>
      </w:pPr>
      <w:r>
        <w:rPr>
          <w:rFonts w:ascii="Verdana" w:hAnsi="Verdana" w:cs="Arial"/>
          <w:b/>
          <w:lang w:val="es-ES_tradnl" w:eastAsia="es-CO"/>
        </w:rPr>
        <w:t>SITUACIONES DE CONTROL</w:t>
      </w:r>
      <w:r w:rsidRPr="00E44C09">
        <w:rPr>
          <w:rFonts w:ascii="Verdana" w:hAnsi="Verdana" w:cs="Arial"/>
          <w:b/>
          <w:lang w:val="es-ES_tradnl" w:eastAsia="es-CO"/>
        </w:rPr>
        <w:t xml:space="preserve"> –</w:t>
      </w:r>
      <w:r>
        <w:rPr>
          <w:rFonts w:ascii="Verdana" w:hAnsi="Verdana" w:cs="Arial"/>
          <w:b/>
          <w:lang w:val="es-ES_tradnl" w:eastAsia="es-CO"/>
        </w:rPr>
        <w:t xml:space="preserve"> Mecanismos de verificación</w:t>
      </w:r>
    </w:p>
    <w:p w14:paraId="6BAD081F" w14:textId="77777777" w:rsidR="003472C0" w:rsidRDefault="003472C0" w:rsidP="003472C0">
      <w:pPr>
        <w:spacing w:after="0" w:line="240" w:lineRule="auto"/>
        <w:jc w:val="both"/>
        <w:textAlignment w:val="baseline"/>
        <w:rPr>
          <w:rFonts w:ascii="Verdana" w:hAnsi="Verdana" w:cs="Arial"/>
          <w:bCs/>
          <w:sz w:val="20"/>
          <w:szCs w:val="20"/>
          <w:lang w:val="es-ES_tradnl" w:eastAsia="es-CO"/>
        </w:rPr>
      </w:pPr>
    </w:p>
    <w:p w14:paraId="681D83CC" w14:textId="77777777" w:rsidR="003472C0" w:rsidRPr="00047CE9" w:rsidRDefault="003472C0" w:rsidP="003472C0">
      <w:pPr>
        <w:spacing w:after="0" w:line="240" w:lineRule="auto"/>
        <w:jc w:val="both"/>
        <w:textAlignment w:val="baseline"/>
        <w:rPr>
          <w:rFonts w:ascii="Verdana" w:hAnsi="Verdana" w:cs="Arial"/>
          <w:bCs/>
          <w:sz w:val="20"/>
          <w:szCs w:val="20"/>
          <w:lang w:val="es-ES_tradnl" w:eastAsia="es-CO"/>
        </w:rPr>
      </w:pPr>
      <w:r>
        <w:rPr>
          <w:rFonts w:ascii="Verdana" w:hAnsi="Verdana" w:cs="Arial"/>
          <w:bCs/>
          <w:sz w:val="20"/>
          <w:szCs w:val="20"/>
          <w:lang w:val="es-ES_tradnl" w:eastAsia="es-CO"/>
        </w:rPr>
        <w:t>E</w:t>
      </w:r>
      <w:r w:rsidRPr="00047CE9">
        <w:rPr>
          <w:rFonts w:ascii="Verdana" w:hAnsi="Verdana" w:cs="Arial"/>
          <w:bCs/>
          <w:sz w:val="20"/>
          <w:szCs w:val="20"/>
          <w:lang w:val="es-ES_tradnl" w:eastAsia="es-CO"/>
        </w:rPr>
        <w:t>l literal a) del artículo 2.1.4.3.2.1 del Decreto 1081 de 2015, adicionado por el artículo 1 del Decreto 1600 de 2024, dispone que los organismos, entidades y empresas del Estado del orden nacional y pertenecientes a la Rama Ejecutiva del Poder Público deben verificar la existencia de situaciones de control que, conforme artículos 260 y 261 del Código de Comercio, afecten tanto a las personas jurídicas oferentes como a los proponentes plurales. En este contexto, la norma precisa que quienes se presenten como proponentes en procesos de selección:</w:t>
      </w:r>
      <w:r>
        <w:rPr>
          <w:rFonts w:ascii="Verdana" w:hAnsi="Verdana" w:cs="Arial"/>
          <w:bCs/>
          <w:sz w:val="20"/>
          <w:szCs w:val="20"/>
          <w:lang w:val="es-ES_tradnl" w:eastAsia="es-CO"/>
        </w:rPr>
        <w:t xml:space="preserve"> </w:t>
      </w:r>
      <w:r w:rsidRPr="00047CE9">
        <w:rPr>
          <w:rFonts w:ascii="Verdana" w:hAnsi="Verdana" w:cs="Arial"/>
          <w:bCs/>
          <w:sz w:val="20"/>
          <w:szCs w:val="20"/>
          <w:lang w:val="es-ES_tradnl" w:eastAsia="es-CO"/>
        </w:rPr>
        <w:t xml:space="preserve">“[…] en el término máximo de tres (3) días después del momento en que se cierre definitivamente la presentación de ofertas, deberán poner de presente la existencia o no de situaciones de control de las que participen y, en particular, si son contratantes, controladas o comparten alguna de estas condiciones con otras personas que se encuentren participando en el mismo procedimiento de contratación. Para el caso de los proponentes plurales, deberán indicar si las personas que los conforman se encuentran en alguna de las situaciones descritas anteriormente”. </w:t>
      </w:r>
    </w:p>
    <w:p w14:paraId="4F561096" w14:textId="77777777" w:rsidR="003472C0" w:rsidRPr="00047CE9" w:rsidRDefault="003472C0" w:rsidP="003472C0">
      <w:pPr>
        <w:spacing w:after="0" w:line="240" w:lineRule="auto"/>
        <w:jc w:val="both"/>
        <w:textAlignment w:val="baseline"/>
        <w:rPr>
          <w:rFonts w:ascii="Verdana" w:hAnsi="Verdana" w:cs="Arial"/>
          <w:bCs/>
          <w:sz w:val="20"/>
          <w:szCs w:val="20"/>
          <w:lang w:val="es-ES_tradnl" w:eastAsia="es-CO"/>
        </w:rPr>
      </w:pPr>
    </w:p>
    <w:p w14:paraId="33C71E6A" w14:textId="77777777" w:rsidR="003472C0" w:rsidRDefault="003472C0" w:rsidP="003472C0">
      <w:pPr>
        <w:spacing w:after="0" w:line="240" w:lineRule="auto"/>
        <w:jc w:val="both"/>
        <w:textAlignment w:val="baseline"/>
        <w:rPr>
          <w:rFonts w:ascii="Verdana" w:hAnsi="Verdana" w:cs="Arial"/>
          <w:bCs/>
          <w:sz w:val="20"/>
          <w:szCs w:val="20"/>
          <w:lang w:val="es-ES_tradnl" w:eastAsia="es-CO"/>
        </w:rPr>
      </w:pPr>
      <w:r w:rsidRPr="00047CE9">
        <w:rPr>
          <w:rFonts w:ascii="Verdana" w:hAnsi="Verdana" w:cs="Arial"/>
          <w:bCs/>
          <w:sz w:val="20"/>
          <w:szCs w:val="20"/>
          <w:lang w:val="es-ES_tradnl" w:eastAsia="es-CO"/>
        </w:rPr>
        <w:t>De acuerdo con la norma citada, “Las entidades contratantes examinarán la existencia de las circunstancias antes descritas, con base en la información proporcionada por los oferentes y en la que reposa en los expedientes públicos registrados ante las Cámaras de Comercio, con el fin de prever la configuración de las causales de inhabilidad e incompatibilidad previstas en el artículo 8° de la Ley 80 de 1993”. Luego, la información sobre situaciones de control es un punto de referencia para verificar la capacidad jurídica en el proceso de contratación. Por tanto, es diferente a la identificación ordenada por el artículo 27 de la Ley 1121 de 2006, “Por la cual se dictan normas para la prevención, detección, investigación y sanción de la financiación del terrorismo y otras disposiciones”.</w:t>
      </w:r>
    </w:p>
    <w:p w14:paraId="78E68CC4" w14:textId="77777777" w:rsidR="003472C0" w:rsidRPr="00047CE9" w:rsidRDefault="003472C0" w:rsidP="003472C0">
      <w:pPr>
        <w:spacing w:after="0" w:line="240" w:lineRule="auto"/>
        <w:jc w:val="both"/>
        <w:textAlignment w:val="baseline"/>
        <w:rPr>
          <w:rFonts w:ascii="Verdana" w:hAnsi="Verdana" w:cs="Arial"/>
          <w:bCs/>
          <w:sz w:val="20"/>
          <w:szCs w:val="20"/>
          <w:lang w:val="es-ES_tradnl" w:eastAsia="es-CO"/>
        </w:rPr>
      </w:pPr>
    </w:p>
    <w:p w14:paraId="3FB32740" w14:textId="77777777" w:rsidR="003472C0" w:rsidRDefault="003472C0" w:rsidP="003472C0">
      <w:pPr>
        <w:spacing w:after="0" w:line="240" w:lineRule="auto"/>
        <w:jc w:val="both"/>
        <w:textAlignment w:val="baseline"/>
        <w:rPr>
          <w:rFonts w:ascii="Verdana" w:hAnsi="Verdana" w:cs="Arial"/>
          <w:bCs/>
          <w:sz w:val="20"/>
          <w:szCs w:val="20"/>
          <w:lang w:val="es-ES_tradnl" w:eastAsia="es-CO"/>
        </w:rPr>
      </w:pPr>
      <w:r w:rsidRPr="00047CE9">
        <w:rPr>
          <w:rFonts w:ascii="Verdana" w:hAnsi="Verdana" w:cs="Arial"/>
          <w:bCs/>
          <w:sz w:val="20"/>
          <w:szCs w:val="20"/>
          <w:lang w:val="es-ES_tradnl" w:eastAsia="es-CO"/>
        </w:rPr>
        <w:t xml:space="preserve">Aunque el Decreto 1600 de 2024 no se encontraba vigente en 2011, la información sobre situaciones de control puede verificarse a través registros públicos, por lo que prevalece la prueba documental. Además de que el RUP da cuenta de esta circunstancia conforme al numeral 2.2 del artículo 2.2.1.1.1.5.2 del Decreto 1082 de 2015, el artículo 30 de la Ley 222 de 1995 también obliga a inscribir las filiales y subsidiarias en el registro </w:t>
      </w:r>
      <w:r w:rsidRPr="00047CE9">
        <w:rPr>
          <w:rFonts w:ascii="Verdana" w:hAnsi="Verdana" w:cs="Arial"/>
          <w:bCs/>
          <w:sz w:val="20"/>
          <w:szCs w:val="20"/>
          <w:lang w:val="es-ES_tradnl" w:eastAsia="es-CO"/>
        </w:rPr>
        <w:lastRenderedPageBreak/>
        <w:t>mercantil, aspecto que se refleja en el certificado de existencia y representación legal tanto de la matriz como de las subordinadas. Lo anterior no obsta para que el interesado en contratar con el Estado informe voluntariamente la integración de la sociedad, sus representantes legales y composición accionaria en cumplimiento de pactos de transparencia.</w:t>
      </w:r>
    </w:p>
    <w:p w14:paraId="20A6E2E5" w14:textId="77777777" w:rsidR="003472C0" w:rsidRPr="003472C0" w:rsidRDefault="003472C0" w:rsidP="002426E8">
      <w:pPr>
        <w:spacing w:after="0" w:line="240" w:lineRule="auto"/>
        <w:jc w:val="both"/>
        <w:textAlignment w:val="baseline"/>
        <w:rPr>
          <w:rFonts w:ascii="Verdana" w:eastAsia="Geomanist Light" w:hAnsi="Verdana" w:cs="Arial"/>
          <w:color w:val="000000" w:themeColor="text1"/>
          <w:lang w:val="es-ES_tradnl"/>
        </w:rPr>
      </w:pPr>
    </w:p>
    <w:p w14:paraId="6CF936D0"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5E9A1BF4"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237DEE64"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7B9E80EA"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318ADBCC"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38B98308"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3E87E94C"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50622238"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087385BF"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4549440A"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4A2EADAA"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6EE08557"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58CD32D9"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3B76A1D7"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0B8E3454"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0E436675"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0450AF85"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5255CE7B"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49B43716"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49158363"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1241EDD4"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6993F7C7"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3F2E80A6"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7E6E9140"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639990DE"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56813FB8"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51FB3150"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04C9D64C"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784C60A8"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19DB4426"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191A6E8F"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555EFFBD"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02397EDF"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073378F1"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68C88F1C" w14:textId="77777777" w:rsidR="003472C0" w:rsidRDefault="003472C0" w:rsidP="002426E8">
      <w:pPr>
        <w:spacing w:after="0" w:line="240" w:lineRule="auto"/>
        <w:jc w:val="both"/>
        <w:textAlignment w:val="baseline"/>
        <w:rPr>
          <w:rFonts w:ascii="Verdana" w:eastAsia="Geomanist Light" w:hAnsi="Verdana" w:cs="Arial"/>
          <w:color w:val="000000" w:themeColor="text1"/>
          <w:lang w:val="es-MX"/>
        </w:rPr>
      </w:pPr>
    </w:p>
    <w:p w14:paraId="360D6766" w14:textId="77777777" w:rsidR="00BF22DA" w:rsidRDefault="00BF22DA" w:rsidP="002426E8">
      <w:pPr>
        <w:spacing w:after="0" w:line="240" w:lineRule="auto"/>
        <w:jc w:val="both"/>
        <w:textAlignment w:val="baseline"/>
        <w:rPr>
          <w:rFonts w:ascii="Verdana" w:eastAsia="Geomanist Light" w:hAnsi="Verdana" w:cs="Arial"/>
          <w:color w:val="000000" w:themeColor="text1"/>
          <w:lang w:val="es-MX"/>
        </w:rPr>
      </w:pPr>
    </w:p>
    <w:p w14:paraId="2B1033F7" w14:textId="4FDC1DAC" w:rsidR="002426E8" w:rsidRPr="00047CE9" w:rsidRDefault="002426E8" w:rsidP="002426E8">
      <w:pPr>
        <w:spacing w:after="0" w:line="240" w:lineRule="auto"/>
        <w:jc w:val="both"/>
        <w:textAlignment w:val="baseline"/>
        <w:rPr>
          <w:rFonts w:ascii="Verdana" w:hAnsi="Verdana" w:cs="Arial"/>
          <w:bCs/>
          <w:sz w:val="20"/>
          <w:szCs w:val="20"/>
          <w:lang w:val="es-ES_tradnl" w:eastAsia="es-CO"/>
        </w:rPr>
      </w:pPr>
      <w:r w:rsidRPr="00593A5F">
        <w:rPr>
          <w:rFonts w:ascii="Verdana" w:eastAsia="Geomanist Light" w:hAnsi="Verdana" w:cs="Arial"/>
          <w:color w:val="000000" w:themeColor="text1"/>
          <w:lang w:val="es-MX"/>
        </w:rPr>
        <w:lastRenderedPageBreak/>
        <w:t>Bogotá D.C., </w:t>
      </w:r>
      <w:r w:rsidR="009D2298" w:rsidRPr="009D2298">
        <w:rPr>
          <w:rFonts w:ascii="Verdana" w:eastAsia="Geomanist Light" w:hAnsi="Verdana" w:cs="Arial"/>
          <w:color w:val="000000" w:themeColor="text1"/>
          <w:lang w:val="es-MX"/>
        </w:rPr>
        <w:t xml:space="preserve">13 de </w:t>
      </w:r>
      <w:r w:rsidR="00BF22DA" w:rsidRPr="009D2298">
        <w:rPr>
          <w:rFonts w:ascii="Verdana" w:eastAsia="Geomanist Light" w:hAnsi="Verdana" w:cs="Arial"/>
          <w:color w:val="000000" w:themeColor="text1"/>
          <w:lang w:val="es-MX"/>
        </w:rPr>
        <w:t>agosto</w:t>
      </w:r>
      <w:r w:rsidR="009D2298" w:rsidRPr="009D2298">
        <w:rPr>
          <w:rFonts w:ascii="Verdana" w:eastAsia="Geomanist Light" w:hAnsi="Verdana" w:cs="Arial"/>
          <w:color w:val="000000" w:themeColor="text1"/>
          <w:lang w:val="es-MX"/>
        </w:rPr>
        <w:t xml:space="preserve"> de 2026</w:t>
      </w:r>
    </w:p>
    <w:p w14:paraId="27A652BD" w14:textId="1782B027" w:rsidR="002426E8" w:rsidRDefault="002426E8" w:rsidP="002426E8">
      <w:pPr>
        <w:spacing w:after="0" w:line="240" w:lineRule="auto"/>
        <w:jc w:val="both"/>
        <w:rPr>
          <w:rFonts w:ascii="Verdana" w:eastAsia="Calibri" w:hAnsi="Verdana" w:cs="Arial"/>
          <w:color w:val="000000"/>
          <w:lang w:val="es-ES"/>
        </w:rPr>
      </w:pPr>
    </w:p>
    <w:p w14:paraId="42FCDB30" w14:textId="2CAD57E8" w:rsidR="009D2298" w:rsidRDefault="009D2298" w:rsidP="009D2298">
      <w:pPr>
        <w:spacing w:after="0" w:line="240" w:lineRule="auto"/>
        <w:jc w:val="right"/>
        <w:rPr>
          <w:rFonts w:ascii="Verdana" w:eastAsia="Calibri" w:hAnsi="Verdana" w:cs="Arial"/>
          <w:color w:val="000000"/>
          <w:lang w:val="es-ES"/>
        </w:rPr>
      </w:pPr>
    </w:p>
    <w:p w14:paraId="32C0E57E" w14:textId="476AD316" w:rsidR="002426E8" w:rsidRPr="00593A5F" w:rsidRDefault="002426E8" w:rsidP="002426E8">
      <w:pPr>
        <w:spacing w:after="0" w:line="240" w:lineRule="auto"/>
        <w:jc w:val="both"/>
        <w:rPr>
          <w:rFonts w:ascii="Verdana" w:eastAsia="Calibri" w:hAnsi="Verdana" w:cs="Arial"/>
          <w:color w:val="000000"/>
          <w:lang w:val="es-ES"/>
        </w:rPr>
      </w:pPr>
    </w:p>
    <w:p w14:paraId="2D30DB88" w14:textId="0BAC7F65" w:rsidR="002426E8" w:rsidRPr="00B96799" w:rsidRDefault="00BF22DA" w:rsidP="002426E8">
      <w:pPr>
        <w:spacing w:after="0" w:line="240" w:lineRule="auto"/>
        <w:jc w:val="both"/>
        <w:rPr>
          <w:rFonts w:ascii="Verdana" w:eastAsia="Calibri" w:hAnsi="Verdana" w:cs="Arial"/>
          <w:lang w:val="es-ES" w:eastAsia="es-ES"/>
        </w:rPr>
      </w:pPr>
      <w:r w:rsidRPr="009D2298">
        <w:rPr>
          <w:rFonts w:ascii="Verdana" w:eastAsia="Calibri" w:hAnsi="Verdana" w:cs="Arial"/>
          <w:noProof/>
          <w:color w:val="000000"/>
          <w:lang w:val="es-ES"/>
        </w:rPr>
        <w:drawing>
          <wp:anchor distT="0" distB="0" distL="114300" distR="114300" simplePos="0" relativeHeight="251658240" behindDoc="0" locked="0" layoutInCell="1" allowOverlap="1" wp14:anchorId="580021CC" wp14:editId="739FF425">
            <wp:simplePos x="0" y="0"/>
            <wp:positionH relativeFrom="margin">
              <wp:align>right</wp:align>
            </wp:positionH>
            <wp:positionV relativeFrom="paragraph">
              <wp:posOffset>5715</wp:posOffset>
            </wp:positionV>
            <wp:extent cx="2400300" cy="834390"/>
            <wp:effectExtent l="0" t="0" r="0" b="3810"/>
            <wp:wrapSquare wrapText="bothSides"/>
            <wp:docPr id="11308310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831096" name=""/>
                    <pic:cNvPicPr/>
                  </pic:nvPicPr>
                  <pic:blipFill>
                    <a:blip r:embed="rId11">
                      <a:extLst>
                        <a:ext uri="{28A0092B-C50C-407E-A947-70E740481C1C}">
                          <a14:useLocalDpi xmlns:a14="http://schemas.microsoft.com/office/drawing/2010/main" val="0"/>
                        </a:ext>
                      </a:extLst>
                    </a:blip>
                    <a:stretch>
                      <a:fillRect/>
                    </a:stretch>
                  </pic:blipFill>
                  <pic:spPr>
                    <a:xfrm>
                      <a:off x="0" y="0"/>
                      <a:ext cx="2400300" cy="834390"/>
                    </a:xfrm>
                    <a:prstGeom prst="rect">
                      <a:avLst/>
                    </a:prstGeom>
                  </pic:spPr>
                </pic:pic>
              </a:graphicData>
            </a:graphic>
            <wp14:sizeRelV relativeFrom="margin">
              <wp14:pctHeight>0</wp14:pctHeight>
            </wp14:sizeRelV>
          </wp:anchor>
        </w:drawing>
      </w:r>
      <w:r w:rsidR="002426E8">
        <w:rPr>
          <w:rFonts w:ascii="Verdana" w:eastAsia="Calibri" w:hAnsi="Verdana" w:cs="Arial"/>
          <w:lang w:val="es-ES" w:eastAsia="es-ES"/>
        </w:rPr>
        <w:t>Señor</w:t>
      </w:r>
    </w:p>
    <w:p w14:paraId="4662B231" w14:textId="77777777" w:rsidR="002426E8" w:rsidRDefault="002426E8" w:rsidP="002426E8">
      <w:pPr>
        <w:spacing w:after="0" w:line="240" w:lineRule="auto"/>
        <w:rPr>
          <w:rFonts w:ascii="Verdana" w:eastAsia="Calibri" w:hAnsi="Verdana" w:cs="Arial"/>
          <w:b/>
          <w:lang w:val="es-ES_tradnl" w:eastAsia="es-ES_tradnl"/>
        </w:rPr>
      </w:pPr>
      <w:r w:rsidRPr="007B4043">
        <w:rPr>
          <w:rFonts w:ascii="Verdana" w:eastAsia="Calibri" w:hAnsi="Verdana" w:cs="Arial"/>
          <w:b/>
          <w:lang w:val="es-ES_tradnl" w:eastAsia="es-ES_tradnl"/>
        </w:rPr>
        <w:t>Álvaro Rolando Pérez Castro</w:t>
      </w:r>
      <w:r w:rsidRPr="008777D5">
        <w:rPr>
          <w:rFonts w:ascii="Verdana" w:eastAsia="Calibri" w:hAnsi="Verdana" w:cs="Arial"/>
          <w:b/>
          <w:lang w:val="es-ES_tradnl" w:eastAsia="es-ES_tradnl"/>
        </w:rPr>
        <w:t xml:space="preserve"> </w:t>
      </w:r>
    </w:p>
    <w:p w14:paraId="535AEE12" w14:textId="77777777" w:rsidR="002426E8" w:rsidRPr="00C15E9A" w:rsidRDefault="002426E8" w:rsidP="002426E8">
      <w:pPr>
        <w:spacing w:after="0" w:line="240" w:lineRule="auto"/>
        <w:rPr>
          <w:rFonts w:ascii="Verdana" w:eastAsia="Calibri" w:hAnsi="Verdana" w:cs="Arial"/>
          <w:lang w:val="es-ES" w:eastAsia="es-ES"/>
        </w:rPr>
      </w:pPr>
      <w:hyperlink r:id="rId12" w:history="1">
        <w:r w:rsidRPr="00C15E9A">
          <w:rPr>
            <w:rStyle w:val="Hipervnculo"/>
            <w:rFonts w:ascii="Verdana" w:hAnsi="Verdana"/>
          </w:rPr>
          <w:t>info@alvaroperezcastro.com</w:t>
        </w:r>
      </w:hyperlink>
      <w:r w:rsidRPr="00C15E9A">
        <w:rPr>
          <w:rFonts w:ascii="Verdana" w:hAnsi="Verdana"/>
        </w:rPr>
        <w:t xml:space="preserve">                       </w:t>
      </w:r>
      <w:r w:rsidRPr="00C15E9A">
        <w:rPr>
          <w:rFonts w:ascii="Verdana" w:eastAsia="Calibri" w:hAnsi="Verdana" w:cs="Arial"/>
          <w:lang w:val="es-ES" w:eastAsia="es-ES"/>
        </w:rPr>
        <w:t xml:space="preserve">    </w:t>
      </w:r>
    </w:p>
    <w:p w14:paraId="626C146F" w14:textId="77777777" w:rsidR="002426E8" w:rsidRDefault="002426E8" w:rsidP="002426E8">
      <w:pPr>
        <w:spacing w:after="0" w:line="240" w:lineRule="auto"/>
        <w:rPr>
          <w:rFonts w:ascii="Verdana" w:eastAsia="Calibri" w:hAnsi="Verdana" w:cs="Arial"/>
          <w:lang w:val="es-ES" w:eastAsia="es-ES"/>
        </w:rPr>
      </w:pPr>
      <w:r>
        <w:rPr>
          <w:rFonts w:ascii="Verdana" w:eastAsia="Calibri" w:hAnsi="Verdana" w:cs="Arial"/>
          <w:lang w:val="es-ES" w:eastAsia="es-ES"/>
        </w:rPr>
        <w:t xml:space="preserve">Bogotá D.C. </w:t>
      </w:r>
    </w:p>
    <w:p w14:paraId="6758D5BE" w14:textId="77777777" w:rsidR="002426E8" w:rsidRPr="00593A5F" w:rsidRDefault="002426E8" w:rsidP="002426E8">
      <w:pPr>
        <w:spacing w:after="0" w:line="240" w:lineRule="auto"/>
        <w:rPr>
          <w:rFonts w:ascii="Verdana" w:eastAsia="Calibri" w:hAnsi="Verdana" w:cs="Arial"/>
          <w:b/>
          <w:bCs/>
          <w:color w:val="000000"/>
          <w:lang w:val="es-ES_tradnl" w:eastAsia="es-ES_tradnl"/>
        </w:rPr>
      </w:pPr>
    </w:p>
    <w:p w14:paraId="560CB7AF" w14:textId="77777777" w:rsidR="002426E8" w:rsidRPr="00593A5F" w:rsidRDefault="002426E8" w:rsidP="002426E8">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2426E8" w:rsidRPr="00593A5F" w14:paraId="344C6142" w14:textId="77777777" w:rsidTr="00F325BC">
        <w:trPr>
          <w:trHeight w:val="884"/>
        </w:trPr>
        <w:tc>
          <w:tcPr>
            <w:tcW w:w="2689" w:type="dxa"/>
          </w:tcPr>
          <w:p w14:paraId="40EF905D" w14:textId="77777777" w:rsidR="002426E8" w:rsidRPr="00C00976" w:rsidRDefault="002426E8" w:rsidP="00F325BC">
            <w:pPr>
              <w:jc w:val="both"/>
              <w:rPr>
                <w:rFonts w:ascii="Verdana" w:eastAsia="Calibri" w:hAnsi="Verdana" w:cs="Arial"/>
                <w:b/>
                <w:bCs/>
                <w:color w:val="7030A0"/>
                <w:lang w:val="es-ES_tradnl" w:eastAsia="es-ES_tradnl"/>
              </w:rPr>
            </w:pPr>
          </w:p>
        </w:tc>
        <w:tc>
          <w:tcPr>
            <w:tcW w:w="6100" w:type="dxa"/>
          </w:tcPr>
          <w:p w14:paraId="418206D1" w14:textId="583D13F8" w:rsidR="002426E8" w:rsidRPr="00C00976" w:rsidRDefault="002426E8" w:rsidP="00F325BC">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BF22DA">
              <w:rPr>
                <w:rFonts w:ascii="Verdana" w:eastAsia="Calibri" w:hAnsi="Verdana" w:cs="Arial"/>
                <w:b/>
                <w:bCs/>
                <w:lang w:val="es-ES" w:eastAsia="es-ES"/>
              </w:rPr>
              <w:t>-</w:t>
            </w:r>
            <w:r>
              <w:rPr>
                <w:rFonts w:ascii="Verdana" w:eastAsia="Calibri" w:hAnsi="Verdana" w:cs="Arial"/>
                <w:b/>
                <w:bCs/>
                <w:lang w:val="es-ES" w:eastAsia="es-ES"/>
              </w:rPr>
              <w:t xml:space="preserve">1173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2426E8" w:rsidRPr="00593A5F" w14:paraId="1C1E747C" w14:textId="77777777" w:rsidTr="00F325BC">
        <w:trPr>
          <w:trHeight w:val="884"/>
        </w:trPr>
        <w:tc>
          <w:tcPr>
            <w:tcW w:w="2689" w:type="dxa"/>
          </w:tcPr>
          <w:p w14:paraId="713BF8F1" w14:textId="77777777" w:rsidR="002426E8" w:rsidRPr="00593A5F" w:rsidRDefault="002426E8" w:rsidP="00F325BC">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24CA18D5" w14:textId="77777777" w:rsidR="002426E8" w:rsidRPr="00A11406" w:rsidRDefault="002426E8" w:rsidP="00F325BC">
            <w:pPr>
              <w:spacing w:line="276" w:lineRule="auto"/>
              <w:jc w:val="both"/>
              <w:rPr>
                <w:rFonts w:ascii="Verdana" w:eastAsia="Calibri" w:hAnsi="Verdana" w:cs="Arial"/>
                <w:lang w:val="es-ES" w:eastAsia="es-ES"/>
              </w:rPr>
            </w:pPr>
            <w:r w:rsidRPr="0053478A">
              <w:rPr>
                <w:rFonts w:ascii="Verdana" w:eastAsia="Calibri" w:hAnsi="Verdana" w:cs="Arial"/>
                <w:lang w:val="es-ES" w:eastAsia="es-ES"/>
              </w:rPr>
              <w:t>INHABILIDADES – Definición – Finalidad – Limitación capacidad contractual / CONTRATACIÓN ESTATAL – Capacidad – Validez contratos – Régimen de contratación – Inscripción – Limitación de la capacidad / INHABILIDADES – Taxatividad – Principio de legalidad – Interpretación restrictiva</w:t>
            </w:r>
            <w:r w:rsidRPr="009673B4">
              <w:rPr>
                <w:rFonts w:ascii="Verdana" w:eastAsia="Calibri" w:hAnsi="Verdana" w:cs="Arial"/>
                <w:lang w:val="es-ES" w:eastAsia="es-ES"/>
              </w:rPr>
              <w:t xml:space="preserve"> </w:t>
            </w:r>
            <w:r>
              <w:rPr>
                <w:rFonts w:ascii="Verdana" w:eastAsia="Calibri" w:hAnsi="Verdana" w:cs="Arial"/>
                <w:lang w:val="es-ES" w:eastAsia="es-ES"/>
              </w:rPr>
              <w:t xml:space="preserve">/ </w:t>
            </w:r>
            <w:r w:rsidRPr="00047CE9">
              <w:rPr>
                <w:rFonts w:ascii="Verdana" w:eastAsia="Calibri" w:hAnsi="Verdana" w:cs="Arial"/>
                <w:lang w:val="es-ES" w:eastAsia="es-ES"/>
              </w:rPr>
              <w:t>ENTIDADES TERRITORIALES – Inhabilidad – Contratos con municipios y entidades descentralizadas</w:t>
            </w:r>
            <w:r>
              <w:rPr>
                <w:rFonts w:ascii="Verdana" w:eastAsia="Calibri" w:hAnsi="Verdana" w:cs="Arial"/>
                <w:lang w:val="es-ES" w:eastAsia="es-ES"/>
              </w:rPr>
              <w:t xml:space="preserve"> / </w:t>
            </w:r>
            <w:r w:rsidRPr="00047CE9">
              <w:rPr>
                <w:rFonts w:ascii="Verdana" w:eastAsia="Calibri" w:hAnsi="Verdana" w:cs="Arial"/>
                <w:lang w:val="es-ES" w:eastAsia="es-ES"/>
              </w:rPr>
              <w:t>AUSENCIA DE SANEAMIENTO – Falta de autorización – Aceptación del impedimento – Prosperidad de recusación</w:t>
            </w:r>
            <w:r>
              <w:rPr>
                <w:rFonts w:ascii="Verdana" w:eastAsia="Calibri" w:hAnsi="Verdana" w:cs="Arial"/>
                <w:lang w:val="es-ES" w:eastAsia="es-ES"/>
              </w:rPr>
              <w:t xml:space="preserve"> / </w:t>
            </w:r>
            <w:r w:rsidRPr="00047CE9">
              <w:rPr>
                <w:rFonts w:ascii="Verdana" w:eastAsia="Calibri" w:hAnsi="Verdana" w:cs="Arial"/>
                <w:lang w:val="es-ES" w:eastAsia="es-ES"/>
              </w:rPr>
              <w:t>SITUACIONES DE CONTROL – Mecanismos de verificación</w:t>
            </w:r>
            <w:r>
              <w:rPr>
                <w:rFonts w:ascii="Verdana" w:eastAsia="Calibri" w:hAnsi="Verdana" w:cs="Arial"/>
                <w:lang w:val="es-ES" w:eastAsia="es-ES"/>
              </w:rPr>
              <w:t xml:space="preserve">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782770C7" w14:textId="77777777" w:rsidR="002426E8" w:rsidRPr="00593A5F" w:rsidRDefault="002426E8" w:rsidP="00F325BC">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2426E8" w:rsidRPr="008E6AD9" w14:paraId="52A76A2A" w14:textId="77777777" w:rsidTr="00F325BC">
        <w:tc>
          <w:tcPr>
            <w:tcW w:w="2689" w:type="dxa"/>
          </w:tcPr>
          <w:p w14:paraId="57678BFE" w14:textId="77777777" w:rsidR="002426E8" w:rsidRPr="008E6AD9" w:rsidRDefault="002426E8" w:rsidP="00F325BC">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3A726C09" w14:textId="77777777" w:rsidR="002426E8" w:rsidRPr="00B92340" w:rsidRDefault="002426E8" w:rsidP="00F325BC">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6C7FC7">
              <w:rPr>
                <w:rFonts w:ascii="Verdana" w:eastAsia="Calibri" w:hAnsi="Verdana" w:cs="Arial"/>
                <w:lang w:val="es-ES_tradnl" w:eastAsia="es-ES_tradnl"/>
              </w:rPr>
              <w:t>1_2026_07_24_009775</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7BA09F60" w14:textId="77777777" w:rsidR="002426E8" w:rsidRPr="00593A5F" w:rsidRDefault="002426E8" w:rsidP="002426E8">
      <w:pPr>
        <w:spacing w:after="0" w:line="240" w:lineRule="auto"/>
        <w:jc w:val="both"/>
        <w:rPr>
          <w:rFonts w:ascii="Verdana" w:eastAsia="Calibri" w:hAnsi="Verdana" w:cs="Arial"/>
          <w:color w:val="000000"/>
          <w:lang w:val="es-ES_tradnl" w:eastAsia="es-ES_tradnl"/>
        </w:rPr>
      </w:pPr>
    </w:p>
    <w:p w14:paraId="5C0F2913" w14:textId="77777777" w:rsidR="002426E8" w:rsidRPr="00593A5F" w:rsidRDefault="002426E8" w:rsidP="002426E8">
      <w:pPr>
        <w:spacing w:after="0" w:line="240" w:lineRule="auto"/>
        <w:jc w:val="both"/>
        <w:rPr>
          <w:rFonts w:ascii="Verdana" w:eastAsia="Calibri" w:hAnsi="Verdana" w:cs="Arial"/>
          <w:color w:val="000000"/>
          <w:lang w:val="es-ES_tradnl" w:eastAsia="es-ES_tradnl"/>
        </w:rPr>
      </w:pPr>
    </w:p>
    <w:p w14:paraId="4CA799D7" w14:textId="77777777" w:rsidR="002426E8" w:rsidRPr="008E6AD9" w:rsidRDefault="002426E8" w:rsidP="002426E8">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 </w:t>
      </w:r>
      <w:r w:rsidRPr="009557E3">
        <w:rPr>
          <w:rFonts w:ascii="Verdana" w:eastAsia="Calibri" w:hAnsi="Verdana" w:cs="Arial"/>
          <w:lang w:val="es-ES" w:eastAsia="es-ES"/>
        </w:rPr>
        <w:t>Pérez Castro</w:t>
      </w:r>
      <w:r w:rsidRPr="008E6AD9">
        <w:rPr>
          <w:rFonts w:ascii="Verdana" w:eastAsia="Calibri" w:hAnsi="Verdana" w:cs="Arial"/>
          <w:lang w:val="es-ES" w:eastAsia="es-ES"/>
        </w:rPr>
        <w:t xml:space="preserve">: </w:t>
      </w:r>
    </w:p>
    <w:p w14:paraId="54C5A213" w14:textId="77777777" w:rsidR="002426E8" w:rsidRDefault="002426E8" w:rsidP="002426E8">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3CE78BFE" w14:textId="77777777" w:rsidR="002426E8" w:rsidRPr="00593A5F" w:rsidRDefault="002426E8" w:rsidP="002426E8">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14 de julio de 2026, donde realiza las siguientes preguntas</w:t>
      </w:r>
      <w:r w:rsidRPr="008E6AD9">
        <w:rPr>
          <w:rFonts w:ascii="Verdana" w:eastAsia="Calibri" w:hAnsi="Verdana" w:cs="Arial"/>
          <w:lang w:val="es-ES" w:eastAsia="es-ES"/>
        </w:rPr>
        <w:t xml:space="preserve">: </w:t>
      </w:r>
    </w:p>
    <w:p w14:paraId="19F267FE" w14:textId="77777777" w:rsidR="002426E8" w:rsidRPr="00272A7B" w:rsidRDefault="002426E8" w:rsidP="002426E8">
      <w:pPr>
        <w:pStyle w:val="Prrafodelista"/>
        <w:tabs>
          <w:tab w:val="left" w:pos="142"/>
          <w:tab w:val="left" w:pos="284"/>
        </w:tabs>
        <w:spacing w:after="0" w:line="276" w:lineRule="auto"/>
        <w:ind w:left="0"/>
        <w:jc w:val="both"/>
        <w:rPr>
          <w:rFonts w:ascii="Verdana" w:eastAsia="Century Gothic" w:hAnsi="Verdana" w:cs="Century Gothic"/>
          <w:b/>
          <w:bCs/>
        </w:rPr>
      </w:pPr>
    </w:p>
    <w:p w14:paraId="038C3127" w14:textId="77777777" w:rsidR="002426E8" w:rsidRPr="00AA0143" w:rsidRDefault="002426E8" w:rsidP="002426E8">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lastRenderedPageBreak/>
        <w:t>“</w:t>
      </w:r>
      <w:bookmarkEnd w:id="0"/>
      <w:r w:rsidRPr="00AA0143">
        <w:rPr>
          <w:rFonts w:ascii="Verdana" w:eastAsia="Century Gothic" w:hAnsi="Verdana" w:cs="Century Gothic"/>
          <w:sz w:val="20"/>
          <w:szCs w:val="20"/>
          <w:lang w:val="es-ES"/>
        </w:rPr>
        <w:t>1. ¿El parentesco existente entre un concejal de Bogotá y un socio, accionista, representante legal, administrador, integrante de junta directiva, beneficiario real o controlante de una sociedad proponente configura, por sí mismo, una inhabilidad para que dicha sociedad participe en el proceso de licitación pública o celebre el correspondiente contrato estatal?</w:t>
      </w:r>
    </w:p>
    <w:p w14:paraId="34464949" w14:textId="77777777" w:rsidR="002426E8" w:rsidRPr="00AA0143" w:rsidRDefault="002426E8" w:rsidP="002426E8">
      <w:pPr>
        <w:spacing w:after="120" w:line="240" w:lineRule="auto"/>
        <w:ind w:left="709" w:right="709"/>
        <w:jc w:val="both"/>
        <w:rPr>
          <w:rFonts w:ascii="Verdana" w:eastAsia="Century Gothic" w:hAnsi="Verdana" w:cs="Century Gothic"/>
          <w:sz w:val="20"/>
          <w:szCs w:val="20"/>
          <w:lang w:val="es-ES"/>
        </w:rPr>
      </w:pPr>
      <w:r w:rsidRPr="00AA0143">
        <w:rPr>
          <w:rFonts w:ascii="Verdana" w:eastAsia="Century Gothic" w:hAnsi="Verdana" w:cs="Century Gothic"/>
          <w:sz w:val="20"/>
          <w:szCs w:val="20"/>
          <w:lang w:val="es-ES"/>
        </w:rPr>
        <w:t>2. En caso afirmativo, ¿cuáles son las normas que establecen esa inhabilidad y cuáles son los grados de parentesco, calidades societarias y condiciones objetivas que deben concurrir para su configuración?</w:t>
      </w:r>
    </w:p>
    <w:p w14:paraId="07763E21"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AA0143">
        <w:rPr>
          <w:rFonts w:ascii="Verdana" w:eastAsia="Century Gothic" w:hAnsi="Verdana" w:cs="Century Gothic"/>
          <w:sz w:val="20"/>
          <w:szCs w:val="20"/>
          <w:lang w:val="es-ES"/>
        </w:rPr>
        <w:t>3. ¿La eventual inhabilidad depende de que el concejal participe efectivamente en la discusión o votación relacionada con la contratación, o se configura por la sola existencia del vínculo familiar y de la calidad que ostente su pariente dentro de la sociedad proponente?</w:t>
      </w:r>
    </w:p>
    <w:p w14:paraId="5E3A2BD6"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AA0143">
        <w:rPr>
          <w:rFonts w:ascii="Verdana" w:eastAsia="Century Gothic" w:hAnsi="Verdana" w:cs="Century Gothic"/>
          <w:sz w:val="20"/>
          <w:szCs w:val="20"/>
          <w:lang w:val="es-ES"/>
        </w:rPr>
        <w:t xml:space="preserve">4. ¿La manifestación y aceptación del impedimento del concejal, acompañada de su abstención de intervenir, deliberar y votar, evita o hace desaparecer la eventual inhabilidad de la sociedad para contratar? </w:t>
      </w:r>
    </w:p>
    <w:p w14:paraId="78B0A541"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AA0143">
        <w:rPr>
          <w:rFonts w:ascii="Verdana" w:eastAsia="Century Gothic" w:hAnsi="Verdana" w:cs="Century Gothic"/>
          <w:sz w:val="20"/>
          <w:szCs w:val="20"/>
          <w:lang w:val="es-ES"/>
        </w:rPr>
        <w:t xml:space="preserve">5. ¿El impedimento del concejal y la inhabilidad del proponente constituyen instituciones jurídicas autónomas e independientes, de manera que la declaración del primero no necesariamente excluye la configuración de la segunda? </w:t>
      </w:r>
    </w:p>
    <w:p w14:paraId="2BC099C3"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AA0143">
        <w:rPr>
          <w:rFonts w:ascii="Verdana" w:eastAsia="Century Gothic" w:hAnsi="Verdana" w:cs="Century Gothic"/>
          <w:sz w:val="20"/>
          <w:szCs w:val="20"/>
          <w:lang w:val="es-ES"/>
        </w:rPr>
        <w:t xml:space="preserve">6. ¿La respuesta varía según que el familiar del concejal sea: </w:t>
      </w:r>
    </w:p>
    <w:p w14:paraId="16D79DF1" w14:textId="77777777" w:rsidR="002426E8" w:rsidRDefault="002426E8" w:rsidP="002426E8">
      <w:pPr>
        <w:spacing w:after="0" w:line="240" w:lineRule="auto"/>
        <w:ind w:left="993" w:right="709"/>
        <w:jc w:val="both"/>
        <w:rPr>
          <w:rFonts w:ascii="Verdana" w:eastAsia="Century Gothic" w:hAnsi="Verdana" w:cs="Century Gothic"/>
          <w:sz w:val="20"/>
          <w:szCs w:val="20"/>
          <w:lang w:val="es-ES"/>
        </w:rPr>
      </w:pPr>
      <w:r w:rsidRPr="00AA0143">
        <w:rPr>
          <w:rFonts w:ascii="Verdana" w:eastAsia="Century Gothic" w:hAnsi="Verdana" w:cs="Century Gothic"/>
          <w:sz w:val="20"/>
          <w:szCs w:val="20"/>
          <w:lang w:val="es-ES"/>
        </w:rPr>
        <w:t xml:space="preserve">a) Representante legal de la sociedad proponente; </w:t>
      </w:r>
    </w:p>
    <w:p w14:paraId="68D2E0B1" w14:textId="77777777" w:rsidR="002426E8" w:rsidRDefault="002426E8" w:rsidP="002426E8">
      <w:pPr>
        <w:spacing w:after="0" w:line="240" w:lineRule="auto"/>
        <w:ind w:left="993" w:right="709"/>
        <w:jc w:val="both"/>
        <w:rPr>
          <w:rFonts w:ascii="Verdana" w:eastAsia="Century Gothic" w:hAnsi="Verdana" w:cs="Century Gothic"/>
          <w:sz w:val="20"/>
          <w:szCs w:val="20"/>
          <w:lang w:val="es-ES"/>
        </w:rPr>
      </w:pPr>
      <w:r w:rsidRPr="00AA0143">
        <w:rPr>
          <w:rFonts w:ascii="Verdana" w:eastAsia="Century Gothic" w:hAnsi="Verdana" w:cs="Century Gothic"/>
          <w:sz w:val="20"/>
          <w:szCs w:val="20"/>
          <w:lang w:val="es-ES"/>
        </w:rPr>
        <w:t xml:space="preserve">b) Socio o accionista directo; </w:t>
      </w:r>
    </w:p>
    <w:p w14:paraId="7D02E4B4" w14:textId="77777777" w:rsidR="002426E8" w:rsidRDefault="002426E8" w:rsidP="002426E8">
      <w:pPr>
        <w:spacing w:after="0" w:line="240" w:lineRule="auto"/>
        <w:ind w:left="993" w:right="709"/>
        <w:jc w:val="both"/>
        <w:rPr>
          <w:rFonts w:ascii="Verdana" w:eastAsia="Century Gothic" w:hAnsi="Verdana" w:cs="Century Gothic"/>
          <w:sz w:val="20"/>
          <w:szCs w:val="20"/>
          <w:lang w:val="es-ES"/>
        </w:rPr>
      </w:pPr>
      <w:r w:rsidRPr="00AA0143">
        <w:rPr>
          <w:rFonts w:ascii="Verdana" w:eastAsia="Century Gothic" w:hAnsi="Verdana" w:cs="Century Gothic"/>
          <w:sz w:val="20"/>
          <w:szCs w:val="20"/>
          <w:lang w:val="es-ES"/>
        </w:rPr>
        <w:t xml:space="preserve">c) Accionista minoritario sin capacidad decisoria; </w:t>
      </w:r>
    </w:p>
    <w:p w14:paraId="730CB7A3" w14:textId="77777777" w:rsidR="002426E8" w:rsidRPr="008A1F41" w:rsidRDefault="002426E8" w:rsidP="002426E8">
      <w:pPr>
        <w:spacing w:after="0" w:line="240" w:lineRule="auto"/>
        <w:ind w:left="993" w:right="709"/>
        <w:jc w:val="both"/>
        <w:rPr>
          <w:rFonts w:ascii="Verdana" w:eastAsia="Century Gothic" w:hAnsi="Verdana" w:cs="Century Gothic"/>
          <w:sz w:val="20"/>
          <w:szCs w:val="20"/>
          <w:lang w:val="pt-BR"/>
        </w:rPr>
      </w:pPr>
      <w:r w:rsidRPr="008A1F41">
        <w:rPr>
          <w:rFonts w:ascii="Verdana" w:eastAsia="Century Gothic" w:hAnsi="Verdana" w:cs="Century Gothic"/>
          <w:sz w:val="20"/>
          <w:szCs w:val="20"/>
          <w:lang w:val="pt-BR"/>
        </w:rPr>
        <w:t xml:space="preserve">d) Administrador o integrante de junta directiva; </w:t>
      </w:r>
    </w:p>
    <w:p w14:paraId="49EDD7C8" w14:textId="77777777" w:rsidR="002426E8" w:rsidRPr="008A1F41" w:rsidRDefault="002426E8" w:rsidP="002426E8">
      <w:pPr>
        <w:spacing w:after="0" w:line="240" w:lineRule="auto"/>
        <w:ind w:left="993" w:right="709"/>
        <w:jc w:val="both"/>
        <w:rPr>
          <w:rFonts w:ascii="Verdana" w:eastAsia="Century Gothic" w:hAnsi="Verdana" w:cs="Century Gothic"/>
          <w:sz w:val="20"/>
          <w:szCs w:val="20"/>
          <w:lang w:val="pt-BR"/>
        </w:rPr>
      </w:pPr>
      <w:r w:rsidRPr="008A1F41">
        <w:rPr>
          <w:rFonts w:ascii="Verdana" w:eastAsia="Century Gothic" w:hAnsi="Verdana" w:cs="Century Gothic"/>
          <w:sz w:val="20"/>
          <w:szCs w:val="20"/>
          <w:lang w:val="pt-BR"/>
        </w:rPr>
        <w:t xml:space="preserve">e) Beneficiario real; </w:t>
      </w:r>
    </w:p>
    <w:p w14:paraId="447BFF54" w14:textId="77777777" w:rsidR="002426E8" w:rsidRPr="008A1F41" w:rsidRDefault="002426E8" w:rsidP="002426E8">
      <w:pPr>
        <w:spacing w:after="0" w:line="240" w:lineRule="auto"/>
        <w:ind w:left="993" w:right="709"/>
        <w:jc w:val="both"/>
        <w:rPr>
          <w:rFonts w:ascii="Verdana" w:eastAsia="Century Gothic" w:hAnsi="Verdana" w:cs="Century Gothic"/>
          <w:sz w:val="20"/>
          <w:szCs w:val="20"/>
          <w:lang w:val="pt-BR"/>
        </w:rPr>
      </w:pPr>
      <w:r w:rsidRPr="008A1F41">
        <w:rPr>
          <w:rFonts w:ascii="Verdana" w:eastAsia="Century Gothic" w:hAnsi="Verdana" w:cs="Century Gothic"/>
          <w:sz w:val="20"/>
          <w:szCs w:val="20"/>
          <w:lang w:val="pt-BR"/>
        </w:rPr>
        <w:t xml:space="preserve">f) Controlante directo o indirecto; o </w:t>
      </w:r>
    </w:p>
    <w:p w14:paraId="63FF1407" w14:textId="77777777" w:rsidR="002426E8" w:rsidRDefault="002426E8" w:rsidP="002426E8">
      <w:pPr>
        <w:spacing w:after="120" w:line="240" w:lineRule="auto"/>
        <w:ind w:left="993" w:right="709"/>
        <w:jc w:val="both"/>
        <w:rPr>
          <w:rFonts w:ascii="Verdana" w:eastAsia="Century Gothic" w:hAnsi="Verdana" w:cs="Century Gothic"/>
          <w:sz w:val="20"/>
          <w:szCs w:val="20"/>
          <w:lang w:val="es-ES"/>
        </w:rPr>
      </w:pPr>
      <w:r w:rsidRPr="00AA0143">
        <w:rPr>
          <w:rFonts w:ascii="Verdana" w:eastAsia="Century Gothic" w:hAnsi="Verdana" w:cs="Century Gothic"/>
          <w:sz w:val="20"/>
          <w:szCs w:val="20"/>
          <w:lang w:val="es-ES"/>
        </w:rPr>
        <w:t>g) Persona sin participación societaria ni capacidad de dirección o control?</w:t>
      </w:r>
    </w:p>
    <w:p w14:paraId="4BB03A91"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AA0143">
        <w:rPr>
          <w:rFonts w:ascii="Verdana" w:eastAsia="Century Gothic" w:hAnsi="Verdana" w:cs="Century Gothic"/>
          <w:sz w:val="20"/>
          <w:szCs w:val="20"/>
          <w:lang w:val="es-ES"/>
        </w:rPr>
        <w:t xml:space="preserve">7. ¿Para establecer la inhabilidad resulta necesario determinar que el familiar ejerce control efectivo sobre la sociedad, o basta con acreditar una participación accionaria, sin consideración a su porcentaje o capacidad decisoria? </w:t>
      </w:r>
    </w:p>
    <w:p w14:paraId="42C3A757"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AA0143">
        <w:rPr>
          <w:rFonts w:ascii="Verdana" w:eastAsia="Century Gothic" w:hAnsi="Verdana" w:cs="Century Gothic"/>
          <w:sz w:val="20"/>
          <w:szCs w:val="20"/>
          <w:lang w:val="es-ES"/>
        </w:rPr>
        <w:t>8. ¿La inhabilidad se configura igualmente cuando el familiar del concejal no aparece formalmente registrado como socio o accionista,</w:t>
      </w:r>
      <w:r>
        <w:rPr>
          <w:rFonts w:ascii="Verdana" w:eastAsia="Century Gothic" w:hAnsi="Verdana" w:cs="Century Gothic"/>
          <w:sz w:val="20"/>
          <w:szCs w:val="20"/>
          <w:lang w:val="es-ES"/>
        </w:rPr>
        <w:t xml:space="preserve"> </w:t>
      </w:r>
      <w:r w:rsidRPr="00132C1B">
        <w:rPr>
          <w:rFonts w:ascii="Verdana" w:eastAsia="Century Gothic" w:hAnsi="Verdana" w:cs="Century Gothic"/>
          <w:sz w:val="20"/>
          <w:szCs w:val="20"/>
          <w:lang w:val="es-ES"/>
        </w:rPr>
        <w:t xml:space="preserve">pero presuntamente ejerce control indirecto sobre una o varias sociedades que integran al proponente plural? </w:t>
      </w:r>
    </w:p>
    <w:p w14:paraId="66F78633"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132C1B">
        <w:rPr>
          <w:rFonts w:ascii="Verdana" w:eastAsia="Century Gothic" w:hAnsi="Verdana" w:cs="Century Gothic"/>
          <w:sz w:val="20"/>
          <w:szCs w:val="20"/>
          <w:lang w:val="es-ES"/>
        </w:rPr>
        <w:t>9. ¿</w:t>
      </w:r>
      <w:r>
        <w:rPr>
          <w:rFonts w:ascii="Verdana" w:eastAsia="Century Gothic" w:hAnsi="Verdana" w:cs="Century Gothic"/>
          <w:sz w:val="20"/>
          <w:szCs w:val="20"/>
          <w:lang w:val="es-ES"/>
        </w:rPr>
        <w:t>Q</w:t>
      </w:r>
      <w:r w:rsidRPr="00132C1B">
        <w:rPr>
          <w:rFonts w:ascii="Verdana" w:eastAsia="Century Gothic" w:hAnsi="Verdana" w:cs="Century Gothic"/>
          <w:sz w:val="20"/>
          <w:szCs w:val="20"/>
          <w:lang w:val="es-ES"/>
        </w:rPr>
        <w:t xml:space="preserve">ué decisión administrativa, judicial, societaria o registral debe existir para considerar jurídicamente acreditada la condición de controlante indirecto o beneficiario real al momento de presentar la propuesta y celebrar el contrato? </w:t>
      </w:r>
    </w:p>
    <w:p w14:paraId="40E44B50"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132C1B">
        <w:rPr>
          <w:rFonts w:ascii="Verdana" w:eastAsia="Century Gothic" w:hAnsi="Verdana" w:cs="Century Gothic"/>
          <w:sz w:val="20"/>
          <w:szCs w:val="20"/>
          <w:lang w:val="es-ES"/>
        </w:rPr>
        <w:lastRenderedPageBreak/>
        <w:t xml:space="preserve">10. ¿Puede una entidad contratante concluir que existe control indirecto únicamente a partir de indicios, relaciones comerciales o documentos producidos con posterioridad al proceso de selección, o dicha situación debía encontrarse demostrada y ser jurídicamente verificable al momento de presentar la propuesta? </w:t>
      </w:r>
    </w:p>
    <w:p w14:paraId="112A0E69"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132C1B">
        <w:rPr>
          <w:rFonts w:ascii="Verdana" w:eastAsia="Century Gothic" w:hAnsi="Verdana" w:cs="Century Gothic"/>
          <w:sz w:val="20"/>
          <w:szCs w:val="20"/>
          <w:lang w:val="es-ES"/>
        </w:rPr>
        <w:t xml:space="preserve">11. ¿Qué deberes de verificación tiene la entidad contratante respecto de la composición accionaria, los controlantes indirectos y los beneficiarios reales de una sociedad proponente, de conformidad con la normativa vigente para el año 2011 del respectivo proceso de selección? </w:t>
      </w:r>
    </w:p>
    <w:p w14:paraId="15779D86"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132C1B">
        <w:rPr>
          <w:rFonts w:ascii="Verdana" w:eastAsia="Century Gothic" w:hAnsi="Verdana" w:cs="Century Gothic"/>
          <w:sz w:val="20"/>
          <w:szCs w:val="20"/>
          <w:lang w:val="es-ES"/>
        </w:rPr>
        <w:t xml:space="preserve">12. ¿Cuáles eran los registros públicos, certificados societarios y demás documentos que, conforme a la normativa vigente para el año 2011, debía consultar o exigir una entidad estatal para verificar que una sociedad proponente y las personas vinculadas a ella no se encontraban incursas en alguna causal de inhabilidad o incompatibilidad para contratar con el Estado? </w:t>
      </w:r>
    </w:p>
    <w:p w14:paraId="28E2ED2E"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132C1B">
        <w:rPr>
          <w:rFonts w:ascii="Verdana" w:eastAsia="Century Gothic" w:hAnsi="Verdana" w:cs="Century Gothic"/>
          <w:sz w:val="20"/>
          <w:szCs w:val="20"/>
          <w:lang w:val="es-ES"/>
        </w:rPr>
        <w:t xml:space="preserve">13. ¿El deber previsto en el artículo 27 de la Ley 1121 de 2006, consistente en identificar plenamente a las personas naturales y jurídicas que suscriban el contrato y verificar el origen de sus recursos, comprendía también la obligación de reconstruir toda la cadena societaria hasta identificar a sus beneficiarios reales y controlantes indirectos? </w:t>
      </w:r>
    </w:p>
    <w:p w14:paraId="24B1CCD6"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132C1B">
        <w:rPr>
          <w:rFonts w:ascii="Verdana" w:eastAsia="Century Gothic" w:hAnsi="Verdana" w:cs="Century Gothic"/>
          <w:sz w:val="20"/>
          <w:szCs w:val="20"/>
          <w:lang w:val="es-ES"/>
        </w:rPr>
        <w:t xml:space="preserve">14. ¿La circunstancia de que la sociedad proponente hubiera informado sus integrantes, representantes legales y composición societaria conforme a los certificados y registros públicos vigentes para la fecha permitiría considerar satisfecho ese deber de identificación? </w:t>
      </w:r>
    </w:p>
    <w:p w14:paraId="540C0063"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132C1B">
        <w:rPr>
          <w:rFonts w:ascii="Verdana" w:eastAsia="Century Gothic" w:hAnsi="Verdana" w:cs="Century Gothic"/>
          <w:sz w:val="20"/>
          <w:szCs w:val="20"/>
          <w:lang w:val="es-ES"/>
        </w:rPr>
        <w:t xml:space="preserve">15. ¿La eventual inhabilidad cobijaría a toda la sociedad proponente cuando el vínculo familiar recae únicamente sobre una persona que participa indirectamente en una de las sociedades que la integran? </w:t>
      </w:r>
    </w:p>
    <w:p w14:paraId="6B77BD37" w14:textId="77777777" w:rsidR="002426E8" w:rsidRDefault="002426E8" w:rsidP="002426E8">
      <w:pPr>
        <w:spacing w:after="120" w:line="240" w:lineRule="auto"/>
        <w:ind w:left="709" w:right="709"/>
        <w:jc w:val="both"/>
        <w:rPr>
          <w:rFonts w:ascii="Verdana" w:eastAsia="Century Gothic" w:hAnsi="Verdana" w:cs="Century Gothic"/>
          <w:sz w:val="20"/>
          <w:szCs w:val="20"/>
          <w:lang w:val="es-ES"/>
        </w:rPr>
      </w:pPr>
      <w:r w:rsidRPr="00132C1B">
        <w:rPr>
          <w:rFonts w:ascii="Verdana" w:eastAsia="Century Gothic" w:hAnsi="Verdana" w:cs="Century Gothic"/>
          <w:sz w:val="20"/>
          <w:szCs w:val="20"/>
          <w:lang w:val="es-ES"/>
        </w:rPr>
        <w:t xml:space="preserve">16. ¿La intervención del Concejo de Bogotá mediante una autorización general, aprobación presupuestal o decisión de política pública equivale jurídicamente a la participación del concejal en el proceso contractual adelantado por otra entidad distrital? </w:t>
      </w:r>
    </w:p>
    <w:p w14:paraId="6BA2CC5B" w14:textId="77777777" w:rsidR="002426E8" w:rsidRPr="00FC6842" w:rsidRDefault="002426E8" w:rsidP="002426E8">
      <w:pPr>
        <w:spacing w:after="0" w:line="240" w:lineRule="auto"/>
        <w:ind w:left="709" w:right="709"/>
        <w:jc w:val="both"/>
        <w:rPr>
          <w:rFonts w:ascii="Verdana" w:eastAsia="Century Gothic" w:hAnsi="Verdana" w:cs="Century Gothic"/>
          <w:sz w:val="20"/>
          <w:szCs w:val="20"/>
          <w:lang w:val="es-ES"/>
        </w:rPr>
      </w:pPr>
      <w:r w:rsidRPr="00132C1B">
        <w:rPr>
          <w:rFonts w:ascii="Verdana" w:eastAsia="Century Gothic" w:hAnsi="Verdana" w:cs="Century Gothic"/>
          <w:sz w:val="20"/>
          <w:szCs w:val="20"/>
          <w:lang w:val="es-ES"/>
        </w:rPr>
        <w:t>17. En caso de que la entidad consultada considere que la declaración de impedimento no elimina la eventual inhabilidad, sírvase explicar cuál es la finalidad jurídica de cada institución y por qué producen efectos independientes</w:t>
      </w:r>
      <w:r>
        <w:rPr>
          <w:rFonts w:ascii="Verdana" w:eastAsia="Century Gothic" w:hAnsi="Verdana" w:cs="Century Gothic"/>
          <w:sz w:val="20"/>
          <w:szCs w:val="20"/>
          <w:lang w:val="es-ES"/>
        </w:rPr>
        <w:t>”.</w:t>
      </w:r>
    </w:p>
    <w:p w14:paraId="5F86B61E" w14:textId="77777777" w:rsidR="002426E8" w:rsidRPr="00132C1B" w:rsidRDefault="002426E8" w:rsidP="002426E8">
      <w:pPr>
        <w:spacing w:after="0" w:line="276" w:lineRule="auto"/>
        <w:ind w:firstLine="709"/>
        <w:jc w:val="both"/>
        <w:rPr>
          <w:rFonts w:ascii="Verdana" w:eastAsia="Calibri" w:hAnsi="Verdana" w:cs="Arial"/>
          <w:color w:val="000000"/>
          <w:lang w:val="es-ES" w:eastAsia="es-ES"/>
        </w:rPr>
      </w:pPr>
    </w:p>
    <w:p w14:paraId="4E058EDD" w14:textId="77777777" w:rsidR="002426E8" w:rsidRPr="00A652FF" w:rsidRDefault="002426E8" w:rsidP="002426E8">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w:t>
      </w:r>
      <w:r w:rsidRPr="00593A5F">
        <w:rPr>
          <w:rFonts w:ascii="Verdana" w:eastAsia="Calibri" w:hAnsi="Verdana" w:cs="Arial"/>
          <w:color w:val="000000"/>
          <w:lang w:val="es-ES" w:eastAsia="es-ES"/>
        </w:rPr>
        <w:lastRenderedPageBreak/>
        <w:t xml:space="preserve">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464698B0" w14:textId="77777777" w:rsidR="002426E8" w:rsidRDefault="002426E8" w:rsidP="002426E8">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1D5C8110" w14:textId="77777777" w:rsidR="002426E8" w:rsidRPr="00593A5F" w:rsidRDefault="002426E8" w:rsidP="002426E8">
      <w:pPr>
        <w:spacing w:after="0" w:line="276" w:lineRule="auto"/>
        <w:ind w:firstLine="709"/>
        <w:jc w:val="both"/>
        <w:rPr>
          <w:rFonts w:ascii="Verdana" w:eastAsia="Calibri" w:hAnsi="Verdana" w:cs="Arial"/>
          <w:color w:val="000000"/>
          <w:lang w:val="es-ES" w:eastAsia="es-ES"/>
        </w:rPr>
      </w:pPr>
    </w:p>
    <w:p w14:paraId="00D01696" w14:textId="77777777" w:rsidR="002426E8" w:rsidRPr="00593A5F" w:rsidRDefault="002426E8" w:rsidP="002426E8">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w:t>
      </w:r>
      <w:r>
        <w:rPr>
          <w:rFonts w:ascii="Verdana" w:eastAsia="Century Gothic" w:hAnsi="Verdana" w:cs="Century Gothic"/>
          <w:b/>
          <w:bCs/>
        </w:rPr>
        <w:t>s</w:t>
      </w:r>
      <w:r w:rsidRPr="00593A5F">
        <w:rPr>
          <w:rFonts w:ascii="Verdana" w:eastAsia="Century Gothic" w:hAnsi="Verdana" w:cs="Century Gothic"/>
          <w:b/>
          <w:bCs/>
        </w:rPr>
        <w:t xml:space="preserve"> planteado</w:t>
      </w:r>
      <w:r>
        <w:rPr>
          <w:rFonts w:ascii="Verdana" w:eastAsia="Century Gothic" w:hAnsi="Verdana" w:cs="Century Gothic"/>
          <w:b/>
          <w:bCs/>
        </w:rPr>
        <w:t>s</w:t>
      </w:r>
      <w:r w:rsidRPr="00593A5F">
        <w:rPr>
          <w:rFonts w:ascii="Verdana" w:eastAsia="Century Gothic" w:hAnsi="Verdana" w:cs="Century Gothic"/>
          <w:b/>
          <w:bCs/>
        </w:rPr>
        <w:t>:</w:t>
      </w:r>
    </w:p>
    <w:p w14:paraId="49FF2ED1" w14:textId="77777777" w:rsidR="002426E8" w:rsidRPr="00593A5F" w:rsidRDefault="002426E8" w:rsidP="002426E8">
      <w:pPr>
        <w:tabs>
          <w:tab w:val="left" w:pos="426"/>
        </w:tabs>
        <w:spacing w:after="0" w:line="276" w:lineRule="auto"/>
        <w:jc w:val="both"/>
        <w:rPr>
          <w:rFonts w:ascii="Verdana" w:eastAsia="Century Gothic" w:hAnsi="Verdana" w:cs="Century Gothic"/>
          <w:lang w:val="es-ES"/>
        </w:rPr>
      </w:pPr>
    </w:p>
    <w:p w14:paraId="0DB7799F" w14:textId="758FCDE4" w:rsidR="00DE6DAA" w:rsidRPr="00DE6DAA" w:rsidRDefault="002426E8" w:rsidP="00DE6DAA">
      <w:pPr>
        <w:spacing w:after="0" w:line="276" w:lineRule="auto"/>
        <w:jc w:val="both"/>
        <w:rPr>
          <w:rFonts w:ascii="Verdana" w:eastAsia="Century Gothic" w:hAnsi="Verdana" w:cs="Century Gothic"/>
        </w:rPr>
      </w:pPr>
      <w:r w:rsidRPr="00AB7005">
        <w:rPr>
          <w:rFonts w:ascii="Verdana" w:eastAsia="Century Gothic" w:hAnsi="Verdana" w:cs="Century Gothic"/>
        </w:rPr>
        <w:t xml:space="preserve">De acuerdo con el contenido de su solicitud, esta Agencia resolverá </w:t>
      </w:r>
      <w:r>
        <w:rPr>
          <w:rFonts w:ascii="Verdana" w:eastAsia="Century Gothic" w:hAnsi="Verdana" w:cs="Century Gothic"/>
        </w:rPr>
        <w:t>los</w:t>
      </w:r>
      <w:r w:rsidRPr="00AB7005">
        <w:rPr>
          <w:rFonts w:ascii="Verdana" w:eastAsia="Century Gothic" w:hAnsi="Verdana" w:cs="Century Gothic"/>
        </w:rPr>
        <w:t xml:space="preserve"> siguiente</w:t>
      </w:r>
      <w:r>
        <w:rPr>
          <w:rFonts w:ascii="Verdana" w:eastAsia="Century Gothic" w:hAnsi="Verdana" w:cs="Century Gothic"/>
        </w:rPr>
        <w:t>s</w:t>
      </w:r>
      <w:r w:rsidRPr="00AB7005">
        <w:rPr>
          <w:rFonts w:ascii="Verdana" w:eastAsia="Century Gothic" w:hAnsi="Verdana" w:cs="Century Gothic"/>
        </w:rPr>
        <w:t xml:space="preserve"> problema</w:t>
      </w:r>
      <w:r>
        <w:rPr>
          <w:rFonts w:ascii="Verdana" w:eastAsia="Century Gothic" w:hAnsi="Verdana" w:cs="Century Gothic"/>
        </w:rPr>
        <w:t>s</w:t>
      </w:r>
      <w:r w:rsidRPr="00AB7005">
        <w:rPr>
          <w:rFonts w:ascii="Verdana" w:eastAsia="Century Gothic" w:hAnsi="Verdana" w:cs="Century Gothic"/>
        </w:rPr>
        <w:t xml:space="preserve"> jurídico</w:t>
      </w:r>
      <w:r>
        <w:rPr>
          <w:rFonts w:ascii="Verdana" w:eastAsia="Century Gothic" w:hAnsi="Verdana" w:cs="Century Gothic"/>
        </w:rPr>
        <w:t>s</w:t>
      </w:r>
      <w:r w:rsidRPr="00AB7005">
        <w:rPr>
          <w:rFonts w:ascii="Verdana" w:eastAsia="Century Gothic" w:hAnsi="Verdana" w:cs="Century Gothic"/>
        </w:rPr>
        <w:t>:</w:t>
      </w:r>
      <w:r>
        <w:rPr>
          <w:rFonts w:ascii="Verdana" w:eastAsia="Century Gothic" w:hAnsi="Verdana" w:cs="Century Gothic"/>
        </w:rPr>
        <w:t xml:space="preserve"> i) ¿</w:t>
      </w:r>
      <w:r w:rsidR="00DE6DAA" w:rsidRPr="00DE6DAA">
        <w:rPr>
          <w:rFonts w:ascii="Verdana" w:eastAsia="Century Gothic" w:hAnsi="Verdana" w:cs="Century Gothic"/>
        </w:rPr>
        <w:t>Existe una inhabilidad por razón del parentesco con un concejal municipal o distrital y cuál es su alcance, según los grados de parentesco, la categoría de la entidad territorial y la modalidad de selección aplicable?</w:t>
      </w:r>
      <w:r w:rsidR="00DE6DAA">
        <w:rPr>
          <w:rFonts w:ascii="Verdana" w:eastAsia="Century Gothic" w:hAnsi="Verdana" w:cs="Century Gothic"/>
        </w:rPr>
        <w:t xml:space="preserve">; </w:t>
      </w:r>
      <w:proofErr w:type="spellStart"/>
      <w:r w:rsidR="00DE6DAA" w:rsidRPr="00DE6DAA">
        <w:rPr>
          <w:rFonts w:ascii="Verdana" w:eastAsia="Century Gothic" w:hAnsi="Verdana" w:cs="Century Gothic"/>
        </w:rPr>
        <w:t>ii</w:t>
      </w:r>
      <w:proofErr w:type="spellEnd"/>
      <w:r w:rsidR="00DE6DAA" w:rsidRPr="00DE6DAA">
        <w:rPr>
          <w:rFonts w:ascii="Verdana" w:eastAsia="Century Gothic" w:hAnsi="Verdana" w:cs="Century Gothic"/>
        </w:rPr>
        <w:t>) ¿La inhabilidad se configura por la sola existencia del vínculo o depende de la intervención del concejal en la autorización o votación, y puede sanearse por la ausencia de autorización para contratar, la aceptación del impedimento o la prosperidad de la recusación?</w:t>
      </w:r>
      <w:r w:rsidR="00DE6DAA">
        <w:rPr>
          <w:rFonts w:ascii="Verdana" w:eastAsia="Century Gothic" w:hAnsi="Verdana" w:cs="Century Gothic"/>
        </w:rPr>
        <w:t xml:space="preserve">; </w:t>
      </w:r>
      <w:proofErr w:type="spellStart"/>
      <w:r w:rsidR="00DE6DAA" w:rsidRPr="00DE6DAA">
        <w:rPr>
          <w:rFonts w:ascii="Verdana" w:eastAsia="Century Gothic" w:hAnsi="Verdana" w:cs="Century Gothic"/>
        </w:rPr>
        <w:t>iii</w:t>
      </w:r>
      <w:proofErr w:type="spellEnd"/>
      <w:r w:rsidR="00DE6DAA" w:rsidRPr="00DE6DAA">
        <w:rPr>
          <w:rFonts w:ascii="Verdana" w:eastAsia="Century Gothic" w:hAnsi="Verdana" w:cs="Century Gothic"/>
        </w:rPr>
        <w:t>) ¿Qué supuestos de contratación directa e indirecta cobija la inhabilidad —incluidas la interposición de persona y la participación como socio, representante legal, administrador, controlante o beneficiario final— y qué efecto produce sobre el proponente plural?</w:t>
      </w:r>
      <w:r w:rsidR="00DE6DAA">
        <w:rPr>
          <w:rFonts w:ascii="Verdana" w:eastAsia="Century Gothic" w:hAnsi="Verdana" w:cs="Century Gothic"/>
        </w:rPr>
        <w:t xml:space="preserve">; y </w:t>
      </w:r>
      <w:proofErr w:type="spellStart"/>
      <w:r w:rsidR="00DE6DAA" w:rsidRPr="00DE6DAA">
        <w:rPr>
          <w:rFonts w:ascii="Verdana" w:eastAsia="Century Gothic" w:hAnsi="Verdana" w:cs="Century Gothic"/>
        </w:rPr>
        <w:t>iv</w:t>
      </w:r>
      <w:proofErr w:type="spellEnd"/>
      <w:r w:rsidR="00DE6DAA" w:rsidRPr="00DE6DAA">
        <w:rPr>
          <w:rFonts w:ascii="Verdana" w:eastAsia="Century Gothic" w:hAnsi="Verdana" w:cs="Century Gothic"/>
        </w:rPr>
        <w:t>) ¿Cuáles son los mecanismos y deberes de verificación de las situaciones de control y del beneficiario final, en qué momento debe encontrarse acreditada la inhabilidad y con qué medios probatorios, conforme al marco normativo vigente y al aplicable en 2011?</w:t>
      </w:r>
    </w:p>
    <w:p w14:paraId="571FEDE7" w14:textId="77777777" w:rsidR="002426E8" w:rsidRPr="004B140F" w:rsidRDefault="002426E8" w:rsidP="002426E8">
      <w:pPr>
        <w:spacing w:after="0" w:line="276" w:lineRule="auto"/>
        <w:jc w:val="both"/>
        <w:rPr>
          <w:rFonts w:ascii="Verdana" w:eastAsia="Calibri" w:hAnsi="Verdana" w:cs="Arial"/>
          <w:color w:val="7030A0"/>
        </w:rPr>
      </w:pPr>
    </w:p>
    <w:p w14:paraId="7EF68B5C" w14:textId="77777777" w:rsidR="002426E8" w:rsidRPr="00593A5F" w:rsidRDefault="002426E8" w:rsidP="002426E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r>
        <w:rPr>
          <w:rFonts w:ascii="Verdana" w:eastAsia="Century Gothic" w:hAnsi="Verdana" w:cs="Century Gothic"/>
          <w:b/>
          <w:bCs/>
        </w:rPr>
        <w:t>s</w:t>
      </w:r>
      <w:r w:rsidRPr="00593A5F">
        <w:rPr>
          <w:rFonts w:ascii="Verdana" w:eastAsia="Century Gothic" w:hAnsi="Verdana" w:cs="Century Gothic"/>
          <w:b/>
          <w:bCs/>
        </w:rPr>
        <w:t>:</w:t>
      </w:r>
    </w:p>
    <w:p w14:paraId="534D3D76" w14:textId="77777777" w:rsidR="002426E8" w:rsidRPr="00593A5F" w:rsidRDefault="002426E8" w:rsidP="002426E8">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426E8" w:rsidRPr="00593A5F" w14:paraId="2784E0D0" w14:textId="77777777" w:rsidTr="00F325BC">
        <w:trPr>
          <w:jc w:val="center"/>
        </w:trPr>
        <w:tc>
          <w:tcPr>
            <w:tcW w:w="8828" w:type="dxa"/>
          </w:tcPr>
          <w:p w14:paraId="24A084C9" w14:textId="77777777" w:rsidR="00264BBF" w:rsidRPr="00264BBF" w:rsidRDefault="00264BBF" w:rsidP="00264BBF">
            <w:pPr>
              <w:tabs>
                <w:tab w:val="left" w:pos="0"/>
              </w:tabs>
              <w:spacing w:after="120" w:line="276" w:lineRule="auto"/>
              <w:jc w:val="both"/>
              <w:rPr>
                <w:rFonts w:ascii="Verdana" w:eastAsia="Calibri" w:hAnsi="Verdana" w:cs="Arial"/>
                <w:bCs/>
                <w:color w:val="000000" w:themeColor="text1"/>
              </w:rPr>
            </w:pPr>
            <w:bookmarkStart w:id="1" w:name="_Hlk171694685"/>
            <w:r w:rsidRPr="00264BBF">
              <w:rPr>
                <w:rFonts w:ascii="Verdana" w:eastAsia="Calibri" w:hAnsi="Verdana" w:cs="Arial"/>
                <w:bCs/>
                <w:color w:val="000000" w:themeColor="text1"/>
              </w:rPr>
              <w:t xml:space="preserve">De acuerdo con el contenido de su solicitud, y conforme a la interpretación general de las normas del sistema de compras públicas, esta Agencia resuelve </w:t>
            </w:r>
            <w:r w:rsidRPr="00264BBF">
              <w:rPr>
                <w:rFonts w:ascii="Verdana" w:eastAsia="Calibri" w:hAnsi="Verdana" w:cs="Arial"/>
                <w:bCs/>
                <w:color w:val="000000" w:themeColor="text1"/>
              </w:rPr>
              <w:lastRenderedPageBreak/>
              <w:t>su consulta en los siguientes términos, cuyo fundamento se desarrolla en el acápite III del presente oficio.</w:t>
            </w:r>
          </w:p>
          <w:p w14:paraId="3D12D3AF" w14:textId="77777777" w:rsidR="00264BBF" w:rsidRPr="00264BBF" w:rsidRDefault="00264BBF" w:rsidP="008A1F41">
            <w:pPr>
              <w:tabs>
                <w:tab w:val="left" w:pos="0"/>
              </w:tabs>
              <w:spacing w:after="120" w:line="276" w:lineRule="auto"/>
              <w:ind w:firstLine="709"/>
              <w:jc w:val="both"/>
              <w:rPr>
                <w:rFonts w:ascii="Verdana" w:eastAsia="Calibri" w:hAnsi="Verdana" w:cs="Arial"/>
                <w:bCs/>
                <w:color w:val="000000" w:themeColor="text1"/>
              </w:rPr>
            </w:pPr>
            <w:r w:rsidRPr="00264BBF">
              <w:rPr>
                <w:rFonts w:ascii="Verdana" w:eastAsia="Calibri" w:hAnsi="Verdana" w:cs="Arial"/>
                <w:bCs/>
                <w:color w:val="000000" w:themeColor="text1"/>
              </w:rPr>
              <w:t>El inciso tercero del artículo 49 de la Ley 617 de 2000 –modificado por las Leyes 821 de 2003, 1148 de 2007 y 1296 de 2009– inhabilita a los cónyuges o compañeros permanentes de los concejales municipales y distritales, y a sus parientes dentro del cuarto grado de consanguinidad, segundo de afinidad o primero civil, para ser contratistas del respectivo distrito o municipio, o de sus entidades descentralizadas, directa o indirectamente. La reducción de grados prevista en el parágrafo 3 opera únicamente para los concejales de municipios de cuarta, quinta y sexta categoría, por lo que no resulta aplicable a los distritos ni a las entidades territoriales de categoría especial, primera, segunda o tercera, respecto de las cuales rige el alcance pleno del inciso tercero. Esta restricción cubre la totalidad de las modalidades de selección previstas en el artículo 2 de la Ley 1150 de 2007, y no solo alguna de ellas. (Respuesta a las preguntas 1 y 2)</w:t>
            </w:r>
          </w:p>
          <w:p w14:paraId="164FB10D" w14:textId="77777777" w:rsidR="00264BBF" w:rsidRPr="00264BBF" w:rsidRDefault="00264BBF" w:rsidP="008A1F41">
            <w:pPr>
              <w:tabs>
                <w:tab w:val="left" w:pos="0"/>
              </w:tabs>
              <w:spacing w:after="120" w:line="276" w:lineRule="auto"/>
              <w:ind w:firstLine="709"/>
              <w:jc w:val="both"/>
              <w:rPr>
                <w:rFonts w:ascii="Verdana" w:eastAsia="Calibri" w:hAnsi="Verdana" w:cs="Arial"/>
                <w:bCs/>
                <w:color w:val="000000" w:themeColor="text1"/>
              </w:rPr>
            </w:pPr>
            <w:r w:rsidRPr="00264BBF">
              <w:rPr>
                <w:rFonts w:ascii="Verdana" w:eastAsia="Calibri" w:hAnsi="Verdana" w:cs="Arial"/>
                <w:bCs/>
                <w:color w:val="000000" w:themeColor="text1"/>
              </w:rPr>
              <w:t>La inhabilidad se configura por la sola existencia del vínculo con el concejal, con independencia de que este haya participado o no en la votación mediante la cual se autoriza al alcalde para contratar. La intervención del concejo para autorizar la celebración de contratos, la aprobación del presupuesto u otras decisiones de política pública no implican participación en los procesos contractuales de la alcaldía, pues corresponden a procedimientos administrativos independientes, en tanto la competencia para adelantar procesos de selección y celebrar contratos a nivel territorial radica en los alcaldes y no en los concejos, según el artículo 11.3 del EGCAP. (Respuesta a las preguntas 3 y 16)</w:t>
            </w:r>
          </w:p>
          <w:p w14:paraId="0A47F659" w14:textId="60163776" w:rsidR="00264BBF" w:rsidRPr="00264BBF" w:rsidRDefault="00264BBF" w:rsidP="008A1F41">
            <w:pPr>
              <w:tabs>
                <w:tab w:val="left" w:pos="0"/>
              </w:tabs>
              <w:spacing w:after="120" w:line="276" w:lineRule="auto"/>
              <w:ind w:firstLine="709"/>
              <w:jc w:val="both"/>
              <w:rPr>
                <w:rFonts w:ascii="Verdana" w:eastAsia="Calibri" w:hAnsi="Verdana" w:cs="Arial"/>
                <w:bCs/>
                <w:color w:val="000000" w:themeColor="text1"/>
              </w:rPr>
            </w:pPr>
            <w:r w:rsidRPr="00264BBF">
              <w:rPr>
                <w:rFonts w:ascii="Verdana" w:eastAsia="Calibri" w:hAnsi="Verdana" w:cs="Arial"/>
                <w:bCs/>
                <w:color w:val="000000" w:themeColor="text1"/>
              </w:rPr>
              <w:t>La inhabilidad, de una parte, y las figuras del impedimento y la recusación, de otra, son instituciones jurídicas autónomas e independientes, con destinatarios y efectos distintos: aquella limita la capacidad de la persona interesada en contratar con el Estado, mientras que estas se agotan en la separación del concejal de la sesión respectiva. En consecuencia, la aceptación del impedimento o la prosperidad de la recusación del concejal no hacen desaparecer la inhabilidad del proponente, máxime cuando no existe regulación expresa que autorice el saneamiento de la capacidad por esta causa. (Respuesta a las preguntas 4, 5 y 17)</w:t>
            </w:r>
          </w:p>
          <w:p w14:paraId="05C277C5" w14:textId="77777777" w:rsidR="00264BBF" w:rsidRPr="00264BBF" w:rsidRDefault="00264BBF" w:rsidP="008A1F41">
            <w:pPr>
              <w:tabs>
                <w:tab w:val="left" w:pos="0"/>
              </w:tabs>
              <w:spacing w:after="120" w:line="276" w:lineRule="auto"/>
              <w:ind w:firstLine="709"/>
              <w:jc w:val="both"/>
              <w:rPr>
                <w:rFonts w:ascii="Verdana" w:eastAsia="Calibri" w:hAnsi="Verdana" w:cs="Arial"/>
                <w:bCs/>
                <w:color w:val="000000" w:themeColor="text1"/>
              </w:rPr>
            </w:pPr>
            <w:r w:rsidRPr="00264BBF">
              <w:rPr>
                <w:rFonts w:ascii="Verdana" w:eastAsia="Calibri" w:hAnsi="Verdana" w:cs="Arial"/>
                <w:bCs/>
                <w:color w:val="000000" w:themeColor="text1"/>
              </w:rPr>
              <w:lastRenderedPageBreak/>
              <w:t>La celebración del contrato será directa cuando la adelante el propio sujeto inhabilitado, por sí mismo o por medio de representante facultado para el efecto, e indirecta cuando lo haga de forma encubierta o subrepticia a través de terceras personas, mediante mandatos ocultos, interposición de persona o en calidad de socio o representante legal de una persona jurídica. La condición de representante legal de la sociedad contratista queda cobijada, por regla general, por la restricción, pues compromete los principios de objetividad, igualdad y moralidad administrativa. Las calidades de socio, accionista, administrador o miembro de junta directiva exigen un análisis caso por caso, atendiendo al tipo societario, al porcentaje de participación y al poder decisorio, de suerte que una participación accionaria ínfima en una sociedad de capital abierto difícilmente configura la restricción. Las nociones de controlante y de beneficiario final se examinan bajo ese mismo criterio material —esto es, el control efectivo o el beneficio real—, y no por su sola denominación. Tratándose de proponentes plurales, la inhabilidad que afecta a uno de sus integrantes, directamente o por interposición, vicia la propuesta conjunta, en atención a la responsabilidad solidaria prevista en el artículo 7 de la Ley 80 de 1993, de modo que la restricción no se atenúa por el hecho de que el vínculo familiar recaiga sobre quien participa indirectamente en una sola de las sociedades que integran la estructura plural. Dada la indeterminación jurídica de la noción de contratación indirecta, corresponde a la entidad contratante valorar cada caso concreto. (Respuesta a las preguntas 6, 7, 8 y 15)</w:t>
            </w:r>
          </w:p>
          <w:p w14:paraId="10798654" w14:textId="77777777" w:rsidR="00264BBF" w:rsidRPr="00264BBF" w:rsidRDefault="00264BBF" w:rsidP="008A1F41">
            <w:pPr>
              <w:tabs>
                <w:tab w:val="left" w:pos="0"/>
              </w:tabs>
              <w:spacing w:after="120" w:line="276" w:lineRule="auto"/>
              <w:ind w:firstLine="709"/>
              <w:jc w:val="both"/>
              <w:rPr>
                <w:rFonts w:ascii="Verdana" w:eastAsia="Calibri" w:hAnsi="Verdana" w:cs="Arial"/>
                <w:bCs/>
                <w:color w:val="000000" w:themeColor="text1"/>
              </w:rPr>
            </w:pPr>
            <w:r w:rsidRPr="00264BBF">
              <w:rPr>
                <w:rFonts w:ascii="Verdana" w:eastAsia="Calibri" w:hAnsi="Verdana" w:cs="Arial"/>
                <w:bCs/>
                <w:color w:val="000000" w:themeColor="text1"/>
              </w:rPr>
              <w:t xml:space="preserve">Para efectos de la verificación deben distinguirse tres institutos con fuentes y finalidades diferentes: la situación de control y el grupo empresarial, en los términos de los artículos 260 y 261 del Código de Comercio, verificables a través del registro mercantil y del Registro Único de Proponentes; el beneficiario final, definido en el artículo 631-5 del Estatuto Tributario y reglamentado por la Resolución DIAN 000164 de 2021, cuyo Registro Único de Beneficiarios Finales fue creado por la Ley 2155 de 2021 y, por tanto, no existía ni era exigible en el año 2011; y el deber de identificación del contratista y de verificación del origen de sus recursos del artículo 27 de la Ley 1121 de 2006, que, interpretado restrictivamente, no comportaba la obligación de reconstruir la totalidad de la cadena societaria hasta el beneficiario final. La inhabilidad debe encontrarse acreditada y ser verificable al momento de presentar la oferta y de celebrar el contrato, con prevalencia </w:t>
            </w:r>
            <w:r w:rsidRPr="00264BBF">
              <w:rPr>
                <w:rFonts w:ascii="Verdana" w:eastAsia="Calibri" w:hAnsi="Verdana" w:cs="Arial"/>
                <w:bCs/>
                <w:color w:val="000000" w:themeColor="text1"/>
              </w:rPr>
              <w:lastRenderedPageBreak/>
              <w:t>de la prueba documental y registral, sin que los indicios o documentos producidos con posterioridad al proceso de selección basten por sí solos para tenerla por configurada, salvo que revelen una situación de control o de interposición que ya existía y era demostrable en el momento relevante. Para el año 2011, dicha verificación se apoyaba en los artículos 5 y 6 de la Ley 1150 de 2007 y en su reglamentación de la época, en la inscripción de matrices y subordinadas en el registro mercantil ordenada por el artículo 30 de la Ley 222 de 1995 y en el Registro Único de Proponentes; en consecuencia, satisfacía el deber de identificación la entidad que verificaba la integración societaria, la representación legal y la composición accionaria con los certificados y registros públicos vigentes a la fecha del proceso. (Respuesta a las preguntas 9, 10, 11, 12, 13 y 14)</w:t>
            </w:r>
          </w:p>
          <w:p w14:paraId="037E836F" w14:textId="4834BD81" w:rsidR="002426E8" w:rsidRPr="00702E9D" w:rsidRDefault="00264BBF" w:rsidP="00702E9D">
            <w:pPr>
              <w:tabs>
                <w:tab w:val="left" w:pos="0"/>
              </w:tabs>
              <w:spacing w:line="276" w:lineRule="auto"/>
              <w:ind w:firstLine="709"/>
              <w:jc w:val="both"/>
              <w:rPr>
                <w:rFonts w:ascii="Verdana" w:eastAsia="Calibri" w:hAnsi="Verdana" w:cs="Arial"/>
                <w:bCs/>
                <w:color w:val="000000" w:themeColor="text1"/>
              </w:rPr>
            </w:pPr>
            <w:r w:rsidRPr="00264BBF">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Por lo anterior, previo concepto de sus asesores, la solución de situaciones particulares corresponde a los interesados, y, en caso de conflicto, a las autoridades judiciales, fiscales y disciplinarias. Así, cada entidad definirá la forma de adelantar su gestión contractual, sin que sea atribución de Colombia Compra Eficiente validar sus actuaciones.</w:t>
            </w:r>
          </w:p>
        </w:tc>
      </w:tr>
    </w:tbl>
    <w:p w14:paraId="2FB15AD7" w14:textId="77777777" w:rsidR="002426E8" w:rsidRPr="00593A5F" w:rsidRDefault="002426E8" w:rsidP="002426E8">
      <w:pPr>
        <w:tabs>
          <w:tab w:val="left" w:pos="142"/>
          <w:tab w:val="left" w:pos="284"/>
        </w:tabs>
        <w:spacing w:after="0" w:line="276" w:lineRule="auto"/>
        <w:jc w:val="both"/>
        <w:rPr>
          <w:rFonts w:ascii="Verdana" w:eastAsia="Century Gothic" w:hAnsi="Verdana" w:cs="Century Gothic"/>
          <w:b/>
          <w:bCs/>
          <w:lang w:val="es-ES"/>
        </w:rPr>
      </w:pPr>
    </w:p>
    <w:bookmarkEnd w:id="1"/>
    <w:p w14:paraId="41F6A453" w14:textId="77777777" w:rsidR="002426E8" w:rsidRPr="00593A5F" w:rsidRDefault="002426E8" w:rsidP="002426E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w:t>
      </w:r>
      <w:r>
        <w:rPr>
          <w:rFonts w:ascii="Verdana" w:eastAsia="Century Gothic" w:hAnsi="Verdana" w:cs="Century Gothic"/>
          <w:b/>
          <w:bCs/>
        </w:rPr>
        <w:t>s</w:t>
      </w:r>
      <w:r w:rsidRPr="00593A5F">
        <w:rPr>
          <w:rFonts w:ascii="Verdana" w:eastAsia="Century Gothic" w:hAnsi="Verdana" w:cs="Century Gothic"/>
          <w:b/>
          <w:bCs/>
        </w:rPr>
        <w:t xml:space="preserve"> respuesta</w:t>
      </w:r>
      <w:r>
        <w:rPr>
          <w:rFonts w:ascii="Verdana" w:eastAsia="Century Gothic" w:hAnsi="Verdana" w:cs="Century Gothic"/>
          <w:b/>
          <w:bCs/>
        </w:rPr>
        <w:t>s</w:t>
      </w:r>
      <w:r w:rsidRPr="00593A5F">
        <w:rPr>
          <w:rFonts w:ascii="Verdana" w:eastAsia="Century Gothic" w:hAnsi="Verdana" w:cs="Century Gothic"/>
          <w:b/>
          <w:bCs/>
        </w:rPr>
        <w:t>:</w:t>
      </w:r>
    </w:p>
    <w:p w14:paraId="2E0AE32A" w14:textId="77777777" w:rsidR="002426E8" w:rsidRPr="00593A5F" w:rsidRDefault="002426E8" w:rsidP="002426E8">
      <w:pPr>
        <w:spacing w:after="0" w:line="276" w:lineRule="auto"/>
        <w:jc w:val="both"/>
        <w:rPr>
          <w:rFonts w:ascii="Verdana" w:eastAsia="Calibri" w:hAnsi="Verdana" w:cs="Arial"/>
          <w:color w:val="7030A0"/>
          <w:lang w:val="es-ES"/>
        </w:rPr>
      </w:pPr>
    </w:p>
    <w:p w14:paraId="72B98205" w14:textId="77777777" w:rsidR="002426E8" w:rsidRDefault="002426E8" w:rsidP="002426E8">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51BDE9C2" w14:textId="77777777" w:rsidR="002426E8" w:rsidRPr="00415608" w:rsidRDefault="002426E8" w:rsidP="002426E8">
      <w:pPr>
        <w:spacing w:after="0" w:line="276" w:lineRule="auto"/>
        <w:jc w:val="both"/>
        <w:rPr>
          <w:rFonts w:ascii="Verdana" w:eastAsia="Calibri" w:hAnsi="Verdana" w:cs="Arial"/>
          <w:lang w:val="es-ES"/>
        </w:rPr>
      </w:pPr>
    </w:p>
    <w:p w14:paraId="7DBD9F8C" w14:textId="77777777" w:rsidR="002426E8" w:rsidRPr="00AD5F4A" w:rsidRDefault="002426E8" w:rsidP="002426E8">
      <w:pPr>
        <w:pStyle w:val="Sinespaciado"/>
        <w:spacing w:after="120" w:line="276" w:lineRule="auto"/>
        <w:jc w:val="both"/>
        <w:rPr>
          <w:rFonts w:ascii="Verdana" w:hAnsi="Verdana" w:cs="Arial"/>
          <w:sz w:val="22"/>
        </w:rPr>
      </w:pPr>
      <w:r>
        <w:rPr>
          <w:rFonts w:ascii="Verdana" w:hAnsi="Verdana" w:cs="Arial"/>
          <w:sz w:val="22"/>
        </w:rPr>
        <w:t xml:space="preserve">i. </w:t>
      </w:r>
      <w:r w:rsidRPr="00AD5F4A">
        <w:rPr>
          <w:rFonts w:ascii="Verdana" w:hAnsi="Verdana" w:cs="Arial"/>
          <w:sz w:val="22"/>
        </w:rPr>
        <w:t>Las inhabilidades</w:t>
      </w:r>
      <w:r>
        <w:rPr>
          <w:rFonts w:ascii="Verdana" w:hAnsi="Verdana" w:cs="Arial"/>
          <w:sz w:val="22"/>
        </w:rPr>
        <w:t xml:space="preserve"> e incompatibilidades</w:t>
      </w:r>
      <w:r w:rsidRPr="00AD5F4A">
        <w:rPr>
          <w:rFonts w:ascii="Verdana" w:hAnsi="Verdana" w:cs="Arial"/>
          <w:sz w:val="22"/>
        </w:rPr>
        <w:t xml:space="preserve"> son circunstancias establecidas por la Constitución o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  </w:t>
      </w:r>
    </w:p>
    <w:p w14:paraId="6E9EC986" w14:textId="77777777" w:rsidR="002426E8" w:rsidRPr="00AD5F4A" w:rsidRDefault="002426E8" w:rsidP="002426E8">
      <w:pPr>
        <w:spacing w:line="276" w:lineRule="auto"/>
        <w:ind w:firstLine="709"/>
        <w:jc w:val="both"/>
        <w:rPr>
          <w:rFonts w:ascii="Verdana" w:hAnsi="Verdana" w:cs="Arial"/>
        </w:rPr>
      </w:pPr>
      <w:r w:rsidRPr="00AD5F4A">
        <w:rPr>
          <w:rFonts w:ascii="Verdana" w:hAnsi="Verdana" w:cs="Arial"/>
        </w:rPr>
        <w:t xml:space="preserve">El régimen de inhabilidades </w:t>
      </w:r>
      <w:r>
        <w:rPr>
          <w:rFonts w:ascii="Verdana" w:hAnsi="Verdana" w:cs="Arial"/>
        </w:rPr>
        <w:t xml:space="preserve">e incompatibilidades </w:t>
      </w:r>
      <w:r w:rsidRPr="00AD5F4A">
        <w:rPr>
          <w:rFonts w:ascii="Verdana" w:hAnsi="Verdana" w:cs="Arial"/>
        </w:rPr>
        <w:t xml:space="preserve">para contratar con el Estado es un conjunto de restricciones establecidas por el constituyente o por el legislador que afectan directamente la capacidad de las personas para establecer relaciones contractuales con el Estado, que pueden resultar de condenas, </w:t>
      </w:r>
      <w:r w:rsidRPr="00AD5F4A">
        <w:rPr>
          <w:rFonts w:ascii="Verdana" w:hAnsi="Verdana" w:cs="Arial"/>
        </w:rPr>
        <w:lastRenderedPageBreak/>
        <w:t>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Pr="00AD5F4A">
        <w:rPr>
          <w:rStyle w:val="Refdenotaalpie"/>
          <w:rFonts w:ascii="Verdana" w:hAnsi="Verdana" w:cs="Arial"/>
        </w:rPr>
        <w:footnoteReference w:id="1"/>
      </w:r>
      <w:r w:rsidRPr="00AD5F4A">
        <w:rPr>
          <w:rFonts w:ascii="Verdana" w:hAnsi="Verdana" w:cs="Arial"/>
        </w:rPr>
        <w:t>.</w:t>
      </w:r>
    </w:p>
    <w:p w14:paraId="5CA609B2" w14:textId="77777777" w:rsidR="002426E8" w:rsidRPr="00AD5F4A" w:rsidRDefault="002426E8" w:rsidP="002426E8">
      <w:pPr>
        <w:pStyle w:val="Sinespaciado"/>
        <w:spacing w:before="120" w:line="276" w:lineRule="auto"/>
        <w:ind w:firstLine="709"/>
        <w:jc w:val="both"/>
        <w:rPr>
          <w:rFonts w:ascii="Verdana" w:hAnsi="Verdana" w:cs="Arial"/>
          <w:sz w:val="22"/>
        </w:rPr>
      </w:pPr>
      <w:r w:rsidRPr="00AD5F4A">
        <w:rPr>
          <w:rFonts w:ascii="Verdana" w:hAnsi="Verdana" w:cs="Arial"/>
          <w:sz w:val="22"/>
        </w:rPr>
        <w:t xml:space="preserve">La consagración limitaciones que afectan la capacidad jurídica para contratar desarrolla los principios de la función administrativa consagrados en el artículo 209 de la Constitución Política, con especial énfasis el de moralidad. Así lo entiende el Consejo de Estado: </w:t>
      </w:r>
    </w:p>
    <w:p w14:paraId="68CEE0C8" w14:textId="77777777" w:rsidR="002426E8" w:rsidRPr="00AD5F4A" w:rsidRDefault="002426E8" w:rsidP="002426E8">
      <w:pPr>
        <w:pStyle w:val="Sinespaciado"/>
        <w:spacing w:line="276" w:lineRule="auto"/>
        <w:jc w:val="both"/>
        <w:rPr>
          <w:rFonts w:ascii="Verdana" w:hAnsi="Verdana" w:cs="Arial"/>
          <w:sz w:val="22"/>
        </w:rPr>
      </w:pPr>
    </w:p>
    <w:p w14:paraId="639240CE" w14:textId="77777777" w:rsidR="002426E8" w:rsidRPr="00AD5F4A" w:rsidRDefault="002426E8" w:rsidP="002426E8">
      <w:pPr>
        <w:pStyle w:val="NormalWeb"/>
        <w:shd w:val="clear" w:color="auto" w:fill="FFFFFF"/>
        <w:spacing w:before="0" w:beforeAutospacing="0" w:after="120" w:afterAutospacing="0"/>
        <w:ind w:left="709" w:right="709"/>
        <w:jc w:val="both"/>
        <w:rPr>
          <w:rFonts w:ascii="Verdana" w:eastAsiaTheme="minorHAnsi" w:hAnsi="Verdana" w:cs="Arial"/>
          <w:sz w:val="20"/>
          <w:szCs w:val="20"/>
          <w:lang w:val="es-ES" w:eastAsia="en-US"/>
        </w:rPr>
      </w:pPr>
      <w:r w:rsidRPr="00AD5F4A">
        <w:rPr>
          <w:rFonts w:ascii="Verdana" w:eastAsiaTheme="minorHAnsi" w:hAnsi="Verdana" w:cs="Arial"/>
          <w:sz w:val="20"/>
          <w:szCs w:val="20"/>
          <w:lang w:val="es-ES" w:eastAsia="en-US"/>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7CCD0B1B" w14:textId="77777777" w:rsidR="002426E8" w:rsidRPr="00AD5F4A" w:rsidRDefault="002426E8" w:rsidP="002426E8">
      <w:pPr>
        <w:pStyle w:val="NormalWeb"/>
        <w:shd w:val="clear" w:color="auto" w:fill="FFFFFF"/>
        <w:spacing w:before="0" w:beforeAutospacing="0" w:after="0" w:afterAutospacing="0"/>
        <w:ind w:left="709" w:right="709"/>
        <w:jc w:val="both"/>
        <w:rPr>
          <w:rFonts w:ascii="Verdana" w:eastAsiaTheme="minorHAnsi" w:hAnsi="Verdana" w:cs="Arial"/>
          <w:sz w:val="21"/>
          <w:szCs w:val="21"/>
          <w:lang w:val="es-ES" w:eastAsia="en-US"/>
        </w:rPr>
      </w:pPr>
      <w:r w:rsidRPr="00AD5F4A">
        <w:rPr>
          <w:rFonts w:ascii="Verdana" w:eastAsiaTheme="minorHAnsi" w:hAnsi="Verdana" w:cs="Arial"/>
          <w:sz w:val="20"/>
          <w:szCs w:val="20"/>
          <w:lang w:val="es-ES" w:eastAsia="en-US"/>
        </w:rPr>
        <w:t>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AD5F4A">
        <w:rPr>
          <w:rStyle w:val="Refdenotaalpie"/>
          <w:rFonts w:ascii="Verdana" w:eastAsiaTheme="minorHAnsi" w:hAnsi="Verdana" w:cs="Arial"/>
          <w:sz w:val="20"/>
          <w:szCs w:val="20"/>
          <w:lang w:val="es-ES" w:eastAsia="en-US"/>
        </w:rPr>
        <w:footnoteReference w:id="2"/>
      </w:r>
      <w:r w:rsidRPr="00AD5F4A">
        <w:rPr>
          <w:rFonts w:ascii="Verdana" w:eastAsiaTheme="minorHAnsi" w:hAnsi="Verdana" w:cs="Arial"/>
          <w:sz w:val="20"/>
          <w:szCs w:val="20"/>
          <w:lang w:val="es-ES" w:eastAsia="en-US"/>
        </w:rPr>
        <w:t>.</w:t>
      </w:r>
    </w:p>
    <w:p w14:paraId="612FF6B4" w14:textId="77777777" w:rsidR="002426E8" w:rsidRPr="00AD5F4A" w:rsidRDefault="002426E8" w:rsidP="002426E8">
      <w:pPr>
        <w:pStyle w:val="NormalWeb"/>
        <w:shd w:val="clear" w:color="auto" w:fill="FFFFFF"/>
        <w:spacing w:before="0" w:beforeAutospacing="0" w:after="0" w:afterAutospacing="0" w:line="276" w:lineRule="auto"/>
        <w:ind w:left="709" w:right="709"/>
        <w:jc w:val="both"/>
        <w:rPr>
          <w:rFonts w:ascii="Verdana" w:eastAsiaTheme="minorHAnsi" w:hAnsi="Verdana" w:cs="Arial"/>
          <w:sz w:val="22"/>
          <w:szCs w:val="22"/>
          <w:lang w:val="es-ES" w:eastAsia="en-US"/>
        </w:rPr>
      </w:pPr>
    </w:p>
    <w:p w14:paraId="081846D0" w14:textId="77777777" w:rsidR="002426E8" w:rsidRPr="00AD5F4A" w:rsidRDefault="002426E8" w:rsidP="002426E8">
      <w:pPr>
        <w:pStyle w:val="Sinespaciado"/>
        <w:spacing w:line="276" w:lineRule="auto"/>
        <w:ind w:firstLine="709"/>
        <w:jc w:val="both"/>
        <w:rPr>
          <w:rFonts w:ascii="Verdana" w:hAnsi="Verdana" w:cs="Arial"/>
          <w:sz w:val="22"/>
        </w:rPr>
      </w:pPr>
      <w:r w:rsidRPr="00AD5F4A">
        <w:rPr>
          <w:rFonts w:ascii="Verdana" w:hAnsi="Verdana" w:cs="Arial"/>
          <w:sz w:val="22"/>
        </w:rPr>
        <w:t xml:space="preserve">Así las cosas, las inhabilidades son medios que garantizan la transparencia y eficiencia en la actividad contractual del Estado, imponiendo restricciones en </w:t>
      </w:r>
      <w:r w:rsidRPr="00AD5F4A">
        <w:rPr>
          <w:rFonts w:ascii="Verdana" w:hAnsi="Verdana" w:cs="Arial"/>
          <w:sz w:val="22"/>
        </w:rPr>
        <w:lastRenderedPageBreak/>
        <w:t xml:space="preserve">la personalidad jurídica, la igualdad, la libre empresa y, particularmente, en el derecho a participar en procesos de selección y celebrar contratos con el Estado. La Corte Constitucional ha reconocido que estas limitaciones deben estar justificadas en la salvaguarda del interés general y que su lectura e interpretación es taxativa y restrictiva: </w:t>
      </w:r>
    </w:p>
    <w:p w14:paraId="266150DD" w14:textId="77777777" w:rsidR="002426E8" w:rsidRPr="00AD5F4A" w:rsidRDefault="002426E8" w:rsidP="002426E8">
      <w:pPr>
        <w:pStyle w:val="Sinespaciado"/>
        <w:spacing w:line="276" w:lineRule="auto"/>
        <w:ind w:firstLine="709"/>
        <w:jc w:val="both"/>
        <w:rPr>
          <w:rFonts w:ascii="Verdana" w:hAnsi="Verdana" w:cs="Arial"/>
          <w:sz w:val="22"/>
        </w:rPr>
      </w:pPr>
    </w:p>
    <w:p w14:paraId="7E67E3B5" w14:textId="77777777" w:rsidR="002426E8" w:rsidRPr="00AD5F4A" w:rsidRDefault="002426E8" w:rsidP="002426E8">
      <w:pPr>
        <w:spacing w:line="240" w:lineRule="auto"/>
        <w:ind w:left="709" w:right="709"/>
        <w:jc w:val="both"/>
        <w:rPr>
          <w:rFonts w:ascii="Verdana" w:hAnsi="Verdana" w:cs="Arial"/>
          <w:sz w:val="20"/>
          <w:szCs w:val="20"/>
        </w:rPr>
      </w:pPr>
      <w:r w:rsidRPr="00AD5F4A">
        <w:rPr>
          <w:rFonts w:ascii="Verdana" w:hAnsi="Verdana" w:cs="Arial"/>
          <w:sz w:val="20"/>
          <w:szCs w:val="20"/>
        </w:rPr>
        <w:t>“Todo régimen de inhabilidades e incompatibilidades de suyo excluye a ciertas categorías de personas del proceso de contratación, generando incapacidades especiales, impedimentos y prohibiciones de variada naturaleza, que en cierta medida afectan el derecho a la personalidad jurídica traducido, a su turno, en el principio general de capacidad legal [CC arts. 1502 y 1503; ley 80 de 1993, art. 6]. De ordinario, como ocurre en la contratación estatal, la inobservancia del régimen de inhabilidades e incompatibilidades, se erige en causal de nulidad del contrato celebrado en esas condiciones (ley 80 de 1993, art. 44).</w:t>
      </w:r>
    </w:p>
    <w:p w14:paraId="72978425" w14:textId="77777777" w:rsidR="002426E8" w:rsidRPr="00AD5F4A" w:rsidRDefault="002426E8" w:rsidP="002426E8">
      <w:pPr>
        <w:spacing w:after="0" w:line="240" w:lineRule="auto"/>
        <w:ind w:left="709" w:right="709"/>
        <w:jc w:val="both"/>
        <w:rPr>
          <w:rFonts w:ascii="Verdana" w:hAnsi="Verdana" w:cs="Arial"/>
          <w:sz w:val="21"/>
          <w:szCs w:val="21"/>
        </w:rPr>
      </w:pPr>
      <w:r w:rsidRPr="00AD5F4A">
        <w:rPr>
          <w:rFonts w:ascii="Verdana" w:hAnsi="Verdana" w:cs="Arial"/>
          <w:sz w:val="20"/>
          <w:szCs w:val="20"/>
        </w:rPr>
        <w:t>El carácter reconocidamente taxativo y restrictivo de este régimen y el de las correlativas nulidades, obedece a la necesidad de salvaguardar el interés general ínsito en la contratación pública de manera que implique el menor sacrificio posible al derecho de igualdad y de reconocimiento de la personalidad jurídica de quienes aspiran a contratar con el Estado. Es evidente que si la restricción legal [incompatibilidad o inhabilidad] no se sustenta en ninguna necesidad de protección del interés general o ésta es irrazonable o desproporcionada, en esa misma medida pierde justificación constitucional como medio legítimo para restringir, en ese caso, el derecho a la igualdad y el reconocimiento de la personalidad jurídica de las personas que resultan rechazadas del ámbito contractual del Estado”</w:t>
      </w:r>
      <w:r w:rsidRPr="00AD5F4A">
        <w:rPr>
          <w:rStyle w:val="Refdenotaalpie"/>
          <w:rFonts w:ascii="Verdana" w:hAnsi="Verdana" w:cs="Arial"/>
          <w:sz w:val="20"/>
          <w:szCs w:val="20"/>
        </w:rPr>
        <w:footnoteReference w:id="3"/>
      </w:r>
      <w:r w:rsidRPr="00AD5F4A">
        <w:rPr>
          <w:rFonts w:ascii="Verdana" w:hAnsi="Verdana" w:cs="Arial"/>
          <w:sz w:val="20"/>
          <w:szCs w:val="20"/>
        </w:rPr>
        <w:t>.</w:t>
      </w:r>
    </w:p>
    <w:p w14:paraId="39B58723" w14:textId="77777777" w:rsidR="002426E8" w:rsidRPr="00AD5F4A" w:rsidRDefault="002426E8" w:rsidP="002426E8">
      <w:pPr>
        <w:spacing w:after="0" w:line="276" w:lineRule="auto"/>
        <w:ind w:right="709"/>
        <w:jc w:val="both"/>
        <w:rPr>
          <w:rFonts w:ascii="Verdana" w:hAnsi="Verdana" w:cs="Arial"/>
        </w:rPr>
      </w:pPr>
    </w:p>
    <w:p w14:paraId="040E21C2" w14:textId="77777777" w:rsidR="002426E8" w:rsidRPr="00AD5F4A" w:rsidRDefault="002426E8" w:rsidP="002426E8">
      <w:pPr>
        <w:spacing w:after="0" w:line="276" w:lineRule="auto"/>
        <w:ind w:firstLine="709"/>
        <w:jc w:val="both"/>
        <w:rPr>
          <w:rFonts w:ascii="Verdana" w:hAnsi="Verdana" w:cs="Arial"/>
        </w:rPr>
      </w:pPr>
      <w:r w:rsidRPr="00AD5F4A">
        <w:rPr>
          <w:rFonts w:ascii="Verdana" w:hAnsi="Verdana" w:cs="Arial"/>
        </w:rPr>
        <w:t>Además, la Corte Constitucional explica que el legislador tiene la competencia para determinar qué hechos o situaciones generan inhabilidad para contratar, pues este régimen es un aspecto propio del Estatuto General de Contratación de la Administración Pública, cuya expedición compete al Congreso de la República a la luz del artículo 150 de la Constitución Política, y que en esta materia rige el principio de legalidad:</w:t>
      </w:r>
    </w:p>
    <w:p w14:paraId="2D31D35D" w14:textId="77777777" w:rsidR="002426E8" w:rsidRPr="00AD5F4A" w:rsidRDefault="002426E8" w:rsidP="002426E8">
      <w:pPr>
        <w:pStyle w:val="Sinespaciado"/>
        <w:tabs>
          <w:tab w:val="left" w:pos="1532"/>
        </w:tabs>
        <w:spacing w:line="276" w:lineRule="auto"/>
        <w:jc w:val="both"/>
        <w:rPr>
          <w:rFonts w:ascii="Verdana" w:hAnsi="Verdana" w:cs="Arial"/>
          <w:sz w:val="22"/>
        </w:rPr>
      </w:pPr>
    </w:p>
    <w:p w14:paraId="6B865FFD" w14:textId="77777777" w:rsidR="002426E8" w:rsidRPr="00AD5F4A" w:rsidRDefault="002426E8" w:rsidP="002426E8">
      <w:pPr>
        <w:spacing w:after="0" w:line="240" w:lineRule="auto"/>
        <w:ind w:left="709" w:right="709"/>
        <w:jc w:val="both"/>
        <w:rPr>
          <w:rFonts w:ascii="Verdana" w:hAnsi="Verdana" w:cs="Arial"/>
          <w:sz w:val="20"/>
          <w:szCs w:val="20"/>
        </w:rPr>
      </w:pPr>
      <w:r w:rsidRPr="00AD5F4A">
        <w:rPr>
          <w:rFonts w:ascii="Verdana" w:hAnsi="Verdana" w:cs="Arial"/>
          <w:sz w:val="20"/>
          <w:szCs w:val="20"/>
        </w:rPr>
        <w:t xml:space="preserve">“Las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w:t>
      </w:r>
      <w:r w:rsidRPr="00AD5F4A">
        <w:rPr>
          <w:rFonts w:ascii="Verdana" w:hAnsi="Verdana" w:cs="Arial"/>
          <w:sz w:val="20"/>
          <w:szCs w:val="20"/>
        </w:rPr>
        <w:lastRenderedPageBreak/>
        <w:t>La ley demandada recae sobre una materia que pertenece al dominio de la esfera estatal y pública, dentro de la cual no rige el principio </w:t>
      </w:r>
      <w:r w:rsidRPr="00AD5F4A">
        <w:rPr>
          <w:rFonts w:ascii="Verdana" w:hAnsi="Verdana" w:cs="Arial"/>
          <w:i/>
          <w:iCs/>
          <w:sz w:val="20"/>
          <w:szCs w:val="20"/>
        </w:rPr>
        <w:t xml:space="preserve">pro </w:t>
      </w:r>
      <w:proofErr w:type="spellStart"/>
      <w:r w:rsidRPr="00AD5F4A">
        <w:rPr>
          <w:rFonts w:ascii="Verdana" w:hAnsi="Verdana" w:cs="Arial"/>
          <w:i/>
          <w:iCs/>
          <w:sz w:val="20"/>
          <w:szCs w:val="20"/>
        </w:rPr>
        <w:t>libertate</w:t>
      </w:r>
      <w:proofErr w:type="spellEnd"/>
      <w:r w:rsidRPr="00AD5F4A">
        <w:rPr>
          <w:rFonts w:ascii="Verdana" w:hAnsi="Verdana" w:cs="Arial"/>
          <w:sz w:val="20"/>
          <w:szCs w:val="20"/>
        </w:rPr>
        <w:t xml:space="preserve">, sino el de legalidad, el que ordena que la función pública debe someterse estrictamente a lo que disponga la Constitución y la ley (CP art. 6). </w:t>
      </w:r>
    </w:p>
    <w:p w14:paraId="1D1D5882" w14:textId="77777777" w:rsidR="002426E8" w:rsidRPr="00AD5F4A" w:rsidRDefault="002426E8" w:rsidP="002426E8">
      <w:pPr>
        <w:spacing w:after="120" w:line="240" w:lineRule="auto"/>
        <w:ind w:left="709" w:right="709"/>
        <w:jc w:val="both"/>
        <w:rPr>
          <w:rFonts w:ascii="Verdana" w:hAnsi="Verdana" w:cs="Arial"/>
          <w:sz w:val="20"/>
          <w:szCs w:val="20"/>
        </w:rPr>
      </w:pPr>
      <w:r w:rsidRPr="00AD5F4A">
        <w:rPr>
          <w:rFonts w:ascii="Verdana" w:hAnsi="Verdana" w:cs="Arial"/>
          <w:sz w:val="20"/>
          <w:szCs w:val="20"/>
        </w:rPr>
        <w:t xml:space="preserve">[…] </w:t>
      </w:r>
    </w:p>
    <w:p w14:paraId="09D946C6" w14:textId="77777777" w:rsidR="002426E8" w:rsidRPr="00AD5F4A" w:rsidRDefault="002426E8" w:rsidP="002426E8">
      <w:pPr>
        <w:spacing w:after="0" w:line="240" w:lineRule="auto"/>
        <w:ind w:left="709" w:right="709"/>
        <w:jc w:val="both"/>
        <w:rPr>
          <w:rFonts w:ascii="Verdana" w:hAnsi="Verdana" w:cs="Arial"/>
          <w:sz w:val="21"/>
          <w:szCs w:val="21"/>
        </w:rPr>
      </w:pPr>
      <w:r w:rsidRPr="00AD5F4A">
        <w:rPr>
          <w:rFonts w:ascii="Verdana" w:hAnsi="Verdana" w:cs="Arial"/>
          <w:sz w:val="20"/>
          <w:szCs w:val="20"/>
        </w:rPr>
        <w:t>Se comprende con facilidad que el régimen de inhabilidades e incompatibilidades, corresponde a una materia de normal y obligada inclusión en un estatuto contractual. El legislador, a quien se ha confiado expedir el indicado estatuto, tiene, pues, competencia para establecerlo (CP art. 150)”</w:t>
      </w:r>
      <w:r w:rsidRPr="00AD5F4A">
        <w:rPr>
          <w:rStyle w:val="Refdenotaalpie"/>
          <w:rFonts w:ascii="Verdana" w:hAnsi="Verdana" w:cs="Arial"/>
          <w:sz w:val="20"/>
          <w:szCs w:val="20"/>
        </w:rPr>
        <w:footnoteReference w:id="4"/>
      </w:r>
      <w:r w:rsidRPr="00AD5F4A">
        <w:rPr>
          <w:rFonts w:ascii="Verdana" w:hAnsi="Verdana" w:cs="Arial"/>
          <w:sz w:val="20"/>
          <w:szCs w:val="20"/>
        </w:rPr>
        <w:t>.</w:t>
      </w:r>
    </w:p>
    <w:p w14:paraId="6F7CE1B5" w14:textId="77777777" w:rsidR="002426E8" w:rsidRPr="00AD5F4A" w:rsidRDefault="002426E8" w:rsidP="002426E8">
      <w:pPr>
        <w:spacing w:after="0" w:line="276" w:lineRule="auto"/>
        <w:ind w:left="709" w:right="709"/>
        <w:jc w:val="both"/>
        <w:rPr>
          <w:rFonts w:ascii="Verdana" w:hAnsi="Verdana" w:cs="Arial"/>
        </w:rPr>
      </w:pPr>
    </w:p>
    <w:p w14:paraId="24EBDD68" w14:textId="77777777" w:rsidR="002426E8" w:rsidRPr="00AD5F4A" w:rsidRDefault="002426E8" w:rsidP="002426E8">
      <w:pPr>
        <w:spacing w:after="0" w:line="276" w:lineRule="auto"/>
        <w:ind w:firstLine="709"/>
        <w:jc w:val="both"/>
        <w:rPr>
          <w:rFonts w:ascii="Verdana" w:hAnsi="Verdana" w:cs="Arial"/>
        </w:rPr>
      </w:pPr>
      <w:r w:rsidRPr="00AD5F4A">
        <w:rPr>
          <w:rFonts w:ascii="Verdana" w:hAnsi="Verdana" w:cs="Arial"/>
        </w:rPr>
        <w:t xml:space="preserve">Conviene también distinguir las fuentes de las inhabilidades, las cuales han sido clasificadas en dos (2) grupos: i) inhabilidades-sanción y </w:t>
      </w:r>
      <w:proofErr w:type="spellStart"/>
      <w:r w:rsidRPr="00AD5F4A">
        <w:rPr>
          <w:rFonts w:ascii="Verdana" w:hAnsi="Verdana" w:cs="Arial"/>
        </w:rPr>
        <w:t>ii</w:t>
      </w:r>
      <w:proofErr w:type="spellEnd"/>
      <w:r w:rsidRPr="00AD5F4A">
        <w:rPr>
          <w:rFonts w:ascii="Verdana" w:hAnsi="Verdana" w:cs="Arial"/>
        </w:rPr>
        <w:t>) inhabilidades-requisito. En el primer grupo se encuentran las inhabilidades que surgen como consecuencia de un proceso sancionatorio, en los ámbitos penal, disciplinario, contravencional o de pérdida de investidura. En el segundo grupo están aquellas que no devienen de un proceso sancionatorio, sino de condiciones propias de la persona y garantizan la moralidad, la imparcialidad, la eficacia y la transparencia</w:t>
      </w:r>
      <w:r w:rsidRPr="00AD5F4A">
        <w:rPr>
          <w:rStyle w:val="Refdenotaalpie"/>
          <w:rFonts w:ascii="Verdana" w:hAnsi="Verdana" w:cs="Arial"/>
        </w:rPr>
        <w:footnoteReference w:id="5"/>
      </w:r>
      <w:r w:rsidRPr="00AD5F4A">
        <w:rPr>
          <w:rFonts w:ascii="Verdana" w:hAnsi="Verdana" w:cs="Arial"/>
        </w:rPr>
        <w:t>.</w:t>
      </w:r>
    </w:p>
    <w:p w14:paraId="0799B3FA" w14:textId="77777777" w:rsidR="002426E8" w:rsidRPr="00AD5F4A" w:rsidRDefault="002426E8" w:rsidP="002426E8">
      <w:pPr>
        <w:spacing w:before="120" w:after="120" w:line="276" w:lineRule="auto"/>
        <w:ind w:firstLine="709"/>
        <w:jc w:val="both"/>
        <w:rPr>
          <w:rFonts w:ascii="Verdana" w:hAnsi="Verdana" w:cs="Arial"/>
        </w:rPr>
      </w:pPr>
      <w:r w:rsidRPr="00AD5F4A">
        <w:rPr>
          <w:rFonts w:ascii="Verdana" w:hAnsi="Verdana" w:cs="Arial"/>
        </w:rPr>
        <w:t>A manera de ejemplo, en materia contractual, los literales c), d) y j) del numeral 1 del artículo 8 de la Ley 80 de 1993</w:t>
      </w:r>
      <w:r w:rsidRPr="00AD5F4A">
        <w:rPr>
          <w:rStyle w:val="Refdenotaalpie"/>
          <w:rFonts w:ascii="Verdana" w:hAnsi="Verdana" w:cs="Arial"/>
        </w:rPr>
        <w:footnoteReference w:id="6"/>
      </w:r>
      <w:r w:rsidRPr="00AD5F4A">
        <w:rPr>
          <w:rFonts w:ascii="Verdana" w:hAnsi="Verdana" w:cs="Arial"/>
        </w:rPr>
        <w:t xml:space="preserve"> establecen inhabilidades-sanción, </w:t>
      </w:r>
      <w:r w:rsidRPr="00AD5F4A">
        <w:rPr>
          <w:rFonts w:ascii="Verdana" w:hAnsi="Verdana" w:cs="Arial"/>
        </w:rPr>
        <w:lastRenderedPageBreak/>
        <w:t xml:space="preserve">porque la prohibición para contratar con el Estado en esos eventos es una consecuencia de una declaratoria de responsabilidad que surge luego de un proceso sancionatorio –administrativo, disciplinario o penal–; mientras que las inhabilidades de los literales f), g) y h) del literal 1 de la norma citada establecen </w:t>
      </w:r>
      <w:r w:rsidRPr="00AD5F4A">
        <w:rPr>
          <w:rFonts w:ascii="Verdana" w:hAnsi="Verdana" w:cs="Arial"/>
        </w:rPr>
        <w:lastRenderedPageBreak/>
        <w:t xml:space="preserve">inhabilidades–requisito, pues no se configuran por la comisión previa de una falta o un delito que dio lugar a una declaratoria por parte de la Administración o el juez, sino de aspectos propios de la persona, derivados, por ejemplo, del parentesco o la afinidad o de la condición de servidor público. </w:t>
      </w:r>
      <w:bookmarkStart w:id="2" w:name="_Hlk40976328"/>
      <w:r w:rsidRPr="00AD5F4A">
        <w:rPr>
          <w:rFonts w:ascii="Verdana" w:hAnsi="Verdana" w:cs="Arial"/>
        </w:rPr>
        <w:t xml:space="preserve">En ambos eventos, la inhabilidad tiene como fuente una situación o un hecho propio del proponente –una conducta o una condición– ajena a la oferta. La inhabilidad surge, entre otros, por su grado de parentesco o afinidad, por su condición de servidor público o por una declaratoria de responsabilidad penal, disciplinaria o sancionatoria contractual sobre él. </w:t>
      </w:r>
      <w:bookmarkEnd w:id="2"/>
    </w:p>
    <w:p w14:paraId="2E9A4574" w14:textId="77777777" w:rsidR="002426E8" w:rsidRPr="00AD5F4A" w:rsidRDefault="002426E8" w:rsidP="002426E8">
      <w:pPr>
        <w:spacing w:after="120" w:line="276" w:lineRule="auto"/>
        <w:ind w:firstLine="708"/>
        <w:jc w:val="both"/>
        <w:rPr>
          <w:rFonts w:ascii="Verdana" w:eastAsia="Calibri" w:hAnsi="Verdana" w:cs="Arial"/>
          <w:lang w:val="es-ES_tradnl"/>
        </w:rPr>
      </w:pPr>
      <w:r w:rsidRPr="00AD5F4A">
        <w:rPr>
          <w:rFonts w:ascii="Verdana" w:eastAsia="Calibri" w:hAnsi="Verdana" w:cs="Arial"/>
          <w:i/>
          <w:iCs/>
          <w:lang w:val="es-ES_tradnl"/>
        </w:rPr>
        <w:t>Igualmente</w:t>
      </w:r>
      <w:r w:rsidRPr="00AD5F4A">
        <w:rPr>
          <w:rFonts w:ascii="Verdana" w:eastAsia="Calibri" w:hAnsi="Verdana" w:cs="Arial"/>
          <w:lang w:val="es-ES_tradnl"/>
        </w:rPr>
        <w:t xml:space="preserve">, </w:t>
      </w:r>
      <w:bookmarkStart w:id="3" w:name="_Hlk135133412"/>
      <w:r w:rsidRPr="00AD5F4A">
        <w:rPr>
          <w:rFonts w:ascii="Verdana" w:eastAsia="Calibri" w:hAnsi="Verdana" w:cs="Arial"/>
          <w:lang w:val="es-ES_tradnl"/>
        </w:rPr>
        <w:t xml:space="preserve">en la contratación estatal, la </w:t>
      </w:r>
      <w:r w:rsidRPr="00AD5F4A">
        <w:rPr>
          <w:rFonts w:ascii="Verdana" w:eastAsia="Calibri" w:hAnsi="Verdana" w:cs="Arial"/>
          <w:i/>
          <w:iCs/>
          <w:lang w:val="es-ES_tradnl"/>
        </w:rPr>
        <w:t>capacidad</w:t>
      </w:r>
      <w:r w:rsidRPr="00AD5F4A">
        <w:rPr>
          <w:rFonts w:ascii="Verdana" w:eastAsia="Calibri" w:hAnsi="Verdana" w:cs="Arial"/>
          <w:lang w:val="es-ES_tradnl"/>
        </w:rPr>
        <w:t xml:space="preserve"> también es un requisito de validez de los contratos, tanto en el régimen de las entidades sujetas al Estatuto General de Contratación de la Administración Pública</w:t>
      </w:r>
      <w:r w:rsidRPr="00AD5F4A">
        <w:rPr>
          <w:rStyle w:val="Refdenotaalpie"/>
          <w:rFonts w:ascii="Verdana" w:eastAsia="Calibri" w:hAnsi="Verdana" w:cs="Arial"/>
          <w:lang w:val="es-ES_tradnl"/>
        </w:rPr>
        <w:footnoteReference w:id="7"/>
      </w:r>
      <w:r w:rsidRPr="00AD5F4A">
        <w:rPr>
          <w:rFonts w:ascii="Verdana" w:eastAsia="Calibri" w:hAnsi="Verdana" w:cs="Arial"/>
          <w:lang w:val="es-ES_tradnl"/>
        </w:rPr>
        <w:t xml:space="preserve"> como en el de las entidades exceptuadas de aquel</w:t>
      </w:r>
      <w:r w:rsidRPr="00AD5F4A">
        <w:rPr>
          <w:rStyle w:val="Refdenotaalpie"/>
          <w:rFonts w:ascii="Verdana" w:eastAsia="Calibri" w:hAnsi="Verdana" w:cs="Arial"/>
          <w:lang w:val="es-ES_tradnl"/>
        </w:rPr>
        <w:footnoteReference w:id="8"/>
      </w:r>
      <w:r w:rsidRPr="00AD5F4A">
        <w:rPr>
          <w:rFonts w:ascii="Verdana" w:eastAsia="Calibri" w:hAnsi="Verdana" w:cs="Arial"/>
          <w:lang w:val="es-ES_tradnl"/>
        </w:rPr>
        <w:t>. Si bien la regulación de la capacidad se integra por varias disposiciones y exigencias especiales –como el requisito de inscribirse, por regla general, en el Registro Único de Proponentes (RUP), establecido en el artículo 6 de la Ley 1150 de 2007, modificado por el artículo 221 del Decreto 19 de 2012</w:t>
      </w:r>
      <w:r w:rsidRPr="00AD5F4A">
        <w:rPr>
          <w:rStyle w:val="Refdenotaalpie"/>
          <w:rFonts w:ascii="Verdana" w:eastAsia="Calibri" w:hAnsi="Verdana" w:cs="Arial"/>
          <w:lang w:val="es-ES_tradnl"/>
        </w:rPr>
        <w:footnoteReference w:id="9"/>
      </w:r>
      <w:r w:rsidRPr="00AD5F4A">
        <w:rPr>
          <w:rFonts w:ascii="Verdana" w:eastAsia="Calibri" w:hAnsi="Verdana" w:cs="Arial"/>
          <w:lang w:val="es-ES_tradnl"/>
        </w:rPr>
        <w:t xml:space="preserve">–, se destaca el régimen de inhabilidades e incompatibilidades como un conjunto de normas que imponen restricciones para </w:t>
      </w:r>
      <w:r w:rsidRPr="00AD5F4A">
        <w:rPr>
          <w:rFonts w:ascii="Verdana" w:eastAsia="Calibri" w:hAnsi="Verdana" w:cs="Arial"/>
          <w:lang w:val="es-ES_tradnl"/>
        </w:rPr>
        <w:lastRenderedPageBreak/>
        <w:t>los sujetos que, eventualmente, pretendan participar en los procedimientos de selección o celebrar contratos con las entidades estatales</w:t>
      </w:r>
      <w:r w:rsidRPr="00AD5F4A">
        <w:rPr>
          <w:rStyle w:val="Refdenotaalpie"/>
          <w:rFonts w:ascii="Verdana" w:eastAsia="Calibri" w:hAnsi="Verdana" w:cs="Arial"/>
          <w:lang w:val="es-ES_tradnl"/>
        </w:rPr>
        <w:footnoteReference w:id="10"/>
      </w:r>
      <w:r w:rsidRPr="00AD5F4A">
        <w:rPr>
          <w:rFonts w:ascii="Verdana" w:eastAsia="Calibri" w:hAnsi="Verdana" w:cs="Arial"/>
          <w:lang w:val="es-ES_tradnl"/>
        </w:rPr>
        <w:t>.</w:t>
      </w:r>
    </w:p>
    <w:p w14:paraId="6F673F7D" w14:textId="77777777" w:rsidR="002426E8" w:rsidRPr="00AD5F4A" w:rsidRDefault="002426E8" w:rsidP="002426E8">
      <w:pPr>
        <w:spacing w:after="120" w:line="276" w:lineRule="auto"/>
        <w:ind w:firstLine="709"/>
        <w:jc w:val="both"/>
        <w:rPr>
          <w:rFonts w:ascii="Verdana" w:eastAsia="Calibri" w:hAnsi="Verdana" w:cs="Arial"/>
          <w:lang w:val="es-ES"/>
        </w:rPr>
      </w:pPr>
      <w:r w:rsidRPr="5DD5EE4A">
        <w:rPr>
          <w:rFonts w:ascii="Verdana" w:eastAsia="Calibri" w:hAnsi="Verdana" w:cs="Arial"/>
          <w:lang w:val="es-ES"/>
        </w:rPr>
        <w:t>Las inhabilidades son prohibiciones para concurrir a los procedimientos de selección y para contratar con el Estado, que se derivan: i) de la existencia de comportamientos reprochables o de sanciones anteriormente impuestas</w:t>
      </w:r>
      <w:r w:rsidRPr="5DD5EE4A">
        <w:rPr>
          <w:rStyle w:val="Refdenotaalpie"/>
          <w:rFonts w:ascii="Verdana" w:eastAsia="Calibri" w:hAnsi="Verdana" w:cs="Arial"/>
          <w:lang w:val="es-ES"/>
        </w:rPr>
        <w:footnoteReference w:id="11"/>
      </w:r>
      <w:r w:rsidRPr="5DD5EE4A">
        <w:rPr>
          <w:rFonts w:ascii="Verdana" w:eastAsia="Calibri" w:hAnsi="Verdana" w:cs="Arial"/>
          <w:lang w:val="es-ES"/>
        </w:rPr>
        <w:t xml:space="preserve">, </w:t>
      </w:r>
      <w:proofErr w:type="spellStart"/>
      <w:r w:rsidRPr="5DD5EE4A">
        <w:rPr>
          <w:rFonts w:ascii="Verdana" w:eastAsia="Calibri" w:hAnsi="Verdana" w:cs="Arial"/>
          <w:lang w:val="es-ES"/>
        </w:rPr>
        <w:t>ii</w:t>
      </w:r>
      <w:proofErr w:type="spellEnd"/>
      <w:r w:rsidRPr="5DD5EE4A">
        <w:rPr>
          <w:rFonts w:ascii="Verdana" w:eastAsia="Calibri" w:hAnsi="Verdana" w:cs="Arial"/>
          <w:lang w:val="es-ES"/>
        </w:rPr>
        <w:t>) de vínculos personales relativos al parentesco o al estado civil</w:t>
      </w:r>
      <w:r w:rsidRPr="5DD5EE4A">
        <w:rPr>
          <w:rStyle w:val="Refdenotaalpie"/>
          <w:rFonts w:ascii="Verdana" w:eastAsia="Calibri" w:hAnsi="Verdana" w:cs="Arial"/>
          <w:lang w:val="es-ES"/>
        </w:rPr>
        <w:footnoteReference w:id="12"/>
      </w:r>
      <w:r w:rsidRPr="5DD5EE4A">
        <w:rPr>
          <w:rFonts w:ascii="Verdana" w:eastAsia="Calibri" w:hAnsi="Verdana" w:cs="Arial"/>
          <w:lang w:val="es-ES"/>
        </w:rPr>
        <w:t xml:space="preserve"> o </w:t>
      </w:r>
      <w:proofErr w:type="spellStart"/>
      <w:r w:rsidRPr="5DD5EE4A">
        <w:rPr>
          <w:rFonts w:ascii="Verdana" w:eastAsia="Calibri" w:hAnsi="Verdana" w:cs="Arial"/>
          <w:lang w:val="es-ES"/>
        </w:rPr>
        <w:t>iii</w:t>
      </w:r>
      <w:proofErr w:type="spellEnd"/>
      <w:r w:rsidRPr="5DD5EE4A">
        <w:rPr>
          <w:rFonts w:ascii="Verdana" w:eastAsia="Calibri" w:hAnsi="Verdana" w:cs="Arial"/>
          <w:lang w:val="es-ES"/>
        </w:rPr>
        <w:t xml:space="preserve">) de una </w:t>
      </w:r>
      <w:r w:rsidRPr="5DD5EE4A">
        <w:rPr>
          <w:rFonts w:ascii="Verdana" w:eastAsia="Calibri" w:hAnsi="Verdana" w:cs="Arial"/>
          <w:lang w:val="es-ES"/>
        </w:rPr>
        <w:lastRenderedPageBreak/>
        <w:t>actividad u oficio que se desempeñó en el pasado</w:t>
      </w:r>
      <w:r w:rsidRPr="5DD5EE4A">
        <w:rPr>
          <w:rStyle w:val="Refdenotaalpie"/>
          <w:rFonts w:ascii="Verdana" w:eastAsia="Calibri" w:hAnsi="Verdana" w:cs="Arial"/>
          <w:lang w:val="es-ES"/>
        </w:rPr>
        <w:footnoteReference w:id="13"/>
      </w:r>
      <w:r w:rsidRPr="5DD5EE4A">
        <w:rPr>
          <w:rFonts w:ascii="Verdana" w:eastAsia="Calibri" w:hAnsi="Verdana" w:cs="Arial"/>
          <w:lang w:val="es-ES"/>
        </w:rPr>
        <w:t>. De otro lado, las incompatibilidades, según un sector de la doctrina, son prohibiciones para participar en los procedimientos de selección y para celebrar contratos estatales, fundadas en la presencia de una calidad que ostenta el sujeto interesado en realizar alguna de dichas actividades, que no puede coexistir con su calidad de proponente o contratista del Estado</w:t>
      </w:r>
      <w:r w:rsidRPr="5DD5EE4A">
        <w:rPr>
          <w:rStyle w:val="Refdenotaalpie"/>
          <w:rFonts w:ascii="Verdana" w:eastAsia="Calibri" w:hAnsi="Verdana" w:cs="Arial"/>
          <w:lang w:val="es-ES"/>
        </w:rPr>
        <w:footnoteReference w:id="14"/>
      </w:r>
      <w:r w:rsidRPr="5DD5EE4A">
        <w:rPr>
          <w:rFonts w:ascii="Verdana" w:eastAsia="Calibri" w:hAnsi="Verdana" w:cs="Arial"/>
          <w:lang w:val="es-ES"/>
        </w:rPr>
        <w:t>. En todo caso, a pesar de la existencia de distintos criterios para diferenciar las inhabilidades de las incompatibilidades, de la presencia de ellas se derivan las mismas consecuencias jurídicas, esto es, la limitación de la capacidad contractual, como se desarrolló en el numeral 2.1. de este concepto. De manera que la presencia de ellas impide que se puedan celebrar contratos con el Estado o participar en procedimientos de selección de las entidades estatales, por lo que de cualquiera de ellas se derivan los mismos efectos jurídicos</w:t>
      </w:r>
      <w:r w:rsidRPr="5DD5EE4A">
        <w:rPr>
          <w:rStyle w:val="Refdenotaalpie"/>
          <w:rFonts w:ascii="Verdana" w:eastAsia="Calibri" w:hAnsi="Verdana" w:cs="Arial"/>
          <w:lang w:val="es-ES"/>
        </w:rPr>
        <w:footnoteReference w:id="15"/>
      </w:r>
      <w:r w:rsidRPr="5DD5EE4A">
        <w:rPr>
          <w:rFonts w:ascii="Verdana" w:eastAsia="Calibri" w:hAnsi="Verdana" w:cs="Arial"/>
          <w:lang w:val="es-ES"/>
        </w:rPr>
        <w:t>.</w:t>
      </w:r>
    </w:p>
    <w:bookmarkEnd w:id="3"/>
    <w:p w14:paraId="66FBA222" w14:textId="77777777" w:rsidR="002426E8" w:rsidRPr="00AD5F4A" w:rsidRDefault="002426E8" w:rsidP="002426E8">
      <w:pPr>
        <w:spacing w:before="120" w:after="120" w:line="276" w:lineRule="auto"/>
        <w:ind w:firstLine="709"/>
        <w:jc w:val="both"/>
        <w:rPr>
          <w:rFonts w:ascii="Verdana" w:eastAsia="Calibri" w:hAnsi="Verdana" w:cs="Arial"/>
          <w:lang w:val="es-ES"/>
        </w:rPr>
      </w:pPr>
      <w:r w:rsidRPr="5DD5EE4A">
        <w:rPr>
          <w:rFonts w:ascii="Verdana" w:eastAsia="Calibri" w:hAnsi="Verdana" w:cs="Arial"/>
          <w:lang w:val="es-ES"/>
        </w:rPr>
        <w:lastRenderedPageBreak/>
        <w:t>El régimen de inhabilidades e incompatibilidades en la contratación pública responde a la tendencia, vigente desde hace varias décadas en nuestro país, pero que se ha reforzado en los últimos años, de asegurar que la actividad de provisión de los bienes, obras y servicios por parte de las entidades estatales se efectúe cumpliendo con los principios de la función administrativa y de la gestión fiscal, especialmente con probidad y transparencia. Por ello, como destaca la doctrina, las inhabilidades e incompatibilidades son herramientas en la lucha contra la corrupción, adoptando paulatinamente una naturaleza sancionatoria o “</w:t>
      </w:r>
      <w:proofErr w:type="spellStart"/>
      <w:r w:rsidRPr="5DD5EE4A">
        <w:rPr>
          <w:rFonts w:ascii="Verdana" w:eastAsia="Calibri" w:hAnsi="Verdana" w:cs="Arial"/>
          <w:lang w:val="es-ES"/>
        </w:rPr>
        <w:t>neopunitiva</w:t>
      </w:r>
      <w:proofErr w:type="spellEnd"/>
      <w:r w:rsidRPr="5DD5EE4A">
        <w:rPr>
          <w:rFonts w:ascii="Verdana" w:eastAsia="Calibri" w:hAnsi="Verdana" w:cs="Arial"/>
          <w:lang w:val="es-ES"/>
        </w:rPr>
        <w:t>”</w:t>
      </w:r>
      <w:r w:rsidRPr="5DD5EE4A">
        <w:rPr>
          <w:rStyle w:val="Refdenotaalpie"/>
          <w:rFonts w:ascii="Verdana" w:eastAsia="Calibri" w:hAnsi="Verdana" w:cs="Arial"/>
          <w:lang w:val="es-ES"/>
        </w:rPr>
        <w:footnoteReference w:id="16"/>
      </w:r>
      <w:r w:rsidRPr="5DD5EE4A">
        <w:rPr>
          <w:rFonts w:ascii="Verdana" w:eastAsia="Calibri" w:hAnsi="Verdana" w:cs="Arial"/>
          <w:lang w:val="es-ES"/>
        </w:rPr>
        <w:t>. Si bien no todas las causales de inhabilidad y de incompatibilidad son consecuencia de una medida de reproche ni de una sanción previa, como ya se explicó, es indiscutible que en los años más recientes los lamentables hechos de corrupción han generado, como respuesta del legislador, un incremento de las restricciones a la capacidad contractual, dirigidas a prevenir este tipo de situaciones o a sancionar tales conductas.</w:t>
      </w:r>
    </w:p>
    <w:p w14:paraId="5E87D8A1" w14:textId="77777777" w:rsidR="002426E8" w:rsidRPr="00AD5F4A" w:rsidRDefault="002426E8" w:rsidP="002426E8">
      <w:pPr>
        <w:spacing w:before="120" w:after="120" w:line="276" w:lineRule="auto"/>
        <w:ind w:firstLine="709"/>
        <w:jc w:val="both"/>
        <w:rPr>
          <w:rFonts w:ascii="Verdana" w:eastAsia="Calibri" w:hAnsi="Verdana" w:cs="Arial"/>
          <w:lang w:val="es-ES_tradnl"/>
        </w:rPr>
      </w:pPr>
      <w:r w:rsidRPr="00AD5F4A">
        <w:rPr>
          <w:rFonts w:ascii="Verdana" w:eastAsia="Calibri" w:hAnsi="Verdana" w:cs="Arial"/>
          <w:lang w:val="es-ES_tradnl"/>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AD5F4A">
        <w:rPr>
          <w:rFonts w:ascii="Verdana" w:eastAsia="Calibri" w:hAnsi="Verdana" w:cs="Arial"/>
          <w:i/>
          <w:iCs/>
          <w:lang w:val="es-ES_tradnl"/>
        </w:rPr>
        <w:t>restrictiva</w:t>
      </w:r>
      <w:r w:rsidRPr="00AD5F4A">
        <w:rPr>
          <w:rStyle w:val="Refdenotaalpie"/>
          <w:rFonts w:ascii="Verdana" w:eastAsia="Calibri" w:hAnsi="Verdana" w:cs="Arial"/>
          <w:i/>
          <w:iCs/>
          <w:lang w:val="es-ES_tradnl"/>
        </w:rPr>
        <w:footnoteReference w:id="17"/>
      </w:r>
      <w:r w:rsidRPr="00AD5F4A">
        <w:rPr>
          <w:rFonts w:ascii="Verdana" w:eastAsia="Calibri" w:hAnsi="Verdana" w:cs="Arial"/>
          <w:i/>
          <w:iCs/>
          <w:lang w:val="es-ES_tradnl"/>
        </w:rPr>
        <w:t xml:space="preserve">, </w:t>
      </w:r>
      <w:r w:rsidRPr="00AD5F4A">
        <w:rPr>
          <w:rFonts w:ascii="Verdana" w:eastAsia="Calibri" w:hAnsi="Verdana" w:cs="Arial"/>
          <w:lang w:val="es-ES_tradnl"/>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1C8E7002" w14:textId="77777777" w:rsidR="002426E8" w:rsidRPr="00AD5F4A" w:rsidRDefault="002426E8" w:rsidP="002426E8">
      <w:pPr>
        <w:spacing w:after="0" w:line="276" w:lineRule="auto"/>
        <w:ind w:firstLine="709"/>
        <w:jc w:val="both"/>
        <w:rPr>
          <w:rFonts w:ascii="Verdana" w:eastAsia="Calibri" w:hAnsi="Verdana" w:cs="Arial"/>
          <w:lang w:val="es-ES_tradnl"/>
        </w:rPr>
      </w:pPr>
      <w:r w:rsidRPr="00AD5F4A">
        <w:rPr>
          <w:rFonts w:ascii="Verdana" w:eastAsia="Calibri" w:hAnsi="Verdana" w:cs="Arial"/>
          <w:lang w:val="es-ES_tradnl"/>
        </w:rPr>
        <w:t xml:space="preserve">En efecto,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w:t>
      </w:r>
      <w:r w:rsidRPr="00AD5F4A">
        <w:rPr>
          <w:rFonts w:ascii="Verdana" w:eastAsia="Calibri" w:hAnsi="Verdana" w:cs="Arial"/>
          <w:lang w:val="es-ES_tradnl"/>
        </w:rPr>
        <w:lastRenderedPageBreak/>
        <w:t>extensiva para ampliar el alcance de las causales legalmente fijadas”</w:t>
      </w:r>
      <w:r w:rsidRPr="00AD5F4A">
        <w:rPr>
          <w:rStyle w:val="Refdenotaalpie"/>
          <w:rFonts w:ascii="Verdana" w:eastAsia="Calibri" w:hAnsi="Verdana" w:cs="Arial"/>
          <w:lang w:val="es-ES_tradnl"/>
        </w:rPr>
        <w:footnoteReference w:id="18"/>
      </w:r>
      <w:r w:rsidRPr="00AD5F4A">
        <w:rPr>
          <w:rFonts w:ascii="Verdana" w:eastAsia="Calibri" w:hAnsi="Verdana" w:cs="Arial"/>
          <w:lang w:val="es-ES_tradnl"/>
        </w:rPr>
        <w:t>. 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AD5F4A">
        <w:rPr>
          <w:rStyle w:val="Refdenotaalpie"/>
          <w:rFonts w:ascii="Verdana" w:eastAsia="Calibri" w:hAnsi="Verdana" w:cs="Arial"/>
          <w:lang w:val="es-ES_tradnl"/>
        </w:rPr>
        <w:footnoteReference w:id="19"/>
      </w:r>
      <w:r w:rsidRPr="00AD5F4A">
        <w:rPr>
          <w:rFonts w:ascii="Verdana" w:eastAsia="Calibri" w:hAnsi="Verdana" w:cs="Arial"/>
          <w:lang w:val="es-ES_tradnl"/>
        </w:rPr>
        <w:t>. En tal sentido, la Sección Tercera ha señalado que:</w:t>
      </w:r>
    </w:p>
    <w:p w14:paraId="1F6BB633" w14:textId="77777777" w:rsidR="002426E8" w:rsidRPr="00AD5F4A" w:rsidRDefault="002426E8" w:rsidP="002426E8">
      <w:pPr>
        <w:spacing w:after="0"/>
        <w:ind w:firstLine="709"/>
        <w:jc w:val="both"/>
        <w:rPr>
          <w:rFonts w:ascii="Verdana" w:eastAsia="Calibri" w:hAnsi="Verdana" w:cs="Arial"/>
          <w:lang w:val="es-ES_tradnl"/>
        </w:rPr>
      </w:pPr>
    </w:p>
    <w:p w14:paraId="02398238" w14:textId="77777777" w:rsidR="002426E8" w:rsidRPr="00AD5F4A" w:rsidRDefault="002426E8" w:rsidP="002426E8">
      <w:pPr>
        <w:spacing w:after="0" w:line="240" w:lineRule="auto"/>
        <w:ind w:left="709" w:right="709"/>
        <w:jc w:val="both"/>
        <w:rPr>
          <w:rFonts w:ascii="Verdana" w:eastAsia="Calibri" w:hAnsi="Verdana" w:cs="Arial"/>
          <w:sz w:val="20"/>
          <w:szCs w:val="20"/>
          <w:lang w:val="es-ES_tradnl"/>
        </w:rPr>
      </w:pPr>
      <w:r w:rsidRPr="00AD5F4A">
        <w:rPr>
          <w:rFonts w:ascii="Verdana" w:hAnsi="Verdana" w:cs="Arial"/>
          <w:sz w:val="20"/>
          <w:szCs w:val="20"/>
          <w:lang w:val="es-ES_tradnl"/>
        </w:rPr>
        <w:t>“[…] de conformidad con la jurisprudencia uniforme y reiterada de esta Corporación, la aplicación de las normas que contemplan inhabilidades e incompatibilidades, como en general de todas aquellas que comportan prohibiciones o limitaciones, deben responder a una interpretación restrictiva que no permite su extensión, por vía de la figura de la analogía, a supuestos no contemplados por el ordenamiento”</w:t>
      </w:r>
      <w:r w:rsidRPr="00AD5F4A">
        <w:rPr>
          <w:rStyle w:val="Refdenotaalpie"/>
          <w:rFonts w:ascii="Verdana" w:hAnsi="Verdana" w:cs="Arial"/>
          <w:sz w:val="20"/>
          <w:szCs w:val="20"/>
          <w:lang w:val="es-ES_tradnl"/>
        </w:rPr>
        <w:footnoteReference w:id="20"/>
      </w:r>
      <w:r w:rsidRPr="00AD5F4A">
        <w:rPr>
          <w:rFonts w:ascii="Verdana" w:hAnsi="Verdana" w:cs="Arial"/>
          <w:sz w:val="20"/>
          <w:szCs w:val="20"/>
          <w:lang w:val="es-ES_tradnl"/>
        </w:rPr>
        <w:t>.</w:t>
      </w:r>
    </w:p>
    <w:p w14:paraId="734560F4" w14:textId="77777777" w:rsidR="002426E8" w:rsidRPr="00AD5F4A" w:rsidRDefault="002426E8" w:rsidP="002426E8">
      <w:pPr>
        <w:spacing w:after="0" w:line="276" w:lineRule="auto"/>
        <w:ind w:firstLine="709"/>
        <w:jc w:val="both"/>
        <w:rPr>
          <w:rFonts w:ascii="Verdana" w:eastAsia="Calibri" w:hAnsi="Verdana" w:cs="Arial"/>
          <w:lang w:val="es-ES_tradnl"/>
        </w:rPr>
      </w:pPr>
    </w:p>
    <w:p w14:paraId="47A55CD7" w14:textId="77777777" w:rsidR="002426E8" w:rsidRDefault="002426E8" w:rsidP="002426E8">
      <w:pPr>
        <w:spacing w:after="0"/>
        <w:ind w:firstLine="709"/>
        <w:jc w:val="both"/>
        <w:rPr>
          <w:rFonts w:ascii="Verdana" w:eastAsia="Calibri" w:hAnsi="Verdana" w:cs="Arial"/>
          <w:lang w:val="es-ES_tradnl"/>
        </w:rPr>
      </w:pPr>
      <w:r w:rsidRPr="00AD5F4A">
        <w:rPr>
          <w:rFonts w:ascii="Verdana" w:eastAsia="Calibri" w:hAnsi="Verdana" w:cs="Arial"/>
          <w:lang w:val="es-ES_tradnl"/>
        </w:rPr>
        <w:t>También ha dicho que:</w:t>
      </w:r>
    </w:p>
    <w:p w14:paraId="2DE7799A" w14:textId="77777777" w:rsidR="002426E8" w:rsidRPr="00AD5F4A" w:rsidRDefault="002426E8" w:rsidP="002426E8">
      <w:pPr>
        <w:spacing w:after="0" w:line="276" w:lineRule="auto"/>
        <w:ind w:firstLine="709"/>
        <w:jc w:val="both"/>
        <w:rPr>
          <w:rFonts w:ascii="Verdana" w:eastAsia="Calibri" w:hAnsi="Verdana" w:cs="Arial"/>
          <w:lang w:val="es-ES_tradnl"/>
        </w:rPr>
      </w:pPr>
    </w:p>
    <w:p w14:paraId="2430C617" w14:textId="77777777" w:rsidR="002426E8" w:rsidRPr="00AD5F4A" w:rsidRDefault="002426E8" w:rsidP="002426E8">
      <w:pPr>
        <w:spacing w:after="0" w:line="240" w:lineRule="auto"/>
        <w:ind w:left="709" w:right="616"/>
        <w:jc w:val="both"/>
        <w:rPr>
          <w:rFonts w:ascii="Verdana" w:hAnsi="Verdana" w:cs="Arial"/>
          <w:sz w:val="20"/>
          <w:szCs w:val="20"/>
          <w:lang w:val="es-ES"/>
        </w:rPr>
      </w:pPr>
      <w:r w:rsidRPr="5DD5EE4A">
        <w:rPr>
          <w:rFonts w:ascii="Verdana" w:hAnsi="Verdana" w:cs="Arial"/>
          <w:sz w:val="20"/>
          <w:szCs w:val="20"/>
          <w:lang w:val="es-ES"/>
        </w:rPr>
        <w:t xml:space="preserve">“[…] la aplicación de estos preceptos exige una interpretación restrictiva, dado que según el principio hermenéutico </w:t>
      </w:r>
      <w:r w:rsidRPr="5DD5EE4A">
        <w:rPr>
          <w:rFonts w:ascii="Verdana" w:hAnsi="Verdana" w:cs="Arial"/>
          <w:i/>
          <w:sz w:val="20"/>
          <w:szCs w:val="20"/>
          <w:lang w:val="es-ES"/>
        </w:rPr>
        <w:t xml:space="preserve">pro </w:t>
      </w:r>
      <w:proofErr w:type="spellStart"/>
      <w:r w:rsidRPr="5DD5EE4A">
        <w:rPr>
          <w:rFonts w:ascii="Verdana" w:hAnsi="Verdana" w:cs="Arial"/>
          <w:i/>
          <w:sz w:val="20"/>
          <w:szCs w:val="20"/>
          <w:lang w:val="es-ES"/>
        </w:rPr>
        <w:t>libertate</w:t>
      </w:r>
      <w:proofErr w:type="spellEnd"/>
      <w:r w:rsidRPr="5DD5EE4A">
        <w:rPr>
          <w:rFonts w:ascii="Verdana" w:hAnsi="Verdana" w:cs="Arial"/>
          <w:sz w:val="20"/>
          <w:szCs w:val="20"/>
          <w:lang w:val="es-ES"/>
        </w:rPr>
        <w:t>, entre varias interpretaciones posibles de una norma que regula una inhabilidad, debe preferirse aquella que menos limita el derecho de las personas; en otros términos, se encuentra prohibida constitucionalmente la interpretación extensiva de las causales de inhabilidad, toda vez que las palabras de la ley son la frontera que no se puede traspasar en el ejercicio hermenéutico de las mismas, pues de hacerlo se vulnerarían los derechos fundamentales al debido proceso (art. 29 CN) y a la igualdad (art. 13 Ibid.); […]”</w:t>
      </w:r>
      <w:r w:rsidRPr="5DD5EE4A">
        <w:rPr>
          <w:rStyle w:val="Refdenotaalpie"/>
          <w:rFonts w:ascii="Verdana" w:hAnsi="Verdana" w:cs="Arial"/>
          <w:sz w:val="20"/>
          <w:szCs w:val="20"/>
          <w:lang w:val="es-ES"/>
        </w:rPr>
        <w:footnoteReference w:id="21"/>
      </w:r>
      <w:r w:rsidRPr="5DD5EE4A">
        <w:rPr>
          <w:rFonts w:ascii="Verdana" w:hAnsi="Verdana" w:cs="Arial"/>
          <w:sz w:val="20"/>
          <w:szCs w:val="20"/>
          <w:lang w:val="es-ES"/>
        </w:rPr>
        <w:t>.</w:t>
      </w:r>
    </w:p>
    <w:p w14:paraId="7E2C1C38" w14:textId="77777777" w:rsidR="002426E8" w:rsidRPr="00AD5F4A" w:rsidRDefault="002426E8" w:rsidP="002426E8">
      <w:pPr>
        <w:spacing w:after="0" w:line="276" w:lineRule="auto"/>
        <w:ind w:firstLine="708"/>
        <w:jc w:val="both"/>
        <w:rPr>
          <w:rFonts w:ascii="Verdana" w:eastAsia="Arial" w:hAnsi="Verdana" w:cs="Arial"/>
          <w:color w:val="000000"/>
          <w:lang w:val="es-ES_tradnl"/>
        </w:rPr>
      </w:pPr>
    </w:p>
    <w:p w14:paraId="7D439590" w14:textId="77777777" w:rsidR="002426E8" w:rsidRDefault="002426E8" w:rsidP="002426E8">
      <w:pPr>
        <w:tabs>
          <w:tab w:val="left" w:pos="709"/>
        </w:tabs>
        <w:spacing w:after="0" w:line="276" w:lineRule="auto"/>
        <w:jc w:val="both"/>
        <w:rPr>
          <w:rFonts w:ascii="Verdana" w:hAnsi="Verdana" w:cs="Arial"/>
          <w:color w:val="000000" w:themeColor="text1"/>
        </w:rPr>
      </w:pPr>
      <w:bookmarkStart w:id="4" w:name="_Hlk136439150"/>
      <w:r>
        <w:rPr>
          <w:rFonts w:ascii="Verdana" w:eastAsia="Arial" w:hAnsi="Verdana" w:cs="Arial"/>
          <w:color w:val="000000"/>
          <w:lang w:val="es-ES_tradnl"/>
        </w:rPr>
        <w:tab/>
      </w:r>
      <w:r w:rsidRPr="00AD5F4A">
        <w:rPr>
          <w:rFonts w:ascii="Verdana" w:eastAsia="Arial" w:hAnsi="Verdana" w:cs="Arial"/>
          <w:color w:val="000000"/>
          <w:lang w:val="es-ES_tradnl"/>
        </w:rPr>
        <w:t xml:space="preserve">Como se aprecia, el principio </w:t>
      </w:r>
      <w:r w:rsidRPr="00AD5F4A">
        <w:rPr>
          <w:rFonts w:ascii="Verdana" w:eastAsia="Arial" w:hAnsi="Verdana" w:cs="Arial"/>
          <w:i/>
          <w:iCs/>
          <w:color w:val="000000"/>
          <w:lang w:val="es-ES_tradnl"/>
        </w:rPr>
        <w:t xml:space="preserve">pro </w:t>
      </w:r>
      <w:proofErr w:type="spellStart"/>
      <w:r w:rsidRPr="00AD5F4A">
        <w:rPr>
          <w:rFonts w:ascii="Verdana" w:eastAsia="Arial" w:hAnsi="Verdana" w:cs="Arial"/>
          <w:i/>
          <w:iCs/>
          <w:color w:val="000000"/>
          <w:lang w:val="es-ES_tradnl"/>
        </w:rPr>
        <w:t>libertate</w:t>
      </w:r>
      <w:proofErr w:type="spellEnd"/>
      <w:r w:rsidRPr="00AD5F4A">
        <w:rPr>
          <w:rFonts w:ascii="Verdana" w:eastAsia="Arial" w:hAnsi="Verdana" w:cs="Arial"/>
          <w:color w:val="000000"/>
          <w:lang w:val="es-ES_tradnl"/>
        </w:rPr>
        <w:t xml:space="preserve"> es el que debe dirigir la interpretación de las disposiciones normativas que consagran restricciones de derechos, como sucede con las causales de inhabilidad e incompatibilidad en la contratación estatal. Además, en relación con la determinación de las causales </w:t>
      </w:r>
      <w:r w:rsidRPr="00AD5F4A">
        <w:rPr>
          <w:rFonts w:ascii="Verdana" w:eastAsia="Arial" w:hAnsi="Verdana" w:cs="Arial"/>
          <w:color w:val="000000"/>
          <w:lang w:val="es-ES_tradnl"/>
        </w:rPr>
        <w:lastRenderedPageBreak/>
        <w:t>de inhabilidad e incompatibilidad, la</w:t>
      </w:r>
      <w:r w:rsidRPr="00AD5F4A">
        <w:rPr>
          <w:rFonts w:ascii="Verdana" w:hAnsi="Verdana" w:cs="Arial"/>
          <w:color w:val="000000" w:themeColor="text1"/>
        </w:rPr>
        <w:t xml:space="preserve"> Corte Constitucional ha resaltado que la competencia para determinar qué hechos o situaciones generan inhabilidades o incompatibilidades para contratar con el Estado la tiene el legislador</w:t>
      </w:r>
      <w:bookmarkEnd w:id="4"/>
      <w:r w:rsidRPr="00AD5F4A">
        <w:rPr>
          <w:rStyle w:val="Refdenotaalpie"/>
          <w:rFonts w:ascii="Verdana" w:hAnsi="Verdana" w:cs="Arial"/>
          <w:color w:val="000000" w:themeColor="text1"/>
        </w:rPr>
        <w:footnoteReference w:id="22"/>
      </w:r>
      <w:r w:rsidRPr="00AD5F4A">
        <w:rPr>
          <w:rFonts w:ascii="Verdana" w:hAnsi="Verdana" w:cs="Arial"/>
          <w:color w:val="000000" w:themeColor="text1"/>
        </w:rPr>
        <w:t>.</w:t>
      </w:r>
    </w:p>
    <w:p w14:paraId="24CDB3DE" w14:textId="77777777" w:rsidR="002426E8" w:rsidRDefault="002426E8" w:rsidP="002426E8">
      <w:pPr>
        <w:tabs>
          <w:tab w:val="left" w:pos="709"/>
        </w:tabs>
        <w:spacing w:after="0" w:line="276" w:lineRule="auto"/>
        <w:jc w:val="both"/>
        <w:rPr>
          <w:rFonts w:ascii="Verdana" w:hAnsi="Verdana" w:cs="Arial"/>
          <w:color w:val="000000" w:themeColor="text1"/>
        </w:rPr>
      </w:pPr>
    </w:p>
    <w:p w14:paraId="027A1D8D" w14:textId="77777777" w:rsidR="002426E8" w:rsidRDefault="002426E8" w:rsidP="002426E8">
      <w:pPr>
        <w:tabs>
          <w:tab w:val="left" w:pos="709"/>
        </w:tabs>
        <w:spacing w:after="180" w:line="276" w:lineRule="auto"/>
        <w:jc w:val="both"/>
        <w:rPr>
          <w:rFonts w:ascii="Verdana" w:hAnsi="Verdana" w:cs="Arial"/>
          <w:color w:val="000000" w:themeColor="text1"/>
        </w:rPr>
      </w:pPr>
      <w:proofErr w:type="spellStart"/>
      <w:r>
        <w:rPr>
          <w:rFonts w:ascii="Verdana" w:hAnsi="Verdana" w:cs="Arial"/>
          <w:color w:val="000000" w:themeColor="text1"/>
        </w:rPr>
        <w:t>ii</w:t>
      </w:r>
      <w:proofErr w:type="spellEnd"/>
      <w:r>
        <w:rPr>
          <w:rFonts w:ascii="Verdana" w:hAnsi="Verdana" w:cs="Arial"/>
          <w:color w:val="000000" w:themeColor="text1"/>
        </w:rPr>
        <w:t>. El literal a) del artículo 8.1 de la Ley 80 de 1993 dispone que no pueden</w:t>
      </w:r>
      <w:r w:rsidRPr="00826291">
        <w:rPr>
          <w:rFonts w:ascii="Verdana" w:hAnsi="Verdana" w:cs="Arial"/>
          <w:color w:val="000000" w:themeColor="text1"/>
        </w:rPr>
        <w:t xml:space="preserve"> participar en </w:t>
      </w:r>
      <w:r>
        <w:rPr>
          <w:rFonts w:ascii="Verdana" w:hAnsi="Verdana" w:cs="Arial"/>
          <w:color w:val="000000" w:themeColor="text1"/>
        </w:rPr>
        <w:t>procesos de selección</w:t>
      </w:r>
      <w:r w:rsidRPr="00826291">
        <w:rPr>
          <w:rFonts w:ascii="Verdana" w:hAnsi="Verdana" w:cs="Arial"/>
          <w:color w:val="000000" w:themeColor="text1"/>
        </w:rPr>
        <w:t xml:space="preserve"> y</w:t>
      </w:r>
      <w:r>
        <w:rPr>
          <w:rFonts w:ascii="Verdana" w:hAnsi="Verdana" w:cs="Arial"/>
          <w:color w:val="000000" w:themeColor="text1"/>
        </w:rPr>
        <w:t xml:space="preserve"> que</w:t>
      </w:r>
      <w:r w:rsidRPr="00826291">
        <w:rPr>
          <w:rFonts w:ascii="Verdana" w:hAnsi="Verdana" w:cs="Arial"/>
          <w:color w:val="000000" w:themeColor="text1"/>
        </w:rPr>
        <w:t xml:space="preserve"> </w:t>
      </w:r>
      <w:r>
        <w:rPr>
          <w:rFonts w:ascii="Verdana" w:hAnsi="Verdana" w:cs="Arial"/>
          <w:color w:val="000000" w:themeColor="text1"/>
        </w:rPr>
        <w:t>carecen de capacidad para</w:t>
      </w:r>
      <w:r w:rsidRPr="00826291">
        <w:rPr>
          <w:rFonts w:ascii="Verdana" w:hAnsi="Verdana" w:cs="Arial"/>
          <w:color w:val="000000" w:themeColor="text1"/>
        </w:rPr>
        <w:t xml:space="preserve"> celebrar contratos </w:t>
      </w:r>
      <w:r>
        <w:rPr>
          <w:rFonts w:ascii="Verdana" w:hAnsi="Verdana" w:cs="Arial"/>
          <w:color w:val="000000" w:themeColor="text1"/>
        </w:rPr>
        <w:t>estatales “</w:t>
      </w:r>
      <w:r w:rsidRPr="00826291">
        <w:rPr>
          <w:rFonts w:ascii="Verdana" w:hAnsi="Verdana" w:cs="Arial"/>
          <w:color w:val="000000" w:themeColor="text1"/>
        </w:rPr>
        <w:t>Las personas que se hallen inhabilitadas para contratar por la Constitución y las leyes</w:t>
      </w:r>
      <w:r>
        <w:rPr>
          <w:rFonts w:ascii="Verdana" w:hAnsi="Verdana" w:cs="Arial"/>
          <w:color w:val="000000" w:themeColor="text1"/>
        </w:rPr>
        <w:t>”. Al respecto, el inciso tercero del artículo 49 de la Ley 617 de 2000 –</w:t>
      </w:r>
      <w:r w:rsidRPr="004A7547">
        <w:rPr>
          <w:rFonts w:ascii="Verdana" w:hAnsi="Verdana" w:cs="Arial"/>
          <w:color w:val="000000" w:themeColor="text1"/>
        </w:rPr>
        <w:t>modificado por las Leyes 821 de 2003, 1148 de 2007 y 1296 de 2009</w:t>
      </w:r>
      <w:r>
        <w:rPr>
          <w:rFonts w:ascii="Verdana" w:hAnsi="Verdana" w:cs="Arial"/>
          <w:color w:val="000000" w:themeColor="text1"/>
        </w:rPr>
        <w:t>– dispone lo siguiente: “</w:t>
      </w:r>
      <w:r w:rsidRPr="00E71560">
        <w:rPr>
          <w:rFonts w:ascii="Verdana" w:hAnsi="Verdana" w:cs="Arial"/>
          <w:color w:val="000000" w:themeColor="text1"/>
        </w:rPr>
        <w:t>Los cónyuges o compañeros permanentes de los gobernadores, diputados, alcaldes municipales y distritales, concejales municipales y distritales y sus parientes dentro del cuarto grado de consanguinidad, segundo de afinidad, o primero civil no podrán ser contratistas del respectivo departamento, distrito o municipio, o de sus entidades descentralizadas, ni directa, ni indirectamente</w:t>
      </w:r>
      <w:r>
        <w:rPr>
          <w:rFonts w:ascii="Verdana" w:hAnsi="Verdana" w:cs="Arial"/>
          <w:color w:val="000000" w:themeColor="text1"/>
        </w:rPr>
        <w:t xml:space="preserve">”. </w:t>
      </w:r>
      <w:r w:rsidRPr="004A2D00">
        <w:rPr>
          <w:rFonts w:ascii="Verdana" w:hAnsi="Verdana" w:cs="Arial"/>
          <w:color w:val="000000" w:themeColor="text1"/>
        </w:rPr>
        <w:t xml:space="preserve">Los efectos de esta restricción deben armonizarse con el parágrafo tercero </w:t>
      </w:r>
      <w:r>
        <w:rPr>
          <w:rFonts w:ascii="Verdana" w:hAnsi="Verdana" w:cs="Arial"/>
          <w:color w:val="000000" w:themeColor="text1"/>
        </w:rPr>
        <w:t>de la norma precitada</w:t>
      </w:r>
      <w:r w:rsidRPr="004A2D00">
        <w:rPr>
          <w:rFonts w:ascii="Verdana" w:hAnsi="Verdana" w:cs="Arial"/>
          <w:color w:val="000000" w:themeColor="text1"/>
        </w:rPr>
        <w:t xml:space="preserve">, </w:t>
      </w:r>
      <w:r>
        <w:rPr>
          <w:rFonts w:ascii="Verdana" w:hAnsi="Verdana" w:cs="Arial"/>
          <w:color w:val="000000" w:themeColor="text1"/>
        </w:rPr>
        <w:t>pues</w:t>
      </w:r>
      <w:r w:rsidRPr="004A2D00">
        <w:rPr>
          <w:rFonts w:ascii="Verdana" w:hAnsi="Verdana" w:cs="Arial"/>
          <w:color w:val="000000" w:themeColor="text1"/>
        </w:rPr>
        <w:t xml:space="preserve"> </w:t>
      </w:r>
      <w:r>
        <w:rPr>
          <w:rFonts w:ascii="Verdana" w:hAnsi="Verdana" w:cs="Arial"/>
          <w:color w:val="000000" w:themeColor="text1"/>
        </w:rPr>
        <w:t>“</w:t>
      </w:r>
      <w:r w:rsidRPr="004A2D00">
        <w:rPr>
          <w:rFonts w:ascii="Verdana" w:hAnsi="Verdana" w:cs="Arial"/>
          <w:color w:val="000000" w:themeColor="text1"/>
        </w:rPr>
        <w:t>Tratándose de concejales de municipios de cuarta, quinta y sexta categoría, las prohibiciones establecidas en el presente artículo se aplicarán únicamente para los cónyuges o compañeros permanentes y parientes hasta el segundo grado de consanguinidad, primero de afinidad o único civil</w:t>
      </w:r>
      <w:r>
        <w:rPr>
          <w:rFonts w:ascii="Verdana" w:hAnsi="Verdana" w:cs="Arial"/>
          <w:color w:val="000000" w:themeColor="text1"/>
        </w:rPr>
        <w:t>”</w:t>
      </w:r>
      <w:r w:rsidRPr="004A2D00">
        <w:rPr>
          <w:rFonts w:ascii="Verdana" w:hAnsi="Verdana" w:cs="Arial"/>
          <w:color w:val="000000" w:themeColor="text1"/>
        </w:rPr>
        <w:t>.</w:t>
      </w:r>
      <w:r>
        <w:rPr>
          <w:rFonts w:ascii="Verdana" w:hAnsi="Verdana" w:cs="Arial"/>
          <w:color w:val="000000" w:themeColor="text1"/>
        </w:rPr>
        <w:t xml:space="preserve"> </w:t>
      </w:r>
    </w:p>
    <w:p w14:paraId="21CC4BCB" w14:textId="77777777" w:rsidR="002426E8" w:rsidRDefault="002426E8" w:rsidP="002426E8">
      <w:pPr>
        <w:tabs>
          <w:tab w:val="left" w:pos="709"/>
        </w:tabs>
        <w:spacing w:after="180" w:line="276" w:lineRule="auto"/>
        <w:jc w:val="both"/>
        <w:rPr>
          <w:rFonts w:ascii="Verdana" w:hAnsi="Verdana" w:cs="Arial"/>
          <w:color w:val="000000" w:themeColor="text1"/>
        </w:rPr>
      </w:pPr>
      <w:r>
        <w:rPr>
          <w:rFonts w:ascii="Verdana" w:hAnsi="Verdana" w:cs="Arial"/>
          <w:color w:val="000000" w:themeColor="text1"/>
        </w:rPr>
        <w:tab/>
        <w:t>Si bien el artículo el artículo 313.3 de la Constitución Política de 1991 faculta a los concejos para “</w:t>
      </w:r>
      <w:r w:rsidRPr="00407523">
        <w:rPr>
          <w:rFonts w:ascii="Verdana" w:hAnsi="Verdana" w:cs="Arial"/>
          <w:color w:val="000000" w:themeColor="text1"/>
        </w:rPr>
        <w:t>Autorizar al alcalde para celebrar contratos</w:t>
      </w:r>
      <w:r>
        <w:rPr>
          <w:rFonts w:ascii="Verdana" w:hAnsi="Verdana" w:cs="Arial"/>
          <w:color w:val="000000" w:themeColor="text1"/>
        </w:rPr>
        <w:t xml:space="preserve"> […]”, la inhabilidad prevista en el inciso tercero y en el parágrafo 3 del artículo 49 de la Ley 617 de 2000 es independiente la competencia regulada tanto en el numeral tercero como en el parágrafo 4 del artículo </w:t>
      </w:r>
      <w:r w:rsidRPr="00D5666B">
        <w:rPr>
          <w:rFonts w:ascii="Verdana" w:hAnsi="Verdana" w:cs="Arial"/>
          <w:color w:val="000000" w:themeColor="text1"/>
        </w:rPr>
        <w:t>32 de la Ley 136 de 1994</w:t>
      </w:r>
      <w:r>
        <w:rPr>
          <w:rStyle w:val="Refdenotaalpie"/>
          <w:rFonts w:ascii="Verdana" w:hAnsi="Verdana" w:cs="Arial"/>
          <w:color w:val="000000" w:themeColor="text1"/>
        </w:rPr>
        <w:footnoteReference w:id="23"/>
      </w:r>
      <w:r>
        <w:rPr>
          <w:rFonts w:ascii="Verdana" w:hAnsi="Verdana" w:cs="Arial"/>
          <w:color w:val="000000" w:themeColor="text1"/>
        </w:rPr>
        <w:t xml:space="preserve">. Así, la </w:t>
      </w:r>
      <w:r>
        <w:rPr>
          <w:rFonts w:ascii="Verdana" w:hAnsi="Verdana" w:cs="Arial"/>
          <w:color w:val="000000" w:themeColor="text1"/>
        </w:rPr>
        <w:lastRenderedPageBreak/>
        <w:t xml:space="preserve">restricción a la capacidad depende de la existencia del vínculo jurídico con las personas mencionadas en el párrafo anterior, sin importar que el concejal haya participado o no en la votación en la que se autoriza al alcalde para contratar. </w:t>
      </w:r>
    </w:p>
    <w:p w14:paraId="35846C9D" w14:textId="77777777" w:rsidR="002426E8" w:rsidRDefault="002426E8" w:rsidP="002426E8">
      <w:pPr>
        <w:tabs>
          <w:tab w:val="left" w:pos="709"/>
        </w:tabs>
        <w:spacing w:after="180" w:line="276" w:lineRule="auto"/>
        <w:jc w:val="both"/>
        <w:rPr>
          <w:rFonts w:ascii="Verdana" w:hAnsi="Verdana" w:cs="Arial"/>
          <w:color w:val="000000" w:themeColor="text1"/>
        </w:rPr>
      </w:pPr>
      <w:r>
        <w:rPr>
          <w:rFonts w:ascii="Verdana" w:hAnsi="Verdana" w:cs="Arial"/>
          <w:color w:val="000000" w:themeColor="text1"/>
        </w:rPr>
        <w:tab/>
        <w:t>La intervención del concejo para autorizar la celebración de contratos, al igual que la aprobación del presupuesto u otras decisiones de política pública, no implican la participación en los procesos contractuales de la alcaldía, pues corresponden a procedimientos administrativos independientes. No en vano, de acuerdo con el artículo 11.3 del EGCAP, tienen competencia para para adelantar procesos de selección y para celebrar contratos “</w:t>
      </w:r>
      <w:r w:rsidRPr="00BD643F">
        <w:rPr>
          <w:rFonts w:ascii="Verdana" w:hAnsi="Verdana" w:cs="Arial"/>
          <w:color w:val="000000" w:themeColor="text1"/>
        </w:rPr>
        <w:t>A nivel territorial, los gobernadores de los departamentos, los alcaldes municipales y de los distritos capital y especiales, los contralores departamentales, distritales y municipales, y los representantes legales de las regiones, las provincias, las áreas metropolitanas, los territorios indígenas y las asociaciones de municipios, en los términos y condiciones de las normas legales que regulen la organización y el funcionamiento de dichas entidades</w:t>
      </w:r>
      <w:r>
        <w:rPr>
          <w:rFonts w:ascii="Verdana" w:hAnsi="Verdana" w:cs="Arial"/>
          <w:color w:val="000000" w:themeColor="text1"/>
        </w:rPr>
        <w:t>”, sin que la norma haga referencia a los concejos</w:t>
      </w:r>
      <w:r>
        <w:rPr>
          <w:rStyle w:val="Refdenotaalpie"/>
          <w:rFonts w:ascii="Verdana" w:hAnsi="Verdana" w:cs="Arial"/>
          <w:color w:val="000000" w:themeColor="text1"/>
        </w:rPr>
        <w:footnoteReference w:id="24"/>
      </w:r>
      <w:r>
        <w:rPr>
          <w:rFonts w:ascii="Verdana" w:hAnsi="Verdana" w:cs="Arial"/>
          <w:color w:val="000000" w:themeColor="text1"/>
        </w:rPr>
        <w:t xml:space="preserve">.     </w:t>
      </w:r>
    </w:p>
    <w:p w14:paraId="3447808D" w14:textId="77777777" w:rsidR="002426E8" w:rsidRDefault="002426E8" w:rsidP="002426E8">
      <w:pPr>
        <w:spacing w:after="120" w:line="276" w:lineRule="auto"/>
        <w:jc w:val="both"/>
        <w:rPr>
          <w:rFonts w:ascii="Verdana" w:eastAsia="Calibri" w:hAnsi="Verdana" w:cs="Arial"/>
          <w:color w:val="000000" w:themeColor="text1"/>
          <w:lang w:val="es-ES_tradnl"/>
        </w:rPr>
      </w:pPr>
      <w:r>
        <w:rPr>
          <w:rFonts w:ascii="Verdana" w:hAnsi="Verdana" w:cs="Arial"/>
          <w:color w:val="000000" w:themeColor="text1"/>
        </w:rPr>
        <w:tab/>
        <w:t xml:space="preserve">Asimismo, la inhabilidad del inciso tercero y en el parágrafo 3 del artículo 49 de la Ley 617 de 2000 tampoco se sanea con la declaración del conflicto de intereses por parte del concejal, pues se trata de una institución con efectos jurídicos distintos a los de las inhabilidades e incompatibilidades. </w:t>
      </w:r>
      <w:r>
        <w:rPr>
          <w:rFonts w:ascii="Verdana" w:eastAsia="Calibri" w:hAnsi="Verdana" w:cs="Arial"/>
          <w:color w:val="000000" w:themeColor="text1"/>
          <w:lang w:val="es-ES_tradnl"/>
        </w:rPr>
        <w:t>D</w:t>
      </w:r>
      <w:r w:rsidRPr="00A93432">
        <w:rPr>
          <w:rFonts w:ascii="Verdana" w:eastAsia="Calibri" w:hAnsi="Verdana" w:cs="Arial"/>
          <w:color w:val="000000" w:themeColor="text1"/>
          <w:lang w:val="es-ES_tradnl"/>
        </w:rPr>
        <w:t xml:space="preserve">e acuerdo con el artículo 209 de la Constitución Política de 1991, la función administrativa debe desarrollarse conforme al principio de moralidad, mandato que se concreta en la idea de que </w:t>
      </w:r>
      <w:r>
        <w:rPr>
          <w:rFonts w:ascii="Verdana" w:eastAsia="Calibri" w:hAnsi="Verdana" w:cs="Arial"/>
          <w:color w:val="000000" w:themeColor="text1"/>
          <w:lang w:val="es-ES_tradnl"/>
        </w:rPr>
        <w:t>“</w:t>
      </w:r>
      <w:r w:rsidRPr="00A93432">
        <w:rPr>
          <w:rFonts w:ascii="Verdana" w:eastAsia="Calibri" w:hAnsi="Verdana" w:cs="Arial"/>
          <w:color w:val="000000" w:themeColor="text1"/>
          <w:lang w:val="es-ES_tradnl"/>
        </w:rPr>
        <w:t>[…] todas las personas y los servidores públicos están obligados a actuar con rectitud, lealtad y honestidad en las actuaciones administrativas […]</w:t>
      </w:r>
      <w:r>
        <w:rPr>
          <w:rFonts w:ascii="Verdana" w:eastAsia="Calibri" w:hAnsi="Verdana" w:cs="Arial"/>
          <w:color w:val="000000" w:themeColor="text1"/>
          <w:lang w:val="es-ES_tradnl"/>
        </w:rPr>
        <w:t>”</w:t>
      </w:r>
      <w:r w:rsidRPr="00A93432">
        <w:rPr>
          <w:rFonts w:ascii="Verdana" w:eastAsia="Calibri" w:hAnsi="Verdana" w:cs="Arial"/>
          <w:color w:val="000000" w:themeColor="text1"/>
          <w:lang w:val="es-ES_tradnl"/>
        </w:rPr>
        <w:t xml:space="preserve"> –numeral 5 del artículo 3 de la Ley 1437 de 2011–. En desarrollo de esta directriz, </w:t>
      </w:r>
      <w:bookmarkStart w:id="5" w:name="_Hlk36672204"/>
      <w:r w:rsidRPr="00A93432">
        <w:rPr>
          <w:rFonts w:ascii="Verdana" w:eastAsia="Calibri" w:hAnsi="Verdana" w:cs="Arial"/>
          <w:color w:val="000000" w:themeColor="text1"/>
          <w:lang w:val="es-ES_tradnl"/>
        </w:rPr>
        <w:t xml:space="preserve">el régimen de los </w:t>
      </w:r>
      <w:r w:rsidRPr="00A93432">
        <w:rPr>
          <w:rFonts w:ascii="Verdana" w:eastAsia="Calibri" w:hAnsi="Verdana" w:cs="Arial"/>
          <w:i/>
          <w:iCs/>
          <w:color w:val="000000" w:themeColor="text1"/>
          <w:lang w:val="es-ES_tradnl"/>
        </w:rPr>
        <w:t>conflictos de interés</w:t>
      </w:r>
      <w:r w:rsidRPr="00A93432">
        <w:rPr>
          <w:rFonts w:ascii="Verdana" w:eastAsia="Calibri" w:hAnsi="Verdana" w:cs="Arial"/>
          <w:color w:val="000000" w:themeColor="text1"/>
          <w:lang w:val="es-ES_tradnl"/>
        </w:rPr>
        <w:t xml:space="preserve"> tiene como objetivo la prevalencia del bien común sobre el particular, razón por la cual se configuran cuando los servidores públicos actúan influenciados por consideraciones </w:t>
      </w:r>
      <w:r w:rsidRPr="00A93432">
        <w:rPr>
          <w:rFonts w:ascii="Verdana" w:eastAsia="Calibri" w:hAnsi="Verdana" w:cs="Arial"/>
          <w:color w:val="000000" w:themeColor="text1"/>
          <w:lang w:val="es-ES_tradnl"/>
        </w:rPr>
        <w:lastRenderedPageBreak/>
        <w:t xml:space="preserve">personales que colisionan con el deber de preservar su independencia e imparcialidad. En este sentido, se definen como la </w:t>
      </w:r>
      <w:bookmarkStart w:id="6" w:name="_Hlk36668905"/>
      <w:r w:rsidRPr="00A93432">
        <w:rPr>
          <w:rFonts w:ascii="Verdana" w:eastAsia="Calibri" w:hAnsi="Verdana" w:cs="Arial"/>
          <w:color w:val="000000" w:themeColor="text1"/>
          <w:lang w:val="es-ES_tradnl"/>
        </w:rPr>
        <w:t>concurrencia de intereses antagónicos que afectan la transparencia de las decisiones, al implicar –en detrimento del interés general– el aprovechamiento personal, familiar o particular</w:t>
      </w:r>
      <w:bookmarkEnd w:id="5"/>
      <w:bookmarkEnd w:id="6"/>
      <w:r w:rsidRPr="00A93432">
        <w:rPr>
          <w:rStyle w:val="Refdenotaalpie"/>
          <w:rFonts w:ascii="Verdana" w:eastAsia="Calibri" w:hAnsi="Verdana" w:cs="Arial"/>
          <w:color w:val="000000" w:themeColor="text1"/>
          <w:lang w:val="es-ES_tradnl"/>
        </w:rPr>
        <w:footnoteReference w:id="25"/>
      </w:r>
      <w:r w:rsidRPr="00A93432">
        <w:rPr>
          <w:rFonts w:ascii="Verdana" w:eastAsia="Calibri" w:hAnsi="Verdana" w:cs="Arial"/>
          <w:color w:val="000000" w:themeColor="text1"/>
          <w:lang w:val="es-ES_tradnl"/>
        </w:rPr>
        <w:t>.</w:t>
      </w:r>
    </w:p>
    <w:p w14:paraId="361B7FEF" w14:textId="77777777" w:rsidR="002426E8" w:rsidRDefault="002426E8" w:rsidP="002426E8">
      <w:pPr>
        <w:spacing w:after="120" w:line="276" w:lineRule="auto"/>
        <w:ind w:firstLine="708"/>
        <w:jc w:val="both"/>
        <w:rPr>
          <w:rFonts w:ascii="Verdana" w:eastAsia="Calibri" w:hAnsi="Verdana" w:cs="Arial"/>
          <w:color w:val="000000" w:themeColor="text1"/>
          <w:lang w:val="es-ES_tradnl"/>
        </w:rPr>
      </w:pPr>
      <w:r w:rsidRPr="00176D26">
        <w:rPr>
          <w:rFonts w:ascii="Verdana" w:eastAsia="Calibri" w:hAnsi="Verdana" w:cs="Arial"/>
          <w:color w:val="000000" w:themeColor="text1"/>
          <w:lang w:val="es-ES_tradnl"/>
        </w:rPr>
        <w:t>La institución jurídica de los conflictos de interés no está definida con carácter general en el ordenamiento jurídico</w:t>
      </w:r>
      <w:r>
        <w:rPr>
          <w:rFonts w:ascii="Verdana" w:eastAsia="Calibri" w:hAnsi="Verdana" w:cs="Arial"/>
          <w:color w:val="000000" w:themeColor="text1"/>
          <w:lang w:val="es-ES_tradnl"/>
        </w:rPr>
        <w:t xml:space="preserve">; pero </w:t>
      </w:r>
      <w:r w:rsidRPr="00176D26">
        <w:rPr>
          <w:rFonts w:ascii="Verdana" w:eastAsia="Calibri" w:hAnsi="Verdana" w:cs="Arial"/>
          <w:color w:val="000000" w:themeColor="text1"/>
          <w:lang w:val="es-ES_tradnl"/>
        </w:rPr>
        <w:t>existen disposiciones especiales como el régimen de los congresistas, de los concejales o el régimen disciplinario de los servidores públicos, donde se definen causales de conflictos de interés</w:t>
      </w:r>
      <w:r>
        <w:rPr>
          <w:rFonts w:ascii="Verdana" w:eastAsia="Calibri" w:hAnsi="Verdana" w:cs="Arial"/>
          <w:color w:val="000000" w:themeColor="text1"/>
          <w:lang w:val="es-ES_tradnl"/>
        </w:rPr>
        <w:t xml:space="preserve">. Asimismo, </w:t>
      </w:r>
      <w:r w:rsidRPr="00176D26">
        <w:rPr>
          <w:rFonts w:ascii="Verdana" w:eastAsia="Calibri" w:hAnsi="Verdana" w:cs="Arial"/>
          <w:color w:val="000000" w:themeColor="text1"/>
          <w:lang w:val="es-ES_tradnl"/>
        </w:rPr>
        <w:t xml:space="preserve">la Ley 1437 de 2011 establece un régimen de </w:t>
      </w:r>
      <w:r>
        <w:rPr>
          <w:rFonts w:ascii="Verdana" w:eastAsia="Calibri" w:hAnsi="Verdana" w:cs="Arial"/>
          <w:color w:val="000000" w:themeColor="text1"/>
          <w:lang w:val="es-ES_tradnl"/>
        </w:rPr>
        <w:t>“</w:t>
      </w:r>
      <w:r w:rsidRPr="00176D26">
        <w:rPr>
          <w:rFonts w:ascii="Verdana" w:eastAsia="Calibri" w:hAnsi="Verdana" w:cs="Arial"/>
          <w:color w:val="000000" w:themeColor="text1"/>
          <w:lang w:val="es-ES_tradnl"/>
        </w:rPr>
        <w:t>conflictos de interés y causales de impedimento y recusación</w:t>
      </w:r>
      <w:r>
        <w:rPr>
          <w:rFonts w:ascii="Verdana" w:eastAsia="Calibri" w:hAnsi="Verdana" w:cs="Arial"/>
          <w:color w:val="000000" w:themeColor="text1"/>
          <w:lang w:val="es-ES_tradnl"/>
        </w:rPr>
        <w:t>”</w:t>
      </w:r>
      <w:r w:rsidRPr="00176D26">
        <w:rPr>
          <w:rFonts w:ascii="Verdana" w:eastAsia="Calibri" w:hAnsi="Verdana" w:cs="Arial"/>
          <w:color w:val="000000" w:themeColor="text1"/>
          <w:lang w:val="es-ES_tradnl"/>
        </w:rPr>
        <w:t xml:space="preserve"> –artículos 11 y 12–, que aplican en los procedimientos administrativos, en general, incluyendo los de selección de contratistas del Estado, </w:t>
      </w:r>
      <w:r>
        <w:rPr>
          <w:rFonts w:ascii="Verdana" w:eastAsia="Calibri" w:hAnsi="Verdana" w:cs="Arial"/>
          <w:color w:val="000000" w:themeColor="text1"/>
          <w:lang w:val="es-ES_tradnl"/>
        </w:rPr>
        <w:t xml:space="preserve">y </w:t>
      </w:r>
      <w:r w:rsidRPr="00176D26">
        <w:rPr>
          <w:rFonts w:ascii="Verdana" w:eastAsia="Calibri" w:hAnsi="Verdana" w:cs="Arial"/>
          <w:color w:val="000000" w:themeColor="text1"/>
          <w:lang w:val="es-ES_tradnl"/>
        </w:rPr>
        <w:t>están dirigidos a los servidores públicos que adelantan estas actuaciones en desarrollo de la actividad contractual de la entidad estatal de la cual hacen parte</w:t>
      </w:r>
      <w:r>
        <w:rPr>
          <w:rFonts w:ascii="Verdana" w:eastAsia="Calibri" w:hAnsi="Verdana" w:cs="Arial"/>
          <w:color w:val="000000" w:themeColor="text1"/>
          <w:lang w:val="es-ES_tradnl"/>
        </w:rPr>
        <w:t>.</w:t>
      </w:r>
    </w:p>
    <w:p w14:paraId="5807BE14" w14:textId="77777777" w:rsidR="002426E8" w:rsidRDefault="002426E8" w:rsidP="002426E8">
      <w:pPr>
        <w:spacing w:after="0" w:line="276" w:lineRule="auto"/>
        <w:ind w:firstLine="708"/>
        <w:jc w:val="both"/>
        <w:rPr>
          <w:rFonts w:ascii="Verdana" w:eastAsia="Calibri" w:hAnsi="Verdana" w:cs="Arial"/>
          <w:color w:val="000000" w:themeColor="text1"/>
          <w:lang w:val="es-ES_tradnl"/>
        </w:rPr>
      </w:pPr>
      <w:r>
        <w:rPr>
          <w:rFonts w:ascii="Verdana" w:eastAsia="Calibri" w:hAnsi="Verdana" w:cs="Arial"/>
          <w:color w:val="000000" w:themeColor="text1"/>
          <w:lang w:val="es-ES_tradnl"/>
        </w:rPr>
        <w:t xml:space="preserve">Aunque las causales de impedimento y recusación convergen con el régimen de inhabilidades e incompatibilidades en la protección de la moralidad como principio de la función administrativa, la declaración del conflicto de interés por parte del concejal se limita a abstenerse o separarse de la sesión donde se vota la autorización para contratar. Sin embargo, como se explicó </w:t>
      </w:r>
      <w:r w:rsidRPr="00643655">
        <w:rPr>
          <w:rFonts w:ascii="Verdana" w:eastAsia="Calibri" w:hAnsi="Verdana" w:cs="Arial"/>
          <w:i/>
          <w:iCs/>
          <w:color w:val="000000" w:themeColor="text1"/>
          <w:lang w:val="es-ES_tradnl"/>
        </w:rPr>
        <w:t>ut supra</w:t>
      </w:r>
      <w:r>
        <w:rPr>
          <w:rFonts w:ascii="Verdana" w:eastAsia="Calibri" w:hAnsi="Verdana" w:cs="Arial"/>
          <w:color w:val="000000" w:themeColor="text1"/>
          <w:lang w:val="es-ES_tradnl"/>
        </w:rPr>
        <w:t xml:space="preserve">, las inhabilidades e incompatibilidades afectan la capacidad dentro del sistema de compras públicas. Luego, se refieren a personas totalmente distintas: la primera, a un miembro de corporación pública de elección popular; la segunda, a una persona interesada en participar en procesos de selección y/o celebrar contratos con el Estado. Por tanto, los efectos de la inhabilidad no desaparecen por la aceptación del impedimento o la prosperidad de la recusación del concejal, especialmente, cuando no existe regulación expresa sobre el “saneamiento de la capacidad” por esta causa. </w:t>
      </w:r>
    </w:p>
    <w:p w14:paraId="3C13DF54" w14:textId="77777777" w:rsidR="002426E8" w:rsidRDefault="002426E8" w:rsidP="002426E8">
      <w:pPr>
        <w:spacing w:after="0" w:line="276" w:lineRule="auto"/>
        <w:ind w:firstLine="708"/>
        <w:jc w:val="both"/>
        <w:rPr>
          <w:rFonts w:ascii="Verdana" w:eastAsia="Calibri" w:hAnsi="Verdana" w:cs="Arial"/>
          <w:color w:val="000000" w:themeColor="text1"/>
          <w:lang w:val="es-ES_tradnl"/>
        </w:rPr>
      </w:pPr>
    </w:p>
    <w:p w14:paraId="616B8017" w14:textId="77777777" w:rsidR="002426E8" w:rsidRPr="00AB1AFC" w:rsidRDefault="002426E8" w:rsidP="002426E8">
      <w:pPr>
        <w:tabs>
          <w:tab w:val="left" w:pos="709"/>
        </w:tabs>
        <w:spacing w:after="120" w:line="276" w:lineRule="auto"/>
        <w:jc w:val="both"/>
        <w:rPr>
          <w:rFonts w:ascii="Verdana" w:hAnsi="Verdana" w:cs="Arial"/>
          <w:color w:val="000000" w:themeColor="text1"/>
          <w:lang w:val="es-ES_tradnl"/>
        </w:rPr>
      </w:pPr>
      <w:proofErr w:type="spellStart"/>
      <w:r>
        <w:rPr>
          <w:rFonts w:ascii="Verdana" w:hAnsi="Verdana" w:cs="Arial"/>
          <w:color w:val="000000" w:themeColor="text1"/>
          <w:lang w:val="es-ES_tradnl"/>
        </w:rPr>
        <w:lastRenderedPageBreak/>
        <w:t>iii</w:t>
      </w:r>
      <w:proofErr w:type="spellEnd"/>
      <w:r>
        <w:rPr>
          <w:rFonts w:ascii="Verdana" w:hAnsi="Verdana" w:cs="Arial"/>
          <w:color w:val="000000" w:themeColor="text1"/>
          <w:lang w:val="es-ES_tradnl"/>
        </w:rPr>
        <w:t xml:space="preserve">. Ahora bien, el </w:t>
      </w:r>
      <w:r w:rsidRPr="00AB1AFC">
        <w:rPr>
          <w:rFonts w:ascii="Verdana" w:hAnsi="Verdana" w:cs="Arial"/>
          <w:color w:val="000000" w:themeColor="text1"/>
          <w:lang w:val="es-ES_tradnl"/>
        </w:rPr>
        <w:t>Departamento Administrativo de la Función Pública</w:t>
      </w:r>
      <w:r>
        <w:rPr>
          <w:rFonts w:ascii="Verdana" w:hAnsi="Verdana" w:cs="Arial"/>
          <w:color w:val="000000" w:themeColor="text1"/>
          <w:lang w:val="es-ES_tradnl"/>
        </w:rPr>
        <w:t xml:space="preserve"> –en Concepto </w:t>
      </w:r>
      <w:r w:rsidRPr="00AB1AFC">
        <w:rPr>
          <w:rFonts w:ascii="Verdana" w:hAnsi="Verdana" w:cs="Arial"/>
          <w:color w:val="000000" w:themeColor="text1"/>
          <w:lang w:val="es-ES_tradnl"/>
        </w:rPr>
        <w:t>120671</w:t>
      </w:r>
      <w:r>
        <w:rPr>
          <w:rFonts w:ascii="Verdana" w:hAnsi="Verdana" w:cs="Arial"/>
          <w:color w:val="000000" w:themeColor="text1"/>
          <w:lang w:val="es-ES_tradnl"/>
        </w:rPr>
        <w:t xml:space="preserve"> del 15 de abril de 2019– estima que “</w:t>
      </w:r>
      <w:r w:rsidRPr="00AB1AFC">
        <w:rPr>
          <w:rFonts w:ascii="Verdana" w:hAnsi="Verdana" w:cs="Arial"/>
          <w:color w:val="000000" w:themeColor="text1"/>
          <w:lang w:val="es-ES_tradnl"/>
        </w:rPr>
        <w:t xml:space="preserve">Los parientes en cuarto grado de consanguinidad de un alcalde se encuentran dentro de los grados que la ley ha determinado como restringidos para la celebración de contratos, en ese sentido, </w:t>
      </w:r>
      <w:r w:rsidRPr="00AB1AFC">
        <w:rPr>
          <w:rFonts w:ascii="Verdana" w:hAnsi="Verdana" w:cs="Arial"/>
          <w:i/>
          <w:iCs/>
          <w:color w:val="000000" w:themeColor="text1"/>
          <w:lang w:val="es-ES_tradnl"/>
        </w:rPr>
        <w:t>se considera que existe inhabilidad para que el pariente en cuarto grado de consanguinidad como es el caso del primo del alcalde celebre contratos estatales con entidades públicas del respectivo municipio ya sea en forma directa, o indirectamente por medio de fundaciones u otras empresas</w:t>
      </w:r>
      <w:r>
        <w:rPr>
          <w:rFonts w:ascii="Verdana" w:hAnsi="Verdana" w:cs="Arial"/>
          <w:color w:val="000000" w:themeColor="text1"/>
          <w:lang w:val="es-ES_tradnl"/>
        </w:rPr>
        <w:t>”</w:t>
      </w:r>
      <w:r>
        <w:rPr>
          <w:rStyle w:val="Refdenotaalpie"/>
          <w:rFonts w:ascii="Verdana" w:hAnsi="Verdana" w:cs="Arial"/>
          <w:color w:val="000000" w:themeColor="text1"/>
          <w:lang w:val="es-ES_tradnl"/>
        </w:rPr>
        <w:footnoteReference w:id="26"/>
      </w:r>
      <w:r>
        <w:rPr>
          <w:rFonts w:ascii="Verdana" w:hAnsi="Verdana" w:cs="Arial"/>
          <w:color w:val="000000" w:themeColor="text1"/>
          <w:lang w:val="es-ES_tradnl"/>
        </w:rPr>
        <w:t xml:space="preserve"> (Énfasis fuera de texto). Como indica </w:t>
      </w:r>
      <w:r>
        <w:rPr>
          <w:rFonts w:ascii="Verdana" w:hAnsi="Verdana" w:cs="Arial"/>
          <w:color w:val="000000" w:themeColor="text1"/>
        </w:rPr>
        <w:t xml:space="preserve">el inciso tercero y en el parágrafo 3 del artículo 49 de la Ley 617 de 2000, dicho razonamiento aplica </w:t>
      </w:r>
      <w:r w:rsidRPr="005621F3">
        <w:rPr>
          <w:rFonts w:ascii="Verdana" w:hAnsi="Verdana" w:cs="Arial"/>
          <w:i/>
          <w:iCs/>
          <w:color w:val="000000" w:themeColor="text1"/>
        </w:rPr>
        <w:t>mutatis mutandis</w:t>
      </w:r>
      <w:r>
        <w:rPr>
          <w:rFonts w:ascii="Verdana" w:hAnsi="Verdana" w:cs="Arial"/>
          <w:color w:val="000000" w:themeColor="text1"/>
        </w:rPr>
        <w:t xml:space="preserve"> a los cónyuges, compañeros permanentes y parientes de concejales municipales y distritales, quienes tampoco “[…]</w:t>
      </w:r>
      <w:r w:rsidRPr="005621F3">
        <w:rPr>
          <w:rFonts w:ascii="Verdana" w:hAnsi="Verdana" w:cs="Arial"/>
          <w:color w:val="000000" w:themeColor="text1"/>
        </w:rPr>
        <w:t xml:space="preserve"> podrán ser contratistas del respectivo </w:t>
      </w:r>
      <w:r>
        <w:rPr>
          <w:rFonts w:ascii="Verdana" w:hAnsi="Verdana" w:cs="Arial"/>
          <w:color w:val="000000" w:themeColor="text1"/>
        </w:rPr>
        <w:t>[…]</w:t>
      </w:r>
      <w:r w:rsidRPr="005621F3">
        <w:rPr>
          <w:rFonts w:ascii="Verdana" w:hAnsi="Verdana" w:cs="Arial"/>
          <w:color w:val="000000" w:themeColor="text1"/>
        </w:rPr>
        <w:t xml:space="preserve"> distrito o municipio, o de sus entidades descentralizadas, ni directa, ni indirectamente</w:t>
      </w:r>
      <w:r>
        <w:rPr>
          <w:rFonts w:ascii="Verdana" w:hAnsi="Verdana" w:cs="Arial"/>
          <w:color w:val="000000" w:themeColor="text1"/>
        </w:rPr>
        <w:t>”.</w:t>
      </w:r>
    </w:p>
    <w:p w14:paraId="741DE5BE" w14:textId="77777777" w:rsidR="002426E8" w:rsidRPr="00DF2E24" w:rsidRDefault="002426E8" w:rsidP="002426E8">
      <w:pPr>
        <w:tabs>
          <w:tab w:val="left" w:pos="709"/>
        </w:tabs>
        <w:spacing w:after="120" w:line="276" w:lineRule="auto"/>
        <w:jc w:val="both"/>
        <w:rPr>
          <w:rFonts w:ascii="Verdana" w:hAnsi="Verdana" w:cs="Arial"/>
          <w:color w:val="000000" w:themeColor="text1"/>
          <w:lang w:val="es-ES_tradnl"/>
        </w:rPr>
      </w:pPr>
      <w:r>
        <w:rPr>
          <w:rFonts w:ascii="Verdana" w:hAnsi="Verdana" w:cs="Arial"/>
          <w:color w:val="000000" w:themeColor="text1"/>
          <w:lang w:val="es-ES_tradnl"/>
        </w:rPr>
        <w:tab/>
      </w:r>
      <w:r w:rsidRPr="00DF2E24">
        <w:rPr>
          <w:rFonts w:ascii="Verdana" w:hAnsi="Verdana" w:cs="Arial"/>
          <w:color w:val="000000" w:themeColor="text1"/>
          <w:lang w:val="es-ES_tradnl"/>
        </w:rPr>
        <w:t xml:space="preserve">La idea citada </w:t>
      </w:r>
      <w:r>
        <w:rPr>
          <w:rFonts w:ascii="Verdana" w:hAnsi="Verdana" w:cs="Arial"/>
          <w:color w:val="000000" w:themeColor="text1"/>
          <w:lang w:val="es-ES_tradnl"/>
        </w:rPr>
        <w:t>en el párrafo anterior</w:t>
      </w:r>
      <w:r w:rsidRPr="00DF2E24">
        <w:rPr>
          <w:rFonts w:ascii="Verdana" w:hAnsi="Verdana" w:cs="Arial"/>
          <w:color w:val="000000" w:themeColor="text1"/>
          <w:lang w:val="es-ES_tradnl"/>
        </w:rPr>
        <w:t xml:space="preserve"> es relevante, porque se aproxima al concepto de </w:t>
      </w:r>
      <w:bookmarkStart w:id="7" w:name="_Hlk74131713"/>
      <w:r w:rsidRPr="00DF2E24">
        <w:rPr>
          <w:rFonts w:ascii="Verdana" w:hAnsi="Verdana" w:cs="Arial"/>
          <w:color w:val="000000" w:themeColor="text1"/>
          <w:lang w:val="es-ES_tradnl"/>
        </w:rPr>
        <w:t>celebración directa e indirecta de contratos</w:t>
      </w:r>
      <w:bookmarkEnd w:id="7"/>
      <w:r w:rsidRPr="00DF2E24">
        <w:rPr>
          <w:rFonts w:ascii="Verdana" w:hAnsi="Verdana" w:cs="Arial"/>
          <w:color w:val="000000" w:themeColor="text1"/>
          <w:lang w:val="es-ES_tradnl"/>
        </w:rPr>
        <w:t xml:space="preserve">. Aunque el artículo 49 de la Ley 617 de 2000 no </w:t>
      </w:r>
      <w:r>
        <w:rPr>
          <w:rFonts w:ascii="Verdana" w:hAnsi="Verdana" w:cs="Arial"/>
          <w:color w:val="000000" w:themeColor="text1"/>
          <w:lang w:val="es-ES_tradnl"/>
        </w:rPr>
        <w:t>determina</w:t>
      </w:r>
      <w:r w:rsidRPr="00DF2E24">
        <w:rPr>
          <w:rFonts w:ascii="Verdana" w:hAnsi="Verdana" w:cs="Arial"/>
          <w:color w:val="000000" w:themeColor="text1"/>
          <w:lang w:val="es-ES_tradnl"/>
        </w:rPr>
        <w:t xml:space="preserve"> su alcance, es posible acercarse a su definición a través de las pautas hermenéuticas del artículo 28 del Código Civil, pues </w:t>
      </w:r>
      <w:r>
        <w:rPr>
          <w:rFonts w:ascii="Verdana" w:hAnsi="Verdana" w:cs="Arial"/>
          <w:color w:val="000000" w:themeColor="text1"/>
          <w:lang w:val="es-ES_tradnl"/>
        </w:rPr>
        <w:t>“</w:t>
      </w:r>
      <w:r w:rsidRPr="00DF2E24">
        <w:rPr>
          <w:rFonts w:ascii="Verdana" w:hAnsi="Verdana" w:cs="Arial"/>
          <w:i/>
          <w:iCs/>
          <w:color w:val="000000" w:themeColor="text1"/>
          <w:lang w:val="es-ES_tradnl"/>
        </w:rPr>
        <w:t>Las palabras de la ley se entenderán en su sentido natural y obvio, según el uso general de las mismas palabras</w:t>
      </w:r>
      <w:r w:rsidRPr="00DF2E24">
        <w:rPr>
          <w:rFonts w:ascii="Verdana" w:hAnsi="Verdana" w:cs="Arial"/>
          <w:color w:val="000000" w:themeColor="text1"/>
          <w:lang w:val="es-ES_tradnl"/>
        </w:rPr>
        <w:t>; pero cuando el legislador las haya definido expresamente para ciertas materias, se les dará en éstas su significado legal</w:t>
      </w:r>
      <w:r>
        <w:rPr>
          <w:rFonts w:ascii="Verdana" w:hAnsi="Verdana" w:cs="Arial"/>
          <w:color w:val="000000" w:themeColor="text1"/>
          <w:lang w:val="es-ES_tradnl"/>
        </w:rPr>
        <w:t>”</w:t>
      </w:r>
      <w:r w:rsidRPr="00DF2E24">
        <w:rPr>
          <w:rFonts w:ascii="Verdana" w:hAnsi="Verdana" w:cs="Arial"/>
          <w:color w:val="000000" w:themeColor="text1"/>
          <w:lang w:val="es-ES_tradnl"/>
        </w:rPr>
        <w:t xml:space="preserve"> (Énfasis fuera de texto). De esta manera, el diccionario de la Real Academia Española define la palabra </w:t>
      </w:r>
      <w:r>
        <w:rPr>
          <w:rFonts w:ascii="Verdana" w:hAnsi="Verdana" w:cs="Arial"/>
          <w:color w:val="000000" w:themeColor="text1"/>
          <w:lang w:val="es-ES_tradnl"/>
        </w:rPr>
        <w:t>“</w:t>
      </w:r>
      <w:r w:rsidRPr="00DF2E24">
        <w:rPr>
          <w:rFonts w:ascii="Verdana" w:hAnsi="Verdana" w:cs="Arial"/>
          <w:color w:val="000000" w:themeColor="text1"/>
          <w:lang w:val="es-ES_tradnl"/>
        </w:rPr>
        <w:t>directo</w:t>
      </w:r>
      <w:r>
        <w:rPr>
          <w:rFonts w:ascii="Verdana" w:hAnsi="Verdana" w:cs="Arial"/>
          <w:color w:val="000000" w:themeColor="text1"/>
          <w:lang w:val="es-ES_tradnl"/>
        </w:rPr>
        <w:t>”</w:t>
      </w:r>
      <w:r w:rsidRPr="00DF2E24">
        <w:rPr>
          <w:rFonts w:ascii="Verdana" w:hAnsi="Verdana" w:cs="Arial"/>
          <w:color w:val="000000" w:themeColor="text1"/>
          <w:lang w:val="es-ES_tradnl"/>
        </w:rPr>
        <w:t xml:space="preserve"> aludiendo a aquello </w:t>
      </w:r>
      <w:r>
        <w:rPr>
          <w:rFonts w:ascii="Verdana" w:hAnsi="Verdana" w:cs="Arial"/>
          <w:color w:val="000000" w:themeColor="text1"/>
          <w:lang w:val="es-ES_tradnl"/>
        </w:rPr>
        <w:t>“</w:t>
      </w:r>
      <w:r w:rsidRPr="00DF2E24">
        <w:rPr>
          <w:rFonts w:ascii="Verdana" w:hAnsi="Verdana" w:cs="Arial"/>
          <w:color w:val="000000" w:themeColor="text1"/>
          <w:lang w:val="es-ES_tradnl"/>
        </w:rPr>
        <w:t>Que va de una parte a otra sin detenerse en los puntos intermedios</w:t>
      </w:r>
      <w:r>
        <w:rPr>
          <w:rFonts w:ascii="Verdana" w:hAnsi="Verdana" w:cs="Arial"/>
          <w:color w:val="000000" w:themeColor="text1"/>
          <w:lang w:val="es-ES_tradnl"/>
        </w:rPr>
        <w:t>”</w:t>
      </w:r>
      <w:r w:rsidRPr="00DF2E24">
        <w:rPr>
          <w:rFonts w:ascii="Verdana" w:hAnsi="Verdana" w:cs="Arial"/>
          <w:color w:val="000000" w:themeColor="text1"/>
          <w:lang w:val="es-ES_tradnl"/>
        </w:rPr>
        <w:t xml:space="preserve">. Por oposición, define la palabra </w:t>
      </w:r>
      <w:r>
        <w:rPr>
          <w:rFonts w:ascii="Verdana" w:hAnsi="Verdana" w:cs="Arial"/>
          <w:color w:val="000000" w:themeColor="text1"/>
          <w:lang w:val="es-ES_tradnl"/>
        </w:rPr>
        <w:t>“</w:t>
      </w:r>
      <w:r w:rsidRPr="00DF2E24">
        <w:rPr>
          <w:rFonts w:ascii="Verdana" w:hAnsi="Verdana" w:cs="Arial"/>
          <w:color w:val="000000" w:themeColor="text1"/>
          <w:lang w:val="es-ES_tradnl"/>
        </w:rPr>
        <w:t>indirecto</w:t>
      </w:r>
      <w:r>
        <w:rPr>
          <w:rFonts w:ascii="Verdana" w:hAnsi="Verdana" w:cs="Arial"/>
          <w:color w:val="000000" w:themeColor="text1"/>
          <w:lang w:val="es-ES_tradnl"/>
        </w:rPr>
        <w:t>”</w:t>
      </w:r>
      <w:r w:rsidRPr="00DF2E24">
        <w:rPr>
          <w:rFonts w:ascii="Verdana" w:hAnsi="Verdana" w:cs="Arial"/>
          <w:color w:val="000000" w:themeColor="text1"/>
          <w:lang w:val="es-ES_tradnl"/>
        </w:rPr>
        <w:t xml:space="preserve"> como aquello que </w:t>
      </w:r>
      <w:r>
        <w:rPr>
          <w:rFonts w:ascii="Verdana" w:hAnsi="Verdana" w:cs="Arial"/>
          <w:color w:val="000000" w:themeColor="text1"/>
          <w:lang w:val="es-ES_tradnl"/>
        </w:rPr>
        <w:t>“</w:t>
      </w:r>
      <w:r w:rsidRPr="00DF2E24">
        <w:rPr>
          <w:rFonts w:ascii="Verdana" w:hAnsi="Verdana" w:cs="Arial"/>
          <w:color w:val="000000" w:themeColor="text1"/>
          <w:lang w:val="es-ES_tradnl"/>
        </w:rPr>
        <w:t>Que no va rectamente a un fin, aunque se encamine a él</w:t>
      </w:r>
      <w:r>
        <w:rPr>
          <w:rFonts w:ascii="Verdana" w:hAnsi="Verdana" w:cs="Arial"/>
          <w:color w:val="000000" w:themeColor="text1"/>
          <w:lang w:val="es-ES_tradnl"/>
        </w:rPr>
        <w:t>”</w:t>
      </w:r>
      <w:r w:rsidRPr="00DF2E24">
        <w:rPr>
          <w:rFonts w:ascii="Verdana" w:hAnsi="Verdana" w:cs="Arial"/>
          <w:color w:val="000000" w:themeColor="text1"/>
          <w:lang w:val="es-ES_tradnl"/>
        </w:rPr>
        <w:t xml:space="preserve">. </w:t>
      </w:r>
    </w:p>
    <w:p w14:paraId="3A039FBD" w14:textId="77777777" w:rsidR="002426E8" w:rsidRDefault="002426E8" w:rsidP="002426E8">
      <w:pPr>
        <w:tabs>
          <w:tab w:val="left" w:pos="709"/>
        </w:tabs>
        <w:spacing w:after="120" w:line="276" w:lineRule="auto"/>
        <w:jc w:val="both"/>
        <w:rPr>
          <w:rFonts w:ascii="Verdana" w:hAnsi="Verdana" w:cs="Arial"/>
          <w:color w:val="000000" w:themeColor="text1"/>
          <w:lang w:val="es-ES"/>
        </w:rPr>
      </w:pPr>
      <w:r>
        <w:rPr>
          <w:rFonts w:ascii="Verdana" w:hAnsi="Verdana" w:cs="Arial"/>
          <w:color w:val="000000" w:themeColor="text1"/>
          <w:lang w:val="es-ES_tradnl"/>
        </w:rPr>
        <w:tab/>
      </w:r>
      <w:r w:rsidRPr="5DD5EE4A">
        <w:rPr>
          <w:rFonts w:ascii="Verdana" w:hAnsi="Verdana" w:cs="Arial"/>
          <w:color w:val="000000" w:themeColor="text1"/>
          <w:lang w:val="es-ES"/>
        </w:rPr>
        <w:t xml:space="preserve">Aplicadas las definiciones a los contratos, estos serán celebrados directa o indirectamente dependiendo si existe o no un intermediario. Si la participación corresponde al mismo interesado que se encuentra dentro de las restricciones del artículo 49, inciso tercero y parágrafo 3, de la Ley 617 de 2000, ésta será directa. Por el contrario, si la intervención del mismo sujeto se presenta de forma encubierta o subrepticia, es decir, a través de terceras personas, ésta será indirecta. De esta manera, la norma citada prohíbe que los parientes, cónyuges </w:t>
      </w:r>
      <w:r w:rsidRPr="5DD5EE4A">
        <w:rPr>
          <w:rFonts w:ascii="Verdana" w:hAnsi="Verdana" w:cs="Arial"/>
          <w:color w:val="000000" w:themeColor="text1"/>
          <w:lang w:val="es-ES"/>
        </w:rPr>
        <w:lastRenderedPageBreak/>
        <w:t xml:space="preserve">y compañeros permanentes de los gobernadores, diputados, alcaldes y concejales, participen en la celebración y ejecución de contratos con el departamento, distrito o municipio, o de sus entidades descentralizadas, bien sea que intervengan a nombre propio o a través de terceros.  </w:t>
      </w:r>
    </w:p>
    <w:p w14:paraId="3813D6EC" w14:textId="77777777" w:rsidR="002426E8" w:rsidRPr="00805893" w:rsidRDefault="002426E8" w:rsidP="002426E8">
      <w:pPr>
        <w:spacing w:after="120" w:line="276" w:lineRule="auto"/>
        <w:ind w:firstLine="708"/>
        <w:jc w:val="both"/>
        <w:rPr>
          <w:rFonts w:ascii="Verdana" w:eastAsia="Calibri" w:hAnsi="Verdana" w:cs="Arial"/>
          <w:lang w:val="es-ES_tradnl"/>
        </w:rPr>
      </w:pPr>
      <w:r w:rsidRPr="00805893">
        <w:rPr>
          <w:rFonts w:ascii="Verdana" w:eastAsia="Calibri" w:hAnsi="Verdana" w:cs="Arial"/>
          <w:lang w:val="es-ES_tradnl"/>
        </w:rPr>
        <w:t xml:space="preserve">Existe </w:t>
      </w:r>
      <w:r w:rsidRPr="00805893">
        <w:rPr>
          <w:rFonts w:ascii="Verdana" w:eastAsia="Calibri" w:hAnsi="Verdana" w:cs="Arial"/>
          <w:i/>
          <w:iCs/>
          <w:lang w:val="es-ES_tradnl"/>
        </w:rPr>
        <w:t>intervención a nombre propio</w:t>
      </w:r>
      <w:r w:rsidRPr="00805893">
        <w:rPr>
          <w:rFonts w:ascii="Verdana" w:eastAsia="Calibri" w:hAnsi="Verdana" w:cs="Arial"/>
          <w:lang w:val="es-ES_tradnl"/>
        </w:rPr>
        <w:t xml:space="preserve"> cuando la persona afectada por la restricción del artículo 49, inciso tercero</w:t>
      </w:r>
      <w:r>
        <w:rPr>
          <w:rFonts w:ascii="Verdana" w:eastAsia="Calibri" w:hAnsi="Verdana" w:cs="Arial"/>
          <w:lang w:val="es-ES_tradnl"/>
        </w:rPr>
        <w:t xml:space="preserve"> y parágrafo 3</w:t>
      </w:r>
      <w:r w:rsidRPr="00805893">
        <w:rPr>
          <w:rFonts w:ascii="Verdana" w:eastAsia="Calibri" w:hAnsi="Verdana" w:cs="Arial"/>
          <w:lang w:val="es-ES_tradnl"/>
        </w:rPr>
        <w:t xml:space="preserve">, de la Ley 617 de 2000 pretende participar en la celebración y ejecución del contrato por sí mismo o a través de un representante facultado para el efecto. El primer supuesto no genera dificultad alguna, pues presupone la participación directa del inhabilitado. No obstante, a pesar de que en la segunda hipótesis existe intermediación de un tercero, el artículo 1505 del Código Civil –aplicable a los contratos estatales de las entidades sometidas al Estatuto General de Contratación por remisión de los art. 13, 32 y 40 de la Ley 80 de 1993– dispone que </w:t>
      </w:r>
      <w:r>
        <w:rPr>
          <w:rFonts w:ascii="Verdana" w:eastAsia="Calibri" w:hAnsi="Verdana" w:cs="Arial"/>
          <w:lang w:val="es-ES_tradnl"/>
        </w:rPr>
        <w:t>“</w:t>
      </w:r>
      <w:r w:rsidRPr="00805893">
        <w:rPr>
          <w:rFonts w:ascii="Verdana" w:eastAsia="Calibri" w:hAnsi="Verdana" w:cs="Arial"/>
          <w:lang w:val="es-ES_tradnl"/>
        </w:rPr>
        <w:t>Lo que una persona ejecuta a nombre de otra, estando facultada por ella o por la ley para representarla, produce respecto del representado iguales efectos que si hubiese contratado él mismo</w:t>
      </w:r>
      <w:r>
        <w:rPr>
          <w:rFonts w:ascii="Verdana" w:eastAsia="Calibri" w:hAnsi="Verdana" w:cs="Arial"/>
          <w:lang w:val="es-ES_tradnl"/>
        </w:rPr>
        <w:t>”</w:t>
      </w:r>
      <w:r w:rsidRPr="00805893">
        <w:rPr>
          <w:rFonts w:ascii="Verdana" w:eastAsia="Calibri" w:hAnsi="Verdana" w:cs="Arial"/>
          <w:lang w:val="es-ES_tradnl"/>
        </w:rPr>
        <w:t>. Esta norma crea una ficción legal, por la cual la intervención del representante equivale a la que realizaría directamente el mismo representado.</w:t>
      </w:r>
    </w:p>
    <w:p w14:paraId="6C28FD97" w14:textId="77777777" w:rsidR="002426E8" w:rsidRPr="00805893" w:rsidRDefault="002426E8" w:rsidP="002426E8">
      <w:pPr>
        <w:spacing w:after="0" w:line="276" w:lineRule="auto"/>
        <w:ind w:firstLine="708"/>
        <w:jc w:val="both"/>
        <w:rPr>
          <w:rFonts w:ascii="Verdana" w:eastAsia="Calibri" w:hAnsi="Verdana" w:cs="Arial"/>
          <w:lang w:val="es-ES"/>
        </w:rPr>
      </w:pPr>
      <w:r w:rsidRPr="5DD5EE4A">
        <w:rPr>
          <w:rFonts w:ascii="Verdana" w:eastAsia="Calibri" w:hAnsi="Verdana" w:cs="Arial"/>
          <w:lang w:val="es-ES"/>
        </w:rPr>
        <w:t xml:space="preserve">En contraste, existe </w:t>
      </w:r>
      <w:r w:rsidRPr="5DD5EE4A">
        <w:rPr>
          <w:rFonts w:ascii="Verdana" w:eastAsia="Calibri" w:hAnsi="Verdana" w:cs="Arial"/>
          <w:i/>
          <w:lang w:val="es-ES"/>
        </w:rPr>
        <w:t>intervención a través de terceros</w:t>
      </w:r>
      <w:r w:rsidRPr="5DD5EE4A">
        <w:rPr>
          <w:rFonts w:ascii="Verdana" w:eastAsia="Calibri" w:hAnsi="Verdana" w:cs="Arial"/>
          <w:lang w:val="es-ES"/>
        </w:rPr>
        <w:t xml:space="preserve"> cuando la persona afectada por la restricción del artículo 49, inciso tercero y parágrafo 3, de la Ley 617 de 2000 pretende participar en la celebración y ejecución del contrato a través de “mandatos ocultos” o en calidad de socio o representante legal de una persona jurídica, sin perjuicio de otras modalidades de participación subrepticia por parte del sujeto inhabilitado</w:t>
      </w:r>
      <w:r w:rsidRPr="5DD5EE4A">
        <w:rPr>
          <w:rStyle w:val="Refdenotaalpie"/>
          <w:rFonts w:ascii="Verdana" w:eastAsia="Calibri" w:hAnsi="Verdana" w:cs="Arial"/>
          <w:lang w:val="es-ES"/>
        </w:rPr>
        <w:footnoteReference w:id="27"/>
      </w:r>
      <w:r w:rsidRPr="5DD5EE4A">
        <w:rPr>
          <w:rFonts w:ascii="Verdana" w:eastAsia="Calibri" w:hAnsi="Verdana" w:cs="Arial"/>
          <w:lang w:val="es-ES"/>
        </w:rPr>
        <w:t xml:space="preserve">. En lo que respecta al primer supuesto, es necesario considerar que el mandato no es esencialmente representativo, por lo cual el mandatario no está obligado a expresar que actúa en nombre del mandante. A esto se refiere el artículo 2177 del Código Civil cuando dispone que “El mandatario puede, en el ejercicio de su cargo, contestar (sic) a su propio </w:t>
      </w:r>
      <w:r w:rsidRPr="5DD5EE4A">
        <w:rPr>
          <w:rFonts w:ascii="Verdana" w:eastAsia="Calibri" w:hAnsi="Verdana" w:cs="Arial"/>
          <w:lang w:val="es-ES"/>
        </w:rPr>
        <w:lastRenderedPageBreak/>
        <w:t xml:space="preserve">nombre o al del mandante; si contrata a su propio nombre no obliga respecto de terceros al mandante”. De esta manera, la jurisprudencia explica que: </w:t>
      </w:r>
    </w:p>
    <w:p w14:paraId="7B956C3C" w14:textId="77777777" w:rsidR="002426E8" w:rsidRPr="00805893" w:rsidRDefault="002426E8" w:rsidP="002426E8">
      <w:pPr>
        <w:spacing w:after="0" w:line="276" w:lineRule="auto"/>
        <w:ind w:firstLine="708"/>
        <w:jc w:val="both"/>
        <w:rPr>
          <w:rFonts w:ascii="Verdana" w:eastAsia="Calibri" w:hAnsi="Verdana" w:cs="Arial"/>
          <w:lang w:val="es-ES_tradnl"/>
        </w:rPr>
      </w:pPr>
    </w:p>
    <w:p w14:paraId="2E6626AB" w14:textId="77777777" w:rsidR="002426E8" w:rsidRPr="003C2FB6" w:rsidRDefault="002426E8" w:rsidP="002426E8">
      <w:pPr>
        <w:spacing w:after="0" w:line="240" w:lineRule="auto"/>
        <w:ind w:left="709" w:right="709"/>
        <w:jc w:val="both"/>
        <w:rPr>
          <w:rFonts w:ascii="Verdana" w:eastAsia="Calibri" w:hAnsi="Verdana" w:cs="Arial"/>
          <w:sz w:val="20"/>
          <w:szCs w:val="20"/>
          <w:lang w:val="es-ES_tradnl"/>
        </w:rPr>
      </w:pPr>
      <w:r w:rsidRPr="003C2FB6">
        <w:rPr>
          <w:rFonts w:ascii="Verdana" w:eastAsia="Calibri" w:hAnsi="Verdana" w:cs="Arial"/>
          <w:sz w:val="20"/>
          <w:szCs w:val="20"/>
          <w:lang w:val="es-ES_tradnl"/>
        </w:rPr>
        <w:t>“Cuando el mandato no es representativo, el mandatario es, ante los terceros con quienes contrata, el titular de los derechos y obligaciones que se derivan de los contratos. No pueden ser obligados a tener al mandate como parte del pacto, puesto que, no habiendo representación, es el mandatario quien en éste es realmente parte. Los efectos del mandato se reducen entonces a los que todo contrato produce, que para el caso son: el mandatario queda obligado a transferir al mandante todo el beneficio que de los negocios con terceros derive (artículos 2182 y 2183 del Código Civil); y el mandante, por su parte, debe proveer al mandatario de todo lo necesario para la ejecución del encargo y reembolsarle los gastos razonables que la comisión le imponga (art. 2184 ibidem)”</w:t>
      </w:r>
      <w:r w:rsidRPr="003C2FB6">
        <w:rPr>
          <w:rStyle w:val="Refdenotaalpie"/>
          <w:rFonts w:ascii="Verdana" w:eastAsia="Calibri" w:hAnsi="Verdana" w:cs="Arial"/>
          <w:sz w:val="20"/>
          <w:szCs w:val="20"/>
          <w:lang w:val="es-ES_tradnl"/>
        </w:rPr>
        <w:footnoteReference w:id="28"/>
      </w:r>
      <w:r w:rsidRPr="003C2FB6">
        <w:rPr>
          <w:rFonts w:ascii="Verdana" w:eastAsia="Calibri" w:hAnsi="Verdana" w:cs="Arial"/>
          <w:sz w:val="20"/>
          <w:szCs w:val="20"/>
          <w:lang w:val="es-ES_tradnl"/>
        </w:rPr>
        <w:t>.</w:t>
      </w:r>
    </w:p>
    <w:p w14:paraId="1FE6451D" w14:textId="77777777" w:rsidR="002426E8" w:rsidRPr="00805893" w:rsidRDefault="002426E8" w:rsidP="002426E8">
      <w:pPr>
        <w:spacing w:after="0" w:line="276" w:lineRule="auto"/>
        <w:jc w:val="both"/>
        <w:rPr>
          <w:rFonts w:ascii="Verdana" w:eastAsia="Calibri" w:hAnsi="Verdana" w:cs="Arial"/>
          <w:lang w:val="es-ES_tradnl"/>
        </w:rPr>
      </w:pPr>
    </w:p>
    <w:p w14:paraId="5FF63EF4" w14:textId="77777777" w:rsidR="002426E8" w:rsidRPr="00805893" w:rsidRDefault="002426E8" w:rsidP="002426E8">
      <w:pPr>
        <w:spacing w:after="120" w:line="276" w:lineRule="auto"/>
        <w:ind w:firstLine="708"/>
        <w:jc w:val="both"/>
        <w:rPr>
          <w:rFonts w:ascii="Verdana" w:eastAsia="Calibri" w:hAnsi="Verdana" w:cs="Arial"/>
          <w:lang w:val="es-ES"/>
        </w:rPr>
      </w:pPr>
      <w:r w:rsidRPr="5DD5EE4A">
        <w:rPr>
          <w:rFonts w:ascii="Verdana" w:eastAsia="Calibri" w:hAnsi="Verdana" w:cs="Arial"/>
          <w:lang w:val="es-ES"/>
        </w:rPr>
        <w:t>El artículo 2177 del Código Civil permite que terceros intervengan en el negocio jurídico con el contratante, sin que este último conozca que existe otro sujeto que se beneficia indirectamente de la gestión de los primeros. En este caso, “Han solido distinguir la doctrina y la jurisprudencia foráneas entre interposición real e interposición ficticia o simulada de persona; esta última, cuando el agente no es más que alguien que presta el nombre (</w:t>
      </w:r>
      <w:proofErr w:type="spellStart"/>
      <w:r w:rsidRPr="5DD5EE4A">
        <w:rPr>
          <w:rFonts w:ascii="Verdana" w:eastAsia="Calibri" w:hAnsi="Verdana" w:cs="Arial"/>
          <w:i/>
          <w:lang w:val="es-ES"/>
        </w:rPr>
        <w:t>nomen</w:t>
      </w:r>
      <w:proofErr w:type="spellEnd"/>
      <w:r w:rsidRPr="5DD5EE4A">
        <w:rPr>
          <w:rFonts w:ascii="Verdana" w:eastAsia="Calibri" w:hAnsi="Verdana" w:cs="Arial"/>
          <w:i/>
          <w:lang w:val="es-ES"/>
        </w:rPr>
        <w:t xml:space="preserve"> </w:t>
      </w:r>
      <w:proofErr w:type="spellStart"/>
      <w:r w:rsidRPr="5DD5EE4A">
        <w:rPr>
          <w:rFonts w:ascii="Verdana" w:eastAsia="Calibri" w:hAnsi="Verdana" w:cs="Arial"/>
          <w:i/>
          <w:lang w:val="es-ES"/>
        </w:rPr>
        <w:t>commodat</w:t>
      </w:r>
      <w:proofErr w:type="spellEnd"/>
      <w:r w:rsidRPr="5DD5EE4A">
        <w:rPr>
          <w:rFonts w:ascii="Verdana" w:eastAsia="Calibri" w:hAnsi="Verdana" w:cs="Arial"/>
          <w:lang w:val="es-ES"/>
        </w:rPr>
        <w:t>): el contrato se celebra en verdad con el contratante real y no con el ficticio, que no cumple otra función que la de figurar […]”</w:t>
      </w:r>
      <w:r w:rsidRPr="5DD5EE4A">
        <w:rPr>
          <w:rStyle w:val="Refdenotaalpie"/>
          <w:rFonts w:ascii="Verdana" w:eastAsia="Calibri" w:hAnsi="Verdana" w:cs="Arial"/>
          <w:lang w:val="es-ES"/>
        </w:rPr>
        <w:footnoteReference w:id="29"/>
      </w:r>
      <w:r w:rsidRPr="5DD5EE4A">
        <w:rPr>
          <w:rFonts w:ascii="Verdana" w:eastAsia="Calibri" w:hAnsi="Verdana" w:cs="Arial"/>
          <w:lang w:val="es-ES"/>
        </w:rPr>
        <w:t xml:space="preserve">. Por tanto, el artículo 49, inciso tercero y parágrafo 3, de la Ley 617 de 2000 prohíbe que los sujetos </w:t>
      </w:r>
      <w:r w:rsidRPr="5DD5EE4A">
        <w:rPr>
          <w:rFonts w:ascii="Verdana" w:eastAsia="Calibri" w:hAnsi="Verdana" w:cs="Arial"/>
          <w:lang w:val="es-ES"/>
        </w:rPr>
        <w:lastRenderedPageBreak/>
        <w:t xml:space="preserve">inhabilitados se beneficien del contrato estatal a través de intermediarios, quienes participan en su celebración y ejecución para ocultar la gestión realizada por los parientes, cónyuges y compañeros permanentes de los gobernadores, diputados, alcaldes y concejales. </w:t>
      </w:r>
    </w:p>
    <w:p w14:paraId="04D9F32E" w14:textId="77777777" w:rsidR="002426E8" w:rsidRPr="00805893" w:rsidRDefault="002426E8" w:rsidP="002426E8">
      <w:pPr>
        <w:spacing w:after="120" w:line="276" w:lineRule="auto"/>
        <w:ind w:firstLine="708"/>
        <w:jc w:val="both"/>
        <w:rPr>
          <w:rFonts w:ascii="Verdana" w:eastAsia="Calibri" w:hAnsi="Verdana" w:cs="Arial"/>
          <w:lang w:val="es-ES_tradnl"/>
        </w:rPr>
      </w:pPr>
      <w:r w:rsidRPr="00805893">
        <w:rPr>
          <w:rFonts w:ascii="Verdana" w:eastAsia="Calibri" w:hAnsi="Verdana" w:cs="Arial"/>
          <w:lang w:val="es-ES_tradnl"/>
        </w:rPr>
        <w:t xml:space="preserve">Otro ejemplo de la </w:t>
      </w:r>
      <w:r w:rsidRPr="00805893">
        <w:rPr>
          <w:rFonts w:ascii="Verdana" w:eastAsia="Calibri" w:hAnsi="Verdana" w:cs="Arial"/>
          <w:i/>
          <w:iCs/>
          <w:lang w:val="es-ES_tradnl"/>
        </w:rPr>
        <w:t>intervención a través de terceros</w:t>
      </w:r>
      <w:r w:rsidRPr="00805893">
        <w:rPr>
          <w:rFonts w:ascii="Verdana" w:eastAsia="Calibri" w:hAnsi="Verdana" w:cs="Arial"/>
          <w:lang w:val="es-ES_tradnl"/>
        </w:rPr>
        <w:t xml:space="preserve"> lo ofrece el Departamento Administrativo de la Función Pública, quien –por medio del concepto citado </w:t>
      </w:r>
      <w:r w:rsidRPr="00805893">
        <w:rPr>
          <w:rFonts w:ascii="Verdana" w:eastAsia="Calibri" w:hAnsi="Verdana" w:cs="Arial"/>
          <w:i/>
          <w:iCs/>
          <w:lang w:val="es-ES_tradnl"/>
        </w:rPr>
        <w:t>ut supra</w:t>
      </w:r>
      <w:r w:rsidRPr="00805893">
        <w:rPr>
          <w:rFonts w:ascii="Verdana" w:eastAsia="Calibri" w:hAnsi="Verdana" w:cs="Arial"/>
          <w:lang w:val="es-ES_tradnl"/>
        </w:rPr>
        <w:t xml:space="preserve">– considera como celebración indirecta de contratos los realizados a través de fundaciones u otras empresas. En principio, nada obsta para que los sujetos inhabilitados participen indirectamente a través de </w:t>
      </w:r>
      <w:r>
        <w:rPr>
          <w:rFonts w:ascii="Verdana" w:eastAsia="Calibri" w:hAnsi="Verdana" w:cs="Arial"/>
          <w:lang w:val="es-ES_tradnl"/>
        </w:rPr>
        <w:t>“</w:t>
      </w:r>
      <w:r w:rsidRPr="00805893">
        <w:rPr>
          <w:rFonts w:ascii="Verdana" w:eastAsia="Calibri" w:hAnsi="Verdana" w:cs="Arial"/>
          <w:lang w:val="es-ES_tradnl"/>
        </w:rPr>
        <w:t>mandatos no representativos</w:t>
      </w:r>
      <w:r>
        <w:rPr>
          <w:rFonts w:ascii="Verdana" w:eastAsia="Calibri" w:hAnsi="Verdana" w:cs="Arial"/>
          <w:lang w:val="es-ES_tradnl"/>
        </w:rPr>
        <w:t>”</w:t>
      </w:r>
      <w:r w:rsidRPr="00805893">
        <w:rPr>
          <w:rFonts w:ascii="Verdana" w:eastAsia="Calibri" w:hAnsi="Verdana" w:cs="Arial"/>
          <w:lang w:val="es-ES_tradnl"/>
        </w:rPr>
        <w:t xml:space="preserve"> con personas jurídicas; pero este supuesto corresponde a la hipótesis explicada en los párrafos precedentes, pues esta tipología contractual no se restringe a las personas naturales.</w:t>
      </w:r>
    </w:p>
    <w:p w14:paraId="3852EBB3" w14:textId="77777777" w:rsidR="002426E8" w:rsidRPr="00805893" w:rsidRDefault="002426E8" w:rsidP="002426E8">
      <w:pPr>
        <w:spacing w:after="120" w:line="276" w:lineRule="auto"/>
        <w:ind w:firstLine="709"/>
        <w:jc w:val="both"/>
        <w:rPr>
          <w:rFonts w:ascii="Verdana" w:eastAsia="Calibri" w:hAnsi="Verdana" w:cs="Arial"/>
          <w:lang w:val="es-ES_tradnl"/>
        </w:rPr>
      </w:pPr>
      <w:r w:rsidRPr="00805893">
        <w:rPr>
          <w:rFonts w:ascii="Verdana" w:eastAsia="Calibri" w:hAnsi="Verdana" w:cs="Arial"/>
          <w:lang w:val="es-ES_tradnl"/>
        </w:rPr>
        <w:t>Pese a lo anterior, las personas sujetas a la inhabilidad del artículo 49, inciso tercero</w:t>
      </w:r>
      <w:r>
        <w:rPr>
          <w:rFonts w:ascii="Verdana" w:eastAsia="Calibri" w:hAnsi="Verdana" w:cs="Arial"/>
          <w:lang w:val="es-ES_tradnl"/>
        </w:rPr>
        <w:t xml:space="preserve"> y parágrafo 3</w:t>
      </w:r>
      <w:r w:rsidRPr="00805893">
        <w:rPr>
          <w:rFonts w:ascii="Verdana" w:eastAsia="Calibri" w:hAnsi="Verdana" w:cs="Arial"/>
          <w:lang w:val="es-ES_tradnl"/>
        </w:rPr>
        <w:t xml:space="preserve">, de la Ley 617 de 2000 también pueden beneficiarse indirectamente en calidad de socios o representantes legales de las personas jurídicas que contratan con el departamento, distrito o municipio, o sus entidades descentralizadas. Aunque el artículo 98, inciso segundo, del Código de Comercio dispone que las sociedades forman una persona jurídica independiente, la participación en los derechos de propiedad o en el direccionamiento estratégico por parte de los sujetos pasivos de la prohibición citada también es una forma de gestión contractual encubierta, la cual está prohibida. </w:t>
      </w:r>
    </w:p>
    <w:p w14:paraId="60291083" w14:textId="77777777" w:rsidR="002426E8" w:rsidRPr="00805893" w:rsidRDefault="002426E8" w:rsidP="002426E8">
      <w:pPr>
        <w:spacing w:after="0" w:line="276" w:lineRule="auto"/>
        <w:ind w:firstLine="708"/>
        <w:jc w:val="both"/>
        <w:rPr>
          <w:rFonts w:ascii="Verdana" w:eastAsia="Calibri" w:hAnsi="Verdana" w:cs="Arial"/>
          <w:lang w:val="es-ES_tradnl"/>
        </w:rPr>
      </w:pPr>
      <w:r w:rsidRPr="00805893">
        <w:rPr>
          <w:rFonts w:ascii="Verdana" w:eastAsia="Calibri" w:hAnsi="Verdana" w:cs="Arial"/>
          <w:lang w:val="es-ES_tradnl"/>
        </w:rPr>
        <w:t>Por tanto, los gobernadores, diputados, alcaldes y concejales no pueden celebrar contratos con las personas jurídicas para beneficiar indirectamente a sus parientes, cónyuges y compañeros permanentes cuando son representantes legales de la sociedad, pues la actuación pondría en riesgo el principio de objetividad, igualdad y moralidad administrativa. Cuando estos tengan la calidad de socios, es necesario analizar caso por caso variables adicionales como el tipo societario, su porcentaje de participación, entre otros. De forma meramente ilustrativa, el riesgo para el interés general es dudoso si el socio tiene una participación accionaria ínfima en una sociedad anónima abierta. En un sentido similar, la jurisprudencia también explica que:</w:t>
      </w:r>
    </w:p>
    <w:p w14:paraId="226B4D4E" w14:textId="77777777" w:rsidR="002426E8" w:rsidRPr="00805893" w:rsidRDefault="002426E8" w:rsidP="002426E8">
      <w:pPr>
        <w:spacing w:after="0" w:line="276" w:lineRule="auto"/>
        <w:ind w:firstLine="708"/>
        <w:jc w:val="both"/>
        <w:rPr>
          <w:rFonts w:ascii="Verdana" w:eastAsia="Calibri" w:hAnsi="Verdana" w:cs="Arial"/>
          <w:lang w:val="es-ES_tradnl"/>
        </w:rPr>
      </w:pPr>
    </w:p>
    <w:p w14:paraId="09816967" w14:textId="77777777" w:rsidR="002426E8" w:rsidRPr="003C2FB6" w:rsidRDefault="002426E8" w:rsidP="002426E8">
      <w:pPr>
        <w:spacing w:after="120" w:line="240" w:lineRule="auto"/>
        <w:ind w:left="709" w:right="709"/>
        <w:jc w:val="both"/>
        <w:rPr>
          <w:rFonts w:ascii="Verdana" w:eastAsia="Calibri" w:hAnsi="Verdana" w:cs="Arial"/>
          <w:sz w:val="20"/>
          <w:szCs w:val="20"/>
          <w:lang w:val="es-ES_tradnl"/>
        </w:rPr>
      </w:pPr>
      <w:r w:rsidRPr="003C2FB6">
        <w:rPr>
          <w:rFonts w:ascii="Verdana" w:eastAsia="Calibri" w:hAnsi="Verdana" w:cs="Arial"/>
          <w:sz w:val="20"/>
          <w:szCs w:val="20"/>
          <w:lang w:val="es-ES_tradnl"/>
        </w:rPr>
        <w:t xml:space="preserve">“[…] el contrato por interpuesta persona se configura mediante sociedades de personas de las que sea socio quien interviene en la negociación, de tal manera que la interpuesta persona es la propia sociedad. En otras </w:t>
      </w:r>
      <w:r w:rsidRPr="003C2FB6">
        <w:rPr>
          <w:rFonts w:ascii="Verdana" w:eastAsia="Calibri" w:hAnsi="Verdana" w:cs="Arial"/>
          <w:sz w:val="20"/>
          <w:szCs w:val="20"/>
          <w:lang w:val="es-ES_tradnl"/>
        </w:rPr>
        <w:lastRenderedPageBreak/>
        <w:t>palabras, la celebración de contratos bajo esta modalidad implica que quien aparece como contratista, aunque formalmente, aparentemente, figure como tal, en realidad, no es la persona que lo celebra y ejecuta.</w:t>
      </w:r>
    </w:p>
    <w:p w14:paraId="44B55382" w14:textId="77777777" w:rsidR="002426E8" w:rsidRPr="003C2FB6" w:rsidRDefault="002426E8" w:rsidP="002426E8">
      <w:pPr>
        <w:spacing w:after="0" w:line="240" w:lineRule="auto"/>
        <w:ind w:left="709" w:right="709"/>
        <w:jc w:val="both"/>
        <w:rPr>
          <w:rFonts w:ascii="Verdana" w:eastAsia="Calibri" w:hAnsi="Verdana" w:cs="Arial"/>
          <w:sz w:val="20"/>
          <w:szCs w:val="20"/>
          <w:lang w:val="es-ES_tradnl"/>
        </w:rPr>
      </w:pPr>
      <w:r w:rsidRPr="003C2FB6">
        <w:rPr>
          <w:rFonts w:ascii="Verdana" w:eastAsia="Calibri" w:hAnsi="Verdana" w:cs="Arial"/>
          <w:sz w:val="20"/>
          <w:szCs w:val="20"/>
          <w:lang w:val="es-ES_tradnl"/>
        </w:rPr>
        <w:t>Tal figura constituye un medio para obtener beneficios que de otra manera no podrían obtenerse o para eludir las inhabilidades o incompatibilidades en las que pueda estar incursa una persona determinada”</w:t>
      </w:r>
      <w:r w:rsidRPr="003C2FB6">
        <w:rPr>
          <w:rStyle w:val="Refdenotaalpie"/>
          <w:rFonts w:ascii="Verdana" w:eastAsia="Calibri" w:hAnsi="Verdana" w:cs="Arial"/>
          <w:sz w:val="20"/>
          <w:szCs w:val="20"/>
          <w:lang w:val="es-ES_tradnl"/>
        </w:rPr>
        <w:footnoteReference w:id="30"/>
      </w:r>
      <w:r w:rsidRPr="003C2FB6">
        <w:rPr>
          <w:rFonts w:ascii="Verdana" w:eastAsia="Calibri" w:hAnsi="Verdana" w:cs="Arial"/>
          <w:sz w:val="20"/>
          <w:szCs w:val="20"/>
          <w:lang w:val="es-ES_tradnl"/>
        </w:rPr>
        <w:t>.</w:t>
      </w:r>
    </w:p>
    <w:p w14:paraId="7B5179D0" w14:textId="77777777" w:rsidR="002426E8" w:rsidRPr="00805893" w:rsidRDefault="002426E8" w:rsidP="002426E8">
      <w:pPr>
        <w:spacing w:after="0" w:line="276" w:lineRule="auto"/>
        <w:jc w:val="both"/>
        <w:rPr>
          <w:rFonts w:ascii="Verdana" w:eastAsia="Calibri" w:hAnsi="Verdana" w:cs="Arial"/>
          <w:lang w:val="es-ES_tradnl"/>
        </w:rPr>
      </w:pPr>
    </w:p>
    <w:p w14:paraId="7FBB2DB9" w14:textId="77777777" w:rsidR="002426E8" w:rsidRPr="00805893" w:rsidRDefault="002426E8" w:rsidP="002426E8">
      <w:pPr>
        <w:spacing w:after="0" w:line="276" w:lineRule="auto"/>
        <w:ind w:firstLine="708"/>
        <w:jc w:val="both"/>
        <w:rPr>
          <w:rFonts w:ascii="Verdana" w:eastAsia="Calibri" w:hAnsi="Verdana" w:cs="Arial"/>
          <w:lang w:val="es-ES_tradnl"/>
        </w:rPr>
      </w:pPr>
      <w:r w:rsidRPr="00805893">
        <w:rPr>
          <w:rFonts w:ascii="Verdana" w:eastAsia="Calibri" w:hAnsi="Verdana" w:cs="Arial"/>
          <w:lang w:val="es-ES_tradnl"/>
        </w:rPr>
        <w:t>Igualmente, considera que:</w:t>
      </w:r>
    </w:p>
    <w:p w14:paraId="4AD61A80" w14:textId="77777777" w:rsidR="002426E8" w:rsidRPr="00805893" w:rsidRDefault="002426E8" w:rsidP="002426E8">
      <w:pPr>
        <w:spacing w:after="0" w:line="276" w:lineRule="auto"/>
        <w:ind w:firstLine="708"/>
        <w:jc w:val="both"/>
        <w:rPr>
          <w:rFonts w:ascii="Verdana" w:eastAsia="Calibri" w:hAnsi="Verdana" w:cs="Arial"/>
          <w:lang w:val="es-ES_tradnl"/>
        </w:rPr>
      </w:pPr>
    </w:p>
    <w:p w14:paraId="12C389ED" w14:textId="77777777" w:rsidR="002426E8" w:rsidRPr="003C2FB6" w:rsidRDefault="002426E8" w:rsidP="002426E8">
      <w:pPr>
        <w:spacing w:after="0" w:line="240" w:lineRule="auto"/>
        <w:ind w:left="709" w:right="709"/>
        <w:jc w:val="both"/>
        <w:rPr>
          <w:rFonts w:ascii="Verdana" w:eastAsia="Arial MT" w:hAnsi="Verdana" w:cs="Arial"/>
          <w:sz w:val="20"/>
          <w:szCs w:val="20"/>
          <w:lang w:val="es-ES"/>
        </w:rPr>
      </w:pPr>
      <w:r w:rsidRPr="003C2FB6">
        <w:rPr>
          <w:rFonts w:ascii="Verdana" w:eastAsia="Arial MT" w:hAnsi="Verdana" w:cs="Arial"/>
          <w:sz w:val="20"/>
          <w:szCs w:val="20"/>
          <w:lang w:val="es-ES"/>
        </w:rPr>
        <w:t xml:space="preserve">“[…] como determinante en la actuación por interpuesta persona es no solo la real y activa participación, en este caso, del miembro de Junta Directiva, sino “el poder decisorio en la gestión social y de igual manera, la utilidad que a ese socio le reportaría su intervención, dado el interés económico que por sus acciones tiene en la sociedad.” (Sala Plena de lo Contencioso Administrativo, sentencia de 11/11/1997, </w:t>
      </w:r>
      <w:proofErr w:type="spellStart"/>
      <w:r w:rsidRPr="003C2FB6">
        <w:rPr>
          <w:rFonts w:ascii="Verdana" w:eastAsia="Arial MT" w:hAnsi="Verdana" w:cs="Arial"/>
          <w:sz w:val="20"/>
          <w:szCs w:val="20"/>
          <w:lang w:val="es-ES"/>
        </w:rPr>
        <w:t>exp</w:t>
      </w:r>
      <w:proofErr w:type="spellEnd"/>
      <w:r w:rsidRPr="003C2FB6">
        <w:rPr>
          <w:rFonts w:ascii="Verdana" w:eastAsia="Arial MT" w:hAnsi="Verdana" w:cs="Arial"/>
          <w:sz w:val="20"/>
          <w:szCs w:val="20"/>
          <w:lang w:val="es-ES"/>
        </w:rPr>
        <w:t xml:space="preserve">. AC-5061, reiterada en sentencia de 4/09/2003, </w:t>
      </w:r>
      <w:proofErr w:type="spellStart"/>
      <w:r w:rsidRPr="003C2FB6">
        <w:rPr>
          <w:rFonts w:ascii="Verdana" w:eastAsia="Arial MT" w:hAnsi="Verdana" w:cs="Arial"/>
          <w:sz w:val="20"/>
          <w:szCs w:val="20"/>
          <w:lang w:val="es-ES"/>
        </w:rPr>
        <w:t>exp</w:t>
      </w:r>
      <w:proofErr w:type="spellEnd"/>
      <w:r w:rsidRPr="003C2FB6">
        <w:rPr>
          <w:rFonts w:ascii="Verdana" w:eastAsia="Arial MT" w:hAnsi="Verdana" w:cs="Arial"/>
          <w:sz w:val="20"/>
          <w:szCs w:val="20"/>
          <w:lang w:val="es-ES"/>
        </w:rPr>
        <w:t>. 2002-00993, Consejero ponente doctor Manuel S. Urueta Ayola). En este caso, el interés económico del demandado en la mencionada sociedad es mínimo, si se tiene en cuenta que sus acciones representan un 5% en el total del capital autorizado que, es de mil millones de pesos dividido en acciones de $1000 cada una; y de esos mil millones de acciones posee únicamente 43.159, lo que impide considerar a la Sala que en razón de tal interés se vio movido a actuar por interpuesta persona”</w:t>
      </w:r>
      <w:r w:rsidRPr="003C2FB6">
        <w:rPr>
          <w:rStyle w:val="Refdenotaalpie"/>
          <w:rFonts w:ascii="Verdana" w:eastAsia="Arial MT" w:hAnsi="Verdana" w:cs="Arial"/>
          <w:sz w:val="20"/>
          <w:szCs w:val="20"/>
          <w:lang w:val="es-ES"/>
        </w:rPr>
        <w:footnoteReference w:id="31"/>
      </w:r>
      <w:r w:rsidRPr="003C2FB6">
        <w:rPr>
          <w:rFonts w:ascii="Verdana" w:eastAsia="Arial MT" w:hAnsi="Verdana" w:cs="Arial"/>
          <w:sz w:val="20"/>
          <w:szCs w:val="20"/>
          <w:lang w:val="es-ES"/>
        </w:rPr>
        <w:t>.</w:t>
      </w:r>
    </w:p>
    <w:p w14:paraId="728F1260" w14:textId="77777777" w:rsidR="002426E8" w:rsidRPr="003C2FB6" w:rsidRDefault="002426E8" w:rsidP="002426E8">
      <w:pPr>
        <w:spacing w:after="0" w:line="276" w:lineRule="auto"/>
        <w:jc w:val="both"/>
        <w:rPr>
          <w:rFonts w:ascii="Verdana" w:eastAsia="Calibri" w:hAnsi="Verdana" w:cs="Arial"/>
          <w:lang w:val="es-ES"/>
        </w:rPr>
      </w:pPr>
    </w:p>
    <w:p w14:paraId="75C0DF70" w14:textId="52F89284" w:rsidR="002426E8" w:rsidRPr="00805893" w:rsidRDefault="002426E8" w:rsidP="002426E8">
      <w:pPr>
        <w:spacing w:after="0" w:line="276" w:lineRule="auto"/>
        <w:ind w:firstLine="708"/>
        <w:jc w:val="both"/>
        <w:rPr>
          <w:rFonts w:ascii="Verdana" w:eastAsia="Calibri" w:hAnsi="Verdana" w:cs="Arial"/>
          <w:lang w:val="es-ES_tradnl"/>
        </w:rPr>
      </w:pPr>
      <w:r w:rsidRPr="00805893">
        <w:rPr>
          <w:rFonts w:ascii="Verdana" w:eastAsia="Calibri" w:hAnsi="Verdana" w:cs="Arial"/>
          <w:lang w:val="es-ES_tradnl"/>
        </w:rPr>
        <w:t xml:space="preserve">Al declarar la </w:t>
      </w:r>
      <w:proofErr w:type="spellStart"/>
      <w:r w:rsidRPr="00805893">
        <w:rPr>
          <w:rFonts w:ascii="Verdana" w:eastAsia="Calibri" w:hAnsi="Verdana" w:cs="Arial"/>
          <w:lang w:val="es-ES_tradnl"/>
        </w:rPr>
        <w:t>exequibilidad</w:t>
      </w:r>
      <w:proofErr w:type="spellEnd"/>
      <w:r w:rsidRPr="00805893">
        <w:rPr>
          <w:rFonts w:ascii="Verdana" w:eastAsia="Calibri" w:hAnsi="Verdana" w:cs="Arial"/>
          <w:lang w:val="es-ES_tradnl"/>
        </w:rPr>
        <w:t xml:space="preserve"> condicional </w:t>
      </w:r>
      <w:r w:rsidR="00F77C56" w:rsidRPr="00F77C56">
        <w:rPr>
          <w:rFonts w:ascii="Verdana" w:eastAsia="Calibri" w:hAnsi="Verdana" w:cs="Arial"/>
        </w:rPr>
        <w:t>del inciso tercero del artículo 49 de la Ley 617 de 2000, tal como fue modificado por el artículo 1º de la Ley 821 de 2003</w:t>
      </w:r>
      <w:r w:rsidR="00D23271">
        <w:rPr>
          <w:rFonts w:ascii="Verdana" w:eastAsia="Calibri" w:hAnsi="Verdana" w:cs="Arial"/>
        </w:rPr>
        <w:t>,</w:t>
      </w:r>
      <w:r>
        <w:rPr>
          <w:rFonts w:ascii="Verdana" w:eastAsia="Calibri" w:hAnsi="Verdana" w:cs="Arial"/>
        </w:rPr>
        <w:t xml:space="preserve"> </w:t>
      </w:r>
      <w:r w:rsidRPr="00805893">
        <w:rPr>
          <w:rFonts w:ascii="Verdana" w:eastAsia="Calibri" w:hAnsi="Verdana" w:cs="Arial"/>
          <w:lang w:val="es-ES_tradnl"/>
        </w:rPr>
        <w:t>en el entendido que se aplica únicamente dentro del ámbito territorial de competencia del respectivo gobernador, alcalde o miembros de juntas administradoras locales, municipales y distritales, la Corte Constitucional considera que las normas sobre la inhabilidad para ser directa o indirectamente contratistas del respectivo departamento, distrito o municipio o de sus entidades descentralizadas, hacen parte del ámbito de configuración legislativa del artículo 150, inciso final, de la Constitución Política, pues compete al Congreso de la República expedir el estatuto general de contratación de la administración pública. Por lo demás, agrega que la inhabilidad coadyuba al logro de objetivos constitucionalmente relevantes, ya que:</w:t>
      </w:r>
    </w:p>
    <w:p w14:paraId="0348C18E" w14:textId="77777777" w:rsidR="002426E8" w:rsidRPr="00805893" w:rsidRDefault="002426E8" w:rsidP="002426E8">
      <w:pPr>
        <w:spacing w:after="0" w:line="276" w:lineRule="auto"/>
        <w:ind w:firstLine="708"/>
        <w:jc w:val="both"/>
        <w:rPr>
          <w:rFonts w:ascii="Verdana" w:eastAsia="Calibri" w:hAnsi="Verdana" w:cs="Arial"/>
          <w:lang w:val="es-ES_tradnl"/>
        </w:rPr>
      </w:pPr>
    </w:p>
    <w:p w14:paraId="19360D6D" w14:textId="77777777" w:rsidR="002426E8" w:rsidRPr="003C2FB6" w:rsidRDefault="002426E8" w:rsidP="002426E8">
      <w:pPr>
        <w:spacing w:after="0" w:line="240" w:lineRule="auto"/>
        <w:ind w:left="709" w:right="709"/>
        <w:jc w:val="both"/>
        <w:rPr>
          <w:rFonts w:ascii="Verdana" w:eastAsia="Calibri" w:hAnsi="Verdana" w:cs="Arial"/>
          <w:sz w:val="20"/>
          <w:szCs w:val="20"/>
          <w:lang w:val="es-ES_tradnl"/>
        </w:rPr>
      </w:pPr>
      <w:r w:rsidRPr="003C2FB6">
        <w:rPr>
          <w:rFonts w:ascii="Verdana" w:eastAsia="Calibri" w:hAnsi="Verdana" w:cs="Arial"/>
          <w:sz w:val="20"/>
          <w:szCs w:val="20"/>
        </w:rPr>
        <w:lastRenderedPageBreak/>
        <w:t>“Estas medidas constituyen […] un desarrollo legislativo razonable y proporcionado, como instrumento necesario e idóneo para el logro de los principios rectores de la actuación administrativa y garantizar que las actuaciones públicas estén despojadas de propósitos o intenciones ajenos al servicio público y al interés general. Lo que buscan las disposiciones demandadas es evitar, entre otros efectos, la injerencia indebida de los miembros de las corporaciones públicas en la gestión pública del orden territorial y a favor de sus allegados […]. De tal suerte que las inhabilidades en referencia constituyen una garantía de imparcialidad, transparencia y moralidad de la gestión pública en los departamentos, distritos y municipios”</w:t>
      </w:r>
      <w:r w:rsidRPr="003C2FB6">
        <w:rPr>
          <w:rStyle w:val="Refdenotaalpie"/>
          <w:rFonts w:ascii="Verdana" w:eastAsia="Calibri" w:hAnsi="Verdana" w:cs="Arial"/>
          <w:sz w:val="20"/>
          <w:szCs w:val="20"/>
          <w:lang w:val="es-ES_tradnl"/>
        </w:rPr>
        <w:footnoteReference w:id="32"/>
      </w:r>
      <w:r w:rsidRPr="003C2FB6">
        <w:rPr>
          <w:rFonts w:ascii="Verdana" w:eastAsia="Calibri" w:hAnsi="Verdana" w:cs="Arial"/>
          <w:sz w:val="20"/>
          <w:szCs w:val="20"/>
          <w:lang w:val="es-ES_tradnl"/>
        </w:rPr>
        <w:t>.</w:t>
      </w:r>
    </w:p>
    <w:p w14:paraId="49ADC1DA" w14:textId="77777777" w:rsidR="002426E8" w:rsidRPr="00751F59" w:rsidRDefault="002426E8" w:rsidP="00751F59">
      <w:pPr>
        <w:spacing w:after="0" w:line="276" w:lineRule="auto"/>
        <w:jc w:val="both"/>
        <w:rPr>
          <w:rFonts w:ascii="Verdana" w:eastAsia="Calibri" w:hAnsi="Verdana" w:cs="Arial"/>
          <w:lang w:val="es-ES_tradnl"/>
        </w:rPr>
      </w:pPr>
    </w:p>
    <w:p w14:paraId="08689A69" w14:textId="5680A1B0" w:rsidR="004E7655" w:rsidRPr="00E22B72" w:rsidRDefault="00D6107D" w:rsidP="00394830">
      <w:pPr>
        <w:spacing w:after="120" w:line="276" w:lineRule="auto"/>
        <w:ind w:firstLine="709"/>
        <w:jc w:val="both"/>
        <w:rPr>
          <w:rFonts w:ascii="Verdana" w:eastAsia="Calibri" w:hAnsi="Verdana" w:cs="Arial"/>
        </w:rPr>
      </w:pPr>
      <w:r w:rsidRPr="00D6107D">
        <w:rPr>
          <w:rFonts w:ascii="Verdana" w:eastAsia="Calibri" w:hAnsi="Verdana" w:cs="Arial"/>
        </w:rPr>
        <w:t xml:space="preserve">Más recientemente, la Corte Constitucional reiteró la validez de esta restricción en la Sentencia C-087 de 2024, al declarar la </w:t>
      </w:r>
      <w:proofErr w:type="spellStart"/>
      <w:r w:rsidRPr="00D6107D">
        <w:rPr>
          <w:rFonts w:ascii="Verdana" w:eastAsia="Calibri" w:hAnsi="Verdana" w:cs="Arial"/>
        </w:rPr>
        <w:t>exequibilidad</w:t>
      </w:r>
      <w:proofErr w:type="spellEnd"/>
      <w:r w:rsidRPr="00D6107D">
        <w:rPr>
          <w:rFonts w:ascii="Verdana" w:eastAsia="Calibri" w:hAnsi="Verdana" w:cs="Arial"/>
        </w:rPr>
        <w:t xml:space="preserve"> simple del inciso tercero del artículo 49 de la Ley 617 de 2000 —en la versión introducida </w:t>
      </w:r>
      <w:r w:rsidRPr="00E22B72">
        <w:rPr>
          <w:rFonts w:ascii="Verdana" w:eastAsia="Calibri" w:hAnsi="Verdana" w:cs="Arial"/>
        </w:rPr>
        <w:t xml:space="preserve">por la Ley 1296 de 2009— frente a los cargos por vulneración de los artículos 13 y 333 superiores. </w:t>
      </w:r>
      <w:r w:rsidR="005D3C03" w:rsidRPr="00E22B72">
        <w:rPr>
          <w:rFonts w:ascii="Verdana" w:eastAsia="Calibri" w:hAnsi="Verdana" w:cs="Arial"/>
        </w:rPr>
        <w:t>En esa oportunidad precisó que la inhabilidad por parentesco no se limita a un procedimiento de selección específico, sino que se extiende a todos los previstos en el artículo 2 de la Ley 1150 de 2007, sin que ello constituya un medio prohibido por la Constitución. En palabras de la Corte:</w:t>
      </w:r>
      <w:r w:rsidR="00E22B72">
        <w:rPr>
          <w:rFonts w:ascii="Verdana" w:eastAsia="Calibri" w:hAnsi="Verdana" w:cs="Arial"/>
        </w:rPr>
        <w:t xml:space="preserve"> </w:t>
      </w:r>
      <w:r w:rsidR="004E7655" w:rsidRPr="008A1F41">
        <w:rPr>
          <w:rFonts w:ascii="Verdana" w:eastAsia="Calibri" w:hAnsi="Verdana" w:cs="Arial"/>
          <w:i/>
          <w:iCs/>
        </w:rPr>
        <w:t>“</w:t>
      </w:r>
      <w:r w:rsidR="00E22B72" w:rsidRPr="00E22B72">
        <w:rPr>
          <w:rFonts w:ascii="Verdana" w:eastAsia="Calibri" w:hAnsi="Verdana" w:cs="Arial"/>
        </w:rPr>
        <w:t>Además, el logro de la finalidad que persigue la disposición es mucho más amplio, en la medida en que la inhabilidad no se restringe a un determinado tipo de procedimiento de selección de contratistas</w:t>
      </w:r>
      <w:r w:rsidR="00E22B72" w:rsidRPr="008A1F41">
        <w:rPr>
          <w:rFonts w:ascii="Verdana" w:eastAsia="Calibri" w:hAnsi="Verdana" w:cs="Arial"/>
          <w:i/>
          <w:iCs/>
        </w:rPr>
        <w:t>, ya que los incluye a todos, sin que este, además, constituya un medio prohibido por la Constitución para lograr una mayor garantía de los principios orientadores de la función administrativa antes referidos</w:t>
      </w:r>
      <w:r w:rsidR="004E7655" w:rsidRPr="008A1F41">
        <w:rPr>
          <w:rFonts w:ascii="Verdana" w:eastAsia="Calibri" w:hAnsi="Verdana" w:cs="Arial"/>
          <w:i/>
          <w:iCs/>
        </w:rPr>
        <w:t>”</w:t>
      </w:r>
      <w:r w:rsidR="004E7655" w:rsidRPr="008A1F41">
        <w:rPr>
          <w:rStyle w:val="Refdenotaalpie"/>
          <w:rFonts w:ascii="Verdana" w:eastAsia="Calibri" w:hAnsi="Verdana" w:cs="Arial"/>
          <w:i/>
          <w:iCs/>
        </w:rPr>
        <w:footnoteReference w:id="33"/>
      </w:r>
      <w:r w:rsidR="00E22B72">
        <w:rPr>
          <w:rFonts w:ascii="Verdana" w:eastAsia="Calibri" w:hAnsi="Verdana" w:cs="Arial"/>
          <w:i/>
          <w:iCs/>
        </w:rPr>
        <w:t xml:space="preserve">. </w:t>
      </w:r>
    </w:p>
    <w:p w14:paraId="29F29BF8" w14:textId="55A941B3" w:rsidR="002426E8" w:rsidRDefault="002426E8" w:rsidP="002426E8">
      <w:pPr>
        <w:spacing w:after="0" w:line="276" w:lineRule="auto"/>
        <w:ind w:firstLine="709"/>
        <w:jc w:val="both"/>
        <w:rPr>
          <w:rFonts w:ascii="Verdana" w:eastAsia="Calibri" w:hAnsi="Verdana" w:cs="Arial"/>
          <w:lang w:val="es-ES_tradnl"/>
        </w:rPr>
      </w:pPr>
      <w:r w:rsidRPr="00805893">
        <w:rPr>
          <w:rFonts w:ascii="Verdana" w:eastAsia="Calibri" w:hAnsi="Verdana" w:cs="Arial"/>
          <w:lang w:val="es-ES_tradnl"/>
        </w:rPr>
        <w:t>En este contexto, cuando el</w:t>
      </w:r>
      <w:r>
        <w:rPr>
          <w:rFonts w:ascii="Verdana" w:eastAsia="Calibri" w:hAnsi="Verdana" w:cs="Arial"/>
          <w:lang w:val="es-ES_tradnl"/>
        </w:rPr>
        <w:t xml:space="preserve"> </w:t>
      </w:r>
      <w:r w:rsidRPr="00805893">
        <w:rPr>
          <w:rFonts w:ascii="Verdana" w:eastAsia="Calibri" w:hAnsi="Verdana" w:cs="Arial"/>
          <w:lang w:val="es-ES_tradnl"/>
        </w:rPr>
        <w:t>inciso tercero</w:t>
      </w:r>
      <w:r>
        <w:rPr>
          <w:rFonts w:ascii="Verdana" w:eastAsia="Calibri" w:hAnsi="Verdana" w:cs="Arial"/>
          <w:lang w:val="es-ES_tradnl"/>
        </w:rPr>
        <w:t xml:space="preserve"> y el parágrafo 3</w:t>
      </w:r>
      <w:r w:rsidRPr="00805893">
        <w:rPr>
          <w:rFonts w:ascii="Verdana" w:eastAsia="Calibri" w:hAnsi="Verdana" w:cs="Arial"/>
          <w:lang w:val="es-ES_tradnl"/>
        </w:rPr>
        <w:t xml:space="preserve"> </w:t>
      </w:r>
      <w:r>
        <w:rPr>
          <w:rFonts w:ascii="Verdana" w:eastAsia="Calibri" w:hAnsi="Verdana" w:cs="Arial"/>
          <w:lang w:val="es-ES_tradnl"/>
        </w:rPr>
        <w:t xml:space="preserve">del </w:t>
      </w:r>
      <w:r w:rsidRPr="00805893">
        <w:rPr>
          <w:rFonts w:ascii="Verdana" w:eastAsia="Calibri" w:hAnsi="Verdana" w:cs="Arial"/>
          <w:lang w:val="es-ES_tradnl"/>
        </w:rPr>
        <w:t xml:space="preserve">artículo 49 de la Ley 617 de 2000 prohíbe celebración indirecta significa que los sujetos de la inhabilidad no pueden actuar subrepticiamente, a través de terceras personas, en la contratación realizada por los departamentos, distritos o municipios, así como de sus entidades descentralizadas, cuando son parientes, cónyuges y compañeros permanentes de los gobernadores, diputados, alcaldes y concejales. Estos supuestos corresponden a los explicados anteriormente, así como a todas aquellas hipótesis de participación encubierta por parte de los sujetos inhabilitados, los cuales deberá analizar la entidad contratante en cada </w:t>
      </w:r>
      <w:r>
        <w:rPr>
          <w:rFonts w:ascii="Verdana" w:eastAsia="Calibri" w:hAnsi="Verdana" w:cs="Arial"/>
          <w:lang w:val="es-ES_tradnl"/>
        </w:rPr>
        <w:t xml:space="preserve">caso concreto, especialmente, cuando la noción de “contratación indirecta” es </w:t>
      </w:r>
      <w:r>
        <w:rPr>
          <w:rFonts w:ascii="Verdana" w:eastAsia="Calibri" w:hAnsi="Verdana" w:cs="Arial"/>
          <w:lang w:val="es-ES_tradnl"/>
        </w:rPr>
        <w:lastRenderedPageBreak/>
        <w:t xml:space="preserve">jurídicamente indeterminada: “[…] </w:t>
      </w:r>
      <w:r w:rsidRPr="00671B9D">
        <w:rPr>
          <w:rFonts w:ascii="Verdana" w:eastAsia="Calibri" w:hAnsi="Verdana" w:cs="Arial"/>
          <w:lang w:val="es-ES_tradnl"/>
        </w:rPr>
        <w:t xml:space="preserve">La Ley no determina con exactitud los límites de esos conceptos porque </w:t>
      </w:r>
      <w:r>
        <w:rPr>
          <w:rFonts w:ascii="Verdana" w:eastAsia="Calibri" w:hAnsi="Verdana" w:cs="Arial"/>
          <w:lang w:val="es-ES_tradnl"/>
        </w:rPr>
        <w:t>[…]</w:t>
      </w:r>
      <w:r w:rsidRPr="00671B9D">
        <w:rPr>
          <w:rFonts w:ascii="Verdana" w:eastAsia="Calibri" w:hAnsi="Verdana" w:cs="Arial"/>
          <w:lang w:val="es-ES_tradnl"/>
        </w:rPr>
        <w:t xml:space="preserve"> no admiten una cuantificación o determinación rigurosas, pero en todo caso es manifiesto que se está refiriendo a un supuesto de la realidad que, no obstante la indeterminación del concepto, admite ser precisado en el momento de la aplicación</w:t>
      </w:r>
      <w:r>
        <w:rPr>
          <w:rFonts w:ascii="Verdana" w:eastAsia="Calibri" w:hAnsi="Verdana" w:cs="Arial"/>
          <w:lang w:val="es-ES_tradnl"/>
        </w:rPr>
        <w:t xml:space="preserve"> […]”</w:t>
      </w:r>
      <w:r>
        <w:rPr>
          <w:rStyle w:val="Refdenotaalpie"/>
          <w:rFonts w:ascii="Verdana" w:eastAsia="Calibri" w:hAnsi="Verdana" w:cs="Arial"/>
          <w:lang w:val="es-ES_tradnl"/>
        </w:rPr>
        <w:footnoteReference w:id="34"/>
      </w:r>
      <w:r>
        <w:rPr>
          <w:rFonts w:ascii="Verdana" w:eastAsia="Calibri" w:hAnsi="Verdana" w:cs="Arial"/>
          <w:lang w:val="es-ES_tradnl"/>
        </w:rPr>
        <w:t>.</w:t>
      </w:r>
      <w:r w:rsidRPr="00805893">
        <w:rPr>
          <w:rFonts w:ascii="Verdana" w:eastAsia="Calibri" w:hAnsi="Verdana" w:cs="Arial"/>
          <w:lang w:val="es-ES_tradnl"/>
        </w:rPr>
        <w:t xml:space="preserve"> </w:t>
      </w:r>
      <w:r>
        <w:rPr>
          <w:rFonts w:ascii="Verdana" w:eastAsia="Calibri" w:hAnsi="Verdana" w:cs="Arial"/>
          <w:lang w:val="es-ES_tradnl"/>
        </w:rPr>
        <w:t>Es decir, las soluciones posibles están entre la zona de certeza positiva y negativa, sin perjuicio de las zonas de penumbra</w:t>
      </w:r>
      <w:r>
        <w:rPr>
          <w:rStyle w:val="Refdenotaalpie"/>
          <w:rFonts w:ascii="Verdana" w:eastAsia="Calibri" w:hAnsi="Verdana" w:cs="Arial"/>
          <w:lang w:val="es-ES_tradnl"/>
        </w:rPr>
        <w:footnoteReference w:id="35"/>
      </w:r>
      <w:r>
        <w:rPr>
          <w:rFonts w:ascii="Verdana" w:eastAsia="Calibri" w:hAnsi="Verdana" w:cs="Arial"/>
          <w:lang w:val="es-ES_tradnl"/>
        </w:rPr>
        <w:t xml:space="preserve">. </w:t>
      </w:r>
    </w:p>
    <w:p w14:paraId="5B562F6A" w14:textId="77777777" w:rsidR="002426E8" w:rsidRDefault="002426E8" w:rsidP="002426E8">
      <w:pPr>
        <w:spacing w:after="0" w:line="276" w:lineRule="auto"/>
        <w:ind w:firstLine="709"/>
        <w:jc w:val="both"/>
        <w:rPr>
          <w:rFonts w:ascii="Verdana" w:eastAsia="Calibri" w:hAnsi="Verdana" w:cs="Arial"/>
          <w:lang w:val="es-ES_tradnl"/>
        </w:rPr>
      </w:pPr>
    </w:p>
    <w:p w14:paraId="1465E9CD" w14:textId="77777777" w:rsidR="002426E8" w:rsidRPr="007D4A74" w:rsidRDefault="002426E8" w:rsidP="002426E8">
      <w:pPr>
        <w:spacing w:after="120" w:line="276" w:lineRule="auto"/>
        <w:jc w:val="both"/>
        <w:rPr>
          <w:rFonts w:ascii="Verdana" w:eastAsia="Calibri" w:hAnsi="Verdana" w:cs="Arial"/>
        </w:rPr>
      </w:pPr>
      <w:proofErr w:type="spellStart"/>
      <w:r>
        <w:rPr>
          <w:rFonts w:ascii="Verdana" w:eastAsia="Calibri" w:hAnsi="Verdana" w:cs="Arial"/>
          <w:lang w:val="es-ES_tradnl"/>
        </w:rPr>
        <w:t>iv</w:t>
      </w:r>
      <w:proofErr w:type="spellEnd"/>
      <w:r>
        <w:rPr>
          <w:rFonts w:ascii="Verdana" w:eastAsia="Calibri" w:hAnsi="Verdana" w:cs="Arial"/>
          <w:lang w:val="es-ES_tradnl"/>
        </w:rPr>
        <w:t xml:space="preserve">. </w:t>
      </w:r>
      <w:r w:rsidRPr="007D4A74">
        <w:rPr>
          <w:rFonts w:ascii="Verdana" w:hAnsi="Verdana" w:cs="Arial"/>
          <w:iCs/>
          <w:lang w:val="es-419"/>
        </w:rPr>
        <w:t>El artículo 209 de la Constitución Política establece que la función administrativa está orientada hacia el servicio de los intereses generales y se fundamenta en principios de igualdad, moralidad, eficacia, economía, celeridad, imparcialidad y publicidad. Asimismo, conforme al Código de Procedimiento Administrativo y de lo Contencioso Administrativo, Ley 1437 de 2011, las acciones administrativas deben llevarse a cabo con transparencia.</w:t>
      </w:r>
    </w:p>
    <w:p w14:paraId="24C70D5B" w14:textId="77777777" w:rsidR="002426E8" w:rsidRPr="007D4A74" w:rsidRDefault="002426E8" w:rsidP="002426E8">
      <w:pPr>
        <w:spacing w:after="120" w:line="276" w:lineRule="auto"/>
        <w:ind w:firstLine="708"/>
        <w:jc w:val="both"/>
        <w:rPr>
          <w:rFonts w:ascii="Verdana" w:eastAsia="Calibri" w:hAnsi="Verdana" w:cs="Arial"/>
          <w:lang w:eastAsia="es-ES_tradnl"/>
        </w:rPr>
      </w:pPr>
      <w:r w:rsidRPr="007D4A74">
        <w:rPr>
          <w:rFonts w:ascii="Verdana" w:eastAsia="Calibri" w:hAnsi="Verdana" w:cs="Arial"/>
          <w:lang w:eastAsia="es-ES_tradnl"/>
        </w:rPr>
        <w:t>El artículo 200 de la Ley 2294 de 2023 estableció el deber de formular una Estrategia Nacional de Lucha contra la Corrupción</w:t>
      </w:r>
      <w:r w:rsidRPr="007D4A74">
        <w:rPr>
          <w:rFonts w:ascii="Verdana" w:eastAsia="Calibri" w:hAnsi="Verdana" w:cs="Arial"/>
          <w:iCs/>
          <w:lang w:eastAsia="es-ES_tradnl"/>
        </w:rPr>
        <w:t>, con el fin de fortalecer las instituciones democráticas y el Estado Social de Derecho, la protección de los derechos humanos, los recursos públicos, así como generar condiciones adecuadas para el desarrollo socioeconómico y el cuidado del medio ambiente</w:t>
      </w:r>
      <w:r w:rsidRPr="007D4A74">
        <w:rPr>
          <w:rStyle w:val="Refdenotaalpie"/>
          <w:rFonts w:ascii="Verdana" w:eastAsia="Calibri" w:hAnsi="Verdana" w:cs="Arial"/>
          <w:lang w:eastAsia="es-ES_tradnl"/>
        </w:rPr>
        <w:footnoteReference w:id="36"/>
      </w:r>
      <w:r w:rsidRPr="007D4A74">
        <w:rPr>
          <w:rFonts w:ascii="Verdana" w:eastAsia="Calibri" w:hAnsi="Verdana" w:cs="Arial"/>
          <w:lang w:eastAsia="es-ES_tradnl"/>
        </w:rPr>
        <w:t xml:space="preserve">. </w:t>
      </w:r>
      <w:r w:rsidRPr="007D4A74">
        <w:rPr>
          <w:rFonts w:ascii="Verdana" w:eastAsia="Calibri" w:hAnsi="Verdana" w:cs="Arial"/>
          <w:lang w:eastAsia="es-ES_tradnl"/>
        </w:rPr>
        <w:lastRenderedPageBreak/>
        <w:t>De este modo, la estrategia de la lucha contra la corrupción incluye las dimensiones de la garantía de los derechos humanos, la protección al denunciante, el derecho de acceso a la información pública, el fortalecimiento de la veeduría ciudadana, la transparencia en la contratación y gestión pública</w:t>
      </w:r>
      <w:r w:rsidRPr="007D4A74">
        <w:rPr>
          <w:rFonts w:ascii="Verdana" w:eastAsia="Calibri" w:hAnsi="Verdana" w:cs="Arial"/>
          <w:i/>
          <w:iCs/>
          <w:lang w:eastAsia="es-ES_tradnl"/>
        </w:rPr>
        <w:t>,</w:t>
      </w:r>
      <w:r w:rsidRPr="007D4A74">
        <w:rPr>
          <w:rFonts w:ascii="Verdana" w:eastAsia="Calibri" w:hAnsi="Verdana" w:cs="Arial"/>
          <w:lang w:eastAsia="es-ES_tradnl"/>
        </w:rPr>
        <w:t xml:space="preserve"> la innovación pública y la prevención, detección, gestión y sanción de riesgos y hechos de corrupción. </w:t>
      </w:r>
    </w:p>
    <w:p w14:paraId="03581229" w14:textId="77777777" w:rsidR="002426E8" w:rsidRPr="007D4A74" w:rsidRDefault="002426E8" w:rsidP="002426E8">
      <w:pPr>
        <w:spacing w:after="120" w:line="276" w:lineRule="auto"/>
        <w:ind w:firstLine="708"/>
        <w:jc w:val="both"/>
        <w:rPr>
          <w:rFonts w:ascii="Verdana" w:eastAsia="Calibri" w:hAnsi="Verdana" w:cs="Arial"/>
          <w:bCs/>
          <w:lang w:eastAsia="es-ES_tradnl"/>
        </w:rPr>
      </w:pPr>
      <w:r w:rsidRPr="007D4A74">
        <w:rPr>
          <w:rFonts w:ascii="Verdana" w:eastAsia="Calibri" w:hAnsi="Verdana" w:cs="Arial"/>
          <w:bCs/>
          <w:lang w:eastAsia="es-ES_tradnl"/>
        </w:rPr>
        <w:t xml:space="preserve">En la búsqueda de fortalecer una estrategia de lucha contra la corrupción se expidió el Decreto 1600 de 2024. El Capítulo 3°, Sección 1°, Título 4°, Parte 1°, Libro 2° del Decreto 1081 de 2015, que fue modificado por el artículo 2 del reglamento citado, tiene como objeto: “[…] </w:t>
      </w:r>
      <w:r w:rsidRPr="007D4A74">
        <w:rPr>
          <w:rFonts w:ascii="Verdana" w:eastAsia="Calibri" w:hAnsi="Verdana" w:cs="Arial"/>
          <w:bCs/>
          <w:iCs/>
          <w:lang w:eastAsia="es-ES_tradnl"/>
        </w:rPr>
        <w:t xml:space="preserve">establecer los lineamientos, mecanismos y directrices necesarios para la implementación de la Estrategia Nacional de Lucha contra la Corrupción, con el fin de fortalecer las instituciones democráticas, la confianza ciudadana y el Estado social de derecho, garantizar la protección de los derechos humanos relativos a la protección de los recursos públicos, generar condiciones adecuadas para el desarrollo socioeconómico y protección del medio ambiente. Asimismo, procura fomentar una cultura de revalorización y cuidado de lo público, a través de herramientas de transparencia, fortalecimiento de la veeduría ciudadana, acceso efectivo a la información, participación ciudadana y debida diligencia en la prevención, detección y sanción de hechos de corrupción” –artículo 2.1.4.3.1.1–. </w:t>
      </w:r>
    </w:p>
    <w:p w14:paraId="64BD67EA" w14:textId="77777777" w:rsidR="002426E8" w:rsidRPr="007D4A74" w:rsidRDefault="002426E8" w:rsidP="002426E8">
      <w:pPr>
        <w:spacing w:after="120" w:line="276" w:lineRule="auto"/>
        <w:ind w:firstLine="708"/>
        <w:jc w:val="both"/>
        <w:rPr>
          <w:rFonts w:ascii="Verdana" w:eastAsia="Calibri" w:hAnsi="Verdana" w:cs="Arial"/>
          <w:bCs/>
          <w:iCs/>
          <w:lang w:eastAsia="es-ES_tradnl"/>
        </w:rPr>
      </w:pPr>
      <w:r w:rsidRPr="007D4A74">
        <w:rPr>
          <w:rFonts w:ascii="Verdana" w:eastAsia="Calibri" w:hAnsi="Verdana" w:cs="Arial"/>
          <w:bCs/>
          <w:iCs/>
          <w:lang w:eastAsia="es-ES_tradnl"/>
        </w:rPr>
        <w:lastRenderedPageBreak/>
        <w:t>El ámbito o campo de aplicación de este capítulo está regulado en el artículo 2.1.4.3.1.2 que señala que sus reglas están dirigidas a las entidades y empresas del Estado del orden nacional y pertenecientes a la Rama Ejecutiva del Poder Público</w:t>
      </w:r>
      <w:r w:rsidRPr="007D4A74">
        <w:rPr>
          <w:rFonts w:ascii="Verdana" w:eastAsia="Calibri" w:hAnsi="Verdana" w:cs="Arial"/>
          <w:bCs/>
          <w:iCs/>
          <w:vertAlign w:val="superscript"/>
          <w:lang w:eastAsia="es-ES_tradnl"/>
        </w:rPr>
        <w:footnoteReference w:id="37"/>
      </w:r>
      <w:r w:rsidRPr="007D4A74">
        <w:rPr>
          <w:rFonts w:ascii="Verdana" w:eastAsia="Calibri" w:hAnsi="Verdana" w:cs="Arial"/>
          <w:bCs/>
          <w:iCs/>
          <w:lang w:eastAsia="es-ES_tradnl"/>
        </w:rPr>
        <w:t xml:space="preserve">. Además, dispone que las empresas industriales y comerciales del Estado, las sociedades de economía mixta y todas las demás instituciones sometidas a regímenes especiales de contratación deben cumplir las obligaciones del presente Capítulo en aquellos aspectos en los que deban aplicar el régimen general de contratación pública. </w:t>
      </w:r>
    </w:p>
    <w:p w14:paraId="51485E9D" w14:textId="77777777" w:rsidR="002426E8" w:rsidRPr="007D4A74" w:rsidRDefault="002426E8" w:rsidP="002426E8">
      <w:pPr>
        <w:spacing w:after="120" w:line="276" w:lineRule="auto"/>
        <w:ind w:firstLine="708"/>
        <w:jc w:val="both"/>
        <w:rPr>
          <w:rFonts w:ascii="Verdana" w:eastAsia="Calibri" w:hAnsi="Verdana" w:cs="Arial"/>
          <w:bCs/>
          <w:iCs/>
          <w:lang w:eastAsia="es-ES_tradnl"/>
        </w:rPr>
      </w:pPr>
      <w:r w:rsidRPr="007D4A74">
        <w:rPr>
          <w:rFonts w:ascii="Verdana" w:eastAsia="Calibri" w:hAnsi="Verdana" w:cs="Arial"/>
          <w:bCs/>
          <w:iCs/>
          <w:lang w:eastAsia="es-ES_tradnl"/>
        </w:rPr>
        <w:t>En los temas no regulados por dicho régimen, no se aplica lo dispuesto en el artículo 2.1.4.3.2.1, por lo que las demás disposiciones deberán aplicarse, de acuerdo con su estructura orgánica y la normativa aplicable a su funcionamiento.</w:t>
      </w:r>
      <w:r w:rsidRPr="007D4A74">
        <w:rPr>
          <w:rFonts w:ascii="Verdana" w:eastAsia="Calibri" w:hAnsi="Verdana" w:cs="Arial"/>
          <w:bCs/>
          <w:lang w:eastAsia="es-ES_tradnl"/>
        </w:rPr>
        <w:t xml:space="preserve"> </w:t>
      </w:r>
      <w:r w:rsidRPr="007D4A74">
        <w:rPr>
          <w:rFonts w:ascii="Verdana" w:eastAsia="Calibri" w:hAnsi="Verdana" w:cs="Arial"/>
          <w:bCs/>
          <w:iCs/>
          <w:lang w:eastAsia="es-ES_tradnl"/>
        </w:rPr>
        <w:t xml:space="preserve">Con respecto a las entidades territoriales y sus entidades descentralizadas el citado artículo dispone que en el marco de su autonomía y en cumplimiento de lo previsto en el artículo 32 de la Ley 152 de 1994, por la cual se establece la Ley Orgánica de Plan de Desarrollo, aplicarán en sus planes y políticas, las líneas de acción contenidas en el presente Capítulo, conforme a lo regulado en el precitado artículo 200 de la Ley 2294 de 2023. </w:t>
      </w:r>
    </w:p>
    <w:p w14:paraId="6062885F" w14:textId="77777777" w:rsidR="002426E8" w:rsidRPr="007D4A74" w:rsidRDefault="002426E8" w:rsidP="002426E8">
      <w:pPr>
        <w:spacing w:after="0" w:line="276" w:lineRule="auto"/>
        <w:ind w:firstLine="709"/>
        <w:jc w:val="both"/>
        <w:rPr>
          <w:rFonts w:ascii="Verdana" w:eastAsia="Calibri" w:hAnsi="Verdana" w:cs="Arial"/>
          <w:bCs/>
          <w:iCs/>
          <w:lang w:eastAsia="es-ES_tradnl"/>
        </w:rPr>
      </w:pPr>
      <w:r w:rsidRPr="007D4A74">
        <w:rPr>
          <w:rFonts w:ascii="Verdana" w:eastAsia="Calibri" w:hAnsi="Verdana" w:cs="Arial"/>
          <w:bCs/>
          <w:iCs/>
          <w:lang w:eastAsia="es-ES_tradnl"/>
        </w:rPr>
        <w:t xml:space="preserve">En el capítulo referido, el artículo 2.1.4.3.2.1 indica que las entidades definidas en el artículo 2.1.4.3.1.2 del decreto, deberán garantizar acciones en desarrollo de la gestión contractual a su cargo, sin perjuicio de las demás obligaciones legales y reglamentarias, a saber: </w:t>
      </w:r>
    </w:p>
    <w:p w14:paraId="3F168E76" w14:textId="77777777" w:rsidR="002426E8" w:rsidRPr="007D4A74" w:rsidRDefault="002426E8" w:rsidP="002426E8">
      <w:pPr>
        <w:spacing w:after="0" w:line="276" w:lineRule="auto"/>
        <w:ind w:firstLine="709"/>
        <w:jc w:val="both"/>
        <w:rPr>
          <w:rFonts w:ascii="Verdana" w:eastAsia="Calibri" w:hAnsi="Verdana" w:cs="Arial"/>
          <w:bCs/>
          <w:iCs/>
          <w:lang w:eastAsia="es-ES_tradnl"/>
        </w:rPr>
      </w:pPr>
    </w:p>
    <w:p w14:paraId="5F64188F" w14:textId="77777777" w:rsidR="002426E8" w:rsidRPr="007D4A74" w:rsidRDefault="002426E8" w:rsidP="002426E8">
      <w:pPr>
        <w:spacing w:after="120" w:line="240" w:lineRule="auto"/>
        <w:ind w:left="709" w:right="709"/>
        <w:jc w:val="both"/>
        <w:rPr>
          <w:rFonts w:ascii="Verdana" w:eastAsia="Calibri" w:hAnsi="Verdana" w:cs="Arial"/>
          <w:bCs/>
          <w:iCs/>
          <w:sz w:val="20"/>
          <w:szCs w:val="20"/>
          <w:lang w:eastAsia="es-ES_tradnl"/>
        </w:rPr>
      </w:pPr>
      <w:r w:rsidRPr="007D4A74">
        <w:rPr>
          <w:rFonts w:ascii="Verdana" w:eastAsia="Calibri" w:hAnsi="Verdana" w:cs="Arial"/>
          <w:bCs/>
          <w:iCs/>
          <w:sz w:val="20"/>
          <w:szCs w:val="20"/>
          <w:lang w:eastAsia="es-ES_tradnl"/>
        </w:rPr>
        <w:t xml:space="preserve">“a) Verificar la existencia de situaciones de control. En los términos de los artículos 260 y 261 del Código de Comercio, de las personas jurídicas oferentes y/o de los proponentes plurales. Quienes se presenten como proponentes en procesos de selección adelantados por las entidades destinatarias del presente Capítulo, en el término máximo de tres (3) días después del momento en que se cierre definitivamente la presentación de </w:t>
      </w:r>
      <w:r w:rsidRPr="007D4A74">
        <w:rPr>
          <w:rFonts w:ascii="Verdana" w:eastAsia="Calibri" w:hAnsi="Verdana" w:cs="Arial"/>
          <w:bCs/>
          <w:iCs/>
          <w:sz w:val="20"/>
          <w:szCs w:val="20"/>
          <w:lang w:eastAsia="es-ES_tradnl"/>
        </w:rPr>
        <w:lastRenderedPageBreak/>
        <w:t xml:space="preserve">ofertas, deberán poner de presente la existencia o no de situaciones de control de las que participen y, en particular, si son contratantes, controladas o comparten alguna de estas condiciones con otras personas que se encuentren participando en el mismo procedimiento de contratación. Para el caso de los proponentes plurales, deberán indicar si las personas que los conforman se encuentran en alguna de las situaciones descritas anteriormente. Para el caso de los proponentes plurales, deberán indicar si las personas que los conforman se encuentran en alguna de las situaciones descritas anteriormente.  </w:t>
      </w:r>
    </w:p>
    <w:p w14:paraId="1E0F2208" w14:textId="77777777" w:rsidR="002426E8" w:rsidRPr="007D4A74" w:rsidRDefault="002426E8" w:rsidP="002426E8">
      <w:pPr>
        <w:spacing w:after="120" w:line="240" w:lineRule="auto"/>
        <w:ind w:left="709" w:right="709"/>
        <w:jc w:val="both"/>
        <w:rPr>
          <w:rFonts w:ascii="Verdana" w:eastAsia="Calibri" w:hAnsi="Verdana" w:cs="Arial"/>
          <w:bCs/>
          <w:iCs/>
          <w:sz w:val="20"/>
          <w:szCs w:val="20"/>
          <w:lang w:eastAsia="es-ES_tradnl"/>
        </w:rPr>
      </w:pPr>
      <w:r w:rsidRPr="007D4A74">
        <w:rPr>
          <w:rFonts w:ascii="Verdana" w:eastAsia="Calibri" w:hAnsi="Verdana" w:cs="Arial"/>
          <w:bCs/>
          <w:iCs/>
          <w:sz w:val="20"/>
          <w:szCs w:val="20"/>
          <w:lang w:eastAsia="es-ES_tradnl"/>
        </w:rPr>
        <w:t xml:space="preserve">Las entidades contratantes examinarán la existencia de las circunstancias antes descritas, con base en la información proporcionada por los oferentes y en la que reposa en los expedientes públicos registrados ante las Cámaras de Comercio, con el fin de prever la configuración de las causales de inhabilidad e incompatibilidad previstas en el artículo 8° de la Ley 80 de 1993.  </w:t>
      </w:r>
    </w:p>
    <w:p w14:paraId="45995EF4" w14:textId="77777777" w:rsidR="002426E8" w:rsidRPr="007D4A74" w:rsidRDefault="002426E8" w:rsidP="002426E8">
      <w:pPr>
        <w:spacing w:after="120" w:line="240" w:lineRule="auto"/>
        <w:ind w:left="709" w:right="709"/>
        <w:jc w:val="both"/>
        <w:rPr>
          <w:rFonts w:ascii="Verdana" w:eastAsia="Calibri" w:hAnsi="Verdana" w:cs="Arial"/>
          <w:bCs/>
          <w:iCs/>
          <w:sz w:val="20"/>
          <w:szCs w:val="20"/>
          <w:lang w:eastAsia="es-ES_tradnl"/>
        </w:rPr>
      </w:pPr>
      <w:r w:rsidRPr="007D4A74">
        <w:rPr>
          <w:rFonts w:ascii="Verdana" w:eastAsia="Calibri" w:hAnsi="Verdana" w:cs="Arial"/>
          <w:bCs/>
          <w:iCs/>
          <w:sz w:val="20"/>
          <w:szCs w:val="20"/>
          <w:lang w:eastAsia="es-ES_tradnl"/>
        </w:rPr>
        <w:t xml:space="preserve">Cuando, en desarrollo del análisis mencionado se adviertan circunstancias que pudieran implicar afectaciones a la libertad de concurrencia o competencia, o a la pluralidad real de oferentes dentro del proceso de selección correspondiente, la entidad contratante deberá evaluar la necesidad de poner tales situaciones en conocimiento de los entes de control competentes y, de ser necesario, solicitar su acompañamiento preventivo. La Presidencia de la República, a través de la Secretaría de Transparencia, se articulará con las entidades competentes con el fin de generar los mecanismos necesarios para mitigar los riesgos de corrupción que puedan advertirse como consecuencia del análisis dispuesto en este literal.  </w:t>
      </w:r>
    </w:p>
    <w:p w14:paraId="27DC8C83" w14:textId="77777777" w:rsidR="002426E8" w:rsidRPr="007D4A74" w:rsidRDefault="002426E8" w:rsidP="002426E8">
      <w:pPr>
        <w:spacing w:after="120" w:line="240" w:lineRule="auto"/>
        <w:ind w:left="709" w:right="709"/>
        <w:jc w:val="both"/>
        <w:rPr>
          <w:rFonts w:ascii="Verdana" w:eastAsia="Calibri" w:hAnsi="Verdana" w:cs="Arial"/>
          <w:bCs/>
          <w:iCs/>
          <w:sz w:val="20"/>
          <w:szCs w:val="20"/>
          <w:lang w:eastAsia="es-ES_tradnl"/>
        </w:rPr>
      </w:pPr>
      <w:r w:rsidRPr="007D4A74">
        <w:rPr>
          <w:rFonts w:ascii="Verdana" w:eastAsia="Calibri" w:hAnsi="Verdana" w:cs="Arial"/>
          <w:bCs/>
          <w:iCs/>
          <w:sz w:val="20"/>
          <w:szCs w:val="20"/>
          <w:lang w:eastAsia="es-ES_tradnl"/>
        </w:rPr>
        <w:t xml:space="preserve">b) Aplicar buenas prácticas para la contratación transparente. Las entidades deberán garantizar que las guías y manuales definidos por la Agencia Nacional de Contratación Pública - Colombia Compra Eficiente, para la definición de criterios que permitan garantizar la pluralidad de oferentes, se apliquen en la organización.  </w:t>
      </w:r>
    </w:p>
    <w:p w14:paraId="53073735" w14:textId="77777777" w:rsidR="002426E8" w:rsidRPr="007D4A74" w:rsidRDefault="002426E8" w:rsidP="002426E8">
      <w:pPr>
        <w:spacing w:after="120" w:line="240" w:lineRule="auto"/>
        <w:ind w:left="709" w:right="709"/>
        <w:jc w:val="both"/>
        <w:rPr>
          <w:rFonts w:ascii="Verdana" w:eastAsia="Calibri" w:hAnsi="Verdana" w:cs="Arial"/>
          <w:bCs/>
          <w:iCs/>
          <w:sz w:val="20"/>
          <w:szCs w:val="20"/>
          <w:lang w:eastAsia="es-ES_tradnl"/>
        </w:rPr>
      </w:pPr>
      <w:r w:rsidRPr="007D4A74">
        <w:rPr>
          <w:rFonts w:ascii="Verdana" w:eastAsia="Calibri" w:hAnsi="Verdana" w:cs="Arial"/>
          <w:bCs/>
          <w:iCs/>
          <w:sz w:val="20"/>
          <w:szCs w:val="20"/>
          <w:lang w:eastAsia="es-ES_tradnl"/>
        </w:rPr>
        <w:t xml:space="preserve">En consecuencia, en los documentos del proceso deberá dejarse constancia que en la estructuración se tuvieron en cuenta las prácticas recomendadas por Colombia Compra Eficiente.  </w:t>
      </w:r>
    </w:p>
    <w:p w14:paraId="56DDE03E" w14:textId="77777777" w:rsidR="002426E8" w:rsidRPr="007D4A74" w:rsidRDefault="002426E8" w:rsidP="002426E8">
      <w:pPr>
        <w:spacing w:after="0" w:line="240" w:lineRule="auto"/>
        <w:ind w:left="709" w:right="709"/>
        <w:jc w:val="both"/>
        <w:rPr>
          <w:rFonts w:ascii="Verdana" w:eastAsia="Calibri" w:hAnsi="Verdana" w:cs="Arial"/>
          <w:bCs/>
          <w:iCs/>
          <w:lang w:eastAsia="es-ES_tradnl"/>
        </w:rPr>
      </w:pPr>
      <w:r w:rsidRPr="007D4A74">
        <w:rPr>
          <w:rFonts w:ascii="Verdana" w:eastAsia="Calibri" w:hAnsi="Verdana" w:cs="Arial"/>
          <w:bCs/>
          <w:iCs/>
          <w:sz w:val="20"/>
          <w:szCs w:val="20"/>
          <w:lang w:eastAsia="es-ES_tradnl"/>
        </w:rPr>
        <w:t xml:space="preserve">c) Fortalecer los análisis de mercado para la fijación objetiva de precios. En la elaboración del análisis de mercado para fijar los precios, deberán realizarse estudios públicos y abiertos, que permitan un análisis comparativo de los precios de referencia para alcanzar valores de mercado favorables y mayor eficiencia en el gasto. En esa medida, y con el fin de mitigar sobrecostos, en la definición de presupuestos a partir de cotizaciones no se podrán realizar consultas cerradas ni direccionadas a grupos reducidos de empresas y se verificará la ausencia de inhabilidades e incompatibilidades de las empresas que coticen. En todo caso, en los </w:t>
      </w:r>
      <w:r w:rsidRPr="007D4A74">
        <w:rPr>
          <w:rFonts w:ascii="Verdana" w:eastAsia="Calibri" w:hAnsi="Verdana" w:cs="Arial"/>
          <w:bCs/>
          <w:iCs/>
          <w:sz w:val="20"/>
          <w:szCs w:val="20"/>
          <w:lang w:eastAsia="es-ES_tradnl"/>
        </w:rPr>
        <w:lastRenderedPageBreak/>
        <w:t>documentos del proceso debe quedar constancia del proceso que permitió la determinación del precio, el mecanismo seleccionado para fijarlo y la justificación de esa elección”.</w:t>
      </w:r>
      <w:r w:rsidRPr="007D4A74">
        <w:rPr>
          <w:rFonts w:ascii="Verdana" w:eastAsia="Calibri" w:hAnsi="Verdana" w:cs="Arial"/>
          <w:bCs/>
          <w:iCs/>
          <w:lang w:eastAsia="es-ES_tradnl"/>
        </w:rPr>
        <w:t xml:space="preserve">  </w:t>
      </w:r>
    </w:p>
    <w:p w14:paraId="18F08B42" w14:textId="77777777" w:rsidR="002426E8" w:rsidRPr="007D4A74" w:rsidRDefault="002426E8" w:rsidP="002426E8">
      <w:pPr>
        <w:spacing w:after="0" w:line="276" w:lineRule="auto"/>
        <w:ind w:firstLine="709"/>
        <w:jc w:val="both"/>
        <w:rPr>
          <w:rFonts w:ascii="Verdana" w:eastAsia="Calibri" w:hAnsi="Verdana" w:cs="Arial"/>
          <w:bCs/>
          <w:iCs/>
          <w:lang w:eastAsia="es-ES_tradnl"/>
        </w:rPr>
      </w:pPr>
    </w:p>
    <w:p w14:paraId="5F1B298F" w14:textId="77777777" w:rsidR="002426E8" w:rsidRDefault="002426E8" w:rsidP="002426E8">
      <w:pPr>
        <w:spacing w:after="120" w:line="276" w:lineRule="auto"/>
        <w:ind w:firstLine="709"/>
        <w:jc w:val="both"/>
        <w:rPr>
          <w:rFonts w:ascii="Verdana" w:eastAsia="Calibri" w:hAnsi="Verdana" w:cs="Arial"/>
          <w:bCs/>
          <w:lang w:eastAsia="es-ES_tradnl"/>
        </w:rPr>
      </w:pPr>
      <w:r w:rsidRPr="007D4A74">
        <w:rPr>
          <w:rFonts w:ascii="Verdana" w:eastAsia="Calibri" w:hAnsi="Verdana" w:cs="Arial"/>
          <w:bCs/>
          <w:lang w:eastAsia="es-ES_tradnl"/>
        </w:rPr>
        <w:t>Lo anterior deberá ser incorporado por parte de las entidades definidas en el artículo 2.1.4.3.1.2 en los manuales de contratación dentro de los seis (6) meses siguientes a la expedición del Decreto 1600 de 2024 –parágrafo 1–. Asimismo, serán incorporadas por parte de las entidades territoriales y sus entidades descentralizadas en el marco de su autonomía contemplada en el artículo 32 de la Ley 152 de 1994 –parágrafo 2–.</w:t>
      </w:r>
    </w:p>
    <w:p w14:paraId="301630D6" w14:textId="77777777" w:rsidR="002426E8" w:rsidRPr="007D4A74" w:rsidRDefault="002426E8" w:rsidP="002426E8">
      <w:pPr>
        <w:spacing w:after="0" w:line="276" w:lineRule="auto"/>
        <w:ind w:firstLine="708"/>
        <w:jc w:val="both"/>
        <w:rPr>
          <w:rFonts w:ascii="Verdana" w:eastAsia="Calibri" w:hAnsi="Verdana" w:cs="Arial"/>
          <w:bCs/>
          <w:lang w:eastAsia="es-ES_tradnl"/>
        </w:rPr>
      </w:pPr>
      <w:r>
        <w:rPr>
          <w:rFonts w:ascii="Verdana" w:eastAsia="Calibri" w:hAnsi="Verdana" w:cs="Arial"/>
        </w:rPr>
        <w:t>Concretamente, e</w:t>
      </w:r>
      <w:r w:rsidRPr="007D4A74">
        <w:rPr>
          <w:rFonts w:ascii="Verdana" w:eastAsia="Calibri" w:hAnsi="Verdana" w:cs="Arial"/>
        </w:rPr>
        <w:t>l literal a) del artículo 2.1.4.3.2.1 del Decreto 1081 de 2015, adicionado por el artículo 1 del Decreto 1600 de 2024, dispone que los organismos, entidades y empresas del Estado del orden nacional y pertenecientes a la Rama Ejecutiva del Poder Público deben verificar la existencia de situaciones de control que, conforme artículos 260 y 261 del Código de Comercio, afecten tanto a las personas jurídicas oferentes como a los proponentes plurales</w:t>
      </w:r>
      <w:r w:rsidRPr="007D4A74">
        <w:rPr>
          <w:rStyle w:val="Refdenotaalpie"/>
          <w:rFonts w:ascii="Verdana" w:eastAsia="Calibri" w:hAnsi="Verdana" w:cs="Arial"/>
        </w:rPr>
        <w:footnoteReference w:id="38"/>
      </w:r>
      <w:r w:rsidRPr="007D4A74">
        <w:rPr>
          <w:rFonts w:ascii="Verdana" w:eastAsia="Calibri" w:hAnsi="Verdana" w:cs="Arial"/>
        </w:rPr>
        <w:t>. En este contexto, la norma precisa que quienes se presenten como proponentes en procesos de selección:</w:t>
      </w:r>
    </w:p>
    <w:p w14:paraId="5E5C4C12" w14:textId="77777777" w:rsidR="002426E8" w:rsidRPr="007D4A74" w:rsidRDefault="002426E8" w:rsidP="002426E8">
      <w:pPr>
        <w:spacing w:after="0" w:line="276" w:lineRule="auto"/>
        <w:jc w:val="both"/>
        <w:rPr>
          <w:rFonts w:ascii="Verdana" w:eastAsia="Calibri" w:hAnsi="Verdana" w:cs="Arial"/>
        </w:rPr>
      </w:pPr>
    </w:p>
    <w:p w14:paraId="15DF2F93" w14:textId="77777777" w:rsidR="002426E8" w:rsidRPr="007D4A74" w:rsidRDefault="002426E8" w:rsidP="002426E8">
      <w:pPr>
        <w:spacing w:after="0" w:line="240" w:lineRule="auto"/>
        <w:ind w:left="709" w:right="709"/>
        <w:jc w:val="both"/>
        <w:rPr>
          <w:rFonts w:ascii="Verdana" w:hAnsi="Verdana" w:cs="Arial"/>
          <w:sz w:val="20"/>
          <w:szCs w:val="20"/>
        </w:rPr>
      </w:pPr>
      <w:r w:rsidRPr="007D4A74">
        <w:rPr>
          <w:rFonts w:ascii="Verdana" w:hAnsi="Verdana" w:cs="Arial"/>
          <w:sz w:val="20"/>
          <w:szCs w:val="20"/>
        </w:rPr>
        <w:lastRenderedPageBreak/>
        <w:t xml:space="preserve">“[…] en el término máximo de tres (3) días después del momento en que se cierre definitivamente la presentación de ofertas, deberán poner de presente la existencia o no de situaciones de control de las que participen y, en particular, si son contratantes, controladas o comparten alguna de estas condiciones con otras personas que se encuentren participando en el mismo procedimiento de contratación. Para el caso de los proponentes plurales, deberán indicar si las personas que los conforman se encuentran en alguna de las situaciones descritas anteriormente”. </w:t>
      </w:r>
    </w:p>
    <w:p w14:paraId="2E30D67F" w14:textId="77777777" w:rsidR="002426E8" w:rsidRPr="007D4A74" w:rsidRDefault="002426E8" w:rsidP="002426E8">
      <w:pPr>
        <w:spacing w:after="0" w:line="276" w:lineRule="auto"/>
        <w:jc w:val="both"/>
        <w:rPr>
          <w:rFonts w:ascii="Verdana" w:hAnsi="Verdana" w:cs="Arial"/>
        </w:rPr>
      </w:pPr>
    </w:p>
    <w:p w14:paraId="22A1938A" w14:textId="77777777" w:rsidR="002426E8" w:rsidRPr="007D4A74" w:rsidRDefault="002426E8" w:rsidP="002426E8">
      <w:pPr>
        <w:spacing w:after="120" w:line="276" w:lineRule="auto"/>
        <w:jc w:val="both"/>
        <w:rPr>
          <w:rFonts w:ascii="Verdana" w:hAnsi="Verdana" w:cs="Arial"/>
        </w:rPr>
      </w:pPr>
      <w:r w:rsidRPr="007D4A74">
        <w:rPr>
          <w:rFonts w:ascii="Verdana" w:hAnsi="Verdana" w:cs="Arial"/>
        </w:rPr>
        <w:tab/>
        <w:t>De acuerdo con la norma citada, “Las entidades contratantes examinarán la existencia de las circunstancias antes descritas, con base en la información proporcionada por los oferentes y en la que reposa en los expedientes públicos registrados ante las Cámaras de Comercio, con el fin de prever la configuración de las causales de inhabilidad e incompatibilidad previstas en el artículo 8° de la Ley 80 de 1993”. Luego, la información sobre situaciones de control es un punto de referencia para verificar la capacidad jurídica en el proceso de contratación.</w:t>
      </w:r>
      <w:r>
        <w:rPr>
          <w:rFonts w:ascii="Verdana" w:hAnsi="Verdana" w:cs="Arial"/>
        </w:rPr>
        <w:t xml:space="preserve"> Por tanto, es diferente a la identificación ordenada por el artículo 27 de la Ley 1121 de 2006, “</w:t>
      </w:r>
      <w:r w:rsidRPr="00F765ED">
        <w:rPr>
          <w:rFonts w:ascii="Verdana" w:hAnsi="Verdana" w:cs="Arial"/>
        </w:rPr>
        <w:t>Por la cual se dictan normas para la prevención, detección, investigación y sanción de la financiación del terrorismo y otras disposiciones</w:t>
      </w:r>
      <w:r>
        <w:rPr>
          <w:rFonts w:ascii="Verdana" w:hAnsi="Verdana" w:cs="Arial"/>
        </w:rPr>
        <w:t>”</w:t>
      </w:r>
      <w:r>
        <w:rPr>
          <w:rStyle w:val="Refdenotaalpie"/>
          <w:rFonts w:ascii="Verdana" w:hAnsi="Verdana" w:cs="Arial"/>
        </w:rPr>
        <w:footnoteReference w:id="39"/>
      </w:r>
      <w:r>
        <w:rPr>
          <w:rFonts w:ascii="Verdana" w:hAnsi="Verdana" w:cs="Arial"/>
        </w:rPr>
        <w:t>.</w:t>
      </w:r>
    </w:p>
    <w:p w14:paraId="28F99C14" w14:textId="0DF63468" w:rsidR="00D144CA" w:rsidRPr="007D4A74" w:rsidRDefault="00D144CA" w:rsidP="008A1F41">
      <w:pPr>
        <w:spacing w:after="120" w:line="276" w:lineRule="auto"/>
        <w:ind w:firstLine="709"/>
        <w:jc w:val="both"/>
        <w:rPr>
          <w:rFonts w:ascii="Verdana" w:hAnsi="Verdana" w:cs="Arial"/>
        </w:rPr>
      </w:pPr>
      <w:r w:rsidRPr="00D144CA">
        <w:rPr>
          <w:rFonts w:ascii="Verdana" w:hAnsi="Verdana" w:cs="Arial"/>
        </w:rPr>
        <w:t xml:space="preserve">Conviene precisar que la consulta emplea de manera indistinta las nociones de "controlante" y "beneficiario real", que responden a institutos jurídicos diferenciados. La situación de control y el grupo empresarial (artículos 260 y 261 del Código de Comercio) son categorías societarias verificables a través del registro mercantil y del RUP. El "beneficiario final", en cambio, es una figura de estirpe tributaria y antilavado, definida en el artículo 631-5 del Estatuto Tributario y reglamentada por la Resolución DIAN 000164 de 2021, cuyo Registro Único de Beneficiarios Finales (RUB) fue creado por la Ley 2155 de 2021 y, por tanto, no existía ni era exigible en el año 2011. Por su parte, el artículo 27 de la Ley 1121 de 2006 consagra un deber de identificación plena del contratista y de verificación del origen de sus recursos que, interpretado restrictivamente, no comportaba —para la normativa vigente en 2011— la obligación de reconstruir la totalidad de la cadena societaria hasta el beneficiario final, sino la de identificar a los suscriptores del contrato con los registros públicos disponibles a la fecha. En consecuencia, satisfacía ese deber la entidad </w:t>
      </w:r>
      <w:r w:rsidRPr="00D144CA">
        <w:rPr>
          <w:rFonts w:ascii="Verdana" w:hAnsi="Verdana" w:cs="Arial"/>
        </w:rPr>
        <w:lastRenderedPageBreak/>
        <w:t>que verificaba la integración societaria, la representación legal y la composición accionaria con los certificados y el RUP vigentes al momento del proceso.</w:t>
      </w:r>
    </w:p>
    <w:p w14:paraId="2BA5E0F6" w14:textId="77777777" w:rsidR="002426E8" w:rsidRPr="007D4A74" w:rsidRDefault="002426E8" w:rsidP="002426E8">
      <w:pPr>
        <w:spacing w:after="120" w:line="276" w:lineRule="auto"/>
        <w:ind w:firstLine="709"/>
        <w:jc w:val="both"/>
        <w:rPr>
          <w:rFonts w:ascii="Verdana" w:hAnsi="Verdana" w:cs="Arial"/>
        </w:rPr>
      </w:pPr>
      <w:r w:rsidRPr="007D4A74">
        <w:rPr>
          <w:rFonts w:ascii="Verdana" w:hAnsi="Verdana" w:cs="Arial"/>
        </w:rPr>
        <w:t xml:space="preserve">Las cámaras de comercio verifican las situaciones de control al momento de las inscripción, renovación y actualización del registro único de proponentes. Al respecto, tratándose de personas jurídicas, el numeral 2.2 del artículo 2.2.1.1.1.5.2 del Decreto 1082 de 2015 ordena la entrega del “Certificado expedido por el representante legal y el revisor fiscal, si la persona jurídica está obligada a tenerlo, o el auditor o contador, en el que conste que el interesado no es parte de un grupo empresarial, no ejerce control sobre otras sociedades y no hay situación de control sobre el interesado, en los términos del Código de Comercio. </w:t>
      </w:r>
      <w:r w:rsidRPr="007D4A74">
        <w:rPr>
          <w:rFonts w:ascii="Verdana" w:hAnsi="Verdana" w:cs="Arial"/>
          <w:i/>
          <w:iCs/>
        </w:rPr>
        <w:t>Si el grupo empresarial o la circunstancia de control existe, en el certificado debe constar la identificación de los miembros del grupo empresarial, la situación de control y los controlantes y controlados</w:t>
      </w:r>
      <w:r w:rsidRPr="007D4A74">
        <w:rPr>
          <w:rFonts w:ascii="Verdana" w:hAnsi="Verdana" w:cs="Arial"/>
        </w:rPr>
        <w:t xml:space="preserve">” (Énfasis fuera de texto). </w:t>
      </w:r>
    </w:p>
    <w:p w14:paraId="15B41051" w14:textId="77777777" w:rsidR="002426E8" w:rsidRPr="007D4A74" w:rsidRDefault="002426E8" w:rsidP="002426E8">
      <w:pPr>
        <w:spacing w:after="120" w:line="276" w:lineRule="auto"/>
        <w:ind w:firstLine="708"/>
        <w:jc w:val="both"/>
        <w:rPr>
          <w:rFonts w:ascii="Verdana" w:hAnsi="Verdana" w:cs="Arial"/>
        </w:rPr>
      </w:pPr>
      <w:r w:rsidRPr="007D4A74">
        <w:rPr>
          <w:rFonts w:ascii="Verdana" w:hAnsi="Verdana" w:cs="Arial"/>
        </w:rPr>
        <w:t xml:space="preserve">El Registro Único de Proponentes es el documento donde consta la información relacionada con las personas naturales y jurídicas, que tiene por objeto consolidar los datos relacionados con la capacidad jurídica, técnica, financiera y organizacional de los posibles proponentes, con el fin que participen en los procedimientos de selección realizados por las entidades estatales, facilitando la revisión de los datos contenidos en el registro. </w:t>
      </w:r>
    </w:p>
    <w:p w14:paraId="37E2A9D3" w14:textId="77777777" w:rsidR="002426E8" w:rsidRDefault="002426E8" w:rsidP="002426E8">
      <w:pPr>
        <w:spacing w:after="120" w:line="276" w:lineRule="auto"/>
        <w:ind w:firstLine="709"/>
        <w:jc w:val="both"/>
        <w:rPr>
          <w:rFonts w:ascii="Verdana" w:hAnsi="Verdana" w:cs="Arial"/>
        </w:rPr>
      </w:pPr>
      <w:r w:rsidRPr="007D4A74">
        <w:rPr>
          <w:rFonts w:ascii="Verdana" w:hAnsi="Verdana" w:cs="Arial"/>
        </w:rPr>
        <w:t>El artículo 6.1 de la Ley 1150 de 2007, al determinar las características aplicables al RUP, cualifica la información plasmada en él, al establecer que constituye plena prueba de lo que contiene. A su vez, el numeral 1 del artículo 5 de la misma ley, al establecer los criterios que deben tenerse en cuenta por las entidades estatales para garantizar la selección objetiva, determina que las Cámaras de Comercio realizarán la verificación de la información suministrada por las personas naturales o jurídicas para su inscripción en el Registro Único de Proponentes, ya que esta será tenida en cuenta por las entidades estales en los procedimientos de selección en los que es exigible el RUP.</w:t>
      </w:r>
    </w:p>
    <w:p w14:paraId="33330EDB" w14:textId="77777777" w:rsidR="00A260CF" w:rsidRDefault="002426E8" w:rsidP="008A1F41">
      <w:pPr>
        <w:spacing w:after="120" w:line="276" w:lineRule="auto"/>
        <w:ind w:firstLine="709"/>
        <w:jc w:val="both"/>
        <w:rPr>
          <w:rFonts w:ascii="Verdana" w:hAnsi="Verdana" w:cs="Arial"/>
        </w:rPr>
      </w:pPr>
      <w:r>
        <w:rPr>
          <w:rFonts w:ascii="Verdana" w:hAnsi="Verdana" w:cs="Arial"/>
        </w:rPr>
        <w:t xml:space="preserve">Aunque el Decreto 1600 de 2024 no se encontraba vigente en 2011, la información sobre situaciones de control puede verificarse a través registros públicos, por lo que prevalece la prueba documental. </w:t>
      </w:r>
      <w:r w:rsidR="00A260CF" w:rsidRPr="00A260CF">
        <w:rPr>
          <w:rFonts w:ascii="Verdana" w:hAnsi="Verdana" w:cs="Arial"/>
        </w:rPr>
        <w:t xml:space="preserve">De lo anterior se desprende una regla de orden temporal y probatorio: la configuración de la inhabilidad debe apreciarse con referencia al momento de presentación de la oferta y de celebración del contrato, y ha de sustentarse en elementos verificables entonces, prevalentemente documentales y registrales. Los indicios sobrevinientes o los </w:t>
      </w:r>
      <w:r w:rsidR="00A260CF" w:rsidRPr="00A260CF">
        <w:rPr>
          <w:rFonts w:ascii="Verdana" w:hAnsi="Verdana" w:cs="Arial"/>
        </w:rPr>
        <w:lastRenderedPageBreak/>
        <w:t xml:space="preserve">documentos producidos con posterioridad al proceso de selección no bastan, por sí solos, para tener por acreditada la inhabilidad, salvo que revelen una situación de interposición o control que ya existía y era demostrable al momento relevante. Esta exigencia es coherente con el carácter taxativo y restrictivo del régimen de inhabilidades, que proscribe su deducción por vía de conjetura. </w:t>
      </w:r>
    </w:p>
    <w:p w14:paraId="0D99D88D" w14:textId="17B26E02" w:rsidR="002426E8" w:rsidRDefault="002426E8" w:rsidP="002426E8">
      <w:pPr>
        <w:spacing w:after="0" w:line="276" w:lineRule="auto"/>
        <w:ind w:firstLine="709"/>
        <w:jc w:val="both"/>
        <w:rPr>
          <w:rFonts w:ascii="Verdana" w:hAnsi="Verdana" w:cs="Arial"/>
        </w:rPr>
      </w:pPr>
      <w:r>
        <w:rPr>
          <w:rFonts w:ascii="Verdana" w:hAnsi="Verdana" w:cs="Arial"/>
        </w:rPr>
        <w:t>Además de que el RUP da cuenta de esta circunstancia conforme a</w:t>
      </w:r>
      <w:r w:rsidRPr="007D4A74">
        <w:rPr>
          <w:rFonts w:ascii="Verdana" w:hAnsi="Verdana" w:cs="Arial"/>
        </w:rPr>
        <w:t>l numeral 2.2 del artículo 2.2.1.1.1.5.2 del Decreto 1082 de 2015</w:t>
      </w:r>
      <w:r>
        <w:rPr>
          <w:rFonts w:ascii="Verdana" w:hAnsi="Verdana" w:cs="Arial"/>
        </w:rPr>
        <w:t>, el artículo 30 de la Ley 222 de 1995 también obliga a inscribir las filiales y subsidiarias en el registro mercantil, aspecto que se refleja en el certificado de existencia y representación legal tanto de la matriz como de las subordinadas</w:t>
      </w:r>
      <w:r>
        <w:rPr>
          <w:rStyle w:val="Refdenotaalpie"/>
          <w:rFonts w:ascii="Verdana" w:hAnsi="Verdana" w:cs="Arial"/>
        </w:rPr>
        <w:footnoteReference w:id="40"/>
      </w:r>
      <w:r>
        <w:rPr>
          <w:rFonts w:ascii="Verdana" w:hAnsi="Verdana" w:cs="Arial"/>
        </w:rPr>
        <w:t>. Lo anterior no obsta para que el interesado en contratar con el Estado informe voluntariamente la integración de la sociedad, sus representantes legales y composición accionaria en cumplimiento de pactos de transparencia.</w:t>
      </w:r>
    </w:p>
    <w:p w14:paraId="621544FB" w14:textId="77777777" w:rsidR="002426E8" w:rsidRPr="00F765ED" w:rsidRDefault="002426E8" w:rsidP="002426E8">
      <w:pPr>
        <w:spacing w:after="0" w:line="276" w:lineRule="auto"/>
        <w:jc w:val="both"/>
        <w:rPr>
          <w:rFonts w:ascii="Verdana" w:hAnsi="Verdana" w:cs="Arial"/>
        </w:rPr>
      </w:pPr>
    </w:p>
    <w:p w14:paraId="65042E05" w14:textId="77777777" w:rsidR="002426E8" w:rsidRPr="00A47393" w:rsidRDefault="002426E8" w:rsidP="002426E8">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t xml:space="preserve">v. </w:t>
      </w:r>
      <w:r w:rsidRPr="00A47393">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w:t>
      </w:r>
      <w:r w:rsidRPr="00A47393">
        <w:rPr>
          <w:rFonts w:ascii="Verdana" w:eastAsia="Calibri" w:hAnsi="Verdana" w:cs="Arial"/>
          <w:bCs/>
          <w:color w:val="000000" w:themeColor="text1"/>
        </w:rPr>
        <w:lastRenderedPageBreak/>
        <w:t>correspondiente y, en caso de conflicto, a las autoridades judiciales, fiscales y disciplinarias.</w:t>
      </w:r>
    </w:p>
    <w:p w14:paraId="6C6651AD" w14:textId="77777777" w:rsidR="002426E8" w:rsidRPr="00185EE9" w:rsidRDefault="002426E8" w:rsidP="002426E8">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2C584E36" w14:textId="77777777" w:rsidR="002426E8" w:rsidRPr="00182C89" w:rsidRDefault="002426E8" w:rsidP="002426E8">
      <w:pPr>
        <w:tabs>
          <w:tab w:val="left" w:pos="709"/>
        </w:tabs>
        <w:spacing w:after="0" w:line="276" w:lineRule="auto"/>
        <w:jc w:val="both"/>
        <w:rPr>
          <w:rFonts w:ascii="Verdana" w:eastAsia="Calibri" w:hAnsi="Verdana" w:cs="Arial"/>
          <w:color w:val="000000" w:themeColor="text1"/>
        </w:rPr>
      </w:pPr>
    </w:p>
    <w:p w14:paraId="52BD4AE7" w14:textId="77777777" w:rsidR="002426E8" w:rsidRPr="00593A5F" w:rsidRDefault="002426E8" w:rsidP="002426E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42EF5F3A" w14:textId="77777777" w:rsidR="002426E8" w:rsidRPr="00593A5F" w:rsidRDefault="002426E8" w:rsidP="002426E8">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426E8" w:rsidRPr="002407CE" w14:paraId="5F33B59A" w14:textId="77777777" w:rsidTr="00F325BC">
        <w:trPr>
          <w:trHeight w:val="56"/>
          <w:jc w:val="center"/>
        </w:trPr>
        <w:tc>
          <w:tcPr>
            <w:tcW w:w="8647" w:type="dxa"/>
          </w:tcPr>
          <w:p w14:paraId="74250FB4" w14:textId="77777777" w:rsidR="002426E8" w:rsidRDefault="002426E8" w:rsidP="002426E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1991, artículos 150, 209 y 313.</w:t>
            </w:r>
          </w:p>
          <w:p w14:paraId="4CD87236" w14:textId="77777777" w:rsidR="002426E8" w:rsidRDefault="002426E8" w:rsidP="002426E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80 de 1993, artículos 8, 11, 13, 32 y 40.</w:t>
            </w:r>
          </w:p>
          <w:p w14:paraId="26A26B31" w14:textId="77777777" w:rsidR="002426E8" w:rsidRDefault="002426E8" w:rsidP="002426E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136 de 1994, artículo 32.</w:t>
            </w:r>
          </w:p>
          <w:p w14:paraId="3FF70E05" w14:textId="77777777" w:rsidR="002426E8" w:rsidRDefault="002426E8" w:rsidP="002426E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152 de 1994, artículo 32.</w:t>
            </w:r>
          </w:p>
          <w:p w14:paraId="03E199C8" w14:textId="77777777" w:rsidR="002426E8" w:rsidRDefault="002426E8" w:rsidP="002426E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222 de 1995, artículo 30.</w:t>
            </w:r>
          </w:p>
          <w:p w14:paraId="00D53778" w14:textId="77777777" w:rsidR="002426E8" w:rsidRDefault="002426E8" w:rsidP="002426E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617 de 2000, artículo 49.</w:t>
            </w:r>
          </w:p>
          <w:p w14:paraId="0EBDB7B6" w14:textId="77777777" w:rsidR="002426E8" w:rsidRDefault="002426E8" w:rsidP="002426E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1121 de 2006, artículo 27.</w:t>
            </w:r>
          </w:p>
          <w:p w14:paraId="1F3D6EAD" w14:textId="77777777" w:rsidR="002426E8" w:rsidRDefault="002426E8" w:rsidP="002426E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artículos 5 y 6.</w:t>
            </w:r>
          </w:p>
          <w:p w14:paraId="12CBB29D" w14:textId="77777777" w:rsidR="002426E8" w:rsidRDefault="002426E8" w:rsidP="002426E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1437 de 2011, artículos 3, 11 y 12.</w:t>
            </w:r>
          </w:p>
          <w:p w14:paraId="2B8FDF01" w14:textId="77777777" w:rsidR="002426E8" w:rsidRDefault="002426E8" w:rsidP="002426E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2294 de 2023, artículo 200.</w:t>
            </w:r>
          </w:p>
          <w:p w14:paraId="496B00C4" w14:textId="77777777" w:rsidR="002426E8" w:rsidRDefault="002426E8" w:rsidP="002426E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Código Civil, artículos 28, 1505 y 2177.</w:t>
            </w:r>
          </w:p>
          <w:p w14:paraId="290947C4" w14:textId="77777777" w:rsidR="002426E8" w:rsidRDefault="002426E8" w:rsidP="002426E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Código de Comercio, artículos 98, 260 y 261.</w:t>
            </w:r>
          </w:p>
          <w:p w14:paraId="6413034A" w14:textId="77777777" w:rsidR="002426E8" w:rsidRPr="001A69D2" w:rsidRDefault="002426E8" w:rsidP="002426E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Decreto 1081 de 2015, artículos </w:t>
            </w:r>
            <w:r w:rsidRPr="00D20037">
              <w:rPr>
                <w:rFonts w:ascii="Verdana" w:hAnsi="Verdana" w:cs="Arial"/>
              </w:rPr>
              <w:t>2.1.4.3.1.1</w:t>
            </w:r>
            <w:r>
              <w:rPr>
                <w:rFonts w:ascii="Verdana" w:hAnsi="Verdana" w:cs="Arial"/>
              </w:rPr>
              <w:t xml:space="preserve">, </w:t>
            </w:r>
            <w:r w:rsidRPr="007D4A74">
              <w:rPr>
                <w:rFonts w:ascii="Verdana" w:eastAsia="Calibri" w:hAnsi="Verdana" w:cs="Arial"/>
                <w:bCs/>
                <w:iCs/>
                <w:lang w:eastAsia="es-ES_tradnl"/>
              </w:rPr>
              <w:t>2.1.4.3.1.2</w:t>
            </w:r>
            <w:r>
              <w:rPr>
                <w:rFonts w:ascii="Verdana" w:eastAsia="Calibri" w:hAnsi="Verdana" w:cs="Arial"/>
                <w:bCs/>
                <w:iCs/>
                <w:lang w:eastAsia="es-ES_tradnl"/>
              </w:rPr>
              <w:t xml:space="preserve"> y </w:t>
            </w:r>
            <w:r w:rsidRPr="007D4A74">
              <w:rPr>
                <w:rFonts w:ascii="Verdana" w:eastAsia="Calibri" w:hAnsi="Verdana" w:cs="Arial"/>
                <w:bCs/>
                <w:iCs/>
                <w:lang w:eastAsia="es-ES_tradnl"/>
              </w:rPr>
              <w:t>2.1.4.3.2.1</w:t>
            </w:r>
            <w:r>
              <w:rPr>
                <w:rFonts w:ascii="Verdana" w:eastAsia="Calibri" w:hAnsi="Verdana" w:cs="Arial"/>
                <w:bCs/>
                <w:iCs/>
                <w:lang w:eastAsia="es-ES_tradnl"/>
              </w:rPr>
              <w:t>.</w:t>
            </w:r>
          </w:p>
          <w:p w14:paraId="48722CF6" w14:textId="77777777" w:rsidR="002426E8" w:rsidRPr="007F34F0" w:rsidRDefault="002426E8" w:rsidP="002426E8">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eastAsia="Calibri" w:hAnsi="Verdana" w:cs="Arial"/>
                <w:bCs/>
                <w:iCs/>
                <w:lang w:eastAsia="es-ES_tradnl"/>
              </w:rPr>
              <w:t xml:space="preserve">Decreto 1082 de 2015, artículo </w:t>
            </w:r>
            <w:r w:rsidRPr="007D4A74">
              <w:rPr>
                <w:rFonts w:ascii="Verdana" w:hAnsi="Verdana" w:cs="Arial"/>
              </w:rPr>
              <w:t>2.2.1.1.1.5.2</w:t>
            </w:r>
            <w:r>
              <w:rPr>
                <w:rFonts w:ascii="Verdana" w:hAnsi="Verdana" w:cs="Arial"/>
              </w:rPr>
              <w:t>.</w:t>
            </w:r>
          </w:p>
        </w:tc>
      </w:tr>
    </w:tbl>
    <w:p w14:paraId="5DCAC5C9" w14:textId="77777777" w:rsidR="002426E8" w:rsidRPr="002407CE" w:rsidRDefault="002426E8" w:rsidP="002426E8">
      <w:pPr>
        <w:widowControl w:val="0"/>
        <w:autoSpaceDE w:val="0"/>
        <w:autoSpaceDN w:val="0"/>
        <w:spacing w:after="0" w:line="276" w:lineRule="auto"/>
        <w:jc w:val="both"/>
        <w:rPr>
          <w:rFonts w:ascii="Verdana" w:hAnsi="Verdana" w:cs="Arial"/>
        </w:rPr>
      </w:pPr>
    </w:p>
    <w:p w14:paraId="47129EFD" w14:textId="77777777" w:rsidR="002426E8" w:rsidRPr="00593A5F" w:rsidRDefault="002426E8" w:rsidP="002426E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306A2A20" w14:textId="77777777" w:rsidR="002426E8" w:rsidRPr="00593A5F" w:rsidRDefault="002426E8" w:rsidP="002426E8">
      <w:pPr>
        <w:widowControl w:val="0"/>
        <w:autoSpaceDE w:val="0"/>
        <w:autoSpaceDN w:val="0"/>
        <w:spacing w:after="0" w:line="276" w:lineRule="auto"/>
        <w:jc w:val="both"/>
        <w:rPr>
          <w:rFonts w:ascii="Verdana" w:hAnsi="Verdana" w:cs="Arial"/>
        </w:rPr>
      </w:pPr>
    </w:p>
    <w:p w14:paraId="73DEDBC6" w14:textId="77777777" w:rsidR="002426E8" w:rsidRPr="00ED0098" w:rsidRDefault="002426E8" w:rsidP="002426E8">
      <w:pPr>
        <w:widowControl w:val="0"/>
        <w:autoSpaceDE w:val="0"/>
        <w:autoSpaceDN w:val="0"/>
        <w:spacing w:after="0" w:line="276" w:lineRule="auto"/>
        <w:jc w:val="both"/>
        <w:rPr>
          <w:rStyle w:val="normaltextrun"/>
          <w:rFonts w:ascii="Verdana" w:hAnsi="Verdana" w:cs="Arial"/>
          <w:shd w:val="clear" w:color="auto" w:fill="FFFFFF"/>
        </w:rPr>
      </w:pPr>
      <w:r w:rsidRPr="007C24D9">
        <w:rPr>
          <w:rFonts w:ascii="Verdana" w:hAnsi="Verdana" w:cs="Arial"/>
          <w:shd w:val="clear" w:color="auto" w:fill="FFFFFF"/>
        </w:rPr>
        <w:t>Esta Subdirección se ha pronunciado sobre el régimen de inhabilidades e incompatibilidades en los Conceptos 4201912000004765 de 29 de agosto de 2019, 4201913000005694 del 3 de octubre de 2019, 4201912000006288 del 7 de septiembre de 2019, 4201912000006259 del 13 de noviembre de 2019, 4201913000006917 del 21 de noviembre de 2019, 4201912000006978 del 25 de noviembre de 2019, 4201912000007291 del 3 de diciembre de 2019, 4201912000007281 del 5 de diciembre de 2019, 4201912000007060 del 11 de diciembre de 2019, 4201912000007512 del 16 diciembre de 2019, 4201912000008460 del 14 de febrero de 2020, C-032 del 19 de febrero de 2020, C-090 del 24 de febrero de 2020, C-125 del 3 de marzo de 2020, C-157 del 17 de marzo de 2020, C-273 del 21 de mayo de 2020, C-386 del 24 de julio de 2020, C-580 del 21 de septiembre de 2020, C-639 del 27 de octubre del 2020, C-650 del 10 de noviembre de 2020, C-684 del 24 de noviembre de 2020 C-004 del 12 de febrero de 2021, C-815 del 18 de febrero de 2021, C-210 del 12 de mayo de 2021, C-275 del 11 de junio de 2021, C-321 del 2 de julio de 2021, C-410 del 7 de julio del 2021, C-491 del 14 de septiembre de 2021, C-028 del 28 de febrero de 2022, C-318 del 18 de mayo de 2022, C-252 del 30 de mayo de 2022, C-175 del 4 de mayo de 2023, C-234 del 5 de julio de 2023, C-408 del 21 de agosto de 2024, C-975 del 16 de diciembre de 2024, C-1027 del 29 de enero de 2015, C-053 del 30 de enero de 2025, C-030 del 21 de febrero de 2025, C-344 del 28 de abril de 2025, C-434 del 14 de mayo de 2025, C-595 del 4 de junio de 2025 y C-1447 del 16 de octubre de 2025</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3"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47A22614" w14:textId="77777777" w:rsidR="002426E8" w:rsidRPr="00096788" w:rsidRDefault="002426E8" w:rsidP="002426E8">
      <w:pPr>
        <w:widowControl w:val="0"/>
        <w:autoSpaceDE w:val="0"/>
        <w:autoSpaceDN w:val="0"/>
        <w:spacing w:after="0" w:line="276" w:lineRule="auto"/>
        <w:jc w:val="both"/>
        <w:rPr>
          <w:rFonts w:ascii="Verdana" w:hAnsi="Verdana" w:cs="Arial"/>
          <w:color w:val="000000" w:themeColor="text1"/>
          <w:shd w:val="clear" w:color="auto" w:fill="FFFFFF"/>
        </w:rPr>
      </w:pPr>
    </w:p>
    <w:p w14:paraId="329B9D5D" w14:textId="77777777" w:rsidR="002426E8" w:rsidRPr="00F42673" w:rsidRDefault="002426E8" w:rsidP="002426E8">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42673">
        <w:rPr>
          <w:rFonts w:ascii="Verdana" w:eastAsia="Times New Roman" w:hAnsi="Verdana" w:cs="Times New Roman"/>
          <w:b/>
          <w:bCs/>
          <w:color w:val="000000"/>
          <w:lang w:eastAsia="es-MX"/>
        </w:rPr>
        <w:t>Guía para la Exigencia y Constitución de Garantías en los Procesos de Contratación</w:t>
      </w:r>
      <w:r w:rsidRPr="00F42673">
        <w:rPr>
          <w:rFonts w:ascii="Verdana" w:eastAsia="Times New Roman" w:hAnsi="Verdana" w:cs="Times New Roman"/>
          <w:color w:val="000000"/>
          <w:lang w:eastAsia="es-MX"/>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w:t>
      </w:r>
      <w:r w:rsidRPr="00F42673">
        <w:rPr>
          <w:rFonts w:ascii="Verdana" w:eastAsia="Times New Roman" w:hAnsi="Verdana" w:cs="Times New Roman"/>
          <w:color w:val="000000"/>
          <w:lang w:eastAsia="es-MX"/>
        </w:rPr>
        <w:lastRenderedPageBreak/>
        <w:t>aquí: </w:t>
      </w:r>
      <w:hyperlink r:id="rId14" w:tooltip="Original URL:&#10;https://www.colombiacompra.gov.co/archivos/manual/guia-de-garantias-en-procesos-de-contratacion&#10;&#10;Click to follow link." w:history="1">
        <w:r w:rsidRPr="00F42673">
          <w:rPr>
            <w:rFonts w:ascii="Verdana" w:eastAsia="Times New Roman" w:hAnsi="Verdana" w:cs="Times New Roman"/>
            <w:color w:val="0086F0"/>
            <w:u w:val="single"/>
            <w:lang w:eastAsia="es-MX"/>
          </w:rPr>
          <w:t>https://www.colombiacompra.gov.co/archivos/manual/guia-de-garantias-en-procesos-de-contratacion</w:t>
        </w:r>
      </w:hyperlink>
    </w:p>
    <w:p w14:paraId="16F0D94C" w14:textId="77777777" w:rsidR="002426E8" w:rsidRPr="00F42673" w:rsidRDefault="002426E8" w:rsidP="002426E8">
      <w:pPr>
        <w:spacing w:after="0" w:line="276" w:lineRule="auto"/>
        <w:jc w:val="both"/>
        <w:rPr>
          <w:rFonts w:ascii="Verdana" w:eastAsia="Times New Roman" w:hAnsi="Verdana" w:cs="Times New Roman"/>
          <w:color w:val="000000"/>
          <w:lang w:eastAsia="es-MX"/>
        </w:rPr>
      </w:pPr>
    </w:p>
    <w:p w14:paraId="30CCEA4A" w14:textId="77777777" w:rsidR="002426E8" w:rsidRPr="00F42673" w:rsidRDefault="002426E8" w:rsidP="002426E8">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De otro lado, te contamos que el Decreto 287 del 19 de marzo de 2026 sustituyó los artículos 2.2.1.2.4.2.6., 2.2.1.2.4.2.7. y 2.2.1.2.4.2.8. del Decreto 1082 de 2015 y estructuró el </w:t>
      </w:r>
      <w:r w:rsidRPr="00F42673">
        <w:rPr>
          <w:rFonts w:ascii="Verdana" w:eastAsia="Times New Roman" w:hAnsi="Verdana" w:cs="Times New Roman"/>
          <w:b/>
          <w:bCs/>
          <w:color w:val="000000"/>
          <w:lang w:eastAsia="es-MX"/>
        </w:rPr>
        <w:t>Sistema Integral de Preferencias en favor de las personas con discapacidad</w:t>
      </w:r>
      <w:r w:rsidRPr="00F42673">
        <w:rPr>
          <w:rFonts w:ascii="Verdana" w:eastAsia="Times New Roman" w:hAnsi="Verdana" w:cs="Times New Roman"/>
          <w:color w:val="000000"/>
          <w:lang w:eastAsia="es-MX"/>
        </w:rPr>
        <w:t>, en cumplimiento del artículo 13 de la Ley Estatutaria 1618 de 2013. Para orientar su aplicación, esta Agencia expidió la </w:t>
      </w:r>
      <w:r w:rsidRPr="00F42673">
        <w:rPr>
          <w:rFonts w:ascii="Verdana" w:eastAsia="Times New Roman" w:hAnsi="Verdana" w:cs="Times New Roman"/>
          <w:b/>
          <w:bCs/>
          <w:color w:val="000000"/>
          <w:lang w:eastAsia="es-MX"/>
        </w:rPr>
        <w:t>Circular Externa 003 del 12 de mayo de 2026, </w:t>
      </w:r>
      <w:r w:rsidRPr="00F42673">
        <w:rPr>
          <w:rFonts w:ascii="Verdana" w:eastAsia="Times New Roman" w:hAnsi="Verdana" w:cs="Times New Roman"/>
          <w:color w:val="000000"/>
          <w:lang w:eastAsia="es-MX"/>
        </w:rPr>
        <w:t>en la que precisa quiénes son los beneficiarios, las cinco medidas que integran el sistema y su obligatoriedad según la modalidad de selección, y el régimen de transición aplicable a los procesos en curso. Consúltala aquí: </w:t>
      </w:r>
      <w:hyperlink r:id="rId15" w:tooltip="Original URL:&#10;https://www.colombiacompra.gov.co/archivos/circular/circular-externa-003-de-2026&#10;&#10;Click to follow link." w:history="1">
        <w:r w:rsidRPr="00F42673">
          <w:rPr>
            <w:rFonts w:ascii="Verdana" w:eastAsia="Times New Roman" w:hAnsi="Verdana" w:cs="Times New Roman"/>
            <w:color w:val="0086F0"/>
            <w:u w:val="single"/>
            <w:lang w:eastAsia="es-MX"/>
          </w:rPr>
          <w:t>https://www.colombiacompra.gov.co/archivos/circular/circular-externa-003-de-2026</w:t>
        </w:r>
      </w:hyperlink>
    </w:p>
    <w:p w14:paraId="4044DCC5" w14:textId="77777777" w:rsidR="002426E8" w:rsidRPr="00F42673" w:rsidRDefault="002426E8" w:rsidP="002426E8">
      <w:pPr>
        <w:spacing w:after="0" w:line="276" w:lineRule="auto"/>
        <w:jc w:val="both"/>
        <w:rPr>
          <w:rFonts w:ascii="Verdana" w:eastAsia="Times New Roman" w:hAnsi="Verdana" w:cs="Times New Roman"/>
          <w:color w:val="000000"/>
          <w:lang w:eastAsia="es-MX"/>
        </w:rPr>
      </w:pPr>
    </w:p>
    <w:p w14:paraId="2CD63AC6" w14:textId="77777777" w:rsidR="002426E8" w:rsidRPr="00F42673" w:rsidRDefault="002426E8" w:rsidP="002426E8">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Recuerda también que la</w:t>
      </w:r>
      <w:r w:rsidRPr="00F42673">
        <w:rPr>
          <w:rFonts w:ascii="Verdana" w:eastAsia="Times New Roman" w:hAnsi="Verdana" w:cs="Times New Roman"/>
          <w:b/>
          <w:bCs/>
          <w:color w:val="000000"/>
          <w:lang w:eastAsia="es-MX"/>
        </w:rPr>
        <w:t> información sobre sanciones e inhabilidades </w:t>
      </w:r>
      <w:r w:rsidRPr="00F42673">
        <w:rPr>
          <w:rFonts w:ascii="Verdana" w:eastAsia="Times New Roman" w:hAnsi="Verdana" w:cs="Times New Roman"/>
          <w:color w:val="000000"/>
          <w:lang w:eastAsia="es-MX"/>
        </w:rPr>
        <w:t>solo cumple su función preventiva si llega oportunamente a los registros públicos. Sobre este deber, esta Agencia expidió la </w:t>
      </w:r>
      <w:r w:rsidRPr="00F42673">
        <w:rPr>
          <w:rFonts w:ascii="Verdana" w:eastAsia="Times New Roman" w:hAnsi="Verdana" w:cs="Times New Roman"/>
          <w:b/>
          <w:bCs/>
          <w:color w:val="000000"/>
          <w:lang w:eastAsia="es-MX"/>
        </w:rPr>
        <w:t>Circular Externa 002 del 5 de mayo de 2026,</w:t>
      </w:r>
      <w:r w:rsidRPr="00F42673">
        <w:rPr>
          <w:rFonts w:ascii="Verdana" w:eastAsia="Times New Roman" w:hAnsi="Verdana" w:cs="Times New Roman"/>
          <w:color w:val="000000"/>
          <w:lang w:eastAsia="es-MX"/>
        </w:rPr>
        <w:t>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ooltip="Original URL:&#10;https://www.colombiacompra.gov.co/archivos/circular/circular-externa-002-de-2026&#10;&#10;Click to follow link." w:history="1">
        <w:r w:rsidRPr="00F42673">
          <w:rPr>
            <w:rFonts w:ascii="Verdana" w:eastAsia="Times New Roman" w:hAnsi="Verdana" w:cs="Times New Roman"/>
            <w:color w:val="0086F0"/>
            <w:u w:val="single"/>
            <w:lang w:eastAsia="es-MX"/>
          </w:rPr>
          <w:t>https://www.colombiacompra.gov.co/archivos/circular/circular-externa-002-de-2026</w:t>
        </w:r>
      </w:hyperlink>
    </w:p>
    <w:p w14:paraId="3199832A" w14:textId="77777777" w:rsidR="002426E8" w:rsidRPr="00F42673" w:rsidRDefault="002426E8" w:rsidP="002426E8">
      <w:pPr>
        <w:spacing w:after="0" w:line="276" w:lineRule="auto"/>
        <w:jc w:val="both"/>
        <w:rPr>
          <w:rFonts w:ascii="Verdana" w:eastAsia="Times New Roman" w:hAnsi="Verdana" w:cs="Times New Roman"/>
          <w:color w:val="000000"/>
          <w:lang w:eastAsia="es-MX"/>
        </w:rPr>
      </w:pPr>
    </w:p>
    <w:p w14:paraId="6949B5CD" w14:textId="77777777" w:rsidR="002426E8" w:rsidRPr="00797CA8" w:rsidRDefault="002426E8" w:rsidP="002426E8">
      <w:pPr>
        <w:spacing w:after="0" w:line="276" w:lineRule="auto"/>
        <w:jc w:val="both"/>
        <w:rPr>
          <w:rFonts w:ascii="Aptos" w:eastAsia="Times New Roman" w:hAnsi="Aptos" w:cs="Times New Roman"/>
          <w:color w:val="000000"/>
          <w:lang w:eastAsia="es-MX"/>
        </w:rPr>
      </w:pPr>
      <w:r w:rsidRPr="00F42673">
        <w:rPr>
          <w:rFonts w:ascii="Verdana" w:eastAsia="Times New Roman" w:hAnsi="Verdana" w:cs="Times New Roman"/>
          <w:color w:val="000000"/>
          <w:lang w:eastAsia="es-MX"/>
        </w:rPr>
        <w:t>Finalmente, si quieres seguir de cerca la actividad de la Agencia, la tercera edición de 2026 del</w:t>
      </w:r>
      <w:r w:rsidRPr="00F42673">
        <w:rPr>
          <w:rFonts w:ascii="Verdana" w:eastAsia="Times New Roman" w:hAnsi="Verdana" w:cs="Times New Roman"/>
          <w:b/>
          <w:bCs/>
          <w:color w:val="000000"/>
          <w:lang w:eastAsia="es-MX"/>
        </w:rPr>
        <w:t> Radar de la Compra Pública</w:t>
      </w:r>
      <w:r w:rsidRPr="00F42673">
        <w:rPr>
          <w:rFonts w:ascii="Verdana" w:eastAsia="Times New Roman" w:hAnsi="Verdana" w:cs="Times New Roman"/>
          <w:color w:val="000000"/>
          <w:lang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ooltip="Original URL:&#10;https://www.colombiacompra.gov.co/archivos/boletin/boletin-edicion-n-3-de-2026-radar-de-la-compra-publica&#10;&#10;Click to follow link." w:history="1">
        <w:r w:rsidRPr="00F42673">
          <w:rPr>
            <w:rFonts w:ascii="Verdana" w:eastAsia="Times New Roman" w:hAnsi="Verdana" w:cs="Times New Roman"/>
            <w:color w:val="0086F0"/>
            <w:u w:val="single"/>
            <w:lang w:eastAsia="es-MX"/>
          </w:rPr>
          <w:t>https://www.colombiacompra.gov.co/archivos/boletin/boletin-edicion-n-3-de-2026-radar-de-la-compra-publica</w:t>
        </w:r>
      </w:hyperlink>
    </w:p>
    <w:p w14:paraId="4BD0679E" w14:textId="77777777" w:rsidR="002426E8" w:rsidRDefault="002426E8" w:rsidP="002426E8">
      <w:pPr>
        <w:shd w:val="clear" w:color="auto" w:fill="FFFFFF"/>
        <w:spacing w:after="0" w:line="276" w:lineRule="auto"/>
        <w:jc w:val="both"/>
        <w:rPr>
          <w:rFonts w:ascii="Verdana" w:hAnsi="Verdana"/>
          <w:color w:val="000000"/>
          <w:u w:val="single"/>
        </w:rPr>
      </w:pPr>
    </w:p>
    <w:p w14:paraId="1523F2B1" w14:textId="77777777" w:rsidR="002426E8" w:rsidRPr="00116940" w:rsidRDefault="002426E8" w:rsidP="002426E8">
      <w:pPr>
        <w:spacing w:after="0"/>
        <w:jc w:val="both"/>
        <w:rPr>
          <w:rFonts w:ascii="Verdana" w:hAnsi="Verdana"/>
        </w:rPr>
      </w:pPr>
      <w:r>
        <w:rPr>
          <w:rFonts w:ascii="Verdana" w:hAnsi="Verdana"/>
        </w:rPr>
        <w:lastRenderedPageBreak/>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1F221F0F" w14:textId="77777777" w:rsidR="002426E8" w:rsidRPr="00116940" w:rsidRDefault="002426E8" w:rsidP="002426E8">
      <w:pPr>
        <w:spacing w:after="0"/>
        <w:jc w:val="both"/>
        <w:rPr>
          <w:rFonts w:ascii="Verdana" w:hAnsi="Verdana"/>
        </w:rPr>
      </w:pPr>
    </w:p>
    <w:p w14:paraId="7B0E431C" w14:textId="77777777" w:rsidR="002426E8" w:rsidRPr="00116940" w:rsidRDefault="002426E8" w:rsidP="002426E8">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6D318001" w14:textId="77777777" w:rsidR="002426E8" w:rsidRPr="00116940" w:rsidRDefault="002426E8" w:rsidP="002426E8">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1F08A9B7" w14:textId="77777777" w:rsidR="002426E8" w:rsidRPr="00116940" w:rsidRDefault="002426E8" w:rsidP="002426E8">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2A6394FE" w14:textId="77777777" w:rsidR="002426E8" w:rsidRPr="00116940" w:rsidRDefault="002426E8" w:rsidP="002426E8">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4957A100" w14:textId="77777777" w:rsidR="002426E8" w:rsidRPr="00116940" w:rsidRDefault="002426E8" w:rsidP="002426E8">
      <w:pPr>
        <w:spacing w:after="0" w:line="240" w:lineRule="auto"/>
        <w:ind w:left="720"/>
        <w:jc w:val="both"/>
        <w:rPr>
          <w:rFonts w:ascii="Verdana" w:hAnsi="Verdana"/>
        </w:rPr>
      </w:pPr>
    </w:p>
    <w:p w14:paraId="41C856D7" w14:textId="77777777" w:rsidR="002426E8" w:rsidRPr="00116940" w:rsidRDefault="002426E8" w:rsidP="002426E8">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20"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3DB847C7" w14:textId="77777777" w:rsidR="002426E8" w:rsidRPr="00116940" w:rsidRDefault="002426E8" w:rsidP="002426E8">
      <w:pPr>
        <w:spacing w:after="0" w:line="240" w:lineRule="auto"/>
        <w:rPr>
          <w:rFonts w:ascii="Verdana" w:hAnsi="Verdana"/>
        </w:rPr>
      </w:pPr>
    </w:p>
    <w:p w14:paraId="61A676AE" w14:textId="77777777" w:rsidR="002426E8" w:rsidRPr="00116940" w:rsidRDefault="002426E8" w:rsidP="002426E8">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4A23E5CD" w14:textId="77777777" w:rsidR="002426E8" w:rsidRPr="00116940" w:rsidRDefault="002426E8" w:rsidP="002426E8">
      <w:pPr>
        <w:spacing w:after="0" w:line="240" w:lineRule="auto"/>
        <w:jc w:val="both"/>
        <w:rPr>
          <w:rFonts w:ascii="Verdana" w:hAnsi="Verdana"/>
        </w:rPr>
      </w:pPr>
    </w:p>
    <w:p w14:paraId="5E33B539" w14:textId="77777777" w:rsidR="002426E8" w:rsidRPr="00116940" w:rsidRDefault="002426E8" w:rsidP="002426E8">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00BC3E0D" w14:textId="77777777" w:rsidR="002426E8" w:rsidRPr="00116940" w:rsidRDefault="002426E8" w:rsidP="002426E8">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50A5333E" w14:textId="77777777" w:rsidR="002426E8" w:rsidRPr="00116940" w:rsidRDefault="002426E8" w:rsidP="002426E8">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6CABA60B" w14:textId="77777777" w:rsidR="002426E8" w:rsidRPr="009C4035" w:rsidRDefault="002426E8" w:rsidP="002426E8">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100DD51B" w14:textId="77777777" w:rsidR="002426E8" w:rsidRPr="00593A5F" w:rsidRDefault="002426E8" w:rsidP="002426E8">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7DB52FDE" w14:textId="77777777" w:rsidR="002426E8" w:rsidRPr="00593A5F" w:rsidRDefault="002426E8" w:rsidP="002426E8">
      <w:pPr>
        <w:widowControl w:val="0"/>
        <w:autoSpaceDE w:val="0"/>
        <w:autoSpaceDN w:val="0"/>
        <w:spacing w:after="0" w:line="276" w:lineRule="auto"/>
        <w:jc w:val="both"/>
        <w:rPr>
          <w:rFonts w:ascii="Verdana" w:hAnsi="Verdana" w:cs="Arial"/>
        </w:rPr>
      </w:pPr>
    </w:p>
    <w:p w14:paraId="2AFA474B" w14:textId="77777777" w:rsidR="002426E8" w:rsidRPr="00593A5F" w:rsidRDefault="002426E8" w:rsidP="002426E8">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5E8DD472" w14:textId="3E2DDAC7" w:rsidR="002426E8" w:rsidRPr="00593A5F" w:rsidRDefault="001C29FB" w:rsidP="002426E8">
      <w:pPr>
        <w:spacing w:line="276" w:lineRule="auto"/>
        <w:jc w:val="center"/>
        <w:rPr>
          <w:rFonts w:ascii="Verdana" w:hAnsi="Verdana" w:cs="Arial"/>
          <w:color w:val="000000"/>
          <w:lang w:val="es-ES_tradnl" w:eastAsia="es-CO"/>
        </w:rPr>
      </w:pPr>
      <w:r>
        <w:rPr>
          <w:noProof/>
        </w:rPr>
        <w:lastRenderedPageBreak/>
        <w:drawing>
          <wp:inline distT="0" distB="0" distL="0" distR="0" wp14:anchorId="002EDCCA" wp14:editId="20D8D25A">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1"/>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2426E8" w:rsidRPr="00593A5F" w14:paraId="0F87B680" w14:textId="77777777" w:rsidTr="00F325BC">
        <w:trPr>
          <w:trHeight w:val="315"/>
        </w:trPr>
        <w:tc>
          <w:tcPr>
            <w:tcW w:w="893" w:type="dxa"/>
            <w:vAlign w:val="center"/>
            <w:hideMark/>
          </w:tcPr>
          <w:p w14:paraId="021C0F35" w14:textId="77777777" w:rsidR="002426E8" w:rsidRPr="003751C7" w:rsidRDefault="002426E8" w:rsidP="00F325BC">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980060D" w14:textId="77777777" w:rsidR="002426E8" w:rsidRPr="00254A7A" w:rsidRDefault="002426E8" w:rsidP="00F325BC">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0F74D122" w14:textId="77777777" w:rsidR="002426E8" w:rsidRPr="00254A7A" w:rsidRDefault="002426E8" w:rsidP="00F325BC">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2426E8" w:rsidRPr="00593A5F" w14:paraId="701C4A60" w14:textId="77777777" w:rsidTr="00F325BC">
        <w:trPr>
          <w:trHeight w:val="330"/>
        </w:trPr>
        <w:tc>
          <w:tcPr>
            <w:tcW w:w="893" w:type="dxa"/>
            <w:vAlign w:val="center"/>
            <w:hideMark/>
          </w:tcPr>
          <w:p w14:paraId="6470F6B8" w14:textId="77777777" w:rsidR="002426E8" w:rsidRPr="003751C7" w:rsidRDefault="002426E8" w:rsidP="00F325BC">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CB5EB76" w14:textId="77777777" w:rsidR="002426E8" w:rsidRPr="000377DD" w:rsidRDefault="002426E8" w:rsidP="00F325BC">
            <w:pPr>
              <w:pStyle w:val="paragraph"/>
              <w:spacing w:after="0"/>
              <w:contextualSpacing/>
              <w:textAlignment w:val="baseline"/>
              <w:rPr>
                <w:rStyle w:val="normaltextrun"/>
                <w:rFonts w:ascii="Verdana" w:hAnsi="Verdana" w:cs="Arial"/>
                <w:sz w:val="16"/>
                <w:szCs w:val="16"/>
                <w:lang w:val="es-ES_tradnl"/>
              </w:rPr>
            </w:pPr>
            <w:r w:rsidRPr="000377DD">
              <w:rPr>
                <w:rStyle w:val="normaltextrun"/>
                <w:rFonts w:ascii="Verdana" w:hAnsi="Verdana" w:cs="Arial"/>
                <w:sz w:val="16"/>
                <w:szCs w:val="16"/>
                <w:lang w:val="es-ES_tradnl"/>
              </w:rPr>
              <w:t>Alejandro Sarmiento Cantillo</w:t>
            </w:r>
          </w:p>
          <w:p w14:paraId="4A1704B4" w14:textId="77777777" w:rsidR="002426E8" w:rsidRPr="00A40FD0" w:rsidRDefault="002426E8" w:rsidP="00F325BC">
            <w:pPr>
              <w:pStyle w:val="paragraph"/>
              <w:spacing w:before="0" w:beforeAutospacing="0" w:after="0" w:afterAutospacing="0"/>
              <w:contextualSpacing/>
              <w:textAlignment w:val="baseline"/>
              <w:rPr>
                <w:rFonts w:ascii="Verdana" w:hAnsi="Verdana" w:cs="Segoe UI"/>
                <w:sz w:val="16"/>
                <w:szCs w:val="16"/>
              </w:rPr>
            </w:pPr>
            <w:r w:rsidRPr="000377DD">
              <w:rPr>
                <w:rStyle w:val="normaltextrun"/>
                <w:rFonts w:ascii="Verdana" w:hAnsi="Verdana" w:cs="Arial"/>
                <w:sz w:val="16"/>
                <w:szCs w:val="16"/>
                <w:lang w:val="es-ES_tradnl"/>
              </w:rPr>
              <w:t>Gestor T1 ‒ 15 de la Subdirección de Gestión Contractual</w:t>
            </w:r>
          </w:p>
        </w:tc>
      </w:tr>
      <w:tr w:rsidR="002426E8" w:rsidRPr="00593A5F" w14:paraId="2B56885D" w14:textId="77777777" w:rsidTr="00F325BC">
        <w:trPr>
          <w:trHeight w:val="300"/>
        </w:trPr>
        <w:tc>
          <w:tcPr>
            <w:tcW w:w="893" w:type="dxa"/>
            <w:vAlign w:val="center"/>
          </w:tcPr>
          <w:p w14:paraId="085E2EAD" w14:textId="77777777" w:rsidR="002426E8" w:rsidRPr="003751C7" w:rsidRDefault="002426E8" w:rsidP="00F325BC">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2031689C" w14:textId="77777777" w:rsidR="002426E8" w:rsidRPr="00FE00BE" w:rsidRDefault="002426E8" w:rsidP="00F325BC">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2286E045" w14:textId="77777777" w:rsidR="002426E8" w:rsidRPr="00FE00BE" w:rsidRDefault="002426E8" w:rsidP="00F325BC">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31BA34B3" w14:textId="77777777" w:rsidR="002426E8" w:rsidRDefault="002426E8" w:rsidP="002426E8"/>
    <w:p w14:paraId="4F84737E" w14:textId="0F293FF7" w:rsidR="002426E8" w:rsidRPr="00543BFE" w:rsidRDefault="002426E8" w:rsidP="002426E8"/>
    <w:p w14:paraId="0F293BF4" w14:textId="6EDD64A2" w:rsidR="00127233" w:rsidRPr="00E95EE4" w:rsidRDefault="00127233" w:rsidP="00E95EE4"/>
    <w:sectPr w:rsidR="00127233" w:rsidRPr="00E95EE4"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5CD0F" w14:textId="77777777" w:rsidR="00BA1336" w:rsidRDefault="00BA1336" w:rsidP="004A1847">
      <w:pPr>
        <w:spacing w:after="0" w:line="240" w:lineRule="auto"/>
      </w:pPr>
      <w:r>
        <w:separator/>
      </w:r>
    </w:p>
  </w:endnote>
  <w:endnote w:type="continuationSeparator" w:id="0">
    <w:p w14:paraId="0BB20A86" w14:textId="77777777" w:rsidR="00BA1336" w:rsidRDefault="00BA1336"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8A1F41"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BR" w:eastAsia="es-CO"/>
      </w:rPr>
    </w:pPr>
    <w:r w:rsidRPr="008A1F41">
      <w:rPr>
        <w:rFonts w:ascii="Verdana" w:eastAsia="Verdana" w:hAnsi="Verdana" w:cs="Verdana"/>
        <w:b/>
        <w:color w:val="000000" w:themeColor="text1"/>
        <w:sz w:val="18"/>
        <w:szCs w:val="18"/>
        <w:lang w:val="pt-BR" w:eastAsia="es-CO"/>
      </w:rPr>
      <w:t xml:space="preserve">Código: </w:t>
    </w:r>
    <w:r w:rsidRPr="008A1F41">
      <w:rPr>
        <w:rFonts w:ascii="Verdana" w:eastAsia="Verdana" w:hAnsi="Verdana" w:cs="Verdana"/>
        <w:color w:val="000000" w:themeColor="text1"/>
        <w:sz w:val="18"/>
        <w:szCs w:val="18"/>
        <w:lang w:val="pt-BR" w:eastAsia="es-CO"/>
      </w:rPr>
      <w:t xml:space="preserve">CCE-REC-FM-17 </w:t>
    </w:r>
    <w:r w:rsidRPr="008A1F41">
      <w:rPr>
        <w:rFonts w:ascii="Verdana" w:eastAsia="Verdana" w:hAnsi="Verdana" w:cs="Verdana"/>
        <w:b/>
        <w:color w:val="000000" w:themeColor="text1"/>
        <w:sz w:val="18"/>
        <w:szCs w:val="18"/>
        <w:lang w:val="pt-BR" w:eastAsia="es-CO"/>
      </w:rPr>
      <w:t xml:space="preserve">V: </w:t>
    </w:r>
    <w:r w:rsidRPr="008A1F41">
      <w:rPr>
        <w:rFonts w:ascii="Verdana" w:eastAsia="Verdana" w:hAnsi="Verdana" w:cs="Verdana"/>
        <w:sz w:val="18"/>
        <w:szCs w:val="18"/>
        <w:lang w:val="pt-BR"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1F964" w14:textId="77777777" w:rsidR="00BA1336" w:rsidRDefault="00BA1336" w:rsidP="004A1847">
      <w:pPr>
        <w:spacing w:after="0" w:line="240" w:lineRule="auto"/>
      </w:pPr>
      <w:r>
        <w:separator/>
      </w:r>
    </w:p>
  </w:footnote>
  <w:footnote w:type="continuationSeparator" w:id="0">
    <w:p w14:paraId="7C302A1F" w14:textId="77777777" w:rsidR="00BA1336" w:rsidRDefault="00BA1336" w:rsidP="004A1847">
      <w:pPr>
        <w:spacing w:after="0" w:line="240" w:lineRule="auto"/>
      </w:pPr>
      <w:r>
        <w:continuationSeparator/>
      </w:r>
    </w:p>
  </w:footnote>
  <w:footnote w:id="1">
    <w:p w14:paraId="4DC6A734" w14:textId="77777777" w:rsidR="002426E8" w:rsidRPr="008A1F41" w:rsidRDefault="002426E8" w:rsidP="002426E8">
      <w:pPr>
        <w:pStyle w:val="Textonotapie"/>
        <w:ind w:firstLine="709"/>
        <w:jc w:val="both"/>
        <w:rPr>
          <w:rFonts w:ascii="Verdana" w:hAnsi="Verdana" w:cs="Arial"/>
          <w:sz w:val="16"/>
          <w:szCs w:val="16"/>
          <w:lang w:val="pt-BR"/>
        </w:rPr>
      </w:pPr>
      <w:r w:rsidRPr="00805893">
        <w:rPr>
          <w:rStyle w:val="Refdenotaalpie"/>
          <w:rFonts w:ascii="Verdana" w:hAnsi="Verdana" w:cs="Arial"/>
          <w:sz w:val="16"/>
          <w:szCs w:val="16"/>
        </w:rPr>
        <w:footnoteRef/>
      </w:r>
      <w:r w:rsidRPr="008A1F41">
        <w:rPr>
          <w:rFonts w:ascii="Verdana" w:hAnsi="Verdana" w:cs="Arial"/>
          <w:sz w:val="16"/>
          <w:szCs w:val="16"/>
          <w:lang w:val="pt-BR"/>
        </w:rPr>
        <w:t xml:space="preserve"> </w:t>
      </w:r>
      <w:r w:rsidRPr="00805893">
        <w:rPr>
          <w:rFonts w:ascii="Verdana" w:hAnsi="Verdana" w:cs="Arial"/>
          <w:sz w:val="16"/>
          <w:szCs w:val="16"/>
          <w:lang w:val="pt-BR"/>
        </w:rPr>
        <w:t>CORTE CONSTITUCIONAL. Sentencia C-1016 de 2012. M.P. Jorge Iván Palacio.</w:t>
      </w:r>
    </w:p>
  </w:footnote>
  <w:footnote w:id="2">
    <w:p w14:paraId="59095160" w14:textId="77777777" w:rsidR="002426E8" w:rsidRPr="00805893" w:rsidRDefault="002426E8" w:rsidP="002426E8">
      <w:pPr>
        <w:pStyle w:val="Textonotapie"/>
        <w:ind w:firstLine="709"/>
        <w:jc w:val="both"/>
        <w:rPr>
          <w:rFonts w:ascii="Verdana" w:hAnsi="Verdana" w:cs="Arial"/>
          <w:sz w:val="16"/>
          <w:szCs w:val="16"/>
          <w:lang w:val="pt-BR"/>
        </w:rPr>
      </w:pPr>
      <w:r w:rsidRPr="00805893">
        <w:rPr>
          <w:rStyle w:val="Refdenotaalpie"/>
          <w:rFonts w:ascii="Verdana" w:hAnsi="Verdana" w:cs="Arial"/>
          <w:sz w:val="16"/>
          <w:szCs w:val="16"/>
        </w:rPr>
        <w:footnoteRef/>
      </w:r>
      <w:r w:rsidRPr="00805893">
        <w:rPr>
          <w:rFonts w:ascii="Verdana" w:hAnsi="Verdana" w:cs="Arial"/>
          <w:sz w:val="16"/>
          <w:szCs w:val="16"/>
        </w:rPr>
        <w:t xml:space="preserve"> CONSEJO DE ESTADO. Sección Tercera. Subsección A. Sentencia del 13 de noviembre de 2013. </w:t>
      </w:r>
      <w:r w:rsidRPr="00805893">
        <w:rPr>
          <w:rFonts w:ascii="Verdana" w:hAnsi="Verdana" w:cs="Arial"/>
          <w:sz w:val="16"/>
          <w:szCs w:val="16"/>
          <w:lang w:val="pt-BR"/>
        </w:rPr>
        <w:t>Rad. 25.646. C.P. Mauricio Fajardo Gómez.</w:t>
      </w:r>
    </w:p>
  </w:footnote>
  <w:footnote w:id="3">
    <w:p w14:paraId="5583C7C2" w14:textId="77777777" w:rsidR="002426E8" w:rsidRPr="008A1F41" w:rsidRDefault="002426E8" w:rsidP="002426E8">
      <w:pPr>
        <w:pStyle w:val="Textonotapie"/>
        <w:ind w:firstLine="709"/>
        <w:jc w:val="both"/>
        <w:rPr>
          <w:rFonts w:ascii="Verdana" w:hAnsi="Verdana" w:cs="Arial"/>
          <w:sz w:val="16"/>
          <w:szCs w:val="16"/>
          <w:lang w:val="pt-BR"/>
        </w:rPr>
      </w:pPr>
      <w:r w:rsidRPr="00805893">
        <w:rPr>
          <w:rStyle w:val="Refdenotaalpie"/>
          <w:rFonts w:ascii="Verdana" w:hAnsi="Verdana" w:cs="Arial"/>
          <w:sz w:val="16"/>
          <w:szCs w:val="16"/>
        </w:rPr>
        <w:footnoteRef/>
      </w:r>
      <w:r w:rsidRPr="008A1F41">
        <w:rPr>
          <w:rFonts w:ascii="Verdana" w:hAnsi="Verdana" w:cs="Arial"/>
          <w:sz w:val="16"/>
          <w:szCs w:val="16"/>
          <w:lang w:val="pt-BR"/>
        </w:rPr>
        <w:t xml:space="preserve"> </w:t>
      </w:r>
      <w:r w:rsidRPr="00805893">
        <w:rPr>
          <w:rFonts w:ascii="Verdana" w:hAnsi="Verdana" w:cs="Arial"/>
          <w:sz w:val="16"/>
          <w:szCs w:val="16"/>
          <w:lang w:val="pt-BR"/>
        </w:rPr>
        <w:t>CORTE CONSTITUCIONAL. Sentencia C-415 de 1994. M.P. Eduardo Cifuentes Muñoz.</w:t>
      </w:r>
    </w:p>
  </w:footnote>
  <w:footnote w:id="4">
    <w:p w14:paraId="3B934F4B" w14:textId="77777777" w:rsidR="002426E8" w:rsidRPr="00805893" w:rsidRDefault="002426E8" w:rsidP="002426E8">
      <w:pPr>
        <w:pStyle w:val="Textonotapie"/>
        <w:ind w:firstLine="709"/>
        <w:jc w:val="both"/>
        <w:rPr>
          <w:rFonts w:ascii="Verdana" w:hAnsi="Verdana" w:cs="Arial"/>
          <w:sz w:val="16"/>
          <w:szCs w:val="16"/>
          <w:lang w:val="pt-BR"/>
        </w:rPr>
      </w:pPr>
      <w:r w:rsidRPr="00805893">
        <w:rPr>
          <w:rStyle w:val="Refdenotaalpie"/>
          <w:rFonts w:ascii="Verdana" w:hAnsi="Verdana" w:cs="Arial"/>
          <w:sz w:val="16"/>
          <w:szCs w:val="16"/>
        </w:rPr>
        <w:footnoteRef/>
      </w:r>
      <w:r w:rsidRPr="008A1F41">
        <w:rPr>
          <w:rFonts w:ascii="Verdana" w:hAnsi="Verdana" w:cs="Arial"/>
          <w:sz w:val="16"/>
          <w:szCs w:val="16"/>
          <w:lang w:val="pt-BR"/>
        </w:rPr>
        <w:t xml:space="preserve"> </w:t>
      </w:r>
      <w:r w:rsidRPr="00805893">
        <w:rPr>
          <w:rFonts w:ascii="Verdana" w:hAnsi="Verdana" w:cs="Arial"/>
          <w:sz w:val="16"/>
          <w:szCs w:val="16"/>
          <w:lang w:val="pt-BR"/>
        </w:rPr>
        <w:t>Ibídem.</w:t>
      </w:r>
    </w:p>
  </w:footnote>
  <w:footnote w:id="5">
    <w:p w14:paraId="1D55C6B7" w14:textId="77777777" w:rsidR="002426E8" w:rsidRPr="00805893" w:rsidRDefault="002426E8" w:rsidP="002426E8">
      <w:pPr>
        <w:pStyle w:val="Textonotapie"/>
        <w:ind w:firstLine="709"/>
        <w:jc w:val="both"/>
        <w:rPr>
          <w:rFonts w:ascii="Verdana" w:hAnsi="Verdana" w:cs="Arial"/>
          <w:sz w:val="16"/>
          <w:szCs w:val="16"/>
          <w:lang w:val="es-CO"/>
        </w:rPr>
      </w:pPr>
      <w:r w:rsidRPr="00805893">
        <w:rPr>
          <w:rStyle w:val="Refdenotaalpie"/>
          <w:rFonts w:ascii="Verdana" w:hAnsi="Verdana" w:cs="Arial"/>
          <w:sz w:val="16"/>
          <w:szCs w:val="16"/>
        </w:rPr>
        <w:footnoteRef/>
      </w:r>
      <w:r w:rsidRPr="008A1F41">
        <w:rPr>
          <w:rFonts w:ascii="Verdana" w:hAnsi="Verdana" w:cs="Arial"/>
          <w:sz w:val="16"/>
          <w:szCs w:val="16"/>
          <w:lang w:val="pt-BR"/>
        </w:rPr>
        <w:t xml:space="preserve"> </w:t>
      </w:r>
      <w:r w:rsidRPr="00805893">
        <w:rPr>
          <w:rFonts w:ascii="Verdana" w:hAnsi="Verdana" w:cs="Arial"/>
          <w:sz w:val="16"/>
          <w:szCs w:val="16"/>
          <w:lang w:val="pt-BR"/>
        </w:rPr>
        <w:t xml:space="preserve">CORTE CONSTITUCIONAL. </w:t>
      </w:r>
      <w:r w:rsidRPr="00805893">
        <w:rPr>
          <w:rFonts w:ascii="Verdana" w:hAnsi="Verdana" w:cs="Arial"/>
          <w:sz w:val="16"/>
          <w:szCs w:val="16"/>
        </w:rPr>
        <w:t xml:space="preserve">Sentencia C-780 de 2001. </w:t>
      </w:r>
      <w:r w:rsidRPr="00805893">
        <w:rPr>
          <w:rFonts w:ascii="Verdana" w:hAnsi="Verdana" w:cs="Arial"/>
          <w:sz w:val="16"/>
          <w:szCs w:val="16"/>
          <w:lang w:val="es-CO"/>
        </w:rPr>
        <w:t xml:space="preserve">M.P. Jaime Córdoba Triviño. </w:t>
      </w:r>
    </w:p>
  </w:footnote>
  <w:footnote w:id="6">
    <w:p w14:paraId="7EB5257B" w14:textId="77777777" w:rsidR="002426E8" w:rsidRPr="00805893" w:rsidRDefault="002426E8" w:rsidP="002426E8">
      <w:pPr>
        <w:pStyle w:val="NormalWeb"/>
        <w:spacing w:before="0" w:beforeAutospacing="0" w:after="0" w:afterAutospacing="0"/>
        <w:ind w:firstLine="709"/>
        <w:jc w:val="both"/>
        <w:rPr>
          <w:rFonts w:ascii="Verdana" w:eastAsiaTheme="minorHAnsi" w:hAnsi="Verdana" w:cs="Arial"/>
          <w:sz w:val="16"/>
          <w:szCs w:val="16"/>
          <w:lang w:val="es-ES" w:eastAsia="en-US"/>
        </w:rPr>
      </w:pPr>
      <w:r w:rsidRPr="00805893">
        <w:rPr>
          <w:rStyle w:val="Refdenotaalpie"/>
          <w:rFonts w:ascii="Verdana" w:hAnsi="Verdana" w:cs="Arial"/>
          <w:sz w:val="16"/>
          <w:szCs w:val="16"/>
        </w:rPr>
        <w:footnoteRef/>
      </w:r>
      <w:r w:rsidRPr="00805893">
        <w:rPr>
          <w:rFonts w:ascii="Verdana" w:hAnsi="Verdana" w:cs="Arial"/>
          <w:sz w:val="16"/>
          <w:szCs w:val="16"/>
        </w:rPr>
        <w:t xml:space="preserve"> </w:t>
      </w:r>
      <w:r w:rsidRPr="00805893">
        <w:rPr>
          <w:rFonts w:ascii="Verdana" w:eastAsiaTheme="minorHAnsi" w:hAnsi="Verdana" w:cs="Arial"/>
          <w:sz w:val="16"/>
          <w:szCs w:val="16"/>
          <w:lang w:val="es-ES" w:eastAsia="en-US"/>
        </w:rPr>
        <w:t>Ley 80 de 1993: “Artículo 8: 1o. Son inhábiles para participar en licitaciones o concursos y para celebrar contratos con las entidades estatales: </w:t>
      </w:r>
    </w:p>
    <w:p w14:paraId="066BD912"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a) Las personas que se hallen inhabilitadas para contratar por la Constitución y las leyes. </w:t>
      </w:r>
    </w:p>
    <w:p w14:paraId="727344E7"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b) Quienes participaron en las licitaciones o concursos o celebraron los contratos de que trata el literal anterior estando inhabilitados. </w:t>
      </w:r>
    </w:p>
    <w:p w14:paraId="4B27490E" w14:textId="77777777" w:rsidR="002426E8" w:rsidRPr="00805893" w:rsidRDefault="002426E8" w:rsidP="002426E8">
      <w:pPr>
        <w:pStyle w:val="NormalWeb"/>
        <w:spacing w:before="0" w:beforeAutospacing="0" w:after="0" w:afterAutospacing="0"/>
        <w:ind w:firstLine="709"/>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c) Quienes dieron lugar a la declaratoria de caducidad. </w:t>
      </w:r>
    </w:p>
    <w:p w14:paraId="3D2A7095" w14:textId="77777777" w:rsidR="002426E8" w:rsidRPr="00805893" w:rsidRDefault="002426E8" w:rsidP="002426E8">
      <w:pPr>
        <w:pStyle w:val="NormalWeb"/>
        <w:spacing w:before="0" w:beforeAutospacing="0" w:after="0" w:afterAutospacing="0"/>
        <w:ind w:firstLine="709"/>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d) Quienes en sentencia judicial hayan sido condenados a la pena accesoria de interdicción de derechos y funciones públicas y quienes hayan sido sancionados disciplinariamente con destitución. </w:t>
      </w:r>
    </w:p>
    <w:p w14:paraId="202DDD72"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e) Quienes sin justa causa se abstengan de suscribir el contrato estatal adjudicado. </w:t>
      </w:r>
    </w:p>
    <w:p w14:paraId="1A9525AC"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f) Los servidores públicos. </w:t>
      </w:r>
    </w:p>
    <w:p w14:paraId="66D3075B"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g) Quienes sean cónyuges o compañeros permanentes y quienes se encuentren dentro del segundo grado de consanguinidad o segundo de afinidad con cualquier otra persona que formalmente haya presentado propuesta para una misma licitación o concurso. </w:t>
      </w:r>
    </w:p>
    <w:p w14:paraId="48CE2006" w14:textId="77777777" w:rsidR="002426E8" w:rsidRPr="00805893" w:rsidRDefault="002426E8" w:rsidP="002426E8">
      <w:pPr>
        <w:pStyle w:val="NormalWeb"/>
        <w:spacing w:before="0" w:beforeAutospacing="0" w:after="0" w:afterAutospacing="0"/>
        <w:ind w:firstLine="709"/>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o concurso. </w:t>
      </w:r>
    </w:p>
    <w:p w14:paraId="26AF6A96"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i) Los socios de sociedades de personas a las cuales se haya declarado la caducidad, así como las sociedades de personas de las que aquellos formen parte con posterioridad a dicha declaratoria. </w:t>
      </w:r>
    </w:p>
    <w:p w14:paraId="3298BF41" w14:textId="77777777" w:rsidR="002426E8" w:rsidRPr="00805893" w:rsidRDefault="002426E8" w:rsidP="002426E8">
      <w:pPr>
        <w:pStyle w:val="NormalWeb"/>
        <w:spacing w:before="0" w:beforeAutospacing="0" w:after="0" w:afterAutospacing="0"/>
        <w:ind w:firstLine="709"/>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  Las inhabilidades a que se refieren los literales c), d) e i) se extenderán por un término de cinco (5) años contado a partir de la fecha de ejecutoria del acto que declaró la caducidad, o de la sentencia que impuso la pena, o del acto que dispuso la destitución; las previstas en los literales b) y e), se extenderán por un término de cinco (5) años contado a partir de la fecha de ocurrencia del hecho de la participación en la licitación o concurso, o de la de celebración del contrato, o de la de expiración del plazo para su firma. </w:t>
      </w:r>
    </w:p>
    <w:p w14:paraId="28EDF463"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j) Las personas naturales que hayan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w:t>
      </w:r>
    </w:p>
    <w:p w14:paraId="4BC5304A"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Esta inhabilidad procederá preventivamente aún en los casos en los que esté pendiente la decisión sobre la impugnación de la sentencia condenatoria. Asimismo, la inhabilidad se extenderá a las sociedades de las que hagan parte dichas personas en calidad de administradores, represen</w:t>
      </w:r>
      <w:r w:rsidRPr="00805893">
        <w:rPr>
          <w:rFonts w:ascii="Verdana" w:eastAsiaTheme="minorHAnsi" w:hAnsi="Verdana" w:cs="Arial"/>
          <w:sz w:val="16"/>
          <w:szCs w:val="16"/>
          <w:lang w:val="es-ES" w:eastAsia="en-US"/>
        </w:rPr>
        <w:softHyphen/>
        <w:t>tantes legales, miembros de junta directiva o de socios controlantes, a sus matrices y a sus subordinadas, a los grupos empresariales a los que estas pertenezcan cuando la conducta delictiva haya sido parte de una política del grupo y a las sucursales de sociedades extranjeras, con ex</w:t>
      </w:r>
      <w:r w:rsidRPr="00805893">
        <w:rPr>
          <w:rFonts w:ascii="Verdana" w:eastAsiaTheme="minorHAnsi" w:hAnsi="Verdana" w:cs="Arial"/>
          <w:sz w:val="16"/>
          <w:szCs w:val="16"/>
          <w:lang w:val="es-ES" w:eastAsia="en-US"/>
        </w:rPr>
        <w:softHyphen/>
        <w:t>cepción de las sociedades anónimas abiertas. También se considerarán inhabilitadas para contratar, las personas jurídicas sobre las cuales se haya ordenado la suspensión de la perso</w:t>
      </w:r>
      <w:r w:rsidRPr="00805893">
        <w:rPr>
          <w:rFonts w:ascii="Verdana" w:eastAsiaTheme="minorHAnsi" w:hAnsi="Verdana" w:cs="Arial"/>
          <w:sz w:val="16"/>
          <w:szCs w:val="16"/>
          <w:lang w:val="es-ES" w:eastAsia="en-US"/>
        </w:rPr>
        <w:softHyphen/>
        <w:t>nería jurídica en los términos de ley, o cuyos representantes legales, ad</w:t>
      </w:r>
      <w:r w:rsidRPr="00805893">
        <w:rPr>
          <w:rFonts w:ascii="Verdana" w:eastAsiaTheme="minorHAnsi" w:hAnsi="Verdana" w:cs="Arial"/>
          <w:sz w:val="16"/>
          <w:szCs w:val="16"/>
          <w:lang w:val="es-ES" w:eastAsia="en-US"/>
        </w:rPr>
        <w:softHyphen/>
        <w:t>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  La inhabilidad prevista en este literal se extenderá de forma perma</w:t>
      </w:r>
      <w:r w:rsidRPr="00805893">
        <w:rPr>
          <w:rFonts w:ascii="Verdana" w:eastAsiaTheme="minorHAnsi" w:hAnsi="Verdana" w:cs="Arial"/>
          <w:sz w:val="16"/>
          <w:szCs w:val="16"/>
          <w:lang w:val="es-ES" w:eastAsia="en-US"/>
        </w:rPr>
        <w:softHyphen/>
        <w:t>nente a las sociedades de las que hagan parte dichas personas en las calidades presentadas en los incisos anteriores, y se aplicará de igual forma a las personas naturales que hayan sido declaradas responsables judicialmente por la comisión de delitos mencionados en este literal. </w:t>
      </w:r>
    </w:p>
    <w:p w14:paraId="66DA54CE" w14:textId="77777777" w:rsidR="002426E8" w:rsidRPr="00805893" w:rsidRDefault="002426E8" w:rsidP="002426E8">
      <w:pPr>
        <w:pStyle w:val="NormalWeb"/>
        <w:spacing w:before="0" w:beforeAutospacing="0" w:after="0" w:afterAutospacing="0"/>
        <w:ind w:firstLine="709"/>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w:t>
      </w:r>
    </w:p>
    <w:p w14:paraId="60F45F71" w14:textId="77777777" w:rsidR="002426E8" w:rsidRPr="00805893" w:rsidRDefault="002426E8" w:rsidP="002426E8">
      <w:pPr>
        <w:pStyle w:val="NormalWeb"/>
        <w:spacing w:before="0" w:beforeAutospacing="0" w:after="0" w:afterAutospacing="0"/>
        <w:ind w:firstLine="709"/>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2o. Tampoco podrán participar en licitaciones o concursos ni celebrar contratos estatales con la entidad respectiva: </w:t>
      </w:r>
    </w:p>
    <w:p w14:paraId="19FE4E84"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a) 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 </w:t>
      </w:r>
    </w:p>
    <w:p w14:paraId="4C16D6F9"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w:t>
      </w:r>
    </w:p>
    <w:p w14:paraId="2341F111"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c) El cónyuge, compañero o compañera permanente del servidor público en los niveles directivo, asesor, ejecutivo, o de un miembro de la junta o consejo directivo, o de quien ejerza funciones de control interno o de control fiscal. </w:t>
      </w:r>
    </w:p>
    <w:p w14:paraId="33C9CE27"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d)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w:t>
      </w:r>
    </w:p>
    <w:p w14:paraId="5FF671C0"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e) Los miembros de las juntas o consejos directivos. Esta incompatibilidad sólo se predica respecto de la entidad a la cual prestan sus servicios y de las del sector administrativo al que la misma esté adscrita o vinculada. </w:t>
      </w:r>
    </w:p>
    <w:p w14:paraId="0C76CCD0" w14:textId="77777777" w:rsidR="002426E8" w:rsidRPr="00805893" w:rsidRDefault="002426E8" w:rsidP="002426E8">
      <w:pPr>
        <w:pStyle w:val="NormalWeb"/>
        <w:spacing w:before="0" w:beforeAutospacing="0" w:after="0" w:afterAutospacing="0"/>
        <w:ind w:firstLine="708"/>
        <w:jc w:val="both"/>
        <w:rPr>
          <w:rFonts w:ascii="Verdana" w:eastAsiaTheme="minorHAnsi" w:hAnsi="Verdana" w:cs="Arial"/>
          <w:sz w:val="16"/>
          <w:szCs w:val="16"/>
          <w:lang w:val="es-ES" w:eastAsia="en-US"/>
        </w:rPr>
      </w:pPr>
      <w:r w:rsidRPr="00805893">
        <w:rPr>
          <w:rFonts w:ascii="Verdana" w:eastAsiaTheme="minorHAnsi" w:hAnsi="Verdana" w:cs="Arial"/>
          <w:sz w:val="16"/>
          <w:szCs w:val="16"/>
          <w:lang w:val="es-ES" w:eastAsia="en-US"/>
        </w:rPr>
        <w:t xml:space="preserve">f)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Esta incompatibilidad también operará para las personas que se encuentren dentro del primer grado de consanguinidad, primero de afinidad, o primero civil del ex empleado público”. (…). </w:t>
      </w:r>
    </w:p>
  </w:footnote>
  <w:footnote w:id="7">
    <w:p w14:paraId="449BF6EB" w14:textId="77777777" w:rsidR="002426E8" w:rsidRPr="00805893" w:rsidRDefault="002426E8" w:rsidP="002426E8">
      <w:pPr>
        <w:pStyle w:val="Textonotapie"/>
        <w:ind w:firstLine="709"/>
        <w:jc w:val="both"/>
        <w:rPr>
          <w:rFonts w:ascii="Verdana" w:hAnsi="Verdana" w:cs="Arial"/>
          <w:sz w:val="16"/>
          <w:szCs w:val="16"/>
        </w:rPr>
      </w:pPr>
      <w:r w:rsidRPr="00805893">
        <w:rPr>
          <w:rStyle w:val="Refdenotaalpie"/>
          <w:rFonts w:ascii="Verdana" w:hAnsi="Verdana" w:cs="Arial"/>
          <w:sz w:val="16"/>
          <w:szCs w:val="16"/>
        </w:rPr>
        <w:footnoteRef/>
      </w:r>
      <w:r w:rsidRPr="00805893">
        <w:rPr>
          <w:rFonts w:ascii="Verdana" w:hAnsi="Verdana" w:cs="Arial"/>
          <w:sz w:val="16"/>
          <w:szCs w:val="16"/>
        </w:rPr>
        <w:t xml:space="preserve"> Ley 80 de 1993: “Artículo 6. De la capacidad para contratar. Pueden celebrar contratos con las entidades estatales las personas consideradas legalmente capaces en las disposiciones vigentes. También podrán celebrar contratos con las entidades estatales, los consorcios y uniones temporales.</w:t>
      </w:r>
    </w:p>
    <w:p w14:paraId="2E5C676B" w14:textId="77777777" w:rsidR="002426E8" w:rsidRPr="00805893" w:rsidRDefault="002426E8" w:rsidP="002426E8">
      <w:pPr>
        <w:pStyle w:val="Textonotapie"/>
        <w:ind w:firstLine="709"/>
        <w:jc w:val="both"/>
        <w:rPr>
          <w:rFonts w:ascii="Verdana" w:hAnsi="Verdana" w:cs="Arial"/>
          <w:sz w:val="16"/>
          <w:szCs w:val="16"/>
        </w:rPr>
      </w:pPr>
      <w:r w:rsidRPr="00805893">
        <w:rPr>
          <w:rFonts w:ascii="Verdana" w:hAnsi="Verdana" w:cs="Arial"/>
          <w:sz w:val="16"/>
          <w:szCs w:val="16"/>
        </w:rPr>
        <w:t>Las personas jurídicas nacionales y extranjeras deberán acreditar que su duración no será inferior a la del plazo del contrato y un año más”.</w:t>
      </w:r>
    </w:p>
  </w:footnote>
  <w:footnote w:id="8">
    <w:p w14:paraId="29F849BE" w14:textId="77777777" w:rsidR="002426E8" w:rsidRPr="00805893" w:rsidRDefault="002426E8" w:rsidP="002426E8">
      <w:pPr>
        <w:pStyle w:val="Textonotapie"/>
        <w:ind w:firstLine="709"/>
        <w:jc w:val="both"/>
        <w:rPr>
          <w:rFonts w:ascii="Verdana" w:hAnsi="Verdana" w:cs="Arial"/>
          <w:sz w:val="16"/>
          <w:szCs w:val="16"/>
        </w:rPr>
      </w:pPr>
      <w:r w:rsidRPr="00805893">
        <w:rPr>
          <w:rStyle w:val="Refdenotaalpie"/>
          <w:rFonts w:ascii="Verdana" w:hAnsi="Verdana" w:cs="Arial"/>
          <w:sz w:val="16"/>
          <w:szCs w:val="16"/>
        </w:rPr>
        <w:footnoteRef/>
      </w:r>
      <w:r w:rsidRPr="00805893">
        <w:rPr>
          <w:rFonts w:ascii="Verdana" w:hAnsi="Verdana" w:cs="Arial"/>
          <w:sz w:val="16"/>
          <w:szCs w:val="16"/>
        </w:rPr>
        <w:t xml:space="preserve"> Código Civil: “Artículo 1502. Requisitos para obligarse. Para que una persona se obligue a otra por un acto o declaración de voluntad, es necesario:</w:t>
      </w:r>
    </w:p>
    <w:p w14:paraId="3531B7A5" w14:textId="77777777" w:rsidR="002426E8" w:rsidRPr="00805893" w:rsidRDefault="002426E8" w:rsidP="002426E8">
      <w:pPr>
        <w:pStyle w:val="Textonotapie"/>
        <w:ind w:firstLine="709"/>
        <w:jc w:val="both"/>
        <w:rPr>
          <w:rFonts w:ascii="Verdana" w:hAnsi="Verdana" w:cs="Arial"/>
          <w:sz w:val="16"/>
          <w:szCs w:val="16"/>
        </w:rPr>
      </w:pPr>
      <w:r w:rsidRPr="00805893">
        <w:rPr>
          <w:rFonts w:ascii="Verdana" w:hAnsi="Verdana" w:cs="Arial"/>
          <w:sz w:val="16"/>
          <w:szCs w:val="16"/>
        </w:rPr>
        <w:t>1o.) que sea legalmente capaz.</w:t>
      </w:r>
    </w:p>
    <w:p w14:paraId="4F5F0291" w14:textId="77777777" w:rsidR="002426E8" w:rsidRPr="00805893" w:rsidRDefault="002426E8" w:rsidP="002426E8">
      <w:pPr>
        <w:pStyle w:val="Textonotapie"/>
        <w:ind w:firstLine="709"/>
        <w:jc w:val="both"/>
        <w:rPr>
          <w:rFonts w:ascii="Verdana" w:hAnsi="Verdana" w:cs="Arial"/>
          <w:sz w:val="16"/>
          <w:szCs w:val="16"/>
        </w:rPr>
      </w:pPr>
      <w:r w:rsidRPr="00805893">
        <w:rPr>
          <w:rFonts w:ascii="Verdana" w:hAnsi="Verdana" w:cs="Arial"/>
          <w:sz w:val="16"/>
          <w:szCs w:val="16"/>
        </w:rPr>
        <w:t>[…]</w:t>
      </w:r>
    </w:p>
    <w:p w14:paraId="0AF25569" w14:textId="77777777" w:rsidR="002426E8" w:rsidRPr="00805893" w:rsidRDefault="002426E8" w:rsidP="002426E8">
      <w:pPr>
        <w:pStyle w:val="Textonotapie"/>
        <w:ind w:firstLine="709"/>
        <w:jc w:val="both"/>
        <w:rPr>
          <w:rFonts w:ascii="Verdana" w:hAnsi="Verdana" w:cs="Arial"/>
          <w:sz w:val="16"/>
          <w:szCs w:val="16"/>
        </w:rPr>
      </w:pPr>
      <w:r w:rsidRPr="00805893">
        <w:rPr>
          <w:rFonts w:ascii="Verdana" w:hAnsi="Verdana" w:cs="Arial"/>
          <w:sz w:val="16"/>
          <w:szCs w:val="16"/>
        </w:rPr>
        <w:t>La capacidad legal de una persona consiste en poderse obligar por sí misma, sin el ministerio o la autorización de otra”.</w:t>
      </w:r>
    </w:p>
  </w:footnote>
  <w:footnote w:id="9">
    <w:p w14:paraId="0DC363BB" w14:textId="77777777" w:rsidR="002426E8" w:rsidRPr="00805893" w:rsidRDefault="002426E8" w:rsidP="002426E8">
      <w:pPr>
        <w:pStyle w:val="Textonotapie"/>
        <w:ind w:firstLine="709"/>
        <w:jc w:val="both"/>
        <w:rPr>
          <w:rFonts w:ascii="Verdana" w:hAnsi="Verdana" w:cs="Arial"/>
          <w:sz w:val="16"/>
          <w:szCs w:val="16"/>
        </w:rPr>
      </w:pPr>
      <w:r w:rsidRPr="00805893">
        <w:rPr>
          <w:rStyle w:val="Refdenotaalpie"/>
          <w:rFonts w:ascii="Verdana" w:hAnsi="Verdana" w:cs="Arial"/>
          <w:sz w:val="16"/>
          <w:szCs w:val="16"/>
        </w:rPr>
        <w:footnoteRef/>
      </w:r>
      <w:r w:rsidRPr="00805893">
        <w:rPr>
          <w:rFonts w:ascii="Verdana" w:hAnsi="Verdana" w:cs="Arial"/>
          <w:sz w:val="16"/>
          <w:szCs w:val="16"/>
        </w:rPr>
        <w:t xml:space="preserve"> Decreto Ley 19 de 2012: “Artículo 221. El artículo 6 de la Ley 1150 de 2007, quedará así:</w:t>
      </w:r>
    </w:p>
    <w:p w14:paraId="1BD5B475" w14:textId="77777777" w:rsidR="002426E8" w:rsidRPr="00805893" w:rsidRDefault="002426E8" w:rsidP="002426E8">
      <w:pPr>
        <w:pStyle w:val="Textonotapie"/>
        <w:ind w:firstLine="709"/>
        <w:jc w:val="both"/>
        <w:rPr>
          <w:rFonts w:ascii="Verdana" w:hAnsi="Verdana" w:cs="Arial"/>
          <w:sz w:val="16"/>
          <w:szCs w:val="16"/>
          <w:lang w:val="es-ES"/>
        </w:rPr>
      </w:pPr>
      <w:r w:rsidRPr="00805893">
        <w:rPr>
          <w:rFonts w:ascii="Verdana" w:hAnsi="Verdana" w:cs="Arial"/>
          <w:sz w:val="16"/>
          <w:szCs w:val="16"/>
        </w:rPr>
        <w:t>Artículo 6. De la verificación de las condiciones de los proponentes. T</w:t>
      </w:r>
      <w:r w:rsidRPr="00805893">
        <w:rPr>
          <w:rFonts w:ascii="Verdana" w:hAnsi="Verdana" w:cs="Arial"/>
          <w:sz w:val="16"/>
          <w:szCs w:val="16"/>
          <w:lang w:val="es-ES"/>
        </w:rPr>
        <w: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7078B6D5" w14:textId="77777777" w:rsidR="002426E8" w:rsidRPr="00805893" w:rsidRDefault="002426E8" w:rsidP="002426E8">
      <w:pPr>
        <w:pStyle w:val="Textonotapie"/>
        <w:ind w:firstLine="709"/>
        <w:jc w:val="both"/>
        <w:rPr>
          <w:rFonts w:ascii="Verdana" w:hAnsi="Verdana" w:cs="Arial"/>
          <w:sz w:val="16"/>
          <w:szCs w:val="16"/>
          <w:lang w:val="es-ES"/>
        </w:rPr>
      </w:pPr>
      <w:r w:rsidRPr="00805893">
        <w:rPr>
          <w:rFonts w:ascii="Verdana" w:hAnsi="Verdana" w:cs="Arial"/>
          <w:sz w:val="16"/>
          <w:szCs w:val="16"/>
          <w:lang w:val="es-ES"/>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footnote>
  <w:footnote w:id="10">
    <w:p w14:paraId="620AEA69" w14:textId="77777777" w:rsidR="002426E8" w:rsidRPr="00805893" w:rsidRDefault="002426E8" w:rsidP="002426E8">
      <w:pPr>
        <w:pStyle w:val="Textonotapie"/>
        <w:ind w:firstLine="709"/>
        <w:jc w:val="both"/>
        <w:rPr>
          <w:rFonts w:ascii="Verdana" w:hAnsi="Verdana" w:cs="Arial"/>
          <w:sz w:val="16"/>
          <w:szCs w:val="16"/>
          <w:lang w:val="es-ES"/>
        </w:rPr>
      </w:pPr>
      <w:r w:rsidRPr="00805893">
        <w:rPr>
          <w:rStyle w:val="Refdenotaalpie"/>
          <w:rFonts w:ascii="Verdana" w:hAnsi="Verdana" w:cs="Arial"/>
          <w:sz w:val="16"/>
          <w:szCs w:val="16"/>
        </w:rPr>
        <w:footnoteRef/>
      </w:r>
      <w:r w:rsidRPr="00805893">
        <w:rPr>
          <w:rFonts w:ascii="Verdana" w:hAnsi="Verdana" w:cs="Arial"/>
          <w:sz w:val="16"/>
          <w:szCs w:val="16"/>
        </w:rPr>
        <w:t xml:space="preserve"> </w:t>
      </w:r>
      <w:r w:rsidRPr="00805893">
        <w:rPr>
          <w:rFonts w:ascii="Verdana" w:hAnsi="Verdana" w:cs="Arial"/>
          <w:sz w:val="16"/>
          <w:szCs w:val="16"/>
          <w:lang w:val="es-ES"/>
        </w:rPr>
        <w:t xml:space="preserve">En tal sentido, José Luis Benavides comenta que “Aunque la mayoría de las reglas limitativas de la responsabilidad contractual se aplican a la administración, existen también algunas restricciones importantes a la capacidad de los contratistas: </w:t>
      </w:r>
      <w:r w:rsidRPr="00805893">
        <w:rPr>
          <w:rFonts w:ascii="Verdana" w:hAnsi="Verdana" w:cs="Arial"/>
          <w:i/>
          <w:iCs/>
          <w:sz w:val="16"/>
          <w:szCs w:val="16"/>
          <w:lang w:val="es-ES"/>
        </w:rPr>
        <w:t>el régimen de inhabilidades e incompatibilidades</w:t>
      </w:r>
      <w:r w:rsidRPr="00805893">
        <w:rPr>
          <w:rFonts w:ascii="Verdana" w:hAnsi="Verdana" w:cs="Arial"/>
          <w:sz w:val="16"/>
          <w:szCs w:val="16"/>
          <w:lang w:val="es-ES"/>
        </w:rPr>
        <w:t xml:space="preserve"> (1) y la obligación de ciertos proponentes de inscribirse en el </w:t>
      </w:r>
      <w:r w:rsidRPr="00805893">
        <w:rPr>
          <w:rFonts w:ascii="Verdana" w:hAnsi="Verdana" w:cs="Arial"/>
          <w:i/>
          <w:iCs/>
          <w:sz w:val="16"/>
          <w:szCs w:val="16"/>
          <w:lang w:val="es-ES"/>
        </w:rPr>
        <w:t>registro único</w:t>
      </w:r>
      <w:r w:rsidRPr="00805893">
        <w:rPr>
          <w:rFonts w:ascii="Verdana" w:hAnsi="Verdana" w:cs="Arial"/>
          <w:sz w:val="16"/>
          <w:szCs w:val="16"/>
          <w:lang w:val="es-ES"/>
        </w:rPr>
        <w:t xml:space="preserve"> (2)” (BENAVIDES, José Luis. El contrato estatal. Entre el Derecho público y el Derecho privado. 2ª ed. Bogotá: Universidad Externado de Colombia, 2004. p. 278). </w:t>
      </w:r>
    </w:p>
  </w:footnote>
  <w:footnote w:id="11">
    <w:p w14:paraId="57CFA0AD" w14:textId="77777777" w:rsidR="002426E8" w:rsidRPr="00805893" w:rsidRDefault="002426E8" w:rsidP="002426E8">
      <w:pPr>
        <w:spacing w:after="0" w:line="240" w:lineRule="auto"/>
        <w:ind w:firstLine="709"/>
        <w:jc w:val="both"/>
        <w:rPr>
          <w:rFonts w:ascii="Verdana" w:hAnsi="Verdana" w:cs="Arial"/>
          <w:sz w:val="16"/>
          <w:szCs w:val="16"/>
          <w:lang w:val="es-ES"/>
        </w:rPr>
      </w:pPr>
      <w:r w:rsidRPr="00805893">
        <w:rPr>
          <w:rStyle w:val="Refdenotaalpie"/>
          <w:rFonts w:ascii="Verdana" w:hAnsi="Verdana" w:cs="Arial"/>
          <w:sz w:val="16"/>
          <w:szCs w:val="16"/>
        </w:rPr>
        <w:footnoteRef/>
      </w:r>
      <w:r w:rsidRPr="00805893">
        <w:rPr>
          <w:rFonts w:ascii="Verdana" w:hAnsi="Verdana" w:cs="Arial"/>
          <w:sz w:val="16"/>
          <w:szCs w:val="16"/>
        </w:rPr>
        <w:t xml:space="preserve"> </w:t>
      </w:r>
      <w:r w:rsidRPr="00805893">
        <w:rPr>
          <w:rFonts w:ascii="Verdana" w:hAnsi="Verdana" w:cs="Arial"/>
          <w:sz w:val="16"/>
          <w:szCs w:val="16"/>
          <w:lang w:val="es-ES"/>
        </w:rPr>
        <w:t>Son inhabilidades que responden a esta circunstancia, entre otras, las siguientes: “Quienes participaron en las licitaciones o celebraron los contratos de que trata el literal anterior estando inhabilitados” (art. 8, num. 1º, lit. b, Ley 80/93); “Quienes dieron lugar a la declaratoria de caducidad” (art. 8, num. 1º, lit. c), Ley 80/93); “Quienes en sentencia judicial hayan sido condenados a la pena accesoria de interdicción de derechos y funciones públicas y quienes hayan sido sancionados disciplinariamente con destitución” (art. 8, num. 1º, lit. d), Ley 80/93); “Quienes sin justa causa se abstengan de suscribir el contrato estatal adjudicado” (art. 8, num. 1º, lit. e), Ley 80/93); “i) Los socios de sociedades de personas a las cuales se haya declarado la caducidad, así como las sociedades de personas de las que aquellos formen parte con posterioridad a dicha declaratoria” (art. 8, num. 1º, lit. i), Ley 80/93); “Las personas naturales que hayan sido declaradas responsables judicialmente por la comisión de delitos contra la Administración Pública o de cualquiera de los delitos o faltas contemplados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(art. 8, num. 1º, lit. j), Ley 80/93); “El interventor que incumpla el deber de entregar información a la entidad contratante relacionada con el incumplimiento del contrato, con hechos o circunstancias que puedan constituir actos de corrupción tipificados como conductas punibles, o que puedan poner o pongan en riesgo el cumplimiento del contrato” (art. 8, num. 1º, lit. k), Ley 80/93); “Haber sido objeto de imposición de cinco (5) o más multas durante la ejecución de uno o varios contratos, con una o varias entidades estatales, durante los últimos tres (3) años; […] Haber sido objeto de declaratorias de incumplimiento contractual en por lo menos dos (2) contratos, con una o varias entidades estatales, durante los últimos tres (3) años; […] Haber sido objeto de imposición de dos (2) multas y un (1) incumplimiento durante una misma vigencia fiscal, con una o varias entidades estatales” (art. 90, lit. a), b) y c), Ley 1474/11, modificado por el art. 43, Ley 1955/19.</w:t>
      </w:r>
    </w:p>
  </w:footnote>
  <w:footnote w:id="12">
    <w:p w14:paraId="5353E137" w14:textId="77777777" w:rsidR="002426E8" w:rsidRPr="00805893" w:rsidRDefault="002426E8" w:rsidP="002426E8">
      <w:pPr>
        <w:pStyle w:val="Textonotapie"/>
        <w:ind w:firstLine="709"/>
        <w:jc w:val="both"/>
        <w:rPr>
          <w:rFonts w:ascii="Verdana" w:hAnsi="Verdana" w:cs="Arial"/>
          <w:sz w:val="16"/>
          <w:szCs w:val="16"/>
          <w:lang w:val="es-ES"/>
        </w:rPr>
      </w:pPr>
      <w:r w:rsidRPr="00805893">
        <w:rPr>
          <w:rStyle w:val="Refdenotaalpie"/>
          <w:rFonts w:ascii="Verdana" w:hAnsi="Verdana" w:cs="Arial"/>
          <w:sz w:val="16"/>
          <w:szCs w:val="16"/>
        </w:rPr>
        <w:footnoteRef/>
      </w:r>
      <w:r w:rsidRPr="00805893">
        <w:rPr>
          <w:rFonts w:ascii="Verdana" w:hAnsi="Verdana" w:cs="Arial"/>
          <w:sz w:val="16"/>
          <w:szCs w:val="16"/>
        </w:rPr>
        <w:t xml:space="preserve"> </w:t>
      </w:r>
      <w:r w:rsidRPr="00805893">
        <w:rPr>
          <w:rFonts w:ascii="Verdana" w:hAnsi="Verdana" w:cs="Arial"/>
          <w:sz w:val="16"/>
          <w:szCs w:val="16"/>
          <w:lang w:val="es-ES"/>
        </w:rPr>
        <w:t>Por ejemplo, a título enunciativo, las siguientes: “Quienes sean cónyuges o compañeros permanentes y quienes se encuentren dentro del segundo grado de consanguinidad o segundo de afinidad con cualquier otra persona que formalmente haya presentado propuesta para una misma licitación” (art. 8, num. 1º, lit. g), Ley 80/93);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(art. 8, num. 1º, lit. h), Ley 80/93);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(art. 8, num. 2º, lit. b), Ley 80/93); “El cónyuge, compañero o compañera permanente del servidor público en los niveles directivo, asesor, ejecutivo, o de un miembro de la junta o consejo directivo, o de quien ejerza funciones de control interno o de control fiscal” (art. 8, num. 2º, lit. c), Ley 80/93);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(art. 8, num. 2º, lit. d), Ley 80/93).</w:t>
      </w:r>
    </w:p>
  </w:footnote>
  <w:footnote w:id="13">
    <w:p w14:paraId="53F3E90D" w14:textId="77777777" w:rsidR="002426E8" w:rsidRPr="00805893" w:rsidRDefault="002426E8" w:rsidP="002426E8">
      <w:pPr>
        <w:pStyle w:val="Textonotapie"/>
        <w:ind w:firstLine="709"/>
        <w:jc w:val="both"/>
        <w:rPr>
          <w:rFonts w:ascii="Verdana" w:hAnsi="Verdana" w:cs="Arial"/>
          <w:sz w:val="16"/>
          <w:szCs w:val="16"/>
          <w:lang w:val="es-ES"/>
        </w:rPr>
      </w:pPr>
      <w:r w:rsidRPr="00805893">
        <w:rPr>
          <w:rStyle w:val="Refdenotaalpie"/>
          <w:rFonts w:ascii="Verdana" w:hAnsi="Verdana" w:cs="Arial"/>
          <w:sz w:val="16"/>
          <w:szCs w:val="16"/>
        </w:rPr>
        <w:footnoteRef/>
      </w:r>
      <w:r w:rsidRPr="00805893">
        <w:rPr>
          <w:rFonts w:ascii="Verdana" w:hAnsi="Verdana" w:cs="Arial"/>
          <w:sz w:val="16"/>
          <w:szCs w:val="16"/>
        </w:rPr>
        <w:t xml:space="preserve"> </w:t>
      </w:r>
      <w:r w:rsidRPr="00805893">
        <w:rPr>
          <w:rFonts w:ascii="Verdana" w:hAnsi="Verdana" w:cs="Arial"/>
          <w:sz w:val="16"/>
          <w:szCs w:val="16"/>
          <w:lang w:val="es-ES"/>
        </w:rPr>
        <w:t>Verbigracia, entre otras, las que se indican a continuación: “Las personas naturales o jurídicas que hayan financiado campañas políticas a la Presidencia de la República, a las gobernaciones, a las alcaldías o al Congreso de la República, con aportes superiores al dos por ciento (2.0%) de las sumas máximas a invertir por los candidatos en las campañas electorales en cada circunscripción electoral, quienes no podrán celebrar contratos con las entidades públicas, incluso descentralizadas, del respectivo nivel administrativo para el cual fue elegido el candidato […]” (art. 8, num. 1º, lit. k), Ley 80/93, modificado por el art. 33, Ley 1778/16); “Quienes fueron miembros de la junta o consejo directivo o servidores públicos de la entidad contratante” (art. 8, num. 2º, lit. a), Ley 80/93);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(art. 8, num. 2º, lit. f), Ley 80/93, adicionado por el art. 4º, Ley 1474/2011).</w:t>
      </w:r>
    </w:p>
  </w:footnote>
  <w:footnote w:id="14">
    <w:p w14:paraId="4F406B0B" w14:textId="77777777" w:rsidR="002426E8" w:rsidRPr="00805893" w:rsidRDefault="002426E8" w:rsidP="002426E8">
      <w:pPr>
        <w:spacing w:after="0" w:line="240" w:lineRule="auto"/>
        <w:ind w:firstLine="709"/>
        <w:jc w:val="both"/>
        <w:rPr>
          <w:rFonts w:ascii="Verdana" w:hAnsi="Verdana" w:cs="Arial"/>
          <w:sz w:val="16"/>
          <w:szCs w:val="16"/>
          <w:lang w:val="es-ES"/>
        </w:rPr>
      </w:pPr>
      <w:r w:rsidRPr="00805893">
        <w:rPr>
          <w:rStyle w:val="Refdenotaalpie"/>
          <w:rFonts w:ascii="Verdana" w:hAnsi="Verdana" w:cs="Arial"/>
          <w:sz w:val="16"/>
          <w:szCs w:val="16"/>
        </w:rPr>
        <w:footnoteRef/>
      </w:r>
      <w:r w:rsidRPr="00805893">
        <w:rPr>
          <w:rFonts w:ascii="Verdana" w:hAnsi="Verdana" w:cs="Arial"/>
          <w:sz w:val="16"/>
          <w:szCs w:val="16"/>
        </w:rPr>
        <w:t xml:space="preserve"> </w:t>
      </w:r>
      <w:r w:rsidRPr="00805893">
        <w:rPr>
          <w:rFonts w:ascii="Verdana" w:hAnsi="Verdana" w:cs="Arial"/>
          <w:sz w:val="16"/>
          <w:szCs w:val="16"/>
          <w:lang w:val="es-ES"/>
        </w:rPr>
        <w:t xml:space="preserve">Como las señaladas a continuación: “Los servidores públicos” (art. 8, num. 1º, lit. f), Ley 80/93);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(art. 8, num. 2º, lit. d), Ley 80/93); “Los miembros de las juntas o consejos directivos. Esta incompatibilidad sólo se predica respecto de la entidad a la cual prestan sus servicios y de las del sector administrativo al que la misma esté adscrita o vinculada” (art. 8, num. 2º, lit. e), Ley 80/93); “Quien haya celebrado un contrato estatal de obra pública, de concesión, suministro de medicamentos y de alimentos o su cónyuge, compañero o compañera permanente, pariente hasta el segundo grado de consaguinidad, segundo de afinidad y/o primero civil o sus socios en sociedades distintas de las anónimas abiertas, con las entidades a que se refiere el artículo 2o de la Ley 80 de 1993, durante el plazo de ejecución y hasta la liquidación del mismo, no podrán celebrar contratos de interventoría con la misma entidad” (art. 5, Ley 1474/11). </w:t>
      </w:r>
    </w:p>
  </w:footnote>
  <w:footnote w:id="15">
    <w:p w14:paraId="75575E3C" w14:textId="77777777" w:rsidR="002426E8" w:rsidRPr="00805893" w:rsidRDefault="002426E8" w:rsidP="002426E8">
      <w:pPr>
        <w:pStyle w:val="Textonotapie"/>
        <w:ind w:firstLine="709"/>
        <w:jc w:val="both"/>
        <w:rPr>
          <w:rFonts w:ascii="Verdana" w:hAnsi="Verdana" w:cs="Arial"/>
          <w:sz w:val="16"/>
          <w:szCs w:val="16"/>
        </w:rPr>
      </w:pPr>
      <w:r w:rsidRPr="00805893">
        <w:rPr>
          <w:rStyle w:val="Refdenotaalpie"/>
          <w:rFonts w:ascii="Verdana" w:hAnsi="Verdana" w:cs="Arial"/>
          <w:sz w:val="16"/>
          <w:szCs w:val="16"/>
        </w:rPr>
        <w:footnoteRef/>
      </w:r>
      <w:r w:rsidRPr="00805893">
        <w:rPr>
          <w:rFonts w:ascii="Verdana" w:hAnsi="Verdana" w:cs="Arial"/>
          <w:sz w:val="16"/>
          <w:szCs w:val="16"/>
        </w:rPr>
        <w:t xml:space="preserve"> En esta línea Dávila Vinueza Expresa: “El legislador para calificar estas prohibiciones emplea dos vocablos: Inhabilidades o incompatibilidades, los cuales en un examen desprevenido podrían sugerir ideas diferentes y en consecuencia, efectos también distintos. Sin embargo, se trata de conceptos que no producen distinciones más allá de las puramente semánticas. En nada afecta el calificar una causal con denominación diferente a la empleada en el texto legal, cuando mucho se criticará la falta de precisión. Ello es así por cuanto los efectos jurídicos que se general para una y otra son exactamente los mismos. Incluso se podría afirmar que ante la semejanza de las figuras, conviene emplear un único vocablo, con lo cual serían innecesarias los intentos y las elucubraciones y explicaciones, algunas novedosas que podrían ensayarse”. (DÁVILA VINUEZA, Luis Guillermo. Régimen jurídico de la contratación estatal. 3ª ed. Bogotá: Legis, 2016. p. 148).</w:t>
      </w:r>
    </w:p>
  </w:footnote>
  <w:footnote w:id="16">
    <w:p w14:paraId="33C70A73" w14:textId="77777777" w:rsidR="002426E8" w:rsidRPr="00805893" w:rsidRDefault="002426E8" w:rsidP="002426E8">
      <w:pPr>
        <w:pStyle w:val="Textonotapie"/>
        <w:ind w:firstLine="709"/>
        <w:jc w:val="both"/>
        <w:rPr>
          <w:rFonts w:ascii="Verdana" w:hAnsi="Verdana" w:cs="Arial"/>
          <w:sz w:val="16"/>
          <w:szCs w:val="16"/>
          <w:lang w:val="es-ES"/>
        </w:rPr>
      </w:pPr>
      <w:r w:rsidRPr="00805893">
        <w:rPr>
          <w:rStyle w:val="Refdenotaalpie"/>
          <w:rFonts w:ascii="Verdana" w:hAnsi="Verdana" w:cs="Arial"/>
          <w:sz w:val="16"/>
          <w:szCs w:val="16"/>
        </w:rPr>
        <w:footnoteRef/>
      </w:r>
      <w:r w:rsidRPr="00805893">
        <w:rPr>
          <w:rFonts w:ascii="Verdana" w:hAnsi="Verdana" w:cs="Arial"/>
          <w:sz w:val="16"/>
          <w:szCs w:val="16"/>
        </w:rPr>
        <w:t xml:space="preserve"> </w:t>
      </w:r>
      <w:r w:rsidRPr="00805893">
        <w:rPr>
          <w:rFonts w:ascii="Verdana" w:hAnsi="Verdana" w:cs="Arial"/>
          <w:sz w:val="16"/>
          <w:szCs w:val="16"/>
          <w:lang w:val="es-ES"/>
        </w:rPr>
        <w:t>BARRETO ROZO, Antonio Alejandro. Inhabilidades de la contratación estatal, efectos y neopunitivismo en el Estatuto Anticorrupción. En: ALVIAR GARCÍA, Helena (Coordinadora). Nuevas tendencias del Derecho administrativo. Bogotá: Universidad de los Andes; Temis, 2016. pp. 63-99.</w:t>
      </w:r>
    </w:p>
  </w:footnote>
  <w:footnote w:id="17">
    <w:p w14:paraId="75E8B1C5" w14:textId="77777777" w:rsidR="002426E8" w:rsidRPr="00805893" w:rsidRDefault="002426E8" w:rsidP="002426E8">
      <w:pPr>
        <w:pStyle w:val="Textonotapie"/>
        <w:ind w:firstLine="709"/>
        <w:jc w:val="both"/>
        <w:rPr>
          <w:rFonts w:ascii="Verdana" w:hAnsi="Verdana" w:cs="Arial"/>
          <w:sz w:val="16"/>
          <w:szCs w:val="16"/>
          <w:lang w:val="es-ES"/>
        </w:rPr>
      </w:pPr>
      <w:r w:rsidRPr="00805893">
        <w:rPr>
          <w:rStyle w:val="Refdenotaalpie"/>
          <w:rFonts w:ascii="Verdana" w:hAnsi="Verdana" w:cs="Arial"/>
          <w:sz w:val="16"/>
          <w:szCs w:val="16"/>
        </w:rPr>
        <w:footnoteRef/>
      </w:r>
      <w:r w:rsidRPr="00805893">
        <w:rPr>
          <w:rFonts w:ascii="Verdana" w:hAnsi="Verdana" w:cs="Arial"/>
          <w:sz w:val="16"/>
          <w:szCs w:val="16"/>
        </w:rPr>
        <w:t xml:space="preserve"> </w:t>
      </w:r>
      <w:r w:rsidRPr="00805893">
        <w:rPr>
          <w:rFonts w:ascii="Verdana" w:hAnsi="Verdana" w:cs="Arial"/>
          <w:sz w:val="16"/>
          <w:szCs w:val="16"/>
          <w:lang w:val="es-ES"/>
        </w:rPr>
        <w:t>Ibídem. p. 69.</w:t>
      </w:r>
    </w:p>
  </w:footnote>
  <w:footnote w:id="18">
    <w:p w14:paraId="7AF8C428" w14:textId="77777777" w:rsidR="002426E8" w:rsidRPr="00805893" w:rsidRDefault="002426E8" w:rsidP="002426E8">
      <w:pPr>
        <w:pStyle w:val="Textonotapie"/>
        <w:ind w:firstLine="709"/>
        <w:jc w:val="both"/>
        <w:rPr>
          <w:rFonts w:ascii="Verdana" w:hAnsi="Verdana" w:cs="Arial"/>
          <w:sz w:val="16"/>
          <w:szCs w:val="16"/>
          <w:lang w:val="es-ES"/>
        </w:rPr>
      </w:pPr>
      <w:r w:rsidRPr="00805893">
        <w:rPr>
          <w:rStyle w:val="Refdenotaalpie"/>
          <w:rFonts w:ascii="Verdana" w:hAnsi="Verdana" w:cs="Arial"/>
          <w:sz w:val="16"/>
          <w:szCs w:val="16"/>
        </w:rPr>
        <w:footnoteRef/>
      </w:r>
      <w:r w:rsidRPr="00805893">
        <w:rPr>
          <w:rFonts w:ascii="Verdana" w:hAnsi="Verdana" w:cs="Arial"/>
          <w:sz w:val="16"/>
          <w:szCs w:val="16"/>
        </w:rPr>
        <w:t xml:space="preserve"> </w:t>
      </w:r>
      <w:r w:rsidRPr="00805893">
        <w:rPr>
          <w:rFonts w:ascii="Verdana" w:hAnsi="Verdana" w:cs="Arial"/>
          <w:sz w:val="16"/>
          <w:szCs w:val="16"/>
          <w:lang w:val="es-ES"/>
        </w:rPr>
        <w:t xml:space="preserve">CORTE CONSTITUCIONAL. Sentencia T-1039 de 2006. M.P. Humberto Sierra Porto. La Corte Constitucional ha mantenido este criterio en las sentencias: C-903 de 2008. M.P. Jaime Araujo Rentería; C-101 de 2018. M.P. Gloria Stella Ortiz Delgado; entre otras. </w:t>
      </w:r>
    </w:p>
  </w:footnote>
  <w:footnote w:id="19">
    <w:p w14:paraId="348A1A75" w14:textId="77777777" w:rsidR="002426E8" w:rsidRPr="00805893" w:rsidRDefault="002426E8" w:rsidP="002426E8">
      <w:pPr>
        <w:pStyle w:val="Textonotapie"/>
        <w:ind w:firstLine="709"/>
        <w:jc w:val="both"/>
        <w:rPr>
          <w:rFonts w:ascii="Verdana" w:hAnsi="Verdana" w:cs="Arial"/>
          <w:sz w:val="16"/>
          <w:szCs w:val="16"/>
          <w:lang w:val="es-ES"/>
        </w:rPr>
      </w:pPr>
      <w:r w:rsidRPr="00805893">
        <w:rPr>
          <w:rStyle w:val="Refdenotaalpie"/>
          <w:rFonts w:ascii="Verdana" w:hAnsi="Verdana" w:cs="Arial"/>
          <w:sz w:val="16"/>
          <w:szCs w:val="16"/>
        </w:rPr>
        <w:footnoteRef/>
      </w:r>
      <w:r w:rsidRPr="00805893">
        <w:rPr>
          <w:rFonts w:ascii="Verdana" w:hAnsi="Verdana" w:cs="Arial"/>
          <w:sz w:val="16"/>
          <w:szCs w:val="16"/>
        </w:rPr>
        <w:t xml:space="preserve"> </w:t>
      </w:r>
      <w:r w:rsidRPr="00805893">
        <w:rPr>
          <w:rFonts w:ascii="Verdana" w:hAnsi="Verdana" w:cs="Arial"/>
          <w:sz w:val="16"/>
          <w:szCs w:val="16"/>
          <w:lang w:val="es-ES"/>
        </w:rPr>
        <w:t>CONSEJO DE ESTADO. Sala de Consulta y Servicio Civil. Concepto del 30 de abril de 2015. Exp. 2251. C.P. Álvaro Namén Vargas.</w:t>
      </w:r>
    </w:p>
  </w:footnote>
  <w:footnote w:id="20">
    <w:p w14:paraId="3125D1F2" w14:textId="77777777" w:rsidR="002426E8" w:rsidRPr="00805893" w:rsidRDefault="002426E8" w:rsidP="002426E8">
      <w:pPr>
        <w:pStyle w:val="Textonotapie"/>
        <w:ind w:firstLine="709"/>
        <w:jc w:val="both"/>
        <w:rPr>
          <w:rFonts w:ascii="Verdana" w:hAnsi="Verdana" w:cs="Arial"/>
          <w:sz w:val="16"/>
          <w:szCs w:val="16"/>
        </w:rPr>
      </w:pPr>
      <w:r w:rsidRPr="00805893">
        <w:rPr>
          <w:rStyle w:val="Refdenotaalpie"/>
          <w:rFonts w:ascii="Verdana" w:hAnsi="Verdana" w:cs="Arial"/>
          <w:sz w:val="16"/>
          <w:szCs w:val="16"/>
        </w:rPr>
        <w:footnoteRef/>
      </w:r>
      <w:r w:rsidRPr="00805893">
        <w:rPr>
          <w:rFonts w:ascii="Verdana" w:hAnsi="Verdana" w:cs="Arial"/>
          <w:sz w:val="16"/>
          <w:szCs w:val="16"/>
        </w:rPr>
        <w:t xml:space="preserve"> CONSEJO DE ESTADO. Sección Tercera. Subsección A. Sentencia del 24 de junio de 2015. Exp. 40.635. C.P. Hernán Andrade Rincón (E).</w:t>
      </w:r>
    </w:p>
  </w:footnote>
  <w:footnote w:id="21">
    <w:p w14:paraId="12F409C8" w14:textId="77777777" w:rsidR="002426E8" w:rsidRPr="00805893" w:rsidRDefault="002426E8" w:rsidP="002426E8">
      <w:pPr>
        <w:pStyle w:val="Textonotapie"/>
        <w:ind w:firstLine="709"/>
        <w:jc w:val="both"/>
        <w:rPr>
          <w:rFonts w:ascii="Verdana" w:hAnsi="Verdana" w:cs="Arial"/>
          <w:sz w:val="16"/>
          <w:szCs w:val="16"/>
          <w:lang w:val="es-ES_tradnl"/>
        </w:rPr>
      </w:pPr>
      <w:r w:rsidRPr="00805893">
        <w:rPr>
          <w:rStyle w:val="Refdenotaalpie"/>
          <w:rFonts w:ascii="Verdana" w:hAnsi="Verdana" w:cs="Arial"/>
          <w:sz w:val="16"/>
          <w:szCs w:val="16"/>
        </w:rPr>
        <w:footnoteRef/>
      </w:r>
      <w:r w:rsidRPr="00805893">
        <w:rPr>
          <w:rFonts w:ascii="Verdana" w:hAnsi="Verdana" w:cs="Arial"/>
          <w:sz w:val="16"/>
          <w:szCs w:val="16"/>
        </w:rPr>
        <w:t xml:space="preserve"> CONSEJO DE ESTADO. Sección Tercera. Subsección C. Sentencia del 22 de mayo de 2013. Rad. 24.057. C.P. Olga Mélida Valle De De La Hoz. </w:t>
      </w:r>
    </w:p>
  </w:footnote>
  <w:footnote w:id="22">
    <w:p w14:paraId="37280178" w14:textId="77777777" w:rsidR="002426E8" w:rsidRPr="008A1F41" w:rsidRDefault="002426E8" w:rsidP="002426E8">
      <w:pPr>
        <w:pStyle w:val="Textonotapie"/>
        <w:ind w:firstLine="709"/>
        <w:jc w:val="both"/>
        <w:rPr>
          <w:rFonts w:ascii="Verdana" w:hAnsi="Verdana" w:cs="Arial"/>
          <w:sz w:val="16"/>
          <w:szCs w:val="16"/>
          <w:lang w:val="es-CO"/>
        </w:rPr>
      </w:pPr>
      <w:r w:rsidRPr="00805893">
        <w:rPr>
          <w:rStyle w:val="Refdenotaalpie"/>
          <w:rFonts w:ascii="Verdana" w:hAnsi="Verdana" w:cs="Arial"/>
          <w:sz w:val="16"/>
          <w:szCs w:val="16"/>
        </w:rPr>
        <w:footnoteRef/>
      </w:r>
      <w:r w:rsidRPr="008A1F41">
        <w:rPr>
          <w:rFonts w:ascii="Verdana" w:hAnsi="Verdana" w:cs="Arial"/>
          <w:sz w:val="16"/>
          <w:szCs w:val="16"/>
          <w:lang w:val="pt-BR"/>
        </w:rPr>
        <w:t xml:space="preserve"> </w:t>
      </w:r>
      <w:r w:rsidRPr="00805893">
        <w:rPr>
          <w:rFonts w:ascii="Verdana" w:hAnsi="Verdana" w:cs="Arial"/>
          <w:sz w:val="16"/>
          <w:szCs w:val="16"/>
          <w:lang w:val="pt-BR"/>
        </w:rPr>
        <w:t xml:space="preserve">Corte Constitucional. Sentencia C-415 de 1994. </w:t>
      </w:r>
      <w:r w:rsidRPr="008A1F41">
        <w:rPr>
          <w:rFonts w:ascii="Verdana" w:hAnsi="Verdana" w:cs="Arial"/>
          <w:sz w:val="16"/>
          <w:szCs w:val="16"/>
          <w:lang w:val="es-CO"/>
        </w:rPr>
        <w:t>M.P. Eduardo Cifuentes Muñoz.</w:t>
      </w:r>
    </w:p>
  </w:footnote>
  <w:footnote w:id="23">
    <w:p w14:paraId="14CD1AD5" w14:textId="77777777" w:rsidR="002426E8" w:rsidRPr="00805893" w:rsidRDefault="002426E8" w:rsidP="002426E8">
      <w:pPr>
        <w:pStyle w:val="Textonotapie"/>
        <w:ind w:firstLine="708"/>
        <w:jc w:val="both"/>
        <w:rPr>
          <w:rFonts w:ascii="Verdana" w:hAnsi="Verdana"/>
          <w:sz w:val="16"/>
          <w:szCs w:val="16"/>
        </w:rPr>
      </w:pPr>
      <w:r w:rsidRPr="00805893">
        <w:rPr>
          <w:rStyle w:val="Refdenotaalpie"/>
          <w:rFonts w:ascii="Verdana" w:hAnsi="Verdana"/>
          <w:sz w:val="16"/>
          <w:szCs w:val="16"/>
        </w:rPr>
        <w:footnoteRef/>
      </w:r>
      <w:r w:rsidRPr="00805893">
        <w:rPr>
          <w:rFonts w:ascii="Verdana" w:hAnsi="Verdana"/>
          <w:sz w:val="16"/>
          <w:szCs w:val="16"/>
        </w:rPr>
        <w:t xml:space="preserve"> El artículo 32 de la Ley 136 de 1994, modificado por el artículo 18 de la Ley 1551 de 2012, dispone que “Además de las funciones que se le señalan en la Constitución y la ley, son atribuciones de los concejos las siguientes.</w:t>
      </w:r>
    </w:p>
    <w:p w14:paraId="1B8B26BC" w14:textId="77777777" w:rsidR="002426E8" w:rsidRPr="00805893" w:rsidRDefault="002426E8" w:rsidP="002426E8">
      <w:pPr>
        <w:pStyle w:val="Textonotapie"/>
        <w:ind w:firstLine="708"/>
        <w:jc w:val="both"/>
        <w:rPr>
          <w:rFonts w:ascii="Verdana" w:hAnsi="Verdana"/>
          <w:sz w:val="16"/>
          <w:szCs w:val="16"/>
        </w:rPr>
      </w:pPr>
      <w:r w:rsidRPr="00805893">
        <w:rPr>
          <w:rFonts w:ascii="Verdana" w:hAnsi="Verdana"/>
          <w:sz w:val="16"/>
          <w:szCs w:val="16"/>
        </w:rPr>
        <w:t>[…]</w:t>
      </w:r>
    </w:p>
    <w:p w14:paraId="4459CD78" w14:textId="77777777" w:rsidR="002426E8" w:rsidRPr="00805893" w:rsidRDefault="002426E8" w:rsidP="002426E8">
      <w:pPr>
        <w:pStyle w:val="Textonotapie"/>
        <w:ind w:firstLine="708"/>
        <w:jc w:val="both"/>
        <w:rPr>
          <w:rFonts w:ascii="Verdana" w:hAnsi="Verdana"/>
          <w:sz w:val="16"/>
          <w:szCs w:val="16"/>
        </w:rPr>
      </w:pPr>
      <w:r w:rsidRPr="00805893">
        <w:rPr>
          <w:rFonts w:ascii="Verdana" w:hAnsi="Verdana"/>
          <w:sz w:val="16"/>
          <w:szCs w:val="16"/>
        </w:rPr>
        <w:t>3. Reglamentar la autorización al alcalde para contratar, señalando los casos en que requiere autorización previa del Concejo.</w:t>
      </w:r>
    </w:p>
    <w:p w14:paraId="442C3FE6" w14:textId="77777777" w:rsidR="002426E8" w:rsidRPr="00805893" w:rsidRDefault="002426E8" w:rsidP="002426E8">
      <w:pPr>
        <w:pStyle w:val="Textonotapie"/>
        <w:ind w:firstLine="708"/>
        <w:jc w:val="both"/>
        <w:rPr>
          <w:rFonts w:ascii="Verdana" w:hAnsi="Verdana"/>
          <w:sz w:val="16"/>
          <w:szCs w:val="16"/>
        </w:rPr>
      </w:pPr>
      <w:r w:rsidRPr="00805893">
        <w:rPr>
          <w:rFonts w:ascii="Verdana" w:hAnsi="Verdana"/>
          <w:sz w:val="16"/>
          <w:szCs w:val="16"/>
        </w:rPr>
        <w:t>[…]</w:t>
      </w:r>
    </w:p>
    <w:p w14:paraId="709C2315" w14:textId="77777777" w:rsidR="002426E8" w:rsidRPr="00805893" w:rsidRDefault="002426E8" w:rsidP="002426E8">
      <w:pPr>
        <w:pStyle w:val="Textonotapie"/>
        <w:ind w:firstLine="708"/>
        <w:jc w:val="both"/>
        <w:rPr>
          <w:rFonts w:ascii="Verdana" w:hAnsi="Verdana"/>
          <w:sz w:val="16"/>
          <w:szCs w:val="16"/>
        </w:rPr>
      </w:pPr>
      <w:r w:rsidRPr="00805893">
        <w:rPr>
          <w:rFonts w:ascii="Verdana" w:hAnsi="Verdana"/>
          <w:sz w:val="16"/>
          <w:szCs w:val="16"/>
        </w:rPr>
        <w:t>Parágrafo 4°. De conformidad con el numeral 3 del artículo 313 de la Constitución Política, el Concejo Municipal o Distrital deberá decidir sobre la autorización al alcalde para contratar en los siguientes casos:</w:t>
      </w:r>
    </w:p>
    <w:p w14:paraId="30FAD63D" w14:textId="77777777" w:rsidR="002426E8" w:rsidRPr="00805893" w:rsidRDefault="002426E8" w:rsidP="002426E8">
      <w:pPr>
        <w:pStyle w:val="Textonotapie"/>
        <w:ind w:firstLine="708"/>
        <w:jc w:val="both"/>
        <w:rPr>
          <w:rFonts w:ascii="Verdana" w:hAnsi="Verdana"/>
          <w:sz w:val="16"/>
          <w:szCs w:val="16"/>
        </w:rPr>
      </w:pPr>
      <w:r w:rsidRPr="00805893">
        <w:rPr>
          <w:rFonts w:ascii="Verdana" w:hAnsi="Verdana"/>
          <w:sz w:val="16"/>
          <w:szCs w:val="16"/>
        </w:rPr>
        <w:t>1.</w:t>
      </w:r>
      <w:r w:rsidRPr="00805893">
        <w:rPr>
          <w:rFonts w:ascii="Verdana" w:hAnsi="Verdana"/>
          <w:sz w:val="16"/>
          <w:szCs w:val="16"/>
        </w:rPr>
        <w:tab/>
        <w:t>Contratación de empréstitos.</w:t>
      </w:r>
    </w:p>
    <w:p w14:paraId="21F9B482" w14:textId="77777777" w:rsidR="002426E8" w:rsidRPr="00805893" w:rsidRDefault="002426E8" w:rsidP="002426E8">
      <w:pPr>
        <w:pStyle w:val="Textonotapie"/>
        <w:ind w:firstLine="708"/>
        <w:jc w:val="both"/>
        <w:rPr>
          <w:rFonts w:ascii="Verdana" w:hAnsi="Verdana"/>
          <w:sz w:val="16"/>
          <w:szCs w:val="16"/>
        </w:rPr>
      </w:pPr>
      <w:r w:rsidRPr="00805893">
        <w:rPr>
          <w:rFonts w:ascii="Verdana" w:hAnsi="Verdana"/>
          <w:sz w:val="16"/>
          <w:szCs w:val="16"/>
        </w:rPr>
        <w:t>2.</w:t>
      </w:r>
      <w:r w:rsidRPr="00805893">
        <w:rPr>
          <w:rFonts w:ascii="Verdana" w:hAnsi="Verdana"/>
          <w:sz w:val="16"/>
          <w:szCs w:val="16"/>
        </w:rPr>
        <w:tab/>
        <w:t>Contratos que comprometan vigencias futuras.</w:t>
      </w:r>
    </w:p>
    <w:p w14:paraId="038EAA9C" w14:textId="77777777" w:rsidR="002426E8" w:rsidRPr="00805893" w:rsidRDefault="002426E8" w:rsidP="002426E8">
      <w:pPr>
        <w:pStyle w:val="Textonotapie"/>
        <w:ind w:firstLine="708"/>
        <w:jc w:val="both"/>
        <w:rPr>
          <w:rFonts w:ascii="Verdana" w:hAnsi="Verdana"/>
          <w:sz w:val="16"/>
          <w:szCs w:val="16"/>
        </w:rPr>
      </w:pPr>
      <w:r w:rsidRPr="00805893">
        <w:rPr>
          <w:rFonts w:ascii="Verdana" w:hAnsi="Verdana"/>
          <w:sz w:val="16"/>
          <w:szCs w:val="16"/>
        </w:rPr>
        <w:t>3.</w:t>
      </w:r>
      <w:r w:rsidRPr="00805893">
        <w:rPr>
          <w:rFonts w:ascii="Verdana" w:hAnsi="Verdana"/>
          <w:sz w:val="16"/>
          <w:szCs w:val="16"/>
        </w:rPr>
        <w:tab/>
        <w:t>Enajenación y compraventa de bienes inmuebles.</w:t>
      </w:r>
    </w:p>
    <w:p w14:paraId="1333CBD0" w14:textId="77777777" w:rsidR="002426E8" w:rsidRPr="00805893" w:rsidRDefault="002426E8" w:rsidP="002426E8">
      <w:pPr>
        <w:pStyle w:val="Textonotapie"/>
        <w:ind w:firstLine="708"/>
        <w:jc w:val="both"/>
        <w:rPr>
          <w:rFonts w:ascii="Verdana" w:hAnsi="Verdana"/>
          <w:sz w:val="16"/>
          <w:szCs w:val="16"/>
        </w:rPr>
      </w:pPr>
      <w:r w:rsidRPr="00805893">
        <w:rPr>
          <w:rFonts w:ascii="Verdana" w:hAnsi="Verdana"/>
          <w:sz w:val="16"/>
          <w:szCs w:val="16"/>
        </w:rPr>
        <w:t>4.</w:t>
      </w:r>
      <w:r w:rsidRPr="00805893">
        <w:rPr>
          <w:rFonts w:ascii="Verdana" w:hAnsi="Verdana"/>
          <w:sz w:val="16"/>
          <w:szCs w:val="16"/>
        </w:rPr>
        <w:tab/>
        <w:t>Enajenación de activos, acciones y cuotas partes.</w:t>
      </w:r>
    </w:p>
    <w:p w14:paraId="451E9353" w14:textId="77777777" w:rsidR="002426E8" w:rsidRPr="00805893" w:rsidRDefault="002426E8" w:rsidP="002426E8">
      <w:pPr>
        <w:pStyle w:val="Textonotapie"/>
        <w:ind w:firstLine="708"/>
        <w:jc w:val="both"/>
        <w:rPr>
          <w:rFonts w:ascii="Verdana" w:hAnsi="Verdana"/>
          <w:sz w:val="16"/>
          <w:szCs w:val="16"/>
        </w:rPr>
      </w:pPr>
      <w:r w:rsidRPr="00805893">
        <w:rPr>
          <w:rFonts w:ascii="Verdana" w:hAnsi="Verdana"/>
          <w:sz w:val="16"/>
          <w:szCs w:val="16"/>
        </w:rPr>
        <w:t>5.</w:t>
      </w:r>
      <w:r w:rsidRPr="00805893">
        <w:rPr>
          <w:rFonts w:ascii="Verdana" w:hAnsi="Verdana"/>
          <w:sz w:val="16"/>
          <w:szCs w:val="16"/>
        </w:rPr>
        <w:tab/>
        <w:t>Concesiones.</w:t>
      </w:r>
    </w:p>
    <w:p w14:paraId="4106A9CC" w14:textId="77777777" w:rsidR="002426E8" w:rsidRPr="00805893" w:rsidRDefault="002426E8" w:rsidP="002426E8">
      <w:pPr>
        <w:pStyle w:val="Textonotapie"/>
        <w:ind w:firstLine="708"/>
        <w:jc w:val="both"/>
        <w:rPr>
          <w:rFonts w:ascii="Verdana" w:hAnsi="Verdana"/>
          <w:sz w:val="16"/>
          <w:szCs w:val="16"/>
          <w:lang w:val="es-CO"/>
        </w:rPr>
      </w:pPr>
      <w:r w:rsidRPr="00805893">
        <w:rPr>
          <w:rFonts w:ascii="Verdana" w:hAnsi="Verdana"/>
          <w:sz w:val="16"/>
          <w:szCs w:val="16"/>
        </w:rPr>
        <w:t>6.</w:t>
      </w:r>
      <w:r w:rsidRPr="00805893">
        <w:rPr>
          <w:rFonts w:ascii="Verdana" w:hAnsi="Verdana"/>
          <w:sz w:val="16"/>
          <w:szCs w:val="16"/>
        </w:rPr>
        <w:tab/>
        <w:t>Las demás que determine la ley”.</w:t>
      </w:r>
    </w:p>
  </w:footnote>
  <w:footnote w:id="24">
    <w:p w14:paraId="37ACDE5D" w14:textId="77777777" w:rsidR="002426E8" w:rsidRPr="00805893" w:rsidRDefault="002426E8" w:rsidP="002426E8">
      <w:pPr>
        <w:pStyle w:val="Textonotapie"/>
        <w:ind w:firstLine="708"/>
        <w:jc w:val="both"/>
        <w:rPr>
          <w:rFonts w:ascii="Verdana" w:hAnsi="Verdana"/>
          <w:sz w:val="16"/>
          <w:szCs w:val="16"/>
          <w:lang w:val="es-CO"/>
        </w:rPr>
      </w:pPr>
      <w:r w:rsidRPr="00805893">
        <w:rPr>
          <w:rStyle w:val="Refdenotaalpie"/>
          <w:rFonts w:ascii="Verdana" w:hAnsi="Verdana"/>
          <w:sz w:val="16"/>
          <w:szCs w:val="16"/>
        </w:rPr>
        <w:footnoteRef/>
      </w:r>
      <w:r w:rsidRPr="00805893">
        <w:rPr>
          <w:rFonts w:ascii="Verdana" w:hAnsi="Verdana"/>
          <w:sz w:val="16"/>
          <w:szCs w:val="16"/>
        </w:rPr>
        <w:t xml:space="preserve"> Como explica la doctrina, en términos generales, el ordenamiento “[…] le atribuye la competencia en torno al procedimiento contractual al jefe o representante de la entidad, que es el órgano al que se le faculta para ordenar la apertura de licitaciones o concursos, dirigir el procedimiento de selección, realizar la respectiva adjudicación, celebrar contratos, expedir los actos administrativos contractuales en ejercicio de las potestades públicas exorbitantes, y en fin para liquidar la relación jurídica. De ahí, que la validez del otorgamiento de estos actos en general, y de la celebración de los contratos en particular, depende que hayan sido expedidos por el órgano al que la ley le confía la representación legal, que siempre es el jefe de la entidad pública” (Cfr. </w:t>
      </w:r>
      <w:r w:rsidRPr="00805893">
        <w:rPr>
          <w:rFonts w:ascii="Verdana" w:hAnsi="Verdana" w:cs="Arial"/>
          <w:color w:val="000000" w:themeColor="text1"/>
          <w:sz w:val="16"/>
          <w:szCs w:val="16"/>
        </w:rPr>
        <w:t xml:space="preserve">ESCOBAR GIL, Rodrigo. Teoría general de los contratos de la Administración pública. Bogotá: Legis, 2000. </w:t>
      </w:r>
      <w:r w:rsidRPr="00805893">
        <w:rPr>
          <w:rFonts w:ascii="Verdana" w:hAnsi="Verdana"/>
          <w:sz w:val="16"/>
          <w:szCs w:val="16"/>
        </w:rPr>
        <w:t>p. 98).</w:t>
      </w:r>
    </w:p>
  </w:footnote>
  <w:footnote w:id="25">
    <w:p w14:paraId="7DDB54CC" w14:textId="77777777" w:rsidR="002426E8" w:rsidRPr="00805893" w:rsidRDefault="002426E8" w:rsidP="002426E8">
      <w:pPr>
        <w:pStyle w:val="Textonotapie"/>
        <w:ind w:firstLine="708"/>
        <w:jc w:val="both"/>
        <w:rPr>
          <w:rFonts w:ascii="Verdana" w:hAnsi="Verdana" w:cs="Arial"/>
          <w:color w:val="000000" w:themeColor="text1"/>
          <w:sz w:val="16"/>
          <w:szCs w:val="16"/>
        </w:rPr>
      </w:pPr>
      <w:r w:rsidRPr="00805893">
        <w:rPr>
          <w:rStyle w:val="Refdenotaalpie"/>
          <w:rFonts w:ascii="Verdana" w:hAnsi="Verdana" w:cs="Arial"/>
          <w:color w:val="000000" w:themeColor="text1"/>
          <w:sz w:val="16"/>
          <w:szCs w:val="16"/>
        </w:rPr>
        <w:footnoteRef/>
      </w:r>
      <w:r w:rsidRPr="00805893">
        <w:rPr>
          <w:rFonts w:ascii="Verdana" w:hAnsi="Verdana" w:cs="Arial"/>
          <w:color w:val="000000" w:themeColor="text1"/>
          <w:sz w:val="16"/>
          <w:szCs w:val="16"/>
        </w:rPr>
        <w:t xml:space="preserve"> CONSEJO DE ESTADO. Sala de Consulta y de Servicio Civil. Concepto del 23 de marzo de 2011. Rad. 2.045. C.P. Enrique José Arboleda Perdomo. En una línea similar, la doctrina lo define como “Aquella situación en que, por acción u omisión, incurre un cargo o funcionario público que, estando en cuanto tal vinculado por un deber de servicio al interés general, asume el riesgo de abusar de su poder, subordinando dicho interés general a su interés particular en forma de ánimo de lucro pecuniario o en especie” (Cfr. GARCÍA MEXÍA, Enrique. Los conflictos de intereses y la corrupción contemporánea. Navarra: Editorial Aranzadi, 2001. p. 97).</w:t>
      </w:r>
    </w:p>
  </w:footnote>
  <w:footnote w:id="26">
    <w:p w14:paraId="62510D18" w14:textId="77777777" w:rsidR="002426E8" w:rsidRPr="00805893" w:rsidRDefault="002426E8" w:rsidP="002426E8">
      <w:pPr>
        <w:pStyle w:val="Textonotapie"/>
        <w:ind w:firstLine="708"/>
        <w:rPr>
          <w:rFonts w:ascii="Verdana" w:hAnsi="Verdana"/>
          <w:sz w:val="16"/>
          <w:szCs w:val="16"/>
          <w:lang w:val="es-CO"/>
        </w:rPr>
      </w:pPr>
      <w:r w:rsidRPr="00805893">
        <w:rPr>
          <w:rStyle w:val="Refdenotaalpie"/>
          <w:rFonts w:ascii="Verdana" w:hAnsi="Verdana"/>
          <w:sz w:val="16"/>
          <w:szCs w:val="16"/>
        </w:rPr>
        <w:footnoteRef/>
      </w:r>
      <w:r w:rsidRPr="00805893">
        <w:rPr>
          <w:rFonts w:ascii="Verdana" w:hAnsi="Verdana"/>
          <w:sz w:val="16"/>
          <w:szCs w:val="16"/>
        </w:rPr>
        <w:t xml:space="preserve"> Cfr. </w:t>
      </w:r>
      <w:hyperlink r:id="rId1" w:history="1">
        <w:r w:rsidRPr="00805893">
          <w:rPr>
            <w:rStyle w:val="Hipervnculo"/>
            <w:rFonts w:ascii="Verdana" w:hAnsi="Verdana"/>
            <w:sz w:val="16"/>
            <w:szCs w:val="16"/>
          </w:rPr>
          <w:t>https://www.funcionpublica.gov.co/eva/gestornormativo/norma.php?i=98077</w:t>
        </w:r>
      </w:hyperlink>
      <w:r w:rsidRPr="00805893">
        <w:rPr>
          <w:rFonts w:ascii="Verdana" w:hAnsi="Verdana"/>
          <w:sz w:val="16"/>
          <w:szCs w:val="16"/>
        </w:rPr>
        <w:t>, consultado el 6 de agosto de 2026.</w:t>
      </w:r>
    </w:p>
  </w:footnote>
  <w:footnote w:id="27">
    <w:p w14:paraId="5A703CA4" w14:textId="77777777" w:rsidR="002426E8" w:rsidRPr="00805893" w:rsidRDefault="002426E8" w:rsidP="002426E8">
      <w:pPr>
        <w:pStyle w:val="Textonotapie"/>
        <w:ind w:firstLine="708"/>
        <w:jc w:val="both"/>
        <w:rPr>
          <w:rFonts w:ascii="Verdana" w:hAnsi="Verdana" w:cs="Arial"/>
          <w:sz w:val="16"/>
          <w:szCs w:val="16"/>
        </w:rPr>
      </w:pPr>
      <w:r w:rsidRPr="00805893">
        <w:rPr>
          <w:rStyle w:val="Refdenotaalpie"/>
          <w:rFonts w:ascii="Verdana" w:hAnsi="Verdana" w:cs="Arial"/>
          <w:sz w:val="16"/>
          <w:szCs w:val="16"/>
        </w:rPr>
        <w:footnoteRef/>
      </w:r>
      <w:r w:rsidRPr="00805893">
        <w:rPr>
          <w:rFonts w:ascii="Verdana" w:hAnsi="Verdana" w:cs="Arial"/>
          <w:sz w:val="16"/>
          <w:szCs w:val="16"/>
        </w:rPr>
        <w:t xml:space="preserve"> Estos casos de participación subrepticia de terceros guardan similitud con la teoría del fraude simulatorio relacionado con la identidad de las partes. Al respecto, la doctrina explica lo siguiente: </w:t>
      </w:r>
      <w:r>
        <w:rPr>
          <w:rFonts w:ascii="Verdana" w:hAnsi="Verdana" w:cs="Arial"/>
          <w:sz w:val="16"/>
          <w:szCs w:val="16"/>
        </w:rPr>
        <w:t>“</w:t>
      </w:r>
      <w:r w:rsidRPr="00805893">
        <w:rPr>
          <w:rFonts w:ascii="Verdana" w:hAnsi="Verdana" w:cs="Arial"/>
          <w:sz w:val="16"/>
          <w:szCs w:val="16"/>
        </w:rPr>
        <w:t>[…] la declaración pública acerca de la naturaleza del negocio y de sus condiciones corresponde a una intensión real; pero, de ordinario, para eludir las prohibiciones legales tocantes con la capacidad de las partes, se recurre a una operación triangular, mediante la interposición de un testaferro u hombre de paja, quien sin tener interés en el negocio, se presta a desviar los efectos de este, primeramente hacia sí, para luego trasladárselos, mediante otro acto, a quien verdaderamente está llamado a recibirlos […]</w:t>
      </w:r>
      <w:r>
        <w:rPr>
          <w:rFonts w:ascii="Verdana" w:hAnsi="Verdana" w:cs="Arial"/>
          <w:sz w:val="16"/>
          <w:szCs w:val="16"/>
        </w:rPr>
        <w:t>”</w:t>
      </w:r>
      <w:r w:rsidRPr="00805893">
        <w:rPr>
          <w:rFonts w:ascii="Verdana" w:hAnsi="Verdana" w:cs="Arial"/>
          <w:sz w:val="16"/>
          <w:szCs w:val="16"/>
        </w:rPr>
        <w:t xml:space="preserve"> (Cfr. OSPINA FERNÁNDEZ, Guillermo y OSPINA ACOSTA, Eduardo. Teoría general del contrato y del negocio jurídico. Quinta edición. Bogotá: Temis, 1998. p. 113).  </w:t>
      </w:r>
    </w:p>
  </w:footnote>
  <w:footnote w:id="28">
    <w:p w14:paraId="1ED34123" w14:textId="77777777" w:rsidR="002426E8" w:rsidRPr="00805893" w:rsidRDefault="002426E8" w:rsidP="002426E8">
      <w:pPr>
        <w:pStyle w:val="Textonotapie"/>
        <w:ind w:firstLine="708"/>
        <w:jc w:val="both"/>
        <w:rPr>
          <w:rFonts w:ascii="Verdana" w:hAnsi="Verdana" w:cs="Arial"/>
          <w:sz w:val="16"/>
          <w:szCs w:val="16"/>
        </w:rPr>
      </w:pPr>
      <w:r w:rsidRPr="00805893">
        <w:rPr>
          <w:rStyle w:val="Refdenotaalpie"/>
          <w:rFonts w:ascii="Verdana" w:hAnsi="Verdana" w:cs="Arial"/>
          <w:sz w:val="16"/>
          <w:szCs w:val="16"/>
        </w:rPr>
        <w:footnoteRef/>
      </w:r>
      <w:r w:rsidRPr="00805893">
        <w:rPr>
          <w:rFonts w:ascii="Verdana" w:hAnsi="Verdana" w:cs="Arial"/>
          <w:sz w:val="16"/>
          <w:szCs w:val="16"/>
        </w:rPr>
        <w:t xml:space="preserve"> CORTE SUPREMA DE JUSTICIA. Sala de Casación Civil. Sentencia del 17 de mayo de 1976. M.P. Humberto Murcia Ballén. Publicada en la Gaceta Judicial. Tomo CLII. Nº 2393. p. 153. En el mismo sentido, la doctrina explica que </w:t>
      </w:r>
      <w:r>
        <w:rPr>
          <w:rFonts w:ascii="Verdana" w:hAnsi="Verdana" w:cs="Arial"/>
          <w:sz w:val="16"/>
          <w:szCs w:val="16"/>
        </w:rPr>
        <w:t>“</w:t>
      </w:r>
      <w:r w:rsidRPr="00805893">
        <w:rPr>
          <w:rFonts w:ascii="Verdana" w:hAnsi="Verdana" w:cs="Arial"/>
          <w:sz w:val="16"/>
          <w:szCs w:val="16"/>
        </w:rPr>
        <w:t xml:space="preserve">Lo que verdaderamente ocurre en el estado actual del derecho es que la ley presume que por el solo hecho de celebrarse el contrato de mandato queda autorizado el mandatario para desempeñar su cometido en representación del mandante. Esto con el objeto de simplificar la labor del mandatario, quien obrando de este modo no se obliga personalmente respecto de los terceros con quienes contrata, ni al término de su gestión se verá en la necesidad de traspasar al mandante los créditos derivados del negocio realizado por su cuenta. </w:t>
      </w:r>
      <w:r w:rsidRPr="00805893">
        <w:rPr>
          <w:rFonts w:ascii="Verdana" w:hAnsi="Verdana" w:cs="Arial"/>
          <w:i/>
          <w:iCs/>
          <w:sz w:val="16"/>
          <w:szCs w:val="16"/>
        </w:rPr>
        <w:t>Pero nada obsta a que el mandatario desestime esa facultad y contrate a su propio nombre, ni a que así lo estipulen expresamente el mandante y el mandatario en el mismo contrato de mandato o posteriormente, en cuyo caso el mandatario ejecutará el negocio por cuenta del mandante, pero en su propio nombre, y entonces, terminada la gestión deberá traspasar al mandante los créditos y las obligaciones adquiridos y contraídas, de que se hará responsable el mandante</w:t>
      </w:r>
      <w:r w:rsidRPr="00805893">
        <w:rPr>
          <w:rFonts w:ascii="Verdana" w:hAnsi="Verdana" w:cs="Arial"/>
          <w:sz w:val="16"/>
          <w:szCs w:val="16"/>
        </w:rPr>
        <w:t xml:space="preserve"> […]</w:t>
      </w:r>
      <w:r>
        <w:rPr>
          <w:rFonts w:ascii="Verdana" w:hAnsi="Verdana" w:cs="Arial"/>
          <w:sz w:val="16"/>
          <w:szCs w:val="16"/>
        </w:rPr>
        <w:t>”</w:t>
      </w:r>
      <w:r w:rsidRPr="00805893">
        <w:rPr>
          <w:rFonts w:ascii="Verdana" w:hAnsi="Verdana" w:cs="Arial"/>
          <w:sz w:val="16"/>
          <w:szCs w:val="16"/>
        </w:rPr>
        <w:t xml:space="preserve"> (Cfr. STITCHKIN BRANOVER, David. El mandato civil. Quinta edición. Santiago: Editorial Jurídica de Chile, 2009. p. 31). </w:t>
      </w:r>
    </w:p>
  </w:footnote>
  <w:footnote w:id="29">
    <w:p w14:paraId="2976A239" w14:textId="77777777" w:rsidR="002426E8" w:rsidRPr="00805893" w:rsidRDefault="002426E8" w:rsidP="002426E8">
      <w:pPr>
        <w:pStyle w:val="Textonotapie"/>
        <w:ind w:firstLine="708"/>
        <w:jc w:val="both"/>
        <w:rPr>
          <w:rFonts w:ascii="Verdana" w:hAnsi="Verdana" w:cs="Arial"/>
          <w:sz w:val="16"/>
          <w:szCs w:val="16"/>
        </w:rPr>
      </w:pPr>
      <w:r w:rsidRPr="00805893">
        <w:rPr>
          <w:rStyle w:val="Refdenotaalpie"/>
          <w:rFonts w:ascii="Verdana" w:hAnsi="Verdana" w:cs="Arial"/>
          <w:sz w:val="16"/>
          <w:szCs w:val="16"/>
        </w:rPr>
        <w:footnoteRef/>
      </w:r>
      <w:r w:rsidRPr="00805893">
        <w:rPr>
          <w:rFonts w:ascii="Verdana" w:hAnsi="Verdana" w:cs="Arial"/>
          <w:sz w:val="16"/>
          <w:szCs w:val="16"/>
        </w:rPr>
        <w:t xml:space="preserve"> HINESTROSA, Fernando. La representación. Bogotá: Universidad Externando de Colombia, 2008. pp. 377-378. En este contexto, </w:t>
      </w:r>
      <w:r>
        <w:rPr>
          <w:rFonts w:ascii="Verdana" w:hAnsi="Verdana" w:cs="Arial"/>
          <w:sz w:val="16"/>
          <w:szCs w:val="16"/>
        </w:rPr>
        <w:t>“</w:t>
      </w:r>
      <w:r w:rsidRPr="00805893">
        <w:rPr>
          <w:rFonts w:ascii="Verdana" w:hAnsi="Verdana" w:cs="Arial"/>
          <w:sz w:val="16"/>
          <w:szCs w:val="16"/>
        </w:rPr>
        <w:t>[…] el mandato no es representativo, porque puede darse en el evento de que el mandatario oculte la calidad con que actúe frente a terceros, o sea que, obrando para el mandante, no indique su condición de mandatario, lo que se conoce ordinariamente como representación indirecta o mediata, en contraposición a la directa o inmediata en donde la calidad de mandatario es puesta de presente al ejecutar el acto jurídico […]</w:t>
      </w:r>
      <w:r>
        <w:rPr>
          <w:rFonts w:ascii="Verdana" w:hAnsi="Verdana" w:cs="Arial"/>
          <w:sz w:val="16"/>
          <w:szCs w:val="16"/>
        </w:rPr>
        <w:t>”</w:t>
      </w:r>
      <w:r w:rsidRPr="00805893">
        <w:rPr>
          <w:rFonts w:ascii="Verdana" w:hAnsi="Verdana" w:cs="Arial"/>
          <w:sz w:val="16"/>
          <w:szCs w:val="16"/>
        </w:rPr>
        <w:t xml:space="preserve"> (Cfr. BONIVENTO FERNÁNDEZ, Alejandro. Los principales contratos civiles y su paralelo con los comerciales. Decimosexta edición. Bogotá: Librería Ediciones del Profesional LTDA, 2004. pp. 592-593).   </w:t>
      </w:r>
    </w:p>
  </w:footnote>
  <w:footnote w:id="30">
    <w:p w14:paraId="473A3BA0" w14:textId="77777777" w:rsidR="002426E8" w:rsidRPr="00805893" w:rsidRDefault="002426E8" w:rsidP="002426E8">
      <w:pPr>
        <w:pStyle w:val="Textonotapie"/>
        <w:ind w:firstLine="708"/>
        <w:jc w:val="both"/>
        <w:rPr>
          <w:rFonts w:ascii="Verdana" w:hAnsi="Verdana" w:cs="Arial"/>
          <w:sz w:val="16"/>
          <w:szCs w:val="16"/>
        </w:rPr>
      </w:pPr>
      <w:r w:rsidRPr="00805893">
        <w:rPr>
          <w:rStyle w:val="Refdenotaalpie"/>
          <w:rFonts w:ascii="Verdana" w:hAnsi="Verdana" w:cs="Arial"/>
          <w:sz w:val="16"/>
          <w:szCs w:val="16"/>
        </w:rPr>
        <w:footnoteRef/>
      </w:r>
      <w:r w:rsidRPr="00805893">
        <w:rPr>
          <w:rFonts w:ascii="Verdana" w:hAnsi="Verdana" w:cs="Arial"/>
          <w:sz w:val="16"/>
          <w:szCs w:val="16"/>
        </w:rPr>
        <w:t xml:space="preserve"> CONSEJO DE ESTADO. Sección Quinta. Sentencia del 19 de enero de 2006. Rad. 3875. C.P. Darío Quiñones Pinilla.</w:t>
      </w:r>
    </w:p>
  </w:footnote>
  <w:footnote w:id="31">
    <w:p w14:paraId="200E3794" w14:textId="77777777" w:rsidR="002426E8" w:rsidRPr="00805893" w:rsidRDefault="002426E8" w:rsidP="002426E8">
      <w:pPr>
        <w:pStyle w:val="Textonotapie"/>
        <w:ind w:firstLine="708"/>
        <w:rPr>
          <w:rFonts w:ascii="Verdana" w:hAnsi="Verdana" w:cs="Arial"/>
          <w:sz w:val="16"/>
          <w:szCs w:val="16"/>
        </w:rPr>
      </w:pPr>
      <w:r w:rsidRPr="00805893">
        <w:rPr>
          <w:rStyle w:val="Refdenotaalpie"/>
          <w:rFonts w:ascii="Verdana" w:hAnsi="Verdana" w:cs="Arial"/>
          <w:sz w:val="16"/>
          <w:szCs w:val="16"/>
        </w:rPr>
        <w:footnoteRef/>
      </w:r>
      <w:r w:rsidRPr="00805893">
        <w:rPr>
          <w:rFonts w:ascii="Verdana" w:hAnsi="Verdana" w:cs="Arial"/>
          <w:sz w:val="16"/>
          <w:szCs w:val="16"/>
        </w:rPr>
        <w:t xml:space="preserve"> CONSEJO DE ESTADO. Sección Primera. Sentencia del 3 de julio de 2014. Exp. 17001-23-33-000-2013-00145-01 (PI). C.P. María Claudia Rojas Lasso.</w:t>
      </w:r>
    </w:p>
  </w:footnote>
  <w:footnote w:id="32">
    <w:p w14:paraId="5C76E30F" w14:textId="77777777" w:rsidR="002426E8" w:rsidRPr="00805893" w:rsidRDefault="002426E8" w:rsidP="002426E8">
      <w:pPr>
        <w:pStyle w:val="Textonotapie"/>
        <w:ind w:firstLine="708"/>
        <w:jc w:val="both"/>
        <w:rPr>
          <w:rFonts w:ascii="Verdana" w:hAnsi="Verdana" w:cs="Arial"/>
          <w:sz w:val="16"/>
          <w:szCs w:val="16"/>
        </w:rPr>
      </w:pPr>
      <w:r w:rsidRPr="00805893">
        <w:rPr>
          <w:rStyle w:val="Refdenotaalpie"/>
          <w:rFonts w:ascii="Verdana" w:hAnsi="Verdana" w:cs="Arial"/>
          <w:sz w:val="16"/>
          <w:szCs w:val="16"/>
        </w:rPr>
        <w:footnoteRef/>
      </w:r>
      <w:r w:rsidRPr="00805893">
        <w:rPr>
          <w:rFonts w:ascii="Verdana" w:hAnsi="Verdana" w:cs="Arial"/>
          <w:sz w:val="16"/>
          <w:szCs w:val="16"/>
        </w:rPr>
        <w:t xml:space="preserve"> CORTE CONSTITUCIONAL. Sentencia C-348 de 2004. M.P. Jaime Córdoba Triviño.</w:t>
      </w:r>
    </w:p>
  </w:footnote>
  <w:footnote w:id="33">
    <w:p w14:paraId="66102098" w14:textId="167022B1" w:rsidR="004E7655" w:rsidRDefault="004E7655" w:rsidP="008A1F41">
      <w:pPr>
        <w:pStyle w:val="Textonotapie"/>
        <w:ind w:firstLine="708"/>
        <w:jc w:val="both"/>
      </w:pPr>
      <w:r>
        <w:rPr>
          <w:rStyle w:val="Refdenotaalpie"/>
        </w:rPr>
        <w:footnoteRef/>
      </w:r>
      <w:r>
        <w:t xml:space="preserve"> </w:t>
      </w:r>
      <w:r w:rsidRPr="00805893">
        <w:rPr>
          <w:rFonts w:ascii="Verdana" w:hAnsi="Verdana" w:cs="Arial"/>
          <w:sz w:val="16"/>
          <w:szCs w:val="16"/>
        </w:rPr>
        <w:t>CORTE CONSTITUCIONAL. Sentencia C-</w:t>
      </w:r>
      <w:r>
        <w:rPr>
          <w:rFonts w:ascii="Verdana" w:hAnsi="Verdana" w:cs="Arial"/>
          <w:sz w:val="16"/>
          <w:szCs w:val="16"/>
        </w:rPr>
        <w:t>087</w:t>
      </w:r>
      <w:r w:rsidRPr="00805893">
        <w:rPr>
          <w:rFonts w:ascii="Verdana" w:hAnsi="Verdana" w:cs="Arial"/>
          <w:sz w:val="16"/>
          <w:szCs w:val="16"/>
        </w:rPr>
        <w:t xml:space="preserve"> de 20</w:t>
      </w:r>
      <w:r>
        <w:rPr>
          <w:rFonts w:ascii="Verdana" w:hAnsi="Verdana" w:cs="Arial"/>
          <w:sz w:val="16"/>
          <w:szCs w:val="16"/>
        </w:rPr>
        <w:t>2</w:t>
      </w:r>
      <w:r w:rsidRPr="00805893">
        <w:rPr>
          <w:rFonts w:ascii="Verdana" w:hAnsi="Verdana" w:cs="Arial"/>
          <w:sz w:val="16"/>
          <w:szCs w:val="16"/>
        </w:rPr>
        <w:t xml:space="preserve">4. M.P. </w:t>
      </w:r>
      <w:r w:rsidRPr="004E7655">
        <w:rPr>
          <w:rFonts w:ascii="Verdana" w:hAnsi="Verdana" w:cs="Arial"/>
          <w:sz w:val="16"/>
          <w:szCs w:val="16"/>
          <w:lang w:val="es-CO"/>
        </w:rPr>
        <w:t>Antonio José Lizarazo Ocampo</w:t>
      </w:r>
      <w:r w:rsidRPr="00805893">
        <w:rPr>
          <w:rFonts w:ascii="Verdana" w:hAnsi="Verdana" w:cs="Arial"/>
          <w:sz w:val="16"/>
          <w:szCs w:val="16"/>
        </w:rPr>
        <w:t>.</w:t>
      </w:r>
    </w:p>
  </w:footnote>
  <w:footnote w:id="34">
    <w:p w14:paraId="57F19C6D" w14:textId="77777777" w:rsidR="002426E8" w:rsidRPr="00671B9D" w:rsidRDefault="002426E8" w:rsidP="002426E8">
      <w:pPr>
        <w:pStyle w:val="Textonotapie"/>
        <w:ind w:firstLine="708"/>
        <w:jc w:val="both"/>
        <w:rPr>
          <w:rFonts w:ascii="Verdana" w:hAnsi="Verdana"/>
          <w:sz w:val="16"/>
          <w:szCs w:val="16"/>
          <w:lang w:val="es-CO"/>
        </w:rPr>
      </w:pPr>
      <w:r w:rsidRPr="00671B9D">
        <w:rPr>
          <w:rStyle w:val="Refdenotaalpie"/>
          <w:rFonts w:ascii="Verdana" w:hAnsi="Verdana"/>
          <w:sz w:val="16"/>
          <w:szCs w:val="16"/>
        </w:rPr>
        <w:footnoteRef/>
      </w:r>
      <w:r w:rsidRPr="00671B9D">
        <w:rPr>
          <w:rFonts w:ascii="Verdana" w:hAnsi="Verdana"/>
          <w:sz w:val="16"/>
          <w:szCs w:val="16"/>
        </w:rPr>
        <w:t xml:space="preserve"> </w:t>
      </w:r>
      <w:r>
        <w:rPr>
          <w:rFonts w:ascii="Verdana" w:hAnsi="Verdana"/>
          <w:sz w:val="16"/>
          <w:szCs w:val="16"/>
        </w:rPr>
        <w:t xml:space="preserve">GARCÍA DE ENTERRÍA, Eduardo &amp; FERNÁNDEZ, Tomás Ramón. Curso de derecho administrativo. Tomo I. </w:t>
      </w:r>
      <w:r w:rsidRPr="00671B9D">
        <w:rPr>
          <w:rFonts w:ascii="Verdana" w:hAnsi="Verdana"/>
          <w:sz w:val="16"/>
          <w:szCs w:val="16"/>
        </w:rPr>
        <w:t xml:space="preserve">Vigésima </w:t>
      </w:r>
      <w:r>
        <w:rPr>
          <w:rFonts w:ascii="Verdana" w:hAnsi="Verdana"/>
          <w:sz w:val="16"/>
          <w:szCs w:val="16"/>
        </w:rPr>
        <w:t>E</w:t>
      </w:r>
      <w:r w:rsidRPr="00671B9D">
        <w:rPr>
          <w:rFonts w:ascii="Verdana" w:hAnsi="Verdana"/>
          <w:sz w:val="16"/>
          <w:szCs w:val="16"/>
        </w:rPr>
        <w:t>dición</w:t>
      </w:r>
      <w:r>
        <w:rPr>
          <w:rFonts w:ascii="Verdana" w:hAnsi="Verdana"/>
          <w:sz w:val="16"/>
          <w:szCs w:val="16"/>
        </w:rPr>
        <w:t>. Navarra: Civitas, 2022. Libro en formato EPUB.</w:t>
      </w:r>
    </w:p>
  </w:footnote>
  <w:footnote w:id="35">
    <w:p w14:paraId="6B0AE39A" w14:textId="77777777" w:rsidR="002426E8" w:rsidRPr="006350DE" w:rsidRDefault="002426E8" w:rsidP="002426E8">
      <w:pPr>
        <w:pStyle w:val="Textonotapie"/>
        <w:ind w:firstLine="708"/>
        <w:jc w:val="both"/>
        <w:rPr>
          <w:rFonts w:ascii="Verdana" w:hAnsi="Verdana"/>
          <w:sz w:val="16"/>
          <w:szCs w:val="16"/>
        </w:rPr>
      </w:pPr>
      <w:r w:rsidRPr="006350DE">
        <w:rPr>
          <w:rStyle w:val="Refdenotaalpie"/>
          <w:rFonts w:ascii="Verdana" w:hAnsi="Verdana"/>
          <w:sz w:val="16"/>
          <w:szCs w:val="16"/>
        </w:rPr>
        <w:footnoteRef/>
      </w:r>
      <w:r w:rsidRPr="006350DE">
        <w:rPr>
          <w:rFonts w:ascii="Verdana" w:hAnsi="Verdana"/>
          <w:sz w:val="16"/>
          <w:szCs w:val="16"/>
        </w:rPr>
        <w:t xml:space="preserve"> </w:t>
      </w:r>
      <w:r>
        <w:rPr>
          <w:rFonts w:ascii="Verdana" w:hAnsi="Verdana"/>
          <w:sz w:val="16"/>
          <w:szCs w:val="16"/>
        </w:rPr>
        <w:t xml:space="preserve">En efecto, </w:t>
      </w:r>
      <w:r w:rsidRPr="006350DE">
        <w:rPr>
          <w:rFonts w:ascii="Verdana" w:hAnsi="Verdana"/>
          <w:sz w:val="16"/>
          <w:szCs w:val="16"/>
        </w:rPr>
        <w:t xml:space="preserve">“Un concepto es indeterminado cuando sus límites son imprecisos, es decir, cuando no reflejan claramente una realidad. En general, la imprecisión no deviene exclusivamente del lenguaje utilizado ni tampoco de la materia referida, sino de la vinculación entre ambos. </w:t>
      </w:r>
    </w:p>
    <w:p w14:paraId="1BCA7B44" w14:textId="77777777" w:rsidR="002426E8" w:rsidRPr="006350DE" w:rsidRDefault="002426E8" w:rsidP="002426E8">
      <w:pPr>
        <w:pStyle w:val="Textonotapie"/>
        <w:ind w:firstLine="708"/>
        <w:jc w:val="both"/>
        <w:rPr>
          <w:rFonts w:ascii="Verdana" w:hAnsi="Verdana"/>
          <w:sz w:val="16"/>
          <w:szCs w:val="16"/>
        </w:rPr>
      </w:pPr>
      <w:r w:rsidRPr="006350DE">
        <w:rPr>
          <w:rFonts w:ascii="Verdana" w:hAnsi="Verdana"/>
          <w:sz w:val="16"/>
          <w:szCs w:val="16"/>
        </w:rPr>
        <w:t xml:space="preserve">En el ordenamiento jurídico-administrativo son numerosos los dispositivos constitucionales, legales y reglamentarios que trasuntan están- dares o normas en blanco, cuya indeterminación es evidente. </w:t>
      </w:r>
    </w:p>
    <w:p w14:paraId="41E79DF8" w14:textId="77777777" w:rsidR="002426E8" w:rsidRPr="006350DE" w:rsidRDefault="002426E8" w:rsidP="002426E8">
      <w:pPr>
        <w:pStyle w:val="Textonotapie"/>
        <w:ind w:firstLine="708"/>
        <w:jc w:val="both"/>
        <w:rPr>
          <w:rFonts w:ascii="Verdana" w:hAnsi="Verdana"/>
          <w:sz w:val="16"/>
          <w:szCs w:val="16"/>
        </w:rPr>
      </w:pPr>
      <w:r w:rsidRPr="006350DE">
        <w:rPr>
          <w:rFonts w:ascii="Verdana" w:hAnsi="Verdana"/>
          <w:sz w:val="16"/>
          <w:szCs w:val="16"/>
        </w:rPr>
        <w:t xml:space="preserve">El decoro o prestigio de la institución policial, la peligrosidad de una enfermedad, la contaminación de las aguas, la idoneidad en un concurso, la urgencia de una contratación, son ejemplos cotidianos, cuya relación con la realidad a la cual se refieren puede impregnarse de mayor o menor imprecisión. </w:t>
      </w:r>
    </w:p>
    <w:p w14:paraId="6DA40AC2" w14:textId="77777777" w:rsidR="002426E8" w:rsidRPr="006350DE" w:rsidRDefault="002426E8" w:rsidP="002426E8">
      <w:pPr>
        <w:pStyle w:val="Textonotapie"/>
        <w:ind w:firstLine="708"/>
        <w:jc w:val="both"/>
        <w:rPr>
          <w:rFonts w:ascii="Verdana" w:hAnsi="Verdana"/>
          <w:sz w:val="16"/>
          <w:szCs w:val="16"/>
        </w:rPr>
      </w:pPr>
      <w:r w:rsidRPr="006350DE">
        <w:rPr>
          <w:rFonts w:ascii="Verdana" w:hAnsi="Verdana"/>
          <w:sz w:val="16"/>
          <w:szCs w:val="16"/>
        </w:rPr>
        <w:t xml:space="preserve">La aplicación práctica de estos supuestos en el variado accionar administrativo obliga a efectuar una tarea interpretativa o creativa según el caso, subsumiendo el hecho concreto a la norma. </w:t>
      </w:r>
    </w:p>
    <w:p w14:paraId="493DA23F" w14:textId="77777777" w:rsidR="002426E8" w:rsidRPr="006350DE" w:rsidRDefault="002426E8" w:rsidP="002426E8">
      <w:pPr>
        <w:pStyle w:val="Textonotapie"/>
        <w:ind w:firstLine="708"/>
        <w:jc w:val="both"/>
        <w:rPr>
          <w:rFonts w:ascii="Verdana" w:hAnsi="Verdana"/>
          <w:sz w:val="16"/>
          <w:szCs w:val="16"/>
        </w:rPr>
      </w:pPr>
      <w:r w:rsidRPr="006350DE">
        <w:rPr>
          <w:rFonts w:ascii="Verdana" w:hAnsi="Verdana"/>
          <w:sz w:val="16"/>
          <w:szCs w:val="16"/>
        </w:rPr>
        <w:t xml:space="preserve">Veamos un ejemplo: la declaración de interés histórico de un inmueble, que autoriza genéricamente el orden normativo, puede ocasionar tres alternativas distintas: a) una opción positiva al no existir dudas sobre el interés histórico; b) una opción negativa, ante la seguridad de la falta de interés; y c) una zona de penumbra que se ubica entre ambas, en cuanto existen razonables dudas sobre si el edificio reviste o no interés histórico. </w:t>
      </w:r>
    </w:p>
    <w:p w14:paraId="5C8628C5" w14:textId="77777777" w:rsidR="002426E8" w:rsidRPr="006350DE" w:rsidRDefault="002426E8" w:rsidP="002426E8">
      <w:pPr>
        <w:pStyle w:val="Textonotapie"/>
        <w:ind w:firstLine="708"/>
        <w:jc w:val="both"/>
        <w:rPr>
          <w:rFonts w:ascii="Verdana" w:hAnsi="Verdana"/>
          <w:sz w:val="16"/>
          <w:szCs w:val="16"/>
          <w:lang w:val="es-CO"/>
        </w:rPr>
      </w:pPr>
      <w:r w:rsidRPr="006350DE">
        <w:rPr>
          <w:rFonts w:ascii="Verdana" w:hAnsi="Verdana"/>
          <w:sz w:val="16"/>
          <w:szCs w:val="16"/>
        </w:rPr>
        <w:t>A las hipótesis a y b se las denomina, respectivamente: zona de certeza positiva y negativa; mientras que la c, ‘halo del concepto’ o ‘zona de dudas’. Esta última es el ámbito de imprecisión o indeterminación que es menester clarificar al momento de su concreción práctica, teniendo presente la distancia al núcleo positivo o negativo del concepto”</w:t>
      </w:r>
      <w:r>
        <w:rPr>
          <w:rFonts w:ascii="Verdana" w:hAnsi="Verdana"/>
          <w:sz w:val="16"/>
          <w:szCs w:val="16"/>
        </w:rPr>
        <w:t xml:space="preserve"> (Cfr. SESÍN, Juan Domingo. </w:t>
      </w:r>
      <w:r w:rsidRPr="00157F66">
        <w:rPr>
          <w:rFonts w:ascii="Verdana" w:hAnsi="Verdana"/>
          <w:sz w:val="16"/>
          <w:szCs w:val="16"/>
        </w:rPr>
        <w:t>Conceptos jurídicos indeterminados en el ordenamiento administrativo: revisión judicial</w:t>
      </w:r>
      <w:r>
        <w:rPr>
          <w:rFonts w:ascii="Verdana" w:hAnsi="Verdana"/>
          <w:sz w:val="16"/>
          <w:szCs w:val="16"/>
        </w:rPr>
        <w:t xml:space="preserve">. </w:t>
      </w:r>
      <w:r w:rsidRPr="00157F66">
        <w:rPr>
          <w:rFonts w:ascii="Verdana" w:hAnsi="Verdana"/>
          <w:sz w:val="16"/>
          <w:szCs w:val="16"/>
        </w:rPr>
        <w:t>Salamanca : Ediciones Universidad de Salamanca</w:t>
      </w:r>
      <w:r>
        <w:rPr>
          <w:rFonts w:ascii="Verdana" w:hAnsi="Verdana"/>
          <w:sz w:val="16"/>
          <w:szCs w:val="16"/>
        </w:rPr>
        <w:t>, 2025. p. 41).</w:t>
      </w:r>
    </w:p>
  </w:footnote>
  <w:footnote w:id="36">
    <w:p w14:paraId="21D6FE43" w14:textId="77777777" w:rsidR="002426E8" w:rsidRPr="00D20DBC" w:rsidRDefault="002426E8" w:rsidP="002426E8">
      <w:pPr>
        <w:pStyle w:val="NormalWeb"/>
        <w:spacing w:before="0" w:beforeAutospacing="0" w:after="0" w:afterAutospacing="0"/>
        <w:ind w:firstLine="708"/>
        <w:jc w:val="both"/>
        <w:rPr>
          <w:rFonts w:ascii="Verdana" w:hAnsi="Verdana" w:cs="Arial"/>
          <w:color w:val="000000"/>
          <w:sz w:val="16"/>
          <w:szCs w:val="16"/>
        </w:rPr>
      </w:pPr>
      <w:r w:rsidRPr="00D20DBC">
        <w:rPr>
          <w:rStyle w:val="Refdenotaalpie"/>
          <w:rFonts w:ascii="Verdana" w:hAnsi="Verdana"/>
          <w:sz w:val="16"/>
          <w:szCs w:val="16"/>
        </w:rPr>
        <w:footnoteRef/>
      </w:r>
      <w:r w:rsidRPr="00D20DBC">
        <w:rPr>
          <w:rFonts w:ascii="Verdana" w:hAnsi="Verdana"/>
          <w:sz w:val="16"/>
          <w:szCs w:val="16"/>
        </w:rPr>
        <w:t xml:space="preserve"> “</w:t>
      </w:r>
      <w:r w:rsidRPr="00D20DBC">
        <w:rPr>
          <w:rStyle w:val="Fuerte"/>
          <w:rFonts w:ascii="Verdana" w:eastAsiaTheme="minorEastAsia" w:hAnsi="Verdana" w:cs="Arial"/>
          <w:b w:val="0"/>
          <w:bCs w:val="0"/>
          <w:color w:val="000000"/>
          <w:sz w:val="16"/>
          <w:szCs w:val="16"/>
        </w:rPr>
        <w:t xml:space="preserve">Artículo 200. </w:t>
      </w:r>
      <w:r w:rsidRPr="00D20DBC">
        <w:rPr>
          <w:rStyle w:val="nfasis"/>
          <w:rFonts w:ascii="Verdana" w:hAnsi="Verdana" w:cs="Arial"/>
          <w:color w:val="000000"/>
          <w:sz w:val="16"/>
          <w:szCs w:val="16"/>
        </w:rPr>
        <w:t>Estrategia nacional de lucha contra la corrupción</w:t>
      </w:r>
      <w:r w:rsidRPr="00D20DBC">
        <w:rPr>
          <w:rFonts w:ascii="Verdana" w:hAnsi="Verdana" w:cs="Arial"/>
          <w:color w:val="000000"/>
          <w:sz w:val="16"/>
          <w:szCs w:val="16"/>
        </w:rPr>
        <w:t>. Con el propósito de fortalecer las Instituciones democráticas y el Estado Social de Derecho, garantizar la protección de los derechos humanos, proteger los recursos públicos, generar condiciones adecuadas para el desarrollo socioeconómico y proteger el Medio Ambiente, el Gobierno nacional formulará una Estrategia Nacional de Lucha Contra la Corrupción. </w:t>
      </w:r>
    </w:p>
    <w:p w14:paraId="4FE50B02" w14:textId="77777777" w:rsidR="002426E8" w:rsidRPr="00D20DBC" w:rsidRDefault="002426E8" w:rsidP="002426E8">
      <w:pPr>
        <w:pStyle w:val="NormalWeb"/>
        <w:spacing w:before="0" w:beforeAutospacing="0" w:after="0" w:afterAutospacing="0"/>
        <w:ind w:firstLine="708"/>
        <w:jc w:val="both"/>
        <w:rPr>
          <w:rFonts w:ascii="Verdana" w:hAnsi="Verdana" w:cs="Arial"/>
          <w:color w:val="000000"/>
          <w:sz w:val="16"/>
          <w:szCs w:val="16"/>
        </w:rPr>
      </w:pPr>
      <w:r w:rsidRPr="00D20DBC">
        <w:rPr>
          <w:rFonts w:ascii="Verdana" w:hAnsi="Verdana" w:cs="Arial"/>
          <w:color w:val="000000"/>
          <w:sz w:val="16"/>
          <w:szCs w:val="16"/>
        </w:rPr>
        <w:t>La Estrategia tendrá como dimensiones la garantía de los derechos humanos, la protección al denunciante, el derecho al acceso a la información pública, el fortalecimiento de la veeduría ciudadana, la transparencia en la contratación y la gestión pública, la innovación pública y la implementación de mecanismos dirigidos a prevenir, detectar, gestionar y sancionar riesgos y hechos de corrupción bajo un enfoque sectorial. </w:t>
      </w:r>
    </w:p>
    <w:p w14:paraId="20E42E2F" w14:textId="77777777" w:rsidR="002426E8" w:rsidRPr="00D20DBC" w:rsidRDefault="002426E8" w:rsidP="002426E8">
      <w:pPr>
        <w:pStyle w:val="NormalWeb"/>
        <w:spacing w:before="0" w:beforeAutospacing="0" w:after="0" w:afterAutospacing="0"/>
        <w:ind w:firstLine="708"/>
        <w:jc w:val="both"/>
        <w:rPr>
          <w:rFonts w:ascii="Verdana" w:hAnsi="Verdana" w:cs="Arial"/>
          <w:color w:val="000000"/>
          <w:sz w:val="16"/>
          <w:szCs w:val="16"/>
        </w:rPr>
      </w:pPr>
      <w:r w:rsidRPr="00D20DBC">
        <w:rPr>
          <w:rFonts w:ascii="Verdana" w:hAnsi="Verdana" w:cs="Arial"/>
          <w:color w:val="000000"/>
          <w:sz w:val="16"/>
          <w:szCs w:val="16"/>
        </w:rPr>
        <w:t>El Gobierno nacional en cabeza de la Secretaría de Transparencia y las Subcomisiones Técnicas de la Comisión Nacional de Moralización, serán responsables de la coordinación, elaboración y evaluación de la Estrategia Nacional de Lucha contra la corrupción. La Red Nacional de Observatorios Anticorrupción y el Departamento Nacional de Planeación prestarán apoyo técnico para su formulación, monitoreo y seguimiento. </w:t>
      </w:r>
    </w:p>
    <w:p w14:paraId="6CCC8E79" w14:textId="77777777" w:rsidR="002426E8" w:rsidRPr="00D20DBC" w:rsidRDefault="002426E8" w:rsidP="002426E8">
      <w:pPr>
        <w:pStyle w:val="NormalWeb"/>
        <w:spacing w:before="0" w:beforeAutospacing="0" w:after="0" w:afterAutospacing="0"/>
        <w:ind w:firstLine="708"/>
        <w:jc w:val="both"/>
        <w:rPr>
          <w:rFonts w:ascii="Verdana" w:hAnsi="Verdana" w:cs="Arial"/>
          <w:color w:val="000000"/>
          <w:sz w:val="16"/>
          <w:szCs w:val="16"/>
        </w:rPr>
      </w:pPr>
      <w:r w:rsidRPr="00D20DBC">
        <w:rPr>
          <w:rFonts w:ascii="Verdana" w:hAnsi="Verdana" w:cs="Arial"/>
          <w:color w:val="000000"/>
          <w:sz w:val="16"/>
          <w:szCs w:val="16"/>
        </w:rPr>
        <w:t>En el proceso de formulación de la Estrategia se realizará una evaluación de la capacidad institucional y misional de las entidades públicas, del funcionamiento de las instancias e instrumentos de planeación existentes para la lucha contra la corrupción, y de las debilidades de articulación y coordinación interinstitucional. Así mismo, en el desarrollo de esta estrategia se promoverá la implementación de las disposiciones previstas en la Ley 1712 de 2014 frente al diseño, promoción e implementación de la política pública de acceso a la información pública y la Ley 2195 de 2022 en materia de daño y reparación de los afectados por actos de corrupción, el control y monitoreo constante del riesgo de corrupción, así como la pedagogía para la promoción de la participación ciudadana para la transparencia y lucha contra la corrupción. </w:t>
      </w:r>
    </w:p>
    <w:p w14:paraId="7E82AA25" w14:textId="77777777" w:rsidR="002426E8" w:rsidRPr="00D20DBC" w:rsidRDefault="002426E8" w:rsidP="002426E8">
      <w:pPr>
        <w:pStyle w:val="NormalWeb"/>
        <w:spacing w:before="0" w:beforeAutospacing="0" w:after="0" w:afterAutospacing="0"/>
        <w:ind w:firstLine="708"/>
        <w:jc w:val="both"/>
        <w:rPr>
          <w:rFonts w:ascii="Verdana" w:hAnsi="Verdana" w:cs="Arial"/>
          <w:color w:val="000000"/>
          <w:sz w:val="16"/>
          <w:szCs w:val="16"/>
        </w:rPr>
      </w:pPr>
      <w:r w:rsidRPr="00D20DBC">
        <w:rPr>
          <w:rStyle w:val="Fuerte"/>
          <w:rFonts w:ascii="Verdana" w:eastAsiaTheme="minorEastAsia" w:hAnsi="Verdana" w:cs="Arial"/>
          <w:b w:val="0"/>
          <w:bCs w:val="0"/>
          <w:color w:val="000000"/>
          <w:sz w:val="16"/>
          <w:szCs w:val="16"/>
        </w:rPr>
        <w:t>Parágrafo 1°.</w:t>
      </w:r>
      <w:r w:rsidRPr="00D20DBC">
        <w:rPr>
          <w:rFonts w:ascii="Verdana" w:hAnsi="Verdana" w:cs="Arial"/>
          <w:color w:val="000000"/>
          <w:sz w:val="16"/>
          <w:szCs w:val="16"/>
        </w:rPr>
        <w:t> En la estrategia se contemplarán los mecanismos para el seguimiento y control de los recursos públicos administrados mediante fondos o patrimonios autónomos. </w:t>
      </w:r>
    </w:p>
    <w:p w14:paraId="75C646BF" w14:textId="77777777" w:rsidR="002426E8" w:rsidRPr="00D20DBC" w:rsidRDefault="002426E8" w:rsidP="002426E8">
      <w:pPr>
        <w:pStyle w:val="NormalWeb"/>
        <w:spacing w:before="0" w:beforeAutospacing="0" w:after="0" w:afterAutospacing="0"/>
        <w:ind w:firstLine="708"/>
        <w:jc w:val="both"/>
        <w:rPr>
          <w:rFonts w:ascii="Verdana" w:hAnsi="Verdana" w:cs="Arial"/>
          <w:color w:val="000000"/>
          <w:sz w:val="16"/>
          <w:szCs w:val="16"/>
        </w:rPr>
      </w:pPr>
      <w:r w:rsidRPr="00D20DBC">
        <w:rPr>
          <w:rStyle w:val="Fuerte"/>
          <w:rFonts w:ascii="Verdana" w:eastAsiaTheme="minorEastAsia" w:hAnsi="Verdana" w:cs="Arial"/>
          <w:b w:val="0"/>
          <w:bCs w:val="0"/>
          <w:color w:val="000000"/>
          <w:sz w:val="16"/>
          <w:szCs w:val="16"/>
        </w:rPr>
        <w:t>Parágrafo 2°.</w:t>
      </w:r>
      <w:r w:rsidRPr="00D20DBC">
        <w:rPr>
          <w:rFonts w:ascii="Verdana" w:hAnsi="Verdana" w:cs="Arial"/>
          <w:color w:val="000000"/>
          <w:sz w:val="16"/>
          <w:szCs w:val="16"/>
        </w:rPr>
        <w:t> La Comisión Nacional Ciudadana de Lucha Contra la Corrupción, la Comisión Nacional de Moralización, las Comisiones Regionales de Moralización y las organizaciones de la sociedad civil podrán presentar recomendaciones durante la formulación y evaluación de la Estrategia. </w:t>
      </w:r>
    </w:p>
    <w:p w14:paraId="52951096" w14:textId="77777777" w:rsidR="002426E8" w:rsidRPr="00D20DBC" w:rsidRDefault="002426E8" w:rsidP="002426E8">
      <w:pPr>
        <w:pStyle w:val="NormalWeb"/>
        <w:spacing w:before="0" w:beforeAutospacing="0" w:after="0" w:afterAutospacing="0"/>
        <w:ind w:firstLine="708"/>
        <w:jc w:val="both"/>
        <w:rPr>
          <w:rFonts w:ascii="Verdana" w:hAnsi="Verdana" w:cs="Arial"/>
          <w:color w:val="000000"/>
          <w:sz w:val="16"/>
          <w:szCs w:val="16"/>
        </w:rPr>
      </w:pPr>
      <w:r w:rsidRPr="00D20DBC">
        <w:rPr>
          <w:rStyle w:val="Fuerte"/>
          <w:rFonts w:ascii="Verdana" w:eastAsiaTheme="minorEastAsia" w:hAnsi="Verdana" w:cs="Arial"/>
          <w:b w:val="0"/>
          <w:bCs w:val="0"/>
          <w:color w:val="000000"/>
          <w:sz w:val="16"/>
          <w:szCs w:val="16"/>
        </w:rPr>
        <w:t>Parágrafo 3°.</w:t>
      </w:r>
      <w:r w:rsidRPr="00D20DBC">
        <w:rPr>
          <w:rFonts w:ascii="Verdana" w:hAnsi="Verdana" w:cs="Arial"/>
          <w:color w:val="000000"/>
          <w:sz w:val="16"/>
          <w:szCs w:val="16"/>
        </w:rPr>
        <w:t> Dentro del año siguiente a la entrada en vigor de la presente ley, el Gobierno nacional formulará y adoptará la Estrategia Nacional de Lucha Contra la Corrupción”.</w:t>
      </w:r>
    </w:p>
  </w:footnote>
  <w:footnote w:id="37">
    <w:p w14:paraId="3BAA266E" w14:textId="77777777" w:rsidR="002426E8" w:rsidRPr="00D20DBC" w:rsidRDefault="002426E8" w:rsidP="002426E8">
      <w:pPr>
        <w:spacing w:after="0" w:line="240" w:lineRule="auto"/>
        <w:ind w:firstLine="709"/>
        <w:jc w:val="both"/>
        <w:rPr>
          <w:rFonts w:ascii="Verdana" w:eastAsia="Calibri" w:hAnsi="Verdana" w:cs="Arial"/>
          <w:sz w:val="16"/>
          <w:szCs w:val="16"/>
          <w:lang w:eastAsia="es-ES_tradnl"/>
        </w:rPr>
      </w:pPr>
      <w:r w:rsidRPr="00D20DBC">
        <w:rPr>
          <w:rStyle w:val="Refdenotaalpie"/>
          <w:rFonts w:ascii="Verdana" w:hAnsi="Verdana"/>
          <w:sz w:val="16"/>
          <w:szCs w:val="16"/>
        </w:rPr>
        <w:footnoteRef/>
      </w:r>
      <w:r w:rsidRPr="00D20DBC">
        <w:rPr>
          <w:rFonts w:ascii="Verdana" w:hAnsi="Verdana"/>
          <w:sz w:val="16"/>
          <w:szCs w:val="16"/>
        </w:rPr>
        <w:t xml:space="preserve"> “</w:t>
      </w:r>
      <w:r w:rsidRPr="00D20DBC">
        <w:rPr>
          <w:rFonts w:ascii="Verdana" w:eastAsia="Calibri" w:hAnsi="Verdana" w:cs="Arial"/>
          <w:iCs/>
          <w:sz w:val="16"/>
          <w:szCs w:val="16"/>
          <w:lang w:eastAsia="es-ES_tradnl"/>
        </w:rPr>
        <w:t>Artículo 2.1.4.3.1.2. Ámbito de aplicación. Las disposiciones de este Capítulo rigen en todo el territorio nacional y se aplicarán en todos los organismos, entidades y empresas del Estado del orden nacional y pertenecientes a la Rama Ejecutiva del Poder Público. </w:t>
      </w:r>
      <w:r w:rsidRPr="00D20DBC">
        <w:rPr>
          <w:rFonts w:ascii="Verdana" w:eastAsia="Calibri" w:hAnsi="Verdana" w:cs="Arial"/>
          <w:sz w:val="16"/>
          <w:szCs w:val="16"/>
          <w:lang w:eastAsia="es-ES_tradnl"/>
        </w:rPr>
        <w:t> </w:t>
      </w:r>
    </w:p>
    <w:p w14:paraId="09911EEF" w14:textId="77777777" w:rsidR="002426E8" w:rsidRPr="00D20DBC" w:rsidRDefault="002426E8" w:rsidP="002426E8">
      <w:pPr>
        <w:spacing w:after="0" w:line="240" w:lineRule="auto"/>
        <w:ind w:firstLine="709"/>
        <w:jc w:val="both"/>
        <w:rPr>
          <w:rFonts w:ascii="Verdana" w:eastAsia="Calibri" w:hAnsi="Verdana" w:cs="Arial"/>
          <w:sz w:val="16"/>
          <w:szCs w:val="16"/>
          <w:lang w:eastAsia="es-ES_tradnl"/>
        </w:rPr>
      </w:pPr>
      <w:r w:rsidRPr="00D20DBC">
        <w:rPr>
          <w:rFonts w:ascii="Verdana" w:eastAsia="Calibri" w:hAnsi="Verdana" w:cs="Arial"/>
          <w:iCs/>
          <w:sz w:val="16"/>
          <w:szCs w:val="16"/>
          <w:lang w:eastAsia="es-ES_tradnl"/>
        </w:rPr>
        <w:t>Las empresas industriales y comerciales del Estado, las sociedades de economía mixta y todas las demás instituciones sometidas a regímenes especiales de contratación, darán pleno cumplimiento a las obligaciones consagradas en el presente Capítulo en aquellos aspectos en los que deban aplicar el régimen general de contratación pública. En los aspectos no regulados por dicho régimen, no se aplicará a ellas lo dispuesto en el artículo 2.1.4.3.2.1, las demás disposiciones deberán aplicarse de conformidad con su estructura orgánica y la normativa aplicable a su funcionamiento.</w:t>
      </w:r>
    </w:p>
    <w:p w14:paraId="1F5C698E" w14:textId="77777777" w:rsidR="002426E8" w:rsidRPr="00D20DBC" w:rsidRDefault="002426E8" w:rsidP="002426E8">
      <w:pPr>
        <w:spacing w:after="0" w:line="240" w:lineRule="auto"/>
        <w:ind w:firstLine="709"/>
        <w:jc w:val="both"/>
        <w:rPr>
          <w:rFonts w:ascii="Verdana" w:eastAsia="Calibri" w:hAnsi="Verdana" w:cs="Arial"/>
          <w:sz w:val="16"/>
          <w:szCs w:val="16"/>
          <w:lang w:eastAsia="es-ES_tradnl"/>
        </w:rPr>
      </w:pPr>
      <w:r w:rsidRPr="00D20DBC">
        <w:rPr>
          <w:rFonts w:ascii="Verdana" w:eastAsia="Calibri" w:hAnsi="Verdana" w:cs="Arial"/>
          <w:iCs/>
          <w:sz w:val="16"/>
          <w:szCs w:val="16"/>
          <w:lang w:eastAsia="es-ES_tradnl"/>
        </w:rPr>
        <w:t>Las entidades territoriales y sus entidades descentralizadas, en el marco de su autonomía y en cumplimiento de lo previsto en el artículo 32 de la Ley 152 de 1994, por la cual se establece la Ley orgánica de Plan de Desarrollo, aplicarán en sus planes y políticas, las líneas de acción contenidas en el presente Capítulo, en virtud de lo señalado por el artículo 200 de la Ley 2294 de 2023”. </w:t>
      </w:r>
    </w:p>
  </w:footnote>
  <w:footnote w:id="38">
    <w:p w14:paraId="374A1EF0" w14:textId="77777777" w:rsidR="002426E8" w:rsidRPr="00D20DBC" w:rsidRDefault="002426E8" w:rsidP="002426E8">
      <w:pPr>
        <w:pStyle w:val="Textonotapie"/>
        <w:ind w:firstLine="708"/>
        <w:jc w:val="both"/>
        <w:rPr>
          <w:rFonts w:ascii="Verdana" w:hAnsi="Verdana"/>
          <w:sz w:val="16"/>
          <w:szCs w:val="16"/>
        </w:rPr>
      </w:pPr>
      <w:r w:rsidRPr="00D20DBC">
        <w:rPr>
          <w:rStyle w:val="Refdenotaalpie"/>
          <w:rFonts w:ascii="Verdana" w:hAnsi="Verdana"/>
          <w:sz w:val="16"/>
          <w:szCs w:val="16"/>
        </w:rPr>
        <w:footnoteRef/>
      </w:r>
      <w:r w:rsidRPr="00D20DBC">
        <w:rPr>
          <w:rFonts w:ascii="Verdana" w:hAnsi="Verdana"/>
          <w:sz w:val="16"/>
          <w:szCs w:val="16"/>
        </w:rPr>
        <w:t xml:space="preserve"> El Código de Comercio dispone lo siguiente: </w:t>
      </w:r>
    </w:p>
    <w:p w14:paraId="3191B96D" w14:textId="77777777" w:rsidR="002426E8" w:rsidRPr="00D20DBC" w:rsidRDefault="002426E8" w:rsidP="002426E8">
      <w:pPr>
        <w:pStyle w:val="Textonotapie"/>
        <w:ind w:firstLine="708"/>
        <w:jc w:val="both"/>
        <w:rPr>
          <w:rFonts w:ascii="Verdana" w:hAnsi="Verdana"/>
          <w:sz w:val="16"/>
          <w:szCs w:val="16"/>
        </w:rPr>
      </w:pPr>
      <w:r w:rsidRPr="00D20DBC">
        <w:rPr>
          <w:rFonts w:ascii="Verdana" w:hAnsi="Verdana"/>
          <w:sz w:val="16"/>
          <w:szCs w:val="16"/>
        </w:rPr>
        <w:t>“Artículo 260. SUBORDINACIÓN. Una sociedad será subordinada o controlada cuando su poder de decisión se encuentre sometido a la voluntad de otra u otras personas que serán su matriz o controlante, bien sea directamente, caso en el cual aquélla se denominará filial o con el concurso o por intermedio de las subordinadas de la matriz, en cuyo caso se llamará subsidiaria.</w:t>
      </w:r>
    </w:p>
    <w:p w14:paraId="3E835514" w14:textId="77777777" w:rsidR="002426E8" w:rsidRPr="00D20DBC" w:rsidRDefault="002426E8" w:rsidP="002426E8">
      <w:pPr>
        <w:pStyle w:val="Textonotapie"/>
        <w:ind w:firstLine="708"/>
        <w:jc w:val="both"/>
        <w:rPr>
          <w:rFonts w:ascii="Verdana" w:hAnsi="Verdana"/>
          <w:sz w:val="16"/>
          <w:szCs w:val="16"/>
          <w:lang w:val="es-CO"/>
        </w:rPr>
      </w:pPr>
      <w:r w:rsidRPr="00D20DBC">
        <w:rPr>
          <w:rFonts w:ascii="Verdana" w:hAnsi="Verdana"/>
          <w:sz w:val="16"/>
          <w:szCs w:val="16"/>
          <w:lang w:val="es-CO"/>
        </w:rPr>
        <w:t xml:space="preserve">Artículo 261. PRESUNCIONES DE SUBORDINACIÓN. Será subordinada una sociedad cuando se encuentre en uno o más de los siguientes casos:  </w:t>
      </w:r>
    </w:p>
    <w:p w14:paraId="4F63A8DF" w14:textId="77777777" w:rsidR="002426E8" w:rsidRPr="00D20DBC" w:rsidRDefault="002426E8" w:rsidP="002426E8">
      <w:pPr>
        <w:pStyle w:val="Textonotapie"/>
        <w:ind w:firstLine="708"/>
        <w:jc w:val="both"/>
        <w:rPr>
          <w:rFonts w:ascii="Verdana" w:hAnsi="Verdana"/>
          <w:sz w:val="16"/>
          <w:szCs w:val="16"/>
          <w:lang w:val="es-CO"/>
        </w:rPr>
      </w:pPr>
      <w:r w:rsidRPr="00D20DBC">
        <w:rPr>
          <w:rFonts w:ascii="Verdana" w:hAnsi="Verdana"/>
          <w:sz w:val="16"/>
          <w:szCs w:val="16"/>
          <w:lang w:val="es-CO"/>
        </w:rPr>
        <w:t xml:space="preserve">1. Cuando más del cincuenta por ciento (50%) del capital pertenezca a la matriz, directamente o por intermedio o con el concurso de sus subordinadas, o de las subordinadas de éstas. Para tal efecto, no se computarán las acciones con dividendo preferencial y sin derecho a voto.  </w:t>
      </w:r>
    </w:p>
    <w:p w14:paraId="3D524D3A" w14:textId="77777777" w:rsidR="002426E8" w:rsidRPr="00D20DBC" w:rsidRDefault="002426E8" w:rsidP="002426E8">
      <w:pPr>
        <w:pStyle w:val="Textonotapie"/>
        <w:ind w:firstLine="708"/>
        <w:jc w:val="both"/>
        <w:rPr>
          <w:rFonts w:ascii="Verdana" w:hAnsi="Verdana"/>
          <w:sz w:val="16"/>
          <w:szCs w:val="16"/>
          <w:lang w:val="es-CO"/>
        </w:rPr>
      </w:pPr>
      <w:r w:rsidRPr="00D20DBC">
        <w:rPr>
          <w:rFonts w:ascii="Verdana" w:hAnsi="Verdana"/>
          <w:sz w:val="16"/>
          <w:szCs w:val="16"/>
          <w:lang w:val="es-CO"/>
        </w:rPr>
        <w:t xml:space="preserve">2. Cuando la matriz y las subordinadas tengan conjunta o separadamente el derecho de emitir los votos constitutivos de la mayoría mínima decisoria en la junta de socios o en la asamblea, o tengan el número de votos necesario para elegir la mayoría de miembros de la junta directiva, si la hubiere.  </w:t>
      </w:r>
    </w:p>
    <w:p w14:paraId="19697839" w14:textId="77777777" w:rsidR="002426E8" w:rsidRPr="00D20DBC" w:rsidRDefault="002426E8" w:rsidP="002426E8">
      <w:pPr>
        <w:pStyle w:val="Textonotapie"/>
        <w:ind w:firstLine="708"/>
        <w:jc w:val="both"/>
        <w:rPr>
          <w:rFonts w:ascii="Verdana" w:hAnsi="Verdana"/>
          <w:sz w:val="16"/>
          <w:szCs w:val="16"/>
          <w:lang w:val="es-CO"/>
        </w:rPr>
      </w:pPr>
      <w:r w:rsidRPr="00D20DBC">
        <w:rPr>
          <w:rFonts w:ascii="Verdana" w:hAnsi="Verdana"/>
          <w:sz w:val="16"/>
          <w:szCs w:val="16"/>
          <w:lang w:val="es-CO"/>
        </w:rPr>
        <w:t xml:space="preserve">3. Cuando la matriz, directamente o por intermedio o con el concurso de las subordinadas, en razón de un acto o negocio con la sociedad controlada o con sus socios, ejerza influencia dominante en las decisiones de los órganos de administración de la sociedad.  </w:t>
      </w:r>
    </w:p>
    <w:p w14:paraId="7E35E77D" w14:textId="77777777" w:rsidR="002426E8" w:rsidRPr="00D20DBC" w:rsidRDefault="002426E8" w:rsidP="002426E8">
      <w:pPr>
        <w:pStyle w:val="Textonotapie"/>
        <w:ind w:firstLine="708"/>
        <w:jc w:val="both"/>
        <w:rPr>
          <w:rFonts w:ascii="Verdana" w:hAnsi="Verdana"/>
          <w:sz w:val="16"/>
          <w:szCs w:val="16"/>
          <w:lang w:val="es-CO"/>
        </w:rPr>
      </w:pPr>
      <w:r w:rsidRPr="00D20DBC">
        <w:rPr>
          <w:rFonts w:ascii="Verdana" w:hAnsi="Verdana"/>
          <w:sz w:val="16"/>
          <w:szCs w:val="16"/>
          <w:lang w:val="es-CO"/>
        </w:rPr>
        <w:t xml:space="preserve">Parágrafo 1. Igualmente habrá subordinación, para todos los efectos legales, cuando el control conforme a los supuestos previstos en el presente artículo, sea ejercido por una o varias personas naturales o jurídicas de naturaleza no societaria, bien sea directamente o por intermedio o con el concurso de entidades en las cuales éstas posean más del cincuenta por ciento (50%) del capital o configure la mayoría mínima para la toma de decisiones o ejerzan influencia dominante en la dirección o toma de decisiones de la entidad.  </w:t>
      </w:r>
    </w:p>
    <w:p w14:paraId="74FE9CDE" w14:textId="77777777" w:rsidR="002426E8" w:rsidRPr="00D20DBC" w:rsidRDefault="002426E8" w:rsidP="002426E8">
      <w:pPr>
        <w:pStyle w:val="Textonotapie"/>
        <w:ind w:firstLine="708"/>
        <w:jc w:val="both"/>
        <w:rPr>
          <w:rFonts w:ascii="Verdana" w:hAnsi="Verdana"/>
          <w:sz w:val="16"/>
          <w:szCs w:val="16"/>
          <w:lang w:val="es-CO"/>
        </w:rPr>
      </w:pPr>
      <w:r w:rsidRPr="00D20DBC">
        <w:rPr>
          <w:rFonts w:ascii="Verdana" w:hAnsi="Verdana"/>
          <w:sz w:val="16"/>
          <w:szCs w:val="16"/>
          <w:lang w:val="es-CO"/>
        </w:rPr>
        <w:t>Parágrafo 2°. Así mismo, una sociedad se considera subordinada cuando el control sea ejercido por otra sociedad, por intermedio o con el concurso de alguna o algunas de las entidades mencionadas en el parágrafo anterior”.</w:t>
      </w:r>
    </w:p>
    <w:p w14:paraId="66D4F798" w14:textId="77777777" w:rsidR="002426E8" w:rsidRPr="00D20DBC" w:rsidRDefault="002426E8" w:rsidP="002426E8">
      <w:pPr>
        <w:pStyle w:val="Textonotapie"/>
        <w:ind w:firstLine="708"/>
        <w:jc w:val="both"/>
        <w:rPr>
          <w:rFonts w:ascii="Verdana" w:hAnsi="Verdana"/>
          <w:sz w:val="16"/>
          <w:szCs w:val="16"/>
        </w:rPr>
      </w:pPr>
      <w:r w:rsidRPr="00D20DBC">
        <w:rPr>
          <w:rFonts w:ascii="Verdana" w:hAnsi="Verdana"/>
          <w:sz w:val="16"/>
          <w:szCs w:val="16"/>
        </w:rPr>
        <w:t xml:space="preserve">  </w:t>
      </w:r>
    </w:p>
  </w:footnote>
  <w:footnote w:id="39">
    <w:p w14:paraId="132B614E" w14:textId="77777777" w:rsidR="002426E8" w:rsidRPr="00F765ED" w:rsidRDefault="002426E8" w:rsidP="002426E8">
      <w:pPr>
        <w:pStyle w:val="Textonotapie"/>
        <w:ind w:firstLine="708"/>
        <w:jc w:val="both"/>
        <w:rPr>
          <w:rFonts w:ascii="Verdana" w:hAnsi="Verdana"/>
          <w:sz w:val="16"/>
          <w:szCs w:val="16"/>
        </w:rPr>
      </w:pPr>
      <w:r w:rsidRPr="00F765ED">
        <w:rPr>
          <w:rStyle w:val="Refdenotaalpie"/>
          <w:rFonts w:ascii="Verdana" w:hAnsi="Verdana"/>
          <w:sz w:val="16"/>
          <w:szCs w:val="16"/>
        </w:rPr>
        <w:footnoteRef/>
      </w:r>
      <w:r w:rsidRPr="00F765ED">
        <w:rPr>
          <w:rFonts w:ascii="Verdana" w:hAnsi="Verdana"/>
          <w:sz w:val="16"/>
          <w:szCs w:val="16"/>
        </w:rPr>
        <w:t xml:space="preserve"> </w:t>
      </w:r>
      <w:r>
        <w:rPr>
          <w:rFonts w:ascii="Verdana" w:hAnsi="Verdana"/>
          <w:sz w:val="16"/>
          <w:szCs w:val="16"/>
        </w:rPr>
        <w:t>El artículo 27 de la Ley 1121 de 2006 prescribe que “</w:t>
      </w:r>
      <w:r w:rsidRPr="00F765ED">
        <w:rPr>
          <w:rFonts w:ascii="Verdana" w:hAnsi="Verdana"/>
          <w:sz w:val="16"/>
          <w:szCs w:val="16"/>
        </w:rPr>
        <w:t>El Estado colombiano y las Entidades Territoriales en cualquier proceso de contratación deberán identificar plenamente a las personas naturales y a las personas jurídicas que suscriban el contrato, así como el origen de sus recursos; lo anterior con el fin de prevenir actividades delictivas</w:t>
      </w:r>
      <w:r>
        <w:rPr>
          <w:rFonts w:ascii="Verdana" w:hAnsi="Verdana"/>
          <w:sz w:val="16"/>
          <w:szCs w:val="16"/>
        </w:rPr>
        <w:t>”</w:t>
      </w:r>
      <w:r w:rsidRPr="00F765ED">
        <w:rPr>
          <w:rFonts w:ascii="Verdana" w:hAnsi="Verdana"/>
          <w:sz w:val="16"/>
          <w:szCs w:val="16"/>
        </w:rPr>
        <w:t>.</w:t>
      </w:r>
    </w:p>
  </w:footnote>
  <w:footnote w:id="40">
    <w:p w14:paraId="0240B413" w14:textId="77777777" w:rsidR="002426E8" w:rsidRPr="0073106B" w:rsidRDefault="002426E8" w:rsidP="002426E8">
      <w:pPr>
        <w:pStyle w:val="Textonotapie"/>
        <w:ind w:firstLine="708"/>
        <w:jc w:val="both"/>
        <w:rPr>
          <w:rFonts w:ascii="Verdana" w:hAnsi="Verdana"/>
          <w:sz w:val="16"/>
          <w:szCs w:val="16"/>
        </w:rPr>
      </w:pPr>
      <w:r w:rsidRPr="0073106B">
        <w:rPr>
          <w:rStyle w:val="Refdenotaalpie"/>
          <w:rFonts w:ascii="Verdana" w:hAnsi="Verdana"/>
          <w:sz w:val="16"/>
          <w:szCs w:val="16"/>
        </w:rPr>
        <w:footnoteRef/>
      </w:r>
      <w:r w:rsidRPr="0073106B">
        <w:rPr>
          <w:rFonts w:ascii="Verdana" w:hAnsi="Verdana"/>
          <w:sz w:val="16"/>
          <w:szCs w:val="16"/>
        </w:rPr>
        <w:t xml:space="preserve"> </w:t>
      </w:r>
      <w:r>
        <w:rPr>
          <w:rFonts w:ascii="Verdana" w:hAnsi="Verdana"/>
          <w:sz w:val="16"/>
          <w:szCs w:val="16"/>
        </w:rPr>
        <w:t>El artículo 30 de la Ley 222 de 1995 dispone lo siguiente: “</w:t>
      </w:r>
      <w:r w:rsidRPr="0073106B">
        <w:rPr>
          <w:rFonts w:ascii="Verdana" w:hAnsi="Verdana"/>
          <w:i/>
          <w:iCs/>
          <w:sz w:val="16"/>
          <w:szCs w:val="16"/>
        </w:rPr>
        <w:t>Cuando de conformidad con lo previsto en los artículos 260 y 261 del Código de Comercio, se configure una situación de control, la sociedad controlante lo hará constar en documento privado que deberá contener el nombre, domicilio, nacionalidad y actividad de los vinculados, así como el presupuesto que da lugar a la situación de control. Dicho documento deberá presentarse para su inscripción en el registro mercantil correspondiente a la circunscripción de cada uno de los vinculados, dentro de los treinta días siguientes a la configuración de la situación de control.</w:t>
      </w:r>
    </w:p>
    <w:p w14:paraId="0748DC00" w14:textId="77777777" w:rsidR="002426E8" w:rsidRPr="0073106B" w:rsidRDefault="002426E8" w:rsidP="002426E8">
      <w:pPr>
        <w:pStyle w:val="Textonotapie"/>
        <w:ind w:firstLine="708"/>
        <w:jc w:val="both"/>
        <w:rPr>
          <w:rFonts w:ascii="Verdana" w:hAnsi="Verdana"/>
          <w:sz w:val="16"/>
          <w:szCs w:val="16"/>
        </w:rPr>
      </w:pPr>
      <w:r w:rsidRPr="0073106B">
        <w:rPr>
          <w:rFonts w:ascii="Verdana" w:hAnsi="Verdana"/>
          <w:sz w:val="16"/>
          <w:szCs w:val="16"/>
        </w:rPr>
        <w:t>Si vencido el plazo a que se refiere el inciso anterior, no se hubiere efectuado la inscripción a que alude este artículo, la Superintendencia de Sociedades, o en su caso la de Valores o Bancaria, de oficio o a solicitud de cualquier interesado, declarará la situación de vinculación y ordenará la inscripción en el Registro Mercantil, sin perjuicio de la imposición de las multas a que haya lugar por dicha omisión.</w:t>
      </w:r>
    </w:p>
    <w:p w14:paraId="112CAE18" w14:textId="77777777" w:rsidR="002426E8" w:rsidRPr="0073106B" w:rsidRDefault="002426E8" w:rsidP="002426E8">
      <w:pPr>
        <w:pStyle w:val="Textonotapie"/>
        <w:ind w:firstLine="708"/>
        <w:jc w:val="both"/>
        <w:rPr>
          <w:rFonts w:ascii="Verdana" w:hAnsi="Verdana"/>
          <w:sz w:val="16"/>
          <w:szCs w:val="16"/>
        </w:rPr>
      </w:pPr>
      <w:r w:rsidRPr="0073106B">
        <w:rPr>
          <w:rFonts w:ascii="Verdana" w:hAnsi="Verdana"/>
          <w:sz w:val="16"/>
          <w:szCs w:val="16"/>
        </w:rPr>
        <w:t>En los casos en que se den los supuestos para que exista grupo empresarial se aplicará la presente disposición. No obstante, cumplido el requisito de inscripción del grupo empresarial en el registro mercantil, no será necesaria la inscripción de la situación de control entre las sociedades que lo conforman.</w:t>
      </w:r>
    </w:p>
    <w:p w14:paraId="7A1F7AC4" w14:textId="77777777" w:rsidR="002426E8" w:rsidRPr="0073106B" w:rsidRDefault="002426E8" w:rsidP="002426E8">
      <w:pPr>
        <w:pStyle w:val="Textonotapie"/>
        <w:ind w:firstLine="708"/>
        <w:jc w:val="both"/>
        <w:rPr>
          <w:rFonts w:ascii="Verdana" w:hAnsi="Verdana"/>
          <w:i/>
          <w:iCs/>
          <w:sz w:val="16"/>
          <w:szCs w:val="16"/>
        </w:rPr>
      </w:pPr>
      <w:r w:rsidRPr="0073106B">
        <w:rPr>
          <w:rFonts w:ascii="Verdana" w:hAnsi="Verdana"/>
          <w:sz w:val="16"/>
          <w:szCs w:val="16"/>
        </w:rPr>
        <w:t xml:space="preserve">PARAGRAFO 1o. </w:t>
      </w:r>
      <w:r w:rsidRPr="0073106B">
        <w:rPr>
          <w:rFonts w:ascii="Verdana" w:hAnsi="Verdana"/>
          <w:i/>
          <w:iCs/>
          <w:sz w:val="16"/>
          <w:szCs w:val="16"/>
        </w:rPr>
        <w:t>Las Cámaras de Comercio estarán obligadas a hacer constar en el certificado de existencia y representación legal la calidad de matriz o subordinada que tenga la sociedad así como su vinculación a un grupo empresarial, de acuerdo con los criterios previstos en la presente ley.</w:t>
      </w:r>
    </w:p>
    <w:p w14:paraId="24B59AAB" w14:textId="77777777" w:rsidR="002426E8" w:rsidRPr="0073106B" w:rsidRDefault="002426E8" w:rsidP="002426E8">
      <w:pPr>
        <w:pStyle w:val="Textonotapie"/>
        <w:ind w:firstLine="708"/>
        <w:jc w:val="both"/>
        <w:rPr>
          <w:rFonts w:ascii="Verdana" w:hAnsi="Verdana"/>
          <w:sz w:val="16"/>
          <w:szCs w:val="16"/>
          <w:lang w:val="es-CO"/>
        </w:rPr>
      </w:pPr>
      <w:r w:rsidRPr="0073106B">
        <w:rPr>
          <w:rFonts w:ascii="Verdana" w:hAnsi="Verdana"/>
          <w:sz w:val="16"/>
          <w:szCs w:val="16"/>
        </w:rPr>
        <w:t>PARAGRAFO 2o. Toda modificación de la situación de control o del grupo, se inscribirá en el Registro Mercantil. Cuando dicho requisito se omita, la entidad estatal que ejerza la inspección, vigilancia o control de cualquiera de las vinculadas podrá en los términos señalados en este artículo, ordenar la inscripción correspondiente</w:t>
      </w:r>
      <w:r>
        <w:rPr>
          <w:rFonts w:ascii="Verdana" w:hAnsi="Verdana"/>
          <w:sz w:val="16"/>
          <w:szCs w:val="16"/>
        </w:rPr>
        <w:t>” (Énfasis fuera de texto)</w:t>
      </w:r>
      <w:r w:rsidRPr="0073106B">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5E3F"/>
    <w:rsid w:val="00016F78"/>
    <w:rsid w:val="00046945"/>
    <w:rsid w:val="00061B2A"/>
    <w:rsid w:val="00082362"/>
    <w:rsid w:val="000A683E"/>
    <w:rsid w:val="000B19B9"/>
    <w:rsid w:val="000D0334"/>
    <w:rsid w:val="000D5DA7"/>
    <w:rsid w:val="000F6486"/>
    <w:rsid w:val="00116940"/>
    <w:rsid w:val="001247D7"/>
    <w:rsid w:val="00125105"/>
    <w:rsid w:val="00127233"/>
    <w:rsid w:val="0015699B"/>
    <w:rsid w:val="0017283C"/>
    <w:rsid w:val="001A33BF"/>
    <w:rsid w:val="001C29FB"/>
    <w:rsid w:val="001C75FC"/>
    <w:rsid w:val="001E4177"/>
    <w:rsid w:val="001E4B33"/>
    <w:rsid w:val="001F0B24"/>
    <w:rsid w:val="001F7DC6"/>
    <w:rsid w:val="00205C7C"/>
    <w:rsid w:val="0021064C"/>
    <w:rsid w:val="0022400B"/>
    <w:rsid w:val="002421BB"/>
    <w:rsid w:val="002426E8"/>
    <w:rsid w:val="0025796E"/>
    <w:rsid w:val="00264BBF"/>
    <w:rsid w:val="002707A2"/>
    <w:rsid w:val="00271791"/>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472C0"/>
    <w:rsid w:val="003570F9"/>
    <w:rsid w:val="00374F5E"/>
    <w:rsid w:val="00375B9A"/>
    <w:rsid w:val="00377E3E"/>
    <w:rsid w:val="0038119B"/>
    <w:rsid w:val="00394830"/>
    <w:rsid w:val="003A3EC0"/>
    <w:rsid w:val="003A779E"/>
    <w:rsid w:val="003D0F4D"/>
    <w:rsid w:val="003D5B0D"/>
    <w:rsid w:val="003E0499"/>
    <w:rsid w:val="003E4F80"/>
    <w:rsid w:val="003E6439"/>
    <w:rsid w:val="003F3941"/>
    <w:rsid w:val="00406575"/>
    <w:rsid w:val="00414C74"/>
    <w:rsid w:val="0042722E"/>
    <w:rsid w:val="0044528D"/>
    <w:rsid w:val="00451F23"/>
    <w:rsid w:val="00466E39"/>
    <w:rsid w:val="004A1847"/>
    <w:rsid w:val="004A305D"/>
    <w:rsid w:val="004D292B"/>
    <w:rsid w:val="004D3569"/>
    <w:rsid w:val="004E7655"/>
    <w:rsid w:val="004F21C4"/>
    <w:rsid w:val="004F685F"/>
    <w:rsid w:val="005566E8"/>
    <w:rsid w:val="00574867"/>
    <w:rsid w:val="00587FBF"/>
    <w:rsid w:val="00591460"/>
    <w:rsid w:val="005A65E0"/>
    <w:rsid w:val="005B2120"/>
    <w:rsid w:val="005C142E"/>
    <w:rsid w:val="005C3777"/>
    <w:rsid w:val="005C5CDC"/>
    <w:rsid w:val="005D2561"/>
    <w:rsid w:val="005D3C03"/>
    <w:rsid w:val="005D476C"/>
    <w:rsid w:val="006200BF"/>
    <w:rsid w:val="006219F8"/>
    <w:rsid w:val="006302F7"/>
    <w:rsid w:val="00636FFB"/>
    <w:rsid w:val="00646B9F"/>
    <w:rsid w:val="00665D70"/>
    <w:rsid w:val="006900D9"/>
    <w:rsid w:val="00702E9D"/>
    <w:rsid w:val="00706C16"/>
    <w:rsid w:val="007340C3"/>
    <w:rsid w:val="00751F59"/>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4932"/>
    <w:rsid w:val="00867F95"/>
    <w:rsid w:val="00880D43"/>
    <w:rsid w:val="008843B6"/>
    <w:rsid w:val="00891928"/>
    <w:rsid w:val="008A1F41"/>
    <w:rsid w:val="008A41DB"/>
    <w:rsid w:val="008A446D"/>
    <w:rsid w:val="008B25F1"/>
    <w:rsid w:val="008D180B"/>
    <w:rsid w:val="008F0EA7"/>
    <w:rsid w:val="00923EEF"/>
    <w:rsid w:val="00927251"/>
    <w:rsid w:val="009419F9"/>
    <w:rsid w:val="0095685E"/>
    <w:rsid w:val="00957C19"/>
    <w:rsid w:val="00961B09"/>
    <w:rsid w:val="00965334"/>
    <w:rsid w:val="0097093E"/>
    <w:rsid w:val="00976387"/>
    <w:rsid w:val="009A0DFA"/>
    <w:rsid w:val="009A1C6F"/>
    <w:rsid w:val="009B2D26"/>
    <w:rsid w:val="009C71FA"/>
    <w:rsid w:val="009C72E7"/>
    <w:rsid w:val="009C7F7E"/>
    <w:rsid w:val="009D2298"/>
    <w:rsid w:val="009D3058"/>
    <w:rsid w:val="009D4616"/>
    <w:rsid w:val="009F3A13"/>
    <w:rsid w:val="00A122D3"/>
    <w:rsid w:val="00A14468"/>
    <w:rsid w:val="00A17F13"/>
    <w:rsid w:val="00A20739"/>
    <w:rsid w:val="00A23AF9"/>
    <w:rsid w:val="00A260CF"/>
    <w:rsid w:val="00A33C78"/>
    <w:rsid w:val="00AB0ADB"/>
    <w:rsid w:val="00B00C0E"/>
    <w:rsid w:val="00B01B1A"/>
    <w:rsid w:val="00B0381D"/>
    <w:rsid w:val="00B44A47"/>
    <w:rsid w:val="00B67317"/>
    <w:rsid w:val="00B72CD3"/>
    <w:rsid w:val="00B72FFF"/>
    <w:rsid w:val="00B81BB5"/>
    <w:rsid w:val="00BA1336"/>
    <w:rsid w:val="00BC3D36"/>
    <w:rsid w:val="00BC4837"/>
    <w:rsid w:val="00BD54A6"/>
    <w:rsid w:val="00BD7F72"/>
    <w:rsid w:val="00BF22DA"/>
    <w:rsid w:val="00BF7425"/>
    <w:rsid w:val="00C04FB3"/>
    <w:rsid w:val="00C11D8B"/>
    <w:rsid w:val="00C15139"/>
    <w:rsid w:val="00C330EB"/>
    <w:rsid w:val="00C50D69"/>
    <w:rsid w:val="00C5365C"/>
    <w:rsid w:val="00C754BE"/>
    <w:rsid w:val="00C76B1C"/>
    <w:rsid w:val="00C925AC"/>
    <w:rsid w:val="00CB6357"/>
    <w:rsid w:val="00CC1B26"/>
    <w:rsid w:val="00CE2E3E"/>
    <w:rsid w:val="00D144CA"/>
    <w:rsid w:val="00D14946"/>
    <w:rsid w:val="00D23271"/>
    <w:rsid w:val="00D361FD"/>
    <w:rsid w:val="00D423A2"/>
    <w:rsid w:val="00D44E26"/>
    <w:rsid w:val="00D520D8"/>
    <w:rsid w:val="00D6107D"/>
    <w:rsid w:val="00D63AC2"/>
    <w:rsid w:val="00D666D6"/>
    <w:rsid w:val="00D7383B"/>
    <w:rsid w:val="00D7788A"/>
    <w:rsid w:val="00DA231B"/>
    <w:rsid w:val="00DC39FC"/>
    <w:rsid w:val="00DD2E40"/>
    <w:rsid w:val="00DE6DAA"/>
    <w:rsid w:val="00DF5254"/>
    <w:rsid w:val="00E02524"/>
    <w:rsid w:val="00E16408"/>
    <w:rsid w:val="00E20894"/>
    <w:rsid w:val="00E22B72"/>
    <w:rsid w:val="00E245AB"/>
    <w:rsid w:val="00E2764C"/>
    <w:rsid w:val="00E27F2E"/>
    <w:rsid w:val="00E50844"/>
    <w:rsid w:val="00E50AFE"/>
    <w:rsid w:val="00E75C92"/>
    <w:rsid w:val="00E771DC"/>
    <w:rsid w:val="00E8772A"/>
    <w:rsid w:val="00E90F6B"/>
    <w:rsid w:val="00E92C27"/>
    <w:rsid w:val="00E95EE4"/>
    <w:rsid w:val="00EA0E3D"/>
    <w:rsid w:val="00EA18A6"/>
    <w:rsid w:val="00EC38A7"/>
    <w:rsid w:val="00EE1AA8"/>
    <w:rsid w:val="00EF5051"/>
    <w:rsid w:val="00F23FEA"/>
    <w:rsid w:val="00F31EDC"/>
    <w:rsid w:val="00F462B3"/>
    <w:rsid w:val="00F5664F"/>
    <w:rsid w:val="00F666C4"/>
    <w:rsid w:val="00F76AFC"/>
    <w:rsid w:val="00F77C56"/>
    <w:rsid w:val="00FA47C0"/>
    <w:rsid w:val="00FB35F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5DD5EE4A"/>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2426E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426E8"/>
    <w:rPr>
      <w:rFonts w:ascii="Geomanist Light" w:hAnsi="Geomanist Light"/>
      <w:lang w:val="es-ES"/>
    </w:rPr>
  </w:style>
  <w:style w:type="character" w:customStyle="1" w:styleId="s15">
    <w:name w:val="s15"/>
    <w:basedOn w:val="Fuentedeprrafopredeter"/>
    <w:rsid w:val="002426E8"/>
  </w:style>
  <w:style w:type="character" w:customStyle="1" w:styleId="NormalWebCar">
    <w:name w:val="Normal (Web) Car"/>
    <w:link w:val="NormalWeb"/>
    <w:uiPriority w:val="99"/>
    <w:rsid w:val="002426E8"/>
    <w:rPr>
      <w:rFonts w:ascii="Times New Roman" w:eastAsia="Times New Roman" w:hAnsi="Times New Roman" w:cs="Times New Roman"/>
      <w:sz w:val="24"/>
      <w:szCs w:val="24"/>
      <w:lang w:eastAsia="es-CO"/>
    </w:rPr>
  </w:style>
  <w:style w:type="character" w:styleId="Fuerte">
    <w:name w:val="Strong"/>
    <w:basedOn w:val="Fuentedeprrafopredeter"/>
    <w:uiPriority w:val="22"/>
    <w:qFormat/>
    <w:rsid w:val="002426E8"/>
    <w:rPr>
      <w:b/>
      <w:bCs/>
    </w:rPr>
  </w:style>
  <w:style w:type="paragraph" w:styleId="Sinespaciado">
    <w:name w:val="No Spacing"/>
    <w:aliases w:val="No Indent"/>
    <w:uiPriority w:val="3"/>
    <w:qFormat/>
    <w:rsid w:val="002426E8"/>
    <w:pPr>
      <w:spacing w:after="0" w:line="240" w:lineRule="auto"/>
    </w:pPr>
    <w:rPr>
      <w:sz w:val="24"/>
      <w:lang w:val="es-MX"/>
    </w:rPr>
  </w:style>
  <w:style w:type="character" w:styleId="nfasis">
    <w:name w:val="Emphasis"/>
    <w:basedOn w:val="Fuentedeprrafopredeter"/>
    <w:uiPriority w:val="20"/>
    <w:qFormat/>
    <w:rsid w:val="002426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info@alvaroperezcastro.com" TargetMode="External"/><Relationship Id="rId17" Type="http://schemas.openxmlformats.org/officeDocument/2006/relationships/hyperlink" Target="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funcionpublica.gov.co/eva/gestornormativo/norma.php?i=9807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77634496-2EEB-467E-A805-B17484999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6EF34B50-B224-CE49-882F-7F4641A8D675}">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42</Pages>
  <Words>13192</Words>
  <Characters>72557</Characters>
  <Application>Microsoft Office Word</Application>
  <DocSecurity>0</DocSecurity>
  <Lines>604</Lines>
  <Paragraphs>171</Paragraphs>
  <ScaleCrop>false</ScaleCrop>
  <Company/>
  <LinksUpToDate>false</LinksUpToDate>
  <CharactersWithSpaces>85578</CharactersWithSpaces>
  <SharedDoc>false</SharedDoc>
  <HLinks>
    <vt:vector size="60" baseType="variant">
      <vt:variant>
        <vt:i4>4456513</vt:i4>
      </vt:variant>
      <vt:variant>
        <vt:i4>24</vt:i4>
      </vt:variant>
      <vt:variant>
        <vt:i4>0</vt:i4>
      </vt:variant>
      <vt:variant>
        <vt:i4>5</vt:i4>
      </vt:variant>
      <vt:variant>
        <vt:lpwstr>https://forms.office.com/r/pPHyWVs2SZ</vt:lpwstr>
      </vt:variant>
      <vt:variant>
        <vt:lpwstr/>
      </vt:variant>
      <vt:variant>
        <vt:i4>3407926</vt:i4>
      </vt:variant>
      <vt:variant>
        <vt:i4>21</vt:i4>
      </vt:variant>
      <vt:variant>
        <vt:i4>0</vt:i4>
      </vt:variant>
      <vt:variant>
        <vt:i4>5</vt:i4>
      </vt:variant>
      <vt:variant>
        <vt:lpwstr>https://www.colombiacompra.gov.co/pqrsd/informacion-importante-antes-de-formular-una-pqrsd</vt:lpwstr>
      </vt:variant>
      <vt:variant>
        <vt:lpwstr/>
      </vt:variant>
      <vt:variant>
        <vt:i4>4980779</vt:i4>
      </vt:variant>
      <vt:variant>
        <vt:i4>18</vt:i4>
      </vt:variant>
      <vt:variant>
        <vt:i4>0</vt:i4>
      </vt:variant>
      <vt:variant>
        <vt:i4>5</vt:i4>
      </vt:variant>
      <vt:variant>
        <vt:lpwstr>mailto:ventanilladeradicacion@colombiacompra.gov.co</vt:lpwstr>
      </vt:variant>
      <vt:variant>
        <vt:lpwstr/>
      </vt:variant>
      <vt:variant>
        <vt:i4>2752625</vt:i4>
      </vt:variant>
      <vt:variant>
        <vt:i4>15</vt:i4>
      </vt:variant>
      <vt:variant>
        <vt:i4>0</vt:i4>
      </vt:variant>
      <vt:variant>
        <vt:i4>5</vt:i4>
      </vt:variant>
      <vt:variant>
        <vt:lpwstr>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vt:lpwstr>
      </vt:variant>
      <vt:variant>
        <vt:lpwstr/>
      </vt:variant>
      <vt:variant>
        <vt:i4>8192122</vt:i4>
      </vt:variant>
      <vt:variant>
        <vt:i4>12</vt:i4>
      </vt:variant>
      <vt:variant>
        <vt:i4>0</vt:i4>
      </vt:variant>
      <vt:variant>
        <vt:i4>5</vt:i4>
      </vt:variant>
      <vt:variant>
        <vt:lpwstr>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vt:lpwstr>
      </vt:variant>
      <vt:variant>
        <vt:lpwstr/>
      </vt:variant>
      <vt:variant>
        <vt:i4>8126586</vt:i4>
      </vt:variant>
      <vt:variant>
        <vt:i4>9</vt:i4>
      </vt:variant>
      <vt:variant>
        <vt:i4>0</vt:i4>
      </vt:variant>
      <vt:variant>
        <vt:i4>5</vt:i4>
      </vt:variant>
      <vt:variant>
        <vt:lpwstr>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vt:lpwstr>
      </vt:variant>
      <vt:variant>
        <vt:lpwstr/>
      </vt:variant>
      <vt:variant>
        <vt:i4>2490422</vt:i4>
      </vt:variant>
      <vt:variant>
        <vt:i4>6</vt:i4>
      </vt:variant>
      <vt:variant>
        <vt:i4>0</vt:i4>
      </vt:variant>
      <vt:variant>
        <vt:i4>5</vt:i4>
      </vt:variant>
      <vt:variant>
        <vt:lpwstr>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7077967</vt:i4>
      </vt:variant>
      <vt:variant>
        <vt:i4>0</vt:i4>
      </vt:variant>
      <vt:variant>
        <vt:i4>0</vt:i4>
      </vt:variant>
      <vt:variant>
        <vt:i4>5</vt:i4>
      </vt:variant>
      <vt:variant>
        <vt:lpwstr>mailto:info@alvaroperezcastro.com</vt:lpwstr>
      </vt:variant>
      <vt:variant>
        <vt:lpwstr/>
      </vt:variant>
      <vt:variant>
        <vt:i4>2752556</vt:i4>
      </vt:variant>
      <vt:variant>
        <vt:i4>0</vt:i4>
      </vt:variant>
      <vt:variant>
        <vt:i4>0</vt:i4>
      </vt:variant>
      <vt:variant>
        <vt:i4>5</vt:i4>
      </vt:variant>
      <vt:variant>
        <vt:lpwstr>https://www.funcionpublica.gov.co/eva/gestornormativo/norma.php?i=98077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2026-08-13T00:20:00Z</dcterms:created>
  <dcterms:modified xsi:type="dcterms:W3CDTF">2026-08-18T15:43:00Z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