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F53D3" w14:textId="77777777" w:rsidR="006F4EF4" w:rsidRPr="006F4EF4" w:rsidRDefault="006F4EF4" w:rsidP="00480B7B">
      <w:pPr>
        <w:spacing w:after="0" w:line="240" w:lineRule="auto"/>
        <w:jc w:val="both"/>
        <w:rPr>
          <w:rFonts w:ascii="Verdana" w:eastAsia="Verdana" w:hAnsi="Verdana" w:cs="Verdana"/>
          <w:b/>
          <w:lang w:val="es-ES"/>
        </w:rPr>
      </w:pPr>
      <w:bookmarkStart w:id="0" w:name="_Hlk143780582"/>
      <w:r w:rsidRPr="006F4EF4">
        <w:rPr>
          <w:rFonts w:ascii="Verdana" w:eastAsia="Verdana" w:hAnsi="Verdana" w:cs="Verdana"/>
          <w:b/>
          <w:lang w:val="es-ES"/>
        </w:rPr>
        <w:t>CONTRATO ESTATAL – Ejercicio – Funciones de control y vigilancia</w:t>
      </w:r>
    </w:p>
    <w:p w14:paraId="0EC54C08" w14:textId="77777777" w:rsidR="006F4EF4" w:rsidRDefault="006F4EF4" w:rsidP="00480B7B">
      <w:pPr>
        <w:spacing w:after="0" w:line="240" w:lineRule="auto"/>
        <w:jc w:val="both"/>
        <w:rPr>
          <w:rFonts w:ascii="Verdana" w:eastAsia="Verdana" w:hAnsi="Verdana" w:cs="Verdana"/>
          <w:b/>
          <w:lang w:val="es-ES"/>
        </w:rPr>
      </w:pPr>
    </w:p>
    <w:p w14:paraId="3B016985" w14:textId="77777777" w:rsidR="00F41ACF" w:rsidRDefault="00F41ACF" w:rsidP="00480B7B">
      <w:pPr>
        <w:spacing w:after="0" w:line="240" w:lineRule="auto"/>
        <w:jc w:val="both"/>
        <w:rPr>
          <w:rFonts w:ascii="Verdana" w:eastAsia="Verdana" w:hAnsi="Verdana" w:cs="Verdana"/>
          <w:bCs/>
          <w:sz w:val="20"/>
          <w:szCs w:val="20"/>
          <w:lang w:val="es-ES"/>
        </w:rPr>
      </w:pPr>
      <w:r w:rsidRPr="00F41ACF">
        <w:rPr>
          <w:rFonts w:ascii="Verdana" w:eastAsia="Verdana" w:hAnsi="Verdana" w:cs="Verdana"/>
          <w:bCs/>
          <w:sz w:val="20"/>
          <w:szCs w:val="20"/>
          <w:lang w:val="es-ES"/>
        </w:rPr>
        <w:t>A través de la actividad contractual, el Estado adquiere bienes, obras y servicios para cumplir los fines que le impone el ordenamiento jurídico, garantizando así la continua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3C9E8F35" w14:textId="77777777" w:rsidR="00F41ACF" w:rsidRPr="00F41ACF" w:rsidRDefault="00F41ACF" w:rsidP="00480B7B">
      <w:pPr>
        <w:spacing w:after="0" w:line="240" w:lineRule="auto"/>
        <w:jc w:val="both"/>
        <w:rPr>
          <w:rFonts w:ascii="Verdana" w:eastAsia="Verdana" w:hAnsi="Verdana" w:cs="Verdana"/>
          <w:bCs/>
          <w:sz w:val="20"/>
          <w:szCs w:val="20"/>
          <w:lang w:val="es-ES"/>
        </w:rPr>
      </w:pPr>
    </w:p>
    <w:p w14:paraId="4039E583" w14:textId="77777777" w:rsidR="00F41ACF" w:rsidRPr="00F41ACF" w:rsidRDefault="00F41ACF" w:rsidP="00480B7B">
      <w:pPr>
        <w:spacing w:after="0" w:line="240" w:lineRule="auto"/>
        <w:jc w:val="both"/>
        <w:rPr>
          <w:rFonts w:ascii="Verdana" w:eastAsia="Verdana" w:hAnsi="Verdana" w:cs="Verdana"/>
          <w:bCs/>
          <w:sz w:val="20"/>
          <w:szCs w:val="20"/>
          <w:lang w:val="es-ES"/>
        </w:rPr>
      </w:pPr>
      <w:r w:rsidRPr="00F41ACF">
        <w:rPr>
          <w:rFonts w:ascii="Verdana" w:eastAsia="Verdana" w:hAnsi="Verdana" w:cs="Verdana"/>
          <w:bCs/>
          <w:sz w:val="20"/>
          <w:szCs w:val="20"/>
          <w:lang w:val="es-ES"/>
        </w:rPr>
        <w:t>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23ABC886" w14:textId="77777777" w:rsidR="00F41ACF" w:rsidRPr="006F4EF4" w:rsidRDefault="00F41ACF" w:rsidP="00480B7B">
      <w:pPr>
        <w:spacing w:after="0" w:line="240" w:lineRule="auto"/>
        <w:jc w:val="both"/>
        <w:rPr>
          <w:rFonts w:ascii="Verdana" w:eastAsia="Verdana" w:hAnsi="Verdana" w:cs="Verdana"/>
          <w:b/>
          <w:lang w:val="es-ES"/>
        </w:rPr>
      </w:pPr>
    </w:p>
    <w:p w14:paraId="1DFEFD49" w14:textId="77777777" w:rsidR="006F4EF4" w:rsidRPr="006F4EF4" w:rsidRDefault="006F4EF4" w:rsidP="00480B7B">
      <w:pPr>
        <w:spacing w:after="0" w:line="240" w:lineRule="auto"/>
        <w:jc w:val="both"/>
        <w:rPr>
          <w:rFonts w:ascii="Verdana" w:eastAsia="Verdana" w:hAnsi="Verdana" w:cs="Verdana"/>
          <w:b/>
          <w:lang w:val="es-ES"/>
        </w:rPr>
      </w:pPr>
      <w:r w:rsidRPr="006F4EF4">
        <w:rPr>
          <w:rFonts w:ascii="Verdana" w:eastAsia="Verdana" w:hAnsi="Verdana" w:cs="Verdana"/>
          <w:b/>
          <w:lang w:val="es-ES"/>
        </w:rPr>
        <w:t>CONTRATO ESTATAL – Supervisión – Interventoría – características</w:t>
      </w:r>
    </w:p>
    <w:p w14:paraId="059CE873" w14:textId="77777777" w:rsidR="006F4EF4" w:rsidRPr="006F4EF4" w:rsidRDefault="006F4EF4" w:rsidP="00480B7B">
      <w:pPr>
        <w:spacing w:after="0" w:line="240" w:lineRule="auto"/>
        <w:jc w:val="both"/>
        <w:rPr>
          <w:rFonts w:ascii="Verdana" w:eastAsia="Verdana" w:hAnsi="Verdana" w:cs="Verdana"/>
          <w:b/>
          <w:lang w:val="es-ES"/>
        </w:rPr>
      </w:pPr>
    </w:p>
    <w:p w14:paraId="6C7555F5" w14:textId="4CE4B28D" w:rsidR="00115F20" w:rsidRDefault="00115F20" w:rsidP="00480B7B">
      <w:pPr>
        <w:spacing w:after="0" w:line="240" w:lineRule="auto"/>
        <w:jc w:val="both"/>
        <w:rPr>
          <w:rFonts w:ascii="Verdana" w:eastAsia="Verdana" w:hAnsi="Verdana" w:cs="Verdana"/>
          <w:sz w:val="20"/>
          <w:szCs w:val="20"/>
          <w:lang w:val="es-ES"/>
        </w:rPr>
      </w:pPr>
      <w:r w:rsidRPr="00F72FC0">
        <w:rPr>
          <w:rFonts w:ascii="Verdana" w:eastAsia="Verdana" w:hAnsi="Verdana" w:cs="Verdana"/>
          <w:sz w:val="20"/>
          <w:szCs w:val="20"/>
          <w:lang w:val="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w:t>
      </w:r>
    </w:p>
    <w:p w14:paraId="0738A1C3" w14:textId="77777777" w:rsidR="00F72FC0" w:rsidRPr="00F72FC0" w:rsidRDefault="00F72FC0" w:rsidP="00480B7B">
      <w:pPr>
        <w:spacing w:after="0" w:line="240" w:lineRule="auto"/>
        <w:jc w:val="both"/>
        <w:rPr>
          <w:rFonts w:ascii="Verdana" w:eastAsia="Verdana" w:hAnsi="Verdana" w:cs="Verdana"/>
          <w:sz w:val="20"/>
          <w:szCs w:val="20"/>
          <w:lang w:val="es-ES"/>
        </w:rPr>
      </w:pPr>
    </w:p>
    <w:p w14:paraId="6C6F9309" w14:textId="18D04B4F" w:rsidR="00115F20" w:rsidRPr="00F72FC0" w:rsidRDefault="00115F20" w:rsidP="00480B7B">
      <w:pPr>
        <w:spacing w:after="0" w:line="240" w:lineRule="auto"/>
        <w:jc w:val="both"/>
        <w:rPr>
          <w:rFonts w:ascii="Verdana" w:eastAsia="Verdana" w:hAnsi="Verdana" w:cs="Verdana"/>
          <w:sz w:val="20"/>
          <w:szCs w:val="20"/>
        </w:rPr>
      </w:pPr>
      <w:r w:rsidRPr="00F72FC0">
        <w:rPr>
          <w:rFonts w:ascii="Verdana" w:eastAsia="Verdana" w:hAnsi="Verdana" w:cs="Verdana"/>
          <w:sz w:val="20"/>
          <w:szCs w:val="20"/>
          <w:lang w:val="es-ES"/>
        </w:rPr>
        <w:t xml:space="preserve">Por otro lado, </w:t>
      </w:r>
      <w:r w:rsidRPr="00F72FC0">
        <w:rPr>
          <w:rFonts w:ascii="Verdana" w:eastAsia="Verdana" w:hAnsi="Verdana" w:cs="Verdana"/>
          <w:sz w:val="20"/>
          <w:szCs w:val="20"/>
        </w:rPr>
        <w:t xml:space="preserve">la interventoría puede caracterizarse de la siguiente manera: i) es un mecanismo de vigilancia contingente en la medida que solo es obligatorio para el </w:t>
      </w:r>
      <w:r w:rsidRPr="00F72FC0">
        <w:rPr>
          <w:rFonts w:ascii="Verdana" w:eastAsia="Verdana" w:hAnsi="Verdana" w:cs="Verdana"/>
          <w:sz w:val="20"/>
          <w:szCs w:val="20"/>
        </w:rPr>
        <w:lastRenderedPageBreak/>
        <w:t>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ii) es un mecanismo de vigilancia que exige, en su ejecución, la utilización de conocimientos especializados; iii) por lo anterior, la entidad contrata un experto, por regla general, mediante la modalidad de selección de concurso de méritos, al tratarse la interventoría de una especie del contrato de consultoría –art. 32, numeral 2, inciso 2, Ley 80 de 1993‒,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405D2E18" w14:textId="77777777" w:rsidR="006F4EF4" w:rsidRPr="00F72FC0" w:rsidRDefault="006F4EF4" w:rsidP="00480B7B">
      <w:pPr>
        <w:spacing w:after="0" w:line="240" w:lineRule="auto"/>
        <w:jc w:val="both"/>
        <w:rPr>
          <w:rFonts w:ascii="Verdana" w:eastAsia="Verdana" w:hAnsi="Verdana" w:cs="Verdana"/>
          <w:b/>
          <w:sz w:val="24"/>
          <w:szCs w:val="24"/>
        </w:rPr>
      </w:pPr>
    </w:p>
    <w:p w14:paraId="4ADBD1C9" w14:textId="77777777" w:rsidR="006F4EF4" w:rsidRPr="006F4EF4" w:rsidRDefault="006F4EF4" w:rsidP="00480B7B">
      <w:pPr>
        <w:spacing w:after="0" w:line="240" w:lineRule="auto"/>
        <w:jc w:val="both"/>
        <w:rPr>
          <w:rFonts w:ascii="Verdana" w:eastAsia="Verdana" w:hAnsi="Verdana" w:cs="Verdana"/>
          <w:b/>
          <w:lang w:val="es-ES"/>
        </w:rPr>
      </w:pPr>
      <w:r w:rsidRPr="006F4EF4">
        <w:rPr>
          <w:rFonts w:ascii="Verdana" w:eastAsia="Verdana" w:hAnsi="Verdana" w:cs="Verdana"/>
          <w:b/>
          <w:lang w:val="es-ES"/>
        </w:rPr>
        <w:t xml:space="preserve">INTERVENTORÍA   Y SUPERVISIÓN – Funciones - Deberes </w:t>
      </w:r>
    </w:p>
    <w:p w14:paraId="588105F9" w14:textId="77777777" w:rsidR="006F4EF4" w:rsidRPr="00402960" w:rsidRDefault="006F4EF4" w:rsidP="00480B7B">
      <w:pPr>
        <w:spacing w:after="0" w:line="240" w:lineRule="auto"/>
        <w:jc w:val="both"/>
        <w:rPr>
          <w:rFonts w:ascii="Verdana" w:eastAsia="Verdana" w:hAnsi="Verdana" w:cs="Verdana"/>
          <w:bCs/>
          <w:sz w:val="20"/>
          <w:szCs w:val="20"/>
          <w:lang w:val="es-ES"/>
        </w:rPr>
      </w:pPr>
    </w:p>
    <w:p w14:paraId="285D193E" w14:textId="77777777" w:rsidR="00402960" w:rsidRPr="00402960" w:rsidRDefault="00402960" w:rsidP="00480B7B">
      <w:pPr>
        <w:spacing w:after="0" w:line="240" w:lineRule="auto"/>
        <w:jc w:val="both"/>
        <w:rPr>
          <w:rFonts w:ascii="Verdana" w:eastAsia="Verdana" w:hAnsi="Verdana" w:cs="Verdana"/>
          <w:bCs/>
          <w:sz w:val="20"/>
          <w:szCs w:val="20"/>
          <w:lang w:val="es-ES"/>
        </w:rPr>
      </w:pPr>
      <w:r w:rsidRPr="00402960">
        <w:rPr>
          <w:rFonts w:ascii="Verdana" w:eastAsia="Verdana" w:hAnsi="Verdana" w:cs="Verdana"/>
          <w:bCs/>
          <w:sz w:val="20"/>
          <w:szCs w:val="20"/>
          <w:lang w:val="es-ES"/>
        </w:rPr>
        <w:t>Quien ejerza la vigilancia de la ejecución del contrato, ya sea mediante la supervisión o mediante la interventoría, puede hacer uso de las facultades previstas en el artículo 84 de la Ley 1474 de 2011 para efectuar el seguimiento al cumplimiento obligacional del contrato y estará sometido a los deberes y responsabilidades que implica el ejercicio de dicha actividad. En este contexto, tanto los supervisores como los interventores “</w:t>
      </w:r>
      <w:r w:rsidRPr="00402960">
        <w:rPr>
          <w:rFonts w:ascii="Verdana" w:eastAsia="Verdana" w:hAnsi="Verdana" w:cs="Verdana"/>
          <w:bCs/>
          <w:sz w:val="20"/>
          <w:szCs w:val="20"/>
        </w:rPr>
        <w:t xml:space="preserve">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 En otras palabras, quienes ejercen funciones de seguimiento contractual tienen la potestad de pedir al contratista toda la información necesaria —informes, aclaraciones y explicaciones— para verificar cómo avanza la ejecución del contrato. Además, se les impone un deber especial: deben mantener informada a la entidad contratante sobre cualquier hecho, situación o indicio que pueda constituir un acto de corrupción o que genere riesgo de incumplimiento contractual, e incluso reportar cuando dicho incumplimiento ya se haya producido. </w:t>
      </w:r>
    </w:p>
    <w:p w14:paraId="6A1AC6CB" w14:textId="77777777" w:rsidR="006F4EF4" w:rsidRPr="006F4EF4" w:rsidRDefault="006F4EF4" w:rsidP="00480B7B">
      <w:pPr>
        <w:spacing w:after="0" w:line="240" w:lineRule="auto"/>
        <w:jc w:val="both"/>
        <w:rPr>
          <w:rFonts w:ascii="Verdana" w:eastAsia="Verdana" w:hAnsi="Verdana" w:cs="Verdana"/>
          <w:b/>
          <w:lang w:val="es-ES"/>
        </w:rPr>
      </w:pPr>
    </w:p>
    <w:p w14:paraId="7A420107" w14:textId="77777777" w:rsidR="006F4EF4" w:rsidRPr="006F4EF4" w:rsidRDefault="006F4EF4" w:rsidP="00480B7B">
      <w:pPr>
        <w:spacing w:after="0" w:line="240" w:lineRule="auto"/>
        <w:jc w:val="both"/>
        <w:rPr>
          <w:rFonts w:ascii="Verdana" w:eastAsia="Verdana" w:hAnsi="Verdana" w:cs="Verdana"/>
          <w:b/>
          <w:lang w:val="es-ES"/>
        </w:rPr>
      </w:pPr>
      <w:r w:rsidRPr="006F4EF4">
        <w:rPr>
          <w:rFonts w:ascii="Verdana" w:eastAsia="Verdana" w:hAnsi="Verdana" w:cs="Verdana"/>
          <w:b/>
          <w:lang w:val="es-ES"/>
        </w:rPr>
        <w:t xml:space="preserve">VIGILANCIA Y CONTROL – Supervisión e interventoría – Ejercicio – Funciones administrativas </w:t>
      </w:r>
    </w:p>
    <w:p w14:paraId="7E6D412E" w14:textId="77777777" w:rsidR="006F4EF4" w:rsidRPr="006F3C71" w:rsidRDefault="006F4EF4" w:rsidP="00480B7B">
      <w:pPr>
        <w:spacing w:after="0" w:line="240" w:lineRule="auto"/>
        <w:jc w:val="both"/>
        <w:rPr>
          <w:rFonts w:ascii="Verdana" w:eastAsia="Verdana" w:hAnsi="Verdana" w:cs="Verdana"/>
          <w:bCs/>
          <w:sz w:val="20"/>
          <w:szCs w:val="20"/>
          <w:lang w:val="es-ES"/>
        </w:rPr>
      </w:pPr>
    </w:p>
    <w:p w14:paraId="7ADC5263" w14:textId="77777777" w:rsidR="006F3C71" w:rsidRPr="006F3C71" w:rsidRDefault="006F3C71" w:rsidP="00480B7B">
      <w:pPr>
        <w:spacing w:after="0" w:line="240" w:lineRule="auto"/>
        <w:jc w:val="both"/>
        <w:rPr>
          <w:rFonts w:ascii="Verdana" w:eastAsia="Verdana" w:hAnsi="Verdana" w:cs="Verdana"/>
          <w:bCs/>
          <w:sz w:val="20"/>
          <w:szCs w:val="20"/>
        </w:rPr>
      </w:pPr>
      <w:r w:rsidRPr="006F3C71">
        <w:rPr>
          <w:rFonts w:ascii="Verdana" w:eastAsia="Verdana" w:hAnsi="Verdana" w:cs="Verdana"/>
          <w:bCs/>
          <w:sz w:val="20"/>
          <w:szCs w:val="20"/>
        </w:rPr>
        <w:t xml:space="preserve">La supervisión y la interventoría contractual como instituciones jurídicas adelantan expresiones claras del ejercicio de una función pública, en tanto se orientan al control </w:t>
      </w:r>
      <w:r w:rsidRPr="006F3C71">
        <w:rPr>
          <w:rFonts w:ascii="Verdana" w:eastAsia="Verdana" w:hAnsi="Verdana" w:cs="Verdana"/>
          <w:bCs/>
          <w:sz w:val="20"/>
          <w:szCs w:val="20"/>
        </w:rPr>
        <w:lastRenderedPageBreak/>
        <w:t xml:space="preserve">del cumplimiento obligacional y a la protección del interés general comprometido en la contratación estatal. Su naturaleza administrativa implica que quienes las ejercen —servidores públicos o terceros contratados para tal fin— actúan en representación de la entidad estatal y bajo parámetros normativos que les asignan deberes de verificación, seguimiento, advertencia y reporte. Precisamente por tratarse de una función de control y no de ejecución, los supervisores e interventores no son coejecutores del contrato, pues su rol no consiste en realizar materialmente las prestaciones pactadas ni en sustituir al contratista en la ejecución del objeto contractual. Su intervención se limita a constatar que las obligaciones se cumplan en la forma, tiempo y condiciones convenidas, a identificar riesgos y desviaciones, y a adoptar las medidas de control que resulten procedentes dentro del marco de la función administrativa. De este modo, la vigilancia contractual se configura como una actividad pública de control, diferenciada de la ejecución material del contrato, que permanece exclusivamente en cabeza del contratista. </w:t>
      </w:r>
    </w:p>
    <w:p w14:paraId="4FB0AF12" w14:textId="77777777" w:rsidR="006F4EF4" w:rsidRPr="006F3C71" w:rsidRDefault="006F4EF4" w:rsidP="00480B7B">
      <w:pPr>
        <w:spacing w:after="0" w:line="240" w:lineRule="auto"/>
        <w:jc w:val="both"/>
        <w:rPr>
          <w:rFonts w:ascii="Verdana" w:eastAsia="Verdana" w:hAnsi="Verdana" w:cs="Verdana"/>
          <w:b/>
        </w:rPr>
      </w:pPr>
    </w:p>
    <w:p w14:paraId="46E0F8C5" w14:textId="77777777" w:rsidR="006F4EF4" w:rsidRPr="006F4EF4" w:rsidRDefault="006F4EF4" w:rsidP="00480B7B">
      <w:pPr>
        <w:spacing w:after="0" w:line="240" w:lineRule="auto"/>
        <w:jc w:val="both"/>
        <w:rPr>
          <w:rFonts w:ascii="Verdana" w:eastAsia="Verdana" w:hAnsi="Verdana" w:cs="Verdana"/>
          <w:b/>
          <w:lang w:val="es-ES"/>
        </w:rPr>
      </w:pPr>
      <w:r w:rsidRPr="006F4EF4">
        <w:rPr>
          <w:rFonts w:ascii="Verdana" w:eastAsia="Verdana" w:hAnsi="Verdana" w:cs="Verdana"/>
          <w:b/>
          <w:lang w:val="es-ES"/>
        </w:rPr>
        <w:t xml:space="preserve">SUPERVISIÓN E INTERVENTORÍA – Deberes – Metodología </w:t>
      </w:r>
    </w:p>
    <w:p w14:paraId="0B7AA9C1" w14:textId="77777777" w:rsidR="006F4EF4" w:rsidRPr="00E10022" w:rsidRDefault="006F4EF4" w:rsidP="00480B7B">
      <w:pPr>
        <w:spacing w:after="0" w:line="240" w:lineRule="auto"/>
        <w:jc w:val="both"/>
        <w:rPr>
          <w:rFonts w:ascii="Verdana" w:eastAsia="Verdana" w:hAnsi="Verdana" w:cs="Verdana"/>
          <w:bCs/>
          <w:sz w:val="20"/>
          <w:szCs w:val="20"/>
          <w:lang w:val="es-ES"/>
        </w:rPr>
      </w:pPr>
    </w:p>
    <w:p w14:paraId="5D9355F8" w14:textId="77777777" w:rsidR="00E10022" w:rsidRDefault="00E10022" w:rsidP="00480B7B">
      <w:pPr>
        <w:spacing w:after="0" w:line="240" w:lineRule="auto"/>
        <w:jc w:val="both"/>
        <w:rPr>
          <w:rFonts w:ascii="Verdana" w:eastAsia="Verdana" w:hAnsi="Verdana" w:cs="Verdana"/>
          <w:bCs/>
          <w:sz w:val="20"/>
          <w:szCs w:val="20"/>
          <w:lang w:val="es-MX"/>
        </w:rPr>
      </w:pPr>
      <w:r w:rsidRPr="00E10022">
        <w:rPr>
          <w:rFonts w:ascii="Verdana" w:eastAsia="Verdana" w:hAnsi="Verdana" w:cs="Verdana"/>
          <w:bCs/>
          <w:sz w:val="20"/>
          <w:szCs w:val="20"/>
          <w:lang w:val="es-MX"/>
        </w:rPr>
        <w:t xml:space="preserve">Aquí cobra importancia la metodología para ejercicio la supervisión e interventoría usualmente, la cual se formaliza mediante de manuales que expiden las entidades públicas, que estandarizan las condiciones de control y vigilancia. Además, de la habilitación del artículo 84 del Estatuto Anticorrupción para solicitar informes, aclaraciones y explicaciones sobre el desarrollo de la ejecución contractual, dichos manuales desarrollan procedimientos internos para desarrollo de estas actividades. Estos últimos sujetan al contratista vigilado, ya que existe un nexo inescindible entre las obligaciones ejecutadas y el control sobre su efectivo cumplimiento. Sumado a lo anterior, tratándose de la interventoría, el contrato también delimita criterios adicionales para verificar el avance de las obras o la prestación de los servicios de acuerdo con la complejidad del objeto. Éstos últimos también sujetan al contratista vigilado, pues tiene la obligación de acatar las directrices derivadas del ejercicio de la potestad de control. </w:t>
      </w:r>
    </w:p>
    <w:p w14:paraId="7DA04A28" w14:textId="126591B4" w:rsidR="00E10022" w:rsidRPr="00E10022" w:rsidRDefault="00E10022" w:rsidP="00480B7B">
      <w:pPr>
        <w:spacing w:after="0" w:line="240" w:lineRule="auto"/>
        <w:jc w:val="both"/>
        <w:rPr>
          <w:rFonts w:ascii="Verdana" w:eastAsia="Verdana" w:hAnsi="Verdana" w:cs="Verdana"/>
          <w:bCs/>
          <w:sz w:val="20"/>
          <w:szCs w:val="20"/>
          <w:lang w:val="es-MX"/>
        </w:rPr>
      </w:pPr>
      <w:r w:rsidRPr="00E10022">
        <w:rPr>
          <w:rFonts w:ascii="Verdana" w:eastAsia="Verdana" w:hAnsi="Verdana" w:cs="Verdana"/>
          <w:bCs/>
          <w:sz w:val="20"/>
          <w:szCs w:val="20"/>
          <w:lang w:val="es-MX"/>
        </w:rPr>
        <w:t xml:space="preserve"> </w:t>
      </w:r>
    </w:p>
    <w:p w14:paraId="0949D26D" w14:textId="77777777" w:rsidR="00E10022" w:rsidRPr="00E10022" w:rsidRDefault="00E10022" w:rsidP="00480B7B">
      <w:pPr>
        <w:spacing w:after="0" w:line="240" w:lineRule="auto"/>
        <w:jc w:val="both"/>
        <w:rPr>
          <w:rFonts w:ascii="Verdana" w:eastAsia="Verdana" w:hAnsi="Verdana" w:cs="Verdana"/>
          <w:bCs/>
          <w:sz w:val="20"/>
          <w:szCs w:val="20"/>
          <w:lang w:val="es-MX"/>
        </w:rPr>
      </w:pPr>
      <w:r w:rsidRPr="00E10022">
        <w:rPr>
          <w:rFonts w:ascii="Verdana" w:eastAsia="Verdana" w:hAnsi="Verdana" w:cs="Verdana"/>
          <w:bCs/>
          <w:sz w:val="20"/>
          <w:szCs w:val="20"/>
          <w:lang w:val="es-MX"/>
        </w:rPr>
        <w:t xml:space="preserve">La vigilancia sobre el cumplimiento obligacional se somete a la ley, los manuales internos y las condiciones que establece la entidad tanto en el contrato de interventoría como en el contrato vigilado, criterios que debe acatar el contratista ejecutor de la obra o prestador del servicio, así como el supervisor de la interventoría y la entidad como responsable de la dirección y control. Como los mismos establecen los linderos de la potestad de control, no pueden adoptarse protocolos, requisitos o procedimientos ajenos al marco citado, por lo que no son oponibles al contratista salvo que medien modificaciones previas a los manuales expedidos y/o a los contratos suscritos. Estas actividades no implican coejecución por las razones expuestas </w:t>
      </w:r>
      <w:r w:rsidRPr="00E10022">
        <w:rPr>
          <w:rFonts w:ascii="Verdana" w:eastAsia="Verdana" w:hAnsi="Verdana" w:cs="Verdana"/>
          <w:bCs/>
          <w:i/>
          <w:iCs/>
          <w:sz w:val="20"/>
          <w:szCs w:val="20"/>
          <w:lang w:val="es-MX"/>
        </w:rPr>
        <w:t>ut supra</w:t>
      </w:r>
      <w:r w:rsidRPr="00E10022">
        <w:rPr>
          <w:rFonts w:ascii="Verdana" w:eastAsia="Verdana" w:hAnsi="Verdana" w:cs="Verdana"/>
          <w:bCs/>
          <w:sz w:val="20"/>
          <w:szCs w:val="20"/>
          <w:lang w:val="es-MX"/>
        </w:rPr>
        <w:t xml:space="preserve">, y las modificaciones sobre la forma de validar el cumplimiento no dan lugar a reconocimientos económicos adicionales, a menos que impliquen mayores costos para el contratista. </w:t>
      </w:r>
    </w:p>
    <w:p w14:paraId="52A4A75C" w14:textId="77777777" w:rsidR="006F4EF4" w:rsidRPr="00E10022" w:rsidRDefault="006F4EF4" w:rsidP="00480B7B">
      <w:pPr>
        <w:spacing w:after="0" w:line="240" w:lineRule="auto"/>
        <w:jc w:val="both"/>
        <w:rPr>
          <w:rFonts w:ascii="Verdana" w:eastAsia="Verdana" w:hAnsi="Verdana" w:cs="Verdana"/>
          <w:b/>
          <w:lang w:val="es-MX"/>
        </w:rPr>
      </w:pPr>
    </w:p>
    <w:p w14:paraId="24956588" w14:textId="77777777" w:rsidR="006F4EF4" w:rsidRPr="006F4EF4" w:rsidRDefault="006F4EF4" w:rsidP="00480B7B">
      <w:pPr>
        <w:spacing w:after="0" w:line="240" w:lineRule="auto"/>
        <w:jc w:val="both"/>
        <w:rPr>
          <w:rFonts w:ascii="Verdana" w:eastAsia="Verdana" w:hAnsi="Verdana" w:cs="Verdana"/>
          <w:b/>
          <w:lang w:val="es-ES"/>
        </w:rPr>
      </w:pPr>
      <w:r w:rsidRPr="006F4EF4">
        <w:rPr>
          <w:rFonts w:ascii="Verdana" w:eastAsia="Verdana" w:hAnsi="Verdana" w:cs="Verdana"/>
          <w:b/>
          <w:lang w:val="es-ES"/>
        </w:rPr>
        <w:t xml:space="preserve">SUPERVISORES E INTERVENTORES - Responsabilidad – Gestión Fiscal – Definición </w:t>
      </w:r>
    </w:p>
    <w:p w14:paraId="3F449E0F" w14:textId="77777777" w:rsidR="006F4EF4" w:rsidRPr="00480B7B" w:rsidRDefault="006F4EF4" w:rsidP="00480B7B">
      <w:pPr>
        <w:spacing w:after="0" w:line="240" w:lineRule="auto"/>
        <w:jc w:val="both"/>
        <w:rPr>
          <w:rFonts w:ascii="Verdana" w:eastAsia="Verdana" w:hAnsi="Verdana" w:cs="Verdana"/>
          <w:bCs/>
          <w:sz w:val="20"/>
          <w:szCs w:val="20"/>
          <w:lang w:val="es-ES"/>
        </w:rPr>
      </w:pPr>
    </w:p>
    <w:p w14:paraId="6FD6B143" w14:textId="6F6F2B31" w:rsidR="00480B7B" w:rsidRPr="00480B7B" w:rsidRDefault="00480B7B" w:rsidP="00480B7B">
      <w:pPr>
        <w:spacing w:after="0" w:line="240" w:lineRule="auto"/>
        <w:jc w:val="both"/>
        <w:rPr>
          <w:rFonts w:ascii="Verdana" w:eastAsia="Verdana" w:hAnsi="Verdana" w:cs="Verdana"/>
          <w:bCs/>
          <w:sz w:val="20"/>
          <w:szCs w:val="20"/>
          <w:lang w:val="es-ES"/>
        </w:rPr>
      </w:pPr>
      <w:r w:rsidRPr="00480B7B">
        <w:rPr>
          <w:rFonts w:ascii="Verdana" w:eastAsia="Verdana" w:hAnsi="Verdana" w:cs="Verdana"/>
          <w:bCs/>
          <w:sz w:val="20"/>
          <w:szCs w:val="20"/>
          <w:lang w:val="es-ES"/>
        </w:rPr>
        <w:lastRenderedPageBreak/>
        <w:t xml:space="preserve">En efecto, este tipo de responsabilidad administrativa busca que se administre adecuadamente el patrimonio público, por lo que la doctrina ha establecido los siguientes elementos: i) vinculación con en el ejercicio de la gestión fiscal; ii) autonomía en torno a la responsabilidad civil; iii) carácter resarcitorio o reparatorio; y iv) constitución de elementos como el daño, culpa y nexo de causalidad. Para ello, se señala que la condición necesaria para que se configure y le brinde autonomía frente a la responsabilidad civil es la </w:t>
      </w:r>
      <w:r w:rsidRPr="00480B7B">
        <w:rPr>
          <w:rFonts w:ascii="Verdana" w:eastAsia="Verdana" w:hAnsi="Verdana" w:cs="Verdana"/>
          <w:bCs/>
          <w:i/>
          <w:sz w:val="20"/>
          <w:szCs w:val="20"/>
          <w:lang w:val="es-ES"/>
        </w:rPr>
        <w:t>gestión fiscal</w:t>
      </w:r>
      <w:r w:rsidRPr="00480B7B">
        <w:rPr>
          <w:rFonts w:ascii="Verdana" w:eastAsia="Verdana" w:hAnsi="Verdana" w:cs="Verdana"/>
          <w:bCs/>
          <w:sz w:val="20"/>
          <w:szCs w:val="20"/>
          <w:lang w:val="es-ES"/>
        </w:rPr>
        <w:t xml:space="preserve">, la cual es el deber de orientar un manejo adecuado de los bienes y recursos públicos, siendo necesario establecer su alcance y aplicación, en cuanto a los supervisores e interventores. Al respecto, el artículo 3 de la Ley 610, la define: </w:t>
      </w:r>
    </w:p>
    <w:p w14:paraId="1A5B58F8" w14:textId="77777777" w:rsidR="00480B7B" w:rsidRPr="00480B7B" w:rsidRDefault="00480B7B" w:rsidP="00480B7B">
      <w:pPr>
        <w:spacing w:after="0" w:line="240" w:lineRule="auto"/>
        <w:jc w:val="both"/>
        <w:rPr>
          <w:rFonts w:ascii="Verdana" w:eastAsia="Verdana" w:hAnsi="Verdana" w:cs="Verdana"/>
          <w:bCs/>
          <w:sz w:val="20"/>
          <w:szCs w:val="20"/>
        </w:rPr>
      </w:pPr>
    </w:p>
    <w:p w14:paraId="3D70DEDC" w14:textId="77777777" w:rsidR="00480B7B" w:rsidRPr="00480B7B" w:rsidRDefault="00480B7B" w:rsidP="00480B7B">
      <w:pPr>
        <w:spacing w:after="0" w:line="240" w:lineRule="auto"/>
        <w:jc w:val="both"/>
        <w:rPr>
          <w:rFonts w:ascii="Verdana" w:eastAsia="Verdana" w:hAnsi="Verdana" w:cs="Verdana"/>
          <w:bCs/>
          <w:sz w:val="20"/>
          <w:szCs w:val="20"/>
          <w:lang w:val="es-ES"/>
        </w:rPr>
      </w:pPr>
      <w:r w:rsidRPr="00480B7B">
        <w:rPr>
          <w:rFonts w:ascii="Verdana" w:eastAsia="Verdana" w:hAnsi="Verdana" w:cs="Verdana"/>
          <w:bCs/>
          <w:sz w:val="20"/>
          <w:szCs w:val="20"/>
          <w:lang w:val="es-ES"/>
        </w:rPr>
        <w:t xml:space="preserve">Para los efectos de la presente ley, se entiende por </w:t>
      </w:r>
      <w:r w:rsidRPr="00480B7B">
        <w:rPr>
          <w:rFonts w:ascii="Verdana" w:eastAsia="Verdana" w:hAnsi="Verdana" w:cs="Verdana"/>
          <w:bCs/>
          <w:i/>
          <w:sz w:val="20"/>
          <w:szCs w:val="20"/>
          <w:lang w:val="es-ES"/>
        </w:rPr>
        <w:t>gestión fiscal</w:t>
      </w:r>
      <w:r w:rsidRPr="00480B7B">
        <w:rPr>
          <w:rFonts w:ascii="Verdana" w:eastAsia="Verdana" w:hAnsi="Verdana" w:cs="Verdana"/>
          <w:bCs/>
          <w:sz w:val="20"/>
          <w:szCs w:val="20"/>
          <w:lang w:val="es-ES"/>
        </w:rPr>
        <w:t xml:space="preserve"> el conjunto de actividades económicas, jurídicas y tecnológicas, que realizan los servidores públicos y las personas de derecho privado que </w:t>
      </w:r>
      <w:r w:rsidRPr="00480B7B">
        <w:rPr>
          <w:rFonts w:ascii="Verdana" w:eastAsia="Verdana" w:hAnsi="Verdana" w:cs="Verdana"/>
          <w:bCs/>
          <w:i/>
          <w:sz w:val="20"/>
          <w:szCs w:val="20"/>
          <w:lang w:val="es-ES"/>
        </w:rPr>
        <w:t>manejen o administren recursos o fondos públicos</w:t>
      </w:r>
      <w:r w:rsidRPr="00480B7B">
        <w:rPr>
          <w:rFonts w:ascii="Verdana" w:eastAsia="Verdana" w:hAnsi="Verdana" w:cs="Verdana"/>
          <w:bCs/>
          <w:sz w:val="20"/>
          <w:szCs w:val="20"/>
          <w:lang w:val="es-ES"/>
        </w:rPr>
        <w:t xml:space="preserve">, </w:t>
      </w:r>
      <w:r w:rsidRPr="00480B7B">
        <w:rPr>
          <w:rFonts w:ascii="Verdana" w:eastAsia="Verdana" w:hAnsi="Verdana" w:cs="Verdana"/>
          <w:bCs/>
          <w:i/>
          <w:sz w:val="20"/>
          <w:szCs w:val="20"/>
          <w:lang w:val="es-ES"/>
        </w:rPr>
        <w:t>tendientes a la adecuada y correcta adquisición, planeación, conservación, administración, custodia, explotación, enajenación, consumo, adjudicación, gasto, inversión y disposición de los bienes públicos, así como a la recaudación, manejo e inversión de sus rentas</w:t>
      </w:r>
      <w:r w:rsidRPr="00480B7B">
        <w:rPr>
          <w:rFonts w:ascii="Verdana" w:eastAsia="Verdana" w:hAnsi="Verdana" w:cs="Verdana"/>
          <w:bCs/>
          <w:sz w:val="20"/>
          <w:szCs w:val="20"/>
          <w:lang w:val="es-ES"/>
        </w:rPr>
        <w:t xml:space="preserve"> en orden a cumplir los fines esenciales del Estado, con sujeción a los principios de legalidad, eficiencia, economía, eficacia, equidad, imparcialidad, moralidad, transparencia, publicidad y valoración de los costos ambientales (Énfasis fuera de texto).</w:t>
      </w:r>
    </w:p>
    <w:p w14:paraId="2E2283AD" w14:textId="77777777" w:rsidR="00480B7B" w:rsidRPr="00480B7B" w:rsidRDefault="00480B7B" w:rsidP="00480B7B">
      <w:pPr>
        <w:spacing w:after="0" w:line="240" w:lineRule="auto"/>
        <w:jc w:val="both"/>
        <w:rPr>
          <w:rFonts w:ascii="Verdana" w:eastAsia="Verdana" w:hAnsi="Verdana" w:cs="Verdana"/>
          <w:bCs/>
          <w:sz w:val="20"/>
          <w:szCs w:val="20"/>
          <w:lang w:val="es-ES"/>
        </w:rPr>
      </w:pPr>
    </w:p>
    <w:p w14:paraId="63463D45" w14:textId="7D2250F2" w:rsidR="006F4EF4" w:rsidRPr="00480B7B" w:rsidRDefault="00480B7B" w:rsidP="00480B7B">
      <w:pPr>
        <w:spacing w:after="0" w:line="240" w:lineRule="auto"/>
        <w:jc w:val="both"/>
        <w:rPr>
          <w:rFonts w:ascii="Verdana" w:eastAsia="Verdana" w:hAnsi="Verdana" w:cs="Verdana"/>
          <w:bCs/>
          <w:sz w:val="20"/>
          <w:szCs w:val="20"/>
          <w:lang w:val="es-ES"/>
        </w:rPr>
      </w:pPr>
      <w:r w:rsidRPr="00480B7B">
        <w:rPr>
          <w:rFonts w:ascii="Verdana" w:eastAsia="Verdana" w:hAnsi="Verdana" w:cs="Verdana"/>
          <w:bCs/>
          <w:sz w:val="20"/>
          <w:szCs w:val="20"/>
        </w:rPr>
        <w:t>Este concepto de gestión fiscal comprende un amplio conjunto de actividades de la administración relacionadas con las distintas fases de gestión del patrimonio público; no obstante, la vinculación del sujeto responsable con el fisco no siempre es directa. En efecto, el artículo 1 de la Ley 610 señala que la responsabilidad fiscal puede originarse en el ejercicio de la gestión fiscal o con ocasión de ella, lo que implica que el deber de protección de los recursos públicos se activa tanto cuando el sujeto administra directamente bienes públicos como cuando, por razón de sus funciones, interviene en actuaciones que inciden en su adecuada conservación, uso o destinación.</w:t>
      </w:r>
    </w:p>
    <w:p w14:paraId="37F89C44" w14:textId="77777777" w:rsidR="006F4EF4" w:rsidRPr="00480B7B" w:rsidRDefault="006F4EF4" w:rsidP="00480B7B">
      <w:pPr>
        <w:spacing w:after="0" w:line="240" w:lineRule="auto"/>
        <w:jc w:val="both"/>
        <w:rPr>
          <w:rFonts w:ascii="Verdana" w:eastAsia="Verdana" w:hAnsi="Verdana" w:cs="Verdana"/>
          <w:bCs/>
          <w:sz w:val="20"/>
          <w:szCs w:val="20"/>
          <w:lang w:val="es-ES"/>
        </w:rPr>
      </w:pPr>
    </w:p>
    <w:p w14:paraId="05A69C9A" w14:textId="18A974F5" w:rsidR="006F4EF4" w:rsidRPr="006F4EF4" w:rsidRDefault="006F4EF4" w:rsidP="00480B7B">
      <w:pPr>
        <w:spacing w:after="0" w:line="240" w:lineRule="auto"/>
        <w:jc w:val="both"/>
        <w:rPr>
          <w:rFonts w:ascii="Verdana" w:eastAsia="Verdana" w:hAnsi="Verdana" w:cs="Verdana"/>
          <w:b/>
        </w:rPr>
      </w:pPr>
      <w:r w:rsidRPr="006F4EF4">
        <w:rPr>
          <w:rFonts w:ascii="Verdana" w:eastAsia="Verdana" w:hAnsi="Verdana" w:cs="Verdana"/>
          <w:b/>
          <w:lang w:val="es-ES"/>
        </w:rPr>
        <w:t>SUPERVISIÓN E INTERVENTORIA – Responsabilidad Fiscal - Contralorías</w:t>
      </w:r>
    </w:p>
    <w:p w14:paraId="1B9D082B" w14:textId="77777777" w:rsidR="006F4EF4" w:rsidRPr="0052305F" w:rsidRDefault="006F4EF4" w:rsidP="00480B7B">
      <w:pPr>
        <w:spacing w:after="0" w:line="240" w:lineRule="auto"/>
        <w:jc w:val="both"/>
        <w:rPr>
          <w:rFonts w:ascii="Verdana" w:eastAsia="Verdana" w:hAnsi="Verdana" w:cs="Verdana"/>
          <w:sz w:val="20"/>
          <w:szCs w:val="20"/>
        </w:rPr>
      </w:pPr>
    </w:p>
    <w:p w14:paraId="02689F39" w14:textId="77777777" w:rsidR="007D0725" w:rsidRDefault="007D0725" w:rsidP="00480B7B">
      <w:pPr>
        <w:spacing w:after="0" w:line="240" w:lineRule="auto"/>
        <w:jc w:val="both"/>
        <w:rPr>
          <w:rFonts w:ascii="Verdana" w:eastAsia="Verdana" w:hAnsi="Verdana" w:cs="Verdana"/>
          <w:iCs/>
          <w:sz w:val="20"/>
          <w:szCs w:val="20"/>
        </w:rPr>
      </w:pPr>
      <w:r w:rsidRPr="0052305F">
        <w:rPr>
          <w:rFonts w:ascii="Verdana" w:eastAsia="Verdana" w:hAnsi="Verdana" w:cs="Verdana"/>
          <w:iCs/>
          <w:sz w:val="20"/>
          <w:szCs w:val="20"/>
        </w:rPr>
        <w:t>En el marco de la gestión fiscal, los supervisores e interventores ocupan una posición funcional que los vincula de manera directa con la protección del patrimonio público. Aunque no administran recursos en sentido estricto, sus actuaciones se sitúan “en el ejercicio de la gestión fiscal o con ocasión de ésta”, lo que exige que sus decisiones, órdenes y controles mantengan una relación de conexidad próxima y necesaria con el adecuado manejo de los bienes públicos. En esa medida, cuando sus actuaciones inciden en la administración, destinación o protección de los recursos comprometidos en la ejecución contractual, se integran materialmente al universo de la gestión fiscal y quedan sujetos al control de las contralorías.</w:t>
      </w:r>
    </w:p>
    <w:p w14:paraId="40412B9D" w14:textId="77777777" w:rsidR="0052305F" w:rsidRPr="0052305F" w:rsidRDefault="0052305F" w:rsidP="00480B7B">
      <w:pPr>
        <w:spacing w:after="0" w:line="240" w:lineRule="auto"/>
        <w:jc w:val="both"/>
        <w:rPr>
          <w:rFonts w:ascii="Verdana" w:eastAsia="Verdana" w:hAnsi="Verdana" w:cs="Verdana"/>
          <w:iCs/>
          <w:sz w:val="20"/>
          <w:szCs w:val="20"/>
        </w:rPr>
      </w:pPr>
    </w:p>
    <w:p w14:paraId="02B0F067" w14:textId="77777777" w:rsidR="007D0725" w:rsidRDefault="007D0725" w:rsidP="00480B7B">
      <w:pPr>
        <w:spacing w:after="0" w:line="240" w:lineRule="auto"/>
        <w:jc w:val="both"/>
        <w:rPr>
          <w:rFonts w:ascii="Verdana" w:eastAsia="Verdana" w:hAnsi="Verdana" w:cs="Verdana"/>
          <w:iCs/>
          <w:sz w:val="20"/>
          <w:szCs w:val="20"/>
        </w:rPr>
      </w:pPr>
      <w:r w:rsidRPr="0052305F">
        <w:rPr>
          <w:rFonts w:ascii="Verdana" w:eastAsia="Verdana" w:hAnsi="Verdana" w:cs="Verdana"/>
          <w:iCs/>
          <w:sz w:val="20"/>
          <w:szCs w:val="20"/>
        </w:rPr>
        <w:t xml:space="preserve">De ello se desprende que supervisores e interventores pueden ser responsables fiscalmente cuando, por acción u omisión, generan un daño al erario en el marco de sus </w:t>
      </w:r>
      <w:r w:rsidRPr="0052305F">
        <w:rPr>
          <w:rFonts w:ascii="Verdana" w:eastAsia="Verdana" w:hAnsi="Verdana" w:cs="Verdana"/>
          <w:iCs/>
          <w:sz w:val="20"/>
          <w:szCs w:val="20"/>
        </w:rPr>
        <w:lastRenderedPageBreak/>
        <w:t>funciones de vigilancia y control. En tal sentido, estos sujetos -supervisores e interventores- tienen una vinculación especial con los bienes sometidos a gestión fiscal, que supera una mera relación material y se proyecta hacia deberes concretos de cuidado, advertencia y corrección. Así pues, si se emiten órdenes contrarias al contrato como la aprobación de pagos sin un seguimiento adecuado, permiten desviaciones en la ejecución u omiten reportar riesgos que comprometen recursos públicos, sus actuaciones pueden configurar responsabilidad fiscal, en tanto participan —por razón de sus facultades— en la protección y administración del patrimonio estatal.</w:t>
      </w:r>
    </w:p>
    <w:p w14:paraId="00501FEB" w14:textId="77777777" w:rsidR="0052305F" w:rsidRPr="0052305F" w:rsidRDefault="0052305F" w:rsidP="00480B7B">
      <w:pPr>
        <w:spacing w:after="0" w:line="240" w:lineRule="auto"/>
        <w:jc w:val="both"/>
        <w:rPr>
          <w:rFonts w:ascii="Verdana" w:eastAsia="Verdana" w:hAnsi="Verdana" w:cs="Verdana"/>
          <w:iCs/>
          <w:sz w:val="20"/>
          <w:szCs w:val="20"/>
        </w:rPr>
      </w:pPr>
    </w:p>
    <w:p w14:paraId="590356B7" w14:textId="20C74075" w:rsidR="007D0725" w:rsidRPr="0052305F" w:rsidRDefault="007D0725" w:rsidP="00480B7B">
      <w:pPr>
        <w:spacing w:after="0" w:line="240" w:lineRule="auto"/>
        <w:jc w:val="both"/>
        <w:rPr>
          <w:rFonts w:ascii="Verdana" w:eastAsia="Verdana" w:hAnsi="Verdana" w:cs="Verdana"/>
          <w:iCs/>
          <w:sz w:val="20"/>
          <w:szCs w:val="20"/>
        </w:rPr>
      </w:pPr>
      <w:r w:rsidRPr="0052305F">
        <w:rPr>
          <w:rFonts w:ascii="Verdana" w:eastAsia="Verdana" w:hAnsi="Verdana" w:cs="Verdana"/>
          <w:iCs/>
          <w:sz w:val="20"/>
          <w:szCs w:val="20"/>
        </w:rPr>
        <w:t>En todo caso, como la planteado la doctrina la determinación de la calidad de gestor fiscal —incluso de manera provisional— constituye una labor cuidadosa que recae exclusivamente en los órganos de control fiscal. Estos deben verificar, desde el momento mismo en que evalúan la apertura del proceso de responsabilidad fiscal, que existan pruebas suficientes para identificar al presunto gestor, sea servidor público o particular, y para demostrar que sus actuaciones se sitúan dentro del ámbito de la gestión fiscal. Ello implica constatar que el sujeto ejerce funciones especiales derivadas de la ley, el reglamento, los manuales de contratación, contrato, y que su conducta guarda una relación de conexidad próxima y necesaria con el manejo de bienes y recursos públicos.</w:t>
      </w:r>
    </w:p>
    <w:p w14:paraId="5EE13C4D" w14:textId="77777777" w:rsidR="006F4EF4" w:rsidRDefault="006F4EF4" w:rsidP="00480B7B">
      <w:pPr>
        <w:spacing w:after="0" w:line="240" w:lineRule="auto"/>
        <w:rPr>
          <w:rFonts w:ascii="Verdana" w:eastAsia="Verdana" w:hAnsi="Verdana" w:cs="Verdana"/>
        </w:rPr>
      </w:pPr>
    </w:p>
    <w:p w14:paraId="1B0A6463" w14:textId="77777777" w:rsidR="00480B7B" w:rsidRDefault="00480B7B" w:rsidP="00480B7B">
      <w:pPr>
        <w:spacing w:after="0" w:line="240" w:lineRule="auto"/>
        <w:rPr>
          <w:rFonts w:ascii="Verdana" w:eastAsia="Verdana" w:hAnsi="Verdana" w:cs="Verdana"/>
        </w:rPr>
      </w:pPr>
    </w:p>
    <w:p w14:paraId="111CFF70" w14:textId="77777777" w:rsidR="00480B7B" w:rsidRDefault="00480B7B" w:rsidP="00480B7B">
      <w:pPr>
        <w:spacing w:after="0" w:line="240" w:lineRule="auto"/>
        <w:rPr>
          <w:rFonts w:ascii="Verdana" w:eastAsia="Verdana" w:hAnsi="Verdana" w:cs="Verdana"/>
        </w:rPr>
      </w:pPr>
    </w:p>
    <w:p w14:paraId="6D6F28FB" w14:textId="77777777" w:rsidR="00480B7B" w:rsidRDefault="00480B7B" w:rsidP="00480B7B">
      <w:pPr>
        <w:spacing w:after="0" w:line="240" w:lineRule="auto"/>
        <w:rPr>
          <w:rFonts w:ascii="Verdana" w:eastAsia="Verdana" w:hAnsi="Verdana" w:cs="Verdana"/>
        </w:rPr>
      </w:pPr>
    </w:p>
    <w:p w14:paraId="51C6B94D" w14:textId="77777777" w:rsidR="00480B7B" w:rsidRDefault="00480B7B" w:rsidP="00480B7B">
      <w:pPr>
        <w:spacing w:after="0" w:line="240" w:lineRule="auto"/>
        <w:rPr>
          <w:rFonts w:ascii="Verdana" w:eastAsia="Verdana" w:hAnsi="Verdana" w:cs="Verdana"/>
        </w:rPr>
      </w:pPr>
    </w:p>
    <w:p w14:paraId="05B7C555" w14:textId="77777777" w:rsidR="00480B7B" w:rsidRDefault="00480B7B" w:rsidP="00480B7B">
      <w:pPr>
        <w:spacing w:after="0" w:line="240" w:lineRule="auto"/>
        <w:rPr>
          <w:rFonts w:ascii="Verdana" w:eastAsia="Verdana" w:hAnsi="Verdana" w:cs="Verdana"/>
        </w:rPr>
      </w:pPr>
    </w:p>
    <w:p w14:paraId="5D68409A" w14:textId="77777777" w:rsidR="00480B7B" w:rsidRDefault="00480B7B" w:rsidP="00480B7B">
      <w:pPr>
        <w:spacing w:after="0" w:line="240" w:lineRule="auto"/>
        <w:rPr>
          <w:rFonts w:ascii="Verdana" w:eastAsia="Verdana" w:hAnsi="Verdana" w:cs="Verdana"/>
        </w:rPr>
      </w:pPr>
    </w:p>
    <w:p w14:paraId="5C7A32EE" w14:textId="77777777" w:rsidR="00480B7B" w:rsidRDefault="00480B7B" w:rsidP="00480B7B">
      <w:pPr>
        <w:spacing w:after="0" w:line="240" w:lineRule="auto"/>
        <w:rPr>
          <w:rFonts w:ascii="Verdana" w:eastAsia="Verdana" w:hAnsi="Verdana" w:cs="Verdana"/>
        </w:rPr>
      </w:pPr>
    </w:p>
    <w:p w14:paraId="50A44C36" w14:textId="77777777" w:rsidR="00480B7B" w:rsidRDefault="00480B7B" w:rsidP="00480B7B">
      <w:pPr>
        <w:spacing w:after="0" w:line="240" w:lineRule="auto"/>
        <w:rPr>
          <w:rFonts w:ascii="Verdana" w:eastAsia="Verdana" w:hAnsi="Verdana" w:cs="Verdana"/>
        </w:rPr>
      </w:pPr>
    </w:p>
    <w:p w14:paraId="6158F39E" w14:textId="77777777" w:rsidR="00480B7B" w:rsidRDefault="00480B7B" w:rsidP="00480B7B">
      <w:pPr>
        <w:spacing w:after="0" w:line="240" w:lineRule="auto"/>
        <w:rPr>
          <w:rFonts w:ascii="Verdana" w:eastAsia="Verdana" w:hAnsi="Verdana" w:cs="Verdana"/>
        </w:rPr>
      </w:pPr>
    </w:p>
    <w:p w14:paraId="4F1AD85C" w14:textId="77777777" w:rsidR="00480B7B" w:rsidRDefault="00480B7B" w:rsidP="00480B7B">
      <w:pPr>
        <w:spacing w:after="0" w:line="240" w:lineRule="auto"/>
        <w:rPr>
          <w:rFonts w:ascii="Verdana" w:eastAsia="Verdana" w:hAnsi="Verdana" w:cs="Verdana"/>
        </w:rPr>
      </w:pPr>
    </w:p>
    <w:p w14:paraId="7EDA9B7D" w14:textId="77777777" w:rsidR="00480B7B" w:rsidRDefault="00480B7B" w:rsidP="00480B7B">
      <w:pPr>
        <w:spacing w:after="0" w:line="240" w:lineRule="auto"/>
        <w:rPr>
          <w:rFonts w:ascii="Verdana" w:eastAsia="Verdana" w:hAnsi="Verdana" w:cs="Verdana"/>
        </w:rPr>
      </w:pPr>
    </w:p>
    <w:p w14:paraId="4F0FB451" w14:textId="77777777" w:rsidR="00480B7B" w:rsidRDefault="00480B7B" w:rsidP="00480B7B">
      <w:pPr>
        <w:spacing w:after="0" w:line="240" w:lineRule="auto"/>
        <w:rPr>
          <w:rFonts w:ascii="Verdana" w:eastAsia="Verdana" w:hAnsi="Verdana" w:cs="Verdana"/>
        </w:rPr>
      </w:pPr>
    </w:p>
    <w:p w14:paraId="1EC92CB3" w14:textId="77777777" w:rsidR="00480B7B" w:rsidRDefault="00480B7B" w:rsidP="00480B7B">
      <w:pPr>
        <w:spacing w:after="0" w:line="240" w:lineRule="auto"/>
        <w:rPr>
          <w:rFonts w:ascii="Verdana" w:eastAsia="Verdana" w:hAnsi="Verdana" w:cs="Verdana"/>
        </w:rPr>
      </w:pPr>
    </w:p>
    <w:p w14:paraId="5C1CFD0B" w14:textId="77777777" w:rsidR="00480B7B" w:rsidRDefault="00480B7B" w:rsidP="00480B7B">
      <w:pPr>
        <w:spacing w:after="0" w:line="240" w:lineRule="auto"/>
        <w:rPr>
          <w:rFonts w:ascii="Verdana" w:eastAsia="Verdana" w:hAnsi="Verdana" w:cs="Verdana"/>
        </w:rPr>
      </w:pPr>
    </w:p>
    <w:p w14:paraId="13580599" w14:textId="77777777" w:rsidR="00480B7B" w:rsidRDefault="00480B7B" w:rsidP="00480B7B">
      <w:pPr>
        <w:spacing w:after="0" w:line="240" w:lineRule="auto"/>
        <w:rPr>
          <w:rFonts w:ascii="Verdana" w:eastAsia="Verdana" w:hAnsi="Verdana" w:cs="Verdana"/>
        </w:rPr>
      </w:pPr>
    </w:p>
    <w:p w14:paraId="289690E8" w14:textId="77777777" w:rsidR="00480B7B" w:rsidRDefault="00480B7B" w:rsidP="00480B7B">
      <w:pPr>
        <w:spacing w:after="0" w:line="240" w:lineRule="auto"/>
        <w:rPr>
          <w:rFonts w:ascii="Verdana" w:eastAsia="Verdana" w:hAnsi="Verdana" w:cs="Verdana"/>
        </w:rPr>
      </w:pPr>
    </w:p>
    <w:p w14:paraId="007BEDEA" w14:textId="77777777" w:rsidR="00480B7B" w:rsidRDefault="00480B7B" w:rsidP="00480B7B">
      <w:pPr>
        <w:spacing w:after="0" w:line="240" w:lineRule="auto"/>
        <w:rPr>
          <w:rFonts w:ascii="Verdana" w:eastAsia="Verdana" w:hAnsi="Verdana" w:cs="Verdana"/>
        </w:rPr>
      </w:pPr>
    </w:p>
    <w:p w14:paraId="47083680" w14:textId="77777777" w:rsidR="00480B7B" w:rsidRDefault="00480B7B" w:rsidP="00480B7B">
      <w:pPr>
        <w:spacing w:after="0" w:line="240" w:lineRule="auto"/>
        <w:rPr>
          <w:rFonts w:ascii="Verdana" w:eastAsia="Verdana" w:hAnsi="Verdana" w:cs="Verdana"/>
        </w:rPr>
      </w:pPr>
    </w:p>
    <w:p w14:paraId="5832C2AC" w14:textId="77777777" w:rsidR="00480B7B" w:rsidRDefault="00480B7B" w:rsidP="00480B7B">
      <w:pPr>
        <w:spacing w:after="0" w:line="240" w:lineRule="auto"/>
        <w:rPr>
          <w:rFonts w:ascii="Verdana" w:eastAsia="Verdana" w:hAnsi="Verdana" w:cs="Verdana"/>
        </w:rPr>
      </w:pPr>
    </w:p>
    <w:p w14:paraId="2BD5E9BD" w14:textId="77777777" w:rsidR="00480B7B" w:rsidRDefault="00480B7B" w:rsidP="00480B7B">
      <w:pPr>
        <w:spacing w:after="0" w:line="240" w:lineRule="auto"/>
        <w:rPr>
          <w:rFonts w:ascii="Verdana" w:eastAsia="Verdana" w:hAnsi="Verdana" w:cs="Verdana"/>
        </w:rPr>
      </w:pPr>
    </w:p>
    <w:p w14:paraId="4257070A" w14:textId="77777777" w:rsidR="00480B7B" w:rsidRDefault="00480B7B" w:rsidP="00480B7B">
      <w:pPr>
        <w:spacing w:after="0" w:line="240" w:lineRule="auto"/>
        <w:rPr>
          <w:rFonts w:ascii="Verdana" w:eastAsia="Verdana" w:hAnsi="Verdana" w:cs="Verdana"/>
        </w:rPr>
      </w:pPr>
    </w:p>
    <w:p w14:paraId="1D02AA8D" w14:textId="77777777" w:rsidR="00480B7B" w:rsidRDefault="00480B7B" w:rsidP="00480B7B">
      <w:pPr>
        <w:spacing w:after="0" w:line="240" w:lineRule="auto"/>
        <w:rPr>
          <w:rFonts w:ascii="Verdana" w:eastAsia="Verdana" w:hAnsi="Verdana" w:cs="Verdana"/>
        </w:rPr>
      </w:pPr>
    </w:p>
    <w:p w14:paraId="1077A338" w14:textId="77777777" w:rsidR="00480B7B" w:rsidRDefault="00480B7B" w:rsidP="00480B7B">
      <w:pPr>
        <w:spacing w:after="0" w:line="240" w:lineRule="auto"/>
        <w:rPr>
          <w:rFonts w:ascii="Verdana" w:eastAsia="Verdana" w:hAnsi="Verdana" w:cs="Verdana"/>
        </w:rPr>
      </w:pPr>
    </w:p>
    <w:p w14:paraId="6F18614A" w14:textId="595EA1E9" w:rsidR="001F1459" w:rsidRDefault="00EB0FD8" w:rsidP="001F1459">
      <w:pPr>
        <w:spacing w:after="0" w:line="240" w:lineRule="auto"/>
        <w:rPr>
          <w:rFonts w:ascii="Verdana" w:hAnsi="Verdana"/>
        </w:rPr>
      </w:pPr>
      <w:r w:rsidRPr="00EB0FD8">
        <w:rPr>
          <w:rFonts w:ascii="Verdana" w:eastAsia="Verdana" w:hAnsi="Verdana" w:cs="Verdana"/>
          <w:noProof/>
        </w:rPr>
        <w:lastRenderedPageBreak/>
        <w:drawing>
          <wp:anchor distT="0" distB="0" distL="114300" distR="114300" simplePos="0" relativeHeight="251658240" behindDoc="0" locked="0" layoutInCell="1" allowOverlap="1" wp14:anchorId="30AEAAA3" wp14:editId="3F57B987">
            <wp:simplePos x="0" y="0"/>
            <wp:positionH relativeFrom="margin">
              <wp:align>right</wp:align>
            </wp:positionH>
            <wp:positionV relativeFrom="paragraph">
              <wp:posOffset>118745</wp:posOffset>
            </wp:positionV>
            <wp:extent cx="2426335" cy="669925"/>
            <wp:effectExtent l="0" t="0" r="0" b="0"/>
            <wp:wrapSquare wrapText="bothSides"/>
            <wp:docPr id="944280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6335"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459" w:rsidRPr="30821638">
        <w:rPr>
          <w:rFonts w:ascii="Verdana" w:eastAsia="Verdana" w:hAnsi="Verdana" w:cs="Verdana"/>
        </w:rPr>
        <w:t xml:space="preserve">Bogotá D.C., </w:t>
      </w:r>
      <w:r w:rsidR="003D7A75">
        <w:rPr>
          <w:rFonts w:ascii="Verdana" w:eastAsia="Verdana" w:hAnsi="Verdana" w:cs="Verdana"/>
        </w:rPr>
        <w:t>20 de agosto de 2026</w:t>
      </w:r>
      <w:r w:rsidRPr="00EB0FD8">
        <w:rPr>
          <w:rFonts w:ascii="Verdana" w:eastAsia="Verdana" w:hAnsi="Verdana" w:cs="Verdana"/>
        </w:rPr>
        <w:t xml:space="preserve"> </w:t>
      </w:r>
      <w:r w:rsidR="001F1459">
        <w:br/>
      </w:r>
    </w:p>
    <w:p w14:paraId="15594EB1" w14:textId="77777777" w:rsidR="001F1459" w:rsidRPr="002B4BE9" w:rsidRDefault="001F1459" w:rsidP="001F1459">
      <w:pPr>
        <w:spacing w:after="0" w:line="240" w:lineRule="auto"/>
        <w:rPr>
          <w:rFonts w:ascii="Verdana" w:hAnsi="Verdana"/>
        </w:rPr>
      </w:pPr>
    </w:p>
    <w:p w14:paraId="1E2CAB0E" w14:textId="77777777" w:rsidR="001F1459" w:rsidRPr="00EA3A0F" w:rsidRDefault="001F1459" w:rsidP="001F1459">
      <w:pPr>
        <w:spacing w:after="0" w:line="240" w:lineRule="auto"/>
        <w:rPr>
          <w:rFonts w:ascii="Verdana" w:eastAsia="Calibri" w:hAnsi="Verdana" w:cs="Times New Roman"/>
          <w:lang w:val="es-MX"/>
        </w:rPr>
      </w:pPr>
      <w:r w:rsidRPr="00EA3A0F">
        <w:rPr>
          <w:rFonts w:ascii="Verdana" w:eastAsia="Calibri" w:hAnsi="Verdana" w:cs="Times New Roman"/>
          <w:lang w:val="es-MX"/>
        </w:rPr>
        <w:t>Señor</w:t>
      </w:r>
    </w:p>
    <w:p w14:paraId="32AAE7E4" w14:textId="77777777" w:rsidR="001F1459" w:rsidRPr="00EA3A0F" w:rsidRDefault="001F1459" w:rsidP="001F1459">
      <w:pPr>
        <w:spacing w:after="0" w:line="240" w:lineRule="auto"/>
        <w:rPr>
          <w:rFonts w:ascii="Verdana" w:eastAsia="Calibri" w:hAnsi="Verdana" w:cs="Times New Roman"/>
          <w:b/>
        </w:rPr>
      </w:pPr>
      <w:r w:rsidRPr="00EA3A0F">
        <w:rPr>
          <w:rFonts w:ascii="Verdana" w:eastAsia="Calibri" w:hAnsi="Verdana" w:cs="Times New Roman"/>
          <w:b/>
        </w:rPr>
        <w:t>María Paula López Sandoval</w:t>
      </w:r>
    </w:p>
    <w:p w14:paraId="618EEB52" w14:textId="77777777" w:rsidR="001F1459" w:rsidRDefault="001F1459" w:rsidP="001F1459">
      <w:pPr>
        <w:spacing w:after="0" w:line="240" w:lineRule="auto"/>
        <w:rPr>
          <w:rFonts w:ascii="Verdana" w:hAnsi="Verdana"/>
        </w:rPr>
      </w:pPr>
      <w:hyperlink r:id="rId12" w:history="1">
        <w:r w:rsidRPr="00D13733">
          <w:rPr>
            <w:rStyle w:val="Hipervnculo"/>
            <w:rFonts w:ascii="Verdana" w:hAnsi="Verdana"/>
          </w:rPr>
          <w:t>comunicaciones@academiadelagestionpublica.org</w:t>
        </w:r>
      </w:hyperlink>
    </w:p>
    <w:p w14:paraId="42E68C4B" w14:textId="77777777" w:rsidR="001F1459" w:rsidRPr="00EA3A0F" w:rsidRDefault="001F1459" w:rsidP="001F1459">
      <w:pPr>
        <w:spacing w:after="0" w:line="240" w:lineRule="auto"/>
        <w:rPr>
          <w:rFonts w:ascii="Verdana" w:hAnsi="Verdana"/>
        </w:rPr>
      </w:pPr>
      <w:hyperlink r:id="rId13" w:history="1">
        <w:r w:rsidRPr="00D13733">
          <w:rPr>
            <w:rStyle w:val="Hipervnculo"/>
            <w:rFonts w:ascii="Verdana" w:hAnsi="Verdana"/>
          </w:rPr>
          <w:t>mp.lopez2508@hotmail.com</w:t>
        </w:r>
      </w:hyperlink>
      <w:r>
        <w:rPr>
          <w:rFonts w:ascii="Verdana" w:hAnsi="Verdana"/>
        </w:rPr>
        <w:t xml:space="preserve"> </w:t>
      </w:r>
    </w:p>
    <w:p w14:paraId="21A0FB7B" w14:textId="77777777" w:rsidR="001F1459" w:rsidRPr="00EA3A0F" w:rsidRDefault="001F1459" w:rsidP="001F1459">
      <w:pPr>
        <w:spacing w:after="0" w:line="240" w:lineRule="auto"/>
        <w:rPr>
          <w:rFonts w:ascii="Verdana" w:eastAsia="Calibri" w:hAnsi="Verdana" w:cs="Times New Roman"/>
          <w:bCs/>
        </w:rPr>
      </w:pPr>
      <w:r w:rsidRPr="00EA3A0F">
        <w:rPr>
          <w:rFonts w:ascii="Verdana" w:eastAsia="Calibri" w:hAnsi="Verdana" w:cs="Times New Roman"/>
          <w:bCs/>
        </w:rPr>
        <w:t xml:space="preserve">Bogotá D.C. </w:t>
      </w:r>
    </w:p>
    <w:p w14:paraId="37DC562E" w14:textId="77777777" w:rsidR="001F1459" w:rsidRPr="002B4BE9" w:rsidRDefault="001F1459" w:rsidP="001F1459">
      <w:pPr>
        <w:spacing w:after="0" w:line="240" w:lineRule="auto"/>
        <w:rPr>
          <w:rFonts w:ascii="Verdana" w:eastAsia="Calibri" w:hAnsi="Verdana" w:cs="Times New Roman"/>
        </w:rPr>
      </w:pPr>
    </w:p>
    <w:p w14:paraId="1AE2FAE7" w14:textId="77777777" w:rsidR="001F1459" w:rsidRPr="002B4BE9" w:rsidRDefault="001F1459" w:rsidP="001F1459">
      <w:pPr>
        <w:spacing w:after="0" w:line="240" w:lineRule="auto"/>
        <w:rPr>
          <w:rFonts w:ascii="Verdana" w:eastAsia="Calibri" w:hAnsi="Verdana" w:cs="Times New Roman"/>
        </w:rPr>
      </w:pPr>
    </w:p>
    <w:p w14:paraId="10C041BE" w14:textId="1717CE54" w:rsidR="001F1459" w:rsidRPr="002B4BE9" w:rsidRDefault="001F1459" w:rsidP="001F1459">
      <w:pPr>
        <w:spacing w:after="0" w:line="240" w:lineRule="auto"/>
        <w:rPr>
          <w:rFonts w:ascii="Verdana" w:eastAsia="Calibri" w:hAnsi="Verdana" w:cs="Times New Roman"/>
          <w:b/>
          <w:bCs/>
          <w:lang w:val="es-ES"/>
        </w:rPr>
      </w:pPr>
      <w:r w:rsidRPr="002B4BE9">
        <w:rPr>
          <w:rFonts w:ascii="Verdana" w:eastAsia="Calibri" w:hAnsi="Verdana" w:cs="Times New Roman"/>
          <w:b/>
          <w:bCs/>
          <w:lang w:val="es-ES"/>
        </w:rPr>
        <w:t xml:space="preserve">                    </w:t>
      </w:r>
      <w:r>
        <w:rPr>
          <w:rFonts w:ascii="Verdana" w:eastAsia="Calibri" w:hAnsi="Verdana" w:cs="Times New Roman"/>
          <w:b/>
          <w:bCs/>
          <w:lang w:val="es-ES"/>
        </w:rPr>
        <w:t xml:space="preserve">                Concepto C</w:t>
      </w:r>
      <w:r w:rsidR="00AD444C">
        <w:rPr>
          <w:rFonts w:ascii="Verdana" w:eastAsia="Calibri" w:hAnsi="Verdana" w:cs="Times New Roman"/>
          <w:b/>
          <w:bCs/>
          <w:lang w:val="es-ES"/>
        </w:rPr>
        <w:t>-</w:t>
      </w:r>
      <w:r>
        <w:rPr>
          <w:rFonts w:ascii="Verdana" w:eastAsia="Calibri" w:hAnsi="Verdana" w:cs="Times New Roman"/>
          <w:b/>
          <w:bCs/>
          <w:lang w:val="es-ES"/>
        </w:rPr>
        <w:t>1177 de 2026</w:t>
      </w:r>
    </w:p>
    <w:p w14:paraId="3AA6D6FD" w14:textId="77777777" w:rsidR="001F1459" w:rsidRPr="002B4BE9" w:rsidRDefault="001F1459" w:rsidP="001F1459">
      <w:pPr>
        <w:spacing w:after="0" w:line="240"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1F1459" w:rsidRPr="002B4BE9" w14:paraId="36A8BE9E" w14:textId="77777777" w:rsidTr="00751785">
        <w:trPr>
          <w:trHeight w:val="645"/>
        </w:trPr>
        <w:tc>
          <w:tcPr>
            <w:tcW w:w="2685" w:type="dxa"/>
            <w:hideMark/>
          </w:tcPr>
          <w:p w14:paraId="2D926DE5" w14:textId="77777777" w:rsidR="001F1459" w:rsidRPr="002B4BE9" w:rsidRDefault="001F1459" w:rsidP="00751785">
            <w:pPr>
              <w:rPr>
                <w:rFonts w:ascii="Verdana" w:hAnsi="Verdana"/>
                <w:b/>
                <w:bCs/>
                <w:lang w:val="es-ES_tradnl"/>
              </w:rPr>
            </w:pPr>
            <w:r w:rsidRPr="002B4BE9">
              <w:rPr>
                <w:rFonts w:ascii="Verdana" w:hAnsi="Verdana"/>
                <w:b/>
                <w:bCs/>
                <w:lang w:val="es-ES_tradnl"/>
              </w:rPr>
              <w:t xml:space="preserve">Temas:                  </w:t>
            </w:r>
          </w:p>
        </w:tc>
        <w:tc>
          <w:tcPr>
            <w:tcW w:w="6241" w:type="dxa"/>
            <w:hideMark/>
          </w:tcPr>
          <w:p w14:paraId="658EB6B1" w14:textId="09315BEB" w:rsidR="001F1459" w:rsidRPr="002B4BE9" w:rsidRDefault="001F1459" w:rsidP="00751785">
            <w:pPr>
              <w:snapToGrid w:val="0"/>
              <w:spacing w:line="276" w:lineRule="auto"/>
              <w:jc w:val="both"/>
              <w:rPr>
                <w:rFonts w:ascii="Verdana" w:hAnsi="Verdana" w:cs="Arial"/>
                <w:bCs/>
                <w:lang w:val="es-ES" w:eastAsia="es-ES"/>
              </w:rPr>
            </w:pPr>
            <w:r w:rsidRPr="002B4BE9">
              <w:rPr>
                <w:rFonts w:ascii="Verdana" w:hAnsi="Verdana" w:cs="Arial"/>
                <w:bCs/>
                <w:lang w:val="es-ES" w:eastAsia="es-ES"/>
              </w:rPr>
              <w:t>CONTRATO ESTATAL – Ejercicio – Funciones de control y vigilancia / CONTRATO ESTATAL – Supervisión – Interventoría – características /</w:t>
            </w:r>
            <w:r>
              <w:rPr>
                <w:rFonts w:ascii="Verdana" w:hAnsi="Verdana" w:cs="Arial"/>
                <w:bCs/>
                <w:lang w:val="es-ES" w:eastAsia="es-ES"/>
              </w:rPr>
              <w:t xml:space="preserve"> INTERVENTORÍA </w:t>
            </w:r>
            <w:r w:rsidRPr="002B4BE9">
              <w:rPr>
                <w:rFonts w:ascii="Verdana" w:hAnsi="Verdana" w:cs="Arial"/>
                <w:bCs/>
                <w:lang w:val="es-ES" w:eastAsia="es-ES"/>
              </w:rPr>
              <w:t xml:space="preserve"> </w:t>
            </w:r>
            <w:r>
              <w:rPr>
                <w:rFonts w:ascii="Verdana" w:hAnsi="Verdana" w:cs="Arial"/>
                <w:bCs/>
                <w:lang w:val="es-ES" w:eastAsia="es-ES"/>
              </w:rPr>
              <w:t xml:space="preserve"> Y SUPERVISIÓN – Funciones - Deberes / VIGILANCIA Y CONTROL – Supervisión e interventoría – Ejercicio – Funciones administrativas / SUPERVISIÓN E INTERVENTORÍA – Deberes – Metodología / SUPERVISORES E INTERVENTORES - Responsabilidad – Gestión Fiscal – Definición / SUPERVISIÓN E INTERVENTORIA – Responsabilidad Fiscal - Contralorías </w:t>
            </w:r>
          </w:p>
        </w:tc>
        <w:tc>
          <w:tcPr>
            <w:tcW w:w="6237" w:type="dxa"/>
          </w:tcPr>
          <w:p w14:paraId="2F038F99" w14:textId="77777777" w:rsidR="001F1459" w:rsidRPr="002B4BE9" w:rsidRDefault="001F1459" w:rsidP="00751785">
            <w:pPr>
              <w:rPr>
                <w:rFonts w:ascii="Verdana" w:hAnsi="Verdana"/>
                <w:lang w:val="es-ES"/>
              </w:rPr>
            </w:pPr>
          </w:p>
        </w:tc>
      </w:tr>
      <w:tr w:rsidR="001F1459" w:rsidRPr="002B4BE9" w14:paraId="020A2CE6" w14:textId="77777777" w:rsidTr="00751785">
        <w:tc>
          <w:tcPr>
            <w:tcW w:w="2685" w:type="dxa"/>
          </w:tcPr>
          <w:p w14:paraId="02A58BAB" w14:textId="77777777" w:rsidR="001F1459" w:rsidRDefault="001F1459" w:rsidP="00751785">
            <w:pPr>
              <w:rPr>
                <w:rFonts w:ascii="Verdana" w:hAnsi="Verdana"/>
                <w:b/>
                <w:bCs/>
                <w:lang w:val="es-ES_tradnl"/>
              </w:rPr>
            </w:pPr>
          </w:p>
          <w:p w14:paraId="23EBD18D" w14:textId="77777777" w:rsidR="001F1459" w:rsidRPr="002B4BE9" w:rsidRDefault="001F1459" w:rsidP="00751785">
            <w:pPr>
              <w:rPr>
                <w:rFonts w:ascii="Verdana" w:hAnsi="Verdana"/>
                <w:b/>
                <w:bCs/>
                <w:lang w:val="es-ES_tradnl"/>
              </w:rPr>
            </w:pPr>
          </w:p>
          <w:p w14:paraId="28D2CB12" w14:textId="77777777" w:rsidR="001F1459" w:rsidRPr="00995618" w:rsidRDefault="001F1459" w:rsidP="00751785">
            <w:pPr>
              <w:rPr>
                <w:rFonts w:ascii="Verdana" w:hAnsi="Verdana"/>
                <w:b/>
                <w:bCs/>
                <w:lang w:val="es-ES_tradnl"/>
              </w:rPr>
            </w:pPr>
            <w:r w:rsidRPr="002B4BE9">
              <w:rPr>
                <w:rFonts w:ascii="Verdana" w:hAnsi="Verdana"/>
                <w:b/>
                <w:bCs/>
                <w:lang w:val="es-ES_tradnl"/>
              </w:rPr>
              <w:t xml:space="preserve">Radicación:               </w:t>
            </w:r>
          </w:p>
        </w:tc>
        <w:tc>
          <w:tcPr>
            <w:tcW w:w="6241" w:type="dxa"/>
          </w:tcPr>
          <w:p w14:paraId="39C5288A" w14:textId="77777777" w:rsidR="001F1459" w:rsidRDefault="001F1459" w:rsidP="00751785">
            <w:pPr>
              <w:spacing w:line="276" w:lineRule="auto"/>
              <w:jc w:val="both"/>
              <w:rPr>
                <w:rFonts w:ascii="Verdana" w:hAnsi="Verdana"/>
                <w:lang w:val="es-ES_tradnl"/>
              </w:rPr>
            </w:pPr>
          </w:p>
          <w:p w14:paraId="5BB0F60C" w14:textId="77777777" w:rsidR="001F1459" w:rsidRPr="002B4BE9" w:rsidRDefault="001F1459" w:rsidP="00751785">
            <w:pPr>
              <w:spacing w:line="276" w:lineRule="auto"/>
              <w:jc w:val="both"/>
              <w:rPr>
                <w:rFonts w:ascii="Verdana" w:hAnsi="Verdana"/>
                <w:lang w:val="es-ES_tradnl"/>
              </w:rPr>
            </w:pPr>
          </w:p>
          <w:p w14:paraId="2EDC01E1" w14:textId="77777777" w:rsidR="001F1459" w:rsidRPr="002B4BE9" w:rsidRDefault="001F1459" w:rsidP="00751785">
            <w:pPr>
              <w:spacing w:line="276" w:lineRule="auto"/>
              <w:jc w:val="both"/>
              <w:rPr>
                <w:rFonts w:ascii="Verdana" w:hAnsi="Verdana"/>
                <w:lang w:val="es-ES_tradnl"/>
              </w:rPr>
            </w:pPr>
            <w:r w:rsidRPr="002B4BE9">
              <w:rPr>
                <w:rFonts w:ascii="Verdana" w:hAnsi="Verdana"/>
                <w:lang w:val="es-ES_tradnl"/>
              </w:rPr>
              <w:t>Res</w:t>
            </w:r>
            <w:r>
              <w:rPr>
                <w:rFonts w:ascii="Verdana" w:hAnsi="Verdana"/>
                <w:lang w:val="es-ES_tradnl"/>
              </w:rPr>
              <w:t xml:space="preserve">puesta a consulta con radicado </w:t>
            </w:r>
            <w:r w:rsidRPr="00814DE2">
              <w:rPr>
                <w:rFonts w:ascii="Verdana" w:hAnsi="Verdana"/>
              </w:rPr>
              <w:t>1_2026_07_27_009837</w:t>
            </w:r>
            <w:r>
              <w:rPr>
                <w:rFonts w:ascii="Verdana" w:hAnsi="Verdana"/>
              </w:rPr>
              <w:t xml:space="preserve">, </w:t>
            </w:r>
            <w:r w:rsidRPr="007323F5">
              <w:rPr>
                <w:rFonts w:ascii="Verdana" w:hAnsi="Verdana"/>
              </w:rPr>
              <w:t>1_2026_07_29_010031</w:t>
            </w:r>
            <w:r>
              <w:rPr>
                <w:rFonts w:ascii="Verdana" w:hAnsi="Verdana"/>
              </w:rPr>
              <w:t xml:space="preserve"> y </w:t>
            </w:r>
            <w:r w:rsidRPr="00B42344">
              <w:rPr>
                <w:rFonts w:ascii="Verdana" w:hAnsi="Verdana"/>
              </w:rPr>
              <w:t>1_2026_07_30_010062</w:t>
            </w:r>
            <w:r>
              <w:rPr>
                <w:rFonts w:ascii="Verdana" w:hAnsi="Verdana"/>
              </w:rPr>
              <w:t xml:space="preserve"> (acumulados)</w:t>
            </w:r>
          </w:p>
          <w:p w14:paraId="4940CE35" w14:textId="77777777" w:rsidR="001F1459" w:rsidRPr="002B4BE9" w:rsidRDefault="001F1459" w:rsidP="00751785">
            <w:pPr>
              <w:spacing w:line="276" w:lineRule="auto"/>
              <w:jc w:val="both"/>
              <w:rPr>
                <w:rFonts w:ascii="Verdana" w:hAnsi="Verdana"/>
              </w:rPr>
            </w:pPr>
          </w:p>
          <w:p w14:paraId="5633AD4E" w14:textId="77777777" w:rsidR="001F1459" w:rsidRPr="002B4BE9" w:rsidRDefault="001F1459" w:rsidP="00751785">
            <w:pPr>
              <w:spacing w:line="276" w:lineRule="auto"/>
              <w:jc w:val="both"/>
              <w:rPr>
                <w:rFonts w:ascii="Verdana" w:hAnsi="Verdana"/>
              </w:rPr>
            </w:pPr>
          </w:p>
        </w:tc>
        <w:tc>
          <w:tcPr>
            <w:tcW w:w="6237" w:type="dxa"/>
          </w:tcPr>
          <w:p w14:paraId="178C7250" w14:textId="77777777" w:rsidR="001F1459" w:rsidRPr="002B4BE9" w:rsidRDefault="001F1459" w:rsidP="00751785">
            <w:pPr>
              <w:rPr>
                <w:rFonts w:ascii="Verdana" w:hAnsi="Verdana"/>
              </w:rPr>
            </w:pPr>
          </w:p>
        </w:tc>
      </w:tr>
    </w:tbl>
    <w:p w14:paraId="5B69321E" w14:textId="77777777" w:rsidR="001F1459" w:rsidRPr="009037F6" w:rsidRDefault="001F1459" w:rsidP="001F1459">
      <w:pPr>
        <w:spacing w:after="0" w:line="256" w:lineRule="auto"/>
        <w:rPr>
          <w:rFonts w:ascii="Verdana" w:eastAsia="Calibri" w:hAnsi="Verdana" w:cs="Times New Roman"/>
          <w:lang w:val="es-ES"/>
        </w:rPr>
      </w:pPr>
      <w:r>
        <w:rPr>
          <w:rFonts w:ascii="Verdana" w:eastAsia="Calibri" w:hAnsi="Verdana" w:cs="Times New Roman"/>
          <w:lang w:val="es-ES"/>
        </w:rPr>
        <w:t>Estimado Señor López</w:t>
      </w:r>
      <w:r w:rsidRPr="009037F6">
        <w:rPr>
          <w:rFonts w:ascii="Verdana" w:eastAsia="Calibri" w:hAnsi="Verdana" w:cs="Times New Roman"/>
          <w:lang w:val="es-ES"/>
        </w:rPr>
        <w:t xml:space="preserve">: </w:t>
      </w:r>
    </w:p>
    <w:p w14:paraId="6DB49C70" w14:textId="77777777" w:rsidR="001F1459" w:rsidRPr="009037F6" w:rsidRDefault="001F1459" w:rsidP="001F1459">
      <w:pPr>
        <w:spacing w:after="0" w:line="276" w:lineRule="auto"/>
        <w:rPr>
          <w:rFonts w:ascii="Verdana" w:eastAsia="Calibri" w:hAnsi="Verdana" w:cs="Times New Roman"/>
          <w:lang w:val="es-ES"/>
        </w:rPr>
      </w:pPr>
    </w:p>
    <w:p w14:paraId="44E268FA" w14:textId="77777777" w:rsidR="001F1459" w:rsidRDefault="001F1459" w:rsidP="001F1459">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N° 469 del 2025 expedida por esta Agencia, </w:t>
      </w:r>
      <w:r w:rsidRPr="009037F6">
        <w:rPr>
          <w:rFonts w:ascii="Verdana" w:eastAsia="Calibri" w:hAnsi="Verdana" w:cs="Times New Roman"/>
          <w:bCs/>
          <w:lang w:val="es-ES" w:bidi="es-ES"/>
        </w:rPr>
        <w:t>respond</w:t>
      </w:r>
      <w:r>
        <w:rPr>
          <w:rFonts w:ascii="Verdana" w:eastAsia="Calibri" w:hAnsi="Verdana" w:cs="Times New Roman"/>
          <w:bCs/>
          <w:lang w:val="es-ES" w:bidi="es-ES"/>
        </w:rPr>
        <w:t>e la solicitud de consulta del 27 de julio de 2026</w:t>
      </w:r>
      <w:r w:rsidRPr="009037F6">
        <w:rPr>
          <w:rFonts w:ascii="Verdana" w:eastAsia="Calibri" w:hAnsi="Verdana" w:cs="Times New Roman"/>
          <w:bCs/>
          <w:lang w:val="es-ES" w:bidi="es-ES"/>
        </w:rPr>
        <w:t xml:space="preserve">, en la cual manifiesta: </w:t>
      </w:r>
    </w:p>
    <w:p w14:paraId="3CE21510" w14:textId="77777777" w:rsidR="001F1459" w:rsidRPr="009037F6" w:rsidRDefault="001F1459" w:rsidP="001F1459">
      <w:pPr>
        <w:spacing w:after="0" w:line="276" w:lineRule="auto"/>
        <w:jc w:val="both"/>
        <w:rPr>
          <w:rFonts w:ascii="Verdana" w:eastAsia="Calibri" w:hAnsi="Verdana" w:cs="Times New Roman"/>
          <w:bCs/>
          <w:lang w:val="es-ES" w:bidi="es-ES"/>
        </w:rPr>
      </w:pPr>
    </w:p>
    <w:p w14:paraId="484EE346" w14:textId="77777777" w:rsidR="001F1459" w:rsidRPr="00EA3A0F" w:rsidRDefault="001F1459" w:rsidP="001F1459">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EA3A0F">
        <w:rPr>
          <w:rFonts w:ascii="Verdana" w:eastAsia="Calibri" w:hAnsi="Verdana" w:cs="Times New Roman"/>
          <w:bCs/>
          <w:sz w:val="20"/>
          <w:szCs w:val="20"/>
          <w:lang w:bidi="es-ES"/>
        </w:rPr>
        <w:t xml:space="preserve">1. ¿La interventoría y la supervisión contractual pueden considerarse funciones públicas? En caso afirmativo o negativo, sírvase indicar el fundamento normativo, doctrinal o jurisprudencial aplicable. </w:t>
      </w:r>
    </w:p>
    <w:p w14:paraId="1571D3D1" w14:textId="77777777" w:rsidR="001F1459" w:rsidRPr="00EA3A0F" w:rsidRDefault="001F1459" w:rsidP="001F1459">
      <w:pPr>
        <w:spacing w:after="0" w:line="240" w:lineRule="auto"/>
        <w:ind w:left="709" w:right="709"/>
        <w:jc w:val="both"/>
        <w:rPr>
          <w:rFonts w:ascii="Verdana" w:eastAsia="Calibri" w:hAnsi="Verdana" w:cs="Times New Roman"/>
          <w:bCs/>
          <w:sz w:val="20"/>
          <w:szCs w:val="20"/>
          <w:lang w:bidi="es-ES"/>
        </w:rPr>
      </w:pPr>
      <w:r w:rsidRPr="00EA3A0F">
        <w:rPr>
          <w:rFonts w:ascii="Verdana" w:eastAsia="Calibri" w:hAnsi="Verdana" w:cs="Times New Roman"/>
          <w:bCs/>
          <w:sz w:val="20"/>
          <w:szCs w:val="20"/>
          <w:lang w:bidi="es-ES"/>
        </w:rPr>
        <w:t xml:space="preserve">2. ¿A los contratos financiados total o parcialmente con recursos públicos, pero sometidos a un régimen de derecho privado, les resulta aplicable el artículo 83 de la Ley 1474 de 2011? De ser así, sírvase precisar si dicha aplicación es total o parcial y bajo qué condiciones. </w:t>
      </w:r>
    </w:p>
    <w:p w14:paraId="4AD7B52B" w14:textId="77777777" w:rsidR="001F1459" w:rsidRPr="00EA3A0F" w:rsidRDefault="001F1459" w:rsidP="001F1459">
      <w:pPr>
        <w:spacing w:after="0" w:line="240" w:lineRule="auto"/>
        <w:ind w:left="709" w:right="709"/>
        <w:jc w:val="both"/>
        <w:rPr>
          <w:rFonts w:ascii="Verdana" w:eastAsia="Calibri" w:hAnsi="Verdana" w:cs="Times New Roman"/>
          <w:bCs/>
          <w:sz w:val="20"/>
          <w:szCs w:val="20"/>
          <w:lang w:bidi="es-ES"/>
        </w:rPr>
      </w:pPr>
      <w:r w:rsidRPr="00EA3A0F">
        <w:rPr>
          <w:rFonts w:ascii="Verdana" w:eastAsia="Calibri" w:hAnsi="Verdana" w:cs="Times New Roman"/>
          <w:bCs/>
          <w:sz w:val="20"/>
          <w:szCs w:val="20"/>
          <w:lang w:bidi="es-ES"/>
        </w:rPr>
        <w:t>3. ¿A los contratos financiados total o parcialmente con recursos públicos, pero sometidos a un régimen de derecho privado, les resulta aplicable el artículo 82 de la Ley 1474 de 2011? En caso afirmativo, sírvase indicar si su aplicación es total o parcial, así como el alcance de dicha aplicación.</w:t>
      </w:r>
    </w:p>
    <w:p w14:paraId="504E0DF5" w14:textId="77777777" w:rsidR="001F1459" w:rsidRPr="00EA3A0F" w:rsidRDefault="001F1459" w:rsidP="001F1459">
      <w:pPr>
        <w:spacing w:after="0" w:line="240" w:lineRule="auto"/>
        <w:ind w:left="709" w:right="709"/>
        <w:jc w:val="both"/>
        <w:rPr>
          <w:rFonts w:ascii="Verdana" w:eastAsia="Calibri" w:hAnsi="Verdana" w:cs="Times New Roman"/>
          <w:bCs/>
          <w:sz w:val="20"/>
          <w:szCs w:val="20"/>
          <w:lang w:bidi="es-ES"/>
        </w:rPr>
      </w:pPr>
      <w:r w:rsidRPr="00EA3A0F">
        <w:rPr>
          <w:rFonts w:ascii="Verdana" w:eastAsia="Calibri" w:hAnsi="Verdana" w:cs="Times New Roman"/>
          <w:bCs/>
          <w:sz w:val="20"/>
          <w:szCs w:val="20"/>
          <w:lang w:bidi="es-ES"/>
        </w:rPr>
        <w:t xml:space="preserve">4. ¿A los contratos financiados total o parcialmente con recursos públicos, pero sometidos a un régimen de derecho privado, les resulta aplicable el artículo 84 de la Ley 1474 de 2011? De ser procedente, sírvase precisar si su aplicación es total o parcial y cuáles son sus efectos frente a la supervisión o interventoría contractual. </w:t>
      </w:r>
    </w:p>
    <w:p w14:paraId="5D7A59F3" w14:textId="77777777" w:rsidR="001F1459" w:rsidRPr="00EA3A0F" w:rsidRDefault="001F1459" w:rsidP="001F1459">
      <w:pPr>
        <w:spacing w:after="0" w:line="240" w:lineRule="auto"/>
        <w:ind w:left="709" w:right="709"/>
        <w:jc w:val="both"/>
        <w:rPr>
          <w:rFonts w:ascii="Verdana" w:eastAsia="Calibri" w:hAnsi="Verdana" w:cs="Times New Roman"/>
          <w:bCs/>
          <w:sz w:val="20"/>
          <w:szCs w:val="20"/>
          <w:lang w:bidi="es-ES"/>
        </w:rPr>
      </w:pPr>
      <w:r w:rsidRPr="00EA3A0F">
        <w:rPr>
          <w:rFonts w:ascii="Verdana" w:eastAsia="Calibri" w:hAnsi="Verdana" w:cs="Times New Roman"/>
          <w:bCs/>
          <w:sz w:val="20"/>
          <w:szCs w:val="20"/>
          <w:lang w:bidi="es-ES"/>
        </w:rPr>
        <w:t xml:space="preserve">5. ¿A los contratos financiados total o parcialmente con recursos públicos, pero sometidos a un régimen de derecho privado, les resulta aplicable el artículo 85 de la Ley 1474 de 2011? En caso afirmativo, sírvase precisar si la aplicación es total o parcial y cuál es el alcance de las facultades, deberes o responsabilidades allí previstas. </w:t>
      </w:r>
    </w:p>
    <w:p w14:paraId="39D9B956" w14:textId="77777777" w:rsidR="001F1459" w:rsidRPr="005000A1" w:rsidRDefault="001F1459" w:rsidP="001F1459">
      <w:pPr>
        <w:spacing w:after="0" w:line="240" w:lineRule="auto"/>
        <w:ind w:left="709" w:right="709"/>
        <w:jc w:val="both"/>
        <w:rPr>
          <w:rFonts w:ascii="Verdana" w:eastAsia="Calibri" w:hAnsi="Verdana" w:cs="Times New Roman"/>
          <w:bCs/>
          <w:sz w:val="20"/>
          <w:szCs w:val="20"/>
          <w:lang w:bidi="es-ES"/>
        </w:rPr>
      </w:pPr>
      <w:r w:rsidRPr="00EA3A0F">
        <w:rPr>
          <w:rFonts w:ascii="Verdana" w:eastAsia="Calibri" w:hAnsi="Verdana" w:cs="Times New Roman"/>
          <w:bCs/>
          <w:sz w:val="20"/>
          <w:szCs w:val="20"/>
          <w:lang w:bidi="es-ES"/>
        </w:rPr>
        <w:t xml:space="preserve">6. ¿Los supervisores e interventores de contratos financiados total o parcialmente con recursos públicos ejercen gestión fiscal o administran recursos públicos? En caso afirmativo o negativo, sírvase indicar los criterios que permiten determinar cuándo dichas actividades pueden implicar administración, manejo, disposición o injerencia sobre recursos públicos, así como las eventuales consecuencias en materia de responsabilidad fiscal. </w:t>
      </w:r>
    </w:p>
    <w:p w14:paraId="70A7EDF5" w14:textId="77777777" w:rsidR="001F1459" w:rsidRPr="005000A1" w:rsidRDefault="001F1459" w:rsidP="001F1459">
      <w:pPr>
        <w:spacing w:after="0" w:line="240" w:lineRule="auto"/>
        <w:ind w:right="709"/>
        <w:jc w:val="both"/>
        <w:rPr>
          <w:rFonts w:ascii="Verdana" w:eastAsia="Calibri" w:hAnsi="Verdana" w:cs="Times New Roman"/>
          <w:bCs/>
          <w:sz w:val="21"/>
          <w:szCs w:val="21"/>
          <w:lang w:bidi="es-ES"/>
        </w:rPr>
      </w:pPr>
    </w:p>
    <w:p w14:paraId="7560C869" w14:textId="77777777" w:rsidR="001F1459" w:rsidRPr="009037F6" w:rsidRDefault="001F1459" w:rsidP="001F1459">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w:t>
      </w:r>
      <w:r w:rsidRPr="009037F6">
        <w:rPr>
          <w:rFonts w:ascii="Verdana" w:eastAsia="Calibri" w:hAnsi="Verdana" w:cs="Times New Roman"/>
          <w:lang w:val="es-ES"/>
        </w:rPr>
        <w:lastRenderedPageBreak/>
        <w:t>determinar grados de responsabilidad por las actuaciones de los diferentes participes del sistema de compra pública.</w:t>
      </w:r>
    </w:p>
    <w:p w14:paraId="1CF56074" w14:textId="77777777" w:rsidR="001F1459" w:rsidRPr="009037F6" w:rsidRDefault="001F1459" w:rsidP="001F1459">
      <w:pPr>
        <w:spacing w:after="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Times New Roman"/>
          <w:lang w:val="es-ES"/>
        </w:rPr>
        <w:t xml:space="preserve">los problemas jurídicos de su consulta. </w:t>
      </w:r>
    </w:p>
    <w:p w14:paraId="0C8202CF" w14:textId="77777777" w:rsidR="001F1459" w:rsidRPr="009037F6" w:rsidRDefault="001F1459" w:rsidP="001F1459">
      <w:pPr>
        <w:spacing w:after="0" w:line="276" w:lineRule="auto"/>
        <w:rPr>
          <w:rFonts w:ascii="Verdana" w:eastAsia="Calibri" w:hAnsi="Verdana" w:cs="Times New Roman"/>
          <w:lang w:val="es-ES"/>
        </w:rPr>
      </w:pPr>
    </w:p>
    <w:p w14:paraId="72B2694E" w14:textId="77777777" w:rsidR="001F1459" w:rsidRPr="009037F6" w:rsidRDefault="001F1459" w:rsidP="001F1459">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Problema planteado:</w:t>
      </w:r>
    </w:p>
    <w:p w14:paraId="417ED8AF" w14:textId="77777777" w:rsidR="001F1459" w:rsidRPr="009037F6" w:rsidRDefault="001F1459" w:rsidP="001F1459">
      <w:pPr>
        <w:spacing w:after="0" w:line="276" w:lineRule="auto"/>
        <w:rPr>
          <w:rFonts w:ascii="Verdana" w:eastAsia="Calibri" w:hAnsi="Verdana" w:cs="Times New Roman"/>
        </w:rPr>
      </w:pPr>
    </w:p>
    <w:p w14:paraId="3A4B9B73" w14:textId="77777777" w:rsidR="001F1459" w:rsidRPr="00292260" w:rsidRDefault="001F1459" w:rsidP="001F1459">
      <w:pPr>
        <w:spacing w:after="0" w:line="276" w:lineRule="auto"/>
        <w:jc w:val="both"/>
        <w:rPr>
          <w:rFonts w:ascii="Verdana" w:eastAsia="Calibri" w:hAnsi="Verdana" w:cs="Times New Roman"/>
          <w:bCs/>
        </w:rPr>
      </w:pPr>
      <w:r w:rsidRPr="009037F6">
        <w:rPr>
          <w:rFonts w:ascii="Verdana" w:eastAsia="Calibri" w:hAnsi="Verdana" w:cs="Times New Roman"/>
        </w:rPr>
        <w:t>De acuerdo con</w:t>
      </w:r>
      <w:r>
        <w:rPr>
          <w:rFonts w:ascii="Verdana" w:eastAsia="Calibri" w:hAnsi="Verdana" w:cs="Times New Roman"/>
        </w:rPr>
        <w:t xml:space="preserve"> el contenido de sus solicitudes, la Agencia procede a resolver los siguientes problemas jurídicos: i) </w:t>
      </w:r>
      <w:r w:rsidRPr="006207D5">
        <w:rPr>
          <w:rFonts w:ascii="Verdana" w:eastAsia="Calibri" w:hAnsi="Verdana" w:cs="Times New Roman"/>
        </w:rPr>
        <w:t>¿Cuál es la naturaleza jurídica de la supervisión y la interventoría contractual dentro del marco de la contratación estatal, y bajo qué fundamentos normativos, doctrinales y jurisprudenciales puede determinarse que estas ejercen funciones públicas, así como las consecuencias jurídicas derivadas de tal calificación?</w:t>
      </w:r>
      <w:r>
        <w:rPr>
          <w:rFonts w:ascii="Verdana" w:eastAsia="Calibri" w:hAnsi="Verdana" w:cs="Times New Roman"/>
        </w:rPr>
        <w:t xml:space="preserve">; ii) </w:t>
      </w:r>
      <w:r w:rsidRPr="00292260">
        <w:rPr>
          <w:rFonts w:ascii="Verdana" w:eastAsia="Calibri" w:hAnsi="Verdana" w:cs="Times New Roman"/>
        </w:rPr>
        <w:t xml:space="preserve">¿En qué medida y bajo qué condiciones resultan aplicables los artículos </w:t>
      </w:r>
      <w:r>
        <w:rPr>
          <w:rFonts w:ascii="Verdana" w:eastAsia="Calibri" w:hAnsi="Verdana" w:cs="Times New Roman"/>
        </w:rPr>
        <w:t xml:space="preserve">82, </w:t>
      </w:r>
      <w:r w:rsidRPr="00292260">
        <w:rPr>
          <w:rFonts w:ascii="Verdana" w:eastAsia="Calibri" w:hAnsi="Verdana" w:cs="Times New Roman"/>
        </w:rPr>
        <w:t>83, 84 y 85 de la Ley 1474 de 2011 a los contratos financiados total o parcialmente con recursos públicos, pero s</w:t>
      </w:r>
      <w:r>
        <w:rPr>
          <w:rFonts w:ascii="Verdana" w:eastAsia="Calibri" w:hAnsi="Verdana" w:cs="Times New Roman"/>
        </w:rPr>
        <w:t>ujetos</w:t>
      </w:r>
      <w:r w:rsidRPr="00292260">
        <w:rPr>
          <w:rFonts w:ascii="Verdana" w:eastAsia="Calibri" w:hAnsi="Verdana" w:cs="Times New Roman"/>
        </w:rPr>
        <w:t xml:space="preserve"> a un régimen de derecho privado, y c</w:t>
      </w:r>
      <w:r>
        <w:rPr>
          <w:rFonts w:ascii="Verdana" w:eastAsia="Calibri" w:hAnsi="Verdana" w:cs="Times New Roman"/>
        </w:rPr>
        <w:t>on ello</w:t>
      </w:r>
      <w:r w:rsidRPr="00292260">
        <w:rPr>
          <w:rFonts w:ascii="Verdana" w:eastAsia="Calibri" w:hAnsi="Verdana" w:cs="Times New Roman"/>
        </w:rPr>
        <w:t xml:space="preserve"> el alcance de las obligaciones, facultades y responsabilidades que dichas disposiciones imponen en materia de supervisión o interventoría y control de la gestión contractual?</w:t>
      </w:r>
      <w:r>
        <w:rPr>
          <w:rFonts w:ascii="Verdana" w:eastAsia="Calibri" w:hAnsi="Verdana" w:cs="Times New Roman"/>
        </w:rPr>
        <w:t xml:space="preserve">; </w:t>
      </w:r>
      <w:r>
        <w:rPr>
          <w:rFonts w:ascii="Verdana" w:eastAsia="Calibri" w:hAnsi="Verdana" w:cs="Times New Roman"/>
          <w:bCs/>
        </w:rPr>
        <w:t xml:space="preserve">iii) </w:t>
      </w:r>
      <w:r w:rsidRPr="003A6450">
        <w:rPr>
          <w:rFonts w:ascii="Verdana" w:eastAsia="Calibri" w:hAnsi="Verdana" w:cs="Times New Roman"/>
          <w:bCs/>
        </w:rPr>
        <w:t>¿En qué condiciones los supervisores e interventores de contratos financiados total o parcialmente con recursos públicos pueden ser considerados gestores fiscales —o vinculados funcionalmente a la gestión fiscal— y, en consecuencia, ser sujetos de responsabilidad fiscal por las decisiones u omisiones que afecten el patrimonio estatal?</w:t>
      </w:r>
    </w:p>
    <w:p w14:paraId="01975782" w14:textId="77777777" w:rsidR="001F1459" w:rsidRPr="009037F6" w:rsidRDefault="001F1459" w:rsidP="001F1459">
      <w:pPr>
        <w:spacing w:after="0" w:line="276" w:lineRule="auto"/>
        <w:jc w:val="both"/>
        <w:rPr>
          <w:rFonts w:ascii="Verdana" w:eastAsia="Calibri" w:hAnsi="Verdana" w:cs="Times New Roman"/>
          <w:i/>
          <w:iCs/>
          <w:lang w:val="es-ES"/>
        </w:rPr>
      </w:pPr>
    </w:p>
    <w:p w14:paraId="2604C9B4" w14:textId="77777777" w:rsidR="001F1459" w:rsidRPr="009037F6" w:rsidRDefault="001F1459" w:rsidP="001F1459">
      <w:pPr>
        <w:numPr>
          <w:ilvl w:val="0"/>
          <w:numId w:val="16"/>
        </w:numPr>
        <w:spacing w:after="0" w:line="276" w:lineRule="auto"/>
        <w:rPr>
          <w:rFonts w:ascii="Verdana" w:eastAsia="Calibri" w:hAnsi="Verdana" w:cs="Times New Roman"/>
          <w:b/>
          <w:bCs/>
          <w:lang w:val="es-ES"/>
        </w:rPr>
      </w:pPr>
      <w:r w:rsidRPr="009037F6">
        <w:rPr>
          <w:rFonts w:ascii="Verdana" w:eastAsia="Calibri" w:hAnsi="Verdana" w:cs="Times New Roman"/>
          <w:b/>
          <w:bCs/>
          <w:lang w:val="es-ES"/>
        </w:rPr>
        <w:t>Respuesta:</w:t>
      </w:r>
    </w:p>
    <w:p w14:paraId="20BAD011" w14:textId="77777777" w:rsidR="001F1459" w:rsidRPr="009037F6" w:rsidRDefault="001F1459" w:rsidP="001F1459">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1F1459" w:rsidRPr="009037F6" w14:paraId="72F7AAA8" w14:textId="77777777" w:rsidTr="00751785">
        <w:trPr>
          <w:trHeight w:val="345"/>
          <w:jc w:val="center"/>
        </w:trPr>
        <w:tc>
          <w:tcPr>
            <w:tcW w:w="8784" w:type="dxa"/>
            <w:tcBorders>
              <w:bottom w:val="single" w:sz="4" w:space="0" w:color="auto"/>
            </w:tcBorders>
          </w:tcPr>
          <w:p w14:paraId="39CCDAB4" w14:textId="77777777" w:rsidR="001F1459" w:rsidRDefault="001F1459" w:rsidP="00751785">
            <w:pPr>
              <w:spacing w:line="276" w:lineRule="auto"/>
              <w:jc w:val="both"/>
              <w:rPr>
                <w:rFonts w:ascii="Verdana" w:eastAsia="Calibri" w:hAnsi="Verdana" w:cs="Arial"/>
                <w:color w:val="000000" w:themeColor="text1"/>
              </w:rPr>
            </w:pPr>
            <w:r>
              <w:rPr>
                <w:rFonts w:ascii="Verdana" w:eastAsia="Calibri" w:hAnsi="Verdana" w:cs="Arial"/>
                <w:color w:val="000000" w:themeColor="text1"/>
              </w:rPr>
              <w:t>Para resolver los problemas jurídicos, objeto de consulta, se señala:</w:t>
            </w:r>
          </w:p>
          <w:p w14:paraId="02EF0845" w14:textId="77777777" w:rsidR="001F1459" w:rsidRDefault="001F1459" w:rsidP="00751785">
            <w:pPr>
              <w:spacing w:line="276" w:lineRule="auto"/>
              <w:jc w:val="both"/>
              <w:rPr>
                <w:rFonts w:ascii="Verdana" w:hAnsi="Verdana" w:cs="Arial"/>
                <w:lang w:val="es-ES_tradnl" w:eastAsia="es-ES"/>
              </w:rPr>
            </w:pPr>
          </w:p>
          <w:p w14:paraId="271CE4D5" w14:textId="77777777" w:rsidR="001F1459" w:rsidRPr="004C7E87" w:rsidRDefault="001F1459" w:rsidP="00751785">
            <w:pPr>
              <w:spacing w:line="276" w:lineRule="auto"/>
              <w:jc w:val="both"/>
              <w:rPr>
                <w:rFonts w:ascii="Verdana" w:hAnsi="Verdana" w:cs="Arial"/>
                <w:lang w:eastAsia="es-ES"/>
              </w:rPr>
            </w:pPr>
            <w:r>
              <w:rPr>
                <w:rFonts w:ascii="Verdana" w:hAnsi="Verdana" w:cs="Arial"/>
                <w:lang w:val="es-ES_tradnl" w:eastAsia="es-ES"/>
              </w:rPr>
              <w:t>i. En torno al primer problema jurídico, de detalla que l</w:t>
            </w:r>
            <w:r w:rsidRPr="004C7E87">
              <w:rPr>
                <w:rFonts w:ascii="Verdana" w:hAnsi="Verdana" w:cs="Arial"/>
                <w:lang w:eastAsia="es-ES"/>
              </w:rPr>
              <w:t xml:space="preserve">a supervisión y la interventoría contractual </w:t>
            </w:r>
            <w:r>
              <w:rPr>
                <w:rFonts w:ascii="Verdana" w:hAnsi="Verdana" w:cs="Arial"/>
                <w:lang w:eastAsia="es-ES"/>
              </w:rPr>
              <w:t xml:space="preserve">como instituciones jurídicas </w:t>
            </w:r>
            <w:r w:rsidRPr="004C7E87">
              <w:rPr>
                <w:rFonts w:ascii="Verdana" w:hAnsi="Verdana" w:cs="Arial"/>
                <w:lang w:eastAsia="es-ES"/>
              </w:rPr>
              <w:t xml:space="preserve">que, dentro del régimen de contratación estatal, han sido caracterizadas de manera consistente por la </w:t>
            </w:r>
            <w:r w:rsidRPr="004C7E87">
              <w:rPr>
                <w:rFonts w:ascii="Verdana" w:hAnsi="Verdana" w:cs="Arial"/>
                <w:lang w:eastAsia="es-ES"/>
              </w:rPr>
              <w:lastRenderedPageBreak/>
              <w:t>jurisprudencia contencioso</w:t>
            </w:r>
            <w:r w:rsidRPr="004C7E87">
              <w:rPr>
                <w:rFonts w:ascii="Verdana" w:hAnsi="Verdana" w:cs="Arial"/>
                <w:lang w:eastAsia="es-ES"/>
              </w:rPr>
              <w:noBreakHyphen/>
              <w:t xml:space="preserve">administrativa y constitucional </w:t>
            </w:r>
            <w:r>
              <w:rPr>
                <w:rFonts w:ascii="Verdana" w:hAnsi="Verdana" w:cs="Arial"/>
                <w:lang w:eastAsia="es-ES"/>
              </w:rPr>
              <w:t>que ejercen</w:t>
            </w:r>
            <w:r w:rsidRPr="004C7E87">
              <w:rPr>
                <w:rFonts w:ascii="Verdana" w:hAnsi="Verdana" w:cs="Arial"/>
                <w:lang w:eastAsia="es-ES"/>
              </w:rPr>
              <w:t xml:space="preserve"> una función pública, en tanto se orientan al control del cumplimiento obligacional y a la protección del interés general comprometido en la ejecución de los contratos estatales. Su finalidad no es la ejecución material del objeto contractual, sino la verificación de que dicho objeto se cumpla en la forma, tiempo y condiciones pactadas, garantizando que la contratación estatal satisfaga las necesidades colectivas y se desarrolle conforme a los principios de la función administrativa.</w:t>
            </w:r>
          </w:p>
          <w:p w14:paraId="1A8387D7" w14:textId="77777777" w:rsidR="001F1459" w:rsidRPr="004C7E87" w:rsidRDefault="001F1459" w:rsidP="00751785">
            <w:pPr>
              <w:spacing w:before="120" w:line="276" w:lineRule="auto"/>
              <w:ind w:firstLine="709"/>
              <w:jc w:val="both"/>
              <w:rPr>
                <w:rFonts w:ascii="Verdana" w:hAnsi="Verdana" w:cs="Arial"/>
                <w:lang w:eastAsia="es-ES"/>
              </w:rPr>
            </w:pPr>
            <w:r w:rsidRPr="004C7E87">
              <w:rPr>
                <w:rFonts w:ascii="Verdana" w:hAnsi="Verdana" w:cs="Arial"/>
                <w:lang w:eastAsia="es-ES"/>
              </w:rPr>
              <w:t>El fundamento normativo de esta calificación se encuentra, de manera principal, en el artículo 84 de la Ley 1474 de 2011, que atribuye a supervisores e interventores facultades de control típicamente públicas: solicitar informes, aclaraciones y explicaciones al contratista; verificar el desarrollo de la ejecución contractual; y reportar a la entidad contratante hechos que constituyan actos de corrupción o riesgos de incumplimiento. Estas prerrogativas, que se ejercen en nombre de la administración, evidencian que la vigilancia contractual es una actividad de control estatal y no una tarea privada de acompañamiento técnico. A ello se suma la jurisprudencia del Consejo de Estado</w:t>
            </w:r>
            <w:r>
              <w:rPr>
                <w:rFonts w:ascii="Verdana" w:hAnsi="Verdana" w:cs="Arial"/>
                <w:lang w:eastAsia="es-ES"/>
              </w:rPr>
              <w:t xml:space="preserve"> con expediente 51.802</w:t>
            </w:r>
            <w:r w:rsidRPr="004C7E87">
              <w:rPr>
                <w:rFonts w:ascii="Verdana" w:hAnsi="Verdana" w:cs="Arial"/>
                <w:lang w:eastAsia="es-ES"/>
              </w:rPr>
              <w:t>, que ha señalado que la vigilancia y control del contrato estatal supone “el cuidado y la supervisión” para garantizar la adecuada y oportuna ejecución del contrato y la satisfacción de los fines públicos perseguidos con su celebración.</w:t>
            </w:r>
          </w:p>
          <w:p w14:paraId="42FF0006" w14:textId="77777777" w:rsidR="001F1459" w:rsidRPr="004C7E87" w:rsidRDefault="001F1459" w:rsidP="00751785">
            <w:pPr>
              <w:spacing w:before="120" w:line="276" w:lineRule="auto"/>
              <w:ind w:firstLine="709"/>
              <w:jc w:val="both"/>
              <w:rPr>
                <w:rFonts w:ascii="Verdana" w:hAnsi="Verdana" w:cs="Arial"/>
                <w:lang w:eastAsia="es-ES"/>
              </w:rPr>
            </w:pPr>
            <w:r>
              <w:rPr>
                <w:rFonts w:ascii="Verdana" w:hAnsi="Verdana" w:cs="Arial"/>
                <w:lang w:eastAsia="es-ES"/>
              </w:rPr>
              <w:t>En igual sentido</w:t>
            </w:r>
            <w:r w:rsidRPr="004C7E87">
              <w:rPr>
                <w:rFonts w:ascii="Verdana" w:hAnsi="Verdana" w:cs="Arial"/>
                <w:lang w:eastAsia="es-ES"/>
              </w:rPr>
              <w:t>, la Sentencia C</w:t>
            </w:r>
            <w:r w:rsidRPr="004C7E87">
              <w:rPr>
                <w:rFonts w:ascii="Verdana" w:hAnsi="Verdana" w:cs="Arial"/>
                <w:lang w:eastAsia="es-ES"/>
              </w:rPr>
              <w:noBreakHyphen/>
              <w:t>037 de 2003 de la Corte Constitucional constituye un referente decisivo: allí se reconoce expresamente que la interventoría, incluso cuando es ejercida por un particular contratado para tal fin, implica “el ejercicio de una función pública”. La Corte destaca que el interventor actúa en nombre de la administración, puede exigir información al contratista, realiza revisiones periódicas, imparte órdenes por escrito y su actuación es determinante para que la entidad adopte medidas oportunas de control técnico, económico y financiero. Estas facultades</w:t>
            </w:r>
            <w:r>
              <w:rPr>
                <w:rFonts w:ascii="Verdana" w:hAnsi="Verdana" w:cs="Arial"/>
                <w:lang w:eastAsia="es-ES"/>
              </w:rPr>
              <w:t xml:space="preserve"> </w:t>
            </w:r>
            <w:r w:rsidRPr="004C7E87">
              <w:rPr>
                <w:rFonts w:ascii="Verdana" w:hAnsi="Verdana" w:cs="Arial"/>
                <w:lang w:eastAsia="es-ES"/>
              </w:rPr>
              <w:t>evidencian que la interventoría y la supervisión son instrumentos mediante los cuales la entidad cumple su deber de vigilar la correcta ejecución de los contratos estatales.</w:t>
            </w:r>
          </w:p>
          <w:p w14:paraId="4BB0B381" w14:textId="77777777" w:rsidR="001F1459" w:rsidRDefault="001F1459" w:rsidP="00751785">
            <w:pPr>
              <w:spacing w:before="120" w:line="276" w:lineRule="auto"/>
              <w:ind w:firstLine="709"/>
              <w:jc w:val="both"/>
              <w:rPr>
                <w:rFonts w:ascii="Verdana" w:hAnsi="Verdana" w:cs="Arial"/>
                <w:lang w:eastAsia="es-ES"/>
              </w:rPr>
            </w:pPr>
            <w:r w:rsidRPr="004C7E87">
              <w:rPr>
                <w:rFonts w:ascii="Verdana" w:hAnsi="Verdana" w:cs="Arial"/>
                <w:lang w:eastAsia="es-ES"/>
              </w:rPr>
              <w:t xml:space="preserve">En suma, la supervisión y la interventoría contractual </w:t>
            </w:r>
            <w:r>
              <w:rPr>
                <w:rFonts w:ascii="Verdana" w:hAnsi="Verdana" w:cs="Arial"/>
                <w:lang w:eastAsia="es-ES"/>
              </w:rPr>
              <w:t xml:space="preserve">ejercen </w:t>
            </w:r>
            <w:r w:rsidRPr="004C7E87">
              <w:rPr>
                <w:rFonts w:ascii="Verdana" w:hAnsi="Verdana" w:cs="Arial"/>
                <w:lang w:eastAsia="es-ES"/>
              </w:rPr>
              <w:t>funciones públicas ejercidas en desarrollo de la función administrativa, sustentadas en normas de control contractual</w:t>
            </w:r>
            <w:r>
              <w:rPr>
                <w:rFonts w:ascii="Verdana" w:hAnsi="Verdana" w:cs="Arial"/>
                <w:lang w:eastAsia="es-ES"/>
              </w:rPr>
              <w:t xml:space="preserve"> </w:t>
            </w:r>
            <w:r w:rsidRPr="004C7E87">
              <w:rPr>
                <w:rFonts w:ascii="Verdana" w:hAnsi="Verdana" w:cs="Arial"/>
                <w:lang w:eastAsia="es-ES"/>
              </w:rPr>
              <w:t xml:space="preserve">y en la finalidad de garantizar la correcta </w:t>
            </w:r>
            <w:r w:rsidRPr="004C7E87">
              <w:rPr>
                <w:rFonts w:ascii="Verdana" w:hAnsi="Verdana" w:cs="Arial"/>
                <w:lang w:eastAsia="es-ES"/>
              </w:rPr>
              <w:lastRenderedPageBreak/>
              <w:t xml:space="preserve">ejecución de los contratos estatales y la protección del interés general. </w:t>
            </w:r>
            <w:r w:rsidRPr="00AD24EB">
              <w:rPr>
                <w:rFonts w:ascii="Verdana" w:hAnsi="Verdana" w:cs="Arial"/>
                <w:lang w:eastAsia="es-ES"/>
              </w:rPr>
              <w:t>En cuanto actividades de control, su naturaleza delimita con precisión su alcance: no comportan tareas de coejecución del objeto contractual y, por el contrario, se orientan a verificar, advertir y reportar el cumplimiento de las obligaciones pactadas.</w:t>
            </w:r>
          </w:p>
          <w:p w14:paraId="54E34716" w14:textId="77777777" w:rsidR="001F1459" w:rsidRDefault="001F1459" w:rsidP="00751785">
            <w:pPr>
              <w:spacing w:before="120" w:line="276" w:lineRule="auto"/>
              <w:jc w:val="both"/>
              <w:rPr>
                <w:rFonts w:ascii="Verdana" w:hAnsi="Verdana" w:cs="Arial"/>
                <w:lang w:eastAsia="es-ES"/>
              </w:rPr>
            </w:pPr>
            <w:r>
              <w:rPr>
                <w:rFonts w:ascii="Verdana" w:hAnsi="Verdana" w:cs="Arial"/>
                <w:lang w:eastAsia="es-ES"/>
              </w:rPr>
              <w:t xml:space="preserve">ii. En relación con el segundo problema jurídico, se precisa que en </w:t>
            </w:r>
            <w:r w:rsidRPr="0074600B">
              <w:rPr>
                <w:rFonts w:ascii="Verdana" w:hAnsi="Verdana" w:cs="Arial"/>
                <w:lang w:eastAsia="es-ES"/>
              </w:rPr>
              <w:t xml:space="preserve">el caso de contratos financiados total o parcialmente con recursos públicos pero sometidos a un régimen de derecho privado, los artículos </w:t>
            </w:r>
            <w:r>
              <w:rPr>
                <w:rFonts w:ascii="Verdana" w:hAnsi="Verdana" w:cs="Arial"/>
                <w:lang w:eastAsia="es-ES"/>
              </w:rPr>
              <w:t xml:space="preserve">82, </w:t>
            </w:r>
            <w:r w:rsidRPr="0074600B">
              <w:rPr>
                <w:rFonts w:ascii="Verdana" w:hAnsi="Verdana" w:cs="Arial"/>
                <w:lang w:eastAsia="es-ES"/>
              </w:rPr>
              <w:t xml:space="preserve">83, 84 y 85 de la Ley 1474 de 2011 no resultan aplicables de manera automática ni plena, pues el legislador no definió un ámbito de aplicación específico para estas disposiciones. A diferencia del artículo 86 —que sí circunscribió expresamente su alcance a las entidades regidas por el Estatuto General de Contratación de la Administración Pública— los artículos mencionados no extendieron su obligatoriedad a las entidades con régimen contractual especial. Esta interpretación se refuerza con la </w:t>
            </w:r>
            <w:r>
              <w:rPr>
                <w:rFonts w:ascii="Verdana" w:hAnsi="Verdana" w:cs="Arial"/>
                <w:lang w:eastAsia="es-ES"/>
              </w:rPr>
              <w:t>“</w:t>
            </w:r>
            <w:r w:rsidRPr="0074600B">
              <w:rPr>
                <w:rFonts w:ascii="Verdana" w:hAnsi="Verdana" w:cs="Arial"/>
                <w:i/>
                <w:iCs/>
                <w:lang w:eastAsia="es-ES"/>
              </w:rPr>
              <w:t>Guía para la Gestión Contractual de Entidades Estatales con Régimen Especial</w:t>
            </w:r>
            <w:r>
              <w:rPr>
                <w:rFonts w:ascii="Verdana" w:hAnsi="Verdana" w:cs="Arial"/>
                <w:i/>
                <w:iCs/>
                <w:lang w:eastAsia="es-ES"/>
              </w:rPr>
              <w:t>”</w:t>
            </w:r>
            <w:r w:rsidRPr="0074600B">
              <w:rPr>
                <w:rFonts w:ascii="Verdana" w:hAnsi="Verdana" w:cs="Arial"/>
                <w:lang w:eastAsia="es-ES"/>
              </w:rPr>
              <w:t>, que no incorporó tales normas dentro del marco regulatorio aplicable a sus procesos de contratación, lo cual evidencia que no existe una remisión normativa expresa que habilite su aplicación directa en estos escenarios.</w:t>
            </w:r>
          </w:p>
          <w:p w14:paraId="2E2AEE0F" w14:textId="77777777" w:rsidR="001F1459" w:rsidRPr="0074600B" w:rsidRDefault="001F1459" w:rsidP="00751785">
            <w:pPr>
              <w:spacing w:before="120" w:line="276" w:lineRule="auto"/>
              <w:ind w:firstLine="709"/>
              <w:jc w:val="both"/>
              <w:rPr>
                <w:rFonts w:ascii="Verdana" w:hAnsi="Verdana" w:cs="Arial"/>
                <w:lang w:eastAsia="es-ES"/>
              </w:rPr>
            </w:pPr>
            <w:r w:rsidRPr="0074600B">
              <w:rPr>
                <w:rFonts w:ascii="Verdana" w:hAnsi="Verdana" w:cs="Arial"/>
                <w:lang w:eastAsia="es-ES"/>
              </w:rPr>
              <w:t>No obstante, la ausencia de aplicabilidad normativa expresa no exonera a las entidades de régimen especial del deber de ejercer control, vigilancia y seguimiento sobre la ejecución de los contratos financiados con recursos públicos. Este deber se deriva de los principios de la función administrativa, de la gestión fiscal y de la obligación constitucional de asegurar la correcta administración de los recursos públicos. En consecuencia, aunque los artículos 82 a 85 no sean obligatorios en sentido estricto, sus contenidos —e</w:t>
            </w:r>
            <w:r>
              <w:rPr>
                <w:rFonts w:ascii="Verdana" w:hAnsi="Verdana" w:cs="Arial"/>
                <w:lang w:eastAsia="es-ES"/>
              </w:rPr>
              <w:t xml:space="preserve">n especial </w:t>
            </w:r>
            <w:r w:rsidRPr="0074600B">
              <w:rPr>
                <w:rFonts w:ascii="Verdana" w:hAnsi="Verdana" w:cs="Arial"/>
                <w:lang w:eastAsia="es-ES"/>
              </w:rPr>
              <w:t xml:space="preserve">en materia de supervisión, interventoría y control de la gestión contractual— constituyen referentes funcionales y estándares mínimos que pueden orientar el diseño de mecanismos internos de vigilancia, delimitar facultades y responsabilidades de quienes ejercen el </w:t>
            </w:r>
            <w:r>
              <w:rPr>
                <w:rFonts w:ascii="Verdana" w:hAnsi="Verdana" w:cs="Arial"/>
                <w:lang w:eastAsia="es-ES"/>
              </w:rPr>
              <w:t xml:space="preserve">seguimiento </w:t>
            </w:r>
            <w:r w:rsidRPr="0074600B">
              <w:rPr>
                <w:rFonts w:ascii="Verdana" w:hAnsi="Verdana" w:cs="Arial"/>
                <w:lang w:eastAsia="es-ES"/>
              </w:rPr>
              <w:t>contractual y asegurar que la ejecución contractual se ajuste a los fines públicos comprometidos.</w:t>
            </w:r>
          </w:p>
          <w:p w14:paraId="3FFB91D6" w14:textId="77777777" w:rsidR="001F1459" w:rsidRPr="007C6F05" w:rsidRDefault="001F1459" w:rsidP="00751785">
            <w:pPr>
              <w:spacing w:before="120" w:line="276" w:lineRule="auto"/>
              <w:jc w:val="both"/>
              <w:rPr>
                <w:rFonts w:ascii="Verdana" w:hAnsi="Verdana" w:cs="Arial"/>
                <w:lang w:eastAsia="es-ES"/>
              </w:rPr>
            </w:pPr>
            <w:r w:rsidRPr="007C6F05">
              <w:rPr>
                <w:rFonts w:ascii="Verdana" w:hAnsi="Verdana" w:cs="Arial"/>
                <w:lang w:eastAsia="es-ES"/>
              </w:rPr>
              <w:t>iii.</w:t>
            </w:r>
            <w:r w:rsidRPr="007C6F05">
              <w:rPr>
                <w:rFonts w:ascii="Verdana" w:eastAsia="Times New Roman" w:hAnsi="Verdana" w:cs="Times New Roman"/>
                <w:lang w:eastAsia="es-CO"/>
              </w:rPr>
              <w:t xml:space="preserve"> Por último, frente al tercer problema jurídico se señala que, a</w:t>
            </w:r>
            <w:r w:rsidRPr="007C6F05">
              <w:rPr>
                <w:rFonts w:ascii="Verdana" w:hAnsi="Verdana" w:cs="Arial"/>
                <w:lang w:eastAsia="es-ES"/>
              </w:rPr>
              <w:t xml:space="preserve"> partir del marco normativo vigente, puede afirmarse que los interventores son sujetos directos de responsabilidad fiscal, pues así lo establece expresamente el inciso </w:t>
            </w:r>
            <w:r w:rsidRPr="007C6F05">
              <w:rPr>
                <w:rFonts w:ascii="Verdana" w:hAnsi="Verdana" w:cs="Arial"/>
                <w:lang w:eastAsia="es-ES"/>
              </w:rPr>
              <w:lastRenderedPageBreak/>
              <w:t>segundo del artículo 53 de la Ley 80, modificado por el artículo 82 de la Ley 1474 de 2011. Esta disposición señala que los interventores responden civil, fiscal, penal y disciplinariamente tanto por el cumplimiento de sus obligaciones como por los hechos u omisiones que generen daño a la entidad. En contraste, los supervisores no cuentan con una consagración legal expresa que los incluya como responsables fiscales; sin embargo, ello no implica su exclusión del régimen, ya que la definición amplia del artículo 1 de la Ley 610 de 2001 permite su incorporación cuando, en el ejercicio de sus funciones, causen daño al patrimonio estatal “en el ejercicio de la gestión fiscal o con ocasión de ésta”.</w:t>
            </w:r>
          </w:p>
          <w:p w14:paraId="31169729" w14:textId="77777777" w:rsidR="001F1459" w:rsidRPr="00102D96" w:rsidRDefault="001F1459" w:rsidP="00751785">
            <w:pPr>
              <w:spacing w:before="120" w:line="276" w:lineRule="auto"/>
              <w:ind w:firstLine="709"/>
              <w:jc w:val="both"/>
              <w:rPr>
                <w:rFonts w:ascii="Verdana" w:hAnsi="Verdana" w:cs="Arial"/>
                <w:lang w:eastAsia="es-ES"/>
              </w:rPr>
            </w:pPr>
            <w:r w:rsidRPr="00102D96">
              <w:rPr>
                <w:rFonts w:ascii="Verdana" w:hAnsi="Verdana" w:cs="Arial"/>
                <w:lang w:eastAsia="es-ES"/>
              </w:rPr>
              <w:t>La gestión fiscal, definida en el artículo 3 de la Ley 610, comprende un conjunto amplio de actividades relacionadas con la administración, custodia, inversión y disposición de los bienes públicos. Aunque supervisores e interventores no administran directamente recursos, sus actuaciones pueden incidir en la adecuada destinación y protección del patrimonio público, lo que los sitúa dentro del ámbito funcional de la gestión fiscal. La Corte Constitucional, en la Sentencia C</w:t>
            </w:r>
            <w:r w:rsidRPr="00102D96">
              <w:rPr>
                <w:rFonts w:ascii="Verdana" w:hAnsi="Verdana" w:cs="Arial"/>
                <w:lang w:eastAsia="es-ES"/>
              </w:rPr>
              <w:noBreakHyphen/>
              <w:t>840 de 2001, precisó que la responsabilidad fiscal también se configura cuando las actuaciones del sujeto guardan una “conexidad próxima y necesaria” con la gestión fiscal, incluso si no existe administración directa de recursos. Bajo este criterio, supervisores e interventores pueden ser responsables fiscalmente cuando sus decisiones u omisiones afectan la ejecución de los recursos públicos comprometidos en los contratos.</w:t>
            </w:r>
          </w:p>
          <w:p w14:paraId="4AB1C042" w14:textId="77777777" w:rsidR="001F1459" w:rsidRPr="00102D96" w:rsidRDefault="001F1459" w:rsidP="00751785">
            <w:pPr>
              <w:spacing w:before="120" w:line="276" w:lineRule="auto"/>
              <w:ind w:firstLine="709"/>
              <w:jc w:val="both"/>
              <w:rPr>
                <w:rFonts w:ascii="Verdana" w:hAnsi="Verdana" w:cs="Arial"/>
                <w:lang w:eastAsia="es-ES"/>
              </w:rPr>
            </w:pPr>
            <w:r w:rsidRPr="00102D96">
              <w:rPr>
                <w:rFonts w:ascii="Verdana" w:hAnsi="Verdana" w:cs="Arial"/>
                <w:lang w:eastAsia="es-ES"/>
              </w:rPr>
              <w:t>En este sentido, supervisores e interventores ocupan una posición funcional que los vincula de manera especial con la protección del erario. Si aprueban pagos sin la verificación debida, toleran desviaciones en la ejecución contractual, omiten advertencias esenciales o permiten actuaciones que comprometan recursos públicos, sus conductas pueden configurar responsabilidad fiscal. Su rol no se limita a una relación material con el contrato, sino que comporta deberes concretos de vigilancia, advertencia y corrección que los integran al universo de la gestión fiscal. Por ello, sus actuaciones deben evaluarse bajo el estándar de conexidad funcional con el manejo de bienes públicos.</w:t>
            </w:r>
          </w:p>
          <w:p w14:paraId="20297EF1" w14:textId="77777777" w:rsidR="001F1459" w:rsidRPr="00102D96" w:rsidRDefault="001F1459" w:rsidP="00751785">
            <w:pPr>
              <w:spacing w:before="120" w:line="276" w:lineRule="auto"/>
              <w:ind w:firstLine="709"/>
              <w:jc w:val="both"/>
              <w:rPr>
                <w:rFonts w:ascii="Verdana" w:hAnsi="Verdana" w:cs="Arial"/>
                <w:lang w:eastAsia="es-ES"/>
              </w:rPr>
            </w:pPr>
            <w:r w:rsidRPr="00102D96">
              <w:rPr>
                <w:rFonts w:ascii="Verdana" w:hAnsi="Verdana" w:cs="Arial"/>
                <w:lang w:eastAsia="es-ES"/>
              </w:rPr>
              <w:lastRenderedPageBreak/>
              <w:t>Finalmente, la determinación de la calidad de gestor fiscal —incluso de manera provisional— es una labor exclusiva de los órganos de control fiscal. Las contralorías deben verificar que existan pruebas suficientes para acreditar que el supervisor o interventor ejerció funciones administrativas especiales derivadas de la ley, el reglamento, los manuales de contratación o el contrato, y que su conducta incidió en la administración o protección de recursos públicos. En consecuencia, corresponde a estas entidades definir la procedencia de adelantar procesos de responsabilidad fiscal contra supervisores, interventores, representantes legales y demás partícipes de la contratación estatal que, por acción u omisión, hayan generado un daño patrimonial al Estado, reafirmando así su papel como garantes del patrimonio público.</w:t>
            </w:r>
          </w:p>
        </w:tc>
      </w:tr>
    </w:tbl>
    <w:p w14:paraId="225AD755" w14:textId="77777777" w:rsidR="001F1459" w:rsidRPr="00B57A1B" w:rsidRDefault="001F1459" w:rsidP="001F1459">
      <w:pPr>
        <w:spacing w:after="0" w:line="276" w:lineRule="auto"/>
        <w:jc w:val="both"/>
        <w:rPr>
          <w:rFonts w:ascii="Verdana" w:eastAsia="Calibri" w:hAnsi="Verdana" w:cs="Arial"/>
          <w:bCs/>
          <w:color w:val="000000" w:themeColor="text1"/>
        </w:rPr>
      </w:pPr>
      <w:bookmarkStart w:id="1" w:name="_Hlk78820161"/>
      <w:bookmarkStart w:id="2" w:name="_Hlk37703813"/>
    </w:p>
    <w:p w14:paraId="1203ABBA" w14:textId="77777777" w:rsidR="001F1459" w:rsidRPr="00B57A1B" w:rsidRDefault="001F1459" w:rsidP="001F1459">
      <w:pPr>
        <w:numPr>
          <w:ilvl w:val="0"/>
          <w:numId w:val="16"/>
        </w:numPr>
        <w:tabs>
          <w:tab w:val="left" w:pos="2268"/>
        </w:tabs>
        <w:spacing w:after="0" w:line="276" w:lineRule="auto"/>
        <w:rPr>
          <w:rFonts w:ascii="Verdana" w:eastAsia="Calibri" w:hAnsi="Verdana" w:cs="Times New Roman"/>
          <w:b/>
          <w:bCs/>
          <w:lang w:val="es-ES"/>
        </w:rPr>
      </w:pPr>
      <w:r w:rsidRPr="00B57A1B">
        <w:rPr>
          <w:rFonts w:ascii="Verdana" w:eastAsia="Calibri" w:hAnsi="Verdana" w:cs="Times New Roman"/>
          <w:b/>
          <w:bCs/>
          <w:lang w:val="es-ES"/>
        </w:rPr>
        <w:t>Razones de la respuesta:</w:t>
      </w:r>
    </w:p>
    <w:p w14:paraId="31DFBBDD" w14:textId="77777777" w:rsidR="001F1459" w:rsidRPr="00B57A1B" w:rsidRDefault="001F1459" w:rsidP="001F1459">
      <w:pPr>
        <w:spacing w:after="0" w:line="276" w:lineRule="auto"/>
        <w:rPr>
          <w:rFonts w:ascii="Verdana" w:eastAsia="Calibri" w:hAnsi="Verdana" w:cs="Times New Roman"/>
          <w:b/>
          <w:bCs/>
          <w:lang w:val="es-ES"/>
        </w:rPr>
      </w:pPr>
    </w:p>
    <w:p w14:paraId="6F36D716" w14:textId="77777777" w:rsidR="001F1459" w:rsidRDefault="001F1459" w:rsidP="001F1459">
      <w:pPr>
        <w:spacing w:after="0" w:line="276" w:lineRule="auto"/>
        <w:jc w:val="both"/>
        <w:rPr>
          <w:rFonts w:ascii="Verdana" w:eastAsia="Calibri" w:hAnsi="Verdana" w:cs="Arial"/>
          <w:lang w:val="es-ES"/>
        </w:rPr>
      </w:pPr>
      <w:r w:rsidRPr="00B57A1B">
        <w:rPr>
          <w:rFonts w:ascii="Verdana" w:eastAsia="Calibri" w:hAnsi="Verdana" w:cs="Arial"/>
          <w:lang w:val="es-ES"/>
        </w:rPr>
        <w:t xml:space="preserve">Lo anterior se sustenta en las siguientes consideraciones: </w:t>
      </w:r>
    </w:p>
    <w:p w14:paraId="25E663F9" w14:textId="77777777" w:rsidR="001F1459" w:rsidRPr="003C0ED7" w:rsidRDefault="001F1459" w:rsidP="001F1459">
      <w:pPr>
        <w:spacing w:after="0" w:line="276" w:lineRule="auto"/>
        <w:jc w:val="both"/>
        <w:rPr>
          <w:rFonts w:ascii="Verdana" w:eastAsia="Calibri" w:hAnsi="Verdana" w:cs="Arial"/>
          <w:lang w:val="es-ES"/>
        </w:rPr>
      </w:pPr>
    </w:p>
    <w:p w14:paraId="12962066" w14:textId="77777777" w:rsidR="001F1459" w:rsidRPr="00E7254D" w:rsidRDefault="001F1459" w:rsidP="001F1459">
      <w:pPr>
        <w:spacing w:after="120" w:line="276" w:lineRule="auto"/>
        <w:jc w:val="both"/>
        <w:rPr>
          <w:rFonts w:ascii="Verdana" w:eastAsia="Calibri" w:hAnsi="Verdana" w:cs="Arial"/>
          <w:color w:val="000000"/>
          <w:lang w:val="es-ES"/>
        </w:rPr>
      </w:pPr>
      <w:r w:rsidRPr="00E7254D">
        <w:rPr>
          <w:rFonts w:ascii="Verdana" w:eastAsia="Calibri" w:hAnsi="Verdana" w:cs="Arial"/>
          <w:color w:val="000000"/>
          <w:lang w:val="es-ES"/>
        </w:rPr>
        <w:t>i. A través de la actividad contractual, el Estado adquiere bienes, obras y servicios para cumplir los fines que le impone el ordenamiento jurídico, garantizando así la continu</w:t>
      </w:r>
      <w:r>
        <w:rPr>
          <w:rFonts w:ascii="Verdana" w:eastAsia="Calibri" w:hAnsi="Verdana" w:cs="Arial"/>
          <w:color w:val="000000"/>
          <w:lang w:val="es-ES"/>
        </w:rPr>
        <w:t>a</w:t>
      </w:r>
      <w:r w:rsidRPr="00E7254D">
        <w:rPr>
          <w:rFonts w:ascii="Verdana" w:eastAsia="Calibri" w:hAnsi="Verdana" w:cs="Arial"/>
          <w:color w:val="000000"/>
          <w:lang w:val="es-ES"/>
        </w:rPr>
        <w:t xml:space="preserve"> y eficiente prestación de los servicios públicos y la efectividad de los derechos e intereses de los administrados. Para la garantía de los fines de interés general, involucrados en la contratación de las entidades estatales, el Estatuto General de Contratación de la Administración Pública –en adelante EGCAP– dispone que, en la etapa de ejecución del contrato, las entidades estatales y los servidores públicos que participan en ella tienen la obligación de controlar y vigilar la correcta ejecución del objeto contratado. Lo anterior busca que las finalidades perseguidas con la celebración de los contratos estatales se logren de manera satisfactoria.</w:t>
      </w:r>
    </w:p>
    <w:p w14:paraId="2465B3D6" w14:textId="77777777" w:rsidR="001F1459" w:rsidRPr="00E7254D" w:rsidRDefault="001F1459" w:rsidP="001F1459">
      <w:pPr>
        <w:spacing w:after="120" w:line="276" w:lineRule="auto"/>
        <w:ind w:firstLine="708"/>
        <w:jc w:val="both"/>
        <w:rPr>
          <w:rFonts w:ascii="Verdana" w:eastAsia="Calibri" w:hAnsi="Verdana" w:cs="Arial"/>
          <w:color w:val="000000"/>
          <w:lang w:val="es-ES"/>
        </w:rPr>
      </w:pPr>
      <w:r w:rsidRPr="00E7254D">
        <w:rPr>
          <w:rFonts w:ascii="Verdana" w:eastAsia="Calibri" w:hAnsi="Verdana" w:cs="Arial"/>
          <w:color w:val="000000"/>
          <w:lang w:val="es-ES"/>
        </w:rPr>
        <w:t xml:space="preserve">El seguimiento de la ejecución del contrato para la dirección, control y vigilancia de su correcto cumplimiento es un deber legal que permite a las entidades estatales tomar medidas orientadas a la satisfacción de los fines de la contratación. Por esto, el EGCAP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w:t>
      </w:r>
      <w:r w:rsidRPr="00E7254D">
        <w:rPr>
          <w:rFonts w:ascii="Verdana" w:eastAsia="Calibri" w:hAnsi="Verdana" w:cs="Arial"/>
          <w:color w:val="000000"/>
          <w:lang w:val="es-ES"/>
        </w:rPr>
        <w:lastRenderedPageBreak/>
        <w:t>ejecución de los contratos estatales. Estas disposiciones establecen, entre otros aspectos, la obligación de las entidades estatales de velar por el correcto y oportuno cumplimiento de las prestaciones del contrato, las especificaciones de los bienes, obras y servicios objeto de este, y las condiciones de calidad ofrecidas, entre otras. Esta obligación se predica, en principio, del jefe o representante legal de la entidad, por tener la responsabilidad de la dirección y manejo de la actividad contractual, pero también de los servidores públicos que intervienen en ella. En ese sentido, las entidades estatales deben ejercer el control de la ejecución del contrato y, de ser el caso, tomar medidas para exigir el adecuado cumplimiento.</w:t>
      </w:r>
    </w:p>
    <w:p w14:paraId="6CB0D6DB" w14:textId="77777777" w:rsidR="001F1459" w:rsidRPr="00E7254D" w:rsidRDefault="001F1459" w:rsidP="001F1459">
      <w:pPr>
        <w:spacing w:after="0" w:line="276" w:lineRule="auto"/>
        <w:ind w:firstLine="708"/>
        <w:jc w:val="both"/>
        <w:rPr>
          <w:rFonts w:ascii="Verdana" w:eastAsia="Times New Roman" w:hAnsi="Verdana" w:cs="Arial"/>
          <w:lang w:val="es-ES" w:eastAsia="es-MX"/>
        </w:rPr>
      </w:pPr>
      <w:r w:rsidRPr="00E7254D">
        <w:rPr>
          <w:rFonts w:ascii="Verdana" w:eastAsia="Times New Roman" w:hAnsi="Verdana" w:cs="Arial"/>
          <w:lang w:val="es-ES" w:eastAsia="es-MX"/>
        </w:rPr>
        <w:t>Las Leyes 1150 de 2007 y 1474 de 2011, complementan el régimen jurídico de la obligación de vigilar la correcta ejecución de los contratos estatales. En dichas normas se impone el debido proceso como principio rector en materia sancionatoria contractual, entre otros, para la imposición de multas y la decisión de hacer efectiva la cláusula penal, principio que se debe respetar en el ejercicio del control y vigilancia de la ejecución contractual</w:t>
      </w:r>
      <w:r w:rsidRPr="00E7254D">
        <w:rPr>
          <w:rFonts w:ascii="Verdana" w:eastAsia="Times New Roman" w:hAnsi="Verdana" w:cs="Arial"/>
          <w:vertAlign w:val="superscript"/>
          <w:lang w:val="es-ES" w:eastAsia="es-MX"/>
        </w:rPr>
        <w:footnoteReference w:id="1"/>
      </w:r>
      <w:r w:rsidRPr="00E7254D">
        <w:rPr>
          <w:rFonts w:ascii="Verdana" w:eastAsia="Times New Roman" w:hAnsi="Verdana" w:cs="Arial"/>
          <w:lang w:val="es-ES" w:eastAsia="es-MX"/>
        </w:rPr>
        <w:t>. También se establecen los límites de la responsabilidad del representante legal ante la delegación de sus funciones en materia contractual</w:t>
      </w:r>
      <w:r w:rsidRPr="00E7254D">
        <w:rPr>
          <w:rFonts w:ascii="Verdana" w:eastAsia="Times New Roman" w:hAnsi="Verdana" w:cs="Arial"/>
          <w:vertAlign w:val="superscript"/>
          <w:lang w:val="es-ES" w:eastAsia="es-MX"/>
        </w:rPr>
        <w:footnoteReference w:id="2"/>
      </w:r>
      <w:r w:rsidRPr="00E7254D">
        <w:rPr>
          <w:rFonts w:ascii="Verdana" w:eastAsia="Times New Roman" w:hAnsi="Verdana" w:cs="Arial"/>
          <w:lang w:val="es-ES" w:eastAsia="es-MX"/>
        </w:rPr>
        <w:t xml:space="preserve"> y se regula la supervisión y la interventoría de los contratos estatales</w:t>
      </w:r>
      <w:r w:rsidRPr="00E7254D">
        <w:rPr>
          <w:rFonts w:ascii="Verdana" w:eastAsia="Times New Roman" w:hAnsi="Verdana" w:cs="Arial"/>
          <w:vertAlign w:val="superscript"/>
          <w:lang w:val="es-ES" w:eastAsia="es-MX"/>
        </w:rPr>
        <w:footnoteReference w:id="3"/>
      </w:r>
      <w:r w:rsidRPr="00E7254D">
        <w:rPr>
          <w:rFonts w:ascii="Verdana" w:eastAsia="Times New Roman" w:hAnsi="Verdana" w:cs="Arial"/>
          <w:lang w:val="es-ES" w:eastAsia="es-MX"/>
        </w:rPr>
        <w:t xml:space="preserve">. En consecuencia, se tiene que, la jurisprudencia contencioso-administrativa, por su parte, ha considerado que la obligación de vigilar la correcta ejecución del objeto contractual es una función de la entidad contratante, en los siguientes términos: </w:t>
      </w:r>
    </w:p>
    <w:p w14:paraId="572F7FA6" w14:textId="77777777" w:rsidR="001F1459" w:rsidRPr="00624EEC" w:rsidRDefault="001F1459" w:rsidP="001F1459">
      <w:pPr>
        <w:spacing w:after="0"/>
        <w:ind w:left="709"/>
        <w:contextualSpacing/>
        <w:jc w:val="both"/>
        <w:rPr>
          <w:rFonts w:ascii="Verdana" w:eastAsia="Times New Roman" w:hAnsi="Verdana" w:cs="Arial"/>
          <w:sz w:val="20"/>
          <w:szCs w:val="20"/>
          <w:lang w:val="es-ES_tradnl" w:eastAsia="es-MX"/>
        </w:rPr>
      </w:pPr>
    </w:p>
    <w:p w14:paraId="5440F951" w14:textId="77777777" w:rsidR="001F1459" w:rsidRPr="00624EEC" w:rsidRDefault="001F1459" w:rsidP="001F1459">
      <w:pPr>
        <w:spacing w:after="0" w:line="240" w:lineRule="auto"/>
        <w:ind w:left="709" w:right="709"/>
        <w:contextualSpacing/>
        <w:jc w:val="both"/>
        <w:rPr>
          <w:rFonts w:ascii="Verdana" w:eastAsia="Times New Roman" w:hAnsi="Verdana" w:cs="Arial"/>
          <w:sz w:val="20"/>
          <w:szCs w:val="20"/>
          <w:lang w:val="es-ES_tradnl" w:eastAsia="es-MX"/>
        </w:rPr>
      </w:pPr>
      <w:r w:rsidRPr="00624EEC">
        <w:rPr>
          <w:rFonts w:ascii="Verdana" w:eastAsia="Times New Roman" w:hAnsi="Verdana" w:cs="Arial"/>
          <w:sz w:val="20"/>
          <w:szCs w:val="20"/>
          <w:lang w:val="es-ES_tradnl" w:eastAsia="es-MX"/>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esta forma garantizar la satisfacción de las necesidades que la administración buscaba alcanzar con la celebración del respectivo contrato”</w:t>
      </w:r>
      <w:r w:rsidRPr="00624EEC">
        <w:rPr>
          <w:rFonts w:ascii="Verdana" w:eastAsia="Times New Roman" w:hAnsi="Verdana" w:cs="Arial"/>
          <w:sz w:val="20"/>
          <w:szCs w:val="20"/>
          <w:vertAlign w:val="superscript"/>
          <w:lang w:val="es-ES_tradnl" w:eastAsia="es-MX"/>
        </w:rPr>
        <w:footnoteReference w:id="4"/>
      </w:r>
      <w:r w:rsidRPr="00624EEC">
        <w:rPr>
          <w:rFonts w:ascii="Verdana" w:eastAsia="Times New Roman" w:hAnsi="Verdana" w:cs="Arial"/>
          <w:sz w:val="20"/>
          <w:szCs w:val="20"/>
          <w:lang w:val="es-ES_tradnl" w:eastAsia="es-MX"/>
        </w:rPr>
        <w:t>.</w:t>
      </w:r>
    </w:p>
    <w:p w14:paraId="5BA9757C" w14:textId="77777777" w:rsidR="001F1459" w:rsidRPr="00E7254D" w:rsidRDefault="001F1459" w:rsidP="001F1459">
      <w:pPr>
        <w:snapToGrid w:val="0"/>
        <w:spacing w:after="0" w:line="276" w:lineRule="auto"/>
        <w:ind w:left="720"/>
        <w:rPr>
          <w:rFonts w:ascii="Verdana" w:eastAsia="Times New Roman" w:hAnsi="Verdana" w:cs="Arial"/>
          <w:lang w:val="es-ES_tradnl" w:eastAsia="es-MX"/>
        </w:rPr>
      </w:pPr>
    </w:p>
    <w:p w14:paraId="0F0D06D1" w14:textId="77777777" w:rsidR="001F1459" w:rsidRPr="00EB721B" w:rsidRDefault="001F1459" w:rsidP="001F1459">
      <w:pPr>
        <w:spacing w:after="0" w:line="276" w:lineRule="auto"/>
        <w:ind w:firstLine="709"/>
        <w:jc w:val="both"/>
        <w:rPr>
          <w:rFonts w:ascii="Verdana" w:eastAsia="Times New Roman" w:hAnsi="Verdana" w:cs="Arial"/>
          <w:lang w:eastAsia="es-MX"/>
        </w:rPr>
      </w:pPr>
      <w:r>
        <w:rPr>
          <w:rFonts w:ascii="Verdana" w:eastAsia="Times New Roman" w:hAnsi="Verdana" w:cs="Arial"/>
          <w:lang w:val="es-ES_tradnl" w:eastAsia="es-MX"/>
        </w:rPr>
        <w:lastRenderedPageBreak/>
        <w:t>En este sentido</w:t>
      </w:r>
      <w:r w:rsidRPr="00D31A78">
        <w:rPr>
          <w:rFonts w:ascii="Verdana" w:eastAsia="Times New Roman" w:hAnsi="Verdana" w:cs="Arial"/>
          <w:lang w:eastAsia="es-MX"/>
        </w:rPr>
        <w:t xml:space="preserve">, la vigilancia contractual se entiende como una </w:t>
      </w:r>
      <w:r w:rsidRPr="00D05606">
        <w:rPr>
          <w:rFonts w:ascii="Verdana" w:eastAsia="Times New Roman" w:hAnsi="Verdana" w:cs="Arial"/>
          <w:lang w:eastAsia="es-MX"/>
        </w:rPr>
        <w:t>función</w:t>
      </w:r>
      <w:r>
        <w:rPr>
          <w:rFonts w:ascii="Verdana" w:eastAsia="Times New Roman" w:hAnsi="Verdana" w:cs="Arial"/>
          <w:lang w:eastAsia="es-MX"/>
        </w:rPr>
        <w:t xml:space="preserve"> pública y con mayor precisión es el ejercicio de una función</w:t>
      </w:r>
      <w:r w:rsidRPr="00D05606">
        <w:rPr>
          <w:rFonts w:ascii="Verdana" w:eastAsia="Times New Roman" w:hAnsi="Verdana" w:cs="Arial"/>
          <w:lang w:eastAsia="es-MX"/>
        </w:rPr>
        <w:t xml:space="preserve"> administrativa</w:t>
      </w:r>
      <w:r w:rsidRPr="00D31A78">
        <w:rPr>
          <w:rFonts w:ascii="Verdana" w:eastAsia="Times New Roman" w:hAnsi="Verdana" w:cs="Arial"/>
          <w:lang w:eastAsia="es-MX"/>
        </w:rPr>
        <w:t xml:space="preserve"> en la medida en que comporta el ejercicio de prerrogativas públicas dirigidas a proteger el interés general, prevenir riesgos para el patrimonio público y garantizar la observancia de las obligaciones contractuales. La supervisión y la interventoría, ya sea ejercidas directamente por servidores públicos o delegadas en terceros, se insertan en el marco de la gestión contractual de la entidad y se desarrollan bajo parámetros normativos que delimitan su alcance, responsabilidades y deberes. Por ello, quien administra la adecuada y oportuna ejecución del contrato debe velar no solo por el cumplimiento de las obligaciones, sino por la ejecución en el tiempo y la forma convenidos, lo que reafirma su naturaleza como función pública ejercida en desarrollo de la función administrativa.</w:t>
      </w:r>
      <w:r>
        <w:rPr>
          <w:rFonts w:ascii="Verdana" w:eastAsia="Times New Roman" w:hAnsi="Verdana" w:cs="Arial"/>
          <w:lang w:eastAsia="es-MX"/>
        </w:rPr>
        <w:t xml:space="preserve"> </w:t>
      </w:r>
      <w:r w:rsidRPr="00E7254D">
        <w:rPr>
          <w:rFonts w:ascii="Verdana" w:eastAsia="Times New Roman" w:hAnsi="Verdana" w:cs="Arial"/>
          <w:lang w:val="es-ES" w:eastAsia="es-MX"/>
        </w:rPr>
        <w:t xml:space="preserve">De esta forma, la Ley 1474 de 2011 enmarcó el seguimiento, control y vigilancia de la ejecución del contrato estatal dentro del principio de moralidad administrativa. El artículo 83 de la referida ley, establece que “con el fin de proteger la moralidad administrativa, de prevenir la ocurrencia de actos de corrupción y tutelar la transparencia de la actividad contractual, las entidades públicas están obligadas a vigilar permanentemente la correcta ejecución del objeto contratado a través de un supervisor o un interventor, según corresponda”. El legislador además definió las nociones de supervisión e interventoría, como mecanismos que pueden usar las </w:t>
      </w:r>
      <w:r>
        <w:rPr>
          <w:rFonts w:ascii="Verdana" w:eastAsia="Times New Roman" w:hAnsi="Verdana" w:cs="Arial"/>
          <w:lang w:val="es-ES" w:eastAsia="es-MX"/>
        </w:rPr>
        <w:t>e</w:t>
      </w:r>
      <w:r w:rsidRPr="00E7254D">
        <w:rPr>
          <w:rFonts w:ascii="Verdana" w:eastAsia="Times New Roman" w:hAnsi="Verdana" w:cs="Arial"/>
          <w:lang w:val="es-ES" w:eastAsia="es-MX"/>
        </w:rPr>
        <w:t xml:space="preserve">ntidades </w:t>
      </w:r>
      <w:r>
        <w:rPr>
          <w:rFonts w:ascii="Verdana" w:eastAsia="Times New Roman" w:hAnsi="Verdana" w:cs="Arial"/>
          <w:lang w:val="es-ES" w:eastAsia="es-MX"/>
        </w:rPr>
        <w:t>e</w:t>
      </w:r>
      <w:r w:rsidRPr="00E7254D">
        <w:rPr>
          <w:rFonts w:ascii="Verdana" w:eastAsia="Times New Roman" w:hAnsi="Verdana" w:cs="Arial"/>
          <w:lang w:val="es-ES" w:eastAsia="es-MX"/>
        </w:rPr>
        <w:t xml:space="preserve">statales para vigilar el contrato, en estos términos: </w:t>
      </w:r>
    </w:p>
    <w:p w14:paraId="01CB4191" w14:textId="77777777" w:rsidR="001F1459" w:rsidRPr="00E7254D" w:rsidRDefault="001F1459" w:rsidP="001F1459">
      <w:pPr>
        <w:spacing w:after="0" w:line="276" w:lineRule="auto"/>
        <w:ind w:left="720"/>
        <w:jc w:val="both"/>
        <w:textAlignment w:val="baseline"/>
        <w:rPr>
          <w:rFonts w:ascii="Verdana" w:eastAsia="Times New Roman" w:hAnsi="Verdana" w:cs="Arial"/>
          <w:lang w:val="es-ES_tradnl" w:eastAsia="es-MX"/>
        </w:rPr>
      </w:pPr>
    </w:p>
    <w:p w14:paraId="6D9F0FA5" w14:textId="77777777" w:rsidR="001F1459" w:rsidRDefault="001F1459" w:rsidP="001F1459">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“La supervisión consistirá en el seguimiento técnico, administrativo, financiero, contable, y jurídico que sobre el cumplimiento del objeto del contrato, es ejercida por la misma entidad estatal cuando no requieran conocimientos especializadas. Para la supervisión, la entidad estatal podrá contratar personal de apoyo, a través de los contratos de prestación de servicio que sean requeridos.</w:t>
      </w:r>
    </w:p>
    <w:p w14:paraId="0A282116" w14:textId="77777777" w:rsidR="001F1459" w:rsidRPr="00624EEC" w:rsidRDefault="001F1459" w:rsidP="001F1459">
      <w:pPr>
        <w:spacing w:after="0" w:line="240" w:lineRule="auto"/>
        <w:ind w:left="709" w:right="709"/>
        <w:jc w:val="both"/>
        <w:textAlignment w:val="baseline"/>
        <w:rPr>
          <w:rFonts w:ascii="Verdana" w:eastAsia="Times New Roman" w:hAnsi="Verdana" w:cs="Arial"/>
          <w:sz w:val="20"/>
          <w:szCs w:val="20"/>
          <w:lang w:val="es-ES" w:eastAsia="es-MX"/>
        </w:rPr>
      </w:pPr>
    </w:p>
    <w:p w14:paraId="408A0203" w14:textId="77777777" w:rsidR="001F1459" w:rsidRPr="00624EEC" w:rsidRDefault="001F1459" w:rsidP="001F1459">
      <w:pPr>
        <w:spacing w:after="0" w:line="240" w:lineRule="auto"/>
        <w:ind w:left="709" w:right="709"/>
        <w:jc w:val="both"/>
        <w:textAlignment w:val="baseline"/>
        <w:rPr>
          <w:rFonts w:ascii="Verdana" w:eastAsia="Times New Roman" w:hAnsi="Verdana" w:cs="Arial"/>
          <w:sz w:val="20"/>
          <w:szCs w:val="20"/>
          <w:lang w:val="es-ES" w:eastAsia="es-MX"/>
        </w:rPr>
      </w:pPr>
      <w:r w:rsidRPr="00624EEC">
        <w:rPr>
          <w:rFonts w:ascii="Verdana" w:eastAsia="Times New Roman" w:hAnsi="Verdana" w:cs="Arial"/>
          <w:sz w:val="20"/>
          <w:szCs w:val="20"/>
          <w:lang w:val="es-ES" w:eastAsia="es-MX"/>
        </w:rPr>
        <w:t xml:space="preserve">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w:t>
      </w:r>
      <w:r w:rsidRPr="00624EEC">
        <w:rPr>
          <w:rFonts w:ascii="Verdana" w:eastAsia="Times New Roman" w:hAnsi="Verdana" w:cs="Arial"/>
          <w:sz w:val="20"/>
          <w:szCs w:val="20"/>
          <w:lang w:val="es-ES" w:eastAsia="es-MX"/>
        </w:rPr>
        <w:lastRenderedPageBreak/>
        <w:t>técnico, financiero, contable, jurídico del objeto o contrato dentro de la interventoría”</w:t>
      </w:r>
      <w:r w:rsidRPr="00624EEC">
        <w:rPr>
          <w:rFonts w:ascii="Verdana" w:eastAsia="Times New Roman" w:hAnsi="Verdana" w:cs="Arial"/>
          <w:sz w:val="20"/>
          <w:szCs w:val="20"/>
          <w:vertAlign w:val="superscript"/>
          <w:lang w:val="es-ES" w:eastAsia="es-MX"/>
        </w:rPr>
        <w:footnoteReference w:id="5"/>
      </w:r>
      <w:r w:rsidRPr="00624EEC">
        <w:rPr>
          <w:rFonts w:ascii="Verdana" w:eastAsia="Times New Roman" w:hAnsi="Verdana" w:cs="Arial"/>
          <w:sz w:val="20"/>
          <w:szCs w:val="20"/>
          <w:lang w:val="es-ES" w:eastAsia="es-MX"/>
        </w:rPr>
        <w:t>.</w:t>
      </w:r>
    </w:p>
    <w:p w14:paraId="097C0FB3" w14:textId="77777777" w:rsidR="001F1459" w:rsidRPr="00E7254D" w:rsidRDefault="001F1459" w:rsidP="001F1459">
      <w:pPr>
        <w:spacing w:after="0" w:line="276" w:lineRule="auto"/>
        <w:ind w:left="720"/>
        <w:contextualSpacing/>
        <w:jc w:val="both"/>
        <w:textAlignment w:val="baseline"/>
        <w:rPr>
          <w:rFonts w:ascii="Verdana" w:eastAsia="Times New Roman" w:hAnsi="Verdana" w:cs="Arial"/>
          <w:lang w:val="es-ES" w:eastAsia="es-MX"/>
        </w:rPr>
      </w:pPr>
    </w:p>
    <w:p w14:paraId="7772FB00" w14:textId="77777777" w:rsidR="001F1459" w:rsidRPr="00E7254D" w:rsidRDefault="001F1459" w:rsidP="001F1459">
      <w:pPr>
        <w:spacing w:after="120" w:line="276" w:lineRule="auto"/>
        <w:ind w:firstLine="709"/>
        <w:jc w:val="both"/>
        <w:rPr>
          <w:rFonts w:ascii="Verdana" w:eastAsia="Times New Roman" w:hAnsi="Verdana" w:cs="Arial"/>
          <w:shd w:val="clear" w:color="auto" w:fill="FFFFFF"/>
          <w:lang w:val="es-ES"/>
        </w:rPr>
      </w:pPr>
      <w:r w:rsidRPr="00E7254D">
        <w:rPr>
          <w:rFonts w:ascii="Verdana" w:eastAsia="Times New Roman" w:hAnsi="Verdana" w:cs="Arial"/>
          <w:bCs/>
          <w:lang w:val="es-ES"/>
        </w:rPr>
        <w:t>Sin perjuicio de lo anterior, según lo expresado por esta Agencia en el concepto No. 4201913000008240 del 20 de diciembre de 2019 y en el concepto C-972 de 2024, de las disposiciones contenidas en los artículos 83 y 84 de la Ley 1474 de 2011, se infieren las siguientes características de la supervisión: i) la labor de supervisión siempre existirá en relación con cualquier contrato estatal, incluidos los contratos de prestación de servicios –a diferencia de la interventoría que depende del análisis de su necesidad y extensión</w:t>
      </w:r>
      <w:r w:rsidRPr="00E7254D">
        <w:rPr>
          <w:rFonts w:ascii="Verdana" w:eastAsia="Times New Roman" w:hAnsi="Verdana" w:cs="Arial"/>
          <w:bCs/>
          <w:vertAlign w:val="superscript"/>
          <w:lang w:val="es-ES"/>
        </w:rPr>
        <w:footnoteReference w:id="6"/>
      </w:r>
      <w:r w:rsidRPr="00E7254D">
        <w:rPr>
          <w:rFonts w:ascii="Verdana" w:eastAsia="Times New Roman" w:hAnsi="Verdana" w:cs="Arial"/>
          <w:bCs/>
          <w:lang w:val="es-ES"/>
        </w:rPr>
        <w:t>–; ii) no requiere conocimientos tan especializados como la interventoría; iii) se ejerce por la Entidad Estatal por conducto de la designación de servidores públicos idóneos para cumplir la función; iv) puede recibir apoyo de personal contratado para tal fin mediante contratos de prestación de servicios; y v) le es inseparable el seguimiento técnico, administrativo, financiero, contable y jurídico del contrato vigilado.</w:t>
      </w:r>
    </w:p>
    <w:p w14:paraId="111418F4" w14:textId="77777777" w:rsidR="001F1459" w:rsidRDefault="001F1459" w:rsidP="001F1459">
      <w:pPr>
        <w:spacing w:after="120" w:line="276" w:lineRule="auto"/>
        <w:jc w:val="both"/>
        <w:rPr>
          <w:rFonts w:ascii="Verdana" w:eastAsia="Aptos" w:hAnsi="Verdana" w:cs="Arial"/>
          <w:bCs/>
        </w:rPr>
      </w:pPr>
      <w:r w:rsidRPr="00E7254D">
        <w:rPr>
          <w:rFonts w:ascii="Verdana" w:eastAsia="Aptos" w:hAnsi="Verdana" w:cs="Arial"/>
          <w:bCs/>
          <w:lang w:val="es-ES"/>
        </w:rPr>
        <w:tab/>
        <w:t xml:space="preserve">Por otro lado, </w:t>
      </w:r>
      <w:r w:rsidRPr="00E7254D">
        <w:rPr>
          <w:rFonts w:ascii="Verdana" w:eastAsia="Aptos" w:hAnsi="Verdana" w:cs="Arial"/>
          <w:bCs/>
        </w:rPr>
        <w:t xml:space="preserve">la interventoría puede caracterizarse de la siguiente manera: i) es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del mismo lo justifique” –art, 83, Ley 1474 de 2011–; ii) es un mecanismo de vigilancia que exige, en su ejecución, la </w:t>
      </w:r>
      <w:r w:rsidRPr="00337394">
        <w:rPr>
          <w:rFonts w:ascii="Verdana" w:eastAsia="Aptos" w:hAnsi="Verdana" w:cs="Arial"/>
          <w:bCs/>
        </w:rPr>
        <w:t>utilización de conocimientos especializados; iii) por lo anterior, la entidad contrata un experto, por regla general, mediante la modalidad de selección de concurso de méritos, al tratarse la interventoría de una especie del contrato de consultoría –art. 32, numeral 2, inciso 2, Ley 80 de 1993</w:t>
      </w:r>
      <w:r w:rsidRPr="00337394">
        <w:rPr>
          <w:rFonts w:ascii="Verdana" w:eastAsia="Aptos" w:hAnsi="Verdana" w:cs="Times New Roman"/>
          <w:kern w:val="2"/>
          <w:vertAlign w:val="superscript"/>
          <w14:ligatures w14:val="standardContextual"/>
        </w:rPr>
        <w:footnoteReference w:id="7"/>
      </w:r>
      <w:r w:rsidRPr="00337394">
        <w:rPr>
          <w:rFonts w:ascii="Verdana" w:eastAsia="Aptos" w:hAnsi="Verdana" w:cs="Arial"/>
          <w:bCs/>
        </w:rPr>
        <w:t xml:space="preserve">‒, de manera que la interventoría es realizada por “una 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w:t>
      </w:r>
      <w:r w:rsidRPr="00337394">
        <w:rPr>
          <w:rFonts w:ascii="Verdana" w:eastAsia="Aptos" w:hAnsi="Verdana" w:cs="Arial"/>
          <w:bCs/>
        </w:rPr>
        <w:lastRenderedPageBreak/>
        <w:t>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4–, y finalmente, vi) el contrato de interventoría será supervisado directamente por la entidad –art. 83, inciso 4–.</w:t>
      </w:r>
    </w:p>
    <w:p w14:paraId="4B0DF61F" w14:textId="77777777" w:rsidR="001F1459" w:rsidRDefault="001F1459" w:rsidP="001F1459">
      <w:pPr>
        <w:spacing w:after="120" w:line="276" w:lineRule="auto"/>
        <w:jc w:val="both"/>
        <w:rPr>
          <w:rFonts w:ascii="Verdana" w:eastAsia="Aptos" w:hAnsi="Verdana" w:cs="Arial"/>
          <w:bCs/>
        </w:rPr>
      </w:pPr>
      <w:r>
        <w:rPr>
          <w:rFonts w:ascii="Verdana" w:eastAsia="Aptos" w:hAnsi="Verdana" w:cs="Arial"/>
          <w:bCs/>
          <w:lang w:val="es-ES"/>
        </w:rPr>
        <w:tab/>
      </w:r>
      <w:r w:rsidRPr="00857B08">
        <w:rPr>
          <w:rFonts w:ascii="Verdana" w:eastAsia="Aptos" w:hAnsi="Verdana" w:cs="Arial"/>
          <w:bCs/>
        </w:rPr>
        <w:t>Ahora bien, a partir del marco normativo que regula la supervisión y la interventoría en la Ley 1474 de 2011, es preciso advertir que los artículos 82, 83, 84 y 85 no definieron un ámbito de aplicación específico. A diferencia del artículo 86 —que sí delimitó expresamente su alcance a las entidades sometidas al Estatuto General de Contratación de la Administración Pública— estas disposiciones no señalaron que fueran aplicables a las entidades con régimen contractual especial.</w:t>
      </w:r>
      <w:r>
        <w:rPr>
          <w:rFonts w:ascii="Verdana" w:eastAsia="Aptos" w:hAnsi="Verdana" w:cs="Arial"/>
          <w:bCs/>
        </w:rPr>
        <w:t xml:space="preserve"> </w:t>
      </w:r>
      <w:r w:rsidRPr="00857B08">
        <w:rPr>
          <w:rFonts w:ascii="Verdana" w:eastAsia="Aptos" w:hAnsi="Verdana" w:cs="Arial"/>
          <w:bCs/>
        </w:rPr>
        <w:t xml:space="preserve">En la misma línea, la </w:t>
      </w:r>
      <w:r>
        <w:rPr>
          <w:rFonts w:ascii="Verdana" w:eastAsia="Aptos" w:hAnsi="Verdana" w:cs="Arial"/>
          <w:bCs/>
        </w:rPr>
        <w:t>“</w:t>
      </w:r>
      <w:r w:rsidRPr="00857B08">
        <w:rPr>
          <w:rFonts w:ascii="Verdana" w:eastAsia="Aptos" w:hAnsi="Verdana" w:cs="Arial"/>
          <w:bCs/>
          <w:i/>
          <w:iCs/>
        </w:rPr>
        <w:t>Guía para la Gestión Contractual de Entidades Estatales con Régimen Especial</w:t>
      </w:r>
      <w:r>
        <w:rPr>
          <w:rFonts w:ascii="Verdana" w:eastAsia="Aptos" w:hAnsi="Verdana" w:cs="Arial"/>
          <w:bCs/>
          <w:i/>
          <w:iCs/>
        </w:rPr>
        <w:t>”</w:t>
      </w:r>
      <w:r w:rsidRPr="00857B08">
        <w:rPr>
          <w:rFonts w:ascii="Verdana" w:eastAsia="Aptos" w:hAnsi="Verdana" w:cs="Arial"/>
          <w:bCs/>
        </w:rPr>
        <w:t xml:space="preserve"> tampoco incorporó estos artículos dentro del conjunto de reglas aplicables a los procesos de compras y contratación pública adelantados por dichas entidades. La ausencia de referencia normativa expresa confirma que el legislador no extendió automáticamente la aplicabilidad de estas disposiciones a los sujetos exceptuados del Estatuto General de Contratación.</w:t>
      </w:r>
    </w:p>
    <w:p w14:paraId="71A7E6EA" w14:textId="77777777" w:rsidR="001F1459" w:rsidRPr="00857B08" w:rsidRDefault="001F1459" w:rsidP="001F1459">
      <w:pPr>
        <w:spacing w:after="0" w:line="276" w:lineRule="auto"/>
        <w:ind w:firstLine="709"/>
        <w:jc w:val="both"/>
        <w:rPr>
          <w:rFonts w:ascii="Verdana" w:eastAsia="Aptos" w:hAnsi="Verdana" w:cs="Arial"/>
          <w:bCs/>
        </w:rPr>
      </w:pPr>
      <w:r w:rsidRPr="00857B08">
        <w:rPr>
          <w:rFonts w:ascii="Verdana" w:eastAsia="Aptos" w:hAnsi="Verdana" w:cs="Arial"/>
          <w:bCs/>
        </w:rPr>
        <w:t>Sin embargo, esta falta de remisión normativa no implica que las entidades de régimen especial estén exentas del deber de control y vigilancia sobre la ejecución contractual. Por el contrario, dicho deber se deriva de los principios de la función administrativa, de la gestión fiscal</w:t>
      </w:r>
      <w:r>
        <w:rPr>
          <w:rFonts w:ascii="Verdana" w:eastAsia="Aptos" w:hAnsi="Verdana" w:cs="Arial"/>
          <w:bCs/>
        </w:rPr>
        <w:t>, como lo exige el artículo 13 de la Ley 1150 de 2007</w:t>
      </w:r>
      <w:r w:rsidRPr="00857B08">
        <w:rPr>
          <w:rFonts w:ascii="Verdana" w:eastAsia="Aptos" w:hAnsi="Verdana" w:cs="Arial"/>
          <w:bCs/>
        </w:rPr>
        <w:t xml:space="preserve"> y de la obligación general de asegurar la correcta ejecución de los recursos públicos, lo que exige mantener mecanismos idóneos de supervisión y seguimiento, aun cuando su régimen contractual sea de naturaleza excepcional.</w:t>
      </w:r>
    </w:p>
    <w:bookmarkEnd w:id="1"/>
    <w:bookmarkEnd w:id="2"/>
    <w:p w14:paraId="51528F2D" w14:textId="77777777" w:rsidR="001F1459" w:rsidRDefault="001F1459" w:rsidP="001F1459">
      <w:pPr>
        <w:pStyle w:val="Sinespaciado"/>
        <w:spacing w:line="276" w:lineRule="auto"/>
        <w:jc w:val="both"/>
        <w:rPr>
          <w:rFonts w:ascii="Verdana" w:eastAsia="Calibri" w:hAnsi="Verdana" w:cs="Arial"/>
          <w:color w:val="000000" w:themeColor="text1"/>
          <w:lang w:val="es-ES"/>
        </w:rPr>
      </w:pPr>
    </w:p>
    <w:p w14:paraId="674B880A" w14:textId="77777777" w:rsidR="001F1459" w:rsidRPr="0037057D" w:rsidRDefault="001F1459" w:rsidP="001F1459">
      <w:pPr>
        <w:pStyle w:val="Sinespaciado"/>
        <w:spacing w:after="120" w:line="276" w:lineRule="auto"/>
        <w:jc w:val="both"/>
        <w:rPr>
          <w:rFonts w:ascii="Verdana" w:hAnsi="Verdana" w:cs="Arial"/>
          <w:sz w:val="22"/>
        </w:rPr>
      </w:pPr>
      <w:r>
        <w:rPr>
          <w:rFonts w:ascii="Verdana" w:eastAsia="Calibri" w:hAnsi="Verdana" w:cs="Arial"/>
          <w:color w:val="000000" w:themeColor="text1"/>
          <w:lang w:val="es-ES"/>
        </w:rPr>
        <w:t>ii.</w:t>
      </w:r>
      <w:r>
        <w:rPr>
          <w:rFonts w:ascii="Verdana" w:hAnsi="Verdana" w:cs="Arial"/>
          <w:sz w:val="22"/>
        </w:rPr>
        <w:t xml:space="preserve"> A diferencia del supervisor,</w:t>
      </w:r>
      <w:r w:rsidRPr="0037057D">
        <w:rPr>
          <w:rFonts w:ascii="Verdana" w:hAnsi="Verdana" w:cs="Arial"/>
          <w:sz w:val="22"/>
        </w:rPr>
        <w:t xml:space="preserve"> el interventor es un contratista externo a la entidad estatal y al contratista vigilado, de manera que es seleccionado por la entidad estatal mediante los procedimientos del artículo 2 de la Ley 1150 de 2007, en principio, a través del concurso de méritos. Lo anterior, sin perjuicio de que eventualmente aplique alguna causal especial que permita la celebración de este tipo de contratos mediante una modalidad diferente, como podría suceder frente a la posibilidad de realizar, por ejemplo, una contratación de </w:t>
      </w:r>
      <w:r w:rsidRPr="0037057D">
        <w:rPr>
          <w:rFonts w:ascii="Verdana" w:hAnsi="Verdana" w:cs="Arial"/>
          <w:sz w:val="22"/>
        </w:rPr>
        <w:lastRenderedPageBreak/>
        <w:t xml:space="preserve">mínima cuantía o una contratación directa, en caso de presentarse alguna de las causales establecidas en el artículo 2 de la Ley 1150 de 2007, que dé lugar a acudir a otra modalidad de selección. </w:t>
      </w:r>
    </w:p>
    <w:p w14:paraId="57AEC78A" w14:textId="77777777" w:rsidR="001F1459" w:rsidRDefault="001F1459" w:rsidP="001F1459">
      <w:pPr>
        <w:spacing w:after="120" w:line="276" w:lineRule="auto"/>
        <w:ind w:firstLine="708"/>
        <w:jc w:val="both"/>
        <w:rPr>
          <w:rFonts w:ascii="Verdana" w:eastAsia="Arial MT" w:hAnsi="Verdana" w:cs="Arial"/>
          <w:color w:val="000000" w:themeColor="text1"/>
          <w:lang w:val="es-ES"/>
        </w:rPr>
      </w:pPr>
      <w:r w:rsidRPr="00984E13">
        <w:rPr>
          <w:rFonts w:ascii="Verdana" w:eastAsia="Arial MT" w:hAnsi="Verdana" w:cs="Arial"/>
          <w:color w:val="000000" w:themeColor="text1"/>
          <w:lang w:val="es-ES"/>
        </w:rPr>
        <w:t>Quien ejerza la vigilancia de la ejecución del contrato, ya sea mediante la supervisión o</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mediante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interventoría,</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puede</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hacer</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uso</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6"/>
          <w:lang w:val="es-ES"/>
        </w:rPr>
        <w:t xml:space="preserve"> </w:t>
      </w:r>
      <w:r w:rsidRPr="00984E13">
        <w:rPr>
          <w:rFonts w:ascii="Verdana" w:eastAsia="Arial MT" w:hAnsi="Verdana" w:cs="Arial"/>
          <w:color w:val="000000" w:themeColor="text1"/>
          <w:lang w:val="es-ES"/>
        </w:rPr>
        <w:t>las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facultades</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previstas</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en</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el</w:t>
      </w:r>
      <w:r w:rsidRPr="00984E13">
        <w:rPr>
          <w:rFonts w:ascii="Verdana" w:eastAsia="Arial MT" w:hAnsi="Verdana" w:cs="Arial"/>
          <w:color w:val="000000" w:themeColor="text1"/>
          <w:spacing w:val="-4"/>
          <w:lang w:val="es-ES"/>
        </w:rPr>
        <w:t xml:space="preserve"> </w:t>
      </w:r>
      <w:r w:rsidRPr="00984E13">
        <w:rPr>
          <w:rFonts w:ascii="Verdana" w:eastAsia="Arial MT" w:hAnsi="Verdana" w:cs="Arial"/>
          <w:color w:val="000000" w:themeColor="text1"/>
          <w:lang w:val="es-ES"/>
        </w:rPr>
        <w:t>artículo</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84</w:t>
      </w:r>
      <w:r w:rsidRPr="00984E13">
        <w:rPr>
          <w:rFonts w:ascii="Verdana" w:eastAsia="Arial MT" w:hAnsi="Verdana" w:cs="Arial"/>
          <w:color w:val="000000" w:themeColor="text1"/>
          <w:spacing w:val="-3"/>
          <w:lang w:val="es-ES"/>
        </w:rPr>
        <w:t xml:space="preserve"> </w:t>
      </w:r>
      <w:r w:rsidRPr="00984E13">
        <w:rPr>
          <w:rFonts w:ascii="Verdana" w:eastAsia="Arial MT" w:hAnsi="Verdana" w:cs="Arial"/>
          <w:color w:val="000000" w:themeColor="text1"/>
          <w:lang w:val="es-ES"/>
        </w:rPr>
        <w:t>de</w:t>
      </w:r>
      <w:r w:rsidRPr="00984E13">
        <w:rPr>
          <w:rFonts w:ascii="Verdana" w:eastAsia="Arial MT" w:hAnsi="Verdana" w:cs="Arial"/>
          <w:color w:val="000000" w:themeColor="text1"/>
          <w:spacing w:val="-7"/>
          <w:lang w:val="es-ES"/>
        </w:rPr>
        <w:t xml:space="preserve"> </w:t>
      </w:r>
      <w:r w:rsidRPr="00984E13">
        <w:rPr>
          <w:rFonts w:ascii="Verdana" w:eastAsia="Arial MT" w:hAnsi="Verdana" w:cs="Arial"/>
          <w:color w:val="000000" w:themeColor="text1"/>
          <w:lang w:val="es-ES"/>
        </w:rPr>
        <w:t>la</w:t>
      </w:r>
      <w:r w:rsidRPr="00984E13">
        <w:rPr>
          <w:rFonts w:ascii="Verdana" w:eastAsia="Arial MT" w:hAnsi="Verdana" w:cs="Arial"/>
          <w:color w:val="000000" w:themeColor="text1"/>
          <w:spacing w:val="-5"/>
          <w:lang w:val="es-ES"/>
        </w:rPr>
        <w:t xml:space="preserve"> </w:t>
      </w:r>
      <w:r w:rsidRPr="00984E13">
        <w:rPr>
          <w:rFonts w:ascii="Verdana" w:eastAsia="Arial MT" w:hAnsi="Verdana" w:cs="Arial"/>
          <w:color w:val="000000" w:themeColor="text1"/>
          <w:lang w:val="es-ES"/>
        </w:rPr>
        <w:t>Ley</w:t>
      </w:r>
      <w:r w:rsidRPr="00984E13">
        <w:rPr>
          <w:rFonts w:ascii="Verdana" w:eastAsia="Arial MT" w:hAnsi="Verdana" w:cs="Arial"/>
          <w:color w:val="000000" w:themeColor="text1"/>
          <w:spacing w:val="-58"/>
          <w:lang w:val="es-ES"/>
        </w:rPr>
        <w:t xml:space="preserve"> </w:t>
      </w:r>
      <w:r w:rsidRPr="00984E13">
        <w:rPr>
          <w:rFonts w:ascii="Verdana" w:eastAsia="Arial MT" w:hAnsi="Verdana" w:cs="Arial"/>
          <w:color w:val="000000" w:themeColor="text1"/>
          <w:lang w:val="es-ES"/>
        </w:rPr>
        <w:t>1474 de 2011 para efectuar el seguimiento al cumplimiento obligacional del contrato y estará</w:t>
      </w:r>
      <w:r w:rsidRPr="00984E13">
        <w:rPr>
          <w:rFonts w:ascii="Verdana" w:eastAsia="Arial MT" w:hAnsi="Verdana" w:cs="Arial"/>
          <w:color w:val="000000" w:themeColor="text1"/>
          <w:spacing w:val="1"/>
          <w:lang w:val="es-ES"/>
        </w:rPr>
        <w:t xml:space="preserve"> </w:t>
      </w:r>
      <w:r w:rsidRPr="00984E13">
        <w:rPr>
          <w:rFonts w:ascii="Verdana" w:eastAsia="Arial MT" w:hAnsi="Verdana" w:cs="Arial"/>
          <w:color w:val="000000" w:themeColor="text1"/>
          <w:lang w:val="es-ES"/>
        </w:rPr>
        <w:t xml:space="preserve">sometido a los deberes y responsabilidades que implica el ejercicio de dicha actividad. En este contexto, </w:t>
      </w:r>
      <w:r>
        <w:rPr>
          <w:rFonts w:ascii="Verdana" w:eastAsia="Arial MT" w:hAnsi="Verdana" w:cs="Arial"/>
          <w:color w:val="000000" w:themeColor="text1"/>
          <w:lang w:val="es-ES"/>
        </w:rPr>
        <w:t xml:space="preserve">tanto los supervisores como los interventores </w:t>
      </w:r>
      <w:r w:rsidRPr="00984E13">
        <w:rPr>
          <w:rFonts w:ascii="Verdana" w:eastAsia="Arial MT" w:hAnsi="Verdana" w:cs="Arial"/>
          <w:color w:val="000000" w:themeColor="text1"/>
          <w:lang w:val="es-ES"/>
        </w:rPr>
        <w:t>“</w:t>
      </w:r>
      <w:r w:rsidRPr="00B431DE">
        <w:rPr>
          <w:rFonts w:ascii="Verdana" w:eastAsia="Arial MT" w:hAnsi="Verdana" w:cs="Arial"/>
          <w:color w:val="000000" w:themeColor="text1"/>
        </w:rPr>
        <w:t>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w:t>
      </w:r>
      <w:r>
        <w:rPr>
          <w:rFonts w:ascii="Verdana" w:eastAsia="Arial MT" w:hAnsi="Verdana" w:cs="Arial"/>
          <w:color w:val="000000" w:themeColor="text1"/>
        </w:rPr>
        <w:t>”. En otras palabras,</w:t>
      </w:r>
      <w:r w:rsidRPr="00F34F57">
        <w:rPr>
          <w:rFonts w:ascii="Verdana" w:eastAsia="Arial MT" w:hAnsi="Verdana" w:cs="Arial"/>
          <w:color w:val="000000" w:themeColor="text1"/>
        </w:rPr>
        <w:t xml:space="preserve"> quienes ejercen funciones de seguimiento contractual tienen la potestad de pedir al contratista toda la información necesaria —informes, aclaraciones y explicaciones— para verificar cómo avanza la ejecución del contrato. Además, se les impone un deber especial: deben mantener informada a la entidad contratante sobre cualquier hecho, situación o indicio que pueda constituir un acto de corrupción o que genere riesgo de incumplimiento contractual, e incluso reportar cuando dicho incumplimiento ya se haya producido. </w:t>
      </w:r>
    </w:p>
    <w:p w14:paraId="6729E627" w14:textId="77777777" w:rsidR="001F1459" w:rsidRPr="00337394" w:rsidRDefault="001F1459" w:rsidP="001F1459">
      <w:pPr>
        <w:spacing w:after="0" w:line="276" w:lineRule="auto"/>
        <w:ind w:firstLine="708"/>
        <w:jc w:val="both"/>
        <w:rPr>
          <w:rFonts w:ascii="Verdana" w:eastAsia="Calibri" w:hAnsi="Verdana" w:cs="Times New Roman"/>
          <w:lang w:val="es-ES"/>
        </w:rPr>
      </w:pPr>
      <w:r>
        <w:rPr>
          <w:rFonts w:ascii="Verdana" w:eastAsia="Arial MT" w:hAnsi="Verdana" w:cs="Arial"/>
          <w:color w:val="000000" w:themeColor="text1"/>
          <w:lang w:val="es-ES"/>
        </w:rPr>
        <w:t>Incluso, a</w:t>
      </w:r>
      <w:r w:rsidRPr="00140D7A">
        <w:rPr>
          <w:rFonts w:ascii="Verdana" w:eastAsia="Arial MT" w:hAnsi="Verdana" w:cs="Arial"/>
          <w:color w:val="000000" w:themeColor="text1"/>
          <w:lang w:val="es-ES"/>
        </w:rPr>
        <w:t>un cuando el contrato de interventoría se celebra con un tercero a quien se le confía la labor de vigilar la ejecución idónea de otro contrato, por lo general un contrato de obra pública, aquel actúa con facultades similares a las que tiene la entidad estatal cuando ejerce la supervisión por su propia cuenta. Lo anterior</w:t>
      </w:r>
      <w:r>
        <w:rPr>
          <w:rFonts w:ascii="Verdana" w:eastAsia="Arial MT" w:hAnsi="Verdana" w:cs="Arial"/>
          <w:color w:val="000000" w:themeColor="text1"/>
          <w:lang w:val="es-ES"/>
        </w:rPr>
        <w:t>,</w:t>
      </w:r>
      <w:r w:rsidRPr="00140D7A">
        <w:rPr>
          <w:rFonts w:ascii="Verdana" w:eastAsia="Arial MT" w:hAnsi="Verdana" w:cs="Arial"/>
          <w:color w:val="000000" w:themeColor="text1"/>
          <w:lang w:val="es-ES"/>
        </w:rPr>
        <w:t xml:space="preserve"> en la medida </w:t>
      </w:r>
      <w:r>
        <w:rPr>
          <w:rFonts w:ascii="Verdana" w:eastAsia="Arial MT" w:hAnsi="Verdana" w:cs="Arial"/>
          <w:color w:val="000000" w:themeColor="text1"/>
          <w:lang w:val="es-ES"/>
        </w:rPr>
        <w:t>en</w:t>
      </w:r>
      <w:r w:rsidRPr="00140D7A">
        <w:rPr>
          <w:rFonts w:ascii="Verdana" w:eastAsia="Arial MT" w:hAnsi="Verdana" w:cs="Arial"/>
          <w:color w:val="000000" w:themeColor="text1"/>
          <w:lang w:val="es-ES"/>
        </w:rPr>
        <w:t xml:space="preserve"> que ambos son mecanismos a través de los cuales las entidades cumplen el deber de vigilar la correcta ejecución de los contratos, por lo que comparten una finalidad común.</w:t>
      </w:r>
      <w:r>
        <w:rPr>
          <w:rFonts w:ascii="Verdana" w:eastAsia="Arial MT" w:hAnsi="Verdana" w:cs="Arial"/>
          <w:color w:val="000000" w:themeColor="text1"/>
          <w:lang w:val="es-ES"/>
        </w:rPr>
        <w:t xml:space="preserve"> </w:t>
      </w:r>
      <w:r w:rsidRPr="00337394">
        <w:rPr>
          <w:rFonts w:ascii="Verdana" w:eastAsia="Calibri" w:hAnsi="Verdana" w:cs="Times New Roman"/>
          <w:lang w:val="es-ES"/>
        </w:rPr>
        <w:t xml:space="preserve">En </w:t>
      </w:r>
      <w:r>
        <w:rPr>
          <w:rFonts w:ascii="Verdana" w:eastAsia="Calibri" w:hAnsi="Verdana" w:cs="Times New Roman"/>
          <w:lang w:val="es-ES"/>
        </w:rPr>
        <w:t xml:space="preserve">este </w:t>
      </w:r>
      <w:r w:rsidRPr="00337394">
        <w:rPr>
          <w:rFonts w:ascii="Verdana" w:eastAsia="Calibri" w:hAnsi="Verdana" w:cs="Times New Roman"/>
          <w:lang w:val="es-ES"/>
        </w:rPr>
        <w:t>sentido, la Corte Constitucional, con ocasión de un examen de constitucionalidad a las funciones de la interventoría, aduj</w:t>
      </w:r>
      <w:r>
        <w:rPr>
          <w:rFonts w:ascii="Verdana" w:eastAsia="Calibri" w:hAnsi="Verdana" w:cs="Times New Roman"/>
          <w:lang w:val="es-ES"/>
        </w:rPr>
        <w:t>o en la Sentencia C-037 de 2003</w:t>
      </w:r>
      <w:r w:rsidRPr="00337394">
        <w:rPr>
          <w:rFonts w:ascii="Verdana" w:eastAsia="Calibri" w:hAnsi="Verdana" w:cs="Times New Roman"/>
          <w:lang w:val="es-ES"/>
        </w:rPr>
        <w:t xml:space="preserve">: </w:t>
      </w:r>
    </w:p>
    <w:p w14:paraId="4D6F4B05" w14:textId="77777777" w:rsidR="001F1459" w:rsidRPr="00337394" w:rsidRDefault="001F1459" w:rsidP="001F1459">
      <w:pPr>
        <w:spacing w:after="0" w:line="240" w:lineRule="auto"/>
        <w:jc w:val="both"/>
        <w:rPr>
          <w:rFonts w:ascii="Verdana" w:eastAsia="Calibri" w:hAnsi="Verdana" w:cs="Times New Roman"/>
          <w:lang w:val="es-ES"/>
        </w:rPr>
      </w:pPr>
    </w:p>
    <w:p w14:paraId="419DEB63" w14:textId="77777777" w:rsidR="001F1459" w:rsidRPr="00337394" w:rsidRDefault="001F1459" w:rsidP="001F1459">
      <w:pPr>
        <w:numPr>
          <w:ilvl w:val="12"/>
          <w:numId w:val="0"/>
        </w:numPr>
        <w:spacing w:after="0" w:line="240" w:lineRule="auto"/>
        <w:ind w:left="851" w:right="851"/>
        <w:jc w:val="both"/>
        <w:rPr>
          <w:rFonts w:ascii="Verdana" w:eastAsia="Calibri" w:hAnsi="Verdana" w:cs="Times New Roman"/>
          <w:sz w:val="20"/>
          <w:szCs w:val="20"/>
          <w:lang w:val="es-ES"/>
        </w:rPr>
      </w:pPr>
      <w:r w:rsidRPr="00337394">
        <w:rPr>
          <w:rFonts w:ascii="Verdana" w:eastAsia="Calibri" w:hAnsi="Verdana" w:cs="Times New Roman"/>
          <w:sz w:val="20"/>
          <w:szCs w:val="20"/>
          <w:lang w:val="es-ES"/>
        </w:rPr>
        <w:t xml:space="preserve">Ahora bien, para la Corte de los elementos que se desprenden de la ley resulta claro que al interventor le corresponde vigilar que el contrato se desarrolle de acuerdo con lo pactado en las condiciones técnicas y científicas que más se ajusten a su cabal desarrollo, de acuerdo con los </w:t>
      </w:r>
      <w:r w:rsidRPr="00337394">
        <w:rPr>
          <w:rFonts w:ascii="Verdana" w:eastAsia="Calibri" w:hAnsi="Verdana" w:cs="Times New Roman"/>
          <w:sz w:val="20"/>
          <w:szCs w:val="20"/>
          <w:lang w:val="es-ES"/>
        </w:rPr>
        <w:lastRenderedPageBreak/>
        <w:t>conocimientos especializados que él posee, en razón de los cuales la administración precisamente acude a sus servicios.</w:t>
      </w:r>
    </w:p>
    <w:p w14:paraId="625C165F" w14:textId="77777777" w:rsidR="001F1459" w:rsidRPr="00337394" w:rsidRDefault="001F1459" w:rsidP="001F1459">
      <w:pPr>
        <w:numPr>
          <w:ilvl w:val="12"/>
          <w:numId w:val="0"/>
        </w:numPr>
        <w:spacing w:after="0" w:line="240" w:lineRule="auto"/>
        <w:ind w:left="851" w:right="851"/>
        <w:jc w:val="both"/>
        <w:rPr>
          <w:rFonts w:ascii="Verdana" w:eastAsia="Calibri" w:hAnsi="Verdana" w:cs="Times New Roman"/>
          <w:sz w:val="20"/>
          <w:szCs w:val="20"/>
          <w:lang w:val="es-ES"/>
        </w:rPr>
      </w:pPr>
    </w:p>
    <w:p w14:paraId="01D31973" w14:textId="77777777" w:rsidR="001F1459" w:rsidRPr="00337394" w:rsidRDefault="001F1459" w:rsidP="001F1459">
      <w:pPr>
        <w:numPr>
          <w:ilvl w:val="12"/>
          <w:numId w:val="0"/>
        </w:numPr>
        <w:spacing w:after="0" w:line="240" w:lineRule="auto"/>
        <w:ind w:left="851" w:right="851"/>
        <w:jc w:val="both"/>
        <w:rPr>
          <w:rFonts w:ascii="Verdana" w:eastAsia="Calibri" w:hAnsi="Verdana" w:cs="Times New Roman"/>
          <w:sz w:val="20"/>
          <w:szCs w:val="20"/>
          <w:lang w:val="es-ES"/>
        </w:rPr>
      </w:pPr>
      <w:r w:rsidRPr="00337394">
        <w:rPr>
          <w:rFonts w:ascii="Verdana" w:eastAsia="Calibri" w:hAnsi="Verdana" w:cs="Times New Roman"/>
          <w:sz w:val="20"/>
          <w:szCs w:val="20"/>
          <w:lang w:val="es-ES"/>
        </w:rPr>
        <w:t>Dicha función de control, que las normas contractuales asignan a los servidores públicos, pero que excepcionalmente en virtud del contrato de interventoría puede ser ejercida por un particular, implica en realidad el ejercicio de una función pública.</w:t>
      </w:r>
    </w:p>
    <w:p w14:paraId="1A840993" w14:textId="77777777" w:rsidR="001F1459" w:rsidRPr="00337394" w:rsidRDefault="001F1459" w:rsidP="001F1459">
      <w:pPr>
        <w:numPr>
          <w:ilvl w:val="12"/>
          <w:numId w:val="0"/>
        </w:numPr>
        <w:spacing w:after="0" w:line="240" w:lineRule="auto"/>
        <w:ind w:left="851" w:right="851"/>
        <w:jc w:val="both"/>
        <w:rPr>
          <w:rFonts w:ascii="Verdana" w:eastAsia="Calibri" w:hAnsi="Verdana" w:cs="Times New Roman"/>
          <w:sz w:val="20"/>
          <w:szCs w:val="20"/>
          <w:lang w:val="es-ES"/>
        </w:rPr>
      </w:pPr>
    </w:p>
    <w:p w14:paraId="56701A1B" w14:textId="77777777" w:rsidR="001F1459" w:rsidRPr="00337394" w:rsidRDefault="001F1459" w:rsidP="001F1459">
      <w:pPr>
        <w:numPr>
          <w:ilvl w:val="12"/>
          <w:numId w:val="0"/>
        </w:numPr>
        <w:spacing w:after="0" w:line="240" w:lineRule="auto"/>
        <w:ind w:left="851" w:right="851"/>
        <w:jc w:val="both"/>
        <w:rPr>
          <w:rFonts w:ascii="Verdana" w:eastAsia="Calibri" w:hAnsi="Verdana" w:cs="Times New Roman"/>
          <w:sz w:val="20"/>
          <w:szCs w:val="20"/>
          <w:lang w:val="es-ES"/>
        </w:rPr>
      </w:pPr>
      <w:r w:rsidRPr="00337394">
        <w:rPr>
          <w:rFonts w:ascii="Verdana" w:eastAsia="Calibri" w:hAnsi="Verdana" w:cs="Times New Roman"/>
          <w:sz w:val="20"/>
          <w:szCs w:val="20"/>
          <w:lang w:val="es-ES"/>
        </w:rPr>
        <w:t>Téngase en cuenta que el interventor, como encargado de vigilar la buena marcha del contrato, podrá exigir al contratista la información que estime necesaria; efectuará a nombre de la administración las revisiones periódicas indispensables para verificar que las obras ejecutadas, los servicios prestados o los bienes suministrados  cumplan con las condiciones de calidad ofrecidas por los contratistas; podrá dar órdenes que se consignarán necesariamente por escrito; de su actuación dependerá que la administración responsable del contrato de que se trate adopte oportunamente las medidas necesarias para mantener durante su desarrollo y ejecución las condiciones técnicas, económicas y financiaras que fueron previstas en él, es decir que tiene atribuidas prerrogativas de aquellas que en principio solo corresponden a la Administración, al tiempo que su función se convierte en determinante para el cumplimiento de los fines de la contratación estatal</w:t>
      </w:r>
      <w:r w:rsidRPr="00337394">
        <w:rPr>
          <w:rFonts w:ascii="Verdana" w:eastAsia="Calibri" w:hAnsi="Verdana" w:cs="Times New Roman"/>
          <w:sz w:val="20"/>
          <w:szCs w:val="20"/>
          <w:vertAlign w:val="superscript"/>
          <w:lang w:val="es-ES"/>
        </w:rPr>
        <w:footnoteReference w:id="8"/>
      </w:r>
      <w:r w:rsidRPr="00337394">
        <w:rPr>
          <w:rFonts w:ascii="Verdana" w:eastAsia="Calibri" w:hAnsi="Verdana" w:cs="Times New Roman"/>
          <w:sz w:val="20"/>
          <w:szCs w:val="20"/>
          <w:lang w:val="es-ES"/>
        </w:rPr>
        <w:t>.</w:t>
      </w:r>
    </w:p>
    <w:p w14:paraId="25A65627" w14:textId="77777777" w:rsidR="001F1459" w:rsidRDefault="001F1459" w:rsidP="001F1459">
      <w:pPr>
        <w:widowControl w:val="0"/>
        <w:autoSpaceDE w:val="0"/>
        <w:autoSpaceDN w:val="0"/>
        <w:spacing w:after="0" w:line="276" w:lineRule="auto"/>
        <w:ind w:firstLine="709"/>
        <w:jc w:val="both"/>
        <w:rPr>
          <w:rFonts w:ascii="Verdana" w:eastAsia="Arial MT" w:hAnsi="Verdana" w:cs="Arial"/>
          <w:color w:val="000000" w:themeColor="text1"/>
          <w:lang w:val="es-ES"/>
        </w:rPr>
      </w:pPr>
    </w:p>
    <w:p w14:paraId="7943CF8F" w14:textId="77777777" w:rsidR="001F1459" w:rsidRDefault="001F1459" w:rsidP="001F1459">
      <w:pPr>
        <w:widowControl w:val="0"/>
        <w:autoSpaceDE w:val="0"/>
        <w:autoSpaceDN w:val="0"/>
        <w:spacing w:after="0" w:line="276" w:lineRule="auto"/>
        <w:ind w:firstLine="709"/>
        <w:jc w:val="both"/>
        <w:rPr>
          <w:rFonts w:ascii="Verdana" w:eastAsia="Arial MT" w:hAnsi="Verdana" w:cs="Arial"/>
          <w:color w:val="000000" w:themeColor="text1"/>
        </w:rPr>
      </w:pPr>
      <w:r w:rsidRPr="005C32D8">
        <w:rPr>
          <w:rFonts w:ascii="Verdana" w:eastAsia="Arial MT" w:hAnsi="Verdana" w:cs="Arial"/>
          <w:color w:val="000000" w:themeColor="text1"/>
        </w:rPr>
        <w:t>La supervisión y la interventoría contractual</w:t>
      </w:r>
      <w:r>
        <w:rPr>
          <w:rFonts w:ascii="Verdana" w:eastAsia="Arial MT" w:hAnsi="Verdana" w:cs="Arial"/>
          <w:color w:val="000000" w:themeColor="text1"/>
        </w:rPr>
        <w:t xml:space="preserve"> como instituciones jurídicas adelantan </w:t>
      </w:r>
      <w:r w:rsidRPr="005C32D8">
        <w:rPr>
          <w:rFonts w:ascii="Verdana" w:eastAsia="Arial MT" w:hAnsi="Verdana" w:cs="Arial"/>
          <w:color w:val="000000" w:themeColor="text1"/>
        </w:rPr>
        <w:t xml:space="preserve">expresiones claras del ejercicio de una función pública, en tanto se orientan al control del cumplimiento obligacional y a la protección del interés general comprometido en la contratación estatal. Su naturaleza administrativa implica que quienes las ejercen —servidores públicos o terceros contratados para tal fin— actúan en representación de la entidad estatal y bajo parámetros normativos que les asignan deberes de verificación, seguimiento, advertencia y reporte. Precisamente por tratarse de una función de control y no de ejecución, </w:t>
      </w:r>
      <w:r>
        <w:rPr>
          <w:rFonts w:ascii="Verdana" w:eastAsia="Arial MT" w:hAnsi="Verdana" w:cs="Arial"/>
          <w:color w:val="000000" w:themeColor="text1"/>
        </w:rPr>
        <w:t xml:space="preserve">los </w:t>
      </w:r>
      <w:r w:rsidRPr="005C32D8">
        <w:rPr>
          <w:rFonts w:ascii="Verdana" w:eastAsia="Arial MT" w:hAnsi="Verdana" w:cs="Arial"/>
          <w:color w:val="000000" w:themeColor="text1"/>
        </w:rPr>
        <w:t xml:space="preserve">supervisores e interventores no son coejecutores del contrato, pues su rol no consiste en realizar materialmente las prestaciones pactadas ni en sustituir al contratista en la ejecución del objeto contractual. Su intervención se limita a constatar que las obligaciones se cumplan en la forma, tiempo y condiciones convenidas, a identificar riesgos y desviaciones, y a adoptar las medidas de control que resulten procedentes dentro del marco de la función administrativa. De este modo, la vigilancia contractual se configura como una actividad pública </w:t>
      </w:r>
      <w:r w:rsidRPr="005C32D8">
        <w:rPr>
          <w:rFonts w:ascii="Verdana" w:eastAsia="Arial MT" w:hAnsi="Verdana" w:cs="Arial"/>
          <w:color w:val="000000" w:themeColor="text1"/>
        </w:rPr>
        <w:lastRenderedPageBreak/>
        <w:t>de control, diferenciada de la ejecución material del contrato, que permanece exclusivamente en cabeza del contratista.</w:t>
      </w:r>
      <w:r w:rsidRPr="00CA62A4">
        <w:rPr>
          <w:rFonts w:ascii="Verdana" w:eastAsia="Arial MT" w:hAnsi="Verdana" w:cs="Arial"/>
          <w:color w:val="000000" w:themeColor="text1"/>
        </w:rPr>
        <w:t xml:space="preserve"> </w:t>
      </w:r>
    </w:p>
    <w:p w14:paraId="397EA666" w14:textId="77777777" w:rsidR="001F1459" w:rsidRDefault="001F1459" w:rsidP="001F1459">
      <w:pPr>
        <w:widowControl w:val="0"/>
        <w:autoSpaceDE w:val="0"/>
        <w:autoSpaceDN w:val="0"/>
        <w:spacing w:after="0" w:line="276" w:lineRule="auto"/>
        <w:jc w:val="both"/>
        <w:rPr>
          <w:rFonts w:ascii="Verdana" w:eastAsia="Arial MT" w:hAnsi="Verdana" w:cs="Arial"/>
          <w:color w:val="000000" w:themeColor="text1"/>
        </w:rPr>
      </w:pPr>
    </w:p>
    <w:p w14:paraId="4AC25DDD" w14:textId="77777777" w:rsidR="001F1459" w:rsidRPr="0046365F" w:rsidRDefault="001F1459" w:rsidP="001F1459">
      <w:pPr>
        <w:widowControl w:val="0"/>
        <w:autoSpaceDE w:val="0"/>
        <w:autoSpaceDN w:val="0"/>
        <w:spacing w:after="120" w:line="276" w:lineRule="auto"/>
        <w:jc w:val="both"/>
        <w:rPr>
          <w:rFonts w:ascii="Verdana" w:eastAsia="Arial MT" w:hAnsi="Verdana" w:cs="Arial"/>
          <w:color w:val="000000" w:themeColor="text1"/>
        </w:rPr>
      </w:pPr>
      <w:r>
        <w:rPr>
          <w:rFonts w:ascii="Verdana" w:eastAsia="Arial MT" w:hAnsi="Verdana" w:cs="Arial"/>
          <w:color w:val="000000" w:themeColor="text1"/>
        </w:rPr>
        <w:t xml:space="preserve">iii. </w:t>
      </w:r>
      <w:r>
        <w:rPr>
          <w:rFonts w:ascii="Verdana" w:eastAsia="Arial MT" w:hAnsi="Verdana" w:cs="Arial"/>
          <w:color w:val="000000" w:themeColor="text1"/>
          <w:lang w:val="es-ES"/>
        </w:rPr>
        <w:t>En caso de extralimitación, los artículos 50, 51 y 52 de la Ley 80 de 1993 establecen la responsabilidad de las entidades, servidores y contratistas del Estado, la cual será analizada por los órganos competentes de acuerdo con las particularidades de cada caso concreto.</w:t>
      </w:r>
      <w:r>
        <w:rPr>
          <w:rFonts w:ascii="Verdana" w:eastAsia="Arial MT" w:hAnsi="Verdana" w:cs="Arial"/>
          <w:color w:val="000000" w:themeColor="text1"/>
        </w:rPr>
        <w:t xml:space="preserve"> </w:t>
      </w:r>
      <w:r>
        <w:rPr>
          <w:rFonts w:ascii="Verdana" w:eastAsia="Arial MT" w:hAnsi="Verdana" w:cs="Arial"/>
          <w:color w:val="000000" w:themeColor="text1"/>
          <w:lang w:val="es-MX"/>
        </w:rPr>
        <w:t xml:space="preserve">Para ello, es pertinente delimitar la frontera entre la vigilancia y el contrato vigilado, por lo que debe tenerse en cuenta que es al contratista a quien le corresponde la ejecución material del objeto contratado. Este último se sujeta a la potestad de control que ejerce la entidad estatal, bien a través de sus propios funcionarios –supervisión– o a través de terceros –interventoría–. Por tanto, dado que el contratista es sujeto de la vigilancia sobre el cumplimiento de las obligaciones, éste se somete al control de los supervisores o interventores, según corresponda. </w:t>
      </w:r>
    </w:p>
    <w:p w14:paraId="1D97B3B7" w14:textId="77777777" w:rsidR="001F1459"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Aquí cobra importancia la metodología para ejercicio la supervisión e interventoría usualmente, la cual se formaliza mediante de manuales que expiden las entidades públicas, que estandarizan las condiciones de control y vigilancia. Además, de la habilitación del artículo 84 del Estatuto Anticorrupción para solicitar</w:t>
      </w:r>
      <w:r w:rsidRPr="00445243">
        <w:rPr>
          <w:rFonts w:ascii="Verdana" w:eastAsia="Arial MT" w:hAnsi="Verdana" w:cs="Arial"/>
          <w:color w:val="000000" w:themeColor="text1"/>
          <w:lang w:val="es-MX"/>
        </w:rPr>
        <w:t xml:space="preserve"> informes, aclaraciones y explicaciones sobre el desarrollo de la ejecución contractual</w:t>
      </w:r>
      <w:r>
        <w:rPr>
          <w:rFonts w:ascii="Verdana" w:eastAsia="Arial MT" w:hAnsi="Verdana" w:cs="Arial"/>
          <w:color w:val="000000" w:themeColor="text1"/>
          <w:lang w:val="es-MX"/>
        </w:rPr>
        <w:t xml:space="preserve">, dichos manuales desarrollan procedimientos internos para desarrollo de estas actividades. Estos últimos sujetan al contratista vigilado, ya que existe un nexo </w:t>
      </w:r>
      <w:r w:rsidRPr="00445243">
        <w:rPr>
          <w:rFonts w:ascii="Verdana" w:eastAsia="Arial MT" w:hAnsi="Verdana" w:cs="Arial"/>
          <w:color w:val="000000" w:themeColor="text1"/>
          <w:lang w:val="es-MX"/>
        </w:rPr>
        <w:t>inescindible</w:t>
      </w:r>
      <w:r>
        <w:rPr>
          <w:rFonts w:ascii="Verdana" w:eastAsia="Arial MT" w:hAnsi="Verdana" w:cs="Arial"/>
          <w:color w:val="000000" w:themeColor="text1"/>
          <w:lang w:val="es-MX"/>
        </w:rPr>
        <w:t xml:space="preserve"> entre las obligaciones ejecutadas y el control sobre su efectivo cumplimiento. Sumado a lo anterior, tratándose de la interventoría, el contrato también delimita criterios adicionales para verificar el avance de las obras o la prestación de los servicios de acuerdo con la complejidad del objeto. Éstos últimos también sujetan al contratista vigilado, pues tiene la obligación de acatar las directrices derivadas del ejercicio de la potestad de control.  </w:t>
      </w:r>
    </w:p>
    <w:p w14:paraId="5FD63172" w14:textId="77777777" w:rsidR="001F1459" w:rsidRPr="00656EF5"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La vigilancia sobre el cumplimiento obligacional se somete a la ley, los manuales internos y las condiciones que establece la entidad tanto en el contrato de interventoría como en el contrato vigilado, criterios que debe acatar el contratista ejecutor de la obra o prestador del servicio, así como el supervisor de la interventoría y la entidad como responsable de la dirección y control. Como los mismos establecen los linderos de la potestad de control, no pueden adoptarse protocolos, requisitos o procedimientos ajenos al marco citado, por lo </w:t>
      </w:r>
      <w:r>
        <w:rPr>
          <w:rFonts w:ascii="Verdana" w:eastAsia="Arial MT" w:hAnsi="Verdana" w:cs="Arial"/>
          <w:color w:val="000000" w:themeColor="text1"/>
          <w:lang w:val="es-MX"/>
        </w:rPr>
        <w:lastRenderedPageBreak/>
        <w:t xml:space="preserve">que no son oponibles al contratista salvo que medien modificaciones previas a los manuales expedidos y/o a los contratos suscritos. Estas actividades no implican coejecución por las razones expuestas </w:t>
      </w:r>
      <w:r w:rsidRPr="0046041F">
        <w:rPr>
          <w:rFonts w:ascii="Verdana" w:eastAsia="Arial MT" w:hAnsi="Verdana" w:cs="Arial"/>
          <w:i/>
          <w:iCs/>
          <w:color w:val="000000" w:themeColor="text1"/>
          <w:lang w:val="es-MX"/>
        </w:rPr>
        <w:t>ut supra</w:t>
      </w:r>
      <w:r>
        <w:rPr>
          <w:rFonts w:ascii="Verdana" w:eastAsia="Arial MT" w:hAnsi="Verdana" w:cs="Arial"/>
          <w:color w:val="000000" w:themeColor="text1"/>
          <w:lang w:val="es-MX"/>
        </w:rPr>
        <w:t xml:space="preserve">, y las modificaciones sobre la forma de validar el cumplimiento no dan lugar a reconocimientos económicos adicionales, a menos que impliquen mayores costos para el contratista. </w:t>
      </w:r>
    </w:p>
    <w:p w14:paraId="3733C492" w14:textId="77777777" w:rsidR="001F1459"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ES"/>
        </w:rPr>
      </w:pPr>
      <w:r w:rsidRPr="00FE58B5">
        <w:rPr>
          <w:rFonts w:ascii="Verdana" w:eastAsia="Arial MT" w:hAnsi="Verdana" w:cs="Arial"/>
          <w:color w:val="000000" w:themeColor="text1"/>
        </w:rPr>
        <w:t>Frente a situaciones de extralimitación en el ejercicio de la actividad contractual, los artículos 50, 51 y 52 de la Ley 80 de 1993 consagran el régimen de responsabilidad que recae sobre las entidades estatales, sus servidores públicos y los contratistas. La valoración y determinación de dicha responsabilidad corresponde a las autoridades competentes, las cuales deberán efectuar el análisis respectivo atendiendo las circunstancias y particularidades del caso concreto.</w:t>
      </w:r>
    </w:p>
    <w:p w14:paraId="5808ECEE" w14:textId="77777777" w:rsidR="001F1459"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Para delimitar la frontera entre la vigilancia y el contrato vigilado, es necesario tener en cuenta que es al contratista a quien le corresponde la ejecución material del objeto contratado. Este último se sujeta a la potestad de control que ejerce la entidad estatal, bien a través de sus propios funcionarios –supervisión– o a través de terceros –interventoría–. Por tanto, dado que el contratista es sujeto de la vigilancia sobre el cumplimiento de las obligaciones, éste se somete al control de los supervisores o interventores, según corresponda. </w:t>
      </w:r>
    </w:p>
    <w:p w14:paraId="697642C5" w14:textId="77777777" w:rsidR="001F1459"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Para RINCÓN CÓRDOBA, la supervisión o la interventoría</w:t>
      </w:r>
      <w:r w:rsidRPr="006F024A">
        <w:rPr>
          <w:rFonts w:ascii="Verdana" w:eastAsia="Arial MT" w:hAnsi="Verdana" w:cs="Arial"/>
          <w:color w:val="000000" w:themeColor="text1"/>
          <w:lang w:val="es-MX"/>
        </w:rPr>
        <w:t xml:space="preserve"> constituye una actividad estrechamente vinculada al contrato objeto de vigilancia, cuya finalidad es garantizar que las obligaciones contractuales se ejecuten conforme a lo pactado. Aunque el incumplimiento del contratista no implica, </w:t>
      </w:r>
      <w:r w:rsidRPr="006F024A">
        <w:rPr>
          <w:rFonts w:ascii="Verdana" w:eastAsia="Arial MT" w:hAnsi="Verdana" w:cs="Arial"/>
          <w:i/>
          <w:iCs/>
          <w:color w:val="000000" w:themeColor="text1"/>
          <w:lang w:val="es-MX"/>
        </w:rPr>
        <w:t>per se</w:t>
      </w:r>
      <w:r w:rsidRPr="006F024A">
        <w:rPr>
          <w:rFonts w:ascii="Verdana" w:eastAsia="Arial MT" w:hAnsi="Verdana" w:cs="Arial"/>
          <w:color w:val="000000" w:themeColor="text1"/>
          <w:lang w:val="es-MX"/>
        </w:rPr>
        <w:t>, responsabilidad del interventor o supervisor</w:t>
      </w:r>
      <w:r>
        <w:rPr>
          <w:rFonts w:ascii="Verdana" w:eastAsia="Arial MT" w:hAnsi="Verdana" w:cs="Arial"/>
          <w:color w:val="000000" w:themeColor="text1"/>
          <w:lang w:val="es-MX"/>
        </w:rPr>
        <w:t xml:space="preserve">, ésta </w:t>
      </w:r>
      <w:r w:rsidRPr="006F024A">
        <w:rPr>
          <w:rFonts w:ascii="Verdana" w:eastAsia="Arial MT" w:hAnsi="Verdana" w:cs="Arial"/>
          <w:color w:val="000000" w:themeColor="text1"/>
          <w:lang w:val="es-MX"/>
        </w:rPr>
        <w:t xml:space="preserve">surge </w:t>
      </w:r>
      <w:r>
        <w:rPr>
          <w:rFonts w:ascii="Verdana" w:eastAsia="Arial MT" w:hAnsi="Verdana" w:cs="Arial"/>
          <w:color w:val="000000" w:themeColor="text1"/>
          <w:lang w:val="es-MX"/>
        </w:rPr>
        <w:t>si</w:t>
      </w:r>
      <w:r w:rsidRPr="006F024A">
        <w:rPr>
          <w:rFonts w:ascii="Verdana" w:eastAsia="Arial MT" w:hAnsi="Verdana" w:cs="Arial"/>
          <w:color w:val="000000" w:themeColor="text1"/>
          <w:lang w:val="es-MX"/>
        </w:rPr>
        <w:t xml:space="preserve"> omite</w:t>
      </w:r>
      <w:r>
        <w:rPr>
          <w:rFonts w:ascii="Verdana" w:eastAsia="Arial MT" w:hAnsi="Verdana" w:cs="Arial"/>
          <w:color w:val="000000" w:themeColor="text1"/>
          <w:lang w:val="es-MX"/>
        </w:rPr>
        <w:t>n</w:t>
      </w:r>
      <w:r w:rsidRPr="006F024A">
        <w:rPr>
          <w:rFonts w:ascii="Verdana" w:eastAsia="Arial MT" w:hAnsi="Verdana" w:cs="Arial"/>
          <w:color w:val="000000" w:themeColor="text1"/>
          <w:lang w:val="es-MX"/>
        </w:rPr>
        <w:t xml:space="preserve"> advertir, informar o gestionar oportunamente las situaciones que puedan conducir </w:t>
      </w:r>
      <w:r>
        <w:rPr>
          <w:rFonts w:ascii="Verdana" w:eastAsia="Arial MT" w:hAnsi="Verdana" w:cs="Arial"/>
          <w:color w:val="000000" w:themeColor="text1"/>
          <w:lang w:val="es-MX"/>
        </w:rPr>
        <w:t>al incumplimiento</w:t>
      </w:r>
      <w:r w:rsidRPr="006F024A">
        <w:rPr>
          <w:rFonts w:ascii="Verdana" w:eastAsia="Arial MT" w:hAnsi="Verdana" w:cs="Arial"/>
          <w:color w:val="000000" w:themeColor="text1"/>
          <w:lang w:val="es-MX"/>
        </w:rPr>
        <w:t xml:space="preserve">. En ejercicio de sus funciones, debe verificar que el objeto contractual se desarrolle dentro de los plazos previstos, con observancia de las especificaciones técnicas establecidas, así como asegurar la adecuada custodia, administración o entrega de bienes, obras o recursos cuando la naturaleza del </w:t>
      </w:r>
      <w:r w:rsidRPr="006F024A">
        <w:rPr>
          <w:rFonts w:ascii="Verdana" w:eastAsia="Arial MT" w:hAnsi="Verdana" w:cs="Arial"/>
          <w:color w:val="000000" w:themeColor="text1"/>
          <w:lang w:val="es-MX"/>
        </w:rPr>
        <w:lastRenderedPageBreak/>
        <w:t>contrato lo exija</w:t>
      </w:r>
      <w:r>
        <w:rPr>
          <w:rStyle w:val="Refdenotaalpie"/>
          <w:rFonts w:ascii="Verdana" w:eastAsia="Arial MT" w:hAnsi="Verdana" w:cs="Arial"/>
          <w:color w:val="000000" w:themeColor="text1"/>
          <w:lang w:val="es-MX"/>
        </w:rPr>
        <w:footnoteReference w:id="9"/>
      </w:r>
      <w:r w:rsidRPr="006F024A">
        <w:rPr>
          <w:rFonts w:ascii="Verdana" w:eastAsia="Arial MT" w:hAnsi="Verdana" w:cs="Arial"/>
          <w:color w:val="000000" w:themeColor="text1"/>
          <w:lang w:val="es-MX"/>
        </w:rPr>
        <w:t>.</w:t>
      </w:r>
    </w:p>
    <w:p w14:paraId="78EC7760" w14:textId="77777777" w:rsidR="001F1459" w:rsidRDefault="001F1459" w:rsidP="001F1459">
      <w:pPr>
        <w:widowControl w:val="0"/>
        <w:autoSpaceDE w:val="0"/>
        <w:autoSpaceDN w:val="0"/>
        <w:spacing w:after="120" w:line="276" w:lineRule="auto"/>
        <w:jc w:val="both"/>
        <w:rPr>
          <w:rFonts w:ascii="Verdana" w:eastAsia="Arial MT" w:hAnsi="Verdana" w:cs="Arial"/>
          <w:color w:val="000000" w:themeColor="text1"/>
          <w:lang w:val="es-MX"/>
        </w:rPr>
      </w:pPr>
      <w:r>
        <w:rPr>
          <w:rFonts w:ascii="Verdana" w:eastAsia="Arial MT" w:hAnsi="Verdana" w:cs="Arial"/>
          <w:color w:val="000000" w:themeColor="text1"/>
          <w:lang w:val="es-MX"/>
        </w:rPr>
        <w:tab/>
        <w:t>El mismo autor agrega que</w:t>
      </w:r>
      <w:r w:rsidRPr="00B807C9">
        <w:rPr>
          <w:rFonts w:ascii="Verdana" w:eastAsia="Arial MT" w:hAnsi="Verdana" w:cs="Arial"/>
          <w:color w:val="000000" w:themeColor="text1"/>
          <w:lang w:val="es-MX"/>
        </w:rPr>
        <w:t xml:space="preserve"> corresponde al interventor o supervisor identificar las causas de las irregularidades que se presenten durante la ejecución contractual, proponer y verificar la implementación de medidas correctivas, certificar el cumplimiento de las obligaciones para efectos de los pagos y, cuando exista incumplimiento, evaluar su gravedad y recomendar la imposición de las sanciones o la declaratoria de caducidad que resulten procedentes. </w:t>
      </w:r>
      <w:r>
        <w:rPr>
          <w:rFonts w:ascii="Verdana" w:eastAsia="Arial MT" w:hAnsi="Verdana" w:cs="Arial"/>
          <w:color w:val="000000" w:themeColor="text1"/>
          <w:lang w:val="es-MX"/>
        </w:rPr>
        <w:t>Por lo demás</w:t>
      </w:r>
      <w:r w:rsidRPr="00B807C9">
        <w:rPr>
          <w:rFonts w:ascii="Verdana" w:eastAsia="Arial MT" w:hAnsi="Verdana" w:cs="Arial"/>
          <w:color w:val="000000" w:themeColor="text1"/>
          <w:lang w:val="es-MX"/>
        </w:rPr>
        <w:t>, debe rendir informes periódicos sobre el estado de ejecución del contrato, suministrar a la entidad los elementos de juicio necesarios para la adopción de decisiones administrativas o judiciales y ejercer la facultad de solicitar al contratista los informes, aclaraciones y explicaciones requeridos para garantizar un adecuado control de la ejecución contractual</w:t>
      </w:r>
      <w:r>
        <w:rPr>
          <w:rStyle w:val="Refdenotaalpie"/>
          <w:rFonts w:ascii="Verdana" w:eastAsia="Arial MT" w:hAnsi="Verdana" w:cs="Arial"/>
          <w:color w:val="000000" w:themeColor="text1"/>
          <w:lang w:val="es-MX"/>
        </w:rPr>
        <w:footnoteReference w:id="10"/>
      </w:r>
      <w:r w:rsidRPr="00B807C9">
        <w:rPr>
          <w:rFonts w:ascii="Verdana" w:eastAsia="Arial MT" w:hAnsi="Verdana" w:cs="Arial"/>
          <w:color w:val="000000" w:themeColor="text1"/>
          <w:lang w:val="es-MX"/>
        </w:rPr>
        <w:t>.</w:t>
      </w:r>
    </w:p>
    <w:p w14:paraId="22AC88BA" w14:textId="77777777" w:rsidR="001F1459" w:rsidRDefault="001F1459" w:rsidP="001F1459">
      <w:pPr>
        <w:widowControl w:val="0"/>
        <w:autoSpaceDE w:val="0"/>
        <w:autoSpaceDN w:val="0"/>
        <w:spacing w:after="120" w:line="276" w:lineRule="auto"/>
        <w:ind w:firstLine="709"/>
        <w:jc w:val="both"/>
        <w:rPr>
          <w:rFonts w:ascii="Verdana" w:eastAsia="Arial MT" w:hAnsi="Verdana" w:cs="Arial"/>
          <w:color w:val="000000" w:themeColor="text1"/>
          <w:lang w:val="es-MX"/>
        </w:rPr>
      </w:pPr>
      <w:r>
        <w:rPr>
          <w:rFonts w:ascii="Verdana" w:eastAsia="Arial MT" w:hAnsi="Verdana" w:cs="Arial"/>
          <w:color w:val="000000" w:themeColor="text1"/>
          <w:lang w:val="es-MX"/>
        </w:rPr>
        <w:t xml:space="preserve">Como dispone el precitado artículo 83 del Estatuto Anticorrupción, el seguimiento de los supervisores e interventores corresponde al cumplimiento de las obligaciones pactadas en el contrato estatal, aspecto que se ratifica en el inciso primero del artículo 84 </w:t>
      </w:r>
      <w:r w:rsidRPr="00894572">
        <w:rPr>
          <w:rFonts w:ascii="Verdana" w:eastAsia="Arial MT" w:hAnsi="Verdana" w:cs="Arial"/>
          <w:i/>
          <w:iCs/>
          <w:color w:val="000000" w:themeColor="text1"/>
          <w:lang w:val="es-MX"/>
        </w:rPr>
        <w:t>ibidem</w:t>
      </w:r>
      <w:r>
        <w:rPr>
          <w:rFonts w:ascii="Verdana" w:eastAsia="Arial MT" w:hAnsi="Verdana" w:cs="Arial"/>
          <w:color w:val="000000" w:themeColor="text1"/>
          <w:lang w:val="es-MX"/>
        </w:rPr>
        <w:t>. En su fase técnica, esto implica tanto “V</w:t>
      </w:r>
      <w:r w:rsidRPr="004D03FA">
        <w:rPr>
          <w:rFonts w:ascii="Verdana" w:eastAsia="Arial MT" w:hAnsi="Verdana" w:cs="Arial"/>
          <w:color w:val="000000" w:themeColor="text1"/>
          <w:lang w:val="es-MX"/>
        </w:rPr>
        <w:t>igilar, controlar y verificar el cumplimiento del objeto contractual y las</w:t>
      </w:r>
      <w:r>
        <w:rPr>
          <w:rFonts w:ascii="Verdana" w:eastAsia="Arial MT" w:hAnsi="Verdana" w:cs="Arial"/>
          <w:color w:val="000000" w:themeColor="text1"/>
          <w:lang w:val="es-MX"/>
        </w:rPr>
        <w:t xml:space="preserve"> </w:t>
      </w:r>
      <w:r w:rsidRPr="004D03FA">
        <w:rPr>
          <w:rFonts w:ascii="Verdana" w:eastAsia="Arial MT" w:hAnsi="Verdana" w:cs="Arial"/>
          <w:color w:val="000000" w:themeColor="text1"/>
          <w:lang w:val="es-MX"/>
        </w:rPr>
        <w:t>obligaciones a cargo del contratista</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11"/>
      </w:r>
      <w:r>
        <w:rPr>
          <w:rFonts w:ascii="Verdana" w:eastAsia="Arial MT" w:hAnsi="Verdana" w:cs="Arial"/>
          <w:color w:val="000000" w:themeColor="text1"/>
          <w:lang w:val="es-MX"/>
        </w:rPr>
        <w:t xml:space="preserve"> como “</w:t>
      </w:r>
      <w:r w:rsidRPr="004D03FA">
        <w:rPr>
          <w:rFonts w:ascii="Verdana" w:eastAsia="Arial MT" w:hAnsi="Verdana" w:cs="Arial"/>
          <w:color w:val="000000" w:themeColor="text1"/>
          <w:lang w:val="es-MX"/>
        </w:rPr>
        <w:t>Verificar que las condiciones técnicas del bien, obra o servicio contratado, cumplan con los requisitos establecidos por la entidad y con el ofrecimiento formulado, según sea el caso</w:t>
      </w:r>
      <w:r>
        <w:rPr>
          <w:rFonts w:ascii="Verdana" w:eastAsia="Arial MT" w:hAnsi="Verdana" w:cs="Arial"/>
          <w:color w:val="000000" w:themeColor="text1"/>
          <w:lang w:val="es-MX"/>
        </w:rPr>
        <w:t>”</w:t>
      </w:r>
      <w:r>
        <w:rPr>
          <w:rStyle w:val="Refdenotaalpie"/>
          <w:rFonts w:ascii="Verdana" w:eastAsia="Arial MT" w:hAnsi="Verdana" w:cs="Arial"/>
          <w:color w:val="000000" w:themeColor="text1"/>
          <w:lang w:val="es-MX"/>
        </w:rPr>
        <w:footnoteReference w:id="12"/>
      </w:r>
      <w:r w:rsidRPr="004D03FA">
        <w:rPr>
          <w:rFonts w:ascii="Verdana" w:eastAsia="Arial MT" w:hAnsi="Verdana" w:cs="Arial"/>
          <w:color w:val="000000" w:themeColor="text1"/>
          <w:lang w:val="es-MX"/>
        </w:rPr>
        <w:t>.</w:t>
      </w:r>
      <w:r>
        <w:rPr>
          <w:rFonts w:ascii="Verdana" w:eastAsia="Arial MT" w:hAnsi="Verdana" w:cs="Arial"/>
          <w:color w:val="000000" w:themeColor="text1"/>
          <w:lang w:val="es-MX"/>
        </w:rPr>
        <w:t xml:space="preserve"> Así, la verificación del cumplimiento se realiza dentro las exigencias pactadas entre la entidad estatal y el contratista; razón por la cual, pueden abstenerse de recibir obras, bienes o servicios que no satisfagan las especificaciones del contrato.</w:t>
      </w:r>
    </w:p>
    <w:p w14:paraId="5005FBF2" w14:textId="77777777" w:rsidR="001F1459" w:rsidRPr="00630B53" w:rsidRDefault="001F1459" w:rsidP="001F1459">
      <w:pPr>
        <w:widowControl w:val="0"/>
        <w:autoSpaceDE w:val="0"/>
        <w:autoSpaceDN w:val="0"/>
        <w:spacing w:after="120" w:line="276" w:lineRule="auto"/>
        <w:ind w:firstLine="709"/>
        <w:jc w:val="both"/>
        <w:rPr>
          <w:rFonts w:ascii="Verdana" w:eastAsia="Arial MT" w:hAnsi="Verdana" w:cs="Arial"/>
          <w:color w:val="000000" w:themeColor="text1"/>
        </w:rPr>
      </w:pPr>
      <w:r w:rsidRPr="00202174">
        <w:rPr>
          <w:rFonts w:ascii="Verdana" w:eastAsia="Arial MT" w:hAnsi="Verdana" w:cs="Arial"/>
          <w:color w:val="000000" w:themeColor="text1"/>
        </w:rPr>
        <w:t xml:space="preserve">Teniendo en cuenta las funciones que tienen los interventores, se detalla que están sujetos a la responsabilidad fiscal, como lo contempla el inciso segundo del artículo 53 de la Ley 80 modificado por el artículo 82 de la Ley 1474 de 2011, que dispone: “[…] los interventores, responderán civil, </w:t>
      </w:r>
      <w:r w:rsidRPr="00202174">
        <w:rPr>
          <w:rFonts w:ascii="Verdana" w:eastAsia="Arial MT" w:hAnsi="Verdana" w:cs="Arial"/>
          <w:i/>
          <w:iCs/>
          <w:color w:val="000000" w:themeColor="text1"/>
        </w:rPr>
        <w:t>fiscal</w:t>
      </w:r>
      <w:r w:rsidRPr="00202174">
        <w:rPr>
          <w:rFonts w:ascii="Verdana" w:eastAsia="Arial MT" w:hAnsi="Verdana" w:cs="Arial"/>
          <w:color w:val="000000" w:themeColor="text1"/>
        </w:rPr>
        <w:t xml:space="preserve">, penal y disciplinariamente, tanto por el cumplimiento de las obligaciones derivadas del </w:t>
      </w:r>
      <w:r w:rsidRPr="00202174">
        <w:rPr>
          <w:rFonts w:ascii="Verdana" w:eastAsia="Arial MT" w:hAnsi="Verdana" w:cs="Arial"/>
          <w:color w:val="000000" w:themeColor="text1"/>
        </w:rPr>
        <w:lastRenderedPageBreak/>
        <w:t>contrato de interventoría, como por los hechos u omisiones que le sean imputables y causen daño o perjuicio a las entidades, derivados de la celebración y ejecución de los contratos […]”. Ahora bien, con respecto a los supervisores no hay una consagración expresa de que sean responsables fiscales, sin embargo, eso no significa que no lo sean, teniendo en cuenta la definición del artículo 1 de la Ley 610 de 2001, así: “</w:t>
      </w:r>
      <w:r w:rsidRPr="00202174">
        <w:rPr>
          <w:rFonts w:ascii="Verdana" w:eastAsia="Calibri" w:hAnsi="Verdana" w:cs="Times New Roman"/>
          <w:lang w:val="es-ES"/>
        </w:rPr>
        <w:t xml:space="preserve">[…] </w:t>
      </w:r>
      <w:r w:rsidRPr="00202174">
        <w:rPr>
          <w:rFonts w:ascii="Verdana" w:eastAsia="Calibri" w:hAnsi="Verdana" w:cs="Arial"/>
          <w:lang w:val="es-ES"/>
        </w:rPr>
        <w:t xml:space="preserve">es el conjunto de actuaciones administrativas adelantadas por las Contralorías con el fin de determinar y establecer la responsabilidad de los servidores públicos y de los particulares, </w:t>
      </w:r>
      <w:r w:rsidRPr="00202174">
        <w:rPr>
          <w:rFonts w:ascii="Verdana" w:eastAsia="Calibri" w:hAnsi="Verdana" w:cs="Arial"/>
          <w:i/>
          <w:lang w:val="es-ES"/>
        </w:rPr>
        <w:t>cuando en el ejercicio de la gestión fiscal o con ocasión de ésta</w:t>
      </w:r>
      <w:r w:rsidRPr="00202174">
        <w:rPr>
          <w:rFonts w:ascii="Verdana" w:eastAsia="Calibri" w:hAnsi="Verdana" w:cs="Arial"/>
          <w:lang w:val="es-ES"/>
        </w:rPr>
        <w:t>, causen por acción u omisión y en forma dolosa o culposa un daño al patrimonio del Estado</w:t>
      </w:r>
      <w:r w:rsidRPr="00202174">
        <w:rPr>
          <w:rFonts w:ascii="Verdana" w:eastAsia="Calibri" w:hAnsi="Verdana" w:cs="Times New Roman"/>
          <w:color w:val="000000"/>
          <w:lang w:val="es-ES"/>
        </w:rPr>
        <w:t>”</w:t>
      </w:r>
      <w:r w:rsidRPr="00202174">
        <w:rPr>
          <w:rFonts w:ascii="Verdana" w:eastAsia="Calibri" w:hAnsi="Verdana" w:cs="Arial"/>
          <w:lang w:val="es-ES"/>
        </w:rPr>
        <w:t xml:space="preserve"> (Énfasis fuera de texto).</w:t>
      </w:r>
    </w:p>
    <w:p w14:paraId="109F4B7C" w14:textId="77777777" w:rsidR="001F1459" w:rsidRPr="007F2587" w:rsidRDefault="001F1459" w:rsidP="001F1459">
      <w:pPr>
        <w:spacing w:after="0" w:line="276" w:lineRule="auto"/>
        <w:ind w:firstLine="709"/>
        <w:jc w:val="both"/>
        <w:rPr>
          <w:rFonts w:ascii="Verdana" w:eastAsia="Calibri" w:hAnsi="Verdana" w:cs="Arial"/>
          <w:lang w:val="es-ES"/>
        </w:rPr>
      </w:pPr>
      <w:r w:rsidRPr="007F2587">
        <w:rPr>
          <w:rFonts w:ascii="Verdana" w:eastAsia="Calibri" w:hAnsi="Verdana" w:cs="Arial"/>
          <w:lang w:val="es-ES"/>
        </w:rPr>
        <w:t>En efecto, este tipo de responsabilidad administrativa busca que se administre adecuadamente el patrimonio público, por lo que la doctrina ha establecido los siguientes elementos: i) vinculación con en el ejercicio de la gestión fiscal; ii) autonomía en torno a la responsabilidad civil; iii) carácter resarcitorio o reparatorio; y iv) constitución de elementos como el daño, culpa y nexo de causalidad</w:t>
      </w:r>
      <w:r w:rsidRPr="007F2587">
        <w:rPr>
          <w:rFonts w:ascii="Verdana" w:eastAsia="Calibri" w:hAnsi="Verdana" w:cs="Arial"/>
          <w:vertAlign w:val="superscript"/>
          <w:lang w:val="es-ES"/>
        </w:rPr>
        <w:footnoteReference w:id="13"/>
      </w:r>
      <w:r w:rsidRPr="007F2587">
        <w:rPr>
          <w:rFonts w:ascii="Verdana" w:eastAsia="Calibri" w:hAnsi="Verdana" w:cs="Arial"/>
          <w:lang w:val="es-ES"/>
        </w:rPr>
        <w:t xml:space="preserve">. </w:t>
      </w:r>
      <w:r>
        <w:rPr>
          <w:rFonts w:ascii="Verdana" w:eastAsia="Calibri" w:hAnsi="Verdana" w:cs="Arial"/>
          <w:lang w:val="es-ES"/>
        </w:rPr>
        <w:t xml:space="preserve">Para ello, se señala </w:t>
      </w:r>
      <w:r w:rsidRPr="007F2587">
        <w:rPr>
          <w:rFonts w:ascii="Verdana" w:eastAsia="Calibri" w:hAnsi="Verdana" w:cs="Arial"/>
          <w:lang w:val="es-ES"/>
        </w:rPr>
        <w:t xml:space="preserve">que la condición necesaria para que se configure y le brinde autonomía frente a la responsabilidad civil es la </w:t>
      </w:r>
      <w:r w:rsidRPr="007F2587">
        <w:rPr>
          <w:rFonts w:ascii="Verdana" w:eastAsia="Calibri" w:hAnsi="Verdana" w:cs="Arial"/>
          <w:i/>
          <w:lang w:val="es-ES"/>
        </w:rPr>
        <w:t>gestión fiscal</w:t>
      </w:r>
      <w:r w:rsidRPr="007F2587">
        <w:rPr>
          <w:rFonts w:ascii="Verdana" w:eastAsia="Calibri" w:hAnsi="Verdana" w:cs="Arial"/>
          <w:i/>
          <w:vertAlign w:val="superscript"/>
          <w:lang w:val="es-ES"/>
        </w:rPr>
        <w:footnoteReference w:id="14"/>
      </w:r>
      <w:r w:rsidRPr="007F2587">
        <w:rPr>
          <w:rFonts w:ascii="Verdana" w:eastAsia="Calibri" w:hAnsi="Verdana" w:cs="Arial"/>
          <w:lang w:val="es-ES"/>
        </w:rPr>
        <w:t xml:space="preserve">, la cual es el deber de orientar un manejo adecuado de los bienes y recursos públicos, siendo necesario establecer su alcance y aplicación, en cuanto a los supervisores e interventores. Al respecto, el artículo 3 de la Ley 610, la define: </w:t>
      </w:r>
    </w:p>
    <w:p w14:paraId="4A1F7BFC" w14:textId="77777777" w:rsidR="001F1459" w:rsidRPr="007F2587" w:rsidRDefault="001F1459" w:rsidP="001F1459">
      <w:pPr>
        <w:autoSpaceDE w:val="0"/>
        <w:autoSpaceDN w:val="0"/>
        <w:adjustRightInd w:val="0"/>
        <w:spacing w:after="0" w:line="240" w:lineRule="auto"/>
        <w:rPr>
          <w:rFonts w:ascii="Verdana" w:eastAsia="Syntax-Bold" w:hAnsi="Verdana" w:cs="Syntax-Bold"/>
          <w:b/>
          <w:bCs/>
          <w:lang w:eastAsia="es-CO"/>
        </w:rPr>
      </w:pPr>
    </w:p>
    <w:p w14:paraId="34E44545" w14:textId="77777777" w:rsidR="001F1459" w:rsidRPr="007D6C03" w:rsidRDefault="001F1459" w:rsidP="001F1459">
      <w:pPr>
        <w:autoSpaceDE w:val="0"/>
        <w:autoSpaceDN w:val="0"/>
        <w:adjustRightInd w:val="0"/>
        <w:spacing w:after="0" w:line="240" w:lineRule="auto"/>
        <w:ind w:left="850" w:right="850"/>
        <w:jc w:val="both"/>
        <w:rPr>
          <w:rFonts w:ascii="Verdana" w:eastAsia="Calibri" w:hAnsi="Verdana" w:cs="Arial"/>
          <w:sz w:val="20"/>
          <w:szCs w:val="20"/>
          <w:lang w:val="es-ES"/>
        </w:rPr>
      </w:pPr>
      <w:r w:rsidRPr="007D6C03">
        <w:rPr>
          <w:rFonts w:ascii="Verdana" w:eastAsia="Calibri" w:hAnsi="Verdana" w:cs="Arial"/>
          <w:sz w:val="20"/>
          <w:szCs w:val="20"/>
          <w:lang w:val="es-ES"/>
        </w:rPr>
        <w:t xml:space="preserve">Para los efectos de la presente ley, se entiende por </w:t>
      </w:r>
      <w:r w:rsidRPr="007D6C03">
        <w:rPr>
          <w:rFonts w:ascii="Verdana" w:eastAsia="Calibri" w:hAnsi="Verdana" w:cs="Arial"/>
          <w:i/>
          <w:sz w:val="20"/>
          <w:szCs w:val="20"/>
          <w:lang w:val="es-ES"/>
        </w:rPr>
        <w:t>gestión fiscal</w:t>
      </w:r>
      <w:r w:rsidRPr="007D6C03">
        <w:rPr>
          <w:rFonts w:ascii="Verdana" w:eastAsia="Calibri" w:hAnsi="Verdana" w:cs="Arial"/>
          <w:sz w:val="20"/>
          <w:szCs w:val="20"/>
          <w:lang w:val="es-ES"/>
        </w:rPr>
        <w:t xml:space="preserve"> el conjunto de actividades económicas, jurídicas y tecnológicas, que realizan los servidores públicos y las personas de derecho privado que </w:t>
      </w:r>
      <w:r w:rsidRPr="007D6C03">
        <w:rPr>
          <w:rFonts w:ascii="Verdana" w:eastAsia="Calibri" w:hAnsi="Verdana" w:cs="Arial"/>
          <w:i/>
          <w:sz w:val="20"/>
          <w:szCs w:val="20"/>
          <w:lang w:val="es-ES"/>
        </w:rPr>
        <w:t>manejen o administren recursos o fondos públicos</w:t>
      </w:r>
      <w:r w:rsidRPr="007D6C03">
        <w:rPr>
          <w:rFonts w:ascii="Verdana" w:eastAsia="Calibri" w:hAnsi="Verdana" w:cs="Arial"/>
          <w:sz w:val="20"/>
          <w:szCs w:val="20"/>
          <w:lang w:val="es-ES"/>
        </w:rPr>
        <w:t xml:space="preserve">, </w:t>
      </w:r>
      <w:r w:rsidRPr="007D6C03">
        <w:rPr>
          <w:rFonts w:ascii="Verdana" w:eastAsia="Calibri" w:hAnsi="Verdana" w:cs="Arial"/>
          <w:i/>
          <w:sz w:val="20"/>
          <w:szCs w:val="20"/>
          <w:lang w:val="es-ES"/>
        </w:rPr>
        <w:t xml:space="preserve">tendientes a la adecuada y correcta adquisición, planeación, conservación, </w:t>
      </w:r>
      <w:r w:rsidRPr="007D6C03">
        <w:rPr>
          <w:rFonts w:ascii="Verdana" w:eastAsia="Calibri" w:hAnsi="Verdana" w:cs="Arial"/>
          <w:i/>
          <w:sz w:val="20"/>
          <w:szCs w:val="20"/>
          <w:lang w:val="es-ES"/>
        </w:rPr>
        <w:lastRenderedPageBreak/>
        <w:t>administración, custodia, explotación, enajenación, consumo, adjudicación, gasto, inversión y disposición de los bienes públicos, así como a la recaudación, manejo e inversión de sus rentas</w:t>
      </w:r>
      <w:r w:rsidRPr="007D6C03">
        <w:rPr>
          <w:rFonts w:ascii="Verdana" w:eastAsia="Calibri" w:hAnsi="Verdana" w:cs="Arial"/>
          <w:sz w:val="20"/>
          <w:szCs w:val="20"/>
          <w:lang w:val="es-ES"/>
        </w:rPr>
        <w:t xml:space="preserve"> en orden a cumplir los fines esenciales del Estado, con sujeción a los principios de legalidad, eficiencia, economía, eficacia, equidad, imparcialidad, moralidad, transparencia, publicidad y valoración de los costos ambientales (Énfasis fuera de texto).</w:t>
      </w:r>
    </w:p>
    <w:p w14:paraId="34422FEC" w14:textId="77777777" w:rsidR="001F1459" w:rsidRPr="007F2587" w:rsidRDefault="001F1459" w:rsidP="001F1459">
      <w:pPr>
        <w:autoSpaceDE w:val="0"/>
        <w:autoSpaceDN w:val="0"/>
        <w:adjustRightInd w:val="0"/>
        <w:spacing w:after="0" w:line="240" w:lineRule="auto"/>
        <w:ind w:left="850" w:right="850"/>
        <w:jc w:val="both"/>
        <w:rPr>
          <w:rFonts w:ascii="Verdana" w:eastAsia="Calibri" w:hAnsi="Verdana" w:cs="Arial"/>
          <w:lang w:val="es-ES"/>
        </w:rPr>
      </w:pPr>
    </w:p>
    <w:p w14:paraId="6A3551FD" w14:textId="77777777" w:rsidR="001F1459" w:rsidRPr="007F2587" w:rsidRDefault="001F1459" w:rsidP="001F1459">
      <w:pPr>
        <w:autoSpaceDE w:val="0"/>
        <w:autoSpaceDN w:val="0"/>
        <w:adjustRightInd w:val="0"/>
        <w:spacing w:after="0" w:line="276" w:lineRule="auto"/>
        <w:ind w:firstLine="708"/>
        <w:jc w:val="both"/>
        <w:rPr>
          <w:rFonts w:ascii="Verdana" w:eastAsia="Calibri" w:hAnsi="Verdana" w:cs="Arial"/>
          <w:lang w:val="es-ES"/>
        </w:rPr>
      </w:pPr>
      <w:r w:rsidRPr="00207A60">
        <w:rPr>
          <w:rFonts w:ascii="Verdana" w:eastAsia="Calibri" w:hAnsi="Verdana" w:cs="Arial"/>
        </w:rPr>
        <w:t>Este concepto</w:t>
      </w:r>
      <w:r>
        <w:rPr>
          <w:rFonts w:ascii="Verdana" w:eastAsia="Calibri" w:hAnsi="Verdana" w:cs="Arial"/>
        </w:rPr>
        <w:t xml:space="preserve"> de gestión fiscal</w:t>
      </w:r>
      <w:r w:rsidRPr="00207A60">
        <w:rPr>
          <w:rFonts w:ascii="Verdana" w:eastAsia="Calibri" w:hAnsi="Verdana" w:cs="Arial"/>
        </w:rPr>
        <w:t xml:space="preserve"> comprende un amplio conjunto de actividades de la administración relacionadas con las distintas fases de gestión del patrimonio público; no obstante, la vinculación del sujeto responsable con el fisco no siempre es directa. En efecto, el artículo 1 de la Ley 610 señala que la responsabilidad fiscal puede originarse en el ejercicio de la gestión fiscal o con ocasión de ella, lo que implica que el deber de protección de los recursos públicos se activa tanto cuando el sujeto administra directamente bienes públicos como cuando, por razón de sus funciones, interviene en actuaciones que inciden en su adecuada conservación, uso o destinación.</w:t>
      </w:r>
      <w:r w:rsidRPr="007F2587">
        <w:rPr>
          <w:rFonts w:ascii="Verdana" w:eastAsia="Calibri" w:hAnsi="Verdana" w:cs="Arial"/>
          <w:i/>
          <w:lang w:val="es-ES"/>
        </w:rPr>
        <w:t xml:space="preserve"> </w:t>
      </w:r>
      <w:r w:rsidRPr="007F2587">
        <w:rPr>
          <w:rFonts w:ascii="Verdana" w:eastAsia="Calibri" w:hAnsi="Verdana" w:cs="Arial"/>
          <w:lang w:val="es-ES"/>
        </w:rPr>
        <w:t xml:space="preserve">En torno a este tema, la Corte Constitucional en la Sentencia C-840 de 2001, haciendo un examen de constitucionalidad de esta normatividad, expresó: </w:t>
      </w:r>
    </w:p>
    <w:p w14:paraId="1A974E46" w14:textId="77777777" w:rsidR="001F1459" w:rsidRPr="007F2587" w:rsidRDefault="001F1459" w:rsidP="001F1459">
      <w:pPr>
        <w:autoSpaceDE w:val="0"/>
        <w:autoSpaceDN w:val="0"/>
        <w:adjustRightInd w:val="0"/>
        <w:spacing w:after="0" w:line="240" w:lineRule="auto"/>
        <w:jc w:val="both"/>
        <w:rPr>
          <w:rFonts w:ascii="Verdana" w:eastAsia="Calibri" w:hAnsi="Verdana" w:cs="Arial"/>
          <w:lang w:val="es-ES"/>
        </w:rPr>
      </w:pPr>
    </w:p>
    <w:p w14:paraId="39A29478" w14:textId="77777777" w:rsidR="001F1459" w:rsidRPr="000E45B0" w:rsidRDefault="001F1459" w:rsidP="001F1459">
      <w:pPr>
        <w:spacing w:after="0" w:line="240" w:lineRule="auto"/>
        <w:ind w:left="851" w:right="851"/>
        <w:jc w:val="both"/>
        <w:rPr>
          <w:rFonts w:ascii="Verdana" w:eastAsia="Calibri" w:hAnsi="Verdana" w:cs="Times New Roman"/>
          <w:iCs/>
          <w:spacing w:val="-3"/>
          <w:sz w:val="20"/>
          <w:szCs w:val="20"/>
          <w:lang w:val="es-ES"/>
        </w:rPr>
      </w:pPr>
      <w:r w:rsidRPr="000E45B0">
        <w:rPr>
          <w:rFonts w:ascii="Verdana" w:eastAsia="Calibri" w:hAnsi="Verdana" w:cs="Times New Roman"/>
          <w:iCs/>
          <w:sz w:val="20"/>
          <w:szCs w:val="20"/>
          <w:lang w:val="es-ES"/>
        </w:rPr>
        <w:t xml:space="preserve">El sentido unitario de la expresión </w:t>
      </w:r>
      <w:r w:rsidRPr="000E45B0">
        <w:rPr>
          <w:rFonts w:ascii="Verdana" w:eastAsia="Calibri" w:hAnsi="Verdana" w:cs="Times New Roman"/>
          <w:bCs/>
          <w:iCs/>
          <w:sz w:val="20"/>
          <w:szCs w:val="20"/>
          <w:lang w:val="es-ES"/>
        </w:rPr>
        <w:t xml:space="preserve">o </w:t>
      </w:r>
      <w:r w:rsidRPr="000E45B0">
        <w:rPr>
          <w:rFonts w:ascii="Verdana" w:eastAsia="Calibri" w:hAnsi="Verdana" w:cs="Times New Roman"/>
          <w:b/>
          <w:bCs/>
          <w:iCs/>
          <w:sz w:val="20"/>
          <w:szCs w:val="20"/>
          <w:lang w:val="es-ES"/>
        </w:rPr>
        <w:t>con ocasión de ésta</w:t>
      </w:r>
      <w:r w:rsidRPr="000E45B0">
        <w:rPr>
          <w:rFonts w:ascii="Verdana" w:eastAsia="Calibri" w:hAnsi="Verdana" w:cs="Times New Roman"/>
          <w:iCs/>
          <w:sz w:val="20"/>
          <w:szCs w:val="20"/>
          <w:lang w:val="es-ES"/>
        </w:rPr>
        <w:t xml:space="preserve"> sólo se justifica en la medida en que los actos que la materialicen comporten una relación de conexidad próxima y necesaria para con el desarrollo de la gestión fiscal</w:t>
      </w:r>
      <w:r w:rsidRPr="000E45B0">
        <w:rPr>
          <w:rFonts w:ascii="Verdana" w:eastAsia="Calibri" w:hAnsi="Verdana" w:cs="Times New Roman"/>
          <w:i/>
          <w:iCs/>
          <w:sz w:val="20"/>
          <w:szCs w:val="20"/>
          <w:lang w:val="es-ES"/>
        </w:rPr>
        <w:t xml:space="preserve">.  </w:t>
      </w:r>
      <w:r w:rsidRPr="000E45B0">
        <w:rPr>
          <w:rFonts w:ascii="Verdana" w:eastAsia="Calibri" w:hAnsi="Verdana" w:cs="Times New Roman"/>
          <w:iCs/>
          <w:sz w:val="20"/>
          <w:szCs w:val="20"/>
          <w:lang w:val="es-ES"/>
        </w:rPr>
        <w:t>Por lo tanto, en cada caso se impone examinar s</w:t>
      </w:r>
      <w:r w:rsidRPr="000E45B0">
        <w:rPr>
          <w:rFonts w:ascii="Verdana" w:eastAsia="Calibri" w:hAnsi="Verdana" w:cs="Times New Roman"/>
          <w:iCs/>
          <w:spacing w:val="-3"/>
          <w:sz w:val="20"/>
          <w:szCs w:val="20"/>
          <w:lang w:val="es-ES"/>
        </w:rPr>
        <w:t xml:space="preserve">i la respectiva conducta guarda alguna relación para con la noción específica de </w:t>
      </w:r>
      <w:r w:rsidRPr="000E45B0">
        <w:rPr>
          <w:rFonts w:ascii="Verdana" w:eastAsia="Calibri" w:hAnsi="Verdana" w:cs="Times New Roman"/>
          <w:b/>
          <w:bCs/>
          <w:iCs/>
          <w:spacing w:val="-3"/>
          <w:sz w:val="20"/>
          <w:szCs w:val="20"/>
          <w:lang w:val="es-ES"/>
        </w:rPr>
        <w:t>gestión fiscal</w:t>
      </w:r>
      <w:r w:rsidRPr="000E45B0">
        <w:rPr>
          <w:rFonts w:ascii="Verdana" w:eastAsia="Calibri" w:hAnsi="Verdana" w:cs="Times New Roman"/>
          <w:iCs/>
          <w:spacing w:val="-3"/>
          <w:sz w:val="20"/>
          <w:szCs w:val="20"/>
          <w:lang w:val="es-ES"/>
        </w:rPr>
        <w:t>, bajo la comprensión de que ésta tiene una entidad material y jurídica propia que se desenvuelve mediante planes de acción, programas, actos de recaudo, administración, inversión, disposición y gasto, entre otros, con miras a cumplir las funciones constitucionales y legales que en sus respetivos ámbitos convocan la atención de los servidores públicos y los particulares responsables del manejo de fondos o bienes del Estado.</w:t>
      </w:r>
    </w:p>
    <w:p w14:paraId="2D268C8C" w14:textId="77777777" w:rsidR="001F1459" w:rsidRPr="000E45B0" w:rsidRDefault="001F1459" w:rsidP="001F1459">
      <w:pPr>
        <w:spacing w:after="0" w:line="240" w:lineRule="auto"/>
        <w:ind w:left="851" w:right="851"/>
        <w:jc w:val="both"/>
        <w:rPr>
          <w:rFonts w:ascii="Verdana" w:eastAsia="Calibri" w:hAnsi="Verdana" w:cs="Times New Roman"/>
          <w:sz w:val="20"/>
          <w:szCs w:val="20"/>
          <w:lang w:val="es-ES"/>
        </w:rPr>
      </w:pPr>
      <w:r w:rsidRPr="000E45B0">
        <w:rPr>
          <w:rFonts w:ascii="Verdana" w:eastAsia="Calibri" w:hAnsi="Verdana" w:cs="Times New Roman"/>
          <w:sz w:val="20"/>
          <w:szCs w:val="20"/>
          <w:lang w:val="es-ES"/>
        </w:rPr>
        <w:t xml:space="preserve">[…] </w:t>
      </w:r>
    </w:p>
    <w:p w14:paraId="3AEA9F3E" w14:textId="77777777" w:rsidR="001F1459" w:rsidRPr="000E45B0" w:rsidRDefault="001F1459" w:rsidP="001F1459">
      <w:pPr>
        <w:spacing w:after="0" w:line="240" w:lineRule="auto"/>
        <w:ind w:left="851" w:right="851"/>
        <w:jc w:val="both"/>
        <w:rPr>
          <w:rFonts w:ascii="Verdana" w:eastAsia="Calibri" w:hAnsi="Verdana" w:cs="Times New Roman"/>
          <w:i/>
          <w:iCs/>
          <w:sz w:val="20"/>
          <w:szCs w:val="20"/>
          <w:lang w:val="es-ES"/>
        </w:rPr>
      </w:pPr>
      <w:r w:rsidRPr="000E45B0">
        <w:rPr>
          <w:rFonts w:ascii="Verdana" w:eastAsia="Calibri" w:hAnsi="Verdana" w:cs="Times New Roman"/>
          <w:iCs/>
          <w:sz w:val="20"/>
          <w:szCs w:val="20"/>
          <w:lang w:val="es-ES"/>
        </w:rPr>
        <w:t xml:space="preserve">Consecuentemente, si el objeto del control fiscal comprende la vigilancia del manejo y administración de los bienes y recursos públicos, fuerza reconocer que a las contralorías les corresponde investigar, imputar cargos y deducir responsabilidades en cabeza de quienes en el manejo de tales haberes, o con ocasión de su gestión, causen daño al patrimonio del Estado por acción u omisión, tanto en forma dolosa como culposa.  Y es que no tendría sentido un control fiscal desprovisto de los medios y mecanismos conducentes al establecimiento de responsabilidades fiscales con la subsiguiente recuperación de los </w:t>
      </w:r>
      <w:r w:rsidRPr="000E45B0">
        <w:rPr>
          <w:rFonts w:ascii="Verdana" w:eastAsia="Calibri" w:hAnsi="Verdana" w:cs="Times New Roman"/>
          <w:iCs/>
          <w:sz w:val="20"/>
          <w:szCs w:val="20"/>
          <w:lang w:val="es-ES"/>
        </w:rPr>
        <w:lastRenderedPageBreak/>
        <w:t>montos resarcitorios.  La defensa y protección del erario público así lo exige en aras de la moralidad y de la efectiva realización de las tareas públicas.  Universo fiscal dentro del cual transitan como potenciales destinatarios, entre otros, los directivos y personas de las entidades que profieran decisiones determinantes de gestión fiscal, así como quienes desempeñen funciones de ordenación, control, dirección y coordinación, contratistas y particulares que causen perjuicios a los ingresos y bienes del Estado, siempre y cuando se sitúen dentro de la órbita de la gestión fiscal en razón de sus poderes y deberes fiscales</w:t>
      </w:r>
      <w:r w:rsidRPr="000E45B0">
        <w:rPr>
          <w:rFonts w:ascii="Verdana" w:eastAsia="Calibri" w:hAnsi="Verdana" w:cs="Times New Roman"/>
          <w:i/>
          <w:iCs/>
          <w:sz w:val="20"/>
          <w:szCs w:val="20"/>
          <w:lang w:val="es-ES"/>
        </w:rPr>
        <w:t>.</w:t>
      </w:r>
    </w:p>
    <w:p w14:paraId="55EBD2D5" w14:textId="77777777" w:rsidR="001F1459" w:rsidRPr="000E45B0" w:rsidRDefault="001F1459" w:rsidP="001F1459">
      <w:pPr>
        <w:spacing w:after="0" w:line="240" w:lineRule="auto"/>
        <w:ind w:left="851" w:right="851"/>
        <w:jc w:val="both"/>
        <w:rPr>
          <w:rFonts w:ascii="Verdana" w:eastAsia="Calibri" w:hAnsi="Verdana" w:cs="Times New Roman"/>
          <w:sz w:val="20"/>
          <w:szCs w:val="20"/>
          <w:lang w:val="es-ES"/>
        </w:rPr>
      </w:pPr>
      <w:r w:rsidRPr="000E45B0">
        <w:rPr>
          <w:rFonts w:ascii="Verdana" w:eastAsia="Calibri" w:hAnsi="Verdana" w:cs="Times New Roman"/>
          <w:sz w:val="20"/>
          <w:szCs w:val="20"/>
          <w:lang w:val="es-ES"/>
        </w:rPr>
        <w:t xml:space="preserve">[…] </w:t>
      </w:r>
    </w:p>
    <w:p w14:paraId="53040FE4" w14:textId="77777777" w:rsidR="001F1459" w:rsidRPr="001F1459" w:rsidRDefault="001F1459" w:rsidP="001F1459">
      <w:pPr>
        <w:spacing w:after="0" w:line="240" w:lineRule="auto"/>
        <w:ind w:left="850" w:right="850"/>
        <w:jc w:val="both"/>
        <w:rPr>
          <w:rFonts w:ascii="Verdana" w:eastAsia="Times New Roman" w:hAnsi="Verdana" w:cs="Times New Roman"/>
          <w:sz w:val="20"/>
          <w:szCs w:val="20"/>
          <w:lang w:eastAsia="es-ES"/>
        </w:rPr>
      </w:pPr>
      <w:r w:rsidRPr="001F1459">
        <w:rPr>
          <w:rFonts w:ascii="Verdana" w:eastAsia="Times New Roman" w:hAnsi="Verdana" w:cs="Times New Roman"/>
          <w:color w:val="000000"/>
          <w:sz w:val="20"/>
          <w:szCs w:val="20"/>
          <w:lang w:eastAsia="es-ES"/>
        </w:rPr>
        <w:t>»</w:t>
      </w:r>
      <w:r w:rsidRPr="001F1459">
        <w:rPr>
          <w:rFonts w:ascii="Verdana" w:eastAsia="Times New Roman" w:hAnsi="Verdana" w:cs="Times New Roman"/>
          <w:sz w:val="20"/>
          <w:szCs w:val="20"/>
          <w:lang w:eastAsia="es-ES"/>
        </w:rPr>
        <w:t xml:space="preserve">En este orden de ideas la Corte declarará la exequibilidad de la expresión “con ocasión de ésta”, contenida en el artículo 1 de la ley 610 de 2000, bajo el entendido de que los actos que la materialicen comporten una relación de conexidad próxima y necesaria para con el desarrollo de la gestión fiscal </w:t>
      </w:r>
      <w:r w:rsidRPr="001F1459">
        <w:rPr>
          <w:rFonts w:ascii="Verdana" w:eastAsia="Times New Roman" w:hAnsi="Verdana" w:cs="Times New Roman"/>
          <w:spacing w:val="-3"/>
          <w:sz w:val="20"/>
          <w:szCs w:val="20"/>
          <w:lang w:eastAsia="es-ES"/>
        </w:rPr>
        <w:t>(Énfasis dentro del texto)</w:t>
      </w:r>
      <w:r w:rsidRPr="6F60FB86">
        <w:rPr>
          <w:rFonts w:ascii="Verdana" w:eastAsia="Times New Roman" w:hAnsi="Verdana" w:cs="Times New Roman"/>
          <w:spacing w:val="-3"/>
          <w:sz w:val="20"/>
          <w:szCs w:val="20"/>
          <w:vertAlign w:val="superscript"/>
          <w:lang w:val="en-US" w:eastAsia="es-ES"/>
        </w:rPr>
        <w:footnoteReference w:id="15"/>
      </w:r>
      <w:r w:rsidRPr="001F1459">
        <w:rPr>
          <w:rFonts w:ascii="Verdana" w:eastAsia="Times New Roman" w:hAnsi="Verdana" w:cs="Times New Roman"/>
          <w:spacing w:val="-3"/>
          <w:sz w:val="20"/>
          <w:szCs w:val="20"/>
          <w:lang w:eastAsia="es-ES"/>
        </w:rPr>
        <w:t>.</w:t>
      </w:r>
    </w:p>
    <w:p w14:paraId="5DE287DA" w14:textId="77777777" w:rsidR="001F1459" w:rsidRPr="007F2587" w:rsidRDefault="001F1459" w:rsidP="001F1459">
      <w:pPr>
        <w:spacing w:after="120" w:line="240" w:lineRule="auto"/>
        <w:ind w:left="851" w:right="851"/>
        <w:jc w:val="both"/>
        <w:rPr>
          <w:rFonts w:ascii="Verdana" w:eastAsia="Calibri" w:hAnsi="Verdana" w:cs="Times New Roman"/>
          <w:iCs/>
          <w:spacing w:val="-3"/>
          <w:lang w:val="es-ES"/>
        </w:rPr>
      </w:pPr>
    </w:p>
    <w:p w14:paraId="568290DC" w14:textId="77777777" w:rsidR="001F1459" w:rsidRPr="00506C9D" w:rsidRDefault="001F1459" w:rsidP="001F1459">
      <w:pPr>
        <w:suppressAutoHyphens/>
        <w:spacing w:after="120" w:line="276" w:lineRule="auto"/>
        <w:ind w:right="-1" w:firstLine="708"/>
        <w:jc w:val="both"/>
        <w:rPr>
          <w:rFonts w:ascii="Verdana" w:eastAsia="Calibri" w:hAnsi="Verdana" w:cs="Times New Roman"/>
          <w:iCs/>
          <w:spacing w:val="-3"/>
        </w:rPr>
      </w:pPr>
      <w:r w:rsidRPr="00506C9D">
        <w:rPr>
          <w:rFonts w:ascii="Verdana" w:eastAsia="Calibri" w:hAnsi="Verdana" w:cs="Times New Roman"/>
          <w:iCs/>
          <w:spacing w:val="-3"/>
        </w:rPr>
        <w:t>En el marco de la gestión fiscal, los supervisores e interventores ocupan una posición funcional que los vincula de manera directa con la protección del patrimonio público. Aunque no administran recursos en sentido estricto, sus actuaciones se sitúan “en el ejercicio de la gestión fiscal o con ocasión de ésta”, lo que exige que sus decisiones, órdenes y controles mantengan una relación de conexidad próxima y necesaria con el adecuado manejo de los bienes públicos. En esa medida, cuando sus actuaciones inciden en la administración, destinación o protección de los recursos comprometidos en la ejecución contractual, se integran materialmente al universo de la gestión fiscal y quedan sujetos al control de las contralorías.</w:t>
      </w:r>
    </w:p>
    <w:p w14:paraId="69FC1984" w14:textId="77777777" w:rsidR="001F1459" w:rsidRDefault="001F1459" w:rsidP="001F1459">
      <w:pPr>
        <w:suppressAutoHyphens/>
        <w:spacing w:after="120" w:line="276" w:lineRule="auto"/>
        <w:ind w:right="-1" w:firstLine="708"/>
        <w:jc w:val="both"/>
        <w:rPr>
          <w:rFonts w:ascii="Verdana" w:eastAsia="Calibri" w:hAnsi="Verdana" w:cs="Times New Roman"/>
          <w:iCs/>
          <w:spacing w:val="-3"/>
        </w:rPr>
      </w:pPr>
      <w:r w:rsidRPr="00506C9D">
        <w:rPr>
          <w:rFonts w:ascii="Verdana" w:eastAsia="Calibri" w:hAnsi="Verdana" w:cs="Times New Roman"/>
          <w:iCs/>
          <w:spacing w:val="-3"/>
        </w:rPr>
        <w:t>De ello se desprende que supervisores e interventores pueden ser responsables fiscalmente cuando, por acción u omisión, generan un daño al erario en el marco de sus funciones de vigilancia y control</w:t>
      </w:r>
      <w:r>
        <w:rPr>
          <w:rFonts w:ascii="Verdana" w:eastAsia="Calibri" w:hAnsi="Verdana" w:cs="Times New Roman"/>
          <w:iCs/>
          <w:spacing w:val="-3"/>
        </w:rPr>
        <w:t>. En tal sentido, estos</w:t>
      </w:r>
      <w:r w:rsidRPr="00506C9D">
        <w:rPr>
          <w:rFonts w:ascii="Verdana" w:eastAsia="Calibri" w:hAnsi="Verdana" w:cs="Times New Roman"/>
          <w:iCs/>
          <w:spacing w:val="-3"/>
        </w:rPr>
        <w:t xml:space="preserve"> sujetos</w:t>
      </w:r>
      <w:r>
        <w:rPr>
          <w:rFonts w:ascii="Verdana" w:eastAsia="Calibri" w:hAnsi="Verdana" w:cs="Times New Roman"/>
          <w:iCs/>
          <w:spacing w:val="-3"/>
        </w:rPr>
        <w:t xml:space="preserve"> -supervisores e interventores-</w:t>
      </w:r>
      <w:r w:rsidRPr="00506C9D">
        <w:rPr>
          <w:rFonts w:ascii="Verdana" w:eastAsia="Calibri" w:hAnsi="Verdana" w:cs="Times New Roman"/>
          <w:iCs/>
          <w:spacing w:val="-3"/>
        </w:rPr>
        <w:t xml:space="preserve"> tienen una vinculación especial con los bienes sometidos a gestión fiscal, que supera una mera relación material y se proyecta hacia deberes concretos de cuidado, advertencia y corrección. Así</w:t>
      </w:r>
      <w:r>
        <w:rPr>
          <w:rFonts w:ascii="Verdana" w:eastAsia="Calibri" w:hAnsi="Verdana" w:cs="Times New Roman"/>
          <w:iCs/>
          <w:spacing w:val="-3"/>
        </w:rPr>
        <w:t xml:space="preserve"> pues</w:t>
      </w:r>
      <w:r w:rsidRPr="00506C9D">
        <w:rPr>
          <w:rFonts w:ascii="Verdana" w:eastAsia="Calibri" w:hAnsi="Verdana" w:cs="Times New Roman"/>
          <w:iCs/>
          <w:spacing w:val="-3"/>
        </w:rPr>
        <w:t>, si</w:t>
      </w:r>
      <w:r>
        <w:rPr>
          <w:rFonts w:ascii="Verdana" w:eastAsia="Calibri" w:hAnsi="Verdana" w:cs="Times New Roman"/>
          <w:iCs/>
          <w:spacing w:val="-3"/>
        </w:rPr>
        <w:t xml:space="preserve"> se</w:t>
      </w:r>
      <w:r w:rsidRPr="00506C9D">
        <w:rPr>
          <w:rFonts w:ascii="Verdana" w:eastAsia="Calibri" w:hAnsi="Verdana" w:cs="Times New Roman"/>
          <w:iCs/>
          <w:spacing w:val="-3"/>
        </w:rPr>
        <w:t xml:space="preserve"> emiten órdenes contrarias al contrato</w:t>
      </w:r>
      <w:r>
        <w:rPr>
          <w:rFonts w:ascii="Verdana" w:eastAsia="Calibri" w:hAnsi="Verdana" w:cs="Times New Roman"/>
          <w:iCs/>
          <w:spacing w:val="-3"/>
        </w:rPr>
        <w:t xml:space="preserve"> como la aprobación de pagos sin un seguimiento adecuado</w:t>
      </w:r>
      <w:r w:rsidRPr="00506C9D">
        <w:rPr>
          <w:rFonts w:ascii="Verdana" w:eastAsia="Calibri" w:hAnsi="Verdana" w:cs="Times New Roman"/>
          <w:iCs/>
          <w:spacing w:val="-3"/>
        </w:rPr>
        <w:t xml:space="preserve">, permiten desviaciones en la ejecución </w:t>
      </w:r>
      <w:r>
        <w:rPr>
          <w:rFonts w:ascii="Verdana" w:eastAsia="Calibri" w:hAnsi="Verdana" w:cs="Times New Roman"/>
          <w:iCs/>
          <w:spacing w:val="-3"/>
        </w:rPr>
        <w:t>u</w:t>
      </w:r>
      <w:r w:rsidRPr="00506C9D">
        <w:rPr>
          <w:rFonts w:ascii="Verdana" w:eastAsia="Calibri" w:hAnsi="Verdana" w:cs="Times New Roman"/>
          <w:iCs/>
          <w:spacing w:val="-3"/>
        </w:rPr>
        <w:t xml:space="preserve"> omiten reportar riesgos que comprometen recursos públicos, sus actuaciones pueden configurar </w:t>
      </w:r>
      <w:r w:rsidRPr="00506C9D">
        <w:rPr>
          <w:rFonts w:ascii="Verdana" w:eastAsia="Calibri" w:hAnsi="Verdana" w:cs="Times New Roman"/>
          <w:iCs/>
          <w:spacing w:val="-3"/>
        </w:rPr>
        <w:lastRenderedPageBreak/>
        <w:t>responsabilidad fiscal, en tanto participan —por razón de sus</w:t>
      </w:r>
      <w:r>
        <w:rPr>
          <w:rFonts w:ascii="Verdana" w:eastAsia="Calibri" w:hAnsi="Verdana" w:cs="Times New Roman"/>
          <w:iCs/>
          <w:spacing w:val="-3"/>
        </w:rPr>
        <w:t xml:space="preserve"> facultades</w:t>
      </w:r>
      <w:r w:rsidRPr="00506C9D">
        <w:rPr>
          <w:rFonts w:ascii="Verdana" w:eastAsia="Calibri" w:hAnsi="Verdana" w:cs="Times New Roman"/>
          <w:iCs/>
          <w:spacing w:val="-3"/>
        </w:rPr>
        <w:t>— en la protección y administración del patrimonio estatal.</w:t>
      </w:r>
    </w:p>
    <w:p w14:paraId="076BD5BE" w14:textId="77777777" w:rsidR="001F1459" w:rsidRPr="00C56BDE" w:rsidRDefault="001F1459" w:rsidP="001F1459">
      <w:pPr>
        <w:suppressAutoHyphens/>
        <w:spacing w:after="120" w:line="276" w:lineRule="auto"/>
        <w:ind w:right="-1" w:firstLine="708"/>
        <w:jc w:val="both"/>
        <w:rPr>
          <w:rFonts w:ascii="Verdana" w:eastAsia="Calibri" w:hAnsi="Verdana"/>
          <w:iCs/>
          <w:spacing w:val="-3"/>
        </w:rPr>
      </w:pPr>
      <w:r>
        <w:rPr>
          <w:rFonts w:ascii="Verdana" w:eastAsia="Calibri" w:hAnsi="Verdana" w:cs="Times New Roman"/>
          <w:iCs/>
          <w:spacing w:val="-3"/>
        </w:rPr>
        <w:t xml:space="preserve">En todo caso, como la planteado la doctrina </w:t>
      </w:r>
      <w:r>
        <w:rPr>
          <w:rFonts w:ascii="Verdana" w:eastAsia="Calibri" w:hAnsi="Verdana"/>
          <w:iCs/>
          <w:spacing w:val="-3"/>
        </w:rPr>
        <w:t>l</w:t>
      </w:r>
      <w:r w:rsidRPr="00C56BDE">
        <w:rPr>
          <w:rFonts w:ascii="Verdana" w:eastAsia="Calibri" w:hAnsi="Verdana"/>
          <w:iCs/>
          <w:spacing w:val="-3"/>
        </w:rPr>
        <w:t>a determinación de la calidad de gestor fiscal —incluso de manera provisional— constituye una labor cuidadosa que recae exclusivamente en los órganos de control fiscal. Estos deben verificar, desde el momento mismo en que evalúan la apertura del proceso de responsabilidad fiscal, que existan pruebas suficientes para identificar al presunto gestor, sea servidor público o particular, y para demostrar que sus actuaciones se sitúan dentro del ámbito de la gestión fiscal</w:t>
      </w:r>
      <w:r>
        <w:rPr>
          <w:rStyle w:val="Refdenotaalpie"/>
          <w:rFonts w:ascii="Verdana" w:eastAsia="Calibri" w:hAnsi="Verdana"/>
          <w:iCs/>
          <w:spacing w:val="-3"/>
        </w:rPr>
        <w:footnoteReference w:id="16"/>
      </w:r>
      <w:r w:rsidRPr="00C56BDE">
        <w:rPr>
          <w:rFonts w:ascii="Verdana" w:eastAsia="Calibri" w:hAnsi="Verdana"/>
          <w:iCs/>
          <w:spacing w:val="-3"/>
        </w:rPr>
        <w:t>. Ello implica constatar que el sujeto ejerce funciones especiales derivadas de la ley, el reglamento, los manuales de contratación</w:t>
      </w:r>
      <w:r>
        <w:rPr>
          <w:rFonts w:ascii="Verdana" w:eastAsia="Calibri" w:hAnsi="Verdana"/>
          <w:iCs/>
          <w:spacing w:val="-3"/>
        </w:rPr>
        <w:t>, contrato</w:t>
      </w:r>
      <w:r w:rsidRPr="00C56BDE">
        <w:rPr>
          <w:rFonts w:ascii="Verdana" w:eastAsia="Calibri" w:hAnsi="Verdana"/>
          <w:iCs/>
          <w:spacing w:val="-3"/>
        </w:rPr>
        <w:t xml:space="preserve">, y que su conducta guarda una relación de conexidad próxima y necesaria con el manejo de bienes </w:t>
      </w:r>
      <w:r>
        <w:rPr>
          <w:rFonts w:ascii="Verdana" w:eastAsia="Calibri" w:hAnsi="Verdana"/>
          <w:iCs/>
          <w:spacing w:val="-3"/>
        </w:rPr>
        <w:t>y</w:t>
      </w:r>
      <w:r w:rsidRPr="00C56BDE">
        <w:rPr>
          <w:rFonts w:ascii="Verdana" w:eastAsia="Calibri" w:hAnsi="Verdana"/>
          <w:iCs/>
          <w:spacing w:val="-3"/>
        </w:rPr>
        <w:t xml:space="preserve"> recursos públicos.</w:t>
      </w:r>
    </w:p>
    <w:p w14:paraId="4EF38601" w14:textId="77777777" w:rsidR="001F1459" w:rsidRPr="00C56BDE" w:rsidRDefault="001F1459" w:rsidP="001F1459">
      <w:pPr>
        <w:suppressAutoHyphens/>
        <w:spacing w:after="0" w:line="276" w:lineRule="auto"/>
        <w:ind w:right="-1" w:firstLine="708"/>
        <w:jc w:val="both"/>
        <w:rPr>
          <w:rFonts w:ascii="Verdana" w:eastAsia="Calibri" w:hAnsi="Verdana" w:cs="Times New Roman"/>
          <w:iCs/>
          <w:spacing w:val="-3"/>
        </w:rPr>
      </w:pPr>
      <w:r w:rsidRPr="00C56BDE">
        <w:rPr>
          <w:rFonts w:ascii="Verdana" w:eastAsia="Calibri" w:hAnsi="Verdana" w:cs="Times New Roman"/>
          <w:iCs/>
          <w:spacing w:val="-3"/>
        </w:rPr>
        <w:t xml:space="preserve">En consecuencia, corresponde a las contralorías determinar la procedencia de adelantar procesos de responsabilidad fiscal contra supervisores, interventores, representantes legales, delegados y demás partícipes de la contratación estatal que, por acción u omisión, hayan generado un daño patrimonial al Estado. La responsabilidad fiscal se activa cuando estos sujetos incumplen sus deberes de vigilancia, custodia y protección de los recursos públicos, ya sea emitiendo órdenes contrarias al contrato, permitiendo desviaciones en la ejecución o omitiendo controles esenciales. Así, su rol en la gestión fiscal no se limita a una relación material con el contrato, sino que comporta una vinculación funcional que los sitúa como potenciales responsables frente </w:t>
      </w:r>
      <w:r>
        <w:rPr>
          <w:rFonts w:ascii="Verdana" w:eastAsia="Calibri" w:hAnsi="Verdana" w:cs="Times New Roman"/>
          <w:iCs/>
          <w:spacing w:val="-3"/>
        </w:rPr>
        <w:t xml:space="preserve">a detrimentos y afectaciones al erario. </w:t>
      </w:r>
    </w:p>
    <w:p w14:paraId="6F68C61A" w14:textId="77777777" w:rsidR="001F1459" w:rsidRPr="007F2587" w:rsidRDefault="001F1459" w:rsidP="001F1459">
      <w:pPr>
        <w:widowControl w:val="0"/>
        <w:autoSpaceDE w:val="0"/>
        <w:autoSpaceDN w:val="0"/>
        <w:spacing w:after="0" w:line="276" w:lineRule="auto"/>
        <w:ind w:right="113"/>
        <w:jc w:val="both"/>
        <w:rPr>
          <w:rFonts w:ascii="Verdana" w:eastAsia="Arial MT" w:hAnsi="Verdana" w:cs="Arial MT"/>
        </w:rPr>
      </w:pPr>
    </w:p>
    <w:p w14:paraId="2184C94F" w14:textId="77777777" w:rsidR="001F1459" w:rsidRPr="007F2587" w:rsidRDefault="001F1459" w:rsidP="001F1459">
      <w:pPr>
        <w:spacing w:after="120" w:line="276" w:lineRule="auto"/>
        <w:jc w:val="both"/>
        <w:rPr>
          <w:rFonts w:ascii="Verdana" w:eastAsia="Calibri" w:hAnsi="Verdana" w:cs="Arial"/>
          <w:color w:val="000000" w:themeColor="text1"/>
          <w:lang w:val="es-ES"/>
        </w:rPr>
      </w:pPr>
      <w:r w:rsidRPr="007F2587">
        <w:rPr>
          <w:rFonts w:ascii="Verdana" w:eastAsia="Calibri" w:hAnsi="Verdana" w:cs="Arial"/>
          <w:color w:val="000000" w:themeColor="text1"/>
          <w:lang w:val="es-ES"/>
        </w:rPr>
        <w:t>i</w:t>
      </w:r>
      <w:r>
        <w:rPr>
          <w:rFonts w:ascii="Verdana" w:eastAsia="Calibri" w:hAnsi="Verdana" w:cs="Arial"/>
          <w:color w:val="000000" w:themeColor="text1"/>
          <w:lang w:val="es-ES"/>
        </w:rPr>
        <w:t xml:space="preserve">v. </w:t>
      </w:r>
      <w:r w:rsidRPr="007F2587">
        <w:rPr>
          <w:rFonts w:ascii="Verdana" w:eastAsia="Calibri" w:hAnsi="Verdana" w:cs="Arial"/>
          <w:color w:val="000000" w:themeColor="text1"/>
          <w:lang w:val="es-ES"/>
        </w:rPr>
        <w:t xml:space="preserve">Al </w:t>
      </w:r>
      <w:r w:rsidRPr="007F2587">
        <w:rPr>
          <w:rFonts w:ascii="Verdana" w:hAnsi="Verdana" w:cs="Arial"/>
          <w:lang w:val="es-ES_tradnl" w:eastAsia="es-ES"/>
        </w:rPr>
        <w:t xml:space="preserve">margen de la explicación precedente debe advertirse que el análisis requerido para resolver problemas específicos en torno </w:t>
      </w:r>
      <w:r>
        <w:rPr>
          <w:rFonts w:ascii="Verdana" w:hAnsi="Verdana" w:cs="Arial"/>
          <w:lang w:val="es-ES_tradnl" w:eastAsia="es-ES"/>
        </w:rPr>
        <w:t xml:space="preserve">a la responsabilidad de la supervisión y la interventoría </w:t>
      </w:r>
      <w:r w:rsidRPr="007F2587">
        <w:rPr>
          <w:rFonts w:ascii="Verdana" w:hAnsi="Verdana" w:cs="Arial"/>
          <w:lang w:val="es-ES_tradnl" w:eastAsia="es-ES"/>
        </w:rPr>
        <w:t xml:space="preserve">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7F2587">
        <w:rPr>
          <w:rFonts w:ascii="Verdana" w:hAnsi="Verdana" w:cs="Arial"/>
          <w:lang w:val="es-ES_tradnl" w:eastAsia="es-ES"/>
        </w:rPr>
        <w:lastRenderedPageBreak/>
        <w:t>correspondiente y, en caso de conflicto, a las autoridades judiciales, fiscales y disciplinarias.</w:t>
      </w:r>
    </w:p>
    <w:p w14:paraId="7E2BAAE5" w14:textId="77777777" w:rsidR="001F1459" w:rsidRPr="007F2587" w:rsidRDefault="001F1459" w:rsidP="001F1459">
      <w:pPr>
        <w:spacing w:after="0" w:line="276" w:lineRule="auto"/>
        <w:ind w:firstLine="709"/>
        <w:jc w:val="both"/>
        <w:rPr>
          <w:rFonts w:ascii="Verdana" w:hAnsi="Verdana" w:cs="Arial"/>
          <w:lang w:val="es-ES" w:eastAsia="es-ES"/>
        </w:rPr>
      </w:pPr>
      <w:r w:rsidRPr="007F2587">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C48132B" w14:textId="77777777" w:rsidR="001F1459" w:rsidRPr="009037F6" w:rsidRDefault="001F1459" w:rsidP="001F1459">
      <w:pPr>
        <w:spacing w:after="0" w:line="276" w:lineRule="auto"/>
        <w:jc w:val="both"/>
        <w:rPr>
          <w:rFonts w:ascii="Verdana" w:eastAsia="Calibri" w:hAnsi="Verdana" w:cs="Arial"/>
          <w:lang w:val="es-ES" w:eastAsia="es-MX"/>
        </w:rPr>
      </w:pPr>
    </w:p>
    <w:p w14:paraId="24143BC1" w14:textId="77777777" w:rsidR="001F1459" w:rsidRPr="009037F6" w:rsidRDefault="001F1459" w:rsidP="001F1459">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 xml:space="preserve">Referencias normativas, jurisprudenciales y otras fuentes </w:t>
      </w:r>
    </w:p>
    <w:p w14:paraId="37451A94" w14:textId="77777777" w:rsidR="001F1459" w:rsidRPr="009037F6" w:rsidRDefault="001F1459" w:rsidP="001F1459">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F1459" w:rsidRPr="009037F6" w14:paraId="4F31E356" w14:textId="77777777" w:rsidTr="00751785">
        <w:trPr>
          <w:trHeight w:val="487"/>
          <w:jc w:val="center"/>
        </w:trPr>
        <w:tc>
          <w:tcPr>
            <w:tcW w:w="8647" w:type="dxa"/>
          </w:tcPr>
          <w:p w14:paraId="711973D5" w14:textId="77777777" w:rsidR="001F1459" w:rsidRPr="00624EEC"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624EEC">
              <w:rPr>
                <w:rFonts w:ascii="Verdana" w:eastAsia="Arial MT" w:hAnsi="Verdana" w:cs="Arial"/>
                <w:lang w:val="es-ES" w:eastAsia="es-ES" w:bidi="es-ES"/>
              </w:rPr>
              <w:t>Ley 80 de 1993, artículos 4, 5, 12, 14, 26, 32, 51</w:t>
            </w:r>
            <w:r>
              <w:rPr>
                <w:rFonts w:ascii="Verdana" w:eastAsia="Arial MT" w:hAnsi="Verdana" w:cs="Arial"/>
                <w:lang w:val="es-ES" w:eastAsia="es-ES" w:bidi="es-ES"/>
              </w:rPr>
              <w:t xml:space="preserve"> y</w:t>
            </w:r>
            <w:r w:rsidRPr="00624EEC">
              <w:rPr>
                <w:rFonts w:ascii="Verdana" w:eastAsia="Arial MT" w:hAnsi="Verdana" w:cs="Arial"/>
                <w:lang w:val="es-ES" w:eastAsia="es-ES" w:bidi="es-ES"/>
              </w:rPr>
              <w:t xml:space="preserve"> 53</w:t>
            </w:r>
            <w:r>
              <w:rPr>
                <w:rFonts w:ascii="Verdana" w:eastAsia="Arial MT" w:hAnsi="Verdana" w:cs="Arial"/>
                <w:lang w:val="es-ES" w:eastAsia="es-ES" w:bidi="es-ES"/>
              </w:rPr>
              <w:t xml:space="preserve">. </w:t>
            </w:r>
            <w:r w:rsidRPr="00624EEC">
              <w:rPr>
                <w:rFonts w:ascii="Verdana" w:eastAsia="Arial MT" w:hAnsi="Verdana" w:cs="Arial"/>
                <w:lang w:val="es-ES" w:eastAsia="es-ES" w:bidi="es-ES"/>
              </w:rPr>
              <w:t xml:space="preserve"> </w:t>
            </w:r>
          </w:p>
          <w:p w14:paraId="787DAAEF" w14:textId="77777777" w:rsidR="001F1459"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sidRPr="00624EEC">
              <w:rPr>
                <w:rFonts w:ascii="Verdana" w:eastAsia="Arial MT" w:hAnsi="Verdana" w:cs="Arial"/>
                <w:lang w:val="es-ES" w:eastAsia="es-ES" w:bidi="es-ES"/>
              </w:rPr>
              <w:t>Ley 1150 de 2007</w:t>
            </w:r>
            <w:r>
              <w:rPr>
                <w:rFonts w:ascii="Verdana" w:eastAsia="Arial MT" w:hAnsi="Verdana" w:cs="Arial"/>
                <w:lang w:val="es-ES" w:eastAsia="es-ES" w:bidi="es-ES"/>
              </w:rPr>
              <w:t>, a</w:t>
            </w:r>
            <w:r w:rsidRPr="00624EEC">
              <w:rPr>
                <w:rFonts w:ascii="Verdana" w:eastAsia="Arial MT" w:hAnsi="Verdana" w:cs="Arial"/>
                <w:lang w:val="es-ES" w:eastAsia="es-ES" w:bidi="es-ES"/>
              </w:rPr>
              <w:t>rtículo</w:t>
            </w:r>
            <w:r>
              <w:rPr>
                <w:rFonts w:ascii="Verdana" w:eastAsia="Arial MT" w:hAnsi="Verdana" w:cs="Arial"/>
                <w:lang w:val="es-ES" w:eastAsia="es-ES" w:bidi="es-ES"/>
              </w:rPr>
              <w:t xml:space="preserve">s 13, 17 y 21. </w:t>
            </w:r>
          </w:p>
          <w:p w14:paraId="08139D12" w14:textId="77777777" w:rsidR="001F1459"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ES" w:eastAsia="es-ES" w:bidi="es-ES"/>
              </w:rPr>
            </w:pPr>
            <w:r>
              <w:rPr>
                <w:rFonts w:ascii="Verdana" w:eastAsia="Arial MT" w:hAnsi="Verdana" w:cs="Arial"/>
                <w:lang w:val="es-ES" w:eastAsia="es-ES" w:bidi="es-ES"/>
              </w:rPr>
              <w:t>Ley 1474 de 2011, artículos 82 a 86</w:t>
            </w:r>
            <w:r w:rsidRPr="00624EEC">
              <w:rPr>
                <w:rFonts w:ascii="Verdana" w:eastAsia="Arial MT" w:hAnsi="Verdana" w:cs="Arial"/>
                <w:lang w:val="es-ES" w:eastAsia="es-ES" w:bidi="es-ES"/>
              </w:rPr>
              <w:t xml:space="preserve">. </w:t>
            </w:r>
            <w:bookmarkStart w:id="3" w:name="_Hlk215586792"/>
          </w:p>
          <w:bookmarkEnd w:id="3"/>
          <w:p w14:paraId="737D73F5"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MX" w:eastAsia="es-ES" w:bidi="es-ES"/>
              </w:rPr>
            </w:pPr>
            <w:r w:rsidRPr="00C74B9D">
              <w:rPr>
                <w:rFonts w:ascii="Verdana" w:eastAsia="Arial MT" w:hAnsi="Verdana" w:cs="Arial"/>
                <w:lang w:val="es-MX" w:eastAsia="es-ES" w:bidi="es-ES"/>
              </w:rPr>
              <w:t>Consejo de Estado. Sección Tercera –Subsección C. Sentencia del 27 de noviembre de 2017.</w:t>
            </w:r>
            <w:r w:rsidRPr="00C74B9D">
              <w:rPr>
                <w:rFonts w:ascii="Verdana" w:eastAsia="Arial MT" w:hAnsi="Verdana" w:cs="Arial"/>
                <w:lang w:eastAsia="es-ES" w:bidi="es-ES"/>
              </w:rPr>
              <w:t xml:space="preserve"> Exp. 51.802.</w:t>
            </w:r>
            <w:r w:rsidRPr="00C74B9D">
              <w:rPr>
                <w:rFonts w:ascii="Verdana" w:eastAsia="Arial MT" w:hAnsi="Verdana" w:cs="Arial"/>
                <w:lang w:val="es-MX" w:eastAsia="es-ES" w:bidi="es-ES"/>
              </w:rPr>
              <w:t xml:space="preserve"> C.P. Jaime Orlando Santofimio Gamboa. </w:t>
            </w:r>
          </w:p>
          <w:p w14:paraId="2ED67597"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MX" w:eastAsia="es-ES" w:bidi="es-ES"/>
              </w:rPr>
            </w:pPr>
            <w:r w:rsidRPr="00C74B9D">
              <w:rPr>
                <w:rFonts w:ascii="Verdana" w:eastAsia="Arial MT" w:hAnsi="Verdana" w:cs="Arial"/>
                <w:lang w:val="es-MX" w:eastAsia="es-ES" w:bidi="es-ES"/>
              </w:rPr>
              <w:t xml:space="preserve">Corte Constitucional. Sentencia C-840 de 2001, M.P. Jaime Araujo Renteria. </w:t>
            </w:r>
          </w:p>
          <w:p w14:paraId="7469F7CC"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eastAsia="es-ES" w:bidi="es-ES"/>
              </w:rPr>
            </w:pPr>
            <w:r w:rsidRPr="00C74B9D">
              <w:rPr>
                <w:rFonts w:ascii="Verdana" w:eastAsia="Arial MT" w:hAnsi="Verdana" w:cs="Arial"/>
                <w:lang w:eastAsia="es-ES" w:bidi="es-ES"/>
              </w:rPr>
              <w:t>Corte Constitucional. Sentencia C-037 de 2003, M.P. Álvaro Tafur Galvis.</w:t>
            </w:r>
          </w:p>
          <w:p w14:paraId="20543410"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eastAsia="es-ES" w:bidi="es-ES"/>
              </w:rPr>
            </w:pPr>
            <w:r w:rsidRPr="00C74B9D">
              <w:rPr>
                <w:rFonts w:ascii="Verdana" w:eastAsia="Arial MT" w:hAnsi="Verdana" w:cs="Arial"/>
                <w:lang w:val="es-MX" w:eastAsia="es-ES" w:bidi="es-ES"/>
              </w:rPr>
              <w:t xml:space="preserve">RINCÓN CÓRDOBA, Jorge Iván. La interventoría y supervisión: los presupuestos en los que se desarrolla la función administrativa de vigilancia de la ejecución contractual. En: Contratos públicos: problemas, perspectivas y prospectivas. Bogotá: Universidad Externado de Colombia, 2017. </w:t>
            </w:r>
          </w:p>
          <w:p w14:paraId="595E1377"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eastAsia="es-ES" w:bidi="es-ES"/>
              </w:rPr>
            </w:pPr>
            <w:r w:rsidRPr="00C74B9D">
              <w:rPr>
                <w:rFonts w:ascii="Verdana" w:eastAsia="Arial MT" w:hAnsi="Verdana" w:cs="Arial"/>
                <w:lang w:eastAsia="es-ES" w:bidi="es-ES"/>
              </w:rPr>
              <w:t xml:space="preserve">RODRIGUEZ TAMAYO, Mauricio. La gestión fiscal de los contratistas del Estado. Bogotá: Tirant lo Blanch, 2026. </w:t>
            </w:r>
          </w:p>
          <w:p w14:paraId="091DAB47"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MX" w:eastAsia="es-ES" w:bidi="es-ES"/>
              </w:rPr>
            </w:pPr>
            <w:r w:rsidRPr="00C74B9D">
              <w:rPr>
                <w:rFonts w:ascii="Verdana" w:eastAsia="Arial MT" w:hAnsi="Verdana" w:cs="Arial"/>
                <w:lang w:val="es-MX" w:eastAsia="es-ES" w:bidi="es-ES"/>
              </w:rPr>
              <w:t xml:space="preserve">SÁNCHEZ TORRES, Carlos Ariel y otros. </w:t>
            </w:r>
            <w:r w:rsidRPr="00C74B9D">
              <w:rPr>
                <w:rFonts w:ascii="Verdana" w:eastAsia="Arial MT" w:hAnsi="Verdana" w:cs="Arial"/>
                <w:i/>
                <w:lang w:val="es-MX" w:eastAsia="es-ES" w:bidi="es-ES"/>
              </w:rPr>
              <w:t xml:space="preserve">Responsabilidad fiscal y </w:t>
            </w:r>
            <w:r w:rsidRPr="00C74B9D">
              <w:rPr>
                <w:rFonts w:ascii="Verdana" w:eastAsia="Arial MT" w:hAnsi="Verdana" w:cs="Arial"/>
                <w:i/>
                <w:lang w:val="es-MX" w:eastAsia="es-ES" w:bidi="es-ES"/>
              </w:rPr>
              <w:lastRenderedPageBreak/>
              <w:t>control al gasto público.</w:t>
            </w:r>
            <w:r w:rsidRPr="00C74B9D">
              <w:rPr>
                <w:rFonts w:ascii="Verdana" w:eastAsia="Arial MT" w:hAnsi="Verdana" w:cs="Arial"/>
                <w:lang w:val="es-MX" w:eastAsia="es-ES" w:bidi="es-ES"/>
              </w:rPr>
              <w:t xml:space="preserve"> Bogotá: Editorial Jurídica Diké y Centro Editorial Universidad del Rosario, 2004.</w:t>
            </w:r>
          </w:p>
          <w:p w14:paraId="52407D9C"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eastAsia="es-ES" w:bidi="es-ES"/>
              </w:rPr>
            </w:pPr>
            <w:r w:rsidRPr="00C74B9D">
              <w:rPr>
                <w:rFonts w:ascii="Verdana" w:eastAsia="Arial MT" w:hAnsi="Verdana" w:cs="Arial"/>
                <w:lang w:val="es-MX" w:eastAsia="es-ES" w:bidi="es-ES"/>
              </w:rPr>
              <w:t>SUÁREZ BELTRÁN, Gonzalo. Estudios de derecho contractual público. Bogotá: Universidad Pontificia Javeriana – Legis, 2014.</w:t>
            </w:r>
          </w:p>
          <w:p w14:paraId="0F1FBA11" w14:textId="77777777" w:rsidR="001F1459" w:rsidRPr="00C74B9D" w:rsidRDefault="001F1459" w:rsidP="001F1459">
            <w:pPr>
              <w:widowControl w:val="0"/>
              <w:numPr>
                <w:ilvl w:val="0"/>
                <w:numId w:val="17"/>
              </w:numPr>
              <w:autoSpaceDE w:val="0"/>
              <w:autoSpaceDN w:val="0"/>
              <w:spacing w:before="120" w:after="120" w:line="276" w:lineRule="auto"/>
              <w:ind w:left="714" w:hanging="357"/>
              <w:jc w:val="both"/>
              <w:rPr>
                <w:rFonts w:ascii="Verdana" w:eastAsia="Arial MT" w:hAnsi="Verdana" w:cs="Arial"/>
                <w:lang w:val="es-MX" w:eastAsia="es-ES" w:bidi="es-ES"/>
              </w:rPr>
            </w:pPr>
            <w:r w:rsidRPr="00C74B9D">
              <w:rPr>
                <w:rFonts w:ascii="Verdana" w:eastAsia="Arial MT" w:hAnsi="Verdana" w:cs="Arial"/>
                <w:lang w:val="es-MX" w:eastAsia="es-ES" w:bidi="es-ES"/>
              </w:rPr>
              <w:t xml:space="preserve">THOMAS ARIAS, Antonio. La </w:t>
            </w:r>
            <w:r w:rsidRPr="00C74B9D">
              <w:rPr>
                <w:rFonts w:ascii="Verdana" w:eastAsia="Arial MT" w:hAnsi="Verdana" w:cs="Arial"/>
                <w:i/>
                <w:lang w:val="es-MX" w:eastAsia="es-ES" w:bidi="es-ES"/>
              </w:rPr>
              <w:t>culpa en la responsabilidad fiscal</w:t>
            </w:r>
            <w:r w:rsidRPr="00C74B9D">
              <w:rPr>
                <w:rFonts w:ascii="Verdana" w:eastAsia="Arial MT" w:hAnsi="Verdana" w:cs="Arial"/>
                <w:lang w:val="es-MX" w:eastAsia="es-ES" w:bidi="es-ES"/>
              </w:rPr>
              <w:t>. En: Revista Sindéresis No 7. Bogotá: Auditoría General de la República, 2003.</w:t>
            </w:r>
          </w:p>
        </w:tc>
      </w:tr>
    </w:tbl>
    <w:p w14:paraId="47EB26D2" w14:textId="77777777" w:rsidR="001F1459" w:rsidRPr="009037F6" w:rsidRDefault="001F1459" w:rsidP="001F1459">
      <w:pPr>
        <w:widowControl w:val="0"/>
        <w:autoSpaceDE w:val="0"/>
        <w:autoSpaceDN w:val="0"/>
        <w:spacing w:after="0" w:line="240" w:lineRule="auto"/>
        <w:jc w:val="both"/>
        <w:rPr>
          <w:rFonts w:ascii="Verdana" w:hAnsi="Verdana" w:cs="Arial"/>
        </w:rPr>
      </w:pPr>
    </w:p>
    <w:p w14:paraId="233D1232" w14:textId="77777777" w:rsidR="001F1459" w:rsidRPr="009037F6" w:rsidRDefault="001F1459" w:rsidP="001F1459">
      <w:pPr>
        <w:numPr>
          <w:ilvl w:val="0"/>
          <w:numId w:val="16"/>
        </w:numPr>
        <w:tabs>
          <w:tab w:val="left" w:pos="142"/>
          <w:tab w:val="left" w:pos="284"/>
        </w:tabs>
        <w:spacing w:after="0" w:line="240"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78EFBBB6" w14:textId="77777777" w:rsidR="001F1459" w:rsidRPr="009037F6" w:rsidRDefault="001F1459" w:rsidP="001F1459">
      <w:pPr>
        <w:widowControl w:val="0"/>
        <w:autoSpaceDE w:val="0"/>
        <w:autoSpaceDN w:val="0"/>
        <w:spacing w:after="0" w:line="240" w:lineRule="auto"/>
        <w:jc w:val="both"/>
        <w:rPr>
          <w:rFonts w:ascii="Verdana" w:hAnsi="Verdana" w:cs="Arial"/>
        </w:rPr>
      </w:pPr>
    </w:p>
    <w:p w14:paraId="2001341F" w14:textId="77777777" w:rsidR="001F1459" w:rsidRPr="00AD7D5F" w:rsidRDefault="001F1459" w:rsidP="001F1459">
      <w:pPr>
        <w:widowControl w:val="0"/>
        <w:autoSpaceDE w:val="0"/>
        <w:autoSpaceDN w:val="0"/>
        <w:spacing w:after="0" w:line="276" w:lineRule="auto"/>
        <w:jc w:val="both"/>
        <w:rPr>
          <w:rFonts w:ascii="Verdana" w:eastAsia="Calibri" w:hAnsi="Verdana" w:cs="Arial"/>
          <w:lang w:val="es-ES"/>
        </w:rPr>
      </w:pPr>
      <w:r w:rsidRPr="00E7254D">
        <w:rPr>
          <w:rFonts w:ascii="Verdana" w:eastAsia="Aptos" w:hAnsi="Verdana" w:cs="Arial"/>
          <w:color w:val="000000"/>
          <w:shd w:val="clear" w:color="auto" w:fill="FFFFFF"/>
          <w:lang w:val="es-ES"/>
        </w:rPr>
        <w:t xml:space="preserve">Sobre la obligación de controlar y vigilar la ejecución de los contratos estatales, esta Subdirección se ha referido en los Conceptos </w:t>
      </w:r>
      <w:r w:rsidRPr="00E7254D">
        <w:rPr>
          <w:rFonts w:ascii="Verdana" w:eastAsia="Aptos" w:hAnsi="Verdana" w:cs="Arial"/>
          <w:color w:val="000000"/>
          <w:shd w:val="clear" w:color="auto" w:fill="FFFFFF"/>
          <w:lang w:val="es-ES_tradnl"/>
        </w:rPr>
        <w:t>radicado 4201913000004799 del 30 de agosto de 2019, 4201913000008240 del 20 de diciembre de 2019, C-064 del 28 de febrero de 2020, C-071 del 4 de marzo de 2020, C–077 del 18 de marzo de 2020, C–150 del 18 de marzo de 2020, C–134 del 30 de marzo de 2020, C–180 del 13 de abril de 2020, C-344 del 26 de mayo de 2020, C-414 del 30 de junio de 2021, C-506 de 3 de agosto de 2022, C-579 del 9 de septiembre de 2022, C-577 del 15 de septiembre de 2022, C-620 del 27 de septiembre de 2022, C-650 del 27 de septiembre de 2022, C-679 de 24 de octubre de 2022, C-818 del 28 de noviembre de 2022, C-830 de 28 de noviembre de 2022, C-800 de 29 de noviembre de 2022, C-930 de 30 de diciembre de 2022, C-932 de 30 de diciembre de 2022, C-975 de 8 de marzo de 2032, C-191 de 27 de abril de 2023, C-089 de 2024 de 17 de julio de 2024, C-255 de 14 de agosto de 2024</w:t>
      </w:r>
      <w:r w:rsidRPr="00E7254D">
        <w:rPr>
          <w:rFonts w:ascii="Verdana" w:eastAsia="Aptos" w:hAnsi="Verdana" w:cs="Arial"/>
          <w:color w:val="000000"/>
          <w:shd w:val="clear" w:color="auto" w:fill="FFFFFF"/>
          <w:lang w:val="es-ES"/>
        </w:rPr>
        <w:t xml:space="preserve">,C-600 del 7 de octubre de 2024, C-800 del 13 de diciembre de 2025, C-972 de 22 de enero de 2025, C-987 del 21 de enero de 2025, C-091 del 13 de febrero de 2025, </w:t>
      </w:r>
      <w:r>
        <w:rPr>
          <w:rFonts w:ascii="Verdana" w:eastAsia="Aptos" w:hAnsi="Verdana" w:cs="Arial"/>
          <w:color w:val="000000"/>
          <w:shd w:val="clear" w:color="auto" w:fill="FFFFFF"/>
          <w:lang w:val="es-ES"/>
        </w:rPr>
        <w:t xml:space="preserve">C-219 del 28 de marzo de 2025, C-265 del 7 de abril de 2025, C-1484 del 24 de noviembre de 2025, C-1553 del 3 de diciembre de 2025, </w:t>
      </w:r>
      <w:r w:rsidRPr="00EF3DC3">
        <w:rPr>
          <w:rFonts w:ascii="Verdana" w:eastAsia="Aptos" w:hAnsi="Verdana" w:cs="Arial"/>
          <w:color w:val="000000"/>
          <w:shd w:val="clear" w:color="auto" w:fill="FFFFFF"/>
          <w:lang w:val="es-ES"/>
        </w:rPr>
        <w:t>C-039 del 30 de enero de 2026, C-945 del 22 de junio de 2026,</w:t>
      </w:r>
      <w:r>
        <w:rPr>
          <w:rFonts w:ascii="Verdana" w:eastAsia="Aptos" w:hAnsi="Verdana" w:cs="Arial"/>
          <w:color w:val="000000"/>
          <w:shd w:val="clear" w:color="auto" w:fill="FFFFFF"/>
          <w:lang w:val="es-ES"/>
        </w:rPr>
        <w:t xml:space="preserve"> C-949 del 23 de julio de 2026, entre otros.</w:t>
      </w:r>
      <w:r w:rsidRPr="00EA08F9">
        <w:t xml:space="preserve"> </w:t>
      </w:r>
      <w:r w:rsidRPr="00EA08F9">
        <w:rPr>
          <w:rFonts w:ascii="Verdana" w:eastAsia="Aptos" w:hAnsi="Verdana" w:cs="Arial"/>
          <w:color w:val="000000"/>
          <w:shd w:val="clear" w:color="auto" w:fill="FFFFFF"/>
        </w:rPr>
        <w:t xml:space="preserve">En todo caso, el análisis no se limita a retomar la línea interpretativa de la Agencia, sino que desarrolla un examen propio y detallado sobre la responsabilidad fiscal de supervisores e interventores a partir del concepto de gestión fiscal. </w:t>
      </w:r>
      <w:r w:rsidRPr="009037F6">
        <w:rPr>
          <w:rFonts w:ascii="Verdana" w:eastAsia="Calibri" w:hAnsi="Verdana" w:cs="Times New Roman"/>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w:t>
      </w:r>
      <w:r w:rsidRPr="009037F6">
        <w:rPr>
          <w:rFonts w:ascii="Verdana" w:eastAsia="Calibri" w:hAnsi="Verdana" w:cs="Times New Roman"/>
        </w:rPr>
        <w:lastRenderedPageBreak/>
        <w:t>Contractual, accede a través del siguiente enlace:</w:t>
      </w:r>
    </w:p>
    <w:p w14:paraId="69395E9A" w14:textId="77777777" w:rsidR="001F1459" w:rsidRPr="009037F6" w:rsidRDefault="001F1459" w:rsidP="001F1459">
      <w:pPr>
        <w:spacing w:after="0" w:line="256" w:lineRule="auto"/>
        <w:jc w:val="both"/>
        <w:rPr>
          <w:rFonts w:ascii="Verdana" w:eastAsia="Calibri" w:hAnsi="Verdana" w:cs="Times New Roman"/>
        </w:rPr>
      </w:pPr>
      <w:hyperlink r:id="rId14"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58EF35E0" w14:textId="77777777" w:rsidR="001F1459" w:rsidRDefault="001F1459" w:rsidP="001F1459">
      <w:pPr>
        <w:widowControl w:val="0"/>
        <w:autoSpaceDE w:val="0"/>
        <w:autoSpaceDN w:val="0"/>
        <w:spacing w:after="0" w:line="276" w:lineRule="auto"/>
        <w:jc w:val="both"/>
        <w:rPr>
          <w:rFonts w:ascii="Verdana" w:eastAsia="Calibri" w:hAnsi="Verdana" w:cs="Times New Roman"/>
        </w:rPr>
      </w:pPr>
    </w:p>
    <w:p w14:paraId="6BF2BCD9" w14:textId="77777777" w:rsidR="001F1459" w:rsidRPr="003D5C91" w:rsidRDefault="001F1459" w:rsidP="001F1459">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5A43AEF1" w14:textId="77777777" w:rsidR="001F1459" w:rsidRDefault="001F1459" w:rsidP="001F1459">
      <w:pPr>
        <w:spacing w:after="0" w:line="276" w:lineRule="auto"/>
        <w:jc w:val="both"/>
        <w:rPr>
          <w:rFonts w:ascii="Verdana" w:eastAsia="Calibri" w:hAnsi="Verdana" w:cs="Arial"/>
          <w:color w:val="000000"/>
          <w:lang w:eastAsia="es-ES_tradnl"/>
        </w:rPr>
      </w:pPr>
    </w:p>
    <w:p w14:paraId="719B32C8" w14:textId="77777777" w:rsidR="001F1459" w:rsidRPr="003D5C91" w:rsidRDefault="001F1459" w:rsidP="001F1459">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69F81DB0" w14:textId="77777777" w:rsidR="001F1459" w:rsidRDefault="001F1459" w:rsidP="001F1459">
      <w:pPr>
        <w:spacing w:after="0" w:line="276" w:lineRule="auto"/>
        <w:jc w:val="both"/>
        <w:rPr>
          <w:rFonts w:ascii="Verdana" w:eastAsia="Calibri" w:hAnsi="Verdana" w:cs="Arial"/>
          <w:color w:val="000000"/>
          <w:lang w:eastAsia="es-ES_tradnl"/>
        </w:rPr>
      </w:pPr>
    </w:p>
    <w:p w14:paraId="6E97CCAA" w14:textId="77777777" w:rsidR="001F1459" w:rsidRDefault="001F1459" w:rsidP="001F1459">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w:t>
      </w:r>
      <w:r w:rsidRPr="003D5C91">
        <w:rPr>
          <w:rFonts w:ascii="Verdana" w:eastAsia="Calibri" w:hAnsi="Verdana" w:cs="Arial"/>
          <w:color w:val="000000"/>
          <w:lang w:eastAsia="es-ES_tradnl"/>
        </w:rPr>
        <w:lastRenderedPageBreak/>
        <w:t>aquí: </w:t>
      </w:r>
      <w:hyperlink r:id="rId17"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50938CE5" w14:textId="77777777" w:rsidR="001F1459" w:rsidRPr="003D5C91" w:rsidRDefault="001F1459" w:rsidP="001F1459">
      <w:pPr>
        <w:spacing w:after="0" w:line="276" w:lineRule="auto"/>
        <w:jc w:val="both"/>
        <w:rPr>
          <w:rFonts w:ascii="Verdana" w:eastAsia="Calibri" w:hAnsi="Verdana" w:cs="Arial"/>
          <w:color w:val="000000"/>
          <w:lang w:eastAsia="es-ES_tradnl"/>
        </w:rPr>
      </w:pPr>
    </w:p>
    <w:p w14:paraId="4790FFD6" w14:textId="77777777" w:rsidR="001F1459" w:rsidRPr="003D5C91" w:rsidRDefault="001F1459" w:rsidP="001F1459">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20B39BFF" w14:textId="77777777" w:rsidR="001F1459" w:rsidRDefault="001F1459" w:rsidP="001F1459">
      <w:pPr>
        <w:spacing w:after="0"/>
        <w:jc w:val="both"/>
        <w:rPr>
          <w:rFonts w:ascii="Verdana" w:hAnsi="Verdana"/>
        </w:rPr>
      </w:pPr>
    </w:p>
    <w:p w14:paraId="257444A7" w14:textId="77777777" w:rsidR="001F1459" w:rsidRPr="00116940" w:rsidRDefault="001F1459" w:rsidP="001F1459">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787A8B4A" w14:textId="77777777" w:rsidR="001F1459" w:rsidRPr="00116940" w:rsidRDefault="001F1459" w:rsidP="001F1459">
      <w:pPr>
        <w:spacing w:after="0"/>
        <w:jc w:val="both"/>
        <w:rPr>
          <w:rFonts w:ascii="Verdana" w:hAnsi="Verdana"/>
        </w:rPr>
      </w:pPr>
    </w:p>
    <w:p w14:paraId="103E80CF" w14:textId="77777777" w:rsidR="001F1459" w:rsidRPr="00116940" w:rsidRDefault="001F1459" w:rsidP="001F1459">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48E04078" w14:textId="77777777" w:rsidR="001F1459" w:rsidRPr="00116940" w:rsidRDefault="001F1459" w:rsidP="001F1459">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E160911" w14:textId="77777777" w:rsidR="001F1459" w:rsidRPr="00116940" w:rsidRDefault="001F1459" w:rsidP="001F145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0E66CA57" w14:textId="77777777" w:rsidR="001F1459" w:rsidRPr="00116940" w:rsidRDefault="001F1459" w:rsidP="001F1459">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186D1412" w14:textId="77777777" w:rsidR="001F1459" w:rsidRPr="00116940" w:rsidRDefault="001F1459" w:rsidP="001F1459">
      <w:pPr>
        <w:spacing w:after="0" w:line="240" w:lineRule="auto"/>
        <w:ind w:left="720"/>
        <w:jc w:val="both"/>
        <w:rPr>
          <w:rFonts w:ascii="Verdana" w:hAnsi="Verdana"/>
        </w:rPr>
      </w:pPr>
    </w:p>
    <w:p w14:paraId="2BA7AD50" w14:textId="77777777" w:rsidR="001F1459" w:rsidRPr="00116940" w:rsidRDefault="001F1459" w:rsidP="001F1459">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1"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AB0A76F" w14:textId="77777777" w:rsidR="001F1459" w:rsidRPr="00116940" w:rsidRDefault="001F1459" w:rsidP="001F1459">
      <w:pPr>
        <w:spacing w:after="0" w:line="240" w:lineRule="auto"/>
        <w:rPr>
          <w:rFonts w:ascii="Verdana" w:hAnsi="Verdana"/>
        </w:rPr>
      </w:pPr>
    </w:p>
    <w:p w14:paraId="46143134" w14:textId="77777777" w:rsidR="001F1459" w:rsidRPr="00116940" w:rsidRDefault="001F1459" w:rsidP="001F1459">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0FB0769A" w14:textId="77777777" w:rsidR="001F1459" w:rsidRPr="00116940" w:rsidRDefault="001F1459" w:rsidP="001F1459">
      <w:pPr>
        <w:spacing w:after="0" w:line="240" w:lineRule="auto"/>
        <w:jc w:val="both"/>
        <w:rPr>
          <w:rFonts w:ascii="Verdana" w:hAnsi="Verdana"/>
        </w:rPr>
      </w:pPr>
    </w:p>
    <w:p w14:paraId="7FC2BC32" w14:textId="77777777" w:rsidR="001F1459" w:rsidRPr="00116940" w:rsidRDefault="001F1459" w:rsidP="001F1459">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6CBACA97" w14:textId="77777777" w:rsidR="001F1459" w:rsidRPr="00116940" w:rsidRDefault="001F1459" w:rsidP="001F1459">
      <w:pPr>
        <w:spacing w:after="0" w:line="240"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54FAE995" w14:textId="77777777" w:rsidR="001F1459" w:rsidRPr="00116940" w:rsidRDefault="001F1459" w:rsidP="001F1459">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8DFD42B" w14:textId="77777777" w:rsidR="001F1459" w:rsidRPr="00116940" w:rsidRDefault="001F1459" w:rsidP="001F1459">
      <w:pPr>
        <w:spacing w:after="0" w:line="240" w:lineRule="auto"/>
        <w:jc w:val="both"/>
        <w:rPr>
          <w:rFonts w:ascii="Verdana" w:hAnsi="Verdana"/>
        </w:rPr>
      </w:pPr>
    </w:p>
    <w:p w14:paraId="7DDB43B1" w14:textId="77777777" w:rsidR="001F1459" w:rsidRPr="009037F6" w:rsidRDefault="001F1459" w:rsidP="001F1459">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5FC0E7D7" w14:textId="77777777" w:rsidR="001F1459" w:rsidRPr="00492C4A" w:rsidRDefault="001F1459" w:rsidP="001F1459">
      <w:pPr>
        <w:spacing w:after="0" w:line="256" w:lineRule="auto"/>
        <w:jc w:val="both"/>
        <w:rPr>
          <w:rFonts w:ascii="Verdana" w:eastAsia="Calibri" w:hAnsi="Verdana" w:cs="Times New Roman"/>
          <w:lang w:val="es-ES_tradnl"/>
        </w:rPr>
      </w:pPr>
    </w:p>
    <w:p w14:paraId="068B1DC4" w14:textId="77777777" w:rsidR="001F1459" w:rsidRPr="00C01E3D" w:rsidRDefault="001F1459" w:rsidP="001F1459">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2201A8F1" w14:textId="58940EDC" w:rsidR="001F1459" w:rsidRDefault="001F1459" w:rsidP="001F1459">
      <w:pPr>
        <w:spacing w:after="0" w:line="256" w:lineRule="auto"/>
        <w:jc w:val="center"/>
        <w:rPr>
          <w:rFonts w:ascii="Century Gothic" w:hAnsi="Century Gothic"/>
          <w:noProof/>
          <w:sz w:val="16"/>
          <w:szCs w:val="16"/>
          <w:lang w:val="en-US"/>
        </w:rPr>
      </w:pPr>
    </w:p>
    <w:p w14:paraId="34BAFCFE" w14:textId="29813377" w:rsidR="001F1459" w:rsidRPr="002961A6" w:rsidRDefault="00E842C3" w:rsidP="001F1459">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5CA03252" wp14:editId="08B768AE">
            <wp:extent cx="3670300" cy="1423554"/>
            <wp:effectExtent l="0" t="0" r="6350" b="571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2"/>
                    <a:stretch>
                      <a:fillRect/>
                    </a:stretch>
                  </pic:blipFill>
                  <pic:spPr>
                    <a:xfrm>
                      <a:off x="0" y="0"/>
                      <a:ext cx="3891299" cy="1509270"/>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1F1459" w:rsidRPr="00D56F8A" w14:paraId="14251F89" w14:textId="77777777" w:rsidTr="00751785">
        <w:trPr>
          <w:trHeight w:val="409"/>
        </w:trPr>
        <w:tc>
          <w:tcPr>
            <w:tcW w:w="817" w:type="dxa"/>
            <w:tcBorders>
              <w:top w:val="nil"/>
              <w:left w:val="nil"/>
              <w:bottom w:val="nil"/>
              <w:right w:val="nil"/>
            </w:tcBorders>
            <w:vAlign w:val="center"/>
            <w:hideMark/>
          </w:tcPr>
          <w:p w14:paraId="04887524"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0202A9E4"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3B3C5211"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1F1459" w:rsidRPr="00D56F8A" w14:paraId="2DCD3709" w14:textId="77777777" w:rsidTr="00751785">
        <w:trPr>
          <w:trHeight w:val="409"/>
        </w:trPr>
        <w:tc>
          <w:tcPr>
            <w:tcW w:w="817" w:type="dxa"/>
            <w:tcBorders>
              <w:top w:val="nil"/>
              <w:left w:val="nil"/>
              <w:bottom w:val="nil"/>
              <w:right w:val="nil"/>
            </w:tcBorders>
            <w:vAlign w:val="center"/>
            <w:hideMark/>
          </w:tcPr>
          <w:p w14:paraId="6F378E94"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165AC5E"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74925B80"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1F1459" w:rsidRPr="00D56F8A" w14:paraId="41E4DB37" w14:textId="77777777" w:rsidTr="00751785">
        <w:trPr>
          <w:trHeight w:val="389"/>
        </w:trPr>
        <w:tc>
          <w:tcPr>
            <w:tcW w:w="817" w:type="dxa"/>
            <w:tcBorders>
              <w:top w:val="nil"/>
              <w:left w:val="nil"/>
              <w:bottom w:val="nil"/>
              <w:right w:val="nil"/>
            </w:tcBorders>
            <w:vAlign w:val="center"/>
            <w:hideMark/>
          </w:tcPr>
          <w:p w14:paraId="34C51FB9"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095ED2AE"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15C501DB" w14:textId="77777777" w:rsidR="001F1459" w:rsidRPr="00D56F8A" w:rsidRDefault="001F1459" w:rsidP="00751785">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tbl>
    <w:p w14:paraId="03BAB0B7" w14:textId="430B02E3" w:rsidR="001F1459" w:rsidRPr="000E2B93" w:rsidRDefault="001F1459" w:rsidP="001F1459">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p w14:paraId="696CB33C" w14:textId="24D3295A" w:rsidR="0036430A" w:rsidRPr="001F1459" w:rsidRDefault="0036430A" w:rsidP="001F1459"/>
    <w:sectPr w:rsidR="0036430A" w:rsidRPr="001F1459"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26F6" w14:textId="77777777" w:rsidR="002B03A5" w:rsidRDefault="002B03A5" w:rsidP="004A1847">
      <w:pPr>
        <w:spacing w:after="0" w:line="240" w:lineRule="auto"/>
      </w:pPr>
      <w:r>
        <w:separator/>
      </w:r>
    </w:p>
  </w:endnote>
  <w:endnote w:type="continuationSeparator" w:id="0">
    <w:p w14:paraId="11E50783" w14:textId="77777777" w:rsidR="002B03A5" w:rsidRDefault="002B03A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Syntax-Bold">
    <w:altName w:val="MS Gothic"/>
    <w:panose1 w:val="00000000000000000000"/>
    <w:charset w:val="80"/>
    <w:family w:val="swiss"/>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1098D821"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0A1642" w:rsidRPr="000A1642">
      <w:rPr>
        <w:rFonts w:ascii="Verdana" w:eastAsiaTheme="minorEastAsia" w:hAnsi="Verdana"/>
        <w:b/>
        <w:bCs/>
        <w:noProof/>
        <w:sz w:val="16"/>
        <w:szCs w:val="16"/>
      </w:rPr>
      <w:t>21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8DA00" w14:textId="77777777" w:rsidR="002B03A5" w:rsidRDefault="002B03A5" w:rsidP="004A1847">
      <w:pPr>
        <w:spacing w:after="0" w:line="240" w:lineRule="auto"/>
      </w:pPr>
      <w:r>
        <w:separator/>
      </w:r>
    </w:p>
  </w:footnote>
  <w:footnote w:type="continuationSeparator" w:id="0">
    <w:p w14:paraId="0F26CF54" w14:textId="77777777" w:rsidR="002B03A5" w:rsidRDefault="002B03A5" w:rsidP="004A1847">
      <w:pPr>
        <w:spacing w:after="0" w:line="240" w:lineRule="auto"/>
      </w:pPr>
      <w:r>
        <w:continuationSeparator/>
      </w:r>
    </w:p>
  </w:footnote>
  <w:footnote w:id="1">
    <w:p w14:paraId="6D211D11"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Artículo 17 de la Ley 1150 de 2007</w:t>
      </w:r>
    </w:p>
  </w:footnote>
  <w:footnote w:id="2">
    <w:p w14:paraId="2A650725"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Artículo 21 de la Ley 1150 de 2007</w:t>
      </w:r>
    </w:p>
  </w:footnote>
  <w:footnote w:id="3">
    <w:p w14:paraId="00CFD490"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Artículos 83 a 86 de la Ley 1474 de 2011</w:t>
      </w:r>
    </w:p>
  </w:footnote>
  <w:footnote w:id="4">
    <w:p w14:paraId="401A3BAE"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Consejo de Estado. Sección Tercera –Subsección C. Sentencia del 27 de noviembre de 2017.</w:t>
      </w:r>
      <w:r w:rsidRPr="002B3673">
        <w:rPr>
          <w:rFonts w:ascii="Verdana" w:hAnsi="Verdana"/>
          <w:sz w:val="16"/>
          <w:szCs w:val="16"/>
          <w:lang w:val="es-CO"/>
        </w:rPr>
        <w:t xml:space="preserve"> Exp. 51.802.</w:t>
      </w:r>
      <w:r w:rsidRPr="002B3673">
        <w:rPr>
          <w:rFonts w:ascii="Verdana" w:hAnsi="Verdana"/>
          <w:sz w:val="16"/>
          <w:szCs w:val="16"/>
        </w:rPr>
        <w:t xml:space="preserve"> C.P. Jaime Orlando Santofimio Gamboa. </w:t>
      </w:r>
    </w:p>
  </w:footnote>
  <w:footnote w:id="5">
    <w:p w14:paraId="497051DC"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Artículo 83 de la Ley 1474 de 2011</w:t>
      </w:r>
    </w:p>
  </w:footnote>
  <w:footnote w:id="6">
    <w:p w14:paraId="75014D72" w14:textId="77777777" w:rsidR="001F1459" w:rsidRPr="002B3673" w:rsidRDefault="001F1459" w:rsidP="001F1459">
      <w:pPr>
        <w:pStyle w:val="Textonotapie"/>
        <w:ind w:firstLine="709"/>
        <w:jc w:val="both"/>
        <w:rPr>
          <w:rFonts w:ascii="Verdana" w:hAnsi="Verdana"/>
          <w:sz w:val="16"/>
          <w:szCs w:val="16"/>
        </w:rPr>
      </w:pPr>
      <w:r w:rsidRPr="002B3673">
        <w:rPr>
          <w:rFonts w:ascii="Verdana" w:hAnsi="Verdana"/>
          <w:sz w:val="16"/>
          <w:szCs w:val="16"/>
          <w:vertAlign w:val="superscript"/>
        </w:rPr>
        <w:footnoteRef/>
      </w:r>
      <w:r w:rsidRPr="002B3673">
        <w:rPr>
          <w:rFonts w:ascii="Verdana" w:hAnsi="Verdana"/>
          <w:sz w:val="16"/>
          <w:szCs w:val="16"/>
        </w:rPr>
        <w:t xml:space="preserve"> A excepción de la interventoría del contrato de obra adjudicado por licitación pública que es obligatoria según el numeral 1° del artículo 32 de la Ley 80 de 1993.</w:t>
      </w:r>
    </w:p>
  </w:footnote>
  <w:footnote w:id="7">
    <w:p w14:paraId="4E04F72A" w14:textId="77777777" w:rsidR="001F1459" w:rsidRPr="002B3673" w:rsidRDefault="001F1459" w:rsidP="001F1459">
      <w:pPr>
        <w:pStyle w:val="Textonotapie"/>
        <w:adjustRightInd w:val="0"/>
        <w:snapToGrid w:val="0"/>
        <w:ind w:firstLine="709"/>
        <w:jc w:val="both"/>
        <w:rPr>
          <w:rFonts w:ascii="Verdana" w:hAnsi="Verdana" w:cs="Arial"/>
          <w:color w:val="161616"/>
          <w:sz w:val="16"/>
          <w:szCs w:val="16"/>
        </w:rPr>
      </w:pPr>
      <w:r w:rsidRPr="002B3673">
        <w:rPr>
          <w:rStyle w:val="Refdenotaalpie"/>
          <w:rFonts w:ascii="Verdana" w:hAnsi="Verdana"/>
          <w:sz w:val="16"/>
          <w:szCs w:val="16"/>
        </w:rPr>
        <w:footnoteRef/>
      </w:r>
      <w:r w:rsidRPr="002B3673">
        <w:rPr>
          <w:rFonts w:ascii="Verdana" w:hAnsi="Verdana"/>
          <w:sz w:val="16"/>
          <w:szCs w:val="16"/>
        </w:rPr>
        <w:t xml:space="preserve"> </w:t>
      </w:r>
      <w:r w:rsidRPr="002B3673">
        <w:rPr>
          <w:rFonts w:ascii="Verdana" w:hAnsi="Verdana" w:cs="Arial"/>
          <w:color w:val="161616"/>
          <w:sz w:val="16"/>
          <w:szCs w:val="16"/>
        </w:rPr>
        <w:t>“Son también contratos de consultoría los que tienen por objeto la interventoría […]”</w:t>
      </w:r>
    </w:p>
  </w:footnote>
  <w:footnote w:id="8">
    <w:p w14:paraId="2F8ADDB3" w14:textId="77777777" w:rsidR="001F1459" w:rsidRPr="002B3673" w:rsidRDefault="001F1459" w:rsidP="001F1459">
      <w:pPr>
        <w:pStyle w:val="Textonotapie"/>
        <w:ind w:firstLine="708"/>
        <w:jc w:val="both"/>
        <w:rPr>
          <w:rFonts w:ascii="Verdana" w:hAnsi="Verdana"/>
          <w:sz w:val="16"/>
          <w:szCs w:val="16"/>
          <w:lang w:val="es-CO"/>
        </w:rPr>
      </w:pPr>
      <w:r w:rsidRPr="002B3673">
        <w:rPr>
          <w:rStyle w:val="Refdenotaalpie"/>
          <w:rFonts w:ascii="Verdana" w:hAnsi="Verdana"/>
          <w:sz w:val="16"/>
          <w:szCs w:val="16"/>
        </w:rPr>
        <w:footnoteRef/>
      </w:r>
      <w:r w:rsidRPr="002B3673">
        <w:rPr>
          <w:rFonts w:ascii="Verdana" w:hAnsi="Verdana"/>
          <w:sz w:val="16"/>
          <w:szCs w:val="16"/>
        </w:rPr>
        <w:t xml:space="preserve"> </w:t>
      </w:r>
      <w:r w:rsidRPr="002B3673">
        <w:rPr>
          <w:rFonts w:ascii="Verdana" w:hAnsi="Verdana"/>
          <w:sz w:val="16"/>
          <w:szCs w:val="16"/>
          <w:lang w:val="es-CO"/>
        </w:rPr>
        <w:t>Corte Constitucional. Sentencia C-037 de 2003, M.P. Álvaro Tafur Galvis.</w:t>
      </w:r>
    </w:p>
  </w:footnote>
  <w:footnote w:id="9">
    <w:p w14:paraId="7D67F4E4" w14:textId="77777777" w:rsidR="001F1459" w:rsidRPr="002B3673" w:rsidRDefault="001F1459" w:rsidP="001F1459">
      <w:pPr>
        <w:pStyle w:val="Textonotapie"/>
        <w:ind w:firstLine="708"/>
        <w:jc w:val="both"/>
        <w:rPr>
          <w:rFonts w:ascii="Verdana" w:hAnsi="Verdana"/>
          <w:sz w:val="16"/>
          <w:szCs w:val="16"/>
          <w:lang w:val="es-CO"/>
        </w:rPr>
      </w:pPr>
      <w:r w:rsidRPr="002B3673">
        <w:rPr>
          <w:rStyle w:val="Refdenotaalpie"/>
          <w:rFonts w:ascii="Verdana" w:hAnsi="Verdana"/>
          <w:sz w:val="16"/>
          <w:szCs w:val="16"/>
        </w:rPr>
        <w:footnoteRef/>
      </w:r>
      <w:r w:rsidRPr="002B3673">
        <w:rPr>
          <w:rFonts w:ascii="Verdana" w:hAnsi="Verdana"/>
          <w:sz w:val="16"/>
          <w:szCs w:val="16"/>
        </w:rPr>
        <w:t xml:space="preserve"> RINCÓN CÓRDOBA, Jorge Iván. La interventoría y supervisión: los presupuestos en los que se desarrolla la función administrativa de vigilancia de la ejecución contractual. En: Contratos públicos: problemas, perspectivas y prospectivas. Bogotá: Universidad Externado de Colombia, 2017. p. 628. </w:t>
      </w:r>
    </w:p>
  </w:footnote>
  <w:footnote w:id="10">
    <w:p w14:paraId="182AB901" w14:textId="77777777" w:rsidR="001F1459" w:rsidRPr="002B3673" w:rsidRDefault="001F1459" w:rsidP="001F1459">
      <w:pPr>
        <w:pStyle w:val="Textonotapie"/>
        <w:ind w:firstLine="708"/>
        <w:jc w:val="both"/>
        <w:rPr>
          <w:rFonts w:ascii="Verdana" w:hAnsi="Verdana"/>
          <w:sz w:val="16"/>
          <w:szCs w:val="16"/>
          <w:lang w:val="es-CO"/>
        </w:rPr>
      </w:pPr>
      <w:r w:rsidRPr="002B3673">
        <w:rPr>
          <w:rStyle w:val="Refdenotaalpie"/>
          <w:rFonts w:ascii="Verdana" w:hAnsi="Verdana"/>
          <w:sz w:val="16"/>
          <w:szCs w:val="16"/>
        </w:rPr>
        <w:footnoteRef/>
      </w:r>
      <w:r w:rsidRPr="002B3673">
        <w:rPr>
          <w:rFonts w:ascii="Verdana" w:hAnsi="Verdana"/>
          <w:sz w:val="16"/>
          <w:szCs w:val="16"/>
        </w:rPr>
        <w:t xml:space="preserve"> </w:t>
      </w:r>
      <w:r w:rsidRPr="002B3673">
        <w:rPr>
          <w:rFonts w:ascii="Verdana" w:hAnsi="Verdana"/>
          <w:i/>
          <w:iCs/>
          <w:sz w:val="16"/>
          <w:szCs w:val="16"/>
        </w:rPr>
        <w:t>Ibidem</w:t>
      </w:r>
      <w:r w:rsidRPr="002B3673">
        <w:rPr>
          <w:rFonts w:ascii="Verdana" w:hAnsi="Verdana"/>
          <w:sz w:val="16"/>
          <w:szCs w:val="16"/>
        </w:rPr>
        <w:t>, p. 629.</w:t>
      </w:r>
    </w:p>
  </w:footnote>
  <w:footnote w:id="11">
    <w:p w14:paraId="3A081DAD" w14:textId="77777777" w:rsidR="001F1459" w:rsidRPr="000C292B" w:rsidRDefault="001F1459" w:rsidP="001F1459">
      <w:pPr>
        <w:pStyle w:val="Textonotapie"/>
        <w:ind w:firstLine="708"/>
        <w:jc w:val="both"/>
        <w:rPr>
          <w:rFonts w:ascii="Verdana" w:hAnsi="Verdana"/>
          <w:sz w:val="16"/>
          <w:szCs w:val="16"/>
          <w:lang w:val="es-CO"/>
        </w:rPr>
      </w:pPr>
      <w:r w:rsidRPr="002B3673">
        <w:rPr>
          <w:rStyle w:val="Refdenotaalpie"/>
          <w:rFonts w:ascii="Verdana" w:hAnsi="Verdana"/>
          <w:sz w:val="16"/>
          <w:szCs w:val="16"/>
        </w:rPr>
        <w:footnoteRef/>
      </w:r>
      <w:r w:rsidRPr="002B3673">
        <w:rPr>
          <w:rFonts w:ascii="Verdana" w:hAnsi="Verdana"/>
          <w:sz w:val="16"/>
          <w:szCs w:val="16"/>
        </w:rPr>
        <w:t xml:space="preserve"> SUÁREZ BELTRÁN, Gonzalo. Estudios de derecho contractual público. Bogotá: Universidad Pontificia Javeriana – Legis, 2014. p. 259.</w:t>
      </w:r>
    </w:p>
  </w:footnote>
  <w:footnote w:id="12">
    <w:p w14:paraId="6467462B" w14:textId="77777777" w:rsidR="001F1459" w:rsidRPr="000C292B" w:rsidRDefault="001F1459" w:rsidP="001F1459">
      <w:pPr>
        <w:pStyle w:val="Textonotapie"/>
        <w:ind w:firstLine="708"/>
        <w:jc w:val="both"/>
        <w:rPr>
          <w:rFonts w:ascii="Verdana" w:hAnsi="Verdana"/>
          <w:sz w:val="16"/>
          <w:szCs w:val="16"/>
          <w:lang w:val="es-CO"/>
        </w:rPr>
      </w:pPr>
      <w:r w:rsidRPr="002B3673">
        <w:rPr>
          <w:rStyle w:val="Refdenotaalpie"/>
          <w:rFonts w:ascii="Verdana" w:hAnsi="Verdana"/>
          <w:sz w:val="16"/>
          <w:szCs w:val="16"/>
        </w:rPr>
        <w:footnoteRef/>
      </w:r>
      <w:r w:rsidRPr="002B3673">
        <w:rPr>
          <w:rFonts w:ascii="Verdana" w:hAnsi="Verdana"/>
          <w:sz w:val="16"/>
          <w:szCs w:val="16"/>
        </w:rPr>
        <w:t xml:space="preserve"> </w:t>
      </w:r>
      <w:r w:rsidRPr="002B3673">
        <w:rPr>
          <w:rFonts w:ascii="Verdana" w:hAnsi="Verdana"/>
          <w:i/>
          <w:iCs/>
          <w:sz w:val="16"/>
          <w:szCs w:val="16"/>
        </w:rPr>
        <w:t>Ibidem</w:t>
      </w:r>
      <w:r w:rsidRPr="002B3673">
        <w:rPr>
          <w:rFonts w:ascii="Verdana" w:hAnsi="Verdana"/>
          <w:sz w:val="16"/>
          <w:szCs w:val="16"/>
        </w:rPr>
        <w:t>.</w:t>
      </w:r>
    </w:p>
  </w:footnote>
  <w:footnote w:id="13">
    <w:p w14:paraId="68FBD508" w14:textId="77777777" w:rsidR="001F1459" w:rsidRPr="002B3673" w:rsidRDefault="001F1459" w:rsidP="001F1459">
      <w:pPr>
        <w:pStyle w:val="Textonotapie"/>
        <w:ind w:firstLine="708"/>
        <w:jc w:val="both"/>
        <w:rPr>
          <w:rFonts w:ascii="Verdana" w:hAnsi="Verdana"/>
          <w:sz w:val="16"/>
          <w:szCs w:val="16"/>
        </w:rPr>
      </w:pPr>
      <w:r w:rsidRPr="002B3673">
        <w:rPr>
          <w:rStyle w:val="Refdenotaalpie"/>
          <w:rFonts w:ascii="Verdana" w:hAnsi="Verdana"/>
          <w:sz w:val="16"/>
          <w:szCs w:val="16"/>
        </w:rPr>
        <w:footnoteRef/>
      </w:r>
      <w:r w:rsidRPr="002B3673">
        <w:rPr>
          <w:rFonts w:ascii="Verdana" w:hAnsi="Verdana"/>
          <w:sz w:val="16"/>
          <w:szCs w:val="16"/>
        </w:rPr>
        <w:t xml:space="preserve"> SÁNCHEZ TORRES, Carlos Ariel y otros. </w:t>
      </w:r>
      <w:r w:rsidRPr="002B3673">
        <w:rPr>
          <w:rFonts w:ascii="Verdana" w:hAnsi="Verdana"/>
          <w:i/>
          <w:sz w:val="16"/>
          <w:szCs w:val="16"/>
        </w:rPr>
        <w:t>Responsabilidad fiscal y control al gasto público.</w:t>
      </w:r>
      <w:r w:rsidRPr="002B3673">
        <w:rPr>
          <w:rFonts w:ascii="Verdana" w:hAnsi="Verdana"/>
          <w:sz w:val="16"/>
          <w:szCs w:val="16"/>
        </w:rPr>
        <w:t xml:space="preserve"> Bogotá: Editorial Jurídica Diké y Centro Editorial Universidad del Rosario, 2004, p. 99.</w:t>
      </w:r>
    </w:p>
  </w:footnote>
  <w:footnote w:id="14">
    <w:p w14:paraId="202885F3" w14:textId="77777777" w:rsidR="001F1459" w:rsidRPr="002B3673" w:rsidRDefault="001F1459" w:rsidP="001F1459">
      <w:pPr>
        <w:pStyle w:val="Textonotapie"/>
        <w:ind w:firstLine="708"/>
        <w:jc w:val="both"/>
        <w:rPr>
          <w:rFonts w:ascii="Verdana" w:hAnsi="Verdana"/>
          <w:sz w:val="16"/>
          <w:szCs w:val="16"/>
        </w:rPr>
      </w:pPr>
      <w:r w:rsidRPr="002B3673">
        <w:rPr>
          <w:rStyle w:val="Refdenotaalpie"/>
          <w:rFonts w:ascii="Verdana" w:hAnsi="Verdana"/>
          <w:sz w:val="16"/>
          <w:szCs w:val="16"/>
        </w:rPr>
        <w:footnoteRef/>
      </w:r>
      <w:r w:rsidRPr="002B3673">
        <w:rPr>
          <w:rFonts w:ascii="Verdana" w:hAnsi="Verdana"/>
          <w:sz w:val="16"/>
          <w:szCs w:val="16"/>
        </w:rPr>
        <w:t xml:space="preserve"> Antonio Thomas Arias expresa: “[…]Si bien es claro que la responsabilidad fiscal puede con facilidad ser distinguida de la penal y disciplinaria –que son esencia sancionatorias</w:t>
      </w:r>
      <w:r w:rsidRPr="002B3673">
        <w:rPr>
          <w:rFonts w:ascii="Verdana" w:hAnsi="Verdana"/>
          <w:sz w:val="16"/>
          <w:szCs w:val="16"/>
        </w:rPr>
        <w:noBreakHyphen/>
        <w:t>, no ocurre lo mismo en relación con su matriz, la responsabilidad civil, pues ambas persiguen el resarcimiento de los daños ocasionados por un hecho ilícito, sólo que en el caso de la responsabilidad fiscal ese daño que se busca reparar debe haber sido ocasionado “en ejercicio de la gestión fiscal”. En cambio, en la responsabilidad civil se busca la indemnización, reparación o resarcimiento de los daños ocasionados por un hecho ilícito, y en este sentido engloba a la fiscal, a tal punto que obtenida la reparación integral del daño inferido al patrimonio público por un servidor público en ejercicio de una gestión fiscal, vg. en un proceso penal con constitución de parte civil, no tiene cabida el proceso de responsabilidad fiscal</w:t>
      </w:r>
      <w:r w:rsidRPr="002B3673">
        <w:rPr>
          <w:rFonts w:ascii="Verdana" w:hAnsi="Verdana"/>
          <w:color w:val="000000"/>
          <w:sz w:val="16"/>
          <w:szCs w:val="16"/>
        </w:rPr>
        <w:t>”. (</w:t>
      </w:r>
      <w:r w:rsidRPr="002B3673">
        <w:rPr>
          <w:rFonts w:ascii="Verdana" w:hAnsi="Verdana"/>
          <w:sz w:val="16"/>
          <w:szCs w:val="16"/>
        </w:rPr>
        <w:t xml:space="preserve">THOMAS ARIAS, Antonio. La </w:t>
      </w:r>
      <w:r w:rsidRPr="002B3673">
        <w:rPr>
          <w:rFonts w:ascii="Verdana" w:hAnsi="Verdana"/>
          <w:i/>
          <w:sz w:val="16"/>
          <w:szCs w:val="16"/>
        </w:rPr>
        <w:t>culpa en la responsabilidad fiscal</w:t>
      </w:r>
      <w:r w:rsidRPr="002B3673">
        <w:rPr>
          <w:rFonts w:ascii="Verdana" w:hAnsi="Verdana"/>
          <w:sz w:val="16"/>
          <w:szCs w:val="16"/>
        </w:rPr>
        <w:t>.</w:t>
      </w:r>
      <w:r w:rsidRPr="002B3673">
        <w:rPr>
          <w:rFonts w:ascii="Verdana" w:hAnsi="Verdana"/>
          <w:color w:val="000000"/>
          <w:sz w:val="16"/>
          <w:szCs w:val="16"/>
        </w:rPr>
        <w:t xml:space="preserve"> </w:t>
      </w:r>
      <w:r w:rsidRPr="002B3673">
        <w:rPr>
          <w:rFonts w:ascii="Verdana" w:hAnsi="Verdana"/>
          <w:sz w:val="16"/>
          <w:szCs w:val="16"/>
        </w:rPr>
        <w:t xml:space="preserve">En: Revista Sindéresis No 7. Bogotá: Auditoría General de la República, 2003, p. 49). </w:t>
      </w:r>
    </w:p>
  </w:footnote>
  <w:footnote w:id="15">
    <w:p w14:paraId="4DA78049" w14:textId="77777777" w:rsidR="001F1459" w:rsidRPr="002B3673" w:rsidRDefault="001F1459" w:rsidP="001F1459">
      <w:pPr>
        <w:pStyle w:val="Textonotapie"/>
        <w:ind w:firstLine="708"/>
        <w:jc w:val="both"/>
        <w:rPr>
          <w:rFonts w:ascii="Verdana" w:hAnsi="Verdana"/>
          <w:sz w:val="16"/>
          <w:szCs w:val="16"/>
        </w:rPr>
      </w:pPr>
      <w:r w:rsidRPr="002B3673">
        <w:rPr>
          <w:rStyle w:val="Refdenotaalpie"/>
          <w:rFonts w:ascii="Verdana" w:hAnsi="Verdana"/>
          <w:sz w:val="16"/>
          <w:szCs w:val="16"/>
        </w:rPr>
        <w:footnoteRef/>
      </w:r>
      <w:r w:rsidRPr="002B3673">
        <w:rPr>
          <w:rFonts w:ascii="Verdana" w:hAnsi="Verdana"/>
          <w:sz w:val="16"/>
          <w:szCs w:val="16"/>
        </w:rPr>
        <w:t xml:space="preserve"> Corte Constitucional. Sentencia C-840 de 2001, M.P. Jaime Araujo Renteria. </w:t>
      </w:r>
    </w:p>
  </w:footnote>
  <w:footnote w:id="16">
    <w:p w14:paraId="2DF15586" w14:textId="77777777" w:rsidR="001F1459" w:rsidRPr="008551B2" w:rsidRDefault="001F1459" w:rsidP="001F1459">
      <w:pPr>
        <w:pStyle w:val="Textonotapie"/>
        <w:ind w:firstLine="708"/>
        <w:rPr>
          <w:lang w:val="es-CO"/>
        </w:rPr>
      </w:pPr>
      <w:r w:rsidRPr="002B3673">
        <w:rPr>
          <w:rStyle w:val="Refdenotaalpie"/>
          <w:rFonts w:ascii="Verdana" w:hAnsi="Verdana"/>
          <w:sz w:val="16"/>
          <w:szCs w:val="16"/>
        </w:rPr>
        <w:footnoteRef/>
      </w:r>
      <w:r w:rsidRPr="002B3673">
        <w:rPr>
          <w:rFonts w:ascii="Verdana" w:hAnsi="Verdana"/>
          <w:sz w:val="16"/>
          <w:szCs w:val="16"/>
        </w:rPr>
        <w:t xml:space="preserve"> RODRIGUEZ TAMAYO, Mauricio. La gestión fiscal de los contratistas del Estado. Bogotá: Tirant lo Blanch, 2026. p. 101.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0C755D"/>
    <w:multiLevelType w:val="hybridMultilevel"/>
    <w:tmpl w:val="EEC21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56886124">
    <w:abstractNumId w:val="10"/>
  </w:num>
  <w:num w:numId="2" w16cid:durableId="348219027">
    <w:abstractNumId w:val="2"/>
  </w:num>
  <w:num w:numId="3" w16cid:durableId="1352683947">
    <w:abstractNumId w:val="8"/>
  </w:num>
  <w:num w:numId="4" w16cid:durableId="964772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364703">
    <w:abstractNumId w:val="2"/>
  </w:num>
  <w:num w:numId="6" w16cid:durableId="956371318">
    <w:abstractNumId w:val="17"/>
  </w:num>
  <w:num w:numId="7" w16cid:durableId="1872305839">
    <w:abstractNumId w:val="9"/>
  </w:num>
  <w:num w:numId="8" w16cid:durableId="259533706">
    <w:abstractNumId w:val="16"/>
  </w:num>
  <w:num w:numId="9" w16cid:durableId="1984233994">
    <w:abstractNumId w:val="11"/>
  </w:num>
  <w:num w:numId="10" w16cid:durableId="901331453">
    <w:abstractNumId w:val="15"/>
  </w:num>
  <w:num w:numId="11" w16cid:durableId="103809298">
    <w:abstractNumId w:val="12"/>
  </w:num>
  <w:num w:numId="12" w16cid:durableId="386271044">
    <w:abstractNumId w:val="0"/>
  </w:num>
  <w:num w:numId="13" w16cid:durableId="284577797">
    <w:abstractNumId w:val="5"/>
  </w:num>
  <w:num w:numId="14" w16cid:durableId="1404569397">
    <w:abstractNumId w:val="18"/>
  </w:num>
  <w:num w:numId="15" w16cid:durableId="1351839890">
    <w:abstractNumId w:val="14"/>
  </w:num>
  <w:num w:numId="16" w16cid:durableId="426392047">
    <w:abstractNumId w:val="6"/>
  </w:num>
  <w:num w:numId="17" w16cid:durableId="2126734863">
    <w:abstractNumId w:val="13"/>
  </w:num>
  <w:num w:numId="18" w16cid:durableId="1204369693">
    <w:abstractNumId w:val="21"/>
  </w:num>
  <w:num w:numId="19" w16cid:durableId="105856605">
    <w:abstractNumId w:val="20"/>
  </w:num>
  <w:num w:numId="20" w16cid:durableId="1365904929">
    <w:abstractNumId w:val="1"/>
  </w:num>
  <w:num w:numId="21" w16cid:durableId="760493059">
    <w:abstractNumId w:val="4"/>
  </w:num>
  <w:num w:numId="22" w16cid:durableId="431900297">
    <w:abstractNumId w:val="7"/>
  </w:num>
  <w:num w:numId="23" w16cid:durableId="966206228">
    <w:abstractNumId w:val="3"/>
  </w:num>
  <w:num w:numId="24" w16cid:durableId="11919169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38FA"/>
    <w:rsid w:val="000134D5"/>
    <w:rsid w:val="00016F78"/>
    <w:rsid w:val="00031330"/>
    <w:rsid w:val="0003183B"/>
    <w:rsid w:val="000353BD"/>
    <w:rsid w:val="00046945"/>
    <w:rsid w:val="00061B2A"/>
    <w:rsid w:val="00065FE6"/>
    <w:rsid w:val="000711CF"/>
    <w:rsid w:val="00076D52"/>
    <w:rsid w:val="00080B1D"/>
    <w:rsid w:val="00082362"/>
    <w:rsid w:val="000842B8"/>
    <w:rsid w:val="0009079C"/>
    <w:rsid w:val="000A0C51"/>
    <w:rsid w:val="000A1642"/>
    <w:rsid w:val="000A66E5"/>
    <w:rsid w:val="000A683E"/>
    <w:rsid w:val="000B0FAA"/>
    <w:rsid w:val="000B19B9"/>
    <w:rsid w:val="000B27F0"/>
    <w:rsid w:val="000C292B"/>
    <w:rsid w:val="000C5A9E"/>
    <w:rsid w:val="000D0334"/>
    <w:rsid w:val="000D1DC8"/>
    <w:rsid w:val="000D4734"/>
    <w:rsid w:val="000D5DA7"/>
    <w:rsid w:val="000E2298"/>
    <w:rsid w:val="000E45B0"/>
    <w:rsid w:val="000E6E2C"/>
    <w:rsid w:val="000F01E9"/>
    <w:rsid w:val="000F078F"/>
    <w:rsid w:val="000F2280"/>
    <w:rsid w:val="000F3444"/>
    <w:rsid w:val="000F512E"/>
    <w:rsid w:val="000F51CC"/>
    <w:rsid w:val="000F6486"/>
    <w:rsid w:val="000F7FD4"/>
    <w:rsid w:val="00102D96"/>
    <w:rsid w:val="0010576C"/>
    <w:rsid w:val="00105C57"/>
    <w:rsid w:val="00113E8F"/>
    <w:rsid w:val="00115F20"/>
    <w:rsid w:val="001161CA"/>
    <w:rsid w:val="001168F2"/>
    <w:rsid w:val="00116940"/>
    <w:rsid w:val="0012394B"/>
    <w:rsid w:val="00125105"/>
    <w:rsid w:val="00127233"/>
    <w:rsid w:val="001328F3"/>
    <w:rsid w:val="001352A2"/>
    <w:rsid w:val="001428DC"/>
    <w:rsid w:val="00150E6A"/>
    <w:rsid w:val="0015699B"/>
    <w:rsid w:val="00171640"/>
    <w:rsid w:val="00174D6E"/>
    <w:rsid w:val="001835B4"/>
    <w:rsid w:val="0019787F"/>
    <w:rsid w:val="001A1DE9"/>
    <w:rsid w:val="001A33BF"/>
    <w:rsid w:val="001A360F"/>
    <w:rsid w:val="001C5AE4"/>
    <w:rsid w:val="001C61B3"/>
    <w:rsid w:val="001D02CC"/>
    <w:rsid w:val="001D1146"/>
    <w:rsid w:val="001D64AE"/>
    <w:rsid w:val="001E054F"/>
    <w:rsid w:val="001E2E05"/>
    <w:rsid w:val="001E4177"/>
    <w:rsid w:val="001E6B6A"/>
    <w:rsid w:val="001F0100"/>
    <w:rsid w:val="001F0B24"/>
    <w:rsid w:val="001F1459"/>
    <w:rsid w:val="001F7DC6"/>
    <w:rsid w:val="00202174"/>
    <w:rsid w:val="00207466"/>
    <w:rsid w:val="00207A60"/>
    <w:rsid w:val="00210C0E"/>
    <w:rsid w:val="00211E12"/>
    <w:rsid w:val="00212AD1"/>
    <w:rsid w:val="00217FCA"/>
    <w:rsid w:val="0022067E"/>
    <w:rsid w:val="002209DE"/>
    <w:rsid w:val="0022400B"/>
    <w:rsid w:val="002421BB"/>
    <w:rsid w:val="00244E44"/>
    <w:rsid w:val="00253436"/>
    <w:rsid w:val="0025796E"/>
    <w:rsid w:val="00261233"/>
    <w:rsid w:val="0026579C"/>
    <w:rsid w:val="002707A2"/>
    <w:rsid w:val="0027257E"/>
    <w:rsid w:val="00275482"/>
    <w:rsid w:val="00277C07"/>
    <w:rsid w:val="0028285D"/>
    <w:rsid w:val="0028778F"/>
    <w:rsid w:val="00292260"/>
    <w:rsid w:val="002951A0"/>
    <w:rsid w:val="002962BC"/>
    <w:rsid w:val="002975A4"/>
    <w:rsid w:val="002A093D"/>
    <w:rsid w:val="002A0DD0"/>
    <w:rsid w:val="002A49AC"/>
    <w:rsid w:val="002A64FD"/>
    <w:rsid w:val="002A7112"/>
    <w:rsid w:val="002B03A5"/>
    <w:rsid w:val="002B3673"/>
    <w:rsid w:val="002B730F"/>
    <w:rsid w:val="002C7A84"/>
    <w:rsid w:val="002D61CA"/>
    <w:rsid w:val="002D6D08"/>
    <w:rsid w:val="002E05EF"/>
    <w:rsid w:val="002E2BF8"/>
    <w:rsid w:val="002E4FD9"/>
    <w:rsid w:val="002F0847"/>
    <w:rsid w:val="002F5BC0"/>
    <w:rsid w:val="0030657A"/>
    <w:rsid w:val="003136DC"/>
    <w:rsid w:val="003156BF"/>
    <w:rsid w:val="00316053"/>
    <w:rsid w:val="00322A85"/>
    <w:rsid w:val="00322C00"/>
    <w:rsid w:val="00322D77"/>
    <w:rsid w:val="00324168"/>
    <w:rsid w:val="00330834"/>
    <w:rsid w:val="003332A8"/>
    <w:rsid w:val="00335439"/>
    <w:rsid w:val="00337394"/>
    <w:rsid w:val="003448F4"/>
    <w:rsid w:val="00350382"/>
    <w:rsid w:val="0036430A"/>
    <w:rsid w:val="00374F5E"/>
    <w:rsid w:val="003769E1"/>
    <w:rsid w:val="00377E3E"/>
    <w:rsid w:val="00381BAB"/>
    <w:rsid w:val="003A6450"/>
    <w:rsid w:val="003A779E"/>
    <w:rsid w:val="003B0DFC"/>
    <w:rsid w:val="003B698B"/>
    <w:rsid w:val="003C0ED7"/>
    <w:rsid w:val="003C7106"/>
    <w:rsid w:val="003D0F4D"/>
    <w:rsid w:val="003D494E"/>
    <w:rsid w:val="003D5B0D"/>
    <w:rsid w:val="003D7A75"/>
    <w:rsid w:val="003E0499"/>
    <w:rsid w:val="003E2C4F"/>
    <w:rsid w:val="003E4F80"/>
    <w:rsid w:val="003E6439"/>
    <w:rsid w:val="003F18C5"/>
    <w:rsid w:val="003F1FD8"/>
    <w:rsid w:val="003F2204"/>
    <w:rsid w:val="003F3941"/>
    <w:rsid w:val="00402960"/>
    <w:rsid w:val="00403EFA"/>
    <w:rsid w:val="004041CC"/>
    <w:rsid w:val="00406575"/>
    <w:rsid w:val="004140B3"/>
    <w:rsid w:val="00414652"/>
    <w:rsid w:val="00414C74"/>
    <w:rsid w:val="00425D8F"/>
    <w:rsid w:val="0042601D"/>
    <w:rsid w:val="0042722E"/>
    <w:rsid w:val="0044528D"/>
    <w:rsid w:val="004507E1"/>
    <w:rsid w:val="00451137"/>
    <w:rsid w:val="00452C2C"/>
    <w:rsid w:val="0045369C"/>
    <w:rsid w:val="004555EA"/>
    <w:rsid w:val="0045785F"/>
    <w:rsid w:val="0046365F"/>
    <w:rsid w:val="00466E39"/>
    <w:rsid w:val="00480B7B"/>
    <w:rsid w:val="00484E40"/>
    <w:rsid w:val="0048787A"/>
    <w:rsid w:val="00490116"/>
    <w:rsid w:val="00492C4A"/>
    <w:rsid w:val="00494F04"/>
    <w:rsid w:val="004A0A0B"/>
    <w:rsid w:val="004A0E5C"/>
    <w:rsid w:val="004A1847"/>
    <w:rsid w:val="004A305D"/>
    <w:rsid w:val="004A59E2"/>
    <w:rsid w:val="004B3DAC"/>
    <w:rsid w:val="004B73B9"/>
    <w:rsid w:val="004C0DBB"/>
    <w:rsid w:val="004C7E87"/>
    <w:rsid w:val="004D2B6F"/>
    <w:rsid w:val="004E2B92"/>
    <w:rsid w:val="004F21C4"/>
    <w:rsid w:val="004F4F55"/>
    <w:rsid w:val="004F685F"/>
    <w:rsid w:val="005000A1"/>
    <w:rsid w:val="00502B46"/>
    <w:rsid w:val="0050657F"/>
    <w:rsid w:val="00506C9D"/>
    <w:rsid w:val="00513BF7"/>
    <w:rsid w:val="00517955"/>
    <w:rsid w:val="0052084E"/>
    <w:rsid w:val="005229DB"/>
    <w:rsid w:val="0052305F"/>
    <w:rsid w:val="00534886"/>
    <w:rsid w:val="00536A0E"/>
    <w:rsid w:val="00544BA2"/>
    <w:rsid w:val="0055262A"/>
    <w:rsid w:val="00553040"/>
    <w:rsid w:val="00553586"/>
    <w:rsid w:val="005566E8"/>
    <w:rsid w:val="00560892"/>
    <w:rsid w:val="00562247"/>
    <w:rsid w:val="005647CD"/>
    <w:rsid w:val="00566DEF"/>
    <w:rsid w:val="0056719C"/>
    <w:rsid w:val="00570B00"/>
    <w:rsid w:val="00572622"/>
    <w:rsid w:val="0057267B"/>
    <w:rsid w:val="0057292D"/>
    <w:rsid w:val="00573280"/>
    <w:rsid w:val="00574867"/>
    <w:rsid w:val="00591460"/>
    <w:rsid w:val="00592C94"/>
    <w:rsid w:val="005A2CAB"/>
    <w:rsid w:val="005A46FB"/>
    <w:rsid w:val="005A52A7"/>
    <w:rsid w:val="005A65E0"/>
    <w:rsid w:val="005C0881"/>
    <w:rsid w:val="005C32D8"/>
    <w:rsid w:val="005C3777"/>
    <w:rsid w:val="005C5CDC"/>
    <w:rsid w:val="005D2566"/>
    <w:rsid w:val="005D476C"/>
    <w:rsid w:val="005F20A4"/>
    <w:rsid w:val="00600D92"/>
    <w:rsid w:val="00603C5B"/>
    <w:rsid w:val="00611CE6"/>
    <w:rsid w:val="006137E1"/>
    <w:rsid w:val="00617200"/>
    <w:rsid w:val="00617E91"/>
    <w:rsid w:val="006200BF"/>
    <w:rsid w:val="006207D5"/>
    <w:rsid w:val="0062143E"/>
    <w:rsid w:val="006219F8"/>
    <w:rsid w:val="00624A89"/>
    <w:rsid w:val="00624EEC"/>
    <w:rsid w:val="006302F7"/>
    <w:rsid w:val="00630B53"/>
    <w:rsid w:val="0063313F"/>
    <w:rsid w:val="00641917"/>
    <w:rsid w:val="0064332F"/>
    <w:rsid w:val="00646B9F"/>
    <w:rsid w:val="00646F24"/>
    <w:rsid w:val="006547C3"/>
    <w:rsid w:val="00660C46"/>
    <w:rsid w:val="00663A04"/>
    <w:rsid w:val="00664CD8"/>
    <w:rsid w:val="00665D70"/>
    <w:rsid w:val="006848AE"/>
    <w:rsid w:val="00684D61"/>
    <w:rsid w:val="00684F67"/>
    <w:rsid w:val="0068758B"/>
    <w:rsid w:val="006900D9"/>
    <w:rsid w:val="0069741A"/>
    <w:rsid w:val="006A2BE4"/>
    <w:rsid w:val="006A783F"/>
    <w:rsid w:val="006B4707"/>
    <w:rsid w:val="006C3A66"/>
    <w:rsid w:val="006D13BA"/>
    <w:rsid w:val="006D591D"/>
    <w:rsid w:val="006D64EE"/>
    <w:rsid w:val="006F2238"/>
    <w:rsid w:val="006F3C71"/>
    <w:rsid w:val="006F4199"/>
    <w:rsid w:val="006F4EF4"/>
    <w:rsid w:val="007009D7"/>
    <w:rsid w:val="007025D7"/>
    <w:rsid w:val="00706BE8"/>
    <w:rsid w:val="00706C16"/>
    <w:rsid w:val="00714AEB"/>
    <w:rsid w:val="0071557C"/>
    <w:rsid w:val="0073164F"/>
    <w:rsid w:val="00731F30"/>
    <w:rsid w:val="007323F5"/>
    <w:rsid w:val="00733E3A"/>
    <w:rsid w:val="007340C3"/>
    <w:rsid w:val="0073510E"/>
    <w:rsid w:val="0074248C"/>
    <w:rsid w:val="00743B1A"/>
    <w:rsid w:val="007458D3"/>
    <w:rsid w:val="0074600B"/>
    <w:rsid w:val="0075235A"/>
    <w:rsid w:val="00752CDB"/>
    <w:rsid w:val="0075557D"/>
    <w:rsid w:val="00756841"/>
    <w:rsid w:val="007649AB"/>
    <w:rsid w:val="0076664C"/>
    <w:rsid w:val="007667F5"/>
    <w:rsid w:val="00771AEF"/>
    <w:rsid w:val="00771D0C"/>
    <w:rsid w:val="007805EB"/>
    <w:rsid w:val="007808AA"/>
    <w:rsid w:val="007810BC"/>
    <w:rsid w:val="00782ED2"/>
    <w:rsid w:val="007833AC"/>
    <w:rsid w:val="0078636D"/>
    <w:rsid w:val="00786D16"/>
    <w:rsid w:val="00790F16"/>
    <w:rsid w:val="00794575"/>
    <w:rsid w:val="00795086"/>
    <w:rsid w:val="007A037B"/>
    <w:rsid w:val="007A1830"/>
    <w:rsid w:val="007A20F3"/>
    <w:rsid w:val="007A321F"/>
    <w:rsid w:val="007B268C"/>
    <w:rsid w:val="007B7171"/>
    <w:rsid w:val="007C0C0F"/>
    <w:rsid w:val="007C3DC2"/>
    <w:rsid w:val="007C4353"/>
    <w:rsid w:val="007C6F05"/>
    <w:rsid w:val="007D0725"/>
    <w:rsid w:val="007D2A87"/>
    <w:rsid w:val="007D3058"/>
    <w:rsid w:val="007D4123"/>
    <w:rsid w:val="007D4B12"/>
    <w:rsid w:val="007D6C03"/>
    <w:rsid w:val="007E43AC"/>
    <w:rsid w:val="007E5497"/>
    <w:rsid w:val="007F2587"/>
    <w:rsid w:val="00803584"/>
    <w:rsid w:val="00806F5F"/>
    <w:rsid w:val="00807D6C"/>
    <w:rsid w:val="008103F6"/>
    <w:rsid w:val="00814DE2"/>
    <w:rsid w:val="00817F1D"/>
    <w:rsid w:val="00820278"/>
    <w:rsid w:val="00820AA6"/>
    <w:rsid w:val="00823075"/>
    <w:rsid w:val="008258C9"/>
    <w:rsid w:val="00830893"/>
    <w:rsid w:val="00833286"/>
    <w:rsid w:val="00836232"/>
    <w:rsid w:val="0084164A"/>
    <w:rsid w:val="00841E29"/>
    <w:rsid w:val="00844AE9"/>
    <w:rsid w:val="008517FE"/>
    <w:rsid w:val="008549E6"/>
    <w:rsid w:val="008551B2"/>
    <w:rsid w:val="0085545E"/>
    <w:rsid w:val="00857B08"/>
    <w:rsid w:val="0086623D"/>
    <w:rsid w:val="00867F95"/>
    <w:rsid w:val="00871AAC"/>
    <w:rsid w:val="0088269E"/>
    <w:rsid w:val="008843B6"/>
    <w:rsid w:val="00886410"/>
    <w:rsid w:val="00891928"/>
    <w:rsid w:val="008A03FE"/>
    <w:rsid w:val="008A446D"/>
    <w:rsid w:val="008B0D0F"/>
    <w:rsid w:val="008B20AF"/>
    <w:rsid w:val="008B25F1"/>
    <w:rsid w:val="008B2B98"/>
    <w:rsid w:val="008C11FD"/>
    <w:rsid w:val="008C4DD5"/>
    <w:rsid w:val="008C517A"/>
    <w:rsid w:val="008C6AE5"/>
    <w:rsid w:val="008D1660"/>
    <w:rsid w:val="008D180B"/>
    <w:rsid w:val="008E5278"/>
    <w:rsid w:val="008F0EA7"/>
    <w:rsid w:val="008F17DC"/>
    <w:rsid w:val="008F4334"/>
    <w:rsid w:val="008F553F"/>
    <w:rsid w:val="008F57BF"/>
    <w:rsid w:val="008F6705"/>
    <w:rsid w:val="00901213"/>
    <w:rsid w:val="009037F6"/>
    <w:rsid w:val="0091143C"/>
    <w:rsid w:val="00920817"/>
    <w:rsid w:val="00923EEF"/>
    <w:rsid w:val="00933E3F"/>
    <w:rsid w:val="00941242"/>
    <w:rsid w:val="009419F9"/>
    <w:rsid w:val="0095685E"/>
    <w:rsid w:val="00961B09"/>
    <w:rsid w:val="00963E12"/>
    <w:rsid w:val="00964321"/>
    <w:rsid w:val="00965334"/>
    <w:rsid w:val="0096691A"/>
    <w:rsid w:val="0097093E"/>
    <w:rsid w:val="009722DE"/>
    <w:rsid w:val="00984DB3"/>
    <w:rsid w:val="00992E19"/>
    <w:rsid w:val="009A0486"/>
    <w:rsid w:val="009A0DFA"/>
    <w:rsid w:val="009A2C34"/>
    <w:rsid w:val="009A3D17"/>
    <w:rsid w:val="009B1929"/>
    <w:rsid w:val="009B28B9"/>
    <w:rsid w:val="009B2D26"/>
    <w:rsid w:val="009C1B98"/>
    <w:rsid w:val="009C71FA"/>
    <w:rsid w:val="009C72E7"/>
    <w:rsid w:val="009C7F7E"/>
    <w:rsid w:val="009D23F2"/>
    <w:rsid w:val="009D3058"/>
    <w:rsid w:val="009E1F28"/>
    <w:rsid w:val="009E6924"/>
    <w:rsid w:val="009E7AED"/>
    <w:rsid w:val="009F3A13"/>
    <w:rsid w:val="009F4B67"/>
    <w:rsid w:val="009F7A6E"/>
    <w:rsid w:val="009F7FC8"/>
    <w:rsid w:val="00A00B43"/>
    <w:rsid w:val="00A01572"/>
    <w:rsid w:val="00A022E4"/>
    <w:rsid w:val="00A0334B"/>
    <w:rsid w:val="00A04BFC"/>
    <w:rsid w:val="00A0526C"/>
    <w:rsid w:val="00A11AFE"/>
    <w:rsid w:val="00A122D3"/>
    <w:rsid w:val="00A12734"/>
    <w:rsid w:val="00A14468"/>
    <w:rsid w:val="00A17F13"/>
    <w:rsid w:val="00A20739"/>
    <w:rsid w:val="00A23AF9"/>
    <w:rsid w:val="00A31A76"/>
    <w:rsid w:val="00A33C78"/>
    <w:rsid w:val="00A464B5"/>
    <w:rsid w:val="00A52616"/>
    <w:rsid w:val="00A53338"/>
    <w:rsid w:val="00A73F45"/>
    <w:rsid w:val="00A753C9"/>
    <w:rsid w:val="00AA1B49"/>
    <w:rsid w:val="00AA1E47"/>
    <w:rsid w:val="00AB0ADB"/>
    <w:rsid w:val="00AB160D"/>
    <w:rsid w:val="00AB436E"/>
    <w:rsid w:val="00AB78B9"/>
    <w:rsid w:val="00AC1AC9"/>
    <w:rsid w:val="00AD173A"/>
    <w:rsid w:val="00AD24EB"/>
    <w:rsid w:val="00AD444C"/>
    <w:rsid w:val="00AD5E68"/>
    <w:rsid w:val="00AD7D5F"/>
    <w:rsid w:val="00AE1F6E"/>
    <w:rsid w:val="00AE3513"/>
    <w:rsid w:val="00AE5DD2"/>
    <w:rsid w:val="00AE64FF"/>
    <w:rsid w:val="00AF5A10"/>
    <w:rsid w:val="00B00C0E"/>
    <w:rsid w:val="00B01B1A"/>
    <w:rsid w:val="00B04A24"/>
    <w:rsid w:val="00B04DA1"/>
    <w:rsid w:val="00B11075"/>
    <w:rsid w:val="00B234CF"/>
    <w:rsid w:val="00B26BE0"/>
    <w:rsid w:val="00B32719"/>
    <w:rsid w:val="00B34349"/>
    <w:rsid w:val="00B37EB5"/>
    <w:rsid w:val="00B40A94"/>
    <w:rsid w:val="00B42344"/>
    <w:rsid w:val="00B44A47"/>
    <w:rsid w:val="00B44FEE"/>
    <w:rsid w:val="00B54271"/>
    <w:rsid w:val="00B5550F"/>
    <w:rsid w:val="00B556AA"/>
    <w:rsid w:val="00B6149C"/>
    <w:rsid w:val="00B64484"/>
    <w:rsid w:val="00B71604"/>
    <w:rsid w:val="00B71FD5"/>
    <w:rsid w:val="00B72CD3"/>
    <w:rsid w:val="00B72FFF"/>
    <w:rsid w:val="00B74092"/>
    <w:rsid w:val="00B75E92"/>
    <w:rsid w:val="00B95DAC"/>
    <w:rsid w:val="00B97CE7"/>
    <w:rsid w:val="00BA2EB9"/>
    <w:rsid w:val="00BA703D"/>
    <w:rsid w:val="00BB27E8"/>
    <w:rsid w:val="00BC35AE"/>
    <w:rsid w:val="00BC3D36"/>
    <w:rsid w:val="00BC4E30"/>
    <w:rsid w:val="00BC5D42"/>
    <w:rsid w:val="00BC5F22"/>
    <w:rsid w:val="00BC70CB"/>
    <w:rsid w:val="00BD13AC"/>
    <w:rsid w:val="00BD54A6"/>
    <w:rsid w:val="00BD7F72"/>
    <w:rsid w:val="00BE5069"/>
    <w:rsid w:val="00BF056C"/>
    <w:rsid w:val="00BF3B66"/>
    <w:rsid w:val="00BF5C08"/>
    <w:rsid w:val="00BF7425"/>
    <w:rsid w:val="00C04FB3"/>
    <w:rsid w:val="00C11D8B"/>
    <w:rsid w:val="00C251B0"/>
    <w:rsid w:val="00C25ECD"/>
    <w:rsid w:val="00C330EB"/>
    <w:rsid w:val="00C419DF"/>
    <w:rsid w:val="00C50D69"/>
    <w:rsid w:val="00C5365C"/>
    <w:rsid w:val="00C56BDE"/>
    <w:rsid w:val="00C619D4"/>
    <w:rsid w:val="00C61D93"/>
    <w:rsid w:val="00C66245"/>
    <w:rsid w:val="00C74B9D"/>
    <w:rsid w:val="00C754BE"/>
    <w:rsid w:val="00C76B1C"/>
    <w:rsid w:val="00C82667"/>
    <w:rsid w:val="00C90C96"/>
    <w:rsid w:val="00C925AC"/>
    <w:rsid w:val="00C94828"/>
    <w:rsid w:val="00C963BE"/>
    <w:rsid w:val="00C96B64"/>
    <w:rsid w:val="00CA1075"/>
    <w:rsid w:val="00CA2858"/>
    <w:rsid w:val="00CB02F1"/>
    <w:rsid w:val="00CB3252"/>
    <w:rsid w:val="00CB6357"/>
    <w:rsid w:val="00CC1B26"/>
    <w:rsid w:val="00CC75DD"/>
    <w:rsid w:val="00CD4C85"/>
    <w:rsid w:val="00CD61D1"/>
    <w:rsid w:val="00CE3C1C"/>
    <w:rsid w:val="00CE4026"/>
    <w:rsid w:val="00CF1B51"/>
    <w:rsid w:val="00CF57A6"/>
    <w:rsid w:val="00D00907"/>
    <w:rsid w:val="00D05069"/>
    <w:rsid w:val="00D05606"/>
    <w:rsid w:val="00D06146"/>
    <w:rsid w:val="00D0699E"/>
    <w:rsid w:val="00D1210B"/>
    <w:rsid w:val="00D15A45"/>
    <w:rsid w:val="00D20E42"/>
    <w:rsid w:val="00D22D2B"/>
    <w:rsid w:val="00D27334"/>
    <w:rsid w:val="00D31A78"/>
    <w:rsid w:val="00D322E2"/>
    <w:rsid w:val="00D334DD"/>
    <w:rsid w:val="00D34EA3"/>
    <w:rsid w:val="00D361FD"/>
    <w:rsid w:val="00D423A2"/>
    <w:rsid w:val="00D44E26"/>
    <w:rsid w:val="00D50717"/>
    <w:rsid w:val="00D51A5D"/>
    <w:rsid w:val="00D520D8"/>
    <w:rsid w:val="00D532D4"/>
    <w:rsid w:val="00D5377A"/>
    <w:rsid w:val="00D5634B"/>
    <w:rsid w:val="00D56F8A"/>
    <w:rsid w:val="00D62B9C"/>
    <w:rsid w:val="00D63AC2"/>
    <w:rsid w:val="00D64111"/>
    <w:rsid w:val="00D64AFC"/>
    <w:rsid w:val="00D65783"/>
    <w:rsid w:val="00D734E7"/>
    <w:rsid w:val="00D7383B"/>
    <w:rsid w:val="00D73DBD"/>
    <w:rsid w:val="00D7541C"/>
    <w:rsid w:val="00D7788A"/>
    <w:rsid w:val="00D80E1F"/>
    <w:rsid w:val="00D85F06"/>
    <w:rsid w:val="00D936A2"/>
    <w:rsid w:val="00DA231B"/>
    <w:rsid w:val="00DB13F4"/>
    <w:rsid w:val="00DB55DA"/>
    <w:rsid w:val="00DC39FC"/>
    <w:rsid w:val="00DC7CCB"/>
    <w:rsid w:val="00DE049E"/>
    <w:rsid w:val="00DE4B76"/>
    <w:rsid w:val="00DE6EC3"/>
    <w:rsid w:val="00DF0B04"/>
    <w:rsid w:val="00DF2A21"/>
    <w:rsid w:val="00DF5254"/>
    <w:rsid w:val="00E02524"/>
    <w:rsid w:val="00E10022"/>
    <w:rsid w:val="00E1159D"/>
    <w:rsid w:val="00E1451E"/>
    <w:rsid w:val="00E16408"/>
    <w:rsid w:val="00E200D7"/>
    <w:rsid w:val="00E20894"/>
    <w:rsid w:val="00E245AB"/>
    <w:rsid w:val="00E27341"/>
    <w:rsid w:val="00E2764C"/>
    <w:rsid w:val="00E27F2E"/>
    <w:rsid w:val="00E31225"/>
    <w:rsid w:val="00E45FF4"/>
    <w:rsid w:val="00E47D45"/>
    <w:rsid w:val="00E501E7"/>
    <w:rsid w:val="00E50AFE"/>
    <w:rsid w:val="00E577E2"/>
    <w:rsid w:val="00E615C4"/>
    <w:rsid w:val="00E71E1B"/>
    <w:rsid w:val="00E75C92"/>
    <w:rsid w:val="00E771DC"/>
    <w:rsid w:val="00E842C3"/>
    <w:rsid w:val="00E8772A"/>
    <w:rsid w:val="00E90F6B"/>
    <w:rsid w:val="00E91AED"/>
    <w:rsid w:val="00E92C27"/>
    <w:rsid w:val="00E96B5C"/>
    <w:rsid w:val="00EA0E3D"/>
    <w:rsid w:val="00EA2DC0"/>
    <w:rsid w:val="00EA3A0F"/>
    <w:rsid w:val="00EA426C"/>
    <w:rsid w:val="00EB0FD8"/>
    <w:rsid w:val="00EB224C"/>
    <w:rsid w:val="00EB721B"/>
    <w:rsid w:val="00EC006D"/>
    <w:rsid w:val="00EC297F"/>
    <w:rsid w:val="00EC2A60"/>
    <w:rsid w:val="00EC38A7"/>
    <w:rsid w:val="00ED4980"/>
    <w:rsid w:val="00EE1AA8"/>
    <w:rsid w:val="00EE265D"/>
    <w:rsid w:val="00EE3D99"/>
    <w:rsid w:val="00EF1D4F"/>
    <w:rsid w:val="00EF3DC3"/>
    <w:rsid w:val="00EF5E13"/>
    <w:rsid w:val="00EF647F"/>
    <w:rsid w:val="00EF6AA4"/>
    <w:rsid w:val="00F03218"/>
    <w:rsid w:val="00F03314"/>
    <w:rsid w:val="00F0580C"/>
    <w:rsid w:val="00F0617C"/>
    <w:rsid w:val="00F23FEA"/>
    <w:rsid w:val="00F27B7B"/>
    <w:rsid w:val="00F31EDC"/>
    <w:rsid w:val="00F34294"/>
    <w:rsid w:val="00F41ACF"/>
    <w:rsid w:val="00F462B3"/>
    <w:rsid w:val="00F47B10"/>
    <w:rsid w:val="00F5664F"/>
    <w:rsid w:val="00F666C4"/>
    <w:rsid w:val="00F72FC0"/>
    <w:rsid w:val="00F749C5"/>
    <w:rsid w:val="00F76AFC"/>
    <w:rsid w:val="00F81BF0"/>
    <w:rsid w:val="00F82E88"/>
    <w:rsid w:val="00F83D1B"/>
    <w:rsid w:val="00F86E11"/>
    <w:rsid w:val="00F86E3E"/>
    <w:rsid w:val="00F932D5"/>
    <w:rsid w:val="00F95C74"/>
    <w:rsid w:val="00FA105C"/>
    <w:rsid w:val="00FA47C0"/>
    <w:rsid w:val="00FA5FFD"/>
    <w:rsid w:val="00FB5DD1"/>
    <w:rsid w:val="00FC2B5D"/>
    <w:rsid w:val="00FD05BA"/>
    <w:rsid w:val="00FD1DDC"/>
    <w:rsid w:val="00FD3AD2"/>
    <w:rsid w:val="00FF1449"/>
    <w:rsid w:val="00FF1467"/>
    <w:rsid w:val="00FF227D"/>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DB13F4"/>
    <w:rPr>
      <w:color w:val="605E5C"/>
      <w:shd w:val="clear" w:color="auto" w:fill="E1DFDD"/>
    </w:rPr>
  </w:style>
  <w:style w:type="paragraph" w:styleId="Textoindependiente">
    <w:name w:val="Body Text"/>
    <w:basedOn w:val="Normal"/>
    <w:link w:val="TextoindependienteCar"/>
    <w:uiPriority w:val="1"/>
    <w:unhideWhenUsed/>
    <w:qFormat/>
    <w:rsid w:val="00B234CF"/>
    <w:pPr>
      <w:spacing w:after="120"/>
    </w:pPr>
  </w:style>
  <w:style w:type="character" w:customStyle="1" w:styleId="TextoindependienteCar">
    <w:name w:val="Texto independiente Car"/>
    <w:basedOn w:val="Fuentedeprrafopredeter"/>
    <w:link w:val="Textoindependiente"/>
    <w:uiPriority w:val="1"/>
    <w:rsid w:val="00B234CF"/>
  </w:style>
  <w:style w:type="character" w:styleId="Mencinsinresolver">
    <w:name w:val="Unresolved Mention"/>
    <w:basedOn w:val="Fuentedeprrafopredeter"/>
    <w:uiPriority w:val="99"/>
    <w:semiHidden/>
    <w:unhideWhenUsed/>
    <w:rsid w:val="00EA3A0F"/>
    <w:rPr>
      <w:color w:val="605E5C"/>
      <w:shd w:val="clear" w:color="auto" w:fill="E1DFDD"/>
    </w:rPr>
  </w:style>
  <w:style w:type="paragraph" w:styleId="Sinespaciado">
    <w:name w:val="No Spacing"/>
    <w:aliases w:val="No Indent"/>
    <w:link w:val="SinespaciadoCar"/>
    <w:uiPriority w:val="3"/>
    <w:qFormat/>
    <w:rsid w:val="00292260"/>
    <w:pPr>
      <w:spacing w:after="0" w:line="240" w:lineRule="auto"/>
    </w:pPr>
    <w:rPr>
      <w:sz w:val="24"/>
      <w:lang w:val="es-MX"/>
    </w:rPr>
  </w:style>
  <w:style w:type="character" w:customStyle="1" w:styleId="SinespaciadoCar">
    <w:name w:val="Sin espaciado Car"/>
    <w:aliases w:val="No Indent Car"/>
    <w:link w:val="Sinespaciado"/>
    <w:uiPriority w:val="3"/>
    <w:rsid w:val="00292260"/>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905">
      <w:bodyDiv w:val="1"/>
      <w:marLeft w:val="0"/>
      <w:marRight w:val="0"/>
      <w:marTop w:val="0"/>
      <w:marBottom w:val="0"/>
      <w:divBdr>
        <w:top w:val="none" w:sz="0" w:space="0" w:color="auto"/>
        <w:left w:val="none" w:sz="0" w:space="0" w:color="auto"/>
        <w:bottom w:val="none" w:sz="0" w:space="0" w:color="auto"/>
        <w:right w:val="none" w:sz="0" w:space="0" w:color="auto"/>
      </w:divBdr>
    </w:div>
    <w:div w:id="474102498">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24190896">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1436534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lopez2508@hotmail.com" TargetMode="External"/><Relationship Id="rId18" Type="http://schemas.openxmlformats.org/officeDocument/2006/relationships/hyperlink" Target="https://www.colombiacompra.gov.co/archivos/boletin/boletin-edicion-n-3-de-2026-radar-de-la-compra-publi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mailto:comunicaciones@academiadelagestionpublica.org" TargetMode="External"/><Relationship Id="rId17" Type="http://schemas.openxmlformats.org/officeDocument/2006/relationships/hyperlink" Target="https://www.colombiacompra.gov.co/archivos/circular/circular-externa-002-de-202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mbiacompra.gov.co/archivos/circular/circular-externa-003-de-2026"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mbiacompra.gov.co/archivos/manual/guia-de-garantias-en-procesos-de-contratac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entanilladeradicacion@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64DD00-62FF-4250-A3D9-53D11B8E850F}">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4.xml><?xml version="1.0" encoding="utf-8"?>
<ds:datastoreItem xmlns:ds="http://schemas.openxmlformats.org/officeDocument/2006/customXml" ds:itemID="{F28AB3C1-8212-487B-A53A-0069D0099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30</Pages>
  <Words>10936</Words>
  <Characters>60151</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19</cp:revision>
  <cp:lastPrinted>2023-01-10T21:18:00Z</cp:lastPrinted>
  <dcterms:created xsi:type="dcterms:W3CDTF">2026-08-20T21:34:00Z</dcterms:created>
  <dcterms:modified xsi:type="dcterms:W3CDTF">2026-08-21T21:16:00Z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