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8E7DD" w14:textId="77777777" w:rsidR="00F37430" w:rsidRPr="00523932" w:rsidRDefault="00F37430" w:rsidP="00F37430">
      <w:pPr>
        <w:spacing w:after="0" w:line="240" w:lineRule="auto"/>
        <w:jc w:val="both"/>
        <w:rPr>
          <w:rFonts w:ascii="Verdana" w:eastAsia="Calibri" w:hAnsi="Verdana" w:cs="Arial"/>
          <w:b/>
          <w:lang w:val="es-MX" w:eastAsia="es-ES_tradnl"/>
        </w:rPr>
      </w:pPr>
      <w:r w:rsidRPr="00523932">
        <w:rPr>
          <w:rFonts w:ascii="Verdana" w:eastAsia="Calibri" w:hAnsi="Verdana" w:cs="Arial"/>
          <w:b/>
          <w:lang w:val="es-MX" w:eastAsia="es-ES_tradnl"/>
        </w:rPr>
        <w:t>INHABILIDADES – Definición – Finalidad – Limitación capacidad contractual</w:t>
      </w:r>
    </w:p>
    <w:p w14:paraId="2BA3C83A" w14:textId="77777777" w:rsidR="00F37430" w:rsidRPr="00523932" w:rsidRDefault="00F37430" w:rsidP="00F37430">
      <w:pPr>
        <w:spacing w:after="0" w:line="240" w:lineRule="auto"/>
        <w:rPr>
          <w:rFonts w:ascii="Verdana" w:eastAsia="Calibri" w:hAnsi="Verdana" w:cs="Arial"/>
          <w:bCs/>
          <w:sz w:val="20"/>
          <w:szCs w:val="20"/>
          <w:lang w:val="es-MX" w:eastAsia="es-ES_tradnl"/>
        </w:rPr>
      </w:pPr>
    </w:p>
    <w:p w14:paraId="454522BA" w14:textId="77777777" w:rsidR="00F37430" w:rsidRPr="00523932" w:rsidRDefault="00F37430" w:rsidP="00F37430">
      <w:pPr>
        <w:spacing w:after="0" w:line="240" w:lineRule="auto"/>
        <w:jc w:val="both"/>
        <w:rPr>
          <w:rFonts w:ascii="Verdana" w:eastAsia="Geomanist Light" w:hAnsi="Verdana" w:cs="Arial"/>
          <w:color w:val="000000" w:themeColor="text1"/>
          <w:sz w:val="20"/>
          <w:szCs w:val="20"/>
          <w:lang w:val="es-MX"/>
        </w:rPr>
      </w:pPr>
      <w:r w:rsidRPr="00523932">
        <w:rPr>
          <w:rFonts w:ascii="Verdana" w:eastAsia="Geomanist Light" w:hAnsi="Verdana" w:cs="Arial"/>
          <w:color w:val="000000" w:themeColor="text1"/>
          <w:sz w:val="20"/>
          <w:szCs w:val="20"/>
          <w:lang w:val="es-MX"/>
        </w:rPr>
        <w:t>Las inhabilidades son circunstancias establecidas por la Constitución o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 El régimen de inhabilidades 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 La consagración limitaciones que afectan la capacidad jurídica para contratar desarrolla los principios de la función administrativa consagrados en el artículo 209 de la Constitución Política, con especial énfasis el de moralidad.</w:t>
      </w:r>
    </w:p>
    <w:p w14:paraId="08520241" w14:textId="77777777" w:rsidR="00F37430" w:rsidRPr="00523932" w:rsidRDefault="00F37430" w:rsidP="00F37430">
      <w:pPr>
        <w:spacing w:after="0" w:line="240" w:lineRule="auto"/>
        <w:jc w:val="both"/>
        <w:rPr>
          <w:rFonts w:ascii="Verdana" w:eastAsia="Geomanist Light" w:hAnsi="Verdana" w:cs="Arial"/>
          <w:color w:val="000000" w:themeColor="text1"/>
          <w:sz w:val="20"/>
          <w:szCs w:val="20"/>
          <w:lang w:val="es-MX"/>
        </w:rPr>
      </w:pPr>
    </w:p>
    <w:p w14:paraId="4D2D326E" w14:textId="77777777" w:rsidR="00F37430" w:rsidRPr="00523932" w:rsidRDefault="00F37430" w:rsidP="00F37430">
      <w:pPr>
        <w:spacing w:after="0" w:line="240" w:lineRule="auto"/>
        <w:jc w:val="both"/>
        <w:rPr>
          <w:rFonts w:ascii="Verdana" w:eastAsia="Calibri" w:hAnsi="Verdana" w:cs="Arial"/>
          <w:b/>
          <w:lang w:val="es-MX" w:eastAsia="es-ES_tradnl"/>
        </w:rPr>
      </w:pPr>
      <w:r w:rsidRPr="00523932">
        <w:rPr>
          <w:rFonts w:ascii="Verdana" w:eastAsia="Calibri" w:hAnsi="Verdana" w:cs="Arial"/>
          <w:b/>
          <w:lang w:val="es-MX" w:eastAsia="es-ES_tradnl"/>
        </w:rPr>
        <w:t>CONTRATACIÓN ESTATAL – Capacidad – Validez contratos – Régimen de contratación – Inscripción – Limitación de la capacidad</w:t>
      </w:r>
    </w:p>
    <w:p w14:paraId="59F4965A" w14:textId="77777777" w:rsidR="00F37430" w:rsidRPr="00523932" w:rsidRDefault="00F37430" w:rsidP="00F37430">
      <w:pPr>
        <w:spacing w:after="0" w:line="240" w:lineRule="auto"/>
        <w:jc w:val="both"/>
        <w:rPr>
          <w:rFonts w:ascii="Verdana" w:eastAsia="Calibri" w:hAnsi="Verdana" w:cs="Arial"/>
          <w:bCs/>
          <w:sz w:val="20"/>
          <w:szCs w:val="20"/>
          <w:lang w:val="es-MX" w:eastAsia="es-ES_tradnl"/>
        </w:rPr>
      </w:pPr>
    </w:p>
    <w:p w14:paraId="1738E638" w14:textId="77777777" w:rsidR="00F37430" w:rsidRPr="00523932" w:rsidRDefault="00F37430" w:rsidP="00F37430">
      <w:pPr>
        <w:spacing w:after="0" w:line="240" w:lineRule="auto"/>
        <w:jc w:val="both"/>
        <w:rPr>
          <w:rFonts w:ascii="Verdana" w:eastAsia="Calibri" w:hAnsi="Verdana" w:cs="Arial"/>
          <w:bCs/>
          <w:sz w:val="20"/>
          <w:szCs w:val="20"/>
          <w:lang w:val="es-MX" w:eastAsia="es-ES_tradnl"/>
        </w:rPr>
      </w:pPr>
      <w:r w:rsidRPr="00523932">
        <w:rPr>
          <w:rFonts w:ascii="Verdana" w:eastAsia="Calibri" w:hAnsi="Verdana" w:cs="Arial"/>
          <w:bCs/>
          <w:sz w:val="20"/>
          <w:szCs w:val="20"/>
          <w:lang w:val="es-MX" w:eastAsia="es-ES_tradnl"/>
        </w:rPr>
        <w:t>[…] en la contratación estatal, la capacidad también es un requisito de validez de los contratos, tanto en el régimen de las entidades sujetas al Estatuto General de Contratación de la Administración Pública como en el de las entidades exceptuadas de aquel. Si bien la regulación de la capacidad se integra por varias disposiciones y exigencias especiales –como el requisito de inscribirse, por regla general, en el Registro Único de Proponentes (RUP), establecido en el artículo 6 de la Ley 1150 de 2007, modificado por el artículo 221 del Decreto 19 de 2012 –, se destaca el régimen de inhabilidades e incompatibilidades como un conjunto de normas que imponen restricciones para los sujetos que, eventualmente, pretendan participar en los procedimientos de selección o celebrar contratos con las entidades estatales.</w:t>
      </w:r>
    </w:p>
    <w:p w14:paraId="7CE4BEEB" w14:textId="77777777" w:rsidR="00F37430" w:rsidRPr="00523932" w:rsidRDefault="00F37430" w:rsidP="00F37430">
      <w:pPr>
        <w:spacing w:after="0" w:line="240" w:lineRule="auto"/>
        <w:jc w:val="both"/>
        <w:rPr>
          <w:rFonts w:ascii="Verdana" w:eastAsia="Calibri" w:hAnsi="Verdana" w:cs="Arial"/>
          <w:bCs/>
          <w:sz w:val="20"/>
          <w:szCs w:val="20"/>
          <w:lang w:val="es-MX" w:eastAsia="es-ES_tradnl"/>
        </w:rPr>
      </w:pPr>
    </w:p>
    <w:p w14:paraId="6E7D2FA2" w14:textId="77777777" w:rsidR="00F37430" w:rsidRPr="00523932" w:rsidRDefault="00F37430" w:rsidP="00F37430">
      <w:pPr>
        <w:spacing w:after="0" w:line="240" w:lineRule="auto"/>
        <w:jc w:val="both"/>
        <w:rPr>
          <w:rFonts w:ascii="Verdana" w:eastAsia="Calibri" w:hAnsi="Verdana" w:cs="Arial"/>
          <w:bCs/>
          <w:sz w:val="20"/>
          <w:szCs w:val="20"/>
          <w:lang w:val="es-MX" w:eastAsia="es-ES_tradnl"/>
        </w:rPr>
      </w:pPr>
      <w:r w:rsidRPr="00523932">
        <w:rPr>
          <w:rFonts w:ascii="Verdana" w:eastAsia="Calibri" w:hAnsi="Verdana" w:cs="Arial"/>
          <w:bCs/>
          <w:sz w:val="20"/>
          <w:szCs w:val="20"/>
          <w:lang w:val="es-MX" w:eastAsia="es-ES_tradnl"/>
        </w:rPr>
        <w:t xml:space="preserve">Las inhabilidades son prohibiciones para concurrir a los procedimientos de selección y para contratar con el Estado, que se derivan: i) de la existencia de comportamientos reprochables o de sanciones anteriormente impuestas, ii) de vínculos personales relativos al parentesco o al estado civil o iii) de una actividad u oficio que se desempeñó en el pasado. De otro lado, las incompatibilidades, según un sector de la doctrina, son prohibiciones para participar en los procedimientos de selección y para celebrar contratos estatales, fundadas en la presencia de una calidad que ostenta el sujeto interesado en realizar alguna de dichas actividades, que no puede coexistir con su calidad de proponente o contratista del Estado. En todo caso, a pesar de la existencia de distintos criterios para diferenciar las inhabilidades de las incompatibilidades, de la presencia de ellas se derivan las mismas consecuencias jurídicas, esto es, la limitación de la capacidad contractual, como se desarrolló en el numeral 2.1. de este concepto. De </w:t>
      </w:r>
      <w:r w:rsidRPr="00523932">
        <w:rPr>
          <w:rFonts w:ascii="Verdana" w:eastAsia="Calibri" w:hAnsi="Verdana" w:cs="Arial"/>
          <w:bCs/>
          <w:sz w:val="20"/>
          <w:szCs w:val="20"/>
          <w:lang w:val="es-MX" w:eastAsia="es-ES_tradnl"/>
        </w:rPr>
        <w:lastRenderedPageBreak/>
        <w:t>manera que la presencia de ellas impide que se puedan celebrar contratos con el Estado o participar en procedimientos de selección de las entidades estatales, por lo que de cualquiera de ellas se derivan los mismos efectos jurídicos.</w:t>
      </w:r>
    </w:p>
    <w:p w14:paraId="53995A34" w14:textId="77777777" w:rsidR="00F37430" w:rsidRPr="00523932" w:rsidRDefault="00F37430" w:rsidP="00F37430">
      <w:pPr>
        <w:spacing w:after="0" w:line="240" w:lineRule="auto"/>
        <w:jc w:val="both"/>
        <w:rPr>
          <w:rFonts w:ascii="Verdana" w:eastAsia="Geomanist Light" w:hAnsi="Verdana" w:cs="Arial"/>
          <w:color w:val="000000" w:themeColor="text1"/>
          <w:sz w:val="20"/>
          <w:szCs w:val="20"/>
          <w:lang w:val="es-MX"/>
        </w:rPr>
      </w:pPr>
    </w:p>
    <w:p w14:paraId="3D265C93" w14:textId="77777777" w:rsidR="00F37430" w:rsidRPr="00523932" w:rsidRDefault="00F37430" w:rsidP="00F37430">
      <w:pPr>
        <w:spacing w:after="0" w:line="240" w:lineRule="auto"/>
        <w:jc w:val="both"/>
        <w:rPr>
          <w:rFonts w:ascii="Verdana" w:eastAsia="Calibri" w:hAnsi="Verdana" w:cs="Arial"/>
          <w:b/>
          <w:lang w:val="es-MX" w:eastAsia="es-ES_tradnl"/>
        </w:rPr>
      </w:pPr>
      <w:r w:rsidRPr="00523932">
        <w:rPr>
          <w:rFonts w:ascii="Verdana" w:eastAsia="Calibri" w:hAnsi="Verdana" w:cs="Arial"/>
          <w:b/>
          <w:lang w:val="es-MX" w:eastAsia="es-ES_tradnl"/>
        </w:rPr>
        <w:t>INHABILIDADES – Taxatividad – Principio de legalidad – Interpretación restrictiva</w:t>
      </w:r>
    </w:p>
    <w:p w14:paraId="03BA4B86" w14:textId="77777777" w:rsidR="00F37430" w:rsidRPr="00523932" w:rsidRDefault="00F37430" w:rsidP="00F37430">
      <w:pPr>
        <w:spacing w:after="0" w:line="240" w:lineRule="auto"/>
        <w:rPr>
          <w:rFonts w:ascii="Verdana" w:eastAsia="Calibri" w:hAnsi="Verdana" w:cs="Arial"/>
          <w:bCs/>
          <w:sz w:val="20"/>
          <w:szCs w:val="20"/>
          <w:lang w:val="es-MX" w:eastAsia="es-ES_tradnl"/>
        </w:rPr>
      </w:pPr>
    </w:p>
    <w:p w14:paraId="1CEFF82C" w14:textId="77777777" w:rsidR="00F37430" w:rsidRDefault="00F37430" w:rsidP="00F37430">
      <w:pPr>
        <w:spacing w:after="0" w:line="240" w:lineRule="auto"/>
        <w:jc w:val="both"/>
        <w:rPr>
          <w:rFonts w:ascii="Verdana" w:eastAsia="Calibri" w:hAnsi="Verdana" w:cs="Arial"/>
          <w:bCs/>
          <w:sz w:val="20"/>
          <w:szCs w:val="20"/>
          <w:lang w:val="es-MX" w:eastAsia="es-ES_tradnl"/>
        </w:rPr>
      </w:pPr>
      <w:r w:rsidRPr="00523932">
        <w:rPr>
          <w:rFonts w:ascii="Verdana" w:eastAsia="Calibri" w:hAnsi="Verdana" w:cs="Arial"/>
          <w:bCs/>
          <w:sz w:val="20"/>
          <w:szCs w:val="20"/>
          <w:lang w:val="es-MX" w:eastAsia="es-ES_tradnl"/>
        </w:rPr>
        <w:t>[…] la doctrina y la jurisprudencia son pacíficas en considerar que la creación de inhabilidades e incompatibilidades es un asunto con reserva de ley, en tanto, “[…] su previsión y desarrollo es materia exclusiva del legislador (reserva de ley), quien en virtud del principio democrático debe definir y tipificar expresamente sus causas, vigencia, naturaleza y efectos”. En similar sentido, la Sala de Consulta y Servicio Civil del Consejo de Estado expresó que “[…] las causales de inhabilidad e incompatibilidad deben estar expresa y taxativamente establecidas en la Constitución o en la ley y son de aplicación e interpretación restrictivas […]”. En este sentido, como se observa, existe consenso, incluso como lo ha expresado esta Agencia en ocasiones anteriores, que la creación de inhabilidades o incompatibilidades está reservada al constituyente o al legislador.</w:t>
      </w:r>
    </w:p>
    <w:p w14:paraId="3D107512" w14:textId="77777777" w:rsidR="00F37430" w:rsidRDefault="00F37430" w:rsidP="00F37430">
      <w:pPr>
        <w:spacing w:after="0"/>
        <w:jc w:val="both"/>
        <w:rPr>
          <w:rFonts w:ascii="Verdana" w:eastAsia="Calibri" w:hAnsi="Verdana" w:cs="Arial"/>
          <w:bCs/>
          <w:sz w:val="20"/>
          <w:szCs w:val="20"/>
          <w:lang w:val="es-MX" w:eastAsia="es-ES_tradnl"/>
        </w:rPr>
      </w:pPr>
    </w:p>
    <w:p w14:paraId="3B67F926" w14:textId="77777777" w:rsidR="00F37430" w:rsidRDefault="00F37430" w:rsidP="00F37430">
      <w:pPr>
        <w:spacing w:after="0" w:line="240" w:lineRule="auto"/>
        <w:jc w:val="both"/>
        <w:textAlignment w:val="baseline"/>
        <w:rPr>
          <w:rFonts w:ascii="Verdana" w:hAnsi="Verdana" w:cs="Arial"/>
          <w:b/>
          <w:lang w:val="es-ES"/>
        </w:rPr>
      </w:pPr>
      <w:r>
        <w:rPr>
          <w:rFonts w:ascii="Verdana" w:hAnsi="Verdana" w:cs="Arial"/>
          <w:b/>
          <w:lang w:val="es-ES"/>
        </w:rPr>
        <w:t>EXDIRECTIVOS</w:t>
      </w:r>
      <w:r w:rsidRPr="002D2E27">
        <w:rPr>
          <w:rFonts w:ascii="Verdana" w:hAnsi="Verdana" w:cs="Arial"/>
          <w:b/>
          <w:lang w:val="es-ES"/>
        </w:rPr>
        <w:t xml:space="preserve"> – </w:t>
      </w:r>
      <w:r>
        <w:rPr>
          <w:rFonts w:ascii="Verdana" w:hAnsi="Verdana" w:cs="Arial"/>
          <w:b/>
          <w:lang w:val="es-ES"/>
        </w:rPr>
        <w:t xml:space="preserve">Incompatibilidades – Gestión de intereses particulares – Prohibición </w:t>
      </w:r>
    </w:p>
    <w:p w14:paraId="1ECDF6D5" w14:textId="77777777" w:rsidR="00F37430" w:rsidRPr="00693830" w:rsidRDefault="00F37430" w:rsidP="00F37430">
      <w:pPr>
        <w:spacing w:after="0" w:line="240" w:lineRule="auto"/>
        <w:jc w:val="both"/>
        <w:textAlignment w:val="baseline"/>
        <w:rPr>
          <w:rFonts w:ascii="Verdana" w:hAnsi="Verdana" w:cs="Arial"/>
          <w:b/>
          <w:sz w:val="20"/>
          <w:szCs w:val="20"/>
          <w:lang w:val="es-ES"/>
        </w:rPr>
      </w:pPr>
    </w:p>
    <w:p w14:paraId="5E82FC8E" w14:textId="77777777" w:rsidR="00F37430" w:rsidRDefault="00F37430" w:rsidP="00F37430">
      <w:pPr>
        <w:spacing w:after="0" w:line="240" w:lineRule="auto"/>
        <w:jc w:val="both"/>
        <w:textAlignment w:val="baseline"/>
        <w:rPr>
          <w:rFonts w:ascii="Verdana" w:hAnsi="Verdana" w:cs="Arial"/>
          <w:bCs/>
          <w:sz w:val="20"/>
          <w:szCs w:val="20"/>
        </w:rPr>
      </w:pPr>
      <w:r>
        <w:rPr>
          <w:rFonts w:ascii="Verdana" w:hAnsi="Verdana" w:cs="Arial"/>
          <w:bCs/>
          <w:sz w:val="20"/>
          <w:szCs w:val="20"/>
        </w:rPr>
        <w:t>E</w:t>
      </w:r>
      <w:r w:rsidRPr="001F2EA1">
        <w:rPr>
          <w:rFonts w:ascii="Verdana" w:hAnsi="Verdana" w:cs="Arial"/>
          <w:bCs/>
          <w:sz w:val="20"/>
          <w:szCs w:val="20"/>
        </w:rPr>
        <w:t xml:space="preserve">l literal a) del artículo 8.2 del Estatuto General de Contratación de la Administración Pública dispone que no pueden participar en procesos de selección ni suscribir contratos por con el Estado “Quienes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 Dado el carácter restrictivo de las inhabilidades e incompatibilidades, el literal a) del artículo 8.2 del EGCAP se limita a la entidad contratante, sin que pueda extenderse –por ejemplo– a las entidades descentralizadas que dependan de ésta. Bajo esta lógica, en principio, el exdirectivo de un ministerio no podría contratar con dicha entidad un (1) año contado a partir de la fecha del retiro, pero sí podría hacerlo en las empresas industriales y comerciales del Estado o en la sociedades de economía mixta vinculadas al órgano.  </w:t>
      </w:r>
    </w:p>
    <w:p w14:paraId="621FAFBF" w14:textId="77777777" w:rsidR="00F37430" w:rsidRPr="001F2EA1" w:rsidRDefault="00F37430" w:rsidP="00F37430">
      <w:pPr>
        <w:spacing w:after="0" w:line="240" w:lineRule="auto"/>
        <w:jc w:val="both"/>
        <w:textAlignment w:val="baseline"/>
        <w:rPr>
          <w:rFonts w:ascii="Verdana" w:hAnsi="Verdana" w:cs="Arial"/>
          <w:bCs/>
          <w:sz w:val="20"/>
          <w:szCs w:val="20"/>
        </w:rPr>
      </w:pPr>
    </w:p>
    <w:p w14:paraId="74A61C42" w14:textId="77777777" w:rsidR="00F37430" w:rsidRPr="001F2EA1" w:rsidRDefault="00F37430" w:rsidP="00F37430">
      <w:pPr>
        <w:spacing w:after="0" w:line="240" w:lineRule="auto"/>
        <w:jc w:val="both"/>
        <w:textAlignment w:val="baseline"/>
        <w:rPr>
          <w:rFonts w:ascii="Verdana" w:hAnsi="Verdana" w:cs="Arial"/>
          <w:bCs/>
          <w:sz w:val="20"/>
          <w:szCs w:val="20"/>
        </w:rPr>
      </w:pPr>
      <w:r w:rsidRPr="001F2EA1">
        <w:rPr>
          <w:rFonts w:ascii="Verdana" w:hAnsi="Verdana" w:cs="Arial"/>
          <w:bCs/>
          <w:sz w:val="20"/>
          <w:szCs w:val="20"/>
        </w:rPr>
        <w:t>Sin embargo, para este tipo de situaciones, el artículo 4 de la Ley 1474 de 2011 adiciona el literal f) al artículo 8.2 de la Ley 80 de 1993. Así, no pueden participar en procesos de selección ni celebrar contratos estatales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además de que “Esta incompatibilidad también operará para las personas que se encuentren dentro del primer grado de consanguinidad, primero de afinidad, o primero civil del ex empleado público”.</w:t>
      </w:r>
    </w:p>
    <w:p w14:paraId="23970312" w14:textId="77777777" w:rsidR="00F37430" w:rsidRDefault="00F37430" w:rsidP="00F37430">
      <w:pPr>
        <w:spacing w:after="0" w:line="240" w:lineRule="auto"/>
        <w:jc w:val="both"/>
        <w:textAlignment w:val="baseline"/>
        <w:rPr>
          <w:rFonts w:ascii="Verdana" w:hAnsi="Verdana" w:cs="Arial"/>
          <w:bCs/>
          <w:sz w:val="20"/>
          <w:szCs w:val="20"/>
        </w:rPr>
      </w:pPr>
      <w:r w:rsidRPr="001F2EA1">
        <w:rPr>
          <w:rFonts w:ascii="Verdana" w:hAnsi="Verdana" w:cs="Arial"/>
          <w:bCs/>
          <w:sz w:val="20"/>
          <w:szCs w:val="20"/>
        </w:rPr>
        <w:t xml:space="preserve">En lo relacionado con los funcionarios del nivel directivo, el Estatuto Anticorrupción amplia el alcance del precitado literal a) del artículo 8.2 del Estatuto General, pues </w:t>
      </w:r>
      <w:r w:rsidRPr="001F2EA1">
        <w:rPr>
          <w:rFonts w:ascii="Verdana" w:hAnsi="Verdana" w:cs="Arial"/>
          <w:bCs/>
          <w:sz w:val="20"/>
          <w:szCs w:val="20"/>
        </w:rPr>
        <w:lastRenderedPageBreak/>
        <w:t>aumentó la incompatibilidad para suscribir contratos con la misma entidad pasando de uno (1) a dos (2) años. Esta incompatibilidad del literal f) ibidem aplica “[…] cuando el objeto que desarrollen tenga relación con el sector al cual prestaron sus servicios”.</w:t>
      </w:r>
    </w:p>
    <w:p w14:paraId="735D7D03" w14:textId="77777777" w:rsidR="00F37430" w:rsidRDefault="00F37430" w:rsidP="00F37430">
      <w:pPr>
        <w:spacing w:after="0" w:line="240" w:lineRule="auto"/>
        <w:jc w:val="both"/>
        <w:textAlignment w:val="baseline"/>
        <w:rPr>
          <w:rFonts w:ascii="Verdana" w:hAnsi="Verdana" w:cs="Arial"/>
          <w:bCs/>
          <w:sz w:val="20"/>
          <w:szCs w:val="20"/>
        </w:rPr>
      </w:pPr>
    </w:p>
    <w:p w14:paraId="6491D420" w14:textId="77777777" w:rsidR="00F37430" w:rsidRDefault="00F37430" w:rsidP="00F37430">
      <w:pPr>
        <w:spacing w:after="0" w:line="240" w:lineRule="auto"/>
        <w:jc w:val="both"/>
        <w:textAlignment w:val="baseline"/>
        <w:rPr>
          <w:rFonts w:ascii="Verdana" w:hAnsi="Verdana" w:cs="Arial"/>
          <w:bCs/>
          <w:sz w:val="20"/>
          <w:szCs w:val="20"/>
          <w:lang w:val="es-ES_tradnl"/>
        </w:rPr>
      </w:pPr>
      <w:r w:rsidRPr="001F2EA1">
        <w:rPr>
          <w:rFonts w:ascii="Verdana" w:hAnsi="Verdana" w:cs="Arial"/>
          <w:bCs/>
          <w:sz w:val="20"/>
          <w:szCs w:val="20"/>
          <w:lang w:val="es-ES_tradnl"/>
        </w:rPr>
        <w:t>Por lo demás, el alcance de las incompatibilidades para contratar con el Estado es distinto a la denominada “prohibición para que exservidores públicos gestionen intereses privados”. Esta se última se consagró en el artículo 3 de la Ley 1474 de 2011, el cual adicionaba el numeral 22 del artículo 35 de la Ley 734 de 2002, pero que se encuentra derogado por el artículo 265 del Código General Disciplinario. Actualmente, el artículo 55.5 de la Ley 1952 de 2019 recoge esta prohibición como una falta relacionada con el régimen de incompatibilidades, inhabilidades, impedimentos y conflictos de intereses.</w:t>
      </w:r>
    </w:p>
    <w:p w14:paraId="4983A904" w14:textId="77777777" w:rsidR="00F37430" w:rsidRPr="001F2EA1" w:rsidRDefault="00F37430" w:rsidP="00F37430">
      <w:pPr>
        <w:spacing w:after="0" w:line="240" w:lineRule="auto"/>
        <w:jc w:val="both"/>
        <w:textAlignment w:val="baseline"/>
        <w:rPr>
          <w:rFonts w:ascii="Verdana" w:hAnsi="Verdana" w:cs="Arial"/>
          <w:bCs/>
          <w:sz w:val="20"/>
          <w:szCs w:val="20"/>
          <w:lang w:val="es-ES_tradnl"/>
        </w:rPr>
      </w:pPr>
    </w:p>
    <w:p w14:paraId="5AF7CCAD" w14:textId="77777777" w:rsidR="00F37430" w:rsidRPr="00693830" w:rsidRDefault="00F37430" w:rsidP="00F37430">
      <w:pPr>
        <w:spacing w:after="0" w:line="240" w:lineRule="auto"/>
        <w:jc w:val="both"/>
        <w:textAlignment w:val="baseline"/>
        <w:rPr>
          <w:rFonts w:ascii="Verdana" w:hAnsi="Verdana" w:cs="Arial"/>
          <w:bCs/>
          <w:sz w:val="20"/>
          <w:szCs w:val="20"/>
          <w:lang w:val="es-ES_tradnl"/>
        </w:rPr>
      </w:pPr>
      <w:r w:rsidRPr="001F2EA1">
        <w:rPr>
          <w:rFonts w:ascii="Verdana" w:hAnsi="Verdana" w:cs="Arial"/>
          <w:bCs/>
          <w:sz w:val="20"/>
          <w:szCs w:val="20"/>
          <w:lang w:val="es-ES_tradnl"/>
        </w:rPr>
        <w:t>La vulneración de este precepto en la prestación servicios de asistencia, representación o asesoría genera una sanción disciplinaria para el exservidor público. No obstante, la configuración de las incompatibilidades para contratar con el Estado de que tratan los literales a) y f) del artículo 8.2 de la Ley 80 de 1993 obedecen elementos normativos diferentes y, por tanto, el artículo 55.5 de la Ley 1952 de 2019 no condiciona el alcance de ninguna de las dos.</w:t>
      </w:r>
    </w:p>
    <w:p w14:paraId="6F73FAF6" w14:textId="77777777" w:rsidR="00F37430" w:rsidRPr="00693830" w:rsidRDefault="00F37430" w:rsidP="00F37430">
      <w:pPr>
        <w:spacing w:after="0" w:line="240" w:lineRule="auto"/>
        <w:jc w:val="both"/>
        <w:textAlignment w:val="baseline"/>
        <w:rPr>
          <w:rFonts w:ascii="Verdana" w:hAnsi="Verdana" w:cs="Arial"/>
          <w:bCs/>
          <w:sz w:val="20"/>
          <w:szCs w:val="20"/>
          <w:lang w:val="es-ES_tradnl" w:eastAsia="es-CO"/>
        </w:rPr>
      </w:pPr>
    </w:p>
    <w:p w14:paraId="4F6FA1B5" w14:textId="77777777" w:rsidR="00F37430" w:rsidRPr="002D2E27" w:rsidRDefault="00F37430" w:rsidP="00F37430">
      <w:pPr>
        <w:spacing w:after="0" w:line="240" w:lineRule="auto"/>
        <w:jc w:val="both"/>
        <w:textAlignment w:val="baseline"/>
        <w:rPr>
          <w:rFonts w:ascii="Verdana" w:hAnsi="Verdana" w:cs="Arial"/>
          <w:bCs/>
          <w:sz w:val="20"/>
          <w:szCs w:val="20"/>
          <w:lang w:val="es-ES_tradnl" w:eastAsia="es-CO"/>
        </w:rPr>
      </w:pPr>
    </w:p>
    <w:p w14:paraId="089B7DA4" w14:textId="77777777" w:rsidR="00F37430" w:rsidRDefault="00F37430" w:rsidP="00F37430">
      <w:pPr>
        <w:spacing w:after="0" w:line="240" w:lineRule="auto"/>
        <w:rPr>
          <w:rFonts w:ascii="Verdana" w:eastAsia="Geomanist Light" w:hAnsi="Verdana" w:cs="Arial"/>
          <w:color w:val="000000" w:themeColor="text1"/>
          <w:lang w:val="es-MX"/>
        </w:rPr>
      </w:pPr>
    </w:p>
    <w:p w14:paraId="502FAABC" w14:textId="77777777" w:rsidR="00F37430" w:rsidRDefault="00F37430" w:rsidP="00F37430">
      <w:pPr>
        <w:spacing w:after="0" w:line="240" w:lineRule="auto"/>
        <w:rPr>
          <w:rFonts w:ascii="Verdana" w:eastAsia="Geomanist Light" w:hAnsi="Verdana" w:cs="Arial"/>
          <w:color w:val="000000" w:themeColor="text1"/>
          <w:lang w:val="es-MX"/>
        </w:rPr>
      </w:pPr>
    </w:p>
    <w:p w14:paraId="4FB5C3F0" w14:textId="77777777" w:rsidR="00F37430" w:rsidRDefault="00F37430" w:rsidP="00F37430">
      <w:pPr>
        <w:spacing w:after="0" w:line="240" w:lineRule="auto"/>
        <w:rPr>
          <w:rFonts w:ascii="Verdana" w:eastAsia="Geomanist Light" w:hAnsi="Verdana" w:cs="Arial"/>
          <w:color w:val="000000" w:themeColor="text1"/>
          <w:lang w:val="es-MX"/>
        </w:rPr>
      </w:pPr>
    </w:p>
    <w:p w14:paraId="0B2ABFA2" w14:textId="77777777" w:rsidR="00F37430" w:rsidRDefault="00F37430" w:rsidP="00F37430">
      <w:pPr>
        <w:spacing w:after="0" w:line="240" w:lineRule="auto"/>
        <w:rPr>
          <w:rFonts w:ascii="Verdana" w:eastAsia="Geomanist Light" w:hAnsi="Verdana" w:cs="Arial"/>
          <w:color w:val="000000" w:themeColor="text1"/>
          <w:lang w:val="es-MX"/>
        </w:rPr>
      </w:pPr>
    </w:p>
    <w:p w14:paraId="02065D7B" w14:textId="77777777" w:rsidR="00F37430" w:rsidRDefault="00F37430" w:rsidP="00F37430">
      <w:pPr>
        <w:spacing w:after="0" w:line="240" w:lineRule="auto"/>
        <w:rPr>
          <w:rFonts w:ascii="Verdana" w:eastAsia="Geomanist Light" w:hAnsi="Verdana" w:cs="Arial"/>
          <w:color w:val="000000" w:themeColor="text1"/>
          <w:lang w:val="es-MX"/>
        </w:rPr>
      </w:pPr>
    </w:p>
    <w:p w14:paraId="493CF0EE" w14:textId="77777777" w:rsidR="00F37430" w:rsidRDefault="00F37430" w:rsidP="00F37430">
      <w:pPr>
        <w:spacing w:after="0" w:line="240" w:lineRule="auto"/>
        <w:rPr>
          <w:rFonts w:ascii="Verdana" w:eastAsia="Geomanist Light" w:hAnsi="Verdana" w:cs="Arial"/>
          <w:color w:val="000000" w:themeColor="text1"/>
          <w:lang w:val="es-MX"/>
        </w:rPr>
      </w:pPr>
    </w:p>
    <w:p w14:paraId="41F3AB9C" w14:textId="77777777" w:rsidR="00F37430" w:rsidRDefault="00F37430" w:rsidP="00F37430">
      <w:pPr>
        <w:spacing w:after="0" w:line="240" w:lineRule="auto"/>
        <w:rPr>
          <w:rFonts w:ascii="Verdana" w:eastAsia="Geomanist Light" w:hAnsi="Verdana" w:cs="Arial"/>
          <w:color w:val="000000" w:themeColor="text1"/>
          <w:lang w:val="es-MX"/>
        </w:rPr>
      </w:pPr>
    </w:p>
    <w:p w14:paraId="3C0B65A6" w14:textId="77777777" w:rsidR="00F37430" w:rsidRDefault="00F37430" w:rsidP="00F37430">
      <w:pPr>
        <w:spacing w:after="0" w:line="240" w:lineRule="auto"/>
        <w:rPr>
          <w:rFonts w:ascii="Verdana" w:eastAsia="Geomanist Light" w:hAnsi="Verdana" w:cs="Arial"/>
          <w:color w:val="000000" w:themeColor="text1"/>
          <w:lang w:val="es-MX"/>
        </w:rPr>
      </w:pPr>
    </w:p>
    <w:p w14:paraId="1C477350" w14:textId="77777777" w:rsidR="00F37430" w:rsidRDefault="00F37430" w:rsidP="00F37430">
      <w:pPr>
        <w:spacing w:after="0" w:line="240" w:lineRule="auto"/>
        <w:rPr>
          <w:rFonts w:ascii="Verdana" w:eastAsia="Geomanist Light" w:hAnsi="Verdana" w:cs="Arial"/>
          <w:color w:val="000000" w:themeColor="text1"/>
          <w:lang w:val="es-MX"/>
        </w:rPr>
      </w:pPr>
    </w:p>
    <w:p w14:paraId="7C1F8E03" w14:textId="77777777" w:rsidR="00F37430" w:rsidRDefault="00F37430" w:rsidP="00F37430">
      <w:pPr>
        <w:spacing w:after="0" w:line="240" w:lineRule="auto"/>
        <w:rPr>
          <w:rFonts w:ascii="Verdana" w:eastAsia="Geomanist Light" w:hAnsi="Verdana" w:cs="Arial"/>
          <w:color w:val="000000" w:themeColor="text1"/>
          <w:lang w:val="es-MX"/>
        </w:rPr>
      </w:pPr>
    </w:p>
    <w:p w14:paraId="61981401" w14:textId="77777777" w:rsidR="00F37430" w:rsidRDefault="00F37430" w:rsidP="00F37430">
      <w:pPr>
        <w:spacing w:after="0" w:line="240" w:lineRule="auto"/>
        <w:rPr>
          <w:rFonts w:ascii="Verdana" w:eastAsia="Geomanist Light" w:hAnsi="Verdana" w:cs="Arial"/>
          <w:color w:val="000000" w:themeColor="text1"/>
          <w:lang w:val="es-MX"/>
        </w:rPr>
      </w:pPr>
    </w:p>
    <w:p w14:paraId="2244616D" w14:textId="77777777" w:rsidR="00F37430" w:rsidRDefault="00F37430" w:rsidP="00F37430">
      <w:pPr>
        <w:spacing w:after="0" w:line="240" w:lineRule="auto"/>
        <w:rPr>
          <w:rFonts w:ascii="Verdana" w:eastAsia="Geomanist Light" w:hAnsi="Verdana" w:cs="Arial"/>
          <w:color w:val="000000" w:themeColor="text1"/>
          <w:lang w:val="es-MX"/>
        </w:rPr>
      </w:pPr>
    </w:p>
    <w:p w14:paraId="345A5E20" w14:textId="77777777" w:rsidR="00F37430" w:rsidRDefault="00F37430" w:rsidP="00F37430">
      <w:pPr>
        <w:spacing w:after="0" w:line="240" w:lineRule="auto"/>
        <w:rPr>
          <w:rFonts w:ascii="Verdana" w:eastAsia="Geomanist Light" w:hAnsi="Verdana" w:cs="Arial"/>
          <w:color w:val="000000" w:themeColor="text1"/>
          <w:lang w:val="es-MX"/>
        </w:rPr>
      </w:pPr>
    </w:p>
    <w:p w14:paraId="09D9CF10" w14:textId="77777777" w:rsidR="00F37430" w:rsidRDefault="00F37430" w:rsidP="00F37430">
      <w:pPr>
        <w:spacing w:after="0" w:line="240" w:lineRule="auto"/>
        <w:rPr>
          <w:rFonts w:ascii="Verdana" w:eastAsia="Geomanist Light" w:hAnsi="Verdana" w:cs="Arial"/>
          <w:color w:val="000000" w:themeColor="text1"/>
          <w:lang w:val="es-MX"/>
        </w:rPr>
      </w:pPr>
    </w:p>
    <w:p w14:paraId="03E95FB3" w14:textId="77777777" w:rsidR="00F37430" w:rsidRDefault="00F37430" w:rsidP="00F37430">
      <w:pPr>
        <w:spacing w:after="0" w:line="240" w:lineRule="auto"/>
        <w:rPr>
          <w:rFonts w:ascii="Verdana" w:eastAsia="Geomanist Light" w:hAnsi="Verdana" w:cs="Arial"/>
          <w:color w:val="000000" w:themeColor="text1"/>
          <w:lang w:val="es-MX"/>
        </w:rPr>
      </w:pPr>
    </w:p>
    <w:p w14:paraId="2B090310" w14:textId="77777777" w:rsidR="00F37430" w:rsidRDefault="00F37430" w:rsidP="00F37430">
      <w:pPr>
        <w:spacing w:after="0" w:line="240" w:lineRule="auto"/>
        <w:rPr>
          <w:rFonts w:ascii="Verdana" w:eastAsia="Geomanist Light" w:hAnsi="Verdana" w:cs="Arial"/>
          <w:color w:val="000000" w:themeColor="text1"/>
          <w:lang w:val="es-MX"/>
        </w:rPr>
      </w:pPr>
    </w:p>
    <w:p w14:paraId="13C736A9" w14:textId="77777777" w:rsidR="00F37430" w:rsidRDefault="00F37430" w:rsidP="00F37430">
      <w:pPr>
        <w:spacing w:after="0" w:line="240" w:lineRule="auto"/>
        <w:rPr>
          <w:rFonts w:ascii="Verdana" w:eastAsia="Geomanist Light" w:hAnsi="Verdana" w:cs="Arial"/>
          <w:color w:val="000000" w:themeColor="text1"/>
          <w:lang w:val="es-MX"/>
        </w:rPr>
      </w:pPr>
    </w:p>
    <w:p w14:paraId="5C88AD8F" w14:textId="77777777" w:rsidR="00F37430" w:rsidRDefault="00F37430" w:rsidP="00F37430">
      <w:pPr>
        <w:spacing w:after="0" w:line="240" w:lineRule="auto"/>
        <w:rPr>
          <w:rFonts w:ascii="Verdana" w:eastAsia="Geomanist Light" w:hAnsi="Verdana" w:cs="Arial"/>
          <w:color w:val="000000" w:themeColor="text1"/>
          <w:lang w:val="es-MX"/>
        </w:rPr>
      </w:pPr>
    </w:p>
    <w:p w14:paraId="22D56A05" w14:textId="77777777" w:rsidR="00F37430" w:rsidRDefault="00F37430" w:rsidP="00A50423">
      <w:pPr>
        <w:spacing w:after="0" w:line="240" w:lineRule="auto"/>
        <w:rPr>
          <w:rFonts w:ascii="Verdana" w:eastAsia="Geomanist Light" w:hAnsi="Verdana" w:cs="Arial"/>
          <w:color w:val="000000" w:themeColor="text1"/>
          <w:lang w:val="es-MX"/>
        </w:rPr>
      </w:pPr>
    </w:p>
    <w:p w14:paraId="696022F6" w14:textId="77777777" w:rsidR="00F37430" w:rsidRDefault="00F37430" w:rsidP="00A50423">
      <w:pPr>
        <w:spacing w:after="0" w:line="240" w:lineRule="auto"/>
        <w:rPr>
          <w:rFonts w:ascii="Verdana" w:eastAsia="Geomanist Light" w:hAnsi="Verdana" w:cs="Arial"/>
          <w:color w:val="000000" w:themeColor="text1"/>
          <w:lang w:val="es-MX"/>
        </w:rPr>
      </w:pPr>
    </w:p>
    <w:p w14:paraId="7103C032" w14:textId="77777777" w:rsidR="00F37430" w:rsidRDefault="00F37430" w:rsidP="00A50423">
      <w:pPr>
        <w:spacing w:after="0" w:line="240" w:lineRule="auto"/>
        <w:rPr>
          <w:rFonts w:ascii="Verdana" w:eastAsia="Geomanist Light" w:hAnsi="Verdana" w:cs="Arial"/>
          <w:color w:val="000000" w:themeColor="text1"/>
          <w:lang w:val="es-MX"/>
        </w:rPr>
      </w:pPr>
    </w:p>
    <w:p w14:paraId="797B0879" w14:textId="77777777" w:rsidR="008E06F0" w:rsidRDefault="008E06F0" w:rsidP="00A50423">
      <w:pPr>
        <w:spacing w:after="0" w:line="240" w:lineRule="auto"/>
        <w:rPr>
          <w:rFonts w:ascii="Verdana" w:eastAsia="Geomanist Light" w:hAnsi="Verdana" w:cs="Arial"/>
          <w:color w:val="000000" w:themeColor="text1"/>
          <w:lang w:val="es-MX"/>
        </w:rPr>
      </w:pPr>
    </w:p>
    <w:p w14:paraId="78B4170B" w14:textId="77777777" w:rsidR="00FB1EE4" w:rsidRDefault="00FB1EE4" w:rsidP="00A50423">
      <w:pPr>
        <w:spacing w:after="0" w:line="240" w:lineRule="auto"/>
        <w:rPr>
          <w:rFonts w:ascii="Verdana" w:eastAsia="Geomanist Light" w:hAnsi="Verdana" w:cs="Arial"/>
          <w:color w:val="000000" w:themeColor="text1"/>
          <w:lang w:val="es-MX"/>
        </w:rPr>
      </w:pPr>
    </w:p>
    <w:p w14:paraId="6B10D85D" w14:textId="7C6C55BA" w:rsidR="00A50423" w:rsidRDefault="00A50423" w:rsidP="00A50423">
      <w:pPr>
        <w:spacing w:after="0" w:line="240" w:lineRule="auto"/>
        <w:rPr>
          <w:rFonts w:ascii="Verdana" w:eastAsia="Geomanist Light" w:hAnsi="Verdana" w:cs="Arial"/>
          <w:color w:val="000000" w:themeColor="text1"/>
          <w:lang w:val="es-MX"/>
        </w:rPr>
      </w:pPr>
      <w:r w:rsidRPr="00593A5F">
        <w:rPr>
          <w:rFonts w:ascii="Verdana" w:eastAsia="Geomanist Light" w:hAnsi="Verdana" w:cs="Arial"/>
          <w:color w:val="000000" w:themeColor="text1"/>
          <w:lang w:val="es-MX"/>
        </w:rPr>
        <w:lastRenderedPageBreak/>
        <w:t>Bogotá D.C., </w:t>
      </w:r>
      <w:r w:rsidR="00D77FEB" w:rsidRPr="00D77FEB">
        <w:rPr>
          <w:rFonts w:ascii="Verdana" w:eastAsia="Geomanist Light" w:hAnsi="Verdana" w:cs="Arial"/>
          <w:color w:val="000000" w:themeColor="text1"/>
          <w:lang w:val="es-MX"/>
        </w:rPr>
        <w:t xml:space="preserve">18 de </w:t>
      </w:r>
      <w:r w:rsidR="00FB1EE4" w:rsidRPr="00D77FEB">
        <w:rPr>
          <w:rFonts w:ascii="Verdana" w:eastAsia="Geomanist Light" w:hAnsi="Verdana" w:cs="Arial"/>
          <w:color w:val="000000" w:themeColor="text1"/>
          <w:lang w:val="es-MX"/>
        </w:rPr>
        <w:t>agosto</w:t>
      </w:r>
      <w:r w:rsidR="00D77FEB" w:rsidRPr="00D77FEB">
        <w:rPr>
          <w:rFonts w:ascii="Verdana" w:eastAsia="Geomanist Light" w:hAnsi="Verdana" w:cs="Arial"/>
          <w:color w:val="000000" w:themeColor="text1"/>
          <w:lang w:val="es-MX"/>
        </w:rPr>
        <w:t xml:space="preserve"> de 2026</w:t>
      </w:r>
    </w:p>
    <w:p w14:paraId="09C61017" w14:textId="4227AF09" w:rsidR="00602CB8" w:rsidRPr="00593A5F" w:rsidRDefault="00602CB8" w:rsidP="00A50423">
      <w:pPr>
        <w:spacing w:after="0" w:line="240" w:lineRule="auto"/>
        <w:rPr>
          <w:rFonts w:ascii="Verdana" w:eastAsia="Geomanist Light" w:hAnsi="Verdana" w:cs="Arial"/>
          <w:color w:val="201F1E"/>
          <w:lang w:val="es-MX"/>
        </w:rPr>
      </w:pPr>
    </w:p>
    <w:p w14:paraId="00495AA8" w14:textId="7918BBC1" w:rsidR="00A50423" w:rsidRDefault="00A50423" w:rsidP="004323DB">
      <w:pPr>
        <w:spacing w:after="0" w:line="240" w:lineRule="auto"/>
        <w:jc w:val="right"/>
        <w:rPr>
          <w:rFonts w:ascii="Verdana" w:eastAsia="Calibri" w:hAnsi="Verdana" w:cs="Arial"/>
          <w:color w:val="000000"/>
          <w:lang w:val="es-ES"/>
        </w:rPr>
      </w:pPr>
    </w:p>
    <w:p w14:paraId="19277DAE" w14:textId="2FBF08D4" w:rsidR="00A50423" w:rsidRPr="00593A5F" w:rsidRDefault="00A50423" w:rsidP="00A50423">
      <w:pPr>
        <w:spacing w:after="0" w:line="240" w:lineRule="auto"/>
        <w:jc w:val="both"/>
        <w:rPr>
          <w:rFonts w:ascii="Verdana" w:eastAsia="Calibri" w:hAnsi="Verdana" w:cs="Arial"/>
          <w:color w:val="000000"/>
          <w:lang w:val="es-ES"/>
        </w:rPr>
      </w:pPr>
    </w:p>
    <w:p w14:paraId="1B0D3ADB" w14:textId="0772CB0F" w:rsidR="00A50423" w:rsidRPr="00B96799" w:rsidRDefault="00FB1EE4" w:rsidP="00A50423">
      <w:pPr>
        <w:spacing w:after="0" w:line="240" w:lineRule="auto"/>
        <w:jc w:val="both"/>
        <w:rPr>
          <w:rFonts w:ascii="Verdana" w:eastAsia="Calibri" w:hAnsi="Verdana" w:cs="Arial"/>
          <w:lang w:val="es-ES" w:eastAsia="es-ES"/>
        </w:rPr>
      </w:pPr>
      <w:r w:rsidRPr="004323DB">
        <w:rPr>
          <w:rFonts w:ascii="Verdana" w:eastAsia="Calibri" w:hAnsi="Verdana" w:cs="Arial"/>
          <w:noProof/>
          <w:color w:val="000000"/>
          <w:lang w:val="es-ES"/>
        </w:rPr>
        <w:drawing>
          <wp:anchor distT="0" distB="0" distL="114300" distR="114300" simplePos="0" relativeHeight="251658240" behindDoc="0" locked="0" layoutInCell="1" allowOverlap="1" wp14:anchorId="0E1A5968" wp14:editId="6EF2CB38">
            <wp:simplePos x="0" y="0"/>
            <wp:positionH relativeFrom="margin">
              <wp:align>right</wp:align>
            </wp:positionH>
            <wp:positionV relativeFrom="paragraph">
              <wp:posOffset>6350</wp:posOffset>
            </wp:positionV>
            <wp:extent cx="2583180" cy="770890"/>
            <wp:effectExtent l="0" t="0" r="7620" b="0"/>
            <wp:wrapSquare wrapText="bothSides"/>
            <wp:docPr id="2897770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777051" name=""/>
                    <pic:cNvPicPr/>
                  </pic:nvPicPr>
                  <pic:blipFill>
                    <a:blip r:embed="rId11">
                      <a:extLst>
                        <a:ext uri="{28A0092B-C50C-407E-A947-70E740481C1C}">
                          <a14:useLocalDpi xmlns:a14="http://schemas.microsoft.com/office/drawing/2010/main" val="0"/>
                        </a:ext>
                      </a:extLst>
                    </a:blip>
                    <a:stretch>
                      <a:fillRect/>
                    </a:stretch>
                  </pic:blipFill>
                  <pic:spPr>
                    <a:xfrm>
                      <a:off x="0" y="0"/>
                      <a:ext cx="2583180" cy="770890"/>
                    </a:xfrm>
                    <a:prstGeom prst="rect">
                      <a:avLst/>
                    </a:prstGeom>
                  </pic:spPr>
                </pic:pic>
              </a:graphicData>
            </a:graphic>
            <wp14:sizeRelH relativeFrom="margin">
              <wp14:pctWidth>0</wp14:pctWidth>
            </wp14:sizeRelH>
            <wp14:sizeRelV relativeFrom="margin">
              <wp14:pctHeight>0</wp14:pctHeight>
            </wp14:sizeRelV>
          </wp:anchor>
        </w:drawing>
      </w:r>
      <w:r w:rsidR="00A50423">
        <w:rPr>
          <w:rFonts w:ascii="Verdana" w:eastAsia="Calibri" w:hAnsi="Verdana" w:cs="Arial"/>
          <w:lang w:val="es-ES" w:eastAsia="es-ES"/>
        </w:rPr>
        <w:t>Señor</w:t>
      </w:r>
    </w:p>
    <w:p w14:paraId="65979FB5" w14:textId="77777777" w:rsidR="00A50423" w:rsidRPr="00230B75" w:rsidRDefault="00A50423" w:rsidP="00A50423">
      <w:pPr>
        <w:spacing w:after="0" w:line="240" w:lineRule="auto"/>
        <w:rPr>
          <w:rFonts w:ascii="Verdana" w:eastAsia="Calibri" w:hAnsi="Verdana" w:cs="Arial"/>
          <w:b/>
          <w:lang w:eastAsia="es-ES_tradnl"/>
        </w:rPr>
      </w:pPr>
      <w:proofErr w:type="spellStart"/>
      <w:r w:rsidRPr="00E17A68">
        <w:rPr>
          <w:rFonts w:ascii="Verdana" w:eastAsia="Calibri" w:hAnsi="Verdana" w:cs="Arial"/>
          <w:b/>
          <w:lang w:val="es-ES_tradnl" w:eastAsia="es-ES_tradnl"/>
        </w:rPr>
        <w:t>Jhon</w:t>
      </w:r>
      <w:proofErr w:type="spellEnd"/>
      <w:r w:rsidRPr="00E17A68">
        <w:rPr>
          <w:rFonts w:ascii="Verdana" w:eastAsia="Calibri" w:hAnsi="Verdana" w:cs="Arial"/>
          <w:b/>
          <w:lang w:val="es-ES_tradnl" w:eastAsia="es-ES_tradnl"/>
        </w:rPr>
        <w:t xml:space="preserve"> Jairo González</w:t>
      </w:r>
      <w:r w:rsidRPr="00230B75">
        <w:rPr>
          <w:rFonts w:ascii="Verdana" w:eastAsia="Calibri" w:hAnsi="Verdana" w:cs="Arial"/>
          <w:b/>
          <w:lang w:eastAsia="es-ES_tradnl"/>
        </w:rPr>
        <w:t xml:space="preserve"> Rivera </w:t>
      </w:r>
    </w:p>
    <w:p w14:paraId="04D6BEFF" w14:textId="77777777" w:rsidR="00A50423" w:rsidRPr="00230B75" w:rsidRDefault="00A50423" w:rsidP="00A50423">
      <w:pPr>
        <w:spacing w:after="0" w:line="240" w:lineRule="auto"/>
        <w:rPr>
          <w:rFonts w:ascii="Verdana" w:eastAsia="Calibri" w:hAnsi="Verdana" w:cs="Arial"/>
          <w:lang w:eastAsia="es-ES"/>
        </w:rPr>
      </w:pPr>
      <w:hyperlink r:id="rId12" w:history="1">
        <w:r w:rsidRPr="00230B75">
          <w:rPr>
            <w:rStyle w:val="Hipervnculo"/>
            <w:rFonts w:ascii="Verdana" w:hAnsi="Verdana"/>
          </w:rPr>
          <w:t>jhon.gonzalez@contraloria.gov.co</w:t>
        </w:r>
      </w:hyperlink>
      <w:r w:rsidRPr="00230B75">
        <w:rPr>
          <w:rFonts w:ascii="Verdana" w:hAnsi="Verdana"/>
        </w:rPr>
        <w:t xml:space="preserve">                       </w:t>
      </w:r>
      <w:r w:rsidRPr="00230B75">
        <w:rPr>
          <w:rFonts w:ascii="Verdana" w:eastAsia="Calibri" w:hAnsi="Verdana" w:cs="Arial"/>
          <w:lang w:eastAsia="es-ES"/>
        </w:rPr>
        <w:t xml:space="preserve">    </w:t>
      </w:r>
    </w:p>
    <w:p w14:paraId="3D69E0C1" w14:textId="77777777" w:rsidR="00A50423" w:rsidRDefault="00A50423" w:rsidP="00A50423">
      <w:pPr>
        <w:spacing w:after="0" w:line="240" w:lineRule="auto"/>
        <w:rPr>
          <w:rFonts w:ascii="Verdana" w:eastAsia="Calibri" w:hAnsi="Verdana" w:cs="Arial"/>
          <w:lang w:val="es-ES" w:eastAsia="es-ES"/>
        </w:rPr>
      </w:pPr>
      <w:r w:rsidRPr="00E17A68">
        <w:rPr>
          <w:rFonts w:ascii="Verdana" w:eastAsia="Calibri" w:hAnsi="Verdana" w:cs="Arial"/>
          <w:lang w:val="es-ES" w:eastAsia="es-ES"/>
        </w:rPr>
        <w:t>Bogotá D.C.</w:t>
      </w:r>
      <w:r>
        <w:rPr>
          <w:rFonts w:ascii="Verdana" w:eastAsia="Calibri" w:hAnsi="Verdana" w:cs="Arial"/>
          <w:lang w:val="es-ES" w:eastAsia="es-ES"/>
        </w:rPr>
        <w:t xml:space="preserve"> </w:t>
      </w:r>
    </w:p>
    <w:p w14:paraId="21E014B9" w14:textId="77777777" w:rsidR="00A50423" w:rsidRPr="00593A5F" w:rsidRDefault="00A50423" w:rsidP="00A50423">
      <w:pPr>
        <w:spacing w:after="0" w:line="240" w:lineRule="auto"/>
        <w:rPr>
          <w:rFonts w:ascii="Verdana" w:eastAsia="Calibri" w:hAnsi="Verdana" w:cs="Arial"/>
          <w:b/>
          <w:bCs/>
          <w:color w:val="000000"/>
          <w:lang w:val="es-ES_tradnl" w:eastAsia="es-ES_tradnl"/>
        </w:rPr>
      </w:pPr>
    </w:p>
    <w:p w14:paraId="2C87B10F" w14:textId="77777777" w:rsidR="00A50423" w:rsidRPr="00593A5F" w:rsidRDefault="00A50423" w:rsidP="00A50423">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A50423" w:rsidRPr="00593A5F" w14:paraId="1B96F809" w14:textId="77777777" w:rsidTr="00161F84">
        <w:trPr>
          <w:trHeight w:val="884"/>
        </w:trPr>
        <w:tc>
          <w:tcPr>
            <w:tcW w:w="2689" w:type="dxa"/>
          </w:tcPr>
          <w:p w14:paraId="6CA05A99" w14:textId="77777777" w:rsidR="00A50423" w:rsidRPr="00C00976" w:rsidRDefault="00A50423" w:rsidP="00161F84">
            <w:pPr>
              <w:jc w:val="both"/>
              <w:rPr>
                <w:rFonts w:ascii="Verdana" w:eastAsia="Calibri" w:hAnsi="Verdana" w:cs="Arial"/>
                <w:b/>
                <w:bCs/>
                <w:color w:val="7030A0"/>
                <w:lang w:val="es-ES_tradnl" w:eastAsia="es-ES_tradnl"/>
              </w:rPr>
            </w:pPr>
          </w:p>
        </w:tc>
        <w:tc>
          <w:tcPr>
            <w:tcW w:w="6100" w:type="dxa"/>
          </w:tcPr>
          <w:p w14:paraId="5EC08ABA" w14:textId="34DA28B1" w:rsidR="00A50423" w:rsidRPr="00C00976" w:rsidRDefault="00A50423" w:rsidP="00161F84">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FB1EE4">
              <w:rPr>
                <w:rFonts w:ascii="Verdana" w:eastAsia="Calibri" w:hAnsi="Verdana" w:cs="Arial"/>
                <w:b/>
                <w:bCs/>
                <w:lang w:val="es-ES" w:eastAsia="es-ES"/>
              </w:rPr>
              <w:t>-</w:t>
            </w:r>
            <w:r>
              <w:rPr>
                <w:rFonts w:ascii="Verdana" w:eastAsia="Calibri" w:hAnsi="Verdana" w:cs="Arial"/>
                <w:b/>
                <w:bCs/>
                <w:lang w:val="es-ES" w:eastAsia="es-ES"/>
              </w:rPr>
              <w:t xml:space="preserve">1179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A50423" w:rsidRPr="00593A5F" w14:paraId="36660D61" w14:textId="77777777" w:rsidTr="00161F84">
        <w:trPr>
          <w:trHeight w:val="884"/>
        </w:trPr>
        <w:tc>
          <w:tcPr>
            <w:tcW w:w="2689" w:type="dxa"/>
          </w:tcPr>
          <w:p w14:paraId="09B62B6B" w14:textId="77777777" w:rsidR="00A50423" w:rsidRPr="00593A5F" w:rsidRDefault="00A50423" w:rsidP="00161F84">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2CAC598D" w14:textId="77777777" w:rsidR="00A50423" w:rsidRPr="00A11406" w:rsidRDefault="00A50423" w:rsidP="00161F84">
            <w:pPr>
              <w:spacing w:line="276" w:lineRule="auto"/>
              <w:jc w:val="both"/>
              <w:rPr>
                <w:rFonts w:ascii="Verdana" w:eastAsia="Calibri" w:hAnsi="Verdana" w:cs="Arial"/>
                <w:lang w:val="es-ES" w:eastAsia="es-ES"/>
              </w:rPr>
            </w:pPr>
            <w:r w:rsidRPr="000F752D">
              <w:rPr>
                <w:rFonts w:ascii="Verdana" w:eastAsia="Calibri" w:hAnsi="Verdana" w:cs="Arial"/>
                <w:lang w:val="es-ES" w:eastAsia="es-ES"/>
              </w:rPr>
              <w:t>INHABILIDADES – Definición – Finalidad – Limitación capacidad contractual / CONTRATACIÓN ESTATAL – Capacidad – Validez contratos – Régimen de contratación – Inscripción – Limitación de la capacidad / INHABILIDADES – Taxatividad – Principio de legalidad – Interpretación restrictiva</w:t>
            </w:r>
            <w:r>
              <w:rPr>
                <w:rFonts w:ascii="Verdana" w:eastAsia="Calibri" w:hAnsi="Verdana" w:cs="Arial"/>
                <w:lang w:val="es-ES" w:eastAsia="es-ES"/>
              </w:rPr>
              <w:t xml:space="preserve"> / </w:t>
            </w:r>
            <w:r w:rsidRPr="001F2EA1">
              <w:rPr>
                <w:rFonts w:ascii="Verdana" w:eastAsia="Calibri" w:hAnsi="Verdana" w:cs="Arial"/>
                <w:lang w:val="es-ES" w:eastAsia="es-ES"/>
              </w:rPr>
              <w:t xml:space="preserve">EXDIRECTIVOS – Incompatibilidades – Gestión de intereses particulares – Prohibición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6AF43A1B" w14:textId="77777777" w:rsidR="00A50423" w:rsidRPr="00593A5F" w:rsidRDefault="00A50423" w:rsidP="00161F84">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A50423" w:rsidRPr="008E6AD9" w14:paraId="2030068A" w14:textId="77777777" w:rsidTr="00161F84">
        <w:tc>
          <w:tcPr>
            <w:tcW w:w="2689" w:type="dxa"/>
          </w:tcPr>
          <w:p w14:paraId="041C078D" w14:textId="77777777" w:rsidR="00A50423" w:rsidRPr="008E6AD9" w:rsidRDefault="00A50423" w:rsidP="00161F84">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425A605F" w14:textId="77777777" w:rsidR="00A50423" w:rsidRPr="00B92340" w:rsidRDefault="00A50423" w:rsidP="00161F84">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 No.</w:t>
            </w:r>
            <w:r>
              <w:rPr>
                <w:rFonts w:ascii="Verdana" w:eastAsia="Calibri" w:hAnsi="Verdana" w:cs="Arial"/>
                <w:lang w:val="es-ES_tradnl" w:eastAsia="es-ES_tradnl"/>
              </w:rPr>
              <w:t xml:space="preserve"> </w:t>
            </w:r>
            <w:r w:rsidRPr="00B55C93">
              <w:rPr>
                <w:rFonts w:ascii="Verdana" w:eastAsia="Calibri" w:hAnsi="Verdana" w:cs="Arial"/>
                <w:lang w:val="es-ES_tradnl" w:eastAsia="es-ES_tradnl"/>
              </w:rPr>
              <w:t>1_2026_07_27_009832</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                                   </w:t>
            </w:r>
          </w:p>
        </w:tc>
      </w:tr>
    </w:tbl>
    <w:p w14:paraId="6D77906E" w14:textId="77777777" w:rsidR="00A50423" w:rsidRPr="00593A5F" w:rsidRDefault="00A50423" w:rsidP="00A50423">
      <w:pPr>
        <w:spacing w:after="0" w:line="240" w:lineRule="auto"/>
        <w:jc w:val="both"/>
        <w:rPr>
          <w:rFonts w:ascii="Verdana" w:eastAsia="Calibri" w:hAnsi="Verdana" w:cs="Arial"/>
          <w:color w:val="000000"/>
          <w:lang w:val="es-ES_tradnl" w:eastAsia="es-ES_tradnl"/>
        </w:rPr>
      </w:pPr>
    </w:p>
    <w:p w14:paraId="1EECC3EC" w14:textId="77777777" w:rsidR="00A50423" w:rsidRPr="00593A5F" w:rsidRDefault="00A50423" w:rsidP="00A50423">
      <w:pPr>
        <w:spacing w:after="0" w:line="240" w:lineRule="auto"/>
        <w:jc w:val="both"/>
        <w:rPr>
          <w:rFonts w:ascii="Verdana" w:eastAsia="Calibri" w:hAnsi="Verdana" w:cs="Arial"/>
          <w:color w:val="000000"/>
          <w:lang w:val="es-ES_tradnl" w:eastAsia="es-ES_tradnl"/>
        </w:rPr>
      </w:pPr>
    </w:p>
    <w:p w14:paraId="7C25073A" w14:textId="77777777" w:rsidR="00A50423" w:rsidRPr="008E6AD9" w:rsidRDefault="00A50423" w:rsidP="00A50423">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w:t>
      </w:r>
      <w:r>
        <w:rPr>
          <w:rFonts w:ascii="Verdana" w:eastAsia="Calibri" w:hAnsi="Verdana" w:cs="Arial"/>
          <w:lang w:val="es-ES" w:eastAsia="es-ES"/>
        </w:rPr>
        <w:t xml:space="preserve">señor </w:t>
      </w:r>
      <w:r w:rsidRPr="00B55C93">
        <w:rPr>
          <w:rFonts w:ascii="Verdana" w:eastAsia="Calibri" w:hAnsi="Verdana" w:cs="Arial"/>
          <w:lang w:val="es-ES" w:eastAsia="es-ES"/>
        </w:rPr>
        <w:t>González Rivera</w:t>
      </w:r>
      <w:r w:rsidRPr="008E6AD9">
        <w:rPr>
          <w:rFonts w:ascii="Verdana" w:eastAsia="Calibri" w:hAnsi="Verdana" w:cs="Arial"/>
          <w:lang w:val="es-ES" w:eastAsia="es-ES"/>
        </w:rPr>
        <w:t xml:space="preserve">: </w:t>
      </w:r>
    </w:p>
    <w:p w14:paraId="33933BC0" w14:textId="77777777" w:rsidR="00A50423" w:rsidRDefault="00A50423" w:rsidP="00A50423">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3267FC02" w14:textId="77777777" w:rsidR="00A50423" w:rsidRPr="00593A5F" w:rsidRDefault="00A50423" w:rsidP="00A50423">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 xml:space="preserve">la Agencia Nacional de Contratación Pública – Colombia Compra Eficiente responde </w:t>
      </w:r>
      <w:r>
        <w:rPr>
          <w:rFonts w:ascii="Verdana" w:eastAsia="Calibri" w:hAnsi="Verdana" w:cs="Arial"/>
          <w:color w:val="000000" w:themeColor="text1"/>
          <w:lang w:val="es-ES" w:eastAsia="es-ES"/>
        </w:rPr>
        <w:t>la</w:t>
      </w:r>
      <w:r w:rsidRPr="00593A5F">
        <w:rPr>
          <w:rFonts w:ascii="Verdana" w:eastAsia="Calibri" w:hAnsi="Verdana" w:cs="Arial"/>
          <w:color w:val="000000" w:themeColor="text1"/>
          <w:lang w:val="es-ES" w:eastAsia="es-ES"/>
        </w:rPr>
        <w:t xml:space="preserve">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24 de julio de 2026, por la cual –conforme al artículo 21 de la Ley 1437 de 2011– remite por competencia el derecho de petición radicado por </w:t>
      </w:r>
      <w:r w:rsidRPr="00A535A3">
        <w:rPr>
          <w:rFonts w:ascii="Verdana" w:eastAsia="Calibri" w:hAnsi="Verdana" w:cs="Arial"/>
          <w:lang w:val="es-ES" w:eastAsia="es-ES"/>
        </w:rPr>
        <w:t>Stivinson Martínez Gómez</w:t>
      </w:r>
      <w:r>
        <w:rPr>
          <w:rFonts w:ascii="Verdana" w:eastAsia="Calibri" w:hAnsi="Verdana" w:cs="Arial"/>
          <w:lang w:val="es-ES" w:eastAsia="es-ES"/>
        </w:rPr>
        <w:t>,</w:t>
      </w:r>
      <w:r w:rsidRPr="00A535A3">
        <w:rPr>
          <w:rFonts w:ascii="Verdana" w:eastAsia="Calibri" w:hAnsi="Verdana" w:cs="Arial"/>
          <w:lang w:val="es-ES" w:eastAsia="es-ES"/>
        </w:rPr>
        <w:t xml:space="preserve"> </w:t>
      </w:r>
      <w:r>
        <w:rPr>
          <w:rFonts w:ascii="Verdana" w:eastAsia="Calibri" w:hAnsi="Verdana" w:cs="Arial"/>
          <w:lang w:val="es-ES" w:eastAsia="es-ES"/>
        </w:rPr>
        <w:t>donde solicita conceptuar sobre los siguientes aspectos</w:t>
      </w:r>
      <w:r w:rsidRPr="008E6AD9">
        <w:rPr>
          <w:rFonts w:ascii="Verdana" w:eastAsia="Calibri" w:hAnsi="Verdana" w:cs="Arial"/>
          <w:lang w:val="es-ES" w:eastAsia="es-ES"/>
        </w:rPr>
        <w:t xml:space="preserve">: </w:t>
      </w:r>
    </w:p>
    <w:p w14:paraId="5A3BA899" w14:textId="77777777" w:rsidR="00A50423" w:rsidRPr="00272A7B" w:rsidRDefault="00A50423" w:rsidP="00A50423">
      <w:pPr>
        <w:pStyle w:val="Prrafodelista"/>
        <w:tabs>
          <w:tab w:val="left" w:pos="142"/>
          <w:tab w:val="left" w:pos="284"/>
        </w:tabs>
        <w:spacing w:after="0" w:line="276" w:lineRule="auto"/>
        <w:ind w:left="0"/>
        <w:jc w:val="both"/>
        <w:rPr>
          <w:rFonts w:ascii="Verdana" w:eastAsia="Century Gothic" w:hAnsi="Verdana" w:cs="Century Gothic"/>
          <w:b/>
          <w:bCs/>
        </w:rPr>
      </w:pPr>
    </w:p>
    <w:p w14:paraId="3DBFE78C" w14:textId="77777777" w:rsidR="00A50423" w:rsidRPr="00A535A3" w:rsidRDefault="00A50423" w:rsidP="00A50423">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lastRenderedPageBreak/>
        <w:t>“</w:t>
      </w:r>
      <w:bookmarkEnd w:id="0"/>
      <w:r w:rsidRPr="00A535A3">
        <w:rPr>
          <w:rFonts w:ascii="Verdana" w:eastAsia="Century Gothic" w:hAnsi="Verdana" w:cs="Century Gothic"/>
          <w:sz w:val="20"/>
          <w:szCs w:val="20"/>
          <w:lang w:val="es-ES"/>
        </w:rPr>
        <w:t xml:space="preserve">1. ¿Existe alguna inhabilidad, incompatibilidad o prohibición legal que me impida celebrar un contrato de prestación de servicios con la Unidad Administrativa Especial de Aeronáutica Civil a partir del 1 de noviembre de 2026, habiendo transcurrido más de un (1) año desde mi retiro del cargo de </w:t>
      </w:r>
      <w:proofErr w:type="gramStart"/>
      <w:r w:rsidRPr="00A535A3">
        <w:rPr>
          <w:rFonts w:ascii="Verdana" w:eastAsia="Century Gothic" w:hAnsi="Verdana" w:cs="Century Gothic"/>
          <w:sz w:val="20"/>
          <w:szCs w:val="20"/>
          <w:lang w:val="es-ES"/>
        </w:rPr>
        <w:t>Director</w:t>
      </w:r>
      <w:proofErr w:type="gramEnd"/>
      <w:r w:rsidRPr="00A535A3">
        <w:rPr>
          <w:rFonts w:ascii="Verdana" w:eastAsia="Century Gothic" w:hAnsi="Verdana" w:cs="Century Gothic"/>
          <w:sz w:val="20"/>
          <w:szCs w:val="20"/>
          <w:lang w:val="es-ES"/>
        </w:rPr>
        <w:t xml:space="preserve"> de Infraestructura y Ayudas Aeroportuarias?</w:t>
      </w:r>
    </w:p>
    <w:p w14:paraId="0622CA44" w14:textId="77777777" w:rsidR="00A50423" w:rsidRPr="00A535A3" w:rsidRDefault="00A50423" w:rsidP="00A50423">
      <w:pPr>
        <w:spacing w:after="120" w:line="240" w:lineRule="auto"/>
        <w:ind w:left="709" w:right="709"/>
        <w:jc w:val="both"/>
        <w:rPr>
          <w:rFonts w:ascii="Verdana" w:eastAsia="Century Gothic" w:hAnsi="Verdana" w:cs="Century Gothic"/>
          <w:sz w:val="20"/>
          <w:szCs w:val="20"/>
          <w:lang w:val="es-ES"/>
        </w:rPr>
      </w:pPr>
      <w:r w:rsidRPr="00A535A3">
        <w:rPr>
          <w:rFonts w:ascii="Verdana" w:eastAsia="Century Gothic" w:hAnsi="Verdana" w:cs="Century Gothic"/>
          <w:sz w:val="20"/>
          <w:szCs w:val="20"/>
          <w:lang w:val="es-ES"/>
        </w:rPr>
        <w:t xml:space="preserve">2. ¿Resulta aplicable a mi situación la prohibición prevista en el artículo 3 de la Ley 1474 de 2011, modificatorio del artículo 8 de la Ley 80 de 1993, relacionada con la denominada </w:t>
      </w:r>
      <w:r>
        <w:rPr>
          <w:rFonts w:ascii="Verdana" w:eastAsia="Century Gothic" w:hAnsi="Verdana" w:cs="Century Gothic"/>
          <w:sz w:val="20"/>
          <w:szCs w:val="20"/>
          <w:lang w:val="es-ES"/>
        </w:rPr>
        <w:t>‘</w:t>
      </w:r>
      <w:r w:rsidRPr="00A535A3">
        <w:rPr>
          <w:rFonts w:ascii="Verdana" w:eastAsia="Century Gothic" w:hAnsi="Verdana" w:cs="Century Gothic"/>
          <w:sz w:val="20"/>
          <w:szCs w:val="20"/>
          <w:lang w:val="es-ES"/>
        </w:rPr>
        <w:t>puerta giratoria</w:t>
      </w:r>
      <w:r>
        <w:rPr>
          <w:rFonts w:ascii="Verdana" w:eastAsia="Century Gothic" w:hAnsi="Verdana" w:cs="Century Gothic"/>
          <w:sz w:val="20"/>
          <w:szCs w:val="20"/>
          <w:lang w:val="es-ES"/>
        </w:rPr>
        <w:t>’</w:t>
      </w:r>
      <w:r w:rsidRPr="00A535A3">
        <w:rPr>
          <w:rFonts w:ascii="Verdana" w:eastAsia="Century Gothic" w:hAnsi="Verdana" w:cs="Century Gothic"/>
          <w:sz w:val="20"/>
          <w:szCs w:val="20"/>
          <w:lang w:val="es-ES"/>
        </w:rPr>
        <w:t xml:space="preserve"> para exservidores públicos del nivel directivo?</w:t>
      </w:r>
    </w:p>
    <w:p w14:paraId="7FB65576" w14:textId="77777777" w:rsidR="00A50423" w:rsidRPr="00A535A3" w:rsidRDefault="00A50423" w:rsidP="00A50423">
      <w:pPr>
        <w:spacing w:after="120" w:line="240" w:lineRule="auto"/>
        <w:ind w:left="709" w:right="709"/>
        <w:jc w:val="both"/>
        <w:rPr>
          <w:rFonts w:ascii="Verdana" w:eastAsia="Century Gothic" w:hAnsi="Verdana" w:cs="Century Gothic"/>
          <w:sz w:val="20"/>
          <w:szCs w:val="20"/>
          <w:lang w:val="es-ES"/>
        </w:rPr>
      </w:pPr>
      <w:r w:rsidRPr="00A535A3">
        <w:rPr>
          <w:rFonts w:ascii="Verdana" w:eastAsia="Century Gothic" w:hAnsi="Verdana" w:cs="Century Gothic"/>
          <w:sz w:val="20"/>
          <w:szCs w:val="20"/>
          <w:lang w:val="es-ES"/>
        </w:rPr>
        <w:t>3. ¿La prohibición establecida en la Ley 1474 de 2011 se circunscribe únicamente a la gestión o participación en asuntos concretos respecto de los cuales el exservidor tuvo conocimiento o poder de decisión en ejercicio de sus funciones, o se extiende de manera general a toda la entidad en la que prestó sus servicios?</w:t>
      </w:r>
    </w:p>
    <w:p w14:paraId="10F98A01" w14:textId="77777777" w:rsidR="00A50423" w:rsidRPr="008E6AD9" w:rsidRDefault="00A50423" w:rsidP="00A50423">
      <w:pPr>
        <w:spacing w:after="0" w:line="240" w:lineRule="auto"/>
        <w:ind w:left="709" w:right="709"/>
        <w:jc w:val="both"/>
        <w:rPr>
          <w:rFonts w:ascii="Verdana" w:eastAsia="Century Gothic" w:hAnsi="Verdana" w:cs="Century Gothic"/>
          <w:b/>
          <w:bCs/>
        </w:rPr>
      </w:pPr>
      <w:r w:rsidRPr="00A535A3">
        <w:rPr>
          <w:rFonts w:ascii="Verdana" w:eastAsia="Century Gothic" w:hAnsi="Verdana" w:cs="Century Gothic"/>
          <w:sz w:val="20"/>
          <w:szCs w:val="20"/>
          <w:lang w:val="es-ES"/>
        </w:rPr>
        <w:t xml:space="preserve">4. ¿El hecho de que el eventual contrato se celebre con la Oficina de Gestión de Proyectos u otra dependencia distinta de la Dirección de Infraestructura y Ayudas Aeroportuarias y que su objeto no tenga relación con asuntos conocidos, dirigidos o decididos por mí como </w:t>
      </w:r>
      <w:proofErr w:type="gramStart"/>
      <w:r w:rsidRPr="00A535A3">
        <w:rPr>
          <w:rFonts w:ascii="Verdana" w:eastAsia="Century Gothic" w:hAnsi="Verdana" w:cs="Century Gothic"/>
          <w:sz w:val="20"/>
          <w:szCs w:val="20"/>
          <w:lang w:val="es-ES"/>
        </w:rPr>
        <w:t>Director</w:t>
      </w:r>
      <w:proofErr w:type="gramEnd"/>
      <w:r w:rsidRPr="00A535A3">
        <w:rPr>
          <w:rFonts w:ascii="Verdana" w:eastAsia="Century Gothic" w:hAnsi="Verdana" w:cs="Century Gothic"/>
          <w:sz w:val="20"/>
          <w:szCs w:val="20"/>
          <w:lang w:val="es-ES"/>
        </w:rPr>
        <w:t>, permite concluir que no existe impedimento legal para contratar con la Aeronáutica Civil?</w:t>
      </w:r>
      <w:r>
        <w:rPr>
          <w:rFonts w:ascii="Verdana" w:eastAsia="Century Gothic" w:hAnsi="Verdana" w:cs="Century Gothic"/>
          <w:sz w:val="20"/>
          <w:szCs w:val="20"/>
          <w:lang w:val="es-ES"/>
        </w:rPr>
        <w:t>”.</w:t>
      </w:r>
    </w:p>
    <w:p w14:paraId="502FFEB0" w14:textId="77777777" w:rsidR="00A50423" w:rsidRPr="00481B98" w:rsidRDefault="00A50423" w:rsidP="00A50423">
      <w:pPr>
        <w:spacing w:after="0" w:line="276" w:lineRule="auto"/>
        <w:ind w:firstLine="709"/>
        <w:jc w:val="both"/>
        <w:rPr>
          <w:rFonts w:ascii="Verdana" w:eastAsia="Calibri" w:hAnsi="Verdana" w:cs="Arial"/>
          <w:color w:val="000000"/>
          <w:lang w:eastAsia="es-ES"/>
        </w:rPr>
      </w:pPr>
    </w:p>
    <w:p w14:paraId="5C4A73DD" w14:textId="77777777" w:rsidR="00A50423" w:rsidRPr="00A652FF" w:rsidRDefault="00A50423" w:rsidP="00A50423">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2F4BBB87" w14:textId="77777777" w:rsidR="00A50423" w:rsidRDefault="00A50423" w:rsidP="00A50423">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07660682" w14:textId="77777777" w:rsidR="00A50423" w:rsidRPr="00593A5F" w:rsidRDefault="00A50423" w:rsidP="00A50423">
      <w:pPr>
        <w:spacing w:after="0" w:line="276" w:lineRule="auto"/>
        <w:ind w:firstLine="709"/>
        <w:jc w:val="both"/>
        <w:rPr>
          <w:rFonts w:ascii="Verdana" w:eastAsia="Calibri" w:hAnsi="Verdana" w:cs="Arial"/>
          <w:color w:val="000000"/>
          <w:lang w:val="es-ES" w:eastAsia="es-ES"/>
        </w:rPr>
      </w:pPr>
    </w:p>
    <w:p w14:paraId="7014623F" w14:textId="77777777" w:rsidR="00A50423" w:rsidRPr="00593A5F" w:rsidRDefault="00A50423" w:rsidP="00A50423">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lastRenderedPageBreak/>
        <w:t>Problema planteado:</w:t>
      </w:r>
    </w:p>
    <w:p w14:paraId="5909ED7E" w14:textId="77777777" w:rsidR="00A50423" w:rsidRPr="00593A5F" w:rsidRDefault="00A50423" w:rsidP="00A50423">
      <w:pPr>
        <w:tabs>
          <w:tab w:val="left" w:pos="426"/>
        </w:tabs>
        <w:spacing w:after="0" w:line="276" w:lineRule="auto"/>
        <w:jc w:val="both"/>
        <w:rPr>
          <w:rFonts w:ascii="Verdana" w:eastAsia="Century Gothic" w:hAnsi="Verdana" w:cs="Century Gothic"/>
          <w:lang w:val="es-ES"/>
        </w:rPr>
      </w:pPr>
    </w:p>
    <w:p w14:paraId="6CE8D61C" w14:textId="0D7CEF9E" w:rsidR="00A50423" w:rsidRPr="00593A5F" w:rsidRDefault="00A50423" w:rsidP="00A50423">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w:t>
      </w:r>
      <w:r w:rsidR="005E0D7D" w:rsidRPr="005E0D7D">
        <w:t xml:space="preserve"> </w:t>
      </w:r>
      <w:r w:rsidR="005E0D7D" w:rsidRPr="005E0D7D">
        <w:rPr>
          <w:rFonts w:ascii="Verdana" w:eastAsia="Century Gothic" w:hAnsi="Verdana" w:cs="Century Gothic"/>
        </w:rPr>
        <w:t>i) ¿</w:t>
      </w:r>
      <w:r w:rsidR="005E0D7D">
        <w:rPr>
          <w:rFonts w:ascii="Verdana" w:eastAsia="Century Gothic" w:hAnsi="Verdana" w:cs="Century Gothic"/>
        </w:rPr>
        <w:t>C</w:t>
      </w:r>
      <w:r w:rsidR="005E0D7D" w:rsidRPr="005E0D7D">
        <w:rPr>
          <w:rFonts w:ascii="Verdana" w:eastAsia="Century Gothic" w:hAnsi="Verdana" w:cs="Century Gothic"/>
        </w:rPr>
        <w:t xml:space="preserve">uáles son las incompatibilidades que limitan la capacidad de un exservidor del nivel directivo para celebrar contratos con el Estado, conforme a los literales a) y f) del numeral 2 del artículo 8 de la Ley 80 de 1993, y durante qué términos operan?; </w:t>
      </w:r>
      <w:proofErr w:type="spellStart"/>
      <w:r w:rsidR="005E0D7D" w:rsidRPr="005E0D7D">
        <w:rPr>
          <w:rFonts w:ascii="Verdana" w:eastAsia="Century Gothic" w:hAnsi="Verdana" w:cs="Century Gothic"/>
        </w:rPr>
        <w:t>ii</w:t>
      </w:r>
      <w:proofErr w:type="spellEnd"/>
      <w:r w:rsidR="005E0D7D" w:rsidRPr="005E0D7D">
        <w:rPr>
          <w:rFonts w:ascii="Verdana" w:eastAsia="Century Gothic" w:hAnsi="Verdana" w:cs="Century Gothic"/>
        </w:rPr>
        <w:t>) ¿</w:t>
      </w:r>
      <w:r w:rsidR="005E0D7D">
        <w:rPr>
          <w:rFonts w:ascii="Verdana" w:eastAsia="Century Gothic" w:hAnsi="Verdana" w:cs="Century Gothic"/>
        </w:rPr>
        <w:t>E</w:t>
      </w:r>
      <w:r w:rsidR="005E0D7D" w:rsidRPr="005E0D7D">
        <w:rPr>
          <w:rFonts w:ascii="Verdana" w:eastAsia="Century Gothic" w:hAnsi="Verdana" w:cs="Century Gothic"/>
        </w:rPr>
        <w:t xml:space="preserve">l alcance de esas incompatibilidades se determina por la entidad contratante y por el sector administrativo, o por los asuntos concretos que el exservidor conoció o decidió en ejercicio del cargo, con independencia de la dependencia con la que se pretenda contratar?; y </w:t>
      </w:r>
      <w:proofErr w:type="spellStart"/>
      <w:r w:rsidR="005E0D7D" w:rsidRPr="005E0D7D">
        <w:rPr>
          <w:rFonts w:ascii="Verdana" w:eastAsia="Century Gothic" w:hAnsi="Verdana" w:cs="Century Gothic"/>
        </w:rPr>
        <w:t>iii</w:t>
      </w:r>
      <w:proofErr w:type="spellEnd"/>
      <w:r w:rsidR="005E0D7D" w:rsidRPr="005E0D7D">
        <w:rPr>
          <w:rFonts w:ascii="Verdana" w:eastAsia="Century Gothic" w:hAnsi="Verdana" w:cs="Century Gothic"/>
        </w:rPr>
        <w:t>) ¿</w:t>
      </w:r>
      <w:r w:rsidR="005E0D7D">
        <w:rPr>
          <w:rFonts w:ascii="Verdana" w:eastAsia="Century Gothic" w:hAnsi="Verdana" w:cs="Century Gothic"/>
        </w:rPr>
        <w:t>E</w:t>
      </w:r>
      <w:r w:rsidR="005E0D7D" w:rsidRPr="005E0D7D">
        <w:rPr>
          <w:rFonts w:ascii="Verdana" w:eastAsia="Century Gothic" w:hAnsi="Verdana" w:cs="Century Gothic"/>
        </w:rPr>
        <w:t>n qué se diferencian dichas incompatibilidades contractuales de la prohibición disciplinaria de gestionar intereses privados, hoy prevista en el artículo 56, numeral 4, de la Ley 1952 de 2019?"</w:t>
      </w:r>
    </w:p>
    <w:p w14:paraId="3B6ADA1F" w14:textId="77777777" w:rsidR="00A50423" w:rsidRPr="004B140F" w:rsidRDefault="00A50423" w:rsidP="00A50423">
      <w:pPr>
        <w:spacing w:after="0" w:line="276" w:lineRule="auto"/>
        <w:jc w:val="both"/>
        <w:rPr>
          <w:rFonts w:ascii="Verdana" w:eastAsia="Calibri" w:hAnsi="Verdana" w:cs="Arial"/>
          <w:color w:val="7030A0"/>
        </w:rPr>
      </w:pPr>
    </w:p>
    <w:p w14:paraId="0D3EAAF6" w14:textId="77777777" w:rsidR="00A50423" w:rsidRPr="00593A5F" w:rsidRDefault="00A50423" w:rsidP="00A5042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38314EB9" w14:textId="77777777" w:rsidR="00A50423" w:rsidRPr="00593A5F" w:rsidRDefault="00A50423" w:rsidP="00A50423">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A50423" w:rsidRPr="00593A5F" w14:paraId="6D5A0576" w14:textId="77777777" w:rsidTr="00161F84">
        <w:trPr>
          <w:jc w:val="center"/>
        </w:trPr>
        <w:tc>
          <w:tcPr>
            <w:tcW w:w="8828" w:type="dxa"/>
          </w:tcPr>
          <w:p w14:paraId="1BCC35E6" w14:textId="0A31357D" w:rsidR="00327307" w:rsidRPr="00327307" w:rsidRDefault="00327307" w:rsidP="00327307">
            <w:pPr>
              <w:tabs>
                <w:tab w:val="left" w:pos="709"/>
              </w:tabs>
              <w:spacing w:after="120" w:line="276" w:lineRule="auto"/>
              <w:jc w:val="both"/>
              <w:rPr>
                <w:rFonts w:ascii="Verdana" w:eastAsia="Calibri" w:hAnsi="Verdana" w:cs="Arial"/>
                <w:bCs/>
                <w:color w:val="000000" w:themeColor="text1"/>
              </w:rPr>
            </w:pPr>
            <w:bookmarkStart w:id="1" w:name="_Hlk171694685"/>
            <w:r w:rsidRPr="00327307">
              <w:rPr>
                <w:rFonts w:ascii="Verdana" w:eastAsia="Calibri" w:hAnsi="Verdana" w:cs="Arial"/>
                <w:bCs/>
                <w:color w:val="000000" w:themeColor="text1"/>
              </w:rPr>
              <w:t>Conforme a la interpretación general de las normas del sistema de compra pública,</w:t>
            </w:r>
            <w:r w:rsidR="00193721">
              <w:rPr>
                <w:rFonts w:ascii="Verdana" w:eastAsia="Calibri" w:hAnsi="Verdana" w:cs="Arial"/>
                <w:bCs/>
                <w:color w:val="000000" w:themeColor="text1"/>
              </w:rPr>
              <w:t xml:space="preserve"> </w:t>
            </w:r>
            <w:r w:rsidRPr="00327307">
              <w:rPr>
                <w:rFonts w:ascii="Verdana" w:eastAsia="Calibri" w:hAnsi="Verdana" w:cs="Arial"/>
                <w:bCs/>
                <w:color w:val="000000" w:themeColor="text1"/>
              </w:rPr>
              <w:t>la Agencia responde así:</w:t>
            </w:r>
          </w:p>
          <w:p w14:paraId="20EEB3B4" w14:textId="266EEF7A" w:rsidR="00327307" w:rsidRPr="002E724B" w:rsidRDefault="00327307" w:rsidP="002E724B">
            <w:pPr>
              <w:pStyle w:val="Prrafodelista"/>
              <w:numPr>
                <w:ilvl w:val="0"/>
                <w:numId w:val="20"/>
              </w:numPr>
              <w:tabs>
                <w:tab w:val="left" w:pos="709"/>
              </w:tabs>
              <w:spacing w:after="120" w:line="276" w:lineRule="auto"/>
              <w:ind w:left="22" w:firstLine="54"/>
              <w:jc w:val="both"/>
              <w:rPr>
                <w:rFonts w:ascii="Verdana" w:eastAsia="Calibri" w:hAnsi="Verdana" w:cs="Arial"/>
                <w:bCs/>
                <w:color w:val="000000" w:themeColor="text1"/>
              </w:rPr>
            </w:pPr>
            <w:r w:rsidRPr="002E724B">
              <w:rPr>
                <w:rFonts w:ascii="Verdana" w:eastAsia="Calibri" w:hAnsi="Verdana" w:cs="Arial"/>
                <w:bCs/>
                <w:color w:val="000000" w:themeColor="text1"/>
              </w:rPr>
              <w:t>Un exservidor del nivel directivo enfrenta dos restricciones distintas y sucesivas para contratar con el Estado. La primera, del literal a) del artículo 8.2 de la Ley 80 de 1993, le impide contratar con la entidad contratante en la que sirvió durante un (1) año contado desde el retiro. La segunda, del literal f) del mismo artículo —adicionado por el artículo 4 de la Ley 1474 de 2011—, le impide contratar, directa o indirectamente, durante dos (2) años siguientes al retiro, cuando el objeto contractual tenga relación con el sector al cual prestó sus servicios. Por tanto, el transcurso de un (1) año agota la restricción del literal a), pero no la del literal f), que puede subsistir hasta completar los dos (2) años cuando persiste la relación del objeto con el sector. La naturaleza del contrato —incluida la prestación de servicios— no altera este análisis, pues ninguno de los dos literales exceptúa esa tipología.</w:t>
            </w:r>
          </w:p>
          <w:p w14:paraId="02CA4E1F" w14:textId="6B5679C7" w:rsidR="00327307" w:rsidRPr="00327307" w:rsidRDefault="00327307" w:rsidP="00327307">
            <w:pPr>
              <w:tabs>
                <w:tab w:val="left" w:pos="709"/>
              </w:tabs>
              <w:spacing w:after="120" w:line="276" w:lineRule="auto"/>
              <w:jc w:val="both"/>
              <w:rPr>
                <w:rFonts w:ascii="Verdana" w:eastAsia="Calibri" w:hAnsi="Verdana" w:cs="Arial"/>
                <w:bCs/>
                <w:color w:val="000000" w:themeColor="text1"/>
              </w:rPr>
            </w:pPr>
            <w:proofErr w:type="spellStart"/>
            <w:r>
              <w:rPr>
                <w:rFonts w:ascii="Verdana" w:eastAsia="Calibri" w:hAnsi="Verdana" w:cs="Arial"/>
                <w:bCs/>
                <w:color w:val="000000" w:themeColor="text1"/>
              </w:rPr>
              <w:t>ii</w:t>
            </w:r>
            <w:proofErr w:type="spellEnd"/>
            <w:r>
              <w:rPr>
                <w:rFonts w:ascii="Verdana" w:eastAsia="Calibri" w:hAnsi="Verdana" w:cs="Arial"/>
                <w:bCs/>
                <w:color w:val="000000" w:themeColor="text1"/>
              </w:rPr>
              <w:t>.</w:t>
            </w:r>
            <w:r w:rsidRPr="00327307">
              <w:rPr>
                <w:rFonts w:ascii="Verdana" w:eastAsia="Calibri" w:hAnsi="Verdana" w:cs="Arial"/>
                <w:bCs/>
                <w:color w:val="000000" w:themeColor="text1"/>
              </w:rPr>
              <w:t xml:space="preserve"> El alcance de ambas incompatibilidades se fija por un criterio objetivo. El literal a) se circunscribe a la entidad contratante, considerada como una sola persona jurídica; por ello, contratar con una dependencia distinta de aquella en la que el exdirectivo ejerció sus funciones —por ejemplo, otra oficina de la misma unidad administrativa especial— no elude la restricción, porque se trata </w:t>
            </w:r>
            <w:r w:rsidRPr="00327307">
              <w:rPr>
                <w:rFonts w:ascii="Verdana" w:eastAsia="Calibri" w:hAnsi="Verdana" w:cs="Arial"/>
                <w:bCs/>
                <w:color w:val="000000" w:themeColor="text1"/>
              </w:rPr>
              <w:lastRenderedPageBreak/>
              <w:t>de la misma entidad. El literal f), por su parte, se determina por la relación del objeto con el sector administrativo (artículos 42 y 50 de la Ley 489 de 1998), de modo que se extiende a las entidades del respectivo sector, con independencia de la dependencia específica y con independencia de que el exdirectivo hubiese conocido, dirigido o decidido el asunto objeto del contrato. En consecuencia, el hecho de que el objeto no se relacione con asuntos tramitados personalmente por el exservidor no desactiva, por sí solo, las incompatibilidades de los literales a) y f), cuyo presupuesto no es el conocimiento individual del asunto sino la pertenencia a la entidad o al sector.</w:t>
            </w:r>
          </w:p>
          <w:p w14:paraId="40AE9472" w14:textId="191CB877" w:rsidR="00327307" w:rsidRPr="00327307" w:rsidRDefault="00327307" w:rsidP="00327307">
            <w:pPr>
              <w:tabs>
                <w:tab w:val="left" w:pos="709"/>
              </w:tabs>
              <w:spacing w:after="120" w:line="276" w:lineRule="auto"/>
              <w:jc w:val="both"/>
              <w:rPr>
                <w:rFonts w:ascii="Verdana" w:eastAsia="Calibri" w:hAnsi="Verdana" w:cs="Arial"/>
                <w:bCs/>
                <w:color w:val="000000" w:themeColor="text1"/>
              </w:rPr>
            </w:pPr>
            <w:proofErr w:type="spellStart"/>
            <w:r>
              <w:rPr>
                <w:rFonts w:ascii="Verdana" w:eastAsia="Calibri" w:hAnsi="Verdana" w:cs="Arial"/>
                <w:bCs/>
                <w:color w:val="000000" w:themeColor="text1"/>
              </w:rPr>
              <w:t>iii</w:t>
            </w:r>
            <w:proofErr w:type="spellEnd"/>
            <w:r>
              <w:rPr>
                <w:rFonts w:ascii="Verdana" w:eastAsia="Calibri" w:hAnsi="Verdana" w:cs="Arial"/>
                <w:bCs/>
                <w:color w:val="000000" w:themeColor="text1"/>
              </w:rPr>
              <w:t xml:space="preserve">. </w:t>
            </w:r>
            <w:r w:rsidRPr="00327307">
              <w:rPr>
                <w:rFonts w:ascii="Verdana" w:eastAsia="Calibri" w:hAnsi="Verdana" w:cs="Arial"/>
                <w:bCs/>
                <w:color w:val="000000" w:themeColor="text1"/>
              </w:rPr>
              <w:t>Cuestión diferente es la prohibición para que los exservidores gestionen intereses privados. La premisa según la cual el artículo 3 de la Ley 1474 de 2011 habría modificado el artículo 8 de la Ley 80 de 1993 no es exacta: ese artículo 3 adicionó el numeral 22 al artículo 35 de la Ley 734 de 2002 —hoy derogado— y la prohibición se recoge actualmente en el artículo 56, numeral 4, de la Ley 1952 de 2019. Se trata de una falta disciplinaria, no de un límite a la capacidad contractual: prohíbe prestar asistencia, representación o asesoría en asuntos relacionados con las funciones propias del cargo, hasta por un (1) año después de la dejación del cargo frente al organismo en que sirvió, con carácter indefinido respecto de los asuntos concretos que el servidor conoció en ejercicio de sus funciones. Es este régimen —y no el de los literales a) y f)— el que emplea el criterio de "asuntos concretos"; su configuración es independiente y no condiciona el alcance de las incompatibilidades contractuales.</w:t>
            </w:r>
          </w:p>
          <w:p w14:paraId="5FDCF69A" w14:textId="77777777" w:rsidR="00A50423" w:rsidRDefault="00A50423" w:rsidP="00161F84">
            <w:pPr>
              <w:spacing w:line="276" w:lineRule="auto"/>
              <w:ind w:firstLine="737"/>
              <w:jc w:val="both"/>
              <w:rPr>
                <w:rStyle w:val="s15"/>
                <w:rFonts w:ascii="Verdana" w:hAnsi="Verdana"/>
                <w:color w:val="000000"/>
              </w:rPr>
            </w:pPr>
            <w:r w:rsidRPr="00A47393">
              <w:rPr>
                <w:rStyle w:val="s15"/>
                <w:rFonts w:ascii="Verdana" w:hAnsi="Verdana"/>
                <w:color w:val="000000"/>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p w14:paraId="7FBF6A32" w14:textId="53526A7E" w:rsidR="00A50423" w:rsidRPr="001941FD" w:rsidRDefault="00A50423" w:rsidP="00161F84">
            <w:pPr>
              <w:spacing w:line="276" w:lineRule="auto"/>
              <w:ind w:firstLine="737"/>
              <w:jc w:val="both"/>
              <w:rPr>
                <w:rFonts w:ascii="Verdana" w:eastAsia="Calibri" w:hAnsi="Verdana" w:cs="Arial"/>
                <w:bCs/>
                <w:color w:val="000000" w:themeColor="text1"/>
              </w:rPr>
            </w:pPr>
          </w:p>
        </w:tc>
      </w:tr>
    </w:tbl>
    <w:p w14:paraId="31905F1A" w14:textId="77777777" w:rsidR="00A50423" w:rsidRPr="00593A5F" w:rsidRDefault="00A50423" w:rsidP="00A50423">
      <w:pPr>
        <w:tabs>
          <w:tab w:val="left" w:pos="142"/>
          <w:tab w:val="left" w:pos="284"/>
        </w:tabs>
        <w:spacing w:after="0" w:line="276" w:lineRule="auto"/>
        <w:jc w:val="both"/>
        <w:rPr>
          <w:rFonts w:ascii="Verdana" w:eastAsia="Century Gothic" w:hAnsi="Verdana" w:cs="Century Gothic"/>
          <w:b/>
          <w:bCs/>
          <w:lang w:val="es-ES"/>
        </w:rPr>
      </w:pPr>
    </w:p>
    <w:bookmarkEnd w:id="1"/>
    <w:p w14:paraId="0A9D3D31" w14:textId="77777777" w:rsidR="00A50423" w:rsidRPr="00593A5F" w:rsidRDefault="00A50423" w:rsidP="00A5042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4D4144FC" w14:textId="77777777" w:rsidR="00A50423" w:rsidRPr="00593A5F" w:rsidRDefault="00A50423" w:rsidP="00A50423">
      <w:pPr>
        <w:spacing w:after="0" w:line="276" w:lineRule="auto"/>
        <w:jc w:val="both"/>
        <w:rPr>
          <w:rFonts w:ascii="Verdana" w:eastAsia="Calibri" w:hAnsi="Verdana" w:cs="Arial"/>
          <w:color w:val="7030A0"/>
          <w:lang w:val="es-ES"/>
        </w:rPr>
      </w:pPr>
    </w:p>
    <w:p w14:paraId="5C005CA0" w14:textId="77777777" w:rsidR="00A50423" w:rsidRDefault="00A50423" w:rsidP="00A50423">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14EE413E" w14:textId="77777777" w:rsidR="00A50423" w:rsidRPr="00415608" w:rsidRDefault="00A50423" w:rsidP="00A50423">
      <w:pPr>
        <w:spacing w:after="0" w:line="276" w:lineRule="auto"/>
        <w:jc w:val="both"/>
        <w:rPr>
          <w:rFonts w:ascii="Verdana" w:eastAsia="Calibri" w:hAnsi="Verdana" w:cs="Arial"/>
          <w:lang w:val="es-ES"/>
        </w:rPr>
      </w:pPr>
    </w:p>
    <w:p w14:paraId="13499635" w14:textId="77777777" w:rsidR="00A50423" w:rsidRPr="00AD5F4A" w:rsidRDefault="00A50423" w:rsidP="00A50423">
      <w:pPr>
        <w:pStyle w:val="Sinespaciado"/>
        <w:spacing w:after="120" w:line="276" w:lineRule="auto"/>
        <w:jc w:val="both"/>
        <w:rPr>
          <w:rFonts w:ascii="Verdana" w:hAnsi="Verdana" w:cs="Arial"/>
          <w:sz w:val="22"/>
        </w:rPr>
      </w:pPr>
      <w:r w:rsidRPr="00AD5F4A">
        <w:rPr>
          <w:rFonts w:ascii="Verdana" w:hAnsi="Verdana" w:cs="Arial"/>
          <w:sz w:val="22"/>
        </w:rPr>
        <w:t>Las inhabilidades</w:t>
      </w:r>
      <w:r>
        <w:rPr>
          <w:rFonts w:ascii="Verdana" w:hAnsi="Verdana" w:cs="Arial"/>
          <w:sz w:val="22"/>
        </w:rPr>
        <w:t xml:space="preserve"> e incompatibilidades</w:t>
      </w:r>
      <w:r w:rsidRPr="00AD5F4A">
        <w:rPr>
          <w:rFonts w:ascii="Verdana" w:hAnsi="Verdana" w:cs="Arial"/>
          <w:sz w:val="22"/>
        </w:rPr>
        <w:t xml:space="preserve"> son circunstancias establecidas por la Constitución o la ley que impiden que personas naturales o jurídicas sean elegidas o designadas en un cargo público o celebren contratos con el Estado, con el objetivo de garantizar la idoneidad, imparcialidad, probidad, transparencia y moralidad de la función pública, garantizando el interés general.  </w:t>
      </w:r>
    </w:p>
    <w:p w14:paraId="091428F4" w14:textId="77777777" w:rsidR="00A50423" w:rsidRPr="00AD5F4A" w:rsidRDefault="00A50423" w:rsidP="00A50423">
      <w:pPr>
        <w:spacing w:line="276" w:lineRule="auto"/>
        <w:ind w:firstLine="709"/>
        <w:jc w:val="both"/>
        <w:rPr>
          <w:rFonts w:ascii="Verdana" w:hAnsi="Verdana" w:cs="Arial"/>
        </w:rPr>
      </w:pPr>
      <w:r w:rsidRPr="00AD5F4A">
        <w:rPr>
          <w:rFonts w:ascii="Verdana" w:hAnsi="Verdana" w:cs="Arial"/>
        </w:rPr>
        <w:t xml:space="preserve">El régimen de inhabilidades </w:t>
      </w:r>
      <w:r>
        <w:rPr>
          <w:rFonts w:ascii="Verdana" w:hAnsi="Verdana" w:cs="Arial"/>
        </w:rPr>
        <w:t xml:space="preserve">e incompatibilidades </w:t>
      </w:r>
      <w:r w:rsidRPr="00AD5F4A">
        <w:rPr>
          <w:rFonts w:ascii="Verdana" w:hAnsi="Verdana" w:cs="Arial"/>
        </w:rPr>
        <w:t>para contratar con el Estado es un conjunto de restricciones establecidas por el constituyente o por el legislador que afectan directamente la capacidad de las personas para establecer relaciones contractuales con el Estado, que pueden resultar de condenas, sanciones o situaciones previamente establecidas por el ordenamiento jurídico. En esta medida, la Corte Constitucional explica que “las inhabilidades representan una limitación a la capacidad para contratar con las entidades del Estado y obedecen a la falta de aptitud o a la carencia de una cualidad, calidad o requisito en el sujeto incapacitado quien por esta razón no podrá hacer parte de una relación contractual”</w:t>
      </w:r>
      <w:r w:rsidRPr="00AD5F4A">
        <w:rPr>
          <w:rStyle w:val="Refdenotaalpie"/>
          <w:rFonts w:ascii="Verdana" w:hAnsi="Verdana" w:cs="Arial"/>
        </w:rPr>
        <w:footnoteReference w:id="1"/>
      </w:r>
      <w:r w:rsidRPr="00AD5F4A">
        <w:rPr>
          <w:rFonts w:ascii="Verdana" w:hAnsi="Verdana" w:cs="Arial"/>
        </w:rPr>
        <w:t>.</w:t>
      </w:r>
    </w:p>
    <w:p w14:paraId="6573C6DF" w14:textId="77777777" w:rsidR="00A50423" w:rsidRPr="00AD5F4A" w:rsidRDefault="00A50423" w:rsidP="00A50423">
      <w:pPr>
        <w:pStyle w:val="Sinespaciado"/>
        <w:spacing w:before="120" w:line="276" w:lineRule="auto"/>
        <w:ind w:firstLine="709"/>
        <w:jc w:val="both"/>
        <w:rPr>
          <w:rFonts w:ascii="Verdana" w:hAnsi="Verdana" w:cs="Arial"/>
          <w:sz w:val="22"/>
        </w:rPr>
      </w:pPr>
      <w:r w:rsidRPr="00AD5F4A">
        <w:rPr>
          <w:rFonts w:ascii="Verdana" w:hAnsi="Verdana" w:cs="Arial"/>
          <w:sz w:val="22"/>
        </w:rPr>
        <w:t xml:space="preserve">La consagración limitaciones que afectan la capacidad jurídica para contratar desarrolla los principios de la función administrativa consagrados en el artículo 209 de la Constitución Política, con especial énfasis el de moralidad. Así lo entiende el Consejo de Estado: </w:t>
      </w:r>
    </w:p>
    <w:p w14:paraId="25A135A0" w14:textId="77777777" w:rsidR="00A50423" w:rsidRPr="00AD5F4A" w:rsidRDefault="00A50423" w:rsidP="00A50423">
      <w:pPr>
        <w:pStyle w:val="Sinespaciado"/>
        <w:spacing w:line="276" w:lineRule="auto"/>
        <w:jc w:val="both"/>
        <w:rPr>
          <w:rFonts w:ascii="Verdana" w:hAnsi="Verdana" w:cs="Arial"/>
          <w:sz w:val="22"/>
        </w:rPr>
      </w:pPr>
    </w:p>
    <w:p w14:paraId="34930215" w14:textId="77777777" w:rsidR="00A50423" w:rsidRPr="00AD5F4A" w:rsidRDefault="00A50423" w:rsidP="00A50423">
      <w:pPr>
        <w:pStyle w:val="NormalWeb"/>
        <w:shd w:val="clear" w:color="auto" w:fill="FFFFFF"/>
        <w:spacing w:before="0" w:beforeAutospacing="0" w:after="120" w:afterAutospacing="0"/>
        <w:ind w:left="709" w:right="709"/>
        <w:jc w:val="both"/>
        <w:rPr>
          <w:rFonts w:ascii="Verdana" w:eastAsiaTheme="minorHAnsi" w:hAnsi="Verdana" w:cs="Arial"/>
          <w:sz w:val="20"/>
          <w:szCs w:val="20"/>
          <w:lang w:val="es-ES" w:eastAsia="en-US"/>
        </w:rPr>
      </w:pPr>
      <w:r w:rsidRPr="00AD5F4A">
        <w:rPr>
          <w:rFonts w:ascii="Verdana" w:eastAsiaTheme="minorHAnsi" w:hAnsi="Verdana" w:cs="Arial"/>
          <w:sz w:val="20"/>
          <w:szCs w:val="20"/>
          <w:lang w:val="es-ES" w:eastAsia="en-US"/>
        </w:rPr>
        <w:t>“De manera primordial en esta reflexión debe advertirse que la consagración legal de las incompatibilidades e inhabilidades en materia contractual, no es sino desarrollo del Principio de Moralidad que la Constitución Política consagra como uno de los rectores de la Función Administrativa, instituido en el artículo 209 de la Carta, toda vez que este Principio –en su carácter jurídico, ordenador y orientador del derecho– constituye la Finalidad, el Deber Ser, la Razón de Primer Orden en la cual se inspira, justifica y legitima la existencia de las normas que definen y regulan las inhabilidades e incompatibilidades.</w:t>
      </w:r>
    </w:p>
    <w:p w14:paraId="06C3B9FF" w14:textId="77777777" w:rsidR="00A50423" w:rsidRPr="00AD5F4A" w:rsidRDefault="00A50423" w:rsidP="00A50423">
      <w:pPr>
        <w:pStyle w:val="NormalWeb"/>
        <w:shd w:val="clear" w:color="auto" w:fill="FFFFFF"/>
        <w:spacing w:before="0" w:beforeAutospacing="0" w:after="0" w:afterAutospacing="0"/>
        <w:ind w:left="709" w:right="709"/>
        <w:jc w:val="both"/>
        <w:rPr>
          <w:rFonts w:ascii="Verdana" w:eastAsiaTheme="minorHAnsi" w:hAnsi="Verdana" w:cs="Arial"/>
          <w:sz w:val="21"/>
          <w:szCs w:val="21"/>
          <w:lang w:val="es-ES" w:eastAsia="en-US"/>
        </w:rPr>
      </w:pPr>
      <w:r w:rsidRPr="00AD5F4A">
        <w:rPr>
          <w:rFonts w:ascii="Verdana" w:eastAsiaTheme="minorHAnsi" w:hAnsi="Verdana" w:cs="Arial"/>
          <w:sz w:val="20"/>
          <w:szCs w:val="20"/>
          <w:lang w:val="es-ES" w:eastAsia="en-US"/>
        </w:rPr>
        <w:t xml:space="preserve">Adicionalmente, toda vez que la Jurisprudencia Constitucional se ha referido a la protección del Interés General como causa que legitima la estructuración legal de las incompatibilidades e inhabilidades, se puede precisar que la regulación de sus causales para contratar con el Estado </w:t>
      </w:r>
      <w:r w:rsidRPr="00AD5F4A">
        <w:rPr>
          <w:rFonts w:ascii="Verdana" w:eastAsiaTheme="minorHAnsi" w:hAnsi="Verdana" w:cs="Arial"/>
          <w:sz w:val="20"/>
          <w:szCs w:val="20"/>
          <w:lang w:val="es-ES" w:eastAsia="en-US"/>
        </w:rPr>
        <w:lastRenderedPageBreak/>
        <w:t>debe orientarse por el Principio de Moralidad que obviamente –como es propio de todos los Principios de la Función Administrativa– se despliega ordenado con base en la protección prevalente del interés general y, por ello, se entiende que la potestad de configuración legislativa en materia de incompatibilidades e inhabilidades para contratar con el Estado puede concretarse a través de una regla de carácter excluyente para determinados potenciales contratistas, la cual se impone entonces por razón de ese fin de interés general como regla legal prevalente, esto es que puede ser impuesta sobre el derecho individual a contratar con el Estado”</w:t>
      </w:r>
      <w:r w:rsidRPr="00AD5F4A">
        <w:rPr>
          <w:rStyle w:val="Refdenotaalpie"/>
          <w:rFonts w:ascii="Verdana" w:eastAsiaTheme="minorHAnsi" w:hAnsi="Verdana" w:cs="Arial"/>
          <w:sz w:val="20"/>
          <w:szCs w:val="20"/>
          <w:lang w:val="es-ES" w:eastAsia="en-US"/>
        </w:rPr>
        <w:footnoteReference w:id="2"/>
      </w:r>
      <w:r w:rsidRPr="00AD5F4A">
        <w:rPr>
          <w:rFonts w:ascii="Verdana" w:eastAsiaTheme="minorHAnsi" w:hAnsi="Verdana" w:cs="Arial"/>
          <w:sz w:val="20"/>
          <w:szCs w:val="20"/>
          <w:lang w:val="es-ES" w:eastAsia="en-US"/>
        </w:rPr>
        <w:t>.</w:t>
      </w:r>
    </w:p>
    <w:p w14:paraId="1DC3215D" w14:textId="77777777" w:rsidR="00A50423" w:rsidRPr="00AD5F4A" w:rsidRDefault="00A50423" w:rsidP="00A50423">
      <w:pPr>
        <w:pStyle w:val="NormalWeb"/>
        <w:shd w:val="clear" w:color="auto" w:fill="FFFFFF"/>
        <w:spacing w:before="0" w:beforeAutospacing="0" w:after="0" w:afterAutospacing="0" w:line="276" w:lineRule="auto"/>
        <w:ind w:left="709" w:right="709"/>
        <w:jc w:val="both"/>
        <w:rPr>
          <w:rFonts w:ascii="Verdana" w:eastAsiaTheme="minorHAnsi" w:hAnsi="Verdana" w:cs="Arial"/>
          <w:sz w:val="22"/>
          <w:szCs w:val="22"/>
          <w:lang w:val="es-ES" w:eastAsia="en-US"/>
        </w:rPr>
      </w:pPr>
    </w:p>
    <w:p w14:paraId="61E3A953" w14:textId="77777777" w:rsidR="00A50423" w:rsidRPr="00AD5F4A" w:rsidRDefault="00A50423" w:rsidP="00A50423">
      <w:pPr>
        <w:pStyle w:val="Sinespaciado"/>
        <w:spacing w:line="276" w:lineRule="auto"/>
        <w:ind w:firstLine="709"/>
        <w:jc w:val="both"/>
        <w:rPr>
          <w:rFonts w:ascii="Verdana" w:hAnsi="Verdana" w:cs="Arial"/>
          <w:sz w:val="22"/>
        </w:rPr>
      </w:pPr>
      <w:r w:rsidRPr="00AD5F4A">
        <w:rPr>
          <w:rFonts w:ascii="Verdana" w:hAnsi="Verdana" w:cs="Arial"/>
          <w:sz w:val="22"/>
        </w:rPr>
        <w:t xml:space="preserve">Así las cosas, las inhabilidades son medios que garantizan la transparencia y eficiencia en la actividad contractual del Estado, imponiendo restricciones en la personalidad jurídica, la igualdad, la libre empresa y, particularmente, en el derecho a participar en procesos de selección y celebrar contratos con el Estado. La Corte Constitucional ha reconocido que estas limitaciones deben estar justificadas en la salvaguarda del interés general y que su lectura e interpretación es taxativa y restrictiva: </w:t>
      </w:r>
    </w:p>
    <w:p w14:paraId="75E3CC5C" w14:textId="77777777" w:rsidR="00A50423" w:rsidRPr="00AD5F4A" w:rsidRDefault="00A50423" w:rsidP="00A50423">
      <w:pPr>
        <w:pStyle w:val="Sinespaciado"/>
        <w:spacing w:line="276" w:lineRule="auto"/>
        <w:ind w:firstLine="709"/>
        <w:jc w:val="both"/>
        <w:rPr>
          <w:rFonts w:ascii="Verdana" w:hAnsi="Verdana" w:cs="Arial"/>
          <w:sz w:val="22"/>
        </w:rPr>
      </w:pPr>
    </w:p>
    <w:p w14:paraId="3F23E540" w14:textId="77777777" w:rsidR="00A50423" w:rsidRPr="00AD5F4A" w:rsidRDefault="00A50423" w:rsidP="00A50423">
      <w:pPr>
        <w:spacing w:line="240" w:lineRule="auto"/>
        <w:ind w:left="709" w:right="709"/>
        <w:jc w:val="both"/>
        <w:rPr>
          <w:rFonts w:ascii="Verdana" w:hAnsi="Verdana" w:cs="Arial"/>
          <w:sz w:val="20"/>
          <w:szCs w:val="20"/>
        </w:rPr>
      </w:pPr>
      <w:r w:rsidRPr="00AD5F4A">
        <w:rPr>
          <w:rFonts w:ascii="Verdana" w:hAnsi="Verdana" w:cs="Arial"/>
          <w:sz w:val="20"/>
          <w:szCs w:val="20"/>
        </w:rPr>
        <w:t>“Todo régimen de inhabilidades e incompatibilidades de suyo excluye a ciertas categorías de personas del proceso de contratación, generando incapacidades especiales, impedimentos y prohibiciones de variada naturaleza, que en cierta medida afectan el derecho a la personalidad jurídica traducido, a su turno, en el principio general de capacidad legal [CC arts. 1502 y 1503; ley 80 de 1993, art. 6]. De ordinario, como ocurre en la contratación estatal, la inobservancia del régimen de inhabilidades e incompatibilidades, se erige en causal de nulidad del contrato celebrado en esas condiciones (ley 80 de 1993, art. 44).</w:t>
      </w:r>
    </w:p>
    <w:p w14:paraId="5F1E9D71" w14:textId="77777777" w:rsidR="00A50423" w:rsidRPr="00AD5F4A" w:rsidRDefault="00A50423" w:rsidP="00A50423">
      <w:pPr>
        <w:spacing w:after="0" w:line="240" w:lineRule="auto"/>
        <w:ind w:left="709" w:right="709"/>
        <w:jc w:val="both"/>
        <w:rPr>
          <w:rFonts w:ascii="Verdana" w:hAnsi="Verdana" w:cs="Arial"/>
          <w:sz w:val="21"/>
          <w:szCs w:val="21"/>
        </w:rPr>
      </w:pPr>
      <w:r w:rsidRPr="00AD5F4A">
        <w:rPr>
          <w:rFonts w:ascii="Verdana" w:hAnsi="Verdana" w:cs="Arial"/>
          <w:sz w:val="20"/>
          <w:szCs w:val="20"/>
        </w:rPr>
        <w:t>El carácter reconocidamente taxativo y restrictivo de este régimen y el de las correlativas nulidades, obedece a la necesidad de salvaguardar el interés general ínsito en la contratación pública de manera que implique el menor sacrificio posible al derecho de igualdad y de reconocimiento de la personalidad jurídica de quienes aspiran a contratar con el Estado. Es evidente que si la restricción legal [incompatibilidad o inhabilidad] no se sustenta en ninguna necesidad de protección del interés general o ésta es irrazonable o desproporcionada, en esa misma medida pierde justificación constitucional como medio legítimo para restringir, en ese caso, el derecho a la igualdad y el reconocimiento de la personalidad jurídica de las personas que resultan rechazadas del ámbito contractual del Estado”</w:t>
      </w:r>
      <w:r w:rsidRPr="00AD5F4A">
        <w:rPr>
          <w:rStyle w:val="Refdenotaalpie"/>
          <w:rFonts w:ascii="Verdana" w:hAnsi="Verdana" w:cs="Arial"/>
          <w:sz w:val="20"/>
          <w:szCs w:val="20"/>
        </w:rPr>
        <w:footnoteReference w:id="3"/>
      </w:r>
      <w:r w:rsidRPr="00AD5F4A">
        <w:rPr>
          <w:rFonts w:ascii="Verdana" w:hAnsi="Verdana" w:cs="Arial"/>
          <w:sz w:val="20"/>
          <w:szCs w:val="20"/>
        </w:rPr>
        <w:t>.</w:t>
      </w:r>
    </w:p>
    <w:p w14:paraId="348AE60C" w14:textId="77777777" w:rsidR="00A50423" w:rsidRPr="00AD5F4A" w:rsidRDefault="00A50423" w:rsidP="00A50423">
      <w:pPr>
        <w:spacing w:after="0" w:line="276" w:lineRule="auto"/>
        <w:ind w:right="709"/>
        <w:jc w:val="both"/>
        <w:rPr>
          <w:rFonts w:ascii="Verdana" w:hAnsi="Verdana" w:cs="Arial"/>
        </w:rPr>
      </w:pPr>
    </w:p>
    <w:p w14:paraId="4FA826B6" w14:textId="77777777" w:rsidR="00A50423" w:rsidRPr="00AD5F4A" w:rsidRDefault="00A50423" w:rsidP="00A50423">
      <w:pPr>
        <w:spacing w:after="0" w:line="276" w:lineRule="auto"/>
        <w:ind w:firstLine="709"/>
        <w:jc w:val="both"/>
        <w:rPr>
          <w:rFonts w:ascii="Verdana" w:hAnsi="Verdana" w:cs="Arial"/>
        </w:rPr>
      </w:pPr>
      <w:r w:rsidRPr="00AD5F4A">
        <w:rPr>
          <w:rFonts w:ascii="Verdana" w:hAnsi="Verdana" w:cs="Arial"/>
        </w:rPr>
        <w:t>Además, la Corte Constitucional explica que el legislador tiene la competencia para determinar qué hechos o situaciones generan inhabilidad para contratar, pues este régimen es un aspecto propio del Estatuto General de Contratación de la Administración Pública, cuya expedición compete al Congreso de la República a la luz del artículo 150 de la Constitución Política, y que en esta materia rige el principio de legalidad:</w:t>
      </w:r>
    </w:p>
    <w:p w14:paraId="00E1F17B" w14:textId="77777777" w:rsidR="00A50423" w:rsidRPr="00AD5F4A" w:rsidRDefault="00A50423" w:rsidP="00A50423">
      <w:pPr>
        <w:pStyle w:val="Sinespaciado"/>
        <w:tabs>
          <w:tab w:val="left" w:pos="1532"/>
        </w:tabs>
        <w:spacing w:line="276" w:lineRule="auto"/>
        <w:jc w:val="both"/>
        <w:rPr>
          <w:rFonts w:ascii="Verdana" w:hAnsi="Verdana" w:cs="Arial"/>
          <w:sz w:val="22"/>
        </w:rPr>
      </w:pPr>
    </w:p>
    <w:p w14:paraId="76F9BB98" w14:textId="77777777" w:rsidR="00A50423" w:rsidRPr="00AD5F4A" w:rsidRDefault="00A50423" w:rsidP="00A50423">
      <w:pPr>
        <w:spacing w:after="0" w:line="240" w:lineRule="auto"/>
        <w:ind w:left="709" w:right="709"/>
        <w:jc w:val="both"/>
        <w:rPr>
          <w:rFonts w:ascii="Verdana" w:hAnsi="Verdana" w:cs="Arial"/>
          <w:sz w:val="20"/>
          <w:szCs w:val="20"/>
        </w:rPr>
      </w:pPr>
      <w:r w:rsidRPr="00AD5F4A">
        <w:rPr>
          <w:rFonts w:ascii="Verdana" w:hAnsi="Verdana" w:cs="Arial"/>
          <w:sz w:val="20"/>
          <w:szCs w:val="20"/>
        </w:rPr>
        <w:t>“Las limitaciones y restricciones que se contienen en el citado estatuto, predicables de la relación Estado-particulares y que afectan los diversos momentos de formación, celebración y ejecución de los contratos estatales, se refieren a una faceta de la actividad del Estado y en la que se contempla, en los términos de la ley, una especial modalidad de participación o colaboración de los particulares en su papel de contratistas. La ley demandada recae sobre una materia que pertenece al dominio de la esfera estatal y pública, dentro de la cual no rige el principio </w:t>
      </w:r>
      <w:r w:rsidRPr="00AD5F4A">
        <w:rPr>
          <w:rFonts w:ascii="Verdana" w:hAnsi="Verdana" w:cs="Arial"/>
          <w:i/>
          <w:iCs/>
          <w:sz w:val="20"/>
          <w:szCs w:val="20"/>
        </w:rPr>
        <w:t xml:space="preserve">pro </w:t>
      </w:r>
      <w:proofErr w:type="spellStart"/>
      <w:r w:rsidRPr="00AD5F4A">
        <w:rPr>
          <w:rFonts w:ascii="Verdana" w:hAnsi="Verdana" w:cs="Arial"/>
          <w:i/>
          <w:iCs/>
          <w:sz w:val="20"/>
          <w:szCs w:val="20"/>
        </w:rPr>
        <w:t>libertate</w:t>
      </w:r>
      <w:proofErr w:type="spellEnd"/>
      <w:r w:rsidRPr="00AD5F4A">
        <w:rPr>
          <w:rFonts w:ascii="Verdana" w:hAnsi="Verdana" w:cs="Arial"/>
          <w:sz w:val="20"/>
          <w:szCs w:val="20"/>
        </w:rPr>
        <w:t xml:space="preserve">, sino el de legalidad, el que ordena que la función pública debe someterse estrictamente a lo que disponga la Constitución y la ley (CP art. 6). </w:t>
      </w:r>
    </w:p>
    <w:p w14:paraId="659EB419" w14:textId="77777777" w:rsidR="00A50423" w:rsidRPr="00AD5F4A" w:rsidRDefault="00A50423" w:rsidP="00A50423">
      <w:pPr>
        <w:spacing w:after="120" w:line="240" w:lineRule="auto"/>
        <w:ind w:left="709" w:right="709"/>
        <w:jc w:val="both"/>
        <w:rPr>
          <w:rFonts w:ascii="Verdana" w:hAnsi="Verdana" w:cs="Arial"/>
          <w:sz w:val="20"/>
          <w:szCs w:val="20"/>
        </w:rPr>
      </w:pPr>
      <w:r w:rsidRPr="00AD5F4A">
        <w:rPr>
          <w:rFonts w:ascii="Verdana" w:hAnsi="Verdana" w:cs="Arial"/>
          <w:sz w:val="20"/>
          <w:szCs w:val="20"/>
        </w:rPr>
        <w:t xml:space="preserve">[…] </w:t>
      </w:r>
    </w:p>
    <w:p w14:paraId="14700E75" w14:textId="77777777" w:rsidR="00A50423" w:rsidRPr="00AD5F4A" w:rsidRDefault="00A50423" w:rsidP="00A50423">
      <w:pPr>
        <w:spacing w:after="0" w:line="240" w:lineRule="auto"/>
        <w:ind w:left="709" w:right="709"/>
        <w:jc w:val="both"/>
        <w:rPr>
          <w:rFonts w:ascii="Verdana" w:hAnsi="Verdana" w:cs="Arial"/>
          <w:sz w:val="21"/>
          <w:szCs w:val="21"/>
        </w:rPr>
      </w:pPr>
      <w:r w:rsidRPr="00AD5F4A">
        <w:rPr>
          <w:rFonts w:ascii="Verdana" w:hAnsi="Verdana" w:cs="Arial"/>
          <w:sz w:val="20"/>
          <w:szCs w:val="20"/>
        </w:rPr>
        <w:t>Se comprende con facilidad que el régimen de inhabilidades e incompatibilidades, corresponde a una materia de normal y obligada inclusión en un estatuto contractual. El legislador, a quien se ha confiado expedir el indicado estatuto, tiene, pues, competencia para establecerlo (CP art. 150)”</w:t>
      </w:r>
      <w:r w:rsidRPr="00AD5F4A">
        <w:rPr>
          <w:rStyle w:val="Refdenotaalpie"/>
          <w:rFonts w:ascii="Verdana" w:hAnsi="Verdana" w:cs="Arial"/>
          <w:sz w:val="20"/>
          <w:szCs w:val="20"/>
        </w:rPr>
        <w:footnoteReference w:id="4"/>
      </w:r>
      <w:r w:rsidRPr="00AD5F4A">
        <w:rPr>
          <w:rFonts w:ascii="Verdana" w:hAnsi="Verdana" w:cs="Arial"/>
          <w:sz w:val="20"/>
          <w:szCs w:val="20"/>
        </w:rPr>
        <w:t>.</w:t>
      </w:r>
    </w:p>
    <w:p w14:paraId="29E75D25" w14:textId="77777777" w:rsidR="00A50423" w:rsidRPr="00AD5F4A" w:rsidRDefault="00A50423" w:rsidP="00A50423">
      <w:pPr>
        <w:spacing w:after="0" w:line="276" w:lineRule="auto"/>
        <w:ind w:left="709" w:right="709"/>
        <w:jc w:val="both"/>
        <w:rPr>
          <w:rFonts w:ascii="Verdana" w:hAnsi="Verdana" w:cs="Arial"/>
        </w:rPr>
      </w:pPr>
    </w:p>
    <w:p w14:paraId="2BED2896" w14:textId="77777777" w:rsidR="00A50423" w:rsidRPr="00AD5F4A" w:rsidRDefault="00A50423" w:rsidP="00A50423">
      <w:pPr>
        <w:spacing w:after="0" w:line="276" w:lineRule="auto"/>
        <w:ind w:firstLine="709"/>
        <w:jc w:val="both"/>
        <w:rPr>
          <w:rFonts w:ascii="Verdana" w:hAnsi="Verdana" w:cs="Arial"/>
        </w:rPr>
      </w:pPr>
      <w:r w:rsidRPr="00AD5F4A">
        <w:rPr>
          <w:rFonts w:ascii="Verdana" w:hAnsi="Verdana" w:cs="Arial"/>
        </w:rPr>
        <w:t xml:space="preserve">Conviene también distinguir las fuentes de las inhabilidades, las cuales han sido clasificadas en dos (2) grupos: i) inhabilidades-sanción y </w:t>
      </w:r>
      <w:proofErr w:type="spellStart"/>
      <w:r w:rsidRPr="00AD5F4A">
        <w:rPr>
          <w:rFonts w:ascii="Verdana" w:hAnsi="Verdana" w:cs="Arial"/>
        </w:rPr>
        <w:t>ii</w:t>
      </w:r>
      <w:proofErr w:type="spellEnd"/>
      <w:r w:rsidRPr="00AD5F4A">
        <w:rPr>
          <w:rFonts w:ascii="Verdana" w:hAnsi="Verdana" w:cs="Arial"/>
        </w:rPr>
        <w:t>) inhabilidades-requisito. En el primer grupo se encuentran las inhabilidades que surgen como consecuencia de un proceso sancionatorio, en los ámbitos penal, disciplinario, contravencional o de pérdida de investidura. En el segundo grupo están aquellas que no devienen de un proceso sancionatorio, sino de condiciones propias de la persona y garantizan la moralidad, la imparcialidad, la eficacia y la transparencia</w:t>
      </w:r>
      <w:r w:rsidRPr="00AD5F4A">
        <w:rPr>
          <w:rStyle w:val="Refdenotaalpie"/>
          <w:rFonts w:ascii="Verdana" w:hAnsi="Verdana" w:cs="Arial"/>
        </w:rPr>
        <w:footnoteReference w:id="5"/>
      </w:r>
      <w:r w:rsidRPr="00AD5F4A">
        <w:rPr>
          <w:rFonts w:ascii="Verdana" w:hAnsi="Verdana" w:cs="Arial"/>
        </w:rPr>
        <w:t>.</w:t>
      </w:r>
    </w:p>
    <w:p w14:paraId="443ADBA8" w14:textId="77777777" w:rsidR="00A50423" w:rsidRPr="00AD5F4A" w:rsidRDefault="00A50423" w:rsidP="00A50423">
      <w:pPr>
        <w:spacing w:before="120" w:after="120" w:line="276" w:lineRule="auto"/>
        <w:ind w:firstLine="709"/>
        <w:jc w:val="both"/>
        <w:rPr>
          <w:rFonts w:ascii="Verdana" w:hAnsi="Verdana" w:cs="Arial"/>
        </w:rPr>
      </w:pPr>
      <w:r w:rsidRPr="00AD5F4A">
        <w:rPr>
          <w:rFonts w:ascii="Verdana" w:hAnsi="Verdana" w:cs="Arial"/>
        </w:rPr>
        <w:t>A manera de ejemplo, en materia contractual, los literales c), d) y j) del numeral 1 del artículo 8 de la Ley 80 de 1993</w:t>
      </w:r>
      <w:r w:rsidRPr="00AD5F4A">
        <w:rPr>
          <w:rStyle w:val="Refdenotaalpie"/>
          <w:rFonts w:ascii="Verdana" w:hAnsi="Verdana" w:cs="Arial"/>
        </w:rPr>
        <w:footnoteReference w:id="6"/>
      </w:r>
      <w:r w:rsidRPr="00AD5F4A">
        <w:rPr>
          <w:rFonts w:ascii="Verdana" w:hAnsi="Verdana" w:cs="Arial"/>
        </w:rPr>
        <w:t xml:space="preserve"> establecen inhabilidades-sanción, </w:t>
      </w:r>
      <w:r w:rsidRPr="00AD5F4A">
        <w:rPr>
          <w:rFonts w:ascii="Verdana" w:hAnsi="Verdana" w:cs="Arial"/>
        </w:rPr>
        <w:lastRenderedPageBreak/>
        <w:t xml:space="preserve">porque la prohibición para contratar con el Estado en esos eventos es una consecuencia de una declaratoria de responsabilidad que surge luego de un proceso sancionatorio –administrativo, disciplinario o penal–; mientras que las inhabilidades de los literales f), g) y h) del literal 1 de la norma citada establecen inhabilidades–requisito, pues no se configuran por la comisión previa de una falta o un delito que dio lugar a una declaratoria por parte de la Administración o el juez, sino de aspectos propios de la persona, derivados, por ejemplo, del parentesco o la afinidad o de la condición de servidor público. </w:t>
      </w:r>
      <w:bookmarkStart w:id="2" w:name="_Hlk40976328"/>
      <w:r w:rsidRPr="00AD5F4A">
        <w:rPr>
          <w:rFonts w:ascii="Verdana" w:hAnsi="Verdana" w:cs="Arial"/>
        </w:rPr>
        <w:t xml:space="preserve">En ambos eventos, la inhabilidad tiene como fuente una situación o un hecho propio del proponente –una conducta o una condición– ajena a la oferta. La inhabilidad surge, entre otros, por su grado de parentesco o afinidad, por su condición de servidor público o por una declaratoria de responsabilidad penal, disciplinaria o sancionatoria contractual sobre él. </w:t>
      </w:r>
      <w:bookmarkEnd w:id="2"/>
    </w:p>
    <w:p w14:paraId="21099BB8" w14:textId="77777777" w:rsidR="00A50423" w:rsidRPr="00AD5F4A" w:rsidRDefault="00A50423" w:rsidP="00A50423">
      <w:pPr>
        <w:spacing w:after="120" w:line="276" w:lineRule="auto"/>
        <w:ind w:firstLine="708"/>
        <w:jc w:val="both"/>
        <w:rPr>
          <w:rFonts w:ascii="Verdana" w:eastAsia="Calibri" w:hAnsi="Verdana" w:cs="Arial"/>
          <w:lang w:val="es-ES_tradnl"/>
        </w:rPr>
      </w:pPr>
      <w:r w:rsidRPr="00AD5F4A">
        <w:rPr>
          <w:rFonts w:ascii="Verdana" w:eastAsia="Calibri" w:hAnsi="Verdana" w:cs="Arial"/>
          <w:i/>
          <w:iCs/>
          <w:lang w:val="es-ES_tradnl"/>
        </w:rPr>
        <w:t>Igualmente</w:t>
      </w:r>
      <w:r w:rsidRPr="00AD5F4A">
        <w:rPr>
          <w:rFonts w:ascii="Verdana" w:eastAsia="Calibri" w:hAnsi="Verdana" w:cs="Arial"/>
          <w:lang w:val="es-ES_tradnl"/>
        </w:rPr>
        <w:t xml:space="preserve">, </w:t>
      </w:r>
      <w:bookmarkStart w:id="3" w:name="_Hlk135133412"/>
      <w:r w:rsidRPr="00AD5F4A">
        <w:rPr>
          <w:rFonts w:ascii="Verdana" w:eastAsia="Calibri" w:hAnsi="Verdana" w:cs="Arial"/>
          <w:lang w:val="es-ES_tradnl"/>
        </w:rPr>
        <w:t xml:space="preserve">en la contratación estatal, la </w:t>
      </w:r>
      <w:r w:rsidRPr="00AD5F4A">
        <w:rPr>
          <w:rFonts w:ascii="Verdana" w:eastAsia="Calibri" w:hAnsi="Verdana" w:cs="Arial"/>
          <w:i/>
          <w:iCs/>
          <w:lang w:val="es-ES_tradnl"/>
        </w:rPr>
        <w:t>capacidad</w:t>
      </w:r>
      <w:r w:rsidRPr="00AD5F4A">
        <w:rPr>
          <w:rFonts w:ascii="Verdana" w:eastAsia="Calibri" w:hAnsi="Verdana" w:cs="Arial"/>
          <w:lang w:val="es-ES_tradnl"/>
        </w:rPr>
        <w:t xml:space="preserve"> también es un requisito de validez de los contratos, tanto en el régimen de las entidades sujetas al Estatuto General de Contratación de la Administración Pública</w:t>
      </w:r>
      <w:r w:rsidRPr="00AD5F4A">
        <w:rPr>
          <w:rStyle w:val="Refdenotaalpie"/>
          <w:rFonts w:ascii="Verdana" w:eastAsia="Calibri" w:hAnsi="Verdana" w:cs="Arial"/>
          <w:lang w:val="es-ES_tradnl"/>
        </w:rPr>
        <w:footnoteReference w:id="7"/>
      </w:r>
      <w:r w:rsidRPr="00AD5F4A">
        <w:rPr>
          <w:rFonts w:ascii="Verdana" w:eastAsia="Calibri" w:hAnsi="Verdana" w:cs="Arial"/>
          <w:lang w:val="es-ES_tradnl"/>
        </w:rPr>
        <w:t xml:space="preserve"> como en el de las entidades exceptuadas de aquel</w:t>
      </w:r>
      <w:r w:rsidRPr="00AD5F4A">
        <w:rPr>
          <w:rStyle w:val="Refdenotaalpie"/>
          <w:rFonts w:ascii="Verdana" w:eastAsia="Calibri" w:hAnsi="Verdana" w:cs="Arial"/>
          <w:lang w:val="es-ES_tradnl"/>
        </w:rPr>
        <w:footnoteReference w:id="8"/>
      </w:r>
      <w:r w:rsidRPr="00AD5F4A">
        <w:rPr>
          <w:rFonts w:ascii="Verdana" w:eastAsia="Calibri" w:hAnsi="Verdana" w:cs="Arial"/>
          <w:lang w:val="es-ES_tradnl"/>
        </w:rPr>
        <w:t xml:space="preserve">. Si bien la regulación de la capacidad se integra por varias disposiciones y exigencias especiales –como el requisito de inscribirse, por regla general, en el Registro Único de Proponentes (RUP), </w:t>
      </w:r>
      <w:r w:rsidRPr="00AD5F4A">
        <w:rPr>
          <w:rFonts w:ascii="Verdana" w:eastAsia="Calibri" w:hAnsi="Verdana" w:cs="Arial"/>
          <w:lang w:val="es-ES_tradnl"/>
        </w:rPr>
        <w:lastRenderedPageBreak/>
        <w:t>establecido en el artículo 6 de la Ley 1150 de 2007, modificado por el artículo 221 del Decreto 19 de 2012</w:t>
      </w:r>
      <w:r w:rsidRPr="00AD5F4A">
        <w:rPr>
          <w:rStyle w:val="Refdenotaalpie"/>
          <w:rFonts w:ascii="Verdana" w:eastAsia="Calibri" w:hAnsi="Verdana" w:cs="Arial"/>
          <w:lang w:val="es-ES_tradnl"/>
        </w:rPr>
        <w:footnoteReference w:id="9"/>
      </w:r>
      <w:r w:rsidRPr="00AD5F4A">
        <w:rPr>
          <w:rFonts w:ascii="Verdana" w:eastAsia="Calibri" w:hAnsi="Verdana" w:cs="Arial"/>
          <w:lang w:val="es-ES_tradnl"/>
        </w:rPr>
        <w:t>–, se destaca el régimen de inhabilidades e incompatibilidades como un conjunto de normas que imponen restricciones para los sujetos que, eventualmente, pretendan participar en los procedimientos de selección o celebrar contratos con las entidades estatales</w:t>
      </w:r>
      <w:r w:rsidRPr="00AD5F4A">
        <w:rPr>
          <w:rStyle w:val="Refdenotaalpie"/>
          <w:rFonts w:ascii="Verdana" w:eastAsia="Calibri" w:hAnsi="Verdana" w:cs="Arial"/>
          <w:lang w:val="es-ES_tradnl"/>
        </w:rPr>
        <w:footnoteReference w:id="10"/>
      </w:r>
      <w:r w:rsidRPr="00AD5F4A">
        <w:rPr>
          <w:rFonts w:ascii="Verdana" w:eastAsia="Calibri" w:hAnsi="Verdana" w:cs="Arial"/>
          <w:lang w:val="es-ES_tradnl"/>
        </w:rPr>
        <w:t>.</w:t>
      </w:r>
    </w:p>
    <w:p w14:paraId="08A7939A" w14:textId="77777777" w:rsidR="00A50423" w:rsidRPr="00AD5F4A" w:rsidRDefault="00A50423" w:rsidP="00A50423">
      <w:pPr>
        <w:spacing w:after="120" w:line="276" w:lineRule="auto"/>
        <w:ind w:firstLine="709"/>
        <w:jc w:val="both"/>
        <w:rPr>
          <w:rFonts w:ascii="Verdana" w:eastAsia="Calibri" w:hAnsi="Verdana" w:cs="Arial"/>
          <w:lang w:val="es-ES"/>
        </w:rPr>
      </w:pPr>
      <w:r w:rsidRPr="0ED15993">
        <w:rPr>
          <w:rFonts w:ascii="Verdana" w:eastAsia="Calibri" w:hAnsi="Verdana" w:cs="Arial"/>
          <w:lang w:val="es-ES"/>
        </w:rPr>
        <w:t>Las inhabilidades son prohibiciones para concurrir a los procedimientos de selección y para contratar con el Estado, que se derivan: i) de la existencia de comportamientos reprochables o de sanciones anteriormente impuestas</w:t>
      </w:r>
      <w:r w:rsidRPr="0ED15993">
        <w:rPr>
          <w:rStyle w:val="Refdenotaalpie"/>
          <w:rFonts w:ascii="Verdana" w:eastAsia="Calibri" w:hAnsi="Verdana" w:cs="Arial"/>
          <w:lang w:val="es-ES"/>
        </w:rPr>
        <w:footnoteReference w:id="11"/>
      </w:r>
      <w:r w:rsidRPr="0ED15993">
        <w:rPr>
          <w:rFonts w:ascii="Verdana" w:eastAsia="Calibri" w:hAnsi="Verdana" w:cs="Arial"/>
          <w:lang w:val="es-ES"/>
        </w:rPr>
        <w:t xml:space="preserve">, </w:t>
      </w:r>
      <w:proofErr w:type="spellStart"/>
      <w:r w:rsidRPr="0ED15993">
        <w:rPr>
          <w:rFonts w:ascii="Verdana" w:eastAsia="Calibri" w:hAnsi="Verdana" w:cs="Arial"/>
          <w:lang w:val="es-ES"/>
        </w:rPr>
        <w:t>ii</w:t>
      </w:r>
      <w:proofErr w:type="spellEnd"/>
      <w:r w:rsidRPr="0ED15993">
        <w:rPr>
          <w:rFonts w:ascii="Verdana" w:eastAsia="Calibri" w:hAnsi="Verdana" w:cs="Arial"/>
          <w:lang w:val="es-ES"/>
        </w:rPr>
        <w:t xml:space="preserve">) de </w:t>
      </w:r>
      <w:r w:rsidRPr="0ED15993">
        <w:rPr>
          <w:rFonts w:ascii="Verdana" w:eastAsia="Calibri" w:hAnsi="Verdana" w:cs="Arial"/>
          <w:lang w:val="es-ES"/>
        </w:rPr>
        <w:lastRenderedPageBreak/>
        <w:t>vínculos personales relativos al parentesco o al estado civil</w:t>
      </w:r>
      <w:r w:rsidRPr="0ED15993">
        <w:rPr>
          <w:rStyle w:val="Refdenotaalpie"/>
          <w:rFonts w:ascii="Verdana" w:eastAsia="Calibri" w:hAnsi="Verdana" w:cs="Arial"/>
          <w:lang w:val="es-ES"/>
        </w:rPr>
        <w:footnoteReference w:id="12"/>
      </w:r>
      <w:r w:rsidRPr="0ED15993">
        <w:rPr>
          <w:rFonts w:ascii="Verdana" w:eastAsia="Calibri" w:hAnsi="Verdana" w:cs="Arial"/>
          <w:lang w:val="es-ES"/>
        </w:rPr>
        <w:t xml:space="preserve"> o </w:t>
      </w:r>
      <w:proofErr w:type="spellStart"/>
      <w:r w:rsidRPr="0ED15993">
        <w:rPr>
          <w:rFonts w:ascii="Verdana" w:eastAsia="Calibri" w:hAnsi="Verdana" w:cs="Arial"/>
          <w:lang w:val="es-ES"/>
        </w:rPr>
        <w:t>iii</w:t>
      </w:r>
      <w:proofErr w:type="spellEnd"/>
      <w:r w:rsidRPr="0ED15993">
        <w:rPr>
          <w:rFonts w:ascii="Verdana" w:eastAsia="Calibri" w:hAnsi="Verdana" w:cs="Arial"/>
          <w:lang w:val="es-ES"/>
        </w:rPr>
        <w:t>) de una actividad u oficio que se desempeñó en el pasado</w:t>
      </w:r>
      <w:r w:rsidRPr="0ED15993">
        <w:rPr>
          <w:rStyle w:val="Refdenotaalpie"/>
          <w:rFonts w:ascii="Verdana" w:eastAsia="Calibri" w:hAnsi="Verdana" w:cs="Arial"/>
          <w:lang w:val="es-ES"/>
        </w:rPr>
        <w:footnoteReference w:id="13"/>
      </w:r>
      <w:r w:rsidRPr="0ED15993">
        <w:rPr>
          <w:rFonts w:ascii="Verdana" w:eastAsia="Calibri" w:hAnsi="Verdana" w:cs="Arial"/>
          <w:lang w:val="es-ES"/>
        </w:rPr>
        <w:t>. De otro lado, las incompatibilidades, según un sector de la doctrina, son prohibiciones para participar en los procedimientos de selección y para celebrar contratos estatales, fundadas en la presencia de una calidad que ostenta el sujeto interesado en realizar alguna de dichas actividades, que no puede coexistir con su calidad de proponente o contratista del Estado</w:t>
      </w:r>
      <w:r w:rsidRPr="0ED15993">
        <w:rPr>
          <w:rStyle w:val="Refdenotaalpie"/>
          <w:rFonts w:ascii="Verdana" w:eastAsia="Calibri" w:hAnsi="Verdana" w:cs="Arial"/>
          <w:lang w:val="es-ES"/>
        </w:rPr>
        <w:footnoteReference w:id="14"/>
      </w:r>
      <w:r w:rsidRPr="0ED15993">
        <w:rPr>
          <w:rFonts w:ascii="Verdana" w:eastAsia="Calibri" w:hAnsi="Verdana" w:cs="Arial"/>
          <w:lang w:val="es-ES"/>
        </w:rPr>
        <w:t xml:space="preserve">. En todo caso, a pesar de la existencia de </w:t>
      </w:r>
      <w:r w:rsidRPr="0ED15993">
        <w:rPr>
          <w:rFonts w:ascii="Verdana" w:eastAsia="Calibri" w:hAnsi="Verdana" w:cs="Arial"/>
          <w:lang w:val="es-ES"/>
        </w:rPr>
        <w:lastRenderedPageBreak/>
        <w:t>distintos criterios para diferenciar las inhabilidades de las incompatibilidades, de la presencia de ellas se derivan las mismas consecuencias jurídicas, esto es, la limitación de la capacidad contractual, como se desarrolló en el numeral 2.1. de este concepto. De manera que la presencia de ellas impide que se puedan celebrar contratos con el Estado o participar en procedimientos de selección de las entidades estatales, por lo que de cualquiera de ellas se derivan los mismos efectos jurídicos</w:t>
      </w:r>
      <w:r w:rsidRPr="0ED15993">
        <w:rPr>
          <w:rStyle w:val="Refdenotaalpie"/>
          <w:rFonts w:ascii="Verdana" w:eastAsia="Calibri" w:hAnsi="Verdana" w:cs="Arial"/>
          <w:lang w:val="es-ES"/>
        </w:rPr>
        <w:footnoteReference w:id="15"/>
      </w:r>
      <w:r w:rsidRPr="0ED15993">
        <w:rPr>
          <w:rFonts w:ascii="Verdana" w:eastAsia="Calibri" w:hAnsi="Verdana" w:cs="Arial"/>
          <w:lang w:val="es-ES"/>
        </w:rPr>
        <w:t>.</w:t>
      </w:r>
    </w:p>
    <w:bookmarkEnd w:id="3"/>
    <w:p w14:paraId="1FD61F70" w14:textId="77777777" w:rsidR="00A50423" w:rsidRPr="00AD5F4A" w:rsidRDefault="00A50423" w:rsidP="00A50423">
      <w:pPr>
        <w:spacing w:before="120" w:after="120" w:line="276" w:lineRule="auto"/>
        <w:ind w:firstLine="709"/>
        <w:jc w:val="both"/>
        <w:rPr>
          <w:rFonts w:ascii="Verdana" w:eastAsia="Calibri" w:hAnsi="Verdana" w:cs="Arial"/>
          <w:lang w:val="es-ES"/>
        </w:rPr>
      </w:pPr>
      <w:r w:rsidRPr="0ED15993">
        <w:rPr>
          <w:rFonts w:ascii="Verdana" w:eastAsia="Calibri" w:hAnsi="Verdana" w:cs="Arial"/>
          <w:lang w:val="es-ES"/>
        </w:rPr>
        <w:t>El régimen de inhabilidades e incompatibilidades en la contratación pública responde a la tendencia, vigente desde hace varias décadas en nuestro país, pero que se ha reforzado en los últimos años, de asegurar que la actividad de provisión de los bienes, obras y servicios por parte de las entidades estatales se efectúe cumpliendo con los principios de la función administrativa y de la gestión fiscal, especialmente con probidad y transparencia. Por ello, como destaca la doctrina, las inhabilidades e incompatibilidades son herramientas en la lucha contra la corrupción, adoptando paulatinamente una naturaleza sancionatoria o “</w:t>
      </w:r>
      <w:proofErr w:type="spellStart"/>
      <w:r w:rsidRPr="0ED15993">
        <w:rPr>
          <w:rFonts w:ascii="Verdana" w:eastAsia="Calibri" w:hAnsi="Verdana" w:cs="Arial"/>
          <w:lang w:val="es-ES"/>
        </w:rPr>
        <w:t>neopunitiva</w:t>
      </w:r>
      <w:proofErr w:type="spellEnd"/>
      <w:r w:rsidRPr="0ED15993">
        <w:rPr>
          <w:rFonts w:ascii="Verdana" w:eastAsia="Calibri" w:hAnsi="Verdana" w:cs="Arial"/>
          <w:lang w:val="es-ES"/>
        </w:rPr>
        <w:t>”</w:t>
      </w:r>
      <w:r w:rsidRPr="0ED15993">
        <w:rPr>
          <w:rStyle w:val="Refdenotaalpie"/>
          <w:rFonts w:ascii="Verdana" w:eastAsia="Calibri" w:hAnsi="Verdana" w:cs="Arial"/>
          <w:lang w:val="es-ES"/>
        </w:rPr>
        <w:footnoteReference w:id="16"/>
      </w:r>
      <w:r w:rsidRPr="0ED15993">
        <w:rPr>
          <w:rFonts w:ascii="Verdana" w:eastAsia="Calibri" w:hAnsi="Verdana" w:cs="Arial"/>
          <w:lang w:val="es-ES"/>
        </w:rPr>
        <w:t>. Si bien no todas las causales de inhabilidad y de incompatibilidad son consecuencia de una medida de reproche ni de una sanción previa, como ya se explicó, es indiscutible que en los años más recientes los lamentables hechos de corrupción han generado, como respuesta del legislador, un incremento de las restricciones a la capacidad contractual, dirigidas a prevenir este tipo de situaciones o a sancionar tales conductas.</w:t>
      </w:r>
    </w:p>
    <w:p w14:paraId="7480D0C5" w14:textId="77777777" w:rsidR="00A50423" w:rsidRPr="00AD5F4A" w:rsidRDefault="00A50423" w:rsidP="00A50423">
      <w:pPr>
        <w:spacing w:before="120" w:after="120" w:line="276" w:lineRule="auto"/>
        <w:ind w:firstLine="709"/>
        <w:jc w:val="both"/>
        <w:rPr>
          <w:rFonts w:ascii="Verdana" w:eastAsia="Calibri" w:hAnsi="Verdana" w:cs="Arial"/>
          <w:lang w:val="es-ES_tradnl"/>
        </w:rPr>
      </w:pPr>
      <w:r w:rsidRPr="00AD5F4A">
        <w:rPr>
          <w:rFonts w:ascii="Verdana" w:eastAsia="Calibri" w:hAnsi="Verdana" w:cs="Arial"/>
          <w:lang w:val="es-ES_tradnl"/>
        </w:rPr>
        <w:t xml:space="preserve">Ahora bien, las inhabilidades e incompatibilidades al ser restricciones o límites especiales a la capacidad para presentar ofertas y celebrar contratos estatales, solo pueden tipificarse en la ley o la Constitución –o sea, deben satisfacer el principio de legalidad– y su interpretación debe ser </w:t>
      </w:r>
      <w:r w:rsidRPr="00AD5F4A">
        <w:rPr>
          <w:rFonts w:ascii="Verdana" w:eastAsia="Calibri" w:hAnsi="Verdana" w:cs="Arial"/>
          <w:i/>
          <w:iCs/>
          <w:lang w:val="es-ES_tradnl"/>
        </w:rPr>
        <w:t>restrictiva</w:t>
      </w:r>
      <w:r w:rsidRPr="00AD5F4A">
        <w:rPr>
          <w:rStyle w:val="Refdenotaalpie"/>
          <w:rFonts w:ascii="Verdana" w:eastAsia="Calibri" w:hAnsi="Verdana" w:cs="Arial"/>
          <w:i/>
          <w:iCs/>
          <w:lang w:val="es-ES_tradnl"/>
        </w:rPr>
        <w:footnoteReference w:id="17"/>
      </w:r>
      <w:r w:rsidRPr="00AD5F4A">
        <w:rPr>
          <w:rFonts w:ascii="Verdana" w:eastAsia="Calibri" w:hAnsi="Verdana" w:cs="Arial"/>
          <w:i/>
          <w:iCs/>
          <w:lang w:val="es-ES_tradnl"/>
        </w:rPr>
        <w:t xml:space="preserve">, </w:t>
      </w:r>
      <w:r w:rsidRPr="00AD5F4A">
        <w:rPr>
          <w:rFonts w:ascii="Verdana" w:eastAsia="Calibri" w:hAnsi="Verdana" w:cs="Arial"/>
          <w:lang w:val="es-ES_tradnl"/>
        </w:rPr>
        <w:t xml:space="preserve">pues si se admitiera una interpretación amplia, extensiva o finalista de las </w:t>
      </w:r>
      <w:r w:rsidRPr="00AD5F4A">
        <w:rPr>
          <w:rFonts w:ascii="Verdana" w:eastAsia="Calibri" w:hAnsi="Verdana" w:cs="Arial"/>
          <w:lang w:val="es-ES_tradnl"/>
        </w:rPr>
        <w:lastRenderedPageBreak/>
        <w:t xml:space="preserve">mismas, tales enunciados normativos contemplarían múltiples supuestos indeterminados, según el parecer o el sentido común de los operadores jurídicos, poniendo en riesgo principios como la igualdad, el debido proceso, la seguridad jurídica, la libre concurrencia y el ejercicio de la profesión u oficio. Tal ha sido la postura al interior de la jurisprudencia, tanto de la Corte Constitucional como de la Sección Tercera del Consejo de Estado. </w:t>
      </w:r>
    </w:p>
    <w:p w14:paraId="0CD6018B" w14:textId="77777777" w:rsidR="00A50423" w:rsidRPr="00AD5F4A" w:rsidRDefault="00A50423" w:rsidP="00A50423">
      <w:pPr>
        <w:spacing w:after="0" w:line="276" w:lineRule="auto"/>
        <w:ind w:firstLine="709"/>
        <w:jc w:val="both"/>
        <w:rPr>
          <w:rFonts w:ascii="Verdana" w:eastAsia="Calibri" w:hAnsi="Verdana" w:cs="Arial"/>
          <w:lang w:val="es-ES_tradnl"/>
        </w:rPr>
      </w:pPr>
      <w:r w:rsidRPr="00AD5F4A">
        <w:rPr>
          <w:rFonts w:ascii="Verdana" w:eastAsia="Calibri" w:hAnsi="Verdana" w:cs="Arial"/>
          <w:lang w:val="es-ES_tradnl"/>
        </w:rPr>
        <w:t>En efecto, el máximo tribunal constitucional ha indicado, al tratar de precisar el sentido de este tipo de normas, que “[…] el intérprete de las disposiciones legislativas en la materia ha de ceñirse en la mayor medida posible al tenor literal y gramatical de los enunciados normativos, sin que pueda acudir prima facie a criterios interpretativos tales como la analogía, la interpretación extensiva para ampliar el alcance de las causales legalmente fijadas”</w:t>
      </w:r>
      <w:r w:rsidRPr="00AD5F4A">
        <w:rPr>
          <w:rStyle w:val="Refdenotaalpie"/>
          <w:rFonts w:ascii="Verdana" w:eastAsia="Calibri" w:hAnsi="Verdana" w:cs="Arial"/>
          <w:lang w:val="es-ES_tradnl"/>
        </w:rPr>
        <w:footnoteReference w:id="18"/>
      </w:r>
      <w:r w:rsidRPr="00AD5F4A">
        <w:rPr>
          <w:rFonts w:ascii="Verdana" w:eastAsia="Calibri" w:hAnsi="Verdana" w:cs="Arial"/>
          <w:lang w:val="es-ES_tradnl"/>
        </w:rPr>
        <w:t>. Por su parte, el Consejo de Estado ha acogido también este criterio, considerando –como expresa la Sala de Consulta y Servicio Civil–, que “La interpretación restrictiva de las normas que establecen inhabilidades constituye una aplicación del principio del Estado de Derecho previsto en el artículo 6º de la Constitución, según el cual “Los particulares sólo son responsables ante las autoridades por infringir la Constitución y las leyes” lo que se traduce en que pueden hacer todo aquello que no les esté expresamente prohibido”</w:t>
      </w:r>
      <w:r w:rsidRPr="00AD5F4A">
        <w:rPr>
          <w:rStyle w:val="Refdenotaalpie"/>
          <w:rFonts w:ascii="Verdana" w:eastAsia="Calibri" w:hAnsi="Verdana" w:cs="Arial"/>
          <w:lang w:val="es-ES_tradnl"/>
        </w:rPr>
        <w:footnoteReference w:id="19"/>
      </w:r>
      <w:r w:rsidRPr="00AD5F4A">
        <w:rPr>
          <w:rFonts w:ascii="Verdana" w:eastAsia="Calibri" w:hAnsi="Verdana" w:cs="Arial"/>
          <w:lang w:val="es-ES_tradnl"/>
        </w:rPr>
        <w:t>. En tal sentido, la Sección Tercera ha señalado que:</w:t>
      </w:r>
    </w:p>
    <w:p w14:paraId="0905DB3C" w14:textId="77777777" w:rsidR="00A50423" w:rsidRPr="00AD5F4A" w:rsidRDefault="00A50423" w:rsidP="00A50423">
      <w:pPr>
        <w:spacing w:after="0"/>
        <w:ind w:firstLine="709"/>
        <w:jc w:val="both"/>
        <w:rPr>
          <w:rFonts w:ascii="Verdana" w:eastAsia="Calibri" w:hAnsi="Verdana" w:cs="Arial"/>
          <w:lang w:val="es-ES_tradnl"/>
        </w:rPr>
      </w:pPr>
    </w:p>
    <w:p w14:paraId="40B846F1" w14:textId="77777777" w:rsidR="00A50423" w:rsidRPr="00AD5F4A" w:rsidRDefault="00A50423" w:rsidP="00A50423">
      <w:pPr>
        <w:spacing w:after="0" w:line="240" w:lineRule="auto"/>
        <w:ind w:left="709" w:right="709"/>
        <w:jc w:val="both"/>
        <w:rPr>
          <w:rFonts w:ascii="Verdana" w:eastAsia="Calibri" w:hAnsi="Verdana" w:cs="Arial"/>
          <w:sz w:val="20"/>
          <w:szCs w:val="20"/>
          <w:lang w:val="es-ES_tradnl"/>
        </w:rPr>
      </w:pPr>
      <w:r w:rsidRPr="00AD5F4A">
        <w:rPr>
          <w:rFonts w:ascii="Verdana" w:hAnsi="Verdana" w:cs="Arial"/>
          <w:sz w:val="20"/>
          <w:szCs w:val="20"/>
          <w:lang w:val="es-ES_tradnl"/>
        </w:rPr>
        <w:t>“[…] de conformidad con la jurisprudencia uniforme y reiterada de esta Corporación, la aplicación de las normas que contemplan inhabilidades e incompatibilidades, como en general de todas aquellas que comportan prohibiciones o limitaciones, deben responder a una interpretación restrictiva que no permite su extensión, por vía de la figura de la analogía, a supuestos no contemplados por el ordenamiento”</w:t>
      </w:r>
      <w:r w:rsidRPr="00AD5F4A">
        <w:rPr>
          <w:rStyle w:val="Refdenotaalpie"/>
          <w:rFonts w:ascii="Verdana" w:hAnsi="Verdana" w:cs="Arial"/>
          <w:sz w:val="20"/>
          <w:szCs w:val="20"/>
          <w:lang w:val="es-ES_tradnl"/>
        </w:rPr>
        <w:footnoteReference w:id="20"/>
      </w:r>
      <w:r w:rsidRPr="00AD5F4A">
        <w:rPr>
          <w:rFonts w:ascii="Verdana" w:hAnsi="Verdana" w:cs="Arial"/>
          <w:sz w:val="20"/>
          <w:szCs w:val="20"/>
          <w:lang w:val="es-ES_tradnl"/>
        </w:rPr>
        <w:t>.</w:t>
      </w:r>
    </w:p>
    <w:p w14:paraId="78866397" w14:textId="77777777" w:rsidR="00A50423" w:rsidRPr="00AD5F4A" w:rsidRDefault="00A50423" w:rsidP="00A50423">
      <w:pPr>
        <w:spacing w:after="0" w:line="276" w:lineRule="auto"/>
        <w:ind w:firstLine="709"/>
        <w:jc w:val="both"/>
        <w:rPr>
          <w:rFonts w:ascii="Verdana" w:eastAsia="Calibri" w:hAnsi="Verdana" w:cs="Arial"/>
          <w:lang w:val="es-ES_tradnl"/>
        </w:rPr>
      </w:pPr>
    </w:p>
    <w:p w14:paraId="56A7821A" w14:textId="77777777" w:rsidR="00A50423" w:rsidRDefault="00A50423" w:rsidP="00A50423">
      <w:pPr>
        <w:spacing w:after="0"/>
        <w:ind w:firstLine="709"/>
        <w:jc w:val="both"/>
        <w:rPr>
          <w:rFonts w:ascii="Verdana" w:eastAsia="Calibri" w:hAnsi="Verdana" w:cs="Arial"/>
          <w:lang w:val="es-ES_tradnl"/>
        </w:rPr>
      </w:pPr>
      <w:r w:rsidRPr="00AD5F4A">
        <w:rPr>
          <w:rFonts w:ascii="Verdana" w:eastAsia="Calibri" w:hAnsi="Verdana" w:cs="Arial"/>
          <w:lang w:val="es-ES_tradnl"/>
        </w:rPr>
        <w:t>También ha dicho que:</w:t>
      </w:r>
    </w:p>
    <w:p w14:paraId="73370F03" w14:textId="77777777" w:rsidR="00A50423" w:rsidRPr="00AD5F4A" w:rsidRDefault="00A50423" w:rsidP="00A50423">
      <w:pPr>
        <w:spacing w:after="0" w:line="276" w:lineRule="auto"/>
        <w:ind w:firstLine="709"/>
        <w:jc w:val="both"/>
        <w:rPr>
          <w:rFonts w:ascii="Verdana" w:eastAsia="Calibri" w:hAnsi="Verdana" w:cs="Arial"/>
          <w:lang w:val="es-ES_tradnl"/>
        </w:rPr>
      </w:pPr>
    </w:p>
    <w:p w14:paraId="2247D1B0" w14:textId="77777777" w:rsidR="00A50423" w:rsidRPr="00AD5F4A" w:rsidRDefault="00A50423" w:rsidP="00A50423">
      <w:pPr>
        <w:spacing w:after="0" w:line="240" w:lineRule="auto"/>
        <w:ind w:left="709" w:right="616"/>
        <w:jc w:val="both"/>
        <w:rPr>
          <w:rFonts w:ascii="Verdana" w:hAnsi="Verdana" w:cs="Arial"/>
          <w:sz w:val="20"/>
          <w:szCs w:val="20"/>
          <w:lang w:val="es-ES"/>
        </w:rPr>
      </w:pPr>
      <w:r w:rsidRPr="0ED15993">
        <w:rPr>
          <w:rFonts w:ascii="Verdana" w:hAnsi="Verdana" w:cs="Arial"/>
          <w:sz w:val="20"/>
          <w:szCs w:val="20"/>
          <w:lang w:val="es-ES"/>
        </w:rPr>
        <w:t xml:space="preserve">“[…] la aplicación de estos preceptos exige una interpretación restrictiva, dado que según el principio hermenéutico </w:t>
      </w:r>
      <w:r w:rsidRPr="0ED15993">
        <w:rPr>
          <w:rFonts w:ascii="Verdana" w:hAnsi="Verdana" w:cs="Arial"/>
          <w:i/>
          <w:sz w:val="20"/>
          <w:szCs w:val="20"/>
          <w:lang w:val="es-ES"/>
        </w:rPr>
        <w:t xml:space="preserve">pro </w:t>
      </w:r>
      <w:proofErr w:type="spellStart"/>
      <w:r w:rsidRPr="0ED15993">
        <w:rPr>
          <w:rFonts w:ascii="Verdana" w:hAnsi="Verdana" w:cs="Arial"/>
          <w:i/>
          <w:sz w:val="20"/>
          <w:szCs w:val="20"/>
          <w:lang w:val="es-ES"/>
        </w:rPr>
        <w:t>libertate</w:t>
      </w:r>
      <w:proofErr w:type="spellEnd"/>
      <w:r w:rsidRPr="0ED15993">
        <w:rPr>
          <w:rFonts w:ascii="Verdana" w:hAnsi="Verdana" w:cs="Arial"/>
          <w:sz w:val="20"/>
          <w:szCs w:val="20"/>
          <w:lang w:val="es-ES"/>
        </w:rPr>
        <w:t xml:space="preserve">, entre varias </w:t>
      </w:r>
      <w:r w:rsidRPr="0ED15993">
        <w:rPr>
          <w:rFonts w:ascii="Verdana" w:hAnsi="Verdana" w:cs="Arial"/>
          <w:sz w:val="20"/>
          <w:szCs w:val="20"/>
          <w:lang w:val="es-ES"/>
        </w:rPr>
        <w:lastRenderedPageBreak/>
        <w:t>interpretaciones posibles de una norma que regula una inhabilidad, debe preferirse aquella que menos limita el derecho de las personas; en otros términos, se encuentra prohibida constitucionalmente la interpretación extensiva de las causales de inhabilidad, toda vez que las palabras de la ley son la frontera que no se puede traspasar en el ejercicio hermenéutico de las mismas, pues de hacerlo se vulnerarían los derechos fundamentales al debido proceso (art. 29 CN) y a la igualdad (art. 13 Ibid.); […]”</w:t>
      </w:r>
      <w:r w:rsidRPr="0ED15993">
        <w:rPr>
          <w:rStyle w:val="Refdenotaalpie"/>
          <w:rFonts w:ascii="Verdana" w:hAnsi="Verdana" w:cs="Arial"/>
          <w:sz w:val="20"/>
          <w:szCs w:val="20"/>
          <w:lang w:val="es-ES"/>
        </w:rPr>
        <w:footnoteReference w:id="21"/>
      </w:r>
      <w:r w:rsidRPr="0ED15993">
        <w:rPr>
          <w:rFonts w:ascii="Verdana" w:hAnsi="Verdana" w:cs="Arial"/>
          <w:sz w:val="20"/>
          <w:szCs w:val="20"/>
          <w:lang w:val="es-ES"/>
        </w:rPr>
        <w:t>.</w:t>
      </w:r>
    </w:p>
    <w:p w14:paraId="3844207C" w14:textId="77777777" w:rsidR="00A50423" w:rsidRPr="00AD5F4A" w:rsidRDefault="00A50423" w:rsidP="00A50423">
      <w:pPr>
        <w:spacing w:after="0" w:line="276" w:lineRule="auto"/>
        <w:ind w:firstLine="708"/>
        <w:jc w:val="both"/>
        <w:rPr>
          <w:rFonts w:ascii="Verdana" w:eastAsia="Arial" w:hAnsi="Verdana" w:cs="Arial"/>
          <w:color w:val="000000"/>
          <w:lang w:val="es-ES_tradnl"/>
        </w:rPr>
      </w:pPr>
    </w:p>
    <w:p w14:paraId="289EFCD4" w14:textId="77777777" w:rsidR="00A50423" w:rsidRDefault="00A50423" w:rsidP="00A50423">
      <w:pPr>
        <w:tabs>
          <w:tab w:val="left" w:pos="709"/>
        </w:tabs>
        <w:spacing w:after="120" w:line="276" w:lineRule="auto"/>
        <w:jc w:val="both"/>
        <w:rPr>
          <w:rFonts w:ascii="Verdana" w:hAnsi="Verdana" w:cs="Arial"/>
          <w:color w:val="000000" w:themeColor="text1"/>
        </w:rPr>
      </w:pPr>
      <w:bookmarkStart w:id="4" w:name="_Hlk136439150"/>
      <w:r>
        <w:rPr>
          <w:rFonts w:ascii="Verdana" w:eastAsia="Arial" w:hAnsi="Verdana" w:cs="Arial"/>
          <w:color w:val="000000"/>
          <w:lang w:val="es-ES_tradnl"/>
        </w:rPr>
        <w:tab/>
      </w:r>
      <w:r w:rsidRPr="00AD5F4A">
        <w:rPr>
          <w:rFonts w:ascii="Verdana" w:eastAsia="Arial" w:hAnsi="Verdana" w:cs="Arial"/>
          <w:color w:val="000000"/>
          <w:lang w:val="es-ES_tradnl"/>
        </w:rPr>
        <w:t xml:space="preserve">Como se aprecia, el principio </w:t>
      </w:r>
      <w:r w:rsidRPr="00AD5F4A">
        <w:rPr>
          <w:rFonts w:ascii="Verdana" w:eastAsia="Arial" w:hAnsi="Verdana" w:cs="Arial"/>
          <w:i/>
          <w:iCs/>
          <w:color w:val="000000"/>
          <w:lang w:val="es-ES_tradnl"/>
        </w:rPr>
        <w:t xml:space="preserve">pro </w:t>
      </w:r>
      <w:proofErr w:type="spellStart"/>
      <w:r w:rsidRPr="00AD5F4A">
        <w:rPr>
          <w:rFonts w:ascii="Verdana" w:eastAsia="Arial" w:hAnsi="Verdana" w:cs="Arial"/>
          <w:i/>
          <w:iCs/>
          <w:color w:val="000000"/>
          <w:lang w:val="es-ES_tradnl"/>
        </w:rPr>
        <w:t>libertate</w:t>
      </w:r>
      <w:proofErr w:type="spellEnd"/>
      <w:r w:rsidRPr="00AD5F4A">
        <w:rPr>
          <w:rFonts w:ascii="Verdana" w:eastAsia="Arial" w:hAnsi="Verdana" w:cs="Arial"/>
          <w:color w:val="000000"/>
          <w:lang w:val="es-ES_tradnl"/>
        </w:rPr>
        <w:t xml:space="preserve"> es el que debe dirigir la interpretación de las disposiciones normativas que consagran restricciones de derechos, como sucede con las causales de inhabilidad e incompatibilidad en la contratación estatal. Además, en relación con la determinación de las causales de inhabilidad e incompatibilidad, la</w:t>
      </w:r>
      <w:r w:rsidRPr="00AD5F4A">
        <w:rPr>
          <w:rFonts w:ascii="Verdana" w:hAnsi="Verdana" w:cs="Arial"/>
          <w:color w:val="000000" w:themeColor="text1"/>
        </w:rPr>
        <w:t xml:space="preserve"> Corte Constitucional ha resaltado que la competencia para determinar qué hechos o situaciones generan inhabilidades o incompatibilidades para contratar con el Estado la tiene el legislador</w:t>
      </w:r>
      <w:bookmarkEnd w:id="4"/>
      <w:r w:rsidRPr="00AD5F4A">
        <w:rPr>
          <w:rStyle w:val="Refdenotaalpie"/>
          <w:rFonts w:ascii="Verdana" w:hAnsi="Verdana" w:cs="Arial"/>
          <w:color w:val="000000" w:themeColor="text1"/>
        </w:rPr>
        <w:footnoteReference w:id="22"/>
      </w:r>
      <w:r w:rsidRPr="00AD5F4A">
        <w:rPr>
          <w:rFonts w:ascii="Verdana" w:hAnsi="Verdana" w:cs="Arial"/>
          <w:color w:val="000000" w:themeColor="text1"/>
        </w:rPr>
        <w:t>.</w:t>
      </w:r>
    </w:p>
    <w:p w14:paraId="76562B4D" w14:textId="77777777" w:rsidR="00A50423" w:rsidRDefault="00A50423" w:rsidP="00A50423">
      <w:pPr>
        <w:tabs>
          <w:tab w:val="left" w:pos="709"/>
        </w:tabs>
        <w:spacing w:after="120" w:line="276" w:lineRule="auto"/>
        <w:jc w:val="both"/>
        <w:rPr>
          <w:rFonts w:ascii="Verdana" w:hAnsi="Verdana" w:cs="Arial"/>
          <w:color w:val="000000" w:themeColor="text1"/>
        </w:rPr>
      </w:pPr>
      <w:r>
        <w:rPr>
          <w:rFonts w:ascii="Verdana" w:hAnsi="Verdana" w:cs="Arial"/>
          <w:color w:val="000000" w:themeColor="text1"/>
        </w:rPr>
        <w:tab/>
        <w:t>En este contexto, respecto al tema objeto de consulta, el literal a) del artículo 8.2 del Estatuto General de Contratación de la Administración Pública dispone que no pueden participar en procesos de selección ni suscribir contratos por con el Estado “</w:t>
      </w:r>
      <w:r w:rsidRPr="00C4300E">
        <w:rPr>
          <w:rFonts w:ascii="Verdana" w:hAnsi="Verdana" w:cs="Arial"/>
          <w:color w:val="000000" w:themeColor="text1"/>
        </w:rPr>
        <w:t>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w:t>
      </w:r>
      <w:r>
        <w:rPr>
          <w:rFonts w:ascii="Verdana" w:hAnsi="Verdana" w:cs="Arial"/>
          <w:color w:val="000000" w:themeColor="text1"/>
        </w:rPr>
        <w:t>”</w:t>
      </w:r>
      <w:r w:rsidRPr="00C4300E">
        <w:rPr>
          <w:rFonts w:ascii="Verdana" w:hAnsi="Verdana" w:cs="Arial"/>
          <w:color w:val="000000" w:themeColor="text1"/>
        </w:rPr>
        <w:t>.</w:t>
      </w:r>
    </w:p>
    <w:p w14:paraId="62C82474" w14:textId="77777777" w:rsidR="00A50423" w:rsidRPr="00230B75" w:rsidRDefault="00A50423" w:rsidP="00A50423">
      <w:pPr>
        <w:spacing w:before="120" w:after="120" w:line="276" w:lineRule="auto"/>
        <w:ind w:firstLine="708"/>
        <w:jc w:val="both"/>
        <w:rPr>
          <w:rFonts w:ascii="Verdana" w:eastAsia="Calibri" w:hAnsi="Verdana" w:cs="Arial"/>
          <w:color w:val="000000" w:themeColor="text1"/>
        </w:rPr>
      </w:pPr>
      <w:r>
        <w:rPr>
          <w:rFonts w:ascii="Verdana" w:eastAsia="Calibri" w:hAnsi="Verdana" w:cs="Arial"/>
          <w:lang w:val="es-ES_tradnl"/>
        </w:rPr>
        <w:t>Además de quienes pertenecieron a la junta y consejo directivo de la entidad contratante, e</w:t>
      </w:r>
      <w:r w:rsidRPr="00230B75">
        <w:rPr>
          <w:rFonts w:ascii="Verdana" w:eastAsia="Calibri" w:hAnsi="Verdana" w:cs="Arial"/>
          <w:lang w:val="es-ES_tradnl"/>
        </w:rPr>
        <w:t xml:space="preserve">sta restricción aplica </w:t>
      </w:r>
      <w:r>
        <w:rPr>
          <w:rFonts w:ascii="Verdana" w:eastAsia="Calibri" w:hAnsi="Verdana" w:cs="Arial"/>
          <w:lang w:val="es-ES_tradnl"/>
        </w:rPr>
        <w:t xml:space="preserve">a </w:t>
      </w:r>
      <w:r w:rsidRPr="00230B75">
        <w:rPr>
          <w:rFonts w:ascii="Verdana" w:eastAsia="Calibri" w:hAnsi="Verdana" w:cs="Arial"/>
          <w:lang w:val="es-ES_tradnl"/>
        </w:rPr>
        <w:t>los servidores públicos de los niveles directivo, asesor</w:t>
      </w:r>
      <w:r>
        <w:rPr>
          <w:rFonts w:ascii="Verdana" w:eastAsia="Calibri" w:hAnsi="Verdana" w:cs="Arial"/>
          <w:lang w:val="es-ES_tradnl"/>
        </w:rPr>
        <w:t xml:space="preserve"> y</w:t>
      </w:r>
      <w:r w:rsidRPr="00230B75">
        <w:rPr>
          <w:rFonts w:ascii="Verdana" w:eastAsia="Calibri" w:hAnsi="Verdana" w:cs="Arial"/>
          <w:lang w:val="es-ES_tradnl"/>
        </w:rPr>
        <w:t xml:space="preserve"> ejecutivo. Para estos efectos, </w:t>
      </w:r>
      <w:r w:rsidRPr="00230B75">
        <w:rPr>
          <w:rFonts w:ascii="Verdana" w:hAnsi="Verdana" w:cs="Arial"/>
          <w:color w:val="000000" w:themeColor="text1"/>
        </w:rPr>
        <w:t xml:space="preserve">es necesario remitirse a la normativa que rige la función pública, la cual clasifica los cargos públicos de acuerdo con su nivel jerárquico dentro la administración del orden nacional y territorial. No obstante, de acuerdo con los Decretos 770 y 785 de 2005, que regulan las funciones y requisitos de los empleos públicos de entidades del orden nacional y territorial, respectivamente, señalan como responsabilidad del Gobierno nacional la modificación de las plantas de personal para que elimine el </w:t>
      </w:r>
      <w:r w:rsidRPr="00230B75">
        <w:rPr>
          <w:rFonts w:ascii="Verdana" w:hAnsi="Verdana" w:cs="Arial"/>
          <w:color w:val="000000" w:themeColor="text1"/>
        </w:rPr>
        <w:lastRenderedPageBreak/>
        <w:t xml:space="preserve">nivel </w:t>
      </w:r>
      <w:r>
        <w:rPr>
          <w:rFonts w:ascii="Verdana" w:hAnsi="Verdana" w:cs="Arial"/>
          <w:color w:val="000000" w:themeColor="text1"/>
        </w:rPr>
        <w:t>“</w:t>
      </w:r>
      <w:r w:rsidRPr="00230B75">
        <w:rPr>
          <w:rFonts w:ascii="Verdana" w:hAnsi="Verdana" w:cs="Arial"/>
          <w:color w:val="000000" w:themeColor="text1"/>
        </w:rPr>
        <w:t>ejecutivo</w:t>
      </w:r>
      <w:r>
        <w:rPr>
          <w:rFonts w:ascii="Verdana" w:hAnsi="Verdana" w:cs="Arial"/>
          <w:color w:val="000000" w:themeColor="text1"/>
          <w:sz w:val="19"/>
          <w:szCs w:val="19"/>
          <w:lang w:val="es-ES"/>
        </w:rPr>
        <w:t>”</w:t>
      </w:r>
      <w:r w:rsidRPr="00230B75">
        <w:rPr>
          <w:rFonts w:ascii="Verdana" w:hAnsi="Verdana" w:cs="Arial"/>
          <w:color w:val="000000" w:themeColor="text1"/>
        </w:rPr>
        <w:t xml:space="preserve"> y se utilicen los niveles jerárquicos señalados por los Decretos, dentro de los cuales figuran el nivel </w:t>
      </w:r>
      <w:r>
        <w:rPr>
          <w:rFonts w:ascii="Verdana" w:hAnsi="Verdana" w:cs="Arial"/>
          <w:color w:val="000000" w:themeColor="text1"/>
        </w:rPr>
        <w:t>“</w:t>
      </w:r>
      <w:r w:rsidRPr="00230B75">
        <w:rPr>
          <w:rFonts w:ascii="Verdana" w:hAnsi="Verdana" w:cs="Arial"/>
          <w:color w:val="000000" w:themeColor="text1"/>
        </w:rPr>
        <w:t>directivo</w:t>
      </w:r>
      <w:r>
        <w:rPr>
          <w:rFonts w:ascii="Verdana" w:hAnsi="Verdana" w:cs="Arial"/>
          <w:color w:val="000000" w:themeColor="text1"/>
        </w:rPr>
        <w:t>”</w:t>
      </w:r>
      <w:r w:rsidRPr="00230B75">
        <w:rPr>
          <w:rFonts w:ascii="Verdana" w:hAnsi="Verdana" w:cs="Arial"/>
          <w:color w:val="000000" w:themeColor="text1"/>
        </w:rPr>
        <w:t xml:space="preserve"> y </w:t>
      </w:r>
      <w:r>
        <w:rPr>
          <w:rFonts w:ascii="Verdana" w:hAnsi="Verdana" w:cs="Arial"/>
          <w:color w:val="000000" w:themeColor="text1"/>
        </w:rPr>
        <w:t>“</w:t>
      </w:r>
      <w:r w:rsidRPr="00230B75">
        <w:rPr>
          <w:rFonts w:ascii="Verdana" w:hAnsi="Verdana" w:cs="Arial"/>
          <w:color w:val="000000" w:themeColor="text1"/>
        </w:rPr>
        <w:t>asesor</w:t>
      </w:r>
      <w:r>
        <w:rPr>
          <w:rFonts w:ascii="Verdana" w:hAnsi="Verdana" w:cs="Arial"/>
          <w:color w:val="000000" w:themeColor="text1"/>
        </w:rPr>
        <w:t>”</w:t>
      </w:r>
      <w:r w:rsidRPr="00230B75">
        <w:rPr>
          <w:rFonts w:ascii="Verdana" w:hAnsi="Verdana" w:cs="Arial"/>
          <w:color w:val="000000" w:themeColor="text1"/>
        </w:rPr>
        <w:t>, entre otros</w:t>
      </w:r>
      <w:r w:rsidRPr="00230B75">
        <w:rPr>
          <w:rStyle w:val="Refdenotaalpie"/>
          <w:rFonts w:ascii="Verdana" w:eastAsia="Calibri" w:hAnsi="Verdana" w:cs="Arial"/>
          <w:color w:val="000000" w:themeColor="text1"/>
        </w:rPr>
        <w:footnoteReference w:id="23"/>
      </w:r>
      <w:r w:rsidRPr="00230B75">
        <w:rPr>
          <w:rFonts w:ascii="Verdana" w:eastAsia="Calibri" w:hAnsi="Verdana" w:cs="Arial"/>
          <w:color w:val="000000" w:themeColor="text1"/>
        </w:rPr>
        <w:t xml:space="preserve">. </w:t>
      </w:r>
    </w:p>
    <w:p w14:paraId="332B5D2B" w14:textId="77777777" w:rsidR="00A50423" w:rsidRDefault="00A50423" w:rsidP="00A50423">
      <w:pPr>
        <w:spacing w:before="120" w:after="120" w:line="276" w:lineRule="auto"/>
        <w:ind w:firstLine="708"/>
        <w:jc w:val="both"/>
        <w:rPr>
          <w:rFonts w:ascii="Verdana" w:eastAsia="Calibri" w:hAnsi="Verdana" w:cs="Arial"/>
          <w:color w:val="000000" w:themeColor="text1"/>
        </w:rPr>
      </w:pPr>
      <w:r w:rsidRPr="00230B75">
        <w:rPr>
          <w:rFonts w:ascii="Verdana" w:eastAsia="Calibri" w:hAnsi="Verdana" w:cs="Arial"/>
          <w:color w:val="000000" w:themeColor="text1"/>
        </w:rPr>
        <w:t xml:space="preserve">Las definiciones del nivel </w:t>
      </w:r>
      <w:r>
        <w:rPr>
          <w:rFonts w:ascii="Verdana" w:hAnsi="Verdana" w:cs="Arial"/>
          <w:color w:val="000000" w:themeColor="text1"/>
        </w:rPr>
        <w:t>“</w:t>
      </w:r>
      <w:r w:rsidRPr="00230B75">
        <w:rPr>
          <w:rFonts w:ascii="Verdana" w:hAnsi="Verdana" w:cs="Arial"/>
          <w:color w:val="000000" w:themeColor="text1"/>
        </w:rPr>
        <w:t>directivo</w:t>
      </w:r>
      <w:r>
        <w:rPr>
          <w:rFonts w:ascii="Verdana" w:hAnsi="Verdana" w:cs="Arial"/>
          <w:color w:val="000000" w:themeColor="text1"/>
        </w:rPr>
        <w:t>”</w:t>
      </w:r>
      <w:r w:rsidRPr="00230B75">
        <w:rPr>
          <w:rFonts w:ascii="Verdana" w:eastAsia="Calibri" w:hAnsi="Verdana" w:cs="Arial"/>
          <w:color w:val="000000" w:themeColor="text1"/>
        </w:rPr>
        <w:t xml:space="preserve"> y del nivel </w:t>
      </w:r>
      <w:r>
        <w:rPr>
          <w:rFonts w:ascii="Verdana" w:hAnsi="Verdana" w:cs="Arial"/>
          <w:color w:val="000000" w:themeColor="text1"/>
        </w:rPr>
        <w:t>“</w:t>
      </w:r>
      <w:r w:rsidRPr="00230B75">
        <w:rPr>
          <w:rFonts w:ascii="Verdana" w:hAnsi="Verdana" w:cs="Arial"/>
          <w:color w:val="000000" w:themeColor="text1"/>
        </w:rPr>
        <w:t>asesor</w:t>
      </w:r>
      <w:r>
        <w:rPr>
          <w:rFonts w:ascii="Verdana" w:hAnsi="Verdana" w:cs="Arial"/>
          <w:color w:val="000000" w:themeColor="text1"/>
        </w:rPr>
        <w:t>”</w:t>
      </w:r>
      <w:r w:rsidRPr="00230B75">
        <w:rPr>
          <w:rFonts w:ascii="Verdana" w:eastAsia="Calibri" w:hAnsi="Verdana" w:cs="Arial"/>
          <w:color w:val="000000" w:themeColor="text1"/>
        </w:rPr>
        <w:t>, en los Decretos citados, están claramente diferenciadas, por lo cual el nivel directivo no es equivalente al nivel asesor, son diferentes y comprenden funciones generales que no se asimilan entre sí, y se dividen de acuerdo con lo requerido para cada cargo</w:t>
      </w:r>
      <w:r w:rsidRPr="00230B75">
        <w:rPr>
          <w:rStyle w:val="Refdenotaalpie"/>
          <w:rFonts w:ascii="Verdana" w:eastAsia="Calibri" w:hAnsi="Verdana" w:cs="Arial"/>
          <w:color w:val="000000" w:themeColor="text1"/>
        </w:rPr>
        <w:footnoteReference w:id="24"/>
      </w:r>
      <w:r w:rsidRPr="00230B75">
        <w:rPr>
          <w:rFonts w:ascii="Verdana" w:eastAsia="Calibri" w:hAnsi="Verdana" w:cs="Arial"/>
          <w:color w:val="000000" w:themeColor="text1"/>
        </w:rPr>
        <w:t xml:space="preserve">. En esta medida, considerando las modificaciones introducidas por </w:t>
      </w:r>
      <w:r w:rsidRPr="00230B75">
        <w:rPr>
          <w:rFonts w:ascii="Verdana" w:eastAsia="Calibri" w:hAnsi="Verdana" w:cs="Arial"/>
          <w:color w:val="000000" w:themeColor="text1"/>
        </w:rPr>
        <w:lastRenderedPageBreak/>
        <w:t xml:space="preserve">normas posteriores, ha desaparecido la referencia al nivel ejecutivo dentro de las plantas de cargos de las entidades públicas. Por tanto, la restricción prevista </w:t>
      </w:r>
      <w:r w:rsidRPr="00230B75">
        <w:rPr>
          <w:rFonts w:ascii="Verdana" w:eastAsia="Calibri" w:hAnsi="Verdana" w:cs="Arial"/>
          <w:lang w:val="es-ES_tradnl"/>
        </w:rPr>
        <w:t xml:space="preserve">en el artículo 8, literal </w:t>
      </w:r>
      <w:r>
        <w:rPr>
          <w:rFonts w:ascii="Verdana" w:eastAsia="Calibri" w:hAnsi="Verdana" w:cs="Arial"/>
          <w:lang w:val="es-ES_tradnl"/>
        </w:rPr>
        <w:t>a</w:t>
      </w:r>
      <w:r w:rsidRPr="00230B75">
        <w:rPr>
          <w:rFonts w:ascii="Verdana" w:eastAsia="Calibri" w:hAnsi="Verdana" w:cs="Arial"/>
          <w:lang w:val="es-ES_tradnl"/>
        </w:rPr>
        <w:t>) del numeral 2, de la Ley 80 de 1993 se aplica especialmente a los servidores públicos de los niveles directivo y asesor.</w:t>
      </w:r>
      <w:r w:rsidRPr="00230B75">
        <w:rPr>
          <w:rFonts w:ascii="Verdana" w:eastAsia="Calibri" w:hAnsi="Verdana" w:cs="Arial"/>
          <w:color w:val="000000" w:themeColor="text1"/>
        </w:rPr>
        <w:t xml:space="preserve"> </w:t>
      </w:r>
    </w:p>
    <w:p w14:paraId="21A20B19" w14:textId="77777777" w:rsidR="00A50423" w:rsidRDefault="00A50423" w:rsidP="00A50423">
      <w:pPr>
        <w:spacing w:before="120" w:after="120" w:line="276" w:lineRule="auto"/>
        <w:ind w:firstLine="708"/>
        <w:jc w:val="both"/>
        <w:rPr>
          <w:rFonts w:ascii="Verdana" w:eastAsia="Calibri" w:hAnsi="Verdana" w:cs="Arial"/>
          <w:color w:val="000000" w:themeColor="text1"/>
        </w:rPr>
      </w:pPr>
      <w:r>
        <w:rPr>
          <w:rFonts w:ascii="Verdana" w:eastAsia="Calibri" w:hAnsi="Verdana" w:cs="Arial"/>
          <w:color w:val="000000" w:themeColor="text1"/>
        </w:rPr>
        <w:t xml:space="preserve">Esta prohibición </w:t>
      </w:r>
      <w:r w:rsidRPr="002F64B7">
        <w:rPr>
          <w:rFonts w:ascii="Verdana" w:eastAsia="Calibri" w:hAnsi="Verdana" w:cs="Arial"/>
          <w:color w:val="000000" w:themeColor="text1"/>
        </w:rPr>
        <w:t xml:space="preserve">evita que la información privilegiada </w:t>
      </w:r>
      <w:r>
        <w:rPr>
          <w:rFonts w:ascii="Verdana" w:eastAsia="Calibri" w:hAnsi="Verdana" w:cs="Arial"/>
          <w:color w:val="000000" w:themeColor="text1"/>
        </w:rPr>
        <w:t>obtenida en</w:t>
      </w:r>
      <w:r w:rsidRPr="002F64B7">
        <w:rPr>
          <w:rFonts w:ascii="Verdana" w:eastAsia="Calibri" w:hAnsi="Verdana" w:cs="Arial"/>
          <w:color w:val="000000" w:themeColor="text1"/>
        </w:rPr>
        <w:t xml:space="preserve"> virtud de</w:t>
      </w:r>
      <w:r>
        <w:rPr>
          <w:rFonts w:ascii="Verdana" w:eastAsia="Calibri" w:hAnsi="Verdana" w:cs="Arial"/>
          <w:color w:val="000000" w:themeColor="text1"/>
        </w:rPr>
        <w:t xml:space="preserve">l </w:t>
      </w:r>
      <w:r w:rsidRPr="002F64B7">
        <w:rPr>
          <w:rFonts w:ascii="Verdana" w:eastAsia="Calibri" w:hAnsi="Verdana" w:cs="Arial"/>
          <w:color w:val="000000" w:themeColor="text1"/>
        </w:rPr>
        <w:t>cargo</w:t>
      </w:r>
      <w:r>
        <w:rPr>
          <w:rFonts w:ascii="Verdana" w:eastAsia="Calibri" w:hAnsi="Verdana" w:cs="Arial"/>
          <w:color w:val="000000" w:themeColor="text1"/>
        </w:rPr>
        <w:t xml:space="preserve"> sirva como ventaja competitiva respecto a personas ajenas a la entidad</w:t>
      </w:r>
      <w:r>
        <w:rPr>
          <w:rStyle w:val="Refdenotaalpie"/>
          <w:rFonts w:ascii="Verdana" w:eastAsia="Calibri" w:hAnsi="Verdana" w:cs="Arial"/>
          <w:color w:val="000000" w:themeColor="text1"/>
        </w:rPr>
        <w:footnoteReference w:id="25"/>
      </w:r>
      <w:r>
        <w:rPr>
          <w:rFonts w:ascii="Verdana" w:eastAsia="Calibri" w:hAnsi="Verdana" w:cs="Arial"/>
          <w:color w:val="000000" w:themeColor="text1"/>
        </w:rPr>
        <w:t>. En los niveles directivo y asesor, aplica a quienes tienen la calidad de exservidores públicos del contratante. Ello no implica que estén habilitados mientras ostenten alguna de la calidades del inciso primero artículo 123 de la Constitución Política de 1991</w:t>
      </w:r>
      <w:r>
        <w:rPr>
          <w:rStyle w:val="Refdenotaalpie"/>
          <w:rFonts w:ascii="Verdana" w:eastAsia="Calibri" w:hAnsi="Verdana" w:cs="Arial"/>
          <w:color w:val="000000" w:themeColor="text1"/>
        </w:rPr>
        <w:footnoteReference w:id="26"/>
      </w:r>
      <w:r>
        <w:rPr>
          <w:rFonts w:ascii="Verdana" w:eastAsia="Calibri" w:hAnsi="Verdana" w:cs="Arial"/>
          <w:color w:val="000000" w:themeColor="text1"/>
        </w:rPr>
        <w:t xml:space="preserve">. Lo anterior, dado que el literal f) del artículo 8.1 de la Ley 80 de 1993 inhabilita a los servidores públicos para participar en procesos de selección y contratar con el Estado. </w:t>
      </w:r>
    </w:p>
    <w:p w14:paraId="609074B4" w14:textId="77777777" w:rsidR="00A50423" w:rsidRDefault="00A50423" w:rsidP="00A50423">
      <w:pPr>
        <w:spacing w:before="120" w:after="120" w:line="276" w:lineRule="auto"/>
        <w:ind w:firstLine="708"/>
        <w:jc w:val="both"/>
        <w:rPr>
          <w:rFonts w:ascii="Verdana" w:hAnsi="Verdana" w:cs="Arial"/>
          <w:color w:val="000000" w:themeColor="text1"/>
        </w:rPr>
      </w:pPr>
      <w:r>
        <w:rPr>
          <w:rFonts w:ascii="Verdana" w:eastAsia="Calibri" w:hAnsi="Verdana" w:cs="Arial"/>
          <w:color w:val="000000" w:themeColor="text1"/>
        </w:rPr>
        <w:t xml:space="preserve">Dado el carácter restrictivo de las inhabilidades e incompatibilidades, </w:t>
      </w:r>
      <w:r>
        <w:rPr>
          <w:rFonts w:ascii="Verdana" w:hAnsi="Verdana" w:cs="Arial"/>
          <w:color w:val="000000" w:themeColor="text1"/>
        </w:rPr>
        <w:t>el literal a) del artículo 8.2 del EGCAP se limita a la entidad contratante, sin que pueda extenderse –por ejemplo– a las entidades descentralizadas que dependan de ésta</w:t>
      </w:r>
      <w:r>
        <w:rPr>
          <w:rStyle w:val="Refdenotaalpie"/>
          <w:rFonts w:ascii="Verdana" w:hAnsi="Verdana" w:cs="Arial"/>
          <w:color w:val="000000" w:themeColor="text1"/>
        </w:rPr>
        <w:footnoteReference w:id="27"/>
      </w:r>
      <w:r>
        <w:rPr>
          <w:rFonts w:ascii="Verdana" w:hAnsi="Verdana" w:cs="Arial"/>
          <w:color w:val="000000" w:themeColor="text1"/>
        </w:rPr>
        <w:t xml:space="preserve">. Bajo esta lógica, en principio, el exdirectivo de un ministerio no podría contratar con dicha entidad </w:t>
      </w:r>
      <w:r w:rsidRPr="00C4300E">
        <w:rPr>
          <w:rFonts w:ascii="Verdana" w:hAnsi="Verdana" w:cs="Arial"/>
          <w:color w:val="000000" w:themeColor="text1"/>
        </w:rPr>
        <w:t>un (1) año contado a partir de la fecha del retiro</w:t>
      </w:r>
      <w:r>
        <w:rPr>
          <w:rFonts w:ascii="Verdana" w:hAnsi="Verdana" w:cs="Arial"/>
          <w:color w:val="000000" w:themeColor="text1"/>
        </w:rPr>
        <w:t xml:space="preserve">, pero sí podría hacerlo en las empresas industriales y comerciales del Estado o en la sociedades de economía mixta vinculadas al órgano.  </w:t>
      </w:r>
    </w:p>
    <w:p w14:paraId="340ADC69" w14:textId="47B31FDB" w:rsidR="0008573C" w:rsidRDefault="0008573C" w:rsidP="00A50423">
      <w:pPr>
        <w:spacing w:before="120" w:after="120" w:line="276" w:lineRule="auto"/>
        <w:ind w:firstLine="708"/>
        <w:jc w:val="both"/>
        <w:rPr>
          <w:rFonts w:ascii="Verdana" w:hAnsi="Verdana" w:cs="Arial"/>
          <w:color w:val="000000" w:themeColor="text1"/>
        </w:rPr>
      </w:pPr>
      <w:r w:rsidRPr="0008573C">
        <w:rPr>
          <w:rFonts w:ascii="Verdana" w:hAnsi="Verdana" w:cs="Arial"/>
          <w:color w:val="000000" w:themeColor="text1"/>
        </w:rPr>
        <w:t xml:space="preserve">Debe advertirse, sin embargo, que el agotamiento del término de un (1) año propio del literal a) no implica, por sí solo, la habilitación plena para contratar, pues la incompatibilidad del literal f) se extiende hasta dos (2) años cuando el objeto se relaciona con el sector. De ahí que la sola circunstancia de haber transcurrido más de un (1) año desde el retiro resuelva la restricción del </w:t>
      </w:r>
      <w:r w:rsidRPr="0008573C">
        <w:rPr>
          <w:rFonts w:ascii="Verdana" w:hAnsi="Verdana" w:cs="Arial"/>
          <w:color w:val="000000" w:themeColor="text1"/>
        </w:rPr>
        <w:lastRenderedPageBreak/>
        <w:t>literal a), pero no descarte la del literal f) mientras no se complete el bienio o mientras subsista la relación del objeto con el sector.</w:t>
      </w:r>
    </w:p>
    <w:p w14:paraId="20DA0731" w14:textId="77777777" w:rsidR="00A50423" w:rsidRDefault="00A50423" w:rsidP="00A50423">
      <w:pPr>
        <w:spacing w:before="120" w:after="120" w:line="276" w:lineRule="auto"/>
        <w:ind w:firstLine="708"/>
        <w:jc w:val="both"/>
        <w:rPr>
          <w:rFonts w:ascii="Verdana" w:hAnsi="Verdana" w:cs="Arial"/>
          <w:color w:val="000000" w:themeColor="text1"/>
        </w:rPr>
      </w:pPr>
      <w:r>
        <w:rPr>
          <w:rFonts w:ascii="Verdana" w:hAnsi="Verdana" w:cs="Arial"/>
          <w:color w:val="000000" w:themeColor="text1"/>
        </w:rPr>
        <w:t>Sin embargo, para este tipo de situaciones, el artículo 4 de la Ley 1474 de 2011 adiciona el literal f) al artículo 8.2 de la Ley 80 de 1993. Así, no pueden participar en procesos de selección ni celebrar contratos estatales “</w:t>
      </w:r>
      <w:r w:rsidRPr="002A7D2C">
        <w:rPr>
          <w:rFonts w:ascii="Verdana" w:hAnsi="Verdana" w:cs="Arial"/>
          <w:color w:val="000000" w:themeColor="text1"/>
        </w:rPr>
        <w:t>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w:t>
      </w:r>
      <w:r>
        <w:rPr>
          <w:rFonts w:ascii="Verdana" w:hAnsi="Verdana" w:cs="Arial"/>
          <w:color w:val="000000" w:themeColor="text1"/>
        </w:rPr>
        <w:t>”, además de que “</w:t>
      </w:r>
      <w:r w:rsidRPr="002A7D2C">
        <w:rPr>
          <w:rFonts w:ascii="Verdana" w:hAnsi="Verdana" w:cs="Arial"/>
          <w:color w:val="000000" w:themeColor="text1"/>
        </w:rPr>
        <w:t>Esta incompatibilidad también operará para las personas que se encuentren dentro del primer grado de consanguinidad, primero de afinidad, o primero civil del ex empleado público</w:t>
      </w:r>
      <w:r>
        <w:rPr>
          <w:rFonts w:ascii="Verdana" w:hAnsi="Verdana" w:cs="Arial"/>
          <w:color w:val="000000" w:themeColor="text1"/>
        </w:rPr>
        <w:t>”</w:t>
      </w:r>
      <w:r w:rsidRPr="002A7D2C">
        <w:rPr>
          <w:rFonts w:ascii="Verdana" w:hAnsi="Verdana" w:cs="Arial"/>
          <w:color w:val="000000" w:themeColor="text1"/>
        </w:rPr>
        <w:t>.</w:t>
      </w:r>
    </w:p>
    <w:p w14:paraId="6752A88F" w14:textId="77777777" w:rsidR="00A50423" w:rsidRDefault="00A50423" w:rsidP="00A50423">
      <w:pPr>
        <w:spacing w:before="120" w:after="120" w:line="276" w:lineRule="auto"/>
        <w:ind w:firstLine="708"/>
        <w:jc w:val="both"/>
        <w:rPr>
          <w:rFonts w:ascii="Verdana" w:eastAsia="Times New Roman" w:hAnsi="Verdana" w:cs="Arial"/>
          <w:lang w:eastAsia="es-MX"/>
        </w:rPr>
      </w:pPr>
      <w:r>
        <w:rPr>
          <w:rFonts w:ascii="Verdana" w:hAnsi="Verdana" w:cs="Arial"/>
          <w:color w:val="000000" w:themeColor="text1"/>
        </w:rPr>
        <w:t xml:space="preserve">En lo relacionado con los funcionarios del nivel directivo, el Estatuto Anticorrupción amplia el alcance del precitado literal a) del artículo 8.2 del Estatuto General, pues </w:t>
      </w:r>
      <w:r w:rsidRPr="00E16572">
        <w:rPr>
          <w:rFonts w:ascii="Verdana" w:hAnsi="Verdana" w:cs="Arial"/>
          <w:color w:val="000000" w:themeColor="text1"/>
        </w:rPr>
        <w:t>aumentó la</w:t>
      </w:r>
      <w:r>
        <w:rPr>
          <w:rFonts w:ascii="Verdana" w:hAnsi="Verdana" w:cs="Arial"/>
          <w:color w:val="000000" w:themeColor="text1"/>
        </w:rPr>
        <w:t xml:space="preserve"> </w:t>
      </w:r>
      <w:r w:rsidRPr="00E16572">
        <w:rPr>
          <w:rFonts w:ascii="Verdana" w:hAnsi="Verdana" w:cs="Arial"/>
          <w:color w:val="000000" w:themeColor="text1"/>
        </w:rPr>
        <w:t xml:space="preserve">incompatibilidad para suscribir </w:t>
      </w:r>
      <w:r>
        <w:rPr>
          <w:rFonts w:ascii="Verdana" w:hAnsi="Verdana" w:cs="Arial"/>
          <w:color w:val="000000" w:themeColor="text1"/>
        </w:rPr>
        <w:t xml:space="preserve">contratos </w:t>
      </w:r>
      <w:r w:rsidRPr="00E16572">
        <w:rPr>
          <w:rFonts w:ascii="Verdana" w:hAnsi="Verdana" w:cs="Arial"/>
          <w:color w:val="000000" w:themeColor="text1"/>
        </w:rPr>
        <w:t xml:space="preserve">con la misma entidad </w:t>
      </w:r>
      <w:r>
        <w:rPr>
          <w:rFonts w:ascii="Verdana" w:hAnsi="Verdana" w:cs="Arial"/>
          <w:color w:val="000000" w:themeColor="text1"/>
        </w:rPr>
        <w:t>pasando de uno (1) a dos (2) años</w:t>
      </w:r>
      <w:r>
        <w:rPr>
          <w:rStyle w:val="Refdenotaalpie"/>
          <w:rFonts w:ascii="Verdana" w:hAnsi="Verdana" w:cs="Arial"/>
          <w:color w:val="000000" w:themeColor="text1"/>
        </w:rPr>
        <w:footnoteReference w:id="28"/>
      </w:r>
      <w:r>
        <w:rPr>
          <w:rFonts w:ascii="Verdana" w:hAnsi="Verdana" w:cs="Arial"/>
          <w:color w:val="000000" w:themeColor="text1"/>
        </w:rPr>
        <w:t xml:space="preserve">. Esta incompatibilidad del literal f) </w:t>
      </w:r>
      <w:r w:rsidRPr="006D2C9E">
        <w:rPr>
          <w:rFonts w:ascii="Verdana" w:hAnsi="Verdana" w:cs="Arial"/>
          <w:i/>
          <w:iCs/>
          <w:color w:val="000000" w:themeColor="text1"/>
        </w:rPr>
        <w:t>ibidem</w:t>
      </w:r>
      <w:r>
        <w:rPr>
          <w:rFonts w:ascii="Verdana" w:hAnsi="Verdana" w:cs="Arial"/>
          <w:color w:val="000000" w:themeColor="text1"/>
        </w:rPr>
        <w:t xml:space="preserve"> aplica “[…] </w:t>
      </w:r>
      <w:r w:rsidRPr="008F643C">
        <w:rPr>
          <w:rFonts w:ascii="Verdana" w:hAnsi="Verdana" w:cs="Arial"/>
          <w:color w:val="000000" w:themeColor="text1"/>
        </w:rPr>
        <w:t>cuando el objeto que desarrollen tenga relación con el sector al cual prestaron sus servicios</w:t>
      </w:r>
      <w:r>
        <w:rPr>
          <w:rFonts w:ascii="Verdana" w:hAnsi="Verdana" w:cs="Arial"/>
          <w:color w:val="000000" w:themeColor="text1"/>
        </w:rPr>
        <w:t>”</w:t>
      </w:r>
      <w:r>
        <w:rPr>
          <w:rFonts w:ascii="Verdana" w:eastAsia="Times New Roman" w:hAnsi="Verdana" w:cs="Arial"/>
          <w:lang w:eastAsia="es-MX"/>
        </w:rPr>
        <w:t>.</w:t>
      </w:r>
    </w:p>
    <w:p w14:paraId="2D0F1D96" w14:textId="5C9C9B61" w:rsidR="00A01714" w:rsidRDefault="00A01714" w:rsidP="00A50423">
      <w:pPr>
        <w:spacing w:before="120" w:after="120" w:line="276" w:lineRule="auto"/>
        <w:ind w:firstLine="708"/>
        <w:jc w:val="both"/>
        <w:rPr>
          <w:rFonts w:ascii="Verdana" w:eastAsia="Times New Roman" w:hAnsi="Verdana" w:cs="Arial"/>
          <w:lang w:eastAsia="es-MX"/>
        </w:rPr>
      </w:pPr>
      <w:r w:rsidRPr="00A01714">
        <w:rPr>
          <w:rFonts w:ascii="Verdana" w:eastAsia="Times New Roman" w:hAnsi="Verdana" w:cs="Arial"/>
          <w:lang w:eastAsia="es-MX"/>
        </w:rPr>
        <w:t>Conviene precisar, además, que la 'puerta giratoria' que restringe la contratación de exdirectivos con el Estado deriva del artículo 4 de la Ley 1474 de 2011, que adicionó el literal f) al numeral 2 del artículo 8 de la Ley 80 de 1993, y no del artículo 3 de esa misma ley. El artículo 3 del Estatuto Anticorrupción adicionó el numeral 22 al artículo 35 de la Ley 734 de 2002 y consagró una prohibición de naturaleza disciplinaria —la de gestionar intereses privados—, distinta del límite a la capacidad contractual. La distinción no es meramente formal: mientras la incompatibilidad del literal f) opera por la relación del objeto con el sector durante dos (2) años, la prohibición disciplinaria se estructura sobre las funciones propias del cargo y sobre los asuntos concretos conocidos por el servidor</w:t>
      </w:r>
      <w:r w:rsidR="005C2C6C">
        <w:rPr>
          <w:rStyle w:val="Refdenotaalpie"/>
          <w:rFonts w:ascii="Verdana" w:eastAsia="Times New Roman" w:hAnsi="Verdana" w:cs="Arial"/>
          <w:lang w:eastAsia="es-MX"/>
        </w:rPr>
        <w:footnoteReference w:id="29"/>
      </w:r>
      <w:r w:rsidRPr="00A01714">
        <w:rPr>
          <w:rFonts w:ascii="Verdana" w:eastAsia="Times New Roman" w:hAnsi="Verdana" w:cs="Arial"/>
          <w:lang w:eastAsia="es-MX"/>
        </w:rPr>
        <w:t>.</w:t>
      </w:r>
    </w:p>
    <w:p w14:paraId="691953E8" w14:textId="77777777" w:rsidR="00A50423" w:rsidRDefault="00A50423" w:rsidP="00A50423">
      <w:pPr>
        <w:spacing w:after="120" w:line="276" w:lineRule="auto"/>
        <w:ind w:firstLine="709"/>
        <w:jc w:val="both"/>
        <w:rPr>
          <w:rFonts w:ascii="Verdana" w:eastAsia="Times New Roman" w:hAnsi="Verdana" w:cs="Arial"/>
          <w:lang w:eastAsia="es-MX"/>
        </w:rPr>
      </w:pPr>
      <w:r>
        <w:rPr>
          <w:rFonts w:ascii="Verdana" w:eastAsia="Times New Roman" w:hAnsi="Verdana" w:cs="Arial"/>
          <w:lang w:eastAsia="es-MX"/>
        </w:rPr>
        <w:lastRenderedPageBreak/>
        <w:t>Determinar el alcance de la prohibición requiere la concordancia con el artículo 42 de la Ley 489 de 1998. Para las entidades del orden nacional, esta norma dispone que “</w:t>
      </w:r>
      <w:r w:rsidRPr="00535337">
        <w:rPr>
          <w:rFonts w:ascii="Verdana" w:eastAsia="Times New Roman" w:hAnsi="Verdana" w:cs="Arial"/>
          <w:lang w:eastAsia="es-MX"/>
        </w:rPr>
        <w:t>El Sector Administrativo está integrado por el Ministerio o Departamento Administrativo, las superintendencias y demás entidades que la ley definan como adscritas o vinculadas a aquéllos según correspondiere a cada área</w:t>
      </w:r>
      <w:r>
        <w:rPr>
          <w:rFonts w:ascii="Verdana" w:eastAsia="Times New Roman" w:hAnsi="Verdana" w:cs="Arial"/>
          <w:lang w:eastAsia="es-MX"/>
        </w:rPr>
        <w:t>”</w:t>
      </w:r>
      <w:r w:rsidRPr="00535337">
        <w:rPr>
          <w:rFonts w:ascii="Verdana" w:eastAsia="Times New Roman" w:hAnsi="Verdana" w:cs="Arial"/>
          <w:lang w:eastAsia="es-MX"/>
        </w:rPr>
        <w:t>.</w:t>
      </w:r>
      <w:r>
        <w:rPr>
          <w:rFonts w:ascii="Verdana" w:eastAsia="Times New Roman" w:hAnsi="Verdana" w:cs="Arial"/>
          <w:lang w:eastAsia="es-MX"/>
        </w:rPr>
        <w:t xml:space="preserve"> En la misma línea, el parágrafo del artículo 50 </w:t>
      </w:r>
      <w:r w:rsidRPr="00535337">
        <w:rPr>
          <w:rFonts w:ascii="Verdana" w:eastAsia="Times New Roman" w:hAnsi="Verdana" w:cs="Arial"/>
          <w:i/>
          <w:iCs/>
          <w:lang w:eastAsia="es-MX"/>
        </w:rPr>
        <w:t>ibidem</w:t>
      </w:r>
      <w:r>
        <w:rPr>
          <w:rFonts w:ascii="Verdana" w:eastAsia="Times New Roman" w:hAnsi="Verdana" w:cs="Arial"/>
          <w:lang w:eastAsia="es-MX"/>
        </w:rPr>
        <w:t xml:space="preserve"> indica lo siguiente: “</w:t>
      </w:r>
      <w:r w:rsidRPr="00535337">
        <w:rPr>
          <w:rFonts w:ascii="Verdana" w:eastAsia="Times New Roman" w:hAnsi="Verdana" w:cs="Arial"/>
          <w:lang w:eastAsia="es-MX"/>
        </w:rPr>
        <w:t>Las superintendencias, los establecimientos públicos y las unidades administrativas especiales estarán adscritos a los ministerios o departamentos administrativos; las empresas industriales y comerciales del Estado y las sociedades de economía mixta estarán vinculadas a aquellos; los demás organismos y entidades estarán adscritos o vinculados, según lo determine su acto de creación</w:t>
      </w:r>
      <w:r>
        <w:rPr>
          <w:rFonts w:ascii="Verdana" w:eastAsia="Times New Roman" w:hAnsi="Verdana" w:cs="Arial"/>
          <w:lang w:eastAsia="es-MX"/>
        </w:rPr>
        <w:t>”</w:t>
      </w:r>
      <w:r w:rsidRPr="00535337">
        <w:rPr>
          <w:rFonts w:ascii="Verdana" w:eastAsia="Times New Roman" w:hAnsi="Verdana" w:cs="Arial"/>
          <w:lang w:eastAsia="es-MX"/>
        </w:rPr>
        <w:t>.</w:t>
      </w:r>
      <w:r>
        <w:rPr>
          <w:rFonts w:ascii="Verdana" w:eastAsia="Times New Roman" w:hAnsi="Verdana" w:cs="Arial"/>
          <w:lang w:eastAsia="es-MX"/>
        </w:rPr>
        <w:t xml:space="preserve"> </w:t>
      </w:r>
    </w:p>
    <w:p w14:paraId="20B89812" w14:textId="77777777" w:rsidR="00584E32" w:rsidRDefault="00A50423" w:rsidP="002E724B">
      <w:pPr>
        <w:spacing w:after="120" w:line="276" w:lineRule="auto"/>
        <w:ind w:firstLine="709"/>
        <w:jc w:val="both"/>
        <w:rPr>
          <w:rFonts w:ascii="Verdana" w:eastAsia="Times New Roman" w:hAnsi="Verdana" w:cs="Arial"/>
          <w:lang w:eastAsia="es-MX"/>
        </w:rPr>
      </w:pPr>
      <w:r>
        <w:rPr>
          <w:rFonts w:ascii="Verdana" w:eastAsia="Times New Roman" w:hAnsi="Verdana" w:cs="Arial"/>
          <w:lang w:eastAsia="es-MX"/>
        </w:rPr>
        <w:t xml:space="preserve">Respecto a la estructura administrativa del sector transporte, el Decreto 1079 de 2015 ubica al ministerio respectivo como cabeza del mismo –artículo </w:t>
      </w:r>
      <w:r w:rsidRPr="003B03E0">
        <w:rPr>
          <w:rFonts w:ascii="Verdana" w:eastAsia="Times New Roman" w:hAnsi="Verdana" w:cs="Arial"/>
          <w:lang w:eastAsia="es-MX"/>
        </w:rPr>
        <w:t>1.1.1.1</w:t>
      </w:r>
      <w:r>
        <w:rPr>
          <w:rFonts w:ascii="Verdana" w:eastAsia="Times New Roman" w:hAnsi="Verdana" w:cs="Arial"/>
          <w:lang w:eastAsia="es-MX"/>
        </w:rPr>
        <w:t xml:space="preserve">–. Al ministerio se encuentran adscritas i) el </w:t>
      </w:r>
      <w:r w:rsidRPr="00FB2400">
        <w:rPr>
          <w:rFonts w:ascii="Verdana" w:eastAsia="Times New Roman" w:hAnsi="Verdana" w:cs="Arial"/>
          <w:lang w:eastAsia="es-MX"/>
        </w:rPr>
        <w:t xml:space="preserve">Instituto Nacional de Vías </w:t>
      </w:r>
      <w:r>
        <w:rPr>
          <w:rFonts w:ascii="Verdana" w:eastAsia="Times New Roman" w:hAnsi="Verdana" w:cs="Arial"/>
          <w:lang w:eastAsia="es-MX"/>
        </w:rPr>
        <w:t>–</w:t>
      </w:r>
      <w:r w:rsidRPr="00FB2400">
        <w:rPr>
          <w:rFonts w:ascii="Verdana" w:eastAsia="Times New Roman" w:hAnsi="Verdana" w:cs="Arial"/>
          <w:lang w:eastAsia="es-MX"/>
        </w:rPr>
        <w:t>INVIAS</w:t>
      </w:r>
      <w:r>
        <w:rPr>
          <w:rFonts w:ascii="Verdana" w:eastAsia="Times New Roman" w:hAnsi="Verdana" w:cs="Arial"/>
          <w:lang w:eastAsia="es-MX"/>
        </w:rPr>
        <w:t xml:space="preserve">– (art. </w:t>
      </w:r>
      <w:r w:rsidRPr="00FB2400">
        <w:rPr>
          <w:rFonts w:ascii="Verdana" w:eastAsia="Times New Roman" w:hAnsi="Verdana" w:cs="Arial"/>
          <w:lang w:eastAsia="es-MX"/>
        </w:rPr>
        <w:t>1.2.1.1</w:t>
      </w:r>
      <w:r>
        <w:rPr>
          <w:rFonts w:ascii="Verdana" w:eastAsia="Times New Roman" w:hAnsi="Verdana" w:cs="Arial"/>
          <w:lang w:eastAsia="es-MX"/>
        </w:rPr>
        <w:t xml:space="preserve">), </w:t>
      </w:r>
      <w:proofErr w:type="spellStart"/>
      <w:r>
        <w:rPr>
          <w:rFonts w:ascii="Verdana" w:eastAsia="Times New Roman" w:hAnsi="Verdana" w:cs="Arial"/>
          <w:lang w:eastAsia="es-MX"/>
        </w:rPr>
        <w:t>ii</w:t>
      </w:r>
      <w:proofErr w:type="spellEnd"/>
      <w:r>
        <w:rPr>
          <w:rFonts w:ascii="Verdana" w:eastAsia="Times New Roman" w:hAnsi="Verdana" w:cs="Arial"/>
          <w:lang w:eastAsia="es-MX"/>
        </w:rPr>
        <w:t xml:space="preserve">) la </w:t>
      </w:r>
      <w:r w:rsidRPr="00FB2400">
        <w:rPr>
          <w:rFonts w:ascii="Verdana" w:eastAsia="Times New Roman" w:hAnsi="Verdana" w:cs="Arial"/>
          <w:lang w:eastAsia="es-MX"/>
        </w:rPr>
        <w:t>Agencia Nacional de Infraestructura</w:t>
      </w:r>
      <w:r>
        <w:rPr>
          <w:rFonts w:ascii="Verdana" w:eastAsia="Times New Roman" w:hAnsi="Verdana" w:cs="Arial"/>
          <w:lang w:eastAsia="es-MX"/>
        </w:rPr>
        <w:t xml:space="preserve"> –ANI– (art. </w:t>
      </w:r>
      <w:r w:rsidRPr="00FB2400">
        <w:rPr>
          <w:rFonts w:ascii="Verdana" w:eastAsia="Times New Roman" w:hAnsi="Verdana" w:cs="Arial"/>
          <w:lang w:eastAsia="es-MX"/>
        </w:rPr>
        <w:t>1.2.1.2</w:t>
      </w:r>
      <w:r>
        <w:rPr>
          <w:rFonts w:ascii="Verdana" w:eastAsia="Times New Roman" w:hAnsi="Verdana" w:cs="Arial"/>
          <w:lang w:eastAsia="es-MX"/>
        </w:rPr>
        <w:t xml:space="preserve">), </w:t>
      </w:r>
      <w:proofErr w:type="spellStart"/>
      <w:r>
        <w:rPr>
          <w:rFonts w:ascii="Verdana" w:eastAsia="Times New Roman" w:hAnsi="Verdana" w:cs="Arial"/>
          <w:lang w:eastAsia="es-MX"/>
        </w:rPr>
        <w:t>iii</w:t>
      </w:r>
      <w:proofErr w:type="spellEnd"/>
      <w:r>
        <w:rPr>
          <w:rFonts w:ascii="Verdana" w:eastAsia="Times New Roman" w:hAnsi="Verdana" w:cs="Arial"/>
          <w:lang w:eastAsia="es-MX"/>
        </w:rPr>
        <w:t xml:space="preserve">) la </w:t>
      </w:r>
      <w:r w:rsidRPr="00FB2400">
        <w:rPr>
          <w:rFonts w:ascii="Verdana" w:eastAsia="Times New Roman" w:hAnsi="Verdana" w:cs="Arial"/>
          <w:lang w:eastAsia="es-MX"/>
        </w:rPr>
        <w:t>Aeronáutica Civi</w:t>
      </w:r>
      <w:r>
        <w:rPr>
          <w:rFonts w:ascii="Verdana" w:eastAsia="Times New Roman" w:hAnsi="Verdana" w:cs="Arial"/>
          <w:lang w:eastAsia="es-MX"/>
        </w:rPr>
        <w:t>l –</w:t>
      </w:r>
      <w:r w:rsidRPr="00FB2400">
        <w:rPr>
          <w:rFonts w:ascii="Verdana" w:eastAsia="Times New Roman" w:hAnsi="Verdana" w:cs="Arial"/>
          <w:lang w:eastAsia="es-MX"/>
        </w:rPr>
        <w:t>AEROCIVIL</w:t>
      </w:r>
      <w:r>
        <w:rPr>
          <w:rFonts w:ascii="Verdana" w:eastAsia="Times New Roman" w:hAnsi="Verdana" w:cs="Arial"/>
          <w:lang w:eastAsia="es-MX"/>
        </w:rPr>
        <w:t xml:space="preserve">– (art. </w:t>
      </w:r>
      <w:r w:rsidRPr="00FB2400">
        <w:rPr>
          <w:rFonts w:ascii="Verdana" w:eastAsia="Times New Roman" w:hAnsi="Verdana" w:cs="Arial"/>
          <w:lang w:eastAsia="es-MX"/>
        </w:rPr>
        <w:t>1.2.1.3</w:t>
      </w:r>
      <w:r>
        <w:rPr>
          <w:rFonts w:ascii="Verdana" w:eastAsia="Times New Roman" w:hAnsi="Verdana" w:cs="Arial"/>
          <w:lang w:eastAsia="es-MX"/>
        </w:rPr>
        <w:t xml:space="preserve">), </w:t>
      </w:r>
      <w:proofErr w:type="spellStart"/>
      <w:r>
        <w:rPr>
          <w:rFonts w:ascii="Verdana" w:eastAsia="Times New Roman" w:hAnsi="Verdana" w:cs="Arial"/>
          <w:lang w:eastAsia="es-MX"/>
        </w:rPr>
        <w:t>iv</w:t>
      </w:r>
      <w:proofErr w:type="spellEnd"/>
      <w:r>
        <w:rPr>
          <w:rFonts w:ascii="Verdana" w:eastAsia="Times New Roman" w:hAnsi="Verdana" w:cs="Arial"/>
          <w:lang w:eastAsia="es-MX"/>
        </w:rPr>
        <w:t xml:space="preserve">) la </w:t>
      </w:r>
      <w:r w:rsidRPr="00FB2400">
        <w:rPr>
          <w:rFonts w:ascii="Verdana" w:eastAsia="Times New Roman" w:hAnsi="Verdana" w:cs="Arial"/>
          <w:lang w:eastAsia="es-MX"/>
        </w:rPr>
        <w:t>Superintendencia de Puertos y Transporte</w:t>
      </w:r>
      <w:r>
        <w:rPr>
          <w:rFonts w:ascii="Verdana" w:eastAsia="Times New Roman" w:hAnsi="Verdana" w:cs="Arial"/>
          <w:lang w:eastAsia="es-MX"/>
        </w:rPr>
        <w:t xml:space="preserve"> –SUPERTRANSPORTE– (art. </w:t>
      </w:r>
      <w:r w:rsidRPr="00FB2400">
        <w:rPr>
          <w:rFonts w:ascii="Verdana" w:eastAsia="Times New Roman" w:hAnsi="Verdana" w:cs="Arial"/>
          <w:lang w:eastAsia="es-MX"/>
        </w:rPr>
        <w:t>1.2.1.4</w:t>
      </w:r>
      <w:r>
        <w:rPr>
          <w:rFonts w:ascii="Verdana" w:eastAsia="Times New Roman" w:hAnsi="Verdana" w:cs="Arial"/>
          <w:lang w:eastAsia="es-MX"/>
        </w:rPr>
        <w:t xml:space="preserve">), v) la </w:t>
      </w:r>
      <w:r w:rsidRPr="00FB2400">
        <w:rPr>
          <w:rFonts w:ascii="Verdana" w:eastAsia="Times New Roman" w:hAnsi="Verdana" w:cs="Arial"/>
          <w:lang w:eastAsia="es-MX"/>
        </w:rPr>
        <w:t xml:space="preserve">Agencia Nacional de Seguridad Vial </w:t>
      </w:r>
      <w:r>
        <w:rPr>
          <w:rFonts w:ascii="Verdana" w:eastAsia="Times New Roman" w:hAnsi="Verdana" w:cs="Arial"/>
          <w:lang w:eastAsia="es-MX"/>
        </w:rPr>
        <w:t>–</w:t>
      </w:r>
      <w:r w:rsidRPr="00FB2400">
        <w:rPr>
          <w:rFonts w:ascii="Verdana" w:eastAsia="Times New Roman" w:hAnsi="Verdana" w:cs="Arial"/>
          <w:lang w:eastAsia="es-MX"/>
        </w:rPr>
        <w:t>ANSV</w:t>
      </w:r>
      <w:r>
        <w:rPr>
          <w:rFonts w:ascii="Verdana" w:eastAsia="Times New Roman" w:hAnsi="Verdana" w:cs="Arial"/>
          <w:lang w:eastAsia="es-MX"/>
        </w:rPr>
        <w:t xml:space="preserve">– (art. </w:t>
      </w:r>
      <w:r w:rsidRPr="00FB2400">
        <w:rPr>
          <w:rFonts w:ascii="Verdana" w:eastAsia="Times New Roman" w:hAnsi="Verdana" w:cs="Arial"/>
          <w:lang w:eastAsia="es-MX"/>
        </w:rPr>
        <w:t>1.2.1.5</w:t>
      </w:r>
      <w:r>
        <w:rPr>
          <w:rFonts w:ascii="Verdana" w:eastAsia="Times New Roman" w:hAnsi="Verdana" w:cs="Arial"/>
          <w:lang w:eastAsia="es-MX"/>
        </w:rPr>
        <w:t xml:space="preserve">), vi) la </w:t>
      </w:r>
      <w:r w:rsidRPr="008E2714">
        <w:rPr>
          <w:rFonts w:ascii="Verdana" w:eastAsia="Times New Roman" w:hAnsi="Verdana" w:cs="Arial"/>
          <w:lang w:eastAsia="es-MX"/>
        </w:rPr>
        <w:t xml:space="preserve">Unidad de Planeación de Infraestructura de Transporte </w:t>
      </w:r>
      <w:r>
        <w:rPr>
          <w:rFonts w:ascii="Verdana" w:eastAsia="Times New Roman" w:hAnsi="Verdana" w:cs="Arial"/>
          <w:lang w:eastAsia="es-MX"/>
        </w:rPr>
        <w:t>–</w:t>
      </w:r>
      <w:r w:rsidRPr="008E2714">
        <w:rPr>
          <w:rFonts w:ascii="Verdana" w:eastAsia="Times New Roman" w:hAnsi="Verdana" w:cs="Arial"/>
          <w:lang w:eastAsia="es-MX"/>
        </w:rPr>
        <w:t>UPIT</w:t>
      </w:r>
      <w:r>
        <w:rPr>
          <w:rFonts w:ascii="Verdana" w:eastAsia="Times New Roman" w:hAnsi="Verdana" w:cs="Arial"/>
          <w:lang w:eastAsia="es-MX"/>
        </w:rPr>
        <w:t xml:space="preserve">– (art. </w:t>
      </w:r>
      <w:r w:rsidRPr="008E2714">
        <w:rPr>
          <w:rFonts w:ascii="Verdana" w:eastAsia="Times New Roman" w:hAnsi="Verdana" w:cs="Arial"/>
          <w:lang w:eastAsia="es-MX"/>
        </w:rPr>
        <w:t>1.2.1.6</w:t>
      </w:r>
      <w:r>
        <w:rPr>
          <w:rFonts w:ascii="Verdana" w:eastAsia="Times New Roman" w:hAnsi="Verdana" w:cs="Arial"/>
          <w:lang w:eastAsia="es-MX"/>
        </w:rPr>
        <w:t xml:space="preserve">) y </w:t>
      </w:r>
      <w:proofErr w:type="spellStart"/>
      <w:r>
        <w:rPr>
          <w:rFonts w:ascii="Verdana" w:eastAsia="Times New Roman" w:hAnsi="Verdana" w:cs="Arial"/>
          <w:lang w:eastAsia="es-MX"/>
        </w:rPr>
        <w:t>vii</w:t>
      </w:r>
      <w:proofErr w:type="spellEnd"/>
      <w:r>
        <w:rPr>
          <w:rFonts w:ascii="Verdana" w:eastAsia="Times New Roman" w:hAnsi="Verdana" w:cs="Arial"/>
          <w:lang w:eastAsia="es-MX"/>
        </w:rPr>
        <w:t xml:space="preserve">) la </w:t>
      </w:r>
      <w:r w:rsidRPr="008E2714">
        <w:rPr>
          <w:rFonts w:ascii="Verdana" w:eastAsia="Times New Roman" w:hAnsi="Verdana" w:cs="Arial"/>
          <w:lang w:eastAsia="es-MX"/>
        </w:rPr>
        <w:t xml:space="preserve">Comisión de Regulación de Infraestructura y Transporte </w:t>
      </w:r>
      <w:r>
        <w:rPr>
          <w:rFonts w:ascii="Verdana" w:eastAsia="Times New Roman" w:hAnsi="Verdana" w:cs="Arial"/>
          <w:lang w:eastAsia="es-MX"/>
        </w:rPr>
        <w:t>–</w:t>
      </w:r>
      <w:r w:rsidRPr="008E2714">
        <w:rPr>
          <w:rFonts w:ascii="Verdana" w:eastAsia="Times New Roman" w:hAnsi="Verdana" w:cs="Arial"/>
          <w:lang w:eastAsia="es-MX"/>
        </w:rPr>
        <w:t>CRIT</w:t>
      </w:r>
      <w:r>
        <w:rPr>
          <w:rFonts w:ascii="Verdana" w:eastAsia="Times New Roman" w:hAnsi="Verdana" w:cs="Arial"/>
          <w:lang w:eastAsia="es-MX"/>
        </w:rPr>
        <w:t xml:space="preserve">– (art. </w:t>
      </w:r>
      <w:r w:rsidRPr="008E2714">
        <w:rPr>
          <w:rFonts w:ascii="Verdana" w:eastAsia="Times New Roman" w:hAnsi="Verdana" w:cs="Arial"/>
          <w:lang w:eastAsia="es-MX"/>
        </w:rPr>
        <w:t>1.2.1.7</w:t>
      </w:r>
      <w:r>
        <w:rPr>
          <w:rFonts w:ascii="Verdana" w:eastAsia="Times New Roman" w:hAnsi="Verdana" w:cs="Arial"/>
          <w:lang w:eastAsia="es-MX"/>
        </w:rPr>
        <w:t xml:space="preserve">). Esto significa que la incompatibilidad del </w:t>
      </w:r>
      <w:r>
        <w:rPr>
          <w:rFonts w:ascii="Verdana" w:hAnsi="Verdana" w:cs="Arial"/>
          <w:color w:val="000000" w:themeColor="text1"/>
        </w:rPr>
        <w:t>artículo 4 de la Ley 1474 de 2011</w:t>
      </w:r>
      <w:r>
        <w:rPr>
          <w:rFonts w:ascii="Verdana" w:eastAsia="Times New Roman" w:hAnsi="Verdana" w:cs="Arial"/>
          <w:lang w:eastAsia="es-MX"/>
        </w:rPr>
        <w:t xml:space="preserve"> tampoco se limita a la entidad en la que el exdirectivo cumplió sus funciones, ya que aplica igualmente a la entidades relacionadas con el sector administrativo correspondiente. </w:t>
      </w:r>
    </w:p>
    <w:p w14:paraId="0BB4E2F2" w14:textId="4702E203" w:rsidR="00A50423" w:rsidRDefault="00584E32" w:rsidP="00A50423">
      <w:pPr>
        <w:spacing w:after="0" w:line="276" w:lineRule="auto"/>
        <w:ind w:firstLine="709"/>
        <w:jc w:val="both"/>
        <w:rPr>
          <w:rFonts w:ascii="Verdana" w:hAnsi="Verdana" w:cs="Arial"/>
          <w:color w:val="000000" w:themeColor="text1"/>
        </w:rPr>
      </w:pPr>
      <w:r w:rsidRPr="00584E32">
        <w:rPr>
          <w:rFonts w:ascii="Verdana" w:eastAsia="Times New Roman" w:hAnsi="Verdana" w:cs="Arial"/>
          <w:lang w:eastAsia="es-MX"/>
        </w:rPr>
        <w:t xml:space="preserve">De lo anterior se desprenden dos consecuencias relevantes para delimitar el alcance de estas incompatibilidades. Primera: el literal a) se predica de la entidad contratante entendida como una sola persona jurídica, de modo que celebrar el contrato con una dependencia interna distinta de aquella en la que se ejercieron las funciones —una oficina o dirección diferente de la misma entidad— no sustrae el supuesto a la restricción, pues la dependencia carece de personería jurídica autónoma. Segunda: ni el literal a) ni el literal f) condicionan su configuración al conocimiento, dirección o decisión personal del asunto por parte del exservidor; se trata de restricciones de carácter objetivo, cuyo presupuesto es la calidad de exservidor de la entidad (literal a]) o la relación del objeto con el sector (literal f). Por ello, el criterio según el cual el objeto </w:t>
      </w:r>
      <w:r w:rsidRPr="00584E32">
        <w:rPr>
          <w:rFonts w:ascii="Verdana" w:eastAsia="Times New Roman" w:hAnsi="Verdana" w:cs="Arial"/>
          <w:lang w:eastAsia="es-MX"/>
        </w:rPr>
        <w:lastRenderedPageBreak/>
        <w:t>contractual no guarda relación con los asuntos que el exdirectivo tramitó personalmente es pertinente para valorar la falta disciplinaria del artículo 56, numeral 4, de la Ley 1952 de 2019, pero no enerva las incompatibilidades contractuales de los literales a) y f)</w:t>
      </w:r>
      <w:r w:rsidR="00EF20C8">
        <w:rPr>
          <w:rStyle w:val="Refdenotaalpie"/>
          <w:rFonts w:ascii="Verdana" w:eastAsia="Times New Roman" w:hAnsi="Verdana" w:cs="Arial"/>
          <w:lang w:eastAsia="es-MX"/>
        </w:rPr>
        <w:footnoteReference w:id="30"/>
      </w:r>
      <w:r>
        <w:rPr>
          <w:rFonts w:ascii="Verdana" w:eastAsia="Times New Roman" w:hAnsi="Verdana" w:cs="Arial"/>
          <w:lang w:eastAsia="es-MX"/>
        </w:rPr>
        <w:t xml:space="preserve">. </w:t>
      </w:r>
      <w:r w:rsidR="00A50423">
        <w:rPr>
          <w:rFonts w:ascii="Verdana" w:eastAsia="Times New Roman" w:hAnsi="Verdana" w:cs="Arial"/>
          <w:lang w:eastAsia="es-MX"/>
        </w:rPr>
        <w:t xml:space="preserve">Por tanto, para armonizar las incompatibilidades de los literales a) y f) </w:t>
      </w:r>
      <w:r w:rsidR="00A50423">
        <w:rPr>
          <w:rFonts w:ascii="Verdana" w:hAnsi="Verdana" w:cs="Arial"/>
          <w:color w:val="000000" w:themeColor="text1"/>
        </w:rPr>
        <w:t>del artículo 8.2 de la Ley 80 de 1993, la doctrina sostiene que el Estatuto Anticorrupción:</w:t>
      </w:r>
    </w:p>
    <w:p w14:paraId="35731476" w14:textId="77777777" w:rsidR="00A50423" w:rsidRDefault="00A50423" w:rsidP="00A50423">
      <w:pPr>
        <w:spacing w:after="0" w:line="276" w:lineRule="auto"/>
        <w:ind w:firstLine="709"/>
        <w:jc w:val="both"/>
        <w:rPr>
          <w:rFonts w:ascii="Verdana" w:hAnsi="Verdana" w:cs="Arial"/>
          <w:color w:val="000000" w:themeColor="text1"/>
        </w:rPr>
      </w:pPr>
    </w:p>
    <w:p w14:paraId="1AE4D5B3" w14:textId="77777777" w:rsidR="00A50423" w:rsidRPr="00F53C3F" w:rsidRDefault="00A50423" w:rsidP="00A50423">
      <w:pPr>
        <w:spacing w:after="0" w:line="240" w:lineRule="auto"/>
        <w:ind w:left="709" w:right="709"/>
        <w:jc w:val="both"/>
        <w:rPr>
          <w:rFonts w:ascii="Verdana" w:hAnsi="Verdana" w:cs="Arial"/>
          <w:color w:val="000000" w:themeColor="text1"/>
          <w:sz w:val="20"/>
          <w:szCs w:val="20"/>
        </w:rPr>
      </w:pPr>
      <w:r w:rsidRPr="00F53C3F">
        <w:rPr>
          <w:rFonts w:ascii="Verdana" w:hAnsi="Verdana" w:cs="Arial"/>
          <w:color w:val="000000" w:themeColor="text1"/>
          <w:sz w:val="20"/>
          <w:szCs w:val="20"/>
        </w:rPr>
        <w:t xml:space="preserve">“Extendió la incompatibilidad hasta dos años para contratos que tengan por objeto asuntos relacionados con el sector al cual prestaron sus servicios las personas que ocuparon cargos del nivel directivo exclusivamente […]. Es decir, que el ex gerente del SENA, no podría suscribir ningún contrato con esa entidad ni con ninguna de las adscritas o vinculas al Ministerio de Trabajo ni con este. </w:t>
      </w:r>
      <w:r w:rsidRPr="007674BC">
        <w:rPr>
          <w:rFonts w:ascii="Verdana" w:hAnsi="Verdana" w:cs="Arial"/>
          <w:i/>
          <w:iCs/>
          <w:color w:val="000000" w:themeColor="text1"/>
          <w:sz w:val="20"/>
          <w:szCs w:val="20"/>
        </w:rPr>
        <w:t>A contrario sensu</w:t>
      </w:r>
      <w:r w:rsidRPr="00F53C3F">
        <w:rPr>
          <w:rFonts w:ascii="Verdana" w:hAnsi="Verdana" w:cs="Arial"/>
          <w:color w:val="000000" w:themeColor="text1"/>
          <w:sz w:val="20"/>
          <w:szCs w:val="20"/>
        </w:rPr>
        <w:t xml:space="preserve"> para el ex funcionario de un nivel asesor o ejecutivo, no aplica esta norma sino la del literal a), vale decir, que tendría incompatibilidad de solo un año y exclusivamente, en este ejemplo, con el SENA, pero no con el Ministerio de Trabajo o sus entidades adscritas o vinculadas, con las cuales, en consecuencia, podría suscribir un contrato tan pronto dejara de ostentar la condición de servidor público”</w:t>
      </w:r>
      <w:r>
        <w:rPr>
          <w:rStyle w:val="Refdenotaalpie"/>
          <w:rFonts w:ascii="Verdana" w:hAnsi="Verdana" w:cs="Arial"/>
          <w:color w:val="000000" w:themeColor="text1"/>
          <w:sz w:val="20"/>
          <w:szCs w:val="20"/>
        </w:rPr>
        <w:footnoteReference w:id="31"/>
      </w:r>
      <w:r w:rsidRPr="00F53C3F">
        <w:rPr>
          <w:rFonts w:ascii="Verdana" w:hAnsi="Verdana" w:cs="Arial"/>
          <w:color w:val="000000" w:themeColor="text1"/>
          <w:sz w:val="20"/>
          <w:szCs w:val="20"/>
        </w:rPr>
        <w:t>.</w:t>
      </w:r>
    </w:p>
    <w:p w14:paraId="57E6FDE8" w14:textId="77777777" w:rsidR="00A50423" w:rsidRDefault="00A50423" w:rsidP="00A50423">
      <w:pPr>
        <w:spacing w:after="0" w:line="276" w:lineRule="auto"/>
        <w:jc w:val="both"/>
        <w:rPr>
          <w:rFonts w:ascii="Verdana" w:hAnsi="Verdana" w:cs="Arial"/>
          <w:color w:val="000000" w:themeColor="text1"/>
        </w:rPr>
      </w:pPr>
    </w:p>
    <w:p w14:paraId="53A78ADE" w14:textId="35A1CBC0" w:rsidR="00A50423" w:rsidRDefault="00A50423" w:rsidP="00A50423">
      <w:pPr>
        <w:spacing w:after="0" w:line="276" w:lineRule="auto"/>
        <w:jc w:val="both"/>
        <w:rPr>
          <w:rFonts w:ascii="Verdana" w:hAnsi="Verdana"/>
          <w:color w:val="211D1E"/>
        </w:rPr>
      </w:pPr>
      <w:r>
        <w:rPr>
          <w:rFonts w:ascii="Verdana" w:hAnsi="Verdana" w:cs="Arial"/>
          <w:color w:val="000000" w:themeColor="text1"/>
        </w:rPr>
        <w:tab/>
        <w:t>En todo caso, el alcance de las incompatibilidades para contratar con el Estado es distinto a la denominada “prohibición para que exservidores públicos gestionen intereses privados”. Esta se última se consagró en el artículo 3 de la Ley 1474 de 2011, el cual adicionaba el</w:t>
      </w:r>
      <w:r w:rsidRPr="00BA7F9F">
        <w:rPr>
          <w:rFonts w:ascii="Verdana" w:hAnsi="Verdana" w:cs="Arial"/>
          <w:color w:val="000000" w:themeColor="text1"/>
        </w:rPr>
        <w:t xml:space="preserve"> numeral 22 del artículo 35 de la Ley 734 de 2002</w:t>
      </w:r>
      <w:r>
        <w:rPr>
          <w:rFonts w:ascii="Verdana" w:hAnsi="Verdana" w:cs="Arial"/>
          <w:color w:val="000000" w:themeColor="text1"/>
        </w:rPr>
        <w:t xml:space="preserve">, pero que se encuentra derogado por el artículo 265 del Código General Disciplinario. </w:t>
      </w:r>
      <w:r w:rsidR="000770CD" w:rsidRPr="000770CD">
        <w:rPr>
          <w:rFonts w:ascii="Verdana" w:hAnsi="Verdana" w:cs="Arial"/>
          <w:color w:val="000000" w:themeColor="text1"/>
        </w:rPr>
        <w:t>Actualmente, el artículo 56, numeral 4, de la Ley 1952 de 2019 recoge esta prohibición</w:t>
      </w:r>
      <w:r>
        <w:rPr>
          <w:rFonts w:ascii="Verdana" w:hAnsi="Verdana" w:cs="Arial"/>
          <w:color w:val="000000" w:themeColor="text1"/>
        </w:rPr>
        <w:t xml:space="preserve"> considerando como una falta </w:t>
      </w:r>
      <w:r>
        <w:rPr>
          <w:rFonts w:ascii="Verdana" w:hAnsi="Verdana"/>
          <w:color w:val="211D1E"/>
        </w:rPr>
        <w:t>relacionada con el régimen de incompatibilidades, inhabilidades, impedimentos y conflictos de intereses:</w:t>
      </w:r>
    </w:p>
    <w:p w14:paraId="5D873B77" w14:textId="77777777" w:rsidR="00A50423" w:rsidRDefault="00A50423" w:rsidP="00A50423">
      <w:pPr>
        <w:spacing w:after="0" w:line="276" w:lineRule="auto"/>
        <w:jc w:val="both"/>
        <w:rPr>
          <w:rFonts w:ascii="Verdana" w:hAnsi="Verdana"/>
          <w:color w:val="211D1E"/>
        </w:rPr>
      </w:pPr>
    </w:p>
    <w:p w14:paraId="280135C0" w14:textId="77777777" w:rsidR="00A50423" w:rsidRPr="006A7350" w:rsidRDefault="00A50423" w:rsidP="00A50423">
      <w:pPr>
        <w:spacing w:after="120" w:line="240" w:lineRule="auto"/>
        <w:ind w:left="709" w:right="709"/>
        <w:jc w:val="both"/>
        <w:rPr>
          <w:rFonts w:ascii="Verdana" w:hAnsi="Verdana"/>
          <w:color w:val="211D1E"/>
          <w:sz w:val="20"/>
          <w:szCs w:val="20"/>
        </w:rPr>
      </w:pPr>
      <w:r w:rsidRPr="006A7350">
        <w:rPr>
          <w:rFonts w:ascii="Verdana" w:hAnsi="Verdana"/>
          <w:color w:val="211D1E"/>
          <w:sz w:val="20"/>
          <w:szCs w:val="20"/>
        </w:rPr>
        <w:t xml:space="preserve">“Prestar, a título personal o por interpuesta persona, servicios de asistencia, representación o asesoría en asuntos relacionados con las funciones propias del cargo, o permitir que ello ocurra, hasta por el término de un (1) año después de la dejación del cargo, con respecto del organismo, entidad o corporación en la cual prestó sus servicios, y para la prestación de servicios de asistencia, representación o asesoría a quienes </w:t>
      </w:r>
      <w:r w:rsidRPr="006A7350">
        <w:rPr>
          <w:rFonts w:ascii="Verdana" w:hAnsi="Verdana"/>
          <w:color w:val="211D1E"/>
          <w:sz w:val="20"/>
          <w:szCs w:val="20"/>
        </w:rPr>
        <w:lastRenderedPageBreak/>
        <w:t>estuvieron sujetos a la inspección, vigilancia, control o regulación de la entidad, corporación u organismo al que haya estado vinculado.</w:t>
      </w:r>
    </w:p>
    <w:p w14:paraId="5177C158" w14:textId="77777777" w:rsidR="00A50423" w:rsidRPr="006A7350" w:rsidRDefault="00A50423" w:rsidP="00A50423">
      <w:pPr>
        <w:spacing w:after="120" w:line="240" w:lineRule="auto"/>
        <w:ind w:left="709" w:right="709"/>
        <w:jc w:val="both"/>
        <w:rPr>
          <w:rFonts w:ascii="Verdana" w:hAnsi="Verdana"/>
          <w:color w:val="211D1E"/>
          <w:sz w:val="20"/>
          <w:szCs w:val="20"/>
        </w:rPr>
      </w:pPr>
      <w:r w:rsidRPr="006A7350">
        <w:rPr>
          <w:rFonts w:ascii="Verdana" w:hAnsi="Verdana"/>
          <w:color w:val="211D1E"/>
          <w:sz w:val="20"/>
          <w:szCs w:val="20"/>
        </w:rPr>
        <w:t>Esta incompatibilidad será indefinida en el tiempo respecto de los asuntos concretos de los cuales el servidor público conoció en ejercicio de sus funciones.</w:t>
      </w:r>
    </w:p>
    <w:p w14:paraId="7A412874" w14:textId="77777777" w:rsidR="00A50423" w:rsidRDefault="00A50423" w:rsidP="00A50423">
      <w:pPr>
        <w:spacing w:after="0" w:line="240" w:lineRule="auto"/>
        <w:ind w:left="709" w:right="709"/>
        <w:jc w:val="both"/>
        <w:rPr>
          <w:rFonts w:ascii="Verdana" w:hAnsi="Verdana"/>
          <w:color w:val="211D1E"/>
        </w:rPr>
      </w:pPr>
      <w:r w:rsidRPr="006A7350">
        <w:rPr>
          <w:rFonts w:ascii="Verdana" w:hAnsi="Verdana"/>
          <w:color w:val="211D1E"/>
          <w:sz w:val="20"/>
          <w:szCs w:val="20"/>
        </w:rPr>
        <w:t>Se entiende por asuntos concretos de los cuales conoció en ejercicio de sus funciones aquellos de carácter particular y concreto que fueron objeto de decisión durante el ejercicio de sus funciones y de los cuales existen sujetos claramente determinados”.</w:t>
      </w:r>
    </w:p>
    <w:p w14:paraId="30B9E207" w14:textId="77777777" w:rsidR="00A50423" w:rsidRDefault="00A50423" w:rsidP="00A50423">
      <w:pPr>
        <w:spacing w:after="0" w:line="276" w:lineRule="auto"/>
        <w:ind w:left="709" w:right="709"/>
        <w:jc w:val="both"/>
        <w:rPr>
          <w:rFonts w:ascii="Verdana" w:hAnsi="Verdana"/>
          <w:color w:val="211D1E"/>
        </w:rPr>
      </w:pPr>
    </w:p>
    <w:p w14:paraId="1B7E8061" w14:textId="41DB84D6" w:rsidR="000B3FB9" w:rsidRDefault="000B3FB9" w:rsidP="002E724B">
      <w:pPr>
        <w:spacing w:after="120" w:line="276" w:lineRule="auto"/>
        <w:ind w:firstLine="708"/>
        <w:jc w:val="both"/>
        <w:rPr>
          <w:rFonts w:ascii="Verdana" w:hAnsi="Verdana"/>
          <w:color w:val="211D1E"/>
        </w:rPr>
      </w:pPr>
      <w:r w:rsidRPr="000B3FB9">
        <w:rPr>
          <w:rFonts w:ascii="Verdana" w:hAnsi="Verdana"/>
          <w:color w:val="211D1E"/>
        </w:rPr>
        <w:t>Cabe anotar que el término general de esta prohibición disciplinaria pasó de dos (2) años, bajo el numeral 22 del artículo 35 de la Ley 734 de 2002 —adicionado por el artículo 3 de la Ley 1474 de 2011—, a un (1) año en el artículo 56, numeral 4, de la Ley 1952 de 2019, sin perjuicio de su carácter indefinido respecto de los asuntos concretos conocidos. Esta evolución refuerza la autonomía de ambos regímenes: el término del literal f) del artículo 8.2 de la Ley 80 de 1993 permanece en dos (2) años y no se ve afectado por la modificación del término disciplinario</w:t>
      </w:r>
      <w:r w:rsidR="00960B93">
        <w:rPr>
          <w:rStyle w:val="Refdenotaalpie"/>
          <w:rFonts w:ascii="Verdana" w:hAnsi="Verdana"/>
          <w:color w:val="211D1E"/>
        </w:rPr>
        <w:footnoteReference w:id="32"/>
      </w:r>
      <w:r w:rsidRPr="000B3FB9">
        <w:rPr>
          <w:rFonts w:ascii="Verdana" w:hAnsi="Verdana"/>
          <w:color w:val="211D1E"/>
        </w:rPr>
        <w:t>.</w:t>
      </w:r>
      <w:r w:rsidR="00A50423">
        <w:rPr>
          <w:rFonts w:ascii="Verdana" w:hAnsi="Verdana"/>
          <w:color w:val="211D1E"/>
        </w:rPr>
        <w:tab/>
      </w:r>
    </w:p>
    <w:p w14:paraId="6620F1FE" w14:textId="2D3B4E81" w:rsidR="00A50423" w:rsidRPr="003C45EF" w:rsidRDefault="00A50423" w:rsidP="002E724B">
      <w:pPr>
        <w:spacing w:after="120" w:line="276" w:lineRule="auto"/>
        <w:ind w:firstLine="708"/>
        <w:jc w:val="both"/>
        <w:rPr>
          <w:rFonts w:ascii="Verdana" w:hAnsi="Verdana"/>
          <w:color w:val="211D1E"/>
        </w:rPr>
      </w:pPr>
      <w:r>
        <w:rPr>
          <w:rFonts w:ascii="Verdana" w:hAnsi="Verdana"/>
          <w:color w:val="211D1E"/>
        </w:rPr>
        <w:t xml:space="preserve">La vulneración de este precepto en la prestación </w:t>
      </w:r>
      <w:r w:rsidRPr="00765A20">
        <w:rPr>
          <w:rFonts w:ascii="Verdana" w:hAnsi="Verdana"/>
          <w:color w:val="211D1E"/>
        </w:rPr>
        <w:t>servicios de asistencia, representación o asesoría</w:t>
      </w:r>
      <w:r>
        <w:rPr>
          <w:rFonts w:ascii="Verdana" w:hAnsi="Verdana"/>
          <w:color w:val="211D1E"/>
        </w:rPr>
        <w:t xml:space="preserve"> genera una sanción disciplinaria para el exservidor público. No obstante, la configuración de las incompatibilidades para contratar con el Estado de que tratan</w:t>
      </w:r>
      <w:r>
        <w:rPr>
          <w:rFonts w:ascii="Verdana" w:eastAsia="Times New Roman" w:hAnsi="Verdana" w:cs="Arial"/>
          <w:lang w:eastAsia="es-MX"/>
        </w:rPr>
        <w:t xml:space="preserve"> los literales a) y f) </w:t>
      </w:r>
      <w:r>
        <w:rPr>
          <w:rFonts w:ascii="Verdana" w:hAnsi="Verdana" w:cs="Arial"/>
          <w:color w:val="000000" w:themeColor="text1"/>
        </w:rPr>
        <w:t>del artículo 8.2 de la Ley 80 de 1993 obedecen elementos normativos diferentes y, por tanto, el artículo 55.5 de la Ley 1952 de 2019 no condiciona el alcance de ninguna de las dos.</w:t>
      </w:r>
    </w:p>
    <w:p w14:paraId="18F09A1B" w14:textId="77777777" w:rsidR="00A50423" w:rsidRPr="00A47393" w:rsidRDefault="00A50423" w:rsidP="00A50423">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w:t>
      </w:r>
      <w:r w:rsidRPr="00A47393">
        <w:rPr>
          <w:rFonts w:ascii="Verdana" w:eastAsia="Calibri" w:hAnsi="Verdana" w:cs="Arial"/>
          <w:bCs/>
          <w:color w:val="000000" w:themeColor="text1"/>
        </w:rPr>
        <w:lastRenderedPageBreak/>
        <w:t>correspondiente y, en caso de conflicto, a las autoridades judiciales, fiscales y disciplinarias.</w:t>
      </w:r>
    </w:p>
    <w:p w14:paraId="6154C8CF" w14:textId="77777777" w:rsidR="00A50423" w:rsidRPr="00185EE9" w:rsidRDefault="00A50423" w:rsidP="00A50423">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0CA8A696" w14:textId="77777777" w:rsidR="00A50423" w:rsidRPr="00182C89" w:rsidRDefault="00A50423" w:rsidP="00A50423">
      <w:pPr>
        <w:tabs>
          <w:tab w:val="left" w:pos="709"/>
        </w:tabs>
        <w:spacing w:after="0" w:line="276" w:lineRule="auto"/>
        <w:jc w:val="both"/>
        <w:rPr>
          <w:rFonts w:ascii="Verdana" w:eastAsia="Calibri" w:hAnsi="Verdana" w:cs="Arial"/>
          <w:color w:val="000000" w:themeColor="text1"/>
        </w:rPr>
      </w:pPr>
    </w:p>
    <w:p w14:paraId="3D0B85DC" w14:textId="77777777" w:rsidR="00A50423" w:rsidRPr="00593A5F" w:rsidRDefault="00A50423" w:rsidP="00A5042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7E1B19B1" w14:textId="77777777" w:rsidR="00A50423" w:rsidRPr="00593A5F" w:rsidRDefault="00A50423" w:rsidP="00A50423">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A50423" w:rsidRPr="002407CE" w14:paraId="230494FA" w14:textId="77777777" w:rsidTr="00161F84">
        <w:trPr>
          <w:trHeight w:val="56"/>
          <w:jc w:val="center"/>
        </w:trPr>
        <w:tc>
          <w:tcPr>
            <w:tcW w:w="8647" w:type="dxa"/>
          </w:tcPr>
          <w:p w14:paraId="70B59428" w14:textId="77777777" w:rsidR="00A50423" w:rsidRDefault="00A50423" w:rsidP="00A5042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Colombia, artículos 123, 150 y 209.</w:t>
            </w:r>
          </w:p>
          <w:p w14:paraId="0101C24A" w14:textId="77777777" w:rsidR="00A50423" w:rsidRDefault="00A50423" w:rsidP="00A5042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80 de 1993, artículo 8.</w:t>
            </w:r>
          </w:p>
          <w:p w14:paraId="3B8738D2" w14:textId="77777777" w:rsidR="00A50423" w:rsidRDefault="00A50423" w:rsidP="00A5042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489 de 1998, artículos 42 y 50.</w:t>
            </w:r>
          </w:p>
          <w:p w14:paraId="4D9BA303" w14:textId="77777777" w:rsidR="00A50423" w:rsidRDefault="00A50423" w:rsidP="00A5042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 6.</w:t>
            </w:r>
          </w:p>
          <w:p w14:paraId="66C97D68" w14:textId="77777777" w:rsidR="00A50423" w:rsidRDefault="00A50423" w:rsidP="00A5042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1952 de 2019, artículos 55 y 265.</w:t>
            </w:r>
          </w:p>
          <w:p w14:paraId="5ADCFE62" w14:textId="77777777" w:rsidR="00A50423" w:rsidRDefault="00A50423" w:rsidP="00A5042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Decreto 770 de 2005, artículos 3 y 13.</w:t>
            </w:r>
          </w:p>
          <w:p w14:paraId="6B17DC40" w14:textId="77777777" w:rsidR="00A50423" w:rsidRDefault="00A50423" w:rsidP="00A50423">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Decreto 785 de 2005, artículos 3 y 33.</w:t>
            </w:r>
          </w:p>
          <w:p w14:paraId="0D697D9C" w14:textId="77777777" w:rsidR="00A50423" w:rsidRPr="007F34F0" w:rsidRDefault="00A50423" w:rsidP="00A50423">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Pr>
                <w:rFonts w:ascii="Verdana" w:hAnsi="Verdana" w:cs="Arial"/>
              </w:rPr>
              <w:t xml:space="preserve">Decreto 1079 de 2015, artículos </w:t>
            </w:r>
            <w:r w:rsidRPr="003B03E0">
              <w:rPr>
                <w:rFonts w:ascii="Verdana" w:eastAsia="Times New Roman" w:hAnsi="Verdana" w:cs="Arial"/>
                <w:lang w:eastAsia="es-MX"/>
              </w:rPr>
              <w:t>1.1.1.1</w:t>
            </w:r>
            <w:r>
              <w:rPr>
                <w:rFonts w:ascii="Verdana" w:eastAsia="Times New Roman" w:hAnsi="Verdana" w:cs="Arial"/>
                <w:lang w:eastAsia="es-MX"/>
              </w:rPr>
              <w:t xml:space="preserve">, </w:t>
            </w:r>
            <w:r w:rsidRPr="00FB2400">
              <w:rPr>
                <w:rFonts w:ascii="Verdana" w:eastAsia="Times New Roman" w:hAnsi="Verdana" w:cs="Arial"/>
                <w:lang w:eastAsia="es-MX"/>
              </w:rPr>
              <w:t>1.2.1.</w:t>
            </w:r>
            <w:r>
              <w:rPr>
                <w:rFonts w:ascii="Verdana" w:eastAsia="Times New Roman" w:hAnsi="Verdana" w:cs="Arial"/>
                <w:lang w:eastAsia="es-MX"/>
              </w:rPr>
              <w:t xml:space="preserve">2, </w:t>
            </w:r>
            <w:r w:rsidRPr="00FB2400">
              <w:rPr>
                <w:rFonts w:ascii="Verdana" w:eastAsia="Times New Roman" w:hAnsi="Verdana" w:cs="Arial"/>
                <w:lang w:eastAsia="es-MX"/>
              </w:rPr>
              <w:t>1.2.1.</w:t>
            </w:r>
            <w:r>
              <w:rPr>
                <w:rFonts w:ascii="Verdana" w:eastAsia="Times New Roman" w:hAnsi="Verdana" w:cs="Arial"/>
                <w:lang w:eastAsia="es-MX"/>
              </w:rPr>
              <w:t xml:space="preserve">3, </w:t>
            </w:r>
            <w:r w:rsidRPr="00FB2400">
              <w:rPr>
                <w:rFonts w:ascii="Verdana" w:eastAsia="Times New Roman" w:hAnsi="Verdana" w:cs="Arial"/>
                <w:lang w:eastAsia="es-MX"/>
              </w:rPr>
              <w:t>1.2.1.</w:t>
            </w:r>
            <w:r>
              <w:rPr>
                <w:rFonts w:ascii="Verdana" w:eastAsia="Times New Roman" w:hAnsi="Verdana" w:cs="Arial"/>
                <w:lang w:eastAsia="es-MX"/>
              </w:rPr>
              <w:t xml:space="preserve">4, </w:t>
            </w:r>
            <w:r w:rsidRPr="00FB2400">
              <w:rPr>
                <w:rFonts w:ascii="Verdana" w:eastAsia="Times New Roman" w:hAnsi="Verdana" w:cs="Arial"/>
                <w:lang w:eastAsia="es-MX"/>
              </w:rPr>
              <w:t>1.2.1.</w:t>
            </w:r>
            <w:r>
              <w:rPr>
                <w:rFonts w:ascii="Verdana" w:eastAsia="Times New Roman" w:hAnsi="Verdana" w:cs="Arial"/>
                <w:lang w:eastAsia="es-MX"/>
              </w:rPr>
              <w:t xml:space="preserve">5, </w:t>
            </w:r>
            <w:r w:rsidRPr="00FB2400">
              <w:rPr>
                <w:rFonts w:ascii="Verdana" w:eastAsia="Times New Roman" w:hAnsi="Verdana" w:cs="Arial"/>
                <w:lang w:eastAsia="es-MX"/>
              </w:rPr>
              <w:t>1.2.1.</w:t>
            </w:r>
            <w:r>
              <w:rPr>
                <w:rFonts w:ascii="Verdana" w:eastAsia="Times New Roman" w:hAnsi="Verdana" w:cs="Arial"/>
                <w:lang w:eastAsia="es-MX"/>
              </w:rPr>
              <w:t xml:space="preserve">6 y </w:t>
            </w:r>
            <w:r w:rsidRPr="00FB2400">
              <w:rPr>
                <w:rFonts w:ascii="Verdana" w:eastAsia="Times New Roman" w:hAnsi="Verdana" w:cs="Arial"/>
                <w:lang w:eastAsia="es-MX"/>
              </w:rPr>
              <w:t>1.2.1.</w:t>
            </w:r>
            <w:r>
              <w:rPr>
                <w:rFonts w:ascii="Verdana" w:eastAsia="Times New Roman" w:hAnsi="Verdana" w:cs="Arial"/>
                <w:lang w:eastAsia="es-MX"/>
              </w:rPr>
              <w:t>7.</w:t>
            </w:r>
          </w:p>
        </w:tc>
      </w:tr>
    </w:tbl>
    <w:p w14:paraId="01D4035B" w14:textId="77777777" w:rsidR="00A50423" w:rsidRPr="002407CE" w:rsidRDefault="00A50423" w:rsidP="00A50423">
      <w:pPr>
        <w:widowControl w:val="0"/>
        <w:autoSpaceDE w:val="0"/>
        <w:autoSpaceDN w:val="0"/>
        <w:spacing w:after="0" w:line="276" w:lineRule="auto"/>
        <w:jc w:val="both"/>
        <w:rPr>
          <w:rFonts w:ascii="Verdana" w:hAnsi="Verdana" w:cs="Arial"/>
        </w:rPr>
      </w:pPr>
    </w:p>
    <w:p w14:paraId="3D9166F1" w14:textId="77777777" w:rsidR="00A50423" w:rsidRPr="00593A5F" w:rsidRDefault="00A50423" w:rsidP="00A50423">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0E26FDD4" w14:textId="77777777" w:rsidR="00A50423" w:rsidRPr="00593A5F" w:rsidRDefault="00A50423" w:rsidP="00A50423">
      <w:pPr>
        <w:widowControl w:val="0"/>
        <w:autoSpaceDE w:val="0"/>
        <w:autoSpaceDN w:val="0"/>
        <w:spacing w:after="0" w:line="276" w:lineRule="auto"/>
        <w:jc w:val="both"/>
        <w:rPr>
          <w:rFonts w:ascii="Verdana" w:hAnsi="Verdana" w:cs="Arial"/>
        </w:rPr>
      </w:pPr>
    </w:p>
    <w:p w14:paraId="08E46312" w14:textId="77777777" w:rsidR="00A50423" w:rsidRPr="00ED0098" w:rsidRDefault="00A50423" w:rsidP="00A50423">
      <w:pPr>
        <w:widowControl w:val="0"/>
        <w:autoSpaceDE w:val="0"/>
        <w:autoSpaceDN w:val="0"/>
        <w:spacing w:after="0" w:line="276" w:lineRule="auto"/>
        <w:jc w:val="both"/>
        <w:rPr>
          <w:rStyle w:val="normaltextrun"/>
          <w:rFonts w:ascii="Verdana" w:hAnsi="Verdana" w:cs="Arial"/>
          <w:shd w:val="clear" w:color="auto" w:fill="FFFFFF"/>
        </w:rPr>
      </w:pPr>
      <w:r w:rsidRPr="007C24D9">
        <w:rPr>
          <w:rFonts w:ascii="Verdana" w:hAnsi="Verdana" w:cs="Arial"/>
          <w:shd w:val="clear" w:color="auto" w:fill="FFFFFF"/>
        </w:rPr>
        <w:t xml:space="preserve">Esta Subdirección se ha pronunciado sobre el régimen de inhabilidades e incompatibilidades en los Conceptos 4201912000004765 de 29 de agosto de 2019, 4201913000005694 del 3 de octubre de 2019, 4201912000006288 del 7 de septiembre de 2019, 4201912000006259 del 13 de noviembre de 2019, 4201913000006917 del 21 de noviembre de 2019, 4201912000006978 del 25 de noviembre de 2019, 4201912000007291 del 3 de diciembre de 2019, 4201912000007281 del 5 de diciembre de 2019, 4201912000007060 del 11 de </w:t>
      </w:r>
      <w:r w:rsidRPr="007C24D9">
        <w:rPr>
          <w:rFonts w:ascii="Verdana" w:hAnsi="Verdana" w:cs="Arial"/>
          <w:shd w:val="clear" w:color="auto" w:fill="FFFFFF"/>
        </w:rPr>
        <w:lastRenderedPageBreak/>
        <w:t>diciembre de 2019, 4201912000007512 del 16 diciembre de 2019, 4201912000008460 del 14 de febrero de 2020, C-032 del 19 de febrero de 2020, C-090 del 24 de febrero de 2020, C-125 del 3 de marzo de 2020, C-157 del 17 de marzo de 2020, C-273 del 21 de mayo de 2020, C-386 del 24 de julio de 2020, C-580 del 21 de septiembre de 2020, C-639 del 27 de octubre del 2020, C-650 del 10 de noviembre de 2020, C-684 del 24 de noviembre de 2020 C-004 del 12 de febrero de 2021, C-815 del 18 de febrero de 2021, C-210 del 12 de mayo de 2021, C-275 del 11 de junio de 2021, C-321 del 2 de julio de 2021, C-410 del 7 de julio del 2021, C-491 del 14 de septiembre de 2021, C-028 del 28 de febrero de 2022, C-318 del 18 de mayo de 2022, C-252 del 30 de mayo de 2022, C-175 del 4 de mayo de 2023, C-234 del 5 de julio de 2023, C-408 del 21 de agosto de 2024, C-975 del 16 de diciembre de 2024, C-1027 del 29 de enero de 2015, C-053 del 30 de enero de 2025, C-030 del 21 de febrero de 2025, C-344 del 28 de abril de 2025, C-434 del 14 de mayo de 2025, C-595 del 4 de junio de 2025 y C-1447 del 16 de octubre de 2025</w:t>
      </w:r>
      <w:r>
        <w:rPr>
          <w:rFonts w:ascii="Verdana" w:eastAsia="Calibri" w:hAnsi="Verdana" w:cs="Arial"/>
          <w:shd w:val="clear" w:color="auto" w:fill="FFFFFF"/>
        </w:rPr>
        <w:t>.</w:t>
      </w:r>
      <w:r>
        <w:rPr>
          <w:rStyle w:val="normaltextrun"/>
          <w:rFonts w:ascii="Verdana" w:hAnsi="Verdana" w:cs="Arial"/>
          <w:shd w:val="clear" w:color="auto" w:fill="FFFFFF"/>
        </w:rPr>
        <w:t xml:space="preserve"> </w:t>
      </w:r>
      <w:r w:rsidRPr="00E278D2">
        <w:rPr>
          <w:rStyle w:val="normaltextrun"/>
          <w:rFonts w:ascii="Verdana" w:hAnsi="Verdana" w:cs="Arial"/>
          <w:shd w:val="clear" w:color="auto" w:fill="FFFFFF"/>
        </w:rPr>
        <w:t>Estos y otros conceptos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3"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3CB94DBB" w14:textId="77777777" w:rsidR="00A50423" w:rsidRPr="00096788" w:rsidRDefault="00A50423" w:rsidP="00A50423">
      <w:pPr>
        <w:widowControl w:val="0"/>
        <w:autoSpaceDE w:val="0"/>
        <w:autoSpaceDN w:val="0"/>
        <w:spacing w:after="0" w:line="276" w:lineRule="auto"/>
        <w:jc w:val="both"/>
        <w:rPr>
          <w:rFonts w:ascii="Verdana" w:hAnsi="Verdana" w:cs="Arial"/>
          <w:color w:val="000000" w:themeColor="text1"/>
          <w:shd w:val="clear" w:color="auto" w:fill="FFFFFF"/>
        </w:rPr>
      </w:pPr>
    </w:p>
    <w:p w14:paraId="2BE7CE82" w14:textId="77777777" w:rsidR="00A50423" w:rsidRPr="00F42673" w:rsidRDefault="00A50423" w:rsidP="00A50423">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Las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F42673">
        <w:rPr>
          <w:rFonts w:ascii="Verdana" w:eastAsia="Times New Roman" w:hAnsi="Verdana" w:cs="Times New Roman"/>
          <w:b/>
          <w:bCs/>
          <w:color w:val="000000"/>
          <w:lang w:eastAsia="es-MX"/>
        </w:rPr>
        <w:t>Guía para la Exigencia y Constitución de Garantías en los Procesos de Contratación</w:t>
      </w:r>
      <w:r w:rsidRPr="00F42673">
        <w:rPr>
          <w:rFonts w:ascii="Verdana" w:eastAsia="Times New Roman" w:hAnsi="Verdana" w:cs="Times New Roman"/>
          <w:color w:val="000000"/>
          <w:lang w:eastAsia="es-MX"/>
        </w:rPr>
        <w:t>,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aquí: </w:t>
      </w:r>
      <w:hyperlink r:id="rId14" w:tooltip="Original URL:&#10;https://www.colombiacompra.gov.co/archivos/manual/guia-de-garantias-en-procesos-de-contratacion&#10;&#10;Click to follow link." w:history="1">
        <w:r w:rsidRPr="00F42673">
          <w:rPr>
            <w:rFonts w:ascii="Verdana" w:eastAsia="Times New Roman" w:hAnsi="Verdana" w:cs="Times New Roman"/>
            <w:color w:val="0086F0"/>
            <w:u w:val="single"/>
            <w:lang w:eastAsia="es-MX"/>
          </w:rPr>
          <w:t>https://www.colombiacompra.gov.co/archivos/manual/guia-de-garantias-en-procesos-de-contratacion</w:t>
        </w:r>
      </w:hyperlink>
    </w:p>
    <w:p w14:paraId="76EA2751" w14:textId="77777777" w:rsidR="00A50423" w:rsidRPr="00F42673" w:rsidRDefault="00A50423" w:rsidP="00A50423">
      <w:pPr>
        <w:spacing w:after="0" w:line="276" w:lineRule="auto"/>
        <w:jc w:val="both"/>
        <w:rPr>
          <w:rFonts w:ascii="Verdana" w:eastAsia="Times New Roman" w:hAnsi="Verdana" w:cs="Times New Roman"/>
          <w:color w:val="000000"/>
          <w:lang w:eastAsia="es-MX"/>
        </w:rPr>
      </w:pPr>
    </w:p>
    <w:p w14:paraId="0FF34351" w14:textId="77777777" w:rsidR="00A50423" w:rsidRPr="00F42673" w:rsidRDefault="00A50423" w:rsidP="00A50423">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De otro lado, te contamos que el Decreto 287 del 19 de marzo de 2026 sustituyó los artículos 2.2.1.2.4.2.6., 2.2.1.2.4.2.7. y 2.2.1.2.4.2.8. del Decreto 1082 de 2015 y estructuró el </w:t>
      </w:r>
      <w:r w:rsidRPr="00F42673">
        <w:rPr>
          <w:rFonts w:ascii="Verdana" w:eastAsia="Times New Roman" w:hAnsi="Verdana" w:cs="Times New Roman"/>
          <w:b/>
          <w:bCs/>
          <w:color w:val="000000"/>
          <w:lang w:eastAsia="es-MX"/>
        </w:rPr>
        <w:t>Sistema Integral de Preferencias en favor de las personas con discapacidad</w:t>
      </w:r>
      <w:r w:rsidRPr="00F42673">
        <w:rPr>
          <w:rFonts w:ascii="Verdana" w:eastAsia="Times New Roman" w:hAnsi="Verdana" w:cs="Times New Roman"/>
          <w:color w:val="000000"/>
          <w:lang w:eastAsia="es-MX"/>
        </w:rPr>
        <w:t xml:space="preserve">, en cumplimiento del artículo 13 de la Ley Estatutaria 1618 de 2013. Para orientar su aplicación, esta Agencia expidió </w:t>
      </w:r>
      <w:r w:rsidRPr="00F42673">
        <w:rPr>
          <w:rFonts w:ascii="Verdana" w:eastAsia="Times New Roman" w:hAnsi="Verdana" w:cs="Times New Roman"/>
          <w:color w:val="000000"/>
          <w:lang w:eastAsia="es-MX"/>
        </w:rPr>
        <w:lastRenderedPageBreak/>
        <w:t>la </w:t>
      </w:r>
      <w:r w:rsidRPr="00F42673">
        <w:rPr>
          <w:rFonts w:ascii="Verdana" w:eastAsia="Times New Roman" w:hAnsi="Verdana" w:cs="Times New Roman"/>
          <w:b/>
          <w:bCs/>
          <w:color w:val="000000"/>
          <w:lang w:eastAsia="es-MX"/>
        </w:rPr>
        <w:t>Circular Externa 003 del 12 de mayo de 2026, </w:t>
      </w:r>
      <w:r w:rsidRPr="00F42673">
        <w:rPr>
          <w:rFonts w:ascii="Verdana" w:eastAsia="Times New Roman" w:hAnsi="Verdana" w:cs="Times New Roman"/>
          <w:color w:val="000000"/>
          <w:lang w:eastAsia="es-MX"/>
        </w:rPr>
        <w:t>en la que precisa quiénes son los beneficiarios, las cinco medidas que integran el sistema y su obligatoriedad según la modalidad de selección, y el régimen de transición aplicable a los procesos en curso. Consúltala aquí: </w:t>
      </w:r>
      <w:hyperlink r:id="rId15" w:tooltip="Original URL:&#10;https://www.colombiacompra.gov.co/archivos/circular/circular-externa-003-de-2026&#10;&#10;Click to follow link." w:history="1">
        <w:r w:rsidRPr="00F42673">
          <w:rPr>
            <w:rFonts w:ascii="Verdana" w:eastAsia="Times New Roman" w:hAnsi="Verdana" w:cs="Times New Roman"/>
            <w:color w:val="0086F0"/>
            <w:u w:val="single"/>
            <w:lang w:eastAsia="es-MX"/>
          </w:rPr>
          <w:t>https://www.colombiacompra.gov.co/archivos/circular/circular-externa-003-de-2026</w:t>
        </w:r>
      </w:hyperlink>
    </w:p>
    <w:p w14:paraId="026A3BB1" w14:textId="77777777" w:rsidR="00A50423" w:rsidRPr="00F42673" w:rsidRDefault="00A50423" w:rsidP="00A50423">
      <w:pPr>
        <w:spacing w:after="0" w:line="276" w:lineRule="auto"/>
        <w:jc w:val="both"/>
        <w:rPr>
          <w:rFonts w:ascii="Verdana" w:eastAsia="Times New Roman" w:hAnsi="Verdana" w:cs="Times New Roman"/>
          <w:color w:val="000000"/>
          <w:lang w:eastAsia="es-MX"/>
        </w:rPr>
      </w:pPr>
    </w:p>
    <w:p w14:paraId="4080B0CB" w14:textId="77777777" w:rsidR="00A50423" w:rsidRPr="00F42673" w:rsidRDefault="00A50423" w:rsidP="00A50423">
      <w:pPr>
        <w:spacing w:after="0" w:line="276" w:lineRule="auto"/>
        <w:jc w:val="both"/>
        <w:rPr>
          <w:rFonts w:ascii="Verdana" w:eastAsia="Times New Roman" w:hAnsi="Verdana" w:cs="Times New Roman"/>
          <w:color w:val="000000"/>
          <w:lang w:eastAsia="es-MX"/>
        </w:rPr>
      </w:pPr>
      <w:r w:rsidRPr="00F42673">
        <w:rPr>
          <w:rFonts w:ascii="Verdana" w:eastAsia="Times New Roman" w:hAnsi="Verdana" w:cs="Times New Roman"/>
          <w:color w:val="000000"/>
          <w:lang w:eastAsia="es-MX"/>
        </w:rPr>
        <w:t>Recuerda también que la</w:t>
      </w:r>
      <w:r w:rsidRPr="00F42673">
        <w:rPr>
          <w:rFonts w:ascii="Verdana" w:eastAsia="Times New Roman" w:hAnsi="Verdana" w:cs="Times New Roman"/>
          <w:b/>
          <w:bCs/>
          <w:color w:val="000000"/>
          <w:lang w:eastAsia="es-MX"/>
        </w:rPr>
        <w:t> información sobre sanciones e inhabilidades </w:t>
      </w:r>
      <w:r w:rsidRPr="00F42673">
        <w:rPr>
          <w:rFonts w:ascii="Verdana" w:eastAsia="Times New Roman" w:hAnsi="Verdana" w:cs="Times New Roman"/>
          <w:color w:val="000000"/>
          <w:lang w:eastAsia="es-MX"/>
        </w:rPr>
        <w:t>solo cumple su función preventiva si llega oportunamente a los registros públicos. Sobre este deber, esta Agencia expidió la </w:t>
      </w:r>
      <w:r w:rsidRPr="00F42673">
        <w:rPr>
          <w:rFonts w:ascii="Verdana" w:eastAsia="Times New Roman" w:hAnsi="Verdana" w:cs="Times New Roman"/>
          <w:b/>
          <w:bCs/>
          <w:color w:val="000000"/>
          <w:lang w:eastAsia="es-MX"/>
        </w:rPr>
        <w:t>Circular Externa 002 del 5 de mayo de 2026,</w:t>
      </w:r>
      <w:r w:rsidRPr="00F42673">
        <w:rPr>
          <w:rFonts w:ascii="Verdana" w:eastAsia="Times New Roman" w:hAnsi="Verdana" w:cs="Times New Roman"/>
          <w:color w:val="000000"/>
          <w:lang w:eastAsia="es-MX"/>
        </w:rPr>
        <w:t>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16" w:tooltip="Original URL:&#10;https://www.colombiacompra.gov.co/archivos/circular/circular-externa-002-de-2026&#10;&#10;Click to follow link." w:history="1">
        <w:r w:rsidRPr="00F42673">
          <w:rPr>
            <w:rFonts w:ascii="Verdana" w:eastAsia="Times New Roman" w:hAnsi="Verdana" w:cs="Times New Roman"/>
            <w:color w:val="0086F0"/>
            <w:u w:val="single"/>
            <w:lang w:eastAsia="es-MX"/>
          </w:rPr>
          <w:t>https://www.colombiacompra.gov.co/archivos/circular/circular-externa-002-de-2026</w:t>
        </w:r>
      </w:hyperlink>
    </w:p>
    <w:p w14:paraId="240B3E22" w14:textId="77777777" w:rsidR="00A50423" w:rsidRPr="00F42673" w:rsidRDefault="00A50423" w:rsidP="00A50423">
      <w:pPr>
        <w:spacing w:after="0" w:line="276" w:lineRule="auto"/>
        <w:jc w:val="both"/>
        <w:rPr>
          <w:rFonts w:ascii="Verdana" w:eastAsia="Times New Roman" w:hAnsi="Verdana" w:cs="Times New Roman"/>
          <w:color w:val="000000"/>
          <w:lang w:eastAsia="es-MX"/>
        </w:rPr>
      </w:pPr>
    </w:p>
    <w:p w14:paraId="5E5B556C" w14:textId="77777777" w:rsidR="00A50423" w:rsidRPr="00797CA8" w:rsidRDefault="00A50423" w:rsidP="00A50423">
      <w:pPr>
        <w:spacing w:after="0" w:line="276" w:lineRule="auto"/>
        <w:jc w:val="both"/>
        <w:rPr>
          <w:rFonts w:ascii="Aptos" w:eastAsia="Times New Roman" w:hAnsi="Aptos" w:cs="Times New Roman"/>
          <w:color w:val="000000"/>
          <w:lang w:eastAsia="es-MX"/>
        </w:rPr>
      </w:pPr>
      <w:r w:rsidRPr="00F42673">
        <w:rPr>
          <w:rFonts w:ascii="Verdana" w:eastAsia="Times New Roman" w:hAnsi="Verdana" w:cs="Times New Roman"/>
          <w:color w:val="000000"/>
          <w:lang w:eastAsia="es-MX"/>
        </w:rPr>
        <w:t>Finalmente, si quieres seguir de cerca la actividad de la Agencia, la tercera edición de 2026 del</w:t>
      </w:r>
      <w:r w:rsidRPr="00F42673">
        <w:rPr>
          <w:rFonts w:ascii="Verdana" w:eastAsia="Times New Roman" w:hAnsi="Verdana" w:cs="Times New Roman"/>
          <w:b/>
          <w:bCs/>
          <w:color w:val="000000"/>
          <w:lang w:eastAsia="es-MX"/>
        </w:rPr>
        <w:t> Radar de la Compra Pública</w:t>
      </w:r>
      <w:r w:rsidRPr="00F42673">
        <w:rPr>
          <w:rFonts w:ascii="Verdana" w:eastAsia="Times New Roman" w:hAnsi="Verdana" w:cs="Times New Roman"/>
          <w:color w:val="000000"/>
          <w:lang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17" w:tooltip="Original URL:&#10;https://www.colombiacompra.gov.co/archivos/boletin/boletin-edicion-n-3-de-2026-radar-de-la-compra-publica&#10;&#10;Click to follow link." w:history="1">
        <w:r w:rsidRPr="00F42673">
          <w:rPr>
            <w:rFonts w:ascii="Verdana" w:eastAsia="Times New Roman" w:hAnsi="Verdana" w:cs="Times New Roman"/>
            <w:color w:val="0086F0"/>
            <w:u w:val="single"/>
            <w:lang w:eastAsia="es-MX"/>
          </w:rPr>
          <w:t>https://www.colombiacompra.gov.co/archivos/boletin/boletin-edicion-n-3-de-2026-radar-de-la-compra-publica</w:t>
        </w:r>
      </w:hyperlink>
    </w:p>
    <w:p w14:paraId="70E8FD7A" w14:textId="77777777" w:rsidR="00A50423" w:rsidRDefault="00A50423" w:rsidP="00A50423">
      <w:pPr>
        <w:shd w:val="clear" w:color="auto" w:fill="FFFFFF"/>
        <w:spacing w:after="0" w:line="276" w:lineRule="auto"/>
        <w:jc w:val="both"/>
        <w:rPr>
          <w:rFonts w:ascii="Verdana" w:hAnsi="Verdana"/>
          <w:color w:val="000000"/>
          <w:u w:val="single"/>
        </w:rPr>
      </w:pPr>
    </w:p>
    <w:p w14:paraId="35512B14" w14:textId="77777777" w:rsidR="00A50423" w:rsidRPr="00116940" w:rsidRDefault="00A50423" w:rsidP="00A50423">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05EE7E8D" w14:textId="77777777" w:rsidR="00A50423" w:rsidRPr="00116940" w:rsidRDefault="00A50423" w:rsidP="00A50423">
      <w:pPr>
        <w:spacing w:after="0"/>
        <w:jc w:val="both"/>
        <w:rPr>
          <w:rFonts w:ascii="Verdana" w:hAnsi="Verdana"/>
        </w:rPr>
      </w:pPr>
    </w:p>
    <w:p w14:paraId="2979AA5C" w14:textId="77777777" w:rsidR="00A50423" w:rsidRPr="00116940" w:rsidRDefault="00A50423" w:rsidP="00A50423">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3B895BAC" w14:textId="77777777" w:rsidR="00A50423" w:rsidRPr="00116940" w:rsidRDefault="00A50423" w:rsidP="00A50423">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1F8E9D91" w14:textId="77777777" w:rsidR="00A50423" w:rsidRPr="00116940" w:rsidRDefault="00A50423" w:rsidP="00A50423">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lastRenderedPageBreak/>
        <w:t xml:space="preserve">Correo de radicación de correspondencia: </w:t>
      </w:r>
      <w:hyperlink r:id="rId18">
        <w:r w:rsidRPr="00116940">
          <w:rPr>
            <w:rStyle w:val="Hipervnculo"/>
            <w:rFonts w:ascii="Verdana" w:eastAsia="Verdana" w:hAnsi="Verdana" w:cs="Verdana"/>
            <w:lang w:val="es-MX"/>
          </w:rPr>
          <w:t>ventanilladeradicacion@colombiacompra.gov.co</w:t>
        </w:r>
      </w:hyperlink>
    </w:p>
    <w:p w14:paraId="3D3F937A" w14:textId="77777777" w:rsidR="00A50423" w:rsidRPr="00116940" w:rsidRDefault="00A50423" w:rsidP="00A50423">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9">
        <w:r w:rsidRPr="00116940">
          <w:rPr>
            <w:rStyle w:val="Hipervnculo"/>
            <w:rFonts w:ascii="Verdana" w:eastAsia="Verdana" w:hAnsi="Verdana" w:cs="Verdana"/>
            <w:lang w:val="es-MX"/>
          </w:rPr>
          <w:t>https://www.colombiacompra.gov.co/pqrsd/informacion-importante-antes-de-formular-una-pqrsd</w:t>
        </w:r>
      </w:hyperlink>
    </w:p>
    <w:p w14:paraId="4B0973F4" w14:textId="77777777" w:rsidR="00A50423" w:rsidRPr="00116940" w:rsidRDefault="00A50423" w:rsidP="00A50423">
      <w:pPr>
        <w:spacing w:after="0" w:line="240" w:lineRule="auto"/>
        <w:ind w:left="720"/>
        <w:jc w:val="both"/>
        <w:rPr>
          <w:rFonts w:ascii="Verdana" w:hAnsi="Verdana"/>
        </w:rPr>
      </w:pPr>
    </w:p>
    <w:p w14:paraId="44B2402A" w14:textId="77777777" w:rsidR="00A50423" w:rsidRPr="00116940" w:rsidRDefault="00A50423" w:rsidP="00A50423">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20"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05547403" w14:textId="77777777" w:rsidR="00A50423" w:rsidRPr="00116940" w:rsidRDefault="00A50423" w:rsidP="00A50423">
      <w:pPr>
        <w:spacing w:after="0" w:line="240" w:lineRule="auto"/>
        <w:rPr>
          <w:rFonts w:ascii="Verdana" w:hAnsi="Verdana"/>
        </w:rPr>
      </w:pPr>
    </w:p>
    <w:p w14:paraId="13F34805" w14:textId="77777777" w:rsidR="00A50423" w:rsidRPr="00116940" w:rsidRDefault="00A50423" w:rsidP="00A50423">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771EB2BE" w14:textId="77777777" w:rsidR="00A50423" w:rsidRPr="00116940" w:rsidRDefault="00A50423" w:rsidP="00A50423">
      <w:pPr>
        <w:spacing w:after="0" w:line="240" w:lineRule="auto"/>
        <w:jc w:val="both"/>
        <w:rPr>
          <w:rFonts w:ascii="Verdana" w:hAnsi="Verdana"/>
        </w:rPr>
      </w:pPr>
    </w:p>
    <w:p w14:paraId="6FBC1570" w14:textId="77777777" w:rsidR="00A50423" w:rsidRPr="00116940" w:rsidRDefault="00A50423" w:rsidP="00A50423">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1D8F519E" w14:textId="77777777" w:rsidR="00A50423" w:rsidRPr="00116940" w:rsidRDefault="00A50423" w:rsidP="00A50423">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1E3ACB7B" w14:textId="77777777" w:rsidR="00A50423" w:rsidRPr="00116940" w:rsidRDefault="00A50423" w:rsidP="00A50423">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509CE02F" w14:textId="77777777" w:rsidR="00A50423" w:rsidRPr="009C4035" w:rsidRDefault="00A50423" w:rsidP="00A50423">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2D515540" w14:textId="77777777" w:rsidR="00A50423" w:rsidRPr="00593A5F" w:rsidRDefault="00A50423" w:rsidP="00A50423">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24403A7D" w14:textId="77777777" w:rsidR="00A50423" w:rsidRPr="00593A5F" w:rsidRDefault="00A50423" w:rsidP="00A50423">
      <w:pPr>
        <w:widowControl w:val="0"/>
        <w:autoSpaceDE w:val="0"/>
        <w:autoSpaceDN w:val="0"/>
        <w:spacing w:after="0" w:line="276" w:lineRule="auto"/>
        <w:jc w:val="both"/>
        <w:rPr>
          <w:rFonts w:ascii="Verdana" w:hAnsi="Verdana" w:cs="Arial"/>
        </w:rPr>
      </w:pPr>
    </w:p>
    <w:p w14:paraId="4F1096C4" w14:textId="77777777" w:rsidR="00A50423" w:rsidRPr="00593A5F" w:rsidRDefault="00A50423" w:rsidP="00A50423">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4A74B060" w14:textId="291B88EF" w:rsidR="00A50423" w:rsidRPr="00593A5F" w:rsidRDefault="006C24D3" w:rsidP="00A50423">
      <w:pPr>
        <w:spacing w:line="276" w:lineRule="auto"/>
        <w:jc w:val="center"/>
        <w:rPr>
          <w:rFonts w:ascii="Verdana" w:hAnsi="Verdana" w:cs="Arial"/>
          <w:color w:val="000000"/>
          <w:lang w:val="es-ES_tradnl" w:eastAsia="es-CO"/>
        </w:rPr>
      </w:pPr>
      <w:r>
        <w:rPr>
          <w:noProof/>
        </w:rPr>
        <w:drawing>
          <wp:inline distT="0" distB="0" distL="0" distR="0" wp14:anchorId="2060FF8F" wp14:editId="4438D668">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21"/>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A50423" w:rsidRPr="00593A5F" w14:paraId="00384BD8" w14:textId="77777777" w:rsidTr="00161F84">
        <w:trPr>
          <w:trHeight w:val="315"/>
        </w:trPr>
        <w:tc>
          <w:tcPr>
            <w:tcW w:w="893" w:type="dxa"/>
            <w:vAlign w:val="center"/>
            <w:hideMark/>
          </w:tcPr>
          <w:p w14:paraId="799F1E2D" w14:textId="77777777" w:rsidR="00A50423" w:rsidRPr="003751C7" w:rsidRDefault="00A50423" w:rsidP="00161F84">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6855933D" w14:textId="77777777" w:rsidR="00A50423" w:rsidRPr="00254A7A" w:rsidRDefault="00A50423" w:rsidP="00161F84">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35FE84C5" w14:textId="77777777" w:rsidR="00A50423" w:rsidRPr="00254A7A" w:rsidRDefault="00A50423" w:rsidP="00161F84">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A50423" w:rsidRPr="00593A5F" w14:paraId="3D91D17E" w14:textId="77777777" w:rsidTr="00161F84">
        <w:trPr>
          <w:trHeight w:val="330"/>
        </w:trPr>
        <w:tc>
          <w:tcPr>
            <w:tcW w:w="893" w:type="dxa"/>
            <w:vAlign w:val="center"/>
            <w:hideMark/>
          </w:tcPr>
          <w:p w14:paraId="0AC23B85" w14:textId="77777777" w:rsidR="00A50423" w:rsidRPr="003751C7" w:rsidRDefault="00A50423" w:rsidP="00161F84">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8720A93" w14:textId="77777777" w:rsidR="00A50423" w:rsidRPr="000377DD" w:rsidRDefault="00A50423" w:rsidP="00161F84">
            <w:pPr>
              <w:pStyle w:val="paragraph"/>
              <w:spacing w:after="0"/>
              <w:contextualSpacing/>
              <w:textAlignment w:val="baseline"/>
              <w:rPr>
                <w:rStyle w:val="normaltextrun"/>
                <w:rFonts w:ascii="Verdana" w:hAnsi="Verdana" w:cs="Arial"/>
                <w:sz w:val="16"/>
                <w:szCs w:val="16"/>
                <w:lang w:val="es-ES_tradnl"/>
              </w:rPr>
            </w:pPr>
            <w:r w:rsidRPr="000377DD">
              <w:rPr>
                <w:rStyle w:val="normaltextrun"/>
                <w:rFonts w:ascii="Verdana" w:hAnsi="Verdana" w:cs="Arial"/>
                <w:sz w:val="16"/>
                <w:szCs w:val="16"/>
                <w:lang w:val="es-ES_tradnl"/>
              </w:rPr>
              <w:t>Alejandro Sarmiento Cantillo</w:t>
            </w:r>
          </w:p>
          <w:p w14:paraId="2A0C8688" w14:textId="77777777" w:rsidR="00A50423" w:rsidRPr="00A40FD0" w:rsidRDefault="00A50423" w:rsidP="00161F84">
            <w:pPr>
              <w:pStyle w:val="paragraph"/>
              <w:spacing w:before="0" w:beforeAutospacing="0" w:after="0" w:afterAutospacing="0"/>
              <w:contextualSpacing/>
              <w:textAlignment w:val="baseline"/>
              <w:rPr>
                <w:rFonts w:ascii="Verdana" w:hAnsi="Verdana" w:cs="Segoe UI"/>
                <w:sz w:val="16"/>
                <w:szCs w:val="16"/>
              </w:rPr>
            </w:pPr>
            <w:r w:rsidRPr="000377DD">
              <w:rPr>
                <w:rStyle w:val="normaltextrun"/>
                <w:rFonts w:ascii="Verdana" w:hAnsi="Verdana" w:cs="Arial"/>
                <w:sz w:val="16"/>
                <w:szCs w:val="16"/>
                <w:lang w:val="es-ES_tradnl"/>
              </w:rPr>
              <w:t>Gestor T1 ‒ 15 de la Subdirección de Gestión Contractual</w:t>
            </w:r>
          </w:p>
        </w:tc>
      </w:tr>
      <w:tr w:rsidR="00A50423" w:rsidRPr="00593A5F" w14:paraId="1381642A" w14:textId="77777777" w:rsidTr="00161F84">
        <w:trPr>
          <w:trHeight w:val="300"/>
        </w:trPr>
        <w:tc>
          <w:tcPr>
            <w:tcW w:w="893" w:type="dxa"/>
            <w:vAlign w:val="center"/>
          </w:tcPr>
          <w:p w14:paraId="1E1EB08F" w14:textId="77777777" w:rsidR="00A50423" w:rsidRPr="003751C7" w:rsidRDefault="00A50423" w:rsidP="00161F84">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1A681300" w14:textId="77777777" w:rsidR="00A50423" w:rsidRPr="00FE00BE" w:rsidRDefault="00A50423" w:rsidP="00161F84">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25ADB18E" w14:textId="77777777" w:rsidR="00A50423" w:rsidRPr="00FE00BE" w:rsidRDefault="00A50423" w:rsidP="00161F84">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65EC4EFC" w14:textId="77777777" w:rsidR="00A50423" w:rsidRDefault="00A50423" w:rsidP="00A50423"/>
    <w:p w14:paraId="359F0E70" w14:textId="38DA2C3D" w:rsidR="00A50423" w:rsidRPr="00543BFE" w:rsidRDefault="00A50423" w:rsidP="00A50423"/>
    <w:sectPr w:rsidR="00A50423" w:rsidRPr="00543BFE" w:rsidSect="007C0C0F">
      <w:headerReference w:type="default" r:id="rId22"/>
      <w:footerReference w:type="default" r:id="rId23"/>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2B761" w14:textId="77777777" w:rsidR="00AA3886" w:rsidRDefault="00AA3886" w:rsidP="004A1847">
      <w:pPr>
        <w:spacing w:after="0" w:line="240" w:lineRule="auto"/>
      </w:pPr>
      <w:r>
        <w:separator/>
      </w:r>
    </w:p>
  </w:endnote>
  <w:endnote w:type="continuationSeparator" w:id="0">
    <w:p w14:paraId="0C08F870" w14:textId="77777777" w:rsidR="00AA3886" w:rsidRDefault="00AA3886"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59C92" w14:textId="77777777" w:rsidR="00AA3886" w:rsidRDefault="00AA3886" w:rsidP="004A1847">
      <w:pPr>
        <w:spacing w:after="0" w:line="240" w:lineRule="auto"/>
      </w:pPr>
      <w:r>
        <w:separator/>
      </w:r>
    </w:p>
  </w:footnote>
  <w:footnote w:type="continuationSeparator" w:id="0">
    <w:p w14:paraId="4CA98AF0" w14:textId="77777777" w:rsidR="00AA3886" w:rsidRDefault="00AA3886" w:rsidP="004A1847">
      <w:pPr>
        <w:spacing w:after="0" w:line="240" w:lineRule="auto"/>
      </w:pPr>
      <w:r>
        <w:continuationSeparator/>
      </w:r>
    </w:p>
  </w:footnote>
  <w:footnote w:id="1">
    <w:p w14:paraId="64BE54E1" w14:textId="77777777" w:rsidR="00A50423" w:rsidRPr="00230B75" w:rsidRDefault="00A50423" w:rsidP="00A50423">
      <w:pPr>
        <w:pStyle w:val="Textonotapie"/>
        <w:ind w:firstLine="709"/>
        <w:jc w:val="both"/>
        <w:rPr>
          <w:rFonts w:ascii="Verdana" w:hAnsi="Verdana" w:cs="Arial"/>
          <w:sz w:val="16"/>
          <w:szCs w:val="16"/>
          <w:lang w:val="es-ES_tradnl"/>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pt-BR"/>
        </w:rPr>
        <w:t>CORTE CONSTITUCIONAL. Sentencia C-1016 de 2012. M.P. Jorge Iván Palacio.</w:t>
      </w:r>
    </w:p>
  </w:footnote>
  <w:footnote w:id="2">
    <w:p w14:paraId="74CB34AB" w14:textId="77777777" w:rsidR="00A50423" w:rsidRPr="00230B75" w:rsidRDefault="00A50423" w:rsidP="00A50423">
      <w:pPr>
        <w:pStyle w:val="Textonotapie"/>
        <w:ind w:firstLine="709"/>
        <w:jc w:val="both"/>
        <w:rPr>
          <w:rFonts w:ascii="Verdana" w:hAnsi="Verdana" w:cs="Arial"/>
          <w:sz w:val="16"/>
          <w:szCs w:val="16"/>
          <w:lang w:val="pt-BR"/>
        </w:rPr>
      </w:pPr>
      <w:r w:rsidRPr="00230B75">
        <w:rPr>
          <w:rStyle w:val="Refdenotaalpie"/>
          <w:rFonts w:ascii="Verdana" w:hAnsi="Verdana" w:cs="Arial"/>
          <w:sz w:val="16"/>
          <w:szCs w:val="16"/>
        </w:rPr>
        <w:footnoteRef/>
      </w:r>
      <w:r w:rsidRPr="00230B75">
        <w:rPr>
          <w:rFonts w:ascii="Verdana" w:hAnsi="Verdana" w:cs="Arial"/>
          <w:sz w:val="16"/>
          <w:szCs w:val="16"/>
        </w:rPr>
        <w:t xml:space="preserve"> CONSEJO DE ESTADO. Sección Tercera. Subsección A. Sentencia del 13 de noviembre de 2013. </w:t>
      </w:r>
      <w:r w:rsidRPr="00230B75">
        <w:rPr>
          <w:rFonts w:ascii="Verdana" w:hAnsi="Verdana" w:cs="Arial"/>
          <w:sz w:val="16"/>
          <w:szCs w:val="16"/>
          <w:lang w:val="pt-BR"/>
        </w:rPr>
        <w:t>Rad. 25.646. C.P. Mauricio Fajardo Gómez.</w:t>
      </w:r>
    </w:p>
  </w:footnote>
  <w:footnote w:id="3">
    <w:p w14:paraId="32B08AC5" w14:textId="77777777" w:rsidR="00A50423" w:rsidRPr="00230B75" w:rsidRDefault="00A50423" w:rsidP="00A50423">
      <w:pPr>
        <w:pStyle w:val="Textonotapie"/>
        <w:ind w:firstLine="709"/>
        <w:jc w:val="both"/>
        <w:rPr>
          <w:rFonts w:ascii="Verdana" w:hAnsi="Verdana" w:cs="Arial"/>
          <w:sz w:val="16"/>
          <w:szCs w:val="16"/>
          <w:lang w:val="es-ES_tradnl"/>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pt-BR"/>
        </w:rPr>
        <w:t>CORTE CONSTITUCIONAL. Sentencia C-415 de 1994. M.P. Eduardo Cifuentes Muñoz.</w:t>
      </w:r>
    </w:p>
  </w:footnote>
  <w:footnote w:id="4">
    <w:p w14:paraId="39C86AC7" w14:textId="77777777" w:rsidR="00A50423" w:rsidRPr="00230B75" w:rsidRDefault="00A50423" w:rsidP="00A50423">
      <w:pPr>
        <w:pStyle w:val="Textonotapie"/>
        <w:ind w:firstLine="709"/>
        <w:jc w:val="both"/>
        <w:rPr>
          <w:rFonts w:ascii="Verdana" w:hAnsi="Verdana" w:cs="Arial"/>
          <w:sz w:val="16"/>
          <w:szCs w:val="16"/>
          <w:lang w:val="pt-BR"/>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pt-BR"/>
        </w:rPr>
        <w:t>Ibídem.</w:t>
      </w:r>
    </w:p>
  </w:footnote>
  <w:footnote w:id="5">
    <w:p w14:paraId="58B52B82" w14:textId="77777777" w:rsidR="00A50423" w:rsidRPr="00230B75" w:rsidRDefault="00A50423" w:rsidP="00A50423">
      <w:pPr>
        <w:pStyle w:val="Textonotapie"/>
        <w:ind w:firstLine="709"/>
        <w:jc w:val="both"/>
        <w:rPr>
          <w:rFonts w:ascii="Verdana" w:hAnsi="Verdana" w:cs="Arial"/>
          <w:sz w:val="16"/>
          <w:szCs w:val="16"/>
          <w:lang w:val="es-CO"/>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pt-BR"/>
        </w:rPr>
        <w:t xml:space="preserve">CORTE CONSTITUCIONAL. </w:t>
      </w:r>
      <w:r w:rsidRPr="00230B75">
        <w:rPr>
          <w:rFonts w:ascii="Verdana" w:hAnsi="Verdana" w:cs="Arial"/>
          <w:sz w:val="16"/>
          <w:szCs w:val="16"/>
        </w:rPr>
        <w:t xml:space="preserve">Sentencia C-780 de 2001. </w:t>
      </w:r>
      <w:r w:rsidRPr="00230B75">
        <w:rPr>
          <w:rFonts w:ascii="Verdana" w:hAnsi="Verdana" w:cs="Arial"/>
          <w:sz w:val="16"/>
          <w:szCs w:val="16"/>
          <w:lang w:val="es-CO"/>
        </w:rPr>
        <w:t xml:space="preserve">M.P. Jaime Córdoba Triviño. </w:t>
      </w:r>
    </w:p>
  </w:footnote>
  <w:footnote w:id="6">
    <w:p w14:paraId="3953048D" w14:textId="77777777" w:rsidR="00A50423" w:rsidRPr="00230B75" w:rsidRDefault="00A50423" w:rsidP="00A50423">
      <w:pPr>
        <w:pStyle w:val="NormalWeb"/>
        <w:spacing w:before="0" w:beforeAutospacing="0" w:after="0" w:afterAutospacing="0"/>
        <w:ind w:firstLine="709"/>
        <w:jc w:val="both"/>
        <w:rPr>
          <w:rFonts w:ascii="Verdana" w:eastAsiaTheme="minorHAnsi" w:hAnsi="Verdana" w:cs="Arial"/>
          <w:sz w:val="16"/>
          <w:szCs w:val="16"/>
          <w:lang w:val="es-ES" w:eastAsia="en-US"/>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eastAsiaTheme="minorHAnsi" w:hAnsi="Verdana" w:cs="Arial"/>
          <w:sz w:val="16"/>
          <w:szCs w:val="16"/>
          <w:lang w:val="es-ES" w:eastAsia="en-US"/>
        </w:rPr>
        <w:t>Ley 80 de 1993: “Artículo 8: 1o. Son inhábiles para participar en licitaciones o concursos y para celebrar contratos con las entidades estatales: </w:t>
      </w:r>
    </w:p>
    <w:p w14:paraId="40E26565"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a) Las personas que se hallen inhabilitadas para contratar por la Constitución y las leyes. </w:t>
      </w:r>
    </w:p>
    <w:p w14:paraId="4858BB2B"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b) Quienes participaron en las licitaciones o concursos o celebraron los contratos de que trata el literal anterior estando inhabilitados. </w:t>
      </w:r>
    </w:p>
    <w:p w14:paraId="0F11348B" w14:textId="77777777" w:rsidR="00A50423" w:rsidRPr="00230B75" w:rsidRDefault="00A50423" w:rsidP="00A50423">
      <w:pPr>
        <w:pStyle w:val="NormalWeb"/>
        <w:spacing w:before="0" w:beforeAutospacing="0" w:after="0" w:afterAutospacing="0"/>
        <w:ind w:firstLine="709"/>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c) Quienes dieron lugar a la declaratoria de caducidad. </w:t>
      </w:r>
    </w:p>
    <w:p w14:paraId="22197CC2" w14:textId="77777777" w:rsidR="00A50423" w:rsidRPr="00230B75" w:rsidRDefault="00A50423" w:rsidP="00A50423">
      <w:pPr>
        <w:pStyle w:val="NormalWeb"/>
        <w:spacing w:before="0" w:beforeAutospacing="0" w:after="0" w:afterAutospacing="0"/>
        <w:ind w:firstLine="709"/>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d) Quienes en sentencia judicial hayan sido condenados a la pena accesoria de interdicción de derechos y funciones públicas y quienes hayan sido sancionados disciplinariamente con destitución. </w:t>
      </w:r>
    </w:p>
    <w:p w14:paraId="46D3E429"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e) Quienes sin justa causa se abstengan de suscribir el contrato estatal adjudicado. </w:t>
      </w:r>
    </w:p>
    <w:p w14:paraId="49E4CFE3"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f) Los servidores públicos. </w:t>
      </w:r>
    </w:p>
    <w:p w14:paraId="6A080CE1"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g) Quienes sean cónyuges o compañeros permanentes y quienes se encuentren dentro del segundo grado de consanguinidad o segundo de afinidad con cualquier otra persona que formalmente haya presentado propuesta para una misma licitación o concurso. </w:t>
      </w:r>
    </w:p>
    <w:p w14:paraId="51E316A3" w14:textId="77777777" w:rsidR="00A50423" w:rsidRPr="00230B75" w:rsidRDefault="00A50423" w:rsidP="00A50423">
      <w:pPr>
        <w:pStyle w:val="NormalWeb"/>
        <w:spacing w:before="0" w:beforeAutospacing="0" w:after="0" w:afterAutospacing="0"/>
        <w:ind w:firstLine="709"/>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h)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o concurso. </w:t>
      </w:r>
    </w:p>
    <w:p w14:paraId="0FE85192"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i) Los socios de sociedades de personas a las cuales se haya declarado la caducidad, así como las sociedades de personas de las que aquellos formen parte con posterioridad a dicha declaratoria. </w:t>
      </w:r>
    </w:p>
    <w:p w14:paraId="5E8E0629" w14:textId="77777777" w:rsidR="00A50423" w:rsidRPr="00230B75" w:rsidRDefault="00A50423" w:rsidP="00A50423">
      <w:pPr>
        <w:pStyle w:val="NormalWeb"/>
        <w:spacing w:before="0" w:beforeAutospacing="0" w:after="0" w:afterAutospacing="0"/>
        <w:ind w:firstLine="709"/>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  Las inhabilidades a que se refieren los literales c), d) e i) se extenderán por un término de cinco (5) años contado a partir de la fecha de ejecutoria del acto que declaró la caducidad, o de la sentencia que impuso la pena, o del acto que dispuso la destitución; las previstas en los literales b) y e), se extenderán por un término de cinco (5) años contado a partir de la fecha de ocurrencia del hecho de la participación en la licitación o concurso, o de la de celebración del contrato, o de la de expiración del plazo para su firma. </w:t>
      </w:r>
    </w:p>
    <w:p w14:paraId="098F2E9C"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j) Las personas naturales que hayan sido declaradas responsables judicialmente por la comisión de delitos contra la Administración pública, o de cualquiera de los delitos o faltas contempladas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w:t>
      </w:r>
    </w:p>
    <w:p w14:paraId="54FBD6BC"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Esta inhabilidad procederá preventivamente aún en los casos en los que esté pendiente la decisión sobre la impugnación de la sentencia condenatoria. Asimismo, la inhabilidad se extenderá a las sociedades de las que hagan parte dichas personas en calidad de administradores, represen</w:t>
      </w:r>
      <w:r w:rsidRPr="00230B75">
        <w:rPr>
          <w:rFonts w:ascii="Verdana" w:eastAsiaTheme="minorHAnsi" w:hAnsi="Verdana" w:cs="Arial"/>
          <w:sz w:val="16"/>
          <w:szCs w:val="16"/>
          <w:lang w:val="es-ES" w:eastAsia="en-US"/>
        </w:rPr>
        <w:softHyphen/>
        <w:t>tantes legales, miembros de junta directiva o de socios controlantes, a sus matrices y a sus subordinadas, a los grupos empresariales a los que estas pertenezcan cuando la conducta delictiva haya sido parte de una política del grupo y a las sucursales de sociedades extranjeras, con ex</w:t>
      </w:r>
      <w:r w:rsidRPr="00230B75">
        <w:rPr>
          <w:rFonts w:ascii="Verdana" w:eastAsiaTheme="minorHAnsi" w:hAnsi="Verdana" w:cs="Arial"/>
          <w:sz w:val="16"/>
          <w:szCs w:val="16"/>
          <w:lang w:val="es-ES" w:eastAsia="en-US"/>
        </w:rPr>
        <w:softHyphen/>
        <w:t>cepción de las sociedades anónimas abiertas. También se considerarán inhabilitadas para contratar, las personas jurídicas sobre las cuales se haya ordenado la suspensión de la perso</w:t>
      </w:r>
      <w:r w:rsidRPr="00230B75">
        <w:rPr>
          <w:rFonts w:ascii="Verdana" w:eastAsiaTheme="minorHAnsi" w:hAnsi="Verdana" w:cs="Arial"/>
          <w:sz w:val="16"/>
          <w:szCs w:val="16"/>
          <w:lang w:val="es-ES" w:eastAsia="en-US"/>
        </w:rPr>
        <w:softHyphen/>
        <w:t>nería jurídica en los términos de ley, o cuyos representantes legales, ad</w:t>
      </w:r>
      <w:r w:rsidRPr="00230B75">
        <w:rPr>
          <w:rFonts w:ascii="Verdana" w:eastAsiaTheme="minorHAnsi" w:hAnsi="Verdana" w:cs="Arial"/>
          <w:sz w:val="16"/>
          <w:szCs w:val="16"/>
          <w:lang w:val="es-ES" w:eastAsia="en-US"/>
        </w:rPr>
        <w:softHyphen/>
        <w:t>ministradores de hecho o de derecho, miembros de junta directiva o sus socios controlantes, sus matrices, subordinadas y/o las sucursales de sociedades extranjeras, hayan sido beneficiados con la aplicación de un principio de oportunidad por cualquier delito contra la Administración pública o el patrimonio del Estado.  La inhabilidad prevista en este literal se extenderá de forma perma</w:t>
      </w:r>
      <w:r w:rsidRPr="00230B75">
        <w:rPr>
          <w:rFonts w:ascii="Verdana" w:eastAsiaTheme="minorHAnsi" w:hAnsi="Verdana" w:cs="Arial"/>
          <w:sz w:val="16"/>
          <w:szCs w:val="16"/>
          <w:lang w:val="es-ES" w:eastAsia="en-US"/>
        </w:rPr>
        <w:softHyphen/>
        <w:t>nente a las sociedades de las que hagan parte dichas personas en las calidades presentadas en los incisos anteriores, y se aplicará de igual forma a las personas naturales que hayan sido declaradas responsables judicialmente por la comisión de delitos mencionados en este literal. </w:t>
      </w:r>
    </w:p>
    <w:p w14:paraId="5C69CFC0" w14:textId="77777777" w:rsidR="00A50423" w:rsidRPr="00230B75" w:rsidRDefault="00A50423" w:rsidP="00A50423">
      <w:pPr>
        <w:pStyle w:val="NormalWeb"/>
        <w:spacing w:before="0" w:beforeAutospacing="0" w:after="0" w:afterAutospacing="0"/>
        <w:ind w:firstLine="709"/>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w:t>
      </w:r>
    </w:p>
    <w:p w14:paraId="6253D057" w14:textId="77777777" w:rsidR="00A50423" w:rsidRPr="00230B75" w:rsidRDefault="00A50423" w:rsidP="00A50423">
      <w:pPr>
        <w:pStyle w:val="NormalWeb"/>
        <w:spacing w:before="0" w:beforeAutospacing="0" w:after="0" w:afterAutospacing="0"/>
        <w:ind w:firstLine="709"/>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2o. Tampoco podrán participar en licitaciones o concursos ni celebrar contratos estatales con la entidad respectiva: </w:t>
      </w:r>
    </w:p>
    <w:p w14:paraId="446C8068"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a) Quienes fueron miembros de la junta o consejo directivo o servidores públicos de la entidad contratante. Esta incompatibilidad solo comprende a quienes desempeñaron funciones en los niveles directivo, asesor o ejecutivo y se extiende por el término de un (1) año, contado a partir de la fecha del retiro. </w:t>
      </w:r>
    </w:p>
    <w:p w14:paraId="1186F7B7"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b)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w:t>
      </w:r>
    </w:p>
    <w:p w14:paraId="01D9EA78"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c) El cónyuge, compañero o compañera permanente del servidor público en los niveles directivo, asesor, ejecutivo, o de un miembro de la junta o consejo directivo, o de quien ejerza funciones de control interno o de control fiscal. </w:t>
      </w:r>
    </w:p>
    <w:p w14:paraId="2004BFE8"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d)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w:t>
      </w:r>
    </w:p>
    <w:p w14:paraId="7142F79B"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e) Los miembros de las juntas o consejos directivos. Esta incompatibilidad sólo se predica respecto de la entidad a la cual prestan sus servicios y de las del sector administrativo al que la misma esté adscrita o vinculada. </w:t>
      </w:r>
    </w:p>
    <w:p w14:paraId="3121DB5D" w14:textId="77777777" w:rsidR="00A50423" w:rsidRPr="00230B75" w:rsidRDefault="00A50423" w:rsidP="00A50423">
      <w:pPr>
        <w:pStyle w:val="NormalWeb"/>
        <w:spacing w:before="0" w:beforeAutospacing="0" w:after="0" w:afterAutospacing="0"/>
        <w:ind w:firstLine="708"/>
        <w:jc w:val="both"/>
        <w:rPr>
          <w:rFonts w:ascii="Verdana" w:eastAsiaTheme="minorHAnsi" w:hAnsi="Verdana" w:cs="Arial"/>
          <w:sz w:val="16"/>
          <w:szCs w:val="16"/>
          <w:lang w:val="es-ES" w:eastAsia="en-US"/>
        </w:rPr>
      </w:pPr>
      <w:r w:rsidRPr="00230B75">
        <w:rPr>
          <w:rFonts w:ascii="Verdana" w:eastAsiaTheme="minorHAnsi" w:hAnsi="Verdana" w:cs="Arial"/>
          <w:sz w:val="16"/>
          <w:szCs w:val="16"/>
          <w:lang w:val="es-ES" w:eastAsia="en-US"/>
        </w:rPr>
        <w:t xml:space="preserve">f)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Esta incompatibilidad también operará para las personas que se encuentren dentro del primer grado de consanguinidad, primero de afinidad, o primero civil del ex empleado público”. (…). </w:t>
      </w:r>
    </w:p>
  </w:footnote>
  <w:footnote w:id="7">
    <w:p w14:paraId="7AE94165" w14:textId="77777777" w:rsidR="00A50423" w:rsidRPr="00230B75" w:rsidRDefault="00A50423" w:rsidP="00A50423">
      <w:pPr>
        <w:pStyle w:val="Textonotapie"/>
        <w:ind w:firstLine="709"/>
        <w:jc w:val="both"/>
        <w:rPr>
          <w:rFonts w:ascii="Verdana" w:hAnsi="Verdana" w:cs="Arial"/>
          <w:sz w:val="16"/>
          <w:szCs w:val="16"/>
        </w:rPr>
      </w:pPr>
      <w:r w:rsidRPr="00230B75">
        <w:rPr>
          <w:rStyle w:val="Refdenotaalpie"/>
          <w:rFonts w:ascii="Verdana" w:hAnsi="Verdana" w:cs="Arial"/>
          <w:sz w:val="16"/>
          <w:szCs w:val="16"/>
        </w:rPr>
        <w:footnoteRef/>
      </w:r>
      <w:r w:rsidRPr="00230B75">
        <w:rPr>
          <w:rFonts w:ascii="Verdana" w:hAnsi="Verdana" w:cs="Arial"/>
          <w:sz w:val="16"/>
          <w:szCs w:val="16"/>
        </w:rPr>
        <w:t xml:space="preserve"> Ley 80 de 1993: “Artículo 6. De la capacidad para contratar. Pueden celebrar contratos con las entidades estatales las personas consideradas legalmente capaces en las disposiciones vigentes. También podrán celebrar contratos con las entidades estatales, los consorcios y uniones temporales.</w:t>
      </w:r>
    </w:p>
    <w:p w14:paraId="617EABE3" w14:textId="77777777" w:rsidR="00A50423" w:rsidRPr="00230B75" w:rsidRDefault="00A50423" w:rsidP="00A50423">
      <w:pPr>
        <w:pStyle w:val="Textonotapie"/>
        <w:ind w:firstLine="709"/>
        <w:jc w:val="both"/>
        <w:rPr>
          <w:rFonts w:ascii="Verdana" w:hAnsi="Verdana" w:cs="Arial"/>
          <w:sz w:val="16"/>
          <w:szCs w:val="16"/>
        </w:rPr>
      </w:pPr>
      <w:r w:rsidRPr="00230B75">
        <w:rPr>
          <w:rFonts w:ascii="Verdana" w:hAnsi="Verdana" w:cs="Arial"/>
          <w:sz w:val="16"/>
          <w:szCs w:val="16"/>
        </w:rPr>
        <w:t>Las personas jurídicas nacionales y extranjeras deberán acreditar que su duración no será inferior a la del plazo del contrato y un año más”.</w:t>
      </w:r>
    </w:p>
  </w:footnote>
  <w:footnote w:id="8">
    <w:p w14:paraId="53950864" w14:textId="77777777" w:rsidR="00A50423" w:rsidRPr="00230B75" w:rsidRDefault="00A50423" w:rsidP="00A50423">
      <w:pPr>
        <w:pStyle w:val="Textonotapie"/>
        <w:ind w:firstLine="709"/>
        <w:jc w:val="both"/>
        <w:rPr>
          <w:rFonts w:ascii="Verdana" w:hAnsi="Verdana" w:cs="Arial"/>
          <w:sz w:val="16"/>
          <w:szCs w:val="16"/>
        </w:rPr>
      </w:pPr>
      <w:r w:rsidRPr="00230B75">
        <w:rPr>
          <w:rStyle w:val="Refdenotaalpie"/>
          <w:rFonts w:ascii="Verdana" w:hAnsi="Verdana" w:cs="Arial"/>
          <w:sz w:val="16"/>
          <w:szCs w:val="16"/>
        </w:rPr>
        <w:footnoteRef/>
      </w:r>
      <w:r w:rsidRPr="00230B75">
        <w:rPr>
          <w:rFonts w:ascii="Verdana" w:hAnsi="Verdana" w:cs="Arial"/>
          <w:sz w:val="16"/>
          <w:szCs w:val="16"/>
        </w:rPr>
        <w:t xml:space="preserve"> Código Civil: “Artículo 1502. Requisitos para obligarse. Para que una persona se obligue a otra por un acto o declaración de voluntad, es necesario:</w:t>
      </w:r>
    </w:p>
    <w:p w14:paraId="176FD7DF" w14:textId="77777777" w:rsidR="00A50423" w:rsidRPr="00230B75" w:rsidRDefault="00A50423" w:rsidP="00A50423">
      <w:pPr>
        <w:pStyle w:val="Textonotapie"/>
        <w:ind w:firstLine="709"/>
        <w:jc w:val="both"/>
        <w:rPr>
          <w:rFonts w:ascii="Verdana" w:hAnsi="Verdana" w:cs="Arial"/>
          <w:sz w:val="16"/>
          <w:szCs w:val="16"/>
        </w:rPr>
      </w:pPr>
      <w:r w:rsidRPr="00230B75">
        <w:rPr>
          <w:rFonts w:ascii="Verdana" w:hAnsi="Verdana" w:cs="Arial"/>
          <w:sz w:val="16"/>
          <w:szCs w:val="16"/>
        </w:rPr>
        <w:t>1o.) que sea legalmente capaz.</w:t>
      </w:r>
    </w:p>
    <w:p w14:paraId="38B93CEF" w14:textId="77777777" w:rsidR="00A50423" w:rsidRPr="00230B75" w:rsidRDefault="00A50423" w:rsidP="00A50423">
      <w:pPr>
        <w:pStyle w:val="Textonotapie"/>
        <w:ind w:firstLine="709"/>
        <w:jc w:val="both"/>
        <w:rPr>
          <w:rFonts w:ascii="Verdana" w:hAnsi="Verdana" w:cs="Arial"/>
          <w:sz w:val="16"/>
          <w:szCs w:val="16"/>
        </w:rPr>
      </w:pPr>
      <w:r w:rsidRPr="00230B75">
        <w:rPr>
          <w:rFonts w:ascii="Verdana" w:hAnsi="Verdana" w:cs="Arial"/>
          <w:sz w:val="16"/>
          <w:szCs w:val="16"/>
        </w:rPr>
        <w:t>[…]</w:t>
      </w:r>
    </w:p>
    <w:p w14:paraId="35637C22" w14:textId="77777777" w:rsidR="00A50423" w:rsidRPr="00230B75" w:rsidRDefault="00A50423" w:rsidP="00A50423">
      <w:pPr>
        <w:pStyle w:val="Textonotapie"/>
        <w:ind w:firstLine="709"/>
        <w:jc w:val="both"/>
        <w:rPr>
          <w:rFonts w:ascii="Verdana" w:hAnsi="Verdana" w:cs="Arial"/>
          <w:sz w:val="16"/>
          <w:szCs w:val="16"/>
        </w:rPr>
      </w:pPr>
      <w:r w:rsidRPr="00230B75">
        <w:rPr>
          <w:rFonts w:ascii="Verdana" w:hAnsi="Verdana" w:cs="Arial"/>
          <w:sz w:val="16"/>
          <w:szCs w:val="16"/>
        </w:rPr>
        <w:t>La capacidad legal de una persona consiste en poderse obligar por sí misma, sin el ministerio o la autorización de otra”.</w:t>
      </w:r>
    </w:p>
  </w:footnote>
  <w:footnote w:id="9">
    <w:p w14:paraId="449DFFFD" w14:textId="77777777" w:rsidR="00A50423" w:rsidRPr="00230B75" w:rsidRDefault="00A50423" w:rsidP="00A50423">
      <w:pPr>
        <w:pStyle w:val="Textonotapie"/>
        <w:ind w:firstLine="709"/>
        <w:jc w:val="both"/>
        <w:rPr>
          <w:rFonts w:ascii="Verdana" w:hAnsi="Verdana" w:cs="Arial"/>
          <w:sz w:val="16"/>
          <w:szCs w:val="16"/>
        </w:rPr>
      </w:pPr>
      <w:r w:rsidRPr="00230B75">
        <w:rPr>
          <w:rStyle w:val="Refdenotaalpie"/>
          <w:rFonts w:ascii="Verdana" w:hAnsi="Verdana" w:cs="Arial"/>
          <w:sz w:val="16"/>
          <w:szCs w:val="16"/>
        </w:rPr>
        <w:footnoteRef/>
      </w:r>
      <w:r w:rsidRPr="00230B75">
        <w:rPr>
          <w:rFonts w:ascii="Verdana" w:hAnsi="Verdana" w:cs="Arial"/>
          <w:sz w:val="16"/>
          <w:szCs w:val="16"/>
        </w:rPr>
        <w:t xml:space="preserve"> Decreto Ley 19 de 2012: “Artículo 221. El artículo 6 de la Ley 1150 de 2007, quedará así:</w:t>
      </w:r>
    </w:p>
    <w:p w14:paraId="7C726C5E" w14:textId="77777777" w:rsidR="00A50423" w:rsidRPr="00230B75" w:rsidRDefault="00A50423" w:rsidP="00A50423">
      <w:pPr>
        <w:pStyle w:val="Textonotapie"/>
        <w:ind w:firstLine="709"/>
        <w:jc w:val="both"/>
        <w:rPr>
          <w:rFonts w:ascii="Verdana" w:hAnsi="Verdana" w:cs="Arial"/>
          <w:sz w:val="16"/>
          <w:szCs w:val="16"/>
          <w:lang w:val="es-ES"/>
        </w:rPr>
      </w:pPr>
      <w:r w:rsidRPr="00230B75">
        <w:rPr>
          <w:rFonts w:ascii="Verdana" w:hAnsi="Verdana" w:cs="Arial"/>
          <w:sz w:val="16"/>
          <w:szCs w:val="16"/>
        </w:rPr>
        <w:t>Artículo 6. De la verificación de las condiciones de los proponentes. T</w:t>
      </w:r>
      <w:r w:rsidRPr="00230B75">
        <w:rPr>
          <w:rFonts w:ascii="Verdana" w:hAnsi="Verdana" w:cs="Arial"/>
          <w:sz w:val="16"/>
          <w:szCs w:val="16"/>
          <w:lang w:val="es-ES"/>
        </w:rPr>
        <w:t>odas las personas naturales o jurídicas nacionales o extranjeras domiciliadas o con sucursal en Colombia, que aspiren a celebrar contratos con las entidades estatales, se inscribirán en el Registro Único de Proponentes del Registro Único Empresarial de la Cámara de Comercio con jurisdicción en su domicilio principal.</w:t>
      </w:r>
    </w:p>
    <w:p w14:paraId="4CB43BB9" w14:textId="77777777" w:rsidR="00A50423" w:rsidRPr="00230B75" w:rsidRDefault="00A50423" w:rsidP="00A50423">
      <w:pPr>
        <w:pStyle w:val="Textonotapie"/>
        <w:ind w:firstLine="709"/>
        <w:jc w:val="both"/>
        <w:rPr>
          <w:rFonts w:ascii="Verdana" w:hAnsi="Verdana" w:cs="Arial"/>
          <w:sz w:val="16"/>
          <w:szCs w:val="16"/>
          <w:lang w:val="es-ES"/>
        </w:rPr>
      </w:pPr>
      <w:r w:rsidRPr="00230B75">
        <w:rPr>
          <w:rFonts w:ascii="Verdana" w:hAnsi="Verdana" w:cs="Arial"/>
          <w:sz w:val="16"/>
          <w:szCs w:val="16"/>
          <w:lang w:val="es-ES"/>
        </w:rPr>
        <w:t>No se requerirá de este registro, ni de clasificación, en los casos de contratación directa; contratos para la prestación de servicios de salud; contratos de mínima cuantía; enajenación de bienes del Estado; contratos que tengan por objeto la adquisición de productos de origen o destinación agropecuaria que se ofrezcan en bolsas de productos legalmente constituidas; los actos y contratos que tengan por objeto directo las actividades comerciales e industriales propias de las empresas industriales y comerciales del Estado y las sociedades de economía mixta y los contratos de concesión de cualquier índole. En los casos anteriormente señalados, corresponderá a las entidades contratantes cumplir con la labor de verificación de las condiciones de los proponentes”.</w:t>
      </w:r>
    </w:p>
  </w:footnote>
  <w:footnote w:id="10">
    <w:p w14:paraId="3963FF80" w14:textId="77777777" w:rsidR="00A50423" w:rsidRPr="00230B75" w:rsidRDefault="00A50423" w:rsidP="00A50423">
      <w:pPr>
        <w:pStyle w:val="Textonotapie"/>
        <w:ind w:firstLine="709"/>
        <w:jc w:val="both"/>
        <w:rPr>
          <w:rFonts w:ascii="Verdana" w:hAnsi="Verdana" w:cs="Arial"/>
          <w:sz w:val="16"/>
          <w:szCs w:val="16"/>
          <w:lang w:val="es-ES"/>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es-ES"/>
        </w:rPr>
        <w:t xml:space="preserve">En tal sentido, José Luis Benavides comenta que “Aunque la mayoría de las reglas limitativas de la responsabilidad contractual se aplican a la administración, existen también algunas restricciones importantes a la capacidad de los contratistas: </w:t>
      </w:r>
      <w:r w:rsidRPr="00230B75">
        <w:rPr>
          <w:rFonts w:ascii="Verdana" w:hAnsi="Verdana" w:cs="Arial"/>
          <w:i/>
          <w:iCs/>
          <w:sz w:val="16"/>
          <w:szCs w:val="16"/>
          <w:lang w:val="es-ES"/>
        </w:rPr>
        <w:t>el régimen de inhabilidades e incompatibilidades</w:t>
      </w:r>
      <w:r w:rsidRPr="00230B75">
        <w:rPr>
          <w:rFonts w:ascii="Verdana" w:hAnsi="Verdana" w:cs="Arial"/>
          <w:sz w:val="16"/>
          <w:szCs w:val="16"/>
          <w:lang w:val="es-ES"/>
        </w:rPr>
        <w:t xml:space="preserve"> (1) y la obligación de ciertos proponentes de inscribirse en el </w:t>
      </w:r>
      <w:r w:rsidRPr="00230B75">
        <w:rPr>
          <w:rFonts w:ascii="Verdana" w:hAnsi="Verdana" w:cs="Arial"/>
          <w:i/>
          <w:iCs/>
          <w:sz w:val="16"/>
          <w:szCs w:val="16"/>
          <w:lang w:val="es-ES"/>
        </w:rPr>
        <w:t>registro único</w:t>
      </w:r>
      <w:r w:rsidRPr="00230B75">
        <w:rPr>
          <w:rFonts w:ascii="Verdana" w:hAnsi="Verdana" w:cs="Arial"/>
          <w:sz w:val="16"/>
          <w:szCs w:val="16"/>
          <w:lang w:val="es-ES"/>
        </w:rPr>
        <w:t xml:space="preserve"> (2)” (BENAVIDES, José Luis. El contrato estatal. Entre el Derecho público y el Derecho privado. 2ª ed. Bogotá: Universidad Externado de Colombia, 2004. p. 278). </w:t>
      </w:r>
    </w:p>
  </w:footnote>
  <w:footnote w:id="11">
    <w:p w14:paraId="4C4D9C6E" w14:textId="77777777" w:rsidR="00A50423" w:rsidRPr="00230B75" w:rsidRDefault="00A50423" w:rsidP="00A50423">
      <w:pPr>
        <w:spacing w:after="0" w:line="240" w:lineRule="auto"/>
        <w:ind w:firstLine="709"/>
        <w:jc w:val="both"/>
        <w:rPr>
          <w:rFonts w:ascii="Verdana" w:hAnsi="Verdana" w:cs="Arial"/>
          <w:sz w:val="16"/>
          <w:szCs w:val="16"/>
          <w:lang w:val="es-ES"/>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es-ES"/>
        </w:rPr>
        <w:t>Son inhabilidades que responden a esta circunstancia, entre otras, las siguientes: “Quienes participaron en las licitaciones o celebraron los contratos de que trata el literal anterior estando inhabilitados” (art. 8, num. 1º, lit. b, Ley 80/93); “Quienes dieron lugar a la declaratoria de caducidad” (art. 8, num. 1º, lit. c), Ley 80/93); “Quienes en sentencia judicial hayan sido condenados a la pena accesoria de interdicción de derechos y funciones públicas y quienes hayan sido sancionados disciplinariamente con destitución” (art. 8, num. 1º, lit. d), Ley 80/93); “Quienes sin justa causa se abstengan de suscribir el contrato estatal adjudicado” (art. 8, num. 1º, lit. e), Ley 80/93); “i) Los socios de sociedades de personas a las cuales se haya declarado la caducidad, así como las sociedades de personas de las que aquellos formen parte con posterioridad a dicha declaratoria” (art. 8, num. 1º, lit. i), Ley 80/93); “Las personas naturales que hayan sido declaradas responsables judicialmente por la comisión de delitos contra la Administración Pública o de cualquiera de los delitos o faltas contemplados por la Ley 1474 de 2011 y sus normas modificatorias o de cualquiera de las conductas delictivas contempladas por las convenciones o tratados de lucha contra la corrupción suscritos y ratificados por Colombia, así como las personas jurídicas que hayan sido declaradas responsables administrativamente por la conducta de soborno transnacional” (art. 8, num. 1º, lit. j), Ley 80/93); “El interventor que incumpla el deber de entregar información a la entidad contratante relacionada con el incumplimiento del contrato, con hechos o circunstancias que puedan constituir actos de corrupción tipificados como conductas punibles, o que puedan poner o pongan en riesgo el cumplimiento del contrato” (art. 8, num. 1º, lit. k), Ley 80/93); “Haber sido objeto de imposición de cinco (5) o más multas durante la ejecución de uno o varios contratos, con una o varias entidades estatales, durante los últimos tres (3) años; […] Haber sido objeto de declaratorias de incumplimiento contractual en por lo menos dos (2) contratos, con una o varias entidades estatales, durante los últimos tres (3) años; […] Haber sido objeto de imposición de dos (2) multas y un (1) incumplimiento durante una misma vigencia fiscal, con una o varias entidades estatales” (art. 90, lit. a), b) y c), Ley 1474/11, modificado por el art. 43, Ley 1955/19.</w:t>
      </w:r>
    </w:p>
  </w:footnote>
  <w:footnote w:id="12">
    <w:p w14:paraId="5876F403" w14:textId="77777777" w:rsidR="00A50423" w:rsidRPr="00230B75" w:rsidRDefault="00A50423" w:rsidP="00A50423">
      <w:pPr>
        <w:pStyle w:val="Textonotapie"/>
        <w:ind w:firstLine="709"/>
        <w:jc w:val="both"/>
        <w:rPr>
          <w:rFonts w:ascii="Verdana" w:hAnsi="Verdana" w:cs="Arial"/>
          <w:sz w:val="16"/>
          <w:szCs w:val="16"/>
          <w:lang w:val="es-ES"/>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es-ES"/>
        </w:rPr>
        <w:t>Por ejemplo, a título enunciativo, las siguientes: “Quienes sean cónyuges o compañeros permanentes y quienes se encuentren dentro del segundo grado de consanguinidad o segundo de afinidad con cualquier otra persona que formalmente haya presentado propuesta para una misma licitación” (art. 8, num. 1º, lit. g), Ley 80/93); “Las sociedades distintas de las anónimas abiertas, en las cuales el representante legal o cualquiera de sus socios tenga parentesco en segundo grado de consanguinidad o segundo de afinidad con el representante legal o con cualquiera de los socios de una sociedad que formalmente haya presentado propuesta, para una misma licitación” (art. 8, num. 1º, lit. h), Ley 80/93); “Las personas que tengan vínculos de parentesco, hasta el segundo grado de consanguinidad, segundo de afinidad o primero civil con los servidores públicos de los niveles directivo, asesor, ejecutivo o con los miembros de la junta o consejo directivo, o con las personas que ejerzan el control interno o fiscal de la entidad contratante” (art. 8, num. 2º, lit. b), Ley 80/93); “El cónyuge, compañero o compañera permanente del servidor público en los niveles directivo, asesor, ejecutivo, o de un miembro de la junta o consejo directivo, o de quien ejerza funciones de control interno o de control fiscal” (art. 8, num. 2º, lit. c), Ley 80/93);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(art. 8, num. 2º, lit. d), Ley 80/93).</w:t>
      </w:r>
    </w:p>
  </w:footnote>
  <w:footnote w:id="13">
    <w:p w14:paraId="667BFEF0" w14:textId="77777777" w:rsidR="00A50423" w:rsidRPr="00230B75" w:rsidRDefault="00A50423" w:rsidP="00A50423">
      <w:pPr>
        <w:pStyle w:val="Textonotapie"/>
        <w:ind w:firstLine="709"/>
        <w:jc w:val="both"/>
        <w:rPr>
          <w:rFonts w:ascii="Verdana" w:hAnsi="Verdana" w:cs="Arial"/>
          <w:sz w:val="16"/>
          <w:szCs w:val="16"/>
          <w:lang w:val="es-ES"/>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es-ES"/>
        </w:rPr>
        <w:t>Verbigracia, entre otras, las que se indican a continuación: “Las personas naturales o jurídicas que hayan financiado campañas políticas a la Presidencia de la República, a las gobernaciones, a las alcaldías o al Congreso de la República, con aportes superiores al dos por ciento (2.0%) de las sumas máximas a invertir por los candidatos en las campañas electorales en cada circunscripción electoral, quienes no podrán celebrar contratos con las entidades públicas, incluso descentralizadas, del respectivo nivel administrativo para el cual fue elegido el candidato […]” (art. 8, num. 1º, lit. k), Ley 80/93, modificado por el art. 33, Ley 1778/16); “Quienes fueron miembros de la junta o consejo directivo o servidores públicos de la entidad contratante” (art. 8, num. 2º, lit. a), Ley 80/93); “Directa o indirectamente las personas que hayan ejercido cargos en el nivel directivo en entidades del Estado y las sociedades en las cuales estos hagan parte o estén vinculados a cualquier título, durante los dos (2) años siguientes al retiro del ejercicio del cargo público, cuando el objeto que desarrollen tenga relación con el sector al cual prestaron sus servicios” (art. 8, num. 2º, lit. f), Ley 80/93, adicionado por el art. 4º, Ley 1474/2011).</w:t>
      </w:r>
    </w:p>
  </w:footnote>
  <w:footnote w:id="14">
    <w:p w14:paraId="3DF033F3" w14:textId="77777777" w:rsidR="00A50423" w:rsidRPr="00230B75" w:rsidRDefault="00A50423" w:rsidP="00A50423">
      <w:pPr>
        <w:spacing w:after="0" w:line="240" w:lineRule="auto"/>
        <w:ind w:firstLine="709"/>
        <w:jc w:val="both"/>
        <w:rPr>
          <w:rFonts w:ascii="Verdana" w:hAnsi="Verdana" w:cs="Arial"/>
          <w:sz w:val="16"/>
          <w:szCs w:val="16"/>
          <w:lang w:val="es-ES"/>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es-ES"/>
        </w:rPr>
        <w:t xml:space="preserve">Como las señaladas a continuación: “Los servidores públicos” (art. 8, num. 1º, lit. f), Ley 80/93); “Las corporaciones, asociaciones, fundaciones y las sociedades anónimas que no tengan el carácter de abiertas, así como las sociedades de responsabilidad limitada y las demás sociedades de personas en las que el servidor público en los niveles directivo, asesor o ejecutivo, o el miembro de la junta o consejo directivo, o el cónyuge, compañero o compañera permanente o los parientes hasta el segundo grado de consanguinidad, afinidad o civil de cualquiera de ellos, tenga participación o desempeñe cargos de dirección o manejo” (art. 8, num. 2º, lit. d), Ley 80/93); “Los miembros de las juntas o consejos directivos. Esta incompatibilidad sólo se predica respecto de la entidad a la cual prestan sus servicios y de las del sector administrativo al que la misma esté adscrita o vinculada” (art. 8, num. 2º, lit. e), Ley 80/93); “Quien haya celebrado un contrato estatal de obra pública, de concesión, suministro de medicamentos y de alimentos o su cónyuge, compañero o compañera permanente, pariente hasta el segundo grado de consaguinidad, segundo de afinidad y/o primero civil o sus socios en sociedades distintas de las anónimas abiertas, con las entidades a que se refiere el artículo 2o de la Ley 80 de 1993, durante el plazo de ejecución y hasta la liquidación del mismo, no podrán celebrar contratos de interventoría con la misma entidad” (art. 5, Ley 1474/11). </w:t>
      </w:r>
    </w:p>
  </w:footnote>
  <w:footnote w:id="15">
    <w:p w14:paraId="4305C74C" w14:textId="77777777" w:rsidR="00A50423" w:rsidRPr="00230B75" w:rsidRDefault="00A50423" w:rsidP="00A50423">
      <w:pPr>
        <w:pStyle w:val="Textonotapie"/>
        <w:ind w:firstLine="709"/>
        <w:jc w:val="both"/>
        <w:rPr>
          <w:rFonts w:ascii="Verdana" w:hAnsi="Verdana" w:cs="Arial"/>
          <w:sz w:val="16"/>
          <w:szCs w:val="16"/>
        </w:rPr>
      </w:pPr>
      <w:r w:rsidRPr="00230B75">
        <w:rPr>
          <w:rStyle w:val="Refdenotaalpie"/>
          <w:rFonts w:ascii="Verdana" w:hAnsi="Verdana" w:cs="Arial"/>
          <w:sz w:val="16"/>
          <w:szCs w:val="16"/>
        </w:rPr>
        <w:footnoteRef/>
      </w:r>
      <w:r w:rsidRPr="00230B75">
        <w:rPr>
          <w:rFonts w:ascii="Verdana" w:hAnsi="Verdana" w:cs="Arial"/>
          <w:sz w:val="16"/>
          <w:szCs w:val="16"/>
        </w:rPr>
        <w:t xml:space="preserve"> En esta línea Dávila Vinueza Expresa: “El legislador para calificar estas prohibiciones emplea dos vocablos: Inhabilidades o incompatibilidades, los cuales en un examen desprevenido podrían sugerir ideas diferentes y en consecuencia, efectos también distintos. Sin embargo, se trata de conceptos que no producen distinciones más allá de las puramente semánticas. En nada afecta el calificar una causal con denominación diferente a la empleada en el texto legal, cuando mucho se criticará la falta de precisión. Ello es así por cuanto los efectos jurídicos que se general para una y otra son exactamente los mismos. Incluso se podría afirmar que ante la semejanza de las figuras, conviene emplear un único vocablo, con lo cual serían innecesarias los intentos y las elucubraciones y explicaciones, algunas novedosas que podrían ensayarse”. (DÁVILA VINUEZA, Luis Guillermo. Régimen jurídico de la contratación estatal. 3ª ed. Bogotá: Legis, 2016. p. 148).</w:t>
      </w:r>
    </w:p>
  </w:footnote>
  <w:footnote w:id="16">
    <w:p w14:paraId="4FBB762A" w14:textId="77777777" w:rsidR="00A50423" w:rsidRPr="00230B75" w:rsidRDefault="00A50423" w:rsidP="00A50423">
      <w:pPr>
        <w:pStyle w:val="Textonotapie"/>
        <w:ind w:firstLine="709"/>
        <w:jc w:val="both"/>
        <w:rPr>
          <w:rFonts w:ascii="Verdana" w:hAnsi="Verdana" w:cs="Arial"/>
          <w:sz w:val="16"/>
          <w:szCs w:val="16"/>
          <w:lang w:val="es-ES"/>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es-ES"/>
        </w:rPr>
        <w:t>BARRETO ROZO, Antonio Alejandro. Inhabilidades de la contratación estatal, efectos y neopunitivismo en el Estatuto Anticorrupción. En: ALVIAR GARCÍA, Helena (Coordinadora). Nuevas tendencias del Derecho administrativo. Bogotá: Universidad de los Andes; Temis, 2016. pp. 63-99.</w:t>
      </w:r>
    </w:p>
  </w:footnote>
  <w:footnote w:id="17">
    <w:p w14:paraId="65B11501" w14:textId="77777777" w:rsidR="00A50423" w:rsidRPr="00230B75" w:rsidRDefault="00A50423" w:rsidP="00A50423">
      <w:pPr>
        <w:pStyle w:val="Textonotapie"/>
        <w:ind w:firstLine="709"/>
        <w:jc w:val="both"/>
        <w:rPr>
          <w:rFonts w:ascii="Verdana" w:hAnsi="Verdana" w:cs="Arial"/>
          <w:sz w:val="16"/>
          <w:szCs w:val="16"/>
          <w:lang w:val="es-ES"/>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es-ES"/>
        </w:rPr>
        <w:t>Ibídem. p. 69.</w:t>
      </w:r>
    </w:p>
  </w:footnote>
  <w:footnote w:id="18">
    <w:p w14:paraId="557FA8D8" w14:textId="77777777" w:rsidR="00A50423" w:rsidRPr="00230B75" w:rsidRDefault="00A50423" w:rsidP="00A50423">
      <w:pPr>
        <w:pStyle w:val="Textonotapie"/>
        <w:ind w:firstLine="709"/>
        <w:jc w:val="both"/>
        <w:rPr>
          <w:rFonts w:ascii="Verdana" w:hAnsi="Verdana" w:cs="Arial"/>
          <w:sz w:val="16"/>
          <w:szCs w:val="16"/>
          <w:lang w:val="es-ES"/>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es-ES"/>
        </w:rPr>
        <w:t xml:space="preserve">CORTE CONSTITUCIONAL. Sentencia T-1039 de 2006. M.P. Humberto Sierra Porto. La Corte Constitucional ha mantenido este criterio en las sentencias: C-903 de 2008. M.P. Jaime Araujo Rentería; C-101 de 2018. M.P. Gloria Stella Ortiz Delgado; entre otras. </w:t>
      </w:r>
    </w:p>
  </w:footnote>
  <w:footnote w:id="19">
    <w:p w14:paraId="1D7D4C60" w14:textId="77777777" w:rsidR="00A50423" w:rsidRPr="00230B75" w:rsidRDefault="00A50423" w:rsidP="00A50423">
      <w:pPr>
        <w:pStyle w:val="Textonotapie"/>
        <w:ind w:firstLine="709"/>
        <w:jc w:val="both"/>
        <w:rPr>
          <w:rFonts w:ascii="Verdana" w:hAnsi="Verdana" w:cs="Arial"/>
          <w:sz w:val="16"/>
          <w:szCs w:val="16"/>
          <w:lang w:val="es-ES"/>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es-ES"/>
        </w:rPr>
        <w:t>CONSEJO DE ESTADO. Sala de Consulta y Servicio Civil. Concepto del 30 de abril de 2015. Exp. 2251. C.P. Álvaro Namén Vargas.</w:t>
      </w:r>
    </w:p>
  </w:footnote>
  <w:footnote w:id="20">
    <w:p w14:paraId="6AE7B38C" w14:textId="77777777" w:rsidR="00A50423" w:rsidRPr="00230B75" w:rsidRDefault="00A50423" w:rsidP="00A50423">
      <w:pPr>
        <w:pStyle w:val="Textonotapie"/>
        <w:ind w:firstLine="709"/>
        <w:jc w:val="both"/>
        <w:rPr>
          <w:rFonts w:ascii="Verdana" w:hAnsi="Verdana" w:cs="Arial"/>
          <w:sz w:val="16"/>
          <w:szCs w:val="16"/>
        </w:rPr>
      </w:pPr>
      <w:r w:rsidRPr="00230B75">
        <w:rPr>
          <w:rStyle w:val="Refdenotaalpie"/>
          <w:rFonts w:ascii="Verdana" w:hAnsi="Verdana" w:cs="Arial"/>
          <w:sz w:val="16"/>
          <w:szCs w:val="16"/>
        </w:rPr>
        <w:footnoteRef/>
      </w:r>
      <w:r w:rsidRPr="00230B75">
        <w:rPr>
          <w:rFonts w:ascii="Verdana" w:hAnsi="Verdana" w:cs="Arial"/>
          <w:sz w:val="16"/>
          <w:szCs w:val="16"/>
        </w:rPr>
        <w:t xml:space="preserve"> CONSEJO DE ESTADO. Sección Tercera. Subsección A. Sentencia del 24 de junio de 2015. Exp. 40.635. C.P. Hernán Andrade Rincón (E).</w:t>
      </w:r>
    </w:p>
  </w:footnote>
  <w:footnote w:id="21">
    <w:p w14:paraId="55DFF64C" w14:textId="77777777" w:rsidR="00A50423" w:rsidRPr="00230B75" w:rsidRDefault="00A50423" w:rsidP="00A50423">
      <w:pPr>
        <w:pStyle w:val="Textonotapie"/>
        <w:ind w:firstLine="709"/>
        <w:jc w:val="both"/>
        <w:rPr>
          <w:rFonts w:ascii="Verdana" w:hAnsi="Verdana" w:cs="Arial"/>
          <w:sz w:val="16"/>
          <w:szCs w:val="16"/>
          <w:lang w:val="es-ES_tradnl"/>
        </w:rPr>
      </w:pPr>
      <w:r w:rsidRPr="00230B75">
        <w:rPr>
          <w:rStyle w:val="Refdenotaalpie"/>
          <w:rFonts w:ascii="Verdana" w:hAnsi="Verdana" w:cs="Arial"/>
          <w:sz w:val="16"/>
          <w:szCs w:val="16"/>
        </w:rPr>
        <w:footnoteRef/>
      </w:r>
      <w:r w:rsidRPr="00230B75">
        <w:rPr>
          <w:rFonts w:ascii="Verdana" w:hAnsi="Verdana" w:cs="Arial"/>
          <w:sz w:val="16"/>
          <w:szCs w:val="16"/>
        </w:rPr>
        <w:t xml:space="preserve"> CONSEJO DE ESTADO. Sección Tercera. Subsección C. Sentencia del 22 de mayo de 2013. Rad. 24.057. C.P. Olga Mélida Valle De De La Hoz. </w:t>
      </w:r>
    </w:p>
  </w:footnote>
  <w:footnote w:id="22">
    <w:p w14:paraId="0BF8A5CB" w14:textId="77777777" w:rsidR="00A50423" w:rsidRPr="00230B75" w:rsidRDefault="00A50423" w:rsidP="00A50423">
      <w:pPr>
        <w:pStyle w:val="Textonotapie"/>
        <w:ind w:firstLine="709"/>
        <w:jc w:val="both"/>
        <w:rPr>
          <w:rFonts w:ascii="Verdana" w:hAnsi="Verdana" w:cs="Arial"/>
          <w:sz w:val="16"/>
          <w:szCs w:val="16"/>
          <w:lang w:val="pt-BR"/>
        </w:rPr>
      </w:pPr>
      <w:r w:rsidRPr="00230B75">
        <w:rPr>
          <w:rStyle w:val="Refdenotaalpie"/>
          <w:rFonts w:ascii="Verdana" w:hAnsi="Verdana" w:cs="Arial"/>
          <w:sz w:val="16"/>
          <w:szCs w:val="16"/>
        </w:rPr>
        <w:footnoteRef/>
      </w:r>
      <w:r w:rsidRPr="00230B75">
        <w:rPr>
          <w:rFonts w:ascii="Verdana" w:hAnsi="Verdana" w:cs="Arial"/>
          <w:sz w:val="16"/>
          <w:szCs w:val="16"/>
        </w:rPr>
        <w:t xml:space="preserve"> </w:t>
      </w:r>
      <w:r w:rsidRPr="00230B75">
        <w:rPr>
          <w:rFonts w:ascii="Verdana" w:hAnsi="Verdana" w:cs="Arial"/>
          <w:sz w:val="16"/>
          <w:szCs w:val="16"/>
          <w:lang w:val="pt-BR"/>
        </w:rPr>
        <w:t>Corte Constitucional. Sentencia C-415 de 1994. M.P. Eduardo Cifuentes Muñoz.</w:t>
      </w:r>
    </w:p>
  </w:footnote>
  <w:footnote w:id="23">
    <w:p w14:paraId="5CFD0A9A" w14:textId="77777777" w:rsidR="00A50423" w:rsidRPr="00230B75" w:rsidRDefault="00A50423" w:rsidP="00A50423">
      <w:pPr>
        <w:pStyle w:val="Textonotapie"/>
        <w:ind w:firstLine="708"/>
        <w:jc w:val="both"/>
        <w:rPr>
          <w:rFonts w:ascii="Verdana" w:hAnsi="Verdana" w:cs="Arial"/>
          <w:color w:val="000000" w:themeColor="text1"/>
          <w:sz w:val="16"/>
          <w:szCs w:val="16"/>
        </w:rPr>
      </w:pPr>
      <w:r w:rsidRPr="00230B75">
        <w:rPr>
          <w:rStyle w:val="Refdenotaalpie"/>
          <w:rFonts w:ascii="Verdana" w:hAnsi="Verdana" w:cs="Arial"/>
          <w:color w:val="000000" w:themeColor="text1"/>
          <w:sz w:val="16"/>
          <w:szCs w:val="16"/>
        </w:rPr>
        <w:footnoteRef/>
      </w:r>
      <w:r w:rsidRPr="00230B75">
        <w:rPr>
          <w:rFonts w:ascii="Verdana" w:hAnsi="Verdana" w:cs="Arial"/>
          <w:color w:val="000000" w:themeColor="text1"/>
          <w:sz w:val="16"/>
          <w:szCs w:val="16"/>
        </w:rPr>
        <w:t xml:space="preserve"> Decreto 770 de 2005: </w:t>
      </w:r>
      <w:r>
        <w:rPr>
          <w:rFonts w:ascii="Verdana" w:hAnsi="Verdana" w:cs="Arial"/>
          <w:color w:val="000000" w:themeColor="text1"/>
          <w:sz w:val="16"/>
          <w:szCs w:val="16"/>
        </w:rPr>
        <w:t>“</w:t>
      </w:r>
      <w:r w:rsidRPr="00230B75">
        <w:rPr>
          <w:rFonts w:ascii="Verdana" w:hAnsi="Verdana" w:cs="Arial"/>
          <w:color w:val="000000" w:themeColor="text1"/>
          <w:sz w:val="16"/>
          <w:szCs w:val="16"/>
        </w:rPr>
        <w:t>Artículo 3. Niveles jerárquicos de los empleos. Según la naturaleza general de sus funciones, las competencias y los requisitos exigidos para su desempeño, los empleos de las entidades u organismos a los cuales se refiere el presente decreto se clasifican en los siguientes niveles jerárquicos: Nivel Directivo, Nivel Asesor, Nivel Profesional, Nivel Técnico y Nivel Asistencial.</w:t>
      </w:r>
    </w:p>
    <w:p w14:paraId="728C9613" w14:textId="77777777" w:rsidR="00A50423" w:rsidRPr="00230B75" w:rsidRDefault="00A50423" w:rsidP="00A50423">
      <w:pPr>
        <w:pStyle w:val="Textonotapie"/>
        <w:ind w:firstLine="708"/>
        <w:jc w:val="both"/>
        <w:rPr>
          <w:rFonts w:ascii="Verdana" w:hAnsi="Verdana" w:cs="Arial"/>
          <w:color w:val="000000" w:themeColor="text1"/>
          <w:sz w:val="16"/>
          <w:szCs w:val="16"/>
          <w:lang w:val="es-ES"/>
        </w:rPr>
      </w:pPr>
      <w:r w:rsidRPr="00230B75">
        <w:rPr>
          <w:rFonts w:ascii="Verdana" w:hAnsi="Verdana" w:cs="Arial"/>
          <w:color w:val="000000" w:themeColor="text1"/>
          <w:sz w:val="16"/>
          <w:szCs w:val="16"/>
          <w:lang w:val="es-ES"/>
        </w:rPr>
        <w:t>[...]</w:t>
      </w:r>
    </w:p>
    <w:p w14:paraId="166658D5" w14:textId="77777777" w:rsidR="00A50423" w:rsidRPr="00230B75" w:rsidRDefault="00A50423" w:rsidP="00A50423">
      <w:pPr>
        <w:pStyle w:val="Textonotapie"/>
        <w:ind w:firstLine="708"/>
        <w:jc w:val="both"/>
        <w:rPr>
          <w:rFonts w:ascii="Verdana" w:hAnsi="Verdana" w:cs="Arial"/>
          <w:color w:val="000000" w:themeColor="text1"/>
          <w:sz w:val="16"/>
          <w:szCs w:val="16"/>
          <w:lang w:val="es-ES"/>
        </w:rPr>
      </w:pPr>
      <w:r w:rsidRPr="00230B75">
        <w:rPr>
          <w:rFonts w:ascii="Verdana" w:hAnsi="Verdana" w:cs="Arial"/>
          <w:color w:val="000000" w:themeColor="text1"/>
          <w:sz w:val="16"/>
          <w:szCs w:val="16"/>
          <w:lang w:val="es-ES"/>
        </w:rPr>
        <w:t>Artículo 13. Transitorio. El Gobierno Nacional, en un término no superior a doce (12) meses contados a partir de la vigencia del presente decreto, modificará las plantas de personal de los organismos y entidades a los cuales se aplica el presente decreto, para adecuar los empleos a la nueva nomenclatura y clasificación. Hasta que dichas modificaciones se realicen continuarán vigentes las denominaciones de empleo correspondientes al nivel ejecutivo. Vencido este plazo no podrán existir en las respectivas plantas de personal cargos con denominaciones del mencionado nivel jerárquico.</w:t>
      </w:r>
    </w:p>
    <w:p w14:paraId="6F6A9581" w14:textId="77777777" w:rsidR="00A50423" w:rsidRPr="00230B75" w:rsidRDefault="00A50423" w:rsidP="00A50423">
      <w:pPr>
        <w:pStyle w:val="Textonotapie"/>
        <w:ind w:firstLine="708"/>
        <w:jc w:val="both"/>
        <w:rPr>
          <w:rFonts w:ascii="Verdana" w:hAnsi="Verdana" w:cs="Arial"/>
          <w:color w:val="000000" w:themeColor="text1"/>
          <w:sz w:val="16"/>
          <w:szCs w:val="16"/>
          <w:lang w:val="es-ES"/>
        </w:rPr>
      </w:pPr>
      <w:r w:rsidRPr="00230B75">
        <w:rPr>
          <w:rFonts w:ascii="Verdana" w:hAnsi="Verdana" w:cs="Arial"/>
          <w:color w:val="000000" w:themeColor="text1"/>
          <w:sz w:val="16"/>
          <w:szCs w:val="16"/>
          <w:lang w:val="es-ES"/>
        </w:rPr>
        <w:t>Si durante este período se presentare vacante definitiva en alguno de los empleos pertenecientes al nivel ejecutivo, este deberá ser suprimido, salvo que por necesidades del servicio se efectúen las equivalencias del caso, dentro del Nivel Profesional.</w:t>
      </w:r>
    </w:p>
    <w:p w14:paraId="66F6638E" w14:textId="77777777" w:rsidR="00A50423" w:rsidRPr="00230B75" w:rsidRDefault="00A50423" w:rsidP="00A50423">
      <w:pPr>
        <w:pStyle w:val="Textonotapie"/>
        <w:ind w:firstLine="708"/>
        <w:jc w:val="both"/>
        <w:rPr>
          <w:rFonts w:ascii="Verdana" w:hAnsi="Verdana" w:cs="Arial"/>
          <w:color w:val="000000" w:themeColor="text1"/>
          <w:sz w:val="16"/>
          <w:szCs w:val="16"/>
          <w:lang w:val="es-ES"/>
        </w:rPr>
      </w:pPr>
      <w:r w:rsidRPr="00230B75">
        <w:rPr>
          <w:rFonts w:ascii="Verdana" w:hAnsi="Verdana" w:cs="Arial"/>
          <w:color w:val="000000" w:themeColor="text1"/>
          <w:sz w:val="16"/>
          <w:szCs w:val="16"/>
          <w:lang w:val="es-ES"/>
        </w:rPr>
        <w:t>La aplicación de las equivalencias relacionadas con la nomenclatura de empleos, en ningún caso conllevará incrementos salariales</w:t>
      </w:r>
      <w:r>
        <w:rPr>
          <w:rFonts w:ascii="Verdana" w:hAnsi="Verdana" w:cs="Arial"/>
          <w:color w:val="000000" w:themeColor="text1"/>
          <w:sz w:val="16"/>
          <w:szCs w:val="16"/>
          <w:lang w:val="es-ES"/>
        </w:rPr>
        <w:t>”</w:t>
      </w:r>
      <w:r w:rsidRPr="00230B75">
        <w:rPr>
          <w:rFonts w:ascii="Verdana" w:hAnsi="Verdana" w:cs="Arial"/>
          <w:color w:val="000000" w:themeColor="text1"/>
          <w:sz w:val="16"/>
          <w:szCs w:val="16"/>
          <w:lang w:val="es-ES"/>
        </w:rPr>
        <w:t>.</w:t>
      </w:r>
    </w:p>
    <w:p w14:paraId="15563BCB" w14:textId="77777777" w:rsidR="00A50423" w:rsidRPr="00230B75" w:rsidRDefault="00A50423" w:rsidP="00A50423">
      <w:pPr>
        <w:pStyle w:val="Textonotapie"/>
        <w:ind w:firstLine="708"/>
        <w:jc w:val="both"/>
        <w:rPr>
          <w:rFonts w:ascii="Verdana" w:hAnsi="Verdana" w:cs="Arial"/>
          <w:color w:val="000000" w:themeColor="text1"/>
          <w:sz w:val="16"/>
          <w:szCs w:val="16"/>
          <w:lang w:val="es-ES"/>
        </w:rPr>
      </w:pPr>
      <w:r w:rsidRPr="00230B75">
        <w:rPr>
          <w:rFonts w:ascii="Verdana" w:hAnsi="Verdana" w:cs="Arial"/>
          <w:color w:val="000000" w:themeColor="text1"/>
          <w:sz w:val="16"/>
          <w:szCs w:val="16"/>
          <w:lang w:val="es-ES"/>
        </w:rPr>
        <w:t xml:space="preserve">Decreto 785 de 2005: </w:t>
      </w:r>
      <w:r>
        <w:rPr>
          <w:rFonts w:ascii="Verdana" w:hAnsi="Verdana" w:cs="Arial"/>
          <w:color w:val="000000" w:themeColor="text1"/>
          <w:sz w:val="16"/>
          <w:szCs w:val="16"/>
        </w:rPr>
        <w:t>“</w:t>
      </w:r>
      <w:r w:rsidRPr="00230B75">
        <w:rPr>
          <w:rFonts w:ascii="Verdana" w:hAnsi="Verdana" w:cs="Arial"/>
          <w:color w:val="000000" w:themeColor="text1"/>
          <w:sz w:val="16"/>
          <w:szCs w:val="16"/>
          <w:lang w:val="es-ES"/>
        </w:rPr>
        <w:t>Artículo 3. Niveles jerárquicos de los empleos. Según la naturaleza general de sus funciones, las competencias y los requisitos exigidos para su desempeño, los empleos de las entidades territoriales se clasifican en los siguientes niveles jerárquicos: Nivel Directivo, Nivel Asesor, Nivel Profesional, Nivel Técnico y Nivel Asistencial.</w:t>
      </w:r>
    </w:p>
    <w:p w14:paraId="2840A23B" w14:textId="77777777" w:rsidR="00A50423" w:rsidRPr="00230B75" w:rsidRDefault="00A50423" w:rsidP="00A50423">
      <w:pPr>
        <w:pStyle w:val="Textonotapie"/>
        <w:ind w:firstLine="708"/>
        <w:jc w:val="both"/>
        <w:rPr>
          <w:rFonts w:ascii="Verdana" w:hAnsi="Verdana" w:cs="Arial"/>
          <w:color w:val="000000" w:themeColor="text1"/>
          <w:sz w:val="16"/>
          <w:szCs w:val="16"/>
          <w:lang w:val="es-ES"/>
        </w:rPr>
      </w:pPr>
      <w:r w:rsidRPr="00230B75">
        <w:rPr>
          <w:rFonts w:ascii="Verdana" w:hAnsi="Verdana" w:cs="Arial"/>
          <w:color w:val="000000" w:themeColor="text1"/>
          <w:sz w:val="16"/>
          <w:szCs w:val="16"/>
          <w:lang w:val="es-ES"/>
        </w:rPr>
        <w:t>[...]</w:t>
      </w:r>
    </w:p>
    <w:p w14:paraId="529C6FD9" w14:textId="77777777" w:rsidR="00A50423" w:rsidRPr="00230B75" w:rsidRDefault="00A50423" w:rsidP="00A50423">
      <w:pPr>
        <w:pStyle w:val="Textonotapie"/>
        <w:ind w:firstLine="708"/>
        <w:jc w:val="both"/>
        <w:rPr>
          <w:rFonts w:ascii="Verdana" w:hAnsi="Verdana" w:cs="Arial"/>
          <w:color w:val="000000" w:themeColor="text1"/>
          <w:sz w:val="16"/>
          <w:szCs w:val="16"/>
          <w:lang w:val="es-ES"/>
        </w:rPr>
      </w:pPr>
      <w:r w:rsidRPr="00230B75">
        <w:rPr>
          <w:rFonts w:ascii="Verdana" w:hAnsi="Verdana" w:cs="Arial"/>
          <w:color w:val="000000" w:themeColor="text1"/>
          <w:sz w:val="16"/>
          <w:szCs w:val="16"/>
          <w:lang w:val="es-ES"/>
        </w:rPr>
        <w:t>Artículo 33. Transitorio. Las autoridades territoriales competentes, en un término no superior a doce (12) meses contados a partir de la vigencia del presente decreto­ley, procederán a modificar las plantas de personal para adecuar los empleos a la nueva nomenclatura y clasificación.</w:t>
      </w:r>
    </w:p>
    <w:p w14:paraId="567BBD6F" w14:textId="77777777" w:rsidR="00A50423" w:rsidRPr="00230B75" w:rsidRDefault="00A50423" w:rsidP="00A50423">
      <w:pPr>
        <w:pStyle w:val="Textonotapie"/>
        <w:ind w:firstLine="708"/>
        <w:jc w:val="both"/>
        <w:rPr>
          <w:rFonts w:ascii="Verdana" w:hAnsi="Verdana" w:cs="Arial"/>
          <w:color w:val="000000" w:themeColor="text1"/>
          <w:sz w:val="16"/>
          <w:szCs w:val="16"/>
          <w:lang w:val="es-ES"/>
        </w:rPr>
      </w:pPr>
      <w:r w:rsidRPr="00230B75">
        <w:rPr>
          <w:rFonts w:ascii="Verdana" w:hAnsi="Verdana" w:cs="Arial"/>
          <w:color w:val="000000" w:themeColor="text1"/>
          <w:sz w:val="16"/>
          <w:szCs w:val="16"/>
          <w:lang w:val="es-ES"/>
        </w:rPr>
        <w:t xml:space="preserve">Hasta que dichas modificaciones se realicen continuarán vigentes las siguientes denominaciones de empleo correspondientes al nivel ejecutivo, así: </w:t>
      </w:r>
    </w:p>
    <w:p w14:paraId="641F30DA" w14:textId="77777777" w:rsidR="00A50423" w:rsidRPr="00230B75" w:rsidRDefault="00A50423" w:rsidP="00A50423">
      <w:pPr>
        <w:pStyle w:val="Textonotapie"/>
        <w:ind w:firstLine="708"/>
        <w:jc w:val="both"/>
        <w:rPr>
          <w:rFonts w:ascii="Verdana" w:hAnsi="Verdana" w:cs="Arial"/>
          <w:color w:val="000000" w:themeColor="text1"/>
          <w:sz w:val="16"/>
          <w:szCs w:val="16"/>
          <w:lang w:val="es-ES"/>
        </w:rPr>
      </w:pPr>
      <w:r w:rsidRPr="00230B75">
        <w:rPr>
          <w:rFonts w:ascii="Verdana" w:hAnsi="Verdana" w:cs="Arial"/>
          <w:color w:val="000000" w:themeColor="text1"/>
          <w:sz w:val="16"/>
          <w:szCs w:val="16"/>
          <w:lang w:val="es-ES"/>
        </w:rPr>
        <w:t>[...]</w:t>
      </w:r>
    </w:p>
    <w:p w14:paraId="1BA1F9C2" w14:textId="77777777" w:rsidR="00A50423" w:rsidRPr="00230B75" w:rsidRDefault="00A50423" w:rsidP="00A50423">
      <w:pPr>
        <w:pStyle w:val="Textonotapie"/>
        <w:ind w:firstLine="708"/>
        <w:jc w:val="both"/>
        <w:rPr>
          <w:rFonts w:ascii="Verdana" w:hAnsi="Verdana" w:cs="Arial"/>
          <w:color w:val="000000" w:themeColor="text1"/>
          <w:sz w:val="16"/>
          <w:szCs w:val="16"/>
          <w:lang w:val="es-ES"/>
        </w:rPr>
      </w:pPr>
      <w:r w:rsidRPr="00230B75">
        <w:rPr>
          <w:rFonts w:ascii="Verdana" w:hAnsi="Verdana" w:cs="Arial"/>
          <w:color w:val="000000" w:themeColor="text1"/>
          <w:sz w:val="16"/>
          <w:szCs w:val="16"/>
          <w:lang w:val="es-ES"/>
        </w:rPr>
        <w:t>Parágrafo. Vencido el plazo señalado en este artículo, no podrán existir en las respectivas plantas de personal cargos con denominaciones del mencionado nivel jerárquico. Si durante este período se presentare vacante definitiva en alguno de los empleos pertenecientes al nivel ejecutivo, este deberá ser suprimido, salvo que por necesidades del servicio se efectúen las equivalencias del caso, dentro del nivel profesional</w:t>
      </w:r>
      <w:r>
        <w:rPr>
          <w:rFonts w:ascii="Verdana" w:hAnsi="Verdana" w:cs="Arial"/>
          <w:color w:val="000000" w:themeColor="text1"/>
          <w:sz w:val="16"/>
          <w:szCs w:val="16"/>
          <w:lang w:val="es-ES"/>
        </w:rPr>
        <w:t>”</w:t>
      </w:r>
      <w:r w:rsidRPr="00230B75">
        <w:rPr>
          <w:rFonts w:ascii="Verdana" w:hAnsi="Verdana" w:cs="Arial"/>
          <w:color w:val="000000" w:themeColor="text1"/>
          <w:sz w:val="16"/>
          <w:szCs w:val="16"/>
          <w:lang w:val="es-ES"/>
        </w:rPr>
        <w:t>.</w:t>
      </w:r>
    </w:p>
  </w:footnote>
  <w:footnote w:id="24">
    <w:p w14:paraId="2FF743CC" w14:textId="77777777" w:rsidR="00A50423" w:rsidRPr="00230B75" w:rsidRDefault="00A50423" w:rsidP="00A50423">
      <w:pPr>
        <w:pStyle w:val="Textonotapie"/>
        <w:ind w:firstLine="708"/>
        <w:jc w:val="both"/>
        <w:rPr>
          <w:rFonts w:ascii="Verdana" w:hAnsi="Verdana" w:cs="Arial"/>
          <w:color w:val="000000" w:themeColor="text1"/>
          <w:sz w:val="16"/>
          <w:szCs w:val="16"/>
        </w:rPr>
      </w:pPr>
      <w:r w:rsidRPr="00230B75">
        <w:rPr>
          <w:rStyle w:val="Refdenotaalpie"/>
          <w:rFonts w:ascii="Verdana" w:hAnsi="Verdana" w:cs="Arial"/>
          <w:color w:val="000000" w:themeColor="text1"/>
          <w:sz w:val="16"/>
          <w:szCs w:val="16"/>
        </w:rPr>
        <w:footnoteRef/>
      </w:r>
      <w:r w:rsidRPr="00230B75">
        <w:rPr>
          <w:rFonts w:ascii="Verdana" w:hAnsi="Verdana" w:cs="Arial"/>
          <w:color w:val="000000" w:themeColor="text1"/>
          <w:sz w:val="16"/>
          <w:szCs w:val="16"/>
        </w:rPr>
        <w:t xml:space="preserve"> Decreto 770 de 2005: </w:t>
      </w:r>
      <w:r>
        <w:rPr>
          <w:rFonts w:ascii="Verdana" w:hAnsi="Verdana" w:cs="Arial"/>
          <w:color w:val="000000" w:themeColor="text1"/>
          <w:sz w:val="16"/>
          <w:szCs w:val="16"/>
        </w:rPr>
        <w:t>“</w:t>
      </w:r>
      <w:r w:rsidRPr="00230B75">
        <w:rPr>
          <w:rFonts w:ascii="Verdana" w:hAnsi="Verdana" w:cs="Arial"/>
          <w:color w:val="000000" w:themeColor="text1"/>
          <w:sz w:val="16"/>
          <w:szCs w:val="16"/>
        </w:rPr>
        <w:t xml:space="preserve">Artículo 4. Naturaleza general de las funciones. A los empleos agrupados en los niveles jerárquicos de que trata el artículo anterior, les corresponden las siguientes funciones generales: </w:t>
      </w:r>
    </w:p>
    <w:p w14:paraId="3BF0A50D" w14:textId="77777777" w:rsidR="00A50423" w:rsidRPr="00230B75" w:rsidRDefault="00A50423" w:rsidP="00A50423">
      <w:pPr>
        <w:pStyle w:val="Textonotapie"/>
        <w:ind w:firstLine="708"/>
        <w:jc w:val="both"/>
        <w:rPr>
          <w:rFonts w:ascii="Verdana" w:hAnsi="Verdana" w:cs="Arial"/>
          <w:color w:val="000000" w:themeColor="text1"/>
          <w:sz w:val="16"/>
          <w:szCs w:val="16"/>
        </w:rPr>
      </w:pPr>
      <w:r w:rsidRPr="00230B75">
        <w:rPr>
          <w:rFonts w:ascii="Verdana" w:hAnsi="Verdana" w:cs="Arial"/>
          <w:color w:val="000000" w:themeColor="text1"/>
          <w:sz w:val="16"/>
          <w:szCs w:val="16"/>
        </w:rPr>
        <w:t>4.1 Nivel Directivo. Comprende los empleos a los cuales corresponden funciones de dirección general, de formulación de políticas institucionales y de adopción de planes, programas y proyectos.</w:t>
      </w:r>
    </w:p>
    <w:p w14:paraId="19F8C98E" w14:textId="77777777" w:rsidR="00A50423" w:rsidRPr="00230B75" w:rsidRDefault="00A50423" w:rsidP="00A50423">
      <w:pPr>
        <w:pStyle w:val="Textonotapie"/>
        <w:ind w:firstLine="708"/>
        <w:jc w:val="both"/>
        <w:rPr>
          <w:rFonts w:ascii="Verdana" w:hAnsi="Verdana" w:cs="Arial"/>
          <w:color w:val="000000" w:themeColor="text1"/>
          <w:sz w:val="16"/>
          <w:szCs w:val="16"/>
        </w:rPr>
      </w:pPr>
      <w:r w:rsidRPr="00230B75">
        <w:rPr>
          <w:rFonts w:ascii="Verdana" w:hAnsi="Verdana" w:cs="Arial"/>
          <w:color w:val="000000" w:themeColor="text1"/>
          <w:sz w:val="16"/>
          <w:szCs w:val="16"/>
        </w:rPr>
        <w:t>4.2 Nivel Asesor. Agrupa los empleos cuyas funciones consisten en asistir, aconsejar y asesorar directamente a los empleados públicos de la alta dirección de la rama ejecutiva del orden nacional</w:t>
      </w:r>
      <w:r>
        <w:rPr>
          <w:rFonts w:ascii="Verdana" w:hAnsi="Verdana" w:cs="Arial"/>
          <w:color w:val="000000" w:themeColor="text1"/>
          <w:sz w:val="16"/>
          <w:szCs w:val="16"/>
          <w:lang w:val="es-ES"/>
        </w:rPr>
        <w:t>”</w:t>
      </w:r>
    </w:p>
    <w:p w14:paraId="7858FA4A" w14:textId="77777777" w:rsidR="00A50423" w:rsidRPr="00230B75" w:rsidRDefault="00A50423" w:rsidP="00A50423">
      <w:pPr>
        <w:pStyle w:val="Textonotapie"/>
        <w:ind w:firstLine="708"/>
        <w:jc w:val="both"/>
        <w:rPr>
          <w:rFonts w:ascii="Verdana" w:hAnsi="Verdana" w:cs="Arial"/>
          <w:color w:val="000000" w:themeColor="text1"/>
          <w:sz w:val="16"/>
          <w:szCs w:val="16"/>
          <w:lang w:val="es-ES"/>
        </w:rPr>
      </w:pPr>
      <w:r w:rsidRPr="00230B75">
        <w:rPr>
          <w:rFonts w:ascii="Verdana" w:hAnsi="Verdana" w:cs="Arial"/>
          <w:color w:val="000000" w:themeColor="text1"/>
          <w:sz w:val="16"/>
          <w:szCs w:val="16"/>
          <w:lang w:val="es-ES"/>
        </w:rPr>
        <w:t xml:space="preserve">Decreto 785 de 2005: </w:t>
      </w:r>
      <w:r>
        <w:rPr>
          <w:rFonts w:ascii="Verdana" w:hAnsi="Verdana" w:cs="Arial"/>
          <w:color w:val="000000" w:themeColor="text1"/>
          <w:sz w:val="16"/>
          <w:szCs w:val="16"/>
          <w:lang w:val="es-ES"/>
        </w:rPr>
        <w:t>“</w:t>
      </w:r>
      <w:r w:rsidRPr="00230B75">
        <w:rPr>
          <w:rFonts w:ascii="Verdana" w:hAnsi="Verdana" w:cs="Arial"/>
          <w:color w:val="000000" w:themeColor="text1"/>
          <w:sz w:val="16"/>
          <w:szCs w:val="16"/>
          <w:lang w:val="es-ES"/>
        </w:rPr>
        <w:t xml:space="preserve">Artículo 4. Naturaleza general de las funciones. A los empleos agrupados en los niveles jerárquicos de que trata el artículo anterior, les corresponden las siguientes funciones generales: </w:t>
      </w:r>
    </w:p>
    <w:p w14:paraId="0886E172" w14:textId="77777777" w:rsidR="00A50423" w:rsidRPr="00230B75" w:rsidRDefault="00A50423" w:rsidP="00A50423">
      <w:pPr>
        <w:pStyle w:val="Textonotapie"/>
        <w:ind w:firstLine="708"/>
        <w:jc w:val="both"/>
        <w:rPr>
          <w:rFonts w:ascii="Verdana" w:hAnsi="Verdana" w:cs="Arial"/>
          <w:color w:val="000000" w:themeColor="text1"/>
          <w:sz w:val="16"/>
          <w:szCs w:val="16"/>
          <w:lang w:val="es-ES"/>
        </w:rPr>
      </w:pPr>
      <w:r w:rsidRPr="00230B75">
        <w:rPr>
          <w:rFonts w:ascii="Verdana" w:hAnsi="Verdana" w:cs="Arial"/>
          <w:color w:val="000000" w:themeColor="text1"/>
          <w:sz w:val="16"/>
          <w:szCs w:val="16"/>
          <w:lang w:val="es-ES"/>
        </w:rPr>
        <w:t xml:space="preserve">4.1. Nivel Directivo. </w:t>
      </w:r>
      <w:bookmarkStart w:id="5" w:name="_Hlk73974130"/>
      <w:r w:rsidRPr="00230B75">
        <w:rPr>
          <w:rFonts w:ascii="Verdana" w:hAnsi="Verdana" w:cs="Arial"/>
          <w:color w:val="000000" w:themeColor="text1"/>
          <w:sz w:val="16"/>
          <w:szCs w:val="16"/>
          <w:lang w:val="es-ES"/>
        </w:rPr>
        <w:t>Comprende los empleos a los cuales corresponden funciones de Dirección General, de formulación de políticas institucionales y de adopción de planes, programas y proyectos</w:t>
      </w:r>
      <w:bookmarkEnd w:id="5"/>
      <w:r w:rsidRPr="00230B75">
        <w:rPr>
          <w:rFonts w:ascii="Verdana" w:hAnsi="Verdana" w:cs="Arial"/>
          <w:color w:val="000000" w:themeColor="text1"/>
          <w:sz w:val="16"/>
          <w:szCs w:val="16"/>
          <w:lang w:val="es-ES"/>
        </w:rPr>
        <w:t xml:space="preserve">.  </w:t>
      </w:r>
    </w:p>
    <w:p w14:paraId="39838FEE" w14:textId="77777777" w:rsidR="00A50423" w:rsidRPr="00230B75" w:rsidRDefault="00A50423" w:rsidP="00A50423">
      <w:pPr>
        <w:pStyle w:val="Textonotapie"/>
        <w:ind w:firstLine="708"/>
        <w:jc w:val="both"/>
        <w:rPr>
          <w:rFonts w:ascii="Verdana" w:hAnsi="Verdana" w:cs="Arial"/>
          <w:color w:val="000000" w:themeColor="text1"/>
          <w:sz w:val="16"/>
          <w:szCs w:val="16"/>
          <w:lang w:val="es-ES"/>
        </w:rPr>
      </w:pPr>
      <w:r w:rsidRPr="00230B75">
        <w:rPr>
          <w:rFonts w:ascii="Verdana" w:hAnsi="Verdana" w:cs="Arial"/>
          <w:color w:val="000000" w:themeColor="text1"/>
          <w:sz w:val="16"/>
          <w:szCs w:val="16"/>
          <w:lang w:val="es-ES"/>
        </w:rPr>
        <w:t>4.2.  Nivel Asesor. Agrupa los empleos cuyas funciones consisten en asistir, aconsejar y asesorar directamente a los empleados públicos de la alta dirección territorial</w:t>
      </w:r>
      <w:r>
        <w:rPr>
          <w:rFonts w:ascii="Verdana" w:hAnsi="Verdana" w:cs="Arial"/>
          <w:color w:val="000000" w:themeColor="text1"/>
          <w:sz w:val="16"/>
          <w:szCs w:val="16"/>
          <w:lang w:val="es-ES"/>
        </w:rPr>
        <w:t>”</w:t>
      </w:r>
      <w:r w:rsidRPr="00230B75">
        <w:rPr>
          <w:rFonts w:ascii="Verdana" w:hAnsi="Verdana" w:cs="Arial"/>
          <w:color w:val="000000" w:themeColor="text1"/>
          <w:sz w:val="16"/>
          <w:szCs w:val="16"/>
          <w:lang w:val="es-ES"/>
        </w:rPr>
        <w:t>.</w:t>
      </w:r>
    </w:p>
    <w:p w14:paraId="07357C2D" w14:textId="77777777" w:rsidR="00A50423" w:rsidRPr="00230B75" w:rsidRDefault="00A50423" w:rsidP="00A50423">
      <w:pPr>
        <w:pStyle w:val="Textonotapie"/>
        <w:ind w:firstLine="708"/>
        <w:jc w:val="both"/>
        <w:rPr>
          <w:rFonts w:ascii="Verdana" w:hAnsi="Verdana" w:cs="Arial"/>
          <w:color w:val="000000" w:themeColor="text1"/>
          <w:sz w:val="16"/>
          <w:szCs w:val="16"/>
        </w:rPr>
      </w:pPr>
    </w:p>
  </w:footnote>
  <w:footnote w:id="25">
    <w:p w14:paraId="29E96E3D" w14:textId="77777777" w:rsidR="00A50423" w:rsidRPr="002F64B7" w:rsidRDefault="00A50423" w:rsidP="00A50423">
      <w:pPr>
        <w:pStyle w:val="Textonotapie"/>
        <w:ind w:firstLine="708"/>
        <w:jc w:val="both"/>
        <w:rPr>
          <w:rFonts w:ascii="Verdana" w:hAnsi="Verdana"/>
          <w:sz w:val="16"/>
          <w:szCs w:val="16"/>
        </w:rPr>
      </w:pPr>
      <w:r w:rsidRPr="002F64B7">
        <w:rPr>
          <w:rStyle w:val="Refdenotaalpie"/>
          <w:rFonts w:ascii="Verdana" w:hAnsi="Verdana"/>
          <w:sz w:val="16"/>
          <w:szCs w:val="16"/>
        </w:rPr>
        <w:footnoteRef/>
      </w:r>
      <w:r w:rsidRPr="002F64B7">
        <w:rPr>
          <w:rFonts w:ascii="Verdana" w:hAnsi="Verdana"/>
          <w:sz w:val="16"/>
          <w:szCs w:val="16"/>
        </w:rPr>
        <w:t xml:space="preserve"> RICO PUERTA</w:t>
      </w:r>
      <w:r>
        <w:rPr>
          <w:rFonts w:ascii="Verdana" w:hAnsi="Verdana"/>
          <w:sz w:val="16"/>
          <w:szCs w:val="16"/>
        </w:rPr>
        <w:t xml:space="preserve">, </w:t>
      </w:r>
      <w:r w:rsidRPr="002F64B7">
        <w:rPr>
          <w:rFonts w:ascii="Verdana" w:hAnsi="Verdana"/>
          <w:sz w:val="16"/>
          <w:szCs w:val="16"/>
        </w:rPr>
        <w:t>Luis Alonso</w:t>
      </w:r>
      <w:r>
        <w:rPr>
          <w:rFonts w:ascii="Verdana" w:hAnsi="Verdana"/>
          <w:sz w:val="16"/>
          <w:szCs w:val="16"/>
        </w:rPr>
        <w:t xml:space="preserve">. </w:t>
      </w:r>
      <w:r w:rsidRPr="002F64B7">
        <w:rPr>
          <w:rFonts w:ascii="Verdana" w:hAnsi="Verdana"/>
          <w:sz w:val="16"/>
          <w:szCs w:val="16"/>
        </w:rPr>
        <w:t>Teoría general</w:t>
      </w:r>
      <w:r>
        <w:rPr>
          <w:rFonts w:ascii="Verdana" w:hAnsi="Verdana"/>
          <w:sz w:val="16"/>
          <w:szCs w:val="16"/>
        </w:rPr>
        <w:t xml:space="preserve"> </w:t>
      </w:r>
      <w:r w:rsidRPr="002F64B7">
        <w:rPr>
          <w:rFonts w:ascii="Verdana" w:hAnsi="Verdana"/>
          <w:sz w:val="16"/>
          <w:szCs w:val="16"/>
        </w:rPr>
        <w:t>y práctica de la</w:t>
      </w:r>
      <w:r>
        <w:rPr>
          <w:rFonts w:ascii="Verdana" w:hAnsi="Verdana"/>
          <w:sz w:val="16"/>
          <w:szCs w:val="16"/>
        </w:rPr>
        <w:t xml:space="preserve"> </w:t>
      </w:r>
      <w:r w:rsidRPr="002F64B7">
        <w:rPr>
          <w:rFonts w:ascii="Verdana" w:hAnsi="Verdana"/>
          <w:sz w:val="16"/>
          <w:szCs w:val="16"/>
        </w:rPr>
        <w:t>contratación estatal</w:t>
      </w:r>
      <w:r>
        <w:rPr>
          <w:rFonts w:ascii="Verdana" w:hAnsi="Verdana"/>
          <w:sz w:val="16"/>
          <w:szCs w:val="16"/>
        </w:rPr>
        <w:t xml:space="preserve">. Tomo I. </w:t>
      </w:r>
      <w:r w:rsidRPr="002F64B7">
        <w:rPr>
          <w:rFonts w:ascii="Verdana" w:hAnsi="Verdana"/>
          <w:sz w:val="16"/>
          <w:szCs w:val="16"/>
        </w:rPr>
        <w:t>Decimocuarta edición</w:t>
      </w:r>
      <w:r>
        <w:rPr>
          <w:rFonts w:ascii="Verdana" w:hAnsi="Verdana"/>
          <w:sz w:val="16"/>
          <w:szCs w:val="16"/>
        </w:rPr>
        <w:t xml:space="preserve">. Bogotá: </w:t>
      </w:r>
      <w:r w:rsidRPr="002F64B7">
        <w:rPr>
          <w:rFonts w:ascii="Verdana" w:hAnsi="Verdana"/>
          <w:sz w:val="16"/>
          <w:szCs w:val="16"/>
        </w:rPr>
        <w:t>Grupo Editorial Ibañez</w:t>
      </w:r>
      <w:r>
        <w:rPr>
          <w:rFonts w:ascii="Verdana" w:hAnsi="Verdana"/>
          <w:sz w:val="16"/>
          <w:szCs w:val="16"/>
        </w:rPr>
        <w:t>, 2026.</w:t>
      </w:r>
      <w:r w:rsidRPr="002F64B7">
        <w:rPr>
          <w:rFonts w:ascii="Verdana" w:hAnsi="Verdana"/>
          <w:sz w:val="16"/>
          <w:szCs w:val="16"/>
        </w:rPr>
        <w:t xml:space="preserve"> </w:t>
      </w:r>
      <w:r>
        <w:rPr>
          <w:rFonts w:ascii="Verdana" w:hAnsi="Verdana"/>
          <w:sz w:val="16"/>
          <w:szCs w:val="16"/>
        </w:rPr>
        <w:t>p. 405.</w:t>
      </w:r>
    </w:p>
  </w:footnote>
  <w:footnote w:id="26">
    <w:p w14:paraId="7B36F438" w14:textId="77777777" w:rsidR="00A50423" w:rsidRPr="00DF6470" w:rsidRDefault="00A50423" w:rsidP="00A50423">
      <w:pPr>
        <w:pStyle w:val="Textonotapie"/>
        <w:ind w:firstLine="708"/>
        <w:jc w:val="both"/>
        <w:rPr>
          <w:rFonts w:ascii="Verdana" w:hAnsi="Verdana"/>
          <w:sz w:val="16"/>
          <w:szCs w:val="16"/>
          <w:lang w:val="es-CO"/>
        </w:rPr>
      </w:pPr>
      <w:r w:rsidRPr="00DF6470">
        <w:rPr>
          <w:rStyle w:val="Refdenotaalpie"/>
          <w:rFonts w:ascii="Verdana" w:hAnsi="Verdana"/>
          <w:sz w:val="16"/>
          <w:szCs w:val="16"/>
        </w:rPr>
        <w:footnoteRef/>
      </w:r>
      <w:r w:rsidRPr="00DF6470">
        <w:rPr>
          <w:rFonts w:ascii="Verdana" w:hAnsi="Verdana"/>
          <w:sz w:val="16"/>
          <w:szCs w:val="16"/>
        </w:rPr>
        <w:t xml:space="preserve"> </w:t>
      </w:r>
      <w:r>
        <w:rPr>
          <w:rFonts w:ascii="Verdana" w:hAnsi="Verdana"/>
          <w:sz w:val="16"/>
          <w:szCs w:val="16"/>
        </w:rPr>
        <w:t>E</w:t>
      </w:r>
      <w:r w:rsidRPr="00DF6470">
        <w:rPr>
          <w:rFonts w:ascii="Verdana" w:hAnsi="Verdana"/>
          <w:sz w:val="16"/>
          <w:szCs w:val="16"/>
        </w:rPr>
        <w:t>l inciso primero artículo 123 de la Constitución Política de 1991</w:t>
      </w:r>
      <w:r>
        <w:rPr>
          <w:rFonts w:ascii="Verdana" w:hAnsi="Verdana"/>
          <w:sz w:val="16"/>
          <w:szCs w:val="16"/>
        </w:rPr>
        <w:t xml:space="preserve"> dispone que “</w:t>
      </w:r>
      <w:r w:rsidRPr="00DF6470">
        <w:rPr>
          <w:rFonts w:ascii="Verdana" w:hAnsi="Verdana"/>
          <w:sz w:val="16"/>
          <w:szCs w:val="16"/>
        </w:rPr>
        <w:t>Son servidores públicos los miembros de las corporaciones públicas, los empleados y trabajadores del Estado y de sus entidades descentralizadas territorialmente y por servicios</w:t>
      </w:r>
      <w:r>
        <w:rPr>
          <w:rFonts w:ascii="Verdana" w:hAnsi="Verdana"/>
          <w:sz w:val="16"/>
          <w:szCs w:val="16"/>
        </w:rPr>
        <w:t>”</w:t>
      </w:r>
      <w:r w:rsidRPr="00DF6470">
        <w:rPr>
          <w:rFonts w:ascii="Verdana" w:hAnsi="Verdana"/>
          <w:sz w:val="16"/>
          <w:szCs w:val="16"/>
        </w:rPr>
        <w:t>.</w:t>
      </w:r>
    </w:p>
  </w:footnote>
  <w:footnote w:id="27">
    <w:p w14:paraId="0644154A" w14:textId="77777777" w:rsidR="00A50423" w:rsidRPr="00D637E5" w:rsidRDefault="00A50423" w:rsidP="00A50423">
      <w:pPr>
        <w:pStyle w:val="Textonotapie"/>
        <w:ind w:firstLine="708"/>
        <w:jc w:val="both"/>
        <w:rPr>
          <w:rFonts w:ascii="Verdana" w:hAnsi="Verdana"/>
          <w:sz w:val="16"/>
          <w:szCs w:val="16"/>
        </w:rPr>
      </w:pPr>
      <w:r w:rsidRPr="00300219">
        <w:rPr>
          <w:rStyle w:val="Refdenotaalpie"/>
          <w:rFonts w:ascii="Verdana" w:hAnsi="Verdana"/>
          <w:sz w:val="16"/>
          <w:szCs w:val="16"/>
        </w:rPr>
        <w:footnoteRef/>
      </w:r>
      <w:r w:rsidRPr="00300219">
        <w:rPr>
          <w:rFonts w:ascii="Verdana" w:hAnsi="Verdana"/>
          <w:sz w:val="16"/>
          <w:szCs w:val="16"/>
        </w:rPr>
        <w:t xml:space="preserve"> </w:t>
      </w:r>
      <w:r>
        <w:rPr>
          <w:rFonts w:ascii="Verdana" w:hAnsi="Verdana"/>
          <w:sz w:val="16"/>
          <w:szCs w:val="16"/>
        </w:rPr>
        <w:t>Al respecto, “</w:t>
      </w:r>
      <w:r w:rsidRPr="00300219">
        <w:rPr>
          <w:rFonts w:ascii="Verdana" w:hAnsi="Verdana"/>
          <w:sz w:val="16"/>
          <w:szCs w:val="16"/>
        </w:rPr>
        <w:t xml:space="preserve">El literal a) del numeral 2 </w:t>
      </w:r>
      <w:r>
        <w:rPr>
          <w:rFonts w:ascii="Verdana" w:hAnsi="Verdana"/>
          <w:sz w:val="16"/>
          <w:szCs w:val="16"/>
        </w:rPr>
        <w:t>[…]</w:t>
      </w:r>
      <w:r w:rsidRPr="00300219">
        <w:rPr>
          <w:rFonts w:ascii="Verdana" w:hAnsi="Verdana"/>
          <w:sz w:val="16"/>
          <w:szCs w:val="16"/>
        </w:rPr>
        <w:t xml:space="preserve"> habla de los exfuncionarios frente a la entidad contratante, pero cabría preguntar qué pasa cuando se trata de un exfuncionario de un ente descentralizado perteneciente a la entidad frente a la cual se piensa contratar. ¿Se podría hablar aquí de esta inhabilidad especial? Préstese atención al hecho de que mientras hubiera estado en el cargo no habría podido contratar; este aspecto nos permite concluir que la ley, a pesar de sus innovaciones en esta materia, dejó algunos vacíos que la hacen contradictoria y que en una interpretación severa de las inhabilidades, lleva a concluir que en este evento no puede aplicarse la prohibición, por cuanto se impide la aplicación analógica de las mismas</w:t>
      </w:r>
      <w:r>
        <w:rPr>
          <w:rFonts w:ascii="Verdana" w:hAnsi="Verdana"/>
          <w:sz w:val="16"/>
          <w:szCs w:val="16"/>
        </w:rPr>
        <w:t>” (</w:t>
      </w:r>
      <w:r w:rsidRPr="00D637E5">
        <w:rPr>
          <w:rFonts w:ascii="Verdana" w:hAnsi="Verdana"/>
          <w:sz w:val="16"/>
          <w:szCs w:val="16"/>
        </w:rPr>
        <w:t>PALACIO HINCAPIÉ</w:t>
      </w:r>
      <w:r>
        <w:rPr>
          <w:rFonts w:ascii="Verdana" w:hAnsi="Verdana"/>
          <w:sz w:val="16"/>
          <w:szCs w:val="16"/>
        </w:rPr>
        <w:t xml:space="preserve">, </w:t>
      </w:r>
      <w:r w:rsidRPr="00D637E5">
        <w:rPr>
          <w:rFonts w:ascii="Verdana" w:hAnsi="Verdana"/>
          <w:sz w:val="16"/>
          <w:szCs w:val="16"/>
        </w:rPr>
        <w:t>Juan Ángel</w:t>
      </w:r>
      <w:r>
        <w:rPr>
          <w:rFonts w:ascii="Verdana" w:hAnsi="Verdana"/>
          <w:sz w:val="16"/>
          <w:szCs w:val="16"/>
        </w:rPr>
        <w:t xml:space="preserve">. </w:t>
      </w:r>
      <w:r w:rsidRPr="00D637E5">
        <w:rPr>
          <w:rFonts w:ascii="Verdana" w:hAnsi="Verdana"/>
          <w:sz w:val="16"/>
          <w:szCs w:val="16"/>
        </w:rPr>
        <w:t>La contratación</w:t>
      </w:r>
      <w:r>
        <w:rPr>
          <w:rFonts w:ascii="Verdana" w:hAnsi="Verdana"/>
          <w:sz w:val="16"/>
          <w:szCs w:val="16"/>
        </w:rPr>
        <w:t xml:space="preserve"> </w:t>
      </w:r>
      <w:r w:rsidRPr="00D637E5">
        <w:rPr>
          <w:rFonts w:ascii="Verdana" w:hAnsi="Verdana"/>
          <w:sz w:val="16"/>
          <w:szCs w:val="16"/>
        </w:rPr>
        <w:t>de las entidades estatales</w:t>
      </w:r>
      <w:r>
        <w:rPr>
          <w:rFonts w:ascii="Verdana" w:hAnsi="Verdana"/>
          <w:sz w:val="16"/>
          <w:szCs w:val="16"/>
        </w:rPr>
        <w:t>. Novena edición. Medellín: Librería Jurídica Sánchez R SAS, 2025.</w:t>
      </w:r>
      <w:r w:rsidRPr="00D637E5">
        <w:rPr>
          <w:rFonts w:ascii="Verdana" w:hAnsi="Verdana"/>
          <w:sz w:val="16"/>
          <w:szCs w:val="16"/>
        </w:rPr>
        <w:t xml:space="preserve"> </w:t>
      </w:r>
      <w:r>
        <w:rPr>
          <w:rFonts w:ascii="Verdana" w:hAnsi="Verdana"/>
          <w:sz w:val="16"/>
          <w:szCs w:val="16"/>
        </w:rPr>
        <w:t>p.  148)</w:t>
      </w:r>
      <w:r w:rsidRPr="00300219">
        <w:rPr>
          <w:rFonts w:ascii="Verdana" w:hAnsi="Verdana"/>
          <w:sz w:val="16"/>
          <w:szCs w:val="16"/>
        </w:rPr>
        <w:t>.</w:t>
      </w:r>
    </w:p>
  </w:footnote>
  <w:footnote w:id="28">
    <w:p w14:paraId="7CF15E9E" w14:textId="77777777" w:rsidR="00A50423" w:rsidRPr="00E16572" w:rsidRDefault="00A50423" w:rsidP="00A50423">
      <w:pPr>
        <w:pStyle w:val="Textonotapie"/>
        <w:ind w:firstLine="708"/>
        <w:jc w:val="both"/>
        <w:rPr>
          <w:rFonts w:ascii="Verdana" w:hAnsi="Verdana"/>
          <w:sz w:val="16"/>
          <w:szCs w:val="16"/>
          <w:lang w:val="es-CO"/>
        </w:rPr>
      </w:pPr>
      <w:r w:rsidRPr="00E16572">
        <w:rPr>
          <w:rStyle w:val="Refdenotaalpie"/>
          <w:rFonts w:ascii="Verdana" w:hAnsi="Verdana"/>
          <w:sz w:val="16"/>
          <w:szCs w:val="16"/>
        </w:rPr>
        <w:footnoteRef/>
      </w:r>
      <w:r w:rsidRPr="00E16572">
        <w:rPr>
          <w:rFonts w:ascii="Verdana" w:hAnsi="Verdana"/>
          <w:sz w:val="16"/>
          <w:szCs w:val="16"/>
        </w:rPr>
        <w:t xml:space="preserve"> </w:t>
      </w:r>
      <w:r>
        <w:rPr>
          <w:rFonts w:ascii="Verdana" w:hAnsi="Verdana"/>
          <w:sz w:val="16"/>
          <w:szCs w:val="16"/>
        </w:rPr>
        <w:t xml:space="preserve">MATALLA CAMACHO, Ernesto. </w:t>
      </w:r>
      <w:r w:rsidRPr="00E16572">
        <w:rPr>
          <w:rFonts w:ascii="Verdana" w:hAnsi="Verdana"/>
          <w:sz w:val="16"/>
          <w:szCs w:val="16"/>
        </w:rPr>
        <w:t>Manual de contratación de la administración pública: reforma de la Ley 80 de 1993</w:t>
      </w:r>
      <w:r>
        <w:rPr>
          <w:rFonts w:ascii="Verdana" w:hAnsi="Verdana"/>
          <w:sz w:val="16"/>
          <w:szCs w:val="16"/>
        </w:rPr>
        <w:t xml:space="preserve">. Cuarta edición. </w:t>
      </w:r>
      <w:r w:rsidRPr="00E16572">
        <w:rPr>
          <w:rFonts w:ascii="Verdana" w:hAnsi="Verdana"/>
          <w:sz w:val="16"/>
          <w:szCs w:val="16"/>
        </w:rPr>
        <w:t>Bogotá: Universidad Externado de Colombia, 2015</w:t>
      </w:r>
      <w:r>
        <w:rPr>
          <w:rFonts w:ascii="Verdana" w:hAnsi="Verdana"/>
          <w:sz w:val="16"/>
          <w:szCs w:val="16"/>
        </w:rPr>
        <w:t>. p. 208.</w:t>
      </w:r>
    </w:p>
  </w:footnote>
  <w:footnote w:id="29">
    <w:p w14:paraId="7F01C089" w14:textId="51455652" w:rsidR="005C2C6C" w:rsidRPr="002E724B" w:rsidRDefault="005C2C6C" w:rsidP="002E724B">
      <w:pPr>
        <w:pStyle w:val="Textonotapie"/>
        <w:ind w:firstLine="708"/>
        <w:rPr>
          <w:rFonts w:ascii="Verdana" w:hAnsi="Verdana"/>
          <w:sz w:val="16"/>
          <w:szCs w:val="16"/>
        </w:rPr>
      </w:pPr>
      <w:r w:rsidRPr="002E724B">
        <w:rPr>
          <w:rStyle w:val="Refdenotaalpie"/>
          <w:rFonts w:ascii="Verdana" w:hAnsi="Verdana"/>
          <w:sz w:val="16"/>
          <w:szCs w:val="16"/>
        </w:rPr>
        <w:footnoteRef/>
      </w:r>
      <w:r w:rsidRPr="002E724B">
        <w:rPr>
          <w:rFonts w:ascii="Verdana" w:hAnsi="Verdana"/>
          <w:sz w:val="16"/>
          <w:szCs w:val="16"/>
        </w:rPr>
        <w:t xml:space="preserve"> </w:t>
      </w:r>
      <w:r w:rsidRPr="002E724B">
        <w:rPr>
          <w:rFonts w:ascii="Verdana" w:hAnsi="Verdana"/>
          <w:sz w:val="16"/>
          <w:szCs w:val="16"/>
          <w:lang w:val="es-CO"/>
        </w:rPr>
        <w:t>DEPARTAMENTO ADMINISTRATIVO DE LA FUNCIÓN PÚBLICA. Concepto 000061 de 2019, sobre la finalidad antielusiva de la "puerta giratoria" del art. 4 de la Ley 1474 de 2011.</w:t>
      </w:r>
      <w:r w:rsidRPr="002E724B">
        <w:rPr>
          <w:rFonts w:ascii="Verdana" w:hAnsi="Verdana"/>
          <w:sz w:val="16"/>
          <w:szCs w:val="16"/>
        </w:rPr>
        <w:t xml:space="preserve"> </w:t>
      </w:r>
    </w:p>
  </w:footnote>
  <w:footnote w:id="30">
    <w:p w14:paraId="54A5723E" w14:textId="35A940CA" w:rsidR="00EF20C8" w:rsidRPr="002E724B" w:rsidRDefault="00EF20C8" w:rsidP="002E724B">
      <w:pPr>
        <w:pStyle w:val="Textonotapie"/>
        <w:ind w:firstLine="708"/>
        <w:jc w:val="both"/>
        <w:rPr>
          <w:rFonts w:ascii="Verdana" w:hAnsi="Verdana"/>
          <w:sz w:val="16"/>
          <w:szCs w:val="16"/>
        </w:rPr>
      </w:pPr>
      <w:r w:rsidRPr="002E724B">
        <w:rPr>
          <w:rStyle w:val="Refdenotaalpie"/>
          <w:rFonts w:ascii="Verdana" w:hAnsi="Verdana"/>
          <w:sz w:val="16"/>
          <w:szCs w:val="16"/>
        </w:rPr>
        <w:footnoteRef/>
      </w:r>
      <w:r w:rsidRPr="002E724B">
        <w:rPr>
          <w:rFonts w:ascii="Verdana" w:hAnsi="Verdana"/>
          <w:sz w:val="16"/>
          <w:szCs w:val="16"/>
        </w:rPr>
        <w:t xml:space="preserve"> </w:t>
      </w:r>
      <w:r w:rsidRPr="002E724B">
        <w:rPr>
          <w:rFonts w:ascii="Verdana" w:hAnsi="Verdana"/>
          <w:sz w:val="16"/>
          <w:szCs w:val="16"/>
          <w:lang w:val="es-CO"/>
        </w:rPr>
        <w:t>Sobre el carácter objetivo y restrictivo de la causal del literal f), ver. DEPARTAMENTO ADMINISTRATIVO DE LA FUNCIÓN PÚBLICA. Concepto 45441 del 5 de febrero de 2020. Radicado 20209000008982. Bogotá, D.C., 2020.</w:t>
      </w:r>
      <w:r w:rsidRPr="002E724B">
        <w:rPr>
          <w:rFonts w:ascii="Verdana" w:hAnsi="Verdana"/>
          <w:sz w:val="16"/>
          <w:szCs w:val="16"/>
        </w:rPr>
        <w:t xml:space="preserve"> </w:t>
      </w:r>
    </w:p>
  </w:footnote>
  <w:footnote w:id="31">
    <w:p w14:paraId="52C7D014" w14:textId="77777777" w:rsidR="00A50423" w:rsidRPr="0005299D" w:rsidRDefault="00A50423" w:rsidP="00A50423">
      <w:pPr>
        <w:pStyle w:val="Textonotapie"/>
        <w:ind w:firstLine="708"/>
        <w:jc w:val="both"/>
        <w:rPr>
          <w:rFonts w:ascii="Verdana" w:hAnsi="Verdana"/>
          <w:sz w:val="16"/>
          <w:szCs w:val="16"/>
          <w:lang w:val="es-CO"/>
        </w:rPr>
      </w:pPr>
      <w:r w:rsidRPr="00EB24FB">
        <w:rPr>
          <w:rStyle w:val="Refdenotaalpie"/>
          <w:rFonts w:ascii="Verdana" w:hAnsi="Verdana"/>
          <w:sz w:val="16"/>
          <w:szCs w:val="16"/>
        </w:rPr>
        <w:footnoteRef/>
      </w:r>
      <w:r>
        <w:rPr>
          <w:rFonts w:ascii="Verdana" w:hAnsi="Verdana"/>
          <w:sz w:val="16"/>
          <w:szCs w:val="16"/>
        </w:rPr>
        <w:t xml:space="preserve"> </w:t>
      </w:r>
      <w:r w:rsidRPr="0005299D">
        <w:rPr>
          <w:rFonts w:ascii="Verdana" w:hAnsi="Verdana"/>
          <w:sz w:val="16"/>
          <w:szCs w:val="16"/>
        </w:rPr>
        <w:t>DÁVILA VINUEZA</w:t>
      </w:r>
      <w:r>
        <w:rPr>
          <w:rFonts w:ascii="Verdana" w:hAnsi="Verdana"/>
          <w:sz w:val="16"/>
          <w:szCs w:val="16"/>
        </w:rPr>
        <w:t>,</w:t>
      </w:r>
      <w:r w:rsidRPr="0005299D">
        <w:rPr>
          <w:rFonts w:ascii="Verdana" w:hAnsi="Verdana"/>
          <w:sz w:val="16"/>
          <w:szCs w:val="16"/>
        </w:rPr>
        <w:t xml:space="preserve"> Luis Guillermo</w:t>
      </w:r>
      <w:r>
        <w:rPr>
          <w:rFonts w:ascii="Verdana" w:hAnsi="Verdana"/>
          <w:sz w:val="16"/>
          <w:szCs w:val="16"/>
        </w:rPr>
        <w:t>. Régimen jurídico de la contratación estatal. Cuarta edición. Bogotá: Tirant lo Blanch, 2026.</w:t>
      </w:r>
      <w:r w:rsidRPr="0005299D">
        <w:rPr>
          <w:rFonts w:ascii="Verdana" w:hAnsi="Verdana"/>
          <w:sz w:val="16"/>
          <w:szCs w:val="16"/>
        </w:rPr>
        <w:t xml:space="preserve"> </w:t>
      </w:r>
      <w:r>
        <w:rPr>
          <w:rFonts w:ascii="Verdana" w:hAnsi="Verdana"/>
          <w:sz w:val="16"/>
          <w:szCs w:val="16"/>
        </w:rPr>
        <w:t>p. 260.</w:t>
      </w:r>
    </w:p>
  </w:footnote>
  <w:footnote w:id="32">
    <w:p w14:paraId="1D83D611" w14:textId="30904088" w:rsidR="00960B93" w:rsidRPr="002E724B" w:rsidRDefault="00960B93" w:rsidP="002E724B">
      <w:pPr>
        <w:pStyle w:val="Textonotapie"/>
        <w:ind w:firstLine="708"/>
        <w:jc w:val="both"/>
        <w:rPr>
          <w:rFonts w:ascii="Verdana" w:hAnsi="Verdana"/>
          <w:sz w:val="16"/>
          <w:szCs w:val="16"/>
        </w:rPr>
      </w:pPr>
      <w:r w:rsidRPr="002E724B">
        <w:rPr>
          <w:rStyle w:val="Refdenotaalpie"/>
          <w:rFonts w:ascii="Verdana" w:hAnsi="Verdana"/>
          <w:sz w:val="16"/>
          <w:szCs w:val="16"/>
        </w:rPr>
        <w:footnoteRef/>
      </w:r>
      <w:r w:rsidRPr="002E724B">
        <w:rPr>
          <w:rFonts w:ascii="Verdana" w:hAnsi="Verdana"/>
          <w:sz w:val="16"/>
          <w:szCs w:val="16"/>
        </w:rPr>
        <w:t xml:space="preserve"> </w:t>
      </w:r>
      <w:r w:rsidRPr="002E724B">
        <w:rPr>
          <w:rFonts w:ascii="Verdana" w:hAnsi="Verdana"/>
          <w:sz w:val="16"/>
          <w:szCs w:val="16"/>
          <w:lang w:val="es-CO"/>
        </w:rPr>
        <w:t xml:space="preserve">DEPARTAMENTO ADMINISTRATIVO DE LA FUNCIÓN PÚBLICA. Concepto 162631 </w:t>
      </w:r>
      <w:r w:rsidR="001741C6" w:rsidRPr="002E724B">
        <w:rPr>
          <w:rFonts w:ascii="Verdana" w:hAnsi="Verdana"/>
          <w:sz w:val="16"/>
          <w:szCs w:val="16"/>
          <w:lang w:val="es-CO"/>
        </w:rPr>
        <w:t xml:space="preserve">de </w:t>
      </w:r>
      <w:r w:rsidRPr="002E724B">
        <w:rPr>
          <w:rFonts w:ascii="Verdana" w:hAnsi="Verdana"/>
          <w:sz w:val="16"/>
          <w:szCs w:val="16"/>
          <w:lang w:val="es-CO"/>
        </w:rPr>
        <w:t>2021</w:t>
      </w:r>
      <w:r w:rsidR="001741C6" w:rsidRPr="002E724B">
        <w:rPr>
          <w:rFonts w:ascii="Verdana" w:hAnsi="Verdana"/>
          <w:sz w:val="16"/>
          <w:szCs w:val="16"/>
          <w:lang w:val="es-CO"/>
        </w:rPr>
        <w:t xml:space="preserve">. Estudia </w:t>
      </w:r>
      <w:r w:rsidRPr="002E724B">
        <w:rPr>
          <w:rFonts w:ascii="Verdana" w:hAnsi="Verdana"/>
          <w:sz w:val="16"/>
          <w:szCs w:val="16"/>
          <w:lang w:val="es-CO"/>
        </w:rPr>
        <w:t>la transición del término de la prohibición de gestión de intereses privados de dos a un año con la entrada en vigor de la Ley 1952 de 2019</w:t>
      </w:r>
      <w:r w:rsidR="00C34082">
        <w:rPr>
          <w:rFonts w:ascii="Verdana" w:hAnsi="Verdana"/>
          <w:sz w:val="16"/>
          <w:szCs w:val="16"/>
          <w:lang w:val="es-C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14.4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CD03438"/>
    <w:multiLevelType w:val="hybridMultilevel"/>
    <w:tmpl w:val="206ACE9C"/>
    <w:lvl w:ilvl="0" w:tplc="E53A7D4A">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B8150F3"/>
    <w:multiLevelType w:val="hybridMultilevel"/>
    <w:tmpl w:val="45F2B872"/>
    <w:lvl w:ilvl="0" w:tplc="9A80B28C">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47775DAB"/>
    <w:multiLevelType w:val="hybridMultilevel"/>
    <w:tmpl w:val="FB520978"/>
    <w:lvl w:ilvl="0" w:tplc="63D69134">
      <w:start w:val="1"/>
      <w:numFmt w:val="low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4"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8"/>
  </w:num>
  <w:num w:numId="2" w16cid:durableId="19822139">
    <w:abstractNumId w:val="2"/>
  </w:num>
  <w:num w:numId="3" w16cid:durableId="876742304">
    <w:abstractNumId w:val="6"/>
  </w:num>
  <w:num w:numId="4" w16cid:durableId="2451864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6"/>
  </w:num>
  <w:num w:numId="7" w16cid:durableId="1946422806">
    <w:abstractNumId w:val="7"/>
  </w:num>
  <w:num w:numId="8" w16cid:durableId="152644682">
    <w:abstractNumId w:val="15"/>
  </w:num>
  <w:num w:numId="9" w16cid:durableId="1317221377">
    <w:abstractNumId w:val="9"/>
  </w:num>
  <w:num w:numId="10" w16cid:durableId="1471245386">
    <w:abstractNumId w:val="14"/>
  </w:num>
  <w:num w:numId="11" w16cid:durableId="289172385">
    <w:abstractNumId w:val="10"/>
  </w:num>
  <w:num w:numId="12" w16cid:durableId="1470781324">
    <w:abstractNumId w:val="1"/>
  </w:num>
  <w:num w:numId="13" w16cid:durableId="1512908409">
    <w:abstractNumId w:val="5"/>
  </w:num>
  <w:num w:numId="14" w16cid:durableId="895897244">
    <w:abstractNumId w:val="17"/>
  </w:num>
  <w:num w:numId="15" w16cid:durableId="390349800">
    <w:abstractNumId w:val="13"/>
  </w:num>
  <w:num w:numId="16" w16cid:durableId="1330140246">
    <w:abstractNumId w:val="0"/>
  </w:num>
  <w:num w:numId="17" w16cid:durableId="679089576">
    <w:abstractNumId w:val="11"/>
  </w:num>
  <w:num w:numId="18" w16cid:durableId="279577552">
    <w:abstractNumId w:val="3"/>
  </w:num>
  <w:num w:numId="19" w16cid:durableId="1745181119">
    <w:abstractNumId w:val="4"/>
  </w:num>
  <w:num w:numId="20" w16cid:durableId="17485023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53F39"/>
    <w:rsid w:val="00061B2A"/>
    <w:rsid w:val="00066F3E"/>
    <w:rsid w:val="000770CD"/>
    <w:rsid w:val="00082362"/>
    <w:rsid w:val="0008573C"/>
    <w:rsid w:val="000947AF"/>
    <w:rsid w:val="000A683E"/>
    <w:rsid w:val="000B19B9"/>
    <w:rsid w:val="000B3FB9"/>
    <w:rsid w:val="000D0334"/>
    <w:rsid w:val="000D5DA7"/>
    <w:rsid w:val="000F6486"/>
    <w:rsid w:val="00116940"/>
    <w:rsid w:val="00125105"/>
    <w:rsid w:val="00127233"/>
    <w:rsid w:val="0015699B"/>
    <w:rsid w:val="001741C6"/>
    <w:rsid w:val="00193721"/>
    <w:rsid w:val="001A33BF"/>
    <w:rsid w:val="001C138B"/>
    <w:rsid w:val="001E4177"/>
    <w:rsid w:val="001F0B24"/>
    <w:rsid w:val="001F7DC6"/>
    <w:rsid w:val="00202C92"/>
    <w:rsid w:val="0022400B"/>
    <w:rsid w:val="002421BB"/>
    <w:rsid w:val="0025796E"/>
    <w:rsid w:val="002707A2"/>
    <w:rsid w:val="002951A0"/>
    <w:rsid w:val="002962BC"/>
    <w:rsid w:val="002A093D"/>
    <w:rsid w:val="002A0DD0"/>
    <w:rsid w:val="002A49AC"/>
    <w:rsid w:val="002A64FD"/>
    <w:rsid w:val="002C7A84"/>
    <w:rsid w:val="002E2BF8"/>
    <w:rsid w:val="002E4FD9"/>
    <w:rsid w:val="002E724B"/>
    <w:rsid w:val="0030657A"/>
    <w:rsid w:val="00322A85"/>
    <w:rsid w:val="00324168"/>
    <w:rsid w:val="00327307"/>
    <w:rsid w:val="00330834"/>
    <w:rsid w:val="003448F4"/>
    <w:rsid w:val="00374F5E"/>
    <w:rsid w:val="00377E3E"/>
    <w:rsid w:val="003A779E"/>
    <w:rsid w:val="003D0F4D"/>
    <w:rsid w:val="003D5B0D"/>
    <w:rsid w:val="003E0499"/>
    <w:rsid w:val="003E4F80"/>
    <w:rsid w:val="003E6439"/>
    <w:rsid w:val="003E6467"/>
    <w:rsid w:val="003F3941"/>
    <w:rsid w:val="00403685"/>
    <w:rsid w:val="00406575"/>
    <w:rsid w:val="00414C74"/>
    <w:rsid w:val="0042722E"/>
    <w:rsid w:val="004323DB"/>
    <w:rsid w:val="0044528D"/>
    <w:rsid w:val="00466E39"/>
    <w:rsid w:val="004A1847"/>
    <w:rsid w:val="004A305D"/>
    <w:rsid w:val="004F21C4"/>
    <w:rsid w:val="004F685F"/>
    <w:rsid w:val="00517F93"/>
    <w:rsid w:val="005566E8"/>
    <w:rsid w:val="00574867"/>
    <w:rsid w:val="00584E32"/>
    <w:rsid w:val="00591460"/>
    <w:rsid w:val="005A4011"/>
    <w:rsid w:val="005A65E0"/>
    <w:rsid w:val="005C2C6C"/>
    <w:rsid w:val="005C3777"/>
    <w:rsid w:val="005C5CDC"/>
    <w:rsid w:val="005D476C"/>
    <w:rsid w:val="005E0D7D"/>
    <w:rsid w:val="00602CB8"/>
    <w:rsid w:val="006200BF"/>
    <w:rsid w:val="006219F8"/>
    <w:rsid w:val="006302F7"/>
    <w:rsid w:val="00646B9F"/>
    <w:rsid w:val="00665D70"/>
    <w:rsid w:val="0068769A"/>
    <w:rsid w:val="006900D9"/>
    <w:rsid w:val="006C24D3"/>
    <w:rsid w:val="00704507"/>
    <w:rsid w:val="00706C16"/>
    <w:rsid w:val="007340C3"/>
    <w:rsid w:val="0075235A"/>
    <w:rsid w:val="00756841"/>
    <w:rsid w:val="007649AB"/>
    <w:rsid w:val="00771D0C"/>
    <w:rsid w:val="007833AC"/>
    <w:rsid w:val="007B268C"/>
    <w:rsid w:val="007B7171"/>
    <w:rsid w:val="007C0C0F"/>
    <w:rsid w:val="007C3DC2"/>
    <w:rsid w:val="007E5497"/>
    <w:rsid w:val="00806F5F"/>
    <w:rsid w:val="00820278"/>
    <w:rsid w:val="008258C9"/>
    <w:rsid w:val="00844AE9"/>
    <w:rsid w:val="008465D4"/>
    <w:rsid w:val="00857E1A"/>
    <w:rsid w:val="00867F95"/>
    <w:rsid w:val="008843B6"/>
    <w:rsid w:val="00891928"/>
    <w:rsid w:val="008A41DB"/>
    <w:rsid w:val="008A446D"/>
    <w:rsid w:val="008B25F1"/>
    <w:rsid w:val="008D180B"/>
    <w:rsid w:val="008E06F0"/>
    <w:rsid w:val="008F0EA7"/>
    <w:rsid w:val="00923EEF"/>
    <w:rsid w:val="009419F9"/>
    <w:rsid w:val="0094541F"/>
    <w:rsid w:val="0095685E"/>
    <w:rsid w:val="00960B93"/>
    <w:rsid w:val="00961B09"/>
    <w:rsid w:val="00965334"/>
    <w:rsid w:val="0097093E"/>
    <w:rsid w:val="009A0DFA"/>
    <w:rsid w:val="009A1C6F"/>
    <w:rsid w:val="009B241B"/>
    <w:rsid w:val="009B2D26"/>
    <w:rsid w:val="009C71FA"/>
    <w:rsid w:val="009C72E7"/>
    <w:rsid w:val="009C7F7E"/>
    <w:rsid w:val="009D3058"/>
    <w:rsid w:val="009F3A13"/>
    <w:rsid w:val="00A01714"/>
    <w:rsid w:val="00A122D3"/>
    <w:rsid w:val="00A14468"/>
    <w:rsid w:val="00A17F13"/>
    <w:rsid w:val="00A20739"/>
    <w:rsid w:val="00A23AF9"/>
    <w:rsid w:val="00A33C78"/>
    <w:rsid w:val="00A50423"/>
    <w:rsid w:val="00AA3886"/>
    <w:rsid w:val="00AB0ADB"/>
    <w:rsid w:val="00B00C0E"/>
    <w:rsid w:val="00B01B1A"/>
    <w:rsid w:val="00B0381D"/>
    <w:rsid w:val="00B44A47"/>
    <w:rsid w:val="00B72CD3"/>
    <w:rsid w:val="00B72FFF"/>
    <w:rsid w:val="00BC3D36"/>
    <w:rsid w:val="00BD54A6"/>
    <w:rsid w:val="00BD7F72"/>
    <w:rsid w:val="00BF7425"/>
    <w:rsid w:val="00C04FB3"/>
    <w:rsid w:val="00C11D8B"/>
    <w:rsid w:val="00C15139"/>
    <w:rsid w:val="00C330EB"/>
    <w:rsid w:val="00C34082"/>
    <w:rsid w:val="00C50D69"/>
    <w:rsid w:val="00C5365C"/>
    <w:rsid w:val="00C754BE"/>
    <w:rsid w:val="00C76B1C"/>
    <w:rsid w:val="00C925AC"/>
    <w:rsid w:val="00CB6357"/>
    <w:rsid w:val="00CB788D"/>
    <w:rsid w:val="00CC1B26"/>
    <w:rsid w:val="00D361FD"/>
    <w:rsid w:val="00D40880"/>
    <w:rsid w:val="00D423A2"/>
    <w:rsid w:val="00D44E26"/>
    <w:rsid w:val="00D520D8"/>
    <w:rsid w:val="00D63502"/>
    <w:rsid w:val="00D63AC2"/>
    <w:rsid w:val="00D7383B"/>
    <w:rsid w:val="00D7788A"/>
    <w:rsid w:val="00D77FEB"/>
    <w:rsid w:val="00DA231B"/>
    <w:rsid w:val="00DC39FC"/>
    <w:rsid w:val="00DF5254"/>
    <w:rsid w:val="00E02524"/>
    <w:rsid w:val="00E16408"/>
    <w:rsid w:val="00E20894"/>
    <w:rsid w:val="00E245AB"/>
    <w:rsid w:val="00E2764C"/>
    <w:rsid w:val="00E27F2E"/>
    <w:rsid w:val="00E50AFE"/>
    <w:rsid w:val="00E75C92"/>
    <w:rsid w:val="00E75EEA"/>
    <w:rsid w:val="00E771DC"/>
    <w:rsid w:val="00E81CB0"/>
    <w:rsid w:val="00E8772A"/>
    <w:rsid w:val="00E90F6B"/>
    <w:rsid w:val="00E92C27"/>
    <w:rsid w:val="00EA0E3D"/>
    <w:rsid w:val="00EC38A7"/>
    <w:rsid w:val="00EE02A8"/>
    <w:rsid w:val="00EE1AA8"/>
    <w:rsid w:val="00EF20C8"/>
    <w:rsid w:val="00F23FEA"/>
    <w:rsid w:val="00F31EDC"/>
    <w:rsid w:val="00F37430"/>
    <w:rsid w:val="00F462B3"/>
    <w:rsid w:val="00F5664F"/>
    <w:rsid w:val="00F65816"/>
    <w:rsid w:val="00F666C4"/>
    <w:rsid w:val="00F76AFC"/>
    <w:rsid w:val="00FA47C0"/>
    <w:rsid w:val="00FB1EE4"/>
    <w:rsid w:val="00FB5DD1"/>
    <w:rsid w:val="00FC2B5D"/>
    <w:rsid w:val="00FF1449"/>
    <w:rsid w:val="00FF7963"/>
    <w:rsid w:val="071B8F93"/>
    <w:rsid w:val="07C73DD1"/>
    <w:rsid w:val="09908A09"/>
    <w:rsid w:val="0E0AF0F4"/>
    <w:rsid w:val="0ED15993"/>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A50423"/>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50423"/>
    <w:rPr>
      <w:rFonts w:ascii="Geomanist Light" w:hAnsi="Geomanist Light"/>
      <w:lang w:val="es-ES"/>
    </w:rPr>
  </w:style>
  <w:style w:type="character" w:customStyle="1" w:styleId="s15">
    <w:name w:val="s15"/>
    <w:basedOn w:val="Fuentedeprrafopredeter"/>
    <w:rsid w:val="00A50423"/>
  </w:style>
  <w:style w:type="character" w:customStyle="1" w:styleId="NormalWebCar">
    <w:name w:val="Normal (Web) Car"/>
    <w:link w:val="NormalWeb"/>
    <w:uiPriority w:val="99"/>
    <w:rsid w:val="00A50423"/>
    <w:rPr>
      <w:rFonts w:ascii="Times New Roman" w:eastAsia="Times New Roman" w:hAnsi="Times New Roman" w:cs="Times New Roman"/>
      <w:sz w:val="24"/>
      <w:szCs w:val="24"/>
      <w:lang w:eastAsia="es-CO"/>
    </w:rPr>
  </w:style>
  <w:style w:type="paragraph" w:styleId="Sinespaciado">
    <w:name w:val="No Spacing"/>
    <w:aliases w:val="No Indent"/>
    <w:uiPriority w:val="3"/>
    <w:qFormat/>
    <w:rsid w:val="00A50423"/>
    <w:pPr>
      <w:spacing w:after="0" w:line="240" w:lineRule="auto"/>
    </w:pPr>
    <w:rPr>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atoria.colombiacompra.gov.co/busqueda/conceptos" TargetMode="External"/><Relationship Id="rId18" Type="http://schemas.openxmlformats.org/officeDocument/2006/relationships/hyperlink" Target="mailto:ventanilladeradicacion@colombiacompra.gov.co" TargetMode="Externa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jhon.gonzalez@contraloria.gov.co" TargetMode="External"/><Relationship Id="rId17" Type="http://schemas.openxmlformats.org/officeDocument/2006/relationships/hyperlink" Target="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 TargetMode="External"/><Relationship Id="rId20" Type="http://schemas.openxmlformats.org/officeDocument/2006/relationships/hyperlink" Target="https://forms.office.com/r/pPHyWVs2SZ"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colombiacompra.gov.co/pqrsd/informacion-importante-antes-de-formular-una-pqrs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95032F8A-2CC9-4409-A57E-50AF50D1E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4.xml><?xml version="1.0" encoding="utf-8"?>
<ds:datastoreItem xmlns:ds="http://schemas.openxmlformats.org/officeDocument/2006/customXml" ds:itemID="{D0807EB4-1C52-CA4E-B228-007ACEED8234}">
  <ds:schemaRefs>
    <ds:schemaRef ds:uri="http://schemas.openxmlformats.org/officeDocument/2006/bibliography"/>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27</Pages>
  <Words>8453</Words>
  <Characters>46497</Characters>
  <Application>Microsoft Office Word</Application>
  <DocSecurity>0</DocSecurity>
  <Lines>387</Lines>
  <Paragraphs>109</Paragraphs>
  <ScaleCrop>false</ScaleCrop>
  <Company/>
  <LinksUpToDate>false</LinksUpToDate>
  <CharactersWithSpaces>54841</CharactersWithSpaces>
  <SharedDoc>false</SharedDoc>
  <HLinks>
    <vt:vector size="54" baseType="variant">
      <vt:variant>
        <vt:i4>4456513</vt:i4>
      </vt:variant>
      <vt:variant>
        <vt:i4>24</vt:i4>
      </vt:variant>
      <vt:variant>
        <vt:i4>0</vt:i4>
      </vt:variant>
      <vt:variant>
        <vt:i4>5</vt:i4>
      </vt:variant>
      <vt:variant>
        <vt:lpwstr>https://forms.office.com/r/pPHyWVs2SZ</vt:lpwstr>
      </vt:variant>
      <vt:variant>
        <vt:lpwstr/>
      </vt:variant>
      <vt:variant>
        <vt:i4>3407926</vt:i4>
      </vt:variant>
      <vt:variant>
        <vt:i4>21</vt:i4>
      </vt:variant>
      <vt:variant>
        <vt:i4>0</vt:i4>
      </vt:variant>
      <vt:variant>
        <vt:i4>5</vt:i4>
      </vt:variant>
      <vt:variant>
        <vt:lpwstr>https://www.colombiacompra.gov.co/pqrsd/informacion-importante-antes-de-formular-una-pqrsd</vt:lpwstr>
      </vt:variant>
      <vt:variant>
        <vt:lpwstr/>
      </vt:variant>
      <vt:variant>
        <vt:i4>4980779</vt:i4>
      </vt:variant>
      <vt:variant>
        <vt:i4>18</vt:i4>
      </vt:variant>
      <vt:variant>
        <vt:i4>0</vt:i4>
      </vt:variant>
      <vt:variant>
        <vt:i4>5</vt:i4>
      </vt:variant>
      <vt:variant>
        <vt:lpwstr>mailto:ventanilladeradicacion@colombiacompra.gov.co</vt:lpwstr>
      </vt:variant>
      <vt:variant>
        <vt:lpwstr/>
      </vt:variant>
      <vt:variant>
        <vt:i4>2752625</vt:i4>
      </vt:variant>
      <vt:variant>
        <vt:i4>15</vt:i4>
      </vt:variant>
      <vt:variant>
        <vt:i4>0</vt:i4>
      </vt:variant>
      <vt:variant>
        <vt:i4>5</vt:i4>
      </vt:variant>
      <vt:variant>
        <vt:lpwstr>https://nam02.safelinks.protection.outlook.com/?url=https%3A%2F%2Fwww.colombiacompra.gov.co%2Farchivos%2Fboletin%2Fboletin-edicion-n-3-de-2026-radar-de-la-compra-publica&amp;data=05%7C02%7Cjuan.montoya%40colombiacompra.gov.co%7C7128555136e04fa6887d08dee99e1b50%7C7b09041e245149d08cb179d5e3d8c1be%7C0%7C0%7C639205062451356630%7CUnknown%7CTWFpbGZsb3d8eyJFbXB0eU1hcGkiOnRydWUsIlYiOiIwLjAuMDAwMCIsIlAiOiJXaW4zMiIsIkFOIjoiTWFpbCIsIldUIjoyfQ%3D%3D%7C0%7C%7C%7C&amp;sdata=BAEerpr5LJv1S5EMjF4wsWYXvi5rJvYw5HldhbMOmZk%3D&amp;reserved=0</vt:lpwstr>
      </vt:variant>
      <vt:variant>
        <vt:lpwstr/>
      </vt:variant>
      <vt:variant>
        <vt:i4>8192122</vt:i4>
      </vt:variant>
      <vt:variant>
        <vt:i4>12</vt:i4>
      </vt:variant>
      <vt:variant>
        <vt:i4>0</vt:i4>
      </vt:variant>
      <vt:variant>
        <vt:i4>5</vt:i4>
      </vt:variant>
      <vt:variant>
        <vt:lpwstr>https://nam02.safelinks.protection.outlook.com/?url=https%3A%2F%2Fwww.colombiacompra.gov.co%2Farchivos%2Fcircular%2Fcircular-externa-002-de-2026&amp;data=05%7C02%7Cjuan.montoya%40colombiacompra.gov.co%7C7128555136e04fa6887d08dee99e1b50%7C7b09041e245149d08cb179d5e3d8c1be%7C0%7C0%7C639205062451334414%7CUnknown%7CTWFpbGZsb3d8eyJFbXB0eU1hcGkiOnRydWUsIlYiOiIwLjAuMDAwMCIsIlAiOiJXaW4zMiIsIkFOIjoiTWFpbCIsIldUIjoyfQ%3D%3D%7C0%7C%7C%7C&amp;sdata=afoCV6jibHbTjlvaQik3Cm4faTAldy%2BPjeYD7F9ArKA%3D&amp;reserved=0</vt:lpwstr>
      </vt:variant>
      <vt:variant>
        <vt:lpwstr/>
      </vt:variant>
      <vt:variant>
        <vt:i4>8126586</vt:i4>
      </vt:variant>
      <vt:variant>
        <vt:i4>9</vt:i4>
      </vt:variant>
      <vt:variant>
        <vt:i4>0</vt:i4>
      </vt:variant>
      <vt:variant>
        <vt:i4>5</vt:i4>
      </vt:variant>
      <vt:variant>
        <vt:lpwstr>https://nam02.safelinks.protection.outlook.com/?url=https%3A%2F%2Fwww.colombiacompra.gov.co%2Farchivos%2Fcircular%2Fcircular-externa-003-de-2026&amp;data=05%7C02%7Cjuan.montoya%40colombiacompra.gov.co%7C7128555136e04fa6887d08dee99e1b50%7C7b09041e245149d08cb179d5e3d8c1be%7C0%7C0%7C639205062451311236%7CUnknown%7CTWFpbGZsb3d8eyJFbXB0eU1hcGkiOnRydWUsIlYiOiIwLjAuMDAwMCIsIlAiOiJXaW4zMiIsIkFOIjoiTWFpbCIsIldUIjoyfQ%3D%3D%7C0%7C%7C%7C&amp;sdata=%2FIK%2BCWYsSGOFYBZnWf4YWtYLVNUxZLARHnAsDCfX018%3D&amp;reserved=0</vt:lpwstr>
      </vt:variant>
      <vt:variant>
        <vt:lpwstr/>
      </vt:variant>
      <vt:variant>
        <vt:i4>2490422</vt:i4>
      </vt:variant>
      <vt:variant>
        <vt:i4>6</vt:i4>
      </vt:variant>
      <vt:variant>
        <vt:i4>0</vt:i4>
      </vt:variant>
      <vt:variant>
        <vt:i4>5</vt:i4>
      </vt:variant>
      <vt:variant>
        <vt:lpwstr>https://nam02.safelinks.protection.outlook.com/?url=https%3A%2F%2Fwww.colombiacompra.gov.co%2Farchivos%2Fmanual%2Fguia-de-garantias-en-procesos-de-contratacion&amp;data=05%7C02%7Cjuan.montoya%40colombiacompra.gov.co%7C7128555136e04fa6887d08dee99e1b50%7C7b09041e245149d08cb179d5e3d8c1be%7C0%7C0%7C639205062451279556%7CUnknown%7CTWFpbGZsb3d8eyJFbXB0eU1hcGkiOnRydWUsIlYiOiIwLjAuMDAwMCIsIlAiOiJXaW4zMiIsIkFOIjoiTWFpbCIsIldUIjoyfQ%3D%3D%7C0%7C%7C%7C&amp;sdata=i4ge%2BIRzNcFc6YLVHBS9VTZEZfbIWHprkVqyLu5AvlY%3D&amp;reserved=0</vt:lpwstr>
      </vt:variant>
      <vt:variant>
        <vt:lpwstr/>
      </vt:variant>
      <vt:variant>
        <vt:i4>7471218</vt:i4>
      </vt:variant>
      <vt:variant>
        <vt:i4>3</vt:i4>
      </vt:variant>
      <vt:variant>
        <vt:i4>0</vt:i4>
      </vt:variant>
      <vt:variant>
        <vt:i4>5</vt:i4>
      </vt:variant>
      <vt:variant>
        <vt:lpwstr>https://relatoria.colombiacompra.gov.co/busqueda/conceptos</vt:lpwstr>
      </vt:variant>
      <vt:variant>
        <vt:lpwstr/>
      </vt:variant>
      <vt:variant>
        <vt:i4>3670034</vt:i4>
      </vt:variant>
      <vt:variant>
        <vt:i4>0</vt:i4>
      </vt:variant>
      <vt:variant>
        <vt:i4>0</vt:i4>
      </vt:variant>
      <vt:variant>
        <vt:i4>5</vt:i4>
      </vt:variant>
      <vt:variant>
        <vt:lpwstr>mailto:jhon.gonzalez@contraloria.gov.co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12</cp:revision>
  <cp:lastPrinted>2023-01-10T21:18:00Z</cp:lastPrinted>
  <dcterms:created xsi:type="dcterms:W3CDTF">2026-08-15T19:02:00Z</dcterms:created>
  <dcterms:modified xsi:type="dcterms:W3CDTF">2026-08-19T17:21:00Z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