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570D" w14:textId="77777777" w:rsidR="00D805A3" w:rsidRPr="001165CF" w:rsidRDefault="00D805A3" w:rsidP="00D805A3">
      <w:pPr>
        <w:spacing w:after="0" w:line="240" w:lineRule="auto"/>
        <w:jc w:val="both"/>
        <w:rPr>
          <w:rFonts w:ascii="Verdana" w:hAnsi="Verdana" w:cs="Arial"/>
          <w:bCs/>
          <w:sz w:val="20"/>
          <w:szCs w:val="20"/>
        </w:rPr>
      </w:pPr>
    </w:p>
    <w:p w14:paraId="4963617E" w14:textId="77777777" w:rsidR="00D805A3" w:rsidRPr="001165CF" w:rsidRDefault="00D805A3" w:rsidP="00D805A3">
      <w:pPr>
        <w:spacing w:after="0" w:line="240" w:lineRule="auto"/>
        <w:jc w:val="both"/>
        <w:rPr>
          <w:rFonts w:ascii="Verdana" w:hAnsi="Verdana" w:cs="Arial"/>
          <w:b/>
          <w:bCs/>
          <w:lang w:eastAsia="es-ES" w:bidi="es-ES"/>
        </w:rPr>
      </w:pPr>
      <w:r w:rsidRPr="001165CF">
        <w:rPr>
          <w:rFonts w:ascii="Verdana" w:eastAsia="Calibri" w:hAnsi="Verdana" w:cs="Arial"/>
          <w:b/>
          <w:bCs/>
          <w:lang w:val="es-ES" w:eastAsia="es-ES"/>
        </w:rPr>
        <w:t xml:space="preserve">RÉGIMEN PRESUPUESTAL Y RÉGIMEN CONTRACTUAL – Conexidad </w:t>
      </w:r>
    </w:p>
    <w:p w14:paraId="049FFB77" w14:textId="77777777" w:rsidR="00D805A3" w:rsidRPr="001165CF" w:rsidRDefault="00D805A3" w:rsidP="00D805A3">
      <w:pPr>
        <w:spacing w:after="0" w:line="240" w:lineRule="auto"/>
        <w:jc w:val="both"/>
        <w:rPr>
          <w:rFonts w:ascii="Verdana" w:eastAsia="Times New Roman" w:hAnsi="Verdana" w:cs="Arial"/>
          <w:color w:val="1A1A1A" w:themeColor="background1" w:themeShade="1A"/>
          <w:sz w:val="20"/>
          <w:szCs w:val="20"/>
          <w:lang w:eastAsia="es-ES_tradnl"/>
        </w:rPr>
      </w:pPr>
    </w:p>
    <w:p w14:paraId="087EABCC" w14:textId="77777777" w:rsidR="00D805A3" w:rsidRPr="001165CF" w:rsidRDefault="00D805A3" w:rsidP="00D805A3">
      <w:pPr>
        <w:spacing w:after="0" w:line="240" w:lineRule="auto"/>
        <w:jc w:val="both"/>
        <w:rPr>
          <w:rFonts w:ascii="Verdana" w:eastAsia="Times New Roman" w:hAnsi="Verdana" w:cs="Arial"/>
          <w:color w:val="1A1A1A" w:themeColor="background1" w:themeShade="1A"/>
          <w:sz w:val="20"/>
          <w:szCs w:val="20"/>
          <w:lang w:eastAsia="es-ES_tradnl"/>
        </w:rPr>
      </w:pPr>
      <w:r w:rsidRPr="001165CF">
        <w:rPr>
          <w:rFonts w:ascii="Verdana" w:eastAsia="Times New Roman" w:hAnsi="Verdana" w:cs="Arial"/>
          <w:color w:val="1A1A1A" w:themeColor="background1" w:themeShade="1A"/>
          <w:sz w:val="20"/>
          <w:szCs w:val="20"/>
          <w:lang w:eastAsia="es-ES_tradnl"/>
        </w:rPr>
        <w:t>Es evidente la interdependencia entre el régimen de contratación estatal y el régimen presupuestal, en la medida en que toda actuación contractual de las entidades públicas debe estar respaldada por una disponibilidad de recursos debidamente apropiada en el presupuesto. Ello implica que la celebración de los contratos, están condicionados por las reglas fiscales y los principios presupuestales, porque la contratación pública no puede concebirse de manera aislada del marco presupuestal. Así lo ha señalado el Consejo de Estado al explicar que es inocultable la conexión material que existe entre estos dos regímenes y “parte de la importancia consiste en que a través de los contratos se ejecuta la mayor parte del presupuesto público, representando otra suma importante el pago de la deuda pública –que se adquiere por medio de contratos de crédito- y los gastos de funcionamiento –incluye salarios y prestaciones sociales-. Esta simple proporción refleja la importancia que tiene el presupuesto para la contratación estatal y, a la inversa, la contratación estatal para el presupuesto”.</w:t>
      </w:r>
    </w:p>
    <w:p w14:paraId="7E9160FC" w14:textId="77777777" w:rsidR="00D805A3" w:rsidRPr="001165CF" w:rsidRDefault="00D805A3" w:rsidP="00D805A3">
      <w:pPr>
        <w:spacing w:after="0" w:line="240" w:lineRule="auto"/>
        <w:jc w:val="both"/>
        <w:rPr>
          <w:rFonts w:ascii="Verdana" w:hAnsi="Verdana" w:cs="Arial"/>
          <w:b/>
          <w:sz w:val="20"/>
          <w:szCs w:val="20"/>
          <w:lang w:eastAsia="es-ES" w:bidi="es-ES"/>
        </w:rPr>
      </w:pPr>
    </w:p>
    <w:p w14:paraId="2A42A660" w14:textId="77777777" w:rsidR="00D805A3" w:rsidRPr="001165CF" w:rsidRDefault="00D805A3" w:rsidP="00D805A3">
      <w:pPr>
        <w:spacing w:after="0" w:line="240" w:lineRule="auto"/>
        <w:jc w:val="both"/>
        <w:rPr>
          <w:rFonts w:ascii="Verdana" w:hAnsi="Verdana" w:cs="Arial"/>
          <w:b/>
          <w:lang w:eastAsia="es-ES" w:bidi="es-ES"/>
        </w:rPr>
      </w:pPr>
      <w:r w:rsidRPr="001165CF">
        <w:rPr>
          <w:rFonts w:ascii="Verdana" w:hAnsi="Verdana" w:cs="Arial"/>
          <w:b/>
          <w:lang w:eastAsia="es-ES" w:bidi="es-ES"/>
        </w:rPr>
        <w:t>PRINCIPIO DE ANUALIDAD – Excepciones</w:t>
      </w:r>
    </w:p>
    <w:p w14:paraId="59F569E5" w14:textId="77777777" w:rsidR="00D805A3" w:rsidRPr="001165CF" w:rsidRDefault="00D805A3" w:rsidP="00D805A3">
      <w:pPr>
        <w:spacing w:after="0" w:line="240" w:lineRule="auto"/>
        <w:jc w:val="both"/>
        <w:rPr>
          <w:rFonts w:ascii="Verdana" w:hAnsi="Verdana" w:cs="Arial"/>
          <w:b/>
          <w:sz w:val="20"/>
          <w:szCs w:val="20"/>
          <w:lang w:eastAsia="es-ES" w:bidi="es-ES"/>
        </w:rPr>
      </w:pPr>
    </w:p>
    <w:p w14:paraId="36EC58CC" w14:textId="77777777" w:rsidR="00D805A3" w:rsidRPr="001165CF" w:rsidRDefault="00D805A3" w:rsidP="00D805A3">
      <w:pPr>
        <w:spacing w:after="0" w:line="240" w:lineRule="auto"/>
        <w:jc w:val="both"/>
        <w:rPr>
          <w:rFonts w:ascii="Verdana" w:hAnsi="Verdana" w:cs="Arial"/>
          <w:bCs/>
          <w:sz w:val="20"/>
          <w:szCs w:val="20"/>
          <w:lang w:val="es-ES_tradnl" w:eastAsia="es-ES" w:bidi="es-ES"/>
        </w:rPr>
      </w:pPr>
      <w:r w:rsidRPr="001165CF">
        <w:rPr>
          <w:rFonts w:ascii="Verdana" w:hAnsi="Verdana" w:cs="Arial"/>
          <w:bCs/>
          <w:sz w:val="20"/>
          <w:szCs w:val="20"/>
          <w:lang w:val="es-ES_tradnl" w:eastAsia="es-ES" w:bidi="es-ES"/>
        </w:rPr>
        <w:t xml:space="preserve">Para el desarrollo de la actividad contractual las entidades estatales deben sujetarse a los principios del EGCAP y a los que rigen el sistema presupuestal, entre los cuales se encuentra el de anualidad del gasto público, conforme al cual las entidades deben planear sus contrataciones de manera que sus compromisos contractuales sean atendidos durante la respectiva vigencia fiscal comprendida entre el 1 de enero y el 31 de diciembre. En este sentido, la regla general es que las entidades estatales solo pueden adquirir compromisos presupuestales que no excedan en su ejecución la vigencia fiscal en la que se suscribe el respectivo contrato. </w:t>
      </w:r>
    </w:p>
    <w:p w14:paraId="24176573" w14:textId="77777777" w:rsidR="00D805A3" w:rsidRPr="001165CF" w:rsidRDefault="00D805A3" w:rsidP="00D805A3">
      <w:pPr>
        <w:spacing w:after="0" w:line="240" w:lineRule="auto"/>
        <w:jc w:val="both"/>
        <w:rPr>
          <w:rFonts w:ascii="Verdana" w:hAnsi="Verdana" w:cs="Arial"/>
          <w:bCs/>
          <w:sz w:val="20"/>
          <w:szCs w:val="20"/>
          <w:lang w:val="es-ES_tradnl" w:eastAsia="es-ES" w:bidi="es-ES"/>
        </w:rPr>
      </w:pPr>
    </w:p>
    <w:p w14:paraId="309BB05D" w14:textId="77777777" w:rsidR="00D805A3" w:rsidRPr="001165CF" w:rsidRDefault="00D805A3" w:rsidP="00D805A3">
      <w:pPr>
        <w:spacing w:after="0" w:line="240" w:lineRule="auto"/>
        <w:jc w:val="both"/>
        <w:rPr>
          <w:rFonts w:ascii="Verdana" w:hAnsi="Verdana" w:cs="Arial"/>
          <w:bCs/>
          <w:sz w:val="20"/>
          <w:szCs w:val="20"/>
          <w:lang w:eastAsia="es-ES" w:bidi="es-ES"/>
        </w:rPr>
      </w:pPr>
      <w:r w:rsidRPr="001165CF">
        <w:rPr>
          <w:rFonts w:ascii="Verdana" w:hAnsi="Verdana" w:cs="Arial"/>
          <w:bCs/>
          <w:sz w:val="20"/>
          <w:szCs w:val="20"/>
          <w:lang w:val="es-ES_tradnl" w:eastAsia="es-ES" w:bidi="es-ES"/>
        </w:rPr>
        <w:t xml:space="preserve">No obstante, conforme lo ha señalado el Consejo de Estado, el principio de anualidad no es absoluto </w:t>
      </w:r>
      <w:r w:rsidRPr="001165CF">
        <w:rPr>
          <w:rFonts w:ascii="Verdana" w:hAnsi="Verdana" w:cs="Arial"/>
          <w:bCs/>
          <w:sz w:val="20"/>
          <w:szCs w:val="20"/>
          <w:lang w:eastAsia="es-ES" w:bidi="es-ES"/>
        </w:rPr>
        <w:t xml:space="preserve">en </w:t>
      </w:r>
      <w:r w:rsidRPr="001165CF">
        <w:rPr>
          <w:rFonts w:ascii="Verdana" w:hAnsi="Verdana" w:cs="Arial"/>
          <w:bCs/>
          <w:sz w:val="20"/>
          <w:szCs w:val="20"/>
          <w:lang w:val="es-ES_tradnl" w:eastAsia="es-ES" w:bidi="es-ES"/>
        </w:rPr>
        <w:t>“</w:t>
      </w:r>
      <w:r w:rsidRPr="001165CF">
        <w:rPr>
          <w:rFonts w:ascii="Verdana" w:hAnsi="Verdana" w:cs="Arial"/>
          <w:bCs/>
          <w:sz w:val="20"/>
          <w:szCs w:val="20"/>
          <w:lang w:eastAsia="es-ES" w:bidi="es-ES"/>
        </w:rPr>
        <w:t>la medida en que la actividad presupuestal está íntimamente ligada con el principio de planeación, la cual normalmente es efectuada para periodos que superan el año calendario. Esta realidad impone la configuración de mecanismos presupuestales que permitan compatibilizar tales principios</w:t>
      </w:r>
      <w:r w:rsidRPr="001165CF">
        <w:rPr>
          <w:rFonts w:ascii="Verdana" w:hAnsi="Verdana" w:cs="Arial"/>
          <w:bCs/>
          <w:sz w:val="20"/>
          <w:szCs w:val="20"/>
          <w:lang w:val="es-ES_tradnl" w:eastAsia="es-ES" w:bidi="es-ES"/>
        </w:rPr>
        <w:t>”.</w:t>
      </w:r>
      <w:r w:rsidRPr="001165CF">
        <w:rPr>
          <w:rFonts w:ascii="Verdana" w:hAnsi="Verdana" w:cs="Arial"/>
          <w:bCs/>
          <w:sz w:val="20"/>
          <w:szCs w:val="20"/>
          <w:lang w:eastAsia="es-ES" w:bidi="es-ES"/>
        </w:rPr>
        <w:t xml:space="preserve"> </w:t>
      </w:r>
    </w:p>
    <w:p w14:paraId="5FC9B37A" w14:textId="77777777" w:rsidR="00D805A3" w:rsidRPr="001165CF" w:rsidRDefault="00D805A3" w:rsidP="00D805A3">
      <w:pPr>
        <w:spacing w:after="0" w:line="240" w:lineRule="auto"/>
        <w:jc w:val="both"/>
        <w:rPr>
          <w:rFonts w:ascii="Verdana" w:hAnsi="Verdana" w:cs="Arial"/>
          <w:b/>
          <w:sz w:val="20"/>
          <w:szCs w:val="20"/>
          <w:lang w:eastAsia="es-ES" w:bidi="es-ES"/>
        </w:rPr>
      </w:pPr>
    </w:p>
    <w:p w14:paraId="57F74B67" w14:textId="77777777" w:rsidR="00D805A3" w:rsidRPr="001165CF" w:rsidRDefault="00D805A3" w:rsidP="00D805A3">
      <w:pPr>
        <w:spacing w:after="0" w:line="240" w:lineRule="auto"/>
        <w:jc w:val="both"/>
        <w:rPr>
          <w:rFonts w:ascii="Verdana" w:hAnsi="Verdana" w:cs="Arial"/>
          <w:b/>
          <w:lang w:eastAsia="es-ES" w:bidi="es-ES"/>
        </w:rPr>
      </w:pPr>
      <w:r w:rsidRPr="001165CF">
        <w:rPr>
          <w:rFonts w:ascii="Verdana" w:hAnsi="Verdana" w:cs="Arial"/>
          <w:b/>
          <w:lang w:eastAsia="es-ES" w:bidi="es-ES"/>
        </w:rPr>
        <w:t>MODIFICACION DE LOS CONTRATOS ESTATALES – Aspectos generales – Límites</w:t>
      </w:r>
    </w:p>
    <w:p w14:paraId="45148077" w14:textId="77777777" w:rsidR="00D805A3" w:rsidRPr="001165CF" w:rsidRDefault="00D805A3" w:rsidP="00D805A3">
      <w:pPr>
        <w:spacing w:after="0" w:line="240" w:lineRule="auto"/>
        <w:jc w:val="both"/>
        <w:rPr>
          <w:rFonts w:ascii="Verdana" w:hAnsi="Verdana" w:cs="Arial"/>
          <w:b/>
          <w:sz w:val="20"/>
          <w:szCs w:val="20"/>
          <w:lang w:eastAsia="es-ES" w:bidi="es-ES"/>
        </w:rPr>
      </w:pPr>
    </w:p>
    <w:p w14:paraId="3E912B19" w14:textId="77777777" w:rsidR="00D805A3" w:rsidRPr="001165CF" w:rsidRDefault="00D805A3" w:rsidP="00D805A3">
      <w:pPr>
        <w:spacing w:after="0" w:line="240" w:lineRule="auto"/>
        <w:jc w:val="both"/>
        <w:rPr>
          <w:rFonts w:ascii="Verdana" w:eastAsia="Calibri" w:hAnsi="Verdana" w:cs="Arial"/>
          <w:color w:val="000000"/>
          <w:sz w:val="20"/>
          <w:szCs w:val="20"/>
        </w:rPr>
      </w:pPr>
      <w:r w:rsidRPr="001165CF">
        <w:rPr>
          <w:rFonts w:ascii="Verdana" w:eastAsia="Calibri" w:hAnsi="Verdana" w:cs="Arial"/>
          <w:color w:val="000000"/>
          <w:sz w:val="20"/>
          <w:szCs w:val="20"/>
        </w:rPr>
        <w:t xml:space="preserve">El </w:t>
      </w:r>
      <w:r w:rsidRPr="001165CF">
        <w:rPr>
          <w:rFonts w:ascii="Verdana" w:eastAsia="Calibri" w:hAnsi="Verdana" w:cs="Arial"/>
          <w:color w:val="000000" w:themeColor="text1"/>
          <w:sz w:val="20"/>
          <w:szCs w:val="20"/>
        </w:rPr>
        <w:t xml:space="preserve">Estatuto General de Contratación de la Administración Pública […] </w:t>
      </w:r>
      <w:r w:rsidRPr="001165CF">
        <w:rPr>
          <w:rFonts w:ascii="Verdana" w:eastAsia="Calibri" w:hAnsi="Verdana" w:cs="Arial"/>
          <w:color w:val="000000"/>
          <w:sz w:val="20"/>
          <w:szCs w:val="20"/>
        </w:rPr>
        <w:t>no establece una regulación expresa sobre la posibilidad de modificar los contratos celebrados por las Entidades Estatales, salvo la potestad exorbitante de modificación unilateral y la regulación que fija los porcentajes límite para adicionar los valores inicialmente pactados, como es el caso del artículo 40 de la Ley 80 de 1993.</w:t>
      </w:r>
    </w:p>
    <w:p w14:paraId="622F3E10" w14:textId="77777777" w:rsidR="00D805A3" w:rsidRPr="001165CF" w:rsidRDefault="00D805A3" w:rsidP="00D805A3">
      <w:pPr>
        <w:spacing w:after="0" w:line="240" w:lineRule="auto"/>
        <w:jc w:val="both"/>
        <w:rPr>
          <w:rFonts w:ascii="Verdana" w:eastAsia="Calibri" w:hAnsi="Verdana" w:cs="Arial"/>
          <w:color w:val="000000"/>
          <w:sz w:val="20"/>
          <w:szCs w:val="20"/>
        </w:rPr>
      </w:pPr>
    </w:p>
    <w:p w14:paraId="496CDFCD" w14:textId="77777777" w:rsidR="00D805A3" w:rsidRPr="001165CF" w:rsidRDefault="00D805A3" w:rsidP="00D805A3">
      <w:pPr>
        <w:tabs>
          <w:tab w:val="left" w:pos="284"/>
        </w:tabs>
        <w:spacing w:after="0" w:line="240" w:lineRule="auto"/>
        <w:jc w:val="both"/>
        <w:rPr>
          <w:rFonts w:ascii="Verdana" w:eastAsia="Calibri" w:hAnsi="Verdana" w:cs="Arial"/>
          <w:color w:val="000000"/>
          <w:sz w:val="20"/>
          <w:szCs w:val="20"/>
        </w:rPr>
      </w:pPr>
      <w:r w:rsidRPr="001165CF">
        <w:rPr>
          <w:rFonts w:ascii="Verdana" w:eastAsia="Calibri" w:hAnsi="Verdana" w:cs="Arial"/>
          <w:color w:val="000000"/>
          <w:sz w:val="20"/>
          <w:szCs w:val="20"/>
        </w:rPr>
        <w:t xml:space="preserve">En principio, los contratos deben ejecutarse en las condiciones pactadas inicialmente, pues estas fueron estipuladas luego de que la entidad estatal surtiera todos los </w:t>
      </w:r>
      <w:r w:rsidRPr="001165CF">
        <w:rPr>
          <w:rFonts w:ascii="Verdana" w:eastAsia="Calibri" w:hAnsi="Verdana" w:cs="Arial"/>
          <w:color w:val="000000"/>
          <w:sz w:val="20"/>
          <w:szCs w:val="20"/>
        </w:rPr>
        <w:lastRenderedPageBreak/>
        <w:t xml:space="preserve">procedimientos previstos para la selección de su contratista y definiera los aspectos, técnicos, legales y financieros propios de cada caso, con observancia de los principios de planeación, transparencia, economía y responsabilidad, así como los demás principios de la función administrativa aplicables al proceso de gestión contractual. </w:t>
      </w:r>
    </w:p>
    <w:p w14:paraId="70D29C34" w14:textId="77777777" w:rsidR="00D805A3" w:rsidRPr="001165CF" w:rsidRDefault="00D805A3" w:rsidP="00D805A3">
      <w:pPr>
        <w:spacing w:after="0" w:line="240" w:lineRule="auto"/>
        <w:jc w:val="both"/>
        <w:rPr>
          <w:rFonts w:ascii="Verdana" w:eastAsia="Calibri" w:hAnsi="Verdana" w:cs="Arial"/>
          <w:color w:val="000000"/>
          <w:sz w:val="20"/>
          <w:szCs w:val="20"/>
        </w:rPr>
      </w:pPr>
    </w:p>
    <w:p w14:paraId="5ABF63D6" w14:textId="77777777" w:rsidR="00D805A3" w:rsidRPr="001165CF" w:rsidRDefault="00D805A3" w:rsidP="00D805A3">
      <w:pPr>
        <w:spacing w:after="0" w:line="240" w:lineRule="auto"/>
        <w:jc w:val="both"/>
        <w:rPr>
          <w:rFonts w:ascii="Verdana" w:eastAsia="Calibri" w:hAnsi="Verdana" w:cs="Arial"/>
          <w:color w:val="000000"/>
          <w:sz w:val="20"/>
          <w:szCs w:val="20"/>
        </w:rPr>
      </w:pPr>
      <w:r w:rsidRPr="001165CF">
        <w:rPr>
          <w:rFonts w:ascii="Verdana" w:eastAsia="Calibri" w:hAnsi="Verdana" w:cs="Arial"/>
          <w:color w:val="000000"/>
          <w:sz w:val="20"/>
          <w:szCs w:val="20"/>
        </w:rPr>
        <w:t>Ahora bien, no existe restricción expresa para modificar los contratos estatales y los principios antes referidos puede evidenciar la necesidad de cambiar las estipulaciones establecidas en un comienzo. En este contexto, la jurisprudencia ha fijado pautas generales conforme a las cuales la Administración Pública debe evaluar si es procedente modificar los contratos que ha celebrado según las particularidades de cada caso.</w:t>
      </w:r>
    </w:p>
    <w:p w14:paraId="7B65E6A0" w14:textId="77777777" w:rsidR="00D805A3" w:rsidRPr="001165CF" w:rsidRDefault="00D805A3" w:rsidP="00D805A3">
      <w:pPr>
        <w:spacing w:after="0" w:line="240" w:lineRule="auto"/>
        <w:jc w:val="both"/>
        <w:rPr>
          <w:rFonts w:ascii="Verdana" w:eastAsia="Calibri" w:hAnsi="Verdana" w:cs="Arial"/>
          <w:color w:val="000000"/>
          <w:sz w:val="20"/>
          <w:szCs w:val="20"/>
        </w:rPr>
      </w:pPr>
    </w:p>
    <w:p w14:paraId="0F4D78D2" w14:textId="77777777" w:rsidR="00D805A3" w:rsidRPr="001165CF" w:rsidRDefault="00D805A3" w:rsidP="00D805A3">
      <w:pPr>
        <w:spacing w:after="0" w:line="240" w:lineRule="auto"/>
        <w:jc w:val="both"/>
        <w:rPr>
          <w:rFonts w:ascii="Verdana" w:hAnsi="Verdana"/>
          <w:bCs/>
          <w:sz w:val="20"/>
          <w:szCs w:val="20"/>
        </w:rPr>
      </w:pPr>
      <w:r w:rsidRPr="001165CF">
        <w:rPr>
          <w:rFonts w:ascii="Verdana" w:eastAsia="Calibri" w:hAnsi="Verdana" w:cs="Arial"/>
          <w:color w:val="000000"/>
          <w:sz w:val="20"/>
          <w:szCs w:val="20"/>
        </w:rPr>
        <w:t xml:space="preserve">[…] </w:t>
      </w:r>
      <w:r w:rsidRPr="001165CF">
        <w:rPr>
          <w:rFonts w:ascii="Verdana" w:eastAsia="Arial" w:hAnsi="Verdana" w:cs="Arial"/>
          <w:sz w:val="20"/>
          <w:szCs w:val="20"/>
          <w:lang w:val="es-MX" w:eastAsia="es-ES" w:bidi="es-ES"/>
        </w:rPr>
        <w:t>En efecto, aunque no existe un desarrollo legal o reglamentario sobre las reglas aplicables a la modificación del contrato estatal, los aportes de la jurisprudencia y de la doctrina han permitido estructurar los límites y requisitos de orden temporal, formal, material y axiológico para la modificación del contrato estatal. Estos límites deben ser respetados por la entidad contratante para preservar los principios de origen legal, como el de planeación, selección objetiva, libre concurrencia, transparencia, igualdad, entre otros.</w:t>
      </w:r>
    </w:p>
    <w:p w14:paraId="2A20CAF6" w14:textId="77777777" w:rsidR="00D805A3" w:rsidRPr="001165CF" w:rsidRDefault="00D805A3" w:rsidP="00D805A3">
      <w:pPr>
        <w:spacing w:after="0" w:line="240" w:lineRule="auto"/>
        <w:jc w:val="both"/>
        <w:rPr>
          <w:rFonts w:ascii="Verdana" w:hAnsi="Verdana"/>
          <w:sz w:val="20"/>
          <w:szCs w:val="20"/>
        </w:rPr>
      </w:pPr>
    </w:p>
    <w:p w14:paraId="4716FB76" w14:textId="77777777" w:rsidR="00D805A3" w:rsidRPr="001165CF" w:rsidRDefault="00D805A3" w:rsidP="00D805A3">
      <w:pPr>
        <w:spacing w:after="0" w:line="240" w:lineRule="auto"/>
        <w:jc w:val="both"/>
        <w:rPr>
          <w:rFonts w:ascii="Verdana" w:hAnsi="Verdana"/>
          <w:b/>
        </w:rPr>
      </w:pPr>
      <w:r w:rsidRPr="001165CF">
        <w:rPr>
          <w:rFonts w:ascii="Verdana" w:hAnsi="Verdana" w:cs="Arial"/>
          <w:b/>
          <w:lang w:eastAsia="es-ES" w:bidi="es-ES"/>
        </w:rPr>
        <w:t>MODIFICACION DE LOS CONTRATOS ESTATALES – Carácter Excepcional</w:t>
      </w:r>
    </w:p>
    <w:p w14:paraId="57B9AB44" w14:textId="77777777" w:rsidR="00D805A3" w:rsidRPr="001165CF" w:rsidRDefault="00D805A3" w:rsidP="00D805A3">
      <w:pPr>
        <w:spacing w:after="0" w:line="240" w:lineRule="auto"/>
        <w:jc w:val="both"/>
        <w:rPr>
          <w:rFonts w:ascii="Verdana" w:hAnsi="Verdana"/>
          <w:sz w:val="20"/>
          <w:szCs w:val="20"/>
        </w:rPr>
      </w:pPr>
    </w:p>
    <w:p w14:paraId="08EC41E6" w14:textId="77777777" w:rsidR="00D805A3" w:rsidRPr="001165CF" w:rsidRDefault="00D805A3" w:rsidP="00D805A3">
      <w:pPr>
        <w:widowControl w:val="0"/>
        <w:autoSpaceDE w:val="0"/>
        <w:autoSpaceDN w:val="0"/>
        <w:spacing w:after="0" w:line="240" w:lineRule="auto"/>
        <w:jc w:val="both"/>
        <w:rPr>
          <w:rFonts w:ascii="Verdana" w:eastAsia="Arial" w:hAnsi="Verdana" w:cs="Arial"/>
          <w:color w:val="000000"/>
          <w:sz w:val="20"/>
          <w:szCs w:val="20"/>
          <w:lang w:val="es-MX" w:eastAsia="es-ES" w:bidi="es-ES"/>
        </w:rPr>
      </w:pPr>
      <w:r w:rsidRPr="001165CF">
        <w:rPr>
          <w:rFonts w:ascii="Verdana" w:eastAsia="Arial" w:hAnsi="Verdana" w:cs="Arial"/>
          <w:color w:val="000000"/>
          <w:sz w:val="20"/>
          <w:szCs w:val="20"/>
          <w:lang w:val="es-MX" w:eastAsia="es-ES" w:bidi="es-ES"/>
        </w:rPr>
        <w:t>Según el marco jurídico y los parámetros fijados por el Consejo de Estado y la Corte Constitucional, los cuales comparte esta Agencia, es viable jurídicamente modificar los contratos estatales, pero estas medidas tienen carácter excepcional y solo procede cuando: se pretenda garantizar el interés público, la entidad haya verificado y cualquiera pueda constatar que la causa de la modificación es real y cierta, y la modificación cumpla con las limitaciones y condiciones que establezca la ley.</w:t>
      </w:r>
    </w:p>
    <w:p w14:paraId="6AA8C122" w14:textId="77777777" w:rsidR="00D805A3" w:rsidRPr="001165CF" w:rsidRDefault="00D805A3" w:rsidP="00D805A3">
      <w:pPr>
        <w:widowControl w:val="0"/>
        <w:autoSpaceDE w:val="0"/>
        <w:autoSpaceDN w:val="0"/>
        <w:spacing w:after="0" w:line="240" w:lineRule="auto"/>
        <w:jc w:val="both"/>
        <w:rPr>
          <w:rFonts w:ascii="Verdana" w:eastAsia="Arial" w:hAnsi="Verdana" w:cs="Arial"/>
          <w:color w:val="000000"/>
          <w:sz w:val="20"/>
          <w:szCs w:val="20"/>
          <w:lang w:val="es-MX" w:eastAsia="es-ES" w:bidi="es-ES"/>
        </w:rPr>
      </w:pPr>
    </w:p>
    <w:p w14:paraId="67063879" w14:textId="77777777" w:rsidR="00D805A3" w:rsidRPr="001165CF" w:rsidRDefault="00D805A3" w:rsidP="00D805A3">
      <w:pPr>
        <w:widowControl w:val="0"/>
        <w:autoSpaceDE w:val="0"/>
        <w:autoSpaceDN w:val="0"/>
        <w:spacing w:after="0" w:line="240" w:lineRule="auto"/>
        <w:jc w:val="both"/>
        <w:rPr>
          <w:rFonts w:ascii="Verdana" w:eastAsia="Arial" w:hAnsi="Verdana" w:cs="Arial"/>
          <w:color w:val="000000"/>
          <w:sz w:val="20"/>
          <w:szCs w:val="20"/>
          <w:lang w:val="es-MX" w:eastAsia="es-ES" w:bidi="es-ES"/>
        </w:rPr>
      </w:pPr>
      <w:r w:rsidRPr="001165CF">
        <w:rPr>
          <w:rFonts w:ascii="Verdana" w:eastAsia="Arial" w:hAnsi="Verdana" w:cs="Arial"/>
          <w:color w:val="000000"/>
          <w:sz w:val="20"/>
          <w:szCs w:val="20"/>
          <w:lang w:val="es-MX" w:eastAsia="es-ES" w:bidi="es-ES"/>
        </w:rPr>
        <w:t>En este contexto, aunque no existe un desarrollo legal o reglamentario sobre las reglas aplicables a la modificación del contrato estatal, los aportes de la jurisprudencia y de la doctrina han permitido estructurar los límites y requisitos de orden temporal, formal, material y axiológico para la modificación del contrato estatal.</w:t>
      </w:r>
    </w:p>
    <w:p w14:paraId="74B17536" w14:textId="77777777" w:rsidR="00D805A3" w:rsidRPr="001165CF" w:rsidRDefault="00D805A3" w:rsidP="00D805A3">
      <w:pPr>
        <w:widowControl w:val="0"/>
        <w:autoSpaceDE w:val="0"/>
        <w:autoSpaceDN w:val="0"/>
        <w:spacing w:after="0" w:line="240" w:lineRule="auto"/>
        <w:jc w:val="both"/>
        <w:rPr>
          <w:rFonts w:ascii="Verdana" w:eastAsia="Arial" w:hAnsi="Verdana" w:cs="Arial"/>
          <w:color w:val="000000"/>
          <w:sz w:val="20"/>
          <w:szCs w:val="20"/>
          <w:lang w:eastAsia="es-ES" w:bidi="es-ES"/>
        </w:rPr>
      </w:pPr>
    </w:p>
    <w:p w14:paraId="56EA911A" w14:textId="77777777" w:rsidR="00D805A3" w:rsidRDefault="00D805A3" w:rsidP="00D805A3">
      <w:pPr>
        <w:widowControl w:val="0"/>
        <w:autoSpaceDE w:val="0"/>
        <w:autoSpaceDN w:val="0"/>
        <w:spacing w:after="0" w:line="240" w:lineRule="auto"/>
        <w:jc w:val="both"/>
        <w:rPr>
          <w:rFonts w:ascii="Verdana" w:eastAsia="Arial" w:hAnsi="Verdana" w:cs="Arial"/>
          <w:color w:val="000000"/>
          <w:sz w:val="20"/>
          <w:szCs w:val="20"/>
          <w:lang w:eastAsia="es-ES" w:bidi="es-ES"/>
        </w:rPr>
      </w:pPr>
      <w:r w:rsidRPr="001165CF">
        <w:rPr>
          <w:rFonts w:ascii="Verdana" w:eastAsia="Arial" w:hAnsi="Verdana" w:cs="Arial"/>
          <w:color w:val="000000"/>
          <w:sz w:val="20"/>
          <w:szCs w:val="20"/>
          <w:lang w:eastAsia="es-ES" w:bidi="es-ES"/>
        </w:rPr>
        <w:t>En este orden de ideas, aunque es procedente la modificación contractual es preciso señalar que cualquier ajuste a las cláusulas contractuales que tenga incidencia en los aspectos presupuestales del contrato debe observar estrictamente las disposiciones legales que regulan el gasto público. Esto supone que las modificaciones no pueden desconocer principios esenciales del sistema presupuestal, como el de planeación, que exige una adecuada previsión de los recursos, o el de anualidad del presupuesto y sus excepciones, ni utilizarse como mecanismo para corregir deficiencias derivadas de una inadecuada gestión presupuestal por parte de la entidad contratante.</w:t>
      </w:r>
    </w:p>
    <w:p w14:paraId="1542EE9F" w14:textId="77777777" w:rsidR="00D805A3" w:rsidRDefault="00D805A3" w:rsidP="008255F4">
      <w:pPr>
        <w:spacing w:after="0" w:line="240" w:lineRule="auto"/>
        <w:rPr>
          <w:rFonts w:ascii="Verdana" w:hAnsi="Verdana" w:cs="Arial"/>
          <w:bCs/>
          <w:sz w:val="20"/>
          <w:szCs w:val="20"/>
          <w:lang w:eastAsia="es-CO"/>
        </w:rPr>
      </w:pPr>
    </w:p>
    <w:p w14:paraId="391093D8" w14:textId="77777777" w:rsidR="00D805A3" w:rsidRDefault="00D805A3" w:rsidP="008255F4">
      <w:pPr>
        <w:spacing w:after="0" w:line="240" w:lineRule="auto"/>
        <w:rPr>
          <w:rFonts w:ascii="Verdana" w:eastAsia="Geomanist Light" w:hAnsi="Verdana" w:cs="Arial"/>
          <w:color w:val="000000" w:themeColor="text1"/>
          <w:lang w:val="es-MX"/>
        </w:rPr>
      </w:pPr>
    </w:p>
    <w:p w14:paraId="11CFF184" w14:textId="77777777" w:rsidR="00D805A3" w:rsidRDefault="00D805A3" w:rsidP="008255F4">
      <w:pPr>
        <w:spacing w:after="0" w:line="240" w:lineRule="auto"/>
        <w:rPr>
          <w:rFonts w:ascii="Verdana" w:eastAsia="Geomanist Light" w:hAnsi="Verdana" w:cs="Arial"/>
          <w:color w:val="000000" w:themeColor="text1"/>
          <w:lang w:val="es-MX"/>
        </w:rPr>
      </w:pPr>
    </w:p>
    <w:p w14:paraId="17ED1AAE" w14:textId="77777777" w:rsidR="00D805A3" w:rsidRDefault="00D805A3" w:rsidP="008255F4">
      <w:pPr>
        <w:spacing w:after="0" w:line="240" w:lineRule="auto"/>
        <w:rPr>
          <w:rFonts w:ascii="Verdana" w:eastAsia="Geomanist Light" w:hAnsi="Verdana" w:cs="Arial"/>
          <w:color w:val="000000" w:themeColor="text1"/>
          <w:lang w:val="es-MX"/>
        </w:rPr>
      </w:pPr>
    </w:p>
    <w:p w14:paraId="7308C656" w14:textId="71710581" w:rsidR="008255F4" w:rsidRPr="00593A5F" w:rsidRDefault="008255F4" w:rsidP="008255F4">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B64F6D" w:rsidRPr="00B64F6D">
        <w:rPr>
          <w:rFonts w:ascii="Verdana" w:eastAsia="Geomanist Light" w:hAnsi="Verdana" w:cs="Arial"/>
          <w:color w:val="000000" w:themeColor="text1"/>
          <w:lang w:val="es-MX"/>
        </w:rPr>
        <w:t>24 de Agosto de 2026</w:t>
      </w:r>
    </w:p>
    <w:p w14:paraId="32ADC17C" w14:textId="0ADD6AA8" w:rsidR="008255F4" w:rsidRDefault="008255F4" w:rsidP="008255F4">
      <w:pPr>
        <w:spacing w:after="0" w:line="240" w:lineRule="auto"/>
        <w:jc w:val="both"/>
        <w:rPr>
          <w:rFonts w:ascii="Verdana" w:eastAsia="Calibri" w:hAnsi="Verdana" w:cs="Arial"/>
          <w:color w:val="000000"/>
          <w:lang w:val="es-ES"/>
        </w:rPr>
      </w:pPr>
    </w:p>
    <w:p w14:paraId="4424C425" w14:textId="44ED65C0" w:rsidR="00B64F6D" w:rsidRDefault="00B64F6D" w:rsidP="00B64F6D">
      <w:pPr>
        <w:spacing w:after="0" w:line="240" w:lineRule="auto"/>
        <w:jc w:val="right"/>
        <w:rPr>
          <w:rFonts w:ascii="Verdana" w:eastAsia="Calibri" w:hAnsi="Verdana" w:cs="Arial"/>
          <w:color w:val="000000"/>
          <w:lang w:val="es-ES"/>
        </w:rPr>
      </w:pPr>
    </w:p>
    <w:p w14:paraId="4EE48FA2" w14:textId="6B5163C7" w:rsidR="008255F4" w:rsidRPr="00593A5F" w:rsidRDefault="00346715" w:rsidP="008255F4">
      <w:pPr>
        <w:spacing w:after="0" w:line="240" w:lineRule="auto"/>
        <w:jc w:val="both"/>
        <w:rPr>
          <w:rFonts w:ascii="Verdana" w:eastAsia="Calibri" w:hAnsi="Verdana" w:cs="Arial"/>
          <w:color w:val="000000"/>
          <w:lang w:val="es-ES"/>
        </w:rPr>
      </w:pPr>
      <w:r w:rsidRPr="00B64F6D">
        <w:rPr>
          <w:rFonts w:ascii="Verdana" w:eastAsia="Calibri" w:hAnsi="Verdana" w:cs="Arial"/>
          <w:noProof/>
          <w:color w:val="000000"/>
          <w:lang w:val="es-ES"/>
        </w:rPr>
        <w:drawing>
          <wp:anchor distT="0" distB="0" distL="114300" distR="114300" simplePos="0" relativeHeight="251658240" behindDoc="0" locked="0" layoutInCell="1" allowOverlap="1" wp14:anchorId="7774CCD2" wp14:editId="030C087C">
            <wp:simplePos x="0" y="0"/>
            <wp:positionH relativeFrom="margin">
              <wp:align>right</wp:align>
            </wp:positionH>
            <wp:positionV relativeFrom="paragraph">
              <wp:posOffset>8890</wp:posOffset>
            </wp:positionV>
            <wp:extent cx="2757805" cy="795020"/>
            <wp:effectExtent l="0" t="0" r="4445" b="5080"/>
            <wp:wrapSquare wrapText="bothSides"/>
            <wp:docPr id="1638040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4073" name=""/>
                    <pic:cNvPicPr/>
                  </pic:nvPicPr>
                  <pic:blipFill>
                    <a:blip r:embed="rId10">
                      <a:extLst>
                        <a:ext uri="{28A0092B-C50C-407E-A947-70E740481C1C}">
                          <a14:useLocalDpi xmlns:a14="http://schemas.microsoft.com/office/drawing/2010/main" val="0"/>
                        </a:ext>
                      </a:extLst>
                    </a:blip>
                    <a:stretch>
                      <a:fillRect/>
                    </a:stretch>
                  </pic:blipFill>
                  <pic:spPr>
                    <a:xfrm>
                      <a:off x="0" y="0"/>
                      <a:ext cx="2757805" cy="795020"/>
                    </a:xfrm>
                    <a:prstGeom prst="rect">
                      <a:avLst/>
                    </a:prstGeom>
                  </pic:spPr>
                </pic:pic>
              </a:graphicData>
            </a:graphic>
            <wp14:sizeRelH relativeFrom="margin">
              <wp14:pctWidth>0</wp14:pctWidth>
            </wp14:sizeRelH>
            <wp14:sizeRelV relativeFrom="margin">
              <wp14:pctHeight>0</wp14:pctHeight>
            </wp14:sizeRelV>
          </wp:anchor>
        </w:drawing>
      </w:r>
    </w:p>
    <w:p w14:paraId="31670EAC" w14:textId="77777777" w:rsidR="008255F4" w:rsidRPr="00B96799" w:rsidRDefault="008255F4" w:rsidP="008255F4">
      <w:pPr>
        <w:spacing w:after="0" w:line="240" w:lineRule="auto"/>
        <w:jc w:val="both"/>
        <w:rPr>
          <w:rFonts w:ascii="Verdana" w:eastAsia="Calibri" w:hAnsi="Verdana" w:cs="Arial"/>
          <w:lang w:val="es-ES" w:eastAsia="es-ES"/>
        </w:rPr>
      </w:pPr>
      <w:r>
        <w:rPr>
          <w:rFonts w:ascii="Verdana" w:eastAsia="Calibri" w:hAnsi="Verdana" w:cs="Arial"/>
          <w:lang w:val="es-ES" w:eastAsia="es-ES"/>
        </w:rPr>
        <w:t>Señora</w:t>
      </w:r>
    </w:p>
    <w:p w14:paraId="59AAA7A3" w14:textId="77777777" w:rsidR="008255F4" w:rsidRDefault="008255F4" w:rsidP="008255F4">
      <w:pPr>
        <w:spacing w:after="0" w:line="240" w:lineRule="auto"/>
        <w:rPr>
          <w:rFonts w:ascii="Verdana" w:eastAsia="Calibri" w:hAnsi="Verdana" w:cs="Arial"/>
          <w:b/>
          <w:lang w:val="es-ES_tradnl" w:eastAsia="es-ES_tradnl"/>
        </w:rPr>
      </w:pPr>
      <w:r w:rsidRPr="00A77B49">
        <w:rPr>
          <w:rFonts w:ascii="Verdana" w:eastAsia="Calibri" w:hAnsi="Verdana" w:cs="Arial"/>
          <w:b/>
          <w:lang w:val="es-ES_tradnl" w:eastAsia="es-ES_tradnl"/>
        </w:rPr>
        <w:t>Lina</w:t>
      </w:r>
      <w:r>
        <w:rPr>
          <w:rFonts w:ascii="Verdana" w:eastAsia="Calibri" w:hAnsi="Verdana" w:cs="Arial"/>
          <w:b/>
          <w:lang w:val="es-ES_tradnl" w:eastAsia="es-ES_tradnl"/>
        </w:rPr>
        <w:t xml:space="preserve"> </w:t>
      </w:r>
      <w:r w:rsidRPr="00A77B49">
        <w:rPr>
          <w:rFonts w:ascii="Verdana" w:eastAsia="Calibri" w:hAnsi="Verdana" w:cs="Arial"/>
          <w:b/>
          <w:lang w:val="es-ES_tradnl" w:eastAsia="es-ES_tradnl"/>
        </w:rPr>
        <w:t>María Avil</w:t>
      </w:r>
      <w:r>
        <w:rPr>
          <w:rFonts w:ascii="Verdana" w:eastAsia="Calibri" w:hAnsi="Verdana" w:cs="Arial"/>
          <w:b/>
          <w:lang w:val="es-ES_tradnl" w:eastAsia="es-ES_tradnl"/>
        </w:rPr>
        <w:t>á</w:t>
      </w:r>
      <w:r w:rsidRPr="00A77B49">
        <w:rPr>
          <w:rFonts w:ascii="Verdana" w:eastAsia="Calibri" w:hAnsi="Verdana" w:cs="Arial"/>
          <w:b/>
          <w:lang w:val="es-ES_tradnl" w:eastAsia="es-ES_tradnl"/>
        </w:rPr>
        <w:t>n C</w:t>
      </w:r>
      <w:r>
        <w:rPr>
          <w:rFonts w:ascii="Verdana" w:eastAsia="Calibri" w:hAnsi="Verdana" w:cs="Arial"/>
          <w:b/>
          <w:lang w:val="es-ES_tradnl" w:eastAsia="es-ES_tradnl"/>
        </w:rPr>
        <w:t>ó</w:t>
      </w:r>
      <w:r w:rsidRPr="00A77B49">
        <w:rPr>
          <w:rFonts w:ascii="Verdana" w:eastAsia="Calibri" w:hAnsi="Verdana" w:cs="Arial"/>
          <w:b/>
          <w:lang w:val="es-ES_tradnl" w:eastAsia="es-ES_tradnl"/>
        </w:rPr>
        <w:t>rtes</w:t>
      </w:r>
      <w:r w:rsidRPr="008777D5">
        <w:rPr>
          <w:rFonts w:ascii="Verdana" w:eastAsia="Calibri" w:hAnsi="Verdana" w:cs="Arial"/>
          <w:b/>
          <w:lang w:val="es-ES_tradnl" w:eastAsia="es-ES_tradnl"/>
        </w:rPr>
        <w:t xml:space="preserve"> </w:t>
      </w:r>
    </w:p>
    <w:p w14:paraId="02EDF92D" w14:textId="77777777" w:rsidR="008255F4" w:rsidRPr="001570CC" w:rsidRDefault="008255F4" w:rsidP="008255F4">
      <w:pPr>
        <w:spacing w:after="0" w:line="240" w:lineRule="auto"/>
        <w:rPr>
          <w:rFonts w:ascii="Verdana" w:hAnsi="Verdana"/>
        </w:rPr>
      </w:pPr>
      <w:hyperlink r:id="rId11" w:history="1">
        <w:r w:rsidRPr="00A237FC">
          <w:rPr>
            <w:rStyle w:val="Hipervnculo"/>
            <w:rFonts w:ascii="Verdana" w:hAnsi="Verdana"/>
          </w:rPr>
          <w:t>abogadalinaavilan@gmail.com</w:t>
        </w:r>
      </w:hyperlink>
      <w:r>
        <w:rPr>
          <w:rFonts w:ascii="Verdana" w:hAnsi="Verdana"/>
        </w:rPr>
        <w:t xml:space="preserve"> </w:t>
      </w:r>
      <w:r w:rsidRPr="00F42673">
        <w:rPr>
          <w:rFonts w:ascii="Verdana" w:hAnsi="Verdana"/>
        </w:rPr>
        <w:t xml:space="preserve">                    </w:t>
      </w:r>
      <w:r w:rsidRPr="00F42673">
        <w:rPr>
          <w:rFonts w:ascii="Verdana" w:eastAsia="Calibri" w:hAnsi="Verdana" w:cs="Arial"/>
          <w:lang w:val="es-ES" w:eastAsia="es-ES"/>
        </w:rPr>
        <w:t xml:space="preserve">    </w:t>
      </w:r>
    </w:p>
    <w:p w14:paraId="7E7CE878" w14:textId="77777777" w:rsidR="008255F4" w:rsidRDefault="008255F4" w:rsidP="008255F4">
      <w:pPr>
        <w:spacing w:after="0" w:line="240" w:lineRule="auto"/>
        <w:rPr>
          <w:rFonts w:ascii="Verdana" w:eastAsia="Calibri" w:hAnsi="Verdana" w:cs="Arial"/>
          <w:lang w:val="es-ES" w:eastAsia="es-ES"/>
        </w:rPr>
      </w:pPr>
      <w:r w:rsidRPr="00A77B49">
        <w:rPr>
          <w:rFonts w:ascii="Verdana" w:eastAsia="Calibri" w:hAnsi="Verdana" w:cs="Arial"/>
          <w:lang w:val="es-ES" w:eastAsia="es-ES"/>
        </w:rPr>
        <w:t>Ricaurte, Cundinamarca</w:t>
      </w:r>
      <w:r>
        <w:rPr>
          <w:rFonts w:ascii="Verdana" w:eastAsia="Calibri" w:hAnsi="Verdana" w:cs="Arial"/>
          <w:lang w:val="es-ES" w:eastAsia="es-ES"/>
        </w:rPr>
        <w:t xml:space="preserve"> </w:t>
      </w:r>
    </w:p>
    <w:p w14:paraId="18EF3B7C" w14:textId="77777777" w:rsidR="008255F4" w:rsidRPr="00593A5F" w:rsidRDefault="008255F4" w:rsidP="008255F4">
      <w:pPr>
        <w:spacing w:after="0" w:line="240" w:lineRule="auto"/>
        <w:rPr>
          <w:rFonts w:ascii="Verdana" w:eastAsia="Calibri" w:hAnsi="Verdana" w:cs="Arial"/>
          <w:b/>
          <w:bCs/>
          <w:color w:val="000000"/>
          <w:lang w:val="es-ES_tradnl" w:eastAsia="es-ES_tradnl"/>
        </w:rPr>
      </w:pPr>
    </w:p>
    <w:p w14:paraId="2CC9C011" w14:textId="77777777" w:rsidR="008255F4" w:rsidRPr="00593A5F" w:rsidRDefault="008255F4" w:rsidP="008255F4">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8255F4" w:rsidRPr="00593A5F" w14:paraId="50EC3855" w14:textId="77777777" w:rsidTr="00511EE9">
        <w:trPr>
          <w:trHeight w:val="884"/>
        </w:trPr>
        <w:tc>
          <w:tcPr>
            <w:tcW w:w="2689" w:type="dxa"/>
          </w:tcPr>
          <w:p w14:paraId="52DA129C" w14:textId="77777777" w:rsidR="008255F4" w:rsidRPr="00C00976" w:rsidRDefault="008255F4" w:rsidP="00511EE9">
            <w:pPr>
              <w:jc w:val="both"/>
              <w:rPr>
                <w:rFonts w:ascii="Verdana" w:eastAsia="Calibri" w:hAnsi="Verdana" w:cs="Arial"/>
                <w:b/>
                <w:bCs/>
                <w:color w:val="7030A0"/>
                <w:lang w:val="es-ES_tradnl" w:eastAsia="es-ES_tradnl"/>
              </w:rPr>
            </w:pPr>
          </w:p>
        </w:tc>
        <w:tc>
          <w:tcPr>
            <w:tcW w:w="6100" w:type="dxa"/>
          </w:tcPr>
          <w:p w14:paraId="1308BAA0" w14:textId="33A996EE" w:rsidR="008255F4" w:rsidRPr="00C00976" w:rsidRDefault="008255F4" w:rsidP="00511EE9">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346715">
              <w:rPr>
                <w:rFonts w:ascii="Verdana" w:eastAsia="Calibri" w:hAnsi="Verdana" w:cs="Arial"/>
                <w:b/>
                <w:bCs/>
                <w:lang w:val="es-ES" w:eastAsia="es-ES"/>
              </w:rPr>
              <w:t>-</w:t>
            </w:r>
            <w:r>
              <w:rPr>
                <w:rFonts w:ascii="Verdana" w:eastAsia="Calibri" w:hAnsi="Verdana" w:cs="Arial"/>
                <w:b/>
                <w:bCs/>
                <w:lang w:val="es-ES" w:eastAsia="es-ES"/>
              </w:rPr>
              <w:t xml:space="preserve">1192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8255F4" w:rsidRPr="00593A5F" w14:paraId="6C1996B4" w14:textId="77777777" w:rsidTr="00511EE9">
        <w:trPr>
          <w:trHeight w:val="884"/>
        </w:trPr>
        <w:tc>
          <w:tcPr>
            <w:tcW w:w="2689" w:type="dxa"/>
          </w:tcPr>
          <w:p w14:paraId="1139F52A" w14:textId="77777777" w:rsidR="008255F4" w:rsidRPr="00593A5F" w:rsidRDefault="008255F4" w:rsidP="00511EE9">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777F0F64" w14:textId="77777777" w:rsidR="008255F4" w:rsidRPr="00A11406" w:rsidRDefault="008255F4" w:rsidP="00511EE9">
            <w:pPr>
              <w:spacing w:line="276" w:lineRule="auto"/>
              <w:jc w:val="both"/>
              <w:rPr>
                <w:rFonts w:ascii="Verdana" w:eastAsia="Calibri" w:hAnsi="Verdana" w:cs="Arial"/>
                <w:lang w:val="es-ES" w:eastAsia="es-ES"/>
              </w:rPr>
            </w:pPr>
            <w:r w:rsidRPr="001165CF">
              <w:rPr>
                <w:rFonts w:ascii="Verdana" w:eastAsia="Calibri" w:hAnsi="Verdana" w:cs="Arial"/>
                <w:lang w:val="es-ES" w:eastAsia="es-ES"/>
              </w:rPr>
              <w:t>RÉGIMEN PRESUPUESTAL Y RÉGIMEN CONTRACTUAL – Conexidad / PRINCIPIO DE ANUALIDAD – Excepciones / MODIFICACIÓN DE LOS CONTRATOS ESTATALES – Aspectos generales – Límites / MODIFICACIÓN DE LOS CONTRATOS ESTATALES – Carácter Excepcional</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607E65F0" w14:textId="77777777" w:rsidR="008255F4" w:rsidRPr="00593A5F" w:rsidRDefault="008255F4" w:rsidP="00511EE9">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8255F4" w:rsidRPr="008E6AD9" w14:paraId="6E4DB5B3" w14:textId="77777777" w:rsidTr="00511EE9">
        <w:tc>
          <w:tcPr>
            <w:tcW w:w="2689" w:type="dxa"/>
          </w:tcPr>
          <w:p w14:paraId="2CB77486" w14:textId="77777777" w:rsidR="008255F4" w:rsidRPr="008E6AD9" w:rsidRDefault="008255F4" w:rsidP="00511EE9">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14FDF932" w14:textId="77777777" w:rsidR="008255F4" w:rsidRPr="00B92340" w:rsidRDefault="008255F4" w:rsidP="00511EE9">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A2096E">
              <w:rPr>
                <w:rFonts w:ascii="Verdana" w:eastAsia="Calibri" w:hAnsi="Verdana" w:cs="Arial"/>
                <w:lang w:val="es-ES_tradnl" w:eastAsia="es-ES_tradnl"/>
              </w:rPr>
              <w:t>1_2026_07_29_009966</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36407942" w14:textId="77777777" w:rsidR="008255F4" w:rsidRPr="00593A5F" w:rsidRDefault="008255F4" w:rsidP="008255F4">
      <w:pPr>
        <w:spacing w:after="0" w:line="240" w:lineRule="auto"/>
        <w:jc w:val="both"/>
        <w:rPr>
          <w:rFonts w:ascii="Verdana" w:eastAsia="Calibri" w:hAnsi="Verdana" w:cs="Arial"/>
          <w:color w:val="000000"/>
          <w:lang w:val="es-ES_tradnl" w:eastAsia="es-ES_tradnl"/>
        </w:rPr>
      </w:pPr>
    </w:p>
    <w:p w14:paraId="62789BBC" w14:textId="77777777" w:rsidR="008255F4" w:rsidRPr="00593A5F" w:rsidRDefault="008255F4" w:rsidP="008255F4">
      <w:pPr>
        <w:spacing w:after="0" w:line="240" w:lineRule="auto"/>
        <w:jc w:val="both"/>
        <w:rPr>
          <w:rFonts w:ascii="Verdana" w:eastAsia="Calibri" w:hAnsi="Verdana" w:cs="Arial"/>
          <w:color w:val="000000"/>
          <w:lang w:val="es-ES_tradnl" w:eastAsia="es-ES_tradnl"/>
        </w:rPr>
      </w:pPr>
    </w:p>
    <w:p w14:paraId="47FB756E" w14:textId="77777777" w:rsidR="008255F4" w:rsidRPr="008E6AD9" w:rsidRDefault="008255F4" w:rsidP="008255F4">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señora </w:t>
      </w:r>
      <w:r w:rsidRPr="0086265E">
        <w:rPr>
          <w:rFonts w:ascii="Verdana" w:eastAsia="Calibri" w:hAnsi="Verdana" w:cs="Arial"/>
          <w:lang w:val="es-ES" w:eastAsia="es-ES"/>
        </w:rPr>
        <w:t>Avilán Córtes</w:t>
      </w:r>
      <w:r w:rsidRPr="008E6AD9">
        <w:rPr>
          <w:rFonts w:ascii="Verdana" w:eastAsia="Calibri" w:hAnsi="Verdana" w:cs="Arial"/>
          <w:lang w:val="es-ES" w:eastAsia="es-ES"/>
        </w:rPr>
        <w:t xml:space="preserve">: </w:t>
      </w:r>
    </w:p>
    <w:p w14:paraId="14D4D9A6" w14:textId="77777777" w:rsidR="008255F4" w:rsidRDefault="008255F4" w:rsidP="008255F4">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44AE833B" w14:textId="77777777" w:rsidR="008255F4" w:rsidRPr="00593A5F" w:rsidRDefault="008255F4" w:rsidP="008255F4">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29 de julio de 2026, donde solicita conceptuar sobre los siguientes aspectos</w:t>
      </w:r>
      <w:r w:rsidRPr="008E6AD9">
        <w:rPr>
          <w:rFonts w:ascii="Verdana" w:eastAsia="Calibri" w:hAnsi="Verdana" w:cs="Arial"/>
          <w:lang w:val="es-ES" w:eastAsia="es-ES"/>
        </w:rPr>
        <w:t xml:space="preserve">: </w:t>
      </w:r>
    </w:p>
    <w:p w14:paraId="75ED44AC" w14:textId="77777777" w:rsidR="008255F4" w:rsidRPr="00272A7B" w:rsidRDefault="008255F4" w:rsidP="008255F4">
      <w:pPr>
        <w:pStyle w:val="Prrafodelista"/>
        <w:tabs>
          <w:tab w:val="left" w:pos="142"/>
          <w:tab w:val="left" w:pos="284"/>
        </w:tabs>
        <w:spacing w:after="0" w:line="276" w:lineRule="auto"/>
        <w:ind w:left="0"/>
        <w:jc w:val="both"/>
        <w:rPr>
          <w:rFonts w:ascii="Verdana" w:eastAsia="Century Gothic" w:hAnsi="Verdana" w:cs="Century Gothic"/>
          <w:b/>
          <w:bCs/>
        </w:rPr>
      </w:pPr>
    </w:p>
    <w:p w14:paraId="2A707D50" w14:textId="77777777" w:rsidR="008255F4" w:rsidRPr="00A71B53" w:rsidRDefault="008255F4" w:rsidP="008255F4">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A71B53">
        <w:rPr>
          <w:rFonts w:ascii="Verdana" w:eastAsia="Century Gothic" w:hAnsi="Verdana" w:cs="Century Gothic"/>
          <w:sz w:val="20"/>
          <w:szCs w:val="20"/>
          <w:lang w:val="es-ES"/>
        </w:rPr>
        <w:t>1. ¿La entidad podrá acudir al mecanismo de anulación de CDP y RP del contrato perfeccionado o en ejecución, previo otrosí sin que esto implique el incumplimiento de los requisitos de publicación y ejecución de los contratos?</w:t>
      </w:r>
    </w:p>
    <w:p w14:paraId="38841F15" w14:textId="77777777" w:rsidR="008255F4" w:rsidRPr="008E6AD9" w:rsidRDefault="008255F4" w:rsidP="008255F4">
      <w:pPr>
        <w:spacing w:after="0" w:line="240" w:lineRule="auto"/>
        <w:ind w:left="709" w:right="709"/>
        <w:jc w:val="both"/>
        <w:rPr>
          <w:rFonts w:ascii="Verdana" w:eastAsia="Century Gothic" w:hAnsi="Verdana" w:cs="Century Gothic"/>
          <w:b/>
          <w:bCs/>
        </w:rPr>
      </w:pPr>
      <w:r w:rsidRPr="00A71B53">
        <w:rPr>
          <w:rFonts w:ascii="Verdana" w:eastAsia="Century Gothic" w:hAnsi="Verdana" w:cs="Century Gothic"/>
          <w:sz w:val="20"/>
          <w:szCs w:val="20"/>
          <w:lang w:val="es-ES"/>
        </w:rPr>
        <w:t>2. ¿La entidad podría dejar constancia dentro del expediente contractual de la respectiva anulación del CDP Y RP y proceder con ella, incorporando los nuevos CDP Y RP expedidos en virtud de modificación?</w:t>
      </w:r>
      <w:r>
        <w:rPr>
          <w:rFonts w:ascii="Verdana" w:eastAsia="Century Gothic" w:hAnsi="Verdana" w:cs="Century Gothic"/>
          <w:sz w:val="20"/>
          <w:szCs w:val="20"/>
          <w:lang w:val="es-ES"/>
        </w:rPr>
        <w:t>”.</w:t>
      </w:r>
    </w:p>
    <w:p w14:paraId="3FA94B3C" w14:textId="77777777" w:rsidR="008255F4" w:rsidRPr="00481B98" w:rsidRDefault="008255F4" w:rsidP="008255F4">
      <w:pPr>
        <w:spacing w:after="0" w:line="276" w:lineRule="auto"/>
        <w:ind w:firstLine="709"/>
        <w:jc w:val="both"/>
        <w:rPr>
          <w:rFonts w:ascii="Verdana" w:eastAsia="Calibri" w:hAnsi="Verdana" w:cs="Arial"/>
          <w:color w:val="000000"/>
          <w:lang w:eastAsia="es-ES"/>
        </w:rPr>
      </w:pPr>
    </w:p>
    <w:p w14:paraId="5CB81822" w14:textId="77777777" w:rsidR="008255F4" w:rsidRPr="00A652FF" w:rsidRDefault="008255F4" w:rsidP="008255F4">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1D82BA4D" w14:textId="77777777" w:rsidR="008255F4" w:rsidRDefault="008255F4" w:rsidP="008255F4">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3B31EFAB" w14:textId="77777777" w:rsidR="008255F4" w:rsidRPr="00593A5F" w:rsidRDefault="008255F4" w:rsidP="008255F4">
      <w:pPr>
        <w:spacing w:after="0" w:line="276" w:lineRule="auto"/>
        <w:ind w:firstLine="709"/>
        <w:jc w:val="both"/>
        <w:rPr>
          <w:rFonts w:ascii="Verdana" w:eastAsia="Calibri" w:hAnsi="Verdana" w:cs="Arial"/>
          <w:color w:val="000000"/>
          <w:lang w:val="es-ES" w:eastAsia="es-ES"/>
        </w:rPr>
      </w:pPr>
    </w:p>
    <w:p w14:paraId="05C448D8" w14:textId="1B139F2C" w:rsidR="008255F4" w:rsidRPr="00593A5F" w:rsidRDefault="008255F4" w:rsidP="008255F4">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w:t>
      </w:r>
      <w:r w:rsidR="00077F59">
        <w:rPr>
          <w:rFonts w:ascii="Verdana" w:eastAsia="Century Gothic" w:hAnsi="Verdana" w:cs="Century Gothic"/>
          <w:b/>
          <w:bCs/>
        </w:rPr>
        <w:t>s</w:t>
      </w:r>
      <w:r w:rsidRPr="00593A5F">
        <w:rPr>
          <w:rFonts w:ascii="Verdana" w:eastAsia="Century Gothic" w:hAnsi="Verdana" w:cs="Century Gothic"/>
          <w:b/>
          <w:bCs/>
        </w:rPr>
        <w:t xml:space="preserve"> planteado</w:t>
      </w:r>
      <w:r w:rsidR="00077F59">
        <w:rPr>
          <w:rFonts w:ascii="Verdana" w:eastAsia="Century Gothic" w:hAnsi="Verdana" w:cs="Century Gothic"/>
          <w:b/>
          <w:bCs/>
        </w:rPr>
        <w:t>s</w:t>
      </w:r>
      <w:r w:rsidRPr="00593A5F">
        <w:rPr>
          <w:rFonts w:ascii="Verdana" w:eastAsia="Century Gothic" w:hAnsi="Verdana" w:cs="Century Gothic"/>
          <w:b/>
          <w:bCs/>
        </w:rPr>
        <w:t>:</w:t>
      </w:r>
    </w:p>
    <w:p w14:paraId="562B3227" w14:textId="77777777" w:rsidR="008255F4" w:rsidRPr="00593A5F" w:rsidRDefault="008255F4" w:rsidP="008255F4">
      <w:pPr>
        <w:tabs>
          <w:tab w:val="left" w:pos="426"/>
        </w:tabs>
        <w:spacing w:after="0" w:line="276" w:lineRule="auto"/>
        <w:jc w:val="both"/>
        <w:rPr>
          <w:rFonts w:ascii="Verdana" w:eastAsia="Century Gothic" w:hAnsi="Verdana" w:cs="Century Gothic"/>
          <w:lang w:val="es-ES"/>
        </w:rPr>
      </w:pPr>
    </w:p>
    <w:p w14:paraId="522FD809" w14:textId="5D4D5679" w:rsidR="008255F4" w:rsidRPr="00593A5F" w:rsidRDefault="008255F4" w:rsidP="008255F4">
      <w:pPr>
        <w:spacing w:after="0" w:line="276" w:lineRule="auto"/>
        <w:jc w:val="both"/>
        <w:rPr>
          <w:rFonts w:ascii="Verdana" w:eastAsia="Century Gothic" w:hAnsi="Verdana" w:cs="Century Gothic"/>
        </w:rPr>
      </w:pPr>
      <w:r w:rsidRPr="003713D7">
        <w:rPr>
          <w:rFonts w:ascii="Verdana" w:eastAsia="Century Gothic" w:hAnsi="Verdana" w:cs="Century Gothic"/>
        </w:rPr>
        <w:t>De acuerdo con el contenido de su solicitud, esta Agencia resolverá el siguiente problema jurídico:</w:t>
      </w:r>
      <w:r>
        <w:rPr>
          <w:rFonts w:ascii="Verdana" w:eastAsia="Century Gothic" w:hAnsi="Verdana" w:cs="Century Gothic"/>
        </w:rPr>
        <w:t xml:space="preserve"> </w:t>
      </w:r>
      <w:r w:rsidR="005A56F3">
        <w:rPr>
          <w:rFonts w:ascii="Verdana" w:eastAsia="Century Gothic" w:hAnsi="Verdana" w:cs="Century Gothic"/>
        </w:rPr>
        <w:t xml:space="preserve">i) </w:t>
      </w:r>
      <w:r w:rsidR="005A56F3" w:rsidRPr="005A56F3">
        <w:rPr>
          <w:rFonts w:ascii="Verdana" w:eastAsia="Century Gothic" w:hAnsi="Verdana" w:cs="Century Gothic"/>
        </w:rPr>
        <w:t>¿La reversión, anulación o reajuste del certificado de disponibilidad presupuestal (CDP) y del registro presupuestal (RP) de un contrato ya perfeccionado o en ejecución, realizada con ocasión de una modificación contractual, afecta el perfeccionamiento del contrato o incumple sus requisitos de ejecución y de publicidad? ¿A quién corresponde definir la procedencia y el trámite de esa operación presupuestal?</w:t>
      </w:r>
      <w:r w:rsidR="00AE029D">
        <w:rPr>
          <w:rFonts w:ascii="Verdana" w:eastAsia="Century Gothic" w:hAnsi="Verdana" w:cs="Century Gothic"/>
        </w:rPr>
        <w:t xml:space="preserve">; y </w:t>
      </w:r>
      <w:proofErr w:type="spellStart"/>
      <w:r w:rsidR="00AE029D">
        <w:rPr>
          <w:rFonts w:ascii="Verdana" w:eastAsia="Century Gothic" w:hAnsi="Verdana" w:cs="Century Gothic"/>
        </w:rPr>
        <w:t>ii</w:t>
      </w:r>
      <w:proofErr w:type="spellEnd"/>
      <w:r w:rsidR="00AE029D">
        <w:rPr>
          <w:rFonts w:ascii="Verdana" w:eastAsia="Century Gothic" w:hAnsi="Verdana" w:cs="Century Gothic"/>
        </w:rPr>
        <w:t>)</w:t>
      </w:r>
      <w:r w:rsidR="005A56F3" w:rsidRPr="005A56F3">
        <w:rPr>
          <w:rFonts w:ascii="Verdana" w:eastAsia="Century Gothic" w:hAnsi="Verdana" w:cs="Century Gothic"/>
        </w:rPr>
        <w:t>¿La constancia de la reversión y los nuevos CDP y RP que se expidan en virtud de la modificación deben incorporarse al expediente contractual y publicarse en el Sistema Electrónico de Contratación Pública (SECOP)?</w:t>
      </w:r>
    </w:p>
    <w:p w14:paraId="107FB142" w14:textId="77777777" w:rsidR="008255F4" w:rsidRPr="004B140F" w:rsidRDefault="008255F4" w:rsidP="008255F4">
      <w:pPr>
        <w:spacing w:after="0" w:line="276" w:lineRule="auto"/>
        <w:jc w:val="both"/>
        <w:rPr>
          <w:rFonts w:ascii="Verdana" w:eastAsia="Calibri" w:hAnsi="Verdana" w:cs="Arial"/>
          <w:color w:val="7030A0"/>
        </w:rPr>
      </w:pPr>
    </w:p>
    <w:p w14:paraId="0DBFD83E" w14:textId="1888E3D3" w:rsidR="008255F4" w:rsidRPr="00593A5F" w:rsidRDefault="008255F4" w:rsidP="008255F4">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r w:rsidR="00077F59">
        <w:rPr>
          <w:rFonts w:ascii="Verdana" w:eastAsia="Century Gothic" w:hAnsi="Verdana" w:cs="Century Gothic"/>
          <w:b/>
          <w:bCs/>
        </w:rPr>
        <w:t>s</w:t>
      </w:r>
      <w:r w:rsidRPr="00593A5F">
        <w:rPr>
          <w:rFonts w:ascii="Verdana" w:eastAsia="Century Gothic" w:hAnsi="Verdana" w:cs="Century Gothic"/>
          <w:b/>
          <w:bCs/>
        </w:rPr>
        <w:t>:</w:t>
      </w:r>
    </w:p>
    <w:p w14:paraId="13D77CE5" w14:textId="77777777" w:rsidR="008255F4" w:rsidRPr="00593A5F" w:rsidRDefault="008255F4" w:rsidP="008255F4">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255F4" w:rsidRPr="00593A5F" w14:paraId="2F3C3E79" w14:textId="77777777" w:rsidTr="00511EE9">
        <w:trPr>
          <w:jc w:val="center"/>
        </w:trPr>
        <w:tc>
          <w:tcPr>
            <w:tcW w:w="8828" w:type="dxa"/>
          </w:tcPr>
          <w:p w14:paraId="61CE75CA" w14:textId="77777777" w:rsidR="002B0F8D" w:rsidRPr="002B0F8D" w:rsidRDefault="002B0F8D" w:rsidP="002B0F8D">
            <w:pPr>
              <w:widowControl w:val="0"/>
              <w:autoSpaceDE w:val="0"/>
              <w:autoSpaceDN w:val="0"/>
              <w:spacing w:after="120" w:line="276" w:lineRule="auto"/>
              <w:jc w:val="both"/>
              <w:rPr>
                <w:rFonts w:ascii="Verdana" w:eastAsia="Calibri" w:hAnsi="Verdana" w:cs="Arial"/>
                <w:bCs/>
                <w:color w:val="000000" w:themeColor="text1"/>
              </w:rPr>
            </w:pPr>
            <w:bookmarkStart w:id="1" w:name="_Hlk171694685"/>
            <w:r w:rsidRPr="002B0F8D">
              <w:rPr>
                <w:rFonts w:ascii="Verdana" w:eastAsia="Calibri" w:hAnsi="Verdana" w:cs="Arial"/>
                <w:bCs/>
                <w:color w:val="000000" w:themeColor="text1"/>
              </w:rPr>
              <w:t xml:space="preserve">El certificado de disponibilidad presupuestal y el registro presupuestal no son requisitos de perfeccionamiento del contrato estatal, sino, respectivamente, </w:t>
            </w:r>
            <w:r w:rsidRPr="002B0F8D">
              <w:rPr>
                <w:rFonts w:ascii="Verdana" w:eastAsia="Calibri" w:hAnsi="Verdana" w:cs="Arial"/>
                <w:bCs/>
                <w:color w:val="000000" w:themeColor="text1"/>
              </w:rPr>
              <w:lastRenderedPageBreak/>
              <w:t>un requisito previo del compromiso y un requisito de ejecución. Por ello, la reversión, anulación, reducción o reexpedición de esas imputaciones —operaciones propias de la ejecución del presupuesto, cuya procedencia y trámite corresponde definir a la autoridad presupuestal competente, esto es, al Ministerio de Hacienda y Crédito Público en el orden nacional o a las secretarías de hacienda territoriales, y no a esta Agencia— no afecta la existencia ni la validez del contrato ya perfeccionado ni la de su modificación, que se perfecciona con el acuerdo escrito sobre el objeto y la contraprestación.</w:t>
            </w:r>
          </w:p>
          <w:p w14:paraId="4889B414" w14:textId="77777777" w:rsidR="002B0F8D" w:rsidRPr="002B0F8D" w:rsidRDefault="002B0F8D" w:rsidP="006E7C78">
            <w:pPr>
              <w:widowControl w:val="0"/>
              <w:autoSpaceDE w:val="0"/>
              <w:autoSpaceDN w:val="0"/>
              <w:spacing w:after="120" w:line="276" w:lineRule="auto"/>
              <w:ind w:firstLine="709"/>
              <w:jc w:val="both"/>
              <w:rPr>
                <w:rFonts w:ascii="Verdana" w:eastAsia="Calibri" w:hAnsi="Verdana" w:cs="Arial"/>
                <w:bCs/>
                <w:color w:val="000000" w:themeColor="text1"/>
              </w:rPr>
            </w:pPr>
            <w:r w:rsidRPr="002B0F8D">
              <w:rPr>
                <w:rFonts w:ascii="Verdana" w:eastAsia="Calibri" w:hAnsi="Verdana" w:cs="Arial"/>
                <w:bCs/>
                <w:color w:val="000000" w:themeColor="text1"/>
              </w:rPr>
              <w:t>Ese reajuste presupuestal tampoco incumple, por sí mismo, los requisitos de ejecución y de publicidad, siempre que: (i) las obligaciones del contrato y las derivadas de la modificación queden respaldadas por un registro presupuestal vigente, sin solución de continuidad, de modo que en ningún momento se ejecute el contrato sin registro; (</w:t>
            </w:r>
            <w:proofErr w:type="spellStart"/>
            <w:r w:rsidRPr="002B0F8D">
              <w:rPr>
                <w:rFonts w:ascii="Verdana" w:eastAsia="Calibri" w:hAnsi="Verdana" w:cs="Arial"/>
                <w:bCs/>
                <w:color w:val="000000" w:themeColor="text1"/>
              </w:rPr>
              <w:t>ii</w:t>
            </w:r>
            <w:proofErr w:type="spellEnd"/>
            <w:r w:rsidRPr="002B0F8D">
              <w:rPr>
                <w:rFonts w:ascii="Verdana" w:eastAsia="Calibri" w:hAnsi="Verdana" w:cs="Arial"/>
                <w:bCs/>
                <w:color w:val="000000" w:themeColor="text1"/>
              </w:rPr>
              <w:t>) el nuevo certificado de disponibilidad se expida de manera previa a la suscripción del otrosí que compromete recursos, y el nuevo registro con ocasión de su perfeccionamiento; y (</w:t>
            </w:r>
            <w:proofErr w:type="spellStart"/>
            <w:r w:rsidRPr="002B0F8D">
              <w:rPr>
                <w:rFonts w:ascii="Verdana" w:eastAsia="Calibri" w:hAnsi="Verdana" w:cs="Arial"/>
                <w:bCs/>
                <w:color w:val="000000" w:themeColor="text1"/>
              </w:rPr>
              <w:t>iii</w:t>
            </w:r>
            <w:proofErr w:type="spellEnd"/>
            <w:r w:rsidRPr="002B0F8D">
              <w:rPr>
                <w:rFonts w:ascii="Verdana" w:eastAsia="Calibri" w:hAnsi="Verdana" w:cs="Arial"/>
                <w:bCs/>
                <w:color w:val="000000" w:themeColor="text1"/>
              </w:rPr>
              <w:t>) la entidad publique en el SECOP los documentos correspondientes dentro del término legal.</w:t>
            </w:r>
          </w:p>
          <w:p w14:paraId="65CE3A1B" w14:textId="77777777" w:rsidR="002B0F8D" w:rsidRPr="002B0F8D" w:rsidRDefault="002B0F8D" w:rsidP="006E7C78">
            <w:pPr>
              <w:widowControl w:val="0"/>
              <w:autoSpaceDE w:val="0"/>
              <w:autoSpaceDN w:val="0"/>
              <w:spacing w:after="120" w:line="276" w:lineRule="auto"/>
              <w:ind w:firstLine="709"/>
              <w:jc w:val="both"/>
              <w:rPr>
                <w:rFonts w:ascii="Verdana" w:eastAsia="Calibri" w:hAnsi="Verdana" w:cs="Arial"/>
                <w:bCs/>
                <w:color w:val="000000" w:themeColor="text1"/>
              </w:rPr>
            </w:pPr>
            <w:r w:rsidRPr="002B0F8D">
              <w:rPr>
                <w:rFonts w:ascii="Verdana" w:eastAsia="Calibri" w:hAnsi="Verdana" w:cs="Arial"/>
                <w:bCs/>
                <w:color w:val="000000" w:themeColor="text1"/>
              </w:rPr>
              <w:t>En cuanto a la segunda pregunta, la constancia de la reversión y los nuevos certificados y registros constituyen “Documentos del Proceso” en los términos del artículo 2.2.1.1.1.3.1 del Decreto 1082 de 2015 y, por tanto, deben incorporarse al expediente contractual y publicarse en el SECOP. En consecuencia, dejar dicha constancia y proceder de acuerdo con ella es jurídicamente admisible.</w:t>
            </w:r>
          </w:p>
          <w:p w14:paraId="067CFA7D" w14:textId="6C800AA9" w:rsidR="002B0F8D" w:rsidRPr="006A4CE1" w:rsidRDefault="002B0F8D" w:rsidP="006E7C78">
            <w:pPr>
              <w:widowControl w:val="0"/>
              <w:autoSpaceDE w:val="0"/>
              <w:autoSpaceDN w:val="0"/>
              <w:spacing w:after="120" w:line="276" w:lineRule="auto"/>
              <w:ind w:firstLine="709"/>
              <w:jc w:val="both"/>
              <w:rPr>
                <w:rFonts w:ascii="Verdana" w:eastAsia="Arial" w:hAnsi="Verdana" w:cs="Arial"/>
                <w:color w:val="000000"/>
                <w:lang w:eastAsia="es-ES" w:bidi="es-ES"/>
              </w:rPr>
            </w:pPr>
            <w:r w:rsidRPr="002B0F8D">
              <w:rPr>
                <w:rFonts w:ascii="Verdana" w:eastAsia="Calibri" w:hAnsi="Verdana" w:cs="Arial"/>
                <w:bCs/>
                <w:color w:val="000000" w:themeColor="text1"/>
              </w:rPr>
              <w:t>Todo lo anterior parte de que la modificación que motiva el ajuste sea a su vez procedente, esto es, que obedezca a una causa real y cierta y respete los límites de orden temporal, formal, material y axiológico que se desarrollan en las razones de este concepto. Como se trata de decisiones que dependen de las circunstancias de cada contrato, corresponde a la entidad —previo concepto de sus áreas jurídica y financiera— adoptarlas, sin que sea atribución de Colombia Compra Eficiente validar actuaciones particulares.</w:t>
            </w:r>
          </w:p>
          <w:p w14:paraId="25830AA6" w14:textId="6908B727" w:rsidR="008255F4" w:rsidRPr="001941FD" w:rsidRDefault="008255F4" w:rsidP="00511EE9">
            <w:pPr>
              <w:spacing w:line="276" w:lineRule="auto"/>
              <w:ind w:firstLine="737"/>
              <w:jc w:val="both"/>
              <w:rPr>
                <w:rFonts w:ascii="Verdana" w:eastAsia="Calibri" w:hAnsi="Verdana" w:cs="Arial"/>
                <w:bCs/>
                <w:color w:val="000000" w:themeColor="text1"/>
              </w:rPr>
            </w:pPr>
          </w:p>
        </w:tc>
      </w:tr>
    </w:tbl>
    <w:p w14:paraId="35357C54" w14:textId="77777777" w:rsidR="008255F4" w:rsidRPr="00593A5F" w:rsidRDefault="008255F4" w:rsidP="008255F4">
      <w:pPr>
        <w:tabs>
          <w:tab w:val="left" w:pos="142"/>
          <w:tab w:val="left" w:pos="284"/>
        </w:tabs>
        <w:spacing w:after="0" w:line="276" w:lineRule="auto"/>
        <w:jc w:val="both"/>
        <w:rPr>
          <w:rFonts w:ascii="Verdana" w:eastAsia="Century Gothic" w:hAnsi="Verdana" w:cs="Century Gothic"/>
          <w:b/>
          <w:bCs/>
          <w:lang w:val="es-ES"/>
        </w:rPr>
      </w:pPr>
    </w:p>
    <w:bookmarkEnd w:id="1"/>
    <w:p w14:paraId="5FEF6A38" w14:textId="7F7361D0" w:rsidR="008255F4" w:rsidRPr="00593A5F" w:rsidRDefault="008255F4" w:rsidP="008255F4">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w:t>
      </w:r>
      <w:r w:rsidR="00077F59">
        <w:rPr>
          <w:rFonts w:ascii="Verdana" w:eastAsia="Century Gothic" w:hAnsi="Verdana" w:cs="Century Gothic"/>
          <w:b/>
          <w:bCs/>
        </w:rPr>
        <w:t>s</w:t>
      </w:r>
      <w:r w:rsidRPr="00593A5F">
        <w:rPr>
          <w:rFonts w:ascii="Verdana" w:eastAsia="Century Gothic" w:hAnsi="Verdana" w:cs="Century Gothic"/>
          <w:b/>
          <w:bCs/>
        </w:rPr>
        <w:t xml:space="preserve"> respuesta</w:t>
      </w:r>
      <w:r w:rsidR="00077F59">
        <w:rPr>
          <w:rFonts w:ascii="Verdana" w:eastAsia="Century Gothic" w:hAnsi="Verdana" w:cs="Century Gothic"/>
          <w:b/>
          <w:bCs/>
        </w:rPr>
        <w:t>s</w:t>
      </w:r>
      <w:r w:rsidRPr="00593A5F">
        <w:rPr>
          <w:rFonts w:ascii="Verdana" w:eastAsia="Century Gothic" w:hAnsi="Verdana" w:cs="Century Gothic"/>
          <w:b/>
          <w:bCs/>
        </w:rPr>
        <w:t>:</w:t>
      </w:r>
    </w:p>
    <w:p w14:paraId="7ECAE006" w14:textId="77777777" w:rsidR="008255F4" w:rsidRPr="00593A5F" w:rsidRDefault="008255F4" w:rsidP="008255F4">
      <w:pPr>
        <w:spacing w:after="0" w:line="276" w:lineRule="auto"/>
        <w:jc w:val="both"/>
        <w:rPr>
          <w:rFonts w:ascii="Verdana" w:eastAsia="Calibri" w:hAnsi="Verdana" w:cs="Arial"/>
          <w:color w:val="7030A0"/>
          <w:lang w:val="es-ES"/>
        </w:rPr>
      </w:pPr>
    </w:p>
    <w:p w14:paraId="480145C8" w14:textId="77777777" w:rsidR="008255F4" w:rsidRDefault="008255F4" w:rsidP="008255F4">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73DEF061" w14:textId="77777777" w:rsidR="008255F4" w:rsidRPr="00415608" w:rsidRDefault="008255F4" w:rsidP="008255F4">
      <w:pPr>
        <w:spacing w:after="0" w:line="276" w:lineRule="auto"/>
        <w:jc w:val="both"/>
        <w:rPr>
          <w:rFonts w:ascii="Verdana" w:eastAsia="Calibri" w:hAnsi="Verdana" w:cs="Arial"/>
          <w:lang w:val="es-ES"/>
        </w:rPr>
      </w:pPr>
    </w:p>
    <w:p w14:paraId="4AB8BA90" w14:textId="77777777" w:rsidR="008255F4" w:rsidRDefault="008255F4" w:rsidP="008255F4">
      <w:pPr>
        <w:spacing w:after="120" w:line="276" w:lineRule="auto"/>
        <w:jc w:val="both"/>
        <w:rPr>
          <w:rFonts w:ascii="Verdana" w:eastAsia="Times New Roman" w:hAnsi="Verdana" w:cs="Arial"/>
          <w:color w:val="1A1A1A" w:themeColor="background1" w:themeShade="1A"/>
          <w:lang w:val="es-ES" w:eastAsia="es-ES_tradnl"/>
        </w:rPr>
      </w:pPr>
      <w:r>
        <w:rPr>
          <w:rFonts w:ascii="Verdana" w:hAnsi="Verdana"/>
          <w:lang w:val="es-ES" w:eastAsia="es-ES"/>
        </w:rPr>
        <w:t xml:space="preserve">i. </w:t>
      </w:r>
      <w:r>
        <w:rPr>
          <w:rFonts w:ascii="Verdana" w:eastAsia="Times New Roman" w:hAnsi="Verdana" w:cs="Arial"/>
          <w:color w:val="1A1A1A" w:themeColor="background1" w:themeShade="1A"/>
          <w:lang w:val="es-ES" w:eastAsia="es-ES_tradnl"/>
        </w:rPr>
        <w:t>E</w:t>
      </w:r>
      <w:r w:rsidRPr="00BC1770">
        <w:rPr>
          <w:rFonts w:ascii="Verdana" w:eastAsia="Times New Roman" w:hAnsi="Verdana" w:cs="Arial"/>
          <w:color w:val="1A1A1A" w:themeColor="background1" w:themeShade="1A"/>
          <w:lang w:val="es-ES" w:eastAsia="es-ES_tradnl"/>
        </w:rPr>
        <w:t xml:space="preserve">l presupuesto de una Entidad Estatal está compuesto por los recursos públicos en dinero y su distribución efectiva para viabilizar el cumplimiento de las funciones que la ley le ha señalado a cada organismo del Estado. Para la debida asignación y distribución de los recursos públicos, las Entidades deben cumplir los procedimientos señalados en las normas para su correcta ejecución, observando la regulación presupuestal, donde se establecen diferentes requisitos que comportan deberes ineludibles que tienen como finalidad el control del gasto. Una forma de ejecutar el presupuesto consiste en la celebración de contratos estatales, con la finalidad de adquirir o ejecutar bienes, obras o servicios requeridos para satisfacer las necesidades de las Entidades Estatales. </w:t>
      </w:r>
    </w:p>
    <w:p w14:paraId="2BDA13C9" w14:textId="77777777" w:rsidR="008255F4" w:rsidRDefault="008255F4" w:rsidP="008255F4">
      <w:pPr>
        <w:spacing w:after="120" w:line="276" w:lineRule="auto"/>
        <w:ind w:firstLine="709"/>
        <w:jc w:val="both"/>
        <w:rPr>
          <w:rFonts w:ascii="Verdana" w:eastAsia="Times New Roman" w:hAnsi="Verdana" w:cs="Arial"/>
          <w:color w:val="1A1A1A" w:themeColor="background1" w:themeShade="1A"/>
          <w:lang w:eastAsia="es-ES_tradnl"/>
        </w:rPr>
      </w:pPr>
      <w:r>
        <w:rPr>
          <w:rFonts w:ascii="Verdana" w:eastAsia="Times New Roman" w:hAnsi="Verdana" w:cs="Arial"/>
          <w:color w:val="1A1A1A" w:themeColor="background1" w:themeShade="1A"/>
          <w:lang w:val="es-ES" w:eastAsia="es-ES_tradnl"/>
        </w:rPr>
        <w:t xml:space="preserve">En este sentido, </w:t>
      </w:r>
      <w:r>
        <w:rPr>
          <w:rFonts w:ascii="Verdana" w:eastAsia="Times New Roman" w:hAnsi="Verdana" w:cs="Arial"/>
          <w:color w:val="1A1A1A" w:themeColor="background1" w:themeShade="1A"/>
          <w:lang w:eastAsia="es-ES_tradnl"/>
        </w:rPr>
        <w:t xml:space="preserve">es evidente </w:t>
      </w:r>
      <w:r w:rsidRPr="00432D7F">
        <w:rPr>
          <w:rFonts w:ascii="Verdana" w:eastAsia="Times New Roman" w:hAnsi="Verdana" w:cs="Arial"/>
          <w:color w:val="1A1A1A" w:themeColor="background1" w:themeShade="1A"/>
          <w:lang w:eastAsia="es-ES_tradnl"/>
        </w:rPr>
        <w:t xml:space="preserve">la interdependencia entre el régimen de contratación estatal y el régimen presupuestal, en la medida en que toda actuación contractual de las entidades públicas debe estar respaldada por una disponibilidad de recursos debidamente apropiada en el presupuesto. </w:t>
      </w:r>
      <w:r>
        <w:rPr>
          <w:rFonts w:ascii="Verdana" w:eastAsia="Times New Roman" w:hAnsi="Verdana" w:cs="Arial"/>
          <w:color w:val="1A1A1A" w:themeColor="background1" w:themeShade="1A"/>
          <w:lang w:eastAsia="es-ES_tradnl"/>
        </w:rPr>
        <w:t xml:space="preserve">Ello implica que la celebración de los </w:t>
      </w:r>
      <w:r w:rsidRPr="00432D7F">
        <w:rPr>
          <w:rFonts w:ascii="Verdana" w:eastAsia="Times New Roman" w:hAnsi="Verdana" w:cs="Arial"/>
          <w:color w:val="1A1A1A" w:themeColor="background1" w:themeShade="1A"/>
          <w:lang w:eastAsia="es-ES_tradnl"/>
        </w:rPr>
        <w:t>contratos, están condicionad</w:t>
      </w:r>
      <w:r>
        <w:rPr>
          <w:rFonts w:ascii="Verdana" w:eastAsia="Times New Roman" w:hAnsi="Verdana" w:cs="Arial"/>
          <w:color w:val="1A1A1A" w:themeColor="background1" w:themeShade="1A"/>
          <w:lang w:eastAsia="es-ES_tradnl"/>
        </w:rPr>
        <w:t>o</w:t>
      </w:r>
      <w:r w:rsidRPr="00432D7F">
        <w:rPr>
          <w:rFonts w:ascii="Verdana" w:eastAsia="Times New Roman" w:hAnsi="Verdana" w:cs="Arial"/>
          <w:color w:val="1A1A1A" w:themeColor="background1" w:themeShade="1A"/>
          <w:lang w:eastAsia="es-ES_tradnl"/>
        </w:rPr>
        <w:t xml:space="preserve">s por las reglas fiscales y los principios presupuestales, </w:t>
      </w:r>
      <w:r>
        <w:rPr>
          <w:rFonts w:ascii="Verdana" w:eastAsia="Times New Roman" w:hAnsi="Verdana" w:cs="Arial"/>
          <w:color w:val="1A1A1A" w:themeColor="background1" w:themeShade="1A"/>
          <w:lang w:eastAsia="es-ES_tradnl"/>
        </w:rPr>
        <w:t xml:space="preserve">porque </w:t>
      </w:r>
      <w:r w:rsidRPr="00432D7F">
        <w:rPr>
          <w:rFonts w:ascii="Verdana" w:eastAsia="Times New Roman" w:hAnsi="Verdana" w:cs="Arial"/>
          <w:color w:val="1A1A1A" w:themeColor="background1" w:themeShade="1A"/>
          <w:lang w:eastAsia="es-ES_tradnl"/>
        </w:rPr>
        <w:t>la contratación pública no puede concebirse de manera aislada del marco presupuestal</w:t>
      </w:r>
      <w:r>
        <w:rPr>
          <w:rFonts w:ascii="Verdana" w:eastAsia="Times New Roman" w:hAnsi="Verdana" w:cs="Arial"/>
          <w:color w:val="1A1A1A" w:themeColor="background1" w:themeShade="1A"/>
          <w:lang w:eastAsia="es-ES_tradnl"/>
        </w:rPr>
        <w:t>. Así lo ha señalado el Consejo de Estado al explicar que es inocultable la conexión material que existe entre estos dos regímenes y “p</w:t>
      </w:r>
      <w:r w:rsidRPr="00966178">
        <w:rPr>
          <w:rFonts w:ascii="Verdana" w:eastAsia="Times New Roman" w:hAnsi="Verdana" w:cs="Arial"/>
          <w:color w:val="1A1A1A" w:themeColor="background1" w:themeShade="1A"/>
          <w:lang w:eastAsia="es-ES_tradnl"/>
        </w:rPr>
        <w:t>arte de la importancia consiste en que a través de los contratos se ejecuta la mayor parte del presupuesto público, representando otra suma importante el pago de la deuda pública –que se adquiere por medio de contratos de crédito- y los gastos de funcionamiento –incluye salarios y prestaciones sociales-. Esta simple proporción refleja la importancia que tiene el presupuesto para la contratación estatal y, a la inversa, la contratación estatal para el presupuesto</w:t>
      </w:r>
      <w:r>
        <w:rPr>
          <w:rFonts w:ascii="Verdana" w:eastAsia="Times New Roman" w:hAnsi="Verdana" w:cs="Arial"/>
          <w:color w:val="1A1A1A" w:themeColor="background1" w:themeShade="1A"/>
          <w:lang w:eastAsia="es-ES_tradnl"/>
        </w:rPr>
        <w:t>”</w:t>
      </w:r>
      <w:r>
        <w:rPr>
          <w:rStyle w:val="Refdenotaalpie"/>
          <w:rFonts w:ascii="Verdana" w:eastAsia="Times New Roman" w:hAnsi="Verdana" w:cs="Arial"/>
          <w:color w:val="1A1A1A" w:themeColor="background1" w:themeShade="1A"/>
          <w:lang w:eastAsia="es-ES_tradnl"/>
        </w:rPr>
        <w:footnoteReference w:id="1"/>
      </w:r>
      <w:r w:rsidRPr="00966178">
        <w:rPr>
          <w:rFonts w:ascii="Verdana" w:eastAsia="Times New Roman" w:hAnsi="Verdana" w:cs="Arial"/>
          <w:color w:val="1A1A1A" w:themeColor="background1" w:themeShade="1A"/>
          <w:lang w:eastAsia="es-ES_tradnl"/>
        </w:rPr>
        <w:t>.</w:t>
      </w:r>
    </w:p>
    <w:p w14:paraId="6835C7F4" w14:textId="77777777" w:rsidR="008255F4" w:rsidRPr="0045042D" w:rsidRDefault="008255F4" w:rsidP="008255F4">
      <w:pPr>
        <w:spacing w:after="120" w:line="276" w:lineRule="auto"/>
        <w:ind w:firstLine="709"/>
        <w:jc w:val="both"/>
        <w:rPr>
          <w:rFonts w:ascii="Verdana" w:hAnsi="Verdana" w:cs="Arial"/>
        </w:rPr>
      </w:pPr>
      <w:r>
        <w:rPr>
          <w:rFonts w:ascii="Verdana" w:eastAsia="Times New Roman" w:hAnsi="Verdana" w:cs="Arial"/>
          <w:color w:val="1A1A1A" w:themeColor="background1" w:themeShade="1A"/>
          <w:lang w:eastAsia="es-ES_tradnl"/>
        </w:rPr>
        <w:t>R</w:t>
      </w:r>
      <w:r w:rsidRPr="00F52790">
        <w:rPr>
          <w:rFonts w:ascii="Verdana" w:eastAsia="Times New Roman" w:hAnsi="Verdana" w:cs="Arial"/>
          <w:color w:val="1A1A1A" w:themeColor="background1" w:themeShade="1A"/>
          <w:lang w:eastAsia="es-ES_tradnl"/>
        </w:rPr>
        <w:t xml:space="preserve">especto del principio de economía, </w:t>
      </w:r>
      <w:r w:rsidRPr="00524270">
        <w:rPr>
          <w:rFonts w:ascii="Verdana" w:eastAsia="Times New Roman" w:hAnsi="Verdana" w:cs="Arial"/>
          <w:color w:val="1A1A1A" w:themeColor="background1" w:themeShade="1A"/>
          <w:lang w:eastAsia="es-ES_tradnl"/>
        </w:rPr>
        <w:t xml:space="preserve">los numerales 6, 13 y 14 del artículo 25 del Estatuto General de Contratación de la Administración Pública disponen que las entidades estatales sólo iniciarán procesos contractuales si cuentan con respaldo presupuestal suficiente, incluyendo reservas para las cláusulas de actualización de precios y los imprevistos derivados de retrasos en pagos o la revisión de precios por alteración de las condiciones iniciales del negocio jurídico. </w:t>
      </w:r>
      <w:r w:rsidRPr="00524270">
        <w:rPr>
          <w:rFonts w:ascii="Verdana" w:eastAsia="Times New Roman" w:hAnsi="Verdana" w:cs="Arial"/>
          <w:color w:val="1A1A1A" w:themeColor="background1" w:themeShade="1A"/>
          <w:lang w:eastAsia="es-ES_tradnl"/>
        </w:rPr>
        <w:lastRenderedPageBreak/>
        <w:t xml:space="preserve">Asimismo, el inciso segundo del artículo 41 </w:t>
      </w:r>
      <w:r w:rsidRPr="00524270">
        <w:rPr>
          <w:rFonts w:ascii="Verdana" w:eastAsia="Times New Roman" w:hAnsi="Verdana" w:cs="Arial"/>
          <w:i/>
          <w:iCs/>
          <w:color w:val="1A1A1A" w:themeColor="background1" w:themeShade="1A"/>
          <w:lang w:eastAsia="es-ES_tradnl"/>
        </w:rPr>
        <w:t>ibidem</w:t>
      </w:r>
      <w:r w:rsidRPr="00524270">
        <w:rPr>
          <w:rFonts w:ascii="Verdana" w:eastAsia="Times New Roman" w:hAnsi="Verdana" w:cs="Arial"/>
          <w:color w:val="1A1A1A" w:themeColor="background1" w:themeShade="1A"/>
          <w:lang w:eastAsia="es-ES_tradnl"/>
        </w:rPr>
        <w:t xml:space="preserve"> –modificado por el artículo 23 de la Ley 1150 de 2007– eleva el registro presupuestal a requisito de ejecución de los contratos. Como explica la doctrina, tanto en la fase preparatoria como en la de formalización, las normas del sistema de compras públicas exigen el cumplimiento de la legalidad presupuestaría</w:t>
      </w:r>
      <w:r w:rsidRPr="00524270">
        <w:rPr>
          <w:rFonts w:ascii="Verdana" w:eastAsia="Times New Roman" w:hAnsi="Verdana" w:cs="Arial"/>
          <w:color w:val="1A1A1A" w:themeColor="background1" w:themeShade="1A"/>
          <w:vertAlign w:val="superscript"/>
          <w:lang w:eastAsia="es-ES_tradnl"/>
        </w:rPr>
        <w:footnoteReference w:id="2"/>
      </w:r>
      <w:r w:rsidRPr="00524270">
        <w:rPr>
          <w:rFonts w:ascii="Verdana" w:eastAsia="Times New Roman" w:hAnsi="Verdana" w:cs="Arial"/>
          <w:color w:val="1A1A1A" w:themeColor="background1" w:themeShade="1A"/>
          <w:lang w:eastAsia="es-ES_tradnl"/>
        </w:rPr>
        <w:t xml:space="preserve">. </w:t>
      </w:r>
    </w:p>
    <w:p w14:paraId="7244D5D9" w14:textId="77777777" w:rsidR="008255F4" w:rsidRPr="008A0D6C" w:rsidRDefault="008255F4" w:rsidP="008255F4">
      <w:pPr>
        <w:spacing w:after="120" w:line="276" w:lineRule="auto"/>
        <w:ind w:firstLine="709"/>
        <w:jc w:val="both"/>
        <w:rPr>
          <w:rFonts w:ascii="Verdana" w:eastAsia="Calibri" w:hAnsi="Verdana" w:cs="Arial"/>
          <w:color w:val="000000" w:themeColor="text1"/>
          <w:lang w:val="es-ES"/>
        </w:rPr>
      </w:pPr>
      <w:r w:rsidRPr="21333006">
        <w:rPr>
          <w:rFonts w:ascii="Verdana" w:eastAsia="Calibri" w:hAnsi="Verdana" w:cs="Arial"/>
          <w:color w:val="000000" w:themeColor="text1"/>
          <w:lang w:val="es-ES"/>
        </w:rPr>
        <w:t xml:space="preserve">En este contexto, para el desarrollo de la actividad contractual las entidades estatales deben sujetarse a los principios del EGCAP y a los que rigen el sistema presupuestal, entre los cuales se encuentra el de anualidad del gasto público, conforme al cual las entidades deben planear sus contrataciones de manera que sus compromisos contractuales sean atendidos durante la respectiva vigencia fiscal comprendida entre el 1 de enero y el 31 de diciembre. En este sentido, la regla general es que las entidades estatales solo pueden adquirir compromisos presupuestales que no excedan en su ejecución la vigencia fiscal en la que se suscribe el respectivo contrato. </w:t>
      </w:r>
      <w:r w:rsidRPr="001D1CEF">
        <w:rPr>
          <w:rFonts w:ascii="Verdana" w:eastAsia="Calibri" w:hAnsi="Verdana" w:cs="Arial"/>
          <w:color w:val="000000" w:themeColor="text1"/>
          <w:lang w:val="es-ES_tradnl"/>
        </w:rPr>
        <w:t xml:space="preserve">No obstante, conforme lo ha señalado el Consejo de Estado, el principio de anualidad no es absoluto </w:t>
      </w:r>
      <w:r w:rsidRPr="001D1CEF">
        <w:rPr>
          <w:rFonts w:ascii="Verdana" w:eastAsia="Calibri" w:hAnsi="Verdana" w:cs="Arial"/>
          <w:color w:val="000000" w:themeColor="text1"/>
        </w:rPr>
        <w:t xml:space="preserve">en </w:t>
      </w:r>
      <w:r>
        <w:rPr>
          <w:rFonts w:ascii="Verdana" w:eastAsia="Calibri" w:hAnsi="Verdana" w:cs="Arial"/>
          <w:lang w:val="es-ES_tradnl"/>
        </w:rPr>
        <w:t>“</w:t>
      </w:r>
      <w:r w:rsidRPr="001D1CEF">
        <w:rPr>
          <w:rFonts w:ascii="Verdana" w:eastAsia="Calibri" w:hAnsi="Verdana" w:cs="Arial"/>
          <w:color w:val="000000" w:themeColor="text1"/>
        </w:rPr>
        <w:t>la medida en que la actividad presupuestal está íntimamente ligada con el principio de planeación, la cual normalmente es efectuada para periodos que superan el año calendario. Esta realidad impone la configuración de mecanismos presupuestales que permitan compatibilizar tales principios</w:t>
      </w:r>
      <w:r>
        <w:rPr>
          <w:rFonts w:ascii="Verdana" w:eastAsia="Calibri" w:hAnsi="Verdana" w:cs="Arial"/>
          <w:lang w:val="es-ES_tradnl"/>
        </w:rPr>
        <w:t>”</w:t>
      </w:r>
      <w:r w:rsidRPr="001D1CEF">
        <w:rPr>
          <w:rFonts w:ascii="Verdana" w:eastAsia="Calibri" w:hAnsi="Verdana" w:cs="Arial"/>
          <w:vertAlign w:val="superscript"/>
          <w:lang w:val="es-ES_tradnl"/>
        </w:rPr>
        <w:footnoteReference w:id="3"/>
      </w:r>
      <w:r w:rsidRPr="001D1CEF">
        <w:rPr>
          <w:rFonts w:ascii="Verdana" w:eastAsia="Calibri" w:hAnsi="Verdana" w:cs="Arial"/>
          <w:lang w:val="es-ES_tradnl"/>
        </w:rPr>
        <w:t>.</w:t>
      </w:r>
      <w:r w:rsidRPr="001D1CEF">
        <w:rPr>
          <w:rFonts w:ascii="Verdana" w:eastAsia="Calibri" w:hAnsi="Verdana" w:cs="Arial"/>
          <w:color w:val="000000" w:themeColor="text1"/>
        </w:rPr>
        <w:t xml:space="preserve"> </w:t>
      </w:r>
    </w:p>
    <w:p w14:paraId="55CCC97C" w14:textId="77777777" w:rsidR="008255F4" w:rsidRPr="001D1CEF" w:rsidRDefault="008255F4" w:rsidP="008255F4">
      <w:pPr>
        <w:shd w:val="clear" w:color="auto" w:fill="FFFFFF" w:themeFill="background1"/>
        <w:spacing w:after="120" w:line="276" w:lineRule="auto"/>
        <w:ind w:right="51" w:firstLine="709"/>
        <w:jc w:val="both"/>
        <w:rPr>
          <w:rFonts w:ascii="Verdana" w:eastAsia="Calibri" w:hAnsi="Verdana" w:cs="Arial"/>
          <w:lang w:val="es-ES"/>
        </w:rPr>
      </w:pPr>
      <w:r w:rsidRPr="21333006">
        <w:rPr>
          <w:rFonts w:ascii="Verdana" w:eastAsia="Calibri" w:hAnsi="Verdana" w:cs="Arial"/>
          <w:color w:val="000000" w:themeColor="text1"/>
          <w:lang w:val="es-ES"/>
        </w:rPr>
        <w:t xml:space="preserve">Dentro de los mecanismos presupuestales que constituyen excepciones al principio de anualidad se identifican: i) las vigencias futuras, </w:t>
      </w:r>
      <w:proofErr w:type="spellStart"/>
      <w:r w:rsidRPr="21333006">
        <w:rPr>
          <w:rFonts w:ascii="Verdana" w:eastAsia="Calibri" w:hAnsi="Verdana" w:cs="Arial"/>
          <w:color w:val="000000" w:themeColor="text1"/>
          <w:lang w:val="es-ES"/>
        </w:rPr>
        <w:t>ii</w:t>
      </w:r>
      <w:proofErr w:type="spellEnd"/>
      <w:r w:rsidRPr="21333006">
        <w:rPr>
          <w:rFonts w:ascii="Verdana" w:eastAsia="Calibri" w:hAnsi="Verdana" w:cs="Arial"/>
          <w:color w:val="000000" w:themeColor="text1"/>
          <w:lang w:val="es-ES"/>
        </w:rPr>
        <w:t xml:space="preserve">) las cuentas por pagar y </w:t>
      </w:r>
      <w:proofErr w:type="spellStart"/>
      <w:r w:rsidRPr="21333006">
        <w:rPr>
          <w:rFonts w:ascii="Verdana" w:eastAsia="Calibri" w:hAnsi="Verdana" w:cs="Arial"/>
          <w:color w:val="000000" w:themeColor="text1"/>
          <w:lang w:val="es-ES"/>
        </w:rPr>
        <w:t>iii</w:t>
      </w:r>
      <w:proofErr w:type="spellEnd"/>
      <w:r w:rsidRPr="21333006">
        <w:rPr>
          <w:rFonts w:ascii="Verdana" w:eastAsia="Calibri" w:hAnsi="Verdana" w:cs="Arial"/>
          <w:color w:val="000000" w:themeColor="text1"/>
          <w:lang w:val="es-ES"/>
        </w:rPr>
        <w:t xml:space="preserve">) las reservas presupuestales. Las </w:t>
      </w:r>
      <w:r w:rsidRPr="21333006">
        <w:rPr>
          <w:rFonts w:ascii="Verdana" w:eastAsia="Calibri" w:hAnsi="Verdana" w:cs="Arial"/>
          <w:i/>
          <w:color w:val="000000" w:themeColor="text1"/>
          <w:lang w:val="es-ES"/>
        </w:rPr>
        <w:t>primeras</w:t>
      </w:r>
      <w:r w:rsidRPr="21333006">
        <w:rPr>
          <w:rFonts w:ascii="Verdana" w:eastAsia="Calibri" w:hAnsi="Verdana" w:cs="Arial"/>
          <w:color w:val="000000" w:themeColor="text1"/>
          <w:lang w:val="es-ES"/>
        </w:rPr>
        <w:t>, de conformidad con el artículo 23 del Estatuto Orgánico del Presupuesto</w:t>
      </w:r>
      <w:r w:rsidRPr="21333006">
        <w:rPr>
          <w:rFonts w:ascii="Verdana" w:eastAsia="Calibri" w:hAnsi="Verdana" w:cs="Arial"/>
          <w:i/>
          <w:color w:val="000000" w:themeColor="text1"/>
          <w:lang w:val="es-ES"/>
        </w:rPr>
        <w:t xml:space="preserve">, </w:t>
      </w:r>
      <w:r w:rsidRPr="21333006">
        <w:rPr>
          <w:rFonts w:ascii="Verdana" w:eastAsia="Calibri" w:hAnsi="Verdana" w:cs="Arial"/>
          <w:color w:val="000000" w:themeColor="text1"/>
          <w:lang w:val="es-ES"/>
        </w:rPr>
        <w:t>se</w:t>
      </w:r>
      <w:r w:rsidRPr="21333006">
        <w:rPr>
          <w:rFonts w:ascii="Verdana" w:eastAsia="Calibri" w:hAnsi="Verdana" w:cs="Arial"/>
          <w:i/>
          <w:color w:val="000000" w:themeColor="text1"/>
          <w:lang w:val="es-ES"/>
        </w:rPr>
        <w:t xml:space="preserve"> </w:t>
      </w:r>
      <w:r w:rsidRPr="21333006">
        <w:rPr>
          <w:rFonts w:ascii="Verdana" w:eastAsia="Calibri" w:hAnsi="Verdana" w:cs="Arial"/>
          <w:color w:val="000000" w:themeColor="text1"/>
          <w:lang w:val="es-ES"/>
        </w:rPr>
        <w:t xml:space="preserve">refieren a la autorización que deben solicitar las entidades para asumir obligaciones que afectarán los presupuestos siguientes a los de la vigencia fiscal en la que inició la ejecución, es decir, correspondientes a las obligaciones cuya ejecución inició con </w:t>
      </w:r>
      <w:r w:rsidRPr="21333006">
        <w:rPr>
          <w:rFonts w:ascii="Verdana" w:eastAsia="Calibri" w:hAnsi="Verdana" w:cs="Arial"/>
          <w:color w:val="000000" w:themeColor="text1"/>
          <w:lang w:val="es-ES"/>
        </w:rPr>
        <w:lastRenderedPageBreak/>
        <w:t>presupuesto de una vigencia fiscal, pero que deberá continuarse con presupuestos de las siguientes vigencias</w:t>
      </w:r>
      <w:r w:rsidRPr="21333006">
        <w:rPr>
          <w:rFonts w:ascii="Verdana" w:eastAsia="Calibri" w:hAnsi="Verdana" w:cs="Arial"/>
          <w:color w:val="000000" w:themeColor="text1"/>
          <w:vertAlign w:val="superscript"/>
          <w:lang w:val="es-ES"/>
        </w:rPr>
        <w:footnoteReference w:id="4"/>
      </w:r>
      <w:r w:rsidRPr="21333006">
        <w:rPr>
          <w:rFonts w:ascii="Verdana" w:eastAsia="Calibri" w:hAnsi="Verdana" w:cs="Arial"/>
          <w:color w:val="000000" w:themeColor="text1"/>
          <w:lang w:val="es-ES"/>
        </w:rPr>
        <w:t xml:space="preserve">. </w:t>
      </w:r>
    </w:p>
    <w:p w14:paraId="2C5A8A37" w14:textId="77777777" w:rsidR="008255F4" w:rsidRPr="001D1CEF" w:rsidRDefault="008255F4" w:rsidP="008255F4">
      <w:pPr>
        <w:shd w:val="clear" w:color="auto" w:fill="FFFFFF"/>
        <w:spacing w:after="120" w:line="276" w:lineRule="auto"/>
        <w:ind w:right="51" w:firstLine="709"/>
        <w:jc w:val="both"/>
        <w:rPr>
          <w:rFonts w:ascii="Verdana" w:eastAsia="Calibri" w:hAnsi="Verdana" w:cs="Arial"/>
          <w:color w:val="000000" w:themeColor="text1"/>
          <w:lang w:val="es-ES"/>
        </w:rPr>
      </w:pPr>
      <w:r w:rsidRPr="001D1CEF">
        <w:rPr>
          <w:rFonts w:ascii="Verdana" w:eastAsia="Calibri" w:hAnsi="Verdana" w:cs="Arial"/>
          <w:color w:val="000000" w:themeColor="text1"/>
          <w:lang w:val="es-ES_tradnl"/>
        </w:rPr>
        <w:t xml:space="preserve">Las </w:t>
      </w:r>
      <w:r w:rsidRPr="001D1CEF">
        <w:rPr>
          <w:rFonts w:ascii="Verdana" w:eastAsia="Calibri" w:hAnsi="Verdana" w:cs="Arial"/>
          <w:i/>
          <w:iCs/>
          <w:color w:val="000000" w:themeColor="text1"/>
          <w:lang w:val="es-ES_tradnl"/>
        </w:rPr>
        <w:t xml:space="preserve">cuentas por pagar </w:t>
      </w:r>
      <w:r w:rsidRPr="001D1CEF">
        <w:rPr>
          <w:rFonts w:ascii="Verdana" w:eastAsia="Calibri" w:hAnsi="Verdana" w:cs="Arial"/>
          <w:color w:val="000000" w:themeColor="text1"/>
          <w:lang w:val="es-ES_tradnl"/>
        </w:rPr>
        <w:t>consisten en obligaciones cumplidas en la vigencia actual,</w:t>
      </w:r>
      <w:r w:rsidRPr="001D1CEF">
        <w:rPr>
          <w:rFonts w:ascii="Verdana" w:eastAsia="Calibri" w:hAnsi="Verdana" w:cs="Arial"/>
          <w:color w:val="000000" w:themeColor="text1"/>
          <w:sz w:val="19"/>
          <w:szCs w:val="19"/>
        </w:rPr>
        <w:t xml:space="preserve"> </w:t>
      </w:r>
      <w:r w:rsidRPr="001D1CEF">
        <w:rPr>
          <w:rFonts w:ascii="Verdana" w:eastAsia="Calibri" w:hAnsi="Verdana" w:cs="Arial"/>
          <w:color w:val="000000" w:themeColor="text1"/>
        </w:rPr>
        <w:t>correspondientes a los anticipos pactados en los contratos y a la entrega de bienes y servicios,</w:t>
      </w:r>
      <w:r w:rsidRPr="001D1CEF">
        <w:rPr>
          <w:rFonts w:ascii="Verdana" w:eastAsia="Calibri" w:hAnsi="Verdana" w:cs="Arial"/>
          <w:color w:val="000000" w:themeColor="text1"/>
          <w:lang w:val="es-ES_tradnl"/>
        </w:rPr>
        <w:t xml:space="preserve"> de las cuales solo se encuentra pendiente el pago de acuerdo con los compromisos presupuestales adquiridos por la entidad</w:t>
      </w:r>
      <w:r w:rsidRPr="001D1CEF">
        <w:rPr>
          <w:rFonts w:ascii="Verdana" w:eastAsia="Calibri" w:hAnsi="Verdana" w:cs="Arial"/>
          <w:color w:val="000000" w:themeColor="text1"/>
          <w:vertAlign w:val="superscript"/>
          <w:lang w:val="es-ES_tradnl"/>
        </w:rPr>
        <w:footnoteReference w:id="5"/>
      </w:r>
      <w:r w:rsidRPr="001D1CEF">
        <w:rPr>
          <w:rFonts w:ascii="Verdana" w:eastAsia="Calibri" w:hAnsi="Verdana" w:cs="Arial"/>
          <w:color w:val="000000" w:themeColor="text1"/>
          <w:lang w:val="es-ES_tradnl"/>
        </w:rPr>
        <w:t xml:space="preserve">. Y las </w:t>
      </w:r>
      <w:r w:rsidRPr="001D1CEF">
        <w:rPr>
          <w:rFonts w:ascii="Verdana" w:eastAsia="Calibri" w:hAnsi="Verdana" w:cs="Arial"/>
          <w:i/>
          <w:iCs/>
          <w:color w:val="000000" w:themeColor="text1"/>
          <w:lang w:val="es-ES_tradnl"/>
        </w:rPr>
        <w:t xml:space="preserve">terceras, </w:t>
      </w:r>
      <w:r w:rsidRPr="001D1CEF">
        <w:rPr>
          <w:rFonts w:ascii="Verdana" w:eastAsia="Calibri" w:hAnsi="Verdana" w:cs="Arial"/>
          <w:color w:val="000000" w:themeColor="text1"/>
          <w:lang w:val="es-ES_tradnl"/>
        </w:rPr>
        <w:t xml:space="preserve">las </w:t>
      </w:r>
      <w:r w:rsidRPr="001D1CEF">
        <w:rPr>
          <w:rFonts w:ascii="Verdana" w:eastAsia="Calibri" w:hAnsi="Verdana" w:cs="Arial"/>
          <w:i/>
          <w:iCs/>
          <w:color w:val="000000" w:themeColor="text1"/>
          <w:lang w:val="es-ES_tradnl"/>
        </w:rPr>
        <w:t>reservas presupuestales</w:t>
      </w:r>
      <w:bookmarkStart w:id="3" w:name="_Hlk93517351"/>
      <w:r w:rsidRPr="001D1CEF">
        <w:rPr>
          <w:rFonts w:ascii="Verdana" w:eastAsia="Calibri" w:hAnsi="Verdana" w:cs="Arial"/>
          <w:color w:val="000000" w:themeColor="text1"/>
          <w:lang w:val="es-ES_tradnl"/>
        </w:rPr>
        <w:t xml:space="preserve"> </w:t>
      </w:r>
      <w:r w:rsidRPr="001D1CEF">
        <w:rPr>
          <w:rFonts w:ascii="Verdana" w:eastAsia="Calibri" w:hAnsi="Verdana" w:cs="Arial"/>
          <w:color w:val="000000" w:themeColor="text1"/>
          <w:lang w:val="es-ES"/>
        </w:rPr>
        <w:t xml:space="preserve">suponen que </w:t>
      </w:r>
      <w:r>
        <w:rPr>
          <w:rFonts w:ascii="Verdana" w:eastAsia="Calibri" w:hAnsi="Verdana" w:cs="Arial"/>
          <w:color w:val="000000" w:themeColor="text1"/>
          <w:lang w:val="es-ES"/>
        </w:rPr>
        <w:t>“</w:t>
      </w:r>
      <w:r w:rsidRPr="001D1CEF">
        <w:rPr>
          <w:rFonts w:ascii="Verdana" w:eastAsia="Calibri" w:hAnsi="Verdana" w:cs="Arial"/>
          <w:color w:val="000000" w:themeColor="text1"/>
          <w:lang w:val="es-ES"/>
        </w:rPr>
        <w:t>Al cierre de la vigencia fiscal cada órgano constituirá las reservas presupuestales con los compromisos que al 31 de diciembre no se hayan cumplido, siempre y cuando estén legalmente contraídos y desarrollen el objeto de la apropiación. Las reservas presupuestales sólo podrán utilizarse para cancelar los compromisos que les dieron origen</w:t>
      </w:r>
      <w:r>
        <w:rPr>
          <w:rFonts w:ascii="Verdana" w:eastAsia="Calibri" w:hAnsi="Verdana" w:cs="Arial"/>
          <w:color w:val="000000" w:themeColor="text1"/>
          <w:lang w:val="es-ES"/>
        </w:rPr>
        <w:t>”</w:t>
      </w:r>
      <w:r w:rsidRPr="001D1CEF">
        <w:rPr>
          <w:rFonts w:ascii="Verdana" w:eastAsia="Calibri" w:hAnsi="Verdana" w:cs="Arial"/>
          <w:color w:val="000000" w:themeColor="text1"/>
          <w:vertAlign w:val="superscript"/>
          <w:lang w:val="es-ES"/>
        </w:rPr>
        <w:footnoteReference w:id="6"/>
      </w:r>
      <w:r w:rsidRPr="001D1CEF">
        <w:rPr>
          <w:rFonts w:ascii="Verdana" w:eastAsia="Calibri" w:hAnsi="Verdana" w:cs="Arial"/>
          <w:color w:val="000000" w:themeColor="text1"/>
          <w:lang w:val="es-ES"/>
        </w:rPr>
        <w:t xml:space="preserve">. </w:t>
      </w:r>
      <w:bookmarkEnd w:id="3"/>
    </w:p>
    <w:p w14:paraId="28753699" w14:textId="77777777" w:rsidR="008255F4" w:rsidRDefault="008255F4" w:rsidP="008255F4">
      <w:pPr>
        <w:shd w:val="clear" w:color="auto" w:fill="FFFFFF"/>
        <w:spacing w:after="120" w:line="276" w:lineRule="auto"/>
        <w:ind w:right="51" w:firstLine="709"/>
        <w:jc w:val="both"/>
        <w:rPr>
          <w:rFonts w:ascii="Verdana" w:eastAsia="Calibri" w:hAnsi="Verdana" w:cs="Arial"/>
          <w:color w:val="000000" w:themeColor="text1"/>
          <w:lang w:val="es-ES_tradnl"/>
        </w:rPr>
      </w:pPr>
      <w:r>
        <w:rPr>
          <w:rFonts w:ascii="Verdana" w:eastAsia="Calibri" w:hAnsi="Verdana" w:cs="Arial"/>
          <w:color w:val="000000" w:themeColor="text1"/>
          <w:lang w:val="es-ES_tradnl"/>
        </w:rPr>
        <w:t xml:space="preserve">También </w:t>
      </w:r>
      <w:r w:rsidRPr="001D1CEF">
        <w:rPr>
          <w:rFonts w:ascii="Verdana" w:eastAsia="Calibri" w:hAnsi="Verdana" w:cs="Arial"/>
          <w:color w:val="000000" w:themeColor="text1"/>
          <w:lang w:val="es-ES_tradnl"/>
        </w:rPr>
        <w:t xml:space="preserve">es importante hacer referencia a los </w:t>
      </w:r>
      <w:r>
        <w:rPr>
          <w:rFonts w:ascii="Verdana" w:eastAsia="Calibri" w:hAnsi="Verdana" w:cs="Arial"/>
          <w:color w:val="000000" w:themeColor="text1"/>
          <w:lang w:val="es-ES"/>
        </w:rPr>
        <w:t>“</w:t>
      </w:r>
      <w:r w:rsidRPr="001D1CEF">
        <w:rPr>
          <w:rFonts w:ascii="Verdana" w:eastAsia="Calibri" w:hAnsi="Verdana" w:cs="Arial"/>
          <w:color w:val="000000" w:themeColor="text1"/>
          <w:lang w:val="es-ES_tradnl"/>
        </w:rPr>
        <w:t>pagos de pasivos exigibles – vigencias expiradas</w:t>
      </w:r>
      <w:r>
        <w:rPr>
          <w:rFonts w:ascii="Verdana" w:eastAsia="Calibri" w:hAnsi="Verdana" w:cs="Arial"/>
          <w:color w:val="000000" w:themeColor="text1"/>
          <w:lang w:val="es-ES"/>
        </w:rPr>
        <w:t>”</w:t>
      </w:r>
      <w:r w:rsidRPr="001D1CEF">
        <w:rPr>
          <w:rFonts w:ascii="Verdana" w:eastAsia="Calibri" w:hAnsi="Verdana" w:cs="Arial"/>
          <w:color w:val="000000" w:themeColor="text1"/>
          <w:lang w:val="es-ES_tradnl"/>
        </w:rPr>
        <w:t xml:space="preserve"> que procede en los casos en los que </w:t>
      </w:r>
      <w:r w:rsidRPr="001D1CEF">
        <w:rPr>
          <w:rFonts w:ascii="Verdana" w:eastAsia="Calibri" w:hAnsi="Verdana" w:cs="Arial"/>
          <w:sz w:val="21"/>
          <w:szCs w:val="21"/>
          <w:lang w:val="es-ES_tradnl"/>
        </w:rPr>
        <w:t>no se haya constituido la reserva presupuestal o la cuenta por pagar o cuando habiéndose constituido no se realizó el pago respectivo</w:t>
      </w:r>
      <w:r w:rsidRPr="001D1CEF">
        <w:rPr>
          <w:rFonts w:ascii="Verdana" w:eastAsia="Calibri" w:hAnsi="Verdana" w:cs="Arial"/>
          <w:color w:val="000000" w:themeColor="text1"/>
          <w:lang w:val="es-ES_tradnl"/>
        </w:rPr>
        <w:t>. El artículo 49 de la Ley 2</w:t>
      </w:r>
      <w:r>
        <w:rPr>
          <w:rFonts w:ascii="Verdana" w:eastAsia="Calibri" w:hAnsi="Verdana" w:cs="Arial"/>
          <w:color w:val="000000" w:themeColor="text1"/>
          <w:lang w:val="es-ES_tradnl"/>
        </w:rPr>
        <w:t>5</w:t>
      </w:r>
      <w:r w:rsidRPr="001D1CEF">
        <w:rPr>
          <w:rFonts w:ascii="Verdana" w:eastAsia="Calibri" w:hAnsi="Verdana" w:cs="Arial"/>
          <w:color w:val="000000" w:themeColor="text1"/>
          <w:lang w:val="es-ES_tradnl"/>
        </w:rPr>
        <w:t>59 de 202</w:t>
      </w:r>
      <w:r>
        <w:rPr>
          <w:rFonts w:ascii="Verdana" w:eastAsia="Calibri" w:hAnsi="Verdana" w:cs="Arial"/>
          <w:color w:val="000000" w:themeColor="text1"/>
          <w:lang w:val="es-ES_tradnl"/>
        </w:rPr>
        <w:t>5,</w:t>
      </w:r>
      <w:r w:rsidRPr="001D1CEF">
        <w:rPr>
          <w:rFonts w:ascii="Verdana" w:eastAsia="Calibri" w:hAnsi="Verdana" w:cs="Arial"/>
          <w:color w:val="000000" w:themeColor="text1"/>
          <w:lang w:val="es-ES_tradnl"/>
        </w:rPr>
        <w:t xml:space="preserve"> </w:t>
      </w:r>
      <w:r>
        <w:rPr>
          <w:rFonts w:ascii="Verdana" w:eastAsia="Calibri" w:hAnsi="Verdana" w:cs="Arial"/>
          <w:color w:val="000000" w:themeColor="text1"/>
          <w:lang w:val="es-ES"/>
        </w:rPr>
        <w:t>“P</w:t>
      </w:r>
      <w:r w:rsidRPr="00D55B39">
        <w:rPr>
          <w:rFonts w:ascii="Verdana" w:eastAsia="Calibri" w:hAnsi="Verdana" w:cs="Arial"/>
          <w:color w:val="000000" w:themeColor="text1"/>
          <w:lang w:val="es-ES"/>
        </w:rPr>
        <w:t>or la cual se decreta el Presupuesto de Rentas y Recursos de Capital y Ley de Apropiaciones para la vigencia fiscal del 1º de enero al 31 de diciembre de 2026</w:t>
      </w:r>
      <w:r>
        <w:rPr>
          <w:rFonts w:ascii="Verdana" w:eastAsia="Calibri" w:hAnsi="Verdana" w:cs="Arial"/>
          <w:color w:val="000000" w:themeColor="text1"/>
          <w:lang w:val="es-ES"/>
        </w:rPr>
        <w:t>”,</w:t>
      </w:r>
      <w:r w:rsidRPr="001D1CEF">
        <w:rPr>
          <w:rFonts w:ascii="Verdana" w:eastAsia="Calibri" w:hAnsi="Verdana" w:cs="Arial"/>
          <w:color w:val="000000" w:themeColor="text1"/>
          <w:lang w:val="es-ES_tradnl"/>
        </w:rPr>
        <w:t xml:space="preserve"> regula esta figura </w:t>
      </w:r>
      <w:r>
        <w:rPr>
          <w:rFonts w:ascii="Verdana" w:eastAsia="Calibri" w:hAnsi="Verdana" w:cs="Arial"/>
          <w:color w:val="000000" w:themeColor="text1"/>
          <w:lang w:val="es-ES_tradnl"/>
        </w:rPr>
        <w:t>y establece los requisitos para su procedencia</w:t>
      </w:r>
      <w:r>
        <w:rPr>
          <w:rStyle w:val="Refdenotaalpie"/>
          <w:rFonts w:ascii="Verdana" w:eastAsia="Calibri" w:hAnsi="Verdana" w:cs="Arial"/>
          <w:color w:val="000000" w:themeColor="text1"/>
          <w:lang w:val="es-ES_tradnl"/>
        </w:rPr>
        <w:footnoteReference w:id="7"/>
      </w:r>
      <w:r>
        <w:rPr>
          <w:rFonts w:ascii="Verdana" w:eastAsia="Calibri" w:hAnsi="Verdana" w:cs="Arial"/>
          <w:color w:val="000000" w:themeColor="text1"/>
          <w:lang w:val="es-ES_tradnl"/>
        </w:rPr>
        <w:t>.</w:t>
      </w:r>
    </w:p>
    <w:p w14:paraId="33BC6486" w14:textId="77777777" w:rsidR="008255F4" w:rsidRDefault="008255F4" w:rsidP="008255F4">
      <w:pPr>
        <w:shd w:val="clear" w:color="auto" w:fill="FFFFFF"/>
        <w:spacing w:after="0" w:line="276" w:lineRule="auto"/>
        <w:ind w:right="51" w:firstLine="709"/>
        <w:jc w:val="both"/>
        <w:rPr>
          <w:rFonts w:ascii="Verdana" w:eastAsia="Calibri" w:hAnsi="Verdana" w:cs="Arial"/>
          <w:color w:val="000000" w:themeColor="text1"/>
        </w:rPr>
      </w:pPr>
      <w:r w:rsidRPr="001D1CEF">
        <w:rPr>
          <w:rFonts w:ascii="Verdana" w:eastAsia="Calibri" w:hAnsi="Verdana" w:cs="Arial"/>
          <w:color w:val="000000" w:themeColor="text1"/>
        </w:rPr>
        <w:lastRenderedPageBreak/>
        <w:t>De esta manera, en caso de que en la etapa de planeación la entidad evidencie que el contrato a ejecutar exceda la vigencia fiscal correspondiente, deberá atender las previsiones legales sobre las excepciones al principio de anualidad del gasto</w:t>
      </w:r>
      <w:r w:rsidRPr="001D1CEF">
        <w:rPr>
          <w:rFonts w:ascii="Verdana" w:eastAsia="Arial" w:hAnsi="Verdana" w:cs="Arial"/>
          <w:bCs/>
        </w:rPr>
        <w:t xml:space="preserve"> y determinar cual resulta aplicable al caso en concreto</w:t>
      </w:r>
      <w:r w:rsidRPr="001D1CEF">
        <w:rPr>
          <w:rFonts w:ascii="Verdana" w:eastAsia="Calibri" w:hAnsi="Verdana" w:cs="Arial"/>
          <w:color w:val="000000" w:themeColor="text1"/>
        </w:rPr>
        <w:t>. Dichas excepciones deben estar debidamente justificadas, cumplir con los requisitos establecidos por la normativa vigente y seguir los procedimientos correspondientes para su autorizaciones y ejecución</w:t>
      </w:r>
      <w:r>
        <w:rPr>
          <w:rFonts w:ascii="Verdana" w:eastAsia="Calibri" w:hAnsi="Verdana" w:cs="Arial"/>
          <w:color w:val="000000" w:themeColor="text1"/>
        </w:rPr>
        <w:t>.</w:t>
      </w:r>
    </w:p>
    <w:p w14:paraId="5D693375" w14:textId="77777777" w:rsidR="008255F4" w:rsidRPr="00E035BE" w:rsidRDefault="008255F4" w:rsidP="008255F4">
      <w:pPr>
        <w:shd w:val="clear" w:color="auto" w:fill="FFFFFF"/>
        <w:spacing w:after="0" w:line="276" w:lineRule="auto"/>
        <w:ind w:right="51" w:firstLine="709"/>
        <w:jc w:val="both"/>
        <w:rPr>
          <w:rFonts w:ascii="Verdana" w:eastAsia="Calibri" w:hAnsi="Verdana" w:cs="Arial"/>
          <w:color w:val="000000" w:themeColor="text1"/>
        </w:rPr>
      </w:pPr>
    </w:p>
    <w:p w14:paraId="27E7F3FC" w14:textId="77777777" w:rsidR="008255F4" w:rsidRDefault="008255F4" w:rsidP="008255F4">
      <w:pPr>
        <w:tabs>
          <w:tab w:val="left" w:pos="284"/>
        </w:tabs>
        <w:spacing w:after="120" w:line="276" w:lineRule="auto"/>
        <w:jc w:val="both"/>
        <w:rPr>
          <w:rFonts w:ascii="Verdana" w:eastAsia="Calibri" w:hAnsi="Verdana" w:cs="Arial"/>
          <w:color w:val="000000"/>
        </w:rPr>
      </w:pPr>
      <w:proofErr w:type="spellStart"/>
      <w:r>
        <w:rPr>
          <w:rFonts w:ascii="Verdana" w:hAnsi="Verdana"/>
          <w:lang w:eastAsia="es-ES"/>
        </w:rPr>
        <w:t>ii</w:t>
      </w:r>
      <w:proofErr w:type="spellEnd"/>
      <w:r>
        <w:rPr>
          <w:rFonts w:ascii="Verdana" w:hAnsi="Verdana"/>
          <w:lang w:eastAsia="es-ES"/>
        </w:rPr>
        <w:t xml:space="preserve">. </w:t>
      </w:r>
      <w:r>
        <w:rPr>
          <w:rFonts w:ascii="Verdana" w:eastAsia="Calibri" w:hAnsi="Verdana" w:cs="Arial"/>
          <w:color w:val="000000"/>
        </w:rPr>
        <w:t>E</w:t>
      </w:r>
      <w:r w:rsidRPr="00B31C7B">
        <w:rPr>
          <w:rFonts w:ascii="Verdana" w:eastAsia="Calibri" w:hAnsi="Verdana" w:cs="Arial"/>
          <w:color w:val="000000"/>
        </w:rPr>
        <w:t xml:space="preserve">l </w:t>
      </w:r>
      <w:r w:rsidRPr="00A106E8">
        <w:rPr>
          <w:rFonts w:ascii="Verdana" w:eastAsia="Calibri" w:hAnsi="Verdana" w:cs="Arial"/>
          <w:color w:val="000000" w:themeColor="text1"/>
        </w:rPr>
        <w:t>Estatuto General de Contratación de la Administración Pública</w:t>
      </w:r>
      <w:r>
        <w:rPr>
          <w:rFonts w:ascii="Verdana" w:eastAsia="Calibri" w:hAnsi="Verdana" w:cs="Arial"/>
          <w:color w:val="000000" w:themeColor="text1"/>
        </w:rPr>
        <w:t xml:space="preserve"> </w:t>
      </w:r>
      <w:r w:rsidRPr="00B31C7B">
        <w:rPr>
          <w:rFonts w:ascii="Verdana" w:eastAsia="Calibri" w:hAnsi="Verdana" w:cs="Arial"/>
          <w:color w:val="000000"/>
        </w:rPr>
        <w:t xml:space="preserve">no establece una regulación expresa sobre la posibilidad de modificar los contratos celebrados por las Entidades Estatales, salvo la potestad exorbitante de modificación unilateral y la regulación que fija los porcentajes límite para adicionar los valores inicialmente pactados, como </w:t>
      </w:r>
      <w:r>
        <w:rPr>
          <w:rFonts w:ascii="Verdana" w:eastAsia="Calibri" w:hAnsi="Verdana" w:cs="Arial"/>
          <w:color w:val="000000"/>
        </w:rPr>
        <w:t>es el caso d</w:t>
      </w:r>
      <w:r w:rsidRPr="00B31C7B">
        <w:rPr>
          <w:rFonts w:ascii="Verdana" w:eastAsia="Calibri" w:hAnsi="Verdana" w:cs="Arial"/>
          <w:color w:val="000000"/>
        </w:rPr>
        <w:t>el artículo 40 de la Ley 80 de 1993</w:t>
      </w:r>
      <w:r w:rsidRPr="00B31C7B">
        <w:rPr>
          <w:rFonts w:ascii="Verdana" w:eastAsia="Calibri" w:hAnsi="Verdana" w:cs="Arial"/>
          <w:color w:val="000000"/>
          <w:vertAlign w:val="superscript"/>
          <w:lang w:val="es-MX"/>
        </w:rPr>
        <w:footnoteReference w:id="8"/>
      </w:r>
      <w:r w:rsidRPr="00B31C7B">
        <w:rPr>
          <w:rFonts w:ascii="Verdana" w:eastAsia="Calibri" w:hAnsi="Verdana" w:cs="Arial"/>
          <w:color w:val="000000"/>
        </w:rPr>
        <w:t xml:space="preserve">. </w:t>
      </w:r>
    </w:p>
    <w:p w14:paraId="0887D448" w14:textId="77777777" w:rsidR="008255F4" w:rsidRPr="00B31C7B" w:rsidRDefault="008255F4" w:rsidP="008255F4">
      <w:pPr>
        <w:tabs>
          <w:tab w:val="left" w:pos="284"/>
        </w:tabs>
        <w:spacing w:after="120" w:line="276" w:lineRule="auto"/>
        <w:ind w:firstLine="284"/>
        <w:jc w:val="both"/>
        <w:rPr>
          <w:rFonts w:ascii="Verdana" w:eastAsia="Calibri" w:hAnsi="Verdana" w:cs="Arial"/>
          <w:color w:val="000000"/>
        </w:rPr>
      </w:pPr>
      <w:r>
        <w:rPr>
          <w:rFonts w:ascii="Verdana" w:eastAsia="Calibri" w:hAnsi="Verdana" w:cs="Arial"/>
          <w:color w:val="000000"/>
        </w:rPr>
        <w:tab/>
      </w:r>
      <w:r w:rsidRPr="00B31C7B">
        <w:rPr>
          <w:rFonts w:ascii="Verdana" w:eastAsia="Calibri" w:hAnsi="Verdana" w:cs="Arial"/>
          <w:color w:val="000000"/>
        </w:rPr>
        <w:t xml:space="preserve">En principio, los contratos deben ejecutarse en las condiciones pactadas inicialmente, pues estas fueron estipuladas luego de que la entidad estatal surtiera todos los procedimientos previstos para la selección de su contratista y definiera los aspectos, técnicos, legales y financieros propios de cada caso, con observancia de los principios de </w:t>
      </w:r>
      <w:r>
        <w:rPr>
          <w:rFonts w:ascii="Verdana" w:eastAsia="Calibri" w:hAnsi="Verdana" w:cs="Arial"/>
          <w:color w:val="000000"/>
        </w:rPr>
        <w:t xml:space="preserve">planeación, </w:t>
      </w:r>
      <w:r w:rsidRPr="00B31C7B">
        <w:rPr>
          <w:rFonts w:ascii="Verdana" w:eastAsia="Calibri" w:hAnsi="Verdana" w:cs="Arial"/>
          <w:color w:val="000000"/>
        </w:rPr>
        <w:t xml:space="preserve">transparencia, economía y responsabilidad, así como los demás principios de la función administrativa aplicables al proceso de gestión contractual. </w:t>
      </w:r>
    </w:p>
    <w:p w14:paraId="5DE77771" w14:textId="77777777" w:rsidR="008255F4" w:rsidRDefault="008255F4" w:rsidP="008255F4">
      <w:pPr>
        <w:tabs>
          <w:tab w:val="left" w:pos="284"/>
        </w:tabs>
        <w:spacing w:after="0" w:line="276" w:lineRule="auto"/>
        <w:jc w:val="both"/>
        <w:rPr>
          <w:rFonts w:ascii="Verdana" w:eastAsia="Calibri" w:hAnsi="Verdana" w:cs="Arial"/>
          <w:color w:val="000000"/>
        </w:rPr>
      </w:pPr>
      <w:r w:rsidRPr="00B31C7B">
        <w:rPr>
          <w:rFonts w:ascii="Verdana" w:eastAsia="Calibri" w:hAnsi="Verdana" w:cs="Arial"/>
          <w:color w:val="000000"/>
        </w:rPr>
        <w:tab/>
      </w:r>
      <w:r w:rsidRPr="00B31C7B">
        <w:rPr>
          <w:rFonts w:ascii="Verdana" w:eastAsia="Calibri" w:hAnsi="Verdana" w:cs="Arial"/>
          <w:color w:val="000000"/>
        </w:rPr>
        <w:tab/>
      </w:r>
      <w:r>
        <w:rPr>
          <w:rFonts w:ascii="Verdana" w:eastAsia="Calibri" w:hAnsi="Verdana" w:cs="Arial"/>
          <w:color w:val="000000"/>
        </w:rPr>
        <w:t>De esta forma,</w:t>
      </w:r>
      <w:r w:rsidRPr="00B31C7B">
        <w:rPr>
          <w:rFonts w:ascii="Verdana" w:eastAsia="Calibri" w:hAnsi="Verdana" w:cs="Arial"/>
          <w:color w:val="000000"/>
        </w:rPr>
        <w:t xml:space="preserve"> no existe restricción expresa para modificar los contratos estatales y los principios antes referidos puede </w:t>
      </w:r>
      <w:r>
        <w:rPr>
          <w:rFonts w:ascii="Verdana" w:eastAsia="Calibri" w:hAnsi="Verdana" w:cs="Arial"/>
          <w:color w:val="000000"/>
        </w:rPr>
        <w:t xml:space="preserve">evidenciar </w:t>
      </w:r>
      <w:r w:rsidRPr="00B31C7B">
        <w:rPr>
          <w:rFonts w:ascii="Verdana" w:eastAsia="Calibri" w:hAnsi="Verdana" w:cs="Arial"/>
          <w:color w:val="000000"/>
        </w:rPr>
        <w:t xml:space="preserve">la necesidad de </w:t>
      </w:r>
      <w:r>
        <w:rPr>
          <w:rFonts w:ascii="Verdana" w:eastAsia="Calibri" w:hAnsi="Verdana" w:cs="Arial"/>
          <w:color w:val="000000"/>
        </w:rPr>
        <w:lastRenderedPageBreak/>
        <w:t xml:space="preserve">cambiar </w:t>
      </w:r>
      <w:r w:rsidRPr="00B31C7B">
        <w:rPr>
          <w:rFonts w:ascii="Verdana" w:eastAsia="Calibri" w:hAnsi="Verdana" w:cs="Arial"/>
          <w:color w:val="000000"/>
        </w:rPr>
        <w:t xml:space="preserve">las estipulaciones </w:t>
      </w:r>
      <w:r>
        <w:rPr>
          <w:rFonts w:ascii="Verdana" w:eastAsia="Calibri" w:hAnsi="Verdana" w:cs="Arial"/>
          <w:color w:val="000000"/>
        </w:rPr>
        <w:t>establecidas inicialmente</w:t>
      </w:r>
      <w:r w:rsidRPr="00B31C7B">
        <w:rPr>
          <w:rFonts w:ascii="Verdana" w:eastAsia="Calibri" w:hAnsi="Verdana" w:cs="Arial"/>
          <w:color w:val="000000"/>
        </w:rPr>
        <w:t>. En</w:t>
      </w:r>
      <w:r>
        <w:rPr>
          <w:rFonts w:ascii="Verdana" w:eastAsia="Calibri" w:hAnsi="Verdana" w:cs="Arial"/>
          <w:color w:val="000000"/>
        </w:rPr>
        <w:t xml:space="preserve"> este contexto</w:t>
      </w:r>
      <w:r w:rsidRPr="00B31C7B">
        <w:rPr>
          <w:rFonts w:ascii="Verdana" w:eastAsia="Calibri" w:hAnsi="Verdana" w:cs="Arial"/>
          <w:color w:val="000000"/>
        </w:rPr>
        <w:t>, la jurisprudencia ha fijado pautas generales conforme a las cuales la Administración Pública debe evaluar</w:t>
      </w:r>
      <w:r>
        <w:rPr>
          <w:rFonts w:ascii="Verdana" w:eastAsia="Calibri" w:hAnsi="Verdana" w:cs="Arial"/>
          <w:color w:val="000000"/>
        </w:rPr>
        <w:t xml:space="preserve"> si es procedente modificar</w:t>
      </w:r>
      <w:r w:rsidRPr="00B31C7B">
        <w:rPr>
          <w:rFonts w:ascii="Verdana" w:eastAsia="Calibri" w:hAnsi="Verdana" w:cs="Arial"/>
          <w:color w:val="000000"/>
        </w:rPr>
        <w:t xml:space="preserve"> los contratos que ha celebrado</w:t>
      </w:r>
      <w:r>
        <w:rPr>
          <w:rFonts w:ascii="Verdana" w:eastAsia="Calibri" w:hAnsi="Verdana" w:cs="Arial"/>
          <w:color w:val="000000"/>
        </w:rPr>
        <w:t xml:space="preserve"> según </w:t>
      </w:r>
      <w:r w:rsidRPr="00B31C7B">
        <w:rPr>
          <w:rFonts w:ascii="Verdana" w:eastAsia="Calibri" w:hAnsi="Verdana" w:cs="Arial"/>
          <w:color w:val="000000"/>
        </w:rPr>
        <w:t xml:space="preserve">las particularidades de cada caso. Al respecto, la Corte Constitucional, mediante </w:t>
      </w:r>
      <w:r>
        <w:rPr>
          <w:rFonts w:ascii="Verdana" w:eastAsia="Calibri" w:hAnsi="Verdana" w:cs="Arial"/>
          <w:color w:val="000000"/>
        </w:rPr>
        <w:t>S</w:t>
      </w:r>
      <w:r w:rsidRPr="00B31C7B">
        <w:rPr>
          <w:rFonts w:ascii="Verdana" w:eastAsia="Calibri" w:hAnsi="Verdana" w:cs="Arial"/>
          <w:color w:val="000000"/>
        </w:rPr>
        <w:t>entencia C</w:t>
      </w:r>
      <w:r>
        <w:rPr>
          <w:rFonts w:ascii="Verdana" w:eastAsia="Calibri" w:hAnsi="Verdana" w:cs="Arial"/>
          <w:color w:val="000000"/>
        </w:rPr>
        <w:t>-</w:t>
      </w:r>
      <w:r w:rsidRPr="00B31C7B">
        <w:rPr>
          <w:rFonts w:ascii="Verdana" w:eastAsia="Calibri" w:hAnsi="Verdana" w:cs="Arial"/>
          <w:color w:val="000000"/>
        </w:rPr>
        <w:t>300 de 2012</w:t>
      </w:r>
      <w:r w:rsidRPr="00B31C7B">
        <w:rPr>
          <w:rFonts w:ascii="Verdana" w:eastAsia="Calibri" w:hAnsi="Verdana" w:cs="Arial"/>
          <w:color w:val="000000"/>
          <w:vertAlign w:val="superscript"/>
        </w:rPr>
        <w:footnoteReference w:id="9"/>
      </w:r>
      <w:r w:rsidRPr="00B31C7B">
        <w:rPr>
          <w:rFonts w:ascii="Verdana" w:eastAsia="Calibri" w:hAnsi="Verdana" w:cs="Arial"/>
          <w:color w:val="000000"/>
        </w:rPr>
        <w:t xml:space="preserve">, </w:t>
      </w:r>
      <w:r>
        <w:rPr>
          <w:rFonts w:ascii="Verdana" w:eastAsia="Calibri" w:hAnsi="Verdana" w:cs="Arial"/>
          <w:color w:val="000000"/>
        </w:rPr>
        <w:t xml:space="preserve">se refirió a </w:t>
      </w:r>
      <w:r w:rsidRPr="00B31C7B">
        <w:rPr>
          <w:rFonts w:ascii="Verdana" w:eastAsia="Calibri" w:hAnsi="Verdana" w:cs="Arial"/>
          <w:color w:val="000000"/>
        </w:rPr>
        <w:t>la posibilidad de modificar los contratos estatales</w:t>
      </w:r>
      <w:r>
        <w:rPr>
          <w:rFonts w:ascii="Verdana" w:eastAsia="Calibri" w:hAnsi="Verdana" w:cs="Arial"/>
          <w:color w:val="000000"/>
        </w:rPr>
        <w:t xml:space="preserve"> así</w:t>
      </w:r>
      <w:r w:rsidRPr="00B31C7B">
        <w:rPr>
          <w:rFonts w:ascii="Verdana" w:eastAsia="Calibri" w:hAnsi="Verdana" w:cs="Arial"/>
          <w:color w:val="000000"/>
        </w:rPr>
        <w:t>:</w:t>
      </w:r>
    </w:p>
    <w:p w14:paraId="13DE071D" w14:textId="77777777" w:rsidR="008255F4" w:rsidRPr="00B31C7B" w:rsidRDefault="008255F4" w:rsidP="008255F4">
      <w:pPr>
        <w:tabs>
          <w:tab w:val="left" w:pos="284"/>
        </w:tabs>
        <w:spacing w:after="0" w:line="276" w:lineRule="auto"/>
        <w:jc w:val="both"/>
        <w:rPr>
          <w:rFonts w:ascii="Verdana" w:eastAsia="Calibri" w:hAnsi="Verdana" w:cs="Arial"/>
          <w:color w:val="000000"/>
        </w:rPr>
      </w:pPr>
    </w:p>
    <w:p w14:paraId="47C3ADF0" w14:textId="77777777" w:rsidR="008255F4" w:rsidRPr="006864B6" w:rsidRDefault="008255F4" w:rsidP="008255F4">
      <w:pPr>
        <w:tabs>
          <w:tab w:val="left" w:pos="284"/>
        </w:tabs>
        <w:snapToGrid w:val="0"/>
        <w:spacing w:after="0" w:line="240" w:lineRule="auto"/>
        <w:ind w:left="709" w:right="709"/>
        <w:jc w:val="both"/>
        <w:rPr>
          <w:rFonts w:ascii="Verdana" w:eastAsia="Calibri" w:hAnsi="Verdana" w:cs="Arial"/>
          <w:bCs/>
          <w:color w:val="000000"/>
          <w:sz w:val="20"/>
          <w:szCs w:val="20"/>
          <w:lang w:val="es-ES"/>
        </w:rPr>
      </w:pPr>
      <w:r w:rsidRPr="006864B6">
        <w:rPr>
          <w:rFonts w:ascii="Verdana" w:eastAsia="Calibri" w:hAnsi="Verdana" w:cs="Arial"/>
          <w:color w:val="000000"/>
          <w:sz w:val="20"/>
          <w:szCs w:val="20"/>
        </w:rPr>
        <w:t>“</w:t>
      </w:r>
      <w:r w:rsidRPr="006864B6">
        <w:rPr>
          <w:rFonts w:ascii="Verdana" w:eastAsia="Calibri" w:hAnsi="Verdana" w:cs="Arial"/>
          <w:bCs/>
          <w:color w:val="000000"/>
          <w:sz w:val="20"/>
          <w:szCs w:val="20"/>
          <w:lang w:val="es-ES"/>
        </w:rPr>
        <w:t xml:space="preserve">Por regla general, </w:t>
      </w:r>
      <w:r w:rsidRPr="002D2912">
        <w:rPr>
          <w:rFonts w:ascii="Verdana" w:eastAsia="Calibri" w:hAnsi="Verdana" w:cs="Arial"/>
          <w:color w:val="000000"/>
          <w:sz w:val="20"/>
          <w:szCs w:val="20"/>
          <w:lang w:val="es-ES"/>
        </w:rPr>
        <w:t>los contratos estatales pueden ser modificados cuando sea necesario para lograr su finalidad y en aras de la realización de los fines del Estado, a los cuales sirve el contrato.</w:t>
      </w:r>
      <w:r w:rsidRPr="002D2912">
        <w:rPr>
          <w:rFonts w:ascii="Verdana" w:eastAsia="Calibri" w:hAnsi="Verdana" w:cs="Arial"/>
          <w:color w:val="000000"/>
          <w:sz w:val="20"/>
          <w:szCs w:val="20"/>
          <w:vertAlign w:val="superscript"/>
          <w:lang w:val="es-ES"/>
        </w:rPr>
        <w:footnoteReference w:id="10"/>
      </w:r>
      <w:r w:rsidRPr="002D2912">
        <w:rPr>
          <w:rFonts w:ascii="Verdana" w:eastAsia="Calibri" w:hAnsi="Verdana" w:cs="Arial"/>
          <w:color w:val="000000"/>
          <w:sz w:val="20"/>
          <w:szCs w:val="20"/>
          <w:lang w:val="es-ES"/>
        </w:rPr>
        <w:t xml:space="preserve"> Así lo prevén por ejemplo los artículos 14 y 16 de la ley 80, los cuales facultan a la</w:t>
      </w:r>
      <w:r>
        <w:rPr>
          <w:rFonts w:ascii="Verdana" w:eastAsia="Calibri" w:hAnsi="Verdana" w:cs="Arial"/>
          <w:color w:val="000000"/>
          <w:sz w:val="20"/>
          <w:szCs w:val="20"/>
          <w:lang w:val="es-ES"/>
        </w:rPr>
        <w:t>s</w:t>
      </w:r>
      <w:r w:rsidRPr="002D2912">
        <w:rPr>
          <w:rFonts w:ascii="Verdana" w:eastAsia="Calibri" w:hAnsi="Verdana" w:cs="Arial"/>
          <w:color w:val="000000"/>
          <w:sz w:val="20"/>
          <w:szCs w:val="20"/>
          <w:lang w:val="es-ES"/>
        </w:rPr>
        <w:t xml:space="preserve"> entidades contratantes a modificar los contratos de común acuerdo o de forma unilateral, para “(…) evitar la paralización o la afectación grave de los servicios públicos a su cargo y asegurar la inmediata, continua y adecuada prestación”, entre otros. En el mismo sentido, en la sentencia C-949 de 2001</w:t>
      </w:r>
      <w:r w:rsidRPr="002D2912">
        <w:rPr>
          <w:rFonts w:ascii="Verdana" w:eastAsia="Calibri" w:hAnsi="Verdana" w:cs="Arial"/>
          <w:color w:val="000000"/>
          <w:sz w:val="20"/>
          <w:szCs w:val="20"/>
          <w:vertAlign w:val="superscript"/>
          <w:lang w:val="es-ES"/>
        </w:rPr>
        <w:footnoteReference w:id="11"/>
      </w:r>
      <w:r w:rsidRPr="002D2912">
        <w:rPr>
          <w:rFonts w:ascii="Verdana" w:eastAsia="Calibri" w:hAnsi="Verdana" w:cs="Arial"/>
          <w:color w:val="000000"/>
          <w:sz w:val="20"/>
          <w:szCs w:val="20"/>
          <w:lang w:val="es-ES"/>
        </w:rPr>
        <w:t>, la Corte Constitucional señaló que las prórrogas</w:t>
      </w:r>
      <w:r w:rsidRPr="006864B6">
        <w:rPr>
          <w:rFonts w:ascii="Verdana" w:eastAsia="Calibri" w:hAnsi="Verdana" w:cs="Arial"/>
          <w:bCs/>
          <w:color w:val="000000"/>
          <w:sz w:val="20"/>
          <w:szCs w:val="20"/>
          <w:lang w:val="es-ES"/>
        </w:rPr>
        <w:t xml:space="preserve"> de los contratos –como especie de modificación- pueden ser un instrumento útil para lograr los fines propios de la contratación estatal</w:t>
      </w:r>
      <w:r w:rsidRPr="006864B6">
        <w:rPr>
          <w:rFonts w:ascii="Verdana" w:eastAsia="Calibri" w:hAnsi="Verdana" w:cs="Arial"/>
          <w:bCs/>
          <w:color w:val="000000"/>
          <w:sz w:val="20"/>
          <w:szCs w:val="20"/>
          <w:vertAlign w:val="superscript"/>
          <w:lang w:val="es-ES"/>
        </w:rPr>
        <w:footnoteReference w:id="12"/>
      </w:r>
      <w:r>
        <w:rPr>
          <w:rFonts w:ascii="Verdana" w:eastAsia="Calibri" w:hAnsi="Verdana" w:cs="Arial"/>
          <w:bCs/>
          <w:color w:val="000000"/>
          <w:sz w:val="20"/>
          <w:szCs w:val="20"/>
          <w:lang w:val="es-ES"/>
        </w:rPr>
        <w:t>.</w:t>
      </w:r>
      <w:r w:rsidRPr="006864B6">
        <w:rPr>
          <w:rFonts w:ascii="Verdana" w:eastAsia="Calibri" w:hAnsi="Verdana" w:cs="Arial"/>
          <w:bCs/>
          <w:color w:val="000000"/>
          <w:sz w:val="20"/>
          <w:szCs w:val="20"/>
          <w:lang w:val="es-ES"/>
        </w:rPr>
        <w:t xml:space="preserve"> </w:t>
      </w:r>
    </w:p>
    <w:p w14:paraId="38F4B830" w14:textId="77777777" w:rsidR="008255F4" w:rsidRDefault="008255F4" w:rsidP="008255F4">
      <w:pPr>
        <w:tabs>
          <w:tab w:val="left" w:pos="284"/>
        </w:tabs>
        <w:snapToGrid w:val="0"/>
        <w:spacing w:after="120" w:line="240" w:lineRule="auto"/>
        <w:ind w:left="709" w:right="709"/>
        <w:jc w:val="both"/>
        <w:rPr>
          <w:rFonts w:ascii="Verdana" w:eastAsia="Calibri" w:hAnsi="Verdana" w:cs="Arial"/>
          <w:bCs/>
          <w:color w:val="000000"/>
          <w:sz w:val="20"/>
          <w:szCs w:val="20"/>
          <w:lang w:val="es-ES"/>
        </w:rPr>
      </w:pPr>
      <w:r>
        <w:rPr>
          <w:rFonts w:ascii="Verdana" w:eastAsia="Calibri" w:hAnsi="Verdana" w:cs="Arial"/>
          <w:bCs/>
          <w:color w:val="000000"/>
          <w:sz w:val="20"/>
          <w:szCs w:val="20"/>
          <w:lang w:val="es-ES"/>
        </w:rPr>
        <w:t>[…]</w:t>
      </w:r>
    </w:p>
    <w:p w14:paraId="1F4AE7C6" w14:textId="77777777" w:rsidR="008255F4" w:rsidRPr="006864B6" w:rsidRDefault="008255F4" w:rsidP="008255F4">
      <w:pPr>
        <w:tabs>
          <w:tab w:val="left" w:pos="284"/>
        </w:tabs>
        <w:spacing w:after="0" w:line="240" w:lineRule="auto"/>
        <w:ind w:left="709" w:right="709"/>
        <w:jc w:val="both"/>
        <w:rPr>
          <w:rFonts w:ascii="Verdana" w:eastAsia="Calibri" w:hAnsi="Verdana" w:cs="Arial"/>
          <w:bCs/>
          <w:color w:val="000000"/>
          <w:sz w:val="20"/>
          <w:szCs w:val="20"/>
          <w:lang w:val="es-ES"/>
        </w:rPr>
      </w:pPr>
      <w:r w:rsidRPr="006864B6">
        <w:rPr>
          <w:rFonts w:ascii="Verdana" w:eastAsia="Calibri" w:hAnsi="Verdana" w:cs="Arial"/>
          <w:bCs/>
          <w:color w:val="000000"/>
          <w:sz w:val="20"/>
          <w:szCs w:val="20"/>
          <w:lang w:val="es-ES"/>
        </w:rPr>
        <w:t xml:space="preserve">La modificación de los contratos estatales es especialmente importante en aquellos por naturaleza </w:t>
      </w:r>
      <w:r w:rsidRPr="00F0404F">
        <w:rPr>
          <w:rFonts w:ascii="Verdana" w:eastAsia="Calibri" w:hAnsi="Verdana" w:cs="Arial"/>
          <w:bCs/>
          <w:color w:val="000000"/>
          <w:sz w:val="20"/>
          <w:szCs w:val="20"/>
          <w:lang w:val="es-ES"/>
        </w:rPr>
        <w:t>incompletos, es decir, (i) los afectados por asimetrías de información que impiden</w:t>
      </w:r>
      <w:r w:rsidRPr="006864B6">
        <w:rPr>
          <w:rFonts w:ascii="Verdana" w:eastAsia="Calibri" w:hAnsi="Verdana" w:cs="Arial"/>
          <w:bCs/>
          <w:color w:val="000000"/>
          <w:sz w:val="20"/>
          <w:szCs w:val="20"/>
          <w:lang w:val="es-ES"/>
        </w:rPr>
        <w:t xml:space="preserve"> la previsión de todas las contingencias que pueden afectar su ejecución, y </w:t>
      </w:r>
      <w:r w:rsidRPr="002E69A7">
        <w:rPr>
          <w:rFonts w:ascii="Verdana" w:eastAsia="Calibri" w:hAnsi="Verdana" w:cs="Arial"/>
          <w:bCs/>
          <w:color w:val="000000"/>
          <w:sz w:val="20"/>
          <w:szCs w:val="20"/>
          <w:lang w:val="es-ES"/>
        </w:rPr>
        <w:t>(</w:t>
      </w:r>
      <w:proofErr w:type="spellStart"/>
      <w:r w:rsidRPr="002E69A7">
        <w:rPr>
          <w:rFonts w:ascii="Verdana" w:eastAsia="Calibri" w:hAnsi="Verdana" w:cs="Arial"/>
          <w:bCs/>
          <w:color w:val="000000"/>
          <w:sz w:val="20"/>
          <w:szCs w:val="20"/>
          <w:lang w:val="es-ES"/>
        </w:rPr>
        <w:t>ii</w:t>
      </w:r>
      <w:proofErr w:type="spellEnd"/>
      <w:r w:rsidRPr="002E69A7">
        <w:rPr>
          <w:rFonts w:ascii="Verdana" w:eastAsia="Calibri" w:hAnsi="Verdana" w:cs="Arial"/>
          <w:bCs/>
          <w:color w:val="000000"/>
          <w:sz w:val="20"/>
          <w:szCs w:val="20"/>
          <w:lang w:val="es-ES"/>
        </w:rPr>
        <w:t>)</w:t>
      </w:r>
      <w:r w:rsidRPr="006864B6">
        <w:rPr>
          <w:rFonts w:ascii="Verdana" w:eastAsia="Calibri" w:hAnsi="Verdana" w:cs="Arial"/>
          <w:b/>
          <w:color w:val="000000"/>
          <w:sz w:val="20"/>
          <w:szCs w:val="20"/>
          <w:lang w:val="es-ES"/>
        </w:rPr>
        <w:t xml:space="preserve"> </w:t>
      </w:r>
      <w:r w:rsidRPr="006864B6">
        <w:rPr>
          <w:rFonts w:ascii="Verdana" w:eastAsia="Calibri" w:hAnsi="Verdana" w:cs="Arial"/>
          <w:bCs/>
          <w:color w:val="000000"/>
          <w:sz w:val="20"/>
          <w:szCs w:val="20"/>
          <w:lang w:val="es-ES"/>
        </w:rPr>
        <w:t xml:space="preserve">en el marco de los cuales, por esa misma razón, es difícil prever </w:t>
      </w:r>
      <w:r w:rsidRPr="006864B6">
        <w:rPr>
          <w:rFonts w:ascii="Verdana" w:eastAsia="Calibri" w:hAnsi="Verdana" w:cs="Arial"/>
          <w:bCs/>
          <w:i/>
          <w:iCs/>
          <w:color w:val="000000"/>
          <w:sz w:val="20"/>
          <w:szCs w:val="20"/>
          <w:lang w:val="es-ES"/>
        </w:rPr>
        <w:t xml:space="preserve">ex ante </w:t>
      </w:r>
      <w:r w:rsidRPr="006864B6">
        <w:rPr>
          <w:rFonts w:ascii="Verdana" w:eastAsia="Calibri" w:hAnsi="Verdana" w:cs="Arial"/>
          <w:bCs/>
          <w:color w:val="000000"/>
          <w:sz w:val="20"/>
          <w:szCs w:val="20"/>
          <w:lang w:val="es-ES"/>
        </w:rPr>
        <w:t>los remedios necesarios para afrontar tales contingencias, como ocurre por lo general con los contratos de largo plazo.</w:t>
      </w:r>
      <w:r w:rsidRPr="006864B6">
        <w:rPr>
          <w:rFonts w:ascii="Verdana" w:eastAsia="Calibri" w:hAnsi="Verdana" w:cs="Arial"/>
          <w:bCs/>
          <w:color w:val="000000"/>
          <w:sz w:val="20"/>
          <w:szCs w:val="20"/>
          <w:vertAlign w:val="superscript"/>
          <w:lang w:val="es-ES"/>
        </w:rPr>
        <w:footnoteReference w:id="13"/>
      </w:r>
      <w:r w:rsidRPr="006864B6">
        <w:rPr>
          <w:rFonts w:ascii="Verdana" w:eastAsia="Calibri" w:hAnsi="Verdana" w:cs="Arial"/>
          <w:bCs/>
          <w:color w:val="000000"/>
          <w:sz w:val="20"/>
          <w:szCs w:val="20"/>
          <w:lang w:val="es-ES"/>
        </w:rPr>
        <w:t xml:space="preserve"> En efecto, con el paso del tiempo, pueden surgir nuevas exigencias sociales, tecnológicas, culturales, etc. sobre la forma cómo el Estado debe cumplir sus fines y sobre cómo se deben prestar los servicios públicos, o simplemente pueden aparecer </w:t>
      </w:r>
      <w:r w:rsidRPr="006864B6">
        <w:rPr>
          <w:rFonts w:ascii="Verdana" w:eastAsia="Calibri" w:hAnsi="Verdana" w:cs="Arial"/>
          <w:bCs/>
          <w:color w:val="000000"/>
          <w:sz w:val="20"/>
          <w:szCs w:val="20"/>
          <w:lang w:val="es-ES"/>
        </w:rPr>
        <w:lastRenderedPageBreak/>
        <w:t>circunstancias extraordinarias e imprevisibles al momento del diseño del negocio, para las que tampoco era posible, en dicho momento, prever un remedio adecuado y específico. En este tipo de contratos es preciso entonces el diseño de reglas que permitan la adaptación y la resolución pacífica de las controversias para evitar el fracaso”</w:t>
      </w:r>
      <w:r>
        <w:rPr>
          <w:rFonts w:ascii="Verdana" w:eastAsia="Calibri" w:hAnsi="Verdana" w:cs="Arial"/>
          <w:bCs/>
          <w:color w:val="000000"/>
          <w:sz w:val="20"/>
          <w:szCs w:val="20"/>
          <w:lang w:val="es-ES"/>
        </w:rPr>
        <w:t>.</w:t>
      </w:r>
    </w:p>
    <w:p w14:paraId="17AA64B5" w14:textId="77777777" w:rsidR="008255F4" w:rsidRPr="00E54E87" w:rsidRDefault="008255F4" w:rsidP="008255F4">
      <w:pPr>
        <w:tabs>
          <w:tab w:val="left" w:pos="284"/>
        </w:tabs>
        <w:spacing w:after="0" w:line="276" w:lineRule="auto"/>
        <w:ind w:left="1049" w:right="709"/>
        <w:jc w:val="both"/>
        <w:rPr>
          <w:rFonts w:ascii="Verdana" w:eastAsia="Arial MT" w:hAnsi="Verdana" w:cs="Arial"/>
          <w:color w:val="000000"/>
        </w:rPr>
      </w:pPr>
    </w:p>
    <w:p w14:paraId="7EE63C0E" w14:textId="77777777" w:rsidR="008255F4" w:rsidRPr="00B31C7B" w:rsidRDefault="008255F4" w:rsidP="008255F4">
      <w:pPr>
        <w:widowControl w:val="0"/>
        <w:autoSpaceDE w:val="0"/>
        <w:autoSpaceDN w:val="0"/>
        <w:spacing w:after="0" w:line="276" w:lineRule="auto"/>
        <w:ind w:firstLine="709"/>
        <w:jc w:val="both"/>
        <w:rPr>
          <w:rFonts w:ascii="Verdana" w:eastAsia="Calibri" w:hAnsi="Verdana" w:cs="Arial"/>
          <w:color w:val="000000"/>
        </w:rPr>
      </w:pPr>
      <w:r w:rsidRPr="00B31C7B">
        <w:rPr>
          <w:rFonts w:ascii="Verdana" w:eastAsia="Calibri" w:hAnsi="Verdana" w:cs="Arial"/>
          <w:color w:val="000000"/>
        </w:rPr>
        <w:t>A su turno, el Consejo de Estado</w:t>
      </w:r>
      <w:r w:rsidRPr="00B31C7B">
        <w:rPr>
          <w:rFonts w:ascii="Verdana" w:eastAsia="Calibri" w:hAnsi="Verdana" w:cs="Arial"/>
          <w:color w:val="000000"/>
          <w:vertAlign w:val="superscript"/>
        </w:rPr>
        <w:footnoteReference w:id="14"/>
      </w:r>
      <w:r w:rsidRPr="00B31C7B">
        <w:rPr>
          <w:rFonts w:ascii="Verdana" w:eastAsia="Calibri" w:hAnsi="Verdana" w:cs="Arial"/>
          <w:color w:val="000000"/>
        </w:rPr>
        <w:t>, ha</w:t>
      </w:r>
      <w:r>
        <w:rPr>
          <w:rFonts w:ascii="Verdana" w:eastAsia="Calibri" w:hAnsi="Verdana" w:cs="Arial"/>
          <w:color w:val="000000"/>
        </w:rPr>
        <w:t xml:space="preserve"> resaltado que la necesidad de modificar los contratos estatales persigue el cumplimiento de ciertos fines. De esta manera, aunque estos contratos se puedan modificar por acuerdo de la voluntad de las partes, este no puede ser el único fundamento. Señala entonces que las modificaciones deben obedecer a causas reales y ciertas derivadas de la ley y no únicamente de la voluntad de las partes</w:t>
      </w:r>
      <w:r w:rsidRPr="00B31C7B">
        <w:rPr>
          <w:rFonts w:ascii="Verdana" w:eastAsia="Calibri" w:hAnsi="Verdana" w:cs="Arial"/>
          <w:color w:val="000000"/>
        </w:rPr>
        <w:t>:</w:t>
      </w:r>
    </w:p>
    <w:p w14:paraId="619AF027" w14:textId="77777777" w:rsidR="008255F4" w:rsidRPr="00B31C7B" w:rsidRDefault="008255F4" w:rsidP="008255F4">
      <w:pPr>
        <w:widowControl w:val="0"/>
        <w:autoSpaceDE w:val="0"/>
        <w:autoSpaceDN w:val="0"/>
        <w:spacing w:after="0" w:line="276" w:lineRule="auto"/>
        <w:ind w:firstLine="709"/>
        <w:jc w:val="both"/>
        <w:rPr>
          <w:rFonts w:ascii="Verdana" w:eastAsia="Calibri" w:hAnsi="Verdana" w:cs="Arial"/>
          <w:color w:val="000000"/>
        </w:rPr>
      </w:pPr>
    </w:p>
    <w:p w14:paraId="0FFBE6CE" w14:textId="77777777" w:rsidR="008255F4" w:rsidRDefault="008255F4" w:rsidP="008255F4">
      <w:pPr>
        <w:tabs>
          <w:tab w:val="left" w:pos="284"/>
        </w:tabs>
        <w:spacing w:after="0" w:line="240" w:lineRule="auto"/>
        <w:ind w:left="709" w:right="709"/>
        <w:jc w:val="both"/>
        <w:rPr>
          <w:rFonts w:ascii="Verdana" w:eastAsia="Calibri" w:hAnsi="Verdana" w:cs="Arial"/>
          <w:color w:val="000000"/>
          <w:sz w:val="20"/>
          <w:szCs w:val="20"/>
        </w:rPr>
      </w:pPr>
      <w:r w:rsidRPr="006864B6">
        <w:rPr>
          <w:rFonts w:ascii="Verdana" w:eastAsia="Calibri" w:hAnsi="Verdana" w:cs="Arial"/>
          <w:color w:val="000000"/>
          <w:sz w:val="20"/>
          <w:szCs w:val="20"/>
        </w:rPr>
        <w:t>“</w:t>
      </w:r>
      <w:r>
        <w:rPr>
          <w:rFonts w:ascii="Verdana" w:eastAsia="Calibri" w:hAnsi="Verdana" w:cs="Arial"/>
          <w:color w:val="000000"/>
          <w:sz w:val="20"/>
          <w:szCs w:val="20"/>
        </w:rPr>
        <w:t xml:space="preserve">[…] </w:t>
      </w:r>
      <w:r w:rsidRPr="006864B6">
        <w:rPr>
          <w:rFonts w:ascii="Verdana" w:eastAsia="Calibri" w:hAnsi="Verdana" w:cs="Arial"/>
          <w:color w:val="000000"/>
          <w:sz w:val="20"/>
          <w:szCs w:val="20"/>
        </w:rPr>
        <w:t>la posibilidad de modificar los contratos estatales es una especial forma de hacer prevalecer la finalidad del contrato sobre los restantes elementos del mismo. Por mutabilidad del contrato estatal se entiende el derecho que tiene la administración de variar, dadas ciertas condiciones, las obligaciones a cargo del contratista particular, cuando sea necesario para el cumplimiento del objeto y de los fines generales del Estado.</w:t>
      </w:r>
    </w:p>
    <w:p w14:paraId="4DD2301F" w14:textId="77777777" w:rsidR="008255F4" w:rsidRDefault="008255F4" w:rsidP="008255F4">
      <w:pPr>
        <w:tabs>
          <w:tab w:val="left" w:pos="284"/>
        </w:tabs>
        <w:spacing w:after="12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p>
    <w:p w14:paraId="138CF373" w14:textId="77777777" w:rsidR="008255F4" w:rsidRPr="006864B6" w:rsidRDefault="008255F4" w:rsidP="008255F4">
      <w:pPr>
        <w:tabs>
          <w:tab w:val="left" w:pos="284"/>
        </w:tabs>
        <w:spacing w:after="120" w:line="240" w:lineRule="auto"/>
        <w:ind w:left="709" w:right="709"/>
        <w:jc w:val="both"/>
        <w:rPr>
          <w:rFonts w:ascii="Verdana" w:eastAsia="Calibri" w:hAnsi="Verdana" w:cs="Arial"/>
          <w:color w:val="000000"/>
          <w:sz w:val="20"/>
          <w:szCs w:val="20"/>
        </w:rPr>
      </w:pPr>
      <w:r w:rsidRPr="006864B6">
        <w:rPr>
          <w:rFonts w:ascii="Verdana" w:eastAsia="Calibri" w:hAnsi="Verdana" w:cs="Arial"/>
          <w:color w:val="000000"/>
          <w:sz w:val="20"/>
          <w:szCs w:val="20"/>
        </w:rPr>
        <w:t>La ley permite una cierta discrecionalidad en la toma de las decisiones de modificar los contratos, pues es muy difícil regular detalladamente el tema, en especial ante la infinidad de situaciones que pueden presentarse durante la ejecución. Por esto utiliza locuciones relativamente amplias, a las que debe someterse la administración</w:t>
      </w:r>
      <w:r>
        <w:rPr>
          <w:rFonts w:ascii="Verdana" w:eastAsia="Calibri" w:hAnsi="Verdana" w:cs="Arial"/>
          <w:color w:val="000000"/>
          <w:sz w:val="20"/>
          <w:szCs w:val="20"/>
        </w:rPr>
        <w:t xml:space="preserve"> (…) </w:t>
      </w:r>
      <w:r w:rsidRPr="006864B6">
        <w:rPr>
          <w:rFonts w:ascii="Verdana" w:eastAsia="Calibri" w:hAnsi="Verdana" w:cs="Arial"/>
          <w:color w:val="000000"/>
          <w:sz w:val="20"/>
          <w:szCs w:val="20"/>
        </w:rPr>
        <w:t>Nótese que, sin embargo, en ellas van inmersas las ideas de una causa cierta y unos fines públicos que hay que salvaguardar.</w:t>
      </w:r>
    </w:p>
    <w:p w14:paraId="2164429E" w14:textId="77777777" w:rsidR="008255F4" w:rsidRPr="006864B6" w:rsidRDefault="008255F4" w:rsidP="008255F4">
      <w:pPr>
        <w:tabs>
          <w:tab w:val="left" w:pos="284"/>
        </w:tabs>
        <w:spacing w:after="120" w:line="240" w:lineRule="auto"/>
        <w:ind w:left="709" w:right="709"/>
        <w:jc w:val="both"/>
        <w:rPr>
          <w:rFonts w:ascii="Verdana" w:eastAsia="Calibri" w:hAnsi="Verdana" w:cs="Arial"/>
          <w:color w:val="000000"/>
          <w:sz w:val="20"/>
          <w:szCs w:val="20"/>
        </w:rPr>
      </w:pPr>
      <w:r w:rsidRPr="006864B6">
        <w:rPr>
          <w:rFonts w:ascii="Verdana" w:eastAsia="Calibri" w:hAnsi="Verdana" w:cs="Arial"/>
          <w:color w:val="000000"/>
          <w:sz w:val="20"/>
          <w:szCs w:val="20"/>
        </w:rPr>
        <w:t xml:space="preserve">Puede adicionarse una razón a las expuestas para justificar que </w:t>
      </w:r>
      <w:r w:rsidRPr="00AA7683">
        <w:rPr>
          <w:rFonts w:ascii="Verdana" w:eastAsia="Calibri" w:hAnsi="Verdana" w:cs="Arial"/>
          <w:i/>
          <w:iCs/>
          <w:color w:val="000000"/>
          <w:sz w:val="20"/>
          <w:szCs w:val="20"/>
        </w:rPr>
        <w:t>la simple voluntad de las partes no es causa de modificación de los contratos estatales, la cual consiste en el respeto por el principio de igualdad de los oferentes</w:t>
      </w:r>
      <w:r w:rsidRPr="006864B6">
        <w:rPr>
          <w:rFonts w:ascii="Verdana" w:eastAsia="Calibri" w:hAnsi="Verdana" w:cs="Arial"/>
          <w:color w:val="000000"/>
          <w:sz w:val="20"/>
          <w:szCs w:val="20"/>
        </w:rPr>
        <w:t xml:space="preserve">. Si se acepta que los contratos pueden modificarse por el simple común acuerdo, fácilmente se podría licitar determinado objeto con el fin de adjudicárselo a cierta persona, a sabiendas de que se cambiarán las obligaciones, una vez celebrado. </w:t>
      </w:r>
    </w:p>
    <w:p w14:paraId="1E5C77F3" w14:textId="77777777" w:rsidR="008255F4" w:rsidRPr="006864B6" w:rsidRDefault="008255F4" w:rsidP="008255F4">
      <w:pPr>
        <w:tabs>
          <w:tab w:val="left" w:pos="284"/>
        </w:tabs>
        <w:spacing w:after="0" w:line="240" w:lineRule="auto"/>
        <w:ind w:left="709" w:right="709"/>
        <w:jc w:val="both"/>
        <w:rPr>
          <w:rFonts w:ascii="Verdana" w:eastAsia="Calibri" w:hAnsi="Verdana" w:cs="Arial"/>
          <w:color w:val="000000"/>
          <w:sz w:val="20"/>
          <w:szCs w:val="20"/>
        </w:rPr>
      </w:pPr>
      <w:r w:rsidRPr="006864B6">
        <w:rPr>
          <w:rFonts w:ascii="Verdana" w:eastAsia="Calibri" w:hAnsi="Verdana" w:cs="Arial"/>
          <w:color w:val="000000"/>
          <w:sz w:val="20"/>
          <w:szCs w:val="20"/>
        </w:rPr>
        <w:lastRenderedPageBreak/>
        <w:t xml:space="preserve">De lo expuesto, y a manera de solución al interrogante planteado, surgen estas dos ideas que han servido de hilo conductor al análisis que aquí se hace: el mutuo acuerdo es una forma de modificación del contrato estatal, la más usada en la práctica y preferida por la legislación vigente; advirtiendo, y esta es la segunda idea, que </w:t>
      </w:r>
      <w:r w:rsidRPr="00AA7683">
        <w:rPr>
          <w:rFonts w:ascii="Verdana" w:eastAsia="Calibri" w:hAnsi="Verdana" w:cs="Arial"/>
          <w:i/>
          <w:iCs/>
          <w:color w:val="000000"/>
          <w:sz w:val="20"/>
          <w:szCs w:val="20"/>
        </w:rPr>
        <w:t>toda modificación debe tener una causa real y cierta, contemplada en la ley, diferente de la mera voluntad de los contratantes</w:t>
      </w:r>
      <w:r w:rsidRPr="006864B6">
        <w:rPr>
          <w:rFonts w:ascii="Verdana" w:eastAsia="Calibri" w:hAnsi="Verdana" w:cs="Arial"/>
          <w:color w:val="000000"/>
          <w:sz w:val="20"/>
          <w:szCs w:val="20"/>
        </w:rPr>
        <w:t>”.</w:t>
      </w:r>
      <w:r>
        <w:rPr>
          <w:rFonts w:ascii="Verdana" w:eastAsia="Calibri" w:hAnsi="Verdana" w:cs="Arial"/>
          <w:color w:val="000000"/>
          <w:sz w:val="20"/>
          <w:szCs w:val="20"/>
        </w:rPr>
        <w:t xml:space="preserve"> (Énfasis fuera de texto)</w:t>
      </w:r>
    </w:p>
    <w:p w14:paraId="5C7262DE" w14:textId="77777777" w:rsidR="008255F4" w:rsidRPr="00E54E87" w:rsidRDefault="008255F4" w:rsidP="008255F4">
      <w:pPr>
        <w:tabs>
          <w:tab w:val="left" w:pos="284"/>
        </w:tabs>
        <w:spacing w:after="0" w:line="276" w:lineRule="auto"/>
        <w:ind w:left="709" w:right="709"/>
        <w:jc w:val="both"/>
        <w:rPr>
          <w:rFonts w:ascii="Verdana" w:eastAsia="Calibri" w:hAnsi="Verdana" w:cs="Arial"/>
          <w:color w:val="000000"/>
        </w:rPr>
      </w:pPr>
    </w:p>
    <w:p w14:paraId="2B47C454" w14:textId="77777777" w:rsidR="008255F4" w:rsidRDefault="008255F4" w:rsidP="008255F4">
      <w:pPr>
        <w:widowControl w:val="0"/>
        <w:autoSpaceDE w:val="0"/>
        <w:autoSpaceDN w:val="0"/>
        <w:spacing w:after="0"/>
        <w:ind w:firstLine="709"/>
        <w:jc w:val="both"/>
        <w:rPr>
          <w:rFonts w:ascii="Verdana" w:eastAsia="Arial" w:hAnsi="Verdana" w:cs="Arial"/>
          <w:color w:val="000000"/>
          <w:lang w:val="es-MX" w:eastAsia="es-ES" w:bidi="es-ES"/>
        </w:rPr>
      </w:pPr>
      <w:r>
        <w:rPr>
          <w:rFonts w:ascii="Verdana" w:eastAsia="Arial" w:hAnsi="Verdana" w:cs="Arial"/>
          <w:color w:val="000000"/>
          <w:lang w:val="es-ES" w:eastAsia="es-ES" w:bidi="es-ES"/>
        </w:rPr>
        <w:t>Asimismo</w:t>
      </w:r>
      <w:r w:rsidRPr="00B31C7B">
        <w:rPr>
          <w:rFonts w:ascii="Verdana" w:eastAsia="Arial" w:hAnsi="Verdana" w:cs="Arial"/>
          <w:color w:val="000000"/>
          <w:lang w:val="es-ES" w:eastAsia="es-ES" w:bidi="es-ES"/>
        </w:rPr>
        <w:t xml:space="preserve">, en el Concepto 2263 del 17 de marzo del 2016, la Sala de Consulta y Servicio Civil del Consejo de Estado precisó que </w:t>
      </w:r>
      <w:r w:rsidRPr="00B31C7B">
        <w:rPr>
          <w:rFonts w:ascii="Verdana" w:eastAsia="Arial" w:hAnsi="Verdana" w:cs="Arial"/>
          <w:color w:val="000000"/>
          <w:lang w:val="es-MX" w:eastAsia="es-ES" w:bidi="es-ES"/>
        </w:rPr>
        <w:t xml:space="preserve">la regla general es la no modificación del contrato, y la vía excepcional su modificación, sometida a </w:t>
      </w:r>
      <w:r>
        <w:rPr>
          <w:rFonts w:ascii="Verdana" w:eastAsia="Arial" w:hAnsi="Verdana" w:cs="Arial"/>
          <w:color w:val="000000"/>
          <w:lang w:val="es-MX" w:eastAsia="es-ES" w:bidi="es-ES"/>
        </w:rPr>
        <w:t xml:space="preserve">los siguientes </w:t>
      </w:r>
      <w:r w:rsidRPr="00B31C7B">
        <w:rPr>
          <w:rFonts w:ascii="Verdana" w:eastAsia="Arial" w:hAnsi="Verdana" w:cs="Arial"/>
          <w:color w:val="000000"/>
          <w:lang w:val="es-MX" w:eastAsia="es-ES" w:bidi="es-ES"/>
        </w:rPr>
        <w:t>límites legales:</w:t>
      </w:r>
    </w:p>
    <w:p w14:paraId="7B4390A5" w14:textId="77777777" w:rsidR="008255F4" w:rsidRPr="000E3F53" w:rsidRDefault="008255F4" w:rsidP="008255F4">
      <w:pPr>
        <w:widowControl w:val="0"/>
        <w:autoSpaceDE w:val="0"/>
        <w:autoSpaceDN w:val="0"/>
        <w:spacing w:after="0" w:line="276" w:lineRule="auto"/>
        <w:ind w:firstLine="709"/>
        <w:jc w:val="both"/>
        <w:rPr>
          <w:rFonts w:ascii="Verdana" w:eastAsia="Arial" w:hAnsi="Verdana" w:cs="Arial"/>
          <w:color w:val="000000"/>
          <w:lang w:val="es-MX" w:eastAsia="es-ES" w:bidi="es-ES"/>
        </w:rPr>
      </w:pPr>
    </w:p>
    <w:p w14:paraId="6A110ABE" w14:textId="77777777" w:rsidR="008255F4" w:rsidRPr="00AA7683" w:rsidRDefault="008255F4" w:rsidP="008255F4">
      <w:pPr>
        <w:tabs>
          <w:tab w:val="left" w:pos="284"/>
        </w:tabs>
        <w:spacing w:after="120" w:line="240" w:lineRule="auto"/>
        <w:ind w:left="709" w:right="709"/>
        <w:jc w:val="both"/>
        <w:rPr>
          <w:rFonts w:ascii="Verdana" w:eastAsia="Calibri" w:hAnsi="Verdana" w:cs="Arial"/>
          <w:color w:val="000000"/>
          <w:sz w:val="20"/>
          <w:szCs w:val="20"/>
        </w:rPr>
      </w:pPr>
      <w:r w:rsidRPr="00AA7683">
        <w:rPr>
          <w:rFonts w:ascii="Verdana" w:eastAsia="Calibri" w:hAnsi="Verdana" w:cs="Arial"/>
          <w:color w:val="000000"/>
          <w:sz w:val="20"/>
          <w:szCs w:val="20"/>
        </w:rPr>
        <w:t xml:space="preserve">“1. La necesidad de preservar los principios de igualdad, transparencia y libertad de concurrencia, durante la fase de ejecución del contrato. </w:t>
      </w:r>
    </w:p>
    <w:p w14:paraId="2AD5FE28" w14:textId="77777777" w:rsidR="008255F4" w:rsidRPr="00AA7683" w:rsidRDefault="008255F4" w:rsidP="008255F4">
      <w:pPr>
        <w:tabs>
          <w:tab w:val="left" w:pos="284"/>
        </w:tabs>
        <w:spacing w:after="120" w:line="240" w:lineRule="auto"/>
        <w:ind w:left="709" w:right="709"/>
        <w:jc w:val="both"/>
        <w:rPr>
          <w:rFonts w:ascii="Verdana" w:eastAsia="Calibri" w:hAnsi="Verdana" w:cs="Arial"/>
          <w:color w:val="000000"/>
          <w:sz w:val="20"/>
          <w:szCs w:val="20"/>
        </w:rPr>
      </w:pPr>
      <w:r w:rsidRPr="00AA7683">
        <w:rPr>
          <w:rFonts w:ascii="Verdana" w:eastAsia="Calibri" w:hAnsi="Verdana" w:cs="Arial"/>
          <w:color w:val="000000"/>
          <w:sz w:val="20"/>
          <w:szCs w:val="20"/>
        </w:rPr>
        <w:t>Este límite encuentra sustento en el hecho de que, para celebrar contratos estatales las entidades públicas eligen, dentro de un “régimen de concurrencia y de igualdad, las mejores condiciones de costo, calidad e idoneidad de la prestación requerida”, lo que supone que la selección objetiva de la oferta más favorable, se dirige a salvaguardar el interés público y, por lo tanto, celebrado el contrato en esas condiciones,  su eventual modificación debe asegurar que lo adjudicado, y posteriormente alterado, consulte la mejor opción para el servicio público.</w:t>
      </w:r>
    </w:p>
    <w:p w14:paraId="6E8403EB" w14:textId="77777777" w:rsidR="008255F4" w:rsidRPr="00AA7683" w:rsidRDefault="008255F4" w:rsidP="008255F4">
      <w:pPr>
        <w:tabs>
          <w:tab w:val="left" w:pos="284"/>
        </w:tabs>
        <w:spacing w:after="120" w:line="240" w:lineRule="auto"/>
        <w:ind w:left="709" w:right="709"/>
        <w:jc w:val="both"/>
        <w:rPr>
          <w:rFonts w:ascii="Verdana" w:eastAsia="Calibri" w:hAnsi="Verdana" w:cs="Arial"/>
          <w:color w:val="000000"/>
          <w:sz w:val="20"/>
          <w:szCs w:val="20"/>
        </w:rPr>
      </w:pPr>
      <w:r w:rsidRPr="00AA7683">
        <w:rPr>
          <w:rFonts w:ascii="Verdana" w:eastAsia="Calibri" w:hAnsi="Verdana" w:cs="Arial"/>
          <w:color w:val="000000"/>
          <w:sz w:val="20"/>
          <w:szCs w:val="20"/>
        </w:rPr>
        <w:t>Así, según lo expuesto en el concepto en cuestión “la aplicación de los principios de transparencia, de libertad de concurrencia y de igualdad, consagrados en el Estatuto Contractual, y las reglas sustanciales del pliego de condiciones, que permitieron elegir la mejor oferta, previo cumplimiento de los requisitos habilitantes y de ponderación, deben ser de estricta observancia por la Administración y por el contratista, y sus efectos trascienden y se aplican durante la ejecución del contrato y en su liquidación, como garantía de inalterabilidad de lo pactado y de acatamiento a la legalidad de las reglas aplicadas en la actuación previa.</w:t>
      </w:r>
    </w:p>
    <w:p w14:paraId="599741D6" w14:textId="77777777" w:rsidR="008255F4" w:rsidRPr="00AA7683" w:rsidRDefault="008255F4" w:rsidP="008255F4">
      <w:pPr>
        <w:tabs>
          <w:tab w:val="left" w:pos="284"/>
        </w:tabs>
        <w:spacing w:after="120" w:line="240" w:lineRule="auto"/>
        <w:ind w:left="709" w:right="709"/>
        <w:jc w:val="both"/>
        <w:rPr>
          <w:rFonts w:ascii="Verdana" w:eastAsia="Calibri" w:hAnsi="Verdana" w:cs="Arial"/>
          <w:color w:val="000000"/>
          <w:sz w:val="20"/>
          <w:szCs w:val="20"/>
        </w:rPr>
      </w:pPr>
      <w:r w:rsidRPr="00AA7683">
        <w:rPr>
          <w:rFonts w:ascii="Verdana" w:eastAsia="Calibri" w:hAnsi="Verdana" w:cs="Arial"/>
          <w:color w:val="000000"/>
          <w:sz w:val="20"/>
          <w:szCs w:val="20"/>
        </w:rPr>
        <w:t xml:space="preserve">2.Límites de orden temporal, entre los que están comprendidos: i) la vigencia del contrato, pues no podría modificarse un contrato cuyo plazo ha culminado y </w:t>
      </w:r>
      <w:proofErr w:type="spellStart"/>
      <w:r w:rsidRPr="00AA7683">
        <w:rPr>
          <w:rFonts w:ascii="Verdana" w:eastAsia="Calibri" w:hAnsi="Verdana" w:cs="Arial"/>
          <w:color w:val="000000"/>
          <w:sz w:val="20"/>
          <w:szCs w:val="20"/>
        </w:rPr>
        <w:t>ii</w:t>
      </w:r>
      <w:proofErr w:type="spellEnd"/>
      <w:r w:rsidRPr="00AA7683">
        <w:rPr>
          <w:rFonts w:ascii="Verdana" w:eastAsia="Calibri" w:hAnsi="Verdana" w:cs="Arial"/>
          <w:color w:val="000000"/>
          <w:sz w:val="20"/>
          <w:szCs w:val="20"/>
        </w:rPr>
        <w:t>) la prohibición de consagrar prórrogas automáticas, sucesivas o indefinidas, en tanto resultan contrarias al derecho esencial de la libertad de competencia.</w:t>
      </w:r>
    </w:p>
    <w:p w14:paraId="1AC58523" w14:textId="77777777" w:rsidR="008255F4" w:rsidRPr="00AA7683" w:rsidRDefault="008255F4" w:rsidP="008255F4">
      <w:pPr>
        <w:tabs>
          <w:tab w:val="left" w:pos="284"/>
        </w:tabs>
        <w:spacing w:after="120" w:line="240" w:lineRule="auto"/>
        <w:ind w:left="709" w:right="709"/>
        <w:jc w:val="both"/>
        <w:rPr>
          <w:rFonts w:ascii="Verdana" w:eastAsia="Calibri" w:hAnsi="Verdana" w:cs="Arial"/>
          <w:color w:val="000000"/>
          <w:sz w:val="20"/>
          <w:szCs w:val="20"/>
        </w:rPr>
      </w:pPr>
      <w:r w:rsidRPr="00AA7683">
        <w:rPr>
          <w:rFonts w:ascii="Verdana" w:eastAsia="Calibri" w:hAnsi="Verdana" w:cs="Arial"/>
          <w:color w:val="000000"/>
          <w:sz w:val="20"/>
          <w:szCs w:val="20"/>
        </w:rPr>
        <w:t>3. Límites de orden formal, que comprenden: i) La solemnidad del contrato de modificación, derivada del carácter solemne del contrato estatal, que exige que la modificación de los contratos conste por escrito</w:t>
      </w:r>
      <w:r w:rsidRPr="00AA7683">
        <w:rPr>
          <w:rFonts w:ascii="Verdana" w:eastAsia="Calibri" w:hAnsi="Verdana" w:cs="Arial"/>
          <w:color w:val="000000"/>
          <w:sz w:val="20"/>
          <w:szCs w:val="20"/>
          <w:vertAlign w:val="superscript"/>
        </w:rPr>
        <w:footnoteReference w:id="15"/>
      </w:r>
      <w:r w:rsidRPr="00AA7683">
        <w:rPr>
          <w:rFonts w:ascii="Verdana" w:eastAsia="Calibri" w:hAnsi="Verdana" w:cs="Arial"/>
          <w:color w:val="000000"/>
          <w:sz w:val="20"/>
          <w:szCs w:val="20"/>
        </w:rPr>
        <w:t xml:space="preserve">; </w:t>
      </w:r>
      <w:proofErr w:type="spellStart"/>
      <w:r w:rsidRPr="00AA7683">
        <w:rPr>
          <w:rFonts w:ascii="Verdana" w:eastAsia="Calibri" w:hAnsi="Verdana" w:cs="Arial"/>
          <w:color w:val="000000"/>
          <w:sz w:val="20"/>
          <w:szCs w:val="20"/>
        </w:rPr>
        <w:t>ii</w:t>
      </w:r>
      <w:proofErr w:type="spellEnd"/>
      <w:r w:rsidRPr="00AA7683">
        <w:rPr>
          <w:rFonts w:ascii="Verdana" w:eastAsia="Calibri" w:hAnsi="Verdana" w:cs="Arial"/>
          <w:color w:val="000000"/>
          <w:sz w:val="20"/>
          <w:szCs w:val="20"/>
        </w:rPr>
        <w:t xml:space="preserve">) la </w:t>
      </w:r>
      <w:r w:rsidRPr="00AA7683">
        <w:rPr>
          <w:rFonts w:ascii="Verdana" w:eastAsia="Calibri" w:hAnsi="Verdana" w:cs="Arial"/>
          <w:color w:val="000000"/>
          <w:sz w:val="20"/>
          <w:szCs w:val="20"/>
        </w:rPr>
        <w:lastRenderedPageBreak/>
        <w:t>motivación y justificación de la modificación, la cual constituye un elemento esencial que permite determinar la juridicidad y la necesidad de una modificación determinada; así como su racionalidad y la proporcionalidad de su contenido.</w:t>
      </w:r>
    </w:p>
    <w:p w14:paraId="269153C0" w14:textId="77777777" w:rsidR="008255F4" w:rsidRPr="00AD53BB" w:rsidRDefault="008255F4" w:rsidP="008255F4">
      <w:pPr>
        <w:tabs>
          <w:tab w:val="left" w:pos="284"/>
        </w:tabs>
        <w:spacing w:after="0" w:line="240" w:lineRule="auto"/>
        <w:ind w:left="709" w:right="709"/>
        <w:jc w:val="both"/>
        <w:rPr>
          <w:rFonts w:ascii="Verdana" w:eastAsia="Calibri" w:hAnsi="Verdana" w:cs="Arial"/>
          <w:color w:val="000000"/>
          <w:sz w:val="20"/>
          <w:szCs w:val="20"/>
        </w:rPr>
      </w:pPr>
      <w:r w:rsidRPr="00AA7683">
        <w:rPr>
          <w:rFonts w:ascii="Verdana" w:eastAsia="Calibri" w:hAnsi="Verdana" w:cs="Arial"/>
          <w:color w:val="000000"/>
          <w:sz w:val="20"/>
          <w:szCs w:val="20"/>
        </w:rPr>
        <w:t>4. Límites de orden material, que corresponden a: i) la prohibición de modificar las condiciones sustanciales del contrato, que se presentará en los casos en que se incluyan elementos que, “habiendo figurado en el procedimiento inicial, hubiera permitido la participación de otros interesados aparte de los inicialmente admitidos, o seleccionar una oferta distinta de la inicialmente seleccionada”.</w:t>
      </w:r>
    </w:p>
    <w:p w14:paraId="3046C3E5" w14:textId="77777777" w:rsidR="008255F4" w:rsidRPr="00E54E87" w:rsidRDefault="008255F4" w:rsidP="008255F4">
      <w:pPr>
        <w:tabs>
          <w:tab w:val="left" w:pos="284"/>
        </w:tabs>
        <w:spacing w:after="0" w:line="276" w:lineRule="auto"/>
        <w:ind w:left="709" w:right="709"/>
        <w:jc w:val="both"/>
        <w:rPr>
          <w:rFonts w:ascii="Verdana" w:eastAsia="Calibri" w:hAnsi="Verdana" w:cs="Arial"/>
          <w:color w:val="000000"/>
        </w:rPr>
      </w:pPr>
    </w:p>
    <w:p w14:paraId="25D5E52F" w14:textId="77777777" w:rsidR="008255F4" w:rsidRDefault="008255F4" w:rsidP="008255F4">
      <w:pPr>
        <w:widowControl w:val="0"/>
        <w:autoSpaceDE w:val="0"/>
        <w:autoSpaceDN w:val="0"/>
        <w:spacing w:after="0"/>
        <w:ind w:right="102" w:firstLine="709"/>
        <w:jc w:val="both"/>
        <w:rPr>
          <w:rFonts w:ascii="Verdana" w:eastAsia="Arial" w:hAnsi="Verdana" w:cs="Arial"/>
          <w:color w:val="000000"/>
          <w:lang w:val="es-MX" w:eastAsia="es-ES" w:bidi="es-ES"/>
        </w:rPr>
      </w:pPr>
      <w:r w:rsidRPr="00B31C7B">
        <w:rPr>
          <w:rFonts w:ascii="Verdana" w:eastAsia="Arial" w:hAnsi="Verdana" w:cs="Arial"/>
          <w:color w:val="000000"/>
          <w:lang w:val="es-MX" w:eastAsia="es-ES" w:bidi="es-ES"/>
        </w:rPr>
        <w:t>Sobre el alcance de dicha prohibición, la Sala de Consulta y Servicio Civil expresó lo siguiente</w:t>
      </w:r>
      <w:r w:rsidRPr="00B31C7B">
        <w:rPr>
          <w:rFonts w:ascii="Verdana" w:eastAsia="Arial" w:hAnsi="Verdana" w:cs="Arial"/>
          <w:color w:val="000000"/>
          <w:vertAlign w:val="superscript"/>
          <w:lang w:val="es-MX" w:eastAsia="es-ES" w:bidi="es-ES"/>
        </w:rPr>
        <w:footnoteReference w:id="16"/>
      </w:r>
      <w:r w:rsidRPr="00B31C7B">
        <w:rPr>
          <w:rFonts w:ascii="Verdana" w:eastAsia="Arial" w:hAnsi="Verdana" w:cs="Arial"/>
          <w:color w:val="000000"/>
          <w:lang w:val="es-MX" w:eastAsia="es-ES" w:bidi="es-ES"/>
        </w:rPr>
        <w:t>:</w:t>
      </w:r>
    </w:p>
    <w:p w14:paraId="19C6105F" w14:textId="77777777" w:rsidR="008255F4" w:rsidRPr="00B31C7B" w:rsidRDefault="008255F4" w:rsidP="008255F4">
      <w:pPr>
        <w:widowControl w:val="0"/>
        <w:autoSpaceDE w:val="0"/>
        <w:autoSpaceDN w:val="0"/>
        <w:spacing w:after="0" w:line="276" w:lineRule="auto"/>
        <w:ind w:right="102" w:firstLine="709"/>
        <w:jc w:val="both"/>
        <w:rPr>
          <w:rFonts w:ascii="Verdana" w:eastAsia="Arial" w:hAnsi="Verdana" w:cs="Arial"/>
          <w:color w:val="000000"/>
          <w:lang w:val="es-MX" w:eastAsia="es-ES" w:bidi="es-ES"/>
        </w:rPr>
      </w:pPr>
    </w:p>
    <w:p w14:paraId="5E6ECD40" w14:textId="77777777" w:rsidR="008255F4" w:rsidRPr="00B31C7B" w:rsidRDefault="008255F4" w:rsidP="008255F4">
      <w:pPr>
        <w:widowControl w:val="0"/>
        <w:autoSpaceDE w:val="0"/>
        <w:autoSpaceDN w:val="0"/>
        <w:spacing w:after="120" w:line="240" w:lineRule="auto"/>
        <w:ind w:left="709" w:right="709"/>
        <w:jc w:val="both"/>
        <w:rPr>
          <w:rFonts w:ascii="Verdana" w:eastAsia="Arial" w:hAnsi="Verdana" w:cs="Arial"/>
          <w:bCs/>
          <w:iCs/>
          <w:color w:val="000000"/>
          <w:sz w:val="20"/>
          <w:szCs w:val="20"/>
          <w:lang w:val="es-MX" w:eastAsia="es-ES" w:bidi="es-ES"/>
        </w:rPr>
      </w:pPr>
      <w:r w:rsidRPr="00B31C7B">
        <w:rPr>
          <w:rFonts w:ascii="Verdana" w:eastAsia="Arial" w:hAnsi="Verdana" w:cs="Arial"/>
          <w:bCs/>
          <w:iCs/>
          <w:color w:val="000000"/>
          <w:sz w:val="20"/>
          <w:szCs w:val="20"/>
          <w:lang w:val="es-MX" w:eastAsia="es-ES" w:bidi="es-ES"/>
        </w:rPr>
        <w:t>“Así, frente a circunstancias excepcionales la Administración podría usar su poder de modificación unilateral o realizar las modificaciones de mutuo acuerdo, con el cumplimiento de los requisitos de ley. Se trataría de la excepción a la regla general de intangibilidad del contrato. La doctrina y algunos pronunciamientos de la Sección Tercera del Consejo de Estado aportan los elementos necesarios que permiten orientar a la Administración sobre esta vía excepcional y sus requisitos:</w:t>
      </w:r>
    </w:p>
    <w:p w14:paraId="5BC4E7B1" w14:textId="77777777" w:rsidR="008255F4" w:rsidRDefault="008255F4" w:rsidP="008255F4">
      <w:pPr>
        <w:widowControl w:val="0"/>
        <w:autoSpaceDE w:val="0"/>
        <w:autoSpaceDN w:val="0"/>
        <w:spacing w:after="0" w:line="240" w:lineRule="auto"/>
        <w:ind w:left="709" w:right="709"/>
        <w:jc w:val="both"/>
        <w:rPr>
          <w:rFonts w:ascii="Verdana" w:eastAsia="Arial" w:hAnsi="Verdana" w:cs="Arial"/>
          <w:bCs/>
          <w:iCs/>
          <w:color w:val="000000"/>
          <w:sz w:val="20"/>
          <w:szCs w:val="20"/>
          <w:lang w:val="es-MX" w:eastAsia="es-ES" w:bidi="es-ES"/>
        </w:rPr>
      </w:pPr>
      <w:r w:rsidRPr="00B31C7B">
        <w:rPr>
          <w:rFonts w:ascii="Verdana" w:eastAsia="Arial" w:hAnsi="Verdana" w:cs="Arial"/>
          <w:bCs/>
          <w:iCs/>
          <w:color w:val="000000"/>
          <w:sz w:val="20"/>
          <w:szCs w:val="20"/>
          <w:lang w:val="es-MX" w:eastAsia="es-ES" w:bidi="es-ES"/>
        </w:rPr>
        <w:t>- No podría aceptarse un poder ilimitado o absoluto de modificación, aun frente a circunstancias excepcionales. Por ello la modificación no podrá afectar el núcleo esencial del objeto, o la naturaleza global del contrato. Con independencia de las razones y circunstancias imprevisibles que puedan presentarse, no es posible que el contrato mute o se transforme en un contrato sustancialmente distinto. Si se sustituyen las obras, los suministros o los servicios pactados por otros diferentes, o se modifica el tipo de contratación, o el núcleo esencial del objeto, se presentaría una novación del negocio jurídico y su objeto.</w:t>
      </w:r>
    </w:p>
    <w:p w14:paraId="2BF94A2B" w14:textId="77777777" w:rsidR="008255F4" w:rsidRDefault="008255F4" w:rsidP="008255F4">
      <w:pPr>
        <w:widowControl w:val="0"/>
        <w:autoSpaceDE w:val="0"/>
        <w:autoSpaceDN w:val="0"/>
        <w:spacing w:after="120" w:line="240" w:lineRule="auto"/>
        <w:ind w:left="709" w:right="709"/>
        <w:jc w:val="both"/>
        <w:rPr>
          <w:rFonts w:ascii="Verdana" w:eastAsia="Arial" w:hAnsi="Verdana" w:cs="Arial"/>
          <w:bCs/>
          <w:iCs/>
          <w:color w:val="000000"/>
          <w:sz w:val="20"/>
          <w:szCs w:val="20"/>
          <w:lang w:val="es-MX" w:eastAsia="es-ES" w:bidi="es-ES"/>
        </w:rPr>
      </w:pPr>
      <w:r>
        <w:rPr>
          <w:rFonts w:ascii="Verdana" w:eastAsia="Arial" w:hAnsi="Verdana" w:cs="Arial"/>
          <w:bCs/>
          <w:iCs/>
          <w:color w:val="000000"/>
          <w:sz w:val="20"/>
          <w:szCs w:val="20"/>
          <w:lang w:val="es-MX" w:eastAsia="es-ES" w:bidi="es-ES"/>
        </w:rPr>
        <w:t>[…]</w:t>
      </w:r>
    </w:p>
    <w:p w14:paraId="159F176F" w14:textId="77777777" w:rsidR="008255F4" w:rsidRDefault="008255F4" w:rsidP="008255F4">
      <w:pPr>
        <w:widowControl w:val="0"/>
        <w:autoSpaceDE w:val="0"/>
        <w:autoSpaceDN w:val="0"/>
        <w:spacing w:after="0" w:line="240" w:lineRule="auto"/>
        <w:ind w:left="709" w:right="709"/>
        <w:jc w:val="both"/>
        <w:rPr>
          <w:rFonts w:ascii="Verdana" w:eastAsia="Arial" w:hAnsi="Verdana" w:cs="Arial"/>
          <w:bCs/>
          <w:iCs/>
          <w:color w:val="000000"/>
          <w:sz w:val="20"/>
          <w:szCs w:val="20"/>
          <w:lang w:val="es-MX" w:eastAsia="es-ES" w:bidi="es-ES"/>
        </w:rPr>
      </w:pPr>
      <w:r w:rsidRPr="00B31C7B">
        <w:rPr>
          <w:rFonts w:ascii="Verdana" w:eastAsia="Arial" w:hAnsi="Verdana" w:cs="Arial"/>
          <w:bCs/>
          <w:iCs/>
          <w:color w:val="000000"/>
          <w:sz w:val="20"/>
          <w:szCs w:val="20"/>
          <w:lang w:val="es-MX" w:eastAsia="es-ES" w:bidi="es-ES"/>
        </w:rPr>
        <w:t xml:space="preserve">-Las causas que justificarían la modificación del contrato deben obedecer al acaecimiento de situaciones o circunstancias imposibles de prever, con una diligencia debida, que hagan imperiosa o necesaria la modificación de algunas estipulaciones del contrato, como única manera de conjurarlas. Debe tratarse de la existencia de circunstancias surgidas de un riesgo imprevisible, no necesariamente de una situación no prevista, que pueda razonablemente considerarse en un futuro mediato o que debieron ser previstas en la etapa de planeación del contrato. Ello supone la existencia </w:t>
      </w:r>
      <w:r w:rsidRPr="00B31C7B">
        <w:rPr>
          <w:rFonts w:ascii="Verdana" w:eastAsia="Arial" w:hAnsi="Verdana" w:cs="Arial"/>
          <w:bCs/>
          <w:iCs/>
          <w:color w:val="000000"/>
          <w:sz w:val="20"/>
          <w:szCs w:val="20"/>
          <w:lang w:val="es-MX" w:eastAsia="es-ES" w:bidi="es-ES"/>
        </w:rPr>
        <w:lastRenderedPageBreak/>
        <w:t xml:space="preserve">de circunstancias posteriores, externas a las partes y no agravadas por su acción u omisión, puestas de manifiesto o imposibles de advertir en la etapa precontractual, que, además, muestren la imposibilidad de cumplir lo pactado inicialmente, o su falta de idoneidad. Estas circunstancias pueden obedecer a razones de tipo geológico, medioambiental o de otra índole, que no pudieron ser razonablemente previstas. </w:t>
      </w:r>
    </w:p>
    <w:p w14:paraId="1352BF90" w14:textId="77777777" w:rsidR="008255F4" w:rsidRDefault="008255F4" w:rsidP="008255F4">
      <w:pPr>
        <w:widowControl w:val="0"/>
        <w:autoSpaceDE w:val="0"/>
        <w:autoSpaceDN w:val="0"/>
        <w:spacing w:after="120" w:line="240" w:lineRule="auto"/>
        <w:ind w:left="709" w:right="709"/>
        <w:jc w:val="both"/>
        <w:rPr>
          <w:rFonts w:ascii="Verdana" w:eastAsia="Arial" w:hAnsi="Verdana" w:cs="Arial"/>
          <w:bCs/>
          <w:iCs/>
          <w:color w:val="000000"/>
          <w:sz w:val="20"/>
          <w:szCs w:val="20"/>
          <w:lang w:val="es-MX" w:eastAsia="es-ES" w:bidi="es-ES"/>
        </w:rPr>
      </w:pPr>
      <w:r>
        <w:rPr>
          <w:rFonts w:ascii="Verdana" w:eastAsia="Arial" w:hAnsi="Verdana" w:cs="Arial"/>
          <w:bCs/>
          <w:iCs/>
          <w:color w:val="000000"/>
          <w:sz w:val="20"/>
          <w:szCs w:val="20"/>
          <w:lang w:val="es-MX" w:eastAsia="es-ES" w:bidi="es-ES"/>
        </w:rPr>
        <w:t xml:space="preserve">[…] </w:t>
      </w:r>
    </w:p>
    <w:p w14:paraId="688BC0AA" w14:textId="77777777" w:rsidR="008255F4" w:rsidRDefault="008255F4" w:rsidP="008255F4">
      <w:pPr>
        <w:widowControl w:val="0"/>
        <w:autoSpaceDE w:val="0"/>
        <w:autoSpaceDN w:val="0"/>
        <w:spacing w:after="120" w:line="240" w:lineRule="auto"/>
        <w:ind w:left="709" w:right="709"/>
        <w:jc w:val="both"/>
        <w:rPr>
          <w:rFonts w:ascii="Verdana" w:eastAsia="Arial" w:hAnsi="Verdana" w:cs="Arial"/>
          <w:bCs/>
          <w:iCs/>
          <w:color w:val="000000"/>
          <w:sz w:val="20"/>
          <w:szCs w:val="20"/>
          <w:lang w:val="es-MX" w:eastAsia="es-ES" w:bidi="es-ES"/>
        </w:rPr>
      </w:pPr>
      <w:r w:rsidRPr="00B31C7B">
        <w:rPr>
          <w:rFonts w:ascii="Verdana" w:eastAsia="Arial" w:hAnsi="Verdana" w:cs="Arial"/>
          <w:bCs/>
          <w:iCs/>
          <w:color w:val="000000"/>
          <w:sz w:val="20"/>
          <w:szCs w:val="20"/>
          <w:lang w:val="es-MX" w:eastAsia="es-ES" w:bidi="es-ES"/>
        </w:rPr>
        <w:t>-La existencia de una necesidad de servicio público que justifique la modificación, hasta el punto de conjurar la nueva necesidad. La acreditación de estas circunstancias estará a cargo de la entidad estatal, justificada en los estudios previos y en la debida motivación del contrato modificatorio.</w:t>
      </w:r>
    </w:p>
    <w:p w14:paraId="546B334A" w14:textId="77777777" w:rsidR="008255F4" w:rsidRDefault="008255F4" w:rsidP="008255F4">
      <w:pPr>
        <w:widowControl w:val="0"/>
        <w:autoSpaceDE w:val="0"/>
        <w:autoSpaceDN w:val="0"/>
        <w:spacing w:after="0" w:line="240" w:lineRule="auto"/>
        <w:ind w:left="709" w:right="709"/>
        <w:jc w:val="both"/>
        <w:rPr>
          <w:rFonts w:ascii="Verdana" w:eastAsia="Arial" w:hAnsi="Verdana" w:cs="Arial"/>
          <w:bCs/>
          <w:iCs/>
          <w:color w:val="000000"/>
          <w:sz w:val="20"/>
          <w:szCs w:val="20"/>
          <w:lang w:val="es-MX" w:eastAsia="es-ES" w:bidi="es-ES"/>
        </w:rPr>
      </w:pPr>
      <w:r w:rsidRPr="00B31C7B">
        <w:rPr>
          <w:rFonts w:ascii="Verdana" w:eastAsia="Arial" w:hAnsi="Verdana" w:cs="Arial"/>
          <w:bCs/>
          <w:iCs/>
          <w:color w:val="000000"/>
          <w:sz w:val="20"/>
          <w:szCs w:val="20"/>
          <w:lang w:val="es-MX" w:eastAsia="es-ES" w:bidi="es-ES"/>
        </w:rPr>
        <w:t xml:space="preserve">-El cumplimiento del límite cuantitativo consagrado en la ley para los contratos adicionales. </w:t>
      </w:r>
    </w:p>
    <w:p w14:paraId="2F9B8F8D" w14:textId="77777777" w:rsidR="008255F4" w:rsidRDefault="008255F4" w:rsidP="008255F4">
      <w:pPr>
        <w:widowControl w:val="0"/>
        <w:autoSpaceDE w:val="0"/>
        <w:autoSpaceDN w:val="0"/>
        <w:spacing w:after="120" w:line="240" w:lineRule="auto"/>
        <w:ind w:left="709" w:right="709"/>
        <w:jc w:val="both"/>
        <w:rPr>
          <w:rFonts w:ascii="Verdana" w:eastAsia="Arial" w:hAnsi="Verdana" w:cs="Arial"/>
          <w:bCs/>
          <w:iCs/>
          <w:color w:val="000000"/>
          <w:sz w:val="20"/>
          <w:szCs w:val="20"/>
          <w:lang w:val="es-MX" w:eastAsia="es-ES" w:bidi="es-ES"/>
        </w:rPr>
      </w:pPr>
      <w:r>
        <w:rPr>
          <w:rFonts w:ascii="Verdana" w:eastAsia="Arial" w:hAnsi="Verdana" w:cs="Arial"/>
          <w:bCs/>
          <w:iCs/>
          <w:color w:val="000000"/>
          <w:sz w:val="20"/>
          <w:szCs w:val="20"/>
          <w:lang w:val="es-MX" w:eastAsia="es-ES" w:bidi="es-ES"/>
        </w:rPr>
        <w:t>[…]</w:t>
      </w:r>
    </w:p>
    <w:p w14:paraId="7DDEDCC0" w14:textId="77777777" w:rsidR="008255F4" w:rsidRDefault="008255F4" w:rsidP="008255F4">
      <w:pPr>
        <w:widowControl w:val="0"/>
        <w:autoSpaceDE w:val="0"/>
        <w:autoSpaceDN w:val="0"/>
        <w:spacing w:after="0" w:line="240" w:lineRule="auto"/>
        <w:ind w:left="709" w:right="709"/>
        <w:jc w:val="both"/>
        <w:rPr>
          <w:rFonts w:ascii="Verdana" w:eastAsia="Arial" w:hAnsi="Verdana" w:cs="Arial"/>
          <w:bCs/>
          <w:iCs/>
          <w:color w:val="000000"/>
          <w:sz w:val="20"/>
          <w:szCs w:val="20"/>
          <w:lang w:val="es-ES_tradnl" w:eastAsia="es-ES" w:bidi="es-ES"/>
        </w:rPr>
      </w:pPr>
      <w:r w:rsidRPr="00B31C7B">
        <w:rPr>
          <w:rFonts w:ascii="Verdana" w:eastAsia="Arial" w:hAnsi="Verdana" w:cs="Arial"/>
          <w:bCs/>
          <w:iCs/>
          <w:color w:val="000000"/>
          <w:sz w:val="20"/>
          <w:szCs w:val="20"/>
          <w:lang w:val="es-MX" w:eastAsia="es-ES" w:bidi="es-ES"/>
        </w:rPr>
        <w:t>-Debe tratarse de prestaciones necesarias e inseparables técnica o económicamente del contrato inicial, que no permitan su uso o aprovechamiento independiente. La modificación de las condiciones de la prestación o del contrato debe presuponer que no pueda ser materia de un nuevo proceso de selección, o de su contratación con un tercero, en razón a que, por su naturaleza, resulte inseparable técnica o económicamente de la prestación pactada en el contrato inicial</w:t>
      </w:r>
      <w:r>
        <w:rPr>
          <w:rFonts w:ascii="Verdana" w:eastAsia="Arial" w:hAnsi="Verdana" w:cs="Arial"/>
          <w:bCs/>
          <w:iCs/>
          <w:color w:val="000000"/>
          <w:sz w:val="20"/>
          <w:szCs w:val="20"/>
          <w:lang w:val="es-MX" w:eastAsia="es-ES" w:bidi="es-ES"/>
        </w:rPr>
        <w:t>”</w:t>
      </w:r>
      <w:r w:rsidRPr="00B31C7B">
        <w:rPr>
          <w:rFonts w:ascii="Verdana" w:eastAsia="Arial" w:hAnsi="Verdana" w:cs="Arial"/>
          <w:bCs/>
          <w:iCs/>
          <w:color w:val="000000"/>
          <w:sz w:val="20"/>
          <w:szCs w:val="20"/>
          <w:lang w:val="es-ES_tradnl" w:eastAsia="es-ES" w:bidi="es-ES"/>
        </w:rPr>
        <w:t>.</w:t>
      </w:r>
    </w:p>
    <w:p w14:paraId="69C7AB5B" w14:textId="77777777" w:rsidR="008255F4" w:rsidRDefault="008255F4" w:rsidP="008255F4">
      <w:pPr>
        <w:widowControl w:val="0"/>
        <w:autoSpaceDE w:val="0"/>
        <w:autoSpaceDN w:val="0"/>
        <w:spacing w:after="0" w:line="276" w:lineRule="auto"/>
        <w:ind w:right="49" w:firstLine="708"/>
        <w:jc w:val="both"/>
        <w:rPr>
          <w:rFonts w:ascii="Verdana" w:eastAsia="Arial" w:hAnsi="Verdana" w:cs="Arial"/>
          <w:lang w:val="es-MX" w:eastAsia="es-ES" w:bidi="es-ES"/>
        </w:rPr>
      </w:pPr>
    </w:p>
    <w:p w14:paraId="2C05BAC5" w14:textId="77777777" w:rsidR="008255F4" w:rsidRPr="00AD53BB" w:rsidRDefault="008255F4" w:rsidP="008255F4">
      <w:pPr>
        <w:widowControl w:val="0"/>
        <w:autoSpaceDE w:val="0"/>
        <w:autoSpaceDN w:val="0"/>
        <w:spacing w:after="120" w:line="276" w:lineRule="auto"/>
        <w:ind w:right="51" w:firstLine="709"/>
        <w:jc w:val="both"/>
        <w:rPr>
          <w:rFonts w:ascii="Verdana" w:eastAsia="Arial" w:hAnsi="Verdana" w:cs="Arial"/>
          <w:lang w:val="es-MX" w:eastAsia="es-ES" w:bidi="es-ES"/>
        </w:rPr>
      </w:pPr>
      <w:r w:rsidRPr="00AD53BB">
        <w:rPr>
          <w:rFonts w:ascii="Verdana" w:eastAsia="Arial" w:hAnsi="Verdana" w:cs="Arial"/>
          <w:lang w:val="es-MX" w:eastAsia="es-ES" w:bidi="es-ES"/>
        </w:rPr>
        <w:t>En efecto, aunque no existe un desarrollo legal o reglamentario sobre las reglas aplicables a la modificación del contrato estatal, los aportes de la jurisprudencia y de la doctrina han permitido estructurar los límites y requisitos de orden temporal, formal, material y axiológico para la modificación del contrato estatal. Estos límites deben ser respetados por la entidad contratante para preservar los principios de origen legal, como el de planeación, selección objetiva, libre concurrencia, transparencia, igualdad, entre otros</w:t>
      </w:r>
      <w:r w:rsidRPr="00AD53BB">
        <w:rPr>
          <w:rFonts w:ascii="Verdana" w:eastAsia="Arial" w:hAnsi="Verdana" w:cs="Arial"/>
          <w:vertAlign w:val="superscript"/>
          <w:lang w:val="es-MX" w:eastAsia="es-ES" w:bidi="es-ES"/>
        </w:rPr>
        <w:footnoteReference w:id="17"/>
      </w:r>
      <w:r w:rsidRPr="00AD53BB">
        <w:rPr>
          <w:rFonts w:ascii="Verdana" w:eastAsia="Arial" w:hAnsi="Verdana" w:cs="Arial"/>
          <w:lang w:val="es-MX" w:eastAsia="es-ES" w:bidi="es-ES"/>
        </w:rPr>
        <w:t xml:space="preserve">. </w:t>
      </w:r>
    </w:p>
    <w:p w14:paraId="72DAE2F1" w14:textId="77777777" w:rsidR="008255F4" w:rsidRDefault="008255F4" w:rsidP="008255F4">
      <w:pPr>
        <w:widowControl w:val="0"/>
        <w:autoSpaceDE w:val="0"/>
        <w:autoSpaceDN w:val="0"/>
        <w:spacing w:after="120" w:line="276" w:lineRule="auto"/>
        <w:ind w:firstLine="709"/>
        <w:jc w:val="both"/>
        <w:rPr>
          <w:rFonts w:ascii="Verdana" w:eastAsia="Calibri" w:hAnsi="Verdana" w:cs="Arial"/>
        </w:rPr>
      </w:pPr>
      <w:r w:rsidRPr="00B31C7B">
        <w:rPr>
          <w:rFonts w:ascii="Verdana" w:hAnsi="Verdana"/>
        </w:rPr>
        <w:t xml:space="preserve">Dentro de los límites de </w:t>
      </w:r>
      <w:r w:rsidRPr="00B31C7B">
        <w:rPr>
          <w:rFonts w:ascii="Verdana" w:hAnsi="Verdana"/>
          <w:i/>
        </w:rPr>
        <w:t xml:space="preserve">orden temporal </w:t>
      </w:r>
      <w:r w:rsidRPr="00B31C7B">
        <w:rPr>
          <w:rFonts w:ascii="Verdana" w:hAnsi="Verdana"/>
        </w:rPr>
        <w:t xml:space="preserve">están comprendidos: </w:t>
      </w:r>
      <w:r w:rsidRPr="00B31C7B">
        <w:rPr>
          <w:rFonts w:ascii="Verdana" w:eastAsia="Arial" w:hAnsi="Verdana" w:cs="Arial"/>
          <w:lang w:val="es-MX" w:eastAsia="es-ES" w:bidi="es-ES"/>
        </w:rPr>
        <w:t>i) la vigencia del contrato, pues no podría modificarse un contrato cuyo plazo ha culminado y; ii) la prohibición de consagrar prórrogas automáticas, sucesivas o indefinidas, en tanto resultan contrarias al derecho esencial de la libertad de competencia.</w:t>
      </w:r>
      <w:r w:rsidRPr="00B31C7B">
        <w:rPr>
          <w:rFonts w:ascii="Verdana" w:eastAsia="Calibri" w:hAnsi="Verdana" w:cs="Arial"/>
        </w:rPr>
        <w:t xml:space="preserve"> </w:t>
      </w:r>
    </w:p>
    <w:p w14:paraId="52412D6A" w14:textId="77777777" w:rsidR="008255F4" w:rsidRDefault="008255F4" w:rsidP="008255F4">
      <w:pPr>
        <w:widowControl w:val="0"/>
        <w:autoSpaceDE w:val="0"/>
        <w:autoSpaceDN w:val="0"/>
        <w:spacing w:after="0" w:line="276" w:lineRule="auto"/>
        <w:ind w:firstLine="709"/>
        <w:jc w:val="both"/>
        <w:rPr>
          <w:rFonts w:ascii="Verdana" w:eastAsia="Calibri" w:hAnsi="Verdana" w:cs="Arial"/>
        </w:rPr>
      </w:pPr>
      <w:r w:rsidRPr="00B31C7B">
        <w:rPr>
          <w:rFonts w:ascii="Verdana" w:eastAsia="Calibri" w:hAnsi="Verdana" w:cs="Arial"/>
        </w:rPr>
        <w:t xml:space="preserve">En torno a los límites de </w:t>
      </w:r>
      <w:r w:rsidRPr="00B31C7B">
        <w:rPr>
          <w:rFonts w:ascii="Verdana" w:eastAsia="Calibri" w:hAnsi="Verdana" w:cs="Arial"/>
          <w:i/>
        </w:rPr>
        <w:t>orden formal</w:t>
      </w:r>
      <w:r w:rsidRPr="00B31C7B">
        <w:rPr>
          <w:rFonts w:ascii="Verdana" w:eastAsia="Calibri" w:hAnsi="Verdana" w:cs="Arial"/>
        </w:rPr>
        <w:t xml:space="preserve">, debe señalarse que, por un lado, es necesario que, la </w:t>
      </w:r>
      <w:r w:rsidRPr="00B31C7B">
        <w:rPr>
          <w:rFonts w:ascii="Verdana" w:eastAsia="Arial" w:hAnsi="Verdana" w:cs="Arial"/>
          <w:lang w:val="es-MX" w:eastAsia="es-ES" w:bidi="es-ES"/>
        </w:rPr>
        <w:t xml:space="preserve">modificación de los contratos conste por escrito, dado el carácter solemne del contrato estatal y que sea suscrito por el jefe o </w:t>
      </w:r>
      <w:r w:rsidRPr="00B31C7B">
        <w:rPr>
          <w:rFonts w:ascii="Verdana" w:eastAsia="Arial" w:hAnsi="Verdana" w:cs="Arial"/>
          <w:lang w:val="es-MX" w:eastAsia="es-ES" w:bidi="es-ES"/>
        </w:rPr>
        <w:lastRenderedPageBreak/>
        <w:t xml:space="preserve">representante legal o su delegado, de conformidad con los artículos 11 y 12 de la Ley 80 de 1993, así como el deber de la existencia de las disponibilidades presupuestales para el cumplimiento de las obligaciones. Por otro lado, </w:t>
      </w:r>
      <w:r w:rsidRPr="00B31C7B">
        <w:rPr>
          <w:rFonts w:ascii="Verdana" w:eastAsia="Calibri" w:hAnsi="Verdana" w:cs="Arial"/>
        </w:rPr>
        <w:t>la entidad debe motivar y justificar la modificación. Al respecto el Consejo de Estado ha señalado:</w:t>
      </w:r>
    </w:p>
    <w:p w14:paraId="29780AB5" w14:textId="77777777" w:rsidR="008255F4" w:rsidRPr="000E3F53" w:rsidRDefault="008255F4" w:rsidP="008255F4">
      <w:pPr>
        <w:widowControl w:val="0"/>
        <w:autoSpaceDE w:val="0"/>
        <w:autoSpaceDN w:val="0"/>
        <w:spacing w:after="0" w:line="276" w:lineRule="auto"/>
        <w:ind w:firstLine="709"/>
        <w:jc w:val="both"/>
        <w:rPr>
          <w:rFonts w:ascii="Verdana" w:eastAsia="Calibri" w:hAnsi="Verdana" w:cs="Arial"/>
        </w:rPr>
      </w:pPr>
    </w:p>
    <w:p w14:paraId="7D3F9B5D" w14:textId="77777777" w:rsidR="008255F4" w:rsidRPr="00B31C7B" w:rsidRDefault="008255F4" w:rsidP="008255F4">
      <w:pPr>
        <w:spacing w:after="120" w:line="240" w:lineRule="auto"/>
        <w:ind w:left="709" w:right="709"/>
        <w:jc w:val="both"/>
        <w:rPr>
          <w:rFonts w:ascii="Verdana" w:hAnsi="Verdana"/>
          <w:sz w:val="20"/>
          <w:szCs w:val="20"/>
        </w:rPr>
      </w:pPr>
      <w:r w:rsidRPr="00B31C7B">
        <w:rPr>
          <w:rFonts w:ascii="Verdana" w:hAnsi="Verdana"/>
          <w:sz w:val="20"/>
          <w:szCs w:val="20"/>
        </w:rPr>
        <w:t xml:space="preserve">“El expediente de contratación y la actuación administrativa inicial que comprende los estudios previos, el análisis de riesgos y el presupuesto oficial o estimativo de costos necesario para la modificación del contrato, deberán dar cuenta de las razones de interés público que hacen necesario afectar lo inicialmente pactado. Como regla general, las mismas razones del deber de planeación para el contrato inicial se imponen como requisito previo del contrato modificatorio. </w:t>
      </w:r>
    </w:p>
    <w:p w14:paraId="0C384848" w14:textId="77777777" w:rsidR="008255F4" w:rsidRDefault="008255F4" w:rsidP="008255F4">
      <w:pPr>
        <w:spacing w:after="120" w:line="240" w:lineRule="auto"/>
        <w:ind w:left="709" w:right="709"/>
        <w:jc w:val="both"/>
        <w:rPr>
          <w:rFonts w:ascii="Verdana" w:hAnsi="Verdana"/>
          <w:sz w:val="20"/>
          <w:szCs w:val="20"/>
        </w:rPr>
      </w:pPr>
      <w:r w:rsidRPr="00B31C7B">
        <w:rPr>
          <w:rFonts w:ascii="Verdana" w:hAnsi="Verdana"/>
          <w:sz w:val="20"/>
          <w:szCs w:val="20"/>
        </w:rPr>
        <w:t>La motivación del contrato modificatorio resulta un elemento esencial que permita determinar su juridicidad, la justificación de su necesidad, su racionalidad y la proporcionalidad de su contenido, en especial cuando se alteran los aspectos técnicos y financieros iniciales. Se trata de un requisito indispensable para el control de legalidad del contrato o del acto de modificación.</w:t>
      </w:r>
    </w:p>
    <w:p w14:paraId="6639B19E" w14:textId="77777777" w:rsidR="008255F4" w:rsidRPr="00B31C7B" w:rsidRDefault="008255F4" w:rsidP="008255F4">
      <w:pPr>
        <w:spacing w:after="0" w:line="240" w:lineRule="auto"/>
        <w:ind w:left="709" w:right="709"/>
        <w:jc w:val="both"/>
        <w:rPr>
          <w:rFonts w:ascii="Verdana" w:hAnsi="Verdana"/>
          <w:sz w:val="20"/>
          <w:szCs w:val="20"/>
        </w:rPr>
      </w:pPr>
      <w:r w:rsidRPr="00B31C7B">
        <w:rPr>
          <w:rFonts w:ascii="Verdana" w:hAnsi="Verdana"/>
          <w:sz w:val="20"/>
          <w:szCs w:val="20"/>
        </w:rPr>
        <w:t>La modificación no es una facultad discrecional, cuyo ejercicio penda de criterios de mera conveniencia o de utilidad para la entidad estatal o para su contratista, ni puede servir como instrumento ilegal para mejorar o hacer más favorables las condiciones económicas del adjudicatario. A diferencia del contrato privado, solo procederá por necesidades de interés general que sustenten y justifiquen la legalidad de la modificación”</w:t>
      </w:r>
      <w:r w:rsidRPr="00B31C7B">
        <w:rPr>
          <w:rFonts w:ascii="Verdana" w:hAnsi="Verdana"/>
          <w:sz w:val="20"/>
          <w:szCs w:val="20"/>
          <w:vertAlign w:val="superscript"/>
        </w:rPr>
        <w:footnoteReference w:id="18"/>
      </w:r>
      <w:r w:rsidRPr="00B31C7B">
        <w:rPr>
          <w:rFonts w:ascii="Verdana" w:hAnsi="Verdana"/>
          <w:sz w:val="20"/>
          <w:szCs w:val="20"/>
        </w:rPr>
        <w:t>.</w:t>
      </w:r>
    </w:p>
    <w:p w14:paraId="4E5FF4D5" w14:textId="77777777" w:rsidR="008255F4" w:rsidRPr="00B31C7B" w:rsidRDefault="008255F4" w:rsidP="008255F4">
      <w:pPr>
        <w:widowControl w:val="0"/>
        <w:autoSpaceDE w:val="0"/>
        <w:autoSpaceDN w:val="0"/>
        <w:spacing w:after="0" w:line="276" w:lineRule="auto"/>
        <w:jc w:val="both"/>
        <w:rPr>
          <w:rFonts w:ascii="Verdana" w:eastAsia="Calibri" w:hAnsi="Verdana" w:cs="Arial"/>
        </w:rPr>
      </w:pPr>
    </w:p>
    <w:p w14:paraId="52406193" w14:textId="77777777" w:rsidR="008255F4" w:rsidRDefault="008255F4" w:rsidP="008255F4">
      <w:pPr>
        <w:widowControl w:val="0"/>
        <w:autoSpaceDE w:val="0"/>
        <w:autoSpaceDN w:val="0"/>
        <w:spacing w:after="120" w:line="276" w:lineRule="auto"/>
        <w:ind w:firstLine="709"/>
        <w:jc w:val="both"/>
        <w:rPr>
          <w:rFonts w:ascii="Verdana" w:eastAsia="Arial" w:hAnsi="Verdana" w:cs="Arial"/>
          <w:i/>
          <w:lang w:val="es-MX" w:eastAsia="es-ES" w:bidi="es-ES"/>
        </w:rPr>
      </w:pPr>
      <w:r w:rsidRPr="00B31C7B">
        <w:rPr>
          <w:rFonts w:ascii="Verdana" w:eastAsia="Calibri" w:hAnsi="Verdana" w:cs="Arial"/>
        </w:rPr>
        <w:t xml:space="preserve">Los </w:t>
      </w:r>
      <w:r w:rsidRPr="00B31C7B">
        <w:rPr>
          <w:rFonts w:ascii="Verdana" w:eastAsia="Calibri" w:hAnsi="Verdana" w:cs="Arial"/>
          <w:i/>
        </w:rPr>
        <w:t>límites materiales</w:t>
      </w:r>
      <w:r w:rsidRPr="00B31C7B">
        <w:rPr>
          <w:rFonts w:ascii="Verdana" w:eastAsia="Calibri" w:hAnsi="Verdana" w:cs="Arial"/>
        </w:rPr>
        <w:t xml:space="preserve"> </w:t>
      </w:r>
      <w:r w:rsidRPr="00B31C7B">
        <w:rPr>
          <w:rFonts w:ascii="Verdana" w:eastAsia="Arial" w:hAnsi="Verdana" w:cs="Arial"/>
          <w:lang w:val="es-MX" w:eastAsia="es-ES" w:bidi="es-ES"/>
        </w:rPr>
        <w:t xml:space="preserve">corresponden a la prohibición de modificar las condiciones sustanciales del contrato, que se presentará en los casos en que se incluyan elementos que, </w:t>
      </w:r>
      <w:r w:rsidRPr="00B31C7B">
        <w:rPr>
          <w:rFonts w:ascii="Verdana" w:eastAsia="Arial" w:hAnsi="Verdana" w:cs="Arial"/>
          <w:i/>
          <w:lang w:val="es-MX" w:eastAsia="es-ES" w:bidi="es-ES"/>
        </w:rPr>
        <w:t>“habiendo figurado en el procedimiento inicial, hubiera permitido la participación de otros interesados aparte de los inicialmente admitidos, o seleccionar una oferta distinta de la inicialmente seleccionada”</w:t>
      </w:r>
      <w:r w:rsidRPr="00B31C7B">
        <w:rPr>
          <w:rFonts w:ascii="Verdana" w:eastAsia="Arial" w:hAnsi="Verdana" w:cs="Arial"/>
          <w:i/>
          <w:vertAlign w:val="superscript"/>
          <w:lang w:val="es-MX" w:eastAsia="es-ES" w:bidi="es-ES"/>
        </w:rPr>
        <w:footnoteReference w:id="19"/>
      </w:r>
      <w:r w:rsidRPr="00B31C7B">
        <w:rPr>
          <w:rFonts w:ascii="Verdana" w:eastAsia="Arial" w:hAnsi="Verdana" w:cs="Arial"/>
          <w:i/>
          <w:lang w:val="es-MX" w:eastAsia="es-ES" w:bidi="es-ES"/>
        </w:rPr>
        <w:t xml:space="preserve">. </w:t>
      </w:r>
    </w:p>
    <w:p w14:paraId="0AEC2836" w14:textId="77777777" w:rsidR="008255F4" w:rsidRPr="00B31C7B" w:rsidRDefault="008255F4" w:rsidP="008255F4">
      <w:pPr>
        <w:widowControl w:val="0"/>
        <w:autoSpaceDE w:val="0"/>
        <w:autoSpaceDN w:val="0"/>
        <w:spacing w:after="120" w:line="276" w:lineRule="auto"/>
        <w:ind w:firstLine="709"/>
        <w:jc w:val="both"/>
        <w:rPr>
          <w:rFonts w:ascii="Verdana" w:eastAsia="Arial" w:hAnsi="Verdana" w:cs="Arial"/>
          <w:i/>
          <w:lang w:val="es-MX" w:eastAsia="es-ES" w:bidi="es-ES"/>
        </w:rPr>
      </w:pPr>
      <w:r w:rsidRPr="00B31C7B">
        <w:rPr>
          <w:rFonts w:ascii="Verdana" w:eastAsia="Arial" w:hAnsi="Verdana" w:cs="Arial"/>
          <w:lang w:val="es-MX" w:eastAsia="es-ES" w:bidi="es-ES"/>
        </w:rPr>
        <w:t xml:space="preserve">Finalmente, se encuentran los </w:t>
      </w:r>
      <w:r w:rsidRPr="00B31C7B">
        <w:rPr>
          <w:rFonts w:ascii="Verdana" w:eastAsia="Arial" w:hAnsi="Verdana" w:cs="Arial"/>
          <w:i/>
          <w:lang w:val="es-MX" w:eastAsia="es-ES" w:bidi="es-ES"/>
        </w:rPr>
        <w:t>límites axiológicos</w:t>
      </w:r>
      <w:r w:rsidRPr="00B31C7B">
        <w:rPr>
          <w:rFonts w:ascii="Verdana" w:eastAsia="Arial" w:hAnsi="Verdana" w:cs="Arial"/>
          <w:lang w:val="es-MX" w:eastAsia="es-ES" w:bidi="es-ES"/>
        </w:rPr>
        <w:t xml:space="preserve">, los cuales se fundan en la necesidad de preservar los principios de igualdad, transparencia, libertad de concurrencia, selección objetiva y </w:t>
      </w:r>
      <w:r w:rsidRPr="00BF5A89">
        <w:rPr>
          <w:rFonts w:ascii="Verdana" w:eastAsia="Arial" w:hAnsi="Verdana" w:cs="Arial"/>
          <w:lang w:val="es-MX" w:eastAsia="es-ES" w:bidi="es-ES"/>
        </w:rPr>
        <w:t>planeación</w:t>
      </w:r>
      <w:r w:rsidRPr="00D206D3">
        <w:rPr>
          <w:rFonts w:ascii="Verdana" w:eastAsia="Arial" w:hAnsi="Verdana" w:cs="Arial"/>
          <w:i/>
          <w:iCs/>
          <w:lang w:val="es-MX" w:eastAsia="es-ES" w:bidi="es-ES"/>
        </w:rPr>
        <w:t>.</w:t>
      </w:r>
      <w:r w:rsidRPr="00B31C7B">
        <w:rPr>
          <w:rFonts w:ascii="Verdana" w:eastAsia="Arial" w:hAnsi="Verdana" w:cs="Arial"/>
          <w:lang w:val="es-MX" w:eastAsia="es-ES" w:bidi="es-ES"/>
        </w:rPr>
        <w:t xml:space="preserve"> </w:t>
      </w:r>
      <w:r w:rsidRPr="00B31C7B">
        <w:rPr>
          <w:rFonts w:ascii="Verdana" w:eastAsia="Calibri" w:hAnsi="Verdana" w:cs="Arial"/>
          <w:lang w:eastAsia="es-ES_tradnl"/>
        </w:rPr>
        <w:t xml:space="preserve">Lo anterior, con la finalidad de realizar la escogencia diligente de la mejor oferta, para beneficiar los intereses y fines públicos inmersos en la contratación de las entidades estatales. A modo </w:t>
      </w:r>
      <w:r w:rsidRPr="00B31C7B">
        <w:rPr>
          <w:rFonts w:ascii="Verdana" w:eastAsia="Calibri" w:hAnsi="Verdana" w:cs="Arial"/>
          <w:lang w:eastAsia="es-ES_tradnl"/>
        </w:rPr>
        <w:lastRenderedPageBreak/>
        <w:t>de ejemplo, l</w:t>
      </w:r>
      <w:r w:rsidRPr="00B31C7B">
        <w:rPr>
          <w:rFonts w:ascii="Verdana" w:eastAsia="Calibri" w:hAnsi="Verdana" w:cs="Arial"/>
        </w:rPr>
        <w:t xml:space="preserve">a concepción de mayores cantidades de obra, como expresión del contrato original sin valor determinado, aunque determinable, no puede dar lugar a una ampliación ilimitada de estos contratos, pues no se encuentran exentos de la aplicación de los principios de la contratación estatal. </w:t>
      </w:r>
    </w:p>
    <w:p w14:paraId="20CF50FF" w14:textId="77777777" w:rsidR="008255F4" w:rsidRPr="00AD53BB" w:rsidRDefault="008255F4" w:rsidP="008255F4">
      <w:pPr>
        <w:widowControl w:val="0"/>
        <w:autoSpaceDE w:val="0"/>
        <w:autoSpaceDN w:val="0"/>
        <w:spacing w:after="120" w:line="276" w:lineRule="auto"/>
        <w:ind w:firstLine="709"/>
        <w:jc w:val="both"/>
        <w:rPr>
          <w:rFonts w:ascii="Verdana" w:eastAsia="Calibri" w:hAnsi="Verdana" w:cs="Arial"/>
          <w:lang w:val="es-MX" w:eastAsia="es-ES_tradnl"/>
        </w:rPr>
      </w:pPr>
      <w:r w:rsidRPr="00B31C7B">
        <w:rPr>
          <w:rFonts w:ascii="Verdana" w:eastAsia="Arial" w:hAnsi="Verdana" w:cs="Arial"/>
          <w:lang w:val="es-MX" w:eastAsia="es-ES" w:bidi="es-ES"/>
        </w:rPr>
        <w:t>Este límite encuentra sustento en el hecho de que, para celebrar contratos estatales las entidades públicas eligen, dentro de un “régimen de concurrencia y de igualdad, las mejores condiciones de costo, calidad e idoneidad de la prestación requerida</w:t>
      </w:r>
      <w:r w:rsidRPr="00B31C7B">
        <w:rPr>
          <w:rFonts w:ascii="Verdana" w:eastAsia="Arial" w:hAnsi="Verdana" w:cs="Arial"/>
          <w:lang w:val="es-ES_tradnl" w:eastAsia="es-ES" w:bidi="es-ES"/>
        </w:rPr>
        <w:t>”</w:t>
      </w:r>
      <w:r w:rsidRPr="00B31C7B">
        <w:rPr>
          <w:rFonts w:ascii="Verdana" w:eastAsia="Arial" w:hAnsi="Verdana" w:cs="Arial"/>
          <w:lang w:val="es-MX" w:eastAsia="es-ES" w:bidi="es-ES"/>
        </w:rPr>
        <w:t>. Esto supone que la selección objetiva de la oferta más favorable se dirige a salvaguardar el interés público y, por lo tanto, celebrado el contrato en esas condiciones, su eventual modificación debe asegurar que lo adjudicado, y posteriormente alterado, consulte la mejor opción para el servicio público.</w:t>
      </w:r>
      <w:r w:rsidRPr="00B31C7B">
        <w:rPr>
          <w:rFonts w:ascii="Verdana" w:eastAsia="Calibri" w:hAnsi="Verdana" w:cs="Arial"/>
          <w:lang w:val="es-MX" w:eastAsia="es-ES_tradnl"/>
        </w:rPr>
        <w:t xml:space="preserve"> </w:t>
      </w:r>
    </w:p>
    <w:p w14:paraId="4C631503" w14:textId="77777777" w:rsidR="008255F4" w:rsidRPr="00B31C7B" w:rsidRDefault="008255F4" w:rsidP="008255F4">
      <w:pPr>
        <w:widowControl w:val="0"/>
        <w:autoSpaceDE w:val="0"/>
        <w:autoSpaceDN w:val="0"/>
        <w:spacing w:after="120" w:line="276" w:lineRule="auto"/>
        <w:ind w:firstLine="709"/>
        <w:jc w:val="both"/>
        <w:rPr>
          <w:rFonts w:ascii="Verdana" w:eastAsia="Arial" w:hAnsi="Verdana" w:cs="Arial"/>
          <w:color w:val="000000"/>
          <w:lang w:val="es-ES" w:eastAsia="es-ES" w:bidi="es-ES"/>
        </w:rPr>
      </w:pPr>
      <w:r w:rsidRPr="00B31C7B">
        <w:rPr>
          <w:rFonts w:ascii="Verdana" w:eastAsia="Arial" w:hAnsi="Verdana" w:cs="Arial"/>
          <w:color w:val="000000"/>
          <w:lang w:val="es-ES" w:eastAsia="es-ES" w:bidi="es-ES"/>
        </w:rPr>
        <w:t xml:space="preserve">Es claro, entonces, que </w:t>
      </w:r>
      <w:r>
        <w:rPr>
          <w:rFonts w:ascii="Verdana" w:eastAsia="Arial" w:hAnsi="Verdana" w:cs="Arial"/>
          <w:color w:val="000000"/>
          <w:lang w:val="es-ES" w:eastAsia="es-ES" w:bidi="es-ES"/>
        </w:rPr>
        <w:t xml:space="preserve">según el marco jurídico </w:t>
      </w:r>
      <w:r w:rsidRPr="00B31C7B">
        <w:rPr>
          <w:rFonts w:ascii="Verdana" w:eastAsia="Arial" w:hAnsi="Verdana" w:cs="Arial"/>
          <w:color w:val="000000"/>
          <w:lang w:val="es-ES" w:eastAsia="es-ES" w:bidi="es-ES"/>
        </w:rPr>
        <w:t>y</w:t>
      </w:r>
      <w:r>
        <w:rPr>
          <w:rFonts w:ascii="Verdana" w:eastAsia="Arial" w:hAnsi="Verdana" w:cs="Arial"/>
          <w:color w:val="000000"/>
          <w:lang w:val="es-ES" w:eastAsia="es-ES" w:bidi="es-ES"/>
        </w:rPr>
        <w:t xml:space="preserve"> los parámetros fijados por el </w:t>
      </w:r>
      <w:r w:rsidRPr="00B31C7B">
        <w:rPr>
          <w:rFonts w:ascii="Verdana" w:eastAsia="Arial" w:hAnsi="Verdana" w:cs="Arial"/>
          <w:color w:val="000000"/>
          <w:lang w:val="es-ES" w:eastAsia="es-ES" w:bidi="es-ES"/>
        </w:rPr>
        <w:t>Consejo de Estado y la Corte Constitucional, l</w:t>
      </w:r>
      <w:r>
        <w:rPr>
          <w:rFonts w:ascii="Verdana" w:eastAsia="Arial" w:hAnsi="Verdana" w:cs="Arial"/>
          <w:color w:val="000000"/>
          <w:lang w:val="es-ES" w:eastAsia="es-ES" w:bidi="es-ES"/>
        </w:rPr>
        <w:t>os</w:t>
      </w:r>
      <w:r w:rsidRPr="00B31C7B">
        <w:rPr>
          <w:rFonts w:ascii="Verdana" w:eastAsia="Arial" w:hAnsi="Verdana" w:cs="Arial"/>
          <w:color w:val="000000"/>
          <w:lang w:val="es-ES" w:eastAsia="es-ES" w:bidi="es-ES"/>
        </w:rPr>
        <w:t xml:space="preserve"> cual</w:t>
      </w:r>
      <w:r>
        <w:rPr>
          <w:rFonts w:ascii="Verdana" w:eastAsia="Arial" w:hAnsi="Verdana" w:cs="Arial"/>
          <w:color w:val="000000"/>
          <w:lang w:val="es-ES" w:eastAsia="es-ES" w:bidi="es-ES"/>
        </w:rPr>
        <w:t>es</w:t>
      </w:r>
      <w:r w:rsidRPr="00B31C7B">
        <w:rPr>
          <w:rFonts w:ascii="Verdana" w:eastAsia="Arial" w:hAnsi="Verdana" w:cs="Arial"/>
          <w:color w:val="000000"/>
          <w:lang w:val="es-ES" w:eastAsia="es-ES" w:bidi="es-ES"/>
        </w:rPr>
        <w:t xml:space="preserve"> </w:t>
      </w:r>
      <w:r>
        <w:rPr>
          <w:rFonts w:ascii="Verdana" w:eastAsia="Arial" w:hAnsi="Verdana" w:cs="Arial"/>
          <w:color w:val="000000"/>
          <w:lang w:val="es-ES" w:eastAsia="es-ES" w:bidi="es-ES"/>
        </w:rPr>
        <w:t xml:space="preserve">comparte </w:t>
      </w:r>
      <w:r w:rsidRPr="00B31C7B">
        <w:rPr>
          <w:rFonts w:ascii="Verdana" w:eastAsia="Arial" w:hAnsi="Verdana" w:cs="Arial"/>
          <w:color w:val="000000"/>
          <w:lang w:val="es-ES" w:eastAsia="es-ES" w:bidi="es-ES"/>
        </w:rPr>
        <w:t xml:space="preserve">esta Agencia, es viable jurídicamente modificar los contratos estatales, pero esta medida tienen </w:t>
      </w:r>
      <w:r w:rsidRPr="002C3F7C">
        <w:rPr>
          <w:rFonts w:ascii="Verdana" w:eastAsia="Arial" w:hAnsi="Verdana" w:cs="Arial"/>
          <w:i/>
          <w:iCs/>
          <w:color w:val="000000"/>
          <w:lang w:val="es-ES" w:eastAsia="es-ES" w:bidi="es-ES"/>
        </w:rPr>
        <w:t>carácter excepcional</w:t>
      </w:r>
      <w:r w:rsidRPr="00B31C7B">
        <w:rPr>
          <w:rFonts w:ascii="Verdana" w:eastAsia="Arial" w:hAnsi="Verdana" w:cs="Arial"/>
          <w:color w:val="000000"/>
          <w:lang w:val="es-ES" w:eastAsia="es-ES" w:bidi="es-ES"/>
        </w:rPr>
        <w:t xml:space="preserve"> y solo procede cuando</w:t>
      </w:r>
      <w:r>
        <w:rPr>
          <w:rFonts w:ascii="Verdana" w:eastAsia="Arial" w:hAnsi="Verdana" w:cs="Arial"/>
          <w:color w:val="000000"/>
          <w:lang w:val="es-ES" w:eastAsia="es-ES" w:bidi="es-ES"/>
        </w:rPr>
        <w:t>:</w:t>
      </w:r>
      <w:r w:rsidRPr="00B31C7B">
        <w:rPr>
          <w:rFonts w:ascii="Verdana" w:eastAsia="Arial" w:hAnsi="Verdana" w:cs="Arial"/>
          <w:color w:val="000000"/>
          <w:lang w:val="es-ES" w:eastAsia="es-ES" w:bidi="es-ES"/>
        </w:rPr>
        <w:t xml:space="preserve"> </w:t>
      </w:r>
      <w:r>
        <w:rPr>
          <w:rFonts w:ascii="Verdana" w:eastAsia="Arial" w:hAnsi="Verdana" w:cs="Arial"/>
          <w:color w:val="000000"/>
          <w:lang w:val="es-ES" w:eastAsia="es-ES" w:bidi="es-ES"/>
        </w:rPr>
        <w:t xml:space="preserve">se pretenda </w:t>
      </w:r>
      <w:r w:rsidRPr="00B31C7B">
        <w:rPr>
          <w:rFonts w:ascii="Verdana" w:eastAsia="Arial" w:hAnsi="Verdana" w:cs="Arial"/>
          <w:color w:val="000000"/>
          <w:lang w:val="es-ES" w:eastAsia="es-ES" w:bidi="es-ES"/>
        </w:rPr>
        <w:t xml:space="preserve">garantizar el interés público, la entidad haya verificado y </w:t>
      </w:r>
      <w:r>
        <w:rPr>
          <w:rFonts w:ascii="Verdana" w:eastAsia="Arial" w:hAnsi="Verdana" w:cs="Arial"/>
          <w:color w:val="000000"/>
          <w:lang w:val="es-ES" w:eastAsia="es-ES" w:bidi="es-ES"/>
        </w:rPr>
        <w:t xml:space="preserve">cualquiera </w:t>
      </w:r>
      <w:r w:rsidRPr="00B31C7B">
        <w:rPr>
          <w:rFonts w:ascii="Verdana" w:eastAsia="Arial" w:hAnsi="Verdana" w:cs="Arial"/>
          <w:color w:val="000000"/>
          <w:lang w:val="es-ES" w:eastAsia="es-ES" w:bidi="es-ES"/>
        </w:rPr>
        <w:t xml:space="preserve">pueda constatar que la causa de la modificación es real y cierta, y </w:t>
      </w:r>
      <w:r>
        <w:rPr>
          <w:rFonts w:ascii="Verdana" w:eastAsia="Arial" w:hAnsi="Verdana" w:cs="Arial"/>
          <w:color w:val="000000"/>
          <w:lang w:val="es-ES" w:eastAsia="es-ES" w:bidi="es-ES"/>
        </w:rPr>
        <w:t xml:space="preserve">la modificación </w:t>
      </w:r>
      <w:r w:rsidRPr="00B31C7B">
        <w:rPr>
          <w:rFonts w:ascii="Verdana" w:eastAsia="Arial" w:hAnsi="Verdana" w:cs="Arial"/>
          <w:color w:val="000000"/>
          <w:lang w:val="es-ES" w:eastAsia="es-ES" w:bidi="es-ES"/>
        </w:rPr>
        <w:t xml:space="preserve">cumpla con las limitaciones y condiciones que establezca la ley. En otras palabras, la modificación contractual encuentra sustento no solo en circunstancias fácticas propias de la ejecución del contrato, sino además debe cumplir con los principios y fines de la contratación estatal, así como con las condiciones y restricciones legales. </w:t>
      </w:r>
    </w:p>
    <w:p w14:paraId="1029EDC8" w14:textId="77777777" w:rsidR="008255F4" w:rsidRPr="00B31C7B" w:rsidRDefault="008255F4" w:rsidP="008255F4">
      <w:pPr>
        <w:widowControl w:val="0"/>
        <w:autoSpaceDE w:val="0"/>
        <w:autoSpaceDN w:val="0"/>
        <w:spacing w:after="120" w:line="276" w:lineRule="auto"/>
        <w:ind w:firstLine="709"/>
        <w:jc w:val="both"/>
        <w:rPr>
          <w:rFonts w:ascii="Verdana" w:eastAsia="Arial" w:hAnsi="Verdana" w:cs="Arial"/>
          <w:color w:val="000000"/>
          <w:lang w:val="es-ES" w:eastAsia="es-ES" w:bidi="es-ES"/>
        </w:rPr>
      </w:pPr>
      <w:r w:rsidRPr="00B31C7B">
        <w:rPr>
          <w:rFonts w:ascii="Verdana" w:eastAsia="Arial" w:hAnsi="Verdana" w:cs="Arial"/>
          <w:color w:val="000000"/>
          <w:lang w:val="es-ES" w:eastAsia="es-ES" w:bidi="es-ES"/>
        </w:rPr>
        <w:t xml:space="preserve">En esta medida, </w:t>
      </w:r>
      <w:r>
        <w:rPr>
          <w:rFonts w:ascii="Verdana" w:eastAsia="Arial" w:hAnsi="Verdana" w:cs="Arial"/>
          <w:color w:val="000000"/>
          <w:lang w:val="es-ES" w:eastAsia="es-ES" w:bidi="es-ES"/>
        </w:rPr>
        <w:t xml:space="preserve">las </w:t>
      </w:r>
      <w:r w:rsidRPr="00B31C7B">
        <w:rPr>
          <w:rFonts w:ascii="Verdana" w:eastAsia="Arial" w:hAnsi="Verdana" w:cs="Arial"/>
          <w:color w:val="000000"/>
          <w:lang w:val="es-ES" w:eastAsia="es-ES" w:bidi="es-ES"/>
        </w:rPr>
        <w:t>modificacione</w:t>
      </w:r>
      <w:r>
        <w:rPr>
          <w:rFonts w:ascii="Verdana" w:eastAsia="Arial" w:hAnsi="Verdana" w:cs="Arial"/>
          <w:color w:val="000000"/>
          <w:lang w:val="es-ES" w:eastAsia="es-ES" w:bidi="es-ES"/>
        </w:rPr>
        <w:t xml:space="preserve">s </w:t>
      </w:r>
      <w:r w:rsidRPr="00B31C7B">
        <w:rPr>
          <w:rFonts w:ascii="Verdana" w:eastAsia="Arial" w:hAnsi="Verdana" w:cs="Arial"/>
          <w:color w:val="000000"/>
          <w:lang w:val="es-ES" w:eastAsia="es-ES" w:bidi="es-ES"/>
        </w:rPr>
        <w:t>se refieren a alteraciones, variaciones, cambios, correcciones en las condiciones y cláusulas del contrato</w:t>
      </w:r>
      <w:r>
        <w:rPr>
          <w:rFonts w:ascii="Verdana" w:eastAsia="Arial" w:hAnsi="Verdana" w:cs="Arial"/>
          <w:color w:val="000000"/>
          <w:lang w:val="es-ES" w:eastAsia="es-ES" w:bidi="es-ES"/>
        </w:rPr>
        <w:t>.</w:t>
      </w:r>
      <w:r w:rsidRPr="00B31C7B">
        <w:rPr>
          <w:rFonts w:ascii="Verdana" w:eastAsia="Arial" w:hAnsi="Verdana" w:cs="Arial"/>
          <w:color w:val="000000"/>
          <w:lang w:val="es-ES" w:eastAsia="es-ES" w:bidi="es-ES"/>
        </w:rPr>
        <w:t xml:space="preserve"> </w:t>
      </w:r>
      <w:r>
        <w:rPr>
          <w:rFonts w:ascii="Verdana" w:eastAsia="Arial" w:hAnsi="Verdana" w:cs="Arial"/>
          <w:color w:val="000000"/>
          <w:lang w:val="es-ES" w:eastAsia="es-ES" w:bidi="es-ES"/>
        </w:rPr>
        <w:t xml:space="preserve">Estas </w:t>
      </w:r>
      <w:r w:rsidRPr="00B31C7B">
        <w:rPr>
          <w:rFonts w:ascii="Verdana" w:eastAsia="Arial" w:hAnsi="Verdana" w:cs="Arial"/>
          <w:color w:val="000000"/>
          <w:lang w:val="es-ES" w:eastAsia="es-ES" w:bidi="es-ES"/>
        </w:rPr>
        <w:t xml:space="preserve">deben ser suscritas por las partes, sujetándose a </w:t>
      </w:r>
      <w:r>
        <w:rPr>
          <w:rFonts w:ascii="Verdana" w:eastAsia="Arial" w:hAnsi="Verdana" w:cs="Arial"/>
          <w:color w:val="000000"/>
          <w:lang w:val="es-ES" w:eastAsia="es-ES" w:bidi="es-ES"/>
        </w:rPr>
        <w:t xml:space="preserve">los limites previstos de manera que </w:t>
      </w:r>
      <w:r w:rsidRPr="00DB3ADB">
        <w:rPr>
          <w:rFonts w:ascii="Verdana" w:eastAsia="Arial" w:hAnsi="Verdana" w:cs="Arial"/>
          <w:color w:val="000000"/>
          <w:lang w:val="es-ES" w:eastAsia="es-ES" w:bidi="es-ES"/>
        </w:rPr>
        <w:t xml:space="preserve">se encuentren debidamente justificadas, que no sean el resultado de una indebida planeación </w:t>
      </w:r>
      <w:r w:rsidRPr="00B31C7B">
        <w:rPr>
          <w:rFonts w:ascii="Verdana" w:eastAsia="Arial" w:hAnsi="Verdana" w:cs="Arial"/>
          <w:color w:val="000000"/>
          <w:lang w:val="es-ES" w:eastAsia="es-ES" w:bidi="es-ES"/>
        </w:rPr>
        <w:t xml:space="preserve">y que consten por escrito, de tal </w:t>
      </w:r>
      <w:r>
        <w:rPr>
          <w:rFonts w:ascii="Verdana" w:eastAsia="Arial" w:hAnsi="Verdana" w:cs="Arial"/>
          <w:color w:val="000000"/>
          <w:lang w:val="es-ES" w:eastAsia="es-ES" w:bidi="es-ES"/>
        </w:rPr>
        <w:t>forma</w:t>
      </w:r>
      <w:r w:rsidRPr="00B31C7B">
        <w:rPr>
          <w:rFonts w:ascii="Verdana" w:eastAsia="Arial" w:hAnsi="Verdana" w:cs="Arial"/>
          <w:color w:val="000000"/>
          <w:lang w:val="es-ES" w:eastAsia="es-ES" w:bidi="es-ES"/>
        </w:rPr>
        <w:t xml:space="preserve"> que de las mismas se predique su existencia, validez y eficacia. </w:t>
      </w:r>
    </w:p>
    <w:p w14:paraId="3393D564" w14:textId="77777777" w:rsidR="008255F4" w:rsidRPr="004A2C34" w:rsidRDefault="008255F4" w:rsidP="008255F4">
      <w:pPr>
        <w:widowControl w:val="0"/>
        <w:autoSpaceDE w:val="0"/>
        <w:autoSpaceDN w:val="0"/>
        <w:spacing w:after="120" w:line="276" w:lineRule="auto"/>
        <w:ind w:firstLine="709"/>
        <w:jc w:val="both"/>
        <w:rPr>
          <w:rFonts w:ascii="Verdana" w:eastAsia="Arial" w:hAnsi="Verdana" w:cs="Arial"/>
          <w:color w:val="000000"/>
          <w:lang w:val="es-ES" w:eastAsia="es-ES" w:bidi="es-ES"/>
        </w:rPr>
      </w:pPr>
      <w:r w:rsidRPr="00B31C7B">
        <w:rPr>
          <w:rFonts w:ascii="Verdana" w:eastAsia="Arial" w:hAnsi="Verdana" w:cs="Arial"/>
          <w:color w:val="000000"/>
          <w:lang w:val="es-ES" w:eastAsia="es-ES" w:bidi="es-ES"/>
        </w:rPr>
        <w:t xml:space="preserve">Sin perjuicio de lo anterior, las modificaciones no </w:t>
      </w:r>
      <w:r>
        <w:rPr>
          <w:rFonts w:ascii="Verdana" w:eastAsia="Arial" w:hAnsi="Verdana" w:cs="Arial"/>
          <w:color w:val="000000"/>
          <w:lang w:val="es-ES" w:eastAsia="es-ES" w:bidi="es-ES"/>
        </w:rPr>
        <w:t xml:space="preserve">pueden </w:t>
      </w:r>
      <w:r w:rsidRPr="00B31C7B">
        <w:rPr>
          <w:rFonts w:ascii="Verdana" w:eastAsia="Arial" w:hAnsi="Verdana" w:cs="Arial"/>
          <w:color w:val="000000"/>
          <w:lang w:val="es-ES" w:eastAsia="es-ES" w:bidi="es-ES"/>
        </w:rPr>
        <w:t>suponer la variación del objeto d</w:t>
      </w:r>
      <w:r>
        <w:rPr>
          <w:rFonts w:ascii="Verdana" w:eastAsia="Arial" w:hAnsi="Verdana" w:cs="Arial"/>
          <w:color w:val="000000"/>
          <w:lang w:val="es-ES" w:eastAsia="es-ES" w:bidi="es-ES"/>
        </w:rPr>
        <w:t>el</w:t>
      </w:r>
      <w:r w:rsidRPr="00B31C7B">
        <w:rPr>
          <w:rFonts w:ascii="Verdana" w:eastAsia="Arial" w:hAnsi="Verdana" w:cs="Arial"/>
          <w:color w:val="000000"/>
          <w:lang w:val="es-ES" w:eastAsia="es-ES" w:bidi="es-ES"/>
        </w:rPr>
        <w:t xml:space="preserve"> contrato, pues </w:t>
      </w:r>
      <w:r>
        <w:rPr>
          <w:rFonts w:ascii="Verdana" w:eastAsia="Arial" w:hAnsi="Verdana" w:cs="Arial"/>
          <w:color w:val="000000"/>
          <w:lang w:val="es-ES" w:eastAsia="es-ES" w:bidi="es-ES"/>
        </w:rPr>
        <w:t xml:space="preserve">esto </w:t>
      </w:r>
      <w:r w:rsidRPr="00B31C7B">
        <w:rPr>
          <w:rFonts w:ascii="Verdana" w:eastAsia="Arial" w:hAnsi="Verdana" w:cs="Arial"/>
          <w:color w:val="000000"/>
          <w:lang w:val="es-ES" w:eastAsia="es-ES" w:bidi="es-ES"/>
        </w:rPr>
        <w:t xml:space="preserve">implica la alteración de su esencia y lo </w:t>
      </w:r>
      <w:r>
        <w:rPr>
          <w:rFonts w:ascii="Verdana" w:eastAsia="Arial" w:hAnsi="Verdana" w:cs="Arial"/>
          <w:color w:val="000000"/>
          <w:lang w:val="es-ES" w:eastAsia="es-ES" w:bidi="es-ES"/>
        </w:rPr>
        <w:t xml:space="preserve">convierte </w:t>
      </w:r>
      <w:r w:rsidRPr="00B31C7B">
        <w:rPr>
          <w:rFonts w:ascii="Verdana" w:eastAsia="Arial" w:hAnsi="Verdana" w:cs="Arial"/>
          <w:color w:val="000000"/>
          <w:lang w:val="es-ES" w:eastAsia="es-ES" w:bidi="es-ES"/>
        </w:rPr>
        <w:t xml:space="preserve">en otro tipo de negocio jurídico. </w:t>
      </w:r>
      <w:r>
        <w:rPr>
          <w:rFonts w:ascii="Verdana" w:eastAsia="Arial" w:hAnsi="Verdana" w:cs="Arial"/>
          <w:color w:val="000000"/>
          <w:lang w:val="es-ES" w:eastAsia="es-ES" w:bidi="es-ES"/>
        </w:rPr>
        <w:t xml:space="preserve">En estos casos, lo </w:t>
      </w:r>
      <w:r w:rsidRPr="00B31C7B">
        <w:rPr>
          <w:rFonts w:ascii="Verdana" w:eastAsia="Arial" w:hAnsi="Verdana" w:cs="Arial"/>
          <w:color w:val="000000"/>
          <w:lang w:val="es-ES" w:eastAsia="es-ES" w:bidi="es-ES"/>
        </w:rPr>
        <w:t xml:space="preserve">indicado no sería modificar el contrato sino celebrar uno nuevo. Sobre este último punto, la doctrina ha precisado que cuando </w:t>
      </w:r>
      <w:r w:rsidRPr="004A2C34">
        <w:rPr>
          <w:rFonts w:ascii="Verdana" w:eastAsia="Arial" w:hAnsi="Verdana" w:cs="Arial"/>
          <w:color w:val="000000"/>
          <w:lang w:val="es-MX" w:eastAsia="es-ES" w:bidi="es-ES"/>
        </w:rPr>
        <w:t xml:space="preserve">“[…] </w:t>
      </w:r>
      <w:r w:rsidRPr="004A2C34">
        <w:rPr>
          <w:rFonts w:ascii="Verdana" w:eastAsia="Arial" w:hAnsi="Verdana" w:cs="Arial"/>
          <w:color w:val="000000"/>
          <w:lang w:val="es-ES" w:eastAsia="es-ES" w:bidi="es-ES"/>
        </w:rPr>
        <w:t xml:space="preserve">se alude a la modificación del contrato se lo hace para referirse a alteraciones, variaciones, sustituciones de calidad, </w:t>
      </w:r>
      <w:r w:rsidRPr="004A2C34">
        <w:rPr>
          <w:rFonts w:ascii="Verdana" w:eastAsia="Arial" w:hAnsi="Verdana" w:cs="Arial"/>
          <w:color w:val="000000"/>
          <w:lang w:val="es-ES" w:eastAsia="es-ES" w:bidi="es-ES"/>
        </w:rPr>
        <w:lastRenderedPageBreak/>
        <w:t>componentes o número de obras, bienes o servicios. No implican la sustitución del género del contrato sino modificaciones que responden a necesidades sobrevivientes o a errores en la fase previa</w:t>
      </w:r>
      <w:r w:rsidRPr="004A2C34">
        <w:rPr>
          <w:rFonts w:ascii="Verdana" w:eastAsia="Arial" w:hAnsi="Verdana" w:cs="Arial"/>
          <w:color w:val="000000"/>
          <w:lang w:val="es-MX" w:eastAsia="es-ES" w:bidi="es-ES"/>
        </w:rPr>
        <w:t>”</w:t>
      </w:r>
      <w:r w:rsidRPr="004A2C34">
        <w:rPr>
          <w:rFonts w:ascii="Verdana" w:eastAsia="Arial" w:hAnsi="Verdana" w:cs="Arial"/>
          <w:color w:val="000000"/>
          <w:vertAlign w:val="superscript"/>
          <w:lang w:val="es-MX" w:eastAsia="es-ES" w:bidi="es-ES"/>
        </w:rPr>
        <w:footnoteReference w:id="20"/>
      </w:r>
      <w:r w:rsidRPr="004A2C34">
        <w:rPr>
          <w:rFonts w:ascii="Verdana" w:eastAsia="Arial" w:hAnsi="Verdana" w:cs="Arial"/>
          <w:color w:val="000000"/>
          <w:lang w:val="es-ES" w:eastAsia="es-ES" w:bidi="es-ES"/>
        </w:rPr>
        <w:t xml:space="preserve">. </w:t>
      </w:r>
    </w:p>
    <w:p w14:paraId="496E3EF6" w14:textId="77777777" w:rsidR="008255F4" w:rsidRDefault="008255F4" w:rsidP="008255F4">
      <w:pPr>
        <w:widowControl w:val="0"/>
        <w:autoSpaceDE w:val="0"/>
        <w:autoSpaceDN w:val="0"/>
        <w:spacing w:after="0" w:line="276" w:lineRule="auto"/>
        <w:ind w:firstLine="709"/>
        <w:jc w:val="both"/>
        <w:rPr>
          <w:rFonts w:ascii="Verdana" w:eastAsia="Arial" w:hAnsi="Verdana" w:cs="Arial"/>
          <w:color w:val="000000"/>
          <w:lang w:val="es-ES" w:eastAsia="es-ES" w:bidi="es-ES"/>
        </w:rPr>
      </w:pPr>
      <w:r w:rsidRPr="00B31C7B">
        <w:rPr>
          <w:rFonts w:ascii="Verdana" w:eastAsia="Arial" w:hAnsi="Verdana" w:cs="Arial"/>
          <w:color w:val="000000"/>
          <w:lang w:val="es-ES" w:eastAsia="es-ES" w:bidi="es-ES"/>
        </w:rPr>
        <w:t xml:space="preserve">Para </w:t>
      </w:r>
      <w:r>
        <w:rPr>
          <w:rFonts w:ascii="Verdana" w:eastAsia="Arial" w:hAnsi="Verdana" w:cs="Arial"/>
          <w:color w:val="000000"/>
          <w:lang w:val="es-ES" w:eastAsia="es-ES" w:bidi="es-ES"/>
        </w:rPr>
        <w:t xml:space="preserve">determinar </w:t>
      </w:r>
      <w:r w:rsidRPr="00B31C7B">
        <w:rPr>
          <w:rFonts w:ascii="Verdana" w:eastAsia="Arial" w:hAnsi="Verdana" w:cs="Arial"/>
          <w:color w:val="000000"/>
          <w:lang w:val="es-ES" w:eastAsia="es-ES" w:bidi="es-ES"/>
        </w:rPr>
        <w:t xml:space="preserve">los aspectos que no alteran </w:t>
      </w:r>
      <w:r w:rsidRPr="00305FD0">
        <w:rPr>
          <w:rFonts w:ascii="Verdana" w:eastAsia="Arial" w:hAnsi="Verdana" w:cs="Arial"/>
          <w:i/>
          <w:iCs/>
          <w:color w:val="000000"/>
          <w:lang w:val="es-ES" w:eastAsia="es-ES" w:bidi="es-ES"/>
        </w:rPr>
        <w:t>la esencia</w:t>
      </w:r>
      <w:r w:rsidRPr="00B31C7B">
        <w:rPr>
          <w:rFonts w:ascii="Verdana" w:eastAsia="Arial" w:hAnsi="Verdana" w:cs="Arial"/>
          <w:color w:val="000000"/>
          <w:lang w:val="es-ES" w:eastAsia="es-ES" w:bidi="es-ES"/>
        </w:rPr>
        <w:t xml:space="preserve"> del contrato estatal y </w:t>
      </w:r>
      <w:r>
        <w:rPr>
          <w:rFonts w:ascii="Verdana" w:eastAsia="Arial" w:hAnsi="Verdana" w:cs="Arial"/>
          <w:color w:val="000000"/>
          <w:lang w:val="es-ES" w:eastAsia="es-ES" w:bidi="es-ES"/>
        </w:rPr>
        <w:t xml:space="preserve">cuya modificación no </w:t>
      </w:r>
      <w:r w:rsidRPr="00B31C7B">
        <w:rPr>
          <w:rFonts w:ascii="Verdana" w:eastAsia="Arial" w:hAnsi="Verdana" w:cs="Arial"/>
          <w:color w:val="000000"/>
          <w:lang w:val="es-ES" w:eastAsia="es-ES" w:bidi="es-ES"/>
        </w:rPr>
        <w:t xml:space="preserve">lo convierte en otro contrato, resulta útil remitirse a lo previsto en el artículo 1501 del Código Civil que establece que los contratos tienen elementos de su esencia, de su naturaleza y accidentales. En todo caso, corresponderá a cada entidad estatal </w:t>
      </w:r>
      <w:r>
        <w:rPr>
          <w:rFonts w:ascii="Verdana" w:eastAsia="Arial" w:hAnsi="Verdana" w:cs="Arial"/>
          <w:color w:val="000000"/>
          <w:lang w:val="es-ES" w:eastAsia="es-ES" w:bidi="es-ES"/>
        </w:rPr>
        <w:t xml:space="preserve">analizar si la modificación es procedente </w:t>
      </w:r>
      <w:r w:rsidRPr="00B31C7B">
        <w:rPr>
          <w:rFonts w:ascii="Verdana" w:eastAsia="Arial" w:hAnsi="Verdana" w:cs="Arial"/>
          <w:color w:val="000000"/>
          <w:lang w:val="es-ES" w:eastAsia="es-ES" w:bidi="es-ES"/>
        </w:rPr>
        <w:t>desde la perspectiva jurídica, administrativa, técnica y financiera</w:t>
      </w:r>
      <w:r>
        <w:rPr>
          <w:rFonts w:ascii="Verdana" w:eastAsia="Arial" w:hAnsi="Verdana" w:cs="Arial"/>
          <w:color w:val="000000"/>
          <w:lang w:val="es-ES" w:eastAsia="es-ES" w:bidi="es-ES"/>
        </w:rPr>
        <w:t>, así como constatar que cuente con la documentación que</w:t>
      </w:r>
      <w:r w:rsidRPr="00B31C7B">
        <w:rPr>
          <w:rFonts w:ascii="Verdana" w:eastAsia="Arial" w:hAnsi="Verdana" w:cs="Arial"/>
          <w:color w:val="000000"/>
          <w:lang w:val="es-ES" w:eastAsia="es-ES" w:bidi="es-ES"/>
        </w:rPr>
        <w:t xml:space="preserve"> </w:t>
      </w:r>
      <w:r>
        <w:rPr>
          <w:rFonts w:ascii="Verdana" w:eastAsia="Arial" w:hAnsi="Verdana" w:cs="Arial"/>
          <w:color w:val="000000"/>
          <w:lang w:val="es-ES" w:eastAsia="es-ES" w:bidi="es-ES"/>
        </w:rPr>
        <w:t xml:space="preserve">la sustente </w:t>
      </w:r>
      <w:r w:rsidRPr="00B31C7B">
        <w:rPr>
          <w:rFonts w:ascii="Verdana" w:eastAsia="Arial" w:hAnsi="Verdana" w:cs="Arial"/>
          <w:color w:val="000000"/>
          <w:lang w:val="es-ES" w:eastAsia="es-ES" w:bidi="es-ES"/>
        </w:rPr>
        <w:t>por parte de los funcionarios que participan dentro del proceso de contratación, como los supervisores y/o interventores</w:t>
      </w:r>
      <w:r>
        <w:rPr>
          <w:rFonts w:ascii="Verdana" w:eastAsia="Arial" w:hAnsi="Verdana" w:cs="Arial"/>
          <w:color w:val="000000"/>
          <w:lang w:val="es-ES" w:eastAsia="es-ES" w:bidi="es-ES"/>
        </w:rPr>
        <w:t>,</w:t>
      </w:r>
      <w:r w:rsidRPr="00B31C7B">
        <w:rPr>
          <w:rFonts w:ascii="Verdana" w:eastAsia="Arial" w:hAnsi="Verdana" w:cs="Arial"/>
          <w:color w:val="000000"/>
          <w:lang w:val="es-ES" w:eastAsia="es-ES" w:bidi="es-ES"/>
        </w:rPr>
        <w:t xml:space="preserve"> y comités internos de contratación.  </w:t>
      </w:r>
    </w:p>
    <w:p w14:paraId="257230D8" w14:textId="77777777" w:rsidR="008255F4" w:rsidRDefault="008255F4" w:rsidP="008255F4">
      <w:pPr>
        <w:widowControl w:val="0"/>
        <w:autoSpaceDE w:val="0"/>
        <w:autoSpaceDN w:val="0"/>
        <w:spacing w:after="0" w:line="276" w:lineRule="auto"/>
        <w:ind w:firstLine="709"/>
        <w:jc w:val="both"/>
        <w:rPr>
          <w:rFonts w:ascii="Verdana" w:eastAsia="Arial" w:hAnsi="Verdana" w:cs="Arial"/>
          <w:color w:val="000000"/>
          <w:lang w:val="es-ES" w:eastAsia="es-ES" w:bidi="es-ES"/>
        </w:rPr>
      </w:pPr>
    </w:p>
    <w:p w14:paraId="28C8A144" w14:textId="77777777" w:rsidR="008255F4" w:rsidRDefault="008255F4" w:rsidP="008255F4">
      <w:pPr>
        <w:widowControl w:val="0"/>
        <w:autoSpaceDE w:val="0"/>
        <w:autoSpaceDN w:val="0"/>
        <w:spacing w:after="120" w:line="276" w:lineRule="auto"/>
        <w:jc w:val="both"/>
        <w:rPr>
          <w:rFonts w:ascii="Verdana" w:eastAsia="Arial" w:hAnsi="Verdana" w:cs="Arial"/>
          <w:color w:val="000000"/>
          <w:lang w:eastAsia="es-ES" w:bidi="es-ES"/>
        </w:rPr>
      </w:pPr>
      <w:proofErr w:type="spellStart"/>
      <w:r>
        <w:rPr>
          <w:rFonts w:ascii="Verdana" w:hAnsi="Verdana"/>
          <w:lang w:val="es-ES" w:eastAsia="es-ES"/>
        </w:rPr>
        <w:t>iii</w:t>
      </w:r>
      <w:proofErr w:type="spellEnd"/>
      <w:r>
        <w:rPr>
          <w:rFonts w:ascii="Verdana" w:hAnsi="Verdana"/>
          <w:lang w:val="es-ES" w:eastAsia="es-ES"/>
        </w:rPr>
        <w:t xml:space="preserve">. </w:t>
      </w:r>
      <w:r>
        <w:rPr>
          <w:rFonts w:ascii="Verdana" w:eastAsia="Arial" w:hAnsi="Verdana" w:cs="Arial"/>
          <w:color w:val="000000"/>
          <w:lang w:eastAsia="es-ES" w:bidi="es-ES"/>
        </w:rPr>
        <w:t>En este orden de ideas</w:t>
      </w:r>
      <w:r w:rsidRPr="00F74424">
        <w:rPr>
          <w:rFonts w:ascii="Verdana" w:eastAsia="Arial" w:hAnsi="Verdana" w:cs="Arial"/>
          <w:color w:val="000000"/>
          <w:lang w:eastAsia="es-ES" w:bidi="es-ES"/>
        </w:rPr>
        <w:t xml:space="preserve">, </w:t>
      </w:r>
      <w:r>
        <w:rPr>
          <w:rFonts w:ascii="Verdana" w:eastAsia="Arial" w:hAnsi="Verdana" w:cs="Arial"/>
          <w:color w:val="000000"/>
          <w:lang w:eastAsia="es-ES" w:bidi="es-ES"/>
        </w:rPr>
        <w:t xml:space="preserve">aunque es procedente la modificación contractual, </w:t>
      </w:r>
      <w:r w:rsidRPr="009E7F02">
        <w:rPr>
          <w:rFonts w:ascii="Verdana" w:eastAsia="Arial" w:hAnsi="Verdana" w:cs="Arial"/>
          <w:color w:val="000000"/>
          <w:lang w:eastAsia="es-ES" w:bidi="es-ES"/>
        </w:rPr>
        <w:t>cualquier ajuste a las cláusulas contractuales que</w:t>
      </w:r>
      <w:r>
        <w:rPr>
          <w:rFonts w:ascii="Verdana" w:eastAsia="Arial" w:hAnsi="Verdana" w:cs="Arial"/>
          <w:color w:val="000000"/>
          <w:lang w:eastAsia="es-ES" w:bidi="es-ES"/>
        </w:rPr>
        <w:t xml:space="preserve"> tenga incidencia </w:t>
      </w:r>
      <w:r w:rsidRPr="009E7F02">
        <w:rPr>
          <w:rFonts w:ascii="Verdana" w:eastAsia="Arial" w:hAnsi="Verdana" w:cs="Arial"/>
          <w:color w:val="000000"/>
          <w:lang w:eastAsia="es-ES" w:bidi="es-ES"/>
        </w:rPr>
        <w:t xml:space="preserve">en los aspectos presupuestales del contrato </w:t>
      </w:r>
      <w:r>
        <w:rPr>
          <w:rFonts w:ascii="Verdana" w:eastAsia="Arial" w:hAnsi="Verdana" w:cs="Arial"/>
          <w:color w:val="000000"/>
          <w:lang w:eastAsia="es-ES" w:bidi="es-ES"/>
        </w:rPr>
        <w:t xml:space="preserve">debe </w:t>
      </w:r>
      <w:r w:rsidRPr="00F74424">
        <w:rPr>
          <w:rFonts w:ascii="Verdana" w:eastAsia="Arial" w:hAnsi="Verdana" w:cs="Arial"/>
          <w:color w:val="000000"/>
          <w:lang w:eastAsia="es-ES" w:bidi="es-ES"/>
        </w:rPr>
        <w:t xml:space="preserve">observar estrictamente </w:t>
      </w:r>
      <w:r w:rsidRPr="009E7F02">
        <w:rPr>
          <w:rFonts w:ascii="Verdana" w:eastAsia="Arial" w:hAnsi="Verdana" w:cs="Arial"/>
          <w:color w:val="000000"/>
          <w:lang w:eastAsia="es-ES" w:bidi="es-ES"/>
        </w:rPr>
        <w:t>las disposiciones legales que regulan el gasto público. Esto supone que las modificaciones no pueden desconocer principios esenciales del sistema presupuestal, como el de planeación</w:t>
      </w:r>
      <w:r>
        <w:rPr>
          <w:rFonts w:ascii="Verdana" w:eastAsia="Arial" w:hAnsi="Verdana" w:cs="Arial"/>
          <w:color w:val="000000"/>
          <w:lang w:eastAsia="es-ES" w:bidi="es-ES"/>
        </w:rPr>
        <w:t xml:space="preserve">, </w:t>
      </w:r>
      <w:r w:rsidRPr="009E7F02">
        <w:rPr>
          <w:rFonts w:ascii="Verdana" w:eastAsia="Arial" w:hAnsi="Verdana" w:cs="Arial"/>
          <w:color w:val="000000"/>
          <w:lang w:eastAsia="es-ES" w:bidi="es-ES"/>
        </w:rPr>
        <w:t>que exige una adecuada previsión de los recursos</w:t>
      </w:r>
      <w:r>
        <w:rPr>
          <w:rFonts w:ascii="Verdana" w:eastAsia="Arial" w:hAnsi="Verdana" w:cs="Arial"/>
          <w:color w:val="000000"/>
          <w:lang w:eastAsia="es-ES" w:bidi="es-ES"/>
        </w:rPr>
        <w:t>,</w:t>
      </w:r>
      <w:r w:rsidRPr="009E7F02">
        <w:rPr>
          <w:rFonts w:ascii="Verdana" w:eastAsia="Arial" w:hAnsi="Verdana" w:cs="Arial"/>
          <w:color w:val="000000"/>
          <w:lang w:eastAsia="es-ES" w:bidi="es-ES"/>
        </w:rPr>
        <w:t xml:space="preserve"> o el de anualidad del presupuesto y sus excepciones</w:t>
      </w:r>
      <w:r>
        <w:rPr>
          <w:rFonts w:ascii="Verdana" w:eastAsia="Arial" w:hAnsi="Verdana" w:cs="Arial"/>
          <w:color w:val="000000"/>
          <w:lang w:eastAsia="es-ES" w:bidi="es-ES"/>
        </w:rPr>
        <w:t>,</w:t>
      </w:r>
      <w:r w:rsidRPr="009E7F02">
        <w:rPr>
          <w:rFonts w:ascii="Verdana" w:eastAsia="Arial" w:hAnsi="Verdana" w:cs="Arial"/>
          <w:color w:val="000000"/>
          <w:lang w:eastAsia="es-ES" w:bidi="es-ES"/>
        </w:rPr>
        <w:t xml:space="preserve"> </w:t>
      </w:r>
      <w:r w:rsidRPr="00F74424">
        <w:rPr>
          <w:rFonts w:ascii="Verdana" w:eastAsia="Arial" w:hAnsi="Verdana" w:cs="Arial"/>
          <w:color w:val="000000"/>
          <w:lang w:eastAsia="es-ES" w:bidi="es-ES"/>
        </w:rPr>
        <w:t xml:space="preserve">ni utilizarse como mecanismo para corregir deficiencias derivadas de una inadecuada </w:t>
      </w:r>
      <w:r>
        <w:rPr>
          <w:rFonts w:ascii="Verdana" w:eastAsia="Arial" w:hAnsi="Verdana" w:cs="Arial"/>
          <w:color w:val="000000"/>
          <w:lang w:eastAsia="es-ES" w:bidi="es-ES"/>
        </w:rPr>
        <w:t xml:space="preserve">gestión </w:t>
      </w:r>
      <w:r w:rsidRPr="00F74424">
        <w:rPr>
          <w:rFonts w:ascii="Verdana" w:eastAsia="Arial" w:hAnsi="Verdana" w:cs="Arial"/>
          <w:color w:val="000000"/>
          <w:lang w:eastAsia="es-ES" w:bidi="es-ES"/>
        </w:rPr>
        <w:t>presupuestal p</w:t>
      </w:r>
      <w:r>
        <w:rPr>
          <w:rFonts w:ascii="Verdana" w:eastAsia="Arial" w:hAnsi="Verdana" w:cs="Arial"/>
          <w:color w:val="000000"/>
          <w:lang w:eastAsia="es-ES" w:bidi="es-ES"/>
        </w:rPr>
        <w:t>or parte de la entidad contratante</w:t>
      </w:r>
      <w:r w:rsidRPr="00F74424">
        <w:rPr>
          <w:rFonts w:ascii="Verdana" w:eastAsia="Arial" w:hAnsi="Verdana" w:cs="Arial"/>
          <w:color w:val="000000"/>
          <w:lang w:eastAsia="es-ES" w:bidi="es-ES"/>
        </w:rPr>
        <w:t>.</w:t>
      </w:r>
      <w:r>
        <w:rPr>
          <w:rFonts w:ascii="Verdana" w:eastAsia="Arial" w:hAnsi="Verdana" w:cs="Arial"/>
          <w:color w:val="000000"/>
          <w:lang w:eastAsia="es-ES" w:bidi="es-ES"/>
        </w:rPr>
        <w:t xml:space="preserve"> </w:t>
      </w:r>
    </w:p>
    <w:p w14:paraId="33DF7C87" w14:textId="77777777" w:rsidR="008255F4" w:rsidRDefault="008255F4" w:rsidP="008255F4">
      <w:pPr>
        <w:widowControl w:val="0"/>
        <w:autoSpaceDE w:val="0"/>
        <w:autoSpaceDN w:val="0"/>
        <w:spacing w:after="120" w:line="276" w:lineRule="auto"/>
        <w:ind w:firstLine="709"/>
        <w:jc w:val="both"/>
        <w:rPr>
          <w:rFonts w:ascii="Verdana" w:eastAsia="Arial" w:hAnsi="Verdana" w:cs="Arial"/>
          <w:color w:val="000000"/>
          <w:lang w:eastAsia="es-ES" w:bidi="es-ES"/>
        </w:rPr>
      </w:pPr>
      <w:r>
        <w:rPr>
          <w:rFonts w:ascii="Verdana" w:eastAsia="Arial" w:hAnsi="Verdana" w:cs="Arial"/>
          <w:color w:val="000000"/>
          <w:lang w:eastAsia="es-ES" w:bidi="es-ES"/>
        </w:rPr>
        <w:t xml:space="preserve">Por tanto, si bien </w:t>
      </w:r>
      <w:r w:rsidRPr="00F74424">
        <w:rPr>
          <w:rFonts w:ascii="Verdana" w:eastAsia="Arial" w:hAnsi="Verdana" w:cs="Arial"/>
          <w:color w:val="000000"/>
          <w:lang w:eastAsia="es-ES" w:bidi="es-ES"/>
        </w:rPr>
        <w:t xml:space="preserve">es jurídicamente viable </w:t>
      </w:r>
      <w:r>
        <w:rPr>
          <w:rFonts w:ascii="Verdana" w:eastAsia="Arial" w:hAnsi="Verdana" w:cs="Arial"/>
          <w:color w:val="000000"/>
          <w:lang w:eastAsia="es-ES" w:bidi="es-ES"/>
        </w:rPr>
        <w:t>realizar</w:t>
      </w:r>
      <w:r w:rsidRPr="00F74424">
        <w:rPr>
          <w:rFonts w:ascii="Verdana" w:eastAsia="Arial" w:hAnsi="Verdana" w:cs="Arial"/>
          <w:color w:val="000000"/>
          <w:lang w:eastAsia="es-ES" w:bidi="es-ES"/>
        </w:rPr>
        <w:t xml:space="preserve"> modificaciones a los contratos estatales, </w:t>
      </w:r>
      <w:r>
        <w:rPr>
          <w:rFonts w:ascii="Verdana" w:eastAsia="Arial" w:hAnsi="Verdana" w:cs="Arial"/>
          <w:color w:val="000000"/>
          <w:lang w:eastAsia="es-ES" w:bidi="es-ES"/>
        </w:rPr>
        <w:t xml:space="preserve">vale la pena advertir que el manejo presupuestal para hacer cumplir el contrato lo determinan las normas presupuestales aplicables a la materia. </w:t>
      </w:r>
      <w:r w:rsidRPr="009E7F02">
        <w:rPr>
          <w:rFonts w:ascii="Verdana" w:eastAsia="Arial" w:hAnsi="Verdana" w:cs="Arial"/>
          <w:color w:val="000000"/>
          <w:lang w:eastAsia="es-ES" w:bidi="es-ES"/>
        </w:rPr>
        <w:t xml:space="preserve">En este contexto, para evaluar la viabilidad de una modificación contractual con impacto </w:t>
      </w:r>
      <w:r>
        <w:rPr>
          <w:rFonts w:ascii="Verdana" w:eastAsia="Arial" w:hAnsi="Verdana" w:cs="Arial"/>
          <w:color w:val="000000"/>
          <w:lang w:eastAsia="es-ES" w:bidi="es-ES"/>
        </w:rPr>
        <w:t>en las cláusulas que estipulan aspectos p</w:t>
      </w:r>
      <w:r w:rsidRPr="009E7F02">
        <w:rPr>
          <w:rFonts w:ascii="Verdana" w:eastAsia="Arial" w:hAnsi="Verdana" w:cs="Arial"/>
          <w:color w:val="000000"/>
          <w:lang w:eastAsia="es-ES" w:bidi="es-ES"/>
        </w:rPr>
        <w:t>resupuestal</w:t>
      </w:r>
      <w:r>
        <w:rPr>
          <w:rFonts w:ascii="Verdana" w:eastAsia="Arial" w:hAnsi="Verdana" w:cs="Arial"/>
          <w:color w:val="000000"/>
          <w:lang w:eastAsia="es-ES" w:bidi="es-ES"/>
        </w:rPr>
        <w:t>es</w:t>
      </w:r>
      <w:r w:rsidRPr="009E7F02">
        <w:rPr>
          <w:rFonts w:ascii="Verdana" w:eastAsia="Arial" w:hAnsi="Verdana" w:cs="Arial"/>
          <w:color w:val="000000"/>
          <w:lang w:eastAsia="es-ES" w:bidi="es-ES"/>
        </w:rPr>
        <w:t>, la entidad tiene la obligación de analizar</w:t>
      </w:r>
      <w:r>
        <w:rPr>
          <w:rFonts w:ascii="Verdana" w:eastAsia="Arial" w:hAnsi="Verdana" w:cs="Arial"/>
          <w:color w:val="000000"/>
          <w:lang w:eastAsia="es-ES" w:bidi="es-ES"/>
        </w:rPr>
        <w:t xml:space="preserve"> previamente</w:t>
      </w:r>
      <w:r w:rsidRPr="009E7F02">
        <w:rPr>
          <w:rFonts w:ascii="Verdana" w:eastAsia="Arial" w:hAnsi="Verdana" w:cs="Arial"/>
          <w:color w:val="000000"/>
          <w:lang w:eastAsia="es-ES" w:bidi="es-ES"/>
        </w:rPr>
        <w:t xml:space="preserve"> de manera integral los instrumentos y procedimientos previstos en la normativa presupuestal, a fin de identificar con precisión la forma en que estos operan durante la ejecución del contrato y determinar si</w:t>
      </w:r>
      <w:r>
        <w:rPr>
          <w:rFonts w:ascii="Verdana" w:eastAsia="Arial" w:hAnsi="Verdana" w:cs="Arial"/>
          <w:color w:val="000000"/>
          <w:lang w:eastAsia="es-ES" w:bidi="es-ES"/>
        </w:rPr>
        <w:t xml:space="preserve"> estos resultan aplicables. </w:t>
      </w:r>
    </w:p>
    <w:p w14:paraId="1FB9242E" w14:textId="77777777" w:rsidR="008255F4" w:rsidRDefault="008255F4" w:rsidP="008255F4">
      <w:pPr>
        <w:widowControl w:val="0"/>
        <w:autoSpaceDE w:val="0"/>
        <w:autoSpaceDN w:val="0"/>
        <w:spacing w:after="120" w:line="276" w:lineRule="auto"/>
        <w:ind w:firstLine="709"/>
        <w:jc w:val="both"/>
        <w:rPr>
          <w:rFonts w:ascii="Verdana" w:eastAsia="Arial" w:hAnsi="Verdana" w:cs="Arial"/>
          <w:color w:val="000000"/>
          <w:lang w:eastAsia="es-ES" w:bidi="es-ES"/>
        </w:rPr>
      </w:pPr>
      <w:r>
        <w:rPr>
          <w:rFonts w:ascii="Verdana" w:eastAsia="Arial" w:hAnsi="Verdana" w:cs="Arial"/>
          <w:color w:val="000000"/>
          <w:lang w:eastAsia="es-ES" w:bidi="es-ES"/>
        </w:rPr>
        <w:t xml:space="preserve">Como se explicó </w:t>
      </w:r>
      <w:r w:rsidRPr="00172994">
        <w:rPr>
          <w:rFonts w:ascii="Verdana" w:eastAsia="Arial" w:hAnsi="Verdana" w:cs="Arial"/>
          <w:i/>
          <w:iCs/>
          <w:color w:val="000000"/>
          <w:lang w:eastAsia="es-ES" w:bidi="es-ES"/>
        </w:rPr>
        <w:t>ut supra</w:t>
      </w:r>
      <w:r>
        <w:rPr>
          <w:rFonts w:ascii="Verdana" w:eastAsia="Arial" w:hAnsi="Verdana" w:cs="Arial"/>
          <w:color w:val="000000"/>
          <w:lang w:eastAsia="es-ES" w:bidi="es-ES"/>
        </w:rPr>
        <w:t xml:space="preserve">, existe una conexión material entre </w:t>
      </w:r>
      <w:r w:rsidRPr="00432D7F">
        <w:rPr>
          <w:rFonts w:ascii="Verdana" w:eastAsia="Times New Roman" w:hAnsi="Verdana" w:cs="Arial"/>
          <w:color w:val="1A1A1A" w:themeColor="background1" w:themeShade="1A"/>
          <w:lang w:eastAsia="es-ES_tradnl"/>
        </w:rPr>
        <w:t xml:space="preserve">régimen de </w:t>
      </w:r>
      <w:r w:rsidRPr="00432D7F">
        <w:rPr>
          <w:rFonts w:ascii="Verdana" w:eastAsia="Times New Roman" w:hAnsi="Verdana" w:cs="Arial"/>
          <w:color w:val="1A1A1A" w:themeColor="background1" w:themeShade="1A"/>
          <w:lang w:eastAsia="es-ES_tradnl"/>
        </w:rPr>
        <w:lastRenderedPageBreak/>
        <w:t xml:space="preserve">contratación estatal y el régimen presupuestal, </w:t>
      </w:r>
      <w:r>
        <w:rPr>
          <w:rFonts w:ascii="Verdana" w:eastAsia="Times New Roman" w:hAnsi="Verdana" w:cs="Arial"/>
          <w:color w:val="1A1A1A" w:themeColor="background1" w:themeShade="1A"/>
          <w:lang w:eastAsia="es-ES_tradnl"/>
        </w:rPr>
        <w:t xml:space="preserve">que implica que la celebración y ejecución de los </w:t>
      </w:r>
      <w:r w:rsidRPr="00432D7F">
        <w:rPr>
          <w:rFonts w:ascii="Verdana" w:eastAsia="Times New Roman" w:hAnsi="Verdana" w:cs="Arial"/>
          <w:color w:val="1A1A1A" w:themeColor="background1" w:themeShade="1A"/>
          <w:lang w:eastAsia="es-ES_tradnl"/>
        </w:rPr>
        <w:t>contratos, están condicionad</w:t>
      </w:r>
      <w:r>
        <w:rPr>
          <w:rFonts w:ascii="Verdana" w:eastAsia="Times New Roman" w:hAnsi="Verdana" w:cs="Arial"/>
          <w:color w:val="1A1A1A" w:themeColor="background1" w:themeShade="1A"/>
          <w:lang w:eastAsia="es-ES_tradnl"/>
        </w:rPr>
        <w:t>o</w:t>
      </w:r>
      <w:r w:rsidRPr="00432D7F">
        <w:rPr>
          <w:rFonts w:ascii="Verdana" w:eastAsia="Times New Roman" w:hAnsi="Verdana" w:cs="Arial"/>
          <w:color w:val="1A1A1A" w:themeColor="background1" w:themeShade="1A"/>
          <w:lang w:eastAsia="es-ES_tradnl"/>
        </w:rPr>
        <w:t>s por las reglas fiscales y los principios presupuestales</w:t>
      </w:r>
      <w:r>
        <w:rPr>
          <w:rFonts w:ascii="Verdana" w:eastAsia="Times New Roman" w:hAnsi="Verdana" w:cs="Arial"/>
          <w:color w:val="1A1A1A" w:themeColor="background1" w:themeShade="1A"/>
          <w:lang w:eastAsia="es-ES_tradnl"/>
        </w:rPr>
        <w:t xml:space="preserve">. </w:t>
      </w:r>
      <w:r w:rsidRPr="009E7F02">
        <w:rPr>
          <w:rFonts w:ascii="Verdana" w:eastAsia="Arial" w:hAnsi="Verdana" w:cs="Arial"/>
          <w:color w:val="000000"/>
          <w:lang w:eastAsia="es-ES" w:bidi="es-ES"/>
        </w:rPr>
        <w:t>Así, tratándose de elementos como la disponibilidad o el registro presupuestal, la administración debe valorar la pertinencia y aplicabilidad de instrumentos como las reservas presupuestales</w:t>
      </w:r>
      <w:r>
        <w:rPr>
          <w:rFonts w:ascii="Verdana" w:eastAsia="Arial" w:hAnsi="Verdana" w:cs="Arial"/>
          <w:color w:val="000000"/>
          <w:lang w:eastAsia="es-ES" w:bidi="es-ES"/>
        </w:rPr>
        <w:t>,</w:t>
      </w:r>
      <w:r w:rsidRPr="009E7F02">
        <w:rPr>
          <w:rFonts w:ascii="Verdana" w:eastAsia="Arial" w:hAnsi="Verdana" w:cs="Arial"/>
          <w:color w:val="000000"/>
          <w:lang w:eastAsia="es-ES" w:bidi="es-ES"/>
        </w:rPr>
        <w:t xml:space="preserve"> las cuentas por pagar</w:t>
      </w:r>
      <w:r>
        <w:rPr>
          <w:rFonts w:ascii="Verdana" w:eastAsia="Arial" w:hAnsi="Verdana" w:cs="Arial"/>
          <w:color w:val="000000"/>
          <w:lang w:eastAsia="es-ES" w:bidi="es-ES"/>
        </w:rPr>
        <w:t xml:space="preserve"> o el pago de pasivos por vigencias expiradas, </w:t>
      </w:r>
      <w:r w:rsidRPr="009E7F02">
        <w:rPr>
          <w:rFonts w:ascii="Verdana" w:eastAsia="Arial" w:hAnsi="Verdana" w:cs="Arial"/>
          <w:color w:val="000000"/>
          <w:lang w:eastAsia="es-ES" w:bidi="es-ES"/>
        </w:rPr>
        <w:t xml:space="preserve">que permiten </w:t>
      </w:r>
      <w:r>
        <w:rPr>
          <w:rFonts w:ascii="Verdana" w:eastAsia="Arial" w:hAnsi="Verdana" w:cs="Arial"/>
          <w:color w:val="000000"/>
          <w:lang w:eastAsia="es-ES" w:bidi="es-ES"/>
        </w:rPr>
        <w:t>respaldar presupuestalmente</w:t>
      </w:r>
      <w:r w:rsidRPr="009E7F02">
        <w:rPr>
          <w:rFonts w:ascii="Verdana" w:eastAsia="Arial" w:hAnsi="Verdana" w:cs="Arial"/>
          <w:color w:val="000000"/>
          <w:lang w:eastAsia="es-ES" w:bidi="es-ES"/>
        </w:rPr>
        <w:t xml:space="preserve"> la ejecución </w:t>
      </w:r>
      <w:r>
        <w:rPr>
          <w:rFonts w:ascii="Verdana" w:eastAsia="Arial" w:hAnsi="Verdana" w:cs="Arial"/>
          <w:color w:val="000000"/>
          <w:lang w:eastAsia="es-ES" w:bidi="es-ES"/>
        </w:rPr>
        <w:t xml:space="preserve">del contrato </w:t>
      </w:r>
      <w:r w:rsidRPr="009E7F02">
        <w:rPr>
          <w:rFonts w:ascii="Verdana" w:eastAsia="Arial" w:hAnsi="Verdana" w:cs="Arial"/>
          <w:color w:val="000000"/>
          <w:lang w:eastAsia="es-ES" w:bidi="es-ES"/>
        </w:rPr>
        <w:t>más allá de la vigencia fiscal en la que fueron inicialmente comprometidas</w:t>
      </w:r>
      <w:r>
        <w:rPr>
          <w:rFonts w:ascii="Verdana" w:eastAsia="Arial" w:hAnsi="Verdana" w:cs="Arial"/>
          <w:color w:val="000000"/>
          <w:lang w:eastAsia="es-ES" w:bidi="es-ES"/>
        </w:rPr>
        <w:t>, sin perjuicio de las responsabilidades que se generen</w:t>
      </w:r>
      <w:r w:rsidRPr="009E7F02">
        <w:rPr>
          <w:rFonts w:ascii="Verdana" w:eastAsia="Arial" w:hAnsi="Verdana" w:cs="Arial"/>
          <w:color w:val="000000"/>
          <w:lang w:eastAsia="es-ES" w:bidi="es-ES"/>
        </w:rPr>
        <w:t>. La adecuada utilización de estas herramientas presupuestales resulta indispensable para garantizar la continuidad y correcta ejecución del contrato</w:t>
      </w:r>
      <w:r>
        <w:rPr>
          <w:rFonts w:ascii="Verdana" w:eastAsia="Arial" w:hAnsi="Verdana" w:cs="Arial"/>
          <w:color w:val="000000"/>
          <w:lang w:eastAsia="es-ES" w:bidi="es-ES"/>
        </w:rPr>
        <w:t>.</w:t>
      </w:r>
    </w:p>
    <w:p w14:paraId="1DF8D37E" w14:textId="77777777" w:rsidR="00AA3286" w:rsidRPr="00AA3286" w:rsidRDefault="00AA3286" w:rsidP="00AA3286">
      <w:pPr>
        <w:widowControl w:val="0"/>
        <w:autoSpaceDE w:val="0"/>
        <w:autoSpaceDN w:val="0"/>
        <w:spacing w:after="120" w:line="276" w:lineRule="auto"/>
        <w:ind w:firstLine="709"/>
        <w:jc w:val="both"/>
        <w:rPr>
          <w:rFonts w:ascii="Verdana" w:eastAsia="Arial" w:hAnsi="Verdana" w:cs="Arial"/>
          <w:color w:val="000000"/>
          <w:lang w:eastAsia="es-ES" w:bidi="es-ES"/>
        </w:rPr>
      </w:pPr>
      <w:r w:rsidRPr="00AA3286">
        <w:rPr>
          <w:rFonts w:ascii="Verdana" w:eastAsia="Arial" w:hAnsi="Verdana" w:cs="Arial"/>
          <w:color w:val="000000"/>
          <w:lang w:eastAsia="es-ES" w:bidi="es-ES"/>
        </w:rPr>
        <w:t>Ahora bien, para precisar la incidencia del reajuste de las imputaciones presupuestales en los requisitos del contrato conviene distinguir los tres planos que el artículo 41 de la Ley 80 de 1993 mantiene separados. El perfeccionamiento —la existencia y validez del contrato— se produce con el acuerdo escrito sobre el objeto y la contraprestación (inciso primero). La ejecución exige, además, la aprobación de la garantía, la acreditación del pago de los aportes al sistema de seguridad social y la existencia del registro presupuestal (inciso segundo, modificado por el artículo 23 de la Ley 1150 de 2007). Y la publicidad impone a la entidad publicar en el SECOP los Documentos del Proceso dentro de los tres (3) días hábiles siguientes a su expedición (artículo 2.2.1.1.1.7.1 del Decreto 1082 de 2015).</w:t>
      </w:r>
    </w:p>
    <w:p w14:paraId="6DD63A86" w14:textId="77777777" w:rsidR="00AA3286" w:rsidRPr="00AA3286" w:rsidRDefault="00AA3286" w:rsidP="00AA3286">
      <w:pPr>
        <w:widowControl w:val="0"/>
        <w:autoSpaceDE w:val="0"/>
        <w:autoSpaceDN w:val="0"/>
        <w:spacing w:after="120" w:line="276" w:lineRule="auto"/>
        <w:ind w:firstLine="709"/>
        <w:jc w:val="both"/>
        <w:rPr>
          <w:rFonts w:ascii="Verdana" w:eastAsia="Arial" w:hAnsi="Verdana" w:cs="Arial"/>
          <w:color w:val="000000"/>
          <w:lang w:eastAsia="es-ES" w:bidi="es-ES"/>
        </w:rPr>
      </w:pPr>
      <w:r w:rsidRPr="00AA3286">
        <w:rPr>
          <w:rFonts w:ascii="Verdana" w:eastAsia="Arial" w:hAnsi="Verdana" w:cs="Arial"/>
          <w:color w:val="000000"/>
          <w:lang w:eastAsia="es-ES" w:bidi="es-ES"/>
        </w:rPr>
        <w:t>De esa distinción se sigue la respuesta a la consulta. La reversión o el reajuste del CDP y del RP no afecta el perfeccionamiento del contrato ni el de su modificación, pues tales documentos no son requisitos de existencia o validez. Tampoco incumple el requisito de ejecución, siempre que el contrato quede respaldado por un registro presupuestal vigente sin solución de continuidad, ya que ejecutar un contrato sin registro contraviene el artículo 71 del Estatuto Orgánico del Presupuesto y compromete la responsabilidad del ordenador del gasto. En la práctica, ello supone respetar la secuencia que imponen las normas presupuestales: el certificado de disponibilidad es previo a la asunción del nuevo compromiso y, por tanto, debe expedirse antes de suscribir el otrosí que afecta recursos, mientras que el registro se expide con ocasión del perfeccionamiento de la modificación. Por último, el reajuste no releva del deber de publicidad: la constancia de reversión y los nuevos CDP y RP deben publicarse en el SECOP dentro del término legal.</w:t>
      </w:r>
    </w:p>
    <w:p w14:paraId="385D469E" w14:textId="4E9017E5" w:rsidR="00AA3286" w:rsidRDefault="00AA3286" w:rsidP="00AA3286">
      <w:pPr>
        <w:widowControl w:val="0"/>
        <w:autoSpaceDE w:val="0"/>
        <w:autoSpaceDN w:val="0"/>
        <w:spacing w:after="120" w:line="276" w:lineRule="auto"/>
        <w:ind w:firstLine="709"/>
        <w:jc w:val="both"/>
        <w:rPr>
          <w:rFonts w:ascii="Verdana" w:eastAsia="Arial" w:hAnsi="Verdana" w:cs="Arial"/>
          <w:color w:val="000000"/>
          <w:lang w:eastAsia="es-ES" w:bidi="es-ES"/>
        </w:rPr>
      </w:pPr>
      <w:r w:rsidRPr="00AA3286">
        <w:rPr>
          <w:rFonts w:ascii="Verdana" w:eastAsia="Arial" w:hAnsi="Verdana" w:cs="Arial"/>
          <w:color w:val="000000"/>
          <w:lang w:eastAsia="es-ES" w:bidi="es-ES"/>
        </w:rPr>
        <w:lastRenderedPageBreak/>
        <w:t>Cabe precisar que la operación que la consulta denomina “anulación” de CDP y RP no es unívoca en el régimen presupuestal. La anulación en sentido estricto opera respecto de documentos que no tienen un compromiso u obligación asociada; cuando el contrato ya se encuentra perfeccionado y cuenta con registro, lo que procede es la reducción o liberación de los saldos no comprometidos o no obligados, o el ajuste de la imputación, mediante acto administrativo motivado del ordenador del gasto o del jefe de presupuesto. La denominación y el procedimiento exactos dependen del sistema presupuestal aplicable y de las directrices de la autoridad de hacienda competente, materia que excede la órbita consultiva de esta Agencia.</w:t>
      </w:r>
    </w:p>
    <w:p w14:paraId="1CADCA16" w14:textId="77777777" w:rsidR="008255F4" w:rsidRDefault="008255F4" w:rsidP="008255F4">
      <w:pPr>
        <w:spacing w:after="0" w:line="276" w:lineRule="auto"/>
        <w:ind w:firstLine="708"/>
        <w:jc w:val="both"/>
        <w:rPr>
          <w:rFonts w:ascii="Verdana" w:hAnsi="Verdana" w:cs="Arial"/>
        </w:rPr>
      </w:pPr>
      <w:r>
        <w:rPr>
          <w:rFonts w:ascii="Verdana" w:hAnsi="Verdana" w:cs="Arial"/>
        </w:rPr>
        <w:t>Sin embargo, al ser un trámite interno que corresponde exclusivamente a las entidades contratantes, los vicios en la expedición de certificados o registros presupuestales no invalidan los negocios suscritos, lo cual no obsta para que estas irregularidades comprometan la responsabilidad de los funcionarios encargados de la gestión financiera. Por ejemplo, la Sección Tercera d</w:t>
      </w:r>
      <w:r w:rsidRPr="002E3E23">
        <w:rPr>
          <w:rFonts w:ascii="Verdana" w:hAnsi="Verdana" w:cs="Arial"/>
        </w:rPr>
        <w:t>el Consejo de Estado señaló que</w:t>
      </w:r>
      <w:r>
        <w:rPr>
          <w:rFonts w:ascii="Verdana" w:hAnsi="Verdana" w:cs="Arial"/>
        </w:rPr>
        <w:t>:</w:t>
      </w:r>
    </w:p>
    <w:p w14:paraId="522E6B82" w14:textId="77777777" w:rsidR="008255F4" w:rsidRDefault="008255F4" w:rsidP="008255F4">
      <w:pPr>
        <w:spacing w:after="0" w:line="276" w:lineRule="auto"/>
        <w:ind w:firstLine="708"/>
        <w:jc w:val="both"/>
        <w:rPr>
          <w:rFonts w:ascii="Verdana" w:hAnsi="Verdana" w:cs="Arial"/>
        </w:rPr>
      </w:pPr>
      <w:r>
        <w:rPr>
          <w:rFonts w:ascii="Verdana" w:hAnsi="Verdana" w:cs="Arial"/>
        </w:rPr>
        <w:t xml:space="preserve"> </w:t>
      </w:r>
    </w:p>
    <w:p w14:paraId="59DF38EF" w14:textId="77777777" w:rsidR="008255F4" w:rsidRPr="007C0B13" w:rsidRDefault="008255F4" w:rsidP="008255F4">
      <w:pPr>
        <w:spacing w:after="0" w:line="240" w:lineRule="auto"/>
        <w:ind w:left="709" w:right="709"/>
        <w:jc w:val="both"/>
        <w:rPr>
          <w:rFonts w:ascii="Verdana" w:hAnsi="Verdana" w:cs="Arial"/>
          <w:sz w:val="20"/>
          <w:szCs w:val="20"/>
        </w:rPr>
      </w:pPr>
      <w:r w:rsidRPr="007C0B13">
        <w:rPr>
          <w:rFonts w:ascii="Verdana" w:hAnsi="Verdana" w:cs="Arial"/>
          <w:sz w:val="20"/>
          <w:szCs w:val="20"/>
        </w:rPr>
        <w:t xml:space="preserve">“[…] resulta claro que ninguna autoridad del Estado podrá adelantar procedimientos administrativos de selección contractual, tales como licitaciones o concursos, celebrar contratos o contraer obligaciones, sin contar con el respectivo certificado de disponibilidad presupuestal, omisión que si bien es cierto daría lugar a la violación de los principios de legalidad del gasto y de planeación y, por ello mismo, podría comprometer la responsabilidad personal y patrimonial -en los ámbitos disciplinario, fiscal e incluso penal- del funcionario que actúe con desobedecimiento de los mismos, no es menos cierto que no tendría la entidad suficiente para afectar la validez del respectivo contrato como quiera que, en principio, la ausencia de tal disponibilidad no está llamada a configurar de manera directa y autónoma, </w:t>
      </w:r>
      <w:r w:rsidRPr="007C0B13">
        <w:rPr>
          <w:rFonts w:ascii="Verdana" w:hAnsi="Verdana" w:cs="Arial"/>
          <w:i/>
          <w:iCs/>
          <w:sz w:val="20"/>
          <w:szCs w:val="20"/>
        </w:rPr>
        <w:t>per se</w:t>
      </w:r>
      <w:r w:rsidRPr="007C0B13">
        <w:rPr>
          <w:rFonts w:ascii="Verdana" w:hAnsi="Verdana" w:cs="Arial"/>
          <w:sz w:val="20"/>
          <w:szCs w:val="20"/>
        </w:rPr>
        <w:t>, una específica causal de nulidad de los contratos estatales”</w:t>
      </w:r>
      <w:r w:rsidRPr="007C0B13">
        <w:rPr>
          <w:rStyle w:val="Refdenotaalpie"/>
          <w:rFonts w:ascii="Verdana" w:hAnsi="Verdana" w:cs="Arial"/>
          <w:sz w:val="20"/>
          <w:szCs w:val="20"/>
        </w:rPr>
        <w:footnoteReference w:id="21"/>
      </w:r>
      <w:r w:rsidRPr="007C0B13">
        <w:rPr>
          <w:rFonts w:ascii="Verdana" w:hAnsi="Verdana" w:cs="Arial"/>
          <w:sz w:val="20"/>
          <w:szCs w:val="20"/>
        </w:rPr>
        <w:t>.</w:t>
      </w:r>
    </w:p>
    <w:p w14:paraId="63981971" w14:textId="77777777" w:rsidR="008255F4" w:rsidRDefault="008255F4" w:rsidP="008255F4">
      <w:pPr>
        <w:spacing w:after="0" w:line="276" w:lineRule="auto"/>
        <w:jc w:val="both"/>
        <w:rPr>
          <w:rFonts w:ascii="Verdana" w:hAnsi="Verdana" w:cs="Arial"/>
        </w:rPr>
      </w:pPr>
    </w:p>
    <w:p w14:paraId="5D14DE1D" w14:textId="3372A821" w:rsidR="008255F4" w:rsidRDefault="007076B5" w:rsidP="008255F4">
      <w:pPr>
        <w:spacing w:after="120" w:line="276" w:lineRule="auto"/>
        <w:ind w:firstLine="708"/>
        <w:jc w:val="both"/>
        <w:rPr>
          <w:rFonts w:ascii="Verdana" w:hAnsi="Verdana" w:cs="Arial"/>
        </w:rPr>
      </w:pPr>
      <w:r w:rsidRPr="007076B5">
        <w:rPr>
          <w:rFonts w:ascii="Verdana" w:hAnsi="Verdana" w:cs="Arial"/>
        </w:rPr>
        <w:t>Las irregularidades en el trámite presupuestal no afectan la validez de los contratos estatales, pues no inciden en la selección del contratista ni en la formación del contrato, y deben subsanarse internamente por la entidad. Con todo, conviene diferenciar dos supuestos: (i) la corrección de una imputación efectivamente errónea, y (</w:t>
      </w:r>
      <w:proofErr w:type="spellStart"/>
      <w:r w:rsidRPr="007076B5">
        <w:rPr>
          <w:rFonts w:ascii="Verdana" w:hAnsi="Verdana" w:cs="Arial"/>
        </w:rPr>
        <w:t>ii</w:t>
      </w:r>
      <w:proofErr w:type="spellEnd"/>
      <w:r w:rsidRPr="007076B5">
        <w:rPr>
          <w:rFonts w:ascii="Verdana" w:hAnsi="Verdana" w:cs="Arial"/>
        </w:rPr>
        <w:t xml:space="preserve">) el simple reajuste de las imputaciones con ocasión </w:t>
      </w:r>
      <w:r w:rsidRPr="007076B5">
        <w:rPr>
          <w:rFonts w:ascii="Verdana" w:hAnsi="Verdana" w:cs="Arial"/>
        </w:rPr>
        <w:lastRenderedPageBreak/>
        <w:t>de una modificación válida del contrato, que no supone vicio alguno, sino la adecuación del respaldo presupuestal a las nuevas condiciones. En uno y otro caso, el ajuste se realiza tomando como base las recomendaciones de las áreas financieras, quienes adoptarán las medidas pertinentes para ajustar el trámite presupuestal de acuerdo con las directrices del Ministerio de Hacienda y Crédito Público —tratándose del orden nacional— o de las secretarías de hacienda de los departamentos, municipios y distritos —en el caso de las entidades del nivel territorial—</w:t>
      </w:r>
      <w:r w:rsidR="008255F4">
        <w:rPr>
          <w:rFonts w:ascii="Verdana" w:hAnsi="Verdana" w:cs="Arial"/>
        </w:rPr>
        <w:t>. Por ello, autores como VEDEL distinguen entre las irregularidades administrativas y presupuestales en la contratación: mientras las primeras constituyen vicios invalidantes del negocio suscrito, las segundas debe ser subsanadas internamente por la entidad</w:t>
      </w:r>
      <w:r w:rsidR="008255F4">
        <w:rPr>
          <w:rStyle w:val="Refdenotaalpie"/>
          <w:rFonts w:ascii="Verdana" w:hAnsi="Verdana" w:cs="Arial"/>
        </w:rPr>
        <w:footnoteReference w:id="22"/>
      </w:r>
      <w:r w:rsidR="008255F4">
        <w:rPr>
          <w:rFonts w:ascii="Verdana" w:hAnsi="Verdana" w:cs="Arial"/>
        </w:rPr>
        <w:t xml:space="preserve">. Lo anterior tomando como base las recomendaciones de las áreas financieras, quienes adoptaran las medidas pertinentes para ajustar el trámite presupuestal de acuerdo con la directrices del Ministerio de Hacienda y Crédito Público –tratándose del orden nacional– o de las secretarías de hacienda de los departamentos, municipios y distritos –en el caso de la entidades del nivel territorial–. </w:t>
      </w:r>
    </w:p>
    <w:p w14:paraId="0499E51E" w14:textId="77777777" w:rsidR="008255F4" w:rsidRPr="00CE3CA4" w:rsidRDefault="008255F4" w:rsidP="008255F4">
      <w:pPr>
        <w:spacing w:after="120" w:line="276" w:lineRule="auto"/>
        <w:ind w:firstLine="708"/>
        <w:jc w:val="both"/>
        <w:rPr>
          <w:rFonts w:ascii="Verdana" w:hAnsi="Verdana" w:cs="Arial"/>
        </w:rPr>
      </w:pPr>
      <w:r>
        <w:rPr>
          <w:rFonts w:ascii="Verdana" w:hAnsi="Verdana" w:cs="Arial"/>
        </w:rPr>
        <w:t xml:space="preserve">Dicha instancia definirá si, para efectos modificatorios, es posible o no anular las imputaciones presupuestales erróneamente expedidas y cuál es procedimiento para hacerlo. La constancia de reversión que eventualmente se expida será un “Documento del Proceso” conforme al artículo </w:t>
      </w:r>
      <w:r w:rsidRPr="00ED50AF">
        <w:rPr>
          <w:rFonts w:ascii="Verdana" w:hAnsi="Verdana" w:cs="Arial"/>
        </w:rPr>
        <w:t>2.2.1.1.1.3.1</w:t>
      </w:r>
      <w:r>
        <w:rPr>
          <w:rFonts w:ascii="Verdana" w:hAnsi="Verdana" w:cs="Arial"/>
        </w:rPr>
        <w:t xml:space="preserve"> del Decreto 1082 de 2015 y, al igual los nuevos CDP y RP que se expidan en virtud del otrosí, harán parte del expediente contractual por corresponder a “[…] </w:t>
      </w:r>
      <w:r w:rsidRPr="009F0522">
        <w:rPr>
          <w:rFonts w:ascii="Verdana" w:hAnsi="Verdana" w:cs="Arial"/>
        </w:rPr>
        <w:lastRenderedPageBreak/>
        <w:t>cualquier otro documento expedido por la Entidad Estatal durante el Proceso de Contratación</w:t>
      </w:r>
      <w:r>
        <w:rPr>
          <w:rFonts w:ascii="Verdana" w:hAnsi="Verdana" w:cs="Arial"/>
        </w:rPr>
        <w:t>”.</w:t>
      </w:r>
    </w:p>
    <w:p w14:paraId="1EF75690" w14:textId="77777777" w:rsidR="008255F4" w:rsidRDefault="008255F4" w:rsidP="008255F4">
      <w:pPr>
        <w:widowControl w:val="0"/>
        <w:autoSpaceDE w:val="0"/>
        <w:autoSpaceDN w:val="0"/>
        <w:spacing w:after="120" w:line="276" w:lineRule="auto"/>
        <w:ind w:firstLine="709"/>
        <w:jc w:val="both"/>
        <w:rPr>
          <w:rFonts w:ascii="Verdana" w:eastAsia="Arial" w:hAnsi="Verdana" w:cs="Arial"/>
          <w:color w:val="000000"/>
          <w:lang w:eastAsia="es-ES" w:bidi="es-ES"/>
        </w:rPr>
      </w:pPr>
      <w:r>
        <w:rPr>
          <w:rFonts w:ascii="Verdana" w:eastAsia="Arial" w:hAnsi="Verdana" w:cs="Arial"/>
          <w:color w:val="000000"/>
          <w:lang w:eastAsia="es-ES" w:bidi="es-ES"/>
        </w:rPr>
        <w:t>L</w:t>
      </w:r>
      <w:r w:rsidRPr="00F368E6">
        <w:rPr>
          <w:rFonts w:ascii="Verdana" w:eastAsia="Arial" w:hAnsi="Verdana" w:cs="Arial"/>
          <w:color w:val="000000"/>
          <w:lang w:eastAsia="es-ES" w:bidi="es-ES"/>
        </w:rPr>
        <w:t xml:space="preserve">a entidad pública está obligada a asegurar, a través de los instrumentos jurídicos y presupuestales pertinentes, el pago de los bienes o servicios efectivamente prestados. </w:t>
      </w:r>
      <w:r>
        <w:rPr>
          <w:rFonts w:ascii="Verdana" w:eastAsia="Arial" w:hAnsi="Verdana" w:cs="Arial"/>
          <w:color w:val="000000"/>
          <w:lang w:eastAsia="es-ES" w:bidi="es-ES"/>
        </w:rPr>
        <w:t xml:space="preserve">Por ello, la </w:t>
      </w:r>
      <w:r w:rsidRPr="00F368E6">
        <w:rPr>
          <w:rFonts w:ascii="Verdana" w:eastAsia="Arial" w:hAnsi="Verdana" w:cs="Arial"/>
          <w:color w:val="000000"/>
          <w:lang w:eastAsia="es-ES" w:bidi="es-ES"/>
        </w:rPr>
        <w:t xml:space="preserve">falta de disponibilidad o respaldo presupuestal </w:t>
      </w:r>
      <w:r>
        <w:rPr>
          <w:rFonts w:ascii="Verdana" w:eastAsia="Arial" w:hAnsi="Verdana" w:cs="Arial"/>
          <w:color w:val="000000"/>
          <w:lang w:eastAsia="es-ES" w:bidi="es-ES"/>
        </w:rPr>
        <w:t xml:space="preserve">o el fenecimiento de los recursos, </w:t>
      </w:r>
      <w:r w:rsidRPr="00F368E6">
        <w:rPr>
          <w:rFonts w:ascii="Verdana" w:eastAsia="Arial" w:hAnsi="Verdana" w:cs="Arial"/>
          <w:color w:val="000000"/>
          <w:lang w:eastAsia="es-ES" w:bidi="es-ES"/>
        </w:rPr>
        <w:t>no exonera a la entidad de su responsabilidad frente al contratista, ni la faculta para negar el pago de las prestaciones recibidas</w:t>
      </w:r>
      <w:r>
        <w:rPr>
          <w:rStyle w:val="Refdenotaalpie"/>
          <w:rFonts w:ascii="Verdana" w:hAnsi="Verdana" w:cs="Arial"/>
        </w:rPr>
        <w:footnoteReference w:id="23"/>
      </w:r>
      <w:r>
        <w:rPr>
          <w:rFonts w:ascii="Verdana" w:eastAsia="Arial" w:hAnsi="Verdana" w:cs="Arial"/>
          <w:color w:val="000000"/>
          <w:lang w:eastAsia="es-ES" w:bidi="es-ES"/>
        </w:rPr>
        <w:t>.</w:t>
      </w:r>
      <w:r w:rsidRPr="00F368E6">
        <w:rPr>
          <w:rFonts w:ascii="Verdana" w:eastAsia="Arial" w:hAnsi="Verdana" w:cs="Arial"/>
          <w:color w:val="000000"/>
          <w:lang w:eastAsia="es-ES" w:bidi="es-ES"/>
        </w:rPr>
        <w:t xml:space="preserve"> </w:t>
      </w:r>
      <w:r>
        <w:rPr>
          <w:rFonts w:ascii="Verdana" w:eastAsia="Arial" w:hAnsi="Verdana" w:cs="Arial"/>
          <w:color w:val="000000"/>
          <w:lang w:eastAsia="es-ES" w:bidi="es-ES"/>
        </w:rPr>
        <w:t>A</w:t>
      </w:r>
      <w:r w:rsidRPr="00F368E6">
        <w:rPr>
          <w:rFonts w:ascii="Verdana" w:eastAsia="Arial" w:hAnsi="Verdana" w:cs="Arial"/>
          <w:color w:val="000000"/>
          <w:lang w:eastAsia="es-ES" w:bidi="es-ES"/>
        </w:rPr>
        <w:t>l contrario, dicha situación impone a la administración el deber de adoptar las medidas necesarias para garantizar el cumplimiento oportuno y adecuado de las obligaciones derivadas de la ejecución contractual</w:t>
      </w:r>
      <w:r w:rsidRPr="008B7834">
        <w:rPr>
          <w:rFonts w:ascii="Verdana" w:eastAsia="Arial" w:hAnsi="Verdana" w:cs="Arial"/>
          <w:color w:val="000000"/>
          <w:lang w:eastAsia="es-ES" w:bidi="es-ES"/>
        </w:rPr>
        <w:t>.</w:t>
      </w:r>
      <w:r>
        <w:rPr>
          <w:rFonts w:ascii="Verdana" w:eastAsia="Arial" w:hAnsi="Verdana" w:cs="Arial"/>
          <w:color w:val="000000"/>
          <w:lang w:eastAsia="es-ES" w:bidi="es-ES"/>
        </w:rPr>
        <w:t xml:space="preserve"> </w:t>
      </w:r>
      <w:r w:rsidRPr="008B7834">
        <w:rPr>
          <w:rFonts w:ascii="Verdana" w:eastAsia="Arial" w:hAnsi="Verdana" w:cs="Arial"/>
          <w:color w:val="000000"/>
          <w:lang w:eastAsia="es-ES" w:bidi="es-ES"/>
        </w:rPr>
        <w:t xml:space="preserve">Así, el uso correcto de estos instrumentos no constituye un mecanismo para legitimar deficiencias de planeación, sino una forma excepcional y jurídicamente prevista para asegurar que la entidad honre los compromisos del contrato, sin desconocer los límites y principios que rigen </w:t>
      </w:r>
      <w:r>
        <w:rPr>
          <w:rFonts w:ascii="Verdana" w:eastAsia="Arial" w:hAnsi="Verdana" w:cs="Arial"/>
          <w:color w:val="000000"/>
          <w:lang w:eastAsia="es-ES" w:bidi="es-ES"/>
        </w:rPr>
        <w:t>el sistema presupuestal aplicable</w:t>
      </w:r>
      <w:r w:rsidRPr="008B7834">
        <w:rPr>
          <w:rFonts w:ascii="Verdana" w:eastAsia="Arial" w:hAnsi="Verdana" w:cs="Arial"/>
          <w:color w:val="000000"/>
          <w:lang w:eastAsia="es-ES" w:bidi="es-ES"/>
        </w:rPr>
        <w:t>.</w:t>
      </w:r>
      <w:r w:rsidRPr="008B7834">
        <w:rPr>
          <w:rFonts w:ascii="Verdana" w:eastAsia="Arial" w:hAnsi="Verdana" w:cs="Arial"/>
          <w:vanish/>
          <w:color w:val="000000"/>
          <w:lang w:eastAsia="es-ES" w:bidi="es-ES"/>
        </w:rPr>
        <w:t>Principio del formularioFinal del formulario</w:t>
      </w:r>
    </w:p>
    <w:p w14:paraId="11C0A1AA" w14:textId="77777777" w:rsidR="008255F4" w:rsidRDefault="008255F4" w:rsidP="008255F4">
      <w:pPr>
        <w:widowControl w:val="0"/>
        <w:autoSpaceDE w:val="0"/>
        <w:autoSpaceDN w:val="0"/>
        <w:spacing w:after="120" w:line="276" w:lineRule="auto"/>
        <w:ind w:firstLine="709"/>
        <w:jc w:val="both"/>
        <w:rPr>
          <w:rFonts w:ascii="Verdana" w:eastAsia="Arial" w:hAnsi="Verdana" w:cs="Arial"/>
          <w:color w:val="000000"/>
          <w:lang w:eastAsia="es-ES" w:bidi="es-ES"/>
        </w:rPr>
      </w:pPr>
      <w:r>
        <w:rPr>
          <w:rFonts w:ascii="Verdana" w:eastAsia="Arial" w:hAnsi="Verdana" w:cs="Arial"/>
          <w:color w:val="000000"/>
          <w:lang w:eastAsia="es-ES" w:bidi="es-ES"/>
        </w:rPr>
        <w:t>Por consiguiente</w:t>
      </w:r>
      <w:r w:rsidRPr="00117E65">
        <w:rPr>
          <w:rFonts w:ascii="Verdana" w:eastAsia="Arial" w:hAnsi="Verdana" w:cs="Arial"/>
          <w:color w:val="000000"/>
          <w:lang w:eastAsia="es-ES" w:bidi="es-ES"/>
        </w:rPr>
        <w:t>, a partir del análisis que realice la entidad respecto de las circunstancias específicas del caso concreto, será posible determinar si resulta procedente acudir a los instrumentos previstos en la normativa presupuestal</w:t>
      </w:r>
      <w:r>
        <w:rPr>
          <w:rFonts w:ascii="Verdana" w:eastAsia="Arial" w:hAnsi="Verdana" w:cs="Arial"/>
          <w:color w:val="000000"/>
          <w:lang w:eastAsia="es-ES" w:bidi="es-ES"/>
        </w:rPr>
        <w:t xml:space="preserve">, </w:t>
      </w:r>
      <w:r w:rsidRPr="00117E65">
        <w:rPr>
          <w:rFonts w:ascii="Verdana" w:eastAsia="Arial" w:hAnsi="Verdana" w:cs="Arial"/>
          <w:color w:val="000000"/>
          <w:lang w:eastAsia="es-ES" w:bidi="es-ES"/>
        </w:rPr>
        <w:t>si es viable adoptar una modificación contractual y cuál debe ser su alcance</w:t>
      </w:r>
      <w:r>
        <w:rPr>
          <w:rFonts w:ascii="Verdana" w:eastAsia="Arial" w:hAnsi="Verdana" w:cs="Arial"/>
          <w:color w:val="000000"/>
          <w:lang w:eastAsia="es-ES" w:bidi="es-ES"/>
        </w:rPr>
        <w:t xml:space="preserve"> o recurrir algún mecanismo de conciliación para el pago respectivo</w:t>
      </w:r>
      <w:r w:rsidRPr="00117E65">
        <w:rPr>
          <w:rFonts w:ascii="Verdana" w:eastAsia="Arial" w:hAnsi="Verdana" w:cs="Arial"/>
          <w:color w:val="000000"/>
          <w:lang w:eastAsia="es-ES" w:bidi="es-ES"/>
        </w:rPr>
        <w:t xml:space="preserve">. </w:t>
      </w:r>
      <w:r>
        <w:rPr>
          <w:rFonts w:ascii="Verdana" w:eastAsia="Arial" w:hAnsi="Verdana" w:cs="Arial"/>
          <w:color w:val="000000"/>
          <w:lang w:eastAsia="es-ES" w:bidi="es-ES"/>
        </w:rPr>
        <w:t>De todas formas, en caso de determinar la procedencia de una modificación, e</w:t>
      </w:r>
      <w:r w:rsidRPr="00117E65">
        <w:rPr>
          <w:rFonts w:ascii="Verdana" w:eastAsia="Arial" w:hAnsi="Verdana" w:cs="Arial"/>
          <w:color w:val="000000"/>
          <w:lang w:eastAsia="es-ES" w:bidi="es-ES"/>
        </w:rPr>
        <w:t>sta decisión debe tomarse siempre a la luz de las limitaciones de orden temporal, formal, material y axiológico que gobiernan tanto la contratación estatal como la ejecución del presupuesto público.</w:t>
      </w:r>
    </w:p>
    <w:p w14:paraId="2606B7F3" w14:textId="77777777" w:rsidR="008255F4" w:rsidRDefault="008255F4" w:rsidP="006E7C78">
      <w:pPr>
        <w:spacing w:after="120" w:line="276" w:lineRule="auto"/>
        <w:ind w:firstLine="709"/>
        <w:jc w:val="both"/>
        <w:rPr>
          <w:rFonts w:ascii="Verdana" w:eastAsia="Arial" w:hAnsi="Verdana" w:cs="Arial"/>
          <w:color w:val="000000"/>
          <w:lang w:eastAsia="es-ES" w:bidi="es-ES"/>
        </w:rPr>
      </w:pPr>
      <w:r w:rsidRPr="004A7C44">
        <w:rPr>
          <w:rFonts w:ascii="Verdana" w:eastAsia="Arial" w:hAnsi="Verdana" w:cs="Arial"/>
          <w:color w:val="000000"/>
          <w:lang w:eastAsia="es-ES" w:bidi="es-ES"/>
        </w:rPr>
        <w:t xml:space="preserve">En suma, la posibilidad de modificar los contratos estatales en lo relativo a su dimensión presupuestal no solo exige la debida motivación sino también un estricto cumplimiento de los principios y reglas que </w:t>
      </w:r>
      <w:r>
        <w:rPr>
          <w:rFonts w:ascii="Verdana" w:eastAsia="Arial" w:hAnsi="Verdana" w:cs="Arial"/>
          <w:color w:val="000000"/>
          <w:lang w:eastAsia="es-ES" w:bidi="es-ES"/>
        </w:rPr>
        <w:t>rigen</w:t>
      </w:r>
      <w:r w:rsidRPr="004A7C44">
        <w:rPr>
          <w:rFonts w:ascii="Verdana" w:eastAsia="Arial" w:hAnsi="Verdana" w:cs="Arial"/>
          <w:color w:val="000000"/>
          <w:lang w:eastAsia="es-ES" w:bidi="es-ES"/>
        </w:rPr>
        <w:t xml:space="preserve"> tanto la contratación pública como el sistema presupuestal, asegurando que las modificaciones respondan a necesidades reales del contrato y no a falencias de planeación o administración de los recursos públicos</w:t>
      </w:r>
      <w:r>
        <w:rPr>
          <w:rFonts w:ascii="Verdana" w:eastAsia="Arial" w:hAnsi="Verdana" w:cs="Arial"/>
          <w:color w:val="000000"/>
          <w:lang w:eastAsia="es-ES" w:bidi="es-ES"/>
        </w:rPr>
        <w:t>.</w:t>
      </w:r>
    </w:p>
    <w:p w14:paraId="2173FD43" w14:textId="3724CAC0" w:rsidR="00460487" w:rsidRDefault="00460487" w:rsidP="008255F4">
      <w:pPr>
        <w:spacing w:after="0" w:line="276" w:lineRule="auto"/>
        <w:ind w:firstLine="708"/>
        <w:jc w:val="both"/>
        <w:rPr>
          <w:rFonts w:ascii="Verdana" w:eastAsia="Arial" w:hAnsi="Verdana" w:cs="Arial"/>
          <w:color w:val="000000"/>
          <w:lang w:eastAsia="es-ES" w:bidi="es-ES"/>
        </w:rPr>
      </w:pPr>
      <w:r w:rsidRPr="00460487">
        <w:rPr>
          <w:rFonts w:ascii="Verdana" w:eastAsia="Arial" w:hAnsi="Verdana" w:cs="Arial"/>
          <w:color w:val="000000"/>
          <w:lang w:eastAsia="es-ES" w:bidi="es-ES"/>
        </w:rPr>
        <w:lastRenderedPageBreak/>
        <w:t>Finalmente, debe subrayarse que la definición concreta sobre la procedencia, la denominación y el trámite de la reversión, anulación, reducción o reexpedición de las imputaciones presupuestales no corresponde a esta Agencia, cuya competencia consultiva se circunscribe a la interpretación de las normas generales de compra y contratación pública. Esa materia pertenece al régimen presupuestal, cuya rectoría ejercen el Ministerio de Hacienda y Crédito Público —a través de la Dirección General del Presupuesto Público Nacional— en el orden nacional, y las secretarías de hacienda en el orden territorial (artículo 352 de la Constitución Política y Estatuto Orgánico del Presupuesto). A esas instancias deberá acudir la entidad para determinar el procedimiento aplicable.</w:t>
      </w:r>
    </w:p>
    <w:p w14:paraId="6ACB99CD" w14:textId="77777777" w:rsidR="008255F4" w:rsidRDefault="008255F4" w:rsidP="008255F4">
      <w:pPr>
        <w:spacing w:after="0" w:line="276" w:lineRule="auto"/>
        <w:ind w:firstLine="708"/>
        <w:jc w:val="both"/>
        <w:rPr>
          <w:rFonts w:ascii="Verdana" w:hAnsi="Verdana"/>
          <w:lang w:val="es-ES" w:eastAsia="es-ES"/>
        </w:rPr>
      </w:pPr>
    </w:p>
    <w:p w14:paraId="1FD833FA" w14:textId="77777777" w:rsidR="008255F4" w:rsidRPr="00CE3CA4" w:rsidRDefault="008255F4" w:rsidP="008255F4">
      <w:pPr>
        <w:spacing w:after="120" w:line="276" w:lineRule="auto"/>
        <w:jc w:val="both"/>
        <w:rPr>
          <w:rFonts w:ascii="Verdana" w:hAnsi="Verdana"/>
          <w:lang w:val="es-ES" w:eastAsia="es-ES"/>
        </w:rPr>
      </w:pPr>
      <w:r>
        <w:rPr>
          <w:rFonts w:ascii="Verdana" w:hAnsi="Verdana"/>
          <w:lang w:val="es-ES" w:eastAsia="es-ES"/>
        </w:rPr>
        <w:t xml:space="preserve">vi. </w:t>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44EC3E1" w14:textId="77777777" w:rsidR="008255F4" w:rsidRPr="00185EE9" w:rsidRDefault="008255F4" w:rsidP="008255F4">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1CBD6236" w14:textId="77777777" w:rsidR="008255F4" w:rsidRPr="00182C89" w:rsidRDefault="008255F4" w:rsidP="008255F4">
      <w:pPr>
        <w:tabs>
          <w:tab w:val="left" w:pos="709"/>
        </w:tabs>
        <w:spacing w:after="0" w:line="276" w:lineRule="auto"/>
        <w:jc w:val="both"/>
        <w:rPr>
          <w:rFonts w:ascii="Verdana" w:eastAsia="Calibri" w:hAnsi="Verdana" w:cs="Arial"/>
          <w:color w:val="000000" w:themeColor="text1"/>
        </w:rPr>
      </w:pPr>
    </w:p>
    <w:p w14:paraId="286D726F" w14:textId="77777777" w:rsidR="008255F4" w:rsidRPr="00593A5F" w:rsidRDefault="008255F4" w:rsidP="008255F4">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09CBC460" w14:textId="77777777" w:rsidR="008255F4" w:rsidRPr="00593A5F" w:rsidRDefault="008255F4" w:rsidP="008255F4">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255F4" w:rsidRPr="002407CE" w14:paraId="3A8B0315" w14:textId="77777777" w:rsidTr="00511EE9">
        <w:trPr>
          <w:trHeight w:val="56"/>
          <w:jc w:val="center"/>
        </w:trPr>
        <w:tc>
          <w:tcPr>
            <w:tcW w:w="8647" w:type="dxa"/>
          </w:tcPr>
          <w:p w14:paraId="6B2E0541" w14:textId="57F4B24F" w:rsidR="007F3C9E" w:rsidRPr="007F3C9E" w:rsidRDefault="007F3C9E" w:rsidP="007F3C9E">
            <w:pPr>
              <w:pStyle w:val="Prrafodelista"/>
              <w:widowControl w:val="0"/>
              <w:numPr>
                <w:ilvl w:val="0"/>
                <w:numId w:val="17"/>
              </w:numPr>
              <w:autoSpaceDE w:val="0"/>
              <w:autoSpaceDN w:val="0"/>
              <w:spacing w:after="120" w:line="276" w:lineRule="auto"/>
              <w:jc w:val="both"/>
              <w:rPr>
                <w:rFonts w:ascii="Verdana" w:hAnsi="Verdana" w:cs="Arial"/>
              </w:rPr>
            </w:pPr>
            <w:r w:rsidRPr="007F3C9E">
              <w:rPr>
                <w:rFonts w:ascii="Verdana" w:hAnsi="Verdana" w:cs="Arial"/>
              </w:rPr>
              <w:t>Constitución Política, artículo 352.</w:t>
            </w:r>
          </w:p>
          <w:p w14:paraId="5F8C7663" w14:textId="7820D518" w:rsidR="007F3C9E" w:rsidRPr="007F3C9E" w:rsidRDefault="007F3C9E" w:rsidP="007F3C9E">
            <w:pPr>
              <w:pStyle w:val="Prrafodelista"/>
              <w:widowControl w:val="0"/>
              <w:numPr>
                <w:ilvl w:val="0"/>
                <w:numId w:val="17"/>
              </w:numPr>
              <w:autoSpaceDE w:val="0"/>
              <w:autoSpaceDN w:val="0"/>
              <w:spacing w:after="120" w:line="276" w:lineRule="auto"/>
              <w:jc w:val="both"/>
              <w:rPr>
                <w:rFonts w:ascii="Verdana" w:hAnsi="Verdana" w:cs="Arial"/>
              </w:rPr>
            </w:pPr>
            <w:r w:rsidRPr="007F3C9E">
              <w:rPr>
                <w:rFonts w:ascii="Verdana" w:hAnsi="Verdana" w:cs="Arial"/>
              </w:rPr>
              <w:t>Ley 80 de 1993, artículos 11, 12, 25, 40 y 41.</w:t>
            </w:r>
          </w:p>
          <w:p w14:paraId="2AA6A3D6" w14:textId="2DDD9BEC" w:rsidR="007F3C9E" w:rsidRPr="007F3C9E" w:rsidRDefault="007F3C9E" w:rsidP="007F3C9E">
            <w:pPr>
              <w:pStyle w:val="Prrafodelista"/>
              <w:widowControl w:val="0"/>
              <w:numPr>
                <w:ilvl w:val="0"/>
                <w:numId w:val="17"/>
              </w:numPr>
              <w:autoSpaceDE w:val="0"/>
              <w:autoSpaceDN w:val="0"/>
              <w:spacing w:after="120" w:line="276" w:lineRule="auto"/>
              <w:jc w:val="both"/>
              <w:rPr>
                <w:rFonts w:ascii="Verdana" w:hAnsi="Verdana" w:cs="Arial"/>
              </w:rPr>
            </w:pPr>
            <w:r w:rsidRPr="007F3C9E">
              <w:rPr>
                <w:rFonts w:ascii="Verdana" w:hAnsi="Verdana" w:cs="Arial"/>
              </w:rPr>
              <w:t>Ley 1150 de 2007, artículos 3 y 23.</w:t>
            </w:r>
          </w:p>
          <w:p w14:paraId="55E8037C" w14:textId="5A36410E" w:rsidR="007F3C9E" w:rsidRPr="007F3C9E" w:rsidRDefault="007F3C9E" w:rsidP="007F3C9E">
            <w:pPr>
              <w:pStyle w:val="Prrafodelista"/>
              <w:widowControl w:val="0"/>
              <w:numPr>
                <w:ilvl w:val="0"/>
                <w:numId w:val="17"/>
              </w:numPr>
              <w:autoSpaceDE w:val="0"/>
              <w:autoSpaceDN w:val="0"/>
              <w:spacing w:after="120" w:line="276" w:lineRule="auto"/>
              <w:jc w:val="both"/>
              <w:rPr>
                <w:rFonts w:ascii="Verdana" w:hAnsi="Verdana" w:cs="Arial"/>
              </w:rPr>
            </w:pPr>
            <w:r w:rsidRPr="007F3C9E">
              <w:rPr>
                <w:rFonts w:ascii="Verdana" w:hAnsi="Verdana" w:cs="Arial"/>
              </w:rPr>
              <w:lastRenderedPageBreak/>
              <w:t>Ley 819 de 2003 (marco fiscal de mediano plazo y vigencias futuras territoriales).</w:t>
            </w:r>
          </w:p>
          <w:p w14:paraId="40DA9579" w14:textId="074BDB2D" w:rsidR="007F3C9E" w:rsidRPr="007F3C9E" w:rsidRDefault="007F3C9E" w:rsidP="007F3C9E">
            <w:pPr>
              <w:pStyle w:val="Prrafodelista"/>
              <w:widowControl w:val="0"/>
              <w:numPr>
                <w:ilvl w:val="0"/>
                <w:numId w:val="17"/>
              </w:numPr>
              <w:autoSpaceDE w:val="0"/>
              <w:autoSpaceDN w:val="0"/>
              <w:spacing w:after="120" w:line="276" w:lineRule="auto"/>
              <w:jc w:val="both"/>
              <w:rPr>
                <w:rFonts w:ascii="Verdana" w:hAnsi="Verdana" w:cs="Arial"/>
              </w:rPr>
            </w:pPr>
            <w:r w:rsidRPr="007F3C9E">
              <w:rPr>
                <w:rFonts w:ascii="Verdana" w:hAnsi="Verdana" w:cs="Arial"/>
              </w:rPr>
              <w:t>Ley 2559 de 2025, artículo 49.</w:t>
            </w:r>
          </w:p>
          <w:p w14:paraId="1CA50C3D" w14:textId="46CAAB8F" w:rsidR="007F3C9E" w:rsidRPr="007F3C9E" w:rsidRDefault="007F3C9E" w:rsidP="007F3C9E">
            <w:pPr>
              <w:pStyle w:val="Prrafodelista"/>
              <w:widowControl w:val="0"/>
              <w:numPr>
                <w:ilvl w:val="0"/>
                <w:numId w:val="17"/>
              </w:numPr>
              <w:autoSpaceDE w:val="0"/>
              <w:autoSpaceDN w:val="0"/>
              <w:spacing w:after="120" w:line="276" w:lineRule="auto"/>
              <w:jc w:val="both"/>
              <w:rPr>
                <w:rFonts w:ascii="Verdana" w:hAnsi="Verdana" w:cs="Arial"/>
              </w:rPr>
            </w:pPr>
            <w:r w:rsidRPr="007F3C9E">
              <w:rPr>
                <w:rFonts w:ascii="Verdana" w:hAnsi="Verdana" w:cs="Arial"/>
              </w:rPr>
              <w:t>Decreto 111 de 1996 (Estatuto Orgánico del Presupuesto), artículo 71.</w:t>
            </w:r>
          </w:p>
          <w:p w14:paraId="02D34C5E" w14:textId="7902584A" w:rsidR="007F3C9E" w:rsidRPr="007F3C9E" w:rsidRDefault="007F3C9E" w:rsidP="007F3C9E">
            <w:pPr>
              <w:pStyle w:val="Prrafodelista"/>
              <w:widowControl w:val="0"/>
              <w:numPr>
                <w:ilvl w:val="0"/>
                <w:numId w:val="17"/>
              </w:numPr>
              <w:autoSpaceDE w:val="0"/>
              <w:autoSpaceDN w:val="0"/>
              <w:spacing w:after="120" w:line="276" w:lineRule="auto"/>
              <w:jc w:val="both"/>
              <w:rPr>
                <w:rFonts w:ascii="Verdana" w:hAnsi="Verdana" w:cs="Arial"/>
              </w:rPr>
            </w:pPr>
            <w:r w:rsidRPr="007F3C9E">
              <w:rPr>
                <w:rFonts w:ascii="Verdana" w:hAnsi="Verdana" w:cs="Arial"/>
              </w:rPr>
              <w:t>Código Civil, artículo 1501.</w:t>
            </w:r>
          </w:p>
          <w:p w14:paraId="464AB192" w14:textId="0A7DC41C" w:rsidR="008255F4" w:rsidRPr="007F34F0" w:rsidRDefault="007F3C9E" w:rsidP="008255F4">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7F3C9E">
              <w:rPr>
                <w:rFonts w:ascii="Verdana" w:hAnsi="Verdana" w:cs="Arial"/>
              </w:rPr>
              <w:t xml:space="preserve"> Decreto 1082 de 2015, artículos 2.2.1.1.1.3.1 y 2.2.1.1.1.7.1.</w:t>
            </w:r>
          </w:p>
        </w:tc>
      </w:tr>
    </w:tbl>
    <w:p w14:paraId="02021CB1" w14:textId="77777777" w:rsidR="008255F4" w:rsidRPr="002407CE" w:rsidRDefault="008255F4" w:rsidP="008255F4">
      <w:pPr>
        <w:widowControl w:val="0"/>
        <w:autoSpaceDE w:val="0"/>
        <w:autoSpaceDN w:val="0"/>
        <w:spacing w:after="0" w:line="276" w:lineRule="auto"/>
        <w:jc w:val="both"/>
        <w:rPr>
          <w:rFonts w:ascii="Verdana" w:hAnsi="Verdana" w:cs="Arial"/>
        </w:rPr>
      </w:pPr>
    </w:p>
    <w:p w14:paraId="26136089" w14:textId="77777777" w:rsidR="008255F4" w:rsidRPr="00593A5F" w:rsidRDefault="008255F4" w:rsidP="008255F4">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506B1E05" w14:textId="77777777" w:rsidR="008255F4" w:rsidRPr="00593A5F" w:rsidRDefault="008255F4" w:rsidP="008255F4">
      <w:pPr>
        <w:widowControl w:val="0"/>
        <w:autoSpaceDE w:val="0"/>
        <w:autoSpaceDN w:val="0"/>
        <w:spacing w:after="0" w:line="276" w:lineRule="auto"/>
        <w:jc w:val="both"/>
        <w:rPr>
          <w:rFonts w:ascii="Verdana" w:hAnsi="Verdana" w:cs="Arial"/>
        </w:rPr>
      </w:pPr>
    </w:p>
    <w:p w14:paraId="386B83C7" w14:textId="77777777" w:rsidR="008255F4" w:rsidRPr="00ED0098" w:rsidRDefault="008255F4" w:rsidP="008255F4">
      <w:pPr>
        <w:widowControl w:val="0"/>
        <w:autoSpaceDE w:val="0"/>
        <w:autoSpaceDN w:val="0"/>
        <w:spacing w:after="0" w:line="276" w:lineRule="auto"/>
        <w:jc w:val="both"/>
        <w:rPr>
          <w:rStyle w:val="normaltextrun"/>
          <w:rFonts w:ascii="Verdana" w:hAnsi="Verdana" w:cs="Arial"/>
          <w:shd w:val="clear" w:color="auto" w:fill="FFFFFF"/>
        </w:rPr>
      </w:pPr>
      <w:r w:rsidRPr="008554C1">
        <w:rPr>
          <w:rFonts w:ascii="Verdana" w:hAnsi="Verdana" w:cs="Arial"/>
          <w:shd w:val="clear" w:color="auto" w:fill="FFFFFF"/>
        </w:rPr>
        <w:t xml:space="preserve">Esta Subdirección se ha pronunciado sobre </w:t>
      </w:r>
      <w:r w:rsidRPr="00A106E8">
        <w:rPr>
          <w:rFonts w:ascii="Verdana" w:hAnsi="Verdana" w:cs="Arial"/>
          <w:color w:val="000000" w:themeColor="text1"/>
          <w:lang w:eastAsia="es-ES_tradnl"/>
        </w:rPr>
        <w:t xml:space="preserve">la </w:t>
      </w:r>
      <w:r>
        <w:rPr>
          <w:rFonts w:ascii="Verdana" w:hAnsi="Verdana" w:cs="Arial"/>
          <w:color w:val="000000" w:themeColor="text1"/>
          <w:lang w:eastAsia="es-ES_tradnl"/>
        </w:rPr>
        <w:t>modificación d</w:t>
      </w:r>
      <w:r w:rsidRPr="00A106E8">
        <w:rPr>
          <w:rFonts w:ascii="Verdana" w:hAnsi="Verdana" w:cs="Arial"/>
          <w:color w:val="000000" w:themeColor="text1"/>
          <w:lang w:eastAsia="es-ES_tradnl"/>
        </w:rPr>
        <w:t>e los contratos estatales</w:t>
      </w:r>
      <w:r w:rsidRPr="00A106E8">
        <w:rPr>
          <w:rStyle w:val="normaltextrun"/>
          <w:rFonts w:ascii="Verdana" w:hAnsi="Verdana" w:cs="Arial"/>
          <w:color w:val="000000" w:themeColor="text1"/>
          <w:shd w:val="clear" w:color="auto" w:fill="FFFFFF"/>
          <w:lang w:val="es-ES"/>
        </w:rPr>
        <w:t xml:space="preserve"> en los </w:t>
      </w:r>
      <w:r>
        <w:rPr>
          <w:rStyle w:val="normaltextrun"/>
          <w:rFonts w:ascii="Verdana" w:hAnsi="Verdana" w:cs="Arial"/>
          <w:color w:val="000000" w:themeColor="text1"/>
          <w:shd w:val="clear" w:color="auto" w:fill="FFFFFF"/>
          <w:lang w:val="es-ES"/>
        </w:rPr>
        <w:t>C</w:t>
      </w:r>
      <w:r w:rsidRPr="00A106E8">
        <w:rPr>
          <w:rStyle w:val="normaltextrun"/>
          <w:rFonts w:ascii="Verdana" w:hAnsi="Verdana" w:cs="Arial"/>
          <w:color w:val="000000" w:themeColor="text1"/>
          <w:shd w:val="clear" w:color="auto" w:fill="FFFFFF"/>
          <w:lang w:val="es-ES"/>
        </w:rPr>
        <w:t>onceptos</w:t>
      </w:r>
      <w:r w:rsidRPr="00A106E8">
        <w:rPr>
          <w:rStyle w:val="normaltextrun"/>
          <w:rFonts w:ascii="Verdana" w:hAnsi="Verdana" w:cs="Calibri"/>
          <w:color w:val="000000" w:themeColor="text1"/>
          <w:shd w:val="clear" w:color="auto" w:fill="FFFFFF"/>
        </w:rPr>
        <w:t xml:space="preserve"> </w:t>
      </w:r>
      <w:r w:rsidRPr="00A106E8">
        <w:rPr>
          <w:rFonts w:ascii="Verdana" w:hAnsi="Verdana" w:cs="Arial"/>
          <w:color w:val="000000" w:themeColor="text1"/>
          <w:lang w:eastAsia="es-ES_tradnl"/>
        </w:rPr>
        <w:t>4201912000007298 de 23 de octubre de 2019, 4201913000006294 del 16 de septiembre de 2019, C-062 del 25 de marzo de 2020, C-100 del 27 de marzo de 2020, C-318 del 28 de mayo de 2020, C–452 del 28 de julio de 2020,</w:t>
      </w:r>
      <w:r w:rsidRPr="00A106E8">
        <w:rPr>
          <w:rFonts w:ascii="Verdana" w:hAnsi="Verdana" w:cs="Arial"/>
          <w:bCs/>
          <w:color w:val="000000" w:themeColor="text1"/>
          <w:lang w:eastAsia="es-ES_tradnl"/>
        </w:rPr>
        <w:t xml:space="preserve"> C-560 del 24 de agosto de 2020, C-628 del 23 de septiembre del 2020,</w:t>
      </w:r>
      <w:r w:rsidRPr="00A106E8">
        <w:rPr>
          <w:rFonts w:ascii="Verdana" w:hAnsi="Verdana" w:cs="Arial"/>
          <w:color w:val="000000" w:themeColor="text1"/>
          <w:lang w:eastAsia="es-ES_tradnl"/>
        </w:rPr>
        <w:t xml:space="preserve"> C-750 del 21 de diciembre de 2020,</w:t>
      </w:r>
      <w:r w:rsidRPr="00A106E8">
        <w:rPr>
          <w:rFonts w:ascii="Verdana" w:hAnsi="Verdana" w:cs="Arial"/>
          <w:bCs/>
          <w:color w:val="000000" w:themeColor="text1"/>
          <w:lang w:eastAsia="es-ES_tradnl"/>
        </w:rPr>
        <w:t xml:space="preserve"> C-073 de 16 de marzo de 2021, C-277 de 21 de junio de 2021, C-644 de 18 de noviembre de 2021, C-755 de 21 de enero de 2022, C-152 de 1 de abril de 2022, C-267 de 5 de mayo de 2022 y C-432 de 13 de julio de 2022 y C-630 del 29 de septiembre de 2022,</w:t>
      </w:r>
      <w:r w:rsidRPr="00A106E8">
        <w:rPr>
          <w:rFonts w:ascii="Verdana" w:hAnsi="Verdana" w:cs="Arial"/>
          <w:color w:val="000000" w:themeColor="text1"/>
          <w:lang w:eastAsia="es-ES_tradnl"/>
        </w:rPr>
        <w:t xml:space="preserve"> </w:t>
      </w:r>
      <w:r w:rsidRPr="00A106E8">
        <w:rPr>
          <w:rFonts w:ascii="Verdana" w:hAnsi="Verdana" w:cs="Arial"/>
          <w:bCs/>
          <w:color w:val="000000" w:themeColor="text1"/>
          <w:szCs w:val="24"/>
          <w:lang w:eastAsia="es-ES_tradnl"/>
        </w:rPr>
        <w:t xml:space="preserve">C-784 del 21 de noviembre de 2022, C-202 del 31 de julio de 2024, </w:t>
      </w:r>
      <w:r w:rsidRPr="00A106E8">
        <w:rPr>
          <w:rStyle w:val="normaltextrun"/>
          <w:rFonts w:ascii="Verdana" w:hAnsi="Verdana" w:cs="Arial"/>
          <w:color w:val="000000" w:themeColor="text1"/>
          <w:shd w:val="clear" w:color="auto" w:fill="FFFFFF"/>
        </w:rPr>
        <w:t xml:space="preserve">C-466 del 23 de septiembre de 2024, </w:t>
      </w:r>
      <w:r>
        <w:rPr>
          <w:rStyle w:val="normaltextrun"/>
          <w:rFonts w:ascii="Verdana" w:hAnsi="Verdana" w:cs="Arial"/>
          <w:color w:val="000000" w:themeColor="text1"/>
          <w:shd w:val="clear" w:color="auto" w:fill="FFFFFF"/>
        </w:rPr>
        <w:t>C-197 del 8 de marzo de 2025, C-109 del 09 de marzo de 2015, C-308 del 28 de abril de 2025, C-384 del 7 de mayo de 2025, C-583 del 18 de junio de 2025 y C-1515 del 26 de noviembre de 2025</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0FAB3A98" w14:textId="77777777" w:rsidR="008255F4" w:rsidRPr="00096788" w:rsidRDefault="008255F4" w:rsidP="008255F4">
      <w:pPr>
        <w:widowControl w:val="0"/>
        <w:autoSpaceDE w:val="0"/>
        <w:autoSpaceDN w:val="0"/>
        <w:spacing w:after="0" w:line="276" w:lineRule="auto"/>
        <w:jc w:val="both"/>
        <w:rPr>
          <w:rFonts w:ascii="Verdana" w:hAnsi="Verdana" w:cs="Arial"/>
          <w:color w:val="000000" w:themeColor="text1"/>
          <w:shd w:val="clear" w:color="auto" w:fill="FFFFFF"/>
        </w:rPr>
      </w:pPr>
    </w:p>
    <w:p w14:paraId="36F38FC4" w14:textId="77777777" w:rsidR="008255F4" w:rsidRPr="00F42673" w:rsidRDefault="008255F4" w:rsidP="008255F4">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673">
        <w:rPr>
          <w:rFonts w:ascii="Verdana" w:eastAsia="Times New Roman" w:hAnsi="Verdana" w:cs="Times New Roman"/>
          <w:b/>
          <w:bCs/>
          <w:color w:val="000000"/>
          <w:lang w:eastAsia="es-MX"/>
        </w:rPr>
        <w:t>Guía para la Exigencia y Constitución de Garantías en los Procesos de Contratación</w:t>
      </w:r>
      <w:r w:rsidRPr="00F42673">
        <w:rPr>
          <w:rFonts w:ascii="Verdana" w:eastAsia="Times New Roman" w:hAnsi="Verdana" w:cs="Times New Roman"/>
          <w:color w:val="000000"/>
          <w:lang w:eastAsia="es-MX"/>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w:t>
      </w:r>
      <w:r w:rsidRPr="00F42673">
        <w:rPr>
          <w:rFonts w:ascii="Verdana" w:eastAsia="Times New Roman" w:hAnsi="Verdana" w:cs="Times New Roman"/>
          <w:color w:val="000000"/>
          <w:lang w:eastAsia="es-MX"/>
        </w:rPr>
        <w:lastRenderedPageBreak/>
        <w:t>aquí: </w:t>
      </w:r>
      <w:hyperlink r:id="rId13" w:tooltip="Original URL:&#10;https://www.colombiacompra.gov.co/archivos/manual/guia-de-garantias-en-procesos-de-contratacion&#10;&#10;Click to follow link." w:history="1">
        <w:r w:rsidRPr="00F42673">
          <w:rPr>
            <w:rFonts w:ascii="Verdana" w:eastAsia="Times New Roman" w:hAnsi="Verdana" w:cs="Times New Roman"/>
            <w:color w:val="0086F0"/>
            <w:u w:val="single"/>
            <w:lang w:eastAsia="es-MX"/>
          </w:rPr>
          <w:t>https://www.colombiacompra.gov.co/archivos/manual/guia-de-garantias-en-procesos-de-contratacion</w:t>
        </w:r>
      </w:hyperlink>
    </w:p>
    <w:p w14:paraId="38DF3509" w14:textId="77777777" w:rsidR="008255F4" w:rsidRPr="00F42673" w:rsidRDefault="008255F4" w:rsidP="008255F4">
      <w:pPr>
        <w:spacing w:after="0" w:line="276" w:lineRule="auto"/>
        <w:jc w:val="both"/>
        <w:rPr>
          <w:rFonts w:ascii="Verdana" w:eastAsia="Times New Roman" w:hAnsi="Verdana" w:cs="Times New Roman"/>
          <w:color w:val="000000"/>
          <w:lang w:eastAsia="es-MX"/>
        </w:rPr>
      </w:pPr>
    </w:p>
    <w:p w14:paraId="66026426" w14:textId="77777777" w:rsidR="008255F4" w:rsidRPr="00F42673" w:rsidRDefault="008255F4" w:rsidP="008255F4">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De otro lado, te contamos que el Decreto 287 del 19 de marzo de 2026 sustituyó los artículos 2.2.1.2.4.2.6., 2.2.1.2.4.2.7. y 2.2.1.2.4.2.8. del Decreto 1082 de 2015 y estructuró el </w:t>
      </w:r>
      <w:r w:rsidRPr="00F42673">
        <w:rPr>
          <w:rFonts w:ascii="Verdana" w:eastAsia="Times New Roman" w:hAnsi="Verdana" w:cs="Times New Roman"/>
          <w:b/>
          <w:bCs/>
          <w:color w:val="000000"/>
          <w:lang w:eastAsia="es-MX"/>
        </w:rPr>
        <w:t>Sistema Integral de Preferencias en favor de las personas con discapacidad</w:t>
      </w:r>
      <w:r w:rsidRPr="00F42673">
        <w:rPr>
          <w:rFonts w:ascii="Verdana" w:eastAsia="Times New Roman" w:hAnsi="Verdana" w:cs="Times New Roman"/>
          <w:color w:val="000000"/>
          <w:lang w:eastAsia="es-MX"/>
        </w:rPr>
        <w:t>, en cumplimiento del artículo 13 de la Ley Estatutaria 1618 de 2013. Para orientar su aplicación, esta Agencia expidió la </w:t>
      </w:r>
      <w:r w:rsidRPr="00F42673">
        <w:rPr>
          <w:rFonts w:ascii="Verdana" w:eastAsia="Times New Roman" w:hAnsi="Verdana" w:cs="Times New Roman"/>
          <w:b/>
          <w:bCs/>
          <w:color w:val="000000"/>
          <w:lang w:eastAsia="es-MX"/>
        </w:rPr>
        <w:t>Circular Externa 003 del 12 de mayo de 2026, </w:t>
      </w:r>
      <w:r w:rsidRPr="00F42673">
        <w:rPr>
          <w:rFonts w:ascii="Verdana" w:eastAsia="Times New Roman" w:hAnsi="Verdana" w:cs="Times New Roman"/>
          <w:color w:val="000000"/>
          <w:lang w:eastAsia="es-MX"/>
        </w:rPr>
        <w:t>en la que precisa quiénes son los beneficiarios, las cinco medidas que integran el sistema y su obligatoriedad según la modalidad de selección, y el régimen de transición aplicable a los procesos en curso. Consúltala aquí: </w:t>
      </w:r>
      <w:hyperlink r:id="rId14" w:tooltip="Original URL:&#10;https://www.colombiacompra.gov.co/archivos/circular/circular-externa-003-de-2026&#10;&#10;Click to follow link." w:history="1">
        <w:r w:rsidRPr="00F42673">
          <w:rPr>
            <w:rFonts w:ascii="Verdana" w:eastAsia="Times New Roman" w:hAnsi="Verdana" w:cs="Times New Roman"/>
            <w:color w:val="0086F0"/>
            <w:u w:val="single"/>
            <w:lang w:eastAsia="es-MX"/>
          </w:rPr>
          <w:t>https://www.colombiacompra.gov.co/archivos/circular/circular-externa-003-de-2026</w:t>
        </w:r>
      </w:hyperlink>
    </w:p>
    <w:p w14:paraId="04C8E365" w14:textId="77777777" w:rsidR="008255F4" w:rsidRPr="00F42673" w:rsidRDefault="008255F4" w:rsidP="008255F4">
      <w:pPr>
        <w:spacing w:after="0" w:line="276" w:lineRule="auto"/>
        <w:jc w:val="both"/>
        <w:rPr>
          <w:rFonts w:ascii="Verdana" w:eastAsia="Times New Roman" w:hAnsi="Verdana" w:cs="Times New Roman"/>
          <w:color w:val="000000"/>
          <w:lang w:eastAsia="es-MX"/>
        </w:rPr>
      </w:pPr>
    </w:p>
    <w:p w14:paraId="29C84826" w14:textId="77777777" w:rsidR="008255F4" w:rsidRPr="00F42673" w:rsidRDefault="008255F4" w:rsidP="008255F4">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Recuerda también que la</w:t>
      </w:r>
      <w:r w:rsidRPr="00F42673">
        <w:rPr>
          <w:rFonts w:ascii="Verdana" w:eastAsia="Times New Roman" w:hAnsi="Verdana" w:cs="Times New Roman"/>
          <w:b/>
          <w:bCs/>
          <w:color w:val="000000"/>
          <w:lang w:eastAsia="es-MX"/>
        </w:rPr>
        <w:t> información sobre sanciones e inhabilidades </w:t>
      </w:r>
      <w:r w:rsidRPr="00F42673">
        <w:rPr>
          <w:rFonts w:ascii="Verdana" w:eastAsia="Times New Roman" w:hAnsi="Verdana" w:cs="Times New Roman"/>
          <w:color w:val="000000"/>
          <w:lang w:eastAsia="es-MX"/>
        </w:rPr>
        <w:t>solo cumple su función preventiva si llega oportunamente a los registros públicos. Sobre este deber, esta Agencia expidió la </w:t>
      </w:r>
      <w:r w:rsidRPr="00F42673">
        <w:rPr>
          <w:rFonts w:ascii="Verdana" w:eastAsia="Times New Roman" w:hAnsi="Verdana" w:cs="Times New Roman"/>
          <w:b/>
          <w:bCs/>
          <w:color w:val="000000"/>
          <w:lang w:eastAsia="es-MX"/>
        </w:rPr>
        <w:t>Circular Externa 002 del 5 de mayo de 2026,</w:t>
      </w:r>
      <w:r w:rsidRPr="00F42673">
        <w:rPr>
          <w:rFonts w:ascii="Verdana" w:eastAsia="Times New Roman" w:hAnsi="Verdana" w:cs="Times New Roman"/>
          <w:color w:val="000000"/>
          <w:lang w:eastAsia="es-MX"/>
        </w:rPr>
        <w:t>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Original URL:&#10;https://www.colombiacompra.gov.co/archivos/circular/circular-externa-002-de-2026&#10;&#10;Click to follow link." w:history="1">
        <w:r w:rsidRPr="00F42673">
          <w:rPr>
            <w:rFonts w:ascii="Verdana" w:eastAsia="Times New Roman" w:hAnsi="Verdana" w:cs="Times New Roman"/>
            <w:color w:val="0086F0"/>
            <w:u w:val="single"/>
            <w:lang w:eastAsia="es-MX"/>
          </w:rPr>
          <w:t>https://www.colombiacompra.gov.co/archivos/circular/circular-externa-002-de-2026</w:t>
        </w:r>
      </w:hyperlink>
    </w:p>
    <w:p w14:paraId="0384A4F6" w14:textId="77777777" w:rsidR="008255F4" w:rsidRPr="00F42673" w:rsidRDefault="008255F4" w:rsidP="008255F4">
      <w:pPr>
        <w:spacing w:after="0" w:line="276" w:lineRule="auto"/>
        <w:jc w:val="both"/>
        <w:rPr>
          <w:rFonts w:ascii="Verdana" w:eastAsia="Times New Roman" w:hAnsi="Verdana" w:cs="Times New Roman"/>
          <w:color w:val="000000"/>
          <w:lang w:eastAsia="es-MX"/>
        </w:rPr>
      </w:pPr>
    </w:p>
    <w:p w14:paraId="12B92BF7" w14:textId="77777777" w:rsidR="008255F4" w:rsidRPr="00797CA8" w:rsidRDefault="008255F4" w:rsidP="008255F4">
      <w:pPr>
        <w:spacing w:after="0" w:line="276" w:lineRule="auto"/>
        <w:jc w:val="both"/>
        <w:rPr>
          <w:rFonts w:ascii="Aptos" w:eastAsia="Times New Roman" w:hAnsi="Aptos" w:cs="Times New Roman"/>
          <w:color w:val="000000"/>
          <w:lang w:eastAsia="es-MX"/>
        </w:rPr>
      </w:pPr>
      <w:r w:rsidRPr="00F42673">
        <w:rPr>
          <w:rFonts w:ascii="Verdana" w:eastAsia="Times New Roman" w:hAnsi="Verdana" w:cs="Times New Roman"/>
          <w:color w:val="000000"/>
          <w:lang w:eastAsia="es-MX"/>
        </w:rPr>
        <w:t>Finalmente, si quieres seguir de cerca la actividad de la Agencia, la tercera edición de 2026 del</w:t>
      </w:r>
      <w:r w:rsidRPr="00F42673">
        <w:rPr>
          <w:rFonts w:ascii="Verdana" w:eastAsia="Times New Roman" w:hAnsi="Verdana" w:cs="Times New Roman"/>
          <w:b/>
          <w:bCs/>
          <w:color w:val="000000"/>
          <w:lang w:eastAsia="es-MX"/>
        </w:rPr>
        <w:t> Radar de la Compra Pública</w:t>
      </w:r>
      <w:r w:rsidRPr="00F42673">
        <w:rPr>
          <w:rFonts w:ascii="Verdana" w:eastAsia="Times New Roman" w:hAnsi="Verdana" w:cs="Times New Roman"/>
          <w:color w:val="000000"/>
          <w:lang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Original URL:&#10;https://www.colombiacompra.gov.co/archivos/boletin/boletin-edicion-n-3-de-2026-radar-de-la-compra-publica&#10;&#10;Click to follow link." w:history="1">
        <w:r w:rsidRPr="00F42673">
          <w:rPr>
            <w:rFonts w:ascii="Verdana" w:eastAsia="Times New Roman" w:hAnsi="Verdana" w:cs="Times New Roman"/>
            <w:color w:val="0086F0"/>
            <w:u w:val="single"/>
            <w:lang w:eastAsia="es-MX"/>
          </w:rPr>
          <w:t>https://www.colombiacompra.gov.co/archivos/boletin/boletin-edicion-n-3-de-2026-radar-de-la-compra-publica</w:t>
        </w:r>
      </w:hyperlink>
    </w:p>
    <w:p w14:paraId="64D857DA" w14:textId="77777777" w:rsidR="008255F4" w:rsidRDefault="008255F4" w:rsidP="008255F4">
      <w:pPr>
        <w:shd w:val="clear" w:color="auto" w:fill="FFFFFF"/>
        <w:spacing w:after="0" w:line="276" w:lineRule="auto"/>
        <w:jc w:val="both"/>
        <w:rPr>
          <w:rFonts w:ascii="Verdana" w:hAnsi="Verdana"/>
          <w:color w:val="000000"/>
          <w:u w:val="single"/>
        </w:rPr>
      </w:pPr>
    </w:p>
    <w:p w14:paraId="5AAF3E14" w14:textId="77777777" w:rsidR="008255F4" w:rsidRPr="00116940" w:rsidRDefault="008255F4" w:rsidP="008255F4">
      <w:pPr>
        <w:spacing w:after="0"/>
        <w:jc w:val="both"/>
        <w:rPr>
          <w:rFonts w:ascii="Verdana" w:hAnsi="Verdana"/>
        </w:rPr>
      </w:pPr>
      <w:r>
        <w:rPr>
          <w:rFonts w:ascii="Verdana" w:hAnsi="Verdana"/>
        </w:rPr>
        <w:lastRenderedPageBreak/>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0FED7716" w14:textId="77777777" w:rsidR="008255F4" w:rsidRPr="00116940" w:rsidRDefault="008255F4" w:rsidP="008255F4">
      <w:pPr>
        <w:spacing w:after="0"/>
        <w:jc w:val="both"/>
        <w:rPr>
          <w:rFonts w:ascii="Verdana" w:hAnsi="Verdana"/>
        </w:rPr>
      </w:pPr>
    </w:p>
    <w:p w14:paraId="23FE3719" w14:textId="77777777" w:rsidR="008255F4" w:rsidRPr="00116940" w:rsidRDefault="008255F4" w:rsidP="008255F4">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6A948515" w14:textId="77777777" w:rsidR="008255F4" w:rsidRPr="00116940" w:rsidRDefault="008255F4" w:rsidP="008255F4">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5EC27003" w14:textId="77777777" w:rsidR="008255F4" w:rsidRPr="00116940" w:rsidRDefault="008255F4" w:rsidP="008255F4">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645006D1" w14:textId="77777777" w:rsidR="008255F4" w:rsidRPr="00116940" w:rsidRDefault="008255F4" w:rsidP="008255F4">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6D22770F" w14:textId="77777777" w:rsidR="008255F4" w:rsidRPr="00116940" w:rsidRDefault="008255F4" w:rsidP="008255F4">
      <w:pPr>
        <w:spacing w:after="0" w:line="240" w:lineRule="auto"/>
        <w:ind w:left="720"/>
        <w:jc w:val="both"/>
        <w:rPr>
          <w:rFonts w:ascii="Verdana" w:hAnsi="Verdana"/>
        </w:rPr>
      </w:pPr>
    </w:p>
    <w:p w14:paraId="5E3E734F" w14:textId="77777777" w:rsidR="008255F4" w:rsidRPr="00116940" w:rsidRDefault="008255F4" w:rsidP="008255F4">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9"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1CDA7717" w14:textId="77777777" w:rsidR="008255F4" w:rsidRPr="00116940" w:rsidRDefault="008255F4" w:rsidP="008255F4">
      <w:pPr>
        <w:spacing w:after="0" w:line="240" w:lineRule="auto"/>
        <w:rPr>
          <w:rFonts w:ascii="Verdana" w:hAnsi="Verdana"/>
        </w:rPr>
      </w:pPr>
    </w:p>
    <w:p w14:paraId="04177B96" w14:textId="77777777" w:rsidR="008255F4" w:rsidRPr="00116940" w:rsidRDefault="008255F4" w:rsidP="008255F4">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13ECCEE2" w14:textId="77777777" w:rsidR="008255F4" w:rsidRPr="00116940" w:rsidRDefault="008255F4" w:rsidP="008255F4">
      <w:pPr>
        <w:spacing w:after="0" w:line="240" w:lineRule="auto"/>
        <w:jc w:val="both"/>
        <w:rPr>
          <w:rFonts w:ascii="Verdana" w:hAnsi="Verdana"/>
        </w:rPr>
      </w:pPr>
    </w:p>
    <w:p w14:paraId="7EC98013" w14:textId="77777777" w:rsidR="008255F4" w:rsidRPr="00116940" w:rsidRDefault="008255F4" w:rsidP="008255F4">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13436027" w14:textId="77777777" w:rsidR="008255F4" w:rsidRPr="00116940" w:rsidRDefault="008255F4" w:rsidP="008255F4">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1ACC6667" w14:textId="77777777" w:rsidR="008255F4" w:rsidRPr="00116940" w:rsidRDefault="008255F4" w:rsidP="008255F4">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2E8133AB" w14:textId="77777777" w:rsidR="008255F4" w:rsidRPr="009C4035" w:rsidRDefault="008255F4" w:rsidP="008255F4">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2DA7EE14" w14:textId="77777777" w:rsidR="008255F4" w:rsidRPr="00593A5F" w:rsidRDefault="008255F4" w:rsidP="008255F4">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1E654FA2" w14:textId="77777777" w:rsidR="008255F4" w:rsidRPr="00593A5F" w:rsidRDefault="008255F4" w:rsidP="008255F4">
      <w:pPr>
        <w:widowControl w:val="0"/>
        <w:autoSpaceDE w:val="0"/>
        <w:autoSpaceDN w:val="0"/>
        <w:spacing w:after="0" w:line="276" w:lineRule="auto"/>
        <w:jc w:val="both"/>
        <w:rPr>
          <w:rFonts w:ascii="Verdana" w:hAnsi="Verdana" w:cs="Arial"/>
        </w:rPr>
      </w:pPr>
    </w:p>
    <w:p w14:paraId="2FACAF94" w14:textId="77777777" w:rsidR="008255F4" w:rsidRPr="00593A5F" w:rsidRDefault="008255F4" w:rsidP="008255F4">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0ED87D50" w14:textId="38DF6F99" w:rsidR="008255F4" w:rsidRPr="00593A5F" w:rsidRDefault="006D4D0C" w:rsidP="008255F4">
      <w:pPr>
        <w:spacing w:line="276" w:lineRule="auto"/>
        <w:jc w:val="center"/>
        <w:rPr>
          <w:rFonts w:ascii="Verdana" w:hAnsi="Verdana" w:cs="Arial"/>
          <w:color w:val="000000"/>
          <w:lang w:val="es-ES_tradnl" w:eastAsia="es-CO"/>
        </w:rPr>
      </w:pPr>
      <w:r>
        <w:rPr>
          <w:noProof/>
        </w:rPr>
        <w:lastRenderedPageBreak/>
        <w:drawing>
          <wp:inline distT="0" distB="0" distL="0" distR="0" wp14:anchorId="6EC90F7B" wp14:editId="3263C5CA">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0"/>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8255F4" w:rsidRPr="00593A5F" w14:paraId="6E95F2F6" w14:textId="77777777" w:rsidTr="00511EE9">
        <w:trPr>
          <w:trHeight w:val="315"/>
        </w:trPr>
        <w:tc>
          <w:tcPr>
            <w:tcW w:w="893" w:type="dxa"/>
            <w:vAlign w:val="center"/>
            <w:hideMark/>
          </w:tcPr>
          <w:p w14:paraId="224C108D" w14:textId="77777777" w:rsidR="008255F4" w:rsidRPr="003751C7" w:rsidRDefault="008255F4" w:rsidP="00511EE9">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B23A453" w14:textId="77777777" w:rsidR="008255F4" w:rsidRPr="00254A7A" w:rsidRDefault="008255F4" w:rsidP="00511EE9">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0163D95A" w14:textId="77777777" w:rsidR="008255F4" w:rsidRPr="00254A7A" w:rsidRDefault="008255F4" w:rsidP="00511EE9">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8255F4" w:rsidRPr="00593A5F" w14:paraId="3DCC163A" w14:textId="77777777" w:rsidTr="00511EE9">
        <w:trPr>
          <w:trHeight w:val="330"/>
        </w:trPr>
        <w:tc>
          <w:tcPr>
            <w:tcW w:w="893" w:type="dxa"/>
            <w:vAlign w:val="center"/>
            <w:hideMark/>
          </w:tcPr>
          <w:p w14:paraId="0996BA16" w14:textId="77777777" w:rsidR="008255F4" w:rsidRPr="003751C7" w:rsidRDefault="008255F4" w:rsidP="00511EE9">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66DA073" w14:textId="77777777" w:rsidR="008255F4" w:rsidRPr="000377DD" w:rsidRDefault="008255F4" w:rsidP="00511EE9">
            <w:pPr>
              <w:pStyle w:val="paragraph"/>
              <w:spacing w:after="0"/>
              <w:contextualSpacing/>
              <w:textAlignment w:val="baseline"/>
              <w:rPr>
                <w:rStyle w:val="normaltextrun"/>
                <w:rFonts w:ascii="Verdana" w:hAnsi="Verdana" w:cs="Arial"/>
                <w:sz w:val="16"/>
                <w:szCs w:val="16"/>
                <w:lang w:val="es-ES_tradnl"/>
              </w:rPr>
            </w:pPr>
            <w:r w:rsidRPr="000377DD">
              <w:rPr>
                <w:rStyle w:val="normaltextrun"/>
                <w:rFonts w:ascii="Verdana" w:hAnsi="Verdana" w:cs="Arial"/>
                <w:sz w:val="16"/>
                <w:szCs w:val="16"/>
                <w:lang w:val="es-ES_tradnl"/>
              </w:rPr>
              <w:t>Alejandro Sarmiento Cantillo</w:t>
            </w:r>
          </w:p>
          <w:p w14:paraId="66B16066" w14:textId="77777777" w:rsidR="008255F4" w:rsidRPr="00A40FD0" w:rsidRDefault="008255F4" w:rsidP="00511EE9">
            <w:pPr>
              <w:pStyle w:val="paragraph"/>
              <w:spacing w:before="0" w:beforeAutospacing="0" w:after="0" w:afterAutospacing="0"/>
              <w:contextualSpacing/>
              <w:textAlignment w:val="baseline"/>
              <w:rPr>
                <w:rFonts w:ascii="Verdana" w:hAnsi="Verdana" w:cs="Segoe UI"/>
                <w:sz w:val="16"/>
                <w:szCs w:val="16"/>
              </w:rPr>
            </w:pPr>
            <w:r w:rsidRPr="000377DD">
              <w:rPr>
                <w:rStyle w:val="normaltextrun"/>
                <w:rFonts w:ascii="Verdana" w:hAnsi="Verdana" w:cs="Arial"/>
                <w:sz w:val="16"/>
                <w:szCs w:val="16"/>
                <w:lang w:val="es-ES_tradnl"/>
              </w:rPr>
              <w:t>Gestor T1 ‒ 15 de la Subdirección de Gestión Contractual</w:t>
            </w:r>
          </w:p>
        </w:tc>
      </w:tr>
      <w:tr w:rsidR="008255F4" w:rsidRPr="00593A5F" w14:paraId="1E45DBDC" w14:textId="77777777" w:rsidTr="00511EE9">
        <w:trPr>
          <w:trHeight w:val="300"/>
        </w:trPr>
        <w:tc>
          <w:tcPr>
            <w:tcW w:w="893" w:type="dxa"/>
            <w:vAlign w:val="center"/>
          </w:tcPr>
          <w:p w14:paraId="597D7B7F" w14:textId="77777777" w:rsidR="008255F4" w:rsidRPr="003751C7" w:rsidRDefault="008255F4" w:rsidP="00511EE9">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DF79B77" w14:textId="77777777" w:rsidR="008255F4" w:rsidRPr="00FE00BE" w:rsidRDefault="008255F4" w:rsidP="00511EE9">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5F140663" w14:textId="77777777" w:rsidR="008255F4" w:rsidRPr="00FE00BE" w:rsidRDefault="008255F4" w:rsidP="00511EE9">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79103CDE" w14:textId="77777777" w:rsidR="008255F4" w:rsidRDefault="008255F4" w:rsidP="008255F4"/>
    <w:p w14:paraId="7EFC0875" w14:textId="07575051" w:rsidR="008255F4" w:rsidRPr="00543BFE" w:rsidRDefault="008255F4" w:rsidP="008255F4"/>
    <w:p w14:paraId="0F293BF4" w14:textId="4E10F7E1" w:rsidR="00127233" w:rsidRPr="002708FB" w:rsidRDefault="00127233" w:rsidP="002708FB"/>
    <w:sectPr w:rsidR="00127233" w:rsidRPr="002708FB"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30A68" w14:textId="77777777" w:rsidR="008118F6" w:rsidRDefault="008118F6" w:rsidP="004A1847">
      <w:pPr>
        <w:spacing w:after="0" w:line="240" w:lineRule="auto"/>
      </w:pPr>
      <w:r>
        <w:separator/>
      </w:r>
    </w:p>
  </w:endnote>
  <w:endnote w:type="continuationSeparator" w:id="0">
    <w:p w14:paraId="1570B270" w14:textId="77777777" w:rsidR="008118F6" w:rsidRDefault="008118F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080CF" w14:textId="77777777" w:rsidR="008118F6" w:rsidRDefault="008118F6" w:rsidP="004A1847">
      <w:pPr>
        <w:spacing w:after="0" w:line="240" w:lineRule="auto"/>
      </w:pPr>
      <w:r>
        <w:separator/>
      </w:r>
    </w:p>
  </w:footnote>
  <w:footnote w:type="continuationSeparator" w:id="0">
    <w:p w14:paraId="142A666A" w14:textId="77777777" w:rsidR="008118F6" w:rsidRDefault="008118F6" w:rsidP="004A1847">
      <w:pPr>
        <w:spacing w:after="0" w:line="240" w:lineRule="auto"/>
      </w:pPr>
      <w:r>
        <w:continuationSeparator/>
      </w:r>
    </w:p>
  </w:footnote>
  <w:footnote w:id="1">
    <w:p w14:paraId="347388E0" w14:textId="77777777" w:rsidR="008255F4" w:rsidRPr="009347D0" w:rsidRDefault="008255F4" w:rsidP="008255F4">
      <w:pPr>
        <w:pStyle w:val="Textonotapie"/>
        <w:ind w:firstLine="709"/>
        <w:jc w:val="both"/>
        <w:rPr>
          <w:rFonts w:ascii="Verdana" w:eastAsia="Arial" w:hAnsi="Verdana" w:cs="Arial"/>
          <w:sz w:val="16"/>
          <w:szCs w:val="16"/>
          <w:lang w:val="es-ES"/>
        </w:rPr>
      </w:pPr>
      <w:r w:rsidRPr="009347D0">
        <w:rPr>
          <w:rStyle w:val="Refdenotaalpie"/>
          <w:rFonts w:ascii="Verdana" w:hAnsi="Verdana"/>
          <w:sz w:val="16"/>
          <w:szCs w:val="16"/>
        </w:rPr>
        <w:footnoteRef/>
      </w:r>
      <w:r w:rsidRPr="009347D0">
        <w:rPr>
          <w:rFonts w:ascii="Verdana" w:hAnsi="Verdana"/>
          <w:sz w:val="16"/>
          <w:szCs w:val="16"/>
        </w:rPr>
        <w:t xml:space="preserve"> </w:t>
      </w:r>
      <w:r w:rsidRPr="009347D0">
        <w:rPr>
          <w:rFonts w:ascii="Verdana" w:eastAsia="Arial" w:hAnsi="Verdana" w:cs="Arial"/>
          <w:sz w:val="16"/>
          <w:szCs w:val="16"/>
          <w:lang w:val="es-ES"/>
        </w:rPr>
        <w:t>Consejo de Estado. Sección Tercera. Subsección C. Sentencia del 12 de agosto de 2014. Rad. 28565. C.P. Enrique Gil Botero.</w:t>
      </w:r>
    </w:p>
  </w:footnote>
  <w:footnote w:id="2">
    <w:p w14:paraId="4F56D683" w14:textId="77777777" w:rsidR="008255F4" w:rsidRPr="009347D0" w:rsidRDefault="008255F4" w:rsidP="008255F4">
      <w:pPr>
        <w:pStyle w:val="Textonotapie"/>
        <w:ind w:firstLine="708"/>
        <w:jc w:val="both"/>
        <w:rPr>
          <w:rFonts w:ascii="Verdana" w:hAnsi="Verdana"/>
          <w:sz w:val="16"/>
          <w:szCs w:val="16"/>
        </w:rPr>
      </w:pPr>
      <w:r w:rsidRPr="009347D0">
        <w:rPr>
          <w:rStyle w:val="Refdenotaalpie"/>
          <w:rFonts w:ascii="Verdana" w:hAnsi="Verdana"/>
          <w:sz w:val="16"/>
          <w:szCs w:val="16"/>
        </w:rPr>
        <w:footnoteRef/>
      </w:r>
      <w:r w:rsidRPr="009347D0">
        <w:rPr>
          <w:rFonts w:ascii="Verdana" w:hAnsi="Verdana"/>
          <w:sz w:val="16"/>
          <w:szCs w:val="16"/>
        </w:rPr>
        <w:t xml:space="preserve"> PALOMAR OLMEDO, Alberto y LOZADA</w:t>
      </w:r>
      <w:r w:rsidRPr="009347D0">
        <w:rPr>
          <w:rFonts w:ascii="Verdana" w:hAnsi="Verdana"/>
          <w:sz w:val="16"/>
          <w:szCs w:val="16"/>
        </w:rPr>
        <w:t xml:space="preserve"> GONZÁLEZ, Herminio. El procedimiento administrativo y la gestión presupuestaria y su control. Madrid: Dykinson, 1995. p. 131. Por lo demás, dichos autores sostinen que “Desde esta consideración y como resumen podría indicarse que en el procedimiento contractual de derecho público regulado en la Ley de Contratos del Estado se produce una interacción absoluta, de forma que los requisitos generales derivados de la ejecución presupuestaría forman parte indisoluble del propio procedimiento de contratación. Esta interacción, en la mayor parte de los supuestos está expresamente reconocida en las propias normas de contratación” (</w:t>
      </w:r>
      <w:r w:rsidRPr="009347D0">
        <w:rPr>
          <w:rFonts w:ascii="Verdana" w:hAnsi="Verdana"/>
          <w:i/>
          <w:iCs/>
          <w:sz w:val="16"/>
          <w:szCs w:val="16"/>
        </w:rPr>
        <w:t>Ibidem</w:t>
      </w:r>
      <w:r w:rsidRPr="009347D0">
        <w:rPr>
          <w:rFonts w:ascii="Verdana" w:hAnsi="Verdana"/>
          <w:sz w:val="16"/>
          <w:szCs w:val="16"/>
        </w:rPr>
        <w:t xml:space="preserve">, p. 132). </w:t>
      </w:r>
    </w:p>
  </w:footnote>
  <w:footnote w:id="3">
    <w:p w14:paraId="517030F6" w14:textId="77777777" w:rsidR="008255F4" w:rsidRPr="009347D0" w:rsidRDefault="008255F4" w:rsidP="008255F4">
      <w:pPr>
        <w:pStyle w:val="Textonotapie"/>
        <w:ind w:right="49" w:firstLine="708"/>
        <w:jc w:val="both"/>
        <w:rPr>
          <w:rFonts w:ascii="Verdana" w:hAnsi="Verdana" w:cs="Arial"/>
          <w:color w:val="000000"/>
          <w:sz w:val="16"/>
          <w:szCs w:val="16"/>
        </w:rPr>
      </w:pPr>
      <w:r w:rsidRPr="009347D0">
        <w:rPr>
          <w:rStyle w:val="Refdenotaalpie"/>
          <w:rFonts w:ascii="Verdana" w:hAnsi="Verdana"/>
          <w:sz w:val="16"/>
          <w:szCs w:val="16"/>
        </w:rPr>
        <w:footnoteRef/>
      </w:r>
      <w:r w:rsidRPr="009347D0">
        <w:rPr>
          <w:rFonts w:ascii="Verdana" w:hAnsi="Verdana"/>
          <w:sz w:val="16"/>
          <w:szCs w:val="16"/>
        </w:rPr>
        <w:t xml:space="preserve"> </w:t>
      </w:r>
      <w:r w:rsidRPr="009347D0">
        <w:rPr>
          <w:rFonts w:ascii="Verdana" w:hAnsi="Verdana" w:cs="Arial"/>
          <w:color w:val="000000"/>
          <w:sz w:val="16"/>
          <w:szCs w:val="16"/>
        </w:rPr>
        <w:t>Consejo de Estado. Sección Tercera. Sentencia del 1 de febrero de 2018. Radicado Nro.</w:t>
      </w:r>
      <w:r w:rsidRPr="009347D0">
        <w:rPr>
          <w:rFonts w:ascii="Verdana" w:hAnsi="Verdana" w:cs="Arial"/>
          <w:color w:val="000000"/>
          <w:sz w:val="16"/>
          <w:szCs w:val="16"/>
          <w:lang w:val="es-CO"/>
        </w:rPr>
        <w:t xml:space="preserve"> 08001-2331-000-2010-00987-01</w:t>
      </w:r>
      <w:r w:rsidRPr="009347D0">
        <w:rPr>
          <w:rFonts w:ascii="Verdana" w:hAnsi="Verdana" w:cs="Arial"/>
          <w:color w:val="000000"/>
          <w:sz w:val="16"/>
          <w:szCs w:val="16"/>
        </w:rPr>
        <w:t xml:space="preserve">. C.P. </w:t>
      </w:r>
      <w:r w:rsidRPr="009347D0">
        <w:rPr>
          <w:rFonts w:ascii="Verdana" w:hAnsi="Verdana" w:cs="Arial"/>
          <w:color w:val="000000"/>
          <w:sz w:val="16"/>
          <w:szCs w:val="16"/>
          <w:lang w:val="es-CO"/>
        </w:rPr>
        <w:t>Oswaldo Giraldo López</w:t>
      </w:r>
    </w:p>
  </w:footnote>
  <w:footnote w:id="4">
    <w:p w14:paraId="5813313F" w14:textId="77777777" w:rsidR="008255F4" w:rsidRPr="009347D0" w:rsidRDefault="008255F4" w:rsidP="008255F4">
      <w:pPr>
        <w:pStyle w:val="Textonotapie"/>
        <w:ind w:firstLine="709"/>
        <w:jc w:val="both"/>
        <w:rPr>
          <w:rFonts w:ascii="Verdana" w:hAnsi="Verdana" w:cs="Arial"/>
          <w:sz w:val="16"/>
          <w:szCs w:val="16"/>
          <w:lang w:val="es-CO"/>
        </w:rPr>
      </w:pPr>
      <w:r w:rsidRPr="009347D0">
        <w:rPr>
          <w:rStyle w:val="Refdenotaalpie"/>
          <w:rFonts w:ascii="Verdana" w:hAnsi="Verdana" w:cs="Arial"/>
          <w:sz w:val="16"/>
          <w:szCs w:val="16"/>
        </w:rPr>
        <w:footnoteRef/>
      </w:r>
      <w:r w:rsidRPr="009347D0">
        <w:rPr>
          <w:rFonts w:ascii="Verdana" w:hAnsi="Verdana" w:cs="Arial"/>
          <w:sz w:val="16"/>
          <w:szCs w:val="16"/>
        </w:rPr>
        <w:t xml:space="preserve"> </w:t>
      </w:r>
      <w:bookmarkStart w:id="2" w:name="23"/>
      <w:r w:rsidRPr="009347D0">
        <w:rPr>
          <w:rFonts w:ascii="Verdana" w:eastAsia="Calibri" w:hAnsi="Verdana" w:cs="Arial"/>
          <w:sz w:val="16"/>
          <w:szCs w:val="16"/>
          <w:lang w:val="es-ES_tradnl"/>
        </w:rPr>
        <w:t>“</w:t>
      </w:r>
      <w:r w:rsidRPr="009347D0">
        <w:rPr>
          <w:rFonts w:ascii="Verdana" w:hAnsi="Verdana" w:cs="Arial"/>
          <w:sz w:val="16"/>
          <w:szCs w:val="16"/>
          <w:lang w:val="es-CO"/>
        </w:rPr>
        <w:t>Artículo 23.</w:t>
      </w:r>
      <w:bookmarkEnd w:id="2"/>
      <w:r w:rsidRPr="009347D0">
        <w:rPr>
          <w:rFonts w:ascii="Verdana" w:hAnsi="Verdana" w:cs="Arial"/>
          <w:sz w:val="16"/>
          <w:szCs w:val="16"/>
          <w:lang w:val="es-CO"/>
        </w:rPr>
        <w:t xml:space="preserve"> El Confis podrá autorizar la asunción de obligaciones que afecten presupuestos de vigencias futuras cuando su ejecución se inicie con presupuesto de la vigencia en curso y el objeto del compromiso se lleve a cabo en cada una de ellas siempre y cuando se cumpla que:</w:t>
      </w:r>
    </w:p>
    <w:p w14:paraId="73551C98" w14:textId="77777777" w:rsidR="008255F4" w:rsidRPr="009347D0" w:rsidRDefault="008255F4" w:rsidP="008255F4">
      <w:pPr>
        <w:pStyle w:val="Textonotapie"/>
        <w:ind w:firstLine="708"/>
        <w:jc w:val="both"/>
        <w:rPr>
          <w:rFonts w:ascii="Verdana" w:hAnsi="Verdana" w:cs="Arial"/>
          <w:sz w:val="16"/>
          <w:szCs w:val="16"/>
          <w:lang w:val="es-CO"/>
        </w:rPr>
      </w:pPr>
      <w:r w:rsidRPr="009347D0">
        <w:rPr>
          <w:rFonts w:ascii="Verdana" w:hAnsi="Verdana" w:cs="Arial"/>
          <w:sz w:val="16"/>
          <w:szCs w:val="16"/>
          <w:lang w:val="es-CO"/>
        </w:rPr>
        <w:t>a) El monto máximo de vigencias futuras, el plazo y las condiciones de las mismas consulte las metas plurianuales del Marco Fiscal de Mediano Plazo de que trata el artículo </w:t>
      </w:r>
      <w:hyperlink r:id="rId1" w:anchor="1" w:history="1">
        <w:r w:rsidRPr="009347D0">
          <w:rPr>
            <w:rStyle w:val="Hipervnculo"/>
            <w:rFonts w:ascii="Verdana" w:hAnsi="Verdana" w:cs="Arial"/>
            <w:sz w:val="16"/>
            <w:szCs w:val="16"/>
            <w:lang w:val="es-CO"/>
          </w:rPr>
          <w:t>1</w:t>
        </w:r>
      </w:hyperlink>
      <w:r w:rsidRPr="009347D0">
        <w:rPr>
          <w:rFonts w:ascii="Verdana" w:hAnsi="Verdana" w:cs="Arial"/>
          <w:sz w:val="16"/>
          <w:szCs w:val="16"/>
          <w:lang w:val="es-CO"/>
        </w:rPr>
        <w:t>o de esta ley;</w:t>
      </w:r>
    </w:p>
    <w:p w14:paraId="2336E3D7" w14:textId="77777777" w:rsidR="008255F4" w:rsidRPr="009347D0" w:rsidRDefault="008255F4" w:rsidP="008255F4">
      <w:pPr>
        <w:pStyle w:val="Textonotapie"/>
        <w:ind w:firstLine="708"/>
        <w:jc w:val="both"/>
        <w:rPr>
          <w:rFonts w:ascii="Verdana" w:hAnsi="Verdana" w:cs="Arial"/>
          <w:sz w:val="16"/>
          <w:szCs w:val="16"/>
          <w:lang w:val="es-CO"/>
        </w:rPr>
      </w:pPr>
      <w:r w:rsidRPr="009347D0">
        <w:rPr>
          <w:rFonts w:ascii="Verdana" w:hAnsi="Verdana" w:cs="Arial"/>
          <w:sz w:val="16"/>
          <w:szCs w:val="16"/>
          <w:lang w:val="es-CO"/>
        </w:rPr>
        <w:t>b) Como mínimo, de las vigencias futuras que se soliciten se deberá contar con apropiación del quince por ciento (15%) en la vigencia fiscal en la que estas sean autorizadas;</w:t>
      </w:r>
    </w:p>
    <w:p w14:paraId="0BCF62E2" w14:textId="77777777" w:rsidR="008255F4" w:rsidRPr="009347D0" w:rsidRDefault="008255F4" w:rsidP="008255F4">
      <w:pPr>
        <w:pStyle w:val="Textonotapie"/>
        <w:ind w:firstLine="709"/>
        <w:jc w:val="both"/>
        <w:rPr>
          <w:rFonts w:ascii="Verdana" w:hAnsi="Verdana" w:cs="Arial"/>
          <w:sz w:val="16"/>
          <w:szCs w:val="16"/>
          <w:lang w:val="es-CO"/>
        </w:rPr>
      </w:pPr>
      <w:r w:rsidRPr="009347D0">
        <w:rPr>
          <w:rFonts w:ascii="Verdana" w:hAnsi="Verdana" w:cs="Arial"/>
          <w:sz w:val="16"/>
          <w:szCs w:val="16"/>
          <w:lang w:val="es-CO"/>
        </w:rPr>
        <w:t>c) Cuando se trate de proyectos de inversión nacional deberá obtenerse el concepto previo y favorable del Departamento Nacional de Planeación y del Ministerio del ramo.</w:t>
      </w:r>
    </w:p>
    <w:p w14:paraId="2E113F49" w14:textId="77777777" w:rsidR="008255F4" w:rsidRPr="009347D0" w:rsidRDefault="008255F4" w:rsidP="008255F4">
      <w:pPr>
        <w:pStyle w:val="Textonotapie"/>
        <w:jc w:val="both"/>
        <w:rPr>
          <w:rFonts w:ascii="Verdana" w:hAnsi="Verdana" w:cs="Arial"/>
          <w:sz w:val="16"/>
          <w:szCs w:val="16"/>
          <w:lang w:val="es-CO"/>
        </w:rPr>
      </w:pPr>
      <w:r w:rsidRPr="009347D0">
        <w:rPr>
          <w:rFonts w:ascii="Verdana" w:hAnsi="Verdana" w:cs="Arial"/>
          <w:sz w:val="16"/>
          <w:szCs w:val="16"/>
          <w:lang w:val="es-CO"/>
        </w:rPr>
        <w:t>La autorización por parte del Confis para comprometer presupuesto con cargo a vigencias futuras no podrá superar el respectivo período de gobierno. Se exceptúan los proyectos de gastos de inversión en aquellos casos en que el Conpes previamente los declare de importancia estratégica.</w:t>
      </w:r>
    </w:p>
    <w:p w14:paraId="66B59C6C" w14:textId="77777777" w:rsidR="008255F4" w:rsidRPr="009347D0" w:rsidRDefault="008255F4" w:rsidP="008255F4">
      <w:pPr>
        <w:pStyle w:val="Textonotapie"/>
        <w:jc w:val="both"/>
        <w:rPr>
          <w:rFonts w:ascii="Verdana" w:hAnsi="Verdana" w:cs="Arial"/>
          <w:sz w:val="16"/>
          <w:szCs w:val="16"/>
          <w:lang w:val="es-CO"/>
        </w:rPr>
      </w:pPr>
      <w:r w:rsidRPr="009347D0">
        <w:rPr>
          <w:rFonts w:ascii="Verdana" w:hAnsi="Verdana" w:cs="Arial"/>
          <w:sz w:val="16"/>
          <w:szCs w:val="16"/>
          <w:lang w:val="es-CO"/>
        </w:rPr>
        <w:t>Esta disposición también se aplicará a las entidades de que trata el artículo 9o de la presente ley. El Gobierno reglamentará la materia.</w:t>
      </w:r>
    </w:p>
    <w:p w14:paraId="603ED152" w14:textId="77777777" w:rsidR="008255F4" w:rsidRPr="009347D0" w:rsidRDefault="008255F4" w:rsidP="008255F4">
      <w:pPr>
        <w:pStyle w:val="Textonotapie"/>
        <w:ind w:firstLine="709"/>
        <w:jc w:val="both"/>
        <w:rPr>
          <w:rFonts w:ascii="Verdana" w:hAnsi="Verdana" w:cs="Arial"/>
          <w:sz w:val="16"/>
          <w:szCs w:val="16"/>
          <w:lang w:val="es-CO"/>
        </w:rPr>
      </w:pPr>
      <w:r w:rsidRPr="009347D0">
        <w:rPr>
          <w:rFonts w:ascii="Verdana" w:hAnsi="Verdana" w:cs="Arial"/>
          <w:sz w:val="16"/>
          <w:szCs w:val="16"/>
          <w:lang w:val="es-CO"/>
        </w:rPr>
        <w:t>El Ministerio de Hacienda y Crédito Público, Dirección General del Presupuesto Público Nacional, incluirá en los proyectos de presupuesto las asignaciones necesarias para darle cumplimiento a lo dispuesto en este artículo. […]</w:t>
      </w:r>
      <w:r w:rsidRPr="009347D0">
        <w:rPr>
          <w:rFonts w:ascii="Verdana" w:eastAsia="Calibri" w:hAnsi="Verdana" w:cs="Arial"/>
          <w:sz w:val="16"/>
          <w:szCs w:val="16"/>
          <w:lang w:val="es-ES_tradnl"/>
        </w:rPr>
        <w:t>”.</w:t>
      </w:r>
    </w:p>
  </w:footnote>
  <w:footnote w:id="5">
    <w:p w14:paraId="64F11AD1" w14:textId="77777777" w:rsidR="008255F4" w:rsidRPr="009347D0" w:rsidRDefault="008255F4" w:rsidP="008255F4">
      <w:pPr>
        <w:pStyle w:val="Textonotapie"/>
        <w:ind w:firstLine="709"/>
        <w:jc w:val="both"/>
        <w:rPr>
          <w:rFonts w:ascii="Verdana" w:hAnsi="Verdana"/>
          <w:sz w:val="16"/>
          <w:szCs w:val="16"/>
          <w:lang w:val="es-CO"/>
        </w:rPr>
      </w:pPr>
      <w:r w:rsidRPr="009347D0">
        <w:rPr>
          <w:rStyle w:val="Refdenotaalpie"/>
          <w:rFonts w:ascii="Verdana" w:hAnsi="Verdana"/>
          <w:sz w:val="16"/>
          <w:szCs w:val="16"/>
        </w:rPr>
        <w:footnoteRef/>
      </w:r>
      <w:r w:rsidRPr="009347D0">
        <w:rPr>
          <w:rFonts w:ascii="Verdana" w:hAnsi="Verdana"/>
          <w:sz w:val="16"/>
          <w:szCs w:val="16"/>
        </w:rPr>
        <w:t xml:space="preserve"> </w:t>
      </w:r>
      <w:r w:rsidRPr="009347D0">
        <w:rPr>
          <w:rFonts w:ascii="Verdana" w:hAnsi="Verdana" w:cs="Arial"/>
          <w:sz w:val="16"/>
          <w:szCs w:val="16"/>
        </w:rPr>
        <w:t xml:space="preserve">Conforme al Artículo 89 del </w:t>
      </w:r>
      <w:r w:rsidRPr="009347D0">
        <w:rPr>
          <w:rFonts w:ascii="Verdana" w:eastAsia="Calibri" w:hAnsi="Verdana" w:cs="Arial"/>
          <w:color w:val="000000" w:themeColor="text1"/>
          <w:sz w:val="16"/>
          <w:szCs w:val="16"/>
          <w:lang w:val="es-ES"/>
        </w:rPr>
        <w:t>Estatuto Orgánico del Presupuesto</w:t>
      </w:r>
      <w:r w:rsidRPr="009347D0">
        <w:rPr>
          <w:rFonts w:ascii="Verdana" w:eastAsia="Times New Roman" w:hAnsi="Verdana" w:cs="Arial"/>
          <w:color w:val="4B4949"/>
          <w:sz w:val="16"/>
          <w:szCs w:val="16"/>
          <w:lang w:val="es-CO" w:eastAsia="es-ES_tradnl"/>
        </w:rPr>
        <w:t xml:space="preserve"> </w:t>
      </w:r>
      <w:r w:rsidRPr="009347D0">
        <w:rPr>
          <w:rFonts w:ascii="Verdana" w:eastAsia="Calibri" w:hAnsi="Verdana" w:cs="Arial"/>
          <w:sz w:val="16"/>
          <w:szCs w:val="16"/>
          <w:lang w:val="es-ES_tradnl"/>
        </w:rPr>
        <w:t xml:space="preserve">“[…] </w:t>
      </w:r>
      <w:r w:rsidRPr="009347D0">
        <w:rPr>
          <w:rFonts w:ascii="Verdana" w:eastAsia="Times New Roman" w:hAnsi="Verdana" w:cs="Arial"/>
          <w:color w:val="4B4949"/>
          <w:sz w:val="16"/>
          <w:szCs w:val="16"/>
          <w:lang w:val="es-CO" w:eastAsia="es-ES_tradnl"/>
        </w:rPr>
        <w:t>c</w:t>
      </w:r>
      <w:r w:rsidRPr="009347D0">
        <w:rPr>
          <w:rFonts w:ascii="Verdana" w:eastAsia="Calibri" w:hAnsi="Verdana" w:cs="Arial"/>
          <w:color w:val="000000" w:themeColor="text1"/>
          <w:sz w:val="16"/>
          <w:szCs w:val="16"/>
          <w:lang w:val="es-CO"/>
        </w:rPr>
        <w:t>ada órgano constituirá al 31 de diciembre del año cuentas por pagar con las obligaciones correspondientes a los anticipos pactados en los contratos y a la entrega de bienes y servicios</w:t>
      </w:r>
      <w:r w:rsidRPr="009347D0">
        <w:rPr>
          <w:rFonts w:ascii="Verdana" w:eastAsia="Calibri" w:hAnsi="Verdana" w:cs="Arial"/>
          <w:sz w:val="16"/>
          <w:szCs w:val="16"/>
          <w:lang w:val="es-ES_tradnl"/>
        </w:rPr>
        <w:t>”</w:t>
      </w:r>
      <w:r w:rsidRPr="009347D0">
        <w:rPr>
          <w:rFonts w:ascii="Verdana" w:eastAsia="Calibri" w:hAnsi="Verdana" w:cs="Arial"/>
          <w:color w:val="000000" w:themeColor="text1"/>
          <w:sz w:val="16"/>
          <w:szCs w:val="16"/>
          <w:lang w:val="es-CO"/>
        </w:rPr>
        <w:t>.</w:t>
      </w:r>
    </w:p>
  </w:footnote>
  <w:footnote w:id="6">
    <w:p w14:paraId="109EB093" w14:textId="77777777" w:rsidR="008255F4" w:rsidRPr="009347D0" w:rsidRDefault="008255F4" w:rsidP="008255F4">
      <w:pPr>
        <w:pStyle w:val="Textonotapie"/>
        <w:ind w:firstLine="709"/>
        <w:jc w:val="both"/>
        <w:rPr>
          <w:rFonts w:ascii="Verdana" w:hAnsi="Verdana" w:cs="Arial"/>
          <w:sz w:val="16"/>
          <w:szCs w:val="16"/>
          <w:lang w:val="es-CO"/>
        </w:rPr>
      </w:pPr>
      <w:r w:rsidRPr="009347D0">
        <w:rPr>
          <w:rStyle w:val="Refdenotaalpie"/>
          <w:rFonts w:ascii="Verdana" w:hAnsi="Verdana"/>
          <w:sz w:val="16"/>
          <w:szCs w:val="16"/>
        </w:rPr>
        <w:footnoteRef/>
      </w:r>
      <w:r w:rsidRPr="009347D0">
        <w:rPr>
          <w:rFonts w:ascii="Verdana" w:hAnsi="Verdana"/>
          <w:sz w:val="16"/>
          <w:szCs w:val="16"/>
        </w:rPr>
        <w:t xml:space="preserve"> </w:t>
      </w:r>
      <w:r w:rsidRPr="009347D0">
        <w:rPr>
          <w:rFonts w:ascii="Verdana" w:eastAsia="Calibri" w:hAnsi="Verdana" w:cs="Arial"/>
          <w:color w:val="000000" w:themeColor="text1"/>
          <w:sz w:val="16"/>
          <w:szCs w:val="16"/>
          <w:lang w:val="es-ES"/>
        </w:rPr>
        <w:t>Artículo 89 del Estatuto Orgánico del Presupuesto</w:t>
      </w:r>
    </w:p>
  </w:footnote>
  <w:footnote w:id="7">
    <w:p w14:paraId="32E8B96A" w14:textId="77777777" w:rsidR="008255F4" w:rsidRPr="009347D0" w:rsidRDefault="008255F4" w:rsidP="008255F4">
      <w:pPr>
        <w:pStyle w:val="Textonotapie"/>
        <w:ind w:firstLine="709"/>
        <w:jc w:val="both"/>
        <w:rPr>
          <w:rFonts w:ascii="Verdana" w:hAnsi="Verdana"/>
          <w:sz w:val="16"/>
          <w:szCs w:val="16"/>
          <w:lang w:val="es-ES_tradnl"/>
        </w:rPr>
      </w:pPr>
      <w:r w:rsidRPr="009347D0">
        <w:rPr>
          <w:rStyle w:val="Refdenotaalpie"/>
          <w:rFonts w:ascii="Verdana" w:hAnsi="Verdana"/>
          <w:sz w:val="16"/>
          <w:szCs w:val="16"/>
        </w:rPr>
        <w:footnoteRef/>
      </w:r>
      <w:r w:rsidRPr="009347D0">
        <w:rPr>
          <w:rFonts w:ascii="Verdana" w:hAnsi="Verdana"/>
          <w:sz w:val="16"/>
          <w:szCs w:val="16"/>
          <w:lang w:val="es-ES_tradnl"/>
        </w:rPr>
        <w:t xml:space="preserve"> “Sin perjuicio de la responsabilidad fiscal y disciplinaria a que haya lugar, cuando en vigencias anteriores no se haya realizado el pago de obligaciones adquiridas con las formalidades previstas en el Estatuto Orgánico del Presupuesto y demás normas que regulan la materia, y sobre los mismos no se haya constituido la reserva presupuestal o la cuenta por pagar correspondiente, se podrá hacer el pago bajo el concepto de ‘Pago de Pasivos Exigibles – Vigencias Expiradas’.</w:t>
      </w:r>
    </w:p>
    <w:p w14:paraId="251DF253" w14:textId="77777777" w:rsidR="008255F4" w:rsidRPr="009347D0" w:rsidRDefault="008255F4" w:rsidP="008255F4">
      <w:pPr>
        <w:pStyle w:val="Textonotapie"/>
        <w:ind w:firstLine="709"/>
        <w:jc w:val="both"/>
        <w:rPr>
          <w:rFonts w:ascii="Verdana" w:hAnsi="Verdana"/>
          <w:sz w:val="16"/>
          <w:szCs w:val="16"/>
          <w:lang w:val="es-ES_tradnl"/>
        </w:rPr>
      </w:pPr>
      <w:r w:rsidRPr="009347D0">
        <w:rPr>
          <w:rFonts w:ascii="Verdana" w:hAnsi="Verdana"/>
          <w:sz w:val="16"/>
          <w:szCs w:val="16"/>
          <w:lang w:val="es-ES_tradnl"/>
        </w:rPr>
        <w:t>También procederá la operación prevista en el inciso anterior, cuando el pago no se hubiere realizado pese a haberse constituido oportunamente la reserva presupuestal o la cuenta por pagar en los términos del artículo 89 del Estatuto Orgánico del Presupuesto.</w:t>
      </w:r>
    </w:p>
    <w:p w14:paraId="08E61354" w14:textId="77777777" w:rsidR="008255F4" w:rsidRPr="009347D0" w:rsidRDefault="008255F4" w:rsidP="008255F4">
      <w:pPr>
        <w:pStyle w:val="Textonotapie"/>
        <w:ind w:firstLine="709"/>
        <w:jc w:val="both"/>
        <w:rPr>
          <w:rFonts w:ascii="Verdana" w:hAnsi="Verdana"/>
          <w:sz w:val="16"/>
          <w:szCs w:val="16"/>
          <w:lang w:val="es-ES_tradnl"/>
        </w:rPr>
      </w:pPr>
      <w:r w:rsidRPr="009347D0">
        <w:rPr>
          <w:rFonts w:ascii="Verdana" w:hAnsi="Verdana"/>
          <w:sz w:val="16"/>
          <w:szCs w:val="16"/>
          <w:lang w:val="es-ES_tradnl"/>
        </w:rPr>
        <w:t>De igual manera, podrá realizarse a través de este mecanismo, el reconocimiento y pago de los recursos reintegrados a la unidad de caja del Tesoro Nacional en el marco de lo dispuesto por el parágrafo transitorio del artículo 319 de la Ley 2294 de 2023.</w:t>
      </w:r>
    </w:p>
    <w:p w14:paraId="7D802154" w14:textId="77777777" w:rsidR="008255F4" w:rsidRPr="009347D0" w:rsidRDefault="008255F4" w:rsidP="008255F4">
      <w:pPr>
        <w:pStyle w:val="Textonotapie"/>
        <w:ind w:firstLine="709"/>
        <w:jc w:val="both"/>
        <w:rPr>
          <w:rFonts w:ascii="Verdana" w:hAnsi="Verdana"/>
          <w:sz w:val="16"/>
          <w:szCs w:val="16"/>
          <w:lang w:val="es-ES_tradnl"/>
        </w:rPr>
      </w:pPr>
      <w:r w:rsidRPr="009347D0">
        <w:rPr>
          <w:rFonts w:ascii="Verdana" w:hAnsi="Verdana"/>
          <w:sz w:val="16"/>
          <w:szCs w:val="16"/>
          <w:lang w:val="es-ES_tradnl"/>
        </w:rPr>
        <w:t>El mecanismo previsto en el primer inciso de este artículo también procederá cuando se trate del cumplimiento de una obligación originada en la ley, exigible en vigencias anteriores, aun sin que medie certificado de disponibilidad presupuestal ni registro presupuestal.</w:t>
      </w:r>
    </w:p>
    <w:p w14:paraId="378B8CFA" w14:textId="77777777" w:rsidR="008255F4" w:rsidRPr="009347D0" w:rsidRDefault="008255F4" w:rsidP="008255F4">
      <w:pPr>
        <w:pStyle w:val="Textonotapie"/>
        <w:ind w:firstLine="709"/>
        <w:jc w:val="both"/>
        <w:rPr>
          <w:rFonts w:ascii="Verdana" w:hAnsi="Verdana"/>
          <w:sz w:val="16"/>
          <w:szCs w:val="16"/>
          <w:lang w:val="es-ES_tradnl"/>
        </w:rPr>
      </w:pPr>
      <w:r w:rsidRPr="009347D0">
        <w:rPr>
          <w:rFonts w:ascii="Verdana" w:hAnsi="Verdana"/>
          <w:sz w:val="16"/>
          <w:szCs w:val="16"/>
          <w:lang w:val="es-ES_tradnl"/>
        </w:rPr>
        <w:t>Cuando se cumpla alguna de las anteriores condiciones, se podrá atender el gasto de “Pago Pasivos Exigibles Vigencias Expiradas”, a través del rubro presupuestal correspondiente de acuerdo con el detalle del anexo del decreto de liquidación. Al momento de hacerse el registro presupuestal deberá dejarse consignada la expresión ‘Pago Pasivos Exigibles – Vigencias Expiradas’. Copia del acto administrativo que ordena su pago deberá ser remitido a la Contraloría General de la República.</w:t>
      </w:r>
    </w:p>
    <w:p w14:paraId="7FAC173A" w14:textId="77777777" w:rsidR="008255F4" w:rsidRPr="009347D0" w:rsidRDefault="008255F4" w:rsidP="008255F4">
      <w:pPr>
        <w:pStyle w:val="Textonotapie"/>
        <w:ind w:firstLine="709"/>
        <w:jc w:val="both"/>
        <w:rPr>
          <w:rFonts w:ascii="Verdana" w:hAnsi="Verdana"/>
          <w:sz w:val="16"/>
          <w:szCs w:val="16"/>
          <w:lang w:val="es-ES_tradnl"/>
        </w:rPr>
      </w:pPr>
      <w:r w:rsidRPr="009347D0">
        <w:rPr>
          <w:rFonts w:ascii="Verdana" w:hAnsi="Verdana"/>
          <w:sz w:val="16"/>
          <w:szCs w:val="16"/>
          <w:lang w:val="es-ES_tradnl"/>
        </w:rPr>
        <w:t>En todo caso, el ordenador del gasto del órgano respectivo certificará previamente el cumplimiento de los requisitos señalados en este artículo.</w:t>
      </w:r>
    </w:p>
    <w:p w14:paraId="0804060F" w14:textId="77777777" w:rsidR="008255F4" w:rsidRPr="009347D0" w:rsidRDefault="008255F4" w:rsidP="008255F4">
      <w:pPr>
        <w:pStyle w:val="Textonotapie"/>
        <w:ind w:firstLine="709"/>
        <w:jc w:val="both"/>
        <w:rPr>
          <w:rFonts w:ascii="Verdana" w:hAnsi="Verdana"/>
          <w:sz w:val="16"/>
          <w:szCs w:val="16"/>
          <w:lang w:val="es-ES_tradnl"/>
        </w:rPr>
      </w:pPr>
      <w:r w:rsidRPr="009347D0">
        <w:rPr>
          <w:rFonts w:ascii="Verdana" w:hAnsi="Verdana"/>
          <w:sz w:val="16"/>
          <w:szCs w:val="16"/>
          <w:lang w:val="es-ES_tradnl"/>
        </w:rPr>
        <w:t>Lo preceptuado en el presente artículo no aplica cuando se configuren como hechos cumplidos.</w:t>
      </w:r>
    </w:p>
    <w:p w14:paraId="1D6915D7" w14:textId="77777777" w:rsidR="008255F4" w:rsidRPr="009347D0" w:rsidRDefault="008255F4" w:rsidP="008255F4">
      <w:pPr>
        <w:pStyle w:val="Textonotapie"/>
        <w:ind w:firstLine="709"/>
        <w:jc w:val="both"/>
        <w:rPr>
          <w:rFonts w:ascii="Verdana" w:hAnsi="Verdana"/>
          <w:sz w:val="16"/>
          <w:szCs w:val="16"/>
          <w:lang w:val="es-ES_tradnl"/>
        </w:rPr>
      </w:pPr>
      <w:r w:rsidRPr="009347D0">
        <w:rPr>
          <w:rFonts w:ascii="Verdana" w:hAnsi="Verdana"/>
          <w:sz w:val="16"/>
          <w:szCs w:val="16"/>
          <w:lang w:val="es-ES_tradnl"/>
        </w:rPr>
        <w:t>[…]”.</w:t>
      </w:r>
    </w:p>
  </w:footnote>
  <w:footnote w:id="8">
    <w:p w14:paraId="637788E8" w14:textId="77777777" w:rsidR="008255F4" w:rsidRPr="009347D0" w:rsidRDefault="008255F4" w:rsidP="008255F4">
      <w:pPr>
        <w:pStyle w:val="Textonotapie"/>
        <w:ind w:firstLine="708"/>
        <w:contextualSpacing/>
        <w:jc w:val="both"/>
        <w:rPr>
          <w:rFonts w:ascii="Verdana" w:hAnsi="Verdana" w:cs="Arial"/>
          <w:sz w:val="16"/>
          <w:szCs w:val="16"/>
          <w:lang w:val="es-CO"/>
        </w:rPr>
      </w:pPr>
      <w:r w:rsidRPr="009347D0">
        <w:rPr>
          <w:rStyle w:val="Refdenotaalpie"/>
          <w:rFonts w:ascii="Verdana" w:hAnsi="Verdana" w:cs="Arial"/>
          <w:sz w:val="16"/>
          <w:szCs w:val="16"/>
        </w:rPr>
        <w:footnoteRef/>
      </w:r>
      <w:r w:rsidRPr="009347D0">
        <w:rPr>
          <w:rFonts w:ascii="Verdana" w:hAnsi="Verdana" w:cs="Arial"/>
          <w:sz w:val="16"/>
          <w:szCs w:val="16"/>
        </w:rPr>
        <w:t xml:space="preserve"> </w:t>
      </w:r>
      <w:r w:rsidRPr="009347D0">
        <w:rPr>
          <w:rFonts w:ascii="Verdana" w:hAnsi="Verdana" w:cs="Arial"/>
          <w:sz w:val="16"/>
          <w:szCs w:val="16"/>
          <w:lang w:val="es-CO"/>
        </w:rPr>
        <w:t>El artículo 40 de la Ley 80 de 1993 dispone que los contratos no podrán adicionarse en más del 50% de su valor inicial, expresado en SMLMV.</w:t>
      </w:r>
    </w:p>
  </w:footnote>
  <w:footnote w:id="9">
    <w:p w14:paraId="7BCC2822" w14:textId="77777777" w:rsidR="008255F4" w:rsidRPr="009347D0" w:rsidRDefault="008255F4" w:rsidP="008255F4">
      <w:pPr>
        <w:pStyle w:val="Textonotapie"/>
        <w:ind w:firstLine="708"/>
        <w:contextualSpacing/>
        <w:rPr>
          <w:rFonts w:ascii="Verdana" w:hAnsi="Verdana"/>
          <w:sz w:val="16"/>
          <w:szCs w:val="16"/>
          <w:lang w:val="pt-BR"/>
        </w:rPr>
      </w:pPr>
      <w:r w:rsidRPr="009347D0">
        <w:rPr>
          <w:rStyle w:val="Refdenotaalpie"/>
          <w:rFonts w:ascii="Verdana" w:hAnsi="Verdana"/>
          <w:sz w:val="16"/>
          <w:szCs w:val="16"/>
        </w:rPr>
        <w:footnoteRef/>
      </w:r>
      <w:r w:rsidRPr="009347D0">
        <w:rPr>
          <w:rFonts w:ascii="Verdana" w:hAnsi="Verdana"/>
          <w:sz w:val="16"/>
          <w:szCs w:val="16"/>
          <w:lang w:val="pt-BR"/>
        </w:rPr>
        <w:t xml:space="preserve"> Corte Constitucional. Sentencia C-300 de 2012. M.P: Jorge Ignacio Pretelt Chaljub. </w:t>
      </w:r>
    </w:p>
  </w:footnote>
  <w:footnote w:id="10">
    <w:p w14:paraId="622CAA38" w14:textId="77777777" w:rsidR="008255F4" w:rsidRPr="009347D0" w:rsidRDefault="008255F4" w:rsidP="008255F4">
      <w:pPr>
        <w:pStyle w:val="Textonotapie"/>
        <w:ind w:firstLine="708"/>
        <w:contextualSpacing/>
        <w:jc w:val="both"/>
        <w:rPr>
          <w:rFonts w:ascii="Verdana" w:hAnsi="Verdana"/>
          <w:sz w:val="16"/>
          <w:szCs w:val="16"/>
        </w:rPr>
      </w:pPr>
      <w:r w:rsidRPr="009347D0">
        <w:rPr>
          <w:rStyle w:val="Refdenotaalpie"/>
          <w:rFonts w:ascii="Verdana" w:hAnsi="Verdana"/>
          <w:sz w:val="16"/>
          <w:szCs w:val="16"/>
        </w:rPr>
        <w:footnoteRef/>
      </w:r>
      <w:r w:rsidRPr="009347D0">
        <w:rPr>
          <w:rFonts w:ascii="Verdana" w:hAnsi="Verdana"/>
          <w:sz w:val="16"/>
          <w:szCs w:val="16"/>
        </w:rPr>
        <w:t xml:space="preserve"> Sobre la naturaleza instrumental del contrato para alcanzar los fines propios del estado social de derecho, ver la sentencia C-932 de 2007, M.P: Marco Gerardo Monroy Cabra.</w:t>
      </w:r>
    </w:p>
  </w:footnote>
  <w:footnote w:id="11">
    <w:p w14:paraId="668B0893" w14:textId="77777777" w:rsidR="008255F4" w:rsidRPr="009347D0" w:rsidRDefault="008255F4" w:rsidP="008255F4">
      <w:pPr>
        <w:pStyle w:val="Textonotapie"/>
        <w:ind w:firstLine="708"/>
        <w:contextualSpacing/>
        <w:jc w:val="both"/>
        <w:rPr>
          <w:rFonts w:ascii="Verdana" w:hAnsi="Verdana"/>
          <w:sz w:val="16"/>
          <w:szCs w:val="16"/>
        </w:rPr>
      </w:pPr>
      <w:r w:rsidRPr="009347D0">
        <w:rPr>
          <w:rStyle w:val="Refdenotaalpie"/>
          <w:rFonts w:ascii="Verdana" w:hAnsi="Verdana"/>
          <w:sz w:val="16"/>
          <w:szCs w:val="16"/>
        </w:rPr>
        <w:footnoteRef/>
      </w:r>
      <w:r w:rsidRPr="009347D0">
        <w:rPr>
          <w:rFonts w:ascii="Verdana" w:hAnsi="Verdana"/>
          <w:sz w:val="16"/>
          <w:szCs w:val="16"/>
        </w:rPr>
        <w:t xml:space="preserve"> M.P: Clara Inés Vargas Hernández.</w:t>
      </w:r>
    </w:p>
  </w:footnote>
  <w:footnote w:id="12">
    <w:p w14:paraId="7ED4CE42" w14:textId="77777777" w:rsidR="008255F4" w:rsidRPr="001B0DE0" w:rsidRDefault="008255F4" w:rsidP="008255F4">
      <w:pPr>
        <w:pStyle w:val="Textonotapie"/>
        <w:ind w:firstLine="708"/>
        <w:contextualSpacing/>
        <w:jc w:val="both"/>
        <w:rPr>
          <w:rFonts w:ascii="Verdana" w:hAnsi="Verdana"/>
          <w:sz w:val="16"/>
          <w:szCs w:val="16"/>
          <w:lang w:val="es-CO"/>
        </w:rPr>
      </w:pPr>
      <w:r w:rsidRPr="009347D0">
        <w:rPr>
          <w:rStyle w:val="Refdenotaalpie"/>
          <w:rFonts w:ascii="Verdana" w:hAnsi="Verdana"/>
          <w:sz w:val="16"/>
          <w:szCs w:val="16"/>
        </w:rPr>
        <w:footnoteRef/>
      </w:r>
      <w:r w:rsidRPr="009347D0">
        <w:rPr>
          <w:rFonts w:ascii="Verdana" w:hAnsi="Verdana"/>
          <w:sz w:val="16"/>
          <w:szCs w:val="16"/>
        </w:rPr>
        <w:t xml:space="preserve"> Ver también la sentencia C-068 de 2009, M.P: Mauricio González Cuervo</w:t>
      </w:r>
      <w:r w:rsidRPr="009347D0">
        <w:rPr>
          <w:rFonts w:ascii="Verdana" w:hAnsi="Verdana"/>
          <w:b/>
          <w:sz w:val="16"/>
          <w:szCs w:val="16"/>
        </w:rPr>
        <w:t xml:space="preserve">, </w:t>
      </w:r>
      <w:r w:rsidRPr="009347D0">
        <w:rPr>
          <w:rFonts w:ascii="Verdana" w:hAnsi="Verdana"/>
          <w:sz w:val="16"/>
          <w:szCs w:val="16"/>
        </w:rPr>
        <w:t>sobre la constitucional</w:t>
      </w:r>
      <w:r w:rsidRPr="009347D0">
        <w:rPr>
          <w:rFonts w:ascii="Verdana" w:hAnsi="Verdana"/>
          <w:b/>
          <w:sz w:val="16"/>
          <w:szCs w:val="16"/>
        </w:rPr>
        <w:t xml:space="preserve"> </w:t>
      </w:r>
      <w:r w:rsidRPr="009347D0">
        <w:rPr>
          <w:rFonts w:ascii="Verdana" w:hAnsi="Verdana"/>
          <w:sz w:val="16"/>
          <w:szCs w:val="16"/>
          <w:lang w:val="es-CO"/>
        </w:rPr>
        <w:t>de la posibilidad de prorrogar los contratos de concesión portuaria (artículo 8º de la ley 1º de 1991).</w:t>
      </w:r>
    </w:p>
  </w:footnote>
  <w:footnote w:id="13">
    <w:p w14:paraId="44F9B888" w14:textId="77777777" w:rsidR="008255F4" w:rsidRPr="009347D0" w:rsidRDefault="008255F4" w:rsidP="008255F4">
      <w:pPr>
        <w:pStyle w:val="Textonotapie"/>
        <w:ind w:firstLine="708"/>
        <w:contextualSpacing/>
        <w:jc w:val="both"/>
        <w:rPr>
          <w:rFonts w:ascii="Verdana" w:hAnsi="Verdana"/>
          <w:sz w:val="16"/>
          <w:szCs w:val="16"/>
        </w:rPr>
      </w:pPr>
      <w:r w:rsidRPr="009347D0">
        <w:rPr>
          <w:rStyle w:val="Refdenotaalpie"/>
          <w:rFonts w:ascii="Verdana" w:hAnsi="Verdana"/>
          <w:sz w:val="16"/>
          <w:szCs w:val="16"/>
        </w:rPr>
        <w:footnoteRef/>
      </w:r>
      <w:r w:rsidRPr="009347D0">
        <w:rPr>
          <w:rFonts w:ascii="Verdana" w:hAnsi="Verdana"/>
          <w:sz w:val="16"/>
          <w:szCs w:val="16"/>
        </w:rPr>
        <w:t xml:space="preserve"> Esta clasificación es tomada de la literatura del análisis económico del derecho. </w:t>
      </w:r>
      <w:r w:rsidRPr="009347D0">
        <w:rPr>
          <w:rFonts w:ascii="Verdana" w:hAnsi="Verdana"/>
          <w:sz w:val="16"/>
          <w:szCs w:val="16"/>
          <w:lang w:val="en-US"/>
        </w:rPr>
        <w:t xml:space="preserve">Ver WILLIAMSON, Oliver E. “Transaction-Cost Economics: The Governance of Contractual Relations”. En: Journal of Law and Economics, Vol. 22, No. 2 (Oct, 1979), pp. 233-261. SHAVELL, Steven. “Foundations of Economic Analysis of Law”. Harvard University Press, 2004. </w:t>
      </w:r>
      <w:r w:rsidRPr="009347D0">
        <w:rPr>
          <w:rFonts w:ascii="Verdana" w:hAnsi="Verdana"/>
          <w:sz w:val="16"/>
          <w:szCs w:val="16"/>
        </w:rPr>
        <w:t>Dentro de esta literatura, también se señalan como causas de los contratos incompletos, (i) los altos costos de estructuración del contrato, esto es, las altas inversiones que deben realizar las partes para prever las contingencias y diseñar remedios; cuando tales costos exceden los beneficios esperados por las partes, estas últimas pueden optar por celebrar contratos incompletos y dejar por fuera, por ejemplo, previsiones o cláusulas relacionadas con contingencias de baja probabilidad. (ii) Los altos costos de hacer cumplir ciertas cláusulas, y (iii) la dificultad posterior de probar en sede judicial la ocurrencia de ciertas contingencias o variables, entre otras. Vale la pena mencionar que por estas razones la mayoría de los contratos tienden a ser incompletos.</w:t>
      </w:r>
    </w:p>
  </w:footnote>
  <w:footnote w:id="14">
    <w:p w14:paraId="3B290B4E" w14:textId="77777777" w:rsidR="008255F4" w:rsidRPr="009347D0" w:rsidRDefault="008255F4" w:rsidP="008255F4">
      <w:pPr>
        <w:pStyle w:val="Textonotapie"/>
        <w:ind w:firstLine="708"/>
        <w:contextualSpacing/>
        <w:jc w:val="both"/>
        <w:rPr>
          <w:rFonts w:ascii="Verdana" w:hAnsi="Verdana" w:cs="Arial"/>
          <w:sz w:val="16"/>
          <w:szCs w:val="16"/>
        </w:rPr>
      </w:pPr>
      <w:r w:rsidRPr="009347D0">
        <w:rPr>
          <w:rStyle w:val="Refdenotaalpie"/>
          <w:rFonts w:ascii="Verdana" w:hAnsi="Verdana" w:cs="Arial"/>
          <w:sz w:val="16"/>
          <w:szCs w:val="16"/>
        </w:rPr>
        <w:footnoteRef/>
      </w:r>
      <w:r w:rsidRPr="009347D0">
        <w:rPr>
          <w:rFonts w:ascii="Verdana" w:hAnsi="Verdana" w:cs="Arial"/>
          <w:sz w:val="16"/>
          <w:szCs w:val="16"/>
        </w:rPr>
        <w:t xml:space="preserve"> </w:t>
      </w:r>
      <w:r w:rsidRPr="009347D0">
        <w:rPr>
          <w:rFonts w:ascii="Verdana" w:hAnsi="Verdana" w:cs="Arial"/>
          <w:i/>
          <w:sz w:val="16"/>
          <w:szCs w:val="16"/>
        </w:rPr>
        <w:t xml:space="preserve">Cfr. </w:t>
      </w:r>
      <w:r w:rsidRPr="009347D0">
        <w:rPr>
          <w:rFonts w:ascii="Verdana" w:hAnsi="Verdana" w:cs="Arial"/>
          <w:sz w:val="16"/>
          <w:szCs w:val="16"/>
        </w:rPr>
        <w:t>Consejo de Estado. Sala de Consulta y Servicio Civil. Concepto del 13 de agosto de 2009. Radicado: 11001-03-06-000-2009-00033-00 (</w:t>
      </w:r>
      <w:r w:rsidRPr="009347D0">
        <w:rPr>
          <w:rFonts w:ascii="Verdana" w:hAnsi="Verdana" w:cs="Arial"/>
          <w:bCs/>
          <w:sz w:val="16"/>
          <w:szCs w:val="16"/>
        </w:rPr>
        <w:t>1952), C.P. Enrique José Arboleda Perdomo. En este concepto la Sala de Consulta se ocupó, entre otras preguntas, de la siguiente formulada por el Ministerio de Transporte: “</w:t>
      </w:r>
      <w:r w:rsidRPr="009347D0">
        <w:rPr>
          <w:rFonts w:ascii="Verdana" w:hAnsi="Verdana" w:cs="Arial"/>
          <w:bCs/>
          <w:iCs/>
          <w:sz w:val="16"/>
          <w:szCs w:val="16"/>
          <w:lang w:val="es-ES_tradnl"/>
        </w:rPr>
        <w:t>1. ¿Bajo el supuesto lo que en un contrato de concesión existan razones de conveniencia que permitan una mejora del objeto contratado y una mejor prestación del servicio público encomendado a la entidad estatal contratante, es posible, por fuera de lo dispuesto en el artículo 16 de la Ley 80 de 1993 y en caso de que las partes hubieran pactado una modificación de común acuerdo desde la licitación, acudir a tal previsión y modificar el contrato, teniendo en cuenta, además, que con la modificación se busca un efectivo cumplimiento de los fines estatales y una eficiente prestación de los servicios públicos?”.</w:t>
      </w:r>
    </w:p>
  </w:footnote>
  <w:footnote w:id="15">
    <w:p w14:paraId="30A37745" w14:textId="77777777" w:rsidR="008255F4" w:rsidRPr="00881BA7" w:rsidRDefault="008255F4" w:rsidP="008255F4">
      <w:pPr>
        <w:pStyle w:val="Textonotapie"/>
        <w:ind w:firstLine="708"/>
        <w:contextualSpacing/>
        <w:jc w:val="both"/>
        <w:rPr>
          <w:rFonts w:ascii="Verdana" w:hAnsi="Verdana" w:cs="Arial"/>
          <w:bCs/>
          <w:iCs/>
          <w:sz w:val="16"/>
          <w:szCs w:val="16"/>
          <w:lang w:val="es-ES_tradnl"/>
        </w:rPr>
      </w:pPr>
      <w:r w:rsidRPr="009347D0">
        <w:rPr>
          <w:rStyle w:val="Refdenotaalpie"/>
          <w:rFonts w:ascii="Verdana" w:hAnsi="Verdana" w:cs="Arial"/>
          <w:sz w:val="16"/>
          <w:szCs w:val="16"/>
        </w:rPr>
        <w:footnoteRef/>
      </w:r>
      <w:r w:rsidRPr="009347D0">
        <w:rPr>
          <w:rFonts w:ascii="Verdana" w:hAnsi="Verdana" w:cs="Arial"/>
          <w:sz w:val="16"/>
          <w:szCs w:val="16"/>
        </w:rPr>
        <w:t xml:space="preserve"> Los acuerdos de voluntades que no cumplan con esta formalidad se consideran inexistentes, por lo tanto, tal como lo ha planteado el Consejo de Estado en el Concepto 2263 del 17 de marzo del 2017, “las eventuales reclamaciones contractuales que pueda presentar un particular sobre prestaciones realizadas, sin la previa modificación del mismo, están llamadas al fracaso, pues la Administración no puede reconocer situaciones de hecho u obligaciones dinerarias con cargo a un contrato que estipula obligaciones distintas</w:t>
      </w:r>
      <w:r w:rsidRPr="009347D0">
        <w:rPr>
          <w:rFonts w:ascii="Verdana" w:hAnsi="Verdana" w:cs="Arial"/>
          <w:bCs/>
          <w:iCs/>
          <w:sz w:val="16"/>
          <w:szCs w:val="16"/>
          <w:lang w:val="es-ES_tradnl"/>
        </w:rPr>
        <w:t>”.</w:t>
      </w:r>
    </w:p>
  </w:footnote>
  <w:footnote w:id="16">
    <w:p w14:paraId="0A2353EF" w14:textId="77777777" w:rsidR="008255F4" w:rsidRPr="009347D0" w:rsidRDefault="008255F4" w:rsidP="008255F4">
      <w:pPr>
        <w:pStyle w:val="Textonotapie"/>
        <w:ind w:firstLine="708"/>
        <w:contextualSpacing/>
        <w:jc w:val="both"/>
        <w:rPr>
          <w:rFonts w:ascii="Verdana" w:hAnsi="Verdana" w:cs="Arial"/>
          <w:sz w:val="16"/>
          <w:szCs w:val="16"/>
          <w:lang w:val="es-CO"/>
        </w:rPr>
      </w:pPr>
      <w:r w:rsidRPr="009347D0">
        <w:rPr>
          <w:rStyle w:val="Refdenotaalpie"/>
          <w:rFonts w:ascii="Verdana" w:hAnsi="Verdana" w:cs="Arial"/>
          <w:sz w:val="16"/>
          <w:szCs w:val="16"/>
        </w:rPr>
        <w:footnoteRef/>
      </w:r>
      <w:r w:rsidRPr="009347D0">
        <w:rPr>
          <w:rFonts w:ascii="Verdana" w:hAnsi="Verdana" w:cs="Arial"/>
          <w:sz w:val="16"/>
          <w:szCs w:val="16"/>
        </w:rPr>
        <w:t xml:space="preserve"> </w:t>
      </w:r>
      <w:r w:rsidRPr="009347D0">
        <w:rPr>
          <w:rFonts w:ascii="Verdana" w:hAnsi="Verdana" w:cs="Arial"/>
          <w:sz w:val="16"/>
          <w:szCs w:val="16"/>
          <w:lang w:bidi="es-ES"/>
        </w:rPr>
        <w:t>Concepto 2263 del 17 de marzo del 2016, la Sala de Consulta y Servicio Civil del Consejo de Estado</w:t>
      </w:r>
    </w:p>
  </w:footnote>
  <w:footnote w:id="17">
    <w:p w14:paraId="08579E57" w14:textId="77777777" w:rsidR="008255F4" w:rsidRPr="009347D0" w:rsidRDefault="008255F4" w:rsidP="008255F4">
      <w:pPr>
        <w:spacing w:after="0" w:line="240" w:lineRule="auto"/>
        <w:ind w:firstLine="708"/>
        <w:contextualSpacing/>
        <w:jc w:val="both"/>
        <w:rPr>
          <w:rFonts w:ascii="Verdana" w:hAnsi="Verdana"/>
          <w:sz w:val="16"/>
          <w:szCs w:val="16"/>
        </w:rPr>
      </w:pPr>
      <w:r w:rsidRPr="009347D0">
        <w:rPr>
          <w:rStyle w:val="Refdenotaalpie"/>
          <w:rFonts w:ascii="Verdana" w:hAnsi="Verdana"/>
          <w:sz w:val="16"/>
          <w:szCs w:val="16"/>
        </w:rPr>
        <w:footnoteRef/>
      </w:r>
      <w:r w:rsidRPr="009347D0">
        <w:rPr>
          <w:rFonts w:ascii="Verdana" w:hAnsi="Verdana"/>
          <w:sz w:val="16"/>
          <w:szCs w:val="16"/>
        </w:rPr>
        <w:t xml:space="preserve"> Consejo de Estado. Sala de Consulta y Servicio Civil.</w:t>
      </w:r>
      <w:r w:rsidRPr="009347D0">
        <w:rPr>
          <w:rFonts w:ascii="Verdana" w:hAnsi="Verdana"/>
          <w:i/>
          <w:iCs/>
          <w:sz w:val="16"/>
          <w:szCs w:val="16"/>
        </w:rPr>
        <w:t xml:space="preserve"> </w:t>
      </w:r>
      <w:r w:rsidRPr="009347D0">
        <w:rPr>
          <w:rFonts w:ascii="Verdana" w:hAnsi="Verdana"/>
          <w:sz w:val="16"/>
          <w:szCs w:val="16"/>
        </w:rPr>
        <w:t>Concepto del 06 de junio 2018. Radicado: 2369. C.P: Óscar Darío Amaya Navas.</w:t>
      </w:r>
    </w:p>
  </w:footnote>
  <w:footnote w:id="18">
    <w:p w14:paraId="24623105" w14:textId="77777777" w:rsidR="008255F4" w:rsidRPr="009347D0" w:rsidRDefault="008255F4" w:rsidP="008255F4">
      <w:pPr>
        <w:spacing w:after="0" w:line="240" w:lineRule="auto"/>
        <w:ind w:firstLine="708"/>
        <w:contextualSpacing/>
        <w:jc w:val="both"/>
        <w:rPr>
          <w:rFonts w:ascii="Verdana" w:hAnsi="Verdana"/>
          <w:sz w:val="16"/>
          <w:szCs w:val="16"/>
        </w:rPr>
      </w:pPr>
      <w:r w:rsidRPr="009347D0">
        <w:rPr>
          <w:rStyle w:val="Refdenotaalpie"/>
          <w:rFonts w:ascii="Verdana" w:hAnsi="Verdana"/>
          <w:sz w:val="16"/>
          <w:szCs w:val="16"/>
        </w:rPr>
        <w:footnoteRef/>
      </w:r>
      <w:r w:rsidRPr="009347D0">
        <w:rPr>
          <w:rFonts w:ascii="Verdana" w:hAnsi="Verdana"/>
          <w:sz w:val="16"/>
          <w:szCs w:val="16"/>
        </w:rPr>
        <w:t xml:space="preserve"> Consejo de Estado. Sala de Consulta y Servicio Civil. C.P.: Óscar Darío Amaya Navas. Concepto del 6 de junio de 2018. Radicación número: 2369.</w:t>
      </w:r>
    </w:p>
  </w:footnote>
  <w:footnote w:id="19">
    <w:p w14:paraId="65FF563F" w14:textId="77777777" w:rsidR="008255F4" w:rsidRPr="009347D0" w:rsidRDefault="008255F4" w:rsidP="008255F4">
      <w:pPr>
        <w:pStyle w:val="Textonotapie"/>
        <w:ind w:firstLine="708"/>
        <w:contextualSpacing/>
        <w:jc w:val="both"/>
        <w:rPr>
          <w:rFonts w:ascii="Verdana" w:hAnsi="Verdana"/>
          <w:sz w:val="16"/>
          <w:szCs w:val="16"/>
        </w:rPr>
      </w:pPr>
      <w:r w:rsidRPr="009347D0">
        <w:rPr>
          <w:rStyle w:val="Refdenotaalpie"/>
          <w:rFonts w:ascii="Verdana" w:hAnsi="Verdana"/>
          <w:sz w:val="16"/>
          <w:szCs w:val="16"/>
        </w:rPr>
        <w:footnoteRef/>
      </w:r>
      <w:r w:rsidRPr="009347D0">
        <w:rPr>
          <w:rFonts w:ascii="Verdana" w:hAnsi="Verdana"/>
          <w:sz w:val="16"/>
          <w:szCs w:val="16"/>
        </w:rPr>
        <w:t xml:space="preserve"> Ibidem. </w:t>
      </w:r>
    </w:p>
  </w:footnote>
  <w:footnote w:id="20">
    <w:p w14:paraId="0F9C8907" w14:textId="77777777" w:rsidR="008255F4" w:rsidRPr="00BF5A89" w:rsidRDefault="008255F4" w:rsidP="008255F4">
      <w:pPr>
        <w:pStyle w:val="Textonotapie"/>
        <w:ind w:firstLine="708"/>
        <w:contextualSpacing/>
        <w:jc w:val="both"/>
        <w:rPr>
          <w:rFonts w:ascii="Verdana" w:hAnsi="Verdana" w:cs="Arial"/>
          <w:sz w:val="16"/>
          <w:szCs w:val="16"/>
        </w:rPr>
      </w:pPr>
      <w:r w:rsidRPr="009347D0">
        <w:rPr>
          <w:rStyle w:val="Refdenotaalpie"/>
          <w:rFonts w:ascii="Verdana" w:hAnsi="Verdana" w:cs="Arial"/>
          <w:sz w:val="16"/>
          <w:szCs w:val="16"/>
        </w:rPr>
        <w:footnoteRef/>
      </w:r>
      <w:r w:rsidRPr="009347D0">
        <w:rPr>
          <w:rFonts w:ascii="Verdana" w:hAnsi="Verdana" w:cs="Arial"/>
          <w:sz w:val="16"/>
          <w:szCs w:val="16"/>
        </w:rPr>
        <w:t xml:space="preserve"> </w:t>
      </w:r>
      <w:r w:rsidRPr="004A2C34">
        <w:rPr>
          <w:rFonts w:ascii="Verdana" w:hAnsi="Verdana" w:cs="Arial"/>
          <w:bCs/>
          <w:iCs/>
          <w:sz w:val="16"/>
          <w:szCs w:val="16"/>
        </w:rPr>
        <w:t>Cfr.</w:t>
      </w:r>
      <w:r w:rsidRPr="009347D0">
        <w:rPr>
          <w:rFonts w:ascii="Verdana" w:hAnsi="Verdana" w:cs="Arial"/>
          <w:bCs/>
          <w:i/>
          <w:sz w:val="16"/>
          <w:szCs w:val="16"/>
        </w:rPr>
        <w:t xml:space="preserve"> </w:t>
      </w:r>
      <w:r w:rsidRPr="009347D0">
        <w:rPr>
          <w:rFonts w:ascii="Verdana" w:hAnsi="Verdana" w:cs="Arial"/>
          <w:sz w:val="16"/>
          <w:szCs w:val="16"/>
        </w:rPr>
        <w:t>DAVILA VINUEZA Luis Guillermo. Régimen Jurídico de la contratación estatal. Bogotá: Editorial Legis, 2001, p. 387.</w:t>
      </w:r>
      <w:r>
        <w:rPr>
          <w:rFonts w:ascii="Verdana" w:hAnsi="Verdana" w:cs="Arial"/>
          <w:sz w:val="16"/>
          <w:szCs w:val="16"/>
        </w:rPr>
        <w:t xml:space="preserve"> </w:t>
      </w:r>
      <w:r w:rsidRPr="009347D0">
        <w:rPr>
          <w:rFonts w:ascii="Verdana" w:hAnsi="Verdana" w:cs="Arial"/>
          <w:sz w:val="16"/>
          <w:szCs w:val="16"/>
          <w:lang w:val="es-CO"/>
        </w:rPr>
        <w:t>Sobre el particular resultan pertinentes las consideraciones efectuadas en el mismo sentido por la</w:t>
      </w:r>
      <w:r w:rsidRPr="009347D0">
        <w:rPr>
          <w:rFonts w:ascii="Verdana" w:eastAsia="Times New Roman" w:hAnsi="Verdana" w:cs="Arial"/>
          <w:sz w:val="16"/>
          <w:szCs w:val="16"/>
          <w:lang w:val="es-ES" w:eastAsia="es-ES"/>
        </w:rPr>
        <w:t xml:space="preserve"> Sala de Consulta y Servicio Civil del Consejo de Estado en el concepto del 13 de agosto de 2009, rad. </w:t>
      </w:r>
      <w:r w:rsidRPr="009347D0">
        <w:rPr>
          <w:rFonts w:ascii="Verdana" w:eastAsia="Times New Roman" w:hAnsi="Verdana" w:cs="Arial"/>
          <w:bCs/>
          <w:sz w:val="16"/>
          <w:szCs w:val="16"/>
          <w:lang w:val="es-ES" w:eastAsia="es-ES"/>
        </w:rPr>
        <w:t xml:space="preserve">1.952, C.P. Enrique José Arboleda Perdomo y por la Corte Constitucional en la sentencia C-300 de 2012. </w:t>
      </w:r>
    </w:p>
  </w:footnote>
  <w:footnote w:id="21">
    <w:p w14:paraId="034198BB" w14:textId="77777777" w:rsidR="008255F4" w:rsidRPr="00ED40F7" w:rsidRDefault="008255F4" w:rsidP="008255F4">
      <w:pPr>
        <w:pStyle w:val="Textonotapie"/>
        <w:ind w:firstLine="708"/>
        <w:jc w:val="both"/>
        <w:rPr>
          <w:rFonts w:ascii="Verdana" w:hAnsi="Verdana"/>
          <w:sz w:val="16"/>
          <w:szCs w:val="16"/>
          <w:lang w:val="es-CO"/>
        </w:rPr>
      </w:pPr>
      <w:r w:rsidRPr="00ED40F7">
        <w:rPr>
          <w:rStyle w:val="Refdenotaalpie"/>
          <w:rFonts w:ascii="Verdana" w:hAnsi="Verdana"/>
          <w:sz w:val="16"/>
          <w:szCs w:val="16"/>
        </w:rPr>
        <w:footnoteRef/>
      </w:r>
      <w:r w:rsidRPr="00ED40F7">
        <w:rPr>
          <w:rFonts w:ascii="Verdana" w:hAnsi="Verdana"/>
          <w:sz w:val="16"/>
          <w:szCs w:val="16"/>
        </w:rPr>
        <w:t xml:space="preserve"> </w:t>
      </w:r>
      <w:r>
        <w:rPr>
          <w:rFonts w:ascii="Verdana" w:hAnsi="Verdana"/>
          <w:sz w:val="16"/>
          <w:szCs w:val="16"/>
        </w:rPr>
        <w:t xml:space="preserve">CONSEJO DE ESTADO. Sección Tercera. Auto del 30 de agosto de 2008. Exp. 23003. C.P. </w:t>
      </w:r>
      <w:r w:rsidRPr="00ED40F7">
        <w:rPr>
          <w:rFonts w:ascii="Verdana" w:hAnsi="Verdana"/>
          <w:sz w:val="16"/>
          <w:szCs w:val="16"/>
        </w:rPr>
        <w:t>Mauricio Fajardo G</w:t>
      </w:r>
      <w:r>
        <w:rPr>
          <w:rFonts w:ascii="Verdana" w:hAnsi="Verdana"/>
          <w:sz w:val="16"/>
          <w:szCs w:val="16"/>
        </w:rPr>
        <w:t>ó</w:t>
      </w:r>
      <w:r w:rsidRPr="00ED40F7">
        <w:rPr>
          <w:rFonts w:ascii="Verdana" w:hAnsi="Verdana"/>
          <w:sz w:val="16"/>
          <w:szCs w:val="16"/>
        </w:rPr>
        <w:t>mez</w:t>
      </w:r>
      <w:r>
        <w:rPr>
          <w:rFonts w:ascii="Verdana" w:hAnsi="Verdana"/>
          <w:sz w:val="16"/>
          <w:szCs w:val="16"/>
        </w:rPr>
        <w:t xml:space="preserve">. Tesis reiterada en la Sentencias </w:t>
      </w:r>
      <w:r w:rsidRPr="00ED40F7">
        <w:rPr>
          <w:rFonts w:ascii="Verdana" w:hAnsi="Verdana"/>
          <w:sz w:val="16"/>
          <w:szCs w:val="16"/>
        </w:rPr>
        <w:t>de</w:t>
      </w:r>
      <w:r>
        <w:rPr>
          <w:rFonts w:ascii="Verdana" w:hAnsi="Verdana"/>
          <w:sz w:val="16"/>
          <w:szCs w:val="16"/>
        </w:rPr>
        <w:t>l</w:t>
      </w:r>
      <w:r w:rsidRPr="00ED40F7">
        <w:rPr>
          <w:rFonts w:ascii="Verdana" w:hAnsi="Verdana"/>
          <w:sz w:val="16"/>
          <w:szCs w:val="16"/>
        </w:rPr>
        <w:t xml:space="preserve"> 12 de agosto de 2014, </w:t>
      </w:r>
      <w:r>
        <w:rPr>
          <w:rFonts w:ascii="Verdana" w:hAnsi="Verdana"/>
          <w:sz w:val="16"/>
          <w:szCs w:val="16"/>
        </w:rPr>
        <w:t>exp.</w:t>
      </w:r>
      <w:r w:rsidRPr="00ED40F7">
        <w:rPr>
          <w:rFonts w:ascii="Verdana" w:hAnsi="Verdana"/>
          <w:sz w:val="16"/>
          <w:szCs w:val="16"/>
        </w:rPr>
        <w:t xml:space="preserve"> 28565,</w:t>
      </w:r>
      <w:r>
        <w:rPr>
          <w:rFonts w:ascii="Verdana" w:hAnsi="Verdana"/>
          <w:sz w:val="16"/>
          <w:szCs w:val="16"/>
        </w:rPr>
        <w:t xml:space="preserve"> y del </w:t>
      </w:r>
      <w:r w:rsidRPr="00ED40F7">
        <w:rPr>
          <w:rFonts w:ascii="Verdana" w:hAnsi="Verdana"/>
          <w:sz w:val="16"/>
          <w:szCs w:val="16"/>
        </w:rPr>
        <w:t xml:space="preserve">14 de septiembre de 2014, </w:t>
      </w:r>
      <w:r>
        <w:rPr>
          <w:rFonts w:ascii="Verdana" w:hAnsi="Verdana"/>
          <w:sz w:val="16"/>
          <w:szCs w:val="16"/>
        </w:rPr>
        <w:t xml:space="preserve">exp </w:t>
      </w:r>
      <w:r w:rsidRPr="00ED40F7">
        <w:rPr>
          <w:rFonts w:ascii="Verdana" w:hAnsi="Verdana"/>
          <w:sz w:val="16"/>
          <w:szCs w:val="16"/>
        </w:rPr>
        <w:t xml:space="preserve">28.079, </w:t>
      </w:r>
      <w:r>
        <w:rPr>
          <w:rFonts w:ascii="Verdana" w:hAnsi="Verdana"/>
          <w:sz w:val="16"/>
          <w:szCs w:val="16"/>
        </w:rPr>
        <w:t>con ponencia de</w:t>
      </w:r>
      <w:r w:rsidRPr="00ED40F7">
        <w:rPr>
          <w:rFonts w:ascii="Verdana" w:hAnsi="Verdana"/>
          <w:sz w:val="16"/>
          <w:szCs w:val="16"/>
        </w:rPr>
        <w:t xml:space="preserve"> Enrique Gil Botero.</w:t>
      </w:r>
    </w:p>
  </w:footnote>
  <w:footnote w:id="22">
    <w:p w14:paraId="068CE07B" w14:textId="77777777" w:rsidR="008255F4" w:rsidRPr="003057BA" w:rsidRDefault="008255F4" w:rsidP="008255F4">
      <w:pPr>
        <w:pStyle w:val="Textonotapie"/>
        <w:ind w:firstLine="708"/>
        <w:jc w:val="both"/>
        <w:rPr>
          <w:rFonts w:ascii="Verdana" w:hAnsi="Verdana"/>
          <w:sz w:val="16"/>
          <w:szCs w:val="16"/>
        </w:rPr>
      </w:pPr>
      <w:r w:rsidRPr="003057BA">
        <w:rPr>
          <w:rStyle w:val="Refdenotaalpie"/>
          <w:rFonts w:ascii="Verdana" w:hAnsi="Verdana"/>
          <w:sz w:val="16"/>
          <w:szCs w:val="16"/>
        </w:rPr>
        <w:footnoteRef/>
      </w:r>
      <w:r w:rsidRPr="003057BA">
        <w:rPr>
          <w:rFonts w:ascii="Verdana" w:hAnsi="Verdana"/>
          <w:sz w:val="16"/>
          <w:szCs w:val="16"/>
        </w:rPr>
        <w:t xml:space="preserve"> </w:t>
      </w:r>
      <w:r>
        <w:rPr>
          <w:rFonts w:ascii="Verdana" w:hAnsi="Verdana"/>
          <w:sz w:val="16"/>
          <w:szCs w:val="16"/>
        </w:rPr>
        <w:t xml:space="preserve">El autor considera que </w:t>
      </w:r>
      <w:r w:rsidRPr="003057BA">
        <w:rPr>
          <w:rFonts w:ascii="Verdana" w:hAnsi="Verdana"/>
          <w:sz w:val="16"/>
          <w:szCs w:val="16"/>
        </w:rPr>
        <w:t>“</w:t>
      </w:r>
      <w:r>
        <w:rPr>
          <w:rFonts w:ascii="Verdana" w:hAnsi="Verdana"/>
          <w:sz w:val="16"/>
          <w:szCs w:val="16"/>
        </w:rPr>
        <w:t>[…]</w:t>
      </w:r>
      <w:r w:rsidRPr="003057BA">
        <w:rPr>
          <w:rFonts w:ascii="Verdana" w:hAnsi="Verdana"/>
          <w:sz w:val="16"/>
          <w:szCs w:val="16"/>
        </w:rPr>
        <w:t xml:space="preserve"> no se debe confundir el problema de la regularidad administrativa del contrato, principalmente por lo que se refiere a las autoridades previas, con el problema de su regularidad presupuestaria. En efecto, se sabe que ciertas reglas presupuestarias son aplicables a los contratos en tanto en cuanto estos supongan obligaciones de gastos. El gasto contraído debe serlo sobre créditos disponibles y, en los gastos del Estado, el compromiso que constituye el contrato debe llevar el visado del inspector financiero. Pero la regularidad administrativa y la regularidad presupuestaria son dos nociones completamente distintas y que originan efectos autónomos. Algunos contratos pueden ser irregulares desde el punto de vista administrativo y regulares desde el presupuestario; por ejemplo, un contrato por el que se comprometiesen créditos disponibles regularmente, pero que hubiese sido firmado por un órgano no competente o no autorizado regularmente. A la inversa, un contrato firmado por un órgano competente y provisto de las autorizaciones necesarias, pero que no corresponda a créditos disponibles o en que no figure el visado del inspector financiero, será irregular, en este caso, en el plano presupuestario.</w:t>
      </w:r>
    </w:p>
    <w:p w14:paraId="658C780B" w14:textId="77777777" w:rsidR="008255F4" w:rsidRPr="003057BA" w:rsidRDefault="008255F4" w:rsidP="008255F4">
      <w:pPr>
        <w:pStyle w:val="Textonotapie"/>
        <w:ind w:firstLine="708"/>
        <w:jc w:val="both"/>
        <w:rPr>
          <w:rFonts w:ascii="Verdana" w:hAnsi="Verdana"/>
          <w:sz w:val="16"/>
          <w:szCs w:val="16"/>
          <w:lang w:val="es-CO"/>
        </w:rPr>
      </w:pPr>
      <w:r w:rsidRPr="003057BA">
        <w:rPr>
          <w:rFonts w:ascii="Verdana" w:hAnsi="Verdana"/>
          <w:sz w:val="16"/>
          <w:szCs w:val="16"/>
        </w:rPr>
        <w:t>Por otra parte, las sanciones de estos dos tipos de irregularidad son autónomas. La irregularidad administrativa podrá producir la anulación del contrato, mientras que la irregularidad presupuestaria no la ocasionará nunca. En efecto, en este último caso, el contrato es válido, y el contratante podrá exigir su ejecución, si bien la Administración deberá efectuar una regularización contable con el fin de que se lleven a cabo los libramientos necesarios”</w:t>
      </w:r>
      <w:r>
        <w:rPr>
          <w:rFonts w:ascii="Verdana" w:hAnsi="Verdana"/>
          <w:sz w:val="16"/>
          <w:szCs w:val="16"/>
        </w:rPr>
        <w:t xml:space="preserve"> (Cfr. VEDEL, Georges. Derecho administrativo. Madrid: Aguilar, 1980. pp. 198-199).</w:t>
      </w:r>
    </w:p>
  </w:footnote>
  <w:footnote w:id="23">
    <w:p w14:paraId="58E63906" w14:textId="77777777" w:rsidR="008255F4" w:rsidRPr="001E0716" w:rsidRDefault="008255F4" w:rsidP="008255F4">
      <w:pPr>
        <w:pStyle w:val="Textonotapie"/>
        <w:ind w:firstLine="708"/>
        <w:jc w:val="both"/>
        <w:rPr>
          <w:rFonts w:ascii="Verdana" w:hAnsi="Verdana"/>
          <w:sz w:val="16"/>
          <w:szCs w:val="16"/>
          <w:lang w:val="es-CO"/>
        </w:rPr>
      </w:pPr>
      <w:r w:rsidRPr="007621E7">
        <w:rPr>
          <w:rStyle w:val="Refdenotaalpie"/>
          <w:rFonts w:ascii="Verdana" w:hAnsi="Verdana"/>
          <w:sz w:val="16"/>
          <w:szCs w:val="16"/>
        </w:rPr>
        <w:footnoteRef/>
      </w:r>
      <w:r w:rsidRPr="007621E7">
        <w:rPr>
          <w:rFonts w:ascii="Verdana" w:hAnsi="Verdana"/>
          <w:sz w:val="16"/>
          <w:szCs w:val="16"/>
        </w:rPr>
        <w:t xml:space="preserve"> </w:t>
      </w:r>
      <w:r>
        <w:rPr>
          <w:rFonts w:ascii="Verdana" w:hAnsi="Verdana"/>
          <w:sz w:val="16"/>
          <w:szCs w:val="16"/>
        </w:rPr>
        <w:t xml:space="preserve">Por ejemplo, </w:t>
      </w:r>
      <w:r w:rsidRPr="000B1B0C">
        <w:rPr>
          <w:rFonts w:ascii="Verdana" w:hAnsi="Verdana"/>
          <w:sz w:val="16"/>
          <w:szCs w:val="16"/>
        </w:rPr>
        <w:t>DROMI sostiene que “[…] el contrato concluido sin crédito legal, o que excede del crédito concedido o con crédito desviado, o con cambio de destino es válido, y el ente público contratante no puede negarse a efectuar el pago, pues los cocontratantes están generalmente imposibilitados de verificar si se han observado o no las prescripciones presupuestarias; ello, sin perjuicio de la responsabilidad civil, administrativa, penal y política de los funcionarios y agentes intervinientes”</w:t>
      </w:r>
      <w:r>
        <w:rPr>
          <w:rFonts w:ascii="Verdana" w:hAnsi="Verdana"/>
          <w:sz w:val="16"/>
          <w:szCs w:val="16"/>
        </w:rPr>
        <w:t xml:space="preserve"> (</w:t>
      </w:r>
      <w:r w:rsidRPr="00234C6F">
        <w:rPr>
          <w:rFonts w:ascii="Verdana" w:hAnsi="Verdana"/>
          <w:sz w:val="16"/>
          <w:szCs w:val="16"/>
        </w:rPr>
        <w:t xml:space="preserve">DROMI, Roberto. Presupuesto y cuenta de inversión. Buenos Aires: Astrea, 1988. p. </w:t>
      </w:r>
      <w:r>
        <w:rPr>
          <w:rFonts w:ascii="Verdana" w:hAnsi="Verdana"/>
          <w:sz w:val="16"/>
          <w:szCs w:val="16"/>
        </w:rPr>
        <w:t>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0B4C"/>
    <w:rsid w:val="00077F59"/>
    <w:rsid w:val="00082362"/>
    <w:rsid w:val="00097AF3"/>
    <w:rsid w:val="000A683E"/>
    <w:rsid w:val="000B19B9"/>
    <w:rsid w:val="000D0334"/>
    <w:rsid w:val="000D5DA7"/>
    <w:rsid w:val="000F6486"/>
    <w:rsid w:val="00116940"/>
    <w:rsid w:val="00125105"/>
    <w:rsid w:val="00127233"/>
    <w:rsid w:val="00127AE5"/>
    <w:rsid w:val="0015699B"/>
    <w:rsid w:val="001A33BF"/>
    <w:rsid w:val="001E4177"/>
    <w:rsid w:val="001F0B24"/>
    <w:rsid w:val="001F7DC6"/>
    <w:rsid w:val="0022400B"/>
    <w:rsid w:val="00226389"/>
    <w:rsid w:val="002421BB"/>
    <w:rsid w:val="0025796E"/>
    <w:rsid w:val="002707A2"/>
    <w:rsid w:val="002708FB"/>
    <w:rsid w:val="002951A0"/>
    <w:rsid w:val="002962BC"/>
    <w:rsid w:val="002A093D"/>
    <w:rsid w:val="002A0DD0"/>
    <w:rsid w:val="002A49AC"/>
    <w:rsid w:val="002A64FD"/>
    <w:rsid w:val="002B0F8D"/>
    <w:rsid w:val="002C7A84"/>
    <w:rsid w:val="002E2BF8"/>
    <w:rsid w:val="002E4FD9"/>
    <w:rsid w:val="0030657A"/>
    <w:rsid w:val="00322A85"/>
    <w:rsid w:val="00324168"/>
    <w:rsid w:val="00330834"/>
    <w:rsid w:val="003448F4"/>
    <w:rsid w:val="00346715"/>
    <w:rsid w:val="00374F5E"/>
    <w:rsid w:val="00377E3E"/>
    <w:rsid w:val="003A779E"/>
    <w:rsid w:val="003D0F4D"/>
    <w:rsid w:val="003D5B0D"/>
    <w:rsid w:val="003E0499"/>
    <w:rsid w:val="003E4F80"/>
    <w:rsid w:val="003E6439"/>
    <w:rsid w:val="003F3941"/>
    <w:rsid w:val="00406575"/>
    <w:rsid w:val="00414C74"/>
    <w:rsid w:val="0042722E"/>
    <w:rsid w:val="0044528D"/>
    <w:rsid w:val="00460487"/>
    <w:rsid w:val="00466E39"/>
    <w:rsid w:val="004A1847"/>
    <w:rsid w:val="004A305D"/>
    <w:rsid w:val="004E730F"/>
    <w:rsid w:val="004F21C4"/>
    <w:rsid w:val="004F685F"/>
    <w:rsid w:val="005566E8"/>
    <w:rsid w:val="00574867"/>
    <w:rsid w:val="00591460"/>
    <w:rsid w:val="005A56F3"/>
    <w:rsid w:val="005A65E0"/>
    <w:rsid w:val="005C3777"/>
    <w:rsid w:val="005C5CDC"/>
    <w:rsid w:val="005D476C"/>
    <w:rsid w:val="006200BF"/>
    <w:rsid w:val="006219F8"/>
    <w:rsid w:val="006302F7"/>
    <w:rsid w:val="00646B9F"/>
    <w:rsid w:val="00665D70"/>
    <w:rsid w:val="006900D9"/>
    <w:rsid w:val="006D4D0C"/>
    <w:rsid w:val="006E7C78"/>
    <w:rsid w:val="00706C16"/>
    <w:rsid w:val="007076B5"/>
    <w:rsid w:val="00723F6B"/>
    <w:rsid w:val="00727721"/>
    <w:rsid w:val="007340C3"/>
    <w:rsid w:val="0075235A"/>
    <w:rsid w:val="00756841"/>
    <w:rsid w:val="007649AB"/>
    <w:rsid w:val="00771D0C"/>
    <w:rsid w:val="007833AC"/>
    <w:rsid w:val="007B268C"/>
    <w:rsid w:val="007B7171"/>
    <w:rsid w:val="007C0C0F"/>
    <w:rsid w:val="007C3DC2"/>
    <w:rsid w:val="007E5497"/>
    <w:rsid w:val="007F3C9E"/>
    <w:rsid w:val="00806F5F"/>
    <w:rsid w:val="008118F6"/>
    <w:rsid w:val="00820278"/>
    <w:rsid w:val="008255F4"/>
    <w:rsid w:val="008258C9"/>
    <w:rsid w:val="00844AE9"/>
    <w:rsid w:val="00867F95"/>
    <w:rsid w:val="008843B6"/>
    <w:rsid w:val="00891928"/>
    <w:rsid w:val="008A446D"/>
    <w:rsid w:val="008B25F1"/>
    <w:rsid w:val="008D180B"/>
    <w:rsid w:val="008F0EA7"/>
    <w:rsid w:val="009078FD"/>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2486"/>
    <w:rsid w:val="00A33C78"/>
    <w:rsid w:val="00AA3286"/>
    <w:rsid w:val="00AB0ADB"/>
    <w:rsid w:val="00AE029D"/>
    <w:rsid w:val="00B00C0E"/>
    <w:rsid w:val="00B01B1A"/>
    <w:rsid w:val="00B0381D"/>
    <w:rsid w:val="00B44A47"/>
    <w:rsid w:val="00B64F6D"/>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805A3"/>
    <w:rsid w:val="00DA231B"/>
    <w:rsid w:val="00DA64F2"/>
    <w:rsid w:val="00DC39FC"/>
    <w:rsid w:val="00DF5254"/>
    <w:rsid w:val="00E02524"/>
    <w:rsid w:val="00E13E12"/>
    <w:rsid w:val="00E16408"/>
    <w:rsid w:val="00E20894"/>
    <w:rsid w:val="00E245AB"/>
    <w:rsid w:val="00E2764C"/>
    <w:rsid w:val="00E27F2E"/>
    <w:rsid w:val="00E50AFE"/>
    <w:rsid w:val="00E75C92"/>
    <w:rsid w:val="00E771DC"/>
    <w:rsid w:val="00E8772A"/>
    <w:rsid w:val="00E90F6B"/>
    <w:rsid w:val="00E92C27"/>
    <w:rsid w:val="00EA0E3D"/>
    <w:rsid w:val="00EC38A7"/>
    <w:rsid w:val="00EE1AA8"/>
    <w:rsid w:val="00EF7403"/>
    <w:rsid w:val="00F23FEA"/>
    <w:rsid w:val="00F31EDC"/>
    <w:rsid w:val="00F4482E"/>
    <w:rsid w:val="00F462B3"/>
    <w:rsid w:val="00F5664F"/>
    <w:rsid w:val="00F666C4"/>
    <w:rsid w:val="00F76AFC"/>
    <w:rsid w:val="00F773E3"/>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8255F4"/>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255F4"/>
    <w:rPr>
      <w:rFonts w:ascii="Geomanist Light" w:hAnsi="Geomanist Light"/>
      <w:lang w:val="es-ES"/>
    </w:rPr>
  </w:style>
  <w:style w:type="character" w:customStyle="1" w:styleId="s15">
    <w:name w:val="s15"/>
    <w:basedOn w:val="Fuentedeprrafopredeter"/>
    <w:rsid w:val="00825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bogadalinaavilan@gmai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ecretariasenado.gov.co/senado/basedoc/ley_0179_1994.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FD88E91-AE82-4780-8679-07ABF695E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TotalTime>
  <Pages>26</Pages>
  <Words>8906</Words>
  <Characters>48984</Characters>
  <Application>Microsoft Office Word</Application>
  <DocSecurity>0</DocSecurity>
  <Lines>408</Lines>
  <Paragraphs>115</Paragraphs>
  <ScaleCrop>false</ScaleCrop>
  <Company/>
  <LinksUpToDate>false</LinksUpToDate>
  <CharactersWithSpaces>57775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2026-08-24T23:57:00Z</dcterms:created>
  <dcterms:modified xsi:type="dcterms:W3CDTF">2026-08-27T15:12:00Z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