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99B7C" w14:textId="37B765D0" w:rsidR="00214602" w:rsidRPr="00214602" w:rsidRDefault="00214602" w:rsidP="00214602">
      <w:pPr>
        <w:spacing w:after="0" w:line="240" w:lineRule="auto"/>
        <w:jc w:val="both"/>
        <w:rPr>
          <w:rFonts w:ascii="Verdana" w:eastAsia="Geomanist Light" w:hAnsi="Verdana" w:cs="Arial"/>
          <w:b/>
          <w:bCs/>
          <w:color w:val="000000" w:themeColor="text1"/>
          <w:lang w:val="es-MX"/>
        </w:rPr>
      </w:pPr>
      <w:bookmarkStart w:id="0" w:name="_Hlk143780582"/>
      <w:r w:rsidRPr="00214602">
        <w:rPr>
          <w:rFonts w:ascii="Verdana" w:hAnsi="Verdana" w:cs="Arial"/>
          <w:b/>
          <w:bCs/>
          <w:lang w:val="es-ES" w:eastAsia="es-ES"/>
        </w:rPr>
        <w:t xml:space="preserve">ENAJENACIÓN – Bienes inmuebles – Bienes muebles </w:t>
      </w:r>
      <w:r w:rsidR="000873B7" w:rsidRPr="000873B7">
        <w:rPr>
          <w:rFonts w:ascii="Verdana" w:hAnsi="Verdana" w:cs="Arial"/>
          <w:b/>
          <w:bCs/>
          <w:lang w:val="es-ES" w:eastAsia="es-ES"/>
        </w:rPr>
        <w:t>–</w:t>
      </w:r>
      <w:r w:rsidRPr="00214602">
        <w:rPr>
          <w:rFonts w:ascii="Verdana" w:hAnsi="Verdana" w:cs="Arial"/>
          <w:b/>
          <w:bCs/>
          <w:lang w:val="es-ES" w:eastAsia="es-ES"/>
        </w:rPr>
        <w:t xml:space="preserve"> BIENES PÚBLICOS – Tipos</w:t>
      </w:r>
    </w:p>
    <w:p w14:paraId="083CBF5C" w14:textId="77777777" w:rsidR="00214602" w:rsidRPr="00214602" w:rsidRDefault="00214602" w:rsidP="00214602">
      <w:pPr>
        <w:widowControl w:val="0"/>
        <w:autoSpaceDE w:val="0"/>
        <w:autoSpaceDN w:val="0"/>
        <w:spacing w:before="120" w:after="120" w:line="240" w:lineRule="auto"/>
        <w:jc w:val="both"/>
        <w:rPr>
          <w:rFonts w:ascii="Verdana" w:hAnsi="Verdana"/>
          <w:color w:val="000000"/>
          <w:sz w:val="21"/>
          <w:szCs w:val="21"/>
        </w:rPr>
      </w:pPr>
      <w:r w:rsidRPr="00214602">
        <w:rPr>
          <w:rFonts w:ascii="Verdana" w:hAnsi="Verdana"/>
          <w:color w:val="000000"/>
          <w:sz w:val="21"/>
          <w:szCs w:val="21"/>
        </w:rPr>
        <w:t>Ahora bien, debe tenerse en cuenta que la disposición citada regula específicamente la enajenación de bienes muebles a título gratuito entre Entidades Estatales. Por su parte, la enajenación de bienes del Estado a título oneroso se encuentra sometida a las reglas previstas en la Ley 1150 de 2007 y en el Decreto 1082 de 2015, que contemplan la selección abreviada como modalidad de selección y establecen los mecanismos aplicables para la disposición de estos bienes. En este sentido, el Decreto 1082 de 2015 regula de manera diferenciada los procedimientos de enajenación a título gratuito y aquellos mediante los cuales se obtiene una contraprestación por los bienes.</w:t>
      </w:r>
    </w:p>
    <w:p w14:paraId="1D85F435" w14:textId="77777777" w:rsidR="00214602" w:rsidRPr="00214602" w:rsidRDefault="00214602" w:rsidP="00214602">
      <w:pPr>
        <w:widowControl w:val="0"/>
        <w:autoSpaceDE w:val="0"/>
        <w:autoSpaceDN w:val="0"/>
        <w:spacing w:before="120" w:after="120" w:line="240" w:lineRule="auto"/>
        <w:jc w:val="both"/>
        <w:rPr>
          <w:rFonts w:ascii="Verdana" w:hAnsi="Verdana"/>
          <w:color w:val="000000"/>
          <w:sz w:val="21"/>
          <w:szCs w:val="21"/>
        </w:rPr>
      </w:pPr>
      <w:r w:rsidRPr="00214602">
        <w:rPr>
          <w:rFonts w:ascii="Verdana" w:hAnsi="Verdana"/>
          <w:color w:val="000000"/>
          <w:sz w:val="21"/>
          <w:szCs w:val="21"/>
        </w:rPr>
        <w:t>Así las cosas, de la lectura del artículo 2.2.1.2.2.4.3 del Decreto 1082 de 2015 no se desprende expresamente que la oferta gratuita constituya un requisito previo o presupuesto de procedibilidad que deba agotarse, en todos los casos, antes de iniciar un procedimiento de selección para la enajenación onerosa de bienes muebles. La norma establece las reglas aplicables cuando la Entidad Estatal opta por disponer de los bienes a título gratuito a favor de otra Entidad Estatal, sin señalar de manera expresa que el fracaso, ausencia o agotamiento de dicha oferta sea una condición necesaria para acudir posteriormente a los mecanismos de enajenación onerosa.</w:t>
      </w:r>
    </w:p>
    <w:p w14:paraId="0F3F3E11" w14:textId="7369DE3A" w:rsidR="00214602" w:rsidRPr="00214602" w:rsidRDefault="00214602" w:rsidP="00214602">
      <w:pPr>
        <w:spacing w:after="0" w:line="240" w:lineRule="auto"/>
        <w:jc w:val="both"/>
        <w:rPr>
          <w:rFonts w:ascii="Verdana" w:hAnsi="Verdana"/>
          <w:color w:val="000000"/>
          <w:sz w:val="21"/>
          <w:szCs w:val="21"/>
        </w:rPr>
      </w:pPr>
      <w:r w:rsidRPr="00214602">
        <w:rPr>
          <w:rFonts w:ascii="Verdana" w:hAnsi="Verdana"/>
          <w:color w:val="000000"/>
          <w:sz w:val="21"/>
          <w:szCs w:val="21"/>
        </w:rPr>
        <w:t>En consecuencia, no sería posible afirmar, con carácter general, que toda Entidad Estatal que pretenda adelantar un procedimiento para la enajenación onerosa de bienes muebles deba, como requisito previo obligatorio, ofrecerlos a título gratuito a las demás Entidades Estatales, pues tal condición no se encuentra expresamente prevista en el artículo 2.2.1.2.2.4.3 del Decreto 1082 de 2015. La aplicación del procedimiento de oferta gratuita dependerá del supuesto regulado por dicha disposición y de la decisión que, de acuerdo con las circunstancias concretas y el deber de planeación, adopte la entidad respecto de la disposición de sus bienes</w:t>
      </w:r>
      <w:r>
        <w:rPr>
          <w:rFonts w:ascii="Verdana" w:hAnsi="Verdana"/>
          <w:color w:val="000000"/>
          <w:sz w:val="21"/>
          <w:szCs w:val="21"/>
        </w:rPr>
        <w:t>.</w:t>
      </w:r>
    </w:p>
    <w:p w14:paraId="5111320B" w14:textId="77777777" w:rsidR="00214602" w:rsidRDefault="00214602" w:rsidP="00214602">
      <w:pPr>
        <w:spacing w:after="0" w:line="240" w:lineRule="auto"/>
        <w:rPr>
          <w:rFonts w:ascii="Verdana" w:eastAsia="Geomanist Light" w:hAnsi="Verdana" w:cs="Arial"/>
          <w:color w:val="000000" w:themeColor="text1"/>
          <w:lang w:val="es-MX"/>
        </w:rPr>
      </w:pPr>
    </w:p>
    <w:p w14:paraId="53C1A3B7" w14:textId="46B2760D" w:rsidR="00214602" w:rsidRPr="00214602" w:rsidRDefault="00214602" w:rsidP="00214602">
      <w:pPr>
        <w:spacing w:after="0" w:line="240" w:lineRule="auto"/>
        <w:rPr>
          <w:rFonts w:ascii="Verdana" w:eastAsia="Geomanist Light" w:hAnsi="Verdana" w:cs="Arial"/>
          <w:b/>
          <w:bCs/>
          <w:color w:val="000000" w:themeColor="text1"/>
          <w:lang w:val="es-MX"/>
        </w:rPr>
      </w:pPr>
      <w:r w:rsidRPr="00214602">
        <w:rPr>
          <w:rFonts w:ascii="Verdana" w:hAnsi="Verdana" w:cs="Arial"/>
          <w:b/>
          <w:bCs/>
          <w:lang w:val="es-ES" w:eastAsia="es-ES"/>
        </w:rPr>
        <w:t>ENAJENACIÓN – Bienes muebles – Título gratuito – Decreto 1082 de 2015 – Procedimiento</w:t>
      </w:r>
    </w:p>
    <w:p w14:paraId="60BD17FC" w14:textId="77777777" w:rsidR="000873B7" w:rsidRDefault="000873B7" w:rsidP="00214602">
      <w:pPr>
        <w:spacing w:after="0" w:line="240" w:lineRule="auto"/>
        <w:jc w:val="both"/>
        <w:rPr>
          <w:rFonts w:ascii="Verdana" w:hAnsi="Verdana"/>
          <w:color w:val="000000"/>
          <w:sz w:val="21"/>
          <w:szCs w:val="21"/>
        </w:rPr>
      </w:pPr>
    </w:p>
    <w:p w14:paraId="58178029" w14:textId="41AB392C" w:rsidR="00214602" w:rsidRPr="00214602" w:rsidRDefault="00214602" w:rsidP="00214602">
      <w:pPr>
        <w:spacing w:after="0" w:line="240" w:lineRule="auto"/>
        <w:jc w:val="both"/>
        <w:rPr>
          <w:rFonts w:ascii="Verdana" w:hAnsi="Verdana"/>
          <w:color w:val="000000"/>
          <w:sz w:val="21"/>
          <w:szCs w:val="21"/>
        </w:rPr>
      </w:pPr>
      <w:r w:rsidRPr="00214602">
        <w:rPr>
          <w:rFonts w:ascii="Verdana" w:hAnsi="Verdana"/>
          <w:color w:val="000000"/>
          <w:sz w:val="21"/>
          <w:szCs w:val="21"/>
        </w:rPr>
        <w:t>De conformidad con el artículo 2.2.1.2.2.4.3 del Decreto 1082 de 2015, las Entidades Estatales deben elaborar el inventario de los bienes muebles que no utilizan y ofrecerlos a título gratuito a las demás Entidades Estatales, mediante un acto administrativo motivado que debe publicarse en su página web. La disposición establece, además, un procedimiento para que las entidades interesadas manifiesten su interés en recibir dichos bienes y, en caso de concurrencia, determina una regla de preferencia para la entidad que primero haya manifestado su interés. Sobre este procedimiento, esta Agencia ha señalado que el acto administrativo mediante el cual se realiza la oferta cumple una función equivalente a la de un aviso de convocatoria, en tanto garantiza la publicidad de la disponibilidad de los bienes y permite a las demás entidades estatales manifestar su interés.</w:t>
      </w:r>
    </w:p>
    <w:p w14:paraId="189C8DDF" w14:textId="77777777" w:rsidR="00214602" w:rsidRDefault="00214602" w:rsidP="00214602">
      <w:pPr>
        <w:spacing w:after="0" w:line="240" w:lineRule="auto"/>
        <w:jc w:val="both"/>
        <w:rPr>
          <w:rFonts w:ascii="Verdana" w:hAnsi="Verdana"/>
          <w:color w:val="000000"/>
          <w:sz w:val="21"/>
          <w:szCs w:val="21"/>
        </w:rPr>
      </w:pPr>
      <w:r w:rsidRPr="00214602">
        <w:rPr>
          <w:rFonts w:ascii="Verdana" w:hAnsi="Verdana"/>
          <w:color w:val="000000"/>
          <w:sz w:val="21"/>
          <w:szCs w:val="21"/>
        </w:rPr>
        <w:lastRenderedPageBreak/>
        <w:t>Ahora bien, debe tenerse en cuenta que la disposición citada regula específicamente la enajenación de bienes muebles a título gratuito entre Entidades Estatales. Por su parte, la enajenación de bienes del Estado a título oneroso se encuentra sometida a las reglas previstas en la Ley 1150 de 2007 y en el Decreto 1082 de 2015, que contemplan la selección abreviada como modalidad de selección y establecen los mecanismos aplicables para la disposición de estos bienes. En este sentido, el Decreto 1082 de 2015 regula de manera diferenciada los procedimientos de enajenación a título gratuito y aquellos mediante los cuales se obtiene una contraprestación por los bienes.</w:t>
      </w:r>
    </w:p>
    <w:p w14:paraId="2DF44C54" w14:textId="77777777" w:rsidR="00214602" w:rsidRPr="00214602" w:rsidRDefault="00214602" w:rsidP="00214602">
      <w:pPr>
        <w:spacing w:after="0" w:line="240" w:lineRule="auto"/>
        <w:jc w:val="both"/>
        <w:rPr>
          <w:rFonts w:ascii="Verdana" w:hAnsi="Verdana"/>
          <w:color w:val="000000"/>
          <w:sz w:val="21"/>
          <w:szCs w:val="21"/>
        </w:rPr>
      </w:pPr>
    </w:p>
    <w:p w14:paraId="48FB69D8" w14:textId="77777777" w:rsidR="00214602" w:rsidRDefault="00214602" w:rsidP="00214602">
      <w:pPr>
        <w:spacing w:after="0" w:line="240" w:lineRule="auto"/>
        <w:jc w:val="both"/>
        <w:rPr>
          <w:rFonts w:ascii="Verdana" w:hAnsi="Verdana"/>
          <w:color w:val="000000"/>
          <w:sz w:val="21"/>
          <w:szCs w:val="21"/>
        </w:rPr>
      </w:pPr>
      <w:r w:rsidRPr="00214602">
        <w:rPr>
          <w:rFonts w:ascii="Verdana" w:hAnsi="Verdana"/>
          <w:color w:val="000000"/>
          <w:sz w:val="21"/>
          <w:szCs w:val="21"/>
        </w:rPr>
        <w:t>Así las cosas, de la lectura del artículo 2.2.1.2.2.4.3 del Decreto 1082 de 2015 no se desprende expresamente que la oferta gratuita constituya un requisito previo o presupuesto de procedibilidad que deba agotarse, en todos los casos, antes de iniciar un procedimiento de selección para la enajenación onerosa de bienes muebles. La norma establece las reglas aplicables cuando la Entidad Estatal opta por disponer de los bienes a título gratuito a favor de otra Entidad Estatal, sin señalar de manera expresa que el fracaso, ausencia o agotamiento de dicha oferta sea una condición necesaria para acudir posteriormente a los mecanismos de enajenación onerosa.</w:t>
      </w:r>
    </w:p>
    <w:p w14:paraId="5C1AF0CD" w14:textId="77777777" w:rsidR="00214602" w:rsidRPr="00214602" w:rsidRDefault="00214602" w:rsidP="00214602">
      <w:pPr>
        <w:spacing w:after="0" w:line="240" w:lineRule="auto"/>
        <w:jc w:val="both"/>
        <w:rPr>
          <w:rFonts w:ascii="Verdana" w:hAnsi="Verdana"/>
          <w:color w:val="000000"/>
          <w:sz w:val="21"/>
          <w:szCs w:val="21"/>
        </w:rPr>
      </w:pPr>
    </w:p>
    <w:p w14:paraId="492F7E06" w14:textId="217AF42E" w:rsidR="00214602" w:rsidRDefault="00214602" w:rsidP="00214602">
      <w:pPr>
        <w:spacing w:after="0" w:line="240" w:lineRule="auto"/>
        <w:jc w:val="both"/>
        <w:rPr>
          <w:rFonts w:ascii="Verdana" w:hAnsi="Verdana"/>
          <w:color w:val="000000"/>
          <w:sz w:val="21"/>
          <w:szCs w:val="21"/>
        </w:rPr>
      </w:pPr>
      <w:r w:rsidRPr="00214602">
        <w:rPr>
          <w:rFonts w:ascii="Verdana" w:hAnsi="Verdana"/>
          <w:color w:val="000000"/>
          <w:sz w:val="21"/>
          <w:szCs w:val="21"/>
        </w:rPr>
        <w:t>En consecuencia, no sería posible afirmar, con carácter general, que toda Entidad Estatal que pretenda adelantar un procedimiento para la enajenación onerosa de bienes muebles deba, como requisito previo obligatorio, ofrecerlos a título gratuito a las demás Entidades Estatales, pues tal condición no se encuentra expresamente prevista en el artículo 2.2.1.2.2.4.3 del Decreto 1082 de 2015. La aplicación del procedimiento de oferta gratuita dependerá del supuesto regulado por dicha disposición y de la decisión que, de acuerdo con las circunstancias concretas y el deber de planeación, adopte la entidad respecto de la disposición de sus bienes.</w:t>
      </w:r>
    </w:p>
    <w:p w14:paraId="7A15D991" w14:textId="77777777" w:rsidR="00214602" w:rsidRPr="00214602" w:rsidRDefault="00214602" w:rsidP="00214602">
      <w:pPr>
        <w:spacing w:after="0" w:line="240" w:lineRule="auto"/>
        <w:jc w:val="both"/>
        <w:rPr>
          <w:rFonts w:ascii="Verdana" w:hAnsi="Verdana"/>
          <w:color w:val="000000"/>
          <w:sz w:val="21"/>
          <w:szCs w:val="21"/>
        </w:rPr>
      </w:pPr>
    </w:p>
    <w:p w14:paraId="398CDF18" w14:textId="4A4C7CB1" w:rsidR="00214602" w:rsidRPr="00214602" w:rsidRDefault="00214602" w:rsidP="00214602">
      <w:pPr>
        <w:spacing w:line="276" w:lineRule="auto"/>
        <w:jc w:val="both"/>
        <w:rPr>
          <w:rFonts w:ascii="Verdana" w:hAnsi="Verdana" w:cs="Arial"/>
          <w:b/>
          <w:bCs/>
          <w:lang w:val="es-ES" w:eastAsia="es-ES"/>
        </w:rPr>
      </w:pPr>
      <w:r w:rsidRPr="00214602">
        <w:rPr>
          <w:rFonts w:ascii="Verdana" w:hAnsi="Verdana" w:cs="Arial"/>
          <w:b/>
          <w:bCs/>
          <w:lang w:val="es-ES" w:eastAsia="es-ES"/>
        </w:rPr>
        <w:t xml:space="preserve">ESTUDIOS PREVIOS – Planeación – Deber de las entidades </w:t>
      </w:r>
      <w:r w:rsidR="000873B7" w:rsidRPr="000873B7">
        <w:rPr>
          <w:rFonts w:ascii="Verdana" w:hAnsi="Verdana" w:cs="Arial"/>
          <w:b/>
          <w:bCs/>
          <w:lang w:val="es-ES" w:eastAsia="es-ES"/>
        </w:rPr>
        <w:t>–</w:t>
      </w:r>
      <w:r w:rsidRPr="00214602">
        <w:rPr>
          <w:rFonts w:ascii="Verdana" w:hAnsi="Verdana" w:cs="Arial"/>
          <w:b/>
          <w:bCs/>
          <w:lang w:val="es-ES" w:eastAsia="es-ES"/>
        </w:rPr>
        <w:t xml:space="preserve"> ENAJENACIÓN</w:t>
      </w:r>
      <w:r w:rsidR="000873B7">
        <w:rPr>
          <w:rFonts w:ascii="Verdana" w:hAnsi="Verdana" w:cs="Arial"/>
          <w:b/>
          <w:bCs/>
          <w:lang w:val="es-ES" w:eastAsia="es-ES"/>
        </w:rPr>
        <w:t xml:space="preserve"> </w:t>
      </w:r>
      <w:r w:rsidRPr="00214602">
        <w:rPr>
          <w:rFonts w:ascii="Verdana" w:hAnsi="Verdana" w:cs="Arial"/>
          <w:b/>
          <w:bCs/>
          <w:lang w:val="es-ES" w:eastAsia="es-ES"/>
        </w:rPr>
        <w:t xml:space="preserve">– </w:t>
      </w:r>
      <w:r w:rsidR="000873B7">
        <w:rPr>
          <w:rFonts w:ascii="Verdana" w:hAnsi="Verdana" w:cs="Arial"/>
          <w:b/>
          <w:bCs/>
          <w:lang w:val="es-ES" w:eastAsia="es-ES"/>
        </w:rPr>
        <w:t>R</w:t>
      </w:r>
      <w:r w:rsidRPr="00214602">
        <w:rPr>
          <w:rFonts w:ascii="Verdana" w:hAnsi="Verdana" w:cs="Arial"/>
          <w:b/>
          <w:bCs/>
          <w:lang w:val="es-ES" w:eastAsia="es-ES"/>
        </w:rPr>
        <w:t>equisitos</w:t>
      </w:r>
    </w:p>
    <w:p w14:paraId="6ED06873" w14:textId="77777777" w:rsidR="00214602" w:rsidRPr="00214602" w:rsidRDefault="00214602" w:rsidP="00214602">
      <w:pPr>
        <w:spacing w:after="0" w:line="240" w:lineRule="auto"/>
        <w:jc w:val="both"/>
        <w:rPr>
          <w:rFonts w:ascii="Verdana" w:hAnsi="Verdana"/>
          <w:color w:val="000000"/>
          <w:sz w:val="21"/>
          <w:szCs w:val="21"/>
        </w:rPr>
      </w:pPr>
      <w:r w:rsidRPr="00214602">
        <w:rPr>
          <w:rFonts w:ascii="Verdana" w:hAnsi="Verdana"/>
          <w:color w:val="000000"/>
          <w:sz w:val="21"/>
          <w:szCs w:val="21"/>
        </w:rPr>
        <w:t xml:space="preserve">Ahora bien, en todo proceso de contratación, independiente de la modalidad de selección, resulta aplicable la planeación contractual como una herramienta de gerencia pública, que exige estructurar el proceso contractual dedicando tiempo y esfuerzos para elaborar estudios previos, los cuales deberán ser adecuados a su alcance y complejidad. Lo anterior, con la finalidad de determinar la necesidad que pretende satisfacer la entidad estatal, consultando el tipo de bienes y servicios que ofrece el mercado y sus características, especificaciones, precios, costos, riesgos, garantías, disponibilidad, oferentes, entre otros. En tal sentido, es necesario elaborar un estudio previo para la enajenación de bienes muebles a título gratuito entre entidades estatales porque garantiza la transparencia y la legalidad del proceso. Este documento permite justificar la necesidad de la transferencia, verificar que los bienes cumplen con las condiciones de uso y que no representan un detrimento patrimonial para la entidad que los entrega. Además, el estudio previo </w:t>
      </w:r>
      <w:r w:rsidRPr="00214602">
        <w:rPr>
          <w:rFonts w:ascii="Verdana" w:hAnsi="Verdana"/>
          <w:color w:val="000000"/>
          <w:sz w:val="21"/>
          <w:szCs w:val="21"/>
        </w:rPr>
        <w:lastRenderedPageBreak/>
        <w:t>asegura que la decisión esté soportada en criterios técnicos y jurídicos, evitando posibles cuestionamientos sobre la pertinencia o conveniencia de la gestión del procedimiento de contratación y de la celebración del contrato.</w:t>
      </w:r>
    </w:p>
    <w:p w14:paraId="2C87992F" w14:textId="77777777" w:rsidR="00214602" w:rsidRPr="00214602" w:rsidRDefault="00214602" w:rsidP="00214602">
      <w:pPr>
        <w:spacing w:after="0" w:line="240" w:lineRule="auto"/>
        <w:jc w:val="both"/>
        <w:rPr>
          <w:rFonts w:ascii="Verdana" w:hAnsi="Verdana"/>
          <w:color w:val="000000"/>
          <w:sz w:val="21"/>
          <w:szCs w:val="21"/>
        </w:rPr>
      </w:pPr>
    </w:p>
    <w:p w14:paraId="1D7485C7" w14:textId="77777777" w:rsidR="00214602" w:rsidRPr="00214602" w:rsidRDefault="00214602" w:rsidP="00214602">
      <w:pPr>
        <w:spacing w:after="0" w:line="240" w:lineRule="auto"/>
        <w:jc w:val="both"/>
        <w:rPr>
          <w:rFonts w:ascii="Verdana" w:hAnsi="Verdana"/>
          <w:color w:val="000000"/>
          <w:sz w:val="21"/>
          <w:szCs w:val="21"/>
        </w:rPr>
      </w:pPr>
    </w:p>
    <w:p w14:paraId="2F0A4712" w14:textId="77777777" w:rsidR="00214602" w:rsidRDefault="00214602" w:rsidP="00206C42">
      <w:pPr>
        <w:spacing w:after="0" w:line="240" w:lineRule="auto"/>
        <w:rPr>
          <w:rFonts w:ascii="Verdana" w:eastAsia="Geomanist Light" w:hAnsi="Verdana" w:cs="Arial"/>
          <w:color w:val="000000" w:themeColor="text1"/>
          <w:lang w:val="es-MX"/>
        </w:rPr>
      </w:pPr>
    </w:p>
    <w:p w14:paraId="3AF22DD6" w14:textId="77777777" w:rsidR="00214602" w:rsidRDefault="00214602" w:rsidP="00206C42">
      <w:pPr>
        <w:spacing w:after="0" w:line="240" w:lineRule="auto"/>
        <w:rPr>
          <w:rFonts w:ascii="Verdana" w:eastAsia="Geomanist Light" w:hAnsi="Verdana" w:cs="Arial"/>
          <w:color w:val="000000" w:themeColor="text1"/>
          <w:lang w:val="es-MX"/>
        </w:rPr>
      </w:pPr>
    </w:p>
    <w:p w14:paraId="4AE8C2FC" w14:textId="77777777" w:rsidR="00214602" w:rsidRDefault="00214602" w:rsidP="00206C42">
      <w:pPr>
        <w:spacing w:after="0" w:line="240" w:lineRule="auto"/>
        <w:rPr>
          <w:rFonts w:ascii="Verdana" w:eastAsia="Geomanist Light" w:hAnsi="Verdana" w:cs="Arial"/>
          <w:color w:val="000000" w:themeColor="text1"/>
          <w:lang w:val="es-MX"/>
        </w:rPr>
      </w:pPr>
    </w:p>
    <w:p w14:paraId="63939BFC" w14:textId="77777777" w:rsidR="00214602" w:rsidRDefault="00214602" w:rsidP="00206C42">
      <w:pPr>
        <w:spacing w:after="0" w:line="240" w:lineRule="auto"/>
        <w:rPr>
          <w:rFonts w:ascii="Verdana" w:eastAsia="Geomanist Light" w:hAnsi="Verdana" w:cs="Arial"/>
          <w:color w:val="000000" w:themeColor="text1"/>
          <w:lang w:val="es-MX"/>
        </w:rPr>
      </w:pPr>
    </w:p>
    <w:p w14:paraId="4D5FA0CB" w14:textId="77777777" w:rsidR="00214602" w:rsidRDefault="00214602" w:rsidP="00206C42">
      <w:pPr>
        <w:spacing w:after="0" w:line="240" w:lineRule="auto"/>
        <w:rPr>
          <w:rFonts w:ascii="Verdana" w:eastAsia="Geomanist Light" w:hAnsi="Verdana" w:cs="Arial"/>
          <w:color w:val="000000" w:themeColor="text1"/>
          <w:lang w:val="es-MX"/>
        </w:rPr>
      </w:pPr>
    </w:p>
    <w:p w14:paraId="1D2615FF" w14:textId="77777777" w:rsidR="00214602" w:rsidRDefault="00214602" w:rsidP="00206C42">
      <w:pPr>
        <w:spacing w:after="0" w:line="240" w:lineRule="auto"/>
        <w:rPr>
          <w:rFonts w:ascii="Verdana" w:eastAsia="Geomanist Light" w:hAnsi="Verdana" w:cs="Arial"/>
          <w:color w:val="000000" w:themeColor="text1"/>
          <w:lang w:val="es-MX"/>
        </w:rPr>
      </w:pPr>
    </w:p>
    <w:p w14:paraId="3A3A4099" w14:textId="77777777" w:rsidR="00214602" w:rsidRDefault="00214602" w:rsidP="00206C42">
      <w:pPr>
        <w:spacing w:after="0" w:line="240" w:lineRule="auto"/>
        <w:rPr>
          <w:rFonts w:ascii="Verdana" w:eastAsia="Geomanist Light" w:hAnsi="Verdana" w:cs="Arial"/>
          <w:color w:val="000000" w:themeColor="text1"/>
          <w:lang w:val="es-MX"/>
        </w:rPr>
      </w:pPr>
    </w:p>
    <w:p w14:paraId="411DFAD6" w14:textId="77777777" w:rsidR="00214602" w:rsidRDefault="00214602" w:rsidP="00206C42">
      <w:pPr>
        <w:spacing w:after="0" w:line="240" w:lineRule="auto"/>
        <w:rPr>
          <w:rFonts w:ascii="Verdana" w:eastAsia="Geomanist Light" w:hAnsi="Verdana" w:cs="Arial"/>
          <w:color w:val="000000" w:themeColor="text1"/>
          <w:lang w:val="es-MX"/>
        </w:rPr>
      </w:pPr>
    </w:p>
    <w:p w14:paraId="01E7FB11" w14:textId="77777777" w:rsidR="00214602" w:rsidRDefault="00214602" w:rsidP="00206C42">
      <w:pPr>
        <w:spacing w:after="0" w:line="240" w:lineRule="auto"/>
        <w:rPr>
          <w:rFonts w:ascii="Verdana" w:eastAsia="Geomanist Light" w:hAnsi="Verdana" w:cs="Arial"/>
          <w:color w:val="000000" w:themeColor="text1"/>
          <w:lang w:val="es-MX"/>
        </w:rPr>
      </w:pPr>
    </w:p>
    <w:p w14:paraId="3952074E" w14:textId="77777777" w:rsidR="00214602" w:rsidRDefault="00214602" w:rsidP="00206C42">
      <w:pPr>
        <w:spacing w:after="0" w:line="240" w:lineRule="auto"/>
        <w:rPr>
          <w:rFonts w:ascii="Verdana" w:eastAsia="Geomanist Light" w:hAnsi="Verdana" w:cs="Arial"/>
          <w:color w:val="000000" w:themeColor="text1"/>
          <w:lang w:val="es-MX"/>
        </w:rPr>
      </w:pPr>
    </w:p>
    <w:p w14:paraId="5D23DE06" w14:textId="77777777" w:rsidR="00214602" w:rsidRDefault="00214602" w:rsidP="00206C42">
      <w:pPr>
        <w:spacing w:after="0" w:line="240" w:lineRule="auto"/>
        <w:rPr>
          <w:rFonts w:ascii="Verdana" w:eastAsia="Geomanist Light" w:hAnsi="Verdana" w:cs="Arial"/>
          <w:color w:val="000000" w:themeColor="text1"/>
          <w:lang w:val="es-MX"/>
        </w:rPr>
      </w:pPr>
    </w:p>
    <w:p w14:paraId="39BDC6EB" w14:textId="77777777" w:rsidR="00214602" w:rsidRDefault="00214602" w:rsidP="00206C42">
      <w:pPr>
        <w:spacing w:after="0" w:line="240" w:lineRule="auto"/>
        <w:rPr>
          <w:rFonts w:ascii="Verdana" w:eastAsia="Geomanist Light" w:hAnsi="Verdana" w:cs="Arial"/>
          <w:color w:val="000000" w:themeColor="text1"/>
          <w:lang w:val="es-MX"/>
        </w:rPr>
      </w:pPr>
    </w:p>
    <w:p w14:paraId="46D2A839" w14:textId="77777777" w:rsidR="00214602" w:rsidRDefault="00214602" w:rsidP="00206C42">
      <w:pPr>
        <w:spacing w:after="0" w:line="240" w:lineRule="auto"/>
        <w:rPr>
          <w:rFonts w:ascii="Verdana" w:eastAsia="Geomanist Light" w:hAnsi="Verdana" w:cs="Arial"/>
          <w:color w:val="000000" w:themeColor="text1"/>
          <w:lang w:val="es-MX"/>
        </w:rPr>
      </w:pPr>
    </w:p>
    <w:p w14:paraId="1946BBDC" w14:textId="77777777" w:rsidR="00214602" w:rsidRDefault="00214602" w:rsidP="00206C42">
      <w:pPr>
        <w:spacing w:after="0" w:line="240" w:lineRule="auto"/>
        <w:rPr>
          <w:rFonts w:ascii="Verdana" w:eastAsia="Geomanist Light" w:hAnsi="Verdana" w:cs="Arial"/>
          <w:color w:val="000000" w:themeColor="text1"/>
          <w:lang w:val="es-MX"/>
        </w:rPr>
      </w:pPr>
    </w:p>
    <w:p w14:paraId="5A536E34" w14:textId="77777777" w:rsidR="00214602" w:rsidRDefault="00214602" w:rsidP="00206C42">
      <w:pPr>
        <w:spacing w:after="0" w:line="240" w:lineRule="auto"/>
        <w:rPr>
          <w:rFonts w:ascii="Verdana" w:eastAsia="Geomanist Light" w:hAnsi="Verdana" w:cs="Arial"/>
          <w:color w:val="000000" w:themeColor="text1"/>
          <w:lang w:val="es-MX"/>
        </w:rPr>
      </w:pPr>
    </w:p>
    <w:p w14:paraId="1B60DF73" w14:textId="77777777" w:rsidR="00214602" w:rsidRDefault="00214602" w:rsidP="00206C42">
      <w:pPr>
        <w:spacing w:after="0" w:line="240" w:lineRule="auto"/>
        <w:rPr>
          <w:rFonts w:ascii="Verdana" w:eastAsia="Geomanist Light" w:hAnsi="Verdana" w:cs="Arial"/>
          <w:color w:val="000000" w:themeColor="text1"/>
          <w:lang w:val="es-MX"/>
        </w:rPr>
      </w:pPr>
    </w:p>
    <w:p w14:paraId="4AF47B5B" w14:textId="77777777" w:rsidR="00214602" w:rsidRDefault="00214602" w:rsidP="00206C42">
      <w:pPr>
        <w:spacing w:after="0" w:line="240" w:lineRule="auto"/>
        <w:rPr>
          <w:rFonts w:ascii="Verdana" w:eastAsia="Geomanist Light" w:hAnsi="Verdana" w:cs="Arial"/>
          <w:color w:val="000000" w:themeColor="text1"/>
          <w:lang w:val="es-MX"/>
        </w:rPr>
      </w:pPr>
    </w:p>
    <w:p w14:paraId="7E507B5D" w14:textId="77777777" w:rsidR="00214602" w:rsidRDefault="00214602" w:rsidP="00206C42">
      <w:pPr>
        <w:spacing w:after="0" w:line="240" w:lineRule="auto"/>
        <w:rPr>
          <w:rFonts w:ascii="Verdana" w:eastAsia="Geomanist Light" w:hAnsi="Verdana" w:cs="Arial"/>
          <w:color w:val="000000" w:themeColor="text1"/>
          <w:lang w:val="es-MX"/>
        </w:rPr>
      </w:pPr>
    </w:p>
    <w:p w14:paraId="4FCE6928" w14:textId="77777777" w:rsidR="00214602" w:rsidRDefault="00214602" w:rsidP="00206C42">
      <w:pPr>
        <w:spacing w:after="0" w:line="240" w:lineRule="auto"/>
        <w:rPr>
          <w:rFonts w:ascii="Verdana" w:eastAsia="Geomanist Light" w:hAnsi="Verdana" w:cs="Arial"/>
          <w:color w:val="000000" w:themeColor="text1"/>
          <w:lang w:val="es-MX"/>
        </w:rPr>
      </w:pPr>
    </w:p>
    <w:p w14:paraId="22E91C8B" w14:textId="77777777" w:rsidR="00214602" w:rsidRDefault="00214602" w:rsidP="00206C42">
      <w:pPr>
        <w:spacing w:after="0" w:line="240" w:lineRule="auto"/>
        <w:rPr>
          <w:rFonts w:ascii="Verdana" w:eastAsia="Geomanist Light" w:hAnsi="Verdana" w:cs="Arial"/>
          <w:color w:val="000000" w:themeColor="text1"/>
          <w:lang w:val="es-MX"/>
        </w:rPr>
      </w:pPr>
    </w:p>
    <w:p w14:paraId="5C0DF039" w14:textId="77777777" w:rsidR="00214602" w:rsidRDefault="00214602" w:rsidP="00206C42">
      <w:pPr>
        <w:spacing w:after="0" w:line="240" w:lineRule="auto"/>
        <w:rPr>
          <w:rFonts w:ascii="Verdana" w:eastAsia="Geomanist Light" w:hAnsi="Verdana" w:cs="Arial"/>
          <w:color w:val="000000" w:themeColor="text1"/>
          <w:lang w:val="es-MX"/>
        </w:rPr>
      </w:pPr>
    </w:p>
    <w:p w14:paraId="440820AE" w14:textId="77777777" w:rsidR="00214602" w:rsidRDefault="00214602" w:rsidP="00206C42">
      <w:pPr>
        <w:spacing w:after="0" w:line="240" w:lineRule="auto"/>
        <w:rPr>
          <w:rFonts w:ascii="Verdana" w:eastAsia="Geomanist Light" w:hAnsi="Verdana" w:cs="Arial"/>
          <w:color w:val="000000" w:themeColor="text1"/>
          <w:lang w:val="es-MX"/>
        </w:rPr>
      </w:pPr>
    </w:p>
    <w:p w14:paraId="0AC66D5D" w14:textId="77777777" w:rsidR="00214602" w:rsidRDefault="00214602" w:rsidP="00206C42">
      <w:pPr>
        <w:spacing w:after="0" w:line="240" w:lineRule="auto"/>
        <w:rPr>
          <w:rFonts w:ascii="Verdana" w:eastAsia="Geomanist Light" w:hAnsi="Verdana" w:cs="Arial"/>
          <w:color w:val="000000" w:themeColor="text1"/>
          <w:lang w:val="es-MX"/>
        </w:rPr>
      </w:pPr>
    </w:p>
    <w:p w14:paraId="2D51FE00" w14:textId="77777777" w:rsidR="00214602" w:rsidRDefault="00214602" w:rsidP="00206C42">
      <w:pPr>
        <w:spacing w:after="0" w:line="240" w:lineRule="auto"/>
        <w:rPr>
          <w:rFonts w:ascii="Verdana" w:eastAsia="Geomanist Light" w:hAnsi="Verdana" w:cs="Arial"/>
          <w:color w:val="000000" w:themeColor="text1"/>
          <w:lang w:val="es-MX"/>
        </w:rPr>
      </w:pPr>
    </w:p>
    <w:p w14:paraId="72A47E70" w14:textId="77777777" w:rsidR="00214602" w:rsidRDefault="00214602" w:rsidP="00206C42">
      <w:pPr>
        <w:spacing w:after="0" w:line="240" w:lineRule="auto"/>
        <w:rPr>
          <w:rFonts w:ascii="Verdana" w:eastAsia="Geomanist Light" w:hAnsi="Verdana" w:cs="Arial"/>
          <w:color w:val="000000" w:themeColor="text1"/>
          <w:lang w:val="es-MX"/>
        </w:rPr>
      </w:pPr>
    </w:p>
    <w:p w14:paraId="527C8503" w14:textId="77777777" w:rsidR="00214602" w:rsidRDefault="00214602" w:rsidP="00206C42">
      <w:pPr>
        <w:spacing w:after="0" w:line="240" w:lineRule="auto"/>
        <w:rPr>
          <w:rFonts w:ascii="Verdana" w:eastAsia="Geomanist Light" w:hAnsi="Verdana" w:cs="Arial"/>
          <w:color w:val="000000" w:themeColor="text1"/>
          <w:lang w:val="es-MX"/>
        </w:rPr>
      </w:pPr>
    </w:p>
    <w:p w14:paraId="55A160DD" w14:textId="77777777" w:rsidR="00214602" w:rsidRDefault="00214602" w:rsidP="00206C42">
      <w:pPr>
        <w:spacing w:after="0" w:line="240" w:lineRule="auto"/>
        <w:rPr>
          <w:rFonts w:ascii="Verdana" w:eastAsia="Geomanist Light" w:hAnsi="Verdana" w:cs="Arial"/>
          <w:color w:val="000000" w:themeColor="text1"/>
          <w:lang w:val="es-MX"/>
        </w:rPr>
      </w:pPr>
    </w:p>
    <w:p w14:paraId="4FB597F0" w14:textId="77777777" w:rsidR="00214602" w:rsidRDefault="00214602" w:rsidP="00206C42">
      <w:pPr>
        <w:spacing w:after="0" w:line="240" w:lineRule="auto"/>
        <w:rPr>
          <w:rFonts w:ascii="Verdana" w:eastAsia="Geomanist Light" w:hAnsi="Verdana" w:cs="Arial"/>
          <w:color w:val="000000" w:themeColor="text1"/>
          <w:lang w:val="es-MX"/>
        </w:rPr>
      </w:pPr>
    </w:p>
    <w:p w14:paraId="0D569242" w14:textId="77777777" w:rsidR="00214602" w:rsidRDefault="00214602" w:rsidP="00206C42">
      <w:pPr>
        <w:spacing w:after="0" w:line="240" w:lineRule="auto"/>
        <w:rPr>
          <w:rFonts w:ascii="Verdana" w:eastAsia="Geomanist Light" w:hAnsi="Verdana" w:cs="Arial"/>
          <w:color w:val="000000" w:themeColor="text1"/>
          <w:lang w:val="es-MX"/>
        </w:rPr>
      </w:pPr>
    </w:p>
    <w:p w14:paraId="1C51DE65" w14:textId="77777777" w:rsidR="00214602" w:rsidRDefault="00214602" w:rsidP="00206C42">
      <w:pPr>
        <w:spacing w:after="0" w:line="240" w:lineRule="auto"/>
        <w:rPr>
          <w:rFonts w:ascii="Verdana" w:eastAsia="Geomanist Light" w:hAnsi="Verdana" w:cs="Arial"/>
          <w:color w:val="000000" w:themeColor="text1"/>
          <w:lang w:val="es-MX"/>
        </w:rPr>
      </w:pPr>
    </w:p>
    <w:p w14:paraId="66AB1D93" w14:textId="77777777" w:rsidR="00214602" w:rsidRDefault="00214602" w:rsidP="00206C42">
      <w:pPr>
        <w:spacing w:after="0" w:line="240" w:lineRule="auto"/>
        <w:rPr>
          <w:rFonts w:ascii="Verdana" w:eastAsia="Geomanist Light" w:hAnsi="Verdana" w:cs="Arial"/>
          <w:color w:val="000000" w:themeColor="text1"/>
          <w:lang w:val="es-MX"/>
        </w:rPr>
      </w:pPr>
    </w:p>
    <w:p w14:paraId="397A2C38" w14:textId="77777777" w:rsidR="00214602" w:rsidRDefault="00214602" w:rsidP="00206C42">
      <w:pPr>
        <w:spacing w:after="0" w:line="240" w:lineRule="auto"/>
        <w:rPr>
          <w:rFonts w:ascii="Verdana" w:eastAsia="Geomanist Light" w:hAnsi="Verdana" w:cs="Arial"/>
          <w:color w:val="000000" w:themeColor="text1"/>
          <w:lang w:val="es-MX"/>
        </w:rPr>
      </w:pPr>
    </w:p>
    <w:p w14:paraId="40BB4AFF" w14:textId="77777777" w:rsidR="00214602" w:rsidRDefault="00214602" w:rsidP="00206C42">
      <w:pPr>
        <w:spacing w:after="0" w:line="240" w:lineRule="auto"/>
        <w:rPr>
          <w:rFonts w:ascii="Verdana" w:eastAsia="Geomanist Light" w:hAnsi="Verdana" w:cs="Arial"/>
          <w:color w:val="000000" w:themeColor="text1"/>
          <w:lang w:val="es-MX"/>
        </w:rPr>
      </w:pPr>
    </w:p>
    <w:p w14:paraId="5F002C66" w14:textId="77777777" w:rsidR="00214602" w:rsidRDefault="00214602" w:rsidP="00206C42">
      <w:pPr>
        <w:spacing w:after="0" w:line="240" w:lineRule="auto"/>
        <w:rPr>
          <w:rFonts w:ascii="Verdana" w:eastAsia="Geomanist Light" w:hAnsi="Verdana" w:cs="Arial"/>
          <w:color w:val="000000" w:themeColor="text1"/>
          <w:lang w:val="es-MX"/>
        </w:rPr>
      </w:pPr>
    </w:p>
    <w:p w14:paraId="2CE9CAAD" w14:textId="77777777" w:rsidR="00214602" w:rsidRDefault="00214602" w:rsidP="00206C42">
      <w:pPr>
        <w:spacing w:after="0" w:line="240" w:lineRule="auto"/>
        <w:rPr>
          <w:rFonts w:ascii="Verdana" w:eastAsia="Geomanist Light" w:hAnsi="Verdana" w:cs="Arial"/>
          <w:color w:val="000000" w:themeColor="text1"/>
          <w:lang w:val="es-MX"/>
        </w:rPr>
      </w:pPr>
    </w:p>
    <w:p w14:paraId="4A675B3C" w14:textId="77777777" w:rsidR="00214602" w:rsidRDefault="00214602" w:rsidP="00206C42">
      <w:pPr>
        <w:spacing w:after="0" w:line="240" w:lineRule="auto"/>
        <w:rPr>
          <w:rFonts w:ascii="Verdana" w:eastAsia="Geomanist Light" w:hAnsi="Verdana" w:cs="Arial"/>
          <w:color w:val="000000" w:themeColor="text1"/>
          <w:lang w:val="es-MX"/>
        </w:rPr>
      </w:pPr>
    </w:p>
    <w:p w14:paraId="4DDB1251" w14:textId="77777777" w:rsidR="00214602" w:rsidRDefault="00214602" w:rsidP="00206C42">
      <w:pPr>
        <w:spacing w:after="0" w:line="240" w:lineRule="auto"/>
        <w:rPr>
          <w:rFonts w:ascii="Verdana" w:eastAsia="Geomanist Light" w:hAnsi="Verdana" w:cs="Arial"/>
          <w:color w:val="000000" w:themeColor="text1"/>
          <w:lang w:val="es-MX"/>
        </w:rPr>
      </w:pPr>
    </w:p>
    <w:p w14:paraId="2EFDE9D7" w14:textId="48C7E551" w:rsidR="00206C42" w:rsidRPr="00214602" w:rsidRDefault="00206C42" w:rsidP="00206C42">
      <w:pPr>
        <w:spacing w:after="0" w:line="240" w:lineRule="auto"/>
        <w:rPr>
          <w:rFonts w:ascii="Verdana" w:eastAsia="Times New Roman" w:hAnsi="Verdana" w:cs="Arial"/>
          <w:lang w:val="pt-PT" w:eastAsia="es-ES_tradnl"/>
        </w:rPr>
      </w:pPr>
      <w:r w:rsidRPr="00214602">
        <w:rPr>
          <w:rFonts w:ascii="Verdana" w:eastAsia="Geomanist Light" w:hAnsi="Verdana" w:cs="Arial"/>
          <w:color w:val="000000" w:themeColor="text1"/>
          <w:lang w:val="pt-PT"/>
        </w:rPr>
        <w:lastRenderedPageBreak/>
        <w:t>Bogotá D.C., </w:t>
      </w:r>
      <w:r w:rsidR="00214602" w:rsidRPr="00214602">
        <w:rPr>
          <w:rFonts w:ascii="Verdana" w:eastAsia="Geomanist Light" w:hAnsi="Verdana" w:cs="Arial"/>
          <w:color w:val="201F1E"/>
          <w:lang w:val="pt-PT"/>
        </w:rPr>
        <w:t>13</w:t>
      </w:r>
      <w:r w:rsidRPr="00214602">
        <w:rPr>
          <w:rFonts w:ascii="Verdana" w:eastAsia="Geomanist Light" w:hAnsi="Verdana" w:cs="Arial"/>
          <w:color w:val="201F1E"/>
          <w:lang w:val="pt-PT"/>
        </w:rPr>
        <w:t xml:space="preserve"> de </w:t>
      </w:r>
      <w:r w:rsidR="00214602" w:rsidRPr="00214602">
        <w:rPr>
          <w:rFonts w:ascii="Verdana" w:eastAsia="Geomanist Light" w:hAnsi="Verdana" w:cs="Arial"/>
          <w:color w:val="201F1E"/>
          <w:lang w:val="pt-PT"/>
        </w:rPr>
        <w:t xml:space="preserve">agosto </w:t>
      </w:r>
      <w:r w:rsidRPr="00214602">
        <w:rPr>
          <w:rFonts w:ascii="Verdana" w:eastAsia="Geomanist Light" w:hAnsi="Verdana" w:cs="Arial"/>
          <w:color w:val="201F1E"/>
          <w:lang w:val="pt-PT"/>
        </w:rPr>
        <w:t xml:space="preserve">de </w:t>
      </w:r>
      <w:r w:rsidR="00214602" w:rsidRPr="00214602">
        <w:rPr>
          <w:rFonts w:ascii="Verdana" w:eastAsia="Geomanist Light" w:hAnsi="Verdana" w:cs="Arial"/>
          <w:color w:val="201F1E"/>
          <w:lang w:val="pt-PT"/>
        </w:rPr>
        <w:t>2</w:t>
      </w:r>
      <w:r w:rsidR="00214602">
        <w:rPr>
          <w:rFonts w:ascii="Verdana" w:eastAsia="Geomanist Light" w:hAnsi="Verdana" w:cs="Arial"/>
          <w:color w:val="201F1E"/>
          <w:lang w:val="pt-PT"/>
        </w:rPr>
        <w:t>026</w:t>
      </w:r>
    </w:p>
    <w:p w14:paraId="5E00A9AE" w14:textId="3FCD948A" w:rsidR="00206C42" w:rsidRPr="00214602" w:rsidRDefault="00206C42" w:rsidP="00206C42">
      <w:pPr>
        <w:spacing w:after="0"/>
        <w:rPr>
          <w:rFonts w:ascii="Verdana" w:hAnsi="Verdana"/>
          <w:lang w:val="pt-PT"/>
        </w:rPr>
      </w:pPr>
      <w:r w:rsidRPr="00214602">
        <w:rPr>
          <w:rFonts w:ascii="Verdana" w:hAnsi="Verdana"/>
          <w:lang w:val="pt-PT"/>
        </w:rPr>
        <w:tab/>
      </w:r>
    </w:p>
    <w:p w14:paraId="65CB8ABF" w14:textId="3FAF2EA1" w:rsidR="00214602" w:rsidRDefault="00214602" w:rsidP="00214602">
      <w:pPr>
        <w:spacing w:after="0" w:line="240" w:lineRule="auto"/>
        <w:ind w:left="4956"/>
        <w:jc w:val="both"/>
        <w:rPr>
          <w:rFonts w:ascii="Verdana" w:eastAsia="Calibri" w:hAnsi="Verdana" w:cs="Arial"/>
          <w:color w:val="000000" w:themeColor="text1"/>
          <w:lang w:val="pt-PT" w:eastAsia="es-ES"/>
        </w:rPr>
      </w:pPr>
    </w:p>
    <w:p w14:paraId="5A7A6A7A" w14:textId="3E9CA790" w:rsidR="00206C42" w:rsidRPr="00DD321D" w:rsidRDefault="000873B7" w:rsidP="00206C42">
      <w:pPr>
        <w:spacing w:after="0" w:line="240" w:lineRule="auto"/>
        <w:jc w:val="both"/>
        <w:rPr>
          <w:rFonts w:ascii="Verdana" w:eastAsia="Calibri" w:hAnsi="Verdana" w:cs="Arial"/>
          <w:color w:val="000000" w:themeColor="text1"/>
          <w:lang w:val="pt-PT" w:eastAsia="es-ES"/>
        </w:rPr>
      </w:pPr>
      <w:r w:rsidRPr="00214602">
        <w:rPr>
          <w:rFonts w:ascii="Verdana" w:eastAsia="Calibri" w:hAnsi="Verdana" w:cs="Arial"/>
          <w:noProof/>
          <w:color w:val="000000" w:themeColor="text1"/>
          <w:lang w:val="pt-PT" w:eastAsia="es-ES"/>
        </w:rPr>
        <w:drawing>
          <wp:anchor distT="0" distB="0" distL="114300" distR="114300" simplePos="0" relativeHeight="251658240" behindDoc="0" locked="0" layoutInCell="1" allowOverlap="1" wp14:anchorId="54647FA9" wp14:editId="23DF0E59">
            <wp:simplePos x="0" y="0"/>
            <wp:positionH relativeFrom="column">
              <wp:posOffset>3602742</wp:posOffset>
            </wp:positionH>
            <wp:positionV relativeFrom="paragraph">
              <wp:posOffset>11430</wp:posOffset>
            </wp:positionV>
            <wp:extent cx="2524477" cy="724001"/>
            <wp:effectExtent l="0" t="0" r="9525" b="0"/>
            <wp:wrapSquare wrapText="bothSides"/>
            <wp:docPr id="12238365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836531" name=""/>
                    <pic:cNvPicPr/>
                  </pic:nvPicPr>
                  <pic:blipFill>
                    <a:blip r:embed="rId10">
                      <a:extLst>
                        <a:ext uri="{28A0092B-C50C-407E-A947-70E740481C1C}">
                          <a14:useLocalDpi xmlns:a14="http://schemas.microsoft.com/office/drawing/2010/main" val="0"/>
                        </a:ext>
                      </a:extLst>
                    </a:blip>
                    <a:stretch>
                      <a:fillRect/>
                    </a:stretch>
                  </pic:blipFill>
                  <pic:spPr>
                    <a:xfrm>
                      <a:off x="0" y="0"/>
                      <a:ext cx="2524477" cy="724001"/>
                    </a:xfrm>
                    <a:prstGeom prst="rect">
                      <a:avLst/>
                    </a:prstGeom>
                  </pic:spPr>
                </pic:pic>
              </a:graphicData>
            </a:graphic>
          </wp:anchor>
        </w:drawing>
      </w:r>
      <w:r w:rsidR="00206C42" w:rsidRPr="00DD321D">
        <w:rPr>
          <w:rFonts w:ascii="Verdana" w:eastAsia="Calibri" w:hAnsi="Verdana" w:cs="Arial"/>
          <w:color w:val="000000" w:themeColor="text1"/>
          <w:lang w:val="pt-PT" w:eastAsia="es-ES"/>
        </w:rPr>
        <w:t>Doctor</w:t>
      </w:r>
    </w:p>
    <w:p w14:paraId="2553A43C" w14:textId="77777777" w:rsidR="00206C42" w:rsidRPr="00DD321D" w:rsidRDefault="00206C42" w:rsidP="00206C42">
      <w:pPr>
        <w:spacing w:after="0" w:line="240" w:lineRule="auto"/>
        <w:jc w:val="both"/>
        <w:rPr>
          <w:rFonts w:ascii="Verdana" w:eastAsia="Calibri" w:hAnsi="Verdana" w:cs="Arial"/>
          <w:color w:val="000000" w:themeColor="text1"/>
          <w:lang w:val="pt-PT" w:eastAsia="es-ES"/>
        </w:rPr>
      </w:pPr>
      <w:r w:rsidRPr="00DD321D">
        <w:rPr>
          <w:rFonts w:ascii="Verdana" w:eastAsia="Calibri" w:hAnsi="Verdana" w:cs="Arial"/>
          <w:b/>
          <w:color w:val="000000" w:themeColor="text1"/>
          <w:lang w:val="pt-PT" w:eastAsia="es-ES"/>
        </w:rPr>
        <w:t>Mario José Ávila Furque</w:t>
      </w:r>
    </w:p>
    <w:p w14:paraId="14D06A71" w14:textId="77777777" w:rsidR="00206C42" w:rsidRPr="00206C42" w:rsidRDefault="00206C42" w:rsidP="00214602">
      <w:pPr>
        <w:spacing w:after="0" w:line="240" w:lineRule="auto"/>
        <w:ind w:left="708" w:hanging="708"/>
        <w:rPr>
          <w:rFonts w:ascii="Verdana" w:eastAsia="Calibri" w:hAnsi="Verdana" w:cs="Arial"/>
          <w:color w:val="000000" w:themeColor="text1"/>
          <w:lang w:val="pt-PT" w:eastAsia="es-ES"/>
        </w:rPr>
      </w:pPr>
      <w:r w:rsidRPr="00206C42">
        <w:rPr>
          <w:rFonts w:ascii="Verdana" w:eastAsia="Calibri" w:hAnsi="Verdana" w:cs="Arial"/>
          <w:color w:val="000000" w:themeColor="text1"/>
          <w:lang w:val="pt-PT" w:eastAsia="es-ES"/>
        </w:rPr>
        <w:t>Alcalde Municipal</w:t>
      </w:r>
    </w:p>
    <w:p w14:paraId="1A901FF5" w14:textId="3F3629EC" w:rsidR="00206C42" w:rsidRDefault="00206C42" w:rsidP="00206C42">
      <w:pPr>
        <w:spacing w:after="0" w:line="240" w:lineRule="auto"/>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Municipio de San Miguel de Sema, Boyacá</w:t>
      </w:r>
    </w:p>
    <w:p w14:paraId="2626C89B" w14:textId="77777777" w:rsidR="00206C42" w:rsidRDefault="00206C42" w:rsidP="00206C42">
      <w:pPr>
        <w:spacing w:after="0" w:line="240" w:lineRule="auto"/>
        <w:rPr>
          <w:rFonts w:ascii="Verdana" w:eastAsia="Calibri" w:hAnsi="Verdana" w:cs="Arial"/>
          <w:color w:val="000000" w:themeColor="text1"/>
          <w:lang w:val="es-ES" w:eastAsia="es-ES_tradnl"/>
        </w:rPr>
      </w:pPr>
      <w:hyperlink r:id="rId11" w:history="1">
        <w:r w:rsidRPr="00A85BCC">
          <w:rPr>
            <w:rStyle w:val="Hipervnculo"/>
            <w:rFonts w:ascii="Verdana" w:eastAsia="Calibri" w:hAnsi="Verdana" w:cs="Arial"/>
            <w:lang w:val="es-ES" w:eastAsia="es-ES_tradnl"/>
          </w:rPr>
          <w:t>contactenos@sanmigueldesema-boyaca.gov.co</w:t>
        </w:r>
      </w:hyperlink>
      <w:r w:rsidRPr="00A85BCC">
        <w:rPr>
          <w:rFonts w:ascii="Verdana" w:eastAsia="Calibri" w:hAnsi="Verdana" w:cs="Arial"/>
          <w:color w:val="000000" w:themeColor="text1"/>
          <w:lang w:val="es-ES" w:eastAsia="es-ES_tradnl"/>
        </w:rPr>
        <w:t xml:space="preserve">; </w:t>
      </w:r>
    </w:p>
    <w:p w14:paraId="38EAAA8A" w14:textId="77777777" w:rsidR="00206C42" w:rsidRPr="00A85BCC" w:rsidRDefault="00206C42" w:rsidP="00206C42">
      <w:pPr>
        <w:spacing w:after="0" w:line="240" w:lineRule="auto"/>
        <w:rPr>
          <w:rFonts w:ascii="Verdana" w:eastAsia="Calibri" w:hAnsi="Verdana" w:cs="Arial"/>
          <w:color w:val="000000" w:themeColor="text1"/>
          <w:lang w:val="es-ES" w:eastAsia="es-ES_tradnl"/>
        </w:rPr>
      </w:pPr>
    </w:p>
    <w:tbl>
      <w:tblPr>
        <w:tblStyle w:val="Tablaconcuadrcula"/>
        <w:tblW w:w="129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gridCol w:w="4179"/>
      </w:tblGrid>
      <w:tr w:rsidR="00206C42" w:rsidRPr="00EC1B7C" w14:paraId="1BC58003" w14:textId="77777777" w:rsidTr="00DD2423">
        <w:trPr>
          <w:gridAfter w:val="1"/>
          <w:wAfter w:w="4179" w:type="dxa"/>
          <w:trHeight w:val="304"/>
        </w:trPr>
        <w:tc>
          <w:tcPr>
            <w:tcW w:w="2689" w:type="dxa"/>
          </w:tcPr>
          <w:p w14:paraId="1D9D4DDF" w14:textId="77777777" w:rsidR="00206C42" w:rsidRPr="00EC1B7C" w:rsidRDefault="00206C42" w:rsidP="00DD2423">
            <w:pPr>
              <w:jc w:val="both"/>
              <w:rPr>
                <w:rFonts w:ascii="Verdana" w:eastAsia="Calibri" w:hAnsi="Verdana" w:cs="Arial"/>
                <w:b/>
                <w:bCs/>
                <w:color w:val="000000" w:themeColor="text1"/>
                <w:lang w:val="es-ES" w:eastAsia="es-ES_tradnl"/>
              </w:rPr>
            </w:pPr>
          </w:p>
        </w:tc>
        <w:tc>
          <w:tcPr>
            <w:tcW w:w="6100" w:type="dxa"/>
          </w:tcPr>
          <w:p w14:paraId="36C12068" w14:textId="77777777" w:rsidR="00206C42" w:rsidRPr="00EC1B7C" w:rsidRDefault="00206C42" w:rsidP="00DD2423">
            <w:pPr>
              <w:jc w:val="both"/>
              <w:rPr>
                <w:rFonts w:ascii="Verdana" w:eastAsia="Calibri" w:hAnsi="Verdana" w:cs="Arial"/>
                <w:b/>
                <w:bCs/>
                <w:color w:val="000000" w:themeColor="text1"/>
                <w:lang w:val="es-ES" w:eastAsia="es-ES"/>
              </w:rPr>
            </w:pPr>
            <w:r w:rsidRPr="00EC1B7C">
              <w:rPr>
                <w:rFonts w:ascii="Verdana" w:eastAsia="Calibri" w:hAnsi="Verdana" w:cs="Arial"/>
                <w:b/>
                <w:bCs/>
                <w:color w:val="000000" w:themeColor="text1"/>
                <w:lang w:val="es-ES" w:eastAsia="es-ES"/>
              </w:rPr>
              <w:t>Concepto C-</w:t>
            </w:r>
            <w:r>
              <w:rPr>
                <w:rFonts w:ascii="Verdana" w:eastAsia="Calibri" w:hAnsi="Verdana" w:cs="Arial"/>
                <w:b/>
                <w:bCs/>
                <w:color w:val="000000" w:themeColor="text1"/>
                <w:lang w:val="es-ES" w:eastAsia="es-ES"/>
              </w:rPr>
              <w:t>1207</w:t>
            </w:r>
            <w:r w:rsidRPr="00EC1B7C">
              <w:rPr>
                <w:rFonts w:ascii="Verdana" w:eastAsia="Calibri" w:hAnsi="Verdana" w:cs="Arial"/>
                <w:b/>
                <w:bCs/>
                <w:color w:val="000000" w:themeColor="text1"/>
                <w:lang w:val="es-ES" w:eastAsia="es-ES"/>
              </w:rPr>
              <w:t xml:space="preserve"> de 2026</w:t>
            </w:r>
          </w:p>
          <w:p w14:paraId="2A04F8B2" w14:textId="77777777" w:rsidR="00206C42" w:rsidRPr="00EC1B7C" w:rsidRDefault="00206C42" w:rsidP="00DD2423">
            <w:pPr>
              <w:jc w:val="both"/>
              <w:rPr>
                <w:rFonts w:ascii="Verdana" w:eastAsia="Calibri" w:hAnsi="Verdana" w:cs="Arial"/>
                <w:b/>
                <w:bCs/>
                <w:color w:val="000000" w:themeColor="text1"/>
                <w:lang w:val="es-ES" w:eastAsia="es-ES"/>
              </w:rPr>
            </w:pPr>
          </w:p>
        </w:tc>
      </w:tr>
      <w:tr w:rsidR="00206C42" w:rsidRPr="00EC1B7C" w14:paraId="2860D090" w14:textId="77777777" w:rsidTr="00DD2423">
        <w:trPr>
          <w:trHeight w:val="884"/>
        </w:trPr>
        <w:tc>
          <w:tcPr>
            <w:tcW w:w="2689" w:type="dxa"/>
          </w:tcPr>
          <w:p w14:paraId="02CCA12D" w14:textId="77777777" w:rsidR="00206C42" w:rsidRPr="00EC1B7C" w:rsidRDefault="00206C42" w:rsidP="00DD2423">
            <w:pPr>
              <w:jc w:val="both"/>
              <w:rPr>
                <w:rFonts w:ascii="Verdana" w:eastAsia="Calibri" w:hAnsi="Verdana" w:cs="Arial"/>
                <w:color w:val="000000" w:themeColor="text1"/>
                <w:lang w:val="es-ES" w:eastAsia="es-ES_tradnl"/>
              </w:rPr>
            </w:pPr>
            <w:r w:rsidRPr="00EC1B7C">
              <w:rPr>
                <w:rFonts w:ascii="Verdana" w:eastAsia="Calibri" w:hAnsi="Verdana" w:cs="Arial"/>
                <w:b/>
                <w:color w:val="000000" w:themeColor="text1"/>
                <w:lang w:val="es-ES" w:eastAsia="es-ES_tradnl"/>
              </w:rPr>
              <w:t>Temas:</w:t>
            </w:r>
            <w:r w:rsidRPr="00EC1B7C">
              <w:rPr>
                <w:rFonts w:ascii="Verdana" w:eastAsia="Calibri" w:hAnsi="Verdana" w:cs="Arial"/>
                <w:color w:val="000000" w:themeColor="text1"/>
                <w:lang w:val="es-ES" w:eastAsia="es-ES_tradnl"/>
              </w:rPr>
              <w:t xml:space="preserve">                   </w:t>
            </w:r>
          </w:p>
        </w:tc>
        <w:tc>
          <w:tcPr>
            <w:tcW w:w="6100" w:type="dxa"/>
          </w:tcPr>
          <w:p w14:paraId="7F4FE3A8" w14:textId="2FF9BE92" w:rsidR="00206C42" w:rsidRPr="00EC1B7C" w:rsidRDefault="00206C42" w:rsidP="00DD2423">
            <w:pPr>
              <w:spacing w:line="276" w:lineRule="auto"/>
              <w:jc w:val="both"/>
              <w:rPr>
                <w:rFonts w:ascii="Verdana" w:hAnsi="Verdana" w:cs="Arial"/>
                <w:lang w:val="es-ES" w:eastAsia="es-ES"/>
              </w:rPr>
            </w:pPr>
            <w:r w:rsidRPr="001C68D1">
              <w:rPr>
                <w:rFonts w:ascii="Verdana" w:hAnsi="Verdana" w:cs="Arial"/>
                <w:lang w:val="es-ES" w:eastAsia="es-ES"/>
              </w:rPr>
              <w:t xml:space="preserve">ENAJENACIÓN – Bienes inmuebles – Bienes muebles / BIENES PÚBLICOS – Tipos </w:t>
            </w:r>
            <w:r w:rsidR="005037F2" w:rsidRPr="005037F2">
              <w:rPr>
                <w:rFonts w:ascii="Verdana" w:hAnsi="Verdana" w:cs="Arial"/>
                <w:b/>
                <w:bCs/>
                <w:lang w:val="es-ES" w:eastAsia="es-ES"/>
              </w:rPr>
              <w:t>–</w:t>
            </w:r>
            <w:r w:rsidRPr="001C68D1">
              <w:rPr>
                <w:rFonts w:ascii="Verdana" w:hAnsi="Verdana" w:cs="Arial"/>
                <w:lang w:val="es-ES" w:eastAsia="es-ES"/>
              </w:rPr>
              <w:t xml:space="preserve"> ENAJENACIÓN – Bienes muebles – Título gratuito – Decreto 1082 de 2015 – Procedimiento </w:t>
            </w:r>
            <w:r w:rsidR="005037F2" w:rsidRPr="005037F2">
              <w:rPr>
                <w:rFonts w:ascii="Verdana" w:hAnsi="Verdana" w:cs="Arial"/>
                <w:b/>
                <w:bCs/>
                <w:lang w:val="es-ES" w:eastAsia="es-ES"/>
              </w:rPr>
              <w:t>–</w:t>
            </w:r>
            <w:r w:rsidRPr="001C68D1">
              <w:rPr>
                <w:rFonts w:ascii="Verdana" w:hAnsi="Verdana" w:cs="Arial"/>
                <w:lang w:val="es-ES" w:eastAsia="es-ES"/>
              </w:rPr>
              <w:t xml:space="preserve"> ESTUDIOS PREVIOS – Planeación – Deber de las entidades / ENAJENACIÓN</w:t>
            </w:r>
            <w:r w:rsidR="005037F2">
              <w:rPr>
                <w:rFonts w:ascii="Verdana" w:hAnsi="Verdana" w:cs="Arial"/>
                <w:lang w:val="es-ES" w:eastAsia="es-ES"/>
              </w:rPr>
              <w:t xml:space="preserve"> </w:t>
            </w:r>
            <w:r w:rsidRPr="001C68D1">
              <w:rPr>
                <w:rFonts w:ascii="Verdana" w:hAnsi="Verdana" w:cs="Arial"/>
                <w:lang w:val="es-ES" w:eastAsia="es-ES"/>
              </w:rPr>
              <w:t>– requisitos</w:t>
            </w:r>
          </w:p>
          <w:p w14:paraId="36DD9999" w14:textId="77777777" w:rsidR="00206C42" w:rsidRPr="00EC1B7C" w:rsidRDefault="00206C42" w:rsidP="00DD2423">
            <w:pPr>
              <w:spacing w:line="276" w:lineRule="auto"/>
              <w:jc w:val="both"/>
              <w:rPr>
                <w:rFonts w:ascii="Verdana" w:eastAsia="Calibri" w:hAnsi="Verdana" w:cs="Arial"/>
                <w:color w:val="000000" w:themeColor="text1"/>
                <w:lang w:val="es-ES" w:eastAsia="es-ES"/>
              </w:rPr>
            </w:pPr>
          </w:p>
        </w:tc>
        <w:tc>
          <w:tcPr>
            <w:tcW w:w="4179" w:type="dxa"/>
          </w:tcPr>
          <w:p w14:paraId="6E5A4CD5" w14:textId="217C928E" w:rsidR="00206C42" w:rsidRPr="00EC1B7C" w:rsidRDefault="00206C42" w:rsidP="00DD2423">
            <w:pPr>
              <w:spacing w:line="276" w:lineRule="auto"/>
              <w:jc w:val="both"/>
              <w:rPr>
                <w:rFonts w:ascii="Verdana" w:eastAsia="Calibri" w:hAnsi="Verdana" w:cs="Arial"/>
                <w:b/>
                <w:bCs/>
                <w:color w:val="000000" w:themeColor="text1"/>
                <w:lang w:val="es-ES" w:eastAsia="es-ES"/>
              </w:rPr>
            </w:pPr>
          </w:p>
          <w:p w14:paraId="194287CF" w14:textId="77777777" w:rsidR="00206C42" w:rsidRPr="00EC1B7C" w:rsidRDefault="00206C42" w:rsidP="00DD2423">
            <w:pPr>
              <w:rPr>
                <w:rFonts w:ascii="Verdana" w:hAnsi="Verdana"/>
                <w:lang w:val="es-ES"/>
              </w:rPr>
            </w:pPr>
          </w:p>
        </w:tc>
      </w:tr>
      <w:tr w:rsidR="00206C42" w:rsidRPr="00EC1B7C" w14:paraId="53CD18DB" w14:textId="77777777" w:rsidTr="00DD2423">
        <w:trPr>
          <w:gridAfter w:val="1"/>
          <w:wAfter w:w="4179" w:type="dxa"/>
        </w:trPr>
        <w:tc>
          <w:tcPr>
            <w:tcW w:w="2689" w:type="dxa"/>
          </w:tcPr>
          <w:p w14:paraId="252DFF47" w14:textId="77777777" w:rsidR="00206C42" w:rsidRPr="00EC1B7C" w:rsidRDefault="00206C42" w:rsidP="00DD2423">
            <w:pPr>
              <w:jc w:val="both"/>
              <w:rPr>
                <w:rFonts w:ascii="Verdana" w:eastAsia="Calibri" w:hAnsi="Verdana" w:cs="Arial"/>
                <w:b/>
                <w:color w:val="000000" w:themeColor="text1"/>
                <w:lang w:val="es-ES" w:eastAsia="es-ES_tradnl"/>
              </w:rPr>
            </w:pPr>
            <w:r w:rsidRPr="00EC1B7C">
              <w:rPr>
                <w:rFonts w:ascii="Verdana" w:eastAsia="Calibri" w:hAnsi="Verdana" w:cs="Arial"/>
                <w:b/>
                <w:color w:val="000000" w:themeColor="text1"/>
                <w:lang w:val="es-ES" w:eastAsia="es-ES_tradnl"/>
              </w:rPr>
              <w:t>Radicación:</w:t>
            </w:r>
            <w:r w:rsidRPr="00EC1B7C">
              <w:rPr>
                <w:rFonts w:ascii="Verdana" w:eastAsia="Calibri" w:hAnsi="Verdana" w:cs="Arial"/>
                <w:color w:val="000000" w:themeColor="text1"/>
                <w:lang w:val="es-ES" w:eastAsia="es-ES_tradnl"/>
              </w:rPr>
              <w:t xml:space="preserve">               </w:t>
            </w:r>
          </w:p>
        </w:tc>
        <w:tc>
          <w:tcPr>
            <w:tcW w:w="6100" w:type="dxa"/>
          </w:tcPr>
          <w:p w14:paraId="70A70DE6" w14:textId="77777777" w:rsidR="00206C42" w:rsidRPr="00EC1B7C" w:rsidRDefault="00206C42" w:rsidP="00DD2423">
            <w:pPr>
              <w:jc w:val="both"/>
              <w:rPr>
                <w:rFonts w:ascii="Verdana" w:eastAsia="Calibri" w:hAnsi="Verdana" w:cs="Arial"/>
                <w:color w:val="000000" w:themeColor="text1"/>
                <w:lang w:val="es-ES" w:eastAsia="es-ES_tradnl"/>
              </w:rPr>
            </w:pPr>
            <w:r w:rsidRPr="00EC1B7C">
              <w:rPr>
                <w:rFonts w:ascii="Verdana" w:eastAsia="Calibri" w:hAnsi="Verdana" w:cs="Arial"/>
                <w:color w:val="000000" w:themeColor="text1"/>
                <w:lang w:val="es-ES" w:eastAsia="es-ES_tradnl"/>
              </w:rPr>
              <w:t xml:space="preserve">Respuesta a consulta con radicado No. </w:t>
            </w:r>
            <w:r w:rsidRPr="00DD321D">
              <w:rPr>
                <w:rFonts w:ascii="Verdana" w:eastAsia="Calibri" w:hAnsi="Verdana" w:cs="Arial"/>
                <w:color w:val="000000" w:themeColor="text1"/>
                <w:lang w:val="es-ES" w:eastAsia="es-ES_tradnl"/>
              </w:rPr>
              <w:t>1_2026_07_30_010086</w:t>
            </w:r>
          </w:p>
        </w:tc>
      </w:tr>
    </w:tbl>
    <w:p w14:paraId="7E3F5D66" w14:textId="77777777" w:rsidR="00206C42" w:rsidRPr="00EC1B7C" w:rsidRDefault="00206C42" w:rsidP="00206C42">
      <w:pPr>
        <w:spacing w:after="0" w:line="276" w:lineRule="auto"/>
        <w:jc w:val="both"/>
        <w:rPr>
          <w:rFonts w:ascii="Verdana" w:eastAsia="Calibri" w:hAnsi="Verdana" w:cs="Arial"/>
          <w:color w:val="000000" w:themeColor="text1"/>
          <w:lang w:val="es-ES" w:eastAsia="es-ES_tradnl"/>
        </w:rPr>
      </w:pPr>
    </w:p>
    <w:p w14:paraId="5FEF1C12" w14:textId="77777777" w:rsidR="00206C42" w:rsidRPr="00EC1B7C" w:rsidRDefault="00206C42" w:rsidP="00206C42">
      <w:pPr>
        <w:spacing w:after="0" w:line="276" w:lineRule="auto"/>
        <w:jc w:val="both"/>
        <w:rPr>
          <w:rFonts w:ascii="Verdana" w:eastAsia="Calibri" w:hAnsi="Verdana" w:cs="Arial"/>
          <w:color w:val="000000" w:themeColor="text1"/>
          <w:lang w:val="es-ES" w:eastAsia="es-ES"/>
        </w:rPr>
      </w:pPr>
      <w:r w:rsidRPr="00EC1B7C">
        <w:rPr>
          <w:rFonts w:ascii="Verdana" w:eastAsia="Calibri" w:hAnsi="Verdana" w:cs="Arial"/>
          <w:color w:val="000000" w:themeColor="text1"/>
          <w:lang w:val="es-ES" w:eastAsia="es-ES"/>
        </w:rPr>
        <w:t>Estima</w:t>
      </w:r>
      <w:r>
        <w:rPr>
          <w:rFonts w:ascii="Verdana" w:eastAsia="Calibri" w:hAnsi="Verdana" w:cs="Arial"/>
          <w:color w:val="000000" w:themeColor="text1"/>
          <w:lang w:val="es-ES" w:eastAsia="es-ES"/>
        </w:rPr>
        <w:t xml:space="preserve">do Doctor Ávila Furque, </w:t>
      </w:r>
    </w:p>
    <w:p w14:paraId="7314CEDB" w14:textId="77777777" w:rsidR="00206C42" w:rsidRPr="00EC1B7C" w:rsidRDefault="00206C42" w:rsidP="00206C42">
      <w:pPr>
        <w:tabs>
          <w:tab w:val="left" w:pos="3768"/>
        </w:tabs>
        <w:spacing w:after="0" w:line="276" w:lineRule="auto"/>
        <w:jc w:val="both"/>
        <w:rPr>
          <w:rFonts w:ascii="Verdana" w:eastAsia="Calibri" w:hAnsi="Verdana" w:cs="Arial"/>
          <w:color w:val="000000" w:themeColor="text1"/>
          <w:lang w:val="es-ES" w:eastAsia="es-ES"/>
        </w:rPr>
      </w:pPr>
      <w:r w:rsidRPr="00EC1B7C">
        <w:rPr>
          <w:rFonts w:ascii="Verdana" w:eastAsia="Calibri" w:hAnsi="Verdana" w:cs="Arial"/>
          <w:color w:val="000000" w:themeColor="text1"/>
          <w:lang w:val="es-ES" w:eastAsia="es-ES"/>
        </w:rPr>
        <w:tab/>
      </w:r>
    </w:p>
    <w:p w14:paraId="00508C1E" w14:textId="77777777" w:rsidR="00206C42" w:rsidRPr="00A85BCC" w:rsidRDefault="00206C42" w:rsidP="00206C42">
      <w:pPr>
        <w:spacing w:after="0" w:line="276" w:lineRule="auto"/>
        <w:jc w:val="both"/>
        <w:rPr>
          <w:rFonts w:ascii="Verdana" w:eastAsia="Calibri" w:hAnsi="Verdana" w:cs="Times New Roman"/>
          <w:bCs/>
          <w:lang w:val="es-ES" w:bidi="es-ES"/>
        </w:rPr>
      </w:pPr>
      <w:r w:rsidRPr="00B57A1B">
        <w:rPr>
          <w:rFonts w:ascii="Verdana" w:eastAsia="Calibri" w:hAnsi="Verdana" w:cs="Times New Roman"/>
          <w:bCs/>
          <w:lang w:val="es-ES" w:bidi="es-ES"/>
        </w:rPr>
        <w:t xml:space="preserve">En ejercicio de la competencia otorgada por los artículos 3, numeral 5º, y 11, numeral 8º, del Decreto Ley 4170 de 2011, </w:t>
      </w:r>
      <w:r w:rsidRPr="00B57A1B">
        <w:rPr>
          <w:rFonts w:ascii="Verdana" w:eastAsia="Calibri" w:hAnsi="Verdana" w:cs="Times New Roman"/>
          <w:bCs/>
        </w:rPr>
        <w:t xml:space="preserve">así como lo establecido por la Resolución 469 de 2025 expedida por esta Entidad, </w:t>
      </w:r>
      <w:r w:rsidRPr="00FD0FC8">
        <w:rPr>
          <w:rFonts w:ascii="Verdana" w:eastAsia="Calibri" w:hAnsi="Verdana" w:cs="Times New Roman"/>
          <w:bCs/>
        </w:rPr>
        <w:t xml:space="preserve">La Agencia Nacional de Contratación Pública – Colombia Compra Eficiente – atiende la solicitud de consulta </w:t>
      </w:r>
      <w:r>
        <w:rPr>
          <w:rFonts w:ascii="Verdana" w:eastAsia="Calibri" w:hAnsi="Verdana" w:cs="Times New Roman"/>
          <w:bCs/>
        </w:rPr>
        <w:t>del 30 de julio</w:t>
      </w:r>
      <w:r w:rsidRPr="00FD0FC8">
        <w:rPr>
          <w:rFonts w:ascii="Verdana" w:eastAsia="Calibri" w:hAnsi="Verdana" w:cs="Times New Roman"/>
          <w:bCs/>
        </w:rPr>
        <w:t xml:space="preserve">. </w:t>
      </w:r>
      <w:r>
        <w:rPr>
          <w:rFonts w:ascii="Verdana" w:eastAsia="Calibri" w:hAnsi="Verdana" w:cs="Times New Roman"/>
          <w:bCs/>
        </w:rPr>
        <w:t xml:space="preserve">En donde </w:t>
      </w:r>
      <w:r w:rsidRPr="00FD0FC8">
        <w:rPr>
          <w:rFonts w:ascii="Verdana" w:eastAsia="Calibri" w:hAnsi="Verdana" w:cs="Times New Roman"/>
          <w:bCs/>
        </w:rPr>
        <w:t>formula la siguiente consulta:</w:t>
      </w:r>
      <w:r w:rsidRPr="00EC1B7C">
        <w:rPr>
          <w:rFonts w:ascii="Verdana" w:eastAsia="Calibri" w:hAnsi="Verdana" w:cs="Arial"/>
          <w:color w:val="000000" w:themeColor="text1"/>
          <w:lang w:val="es-ES" w:eastAsia="es-ES"/>
        </w:rPr>
        <w:t xml:space="preserve"> </w:t>
      </w:r>
    </w:p>
    <w:p w14:paraId="2D1C0562" w14:textId="77777777" w:rsidR="00206C42" w:rsidRPr="00EC1B7C" w:rsidRDefault="00206C42" w:rsidP="00206C42">
      <w:pPr>
        <w:spacing w:after="0" w:line="276" w:lineRule="auto"/>
        <w:jc w:val="both"/>
        <w:rPr>
          <w:rFonts w:ascii="Verdana" w:eastAsia="Calibri" w:hAnsi="Verdana" w:cs="Arial"/>
          <w:color w:val="000000" w:themeColor="text1"/>
          <w:lang w:val="es-ES" w:eastAsia="es-ES"/>
        </w:rPr>
      </w:pPr>
    </w:p>
    <w:p w14:paraId="27075A12" w14:textId="77777777" w:rsidR="00206C42" w:rsidRDefault="00206C42" w:rsidP="00206C42">
      <w:pPr>
        <w:spacing w:after="0" w:line="240" w:lineRule="auto"/>
        <w:ind w:left="709" w:right="709"/>
        <w:contextualSpacing/>
        <w:jc w:val="both"/>
        <w:rPr>
          <w:rFonts w:ascii="Verdana" w:eastAsia="Century Gothic" w:hAnsi="Verdana" w:cs="Century Gothic"/>
          <w:i/>
          <w:color w:val="000000" w:themeColor="text1"/>
          <w:sz w:val="20"/>
          <w:szCs w:val="20"/>
        </w:rPr>
      </w:pPr>
      <w:r w:rsidRPr="00EC1B7C">
        <w:rPr>
          <w:rFonts w:ascii="Verdana" w:eastAsia="Century Gothic" w:hAnsi="Verdana" w:cs="Century Gothic"/>
          <w:i/>
          <w:iCs/>
          <w:color w:val="000000" w:themeColor="text1"/>
          <w:sz w:val="20"/>
          <w:szCs w:val="20"/>
          <w:lang w:val="es-ES"/>
        </w:rPr>
        <w:t xml:space="preserve">“[…] </w:t>
      </w:r>
      <w:r>
        <w:rPr>
          <w:rFonts w:ascii="Verdana" w:eastAsia="Century Gothic" w:hAnsi="Verdana" w:cs="Century Gothic"/>
          <w:i/>
          <w:color w:val="000000" w:themeColor="text1"/>
          <w:sz w:val="20"/>
          <w:szCs w:val="20"/>
        </w:rPr>
        <w:t>¿De conformidad con el articulo 2 numeral 2 literal e) de la Ley 1150 de 2007 y las disposiciones contenidas en las Subsecciones 1 y 2 de la Sección 2 del Capítulo 2 del Decreto 1082 de 2015, cual es el procedimiento que debe seguir una entidad territorial para la venta de vehículos automotores dados de baja de su inventario?</w:t>
      </w:r>
    </w:p>
    <w:p w14:paraId="601721C1" w14:textId="77777777" w:rsidR="00206C42" w:rsidRDefault="00206C42" w:rsidP="00206C42">
      <w:pPr>
        <w:spacing w:after="0" w:line="240" w:lineRule="auto"/>
        <w:ind w:left="709" w:right="709"/>
        <w:contextualSpacing/>
        <w:jc w:val="both"/>
        <w:rPr>
          <w:rFonts w:ascii="Verdana" w:eastAsia="Century Gothic" w:hAnsi="Verdana" w:cs="Century Gothic"/>
          <w:i/>
          <w:color w:val="000000" w:themeColor="text1"/>
          <w:sz w:val="20"/>
          <w:szCs w:val="20"/>
        </w:rPr>
      </w:pPr>
    </w:p>
    <w:p w14:paraId="7276D24F" w14:textId="77777777" w:rsidR="00206C42" w:rsidRDefault="00206C42" w:rsidP="00206C42">
      <w:pPr>
        <w:spacing w:after="0" w:line="240" w:lineRule="auto"/>
        <w:ind w:left="709" w:right="709"/>
        <w:contextualSpacing/>
        <w:jc w:val="both"/>
        <w:rPr>
          <w:rFonts w:ascii="Verdana" w:eastAsia="Century Gothic" w:hAnsi="Verdana" w:cs="Century Gothic"/>
          <w:i/>
          <w:color w:val="000000" w:themeColor="text1"/>
          <w:sz w:val="20"/>
          <w:szCs w:val="20"/>
        </w:rPr>
      </w:pPr>
      <w:r>
        <w:rPr>
          <w:rFonts w:ascii="Verdana" w:eastAsia="Century Gothic" w:hAnsi="Verdana" w:cs="Century Gothic"/>
          <w:i/>
          <w:color w:val="000000" w:themeColor="text1"/>
          <w:sz w:val="20"/>
          <w:szCs w:val="20"/>
        </w:rPr>
        <w:t>¿Teniendo en cuenta lo dispuesto en el artículo 2.2.1.2.2.4.3 del Decreto 1082 de 2015 y la Circular Externa 003 de 2024 expedida por Colombia Compra Eficiente: ¿Es requisito previo obligatorio que la entidad estatal ofrezca los bienes muebles a título gratuito a otras entidades públicas antes de iniciar un procedimiento de venta mediante oferta en sobre cerrado o subasta pública?</w:t>
      </w:r>
    </w:p>
    <w:p w14:paraId="536F21CD" w14:textId="77777777" w:rsidR="00206C42" w:rsidRDefault="00206C42" w:rsidP="00206C42">
      <w:pPr>
        <w:spacing w:after="0" w:line="240" w:lineRule="auto"/>
        <w:ind w:left="709" w:right="709"/>
        <w:contextualSpacing/>
        <w:jc w:val="both"/>
        <w:rPr>
          <w:rFonts w:ascii="Verdana" w:eastAsia="Century Gothic" w:hAnsi="Verdana" w:cs="Century Gothic"/>
          <w:i/>
          <w:color w:val="000000" w:themeColor="text1"/>
          <w:sz w:val="20"/>
          <w:szCs w:val="20"/>
        </w:rPr>
      </w:pPr>
    </w:p>
    <w:p w14:paraId="69708E1C" w14:textId="77777777" w:rsidR="00206C42" w:rsidRDefault="00206C42" w:rsidP="00206C42">
      <w:pPr>
        <w:spacing w:after="0" w:line="240" w:lineRule="auto"/>
        <w:ind w:left="709" w:right="709"/>
        <w:contextualSpacing/>
        <w:jc w:val="both"/>
        <w:rPr>
          <w:rFonts w:ascii="Verdana" w:eastAsia="Century Gothic" w:hAnsi="Verdana" w:cs="Century Gothic"/>
          <w:i/>
          <w:color w:val="000000" w:themeColor="text1"/>
          <w:sz w:val="20"/>
          <w:szCs w:val="20"/>
        </w:rPr>
      </w:pPr>
      <w:r>
        <w:rPr>
          <w:rFonts w:ascii="Verdana" w:eastAsia="Century Gothic" w:hAnsi="Verdana" w:cs="Century Gothic"/>
          <w:i/>
          <w:color w:val="000000" w:themeColor="text1"/>
          <w:sz w:val="20"/>
          <w:szCs w:val="20"/>
        </w:rPr>
        <w:lastRenderedPageBreak/>
        <w:t>¿Puede la entidad estatal elegir a discreción entre los mecanismos de enajenación directa por oferta en sobre cerrado y enajenación mediante subasta pública, o existe un elemento que determine la utilización de uno u otro mecanismo?</w:t>
      </w:r>
    </w:p>
    <w:p w14:paraId="1E08C3CE" w14:textId="77777777" w:rsidR="00206C42" w:rsidRDefault="00206C42" w:rsidP="00206C42">
      <w:pPr>
        <w:spacing w:after="0" w:line="240" w:lineRule="auto"/>
        <w:ind w:left="709" w:right="709"/>
        <w:contextualSpacing/>
        <w:jc w:val="both"/>
        <w:rPr>
          <w:rFonts w:ascii="Verdana" w:eastAsia="Century Gothic" w:hAnsi="Verdana" w:cs="Century Gothic"/>
          <w:i/>
          <w:color w:val="000000" w:themeColor="text1"/>
          <w:sz w:val="20"/>
          <w:szCs w:val="20"/>
        </w:rPr>
      </w:pPr>
    </w:p>
    <w:p w14:paraId="514C846F" w14:textId="77777777" w:rsidR="00206C42" w:rsidRDefault="00206C42" w:rsidP="00206C42">
      <w:pPr>
        <w:spacing w:after="0" w:line="240" w:lineRule="auto"/>
        <w:ind w:left="709" w:right="709"/>
        <w:contextualSpacing/>
        <w:jc w:val="both"/>
        <w:rPr>
          <w:rFonts w:ascii="Verdana" w:eastAsia="Century Gothic" w:hAnsi="Verdana" w:cs="Century Gothic"/>
          <w:i/>
          <w:color w:val="000000" w:themeColor="text1"/>
          <w:sz w:val="20"/>
          <w:szCs w:val="20"/>
        </w:rPr>
      </w:pPr>
      <w:r>
        <w:rPr>
          <w:rFonts w:ascii="Verdana" w:eastAsia="Century Gothic" w:hAnsi="Verdana" w:cs="Century Gothic"/>
          <w:i/>
          <w:color w:val="000000" w:themeColor="text1"/>
          <w:sz w:val="20"/>
          <w:szCs w:val="20"/>
        </w:rPr>
        <w:t>¿Cuáles son las diferencias procedimentales más relevantes que deben observarse para cada modalidad?</w:t>
      </w:r>
    </w:p>
    <w:p w14:paraId="7F8184EA" w14:textId="77777777" w:rsidR="00206C42" w:rsidRDefault="00206C42" w:rsidP="00206C42">
      <w:pPr>
        <w:spacing w:after="0" w:line="240" w:lineRule="auto"/>
        <w:ind w:left="709" w:right="709"/>
        <w:contextualSpacing/>
        <w:jc w:val="both"/>
        <w:rPr>
          <w:rFonts w:ascii="Verdana" w:eastAsia="Century Gothic" w:hAnsi="Verdana" w:cs="Century Gothic"/>
          <w:i/>
          <w:color w:val="000000" w:themeColor="text1"/>
          <w:sz w:val="20"/>
          <w:szCs w:val="20"/>
        </w:rPr>
      </w:pPr>
    </w:p>
    <w:p w14:paraId="26D5091C" w14:textId="77777777" w:rsidR="00206C42" w:rsidRDefault="00206C42" w:rsidP="00206C42">
      <w:pPr>
        <w:spacing w:after="0" w:line="240" w:lineRule="auto"/>
        <w:ind w:left="709" w:right="709"/>
        <w:contextualSpacing/>
        <w:jc w:val="both"/>
        <w:rPr>
          <w:rFonts w:ascii="Verdana" w:eastAsia="Century Gothic" w:hAnsi="Verdana" w:cs="Century Gothic"/>
          <w:i/>
          <w:color w:val="000000" w:themeColor="text1"/>
          <w:sz w:val="20"/>
          <w:szCs w:val="20"/>
        </w:rPr>
      </w:pPr>
      <w:r>
        <w:rPr>
          <w:rFonts w:ascii="Verdana" w:eastAsia="Century Gothic" w:hAnsi="Verdana" w:cs="Century Gothic"/>
          <w:i/>
          <w:color w:val="000000" w:themeColor="text1"/>
          <w:sz w:val="20"/>
          <w:szCs w:val="20"/>
        </w:rPr>
        <w:t>¿En caso de ser afirmativa la respuesta anterior: ¿La ausencia de manifestaciones de interés dentro del término legal habilita a la entidad para adelantar posteriormente el procedimiento de venta de los bienes?</w:t>
      </w:r>
    </w:p>
    <w:p w14:paraId="55CB33A3" w14:textId="77777777" w:rsidR="00206C42" w:rsidRDefault="00206C42" w:rsidP="00206C42">
      <w:pPr>
        <w:spacing w:after="0" w:line="240" w:lineRule="auto"/>
        <w:ind w:left="709" w:right="709"/>
        <w:contextualSpacing/>
        <w:jc w:val="both"/>
        <w:rPr>
          <w:rFonts w:ascii="Verdana" w:eastAsia="Century Gothic" w:hAnsi="Verdana" w:cs="Century Gothic"/>
          <w:i/>
          <w:color w:val="000000" w:themeColor="text1"/>
          <w:sz w:val="20"/>
          <w:szCs w:val="20"/>
        </w:rPr>
      </w:pPr>
    </w:p>
    <w:p w14:paraId="6F88E474" w14:textId="77777777" w:rsidR="00206C42" w:rsidRDefault="00206C42" w:rsidP="00206C42">
      <w:pPr>
        <w:spacing w:after="0" w:line="240" w:lineRule="auto"/>
        <w:ind w:left="709" w:right="709"/>
        <w:contextualSpacing/>
        <w:jc w:val="both"/>
        <w:rPr>
          <w:rFonts w:ascii="Verdana" w:eastAsia="Century Gothic" w:hAnsi="Verdana" w:cs="Century Gothic"/>
          <w:i/>
          <w:color w:val="000000" w:themeColor="text1"/>
          <w:sz w:val="20"/>
          <w:szCs w:val="20"/>
        </w:rPr>
      </w:pPr>
      <w:r>
        <w:rPr>
          <w:rFonts w:ascii="Verdana" w:eastAsia="Century Gothic" w:hAnsi="Verdana" w:cs="Century Gothic"/>
          <w:i/>
          <w:color w:val="000000" w:themeColor="text1"/>
          <w:sz w:val="20"/>
          <w:szCs w:val="20"/>
        </w:rPr>
        <w:t>¿Con fundamento en la circular externa 003 de 2024: ¿La publicación del acto administrativo de ofrecimiento a título gratuito debe realizarse obligatoriamente en SECOP I para todas las entidades sometidas al Estatuto General de Contratación de la Administración Pública?</w:t>
      </w:r>
    </w:p>
    <w:p w14:paraId="71B13A16" w14:textId="77777777" w:rsidR="00206C42" w:rsidRDefault="00206C42" w:rsidP="00206C42">
      <w:pPr>
        <w:spacing w:after="0" w:line="240" w:lineRule="auto"/>
        <w:ind w:left="709" w:right="709"/>
        <w:contextualSpacing/>
        <w:jc w:val="both"/>
        <w:rPr>
          <w:rFonts w:ascii="Verdana" w:eastAsia="Century Gothic" w:hAnsi="Verdana" w:cs="Century Gothic"/>
          <w:i/>
          <w:color w:val="000000" w:themeColor="text1"/>
          <w:sz w:val="20"/>
          <w:szCs w:val="20"/>
        </w:rPr>
      </w:pPr>
    </w:p>
    <w:p w14:paraId="370E5940" w14:textId="77777777" w:rsidR="00206C42" w:rsidRPr="00DD321D" w:rsidRDefault="00206C42" w:rsidP="00206C42">
      <w:pPr>
        <w:spacing w:after="0" w:line="240" w:lineRule="auto"/>
        <w:ind w:left="709" w:right="709"/>
        <w:contextualSpacing/>
        <w:jc w:val="both"/>
        <w:rPr>
          <w:rFonts w:ascii="Verdana" w:eastAsia="Century Gothic" w:hAnsi="Verdana" w:cs="Century Gothic"/>
          <w:i/>
          <w:color w:val="000000" w:themeColor="text1"/>
          <w:sz w:val="20"/>
          <w:szCs w:val="20"/>
        </w:rPr>
      </w:pPr>
      <w:r>
        <w:rPr>
          <w:rFonts w:ascii="Verdana" w:eastAsia="Century Gothic" w:hAnsi="Verdana" w:cs="Century Gothic"/>
          <w:i/>
          <w:color w:val="000000" w:themeColor="text1"/>
          <w:sz w:val="20"/>
          <w:szCs w:val="20"/>
        </w:rPr>
        <w:t>¿Resulta procedente exigir exclusivamente los requisitos previstos en el Decreto 1082 de 2015 para este tipo de procesos, particularmente la consignación previa establecida para participar en la oferta en sobre cerrado, sin exigir experiencia, capacidad financiera, capacidad organizacional o inscripciones en el registro único de proponentes?</w:t>
      </w:r>
    </w:p>
    <w:p w14:paraId="3C82BE72" w14:textId="77777777" w:rsidR="00206C42" w:rsidRPr="00DD321D" w:rsidRDefault="00206C42" w:rsidP="00206C42">
      <w:pPr>
        <w:spacing w:after="0" w:line="240" w:lineRule="auto"/>
        <w:ind w:left="709" w:right="709"/>
        <w:contextualSpacing/>
        <w:jc w:val="both"/>
        <w:rPr>
          <w:rFonts w:ascii="Verdana" w:eastAsia="Century Gothic" w:hAnsi="Verdana" w:cs="Century Gothic"/>
          <w:i/>
          <w:color w:val="000000" w:themeColor="text1"/>
          <w:sz w:val="20"/>
          <w:szCs w:val="20"/>
        </w:rPr>
      </w:pPr>
      <w:r w:rsidRPr="00DD321D">
        <w:rPr>
          <w:rFonts w:ascii="Verdana" w:eastAsia="Century Gothic" w:hAnsi="Verdana" w:cs="Century Gothic"/>
          <w:i/>
          <w:color w:val="000000" w:themeColor="text1"/>
          <w:sz w:val="20"/>
          <w:szCs w:val="20"/>
        </w:rPr>
        <w:t>[…]”</w:t>
      </w:r>
    </w:p>
    <w:p w14:paraId="7ED0FF37" w14:textId="77777777" w:rsidR="00206C42" w:rsidRPr="00EC1B7C" w:rsidRDefault="00206C42" w:rsidP="00206C42">
      <w:pPr>
        <w:spacing w:after="0"/>
        <w:ind w:left="709" w:right="709"/>
        <w:jc w:val="both"/>
        <w:rPr>
          <w:rFonts w:ascii="Verdana" w:eastAsia="Century Gothic" w:hAnsi="Verdana" w:cs="Century Gothic"/>
          <w:i/>
          <w:iCs/>
          <w:color w:val="000000" w:themeColor="text1"/>
          <w:sz w:val="20"/>
          <w:szCs w:val="20"/>
          <w:lang w:val="es-ES"/>
        </w:rPr>
      </w:pPr>
    </w:p>
    <w:p w14:paraId="32DBDF16" w14:textId="77777777" w:rsidR="00206C42" w:rsidRPr="00EC1B7C" w:rsidRDefault="00206C42" w:rsidP="00206C42">
      <w:pPr>
        <w:spacing w:after="0" w:line="276" w:lineRule="auto"/>
        <w:contextualSpacing/>
        <w:jc w:val="both"/>
        <w:rPr>
          <w:rFonts w:ascii="Verdana" w:eastAsia="Calibri" w:hAnsi="Verdana" w:cs="Arial"/>
          <w:color w:val="000000" w:themeColor="text1"/>
          <w:szCs w:val="24"/>
          <w:lang w:val="es-ES" w:eastAsia="es-ES_tradnl"/>
        </w:rPr>
      </w:pPr>
      <w:r w:rsidRPr="00EC1B7C">
        <w:rPr>
          <w:rFonts w:ascii="Verdana" w:eastAsia="Calibri" w:hAnsi="Verdana" w:cs="Arial"/>
          <w:color w:val="000000" w:themeColor="text1"/>
          <w:lang w:val="es-ES" w:eastAsia="es-ES"/>
        </w:rPr>
        <w:tab/>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EC1B7C">
        <w:rPr>
          <w:rFonts w:ascii="Verdana" w:eastAsia="Calibri" w:hAnsi="Verdana" w:cs="Arial"/>
          <w:color w:val="000000" w:themeColor="text1"/>
          <w:szCs w:val="24"/>
          <w:lang w:val="es-ES" w:eastAsia="es-ES_tradnl"/>
        </w:rPr>
        <w:tab/>
      </w:r>
    </w:p>
    <w:p w14:paraId="380A1D71" w14:textId="77777777" w:rsidR="00206C42" w:rsidRPr="00EC1B7C" w:rsidRDefault="00206C42" w:rsidP="00206C42">
      <w:pPr>
        <w:spacing w:before="120" w:after="120" w:line="276" w:lineRule="auto"/>
        <w:ind w:firstLine="709"/>
        <w:jc w:val="both"/>
        <w:rPr>
          <w:rFonts w:ascii="Verdana" w:eastAsia="Calibri" w:hAnsi="Verdana" w:cs="Arial"/>
          <w:color w:val="000000" w:themeColor="text1"/>
          <w:lang w:val="es-ES" w:eastAsia="es-ES"/>
        </w:rPr>
      </w:pPr>
      <w:r w:rsidRPr="00EC1B7C">
        <w:rPr>
          <w:rFonts w:ascii="Verdana" w:eastAsia="Calibri" w:hAnsi="Verdana" w:cs="Arial"/>
          <w:color w:val="000000" w:themeColor="text1"/>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w:t>
      </w:r>
      <w:r w:rsidRPr="00EC1B7C">
        <w:rPr>
          <w:rFonts w:ascii="Verdana" w:eastAsia="Calibri" w:hAnsi="Verdana" w:cs="Arial"/>
          <w:color w:val="000000" w:themeColor="text1"/>
          <w:lang w:val="es-ES" w:eastAsia="es-ES"/>
        </w:rPr>
        <w:lastRenderedPageBreak/>
        <w:t xml:space="preserve">sobre las normas generales relacionadas con </w:t>
      </w:r>
      <w:r>
        <w:rPr>
          <w:rFonts w:ascii="Verdana" w:eastAsia="Calibri" w:hAnsi="Verdana" w:cs="Arial"/>
          <w:color w:val="000000" w:themeColor="text1"/>
          <w:lang w:val="es-ES" w:eastAsia="es-ES"/>
        </w:rPr>
        <w:t>los</w:t>
      </w:r>
      <w:r w:rsidRPr="00EC1B7C">
        <w:rPr>
          <w:rFonts w:ascii="Verdana" w:eastAsia="Calibri" w:hAnsi="Verdana" w:cs="Arial"/>
          <w:color w:val="000000" w:themeColor="text1"/>
          <w:lang w:val="es-ES" w:eastAsia="es-ES"/>
        </w:rPr>
        <w:t xml:space="preserve"> problema</w:t>
      </w:r>
      <w:r>
        <w:rPr>
          <w:rFonts w:ascii="Verdana" w:eastAsia="Calibri" w:hAnsi="Verdana" w:cs="Arial"/>
          <w:color w:val="000000" w:themeColor="text1"/>
          <w:lang w:val="es-ES" w:eastAsia="es-ES"/>
        </w:rPr>
        <w:t>s</w:t>
      </w:r>
      <w:r w:rsidRPr="00EC1B7C">
        <w:rPr>
          <w:rFonts w:ascii="Verdana" w:eastAsia="Calibri" w:hAnsi="Verdana" w:cs="Arial"/>
          <w:color w:val="000000" w:themeColor="text1"/>
          <w:lang w:val="es-ES" w:eastAsia="es-ES"/>
        </w:rPr>
        <w:t xml:space="preserve"> jurídico</w:t>
      </w:r>
      <w:r>
        <w:rPr>
          <w:rFonts w:ascii="Verdana" w:eastAsia="Calibri" w:hAnsi="Verdana" w:cs="Arial"/>
          <w:color w:val="000000" w:themeColor="text1"/>
          <w:lang w:val="es-ES" w:eastAsia="es-ES"/>
        </w:rPr>
        <w:t>s</w:t>
      </w:r>
      <w:r w:rsidRPr="00EC1B7C">
        <w:rPr>
          <w:rFonts w:ascii="Verdana" w:eastAsia="Calibri" w:hAnsi="Verdana" w:cs="Arial"/>
          <w:color w:val="000000" w:themeColor="text1"/>
          <w:lang w:val="es-ES" w:eastAsia="es-ES"/>
        </w:rPr>
        <w:t xml:space="preserve"> de su consulta. </w:t>
      </w:r>
    </w:p>
    <w:p w14:paraId="771858B5" w14:textId="77777777" w:rsidR="00206C42" w:rsidRPr="00EC1B7C" w:rsidRDefault="00206C42" w:rsidP="00206C42">
      <w:pPr>
        <w:spacing w:after="0" w:line="276" w:lineRule="auto"/>
        <w:jc w:val="both"/>
        <w:rPr>
          <w:rFonts w:ascii="Verdana" w:eastAsia="Calibri" w:hAnsi="Verdana" w:cs="Arial"/>
          <w:color w:val="000000" w:themeColor="text1"/>
          <w:lang w:val="es-ES" w:eastAsia="es-ES"/>
        </w:rPr>
      </w:pPr>
    </w:p>
    <w:p w14:paraId="7C0FFDBA" w14:textId="77777777" w:rsidR="00206C42" w:rsidRPr="00EC1B7C" w:rsidRDefault="00206C42" w:rsidP="00206C42">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color w:val="000000" w:themeColor="text1"/>
        </w:rPr>
      </w:pPr>
      <w:r w:rsidRPr="00EC1B7C">
        <w:rPr>
          <w:rFonts w:ascii="Verdana" w:eastAsia="Century Gothic" w:hAnsi="Verdana" w:cs="Century Gothic"/>
          <w:b/>
          <w:bCs/>
          <w:color w:val="000000" w:themeColor="text1"/>
        </w:rPr>
        <w:t>Problema planteado:</w:t>
      </w:r>
    </w:p>
    <w:p w14:paraId="0C85D105" w14:textId="77777777" w:rsidR="00206C42" w:rsidRPr="00EC1B7C" w:rsidRDefault="00206C42" w:rsidP="00206C42">
      <w:pPr>
        <w:tabs>
          <w:tab w:val="left" w:pos="426"/>
        </w:tabs>
        <w:spacing w:after="0" w:line="276" w:lineRule="auto"/>
        <w:jc w:val="both"/>
        <w:rPr>
          <w:rFonts w:ascii="Verdana" w:eastAsia="Century Gothic" w:hAnsi="Verdana" w:cs="Century Gothic"/>
          <w:color w:val="000000" w:themeColor="text1"/>
          <w:lang w:val="es-ES"/>
        </w:rPr>
      </w:pPr>
    </w:p>
    <w:p w14:paraId="04B05774" w14:textId="77777777" w:rsidR="00206C42" w:rsidRPr="00EC1B7C" w:rsidRDefault="00206C42" w:rsidP="00206C42">
      <w:pPr>
        <w:spacing w:after="0" w:line="276" w:lineRule="auto"/>
        <w:jc w:val="both"/>
        <w:rPr>
          <w:rFonts w:ascii="Verdana" w:eastAsia="Century Gothic" w:hAnsi="Verdana" w:cs="Century Gothic"/>
          <w:color w:val="000000" w:themeColor="text1"/>
          <w:lang w:val="es-ES"/>
        </w:rPr>
      </w:pPr>
      <w:r w:rsidRPr="00EC1B7C">
        <w:rPr>
          <w:rFonts w:ascii="Verdana" w:eastAsia="Century Gothic" w:hAnsi="Verdana" w:cs="Century Gothic"/>
          <w:color w:val="000000" w:themeColor="text1"/>
          <w:lang w:val="es-ES"/>
        </w:rPr>
        <w:t xml:space="preserve">De acuerdo con el contenido de su solicitud, esta Agencia resolverá los siguientes problemas jurídicos: </w:t>
      </w:r>
      <w:r>
        <w:rPr>
          <w:rFonts w:ascii="Verdana" w:eastAsia="Century Gothic" w:hAnsi="Verdana" w:cs="Century Gothic"/>
          <w:color w:val="000000" w:themeColor="text1"/>
          <w:lang w:val="es-ES"/>
        </w:rPr>
        <w:t xml:space="preserve">i) </w:t>
      </w:r>
      <w:r w:rsidRPr="00EC1B7C">
        <w:rPr>
          <w:rFonts w:ascii="Verdana" w:eastAsia="Century Gothic" w:hAnsi="Verdana" w:cs="Century Gothic"/>
          <w:lang w:val="es-ES"/>
        </w:rPr>
        <w:t xml:space="preserve">¿cómo se realiza la enajenación de bienes de Entidades Estatales? </w:t>
      </w:r>
      <w:r>
        <w:rPr>
          <w:rFonts w:ascii="Verdana" w:eastAsia="Century Gothic" w:hAnsi="Verdana" w:cs="Century Gothic"/>
          <w:lang w:val="es-ES"/>
        </w:rPr>
        <w:t xml:space="preserve">y </w:t>
      </w:r>
      <w:proofErr w:type="spellStart"/>
      <w:r>
        <w:rPr>
          <w:rFonts w:ascii="Verdana" w:eastAsia="Century Gothic" w:hAnsi="Verdana" w:cs="Century Gothic"/>
          <w:lang w:val="es-ES"/>
        </w:rPr>
        <w:t>ii</w:t>
      </w:r>
      <w:proofErr w:type="spellEnd"/>
      <w:r>
        <w:rPr>
          <w:rFonts w:ascii="Verdana" w:eastAsia="Century Gothic" w:hAnsi="Verdana" w:cs="Century Gothic"/>
          <w:lang w:val="es-ES"/>
        </w:rPr>
        <w:t xml:space="preserve">) </w:t>
      </w:r>
      <w:r w:rsidRPr="001C68D1">
        <w:rPr>
          <w:rFonts w:ascii="Verdana" w:eastAsia="Century Gothic" w:hAnsi="Verdana" w:cs="Century Gothic"/>
        </w:rPr>
        <w:t xml:space="preserve">¿La </w:t>
      </w:r>
      <w:r>
        <w:rPr>
          <w:rFonts w:ascii="Verdana" w:eastAsia="Century Gothic" w:hAnsi="Verdana" w:cs="Century Gothic"/>
        </w:rPr>
        <w:t xml:space="preserve">enajenación de bienes </w:t>
      </w:r>
      <w:r w:rsidRPr="001C68D1">
        <w:rPr>
          <w:rFonts w:ascii="Verdana" w:eastAsia="Century Gothic" w:hAnsi="Verdana" w:cs="Century Gothic"/>
        </w:rPr>
        <w:t>a título gratuito de bienes muebles a otras Entidades Estatales, prevista en el artículo 2.2.1.2.2.4.3 del Decreto 1082 de 2015, constituye un requisito previo obligatorio para adelantar su enajenación a título oneroso mediante el procedimiento de selección que corresponda?</w:t>
      </w:r>
    </w:p>
    <w:p w14:paraId="7C17BE2D" w14:textId="77777777" w:rsidR="00206C42" w:rsidRPr="00EC1B7C" w:rsidRDefault="00206C42" w:rsidP="00206C42">
      <w:pPr>
        <w:spacing w:after="0" w:line="276" w:lineRule="auto"/>
        <w:jc w:val="both"/>
        <w:rPr>
          <w:rFonts w:ascii="Verdana" w:eastAsia="Calibri" w:hAnsi="Verdana" w:cs="Arial"/>
          <w:color w:val="000000" w:themeColor="text1"/>
          <w:lang w:val="es-ES"/>
        </w:rPr>
      </w:pPr>
    </w:p>
    <w:p w14:paraId="35E7B7AA" w14:textId="77777777" w:rsidR="00206C42" w:rsidRPr="00EC1B7C" w:rsidRDefault="00206C42" w:rsidP="00206C42">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EC1B7C">
        <w:rPr>
          <w:rFonts w:ascii="Verdana" w:eastAsia="Century Gothic" w:hAnsi="Verdana" w:cs="Century Gothic"/>
          <w:b/>
          <w:bCs/>
          <w:color w:val="000000" w:themeColor="text1"/>
        </w:rPr>
        <w:t>Respuesta:</w:t>
      </w:r>
    </w:p>
    <w:p w14:paraId="157DBD37" w14:textId="77777777" w:rsidR="00206C42" w:rsidRPr="00EC1B7C" w:rsidRDefault="00206C42" w:rsidP="00206C42">
      <w:pPr>
        <w:tabs>
          <w:tab w:val="left" w:pos="142"/>
          <w:tab w:val="left" w:pos="284"/>
        </w:tabs>
        <w:spacing w:after="0" w:line="276" w:lineRule="auto"/>
        <w:jc w:val="both"/>
        <w:rPr>
          <w:rFonts w:ascii="Verdana" w:eastAsia="Century Gothic" w:hAnsi="Verdana" w:cs="Century Gothic"/>
          <w:b/>
          <w:bCs/>
          <w:color w:val="000000" w:themeColor="text1"/>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206C42" w:rsidRPr="00EC1B7C" w14:paraId="38DCED56" w14:textId="77777777" w:rsidTr="00DD2423">
        <w:tc>
          <w:tcPr>
            <w:tcW w:w="8828" w:type="dxa"/>
          </w:tcPr>
          <w:p w14:paraId="300FA046" w14:textId="77777777" w:rsidR="00C91C54" w:rsidRPr="00097627" w:rsidRDefault="00206C42" w:rsidP="00C91C54">
            <w:pPr>
              <w:widowControl w:val="0"/>
              <w:autoSpaceDE w:val="0"/>
              <w:autoSpaceDN w:val="0"/>
              <w:spacing w:after="120" w:line="276" w:lineRule="auto"/>
              <w:jc w:val="both"/>
              <w:rPr>
                <w:rFonts w:ascii="Verdana" w:eastAsia="Arial" w:hAnsi="Verdana" w:cs="Arial"/>
                <w:lang w:val="es-ES"/>
              </w:rPr>
            </w:pPr>
            <w:r>
              <w:rPr>
                <w:rFonts w:ascii="Verdana" w:hAnsi="Verdana"/>
                <w:color w:val="000000"/>
              </w:rPr>
              <w:t xml:space="preserve">i) </w:t>
            </w:r>
            <w:r w:rsidR="00C91C54">
              <w:rPr>
                <w:rFonts w:ascii="Verdana" w:eastAsia="Calibri" w:hAnsi="Verdana" w:cs="Times New Roman"/>
              </w:rPr>
              <w:t>L</w:t>
            </w:r>
            <w:r w:rsidR="00C91C54" w:rsidRPr="00097627">
              <w:rPr>
                <w:rFonts w:ascii="Verdana" w:eastAsia="Arial" w:hAnsi="Verdana" w:cs="Arial"/>
                <w:lang w:val="es-ES"/>
              </w:rPr>
              <w:t>os bienes</w:t>
            </w:r>
            <w:r w:rsidR="00C91C54">
              <w:rPr>
                <w:rFonts w:ascii="Verdana" w:eastAsia="Arial" w:hAnsi="Verdana" w:cs="Arial"/>
                <w:lang w:val="es-ES"/>
              </w:rPr>
              <w:t xml:space="preserve"> muebles</w:t>
            </w:r>
            <w:r w:rsidR="00C91C54" w:rsidRPr="00097627">
              <w:rPr>
                <w:rFonts w:ascii="Verdana" w:eastAsia="Arial" w:hAnsi="Verdana" w:cs="Arial"/>
                <w:lang w:val="es-ES"/>
              </w:rPr>
              <w:t xml:space="preserve"> que </w:t>
            </w:r>
            <w:r w:rsidR="00C91C54">
              <w:rPr>
                <w:rFonts w:ascii="Verdana" w:eastAsia="Arial" w:hAnsi="Verdana" w:cs="Arial"/>
                <w:lang w:val="es-ES"/>
              </w:rPr>
              <w:t xml:space="preserve">se enajenen </w:t>
            </w:r>
            <w:r w:rsidR="00C91C54" w:rsidRPr="00097627">
              <w:rPr>
                <w:rFonts w:ascii="Verdana" w:eastAsia="Arial" w:hAnsi="Verdana" w:cs="Arial"/>
                <w:lang w:val="es-ES"/>
              </w:rPr>
              <w:t>por la Entidad Estatal</w:t>
            </w:r>
            <w:r w:rsidR="00C91C54">
              <w:rPr>
                <w:rFonts w:ascii="Verdana" w:eastAsia="Arial" w:hAnsi="Verdana" w:cs="Arial"/>
                <w:lang w:val="es-ES"/>
              </w:rPr>
              <w:t xml:space="preserve">, que sean dados a </w:t>
            </w:r>
            <w:r w:rsidR="00C91C54" w:rsidRPr="00097627">
              <w:rPr>
                <w:rFonts w:ascii="Verdana" w:eastAsia="Arial" w:hAnsi="Verdana" w:cs="Arial"/>
                <w:lang w:val="es-ES"/>
              </w:rPr>
              <w:t>título gratuito a otras Entidades Estatales en virtud de lo consagrado en el</w:t>
            </w:r>
            <w:r w:rsidR="00C91C54" w:rsidRPr="00097627">
              <w:rPr>
                <w:rFonts w:ascii="Verdana" w:eastAsia="Arial" w:hAnsi="Verdana" w:cs="Arial"/>
                <w:spacing w:val="13"/>
                <w:lang w:val="es-ES"/>
              </w:rPr>
              <w:t xml:space="preserve"> </w:t>
            </w:r>
            <w:r w:rsidR="00C91C54" w:rsidRPr="00097627">
              <w:rPr>
                <w:rFonts w:ascii="Verdana" w:eastAsia="Arial" w:hAnsi="Verdana" w:cs="Arial"/>
                <w:lang w:val="es-ES"/>
              </w:rPr>
              <w:t>artículo</w:t>
            </w:r>
            <w:r w:rsidR="00C91C54" w:rsidRPr="00097627">
              <w:rPr>
                <w:rFonts w:ascii="Verdana" w:eastAsia="Arial" w:hAnsi="Verdana" w:cs="Arial"/>
                <w:spacing w:val="16"/>
                <w:lang w:val="es-ES"/>
              </w:rPr>
              <w:t xml:space="preserve"> </w:t>
            </w:r>
            <w:r w:rsidR="00C91C54" w:rsidRPr="00097627">
              <w:rPr>
                <w:rFonts w:ascii="Verdana" w:eastAsia="Arial" w:hAnsi="Verdana" w:cs="Arial"/>
                <w:lang w:val="es-ES"/>
              </w:rPr>
              <w:t>2.2.1.2.2.4.3.</w:t>
            </w:r>
            <w:r w:rsidR="00C91C54" w:rsidRPr="00097627">
              <w:rPr>
                <w:rFonts w:ascii="Verdana" w:eastAsia="Arial" w:hAnsi="Verdana" w:cs="Arial"/>
                <w:spacing w:val="12"/>
                <w:lang w:val="es-ES"/>
              </w:rPr>
              <w:t xml:space="preserve"> </w:t>
            </w:r>
            <w:r w:rsidR="00C91C54" w:rsidRPr="00097627">
              <w:rPr>
                <w:rFonts w:ascii="Verdana" w:eastAsia="Arial" w:hAnsi="Verdana" w:cs="Arial"/>
                <w:lang w:val="es-ES"/>
              </w:rPr>
              <w:t>del Decreto 1082 de 2015, deberá realizar</w:t>
            </w:r>
            <w:r w:rsidR="00C91C54">
              <w:rPr>
                <w:rFonts w:ascii="Verdana" w:eastAsia="Arial" w:hAnsi="Verdana" w:cs="Arial"/>
                <w:lang w:val="es-ES"/>
              </w:rPr>
              <w:t xml:space="preserve"> </w:t>
            </w:r>
            <w:r w:rsidR="00C91C54" w:rsidRPr="00097627">
              <w:rPr>
                <w:rFonts w:ascii="Verdana" w:eastAsia="Arial" w:hAnsi="Verdana" w:cs="Arial"/>
                <w:lang w:val="es-ES"/>
              </w:rPr>
              <w:t>un inventario de los bienes muebles que no utilizan y, a continuación, se la habilita para ofrecerlos a título gratuito a las demás Entidades Estatales a través de un acto administrativo que deberá publicar en su página Web.</w:t>
            </w:r>
            <w:r w:rsidR="00C91C54" w:rsidRPr="009877B5">
              <w:t xml:space="preserve"> </w:t>
            </w:r>
            <w:r w:rsidR="00C91C54" w:rsidRPr="009877B5">
              <w:rPr>
                <w:rFonts w:ascii="Verdana" w:eastAsia="Arial" w:hAnsi="Verdana" w:cs="Arial"/>
                <w:lang w:val="es-ES"/>
              </w:rPr>
              <w:t>El acto administrativo que oferta bienes muebles a título gratuito entre entidades estatales cumple la función de un aviso de convocatoria, porque es el mecanismo mediante el cual la entidad propietaria informa públicamente que dispone de determinado</w:t>
            </w:r>
            <w:r w:rsidR="00C91C54">
              <w:rPr>
                <w:rFonts w:ascii="Verdana" w:eastAsia="Arial" w:hAnsi="Verdana" w:cs="Arial"/>
                <w:lang w:val="es-ES"/>
              </w:rPr>
              <w:t xml:space="preserve">s bienes y que estos pueden solicitarse </w:t>
            </w:r>
            <w:r w:rsidR="00C91C54" w:rsidRPr="009877B5">
              <w:rPr>
                <w:rFonts w:ascii="Verdana" w:eastAsia="Arial" w:hAnsi="Verdana" w:cs="Arial"/>
                <w:lang w:val="es-ES"/>
              </w:rPr>
              <w:t>p</w:t>
            </w:r>
            <w:r w:rsidR="00C91C54">
              <w:rPr>
                <w:rFonts w:ascii="Verdana" w:eastAsia="Arial" w:hAnsi="Verdana" w:cs="Arial"/>
                <w:lang w:val="es-ES"/>
              </w:rPr>
              <w:t xml:space="preserve">or otras entidades interesadas. Dicho acto administrativo </w:t>
            </w:r>
            <w:r w:rsidR="00C91C54" w:rsidRPr="009877B5">
              <w:rPr>
                <w:rFonts w:ascii="Verdana" w:eastAsia="Arial" w:hAnsi="Verdana" w:cs="Arial"/>
                <w:lang w:val="es-ES"/>
              </w:rPr>
              <w:t>garantiza la transparencia y publicidad del proceso, pues permite que todas las entidades estatales potencialmente beneficiarias tengan conocimiento de la oferta y puedan manifestar su interés en re</w:t>
            </w:r>
            <w:r w:rsidR="00C91C54">
              <w:rPr>
                <w:rFonts w:ascii="Verdana" w:eastAsia="Arial" w:hAnsi="Verdana" w:cs="Arial"/>
                <w:lang w:val="es-ES"/>
              </w:rPr>
              <w:t xml:space="preserve">cibir los bienes. </w:t>
            </w:r>
          </w:p>
          <w:p w14:paraId="628462D0" w14:textId="77777777" w:rsidR="00C91C54" w:rsidRPr="00097627" w:rsidRDefault="00C91C54" w:rsidP="00C91C54">
            <w:pPr>
              <w:widowControl w:val="0"/>
              <w:autoSpaceDE w:val="0"/>
              <w:autoSpaceDN w:val="0"/>
              <w:spacing w:after="120" w:line="276" w:lineRule="auto"/>
              <w:ind w:firstLine="708"/>
              <w:jc w:val="both"/>
              <w:rPr>
                <w:rFonts w:ascii="Verdana" w:eastAsia="Arial" w:hAnsi="Verdana" w:cs="Arial"/>
                <w:lang w:val="es-ES"/>
              </w:rPr>
            </w:pPr>
            <w:r w:rsidRPr="00097627">
              <w:rPr>
                <w:rFonts w:ascii="Verdana" w:eastAsia="Arial" w:hAnsi="Verdana" w:cs="Arial"/>
                <w:lang w:val="es-ES"/>
              </w:rPr>
              <w:t xml:space="preserve">Posterior a ello, la norma en mención indica que dentro de los treinta (30) días calendario siguientes a la fecha de publicación del acto administrativo, la Entidad Estatal interesada en adquirir estos bienes a título gratuito debe manifestar su interés, y con ella, debe señalar la necesidad funcional que pretende satisfacer con el bien </w:t>
            </w:r>
            <w:proofErr w:type="gramStart"/>
            <w:r w:rsidRPr="00097627">
              <w:rPr>
                <w:rFonts w:ascii="Verdana" w:eastAsia="Arial" w:hAnsi="Verdana" w:cs="Arial"/>
                <w:lang w:val="es-ES"/>
              </w:rPr>
              <w:t>conjuntamente con</w:t>
            </w:r>
            <w:proofErr w:type="gramEnd"/>
            <w:r w:rsidRPr="00097627">
              <w:rPr>
                <w:rFonts w:ascii="Verdana" w:eastAsia="Arial" w:hAnsi="Verdana" w:cs="Arial"/>
                <w:lang w:val="es-ES"/>
              </w:rPr>
              <w:t xml:space="preserve"> las razones que justifican su solicitud.</w:t>
            </w:r>
            <w:r>
              <w:rPr>
                <w:rFonts w:ascii="Verdana" w:eastAsia="Arial" w:hAnsi="Verdana" w:cs="Arial"/>
                <w:lang w:val="es-ES"/>
              </w:rPr>
              <w:t xml:space="preserve"> </w:t>
            </w:r>
            <w:r w:rsidRPr="00097627">
              <w:rPr>
                <w:rFonts w:ascii="Verdana" w:eastAsia="Arial" w:hAnsi="Verdana" w:cs="Arial"/>
                <w:lang w:val="es-ES"/>
              </w:rPr>
              <w:t xml:space="preserve">Finalmente, la norma señala que, si hay dos o más manifestaciones de interés de Entidades Estatales para el mismo bien, la Entidad Estatal que primero haya manifestado su interés debe tener </w:t>
            </w:r>
            <w:r w:rsidRPr="00097627">
              <w:rPr>
                <w:rFonts w:ascii="Verdana" w:eastAsia="Arial" w:hAnsi="Verdana" w:cs="Arial"/>
                <w:lang w:val="es-ES"/>
              </w:rPr>
              <w:lastRenderedPageBreak/>
              <w:t>preferencia, sin que existan más normas complementarias o posteriores que hayan regulado con mayor detalle el procedimiento en mención.</w:t>
            </w:r>
          </w:p>
          <w:p w14:paraId="0BCFA70C" w14:textId="77777777" w:rsidR="00C91C54" w:rsidRPr="00B63408" w:rsidRDefault="00C91C54" w:rsidP="00C91C54">
            <w:pPr>
              <w:spacing w:before="120" w:after="120" w:line="276" w:lineRule="auto"/>
              <w:ind w:firstLine="708"/>
              <w:jc w:val="both"/>
              <w:rPr>
                <w:rFonts w:ascii="Verdana" w:eastAsia="Times New Roman" w:hAnsi="Verdana" w:cs="Arial"/>
                <w:bCs/>
                <w:lang w:val="es-ES_tradnl" w:eastAsia="es-ES_tradnl"/>
              </w:rPr>
            </w:pPr>
            <w:r>
              <w:rPr>
                <w:rFonts w:ascii="Verdana" w:eastAsia="Calibri" w:hAnsi="Verdana" w:cs="Arial"/>
                <w:lang w:eastAsia="es-ES_tradnl"/>
              </w:rPr>
              <w:t xml:space="preserve">Ahora bien, </w:t>
            </w:r>
            <w:r>
              <w:rPr>
                <w:rFonts w:ascii="Verdana" w:eastAsia="Times New Roman" w:hAnsi="Verdana" w:cs="Arial"/>
                <w:color w:val="000000"/>
                <w:bdr w:val="none" w:sz="0" w:space="0" w:color="auto" w:frame="1"/>
                <w:lang w:val="es-ES" w:eastAsia="es-ES_tradnl"/>
              </w:rPr>
              <w:t xml:space="preserve">en todo proceso de contratación, independiente de la modalidad de selección, resulta aplicable </w:t>
            </w:r>
            <w:r w:rsidRPr="0083378B">
              <w:rPr>
                <w:rFonts w:ascii="Verdana" w:eastAsia="Times New Roman" w:hAnsi="Verdana" w:cs="Arial"/>
                <w:color w:val="000000"/>
                <w:bdr w:val="none" w:sz="0" w:space="0" w:color="auto" w:frame="1"/>
                <w:lang w:val="es-ES" w:eastAsia="es-ES_tradnl"/>
              </w:rPr>
              <w:t>l</w:t>
            </w:r>
            <w:r>
              <w:rPr>
                <w:rFonts w:ascii="Verdana" w:eastAsia="Times New Roman" w:hAnsi="Verdana" w:cs="Arial"/>
                <w:bCs/>
                <w:lang w:val="es-ES_tradnl" w:eastAsia="es-ES_tradnl"/>
              </w:rPr>
              <w:t>a planeación contractual como una</w:t>
            </w:r>
            <w:r w:rsidRPr="0083378B">
              <w:rPr>
                <w:rFonts w:ascii="Verdana" w:eastAsia="Times New Roman" w:hAnsi="Verdana" w:cs="Arial"/>
                <w:bCs/>
                <w:lang w:val="es-ES_tradnl" w:eastAsia="es-ES_tradnl"/>
              </w:rPr>
              <w:t xml:space="preserve"> herramienta de gerencia pública, que exige estructurar el proceso contractual dedicando tiempo y esfuerzos para elaborar estudios previos, los cuales deberán ser adecuados a su alcance y complejidad. Lo anterior, con la finalidad de determinar la necesidad que pretende satisfacer la entidad estatal, consultando el tipo de bienes y servicios que ofrece el mercado y sus características, especificaciones, precios, costos, riesgos, garantías, disponibilidad, oferentes, entre otros. </w:t>
            </w:r>
            <w:r>
              <w:rPr>
                <w:rFonts w:ascii="Verdana" w:eastAsia="Times New Roman" w:hAnsi="Verdana" w:cs="Arial"/>
                <w:bCs/>
                <w:lang w:eastAsia="es-ES_tradnl"/>
              </w:rPr>
              <w:t xml:space="preserve">En tal sentido, </w:t>
            </w:r>
            <w:r>
              <w:rPr>
                <w:rFonts w:ascii="Verdana" w:eastAsia="Times New Roman" w:hAnsi="Verdana" w:cs="Arial"/>
                <w:bCs/>
                <w:lang w:val="es-ES_tradnl" w:eastAsia="es-ES_tradnl"/>
              </w:rPr>
              <w:t xml:space="preserve">es necesario </w:t>
            </w:r>
            <w:r>
              <w:rPr>
                <w:rFonts w:ascii="Verdana" w:eastAsia="Times New Roman" w:hAnsi="Verdana" w:cs="Arial"/>
                <w:color w:val="000000"/>
                <w:bdr w:val="none" w:sz="0" w:space="0" w:color="auto" w:frame="1"/>
                <w:lang w:val="es-ES_tradnl" w:eastAsia="es-ES_tradnl"/>
              </w:rPr>
              <w:t>e</w:t>
            </w:r>
            <w:r w:rsidRPr="009721AA">
              <w:rPr>
                <w:rFonts w:ascii="Verdana" w:eastAsia="Calibri" w:hAnsi="Verdana" w:cs="Arial"/>
                <w:lang w:val="es-ES_tradnl" w:eastAsia="es-ES_tradnl"/>
              </w:rPr>
              <w:t xml:space="preserve">laborar un estudio previo para la enajenación de bienes muebles a título gratuito entre </w:t>
            </w:r>
            <w:r>
              <w:rPr>
                <w:rFonts w:ascii="Verdana" w:eastAsia="Calibri" w:hAnsi="Verdana" w:cs="Arial"/>
                <w:lang w:val="es-ES_tradnl" w:eastAsia="es-ES_tradnl"/>
              </w:rPr>
              <w:t xml:space="preserve">entidades estatales </w:t>
            </w:r>
            <w:r w:rsidRPr="009721AA">
              <w:rPr>
                <w:rFonts w:ascii="Verdana" w:eastAsia="Calibri" w:hAnsi="Verdana" w:cs="Arial"/>
                <w:lang w:val="es-ES_tradnl" w:eastAsia="es-ES_tradnl"/>
              </w:rPr>
              <w:t>porque garantiza la transparencia y la legalidad del proceso. Este documento permite justificar la necesidad de la transferencia, verificar que los bienes cumplen con las condiciones de uso y que no representan un detrimento patrimonial para la entidad que los entrega. Además, el estudio previo asegura que la decisión esté soportada en criterios técnicos y jurídicos, evitando posibles cuestionamientos sobre la pertinenci</w:t>
            </w:r>
            <w:r>
              <w:rPr>
                <w:rFonts w:ascii="Verdana" w:eastAsia="Calibri" w:hAnsi="Verdana" w:cs="Arial"/>
                <w:lang w:val="es-ES_tradnl" w:eastAsia="es-ES_tradnl"/>
              </w:rPr>
              <w:t>a o conveniencia de la gestión del procedimiento de contratación y de la celebración del contrato</w:t>
            </w:r>
            <w:r w:rsidRPr="009721AA">
              <w:rPr>
                <w:rFonts w:ascii="Verdana" w:eastAsia="Calibri" w:hAnsi="Verdana" w:cs="Arial"/>
                <w:lang w:val="es-ES_tradnl" w:eastAsia="es-ES_tradnl"/>
              </w:rPr>
              <w:t>.</w:t>
            </w:r>
          </w:p>
          <w:p w14:paraId="384836E6" w14:textId="77777777" w:rsidR="00C91C54" w:rsidRDefault="00C91C54" w:rsidP="00C91C54">
            <w:pPr>
              <w:spacing w:after="120" w:line="276" w:lineRule="auto"/>
              <w:jc w:val="both"/>
              <w:rPr>
                <w:rFonts w:ascii="Verdana" w:eastAsia="Calibri" w:hAnsi="Verdana" w:cs="Times New Roman"/>
              </w:rPr>
            </w:pPr>
          </w:p>
          <w:p w14:paraId="01FC1D8D" w14:textId="77777777" w:rsidR="00206C42" w:rsidRPr="001C68D1" w:rsidRDefault="00206C42" w:rsidP="00DD2423">
            <w:pPr>
              <w:widowControl w:val="0"/>
              <w:autoSpaceDE w:val="0"/>
              <w:autoSpaceDN w:val="0"/>
              <w:spacing w:before="120" w:after="120" w:line="276" w:lineRule="auto"/>
              <w:ind w:firstLine="708"/>
              <w:jc w:val="both"/>
              <w:rPr>
                <w:rFonts w:ascii="Verdana" w:hAnsi="Verdana"/>
                <w:color w:val="000000"/>
              </w:rPr>
            </w:pPr>
            <w:proofErr w:type="spellStart"/>
            <w:r w:rsidRPr="001C68D1">
              <w:rPr>
                <w:rFonts w:ascii="Verdana" w:hAnsi="Verdana"/>
                <w:color w:val="000000"/>
              </w:rPr>
              <w:t>ii</w:t>
            </w:r>
            <w:proofErr w:type="spellEnd"/>
            <w:r w:rsidRPr="001C68D1">
              <w:rPr>
                <w:rFonts w:ascii="Verdana" w:hAnsi="Verdana"/>
                <w:color w:val="000000"/>
              </w:rPr>
              <w:t>) De conformidad con el artículo 2.2.1.2.2.4.3 del Decreto 1082 de 2015, las Entidades Estatales deben elaborar el inventario de los bienes muebles que no utilizan y ofrecerlos a título gratuito a las demás Entidades Estatales, mediante un acto administrativo motivado que debe publicarse en su página web. La disposición establece, además, un procedimiento para que las entidades interesadas manifiesten su interés en recibir dichos bienes y, en caso de concurrencia, determina una regla de preferencia para la entidad que primero haya manifestado su interés. Sobre este procedimiento, esta Agencia ha señalado que el acto administrativo mediante el cual se realiza la oferta cumple una función equivalente a la de un aviso de convocatoria, en tanto garantiza la publicidad de la disponibilidad de los bienes y permite a las demás entidades estatales manifestar su interés.</w:t>
            </w:r>
          </w:p>
          <w:p w14:paraId="40065B00" w14:textId="77777777" w:rsidR="00206C42" w:rsidRPr="001C68D1" w:rsidRDefault="00206C42" w:rsidP="00DD2423">
            <w:pPr>
              <w:widowControl w:val="0"/>
              <w:autoSpaceDE w:val="0"/>
              <w:autoSpaceDN w:val="0"/>
              <w:spacing w:before="120" w:after="120" w:line="276" w:lineRule="auto"/>
              <w:ind w:firstLine="708"/>
              <w:jc w:val="both"/>
              <w:rPr>
                <w:rFonts w:ascii="Verdana" w:hAnsi="Verdana"/>
                <w:color w:val="000000"/>
              </w:rPr>
            </w:pPr>
            <w:r w:rsidRPr="001C68D1">
              <w:rPr>
                <w:rFonts w:ascii="Verdana" w:hAnsi="Verdana"/>
                <w:color w:val="000000"/>
              </w:rPr>
              <w:t xml:space="preserve">Ahora bien, debe tenerse en cuenta que la disposición citada regula específicamente la enajenación de bienes muebles a título gratuito entre </w:t>
            </w:r>
            <w:r w:rsidRPr="001C68D1">
              <w:rPr>
                <w:rFonts w:ascii="Verdana" w:hAnsi="Verdana"/>
                <w:color w:val="000000"/>
              </w:rPr>
              <w:lastRenderedPageBreak/>
              <w:t>Entidades Estatales. Por su parte, la enajenación de bienes del Estado a título oneroso se encuentra sometida a las reglas previstas en la Ley 1150 de 2007 y en el Decreto 1082 de 2015, que contemplan la selección abreviada como modalidad de selección y establecen los mecanismos aplicables para la disposición de estos bienes. En este sentido, el Decreto 1082 de 2015 regula de manera diferenciada los procedimientos de enajenación a título gratuito y aquellos mediante los cuales se obtiene una contraprestación por los bienes.</w:t>
            </w:r>
          </w:p>
          <w:p w14:paraId="4EDDF25B" w14:textId="77777777" w:rsidR="00206C42" w:rsidRPr="001C68D1" w:rsidRDefault="00206C42" w:rsidP="00DD2423">
            <w:pPr>
              <w:widowControl w:val="0"/>
              <w:autoSpaceDE w:val="0"/>
              <w:autoSpaceDN w:val="0"/>
              <w:spacing w:before="120" w:after="120" w:line="276" w:lineRule="auto"/>
              <w:ind w:firstLine="708"/>
              <w:jc w:val="both"/>
              <w:rPr>
                <w:rFonts w:ascii="Verdana" w:hAnsi="Verdana"/>
                <w:color w:val="000000"/>
              </w:rPr>
            </w:pPr>
            <w:r w:rsidRPr="001C68D1">
              <w:rPr>
                <w:rFonts w:ascii="Verdana" w:hAnsi="Verdana"/>
                <w:color w:val="000000"/>
              </w:rPr>
              <w:t>Así las cosas, de la lectura del artículo 2.2.1.2.2.4.3 del Decreto 1082 de 2015 no se desprende expresamente que la oferta gratuita constituya un requisito previo o presupuesto de procedibilidad que deba agotarse, en todos los casos, antes de iniciar un procedimiento de selección para la enajenación onerosa de bienes muebles. La norma establece las reglas aplicables cuando la Entidad Estatal opta por disponer de los bienes a título gratuito a favor de otra Entidad Estatal, sin señalar de manera expresa que el fracaso, ausencia o agotamiento de dicha oferta sea una condición necesaria para acudir posteriormente a los mecanismos de enajenación onerosa.</w:t>
            </w:r>
          </w:p>
          <w:p w14:paraId="33A7785B" w14:textId="77777777" w:rsidR="00206C42" w:rsidRPr="001C68D1" w:rsidRDefault="00206C42" w:rsidP="00DD2423">
            <w:pPr>
              <w:widowControl w:val="0"/>
              <w:autoSpaceDE w:val="0"/>
              <w:autoSpaceDN w:val="0"/>
              <w:spacing w:before="120" w:after="120" w:line="276" w:lineRule="auto"/>
              <w:ind w:firstLine="708"/>
              <w:jc w:val="both"/>
              <w:rPr>
                <w:rFonts w:ascii="Verdana" w:hAnsi="Verdana"/>
                <w:color w:val="000000"/>
              </w:rPr>
            </w:pPr>
            <w:r w:rsidRPr="001C68D1">
              <w:rPr>
                <w:rFonts w:ascii="Verdana" w:hAnsi="Verdana"/>
                <w:color w:val="000000"/>
              </w:rPr>
              <w:t>En consecuencia, no sería posible afirmar, con carácter general, que toda Entidad Estatal que pretenda adelantar un procedimiento para la enajenación onerosa de bienes muebles deba, como requisito previo obligatorio, ofrecerlos a título gratuito a las demás Entidades Estatales, pues tal condición no se encuentra expresamente prevista en el artículo 2.2.1.2.2.4.3 del Decreto 1082 de 2015. La aplicación del procedimiento de oferta gratuita dependerá del supuesto regulado por dicha disposición y de la decisión que, de acuerdo con las circunstancias concretas y el deber de planeación, adopte la entidad respecto de la disposición de sus bienes.</w:t>
            </w:r>
          </w:p>
          <w:p w14:paraId="3AC11918" w14:textId="77777777" w:rsidR="00206C42" w:rsidRDefault="00206C42" w:rsidP="00DD2423">
            <w:pPr>
              <w:widowControl w:val="0"/>
              <w:autoSpaceDE w:val="0"/>
              <w:autoSpaceDN w:val="0"/>
              <w:spacing w:before="120" w:after="120" w:line="276" w:lineRule="auto"/>
              <w:ind w:firstLine="708"/>
              <w:jc w:val="both"/>
              <w:rPr>
                <w:rFonts w:ascii="Verdana" w:hAnsi="Verdana"/>
                <w:color w:val="000000"/>
              </w:rPr>
            </w:pPr>
            <w:r w:rsidRPr="001C68D1">
              <w:rPr>
                <w:rFonts w:ascii="Verdana" w:hAnsi="Verdana"/>
                <w:color w:val="000000"/>
              </w:rPr>
              <w:t>Lo anterior se entiende sin perjuicio de que, en un caso concreto, puedan resultar aplicables otras disposiciones legales, reglamentarias, contables o internas que regulen la baja, administración o disposición de los bienes de la respectiva Entidad Estatal. En consecuencia, corresponderá a la entidad, dentro del ámbito de sus competencias y bajo su responsabilidad, determinar el procedimiento jurídicamente procedente para la disposición de los bienes, con observancia de los principios de planeación, economía, transparencia y selección objetiva.</w:t>
            </w:r>
          </w:p>
          <w:p w14:paraId="1CEC85FD" w14:textId="77777777" w:rsidR="00206C42" w:rsidRPr="001C68D1" w:rsidRDefault="00206C42" w:rsidP="00DD2423">
            <w:pPr>
              <w:widowControl w:val="0"/>
              <w:autoSpaceDE w:val="0"/>
              <w:autoSpaceDN w:val="0"/>
              <w:spacing w:before="120" w:after="120" w:line="276" w:lineRule="auto"/>
              <w:ind w:firstLine="708"/>
              <w:jc w:val="both"/>
              <w:rPr>
                <w:rFonts w:ascii="Verdana" w:hAnsi="Verdana"/>
                <w:color w:val="000000"/>
              </w:rPr>
            </w:pPr>
            <w:r w:rsidRPr="000D60D1">
              <w:rPr>
                <w:rFonts w:ascii="Verdana" w:eastAsia="Times New Roman" w:hAnsi="Verdana" w:cs="Arial"/>
                <w:lang w:eastAsia="es-ES_tradnl"/>
              </w:rPr>
              <w:t xml:space="preserve">Al margen de la explicación precedente debe advertirse que el análisis requerido para resolver problemas específicos en torno a la gestión contractual </w:t>
            </w:r>
            <w:r w:rsidRPr="000D60D1">
              <w:rPr>
                <w:rFonts w:ascii="Verdana" w:eastAsia="Times New Roman" w:hAnsi="Verdana" w:cs="Arial"/>
                <w:lang w:eastAsia="es-ES_tradnl"/>
              </w:rPr>
              <w:lastRenderedPageBreak/>
              <w:t>de las entidades públicas debe ser realizado por quienes tengan interés en ello, de acuerdo con lo explicado la aclaración preliminar del presente oficio. Por lo anterior, previo concepto de sus asesores, la solución de situaciones particulares corresponde</w:t>
            </w:r>
            <w:r w:rsidRPr="00EC1B7C">
              <w:rPr>
                <w:rStyle w:val="s15"/>
                <w:rFonts w:ascii="Verdana" w:hAnsi="Verdana"/>
                <w:color w:val="000000"/>
                <w:lang w:val="es-ES"/>
              </w:rPr>
              <w:t xml:space="preserve"> a los interesados adoptar la decisión correspondiente y, en caso de conflicto, a las autoridades judiciales, fiscales y disciplinarias. Así, cada entidad definirá la forma de adelantar su gestión contractual, sin que sea atribución de Colombia Compra Eficiente validar sus actuaciones.</w:t>
            </w:r>
          </w:p>
        </w:tc>
      </w:tr>
    </w:tbl>
    <w:p w14:paraId="0E89DF73" w14:textId="77777777" w:rsidR="00206C42" w:rsidRPr="00EC1B7C" w:rsidRDefault="00206C42" w:rsidP="00206C42">
      <w:pPr>
        <w:tabs>
          <w:tab w:val="left" w:pos="142"/>
          <w:tab w:val="left" w:pos="284"/>
        </w:tabs>
        <w:spacing w:after="0" w:line="276" w:lineRule="auto"/>
        <w:jc w:val="both"/>
        <w:rPr>
          <w:rFonts w:ascii="Verdana" w:eastAsia="Century Gothic" w:hAnsi="Verdana" w:cs="Century Gothic"/>
          <w:b/>
          <w:bCs/>
          <w:color w:val="000000" w:themeColor="text1"/>
          <w:lang w:val="es-ES"/>
        </w:rPr>
      </w:pPr>
    </w:p>
    <w:p w14:paraId="5A4E0522" w14:textId="77777777" w:rsidR="00206C42" w:rsidRPr="00EC1B7C" w:rsidRDefault="00206C42" w:rsidP="00206C42">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EC1B7C">
        <w:rPr>
          <w:rFonts w:ascii="Verdana" w:eastAsia="Century Gothic" w:hAnsi="Verdana" w:cs="Century Gothic"/>
          <w:b/>
          <w:bCs/>
          <w:color w:val="000000" w:themeColor="text1"/>
        </w:rPr>
        <w:t>Razones de la respuesta:</w:t>
      </w:r>
    </w:p>
    <w:p w14:paraId="7E27D8B1" w14:textId="77777777" w:rsidR="00206C42" w:rsidRPr="00EC1B7C" w:rsidRDefault="00206C42" w:rsidP="00206C42">
      <w:pPr>
        <w:spacing w:after="0" w:line="276" w:lineRule="auto"/>
        <w:jc w:val="both"/>
        <w:rPr>
          <w:rFonts w:ascii="Verdana" w:eastAsia="Calibri" w:hAnsi="Verdana" w:cs="Arial"/>
          <w:color w:val="000000" w:themeColor="text1"/>
          <w:lang w:val="es-ES"/>
        </w:rPr>
      </w:pPr>
    </w:p>
    <w:p w14:paraId="59B0FB5B" w14:textId="77777777" w:rsidR="00206C42" w:rsidRPr="001C68D1" w:rsidRDefault="00206C42" w:rsidP="00206C42">
      <w:pPr>
        <w:spacing w:after="0" w:line="276" w:lineRule="auto"/>
        <w:jc w:val="both"/>
        <w:rPr>
          <w:rFonts w:ascii="Verdana" w:eastAsia="Calibri" w:hAnsi="Verdana" w:cs="Arial"/>
          <w:color w:val="000000" w:themeColor="text1"/>
          <w:lang w:val="es-ES"/>
        </w:rPr>
      </w:pPr>
      <w:r w:rsidRPr="00EC1B7C">
        <w:rPr>
          <w:rFonts w:ascii="Verdana" w:eastAsia="Calibri" w:hAnsi="Verdana" w:cs="Arial"/>
          <w:color w:val="000000" w:themeColor="text1"/>
          <w:lang w:val="es-ES"/>
        </w:rPr>
        <w:t>Lo anterior se sustenta en las siguientes consideraciones:</w:t>
      </w:r>
    </w:p>
    <w:p w14:paraId="75A7B20A" w14:textId="77777777" w:rsidR="00206C42" w:rsidRPr="00EC1B7C" w:rsidRDefault="00206C42" w:rsidP="00206C42">
      <w:pPr>
        <w:spacing w:after="120" w:line="276" w:lineRule="auto"/>
        <w:jc w:val="both"/>
        <w:rPr>
          <w:rFonts w:ascii="Verdana" w:eastAsia="Calibri" w:hAnsi="Verdana" w:cs="Arial"/>
          <w:color w:val="000000"/>
          <w:lang w:val="es-ES"/>
        </w:rPr>
      </w:pPr>
      <w:r w:rsidRPr="00EC1B7C">
        <w:rPr>
          <w:rFonts w:ascii="Verdana" w:eastAsia="Times New Roman" w:hAnsi="Verdana" w:cs="Arial"/>
          <w:color w:val="000000" w:themeColor="text1"/>
          <w:lang w:val="es-ES" w:eastAsia="es-ES_tradnl"/>
        </w:rPr>
        <w:t>La enajenación se define como la transferencia del derecho real</w:t>
      </w:r>
      <w:r w:rsidRPr="00EC1B7C">
        <w:rPr>
          <w:rFonts w:ascii="Verdana" w:eastAsia="Times New Roman" w:hAnsi="Verdana" w:cs="Arial"/>
          <w:color w:val="000000" w:themeColor="text1"/>
          <w:vertAlign w:val="superscript"/>
          <w:lang w:val="es-ES" w:eastAsia="es-ES_tradnl"/>
        </w:rPr>
        <w:footnoteReference w:id="1"/>
      </w:r>
      <w:r w:rsidRPr="00EC1B7C">
        <w:rPr>
          <w:rFonts w:ascii="Verdana" w:eastAsia="Times New Roman" w:hAnsi="Verdana" w:cs="Arial"/>
          <w:color w:val="000000" w:themeColor="text1"/>
          <w:lang w:val="es-ES" w:eastAsia="es-ES_tradnl"/>
        </w:rPr>
        <w:t xml:space="preserve"> sobre un bien</w:t>
      </w:r>
      <w:r w:rsidRPr="00EC1B7C">
        <w:rPr>
          <w:rFonts w:ascii="Verdana" w:eastAsia="Times New Roman" w:hAnsi="Verdana" w:cs="Arial"/>
          <w:color w:val="000000" w:themeColor="text1"/>
          <w:vertAlign w:val="superscript"/>
          <w:lang w:val="es-ES" w:eastAsia="es-ES_tradnl"/>
        </w:rPr>
        <w:footnoteReference w:id="2"/>
      </w:r>
      <w:r w:rsidRPr="00EC1B7C">
        <w:rPr>
          <w:rFonts w:ascii="Verdana" w:eastAsia="Times New Roman" w:hAnsi="Verdana" w:cs="Arial"/>
          <w:color w:val="000000" w:themeColor="text1"/>
          <w:lang w:val="es-ES" w:eastAsia="es-ES_tradnl"/>
        </w:rPr>
        <w:t>. Como indica la doctrina, “</w:t>
      </w:r>
      <w:r w:rsidRPr="00EC1B7C">
        <w:rPr>
          <w:rFonts w:ascii="Verdana" w:eastAsia="Times New Roman" w:hAnsi="Verdana" w:cs="Arial"/>
          <w:i/>
          <w:iCs/>
          <w:color w:val="000000" w:themeColor="text1"/>
          <w:lang w:val="es-ES" w:eastAsia="es-ES_tradnl"/>
        </w:rPr>
        <w:t xml:space="preserve">Dar –en sentido restringido–, </w:t>
      </w:r>
      <w:proofErr w:type="spellStart"/>
      <w:r w:rsidRPr="00EC1B7C">
        <w:rPr>
          <w:rFonts w:ascii="Verdana" w:eastAsia="Times New Roman" w:hAnsi="Verdana" w:cs="Arial"/>
          <w:i/>
          <w:iCs/>
          <w:color w:val="000000" w:themeColor="text1"/>
          <w:lang w:val="es-ES" w:eastAsia="es-ES_tradnl"/>
        </w:rPr>
        <w:t>traditar</w:t>
      </w:r>
      <w:proofErr w:type="spellEnd"/>
      <w:r w:rsidRPr="00EC1B7C">
        <w:rPr>
          <w:rFonts w:ascii="Verdana" w:eastAsia="Times New Roman" w:hAnsi="Verdana" w:cs="Arial"/>
          <w:i/>
          <w:iCs/>
          <w:color w:val="000000" w:themeColor="text1"/>
          <w:lang w:val="es-ES" w:eastAsia="es-ES_tradnl"/>
        </w:rPr>
        <w:t xml:space="preserve">, enajenar, disponer, son conceptos sinónimos en el Código Civil. Cuando se da, se enajena. Cuando se </w:t>
      </w:r>
      <w:proofErr w:type="spellStart"/>
      <w:r w:rsidRPr="00EC1B7C">
        <w:rPr>
          <w:rFonts w:ascii="Verdana" w:eastAsia="Times New Roman" w:hAnsi="Verdana" w:cs="Arial"/>
          <w:i/>
          <w:iCs/>
          <w:color w:val="000000" w:themeColor="text1"/>
          <w:lang w:val="es-ES" w:eastAsia="es-ES_tradnl"/>
        </w:rPr>
        <w:t>tradita</w:t>
      </w:r>
      <w:proofErr w:type="spellEnd"/>
      <w:r w:rsidRPr="00EC1B7C">
        <w:rPr>
          <w:rFonts w:ascii="Verdana" w:eastAsia="Times New Roman" w:hAnsi="Verdana" w:cs="Arial"/>
          <w:i/>
          <w:iCs/>
          <w:color w:val="000000" w:themeColor="text1"/>
          <w:lang w:val="es-ES" w:eastAsia="es-ES_tradnl"/>
        </w:rPr>
        <w:t xml:space="preserve">, se enajena, Cuando se enajena, se da o se </w:t>
      </w:r>
      <w:proofErr w:type="spellStart"/>
      <w:r w:rsidRPr="00EC1B7C">
        <w:rPr>
          <w:rFonts w:ascii="Verdana" w:eastAsia="Times New Roman" w:hAnsi="Verdana" w:cs="Arial"/>
          <w:i/>
          <w:iCs/>
          <w:color w:val="000000" w:themeColor="text1"/>
          <w:lang w:val="es-ES" w:eastAsia="es-ES_tradnl"/>
        </w:rPr>
        <w:t>tradita</w:t>
      </w:r>
      <w:proofErr w:type="spellEnd"/>
      <w:r w:rsidRPr="00EC1B7C">
        <w:rPr>
          <w:rFonts w:ascii="Verdana" w:eastAsia="Times New Roman" w:hAnsi="Verdana" w:cs="Arial"/>
          <w:i/>
          <w:iCs/>
          <w:color w:val="000000" w:themeColor="text1"/>
          <w:lang w:val="es-ES" w:eastAsia="es-ES_tradnl"/>
        </w:rPr>
        <w:t>. Y, finalmente, cuando ocurre cualquiera de tales fenómenos, se dispone”</w:t>
      </w:r>
      <w:r w:rsidRPr="00EC1B7C">
        <w:rPr>
          <w:rFonts w:ascii="Verdana" w:eastAsia="Times New Roman" w:hAnsi="Verdana" w:cs="Arial"/>
          <w:i/>
          <w:iCs/>
          <w:color w:val="000000" w:themeColor="text1"/>
          <w:vertAlign w:val="superscript"/>
          <w:lang w:val="es-ES" w:eastAsia="es-ES_tradnl"/>
        </w:rPr>
        <w:footnoteReference w:id="3"/>
      </w:r>
      <w:r w:rsidRPr="00EC1B7C">
        <w:rPr>
          <w:rFonts w:ascii="Verdana" w:eastAsia="Times New Roman" w:hAnsi="Verdana" w:cs="Arial"/>
          <w:i/>
          <w:iCs/>
          <w:color w:val="000000" w:themeColor="text1"/>
          <w:lang w:val="es-ES" w:eastAsia="es-ES_tradnl"/>
        </w:rPr>
        <w:t>.</w:t>
      </w:r>
      <w:r w:rsidRPr="00EC1B7C">
        <w:rPr>
          <w:rFonts w:ascii="Verdana" w:eastAsia="Times New Roman" w:hAnsi="Verdana" w:cs="Arial"/>
          <w:color w:val="000000" w:themeColor="text1"/>
          <w:lang w:val="es-ES" w:eastAsia="es-ES_tradnl"/>
        </w:rPr>
        <w:t xml:space="preserve"> Lo más usual es que la enajenación se lleve a cabo respecto del derecho de propiedad; y en tal caso se efectúa a través de los modos señalados en el artículo 673 del Código Civil</w:t>
      </w:r>
      <w:r w:rsidRPr="00EC1B7C">
        <w:rPr>
          <w:rFonts w:ascii="Verdana" w:eastAsia="Times New Roman" w:hAnsi="Verdana" w:cs="Arial"/>
          <w:color w:val="000000" w:themeColor="text1"/>
          <w:vertAlign w:val="superscript"/>
          <w:lang w:val="es-ES" w:eastAsia="es-ES_tradnl"/>
        </w:rPr>
        <w:footnoteReference w:id="4"/>
      </w:r>
      <w:r w:rsidRPr="00EC1B7C">
        <w:rPr>
          <w:rFonts w:ascii="Verdana" w:eastAsia="Times New Roman" w:hAnsi="Verdana" w:cs="Arial"/>
          <w:color w:val="000000" w:themeColor="text1"/>
          <w:lang w:val="es-ES" w:eastAsia="es-ES_tradnl"/>
        </w:rPr>
        <w:t>, pudiendo recaer tanto sobre los bienes muebles, como inmuebles, aunque frente a estos la ley exige solemnidades especiales</w:t>
      </w:r>
      <w:r w:rsidRPr="00EC1B7C">
        <w:rPr>
          <w:rFonts w:ascii="Verdana" w:eastAsia="Times New Roman" w:hAnsi="Verdana" w:cs="Arial"/>
          <w:color w:val="000000" w:themeColor="text1"/>
          <w:vertAlign w:val="superscript"/>
          <w:lang w:val="es-ES" w:eastAsia="es-ES_tradnl"/>
        </w:rPr>
        <w:footnoteReference w:id="5"/>
      </w:r>
      <w:r w:rsidRPr="00EC1B7C">
        <w:rPr>
          <w:rFonts w:ascii="Verdana" w:eastAsia="Times New Roman" w:hAnsi="Verdana" w:cs="Arial"/>
          <w:color w:val="000000" w:themeColor="text1"/>
          <w:lang w:val="es-ES" w:eastAsia="es-ES_tradnl"/>
        </w:rPr>
        <w:t xml:space="preserve">. Entretanto, el artículo 1521 del Código Civil dispone que se presenta objeto ilícito en la enajenación: i) “De las cosas que no están en el comercio”, </w:t>
      </w:r>
      <w:proofErr w:type="spellStart"/>
      <w:r w:rsidRPr="00EC1B7C">
        <w:rPr>
          <w:rFonts w:ascii="Verdana" w:eastAsia="Times New Roman" w:hAnsi="Verdana" w:cs="Arial"/>
          <w:color w:val="000000" w:themeColor="text1"/>
          <w:lang w:val="es-ES" w:eastAsia="es-ES_tradnl"/>
        </w:rPr>
        <w:t>ii</w:t>
      </w:r>
      <w:proofErr w:type="spellEnd"/>
      <w:r w:rsidRPr="00EC1B7C">
        <w:rPr>
          <w:rFonts w:ascii="Verdana" w:eastAsia="Times New Roman" w:hAnsi="Verdana" w:cs="Arial"/>
          <w:color w:val="000000" w:themeColor="text1"/>
          <w:lang w:val="es-ES" w:eastAsia="es-ES_tradnl"/>
        </w:rPr>
        <w:t xml:space="preserve">) “De los derechos o privilegios que no pueden transferirse a otra persona” y </w:t>
      </w:r>
      <w:proofErr w:type="spellStart"/>
      <w:r w:rsidRPr="00EC1B7C">
        <w:rPr>
          <w:rFonts w:ascii="Verdana" w:eastAsia="Times New Roman" w:hAnsi="Verdana" w:cs="Arial"/>
          <w:color w:val="000000" w:themeColor="text1"/>
          <w:lang w:val="es-ES" w:eastAsia="es-ES_tradnl"/>
        </w:rPr>
        <w:t>iii</w:t>
      </w:r>
      <w:proofErr w:type="spellEnd"/>
      <w:r w:rsidRPr="00EC1B7C">
        <w:rPr>
          <w:rFonts w:ascii="Verdana" w:eastAsia="Times New Roman" w:hAnsi="Verdana" w:cs="Arial"/>
          <w:color w:val="000000" w:themeColor="text1"/>
          <w:lang w:val="es-ES" w:eastAsia="es-ES_tradnl"/>
        </w:rPr>
        <w:t xml:space="preserve">) “De las cosas </w:t>
      </w:r>
      <w:r w:rsidRPr="00EC1B7C">
        <w:rPr>
          <w:rFonts w:ascii="Verdana" w:eastAsia="Times New Roman" w:hAnsi="Verdana" w:cs="Arial"/>
          <w:color w:val="000000" w:themeColor="text1"/>
          <w:lang w:val="es-ES" w:eastAsia="es-ES_tradnl"/>
        </w:rPr>
        <w:lastRenderedPageBreak/>
        <w:t>embargadas por decreto judicial, a menos que el juez lo autorice o el acreedor consienta en ello”.</w:t>
      </w:r>
    </w:p>
    <w:p w14:paraId="3D661D9F" w14:textId="77777777" w:rsidR="00206C42" w:rsidRPr="00EC1B7C" w:rsidRDefault="00206C42" w:rsidP="00206C42">
      <w:pPr>
        <w:spacing w:after="120" w:line="276" w:lineRule="auto"/>
        <w:ind w:firstLine="709"/>
        <w:jc w:val="both"/>
        <w:rPr>
          <w:rFonts w:ascii="Verdana" w:eastAsia="Times New Roman" w:hAnsi="Verdana" w:cs="Arial"/>
          <w:lang w:val="es-ES" w:eastAsia="es-ES_tradnl"/>
        </w:rPr>
      </w:pPr>
      <w:r w:rsidRPr="00EC1B7C">
        <w:rPr>
          <w:rFonts w:ascii="Verdana" w:eastAsia="Times New Roman" w:hAnsi="Verdana" w:cs="Arial"/>
          <w:color w:val="000000" w:themeColor="text1"/>
          <w:lang w:val="es-ES" w:eastAsia="es-ES_tradnl"/>
        </w:rPr>
        <w:t xml:space="preserve">La enajenación de bienes a título gratuito está relacionada con el contrato de donación, definido en </w:t>
      </w:r>
      <w:r w:rsidRPr="00EC1B7C">
        <w:rPr>
          <w:rFonts w:ascii="Verdana" w:eastAsia="Times New Roman" w:hAnsi="Verdana" w:cs="Arial"/>
          <w:lang w:val="es-ES" w:eastAsia="es-ES_tradnl"/>
        </w:rPr>
        <w:t>Código Civil como “</w:t>
      </w:r>
      <w:r w:rsidRPr="00EC1B7C">
        <w:rPr>
          <w:rFonts w:ascii="Verdana" w:eastAsia="Times New Roman" w:hAnsi="Verdana" w:cs="Arial"/>
          <w:i/>
          <w:iCs/>
          <w:lang w:val="es-ES" w:eastAsia="es-ES_tradnl"/>
        </w:rPr>
        <w:t>un acto por el cual una persona transfiere, gratuita e irrevocablemente, una parte de sus bienes a otra persona que la acepta”</w:t>
      </w:r>
      <w:r w:rsidRPr="00EC1B7C">
        <w:rPr>
          <w:rFonts w:ascii="Verdana" w:eastAsia="Times New Roman" w:hAnsi="Verdana" w:cs="Arial"/>
          <w:lang w:val="es-ES" w:eastAsia="es-ES_tradnl"/>
        </w:rPr>
        <w:t>. El Consejo de Estado</w:t>
      </w:r>
      <w:r w:rsidRPr="00EC1B7C">
        <w:rPr>
          <w:rFonts w:ascii="Verdana" w:eastAsia="Times New Roman" w:hAnsi="Verdana" w:cs="Arial"/>
          <w:vertAlign w:val="superscript"/>
          <w:lang w:val="es-ES" w:eastAsia="es-ES_tradnl"/>
        </w:rPr>
        <w:footnoteReference w:id="6"/>
      </w:r>
      <w:r w:rsidRPr="00EC1B7C">
        <w:rPr>
          <w:rFonts w:ascii="Verdana" w:eastAsia="Times New Roman" w:hAnsi="Verdana" w:cs="Arial"/>
          <w:lang w:val="es-ES" w:eastAsia="es-ES_tradnl"/>
        </w:rPr>
        <w:t xml:space="preserve"> sostuvo respecto de la definición de la donación del Código Civil, que era naturalmente imprecisa toda vez que la donación es un verdadero “contrato” y no solo un acto, lo anterior porque para el perfeccionamiento del “contrato” concurre i) la voluntad dispositiva de la persona que pretende entregar parte de su patrimonio –donante– y </w:t>
      </w:r>
      <w:proofErr w:type="spellStart"/>
      <w:r w:rsidRPr="00EC1B7C">
        <w:rPr>
          <w:rFonts w:ascii="Verdana" w:eastAsia="Times New Roman" w:hAnsi="Verdana" w:cs="Arial"/>
          <w:lang w:val="es-ES" w:eastAsia="es-ES_tradnl"/>
        </w:rPr>
        <w:t>ii</w:t>
      </w:r>
      <w:proofErr w:type="spellEnd"/>
      <w:r w:rsidRPr="00EC1B7C">
        <w:rPr>
          <w:rFonts w:ascii="Verdana" w:eastAsia="Times New Roman" w:hAnsi="Verdana" w:cs="Arial"/>
          <w:lang w:val="es-ES" w:eastAsia="es-ES_tradnl"/>
        </w:rPr>
        <w:t>) la aceptación de quien recibirá el beneficio económico –donatario–</w:t>
      </w:r>
      <w:r w:rsidRPr="00EC1B7C">
        <w:rPr>
          <w:rFonts w:ascii="Verdana" w:eastAsia="Times New Roman" w:hAnsi="Verdana" w:cs="Arial"/>
          <w:vertAlign w:val="superscript"/>
          <w:lang w:val="es-ES" w:eastAsia="es-ES_tradnl"/>
        </w:rPr>
        <w:t xml:space="preserve"> </w:t>
      </w:r>
    </w:p>
    <w:p w14:paraId="118B3D7F" w14:textId="77777777" w:rsidR="00206C42" w:rsidRPr="00EC1B7C" w:rsidRDefault="00206C42" w:rsidP="00206C42">
      <w:pPr>
        <w:spacing w:after="120" w:line="276" w:lineRule="auto"/>
        <w:ind w:firstLine="708"/>
        <w:jc w:val="both"/>
        <w:rPr>
          <w:rFonts w:ascii="Verdana" w:eastAsia="Times New Roman" w:hAnsi="Verdana" w:cs="Arial"/>
          <w:color w:val="000000" w:themeColor="text1"/>
          <w:lang w:val="es-ES" w:eastAsia="es-ES_tradnl"/>
        </w:rPr>
      </w:pPr>
      <w:r w:rsidRPr="00EC1B7C">
        <w:rPr>
          <w:rFonts w:ascii="Verdana" w:eastAsia="Times New Roman" w:hAnsi="Verdana" w:cs="Arial"/>
          <w:color w:val="000000" w:themeColor="text1"/>
          <w:lang w:val="es-ES" w:eastAsia="es-ES_tradnl"/>
        </w:rPr>
        <w:t xml:space="preserve">Respecto del tipo de bienes que pueden ser objeto de </w:t>
      </w:r>
      <w:r>
        <w:rPr>
          <w:rFonts w:ascii="Verdana" w:eastAsia="Times New Roman" w:hAnsi="Verdana" w:cs="Arial"/>
          <w:color w:val="000000" w:themeColor="text1"/>
          <w:lang w:val="es-ES" w:eastAsia="es-ES_tradnl"/>
        </w:rPr>
        <w:t xml:space="preserve">enajenación </w:t>
      </w:r>
      <w:r w:rsidRPr="00EC1B7C">
        <w:rPr>
          <w:rFonts w:ascii="Verdana" w:eastAsia="Times New Roman" w:hAnsi="Verdana" w:cs="Arial"/>
          <w:color w:val="000000" w:themeColor="text1"/>
          <w:lang w:val="es-ES" w:eastAsia="es-ES_tradnl"/>
        </w:rPr>
        <w:t>es importante resaltar, en primer lugar, que el artículo 654 del Código Civil clasifica las cosas corporales en muebles e inmuebles. El artículo 655 define los bienes muebles como los que “</w:t>
      </w:r>
      <w:r w:rsidRPr="00EC1B7C">
        <w:rPr>
          <w:rFonts w:ascii="Verdana" w:eastAsia="Times New Roman" w:hAnsi="Verdana" w:cs="Arial"/>
          <w:i/>
          <w:iCs/>
          <w:color w:val="000000" w:themeColor="text1"/>
          <w:lang w:val="es-ES" w:eastAsia="es-ES_tradnl"/>
        </w:rPr>
        <w:t>pueden transportarse de un lugar a otro, sea moviéndose ellas a sí mismas como los animales</w:t>
      </w:r>
      <w:r w:rsidRPr="00EC1B7C">
        <w:rPr>
          <w:rFonts w:ascii="Verdana" w:eastAsia="Times New Roman" w:hAnsi="Verdana" w:cs="Arial"/>
          <w:color w:val="000000" w:themeColor="text1"/>
          <w:lang w:val="es-ES" w:eastAsia="es-ES_tradnl"/>
        </w:rPr>
        <w:t xml:space="preserve"> (</w:t>
      </w:r>
      <w:r w:rsidRPr="00EC1B7C">
        <w:rPr>
          <w:rFonts w:ascii="Verdana" w:eastAsia="Times New Roman" w:hAnsi="Verdana" w:cs="Arial"/>
          <w:i/>
          <w:iCs/>
          <w:color w:val="000000" w:themeColor="text1"/>
          <w:lang w:val="es-ES" w:eastAsia="es-ES_tradnl"/>
        </w:rPr>
        <w:t>que por eso se llaman semovientes), sea que sólo se muevan por una fuerza externa, como las cosas inanimadas”</w:t>
      </w:r>
      <w:r w:rsidRPr="00EC1B7C">
        <w:rPr>
          <w:rFonts w:ascii="Verdana" w:eastAsia="Times New Roman" w:hAnsi="Verdana" w:cs="Arial"/>
          <w:color w:val="000000" w:themeColor="text1"/>
          <w:lang w:val="es-ES" w:eastAsia="es-ES_tradnl"/>
        </w:rPr>
        <w:t>, mientras que el artículo 656 define los inmuebles así: “</w:t>
      </w:r>
      <w:r w:rsidRPr="00EC1B7C">
        <w:rPr>
          <w:rFonts w:ascii="Verdana" w:eastAsia="Times New Roman" w:hAnsi="Verdana" w:cs="Arial"/>
          <w:i/>
          <w:iCs/>
          <w:color w:val="000000" w:themeColor="text1"/>
          <w:lang w:val="es-ES" w:eastAsia="es-ES_tradnl"/>
        </w:rPr>
        <w:t>Inmuebles o fincas o bienes raíces son las cosas que no pueden transportarse de un lugar a otro; como las tierras y minas, y las que adhieren permanentemente a ellas, como los edificios, los árboles. Las casas y veredas se llaman predios o fundos”.</w:t>
      </w:r>
      <w:r w:rsidRPr="00EC1B7C">
        <w:rPr>
          <w:rFonts w:ascii="Verdana" w:eastAsia="Times New Roman" w:hAnsi="Verdana" w:cs="Arial"/>
          <w:color w:val="000000" w:themeColor="text1"/>
          <w:lang w:val="es-ES" w:eastAsia="es-ES_tradnl"/>
        </w:rPr>
        <w:t xml:space="preserve"> No obstante, esta definición se refiere a los inmuebles por naturaleza, pues el Código también considera inmuebles a las cosas que en principio eran muebles, pero que por su destinación o adhesión mutan su categoría. </w:t>
      </w:r>
    </w:p>
    <w:p w14:paraId="25C2F7B9" w14:textId="77777777" w:rsidR="00206C42" w:rsidRPr="00EC1B7C" w:rsidRDefault="00206C42" w:rsidP="00206C42">
      <w:pPr>
        <w:spacing w:after="120" w:line="276" w:lineRule="auto"/>
        <w:ind w:firstLine="708"/>
        <w:jc w:val="both"/>
        <w:rPr>
          <w:rFonts w:ascii="Verdana" w:eastAsia="Times New Roman" w:hAnsi="Verdana" w:cs="Arial"/>
          <w:i/>
          <w:iCs/>
          <w:lang w:val="es-ES" w:eastAsia="es-ES_tradnl"/>
        </w:rPr>
      </w:pPr>
      <w:r w:rsidRPr="00EC1B7C">
        <w:rPr>
          <w:rFonts w:ascii="Verdana" w:eastAsia="Times New Roman" w:hAnsi="Verdana" w:cs="Arial"/>
          <w:lang w:val="es-ES" w:eastAsia="es-ES_tradnl"/>
        </w:rPr>
        <w:t>Por otro lado, el artículo 674 del Código Civil define los bienes de dominio público como aquellos que “</w:t>
      </w:r>
      <w:r w:rsidRPr="00EC1B7C">
        <w:rPr>
          <w:rFonts w:ascii="Verdana" w:eastAsia="Times New Roman" w:hAnsi="Verdana" w:cs="Arial"/>
          <w:i/>
          <w:iCs/>
          <w:lang w:val="es-ES" w:eastAsia="es-ES_tradnl"/>
        </w:rPr>
        <w:t xml:space="preserve">[…] pertenece a todos los habitantes de un Territorio, como el de calles, plazas, puentes y caminos, se llaman bienes de la Unión o de </w:t>
      </w:r>
      <w:proofErr w:type="gramStart"/>
      <w:r w:rsidRPr="00EC1B7C">
        <w:rPr>
          <w:rFonts w:ascii="Verdana" w:eastAsia="Times New Roman" w:hAnsi="Verdana" w:cs="Arial"/>
          <w:i/>
          <w:iCs/>
          <w:lang w:val="es-ES" w:eastAsia="es-ES_tradnl"/>
        </w:rPr>
        <w:t>uso público o bienes públicos</w:t>
      </w:r>
      <w:proofErr w:type="gramEnd"/>
      <w:r w:rsidRPr="00EC1B7C">
        <w:rPr>
          <w:rFonts w:ascii="Verdana" w:eastAsia="Times New Roman" w:hAnsi="Verdana" w:cs="Arial"/>
          <w:i/>
          <w:iCs/>
          <w:lang w:val="es-ES" w:eastAsia="es-ES_tradnl"/>
        </w:rPr>
        <w:t xml:space="preserve"> del Territorio”. </w:t>
      </w:r>
      <w:r w:rsidRPr="00EC1B7C">
        <w:rPr>
          <w:rFonts w:ascii="Verdana" w:eastAsia="Times New Roman" w:hAnsi="Verdana" w:cs="Arial"/>
          <w:lang w:val="es-ES" w:eastAsia="es-ES_tradnl"/>
        </w:rPr>
        <w:t>Los bienes de dominio público, de acuerdo con la sentencia C- 183 de 2003 de la Corte Constitucional, son “</w:t>
      </w:r>
      <w:r w:rsidRPr="00EC1B7C">
        <w:rPr>
          <w:rFonts w:ascii="Verdana" w:eastAsia="Times New Roman" w:hAnsi="Verdana" w:cs="Arial"/>
          <w:i/>
          <w:iCs/>
          <w:lang w:val="es-ES" w:eastAsia="es-ES_tradnl"/>
        </w:rPr>
        <w:t>el conjunto de bienes que la administración afecta al uso directo de la comunidad o que lo utiliza para servir a la sociedad”</w:t>
      </w:r>
      <w:r w:rsidRPr="00EC1B7C">
        <w:rPr>
          <w:rFonts w:ascii="Verdana" w:eastAsia="Times New Roman" w:hAnsi="Verdana" w:cs="Arial"/>
          <w:lang w:val="es-ES" w:eastAsia="es-ES_tradnl"/>
        </w:rPr>
        <w:t>. Dentro de esta categoría se encuentran los bienes fiscales y los bienes de uso público.</w:t>
      </w:r>
      <w:r w:rsidRPr="00EC1B7C">
        <w:rPr>
          <w:rFonts w:ascii="Verdana" w:eastAsia="Times New Roman" w:hAnsi="Verdana" w:cs="Arial"/>
          <w:vertAlign w:val="superscript"/>
          <w:lang w:val="es-ES" w:eastAsia="es-ES_tradnl"/>
        </w:rPr>
        <w:footnoteReference w:id="7"/>
      </w:r>
      <w:r w:rsidRPr="00EC1B7C">
        <w:rPr>
          <w:rFonts w:ascii="Verdana" w:eastAsia="Times New Roman" w:hAnsi="Verdana" w:cs="Arial"/>
          <w:lang w:val="es-ES" w:eastAsia="es-ES_tradnl"/>
        </w:rPr>
        <w:t xml:space="preserve"> Los bienes fiscales, de acuerdo </w:t>
      </w:r>
      <w:r w:rsidRPr="00EC1B7C">
        <w:rPr>
          <w:rFonts w:ascii="Verdana" w:eastAsia="Times New Roman" w:hAnsi="Verdana" w:cs="Arial"/>
          <w:lang w:val="es-ES" w:eastAsia="es-ES_tradnl"/>
        </w:rPr>
        <w:lastRenderedPageBreak/>
        <w:t>con el Alto Tribunal Constitucional</w:t>
      </w:r>
      <w:r w:rsidRPr="00EC1B7C">
        <w:rPr>
          <w:rFonts w:ascii="Verdana" w:eastAsia="Times New Roman" w:hAnsi="Verdana" w:cs="Arial"/>
          <w:vertAlign w:val="superscript"/>
          <w:lang w:val="es-ES" w:eastAsia="es-ES_tradnl"/>
        </w:rPr>
        <w:footnoteReference w:id="8"/>
      </w:r>
      <w:r w:rsidRPr="00EC1B7C">
        <w:rPr>
          <w:rFonts w:ascii="Verdana" w:eastAsia="Times New Roman" w:hAnsi="Verdana" w:cs="Arial"/>
          <w:lang w:val="es-ES" w:eastAsia="es-ES_tradnl"/>
        </w:rPr>
        <w:t xml:space="preserve">, están destinados a la prestación de servicios públicos que la Administración utiliza de forma inmediata, como los edificios donde funcionan las oficinas públicas. </w:t>
      </w:r>
    </w:p>
    <w:p w14:paraId="43A62BBB" w14:textId="77777777" w:rsidR="00206C42" w:rsidRPr="00EC1B7C" w:rsidRDefault="00206C42" w:rsidP="00206C42">
      <w:pPr>
        <w:spacing w:after="120" w:line="276" w:lineRule="auto"/>
        <w:ind w:firstLine="720"/>
        <w:jc w:val="both"/>
        <w:rPr>
          <w:rFonts w:ascii="Verdana" w:eastAsia="Times New Roman" w:hAnsi="Verdana" w:cs="Arial"/>
          <w:lang w:val="es-ES" w:eastAsia="es-ES_tradnl"/>
        </w:rPr>
      </w:pPr>
      <w:r w:rsidRPr="00EC1B7C">
        <w:rPr>
          <w:rFonts w:ascii="Verdana" w:eastAsia="Times New Roman" w:hAnsi="Verdana" w:cs="Arial"/>
          <w:lang w:val="es-ES" w:eastAsia="es-ES_tradnl"/>
        </w:rPr>
        <w:t xml:space="preserve">A su vez, el Consejo de Estado, define los bienes fiscales como </w:t>
      </w:r>
      <w:r w:rsidRPr="00EC1B7C">
        <w:rPr>
          <w:rFonts w:ascii="Verdana" w:eastAsia="Times New Roman" w:hAnsi="Verdana" w:cs="Arial"/>
          <w:i/>
          <w:iCs/>
          <w:lang w:val="es-ES" w:eastAsia="es-ES_tradnl"/>
        </w:rPr>
        <w:t xml:space="preserve">“aquellos que pertenecen  </w:t>
      </w:r>
      <w:r w:rsidRPr="00EC1B7C">
        <w:rPr>
          <w:rFonts w:ascii="Verdana" w:eastAsia="Times New Roman" w:hAnsi="Verdana" w:cs="Arial"/>
          <w:i/>
          <w:iCs/>
          <w:color w:val="000000" w:themeColor="text1"/>
          <w:lang w:val="es-ES" w:eastAsia="es-ES_tradnl"/>
        </w:rPr>
        <w:t>a sujetos de derecho público de cualquier naturaleza u orden y que, por lo general, están destinados al cumplimiento de las funciones públicas o servicios públicos, tales como los terrenos, edificios, fincas, granjas, equipos, enseres, acciones, rentas y bienes del presupuesto, etc., es decir, afectos al desarrollo de su misión y utilizados para sus actividades, o pueden constituir una reserva patrimonial para fines de utilidad común. Su dominio corresponde a la República, pero su uso no pertenece generalmente a los habitantes, de manera que el Estado los posee y los administra en forma similar a como lo hacen los particulares con los bienes de su</w:t>
      </w:r>
      <w:r w:rsidRPr="00EC1B7C">
        <w:rPr>
          <w:rFonts w:ascii="Verdana" w:eastAsia="Times New Roman" w:hAnsi="Verdana" w:cs="Arial"/>
          <w:i/>
          <w:iCs/>
          <w:color w:val="000000" w:themeColor="text1"/>
          <w:spacing w:val="-27"/>
          <w:lang w:val="es-ES" w:eastAsia="es-ES_tradnl"/>
        </w:rPr>
        <w:t xml:space="preserve"> </w:t>
      </w:r>
      <w:r w:rsidRPr="00EC1B7C">
        <w:rPr>
          <w:rFonts w:ascii="Verdana" w:eastAsia="Times New Roman" w:hAnsi="Verdana" w:cs="Arial"/>
          <w:i/>
          <w:iCs/>
          <w:color w:val="000000" w:themeColor="text1"/>
          <w:lang w:val="es-ES" w:eastAsia="es-ES_tradnl"/>
        </w:rPr>
        <w:t>propiedad”</w:t>
      </w:r>
      <w:r w:rsidRPr="00EC1B7C">
        <w:rPr>
          <w:rFonts w:ascii="Verdana" w:eastAsia="Times New Roman" w:hAnsi="Verdana" w:cs="Arial"/>
          <w:i/>
          <w:iCs/>
          <w:vertAlign w:val="superscript"/>
          <w:lang w:val="es-ES" w:eastAsia="es-ES_tradnl"/>
        </w:rPr>
        <w:footnoteReference w:id="9"/>
      </w:r>
      <w:r w:rsidRPr="00EC1B7C">
        <w:rPr>
          <w:rFonts w:ascii="Verdana" w:eastAsia="Times New Roman" w:hAnsi="Verdana" w:cs="Arial"/>
          <w:vertAlign w:val="superscript"/>
          <w:lang w:val="es-ES" w:eastAsia="es-ES_tradnl"/>
        </w:rPr>
        <w:t>.</w:t>
      </w:r>
      <w:r w:rsidRPr="00EC1B7C">
        <w:rPr>
          <w:rFonts w:ascii="Verdana" w:eastAsia="Times New Roman" w:hAnsi="Verdana" w:cs="Arial"/>
          <w:color w:val="000000" w:themeColor="text1"/>
          <w:lang w:val="es-ES" w:eastAsia="es-ES_tradnl"/>
        </w:rPr>
        <w:t xml:space="preserve"> </w:t>
      </w:r>
      <w:r w:rsidRPr="00EC1B7C">
        <w:rPr>
          <w:rFonts w:ascii="Verdana" w:eastAsia="Times New Roman" w:hAnsi="Verdana" w:cs="Arial"/>
          <w:lang w:val="es-ES" w:eastAsia="es-ES_tradnl"/>
        </w:rPr>
        <w:t>De esta forma, sobre los bienes fiscales, a pesar de estar destinados a la prestación de servicios públicos, las Entidades Estatales tienen la facultad de disponer de ellos a través de un acto jurídico como la compraventa, la donación, el arriendo, entre</w:t>
      </w:r>
      <w:r w:rsidRPr="00EC1B7C">
        <w:rPr>
          <w:rFonts w:ascii="Verdana" w:eastAsia="Times New Roman" w:hAnsi="Verdana" w:cs="Arial"/>
          <w:spacing w:val="-3"/>
          <w:lang w:val="es-ES" w:eastAsia="es-ES_tradnl"/>
        </w:rPr>
        <w:t xml:space="preserve"> </w:t>
      </w:r>
      <w:r w:rsidRPr="00EC1B7C">
        <w:rPr>
          <w:rFonts w:ascii="Verdana" w:eastAsia="Times New Roman" w:hAnsi="Verdana" w:cs="Arial"/>
          <w:lang w:val="es-ES" w:eastAsia="es-ES_tradnl"/>
        </w:rPr>
        <w:t>otros.</w:t>
      </w:r>
      <w:r w:rsidRPr="00EC1B7C">
        <w:rPr>
          <w:rFonts w:ascii="Verdana" w:eastAsia="Times New Roman" w:hAnsi="Verdana" w:cs="Arial"/>
          <w:vertAlign w:val="superscript"/>
          <w:lang w:val="es-ES" w:eastAsia="es-ES_tradnl"/>
        </w:rPr>
        <w:t xml:space="preserve"> </w:t>
      </w:r>
    </w:p>
    <w:p w14:paraId="58E86F43" w14:textId="77777777" w:rsidR="00206C42" w:rsidRPr="00EC1B7C" w:rsidRDefault="00206C42" w:rsidP="00206C42">
      <w:pPr>
        <w:spacing w:after="0" w:line="276" w:lineRule="auto"/>
        <w:ind w:firstLine="720"/>
        <w:jc w:val="both"/>
        <w:rPr>
          <w:rFonts w:ascii="Verdana" w:eastAsia="Times New Roman" w:hAnsi="Verdana" w:cs="Arial"/>
          <w:lang w:val="es-ES" w:eastAsia="es-ES_tradnl"/>
        </w:rPr>
      </w:pPr>
      <w:r w:rsidRPr="00EC1B7C">
        <w:rPr>
          <w:rFonts w:ascii="Verdana" w:eastAsia="Times New Roman" w:hAnsi="Verdana" w:cs="Arial"/>
          <w:lang w:val="es-ES" w:eastAsia="es-ES_tradnl"/>
        </w:rPr>
        <w:t xml:space="preserve">Acerca de los bienes de uso público, el Consejo de Estado los define como </w:t>
      </w:r>
      <w:r w:rsidRPr="00EC1B7C">
        <w:rPr>
          <w:rFonts w:ascii="Verdana" w:eastAsia="Times New Roman" w:hAnsi="Verdana" w:cs="Arial"/>
          <w:i/>
          <w:iCs/>
          <w:lang w:val="es-ES" w:eastAsia="es-ES_tradnl"/>
        </w:rPr>
        <w:t>“aquellos cuya titularidad pertenece al Estado y se hallan destinados al uso, goce y disfrute de todos los habitantes del territorio, están sometidos al régimen de derecho público y sobre ellos el Estado ejerce derechos de administración y de policía, con miras a garantizar y proteger su uso y goce común, por motivos de interés general”</w:t>
      </w:r>
      <w:r w:rsidRPr="00EC1B7C">
        <w:rPr>
          <w:rFonts w:ascii="Verdana" w:eastAsia="Times New Roman" w:hAnsi="Verdana" w:cs="Arial"/>
          <w:i/>
          <w:iCs/>
          <w:vertAlign w:val="superscript"/>
          <w:lang w:val="es-ES" w:eastAsia="es-ES_tradnl"/>
        </w:rPr>
        <w:footnoteReference w:id="10"/>
      </w:r>
      <w:r w:rsidRPr="00EC1B7C">
        <w:rPr>
          <w:rFonts w:ascii="Verdana" w:eastAsia="Times New Roman" w:hAnsi="Verdana" w:cs="Arial"/>
          <w:i/>
          <w:iCs/>
          <w:lang w:val="es-ES" w:eastAsia="es-ES_tradnl"/>
        </w:rPr>
        <w:t>.</w:t>
      </w:r>
      <w:r w:rsidRPr="00EC1B7C">
        <w:rPr>
          <w:rFonts w:ascii="Verdana" w:eastAsia="Times New Roman" w:hAnsi="Verdana" w:cs="Arial"/>
          <w:lang w:val="es-ES" w:eastAsia="es-ES_tradnl"/>
        </w:rPr>
        <w:t xml:space="preserve"> Por lo tanto, como estos bienes están destinados al uso de los habitantes de un territorio, el Estado no puede disponer de ellos por encontrarse fuera del comercio</w:t>
      </w:r>
      <w:r w:rsidRPr="00EC1B7C">
        <w:rPr>
          <w:rFonts w:ascii="Verdana" w:eastAsia="Times New Roman" w:hAnsi="Verdana" w:cs="Arial"/>
          <w:vertAlign w:val="superscript"/>
          <w:lang w:val="es-ES" w:eastAsia="es-ES_tradnl"/>
        </w:rPr>
        <w:footnoteReference w:id="11"/>
      </w:r>
      <w:r w:rsidRPr="00EC1B7C">
        <w:rPr>
          <w:rFonts w:ascii="Verdana" w:eastAsia="Times New Roman" w:hAnsi="Verdana" w:cs="Arial"/>
          <w:lang w:val="es-ES" w:eastAsia="es-ES_tradnl"/>
        </w:rPr>
        <w:t>.</w:t>
      </w:r>
      <w:r w:rsidRPr="00EC1B7C">
        <w:rPr>
          <w:rFonts w:ascii="Verdana" w:eastAsia="Times New Roman" w:hAnsi="Verdana" w:cs="Arial"/>
          <w:vertAlign w:val="superscript"/>
          <w:lang w:val="es-ES" w:eastAsia="es-ES_tradnl"/>
        </w:rPr>
        <w:t xml:space="preserve"> </w:t>
      </w:r>
      <w:r w:rsidRPr="00EC1B7C">
        <w:rPr>
          <w:rFonts w:ascii="Verdana" w:eastAsia="Times New Roman" w:hAnsi="Verdana" w:cs="Arial"/>
          <w:lang w:val="es-ES" w:eastAsia="es-ES_tradnl"/>
        </w:rPr>
        <w:t xml:space="preserve"> En ese orden de ideas, los bienes sobre los cuales puede recaer el acto de enajenación son los bienes fiscales muebles o inmuebles y no los bienes de uso público.</w:t>
      </w:r>
    </w:p>
    <w:p w14:paraId="68013E5F" w14:textId="77777777" w:rsidR="00206C42" w:rsidRPr="009E0D86" w:rsidRDefault="00206C42" w:rsidP="00206C42">
      <w:pPr>
        <w:spacing w:before="120" w:after="0" w:line="276" w:lineRule="auto"/>
        <w:ind w:firstLine="709"/>
        <w:jc w:val="both"/>
        <w:rPr>
          <w:rFonts w:ascii="Verdana" w:eastAsia="Times New Roman" w:hAnsi="Verdana" w:cs="Arial"/>
          <w:lang w:eastAsia="es-ES_tradnl"/>
        </w:rPr>
      </w:pPr>
      <w:r w:rsidRPr="00EC1B7C">
        <w:rPr>
          <w:rFonts w:ascii="Verdana" w:eastAsia="Calibri" w:hAnsi="Verdana" w:cs="Arial"/>
          <w:bCs/>
          <w:color w:val="000000" w:themeColor="text1"/>
          <w:lang w:val="es-ES"/>
        </w:rPr>
        <w:t xml:space="preserve">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w:t>
      </w:r>
      <w:r w:rsidRPr="00EC1B7C">
        <w:rPr>
          <w:rFonts w:ascii="Verdana" w:eastAsia="Calibri" w:hAnsi="Verdana" w:cs="Arial"/>
          <w:bCs/>
          <w:color w:val="000000" w:themeColor="text1"/>
          <w:lang w:val="es-ES"/>
        </w:rPr>
        <w:lastRenderedPageBreak/>
        <w:t>juicios de valor sobre circunstancias concretas relacionadas con los hechos que motivan la consulta. Por lo anterior, previo concepto de sus asesores, la solución de situaciones particulares corresponde a los interesados en adoptar la decisión correspondiente y, en caso de conflicto, a las autoridades judiciales, fiscales y disciplinarias.</w:t>
      </w:r>
    </w:p>
    <w:p w14:paraId="12C2A4F8" w14:textId="77777777" w:rsidR="00206C42" w:rsidRPr="00EC1B7C" w:rsidRDefault="00206C42" w:rsidP="00206C42">
      <w:pPr>
        <w:spacing w:after="0" w:line="276" w:lineRule="auto"/>
        <w:ind w:firstLine="708"/>
        <w:jc w:val="both"/>
        <w:rPr>
          <w:rFonts w:ascii="Verdana" w:eastAsia="Calibri" w:hAnsi="Verdana" w:cs="Arial"/>
          <w:bCs/>
          <w:color w:val="000000" w:themeColor="text1"/>
          <w:lang w:val="es-ES"/>
        </w:rPr>
      </w:pPr>
      <w:r w:rsidRPr="00EC1B7C">
        <w:rPr>
          <w:rFonts w:ascii="Verdana" w:eastAsia="Calibri" w:hAnsi="Verdana" w:cs="Arial"/>
          <w:bCs/>
          <w:color w:val="000000" w:themeColor="text1"/>
          <w:lang w:val="es-ES"/>
        </w:rPr>
        <w:t>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p w14:paraId="503F8B7E" w14:textId="77777777" w:rsidR="00206C42" w:rsidRPr="00EC1B7C" w:rsidRDefault="00206C42" w:rsidP="00206C42">
      <w:pPr>
        <w:spacing w:after="0" w:line="276" w:lineRule="auto"/>
        <w:ind w:firstLine="708"/>
        <w:jc w:val="both"/>
        <w:rPr>
          <w:rFonts w:ascii="Verdana" w:hAnsi="Verdana" w:cs="Arial"/>
          <w:lang w:val="es-ES"/>
        </w:rPr>
      </w:pPr>
    </w:p>
    <w:p w14:paraId="30D752F7" w14:textId="77777777" w:rsidR="00206C42" w:rsidRPr="00EC1B7C" w:rsidRDefault="00206C42" w:rsidP="00206C42">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EC1B7C">
        <w:rPr>
          <w:rFonts w:ascii="Verdana" w:eastAsia="Century Gothic" w:hAnsi="Verdana" w:cs="Century Gothic"/>
          <w:b/>
          <w:bCs/>
          <w:color w:val="000000" w:themeColor="text1"/>
        </w:rPr>
        <w:t>Referencias normativas, jurisprudenciales y otras fuentes:</w:t>
      </w:r>
    </w:p>
    <w:p w14:paraId="4F96A0AD" w14:textId="77777777" w:rsidR="00206C42" w:rsidRPr="00EC1B7C" w:rsidRDefault="00206C42" w:rsidP="00206C42">
      <w:pPr>
        <w:pStyle w:val="Prrafodelista"/>
        <w:tabs>
          <w:tab w:val="left" w:pos="142"/>
          <w:tab w:val="left" w:pos="284"/>
        </w:tabs>
        <w:spacing w:after="0" w:line="276" w:lineRule="auto"/>
        <w:ind w:left="0"/>
        <w:jc w:val="both"/>
        <w:rPr>
          <w:rFonts w:ascii="Verdana" w:eastAsia="Century Gothic" w:hAnsi="Verdana" w:cs="Century Gothic"/>
          <w:b/>
          <w:bCs/>
          <w:color w:val="000000" w:themeColor="text1"/>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206C42" w:rsidRPr="00EC1B7C" w14:paraId="09AEE908" w14:textId="77777777" w:rsidTr="00DD2423">
        <w:trPr>
          <w:trHeight w:val="870"/>
        </w:trPr>
        <w:tc>
          <w:tcPr>
            <w:tcW w:w="8647" w:type="dxa"/>
          </w:tcPr>
          <w:p w14:paraId="609EE99B" w14:textId="77777777" w:rsidR="00206C42" w:rsidRPr="00EC1B7C" w:rsidRDefault="00206C42" w:rsidP="00DD2423">
            <w:pPr>
              <w:widowControl w:val="0"/>
              <w:numPr>
                <w:ilvl w:val="0"/>
                <w:numId w:val="17"/>
              </w:numPr>
              <w:autoSpaceDE w:val="0"/>
              <w:autoSpaceDN w:val="0"/>
              <w:snapToGrid w:val="0"/>
              <w:spacing w:line="276" w:lineRule="auto"/>
              <w:ind w:left="714" w:hanging="357"/>
              <w:contextualSpacing/>
              <w:jc w:val="both"/>
              <w:rPr>
                <w:rFonts w:ascii="Verdana" w:eastAsia="Arial MT" w:hAnsi="Verdana" w:cs="Arial"/>
                <w:lang w:val="es-ES" w:eastAsia="es-ES" w:bidi="es-ES"/>
              </w:rPr>
            </w:pPr>
            <w:r w:rsidRPr="00EC1B7C">
              <w:rPr>
                <w:rFonts w:ascii="Verdana" w:eastAsia="Arial MT" w:hAnsi="Verdana" w:cs="Arial"/>
                <w:lang w:val="es-ES" w:eastAsia="es-ES" w:bidi="es-ES"/>
              </w:rPr>
              <w:t xml:space="preserve">Código Civil, artículos 665, 749 y 1521. </w:t>
            </w:r>
          </w:p>
          <w:p w14:paraId="4B74DA91" w14:textId="77777777" w:rsidR="00206C42" w:rsidRPr="00EC1B7C" w:rsidRDefault="00206C42" w:rsidP="00DD2423">
            <w:pPr>
              <w:pStyle w:val="Prrafodelista"/>
              <w:widowControl w:val="0"/>
              <w:numPr>
                <w:ilvl w:val="0"/>
                <w:numId w:val="17"/>
              </w:numPr>
              <w:autoSpaceDE w:val="0"/>
              <w:autoSpaceDN w:val="0"/>
              <w:snapToGrid w:val="0"/>
              <w:spacing w:line="276" w:lineRule="auto"/>
              <w:ind w:left="714" w:hanging="357"/>
              <w:jc w:val="both"/>
              <w:rPr>
                <w:rFonts w:ascii="Verdana" w:hAnsi="Verdana" w:cs="Arial"/>
              </w:rPr>
            </w:pPr>
            <w:r w:rsidRPr="00EC1B7C">
              <w:rPr>
                <w:rFonts w:ascii="Verdana" w:hAnsi="Verdana" w:cs="Arial"/>
              </w:rPr>
              <w:t xml:space="preserve">Ley 1150 de 2007, </w:t>
            </w:r>
            <w:r w:rsidRPr="00EC1B7C">
              <w:rPr>
                <w:rFonts w:ascii="Verdana" w:eastAsia="Arial" w:hAnsi="Verdana" w:cs="Arial"/>
              </w:rPr>
              <w:t xml:space="preserve">literal e) del numeral 2 del artículo 2. </w:t>
            </w:r>
          </w:p>
          <w:p w14:paraId="5CF1BECC" w14:textId="77777777" w:rsidR="00206C42" w:rsidRPr="00EC1B7C" w:rsidRDefault="00206C42" w:rsidP="00DD2423">
            <w:pPr>
              <w:widowControl w:val="0"/>
              <w:numPr>
                <w:ilvl w:val="0"/>
                <w:numId w:val="17"/>
              </w:numPr>
              <w:autoSpaceDE w:val="0"/>
              <w:autoSpaceDN w:val="0"/>
              <w:snapToGrid w:val="0"/>
              <w:spacing w:line="276" w:lineRule="auto"/>
              <w:ind w:left="714" w:hanging="357"/>
              <w:contextualSpacing/>
              <w:jc w:val="both"/>
              <w:rPr>
                <w:rFonts w:ascii="Verdana" w:hAnsi="Verdana" w:cs="Arial"/>
                <w:lang w:val="es-ES"/>
              </w:rPr>
            </w:pPr>
            <w:r w:rsidRPr="00EC1B7C">
              <w:rPr>
                <w:rFonts w:ascii="Verdana" w:hAnsi="Verdana" w:cs="Arial"/>
                <w:lang w:val="es-ES"/>
              </w:rPr>
              <w:t>Ley 795 de 2003, Artículo 91.</w:t>
            </w:r>
          </w:p>
          <w:p w14:paraId="413174F2" w14:textId="77777777" w:rsidR="00206C42" w:rsidRPr="00EC1B7C" w:rsidRDefault="00206C42" w:rsidP="00DD2423">
            <w:pPr>
              <w:widowControl w:val="0"/>
              <w:numPr>
                <w:ilvl w:val="0"/>
                <w:numId w:val="17"/>
              </w:numPr>
              <w:autoSpaceDE w:val="0"/>
              <w:autoSpaceDN w:val="0"/>
              <w:snapToGrid w:val="0"/>
              <w:spacing w:line="276" w:lineRule="auto"/>
              <w:ind w:left="714" w:hanging="357"/>
              <w:contextualSpacing/>
              <w:jc w:val="both"/>
              <w:rPr>
                <w:rFonts w:ascii="Verdana" w:hAnsi="Verdana" w:cs="Arial"/>
                <w:lang w:val="es-ES"/>
              </w:rPr>
            </w:pPr>
            <w:r w:rsidRPr="00EC1B7C">
              <w:rPr>
                <w:rFonts w:ascii="Verdana" w:hAnsi="Verdana" w:cs="Arial"/>
                <w:lang w:val="es-ES"/>
              </w:rPr>
              <w:t xml:space="preserve">Ley 1450 de 2011, artículo 238. </w:t>
            </w:r>
          </w:p>
          <w:p w14:paraId="216043C7" w14:textId="77777777" w:rsidR="00206C42" w:rsidRPr="00EC1B7C" w:rsidRDefault="00206C42" w:rsidP="00DD2423">
            <w:pPr>
              <w:widowControl w:val="0"/>
              <w:numPr>
                <w:ilvl w:val="0"/>
                <w:numId w:val="17"/>
              </w:numPr>
              <w:autoSpaceDE w:val="0"/>
              <w:autoSpaceDN w:val="0"/>
              <w:snapToGrid w:val="0"/>
              <w:spacing w:line="276" w:lineRule="auto"/>
              <w:ind w:left="714" w:hanging="357"/>
              <w:contextualSpacing/>
              <w:jc w:val="both"/>
              <w:rPr>
                <w:rFonts w:ascii="Verdana" w:hAnsi="Verdana" w:cs="Arial"/>
                <w:lang w:val="es-ES"/>
              </w:rPr>
            </w:pPr>
            <w:r w:rsidRPr="00EC1B7C">
              <w:rPr>
                <w:rFonts w:ascii="Verdana" w:hAnsi="Verdana" w:cs="Arial"/>
                <w:lang w:val="es-ES"/>
              </w:rPr>
              <w:t xml:space="preserve">Ley 2294 de 2023, artículo 330. </w:t>
            </w:r>
          </w:p>
          <w:p w14:paraId="0514F74C" w14:textId="77777777" w:rsidR="00206C42" w:rsidRPr="00EC1B7C" w:rsidRDefault="00206C42" w:rsidP="00DD2423">
            <w:pPr>
              <w:widowControl w:val="0"/>
              <w:numPr>
                <w:ilvl w:val="0"/>
                <w:numId w:val="17"/>
              </w:numPr>
              <w:autoSpaceDE w:val="0"/>
              <w:autoSpaceDN w:val="0"/>
              <w:snapToGrid w:val="0"/>
              <w:spacing w:line="276" w:lineRule="auto"/>
              <w:ind w:left="714" w:hanging="357"/>
              <w:contextualSpacing/>
              <w:jc w:val="both"/>
              <w:rPr>
                <w:rFonts w:ascii="Verdana" w:hAnsi="Verdana" w:cs="Arial"/>
                <w:lang w:val="es-ES"/>
              </w:rPr>
            </w:pPr>
            <w:r w:rsidRPr="00EC1B7C">
              <w:rPr>
                <w:rFonts w:ascii="Verdana" w:hAnsi="Verdana" w:cs="Arial"/>
                <w:lang w:val="es-ES"/>
              </w:rPr>
              <w:t xml:space="preserve">Decreto 1068 de 2015, artículo 2.5.2.3.1.  </w:t>
            </w:r>
          </w:p>
          <w:p w14:paraId="105FD576" w14:textId="77777777" w:rsidR="00206C42" w:rsidRPr="00EC1B7C" w:rsidRDefault="00206C42" w:rsidP="00DD2423">
            <w:pPr>
              <w:pStyle w:val="Prrafodelista"/>
              <w:widowControl w:val="0"/>
              <w:numPr>
                <w:ilvl w:val="0"/>
                <w:numId w:val="18"/>
              </w:numPr>
              <w:autoSpaceDE w:val="0"/>
              <w:autoSpaceDN w:val="0"/>
              <w:snapToGrid w:val="0"/>
              <w:spacing w:line="276" w:lineRule="auto"/>
              <w:ind w:left="714" w:hanging="357"/>
              <w:jc w:val="both"/>
              <w:rPr>
                <w:rFonts w:ascii="Verdana" w:hAnsi="Verdana" w:cs="Arial"/>
              </w:rPr>
            </w:pPr>
            <w:r w:rsidRPr="00EC1B7C">
              <w:rPr>
                <w:rFonts w:ascii="Verdana" w:hAnsi="Verdana" w:cs="Arial"/>
              </w:rPr>
              <w:t xml:space="preserve">Decreto 1082 de 2015, artículos </w:t>
            </w:r>
            <w:r w:rsidRPr="00EC1B7C">
              <w:rPr>
                <w:rFonts w:ascii="Verdana" w:eastAsia="Arial" w:hAnsi="Verdana" w:cs="Arial"/>
              </w:rPr>
              <w:t>2.2.1.2.2.1.1 y ss</w:t>
            </w:r>
            <w:r>
              <w:rPr>
                <w:rFonts w:ascii="Verdana" w:eastAsia="Arial" w:hAnsi="Verdana" w:cs="Arial"/>
              </w:rPr>
              <w:t>.</w:t>
            </w:r>
          </w:p>
          <w:p w14:paraId="478CC1D8" w14:textId="77777777" w:rsidR="00206C42" w:rsidRPr="00EC1B7C" w:rsidRDefault="00206C42" w:rsidP="00DD2423">
            <w:pPr>
              <w:widowControl w:val="0"/>
              <w:numPr>
                <w:ilvl w:val="0"/>
                <w:numId w:val="17"/>
              </w:numPr>
              <w:autoSpaceDE w:val="0"/>
              <w:autoSpaceDN w:val="0"/>
              <w:snapToGrid w:val="0"/>
              <w:spacing w:line="276" w:lineRule="auto"/>
              <w:ind w:left="714" w:hanging="357"/>
              <w:contextualSpacing/>
              <w:jc w:val="both"/>
              <w:rPr>
                <w:rFonts w:ascii="Verdana" w:hAnsi="Verdana" w:cs="Arial"/>
                <w:lang w:val="es-ES"/>
              </w:rPr>
            </w:pPr>
            <w:r w:rsidRPr="00EC1B7C">
              <w:rPr>
                <w:rFonts w:ascii="Verdana" w:hAnsi="Verdana" w:cs="Arial"/>
                <w:lang w:val="es-ES"/>
              </w:rPr>
              <w:t>CONSEJO DE ESTADO. Sección Cuarta. Sentencia del 6 de febrero de 2006. C.P. María Inés Ortiz Barbosa. Expediente: 14.123.</w:t>
            </w:r>
          </w:p>
          <w:p w14:paraId="7DF55B39" w14:textId="77777777" w:rsidR="00206C42" w:rsidRPr="00EC1B7C" w:rsidRDefault="00206C42" w:rsidP="00DD2423">
            <w:pPr>
              <w:widowControl w:val="0"/>
              <w:numPr>
                <w:ilvl w:val="0"/>
                <w:numId w:val="17"/>
              </w:numPr>
              <w:autoSpaceDE w:val="0"/>
              <w:autoSpaceDN w:val="0"/>
              <w:snapToGrid w:val="0"/>
              <w:spacing w:line="276" w:lineRule="auto"/>
              <w:ind w:left="714" w:hanging="357"/>
              <w:contextualSpacing/>
              <w:jc w:val="both"/>
              <w:rPr>
                <w:rFonts w:ascii="Verdana" w:hAnsi="Verdana" w:cs="Arial"/>
                <w:lang w:val="es-ES"/>
              </w:rPr>
            </w:pPr>
            <w:r w:rsidRPr="00EC1B7C">
              <w:rPr>
                <w:rFonts w:ascii="Verdana" w:hAnsi="Verdana" w:cs="Arial"/>
                <w:lang w:val="es-ES"/>
              </w:rPr>
              <w:t xml:space="preserve">CONSEJO DE ESTADO, Sección Tercera. Sentencia del 30 de abril de 2012. Expediente 21.699. C.P. Ruth Stella Correa Palacio. </w:t>
            </w:r>
          </w:p>
          <w:p w14:paraId="48B99F27" w14:textId="77777777" w:rsidR="00206C42" w:rsidRPr="00EC1B7C" w:rsidRDefault="00206C42" w:rsidP="00DD2423">
            <w:pPr>
              <w:widowControl w:val="0"/>
              <w:numPr>
                <w:ilvl w:val="0"/>
                <w:numId w:val="17"/>
              </w:numPr>
              <w:autoSpaceDE w:val="0"/>
              <w:autoSpaceDN w:val="0"/>
              <w:snapToGrid w:val="0"/>
              <w:spacing w:line="276" w:lineRule="auto"/>
              <w:ind w:left="714" w:hanging="357"/>
              <w:contextualSpacing/>
              <w:jc w:val="both"/>
              <w:rPr>
                <w:rFonts w:ascii="Verdana" w:hAnsi="Verdana" w:cs="Arial"/>
                <w:lang w:val="es-ES"/>
              </w:rPr>
            </w:pPr>
            <w:r w:rsidRPr="00EC1B7C">
              <w:rPr>
                <w:rFonts w:ascii="Verdana" w:hAnsi="Verdana" w:cs="Arial"/>
                <w:lang w:val="es-ES"/>
              </w:rPr>
              <w:t>CONSEJO DE ESTADO, Sección Tercera. Sentencia del 19 de julio de 2018, Expediente 36.711. C.P. Carlos Alberto Zambrano Barrera.</w:t>
            </w:r>
          </w:p>
          <w:p w14:paraId="141B8857" w14:textId="77777777" w:rsidR="00206C42" w:rsidRPr="00EC1B7C" w:rsidRDefault="00206C42" w:rsidP="00DD2423">
            <w:pPr>
              <w:widowControl w:val="0"/>
              <w:numPr>
                <w:ilvl w:val="0"/>
                <w:numId w:val="17"/>
              </w:numPr>
              <w:autoSpaceDE w:val="0"/>
              <w:autoSpaceDN w:val="0"/>
              <w:snapToGrid w:val="0"/>
              <w:spacing w:line="276" w:lineRule="auto"/>
              <w:ind w:left="714" w:hanging="357"/>
              <w:contextualSpacing/>
              <w:jc w:val="both"/>
              <w:rPr>
                <w:rFonts w:ascii="Verdana" w:hAnsi="Verdana" w:cs="Arial"/>
                <w:lang w:val="es-ES"/>
              </w:rPr>
            </w:pPr>
            <w:r w:rsidRPr="00DD321D">
              <w:rPr>
                <w:rFonts w:ascii="Verdana" w:hAnsi="Verdana" w:cs="Arial"/>
                <w:lang w:val="pt-PT"/>
              </w:rPr>
              <w:t xml:space="preserve">CORTE CONSTITUCIONAL. Sentencia C-183 de 2003. </w:t>
            </w:r>
            <w:r w:rsidRPr="00EC1B7C">
              <w:rPr>
                <w:rFonts w:ascii="Verdana" w:hAnsi="Verdana" w:cs="Arial"/>
                <w:lang w:val="es-ES"/>
              </w:rPr>
              <w:t xml:space="preserve">M.P. Alfredo Beltrán Sierra. </w:t>
            </w:r>
          </w:p>
          <w:p w14:paraId="7F4A3E07" w14:textId="77777777" w:rsidR="00206C42" w:rsidRPr="00EC1B7C" w:rsidRDefault="00206C42" w:rsidP="00DD2423">
            <w:pPr>
              <w:widowControl w:val="0"/>
              <w:numPr>
                <w:ilvl w:val="0"/>
                <w:numId w:val="17"/>
              </w:numPr>
              <w:autoSpaceDE w:val="0"/>
              <w:autoSpaceDN w:val="0"/>
              <w:snapToGrid w:val="0"/>
              <w:spacing w:line="276" w:lineRule="auto"/>
              <w:ind w:left="714" w:hanging="357"/>
              <w:contextualSpacing/>
              <w:jc w:val="both"/>
              <w:rPr>
                <w:rFonts w:ascii="Verdana" w:hAnsi="Verdana" w:cs="Arial"/>
                <w:lang w:val="es-ES"/>
              </w:rPr>
            </w:pPr>
            <w:r w:rsidRPr="00EC1B7C">
              <w:rPr>
                <w:rFonts w:ascii="Verdana" w:hAnsi="Verdana" w:cs="Arial"/>
                <w:lang w:val="es-ES"/>
              </w:rPr>
              <w:t xml:space="preserve">DÁVILA VINUEZA, Luis Guillermo. Régimen Jurídico de la Contratación Estatal. Bogotá: Legis, 2016. </w:t>
            </w:r>
          </w:p>
          <w:p w14:paraId="5E3A9D3C" w14:textId="77777777" w:rsidR="00206C42" w:rsidRPr="00EC1B7C" w:rsidRDefault="00206C42" w:rsidP="00DD2423">
            <w:pPr>
              <w:widowControl w:val="0"/>
              <w:numPr>
                <w:ilvl w:val="0"/>
                <w:numId w:val="17"/>
              </w:numPr>
              <w:autoSpaceDE w:val="0"/>
              <w:autoSpaceDN w:val="0"/>
              <w:snapToGrid w:val="0"/>
              <w:spacing w:line="276" w:lineRule="auto"/>
              <w:ind w:left="714" w:hanging="357"/>
              <w:contextualSpacing/>
              <w:jc w:val="both"/>
              <w:rPr>
                <w:rFonts w:ascii="Verdana" w:eastAsia="Calibri" w:hAnsi="Verdana" w:cs="Arial"/>
                <w:color w:val="000000" w:themeColor="text1"/>
                <w:lang w:val="es-ES"/>
              </w:rPr>
            </w:pPr>
            <w:r w:rsidRPr="00EC1B7C">
              <w:rPr>
                <w:rFonts w:ascii="Verdana" w:hAnsi="Verdana" w:cs="Arial"/>
                <w:lang w:val="es-ES"/>
              </w:rPr>
              <w:t>VELÁSQUEZ, Hernán Darío. Estudio sobre obligaciones. Bogotá: Temis, 2010.</w:t>
            </w:r>
          </w:p>
        </w:tc>
      </w:tr>
    </w:tbl>
    <w:p w14:paraId="162E9068" w14:textId="77777777" w:rsidR="00206C42" w:rsidRPr="00EC1B7C" w:rsidRDefault="00206C42" w:rsidP="00206C42">
      <w:pPr>
        <w:widowControl w:val="0"/>
        <w:autoSpaceDE w:val="0"/>
        <w:autoSpaceDN w:val="0"/>
        <w:spacing w:after="0" w:line="276" w:lineRule="auto"/>
        <w:jc w:val="both"/>
        <w:rPr>
          <w:rFonts w:ascii="Verdana" w:hAnsi="Verdana" w:cs="Arial"/>
          <w:color w:val="000000" w:themeColor="text1"/>
          <w:lang w:val="es-ES"/>
        </w:rPr>
      </w:pPr>
    </w:p>
    <w:p w14:paraId="1366979D" w14:textId="77777777" w:rsidR="00206C42" w:rsidRPr="00EC1B7C" w:rsidRDefault="00206C42" w:rsidP="00206C42">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EC1B7C">
        <w:rPr>
          <w:rFonts w:ascii="Verdana" w:eastAsia="Century Gothic" w:hAnsi="Verdana" w:cs="Century Gothic"/>
          <w:b/>
          <w:bCs/>
          <w:color w:val="000000" w:themeColor="text1"/>
        </w:rPr>
        <w:t>Doctrina de la Agencia Nacional de Contratación Pública:</w:t>
      </w:r>
    </w:p>
    <w:p w14:paraId="61D30D7E" w14:textId="77777777" w:rsidR="00206C42" w:rsidRPr="00EC1B7C" w:rsidRDefault="00206C42" w:rsidP="00206C42">
      <w:pPr>
        <w:widowControl w:val="0"/>
        <w:autoSpaceDE w:val="0"/>
        <w:autoSpaceDN w:val="0"/>
        <w:spacing w:after="0" w:line="276" w:lineRule="auto"/>
        <w:jc w:val="both"/>
        <w:rPr>
          <w:rFonts w:ascii="Verdana" w:hAnsi="Verdana" w:cs="Arial"/>
          <w:color w:val="000000" w:themeColor="text1"/>
          <w:lang w:val="es-ES"/>
        </w:rPr>
      </w:pPr>
    </w:p>
    <w:p w14:paraId="78B98219" w14:textId="77777777" w:rsidR="00206C42" w:rsidRPr="00EC1B7C" w:rsidRDefault="00206C42" w:rsidP="00206C42">
      <w:pPr>
        <w:jc w:val="both"/>
        <w:rPr>
          <w:rStyle w:val="normaltextrun"/>
          <w:rFonts w:ascii="Verdana" w:eastAsia="Calibri" w:hAnsi="Verdana" w:cs="Arial"/>
          <w:b/>
          <w:bCs/>
          <w:color w:val="000000" w:themeColor="text1"/>
          <w:lang w:val="es-ES" w:eastAsia="es-ES"/>
        </w:rPr>
      </w:pPr>
      <w:r w:rsidRPr="00EC1B7C">
        <w:rPr>
          <w:rStyle w:val="normaltextrun"/>
          <w:rFonts w:ascii="Verdana" w:hAnsi="Verdana" w:cs="Arial"/>
          <w:color w:val="000000" w:themeColor="text1"/>
          <w:shd w:val="clear" w:color="auto" w:fill="FFFFFF"/>
          <w:lang w:val="es-ES"/>
        </w:rPr>
        <w:t>La Agencia Nacional de Contratación Pública – Colombia Compra Eficiente</w:t>
      </w:r>
      <w:r w:rsidRPr="00EC1B7C">
        <w:rPr>
          <w:rStyle w:val="normaltextrun"/>
          <w:rFonts w:ascii="Verdana" w:hAnsi="Verdana" w:cs="Arial"/>
          <w:shd w:val="clear" w:color="auto" w:fill="FFFFFF"/>
          <w:lang w:val="es-ES"/>
        </w:rPr>
        <w:t xml:space="preserve">. Se ha referido con respecto a la </w:t>
      </w:r>
      <w:r w:rsidRPr="00EC1B7C">
        <w:rPr>
          <w:rFonts w:ascii="Verdana" w:hAnsi="Verdana" w:cs="Arial"/>
          <w:bCs/>
          <w:shd w:val="clear" w:color="auto" w:fill="FFFFFF"/>
          <w:lang w:val="es-ES"/>
        </w:rPr>
        <w:t>enajenación de bienes muebles del Estado en los conceptos con Radicado No. 2201913000007905 del 23 de octubre de 2019, 2201913000008259 del 6 de noviembre de 2019, C-186 del 17 de marzo de 2020, C-661 del 17 de noviembre de 2020, C-397 del 18 de julio de 2022, C-704 del 26 de octubre de 2022, C- 825 del 5 de agosto de 2025, entre otros. En torno al deber de publicidad en los conceptos CU-367 del 23 de julio de 2020, reiterado en los conceptos: C−433 de 24 de julio de 2020, C−468 del 24 de julio de 2020, C−474 de 24 de julio de 2020, C−488 del 28 de julio de 2020, C−544 del 21 de agosto de 2020, C−575 del 27 de agosto de 2020, C−643 del 26 de octubre de 2020, C−661 del 17 de noviembre de 2020, C-094 del 13 de abril de 2021, C−068 del 22 de abril de 2021, C-185 del 29 de abril de 2021, C-472 del 6 de septiembre de 2021 y C-804 de 2024, C-185 del 24 de marzo de 2025, C-487 del 30 de mayo de 2025, 1177 del 1 de octubre de 2025, C-1631 del 16 de diciembre de 2025, entre otros.</w:t>
      </w:r>
      <w:r w:rsidRPr="00EC1B7C">
        <w:rPr>
          <w:rFonts w:ascii="Verdana" w:hAnsi="Verdana" w:cs="Arial"/>
          <w:shd w:val="clear" w:color="auto" w:fill="FFFFFF"/>
          <w:lang w:val="es-ES"/>
        </w:rPr>
        <w:t xml:space="preserve"> </w:t>
      </w:r>
      <w:r w:rsidRPr="00EC1B7C">
        <w:rPr>
          <w:rStyle w:val="normaltextrun"/>
          <w:rFonts w:ascii="Verdana" w:hAnsi="Verdana" w:cs="Arial"/>
          <w:shd w:val="clear" w:color="auto" w:fill="FFFFFF"/>
          <w:lang w:val="es-ES"/>
        </w:rPr>
        <w:t xml:space="preserve"> Estos y otros conceptos se encuentran disponibles para consulta en el Sistema de relatoría de la Agencia</w:t>
      </w:r>
      <w:r w:rsidRPr="00EC1B7C">
        <w:rPr>
          <w:rFonts w:ascii="Verdana" w:hAnsi="Verdana"/>
          <w:lang w:val="es-ES"/>
        </w:rPr>
        <w:t>, al cual puede accederse a través del siguiente enlace:</w:t>
      </w:r>
      <w:r w:rsidRPr="00EC1B7C">
        <w:rPr>
          <w:rStyle w:val="normaltextrun"/>
          <w:rFonts w:ascii="Verdana" w:hAnsi="Verdana" w:cs="Arial"/>
          <w:shd w:val="clear" w:color="auto" w:fill="FFFFFF"/>
          <w:lang w:val="es-ES"/>
        </w:rPr>
        <w:t xml:space="preserve"> </w:t>
      </w:r>
      <w:hyperlink r:id="rId12" w:history="1">
        <w:r w:rsidRPr="00EC1B7C">
          <w:rPr>
            <w:rStyle w:val="Hipervnculo"/>
            <w:rFonts w:ascii="Verdana" w:hAnsi="Verdana" w:cs="Arial"/>
            <w:shd w:val="clear" w:color="auto" w:fill="FFFFFF"/>
            <w:lang w:val="es-ES"/>
          </w:rPr>
          <w:t>https://relatoria.colombiacompra.gov.co/busqueda/conceptos</w:t>
        </w:r>
      </w:hyperlink>
      <w:r w:rsidRPr="00EC1B7C">
        <w:rPr>
          <w:rStyle w:val="normaltextrun"/>
          <w:rFonts w:ascii="Verdana" w:hAnsi="Verdana" w:cs="Arial"/>
          <w:shd w:val="clear" w:color="auto" w:fill="FFFFFF"/>
          <w:lang w:val="es-ES"/>
        </w:rPr>
        <w:t>.</w:t>
      </w:r>
      <w:r w:rsidRPr="00EC1B7C">
        <w:rPr>
          <w:rStyle w:val="normaltextrun"/>
          <w:rFonts w:ascii="Verdana" w:hAnsi="Verdana" w:cs="Arial"/>
          <w:color w:val="FF0000"/>
          <w:shd w:val="clear" w:color="auto" w:fill="FFFFFF"/>
          <w:lang w:val="es-ES"/>
        </w:rPr>
        <w:t xml:space="preserve"> </w:t>
      </w:r>
    </w:p>
    <w:p w14:paraId="7FC0E56D" w14:textId="77777777" w:rsidR="00206C42" w:rsidRDefault="00206C42" w:rsidP="00206C42">
      <w:pPr>
        <w:widowControl w:val="0"/>
        <w:autoSpaceDE w:val="0"/>
        <w:autoSpaceDN w:val="0"/>
        <w:spacing w:after="0" w:line="276" w:lineRule="auto"/>
        <w:jc w:val="both"/>
        <w:rPr>
          <w:rFonts w:ascii="Verdana" w:hAnsi="Verdana" w:cs="Arial"/>
          <w:color w:val="000000" w:themeColor="text1"/>
          <w:shd w:val="clear" w:color="auto" w:fill="FFFFFF"/>
          <w:lang w:val="es-ES"/>
        </w:rPr>
      </w:pPr>
      <w:r w:rsidRPr="001C68D1">
        <w:rPr>
          <w:rFonts w:ascii="Verdana" w:hAnsi="Verdana" w:cs="Arial"/>
          <w:color w:val="000000" w:themeColor="text1"/>
          <w:shd w:val="clear" w:color="auto" w:fill="FFFFFF"/>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1C68D1">
        <w:rPr>
          <w:rFonts w:ascii="Verdana" w:hAnsi="Verdana" w:cs="Arial"/>
          <w:b/>
          <w:bCs/>
          <w:color w:val="000000" w:themeColor="text1"/>
          <w:shd w:val="clear" w:color="auto" w:fill="FFFFFF"/>
        </w:rPr>
        <w:t>Guía para la Exigencia y Constitución de Garantías en los Procesos de Contratación</w:t>
      </w:r>
      <w:r w:rsidRPr="001C68D1">
        <w:rPr>
          <w:rFonts w:ascii="Verdana" w:hAnsi="Verdana" w:cs="Arial"/>
          <w:color w:val="000000" w:themeColor="text1"/>
          <w:shd w:val="clear" w:color="auto" w:fill="FFFFFF"/>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3" w:tgtFrame="_blank" w:tooltip="Dirección URL original: https://www.colombiacompra.gov.co/archivos/manual/guia-de-garantias-en-procesos-de-contratacion. Haga clic o pulse si confía en este vínculo." w:history="1">
        <w:r w:rsidRPr="001C68D1">
          <w:rPr>
            <w:rStyle w:val="Hipervnculo"/>
            <w:rFonts w:ascii="Verdana" w:hAnsi="Verdana" w:cs="Arial"/>
            <w:color w:val="000000" w:themeColor="text1"/>
            <w:shd w:val="clear" w:color="auto" w:fill="FFFFFF"/>
          </w:rPr>
          <w:t>https://www.colombiacompra.gov.co/archivos/manual/guia-de-garantias-en-procesos-de-contratacion</w:t>
        </w:r>
      </w:hyperlink>
    </w:p>
    <w:p w14:paraId="262E799D" w14:textId="77777777" w:rsidR="00206C42" w:rsidRPr="001C68D1" w:rsidRDefault="00206C42" w:rsidP="00206C42">
      <w:pPr>
        <w:widowControl w:val="0"/>
        <w:autoSpaceDE w:val="0"/>
        <w:autoSpaceDN w:val="0"/>
        <w:spacing w:after="0" w:line="276" w:lineRule="auto"/>
        <w:jc w:val="both"/>
        <w:rPr>
          <w:rFonts w:ascii="Verdana" w:hAnsi="Verdana" w:cs="Arial"/>
          <w:color w:val="000000" w:themeColor="text1"/>
          <w:shd w:val="clear" w:color="auto" w:fill="FFFFFF"/>
        </w:rPr>
      </w:pPr>
    </w:p>
    <w:p w14:paraId="5FFC4EFB" w14:textId="77777777" w:rsidR="00206C42" w:rsidRDefault="00206C42" w:rsidP="00206C42">
      <w:pPr>
        <w:widowControl w:val="0"/>
        <w:autoSpaceDE w:val="0"/>
        <w:autoSpaceDN w:val="0"/>
        <w:spacing w:after="0" w:line="276" w:lineRule="auto"/>
        <w:jc w:val="both"/>
        <w:rPr>
          <w:rFonts w:ascii="Verdana" w:hAnsi="Verdana" w:cs="Arial"/>
          <w:color w:val="000000" w:themeColor="text1"/>
          <w:shd w:val="clear" w:color="auto" w:fill="FFFFFF"/>
          <w:lang w:val="es-ES"/>
        </w:rPr>
      </w:pPr>
      <w:r w:rsidRPr="001C68D1">
        <w:rPr>
          <w:rFonts w:ascii="Verdana" w:hAnsi="Verdana" w:cs="Arial"/>
          <w:color w:val="000000" w:themeColor="text1"/>
          <w:shd w:val="clear" w:color="auto" w:fill="FFFFFF"/>
        </w:rPr>
        <w:t>De otro lado, te contamos que el Decreto 287 del 19 de marzo de 2026 sustituyó los artículos 2.2.1.2.4.2.6., 2.2.1.2.4.2.7. y 2.2.1.2.4.2.8. del Decreto 1082 de 2015 y estructuró el </w:t>
      </w:r>
      <w:r w:rsidRPr="001C68D1">
        <w:rPr>
          <w:rFonts w:ascii="Verdana" w:hAnsi="Verdana" w:cs="Arial"/>
          <w:b/>
          <w:bCs/>
          <w:color w:val="000000" w:themeColor="text1"/>
          <w:shd w:val="clear" w:color="auto" w:fill="FFFFFF"/>
        </w:rPr>
        <w:t>Sistema Integral de Preferencias en favor de las personas con discapacidad</w:t>
      </w:r>
      <w:r w:rsidRPr="001C68D1">
        <w:rPr>
          <w:rFonts w:ascii="Verdana" w:hAnsi="Verdana" w:cs="Arial"/>
          <w:color w:val="000000" w:themeColor="text1"/>
          <w:shd w:val="clear" w:color="auto" w:fill="FFFFFF"/>
        </w:rPr>
        <w:t xml:space="preserve">, en cumplimiento del artículo 13 de la Ley </w:t>
      </w:r>
      <w:r w:rsidRPr="001C68D1">
        <w:rPr>
          <w:rFonts w:ascii="Verdana" w:hAnsi="Verdana" w:cs="Arial"/>
          <w:color w:val="000000" w:themeColor="text1"/>
          <w:shd w:val="clear" w:color="auto" w:fill="FFFFFF"/>
        </w:rPr>
        <w:lastRenderedPageBreak/>
        <w:t>Estatutaria 1618 de 2013. Para orientar su aplicación, esta Agencia expidió la </w:t>
      </w:r>
      <w:r w:rsidRPr="001C68D1">
        <w:rPr>
          <w:rFonts w:ascii="Verdana" w:hAnsi="Verdana" w:cs="Arial"/>
          <w:b/>
          <w:bCs/>
          <w:color w:val="000000" w:themeColor="text1"/>
          <w:shd w:val="clear" w:color="auto" w:fill="FFFFFF"/>
        </w:rPr>
        <w:t>Circular Externa 003 del 12 de mayo de 2026, </w:t>
      </w:r>
      <w:r w:rsidRPr="001C68D1">
        <w:rPr>
          <w:rFonts w:ascii="Verdana" w:hAnsi="Verdana" w:cs="Arial"/>
          <w:color w:val="000000" w:themeColor="text1"/>
          <w:shd w:val="clear" w:color="auto" w:fill="FFFFFF"/>
        </w:rPr>
        <w:t>en la que precisa quiénes son los beneficiarios, las cinco medidas que integran el sistema y su obligatoriedad según la modalidad de selección, y el régimen de transición aplicable a los procesos en curso. Consúltala aquí: </w:t>
      </w:r>
      <w:hyperlink r:id="rId14" w:tgtFrame="_blank" w:tooltip="Dirección URL original: https://www.colombiacompra.gov.co/archivos/circular/circular-externa-003-de-2026. Haga clic o pulse si confía en este vínculo." w:history="1">
        <w:r w:rsidRPr="001C68D1">
          <w:rPr>
            <w:rStyle w:val="Hipervnculo"/>
            <w:rFonts w:ascii="Verdana" w:hAnsi="Verdana" w:cs="Arial"/>
            <w:color w:val="000000" w:themeColor="text1"/>
            <w:shd w:val="clear" w:color="auto" w:fill="FFFFFF"/>
          </w:rPr>
          <w:t>https://www.colombiacompra.gov.co/archivos/circular/circular-externa-003-de-2026</w:t>
        </w:r>
      </w:hyperlink>
    </w:p>
    <w:p w14:paraId="6D6ECFF1" w14:textId="77777777" w:rsidR="00206C42" w:rsidRPr="001C68D1" w:rsidRDefault="00206C42" w:rsidP="00206C42">
      <w:pPr>
        <w:widowControl w:val="0"/>
        <w:autoSpaceDE w:val="0"/>
        <w:autoSpaceDN w:val="0"/>
        <w:spacing w:after="0" w:line="276" w:lineRule="auto"/>
        <w:jc w:val="both"/>
        <w:rPr>
          <w:rFonts w:ascii="Verdana" w:hAnsi="Verdana" w:cs="Arial"/>
          <w:color w:val="000000" w:themeColor="text1"/>
          <w:shd w:val="clear" w:color="auto" w:fill="FFFFFF"/>
        </w:rPr>
      </w:pPr>
    </w:p>
    <w:p w14:paraId="4F2C4BCF" w14:textId="77777777" w:rsidR="00206C42" w:rsidRDefault="00206C42" w:rsidP="00206C42">
      <w:pPr>
        <w:widowControl w:val="0"/>
        <w:autoSpaceDE w:val="0"/>
        <w:autoSpaceDN w:val="0"/>
        <w:spacing w:after="0" w:line="276" w:lineRule="auto"/>
        <w:jc w:val="both"/>
        <w:rPr>
          <w:rFonts w:ascii="Verdana" w:hAnsi="Verdana" w:cs="Arial"/>
          <w:color w:val="000000" w:themeColor="text1"/>
          <w:shd w:val="clear" w:color="auto" w:fill="FFFFFF"/>
          <w:lang w:val="es-ES"/>
        </w:rPr>
      </w:pPr>
      <w:r w:rsidRPr="001C68D1">
        <w:rPr>
          <w:rFonts w:ascii="Verdana" w:hAnsi="Verdana" w:cs="Arial"/>
          <w:color w:val="000000" w:themeColor="text1"/>
          <w:shd w:val="clear" w:color="auto" w:fill="FFFFFF"/>
        </w:rPr>
        <w:t>Recuerda también que la</w:t>
      </w:r>
      <w:r w:rsidRPr="001C68D1">
        <w:rPr>
          <w:rFonts w:ascii="Verdana" w:hAnsi="Verdana" w:cs="Arial"/>
          <w:b/>
          <w:bCs/>
          <w:color w:val="000000" w:themeColor="text1"/>
          <w:shd w:val="clear" w:color="auto" w:fill="FFFFFF"/>
        </w:rPr>
        <w:t> información sobre sanciones e inhabilidades </w:t>
      </w:r>
      <w:r w:rsidRPr="001C68D1">
        <w:rPr>
          <w:rFonts w:ascii="Verdana" w:hAnsi="Verdana" w:cs="Arial"/>
          <w:color w:val="000000" w:themeColor="text1"/>
          <w:shd w:val="clear" w:color="auto" w:fill="FFFFFF"/>
        </w:rPr>
        <w:t>solo cumple su función preventiva si llega oportunamente a los registros públicos. Sobre este deber, esta Agencia expidió la </w:t>
      </w:r>
      <w:r w:rsidRPr="001C68D1">
        <w:rPr>
          <w:rFonts w:ascii="Verdana" w:hAnsi="Verdana" w:cs="Arial"/>
          <w:b/>
          <w:bCs/>
          <w:color w:val="000000" w:themeColor="text1"/>
          <w:shd w:val="clear" w:color="auto" w:fill="FFFFFF"/>
        </w:rPr>
        <w:t>Circular Externa 002 del 5 de mayo de 2026,</w:t>
      </w:r>
      <w:r w:rsidRPr="001C68D1">
        <w:rPr>
          <w:rFonts w:ascii="Verdana" w:hAnsi="Verdana" w:cs="Arial"/>
          <w:color w:val="000000" w:themeColor="text1"/>
          <w:shd w:val="clear" w:color="auto" w:fill="FFFFFF"/>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5" w:tgtFrame="_blank" w:tooltip="Dirección URL original: https://www.colombiacompra.gov.co/archivos/circular/circular-externa-002-de-2026. Haga clic o pulse si confía en este vínculo." w:history="1">
        <w:r w:rsidRPr="001C68D1">
          <w:rPr>
            <w:rStyle w:val="Hipervnculo"/>
            <w:rFonts w:ascii="Verdana" w:hAnsi="Verdana" w:cs="Arial"/>
            <w:color w:val="000000" w:themeColor="text1"/>
            <w:shd w:val="clear" w:color="auto" w:fill="FFFFFF"/>
          </w:rPr>
          <w:t>https://www.colombiacompra.gov.co/archivos/circular/circular-externa-002-de-2026</w:t>
        </w:r>
      </w:hyperlink>
    </w:p>
    <w:p w14:paraId="71651665" w14:textId="77777777" w:rsidR="00206C42" w:rsidRPr="001C68D1" w:rsidRDefault="00206C42" w:rsidP="00206C42">
      <w:pPr>
        <w:widowControl w:val="0"/>
        <w:autoSpaceDE w:val="0"/>
        <w:autoSpaceDN w:val="0"/>
        <w:spacing w:after="0" w:line="276" w:lineRule="auto"/>
        <w:jc w:val="both"/>
        <w:rPr>
          <w:rFonts w:ascii="Verdana" w:hAnsi="Verdana" w:cs="Arial"/>
          <w:color w:val="000000" w:themeColor="text1"/>
          <w:shd w:val="clear" w:color="auto" w:fill="FFFFFF"/>
        </w:rPr>
      </w:pPr>
    </w:p>
    <w:p w14:paraId="4E19047F" w14:textId="77777777" w:rsidR="00206C42" w:rsidRPr="001C68D1" w:rsidRDefault="00206C42" w:rsidP="00206C42">
      <w:pPr>
        <w:widowControl w:val="0"/>
        <w:autoSpaceDE w:val="0"/>
        <w:autoSpaceDN w:val="0"/>
        <w:spacing w:after="0" w:line="276" w:lineRule="auto"/>
        <w:jc w:val="both"/>
        <w:rPr>
          <w:rFonts w:ascii="Verdana" w:hAnsi="Verdana" w:cs="Arial"/>
          <w:color w:val="000000" w:themeColor="text1"/>
          <w:shd w:val="clear" w:color="auto" w:fill="FFFFFF"/>
        </w:rPr>
      </w:pPr>
      <w:r w:rsidRPr="001C68D1">
        <w:rPr>
          <w:rFonts w:ascii="Verdana" w:hAnsi="Verdana" w:cs="Arial"/>
          <w:color w:val="000000" w:themeColor="text1"/>
          <w:shd w:val="clear" w:color="auto" w:fill="FFFFFF"/>
        </w:rPr>
        <w:t>Finalmente, si quieres seguir de cerca la actividad de la Agencia, la tercera edición de 2026 del</w:t>
      </w:r>
      <w:r w:rsidRPr="001C68D1">
        <w:rPr>
          <w:rFonts w:ascii="Verdana" w:hAnsi="Verdana" w:cs="Arial"/>
          <w:b/>
          <w:bCs/>
          <w:color w:val="000000" w:themeColor="text1"/>
          <w:shd w:val="clear" w:color="auto" w:fill="FFFFFF"/>
        </w:rPr>
        <w:t> Radar de la Compra Pública</w:t>
      </w:r>
      <w:r w:rsidRPr="001C68D1">
        <w:rPr>
          <w:rFonts w:ascii="Verdana" w:hAnsi="Verdana" w:cs="Arial"/>
          <w:color w:val="000000" w:themeColor="text1"/>
          <w:shd w:val="clear" w:color="auto" w:fill="FFFFFF"/>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6" w:tgtFrame="_blank" w:tooltip="Dirección URL original: https://www.colombiacompra.gov.co/archivos/boletin/boletin-edicion-n-3-de-2026-radar-de-la-compra-publica. Haga clic o pulse si confía en este vínculo." w:history="1">
        <w:r w:rsidRPr="001C68D1">
          <w:rPr>
            <w:rStyle w:val="Hipervnculo"/>
            <w:rFonts w:ascii="Verdana" w:hAnsi="Verdana" w:cs="Arial"/>
            <w:color w:val="000000" w:themeColor="text1"/>
            <w:shd w:val="clear" w:color="auto" w:fill="FFFFFF"/>
          </w:rPr>
          <w:t>https://www.colombiacompra.gov.co/archivos/boletin/boletin-edicion-n-3-de-2026-radar-de-la-compra-publica</w:t>
        </w:r>
      </w:hyperlink>
    </w:p>
    <w:p w14:paraId="30CE53E1" w14:textId="77777777" w:rsidR="00206C42" w:rsidRPr="00EC1B7C" w:rsidRDefault="00206C42" w:rsidP="00206C42">
      <w:pPr>
        <w:widowControl w:val="0"/>
        <w:autoSpaceDE w:val="0"/>
        <w:autoSpaceDN w:val="0"/>
        <w:spacing w:after="0" w:line="276" w:lineRule="auto"/>
        <w:jc w:val="both"/>
        <w:rPr>
          <w:rStyle w:val="normaltextrun"/>
          <w:rFonts w:ascii="Verdana" w:hAnsi="Verdana" w:cs="Arial"/>
          <w:color w:val="FF0000"/>
          <w:shd w:val="clear" w:color="auto" w:fill="FFFFFF"/>
          <w:lang w:val="es-ES"/>
        </w:rPr>
      </w:pPr>
    </w:p>
    <w:p w14:paraId="7674AD1C" w14:textId="77777777" w:rsidR="00206C42" w:rsidRPr="00EC1B7C" w:rsidRDefault="00206C42" w:rsidP="00206C42">
      <w:pPr>
        <w:spacing w:after="0" w:line="276" w:lineRule="auto"/>
        <w:jc w:val="both"/>
        <w:rPr>
          <w:rFonts w:ascii="Verdana" w:hAnsi="Verdana"/>
          <w:lang w:val="es-ES"/>
        </w:rPr>
      </w:pPr>
      <w:r w:rsidRPr="00EC1B7C">
        <w:rPr>
          <w:rFonts w:ascii="Verdana" w:hAnsi="Verdana"/>
          <w:lang w:val="es-ES"/>
        </w:rPr>
        <w:t xml:space="preserve">Por último, lo invitamos a seguirnos en las redes sociales en las cuales se difunde información institucional: </w:t>
      </w:r>
    </w:p>
    <w:p w14:paraId="75220B39" w14:textId="77777777" w:rsidR="00206C42" w:rsidRPr="00EC1B7C" w:rsidRDefault="00206C42" w:rsidP="00206C42">
      <w:pPr>
        <w:spacing w:after="0" w:line="276" w:lineRule="auto"/>
        <w:jc w:val="both"/>
        <w:rPr>
          <w:rFonts w:ascii="Verdana" w:hAnsi="Verdana"/>
          <w:lang w:val="es-ES"/>
        </w:rPr>
      </w:pPr>
    </w:p>
    <w:p w14:paraId="361573E2" w14:textId="77777777" w:rsidR="00206C42" w:rsidRPr="00EC1B7C" w:rsidRDefault="00206C42" w:rsidP="00206C42">
      <w:pPr>
        <w:spacing w:after="0" w:line="276" w:lineRule="auto"/>
        <w:jc w:val="both"/>
        <w:rPr>
          <w:rFonts w:ascii="Verdana" w:hAnsi="Verdana"/>
          <w:lang w:val="es-ES"/>
        </w:rPr>
      </w:pPr>
      <w:r w:rsidRPr="00EC1B7C">
        <w:rPr>
          <w:rFonts w:ascii="Verdana" w:hAnsi="Verdana"/>
          <w:lang w:val="es-ES"/>
        </w:rPr>
        <w:t xml:space="preserve">Twitter: </w:t>
      </w:r>
      <w:r w:rsidRPr="00EC1B7C">
        <w:rPr>
          <w:rStyle w:val="Hipervnculo"/>
          <w:rFonts w:ascii="Verdana" w:hAnsi="Verdana" w:cs="Arial"/>
          <w:shd w:val="clear" w:color="auto" w:fill="FFFFFF"/>
          <w:lang w:val="es-ES"/>
        </w:rPr>
        <w:t>@colombiacompra</w:t>
      </w:r>
      <w:r w:rsidRPr="00EC1B7C">
        <w:rPr>
          <w:rFonts w:ascii="Verdana" w:hAnsi="Verdana"/>
          <w:color w:val="4472C4" w:themeColor="accent1"/>
          <w:lang w:val="es-ES"/>
        </w:rPr>
        <w:t xml:space="preserve"> </w:t>
      </w:r>
    </w:p>
    <w:p w14:paraId="700B6769" w14:textId="77777777" w:rsidR="00206C42" w:rsidRPr="00EC1B7C" w:rsidRDefault="00206C42" w:rsidP="00206C42">
      <w:pPr>
        <w:spacing w:after="0" w:line="276" w:lineRule="auto"/>
        <w:jc w:val="both"/>
        <w:rPr>
          <w:rFonts w:ascii="Verdana" w:hAnsi="Verdana"/>
          <w:lang w:val="es-ES"/>
        </w:rPr>
      </w:pPr>
      <w:r w:rsidRPr="00EC1B7C">
        <w:rPr>
          <w:rFonts w:ascii="Verdana" w:hAnsi="Verdana"/>
          <w:lang w:val="es-ES"/>
        </w:rPr>
        <w:t xml:space="preserve">Facebook: </w:t>
      </w:r>
      <w:proofErr w:type="spellStart"/>
      <w:r w:rsidRPr="00EC1B7C">
        <w:rPr>
          <w:rStyle w:val="Hipervnculo"/>
          <w:rFonts w:ascii="Verdana" w:hAnsi="Verdana" w:cs="Arial"/>
          <w:shd w:val="clear" w:color="auto" w:fill="FFFFFF"/>
          <w:lang w:val="es-ES"/>
        </w:rPr>
        <w:t>ColombiaCompraEficiente</w:t>
      </w:r>
      <w:proofErr w:type="spellEnd"/>
    </w:p>
    <w:p w14:paraId="008B1DD6" w14:textId="77777777" w:rsidR="00206C42" w:rsidRPr="00EC1B7C" w:rsidRDefault="00206C42" w:rsidP="00206C42">
      <w:pPr>
        <w:spacing w:after="0" w:line="276" w:lineRule="auto"/>
        <w:jc w:val="both"/>
        <w:rPr>
          <w:rFonts w:ascii="Verdana" w:hAnsi="Verdana"/>
          <w:lang w:val="es-ES"/>
        </w:rPr>
      </w:pPr>
      <w:r w:rsidRPr="00EC1B7C">
        <w:rPr>
          <w:rFonts w:ascii="Verdana" w:hAnsi="Verdana"/>
          <w:lang w:val="es-ES"/>
        </w:rPr>
        <w:t xml:space="preserve">LinkedIn: </w:t>
      </w:r>
      <w:r w:rsidRPr="00EC1B7C">
        <w:rPr>
          <w:rStyle w:val="Hipervnculo"/>
          <w:rFonts w:ascii="Verdana" w:hAnsi="Verdana" w:cs="Arial"/>
          <w:shd w:val="clear" w:color="auto" w:fill="FFFFFF"/>
          <w:lang w:val="es-ES"/>
        </w:rPr>
        <w:t xml:space="preserve">Agencia Nacional de Contratación Pública - Colombia Compra Eficiente </w:t>
      </w:r>
      <w:r w:rsidRPr="00EC1B7C">
        <w:rPr>
          <w:rFonts w:ascii="Verdana" w:hAnsi="Verdana"/>
          <w:lang w:val="es-ES"/>
        </w:rPr>
        <w:t xml:space="preserve">Instagram: </w:t>
      </w:r>
      <w:r w:rsidRPr="00EC1B7C">
        <w:rPr>
          <w:rStyle w:val="Hipervnculo"/>
          <w:rFonts w:ascii="Verdana" w:hAnsi="Verdana" w:cs="Arial"/>
          <w:shd w:val="clear" w:color="auto" w:fill="FFFFFF"/>
          <w:lang w:val="es-ES"/>
        </w:rPr>
        <w:t>@colombiacompraeficiente_cce</w:t>
      </w:r>
    </w:p>
    <w:p w14:paraId="7404436D" w14:textId="77777777" w:rsidR="00206C42" w:rsidRPr="00EC1B7C" w:rsidRDefault="00206C42" w:rsidP="00206C42">
      <w:pPr>
        <w:widowControl w:val="0"/>
        <w:autoSpaceDE w:val="0"/>
        <w:autoSpaceDN w:val="0"/>
        <w:spacing w:after="0" w:line="276" w:lineRule="auto"/>
        <w:jc w:val="both"/>
        <w:rPr>
          <w:rFonts w:ascii="Verdana" w:hAnsi="Verdana" w:cs="Arial"/>
          <w:color w:val="000000" w:themeColor="text1"/>
          <w:lang w:val="es-ES"/>
        </w:rPr>
      </w:pPr>
    </w:p>
    <w:p w14:paraId="629B9EA3" w14:textId="77777777" w:rsidR="00206C42" w:rsidRPr="00EC1B7C" w:rsidRDefault="00206C42" w:rsidP="00206C42">
      <w:pPr>
        <w:widowControl w:val="0"/>
        <w:autoSpaceDE w:val="0"/>
        <w:autoSpaceDN w:val="0"/>
        <w:spacing w:after="0" w:line="276" w:lineRule="auto"/>
        <w:jc w:val="both"/>
        <w:rPr>
          <w:rFonts w:ascii="Verdana" w:hAnsi="Verdana" w:cs="Arial"/>
          <w:color w:val="000000" w:themeColor="text1"/>
          <w:lang w:val="es-ES"/>
        </w:rPr>
      </w:pPr>
      <w:r w:rsidRPr="00EC1B7C">
        <w:rPr>
          <w:rFonts w:ascii="Verdana" w:hAnsi="Verdana" w:cs="Arial"/>
          <w:color w:val="000000" w:themeColor="text1"/>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0721CA21" w14:textId="77777777" w:rsidR="00206C42" w:rsidRPr="00EC1B7C" w:rsidRDefault="00206C42" w:rsidP="00206C42">
      <w:pPr>
        <w:widowControl w:val="0"/>
        <w:autoSpaceDE w:val="0"/>
        <w:autoSpaceDN w:val="0"/>
        <w:spacing w:after="0" w:line="276" w:lineRule="auto"/>
        <w:jc w:val="both"/>
        <w:rPr>
          <w:rFonts w:ascii="Verdana" w:hAnsi="Verdana" w:cs="Arial"/>
          <w:color w:val="000000" w:themeColor="text1"/>
          <w:lang w:val="es-ES"/>
        </w:rPr>
      </w:pPr>
    </w:p>
    <w:p w14:paraId="36541195" w14:textId="77777777" w:rsidR="00206C42" w:rsidRDefault="00206C42" w:rsidP="00206C42">
      <w:pPr>
        <w:spacing w:after="0" w:line="276" w:lineRule="auto"/>
        <w:rPr>
          <w:rFonts w:ascii="Verdana" w:hAnsi="Verdana" w:cs="Arial"/>
          <w:color w:val="000000" w:themeColor="text1"/>
          <w:lang w:val="es-ES" w:eastAsia="es-CO"/>
        </w:rPr>
      </w:pPr>
      <w:r w:rsidRPr="00EC1B7C">
        <w:rPr>
          <w:rFonts w:ascii="Verdana" w:eastAsia="Times New Roman" w:hAnsi="Verdana" w:cs="Arial"/>
          <w:color w:val="000000" w:themeColor="text1"/>
          <w:lang w:val="es-ES" w:eastAsia="es-CO"/>
        </w:rPr>
        <w:t>Atentamente,</w:t>
      </w:r>
      <w:r w:rsidRPr="00EC1B7C">
        <w:rPr>
          <w:rFonts w:ascii="Verdana" w:hAnsi="Verdana" w:cs="Arial"/>
          <w:color w:val="000000" w:themeColor="text1"/>
          <w:lang w:val="es-ES" w:eastAsia="es-CO"/>
        </w:rPr>
        <w:t xml:space="preserve"> </w:t>
      </w:r>
    </w:p>
    <w:p w14:paraId="52334071" w14:textId="33C16FCB" w:rsidR="00206C42" w:rsidRDefault="00214602" w:rsidP="00206C42">
      <w:pPr>
        <w:spacing w:after="0" w:line="276" w:lineRule="auto"/>
        <w:jc w:val="center"/>
        <w:rPr>
          <w:rFonts w:ascii="Verdana" w:hAnsi="Verdana" w:cs="Arial"/>
          <w:color w:val="000000" w:themeColor="text1"/>
          <w:lang w:val="es-ES" w:eastAsia="es-CO"/>
        </w:rPr>
      </w:pPr>
      <w:r w:rsidRPr="002C3AD6">
        <w:rPr>
          <w:rFonts w:ascii="Century Gothic" w:hAnsi="Century Gothic"/>
          <w:noProof/>
        </w:rPr>
        <w:drawing>
          <wp:inline distT="0" distB="0" distL="0" distR="0" wp14:anchorId="1EEA9D9C" wp14:editId="29AD1B80">
            <wp:extent cx="3772426" cy="1400370"/>
            <wp:effectExtent l="0" t="0" r="0" b="9525"/>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7"/>
                    <a:stretch>
                      <a:fillRect/>
                    </a:stretch>
                  </pic:blipFill>
                  <pic:spPr>
                    <a:xfrm>
                      <a:off x="0" y="0"/>
                      <a:ext cx="3772426" cy="1400370"/>
                    </a:xfrm>
                    <a:prstGeom prst="rect">
                      <a:avLst/>
                    </a:prstGeom>
                  </pic:spPr>
                </pic:pic>
              </a:graphicData>
            </a:graphic>
          </wp:inline>
        </w:drawing>
      </w:r>
    </w:p>
    <w:p w14:paraId="133C1B8D" w14:textId="77777777" w:rsidR="00206C42" w:rsidRPr="001C68D1" w:rsidRDefault="00206C42" w:rsidP="00206C42">
      <w:pPr>
        <w:spacing w:after="0" w:line="276" w:lineRule="auto"/>
        <w:jc w:val="center"/>
        <w:rPr>
          <w:rFonts w:ascii="Verdana" w:hAnsi="Verdana" w:cs="Arial"/>
          <w:color w:val="000000" w:themeColor="text1"/>
          <w:lang w:val="es-ES" w:eastAsia="es-CO"/>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206C42" w:rsidRPr="00EC1B7C" w14:paraId="5CDCC7B8" w14:textId="77777777" w:rsidTr="00DD2423">
        <w:trPr>
          <w:trHeight w:val="315"/>
        </w:trPr>
        <w:tc>
          <w:tcPr>
            <w:tcW w:w="893" w:type="dxa"/>
            <w:vAlign w:val="center"/>
            <w:hideMark/>
          </w:tcPr>
          <w:p w14:paraId="03F9A44D" w14:textId="77777777" w:rsidR="00206C42" w:rsidRPr="00EC1B7C" w:rsidRDefault="00206C42" w:rsidP="00DD2423">
            <w:pPr>
              <w:contextualSpacing/>
              <w:rPr>
                <w:rFonts w:ascii="Verdana" w:hAnsi="Verdana" w:cs="Arial"/>
                <w:sz w:val="15"/>
                <w:szCs w:val="15"/>
                <w:lang w:val="es-ES" w:eastAsia="es-ES"/>
              </w:rPr>
            </w:pPr>
            <w:r w:rsidRPr="00EC1B7C">
              <w:rPr>
                <w:rFonts w:ascii="Verdana" w:hAnsi="Verdana" w:cs="Arial"/>
                <w:sz w:val="15"/>
                <w:szCs w:val="15"/>
                <w:lang w:val="es-ES" w:eastAsia="es-ES"/>
              </w:rPr>
              <w:t>Elaboró:</w:t>
            </w:r>
          </w:p>
        </w:tc>
        <w:tc>
          <w:tcPr>
            <w:tcW w:w="5628" w:type="dxa"/>
            <w:tcBorders>
              <w:top w:val="nil"/>
              <w:left w:val="nil"/>
              <w:bottom w:val="dotted" w:sz="4" w:space="0" w:color="7F7F7F" w:themeColor="text1" w:themeTint="80"/>
              <w:right w:val="nil"/>
            </w:tcBorders>
            <w:vAlign w:val="center"/>
            <w:hideMark/>
          </w:tcPr>
          <w:p w14:paraId="1B20DAAB" w14:textId="77777777" w:rsidR="00206C42" w:rsidRPr="00EC1B7C" w:rsidRDefault="00206C42" w:rsidP="00DD2423">
            <w:pPr>
              <w:contextualSpacing/>
              <w:rPr>
                <w:rFonts w:ascii="Verdana" w:eastAsia="Arial" w:hAnsi="Verdana" w:cs="Arial"/>
                <w:color w:val="000000" w:themeColor="text1"/>
                <w:sz w:val="15"/>
                <w:szCs w:val="15"/>
                <w:lang w:val="es-ES"/>
              </w:rPr>
            </w:pPr>
            <w:r>
              <w:rPr>
                <w:rFonts w:ascii="Verdana" w:eastAsia="Arial" w:hAnsi="Verdana" w:cs="Arial"/>
                <w:color w:val="000000" w:themeColor="text1"/>
                <w:sz w:val="15"/>
                <w:szCs w:val="15"/>
                <w:lang w:val="es-ES"/>
              </w:rPr>
              <w:t>Richard Andrés Montenegro Siefken</w:t>
            </w:r>
          </w:p>
          <w:p w14:paraId="56718A8B" w14:textId="77777777" w:rsidR="00206C42" w:rsidRPr="00EC1B7C" w:rsidRDefault="00206C42" w:rsidP="00DD2423">
            <w:pPr>
              <w:contextualSpacing/>
              <w:rPr>
                <w:rFonts w:ascii="Verdana" w:eastAsia="Arial" w:hAnsi="Verdana" w:cs="Arial"/>
                <w:sz w:val="15"/>
                <w:szCs w:val="15"/>
                <w:lang w:val="es-ES"/>
              </w:rPr>
            </w:pPr>
            <w:r w:rsidRPr="00EC1B7C">
              <w:rPr>
                <w:rStyle w:val="normaltextrun"/>
                <w:rFonts w:ascii="Verdana" w:eastAsia="Arial" w:hAnsi="Verdana" w:cs="Arial"/>
                <w:color w:val="000000" w:themeColor="text1"/>
                <w:sz w:val="15"/>
                <w:szCs w:val="15"/>
                <w:lang w:val="es-ES"/>
              </w:rPr>
              <w:t xml:space="preserve">Contratista de la Subdirección </w:t>
            </w:r>
            <w:r w:rsidRPr="00EC1B7C">
              <w:rPr>
                <w:rStyle w:val="normaltextrun"/>
                <w:rFonts w:ascii="Verdana" w:eastAsia="Arial" w:hAnsi="Verdana" w:cs="Arial"/>
                <w:sz w:val="15"/>
                <w:szCs w:val="15"/>
                <w:lang w:val="es-ES"/>
              </w:rPr>
              <w:t>de Gestión Contractual</w:t>
            </w:r>
          </w:p>
        </w:tc>
      </w:tr>
      <w:tr w:rsidR="00206C42" w:rsidRPr="00EC1B7C" w14:paraId="694BEE61" w14:textId="77777777" w:rsidTr="00DD2423">
        <w:trPr>
          <w:trHeight w:val="330"/>
        </w:trPr>
        <w:tc>
          <w:tcPr>
            <w:tcW w:w="893" w:type="dxa"/>
            <w:vAlign w:val="center"/>
            <w:hideMark/>
          </w:tcPr>
          <w:p w14:paraId="1CE6B3CA" w14:textId="77777777" w:rsidR="00206C42" w:rsidRPr="00EC1B7C" w:rsidRDefault="00206C42" w:rsidP="00DD2423">
            <w:pPr>
              <w:contextualSpacing/>
              <w:rPr>
                <w:rFonts w:ascii="Verdana" w:hAnsi="Verdana" w:cs="Arial"/>
                <w:sz w:val="15"/>
                <w:szCs w:val="15"/>
                <w:lang w:val="es-ES" w:eastAsia="es-ES"/>
              </w:rPr>
            </w:pPr>
            <w:r w:rsidRPr="00EC1B7C">
              <w:rPr>
                <w:rFonts w:ascii="Verdana" w:hAnsi="Verdana" w:cs="Arial"/>
                <w:sz w:val="15"/>
                <w:szCs w:val="15"/>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598C0CF8" w14:textId="77777777" w:rsidR="00206C42" w:rsidRPr="00EC1B7C" w:rsidRDefault="00206C42" w:rsidP="00DD2423">
            <w:pPr>
              <w:contextualSpacing/>
              <w:rPr>
                <w:rFonts w:ascii="Verdana" w:eastAsia="Arial" w:hAnsi="Verdana" w:cs="Arial"/>
                <w:color w:val="000000" w:themeColor="text1"/>
                <w:sz w:val="15"/>
                <w:szCs w:val="15"/>
                <w:lang w:val="es-ES"/>
              </w:rPr>
            </w:pPr>
            <w:r>
              <w:rPr>
                <w:rFonts w:ascii="Verdana" w:eastAsia="Arial" w:hAnsi="Verdana" w:cs="Arial"/>
                <w:color w:val="000000" w:themeColor="text1"/>
                <w:sz w:val="15"/>
                <w:szCs w:val="15"/>
                <w:lang w:val="es-ES"/>
              </w:rPr>
              <w:t xml:space="preserve">Adriana Katherine </w:t>
            </w:r>
            <w:proofErr w:type="spellStart"/>
            <w:r>
              <w:rPr>
                <w:rFonts w:ascii="Verdana" w:eastAsia="Arial" w:hAnsi="Verdana" w:cs="Arial"/>
                <w:color w:val="000000" w:themeColor="text1"/>
                <w:sz w:val="15"/>
                <w:szCs w:val="15"/>
                <w:lang w:val="es-ES"/>
              </w:rPr>
              <w:t>Lopez</w:t>
            </w:r>
            <w:proofErr w:type="spellEnd"/>
            <w:r>
              <w:rPr>
                <w:rFonts w:ascii="Verdana" w:eastAsia="Arial" w:hAnsi="Verdana" w:cs="Arial"/>
                <w:color w:val="000000" w:themeColor="text1"/>
                <w:sz w:val="15"/>
                <w:szCs w:val="15"/>
                <w:lang w:val="es-ES"/>
              </w:rPr>
              <w:t xml:space="preserve"> </w:t>
            </w:r>
            <w:proofErr w:type="spellStart"/>
            <w:r>
              <w:rPr>
                <w:rFonts w:ascii="Verdana" w:eastAsia="Arial" w:hAnsi="Verdana" w:cs="Arial"/>
                <w:color w:val="000000" w:themeColor="text1"/>
                <w:sz w:val="15"/>
                <w:szCs w:val="15"/>
                <w:lang w:val="es-ES"/>
              </w:rPr>
              <w:t>Rodriguez</w:t>
            </w:r>
            <w:proofErr w:type="spellEnd"/>
          </w:p>
          <w:p w14:paraId="6CDA75F6" w14:textId="77777777" w:rsidR="00206C42" w:rsidRPr="00EC1B7C" w:rsidRDefault="00206C42" w:rsidP="00DD2423">
            <w:pPr>
              <w:pStyle w:val="paragraph"/>
              <w:spacing w:before="0" w:beforeAutospacing="0" w:after="0" w:afterAutospacing="0"/>
              <w:contextualSpacing/>
              <w:textAlignment w:val="baseline"/>
              <w:rPr>
                <w:rFonts w:ascii="Verdana" w:hAnsi="Verdana" w:cs="Segoe UI"/>
                <w:sz w:val="15"/>
                <w:szCs w:val="15"/>
                <w:lang w:val="es-ES"/>
              </w:rPr>
            </w:pPr>
            <w:r w:rsidRPr="00EC1B7C">
              <w:rPr>
                <w:rFonts w:ascii="Verdana" w:eastAsia="Arial" w:hAnsi="Verdana" w:cs="Arial"/>
                <w:color w:val="000000" w:themeColor="text1"/>
                <w:sz w:val="15"/>
                <w:szCs w:val="15"/>
                <w:lang w:val="es-ES"/>
              </w:rPr>
              <w:t>Gestor T1 – 15 de la Subdirección de Gestión Contractual</w:t>
            </w:r>
            <w:r w:rsidRPr="00EC1B7C">
              <w:rPr>
                <w:rFonts w:ascii="Verdana" w:hAnsi="Verdana" w:cs="Segoe UI"/>
                <w:sz w:val="15"/>
                <w:szCs w:val="15"/>
                <w:lang w:val="es-ES"/>
              </w:rPr>
              <w:t> </w:t>
            </w:r>
          </w:p>
          <w:p w14:paraId="13EC3F7A" w14:textId="77777777" w:rsidR="00206C42" w:rsidRPr="00EC1B7C" w:rsidRDefault="00206C42" w:rsidP="00DD2423">
            <w:pPr>
              <w:pStyle w:val="paragraph"/>
              <w:spacing w:before="0" w:beforeAutospacing="0" w:after="0" w:afterAutospacing="0"/>
              <w:contextualSpacing/>
              <w:textAlignment w:val="baseline"/>
              <w:rPr>
                <w:rFonts w:ascii="Verdana" w:hAnsi="Verdana" w:cs="Segoe UI"/>
                <w:sz w:val="15"/>
                <w:szCs w:val="15"/>
                <w:lang w:val="es-ES"/>
              </w:rPr>
            </w:pPr>
          </w:p>
        </w:tc>
      </w:tr>
      <w:tr w:rsidR="00206C42" w:rsidRPr="00EC1B7C" w14:paraId="601843FF" w14:textId="77777777" w:rsidTr="00DD2423">
        <w:trPr>
          <w:trHeight w:val="300"/>
        </w:trPr>
        <w:tc>
          <w:tcPr>
            <w:tcW w:w="893" w:type="dxa"/>
            <w:vAlign w:val="center"/>
          </w:tcPr>
          <w:p w14:paraId="2104EEE2" w14:textId="77777777" w:rsidR="00206C42" w:rsidRPr="00EC1B7C" w:rsidRDefault="00206C42" w:rsidP="00DD2423">
            <w:pPr>
              <w:contextualSpacing/>
              <w:rPr>
                <w:rFonts w:ascii="Verdana" w:hAnsi="Verdana" w:cs="Arial"/>
                <w:sz w:val="15"/>
                <w:szCs w:val="15"/>
                <w:lang w:val="es-ES" w:eastAsia="es-ES"/>
              </w:rPr>
            </w:pPr>
            <w:r w:rsidRPr="00EC1B7C">
              <w:rPr>
                <w:rFonts w:ascii="Verdana" w:hAnsi="Verdana" w:cs="Arial"/>
                <w:sz w:val="15"/>
                <w:szCs w:val="15"/>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554D204D" w14:textId="77777777" w:rsidR="00206C42" w:rsidRPr="00EC1B7C" w:rsidRDefault="00206C42" w:rsidP="00DD2423">
            <w:pPr>
              <w:contextualSpacing/>
              <w:rPr>
                <w:rFonts w:ascii="Verdana" w:eastAsia="Calibri" w:hAnsi="Verdana" w:cs="Arial"/>
                <w:sz w:val="16"/>
                <w:szCs w:val="16"/>
                <w:lang w:val="es-ES" w:eastAsia="es-ES"/>
              </w:rPr>
            </w:pPr>
            <w:r w:rsidRPr="00EC1B7C">
              <w:rPr>
                <w:rFonts w:ascii="Verdana" w:eastAsia="Calibri" w:hAnsi="Verdana" w:cs="Arial"/>
                <w:sz w:val="16"/>
                <w:szCs w:val="16"/>
                <w:lang w:val="es-ES" w:eastAsia="es-ES"/>
              </w:rPr>
              <w:t>Carolina Quintero Gacharná</w:t>
            </w:r>
          </w:p>
          <w:p w14:paraId="0ADD1FC3" w14:textId="77777777" w:rsidR="00206C42" w:rsidRPr="00EC1B7C" w:rsidRDefault="00206C42" w:rsidP="00DD2423">
            <w:pPr>
              <w:contextualSpacing/>
              <w:rPr>
                <w:rFonts w:ascii="Verdana" w:eastAsia="Calibri" w:hAnsi="Verdana" w:cs="Arial"/>
                <w:sz w:val="15"/>
                <w:szCs w:val="15"/>
                <w:lang w:val="es-ES" w:eastAsia="es-ES"/>
              </w:rPr>
            </w:pPr>
            <w:r w:rsidRPr="00EC1B7C">
              <w:rPr>
                <w:rFonts w:ascii="Verdana" w:eastAsia="Calibri" w:hAnsi="Verdana" w:cs="Arial"/>
                <w:sz w:val="16"/>
                <w:szCs w:val="16"/>
                <w:lang w:val="es-ES" w:eastAsia="es-ES"/>
              </w:rPr>
              <w:t>Subdirectora de Gestión Contractual ANCP – CCE</w:t>
            </w:r>
          </w:p>
        </w:tc>
      </w:tr>
      <w:bookmarkEnd w:id="0"/>
    </w:tbl>
    <w:p w14:paraId="1DF56468" w14:textId="77777777" w:rsidR="00206C42" w:rsidRPr="00EC1B7C" w:rsidRDefault="00206C42" w:rsidP="00206C42">
      <w:pPr>
        <w:rPr>
          <w:lang w:val="es-ES"/>
        </w:rPr>
      </w:pPr>
    </w:p>
    <w:p w14:paraId="6A19AA4B" w14:textId="37B53F33" w:rsidR="00206C42" w:rsidRPr="00EC1B7C" w:rsidRDefault="00206C42" w:rsidP="00206C42">
      <w:pPr>
        <w:rPr>
          <w:lang w:val="es-ES"/>
        </w:rPr>
      </w:pPr>
    </w:p>
    <w:p w14:paraId="0F293BF4" w14:textId="1EEC1A77" w:rsidR="00127233" w:rsidRPr="004C0CE9" w:rsidRDefault="00127233" w:rsidP="004C0CE9"/>
    <w:sectPr w:rsidR="00127233" w:rsidRPr="004C0CE9" w:rsidSect="007C0C0F">
      <w:headerReference w:type="default" r:id="rId18"/>
      <w:footerReference w:type="default" r:id="rId1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963A2" w14:textId="77777777" w:rsidR="008304A2" w:rsidRDefault="008304A2" w:rsidP="004A1847">
      <w:pPr>
        <w:spacing w:after="0" w:line="240" w:lineRule="auto"/>
      </w:pPr>
      <w:r>
        <w:separator/>
      </w:r>
    </w:p>
  </w:endnote>
  <w:endnote w:type="continuationSeparator" w:id="0">
    <w:p w14:paraId="239AABBC" w14:textId="77777777" w:rsidR="008304A2" w:rsidRDefault="008304A2"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Pr="00732A4C"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val="pt-PT" w:eastAsia="es-CO"/>
      </w:rPr>
    </w:pPr>
    <w:r w:rsidRPr="00732A4C">
      <w:rPr>
        <w:rFonts w:ascii="Verdana" w:eastAsia="Verdana" w:hAnsi="Verdana" w:cs="Verdana"/>
        <w:b/>
        <w:bCs/>
        <w:color w:val="000000" w:themeColor="text1"/>
        <w:sz w:val="18"/>
        <w:szCs w:val="18"/>
        <w:lang w:val="pt-PT" w:eastAsia="es-CO"/>
      </w:rPr>
      <w:t xml:space="preserve">Código: </w:t>
    </w:r>
    <w:r w:rsidRPr="00732A4C">
      <w:rPr>
        <w:rFonts w:ascii="Verdana" w:eastAsia="Verdana" w:hAnsi="Verdana" w:cs="Verdana"/>
        <w:color w:val="000000" w:themeColor="text1"/>
        <w:sz w:val="18"/>
        <w:szCs w:val="18"/>
        <w:lang w:val="pt-PT" w:eastAsia="es-CO"/>
      </w:rPr>
      <w:t xml:space="preserve">CCE-REC-FM-17 </w:t>
    </w:r>
    <w:r w:rsidRPr="00732A4C">
      <w:rPr>
        <w:rFonts w:ascii="Verdana" w:eastAsia="Verdana" w:hAnsi="Verdana" w:cs="Verdana"/>
        <w:b/>
        <w:bCs/>
        <w:color w:val="000000" w:themeColor="text1"/>
        <w:sz w:val="18"/>
        <w:szCs w:val="18"/>
        <w:lang w:val="pt-PT" w:eastAsia="es-CO"/>
      </w:rPr>
      <w:t xml:space="preserve">V: </w:t>
    </w:r>
    <w:r w:rsidRPr="00732A4C">
      <w:rPr>
        <w:rFonts w:ascii="Verdana" w:eastAsia="Verdana" w:hAnsi="Verdana" w:cs="Verdana"/>
        <w:sz w:val="18"/>
        <w:szCs w:val="18"/>
        <w:lang w:val="pt-PT"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EAD25" w14:textId="77777777" w:rsidR="008304A2" w:rsidRDefault="008304A2" w:rsidP="004A1847">
      <w:pPr>
        <w:spacing w:after="0" w:line="240" w:lineRule="auto"/>
      </w:pPr>
      <w:r>
        <w:separator/>
      </w:r>
    </w:p>
  </w:footnote>
  <w:footnote w:type="continuationSeparator" w:id="0">
    <w:p w14:paraId="4C0ED739" w14:textId="77777777" w:rsidR="008304A2" w:rsidRDefault="008304A2" w:rsidP="004A1847">
      <w:pPr>
        <w:spacing w:after="0" w:line="240" w:lineRule="auto"/>
      </w:pPr>
      <w:r>
        <w:continuationSeparator/>
      </w:r>
    </w:p>
  </w:footnote>
  <w:footnote w:id="1">
    <w:p w14:paraId="4EC9EEC5" w14:textId="77777777" w:rsidR="00206C42" w:rsidRPr="008B7171" w:rsidRDefault="00206C42" w:rsidP="00206C42">
      <w:pPr>
        <w:pStyle w:val="Textonotapie"/>
        <w:ind w:firstLine="709"/>
        <w:jc w:val="both"/>
        <w:rPr>
          <w:rFonts w:ascii="Verdana" w:hAnsi="Verdana" w:cs="Arial"/>
          <w:color w:val="000000" w:themeColor="text1"/>
          <w:sz w:val="15"/>
          <w:szCs w:val="15"/>
        </w:rPr>
      </w:pPr>
      <w:r w:rsidRPr="008B7171">
        <w:rPr>
          <w:rStyle w:val="Refdenotaalpie"/>
          <w:rFonts w:ascii="Verdana" w:hAnsi="Verdana" w:cs="Arial"/>
          <w:color w:val="000000" w:themeColor="text1"/>
          <w:sz w:val="15"/>
          <w:szCs w:val="15"/>
        </w:rPr>
        <w:footnoteRef/>
      </w:r>
      <w:r w:rsidRPr="008B7171">
        <w:rPr>
          <w:rFonts w:ascii="Verdana" w:hAnsi="Verdana" w:cs="Arial"/>
          <w:color w:val="000000" w:themeColor="text1"/>
          <w:sz w:val="15"/>
          <w:szCs w:val="15"/>
        </w:rPr>
        <w:t xml:space="preserve"> En los términos del artículo 665 del Código Civil: “Derecho real es el que tenemos sobre una cosa sin especto a determinada persona.</w:t>
      </w:r>
    </w:p>
    <w:p w14:paraId="33D9D1CF" w14:textId="77777777" w:rsidR="00206C42" w:rsidRPr="008B7171" w:rsidRDefault="00206C42" w:rsidP="00206C42">
      <w:pPr>
        <w:pStyle w:val="Textonotapie"/>
        <w:ind w:firstLine="709"/>
        <w:jc w:val="both"/>
        <w:rPr>
          <w:rFonts w:ascii="Verdana" w:hAnsi="Verdana" w:cs="Arial"/>
          <w:color w:val="000000" w:themeColor="text1"/>
          <w:sz w:val="15"/>
          <w:szCs w:val="15"/>
        </w:rPr>
      </w:pPr>
      <w:r w:rsidRPr="008B7171">
        <w:rPr>
          <w:rFonts w:ascii="Verdana" w:hAnsi="Verdana" w:cs="Arial"/>
          <w:color w:val="000000" w:themeColor="text1"/>
          <w:sz w:val="15"/>
          <w:szCs w:val="15"/>
        </w:rPr>
        <w:t>Son derechos reales el de dominio, el de herencia, los de usufructo, uso o habitación, los de servidumbres activas, el de prenda y el de hipoteca. De estos derechos nacen las acciones reales”.</w:t>
      </w:r>
    </w:p>
    <w:p w14:paraId="4652CEA9" w14:textId="77777777" w:rsidR="00206C42" w:rsidRPr="008B7171" w:rsidRDefault="00206C42" w:rsidP="00206C42">
      <w:pPr>
        <w:pStyle w:val="Textonotapie"/>
        <w:ind w:firstLine="709"/>
        <w:jc w:val="both"/>
        <w:rPr>
          <w:rFonts w:ascii="Verdana" w:hAnsi="Verdana" w:cs="Arial"/>
          <w:color w:val="000000" w:themeColor="text1"/>
          <w:sz w:val="15"/>
          <w:szCs w:val="15"/>
        </w:rPr>
      </w:pPr>
    </w:p>
  </w:footnote>
  <w:footnote w:id="2">
    <w:p w14:paraId="71CF08C7" w14:textId="77777777" w:rsidR="00206C42" w:rsidRPr="008B7171" w:rsidRDefault="00206C42" w:rsidP="00206C42">
      <w:pPr>
        <w:pStyle w:val="Textonotapie"/>
        <w:ind w:firstLine="709"/>
        <w:jc w:val="both"/>
        <w:rPr>
          <w:rFonts w:ascii="Verdana" w:hAnsi="Verdana" w:cs="Arial"/>
          <w:color w:val="000000" w:themeColor="text1"/>
          <w:sz w:val="15"/>
          <w:szCs w:val="15"/>
        </w:rPr>
      </w:pPr>
      <w:r w:rsidRPr="008B7171">
        <w:rPr>
          <w:rStyle w:val="Refdenotaalpie"/>
          <w:rFonts w:ascii="Verdana" w:hAnsi="Verdana" w:cs="Arial"/>
          <w:color w:val="000000" w:themeColor="text1"/>
          <w:sz w:val="15"/>
          <w:szCs w:val="15"/>
        </w:rPr>
        <w:footnoteRef/>
      </w:r>
      <w:r w:rsidRPr="008B7171">
        <w:rPr>
          <w:rFonts w:ascii="Verdana" w:hAnsi="Verdana" w:cs="Arial"/>
          <w:color w:val="000000" w:themeColor="text1"/>
          <w:sz w:val="15"/>
          <w:szCs w:val="15"/>
        </w:rPr>
        <w:t xml:space="preserve"> Según el Diccionario del español jurídico, enajenar es «Disponer de un bien o derecho transmitiendo su titularidad». En sitio web: https://dej.rae.es/lema/enajenar. Por su parte, la jurisprudencia ha definido la enajenación del siguiente modo: “En términos jurídicos ’enajenación’ significa ’La transmisión de la propiedad de una cosa, a cambio de otra (como en la compraventa y en la permuta) o gratuitamente (como en la donación y el préstamo sin interés).</w:t>
      </w:r>
    </w:p>
    <w:p w14:paraId="2E909CE6" w14:textId="77777777" w:rsidR="00206C42" w:rsidRPr="008B7171" w:rsidRDefault="00206C42" w:rsidP="00206C42">
      <w:pPr>
        <w:spacing w:after="0" w:line="240" w:lineRule="auto"/>
        <w:ind w:firstLine="709"/>
        <w:jc w:val="both"/>
        <w:rPr>
          <w:rFonts w:ascii="Verdana" w:hAnsi="Verdana" w:cs="Arial"/>
          <w:color w:val="000000" w:themeColor="text1"/>
          <w:sz w:val="15"/>
          <w:szCs w:val="15"/>
        </w:rPr>
      </w:pPr>
      <w:r w:rsidRPr="008B7171">
        <w:rPr>
          <w:rFonts w:ascii="Verdana" w:hAnsi="Verdana" w:cs="Arial"/>
          <w:color w:val="000000" w:themeColor="text1"/>
          <w:sz w:val="15"/>
          <w:szCs w:val="15"/>
        </w:rPr>
        <w:t>Igualmente, para la doctrina la palabra enajenación en su sentido natural indica la transmisión de cualquier derecho patrimonial de una cabeza a otra, por lo que constituye una adquisición derivada por acto entre vivos del contenido total o parcial de un derecho” (Consejo de Estado. Sección Cuarta. Sentencia del 6 de febrero de 2006. C.P. María Inés Ortiz Barbosa. Exp. 14.123).</w:t>
      </w:r>
    </w:p>
  </w:footnote>
  <w:footnote w:id="3">
    <w:p w14:paraId="7CDFFEE4" w14:textId="77777777" w:rsidR="00206C42" w:rsidRPr="008B7171" w:rsidRDefault="00206C42" w:rsidP="00206C42">
      <w:pPr>
        <w:pStyle w:val="Textonotapie"/>
        <w:ind w:firstLine="709"/>
        <w:jc w:val="both"/>
        <w:rPr>
          <w:rFonts w:ascii="Verdana" w:hAnsi="Verdana" w:cs="Arial"/>
          <w:color w:val="000000" w:themeColor="text1"/>
          <w:sz w:val="15"/>
          <w:szCs w:val="15"/>
        </w:rPr>
      </w:pPr>
      <w:r w:rsidRPr="008B7171">
        <w:rPr>
          <w:rStyle w:val="Refdenotaalpie"/>
          <w:rFonts w:ascii="Verdana" w:hAnsi="Verdana" w:cs="Arial"/>
          <w:color w:val="000000" w:themeColor="text1"/>
          <w:sz w:val="15"/>
          <w:szCs w:val="15"/>
        </w:rPr>
        <w:footnoteRef/>
      </w:r>
      <w:r w:rsidRPr="008B7171">
        <w:rPr>
          <w:rFonts w:ascii="Verdana" w:hAnsi="Verdana" w:cs="Arial"/>
          <w:color w:val="000000" w:themeColor="text1"/>
          <w:sz w:val="15"/>
          <w:szCs w:val="15"/>
        </w:rPr>
        <w:t xml:space="preserve"> VELÁSQUEZ, Hernán Darío. Estudio sobre obligaciones. Bogotá: Temis, 2010. p. 10.</w:t>
      </w:r>
    </w:p>
  </w:footnote>
  <w:footnote w:id="4">
    <w:p w14:paraId="38425AC7" w14:textId="77777777" w:rsidR="00206C42" w:rsidRPr="008B7171" w:rsidRDefault="00206C42" w:rsidP="00206C42">
      <w:pPr>
        <w:pStyle w:val="Textonotapie"/>
        <w:ind w:firstLine="709"/>
        <w:jc w:val="both"/>
        <w:rPr>
          <w:rFonts w:ascii="Verdana" w:hAnsi="Verdana" w:cs="Arial"/>
          <w:color w:val="000000" w:themeColor="text1"/>
          <w:sz w:val="15"/>
          <w:szCs w:val="15"/>
        </w:rPr>
      </w:pPr>
      <w:r w:rsidRPr="008B7171">
        <w:rPr>
          <w:rStyle w:val="Refdenotaalpie"/>
          <w:rFonts w:ascii="Verdana" w:hAnsi="Verdana" w:cs="Arial"/>
          <w:color w:val="000000" w:themeColor="text1"/>
          <w:sz w:val="15"/>
          <w:szCs w:val="15"/>
        </w:rPr>
        <w:footnoteRef/>
      </w:r>
      <w:r w:rsidRPr="008B7171">
        <w:rPr>
          <w:rFonts w:ascii="Verdana" w:hAnsi="Verdana" w:cs="Arial"/>
          <w:color w:val="000000" w:themeColor="text1"/>
          <w:sz w:val="15"/>
          <w:szCs w:val="15"/>
        </w:rPr>
        <w:t xml:space="preserve"> “Los modos de adquirir el dominio son la ocupación, la accesión, la tradición, la sucesión por causa de muerte y la prescripción”.</w:t>
      </w:r>
    </w:p>
  </w:footnote>
  <w:footnote w:id="5">
    <w:p w14:paraId="64A15823" w14:textId="77777777" w:rsidR="00206C42" w:rsidRPr="008B7171" w:rsidRDefault="00206C42" w:rsidP="00206C42">
      <w:pPr>
        <w:spacing w:after="0" w:line="240" w:lineRule="auto"/>
        <w:ind w:firstLine="709"/>
        <w:jc w:val="both"/>
        <w:rPr>
          <w:rFonts w:ascii="Verdana" w:hAnsi="Verdana" w:cs="Arial"/>
          <w:color w:val="000000" w:themeColor="text1"/>
          <w:sz w:val="15"/>
          <w:szCs w:val="15"/>
          <w:lang w:val="es-ES"/>
        </w:rPr>
      </w:pPr>
      <w:r w:rsidRPr="008B7171">
        <w:rPr>
          <w:rStyle w:val="Refdenotaalpie"/>
          <w:rFonts w:ascii="Verdana" w:hAnsi="Verdana" w:cs="Arial"/>
          <w:color w:val="000000" w:themeColor="text1"/>
          <w:sz w:val="15"/>
          <w:szCs w:val="15"/>
        </w:rPr>
        <w:footnoteRef/>
      </w:r>
      <w:r w:rsidRPr="008B7171">
        <w:rPr>
          <w:rFonts w:ascii="Verdana" w:hAnsi="Verdana" w:cs="Arial"/>
          <w:color w:val="000000" w:themeColor="text1"/>
          <w:sz w:val="15"/>
          <w:szCs w:val="15"/>
        </w:rPr>
        <w:t xml:space="preserve"> </w:t>
      </w:r>
      <w:r w:rsidRPr="008B7171">
        <w:rPr>
          <w:rFonts w:ascii="Verdana" w:hAnsi="Verdana" w:cs="Arial"/>
          <w:color w:val="000000" w:themeColor="text1"/>
          <w:sz w:val="15"/>
          <w:szCs w:val="15"/>
          <w:lang w:val="es-ES"/>
        </w:rPr>
        <w:t>Según el artículo 749 del Código Civil “Si la ley exige solemnidades especiales para la enajenación, no se transfiere el dominio sin ellas”.</w:t>
      </w:r>
    </w:p>
  </w:footnote>
  <w:footnote w:id="6">
    <w:p w14:paraId="1CBF1A5F" w14:textId="77777777" w:rsidR="00206C42" w:rsidRPr="008B7171" w:rsidRDefault="00206C42" w:rsidP="00206C42">
      <w:pPr>
        <w:pStyle w:val="Textonotapie"/>
        <w:ind w:firstLine="708"/>
        <w:jc w:val="both"/>
        <w:rPr>
          <w:rFonts w:ascii="Verdana" w:hAnsi="Verdana" w:cs="Arial"/>
          <w:sz w:val="15"/>
          <w:szCs w:val="15"/>
          <w:lang w:val="es-ES"/>
        </w:rPr>
      </w:pPr>
      <w:r w:rsidRPr="008B7171">
        <w:rPr>
          <w:rStyle w:val="Refdenotaalpie"/>
          <w:rFonts w:ascii="Verdana" w:hAnsi="Verdana" w:cs="Arial"/>
          <w:sz w:val="15"/>
          <w:szCs w:val="15"/>
        </w:rPr>
        <w:footnoteRef/>
      </w:r>
      <w:r w:rsidRPr="008B7171">
        <w:rPr>
          <w:rFonts w:ascii="Verdana" w:hAnsi="Verdana" w:cs="Arial"/>
          <w:sz w:val="15"/>
          <w:szCs w:val="15"/>
        </w:rPr>
        <w:t xml:space="preserve"> Consejo de Estado, Sección Tercera, Subsección A. Sentencia del 25 de mayo de 2016. C.P. Hernán Andrade Rincón.</w:t>
      </w:r>
    </w:p>
  </w:footnote>
  <w:footnote w:id="7">
    <w:p w14:paraId="6A637850" w14:textId="77777777" w:rsidR="00206C42" w:rsidRPr="008B7171" w:rsidRDefault="00206C42" w:rsidP="00206C42">
      <w:pPr>
        <w:spacing w:after="0" w:line="240" w:lineRule="auto"/>
        <w:ind w:firstLine="708"/>
        <w:jc w:val="both"/>
        <w:rPr>
          <w:rFonts w:ascii="Verdana" w:hAnsi="Verdana" w:cs="Arial"/>
          <w:color w:val="000000" w:themeColor="text1"/>
          <w:sz w:val="15"/>
          <w:szCs w:val="15"/>
        </w:rPr>
      </w:pPr>
      <w:r w:rsidRPr="008B7171">
        <w:rPr>
          <w:rStyle w:val="Refdenotaalpie"/>
          <w:rFonts w:ascii="Verdana" w:hAnsi="Verdana" w:cs="Arial"/>
          <w:sz w:val="15"/>
          <w:szCs w:val="15"/>
        </w:rPr>
        <w:footnoteRef/>
      </w:r>
      <w:r w:rsidRPr="008B7171">
        <w:rPr>
          <w:rFonts w:ascii="Verdana" w:hAnsi="Verdana" w:cs="Arial"/>
          <w:sz w:val="15"/>
          <w:szCs w:val="15"/>
        </w:rPr>
        <w:t xml:space="preserve"> </w:t>
      </w:r>
      <w:r w:rsidRPr="008B7171">
        <w:rPr>
          <w:rFonts w:ascii="Verdana" w:hAnsi="Verdana" w:cs="Arial"/>
          <w:color w:val="000000" w:themeColor="text1"/>
          <w:sz w:val="15"/>
          <w:szCs w:val="15"/>
        </w:rPr>
        <w:t xml:space="preserve">Corte Constitucional. Sentencia C-183 de 2003. Sala Plena. M.P. Alfredo Beltrán Sierra. </w:t>
      </w:r>
    </w:p>
  </w:footnote>
  <w:footnote w:id="8">
    <w:p w14:paraId="050B920C" w14:textId="77777777" w:rsidR="00206C42" w:rsidRPr="008B7171" w:rsidRDefault="00206C42" w:rsidP="00206C42">
      <w:pPr>
        <w:pStyle w:val="Textonotapie"/>
        <w:ind w:firstLine="708"/>
        <w:jc w:val="both"/>
        <w:rPr>
          <w:rFonts w:ascii="Verdana" w:hAnsi="Verdana" w:cs="Arial"/>
          <w:sz w:val="15"/>
          <w:szCs w:val="15"/>
          <w:lang w:val="es-ES"/>
        </w:rPr>
      </w:pPr>
      <w:r w:rsidRPr="008B7171">
        <w:rPr>
          <w:rStyle w:val="Refdenotaalpie"/>
          <w:rFonts w:ascii="Verdana" w:hAnsi="Verdana" w:cs="Arial"/>
          <w:sz w:val="15"/>
          <w:szCs w:val="15"/>
        </w:rPr>
        <w:footnoteRef/>
      </w:r>
      <w:r w:rsidRPr="008B7171">
        <w:rPr>
          <w:rFonts w:ascii="Verdana" w:hAnsi="Verdana" w:cs="Arial"/>
          <w:sz w:val="15"/>
          <w:szCs w:val="15"/>
        </w:rPr>
        <w:t xml:space="preserve"> </w:t>
      </w:r>
      <w:r w:rsidRPr="008B7171">
        <w:rPr>
          <w:rFonts w:ascii="Verdana" w:hAnsi="Verdana" w:cs="Arial"/>
          <w:sz w:val="15"/>
          <w:szCs w:val="15"/>
          <w:lang w:val="es-ES"/>
        </w:rPr>
        <w:t>Ibídem</w:t>
      </w:r>
    </w:p>
  </w:footnote>
  <w:footnote w:id="9">
    <w:p w14:paraId="27EE88F0" w14:textId="77777777" w:rsidR="00206C42" w:rsidRPr="008B7171" w:rsidRDefault="00206C42" w:rsidP="00206C42">
      <w:pPr>
        <w:pStyle w:val="Textonotapie"/>
        <w:ind w:firstLine="708"/>
        <w:jc w:val="both"/>
        <w:rPr>
          <w:rFonts w:ascii="Verdana" w:hAnsi="Verdana" w:cs="Arial"/>
          <w:color w:val="000000" w:themeColor="text1"/>
          <w:sz w:val="15"/>
          <w:szCs w:val="15"/>
        </w:rPr>
      </w:pPr>
      <w:r w:rsidRPr="008B7171">
        <w:rPr>
          <w:rStyle w:val="Refdenotaalpie"/>
          <w:rFonts w:ascii="Verdana" w:hAnsi="Verdana" w:cs="Arial"/>
          <w:color w:val="000000" w:themeColor="text1"/>
          <w:sz w:val="15"/>
          <w:szCs w:val="15"/>
        </w:rPr>
        <w:footnoteRef/>
      </w:r>
      <w:r w:rsidRPr="008B7171">
        <w:rPr>
          <w:rFonts w:ascii="Verdana" w:hAnsi="Verdana" w:cs="Arial"/>
          <w:color w:val="000000" w:themeColor="text1"/>
          <w:sz w:val="15"/>
          <w:szCs w:val="15"/>
        </w:rPr>
        <w:t xml:space="preserve"> Consejo de Estado. Sección Tercera, Subsección B. Sentencia del 30 de abril de 2012. C.P. Ruth Stella Correa Palacio. Exp. 21.699.</w:t>
      </w:r>
    </w:p>
  </w:footnote>
  <w:footnote w:id="10">
    <w:p w14:paraId="050829F8" w14:textId="77777777" w:rsidR="00206C42" w:rsidRPr="008B7171" w:rsidRDefault="00206C42" w:rsidP="00206C42">
      <w:pPr>
        <w:spacing w:after="0" w:line="240" w:lineRule="auto"/>
        <w:ind w:firstLine="708"/>
        <w:jc w:val="both"/>
        <w:rPr>
          <w:rFonts w:ascii="Verdana" w:hAnsi="Verdana" w:cs="Arial"/>
          <w:color w:val="000000" w:themeColor="text1"/>
          <w:sz w:val="15"/>
          <w:szCs w:val="15"/>
        </w:rPr>
      </w:pPr>
      <w:r w:rsidRPr="008B7171">
        <w:rPr>
          <w:rStyle w:val="Refdenotaalpie"/>
          <w:rFonts w:ascii="Verdana" w:hAnsi="Verdana" w:cs="Arial"/>
          <w:color w:val="000000" w:themeColor="text1"/>
          <w:sz w:val="15"/>
          <w:szCs w:val="15"/>
        </w:rPr>
        <w:footnoteRef/>
      </w:r>
      <w:r w:rsidRPr="008B7171">
        <w:rPr>
          <w:rFonts w:ascii="Verdana" w:hAnsi="Verdana" w:cs="Arial"/>
          <w:color w:val="000000" w:themeColor="text1"/>
          <w:sz w:val="15"/>
          <w:szCs w:val="15"/>
        </w:rPr>
        <w:t xml:space="preserve"> Consejo de Estado. Sección Tercera, Subsección A. Sentencia del 19 de julio de 2018, C.P. Carlos Alberto Zambrano Barrera. Exp. 36.711.</w:t>
      </w:r>
    </w:p>
  </w:footnote>
  <w:footnote w:id="11">
    <w:p w14:paraId="253ECD36" w14:textId="77777777" w:rsidR="00206C42" w:rsidRPr="008B7171" w:rsidRDefault="00206C42" w:rsidP="00206C42">
      <w:pPr>
        <w:spacing w:after="0" w:line="240" w:lineRule="auto"/>
        <w:ind w:firstLine="708"/>
        <w:jc w:val="both"/>
        <w:rPr>
          <w:rFonts w:ascii="Verdana" w:hAnsi="Verdana" w:cs="Arial"/>
          <w:color w:val="000000" w:themeColor="text1"/>
          <w:sz w:val="15"/>
          <w:szCs w:val="15"/>
        </w:rPr>
      </w:pPr>
      <w:r w:rsidRPr="008B7171">
        <w:rPr>
          <w:rStyle w:val="Refdenotaalpie"/>
          <w:rFonts w:ascii="Verdana" w:hAnsi="Verdana" w:cs="Arial"/>
          <w:color w:val="000000" w:themeColor="text1"/>
          <w:sz w:val="15"/>
          <w:szCs w:val="15"/>
        </w:rPr>
        <w:footnoteRef/>
      </w:r>
      <w:r w:rsidRPr="008B7171">
        <w:rPr>
          <w:rFonts w:ascii="Verdana" w:hAnsi="Verdana" w:cs="Arial"/>
          <w:color w:val="000000" w:themeColor="text1"/>
          <w:sz w:val="15"/>
          <w:szCs w:val="15"/>
        </w:rPr>
        <w:t xml:space="preserve"> Corte Constitucional. Sentencia C-183 de 2003.  M.P. Alfredo Beltrán Sierra.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1916AB3"/>
    <w:multiLevelType w:val="hybridMultilevel"/>
    <w:tmpl w:val="D61EC1E6"/>
    <w:lvl w:ilvl="0" w:tplc="73DEAA1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7681820"/>
    <w:multiLevelType w:val="hybridMultilevel"/>
    <w:tmpl w:val="978A04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948779781">
    <w:abstractNumId w:val="7"/>
  </w:num>
  <w:num w:numId="2" w16cid:durableId="19822139">
    <w:abstractNumId w:val="2"/>
  </w:num>
  <w:num w:numId="3" w16cid:durableId="876742304">
    <w:abstractNumId w:val="5"/>
  </w:num>
  <w:num w:numId="4" w16cid:durableId="245186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6"/>
  </w:num>
  <w:num w:numId="8" w16cid:durableId="152644682">
    <w:abstractNumId w:val="12"/>
  </w:num>
  <w:num w:numId="9" w16cid:durableId="1317221377">
    <w:abstractNumId w:val="8"/>
  </w:num>
  <w:num w:numId="10" w16cid:durableId="1471245386">
    <w:abstractNumId w:val="11"/>
  </w:num>
  <w:num w:numId="11" w16cid:durableId="289172385">
    <w:abstractNumId w:val="9"/>
  </w:num>
  <w:num w:numId="12" w16cid:durableId="1470781324">
    <w:abstractNumId w:val="1"/>
  </w:num>
  <w:num w:numId="13" w16cid:durableId="1512908409">
    <w:abstractNumId w:val="4"/>
  </w:num>
  <w:num w:numId="14" w16cid:durableId="895897244">
    <w:abstractNumId w:val="14"/>
  </w:num>
  <w:num w:numId="15" w16cid:durableId="390349800">
    <w:abstractNumId w:val="10"/>
  </w:num>
  <w:num w:numId="16" w16cid:durableId="341274352">
    <w:abstractNumId w:val="0"/>
  </w:num>
  <w:num w:numId="17" w16cid:durableId="571424827">
    <w:abstractNumId w:val="3"/>
  </w:num>
  <w:num w:numId="18" w16cid:durableId="2625415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0062"/>
    <w:rsid w:val="00016F78"/>
    <w:rsid w:val="00046945"/>
    <w:rsid w:val="00061B2A"/>
    <w:rsid w:val="00082362"/>
    <w:rsid w:val="000873B7"/>
    <w:rsid w:val="00097F87"/>
    <w:rsid w:val="000A683E"/>
    <w:rsid w:val="000B19B9"/>
    <w:rsid w:val="000D0334"/>
    <w:rsid w:val="000D5DA7"/>
    <w:rsid w:val="000F6486"/>
    <w:rsid w:val="00116940"/>
    <w:rsid w:val="00125105"/>
    <w:rsid w:val="00127233"/>
    <w:rsid w:val="0015699B"/>
    <w:rsid w:val="001639CA"/>
    <w:rsid w:val="001A33BF"/>
    <w:rsid w:val="001E4177"/>
    <w:rsid w:val="001F0B24"/>
    <w:rsid w:val="001F7DC6"/>
    <w:rsid w:val="00206C42"/>
    <w:rsid w:val="00214602"/>
    <w:rsid w:val="0022400B"/>
    <w:rsid w:val="002421BB"/>
    <w:rsid w:val="0025796E"/>
    <w:rsid w:val="002707A2"/>
    <w:rsid w:val="002951A0"/>
    <w:rsid w:val="002962BC"/>
    <w:rsid w:val="002A093D"/>
    <w:rsid w:val="002A0DD0"/>
    <w:rsid w:val="002A49AC"/>
    <w:rsid w:val="002A64FD"/>
    <w:rsid w:val="002C7A84"/>
    <w:rsid w:val="002E2BF8"/>
    <w:rsid w:val="002E4FD9"/>
    <w:rsid w:val="0030657A"/>
    <w:rsid w:val="00317FA4"/>
    <w:rsid w:val="00322A85"/>
    <w:rsid w:val="00324168"/>
    <w:rsid w:val="00330834"/>
    <w:rsid w:val="003448F4"/>
    <w:rsid w:val="003632AF"/>
    <w:rsid w:val="00374F5E"/>
    <w:rsid w:val="00377E3E"/>
    <w:rsid w:val="003A779E"/>
    <w:rsid w:val="003D0F4D"/>
    <w:rsid w:val="003D5B0D"/>
    <w:rsid w:val="003E0499"/>
    <w:rsid w:val="003E4F80"/>
    <w:rsid w:val="003E6439"/>
    <w:rsid w:val="003F3941"/>
    <w:rsid w:val="00406575"/>
    <w:rsid w:val="00414C74"/>
    <w:rsid w:val="0042722E"/>
    <w:rsid w:val="0044528D"/>
    <w:rsid w:val="00466E39"/>
    <w:rsid w:val="004A1847"/>
    <w:rsid w:val="004A305D"/>
    <w:rsid w:val="004C0CE9"/>
    <w:rsid w:val="004F21C4"/>
    <w:rsid w:val="004F685F"/>
    <w:rsid w:val="005037F2"/>
    <w:rsid w:val="005521B4"/>
    <w:rsid w:val="005566E8"/>
    <w:rsid w:val="00574867"/>
    <w:rsid w:val="00591460"/>
    <w:rsid w:val="005A65E0"/>
    <w:rsid w:val="005C3777"/>
    <w:rsid w:val="005C5CDC"/>
    <w:rsid w:val="005D476C"/>
    <w:rsid w:val="006200BF"/>
    <w:rsid w:val="006219F8"/>
    <w:rsid w:val="006302F7"/>
    <w:rsid w:val="00646B9F"/>
    <w:rsid w:val="00665D70"/>
    <w:rsid w:val="006900D9"/>
    <w:rsid w:val="00706C16"/>
    <w:rsid w:val="007247C1"/>
    <w:rsid w:val="00732A4C"/>
    <w:rsid w:val="007340C3"/>
    <w:rsid w:val="0075235A"/>
    <w:rsid w:val="00756841"/>
    <w:rsid w:val="007649AB"/>
    <w:rsid w:val="00771D0C"/>
    <w:rsid w:val="007833AC"/>
    <w:rsid w:val="007929A2"/>
    <w:rsid w:val="007B268C"/>
    <w:rsid w:val="007B7171"/>
    <w:rsid w:val="007C0C0F"/>
    <w:rsid w:val="007C3DC2"/>
    <w:rsid w:val="007E5497"/>
    <w:rsid w:val="007F2F8D"/>
    <w:rsid w:val="00806F5F"/>
    <w:rsid w:val="00820278"/>
    <w:rsid w:val="008207B1"/>
    <w:rsid w:val="008258C9"/>
    <w:rsid w:val="008304A2"/>
    <w:rsid w:val="00844AE9"/>
    <w:rsid w:val="00867F95"/>
    <w:rsid w:val="008843B6"/>
    <w:rsid w:val="00891928"/>
    <w:rsid w:val="008A446D"/>
    <w:rsid w:val="008B25F1"/>
    <w:rsid w:val="008D180B"/>
    <w:rsid w:val="008F0EA7"/>
    <w:rsid w:val="00923EEF"/>
    <w:rsid w:val="009419F9"/>
    <w:rsid w:val="0095685E"/>
    <w:rsid w:val="00961B09"/>
    <w:rsid w:val="00965334"/>
    <w:rsid w:val="0097093E"/>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A0FA6"/>
    <w:rsid w:val="00AB0ADB"/>
    <w:rsid w:val="00B00C0E"/>
    <w:rsid w:val="00B01B1A"/>
    <w:rsid w:val="00B0381D"/>
    <w:rsid w:val="00B44A47"/>
    <w:rsid w:val="00B72CD3"/>
    <w:rsid w:val="00B72FFF"/>
    <w:rsid w:val="00BC3D36"/>
    <w:rsid w:val="00BD54A6"/>
    <w:rsid w:val="00BD7F72"/>
    <w:rsid w:val="00BE0BFC"/>
    <w:rsid w:val="00BF7425"/>
    <w:rsid w:val="00C04FB3"/>
    <w:rsid w:val="00C11D8B"/>
    <w:rsid w:val="00C14992"/>
    <w:rsid w:val="00C15139"/>
    <w:rsid w:val="00C330EB"/>
    <w:rsid w:val="00C50D69"/>
    <w:rsid w:val="00C5365C"/>
    <w:rsid w:val="00C754BE"/>
    <w:rsid w:val="00C76B1C"/>
    <w:rsid w:val="00C91C54"/>
    <w:rsid w:val="00C925AC"/>
    <w:rsid w:val="00CB6357"/>
    <w:rsid w:val="00CC1B26"/>
    <w:rsid w:val="00CE00B7"/>
    <w:rsid w:val="00D361FD"/>
    <w:rsid w:val="00D423A2"/>
    <w:rsid w:val="00D44E26"/>
    <w:rsid w:val="00D520D8"/>
    <w:rsid w:val="00D63AC2"/>
    <w:rsid w:val="00D7383B"/>
    <w:rsid w:val="00D7788A"/>
    <w:rsid w:val="00DA231B"/>
    <w:rsid w:val="00DC39FC"/>
    <w:rsid w:val="00DD2423"/>
    <w:rsid w:val="00DF5254"/>
    <w:rsid w:val="00E02524"/>
    <w:rsid w:val="00E16408"/>
    <w:rsid w:val="00E20894"/>
    <w:rsid w:val="00E245AB"/>
    <w:rsid w:val="00E2764C"/>
    <w:rsid w:val="00E27F2E"/>
    <w:rsid w:val="00E50AFE"/>
    <w:rsid w:val="00E75C92"/>
    <w:rsid w:val="00E771DC"/>
    <w:rsid w:val="00E8772A"/>
    <w:rsid w:val="00E90F6B"/>
    <w:rsid w:val="00E92C27"/>
    <w:rsid w:val="00EA0E3D"/>
    <w:rsid w:val="00EC38A7"/>
    <w:rsid w:val="00EE1AA8"/>
    <w:rsid w:val="00EF6F88"/>
    <w:rsid w:val="00F23FEA"/>
    <w:rsid w:val="00F31EDC"/>
    <w:rsid w:val="00F462B3"/>
    <w:rsid w:val="00F46BC3"/>
    <w:rsid w:val="00F5664F"/>
    <w:rsid w:val="00F666C4"/>
    <w:rsid w:val="00F76AFC"/>
    <w:rsid w:val="00FA47C0"/>
    <w:rsid w:val="00FB5DD1"/>
    <w:rsid w:val="00FC2B5D"/>
    <w:rsid w:val="00FF1449"/>
    <w:rsid w:val="00FF7963"/>
    <w:rsid w:val="071B8F93"/>
    <w:rsid w:val="07C73DD1"/>
    <w:rsid w:val="09908A09"/>
    <w:rsid w:val="0E0AF0F4"/>
    <w:rsid w:val="0EFE6349"/>
    <w:rsid w:val="0FF4CCA8"/>
    <w:rsid w:val="13CFC91B"/>
    <w:rsid w:val="19A2EC2C"/>
    <w:rsid w:val="21779BE6"/>
    <w:rsid w:val="229B45E0"/>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17EB1009-F852-428B-BF6C-44691D483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206C42"/>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206C42"/>
    <w:rPr>
      <w:rFonts w:ascii="Geomanist Light" w:hAnsi="Geomanist Light"/>
      <w:lang w:val="es-ES"/>
    </w:rPr>
  </w:style>
  <w:style w:type="character" w:customStyle="1" w:styleId="s15">
    <w:name w:val="s15"/>
    <w:basedOn w:val="Fuentedeprrafopredeter"/>
    <w:rsid w:val="00206C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m02.safelinks.protection.outlook.com/?url=https%3A%2F%2Fwww.colombiacompra.gov.co%2Farchivos%2Fmanual%2Fguia-de-garantias-en-procesos-de-contratacion&amp;data=05%7C02%7Crichard.montenegro%40colombiacompra.gov.co%7C7128555136e04fa6887d08dee99e1b50%7C7b09041e245149d08cb179d5e3d8c1be%7C0%7C0%7C639205062450598242%7CUnknown%7CTWFpbGZsb3d8eyJFbXB0eU1hcGkiOnRydWUsIlYiOiIwLjAuMDAwMCIsIlAiOiJXaW4zMiIsIkFOIjoiTWFpbCIsIldUIjoyfQ%3D%3D%7C0%7C%7C%7C&amp;sdata=tMnsjyChgvrtknNIDuIAfzGoFX31vm9KmSn4hxiKJWs%3D&amp;reserved=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boletin%2Fboletin-edicion-n-3-de-2026-radar-de-la-compra-publica&amp;data=05%7C02%7Crichard.montenegro%40colombiacompra.gov.co%7C7128555136e04fa6887d08dee99e1b50%7C7b09041e245149d08cb179d5e3d8c1be%7C0%7C0%7C639205062450670197%7CUnknown%7CTWFpbGZsb3d8eyJFbXB0eU1hcGkiOnRydWUsIlYiOiIwLjAuMDAwMCIsIlAiOiJXaW4zMiIsIkFOIjoiTWFpbCIsIldUIjoyfQ%3D%3D%7C0%7C%7C%7C&amp;sdata=tG1SXnfImH8XsrlgRCiScpsLUXG%2FrRZ9z%2BYvrsytpjM%3D&amp;reserved=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ontactenos@sanmigueldesema-boyaca.gov.co"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2-de-2026&amp;data=05%7C02%7Crichard.montenegro%40colombiacompra.gov.co%7C7128555136e04fa6887d08dee99e1b50%7C7b09041e245149d08cb179d5e3d8c1be%7C0%7C0%7C639205062450648244%7CUnknown%7CTWFpbGZsb3d8eyJFbXB0eU1hcGkiOnRydWUsIlYiOiIwLjAuMDAwMCIsIlAiOiJXaW4zMiIsIkFOIjoiTWFpbCIsIldUIjoyfQ%3D%3D%7C0%7C%7C%7C&amp;sdata=eZ9HfEHlFgZ1vH2KhitCwZAewZQ4N016ybBpWmJCEAM%3D&amp;reserved=0" TargetMode="Externa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circular%2Fcircular-externa-003-de-2026&amp;data=05%7C02%7Crichard.montenegro%40colombiacompra.gov.co%7C7128555136e04fa6887d08dee99e1b50%7C7b09041e245149d08cb179d5e3d8c1be%7C0%7C0%7C639205062450626618%7CUnknown%7CTWFpbGZsb3d8eyJFbXB0eU1hcGkiOnRydWUsIlYiOiIwLjAuMDAwMCIsIlAiOiJXaW4zMiIsIkFOIjoiTWFpbCIsIldUIjoyfQ%3D%3D%7C0%7C%7C%7C&amp;sdata=nOgjBz7PWnZPOn5KxGSEIXhUo5tyYxiN3SRp9I9gZSc%3D&amp;reserved=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02F81B99-49F3-4066-B708-B58D7290B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16</TotalTime>
  <Pages>15</Pages>
  <Words>5225</Words>
  <Characters>28742</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33900</CharactersWithSpaces>
  <SharedDoc>false</SharedDoc>
  <HLinks>
    <vt:vector size="36" baseType="variant">
      <vt:variant>
        <vt:i4>3538986</vt:i4>
      </vt:variant>
      <vt:variant>
        <vt:i4>15</vt:i4>
      </vt:variant>
      <vt:variant>
        <vt:i4>0</vt:i4>
      </vt:variant>
      <vt:variant>
        <vt:i4>5</vt:i4>
      </vt:variant>
      <vt:variant>
        <vt:lpwstr>https://nam02.safelinks.protection.outlook.com/?url=https%3A%2F%2Fwww.colombiacompra.gov.co%2Farchivos%2Fboletin%2Fboletin-edicion-n-3-de-2026-radar-de-la-compra-publica&amp;data=05%7C02%7Crichard.montenegro%40colombiacompra.gov.co%7C7128555136e04fa6887d08dee99e1b50%7C7b09041e245149d08cb179d5e3d8c1be%7C0%7C0%7C639205062450670197%7CUnknown%7CTWFpbGZsb3d8eyJFbXB0eU1hcGkiOnRydWUsIlYiOiIwLjAuMDAwMCIsIlAiOiJXaW4zMiIsIkFOIjoiTWFpbCIsIldUIjoyfQ%3D%3D%7C0%7C%7C%7C&amp;sdata=tG1SXnfImH8XsrlgRCiScpsLUXG%2FrRZ9z%2BYvrsytpjM%3D&amp;reserved=0</vt:lpwstr>
      </vt:variant>
      <vt:variant>
        <vt:lpwstr/>
      </vt:variant>
      <vt:variant>
        <vt:i4>2687078</vt:i4>
      </vt:variant>
      <vt:variant>
        <vt:i4>12</vt:i4>
      </vt:variant>
      <vt:variant>
        <vt:i4>0</vt:i4>
      </vt:variant>
      <vt:variant>
        <vt:i4>5</vt:i4>
      </vt:variant>
      <vt:variant>
        <vt:lpwstr>https://nam02.safelinks.protection.outlook.com/?url=https%3A%2F%2Fwww.colombiacompra.gov.co%2Farchivos%2Fcircular%2Fcircular-externa-002-de-2026&amp;data=05%7C02%7Crichard.montenegro%40colombiacompra.gov.co%7C7128555136e04fa6887d08dee99e1b50%7C7b09041e245149d08cb179d5e3d8c1be%7C0%7C0%7C639205062450648244%7CUnknown%7CTWFpbGZsb3d8eyJFbXB0eU1hcGkiOnRydWUsIlYiOiIwLjAuMDAwMCIsIlAiOiJXaW4zMiIsIkFOIjoiTWFpbCIsIldUIjoyfQ%3D%3D%7C0%7C%7C%7C&amp;sdata=eZ9HfEHlFgZ1vH2KhitCwZAewZQ4N016ybBpWmJCEAM%3D&amp;reserved=0</vt:lpwstr>
      </vt:variant>
      <vt:variant>
        <vt:lpwstr/>
      </vt:variant>
      <vt:variant>
        <vt:i4>2621542</vt:i4>
      </vt:variant>
      <vt:variant>
        <vt:i4>9</vt:i4>
      </vt:variant>
      <vt:variant>
        <vt:i4>0</vt:i4>
      </vt:variant>
      <vt:variant>
        <vt:i4>5</vt:i4>
      </vt:variant>
      <vt:variant>
        <vt:lpwstr>https://nam02.safelinks.protection.outlook.com/?url=https%3A%2F%2Fwww.colombiacompra.gov.co%2Farchivos%2Fcircular%2Fcircular-externa-003-de-2026&amp;data=05%7C02%7Crichard.montenegro%40colombiacompra.gov.co%7C7128555136e04fa6887d08dee99e1b50%7C7b09041e245149d08cb179d5e3d8c1be%7C0%7C0%7C639205062450626618%7CUnknown%7CTWFpbGZsb3d8eyJFbXB0eU1hcGkiOnRydWUsIlYiOiIwLjAuMDAwMCIsIlAiOiJXaW4zMiIsIkFOIjoiTWFpbCIsIldUIjoyfQ%3D%3D%7C0%7C%7C%7C&amp;sdata=nOgjBz7PWnZPOn5KxGSEIXhUo5tyYxiN3SRp9I9gZSc%3D&amp;reserved=0</vt:lpwstr>
      </vt:variant>
      <vt:variant>
        <vt:lpwstr/>
      </vt:variant>
      <vt:variant>
        <vt:i4>3342392</vt:i4>
      </vt:variant>
      <vt:variant>
        <vt:i4>6</vt:i4>
      </vt:variant>
      <vt:variant>
        <vt:i4>0</vt:i4>
      </vt:variant>
      <vt:variant>
        <vt:i4>5</vt:i4>
      </vt:variant>
      <vt:variant>
        <vt:lpwstr>https://nam02.safelinks.protection.outlook.com/?url=https%3A%2F%2Fwww.colombiacompra.gov.co%2Farchivos%2Fmanual%2Fguia-de-garantias-en-procesos-de-contratacion&amp;data=05%7C02%7Crichard.montenegro%40colombiacompra.gov.co%7C7128555136e04fa6887d08dee99e1b50%7C7b09041e245149d08cb179d5e3d8c1be%7C0%7C0%7C639205062450598242%7CUnknown%7CTWFpbGZsb3d8eyJFbXB0eU1hcGkiOnRydWUsIlYiOiIwLjAuMDAwMCIsIlAiOiJXaW4zMiIsIkFOIjoiTWFpbCIsIldUIjoyfQ%3D%3D%7C0%7C%7C%7C&amp;sdata=tMnsjyChgvrtknNIDuIAfzGoFX31vm9KmSn4hxiKJWs%3D&amp;reserved=0</vt:lpwstr>
      </vt:variant>
      <vt:variant>
        <vt:lpwstr/>
      </vt:variant>
      <vt:variant>
        <vt:i4>7471218</vt:i4>
      </vt:variant>
      <vt:variant>
        <vt:i4>3</vt:i4>
      </vt:variant>
      <vt:variant>
        <vt:i4>0</vt:i4>
      </vt:variant>
      <vt:variant>
        <vt:i4>5</vt:i4>
      </vt:variant>
      <vt:variant>
        <vt:lpwstr>https://relatoria.colombiacompra.gov.co/busqueda/conceptos</vt:lpwstr>
      </vt:variant>
      <vt:variant>
        <vt:lpwstr/>
      </vt:variant>
      <vt:variant>
        <vt:i4>1245244</vt:i4>
      </vt:variant>
      <vt:variant>
        <vt:i4>0</vt:i4>
      </vt:variant>
      <vt:variant>
        <vt:i4>0</vt:i4>
      </vt:variant>
      <vt:variant>
        <vt:i4>5</vt:i4>
      </vt:variant>
      <vt:variant>
        <vt:lpwstr>mailto:contactenos@sanmigueldesema-boyaca.gov.co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4</cp:revision>
  <cp:lastPrinted>2023-01-10T21:18:00Z</cp:lastPrinted>
  <dcterms:created xsi:type="dcterms:W3CDTF">2026-08-13T21:35:00Z</dcterms:created>
  <dcterms:modified xsi:type="dcterms:W3CDTF">2026-08-14T19:13:00Z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