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1F815" w14:textId="77777777" w:rsidR="0013440C" w:rsidRPr="00760536" w:rsidRDefault="0013440C" w:rsidP="0013440C">
      <w:pPr>
        <w:spacing w:after="0" w:line="240" w:lineRule="auto"/>
        <w:jc w:val="both"/>
        <w:rPr>
          <w:rFonts w:ascii="Verdana" w:hAnsi="Verdana" w:cs="Arial"/>
          <w:bCs/>
          <w:sz w:val="20"/>
          <w:szCs w:val="20"/>
        </w:rPr>
      </w:pPr>
    </w:p>
    <w:p w14:paraId="554729F9" w14:textId="77777777" w:rsidR="0013440C" w:rsidRPr="00760536" w:rsidRDefault="0013440C" w:rsidP="0013440C">
      <w:pPr>
        <w:spacing w:after="0" w:line="240" w:lineRule="auto"/>
        <w:jc w:val="both"/>
        <w:rPr>
          <w:rFonts w:ascii="Verdana" w:hAnsi="Verdana" w:cs="Arial"/>
          <w:b/>
        </w:rPr>
      </w:pPr>
      <w:r>
        <w:rPr>
          <w:rFonts w:ascii="Verdana" w:hAnsi="Verdana" w:cs="Arial"/>
          <w:b/>
        </w:rPr>
        <w:t>CAPACIDAD RESIDUAL</w:t>
      </w:r>
      <w:r w:rsidRPr="002D2E27">
        <w:rPr>
          <w:rFonts w:ascii="Verdana" w:hAnsi="Verdana" w:cs="Arial"/>
          <w:b/>
        </w:rPr>
        <w:t xml:space="preserve"> – </w:t>
      </w:r>
      <w:r>
        <w:rPr>
          <w:rFonts w:ascii="Verdana" w:hAnsi="Verdana" w:cs="Arial"/>
          <w:b/>
        </w:rPr>
        <w:t>Definición</w:t>
      </w:r>
      <w:r w:rsidRPr="00760536">
        <w:rPr>
          <w:rFonts w:ascii="Verdana" w:hAnsi="Verdana" w:cs="Arial"/>
          <w:b/>
        </w:rPr>
        <w:t xml:space="preserve"> </w:t>
      </w:r>
    </w:p>
    <w:p w14:paraId="26222853" w14:textId="77777777" w:rsidR="0013440C" w:rsidRPr="00760536" w:rsidRDefault="0013440C" w:rsidP="0013440C">
      <w:pPr>
        <w:spacing w:after="0" w:line="240" w:lineRule="auto"/>
        <w:jc w:val="both"/>
        <w:rPr>
          <w:rFonts w:ascii="Verdana" w:hAnsi="Verdana" w:cs="Arial"/>
          <w:b/>
          <w:sz w:val="20"/>
          <w:szCs w:val="20"/>
        </w:rPr>
      </w:pPr>
    </w:p>
    <w:p w14:paraId="0771BD17" w14:textId="77777777" w:rsidR="0013440C" w:rsidRDefault="0013440C" w:rsidP="0013440C">
      <w:pPr>
        <w:spacing w:after="0" w:line="240" w:lineRule="auto"/>
        <w:jc w:val="both"/>
        <w:textAlignment w:val="baseline"/>
        <w:rPr>
          <w:rFonts w:ascii="Verdana" w:hAnsi="Verdana" w:cs="Arial"/>
          <w:sz w:val="20"/>
          <w:szCs w:val="20"/>
          <w:lang w:val="es-ES_tradnl" w:eastAsia="es-CO"/>
        </w:rPr>
      </w:pPr>
      <w:r w:rsidRPr="004C6C47">
        <w:rPr>
          <w:rFonts w:ascii="Verdana" w:hAnsi="Verdana" w:cs="Arial"/>
          <w:sz w:val="20"/>
          <w:szCs w:val="20"/>
          <w:lang w:val="es-ES_tradnl" w:eastAsia="es-CO"/>
        </w:rPr>
        <w:t>De acuerdo con el artículo 2.2.1.1.1.3.1 del Decreto 1082 de 2015, la capacidad residual es la aptitud de los oferentes para cumplir de manera oportuna y a cabalidad el objeto de un contrato de obra pública, sin que los demás compromisos contractuales que han adquirido afecten su habilidad de cumplir el objeto del contrato que está en proceso de selección. Por su parte, el Consejo de Estado ha definido la capacidad residual como “la diferencia que existe entre el potencial de contratación que se tiene y los compromisos que haya adquirido y que se encuentren en ejecución, para la fecha de presentación de la oferta”.</w:t>
      </w:r>
    </w:p>
    <w:p w14:paraId="316FD307" w14:textId="77777777" w:rsidR="0013440C" w:rsidRPr="004C6C47" w:rsidRDefault="0013440C" w:rsidP="0013440C">
      <w:pPr>
        <w:spacing w:after="0" w:line="240" w:lineRule="auto"/>
        <w:jc w:val="both"/>
        <w:textAlignment w:val="baseline"/>
        <w:rPr>
          <w:rFonts w:ascii="Verdana" w:hAnsi="Verdana" w:cs="Arial"/>
          <w:sz w:val="20"/>
          <w:szCs w:val="20"/>
          <w:lang w:val="es-ES_tradnl" w:eastAsia="es-CO"/>
        </w:rPr>
      </w:pPr>
    </w:p>
    <w:p w14:paraId="29FF8BCF" w14:textId="77777777" w:rsidR="0013440C" w:rsidRPr="002C0402" w:rsidRDefault="0013440C" w:rsidP="0013440C">
      <w:pPr>
        <w:spacing w:after="0" w:line="240" w:lineRule="auto"/>
        <w:jc w:val="both"/>
        <w:textAlignment w:val="baseline"/>
        <w:rPr>
          <w:rFonts w:ascii="Verdana" w:hAnsi="Verdana" w:cs="Arial"/>
          <w:bCs/>
          <w:sz w:val="20"/>
          <w:szCs w:val="20"/>
          <w:lang w:val="es-ES_tradnl" w:eastAsia="es-CO"/>
        </w:rPr>
      </w:pPr>
      <w:r w:rsidRPr="004C6C47">
        <w:rPr>
          <w:rFonts w:ascii="Verdana" w:hAnsi="Verdana" w:cs="Arial"/>
          <w:sz w:val="20"/>
          <w:szCs w:val="20"/>
          <w:lang w:val="es-ES_tradnl" w:eastAsia="es-CO"/>
        </w:rPr>
        <w:t>De esta manera, la capacidad residual se refiere a la suficiencia que tiene el proponente para asumir nuevas obligaciones que se derivan del contrato objeto del proceso de contratación, en relación con las obligaciones que ya adquirió frente a otros contratos. Por su parte, el artículo 6 de la Ley 1150 de 2007 dispone que la capacidad residual de los interesados en participar en procesos de selección para contratos de obra deberá ser igual o superior al que la entidad ha establecido en los pliegos de condiciones</w:t>
      </w:r>
      <w:r>
        <w:rPr>
          <w:rFonts w:ascii="Verdana" w:hAnsi="Verdana" w:cs="Arial"/>
          <w:sz w:val="20"/>
          <w:szCs w:val="20"/>
          <w:lang w:val="es-ES_tradnl" w:eastAsia="es-CO"/>
        </w:rPr>
        <w:t>.</w:t>
      </w:r>
    </w:p>
    <w:p w14:paraId="4BA35CFD" w14:textId="77777777" w:rsidR="0013440C" w:rsidRPr="00760536" w:rsidRDefault="0013440C" w:rsidP="0013440C">
      <w:pPr>
        <w:spacing w:after="0" w:line="240" w:lineRule="auto"/>
        <w:jc w:val="both"/>
        <w:textAlignment w:val="baseline"/>
        <w:rPr>
          <w:rFonts w:ascii="Verdana" w:hAnsi="Verdana" w:cs="Arial"/>
          <w:sz w:val="20"/>
          <w:szCs w:val="20"/>
          <w:lang w:val="es-ES" w:eastAsia="es-CO"/>
        </w:rPr>
      </w:pPr>
    </w:p>
    <w:p w14:paraId="5533391D" w14:textId="77777777" w:rsidR="0013440C" w:rsidRPr="00760536" w:rsidRDefault="0013440C" w:rsidP="0013440C">
      <w:pPr>
        <w:spacing w:after="0" w:line="240" w:lineRule="auto"/>
        <w:jc w:val="both"/>
        <w:rPr>
          <w:rFonts w:ascii="Verdana" w:hAnsi="Verdana" w:cs="Arial"/>
          <w:b/>
          <w:lang w:val="es-ES"/>
        </w:rPr>
      </w:pPr>
      <w:r>
        <w:rPr>
          <w:rFonts w:ascii="Verdana" w:hAnsi="Verdana" w:cs="Arial"/>
          <w:b/>
          <w:lang w:val="es-ES"/>
        </w:rPr>
        <w:t>SALDO DE LOS CONTRATOS EN EJECUCIÓN</w:t>
      </w:r>
      <w:r w:rsidRPr="002D2E27">
        <w:rPr>
          <w:rFonts w:ascii="Verdana" w:hAnsi="Verdana" w:cs="Arial"/>
          <w:b/>
          <w:lang w:val="es-ES"/>
        </w:rPr>
        <w:t xml:space="preserve"> – </w:t>
      </w:r>
      <w:r>
        <w:rPr>
          <w:rFonts w:ascii="Verdana" w:hAnsi="Verdana" w:cs="Arial"/>
          <w:b/>
          <w:lang w:val="es-ES"/>
        </w:rPr>
        <w:t>Contratos sin acta de inicio – Contratos suspendidos – Inclusión</w:t>
      </w:r>
    </w:p>
    <w:p w14:paraId="2922FA42" w14:textId="77777777" w:rsidR="0013440C" w:rsidRPr="00760536" w:rsidRDefault="0013440C" w:rsidP="0013440C">
      <w:pPr>
        <w:spacing w:after="0" w:line="240" w:lineRule="auto"/>
        <w:jc w:val="both"/>
        <w:rPr>
          <w:rFonts w:ascii="Verdana" w:hAnsi="Verdana" w:cs="Arial"/>
          <w:b/>
          <w:sz w:val="20"/>
          <w:szCs w:val="20"/>
          <w:lang w:val="es-ES"/>
        </w:rPr>
      </w:pPr>
    </w:p>
    <w:p w14:paraId="3DE77EF5" w14:textId="77777777" w:rsidR="0013440C" w:rsidRDefault="0013440C" w:rsidP="0013440C">
      <w:pPr>
        <w:spacing w:after="0" w:line="240" w:lineRule="auto"/>
        <w:jc w:val="both"/>
        <w:textAlignment w:val="baseline"/>
        <w:rPr>
          <w:rFonts w:ascii="Verdana" w:hAnsi="Verdana" w:cs="Arial"/>
          <w:bCs/>
          <w:sz w:val="20"/>
          <w:szCs w:val="20"/>
          <w:lang w:val="es-ES_tradnl" w:eastAsia="es-CO"/>
        </w:rPr>
      </w:pPr>
      <w:r>
        <w:rPr>
          <w:rFonts w:ascii="Verdana" w:hAnsi="Verdana" w:cs="Arial"/>
          <w:bCs/>
          <w:sz w:val="20"/>
          <w:szCs w:val="20"/>
          <w:lang w:val="es-ES_tradnl" w:eastAsia="es-CO"/>
        </w:rPr>
        <w:t>L</w:t>
      </w:r>
      <w:r w:rsidRPr="007252B0">
        <w:rPr>
          <w:rFonts w:ascii="Verdana" w:hAnsi="Verdana" w:cs="Arial"/>
          <w:bCs/>
          <w:sz w:val="20"/>
          <w:szCs w:val="20"/>
          <w:lang w:val="es-ES_tradnl" w:eastAsia="es-CO"/>
        </w:rPr>
        <w:t>os saldos pendientes derivan de las obligaciones que se encuentran en ejecución al momento de la presentación de la oferta y se refieren a contratos cuyo objeto sea la ejecución de obras civiles. Se aclara que deben tenerse en cuenta los contratos adjudicados y efectivamente perfeccionados conforme a los artículos 39 y 41 del EGCAP aun si no tienen acta de inicio, pues el criterio determinante para establecer si un contrato se encuentra en ejecución no lo determina el acta, sino que el mismo contrato obligue al proponente. Además, los saldos pendientes por ejecutar de los contratos afectados por una suspensión constituyen, también, información relevante para calcular la capacidad residual del proponente “CRP”. Lo anterior, en la medida en que la ejecución de los contratos en principio suspendidos puede, eventualmente, afectar la aptitud del oferente para cumplir con lo ofertado, razón por la que, ante la posibilidad de que tales contratos se reanuden, se ha estimado necesario evaluar los saldos pendientes por ejecutar de tales contratos para determinar si el proponente cumple con la capacidad residual requerida.</w:t>
      </w:r>
    </w:p>
    <w:p w14:paraId="74FE53B1" w14:textId="77777777" w:rsidR="0013440C" w:rsidRPr="007252B0" w:rsidRDefault="0013440C" w:rsidP="0013440C">
      <w:pPr>
        <w:spacing w:after="0" w:line="240" w:lineRule="auto"/>
        <w:jc w:val="both"/>
        <w:textAlignment w:val="baseline"/>
        <w:rPr>
          <w:rFonts w:ascii="Verdana" w:hAnsi="Verdana" w:cs="Arial"/>
          <w:bCs/>
          <w:sz w:val="20"/>
          <w:szCs w:val="20"/>
          <w:lang w:val="es-ES_tradnl" w:eastAsia="es-CO"/>
        </w:rPr>
      </w:pPr>
    </w:p>
    <w:p w14:paraId="5BDDB392" w14:textId="77777777" w:rsidR="0013440C" w:rsidRDefault="0013440C" w:rsidP="0013440C">
      <w:pPr>
        <w:spacing w:after="0" w:line="240" w:lineRule="auto"/>
        <w:jc w:val="both"/>
        <w:textAlignment w:val="baseline"/>
        <w:rPr>
          <w:rFonts w:ascii="Verdana" w:hAnsi="Verdana" w:cs="Arial"/>
          <w:bCs/>
          <w:sz w:val="20"/>
          <w:szCs w:val="20"/>
          <w:lang w:val="es-ES_tradnl" w:eastAsia="es-CO"/>
        </w:rPr>
      </w:pPr>
      <w:r w:rsidRPr="007252B0">
        <w:rPr>
          <w:rFonts w:ascii="Verdana" w:hAnsi="Verdana" w:cs="Arial"/>
          <w:bCs/>
          <w:sz w:val="20"/>
          <w:szCs w:val="20"/>
          <w:lang w:val="es-ES_tradnl" w:eastAsia="es-CO"/>
        </w:rPr>
        <w:t xml:space="preserve">De este modo, para acreditar el factor saldos de los contratos en ejecución “SCE” como lo establece la Guía, el proponente debe presentar la lista de contratos de obras civiles en ejecución, tanto a nivel nacional como internacional señalando i) el valor del contrato; </w:t>
      </w:r>
      <w:proofErr w:type="spellStart"/>
      <w:r w:rsidRPr="007252B0">
        <w:rPr>
          <w:rFonts w:ascii="Verdana" w:hAnsi="Verdana" w:cs="Arial"/>
          <w:bCs/>
          <w:sz w:val="20"/>
          <w:szCs w:val="20"/>
          <w:lang w:val="es-ES_tradnl" w:eastAsia="es-CO"/>
        </w:rPr>
        <w:t>ii</w:t>
      </w:r>
      <w:proofErr w:type="spellEnd"/>
      <w:r w:rsidRPr="007252B0">
        <w:rPr>
          <w:rFonts w:ascii="Verdana" w:hAnsi="Verdana" w:cs="Arial"/>
          <w:bCs/>
          <w:sz w:val="20"/>
          <w:szCs w:val="20"/>
          <w:lang w:val="es-ES_tradnl" w:eastAsia="es-CO"/>
        </w:rPr>
        <w:t xml:space="preserve">) el plazo del contrato en meses; </w:t>
      </w:r>
      <w:proofErr w:type="spellStart"/>
      <w:r w:rsidRPr="007252B0">
        <w:rPr>
          <w:rFonts w:ascii="Verdana" w:hAnsi="Verdana" w:cs="Arial"/>
          <w:bCs/>
          <w:sz w:val="20"/>
          <w:szCs w:val="20"/>
          <w:lang w:val="es-ES_tradnl" w:eastAsia="es-CO"/>
        </w:rPr>
        <w:t>iii</w:t>
      </w:r>
      <w:proofErr w:type="spellEnd"/>
      <w:r w:rsidRPr="007252B0">
        <w:rPr>
          <w:rFonts w:ascii="Verdana" w:hAnsi="Verdana" w:cs="Arial"/>
          <w:bCs/>
          <w:sz w:val="20"/>
          <w:szCs w:val="20"/>
          <w:lang w:val="es-ES_tradnl" w:eastAsia="es-CO"/>
        </w:rPr>
        <w:t xml:space="preserve">) la fecha de inicio de las obras objeto del contrato, día, mes, año; </w:t>
      </w:r>
      <w:proofErr w:type="spellStart"/>
      <w:r w:rsidRPr="007252B0">
        <w:rPr>
          <w:rFonts w:ascii="Verdana" w:hAnsi="Verdana" w:cs="Arial"/>
          <w:bCs/>
          <w:sz w:val="20"/>
          <w:szCs w:val="20"/>
          <w:lang w:val="es-ES_tradnl" w:eastAsia="es-CO"/>
        </w:rPr>
        <w:t>iv</w:t>
      </w:r>
      <w:proofErr w:type="spellEnd"/>
      <w:r w:rsidRPr="007252B0">
        <w:rPr>
          <w:rFonts w:ascii="Verdana" w:hAnsi="Verdana" w:cs="Arial"/>
          <w:bCs/>
          <w:sz w:val="20"/>
          <w:szCs w:val="20"/>
          <w:lang w:val="es-ES_tradnl" w:eastAsia="es-CO"/>
        </w:rPr>
        <w:t>) si la obra la ejecuta un consorcio, unión temporal o sociedad de propósito especial, junto con el porcentaje de participación del oferente que presenta el certificado; v) si el contrato se encuentra suspendido, y si es así, la fecha de suspensión. Si el proponente no tiene contratos en ejecución, en el certificado debe constar expresamente esa circunstancia</w:t>
      </w:r>
      <w:r>
        <w:rPr>
          <w:rFonts w:ascii="Verdana" w:hAnsi="Verdana" w:cs="Arial"/>
          <w:bCs/>
          <w:sz w:val="20"/>
          <w:szCs w:val="20"/>
          <w:lang w:val="es-ES_tradnl" w:eastAsia="es-CO"/>
        </w:rPr>
        <w:t>.</w:t>
      </w:r>
    </w:p>
    <w:p w14:paraId="633ED50F" w14:textId="77777777" w:rsidR="0013440C" w:rsidRDefault="0013440C" w:rsidP="0013440C">
      <w:pPr>
        <w:spacing w:after="0" w:line="240" w:lineRule="auto"/>
        <w:jc w:val="both"/>
        <w:textAlignment w:val="baseline"/>
        <w:rPr>
          <w:rFonts w:ascii="Verdana" w:hAnsi="Verdana" w:cs="Arial"/>
          <w:bCs/>
          <w:sz w:val="20"/>
          <w:szCs w:val="20"/>
          <w:lang w:val="es-ES_tradnl" w:eastAsia="es-CO"/>
        </w:rPr>
      </w:pPr>
    </w:p>
    <w:p w14:paraId="7C80854D" w14:textId="77777777" w:rsidR="0013440C" w:rsidRDefault="0013440C" w:rsidP="0013440C">
      <w:pPr>
        <w:spacing w:after="0" w:line="240" w:lineRule="auto"/>
        <w:jc w:val="both"/>
        <w:textAlignment w:val="baseline"/>
        <w:rPr>
          <w:rFonts w:ascii="Verdana" w:hAnsi="Verdana" w:cs="Arial"/>
          <w:b/>
          <w:lang w:val="es-ES"/>
        </w:rPr>
      </w:pPr>
      <w:r>
        <w:rPr>
          <w:rFonts w:ascii="Verdana" w:hAnsi="Verdana" w:cs="Arial"/>
          <w:b/>
          <w:lang w:val="es-ES"/>
        </w:rPr>
        <w:t>OBRAS CIVILES</w:t>
      </w:r>
      <w:r w:rsidRPr="002D2E27">
        <w:rPr>
          <w:rFonts w:ascii="Verdana" w:hAnsi="Verdana" w:cs="Arial"/>
          <w:b/>
          <w:lang w:val="es-ES"/>
        </w:rPr>
        <w:t xml:space="preserve"> – </w:t>
      </w:r>
      <w:r>
        <w:rPr>
          <w:rFonts w:ascii="Verdana" w:hAnsi="Verdana" w:cs="Arial"/>
          <w:b/>
          <w:lang w:val="es-ES"/>
        </w:rPr>
        <w:t>Significado técnico – Prevalencia</w:t>
      </w:r>
    </w:p>
    <w:p w14:paraId="6986C78B" w14:textId="77777777" w:rsidR="0013440C" w:rsidRPr="00693830" w:rsidRDefault="0013440C" w:rsidP="0013440C">
      <w:pPr>
        <w:spacing w:after="0" w:line="240" w:lineRule="auto"/>
        <w:jc w:val="both"/>
        <w:textAlignment w:val="baseline"/>
        <w:rPr>
          <w:rFonts w:ascii="Verdana" w:hAnsi="Verdana" w:cs="Arial"/>
          <w:b/>
          <w:sz w:val="20"/>
          <w:szCs w:val="20"/>
          <w:lang w:val="es-ES"/>
        </w:rPr>
      </w:pPr>
    </w:p>
    <w:p w14:paraId="72A200FA" w14:textId="77777777" w:rsidR="0013440C" w:rsidRDefault="0013440C" w:rsidP="0013440C">
      <w:pPr>
        <w:spacing w:after="0" w:line="240" w:lineRule="auto"/>
        <w:jc w:val="both"/>
        <w:textAlignment w:val="baseline"/>
        <w:rPr>
          <w:rFonts w:ascii="Verdana" w:hAnsi="Verdana" w:cs="Arial"/>
          <w:bCs/>
          <w:sz w:val="20"/>
          <w:szCs w:val="20"/>
          <w:lang w:val="es-ES_tradnl"/>
        </w:rPr>
      </w:pPr>
      <w:r>
        <w:rPr>
          <w:rFonts w:ascii="Verdana" w:hAnsi="Verdana" w:cs="Arial"/>
          <w:bCs/>
          <w:sz w:val="20"/>
          <w:szCs w:val="20"/>
          <w:lang w:val="es-ES_tradnl"/>
        </w:rPr>
        <w:t>B</w:t>
      </w:r>
      <w:r w:rsidRPr="00613A93">
        <w:rPr>
          <w:rFonts w:ascii="Verdana" w:hAnsi="Verdana" w:cs="Arial"/>
          <w:bCs/>
          <w:sz w:val="20"/>
          <w:szCs w:val="20"/>
          <w:lang w:val="es-ES_tradnl"/>
        </w:rPr>
        <w:t xml:space="preserve">ajo los parámetros del artículo 29 de la Ley 84 de 1873, la obra civil es un término técnico que engloba cualquier tipo de infraestructura y puede ser tanto de origen público como privado, la cual generalmente supone como mínimo el ejercicio de la ingeniería, de sus profesiones auxiliares o afines y está ligada estrechamente con la industria de la construcción. </w:t>
      </w:r>
    </w:p>
    <w:p w14:paraId="4C0C5CB9" w14:textId="77777777" w:rsidR="0013440C" w:rsidRPr="00613A93" w:rsidRDefault="0013440C" w:rsidP="0013440C">
      <w:pPr>
        <w:spacing w:after="0" w:line="240" w:lineRule="auto"/>
        <w:jc w:val="both"/>
        <w:textAlignment w:val="baseline"/>
        <w:rPr>
          <w:rFonts w:ascii="Verdana" w:hAnsi="Verdana" w:cs="Arial"/>
          <w:bCs/>
          <w:sz w:val="20"/>
          <w:szCs w:val="20"/>
          <w:lang w:val="es-ES_tradnl"/>
        </w:rPr>
      </w:pPr>
    </w:p>
    <w:p w14:paraId="114E0040" w14:textId="5CDFCC76" w:rsidR="0013440C" w:rsidRPr="00693830" w:rsidRDefault="0013440C" w:rsidP="0013440C">
      <w:pPr>
        <w:spacing w:after="0" w:line="240" w:lineRule="auto"/>
        <w:jc w:val="both"/>
        <w:textAlignment w:val="baseline"/>
        <w:rPr>
          <w:rFonts w:ascii="Verdana" w:hAnsi="Verdana" w:cs="Arial"/>
          <w:bCs/>
          <w:sz w:val="20"/>
          <w:szCs w:val="20"/>
          <w:lang w:val="es-ES_tradnl"/>
        </w:rPr>
      </w:pPr>
      <w:r w:rsidRPr="00613A93">
        <w:rPr>
          <w:rFonts w:ascii="Verdana" w:hAnsi="Verdana" w:cs="Arial"/>
          <w:bCs/>
          <w:sz w:val="20"/>
          <w:szCs w:val="20"/>
          <w:lang w:val="es-ES_tradnl"/>
        </w:rPr>
        <w:t xml:space="preserve">De acuerdo con el uso técnico de la expresión, aunque toda </w:t>
      </w:r>
      <w:r w:rsidRPr="00613A93">
        <w:rPr>
          <w:rFonts w:ascii="Verdana" w:hAnsi="Verdana" w:cs="Arial"/>
          <w:bCs/>
          <w:i/>
          <w:iCs/>
          <w:sz w:val="20"/>
          <w:szCs w:val="20"/>
          <w:lang w:val="es-ES_tradnl"/>
        </w:rPr>
        <w:t>obra civil</w:t>
      </w:r>
      <w:r w:rsidRPr="00613A93">
        <w:rPr>
          <w:rFonts w:ascii="Verdana" w:hAnsi="Verdana" w:cs="Arial"/>
          <w:bCs/>
          <w:sz w:val="20"/>
          <w:szCs w:val="20"/>
          <w:lang w:val="es-ES_tradnl"/>
        </w:rPr>
        <w:t xml:space="preserve"> es una </w:t>
      </w:r>
      <w:r w:rsidRPr="00613A93">
        <w:rPr>
          <w:rFonts w:ascii="Verdana" w:hAnsi="Verdana" w:cs="Arial"/>
          <w:bCs/>
          <w:i/>
          <w:iCs/>
          <w:sz w:val="20"/>
          <w:szCs w:val="20"/>
          <w:lang w:val="es-ES_tradnl"/>
        </w:rPr>
        <w:t>obra material</w:t>
      </w:r>
      <w:r w:rsidRPr="00613A93">
        <w:rPr>
          <w:rFonts w:ascii="Verdana" w:hAnsi="Verdana" w:cs="Arial"/>
          <w:bCs/>
          <w:sz w:val="20"/>
          <w:szCs w:val="20"/>
          <w:lang w:val="es-ES_tradnl"/>
        </w:rPr>
        <w:t xml:space="preserve">, no toda </w:t>
      </w:r>
      <w:r w:rsidRPr="00613A93">
        <w:rPr>
          <w:rFonts w:ascii="Verdana" w:hAnsi="Verdana" w:cs="Arial"/>
          <w:bCs/>
          <w:i/>
          <w:iCs/>
          <w:sz w:val="20"/>
          <w:szCs w:val="20"/>
          <w:lang w:val="es-ES_tradnl"/>
        </w:rPr>
        <w:t>obra material</w:t>
      </w:r>
      <w:r w:rsidRPr="00613A93">
        <w:rPr>
          <w:rFonts w:ascii="Verdana" w:hAnsi="Verdana" w:cs="Arial"/>
          <w:bCs/>
          <w:sz w:val="20"/>
          <w:szCs w:val="20"/>
          <w:lang w:val="es-ES_tradnl"/>
        </w:rPr>
        <w:t xml:space="preserve"> es una </w:t>
      </w:r>
      <w:r w:rsidRPr="00613A93">
        <w:rPr>
          <w:rFonts w:ascii="Verdana" w:hAnsi="Verdana" w:cs="Arial"/>
          <w:bCs/>
          <w:i/>
          <w:iCs/>
          <w:sz w:val="20"/>
          <w:szCs w:val="20"/>
          <w:lang w:val="es-ES_tradnl"/>
        </w:rPr>
        <w:t>obra civil</w:t>
      </w:r>
      <w:r w:rsidRPr="00613A93">
        <w:rPr>
          <w:rFonts w:ascii="Verdana" w:hAnsi="Verdana" w:cs="Arial"/>
          <w:bCs/>
          <w:sz w:val="20"/>
          <w:szCs w:val="20"/>
          <w:lang w:val="es-ES_tradnl"/>
        </w:rPr>
        <w:t xml:space="preserve">. Este último es caso del cuadro de un artista o el libro de una casa editorial, contratos cuya ejecución –aunque se enmarquen en el artículo 2053 de la Ley 84 de 1873– no están relacionados con la capacidad residual por no corresponder a </w:t>
      </w:r>
      <w:r w:rsidRPr="00613A93">
        <w:rPr>
          <w:rFonts w:ascii="Verdana" w:hAnsi="Verdana" w:cs="Arial"/>
          <w:bCs/>
          <w:i/>
          <w:iCs/>
          <w:sz w:val="20"/>
          <w:szCs w:val="20"/>
          <w:lang w:val="es-ES_tradnl"/>
        </w:rPr>
        <w:t>obras civiles</w:t>
      </w:r>
      <w:r w:rsidRPr="00613A93">
        <w:rPr>
          <w:rFonts w:ascii="Verdana" w:hAnsi="Verdana" w:cs="Arial"/>
          <w:bCs/>
          <w:sz w:val="20"/>
          <w:szCs w:val="20"/>
          <w:lang w:val="es-ES_tradnl"/>
        </w:rPr>
        <w:t>. Este razonamiento es congruente con la guía expedida por la Agencia, ya que incluye las “[…] obras civiles en los contratos de concesión y los contratos de obra suscritos con concesionarios”, lo que resalta su conexión del concepto con el ejercicio de la ingeniería y la industria de la construcción</w:t>
      </w:r>
      <w:r>
        <w:rPr>
          <w:rFonts w:ascii="Verdana" w:hAnsi="Verdana" w:cs="Arial"/>
          <w:bCs/>
          <w:sz w:val="20"/>
          <w:szCs w:val="20"/>
          <w:lang w:val="es-ES_tradnl"/>
        </w:rPr>
        <w:t>.</w:t>
      </w:r>
    </w:p>
    <w:p w14:paraId="295D672F" w14:textId="77777777" w:rsidR="0013440C" w:rsidRPr="0013440C" w:rsidRDefault="0013440C" w:rsidP="00114178">
      <w:pPr>
        <w:spacing w:after="0" w:line="240" w:lineRule="auto"/>
        <w:rPr>
          <w:rFonts w:ascii="Verdana" w:eastAsia="Geomanist Light" w:hAnsi="Verdana" w:cs="Arial"/>
          <w:color w:val="000000" w:themeColor="text1"/>
          <w:lang w:val="es-ES_tradnl"/>
        </w:rPr>
      </w:pPr>
    </w:p>
    <w:p w14:paraId="2A4FBBF6" w14:textId="77777777" w:rsidR="0013440C" w:rsidRDefault="0013440C" w:rsidP="00114178">
      <w:pPr>
        <w:spacing w:after="0" w:line="240" w:lineRule="auto"/>
        <w:rPr>
          <w:rFonts w:ascii="Verdana" w:eastAsia="Geomanist Light" w:hAnsi="Verdana" w:cs="Arial"/>
          <w:color w:val="000000" w:themeColor="text1"/>
          <w:lang w:val="es-MX"/>
        </w:rPr>
      </w:pPr>
    </w:p>
    <w:p w14:paraId="76BADF26" w14:textId="77777777" w:rsidR="0013440C" w:rsidRDefault="0013440C" w:rsidP="00114178">
      <w:pPr>
        <w:spacing w:after="0" w:line="240" w:lineRule="auto"/>
        <w:rPr>
          <w:rFonts w:ascii="Verdana" w:eastAsia="Geomanist Light" w:hAnsi="Verdana" w:cs="Arial"/>
          <w:color w:val="000000" w:themeColor="text1"/>
          <w:lang w:val="es-MX"/>
        </w:rPr>
      </w:pPr>
    </w:p>
    <w:p w14:paraId="5A857A1A" w14:textId="77777777" w:rsidR="0013440C" w:rsidRDefault="0013440C" w:rsidP="00114178">
      <w:pPr>
        <w:spacing w:after="0" w:line="240" w:lineRule="auto"/>
        <w:rPr>
          <w:rFonts w:ascii="Verdana" w:eastAsia="Geomanist Light" w:hAnsi="Verdana" w:cs="Arial"/>
          <w:color w:val="000000" w:themeColor="text1"/>
          <w:lang w:val="es-MX"/>
        </w:rPr>
      </w:pPr>
    </w:p>
    <w:p w14:paraId="1068CF11" w14:textId="77777777" w:rsidR="0013440C" w:rsidRDefault="0013440C" w:rsidP="00114178">
      <w:pPr>
        <w:spacing w:after="0" w:line="240" w:lineRule="auto"/>
        <w:rPr>
          <w:rFonts w:ascii="Verdana" w:eastAsia="Geomanist Light" w:hAnsi="Verdana" w:cs="Arial"/>
          <w:color w:val="000000" w:themeColor="text1"/>
          <w:lang w:val="es-MX"/>
        </w:rPr>
      </w:pPr>
    </w:p>
    <w:p w14:paraId="6677EA3A" w14:textId="77777777" w:rsidR="0013440C" w:rsidRDefault="0013440C" w:rsidP="00114178">
      <w:pPr>
        <w:spacing w:after="0" w:line="240" w:lineRule="auto"/>
        <w:rPr>
          <w:rFonts w:ascii="Verdana" w:eastAsia="Geomanist Light" w:hAnsi="Verdana" w:cs="Arial"/>
          <w:color w:val="000000" w:themeColor="text1"/>
          <w:lang w:val="es-MX"/>
        </w:rPr>
      </w:pPr>
    </w:p>
    <w:p w14:paraId="3983D47E" w14:textId="77777777" w:rsidR="0013440C" w:rsidRDefault="0013440C" w:rsidP="00114178">
      <w:pPr>
        <w:spacing w:after="0" w:line="240" w:lineRule="auto"/>
        <w:rPr>
          <w:rFonts w:ascii="Verdana" w:eastAsia="Geomanist Light" w:hAnsi="Verdana" w:cs="Arial"/>
          <w:color w:val="000000" w:themeColor="text1"/>
          <w:lang w:val="es-MX"/>
        </w:rPr>
      </w:pPr>
    </w:p>
    <w:p w14:paraId="54C8CC51" w14:textId="77777777" w:rsidR="0013440C" w:rsidRDefault="0013440C" w:rsidP="00114178">
      <w:pPr>
        <w:spacing w:after="0" w:line="240" w:lineRule="auto"/>
        <w:rPr>
          <w:rFonts w:ascii="Verdana" w:eastAsia="Geomanist Light" w:hAnsi="Verdana" w:cs="Arial"/>
          <w:color w:val="000000" w:themeColor="text1"/>
          <w:lang w:val="es-MX"/>
        </w:rPr>
      </w:pPr>
    </w:p>
    <w:p w14:paraId="2E2AE9CC" w14:textId="77777777" w:rsidR="0013440C" w:rsidRDefault="0013440C" w:rsidP="00114178">
      <w:pPr>
        <w:spacing w:after="0" w:line="240" w:lineRule="auto"/>
        <w:rPr>
          <w:rFonts w:ascii="Verdana" w:eastAsia="Geomanist Light" w:hAnsi="Verdana" w:cs="Arial"/>
          <w:color w:val="000000" w:themeColor="text1"/>
          <w:lang w:val="es-MX"/>
        </w:rPr>
      </w:pPr>
    </w:p>
    <w:p w14:paraId="2EE2BF38" w14:textId="77777777" w:rsidR="0013440C" w:rsidRDefault="0013440C" w:rsidP="00114178">
      <w:pPr>
        <w:spacing w:after="0" w:line="240" w:lineRule="auto"/>
        <w:rPr>
          <w:rFonts w:ascii="Verdana" w:eastAsia="Geomanist Light" w:hAnsi="Verdana" w:cs="Arial"/>
          <w:color w:val="000000" w:themeColor="text1"/>
          <w:lang w:val="es-MX"/>
        </w:rPr>
      </w:pPr>
    </w:p>
    <w:p w14:paraId="5101BA22" w14:textId="77777777" w:rsidR="0013440C" w:rsidRDefault="0013440C" w:rsidP="00114178">
      <w:pPr>
        <w:spacing w:after="0" w:line="240" w:lineRule="auto"/>
        <w:rPr>
          <w:rFonts w:ascii="Verdana" w:eastAsia="Geomanist Light" w:hAnsi="Verdana" w:cs="Arial"/>
          <w:color w:val="000000" w:themeColor="text1"/>
          <w:lang w:val="es-MX"/>
        </w:rPr>
      </w:pPr>
    </w:p>
    <w:p w14:paraId="42FB28E9" w14:textId="77777777" w:rsidR="0013440C" w:rsidRDefault="0013440C" w:rsidP="00114178">
      <w:pPr>
        <w:spacing w:after="0" w:line="240" w:lineRule="auto"/>
        <w:rPr>
          <w:rFonts w:ascii="Verdana" w:eastAsia="Geomanist Light" w:hAnsi="Verdana" w:cs="Arial"/>
          <w:color w:val="000000" w:themeColor="text1"/>
          <w:lang w:val="es-MX"/>
        </w:rPr>
      </w:pPr>
    </w:p>
    <w:p w14:paraId="6DC4E8CB" w14:textId="77777777" w:rsidR="0013440C" w:rsidRDefault="0013440C" w:rsidP="00114178">
      <w:pPr>
        <w:spacing w:after="0" w:line="240" w:lineRule="auto"/>
        <w:rPr>
          <w:rFonts w:ascii="Verdana" w:eastAsia="Geomanist Light" w:hAnsi="Verdana" w:cs="Arial"/>
          <w:color w:val="000000" w:themeColor="text1"/>
          <w:lang w:val="es-MX"/>
        </w:rPr>
      </w:pPr>
    </w:p>
    <w:p w14:paraId="12F1E07F" w14:textId="77777777" w:rsidR="0013440C" w:rsidRDefault="0013440C" w:rsidP="00114178">
      <w:pPr>
        <w:spacing w:after="0" w:line="240" w:lineRule="auto"/>
        <w:rPr>
          <w:rFonts w:ascii="Verdana" w:eastAsia="Geomanist Light" w:hAnsi="Verdana" w:cs="Arial"/>
          <w:color w:val="000000" w:themeColor="text1"/>
          <w:lang w:val="es-MX"/>
        </w:rPr>
      </w:pPr>
    </w:p>
    <w:p w14:paraId="3D688B33" w14:textId="77777777" w:rsidR="0013440C" w:rsidRDefault="0013440C" w:rsidP="00114178">
      <w:pPr>
        <w:spacing w:after="0" w:line="240" w:lineRule="auto"/>
        <w:rPr>
          <w:rFonts w:ascii="Verdana" w:eastAsia="Geomanist Light" w:hAnsi="Verdana" w:cs="Arial"/>
          <w:color w:val="000000" w:themeColor="text1"/>
          <w:lang w:val="es-MX"/>
        </w:rPr>
      </w:pPr>
    </w:p>
    <w:p w14:paraId="1650F832" w14:textId="77777777" w:rsidR="0013440C" w:rsidRDefault="0013440C" w:rsidP="00114178">
      <w:pPr>
        <w:spacing w:after="0" w:line="240" w:lineRule="auto"/>
        <w:rPr>
          <w:rFonts w:ascii="Verdana" w:eastAsia="Geomanist Light" w:hAnsi="Verdana" w:cs="Arial"/>
          <w:color w:val="000000" w:themeColor="text1"/>
          <w:lang w:val="es-MX"/>
        </w:rPr>
      </w:pPr>
    </w:p>
    <w:p w14:paraId="4612A2C0" w14:textId="77777777" w:rsidR="0013440C" w:rsidRDefault="0013440C" w:rsidP="00114178">
      <w:pPr>
        <w:spacing w:after="0" w:line="240" w:lineRule="auto"/>
        <w:rPr>
          <w:rFonts w:ascii="Verdana" w:eastAsia="Geomanist Light" w:hAnsi="Verdana" w:cs="Arial"/>
          <w:color w:val="000000" w:themeColor="text1"/>
          <w:lang w:val="es-MX"/>
        </w:rPr>
      </w:pPr>
    </w:p>
    <w:p w14:paraId="49B2F790" w14:textId="77777777" w:rsidR="0013440C" w:rsidRDefault="0013440C" w:rsidP="00114178">
      <w:pPr>
        <w:spacing w:after="0" w:line="240" w:lineRule="auto"/>
        <w:rPr>
          <w:rFonts w:ascii="Verdana" w:eastAsia="Geomanist Light" w:hAnsi="Verdana" w:cs="Arial"/>
          <w:color w:val="000000" w:themeColor="text1"/>
          <w:lang w:val="es-MX"/>
        </w:rPr>
      </w:pPr>
    </w:p>
    <w:p w14:paraId="5B8DBA68" w14:textId="77777777" w:rsidR="0013440C" w:rsidRDefault="0013440C" w:rsidP="00114178">
      <w:pPr>
        <w:spacing w:after="0" w:line="240" w:lineRule="auto"/>
        <w:rPr>
          <w:rFonts w:ascii="Verdana" w:eastAsia="Geomanist Light" w:hAnsi="Verdana" w:cs="Arial"/>
          <w:color w:val="000000" w:themeColor="text1"/>
          <w:lang w:val="es-MX"/>
        </w:rPr>
      </w:pPr>
    </w:p>
    <w:p w14:paraId="77A30165" w14:textId="77777777" w:rsidR="0013440C" w:rsidRDefault="0013440C" w:rsidP="00114178">
      <w:pPr>
        <w:spacing w:after="0" w:line="240" w:lineRule="auto"/>
        <w:rPr>
          <w:rFonts w:ascii="Verdana" w:eastAsia="Geomanist Light" w:hAnsi="Verdana" w:cs="Arial"/>
          <w:color w:val="000000" w:themeColor="text1"/>
          <w:lang w:val="es-MX"/>
        </w:rPr>
      </w:pPr>
    </w:p>
    <w:p w14:paraId="27E9FD68" w14:textId="77777777" w:rsidR="0013440C" w:rsidRDefault="0013440C" w:rsidP="00114178">
      <w:pPr>
        <w:spacing w:after="0" w:line="240" w:lineRule="auto"/>
        <w:rPr>
          <w:rFonts w:ascii="Verdana" w:eastAsia="Geomanist Light" w:hAnsi="Verdana" w:cs="Arial"/>
          <w:color w:val="000000" w:themeColor="text1"/>
          <w:lang w:val="es-MX"/>
        </w:rPr>
      </w:pPr>
    </w:p>
    <w:p w14:paraId="0129BA5A" w14:textId="77777777" w:rsidR="0013440C" w:rsidRDefault="0013440C" w:rsidP="00114178">
      <w:pPr>
        <w:spacing w:after="0" w:line="240" w:lineRule="auto"/>
        <w:rPr>
          <w:rFonts w:ascii="Verdana" w:eastAsia="Geomanist Light" w:hAnsi="Verdana" w:cs="Arial"/>
          <w:color w:val="000000" w:themeColor="text1"/>
          <w:lang w:val="es-MX"/>
        </w:rPr>
      </w:pPr>
    </w:p>
    <w:p w14:paraId="52679F34" w14:textId="77777777" w:rsidR="0013440C" w:rsidRDefault="0013440C" w:rsidP="00114178">
      <w:pPr>
        <w:spacing w:after="0" w:line="240" w:lineRule="auto"/>
        <w:rPr>
          <w:rFonts w:ascii="Verdana" w:eastAsia="Geomanist Light" w:hAnsi="Verdana" w:cs="Arial"/>
          <w:color w:val="000000" w:themeColor="text1"/>
          <w:lang w:val="es-MX"/>
        </w:rPr>
      </w:pPr>
    </w:p>
    <w:p w14:paraId="57B6777B" w14:textId="77777777" w:rsidR="0013440C" w:rsidRDefault="0013440C" w:rsidP="00114178">
      <w:pPr>
        <w:spacing w:after="0" w:line="240" w:lineRule="auto"/>
        <w:rPr>
          <w:rFonts w:ascii="Verdana" w:eastAsia="Geomanist Light" w:hAnsi="Verdana" w:cs="Arial"/>
          <w:color w:val="000000" w:themeColor="text1"/>
          <w:lang w:val="es-MX"/>
        </w:rPr>
      </w:pPr>
    </w:p>
    <w:p w14:paraId="7B9C4BB0" w14:textId="77777777" w:rsidR="0013440C" w:rsidRDefault="0013440C" w:rsidP="00114178">
      <w:pPr>
        <w:spacing w:after="0" w:line="240" w:lineRule="auto"/>
        <w:rPr>
          <w:rFonts w:ascii="Verdana" w:eastAsia="Geomanist Light" w:hAnsi="Verdana" w:cs="Arial"/>
          <w:color w:val="000000" w:themeColor="text1"/>
          <w:lang w:val="es-MX"/>
        </w:rPr>
      </w:pPr>
    </w:p>
    <w:p w14:paraId="3534CB28" w14:textId="77777777" w:rsidR="0013440C" w:rsidRDefault="0013440C" w:rsidP="00114178">
      <w:pPr>
        <w:spacing w:after="0" w:line="240" w:lineRule="auto"/>
        <w:rPr>
          <w:rFonts w:ascii="Verdana" w:eastAsia="Geomanist Light" w:hAnsi="Verdana" w:cs="Arial"/>
          <w:color w:val="000000" w:themeColor="text1"/>
          <w:lang w:val="es-MX"/>
        </w:rPr>
      </w:pPr>
    </w:p>
    <w:p w14:paraId="4CABA6FD" w14:textId="4FEA9DF7" w:rsidR="00114178" w:rsidRPr="00593A5F" w:rsidRDefault="00114178" w:rsidP="00114178">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1A3709" w:rsidRPr="001A3709">
        <w:rPr>
          <w:rFonts w:ascii="Verdana" w:eastAsia="Geomanist Light" w:hAnsi="Verdana" w:cs="Arial"/>
          <w:color w:val="000000" w:themeColor="text1"/>
          <w:lang w:val="es-MX"/>
        </w:rPr>
        <w:t>24 de Agosto de 2026</w:t>
      </w:r>
    </w:p>
    <w:p w14:paraId="70321A23" w14:textId="4458F2A9" w:rsidR="00114178" w:rsidRDefault="00114178" w:rsidP="00114178">
      <w:pPr>
        <w:spacing w:after="0" w:line="240" w:lineRule="auto"/>
        <w:jc w:val="both"/>
        <w:rPr>
          <w:rFonts w:ascii="Verdana" w:eastAsia="Calibri" w:hAnsi="Verdana" w:cs="Arial"/>
          <w:color w:val="000000"/>
          <w:lang w:val="es-ES"/>
        </w:rPr>
      </w:pPr>
    </w:p>
    <w:p w14:paraId="26EA0084" w14:textId="4F8F97A2" w:rsidR="001A3709" w:rsidRDefault="001A3709" w:rsidP="001A3709">
      <w:pPr>
        <w:spacing w:after="0" w:line="240" w:lineRule="auto"/>
        <w:jc w:val="right"/>
        <w:rPr>
          <w:rFonts w:ascii="Verdana" w:eastAsia="Calibri" w:hAnsi="Verdana" w:cs="Arial"/>
          <w:color w:val="000000"/>
          <w:lang w:val="es-ES"/>
        </w:rPr>
      </w:pPr>
    </w:p>
    <w:p w14:paraId="4D21B5F0" w14:textId="13895C99" w:rsidR="00114178" w:rsidRPr="00593A5F" w:rsidRDefault="00114178" w:rsidP="00114178">
      <w:pPr>
        <w:spacing w:after="0" w:line="240" w:lineRule="auto"/>
        <w:jc w:val="both"/>
        <w:rPr>
          <w:rFonts w:ascii="Verdana" w:eastAsia="Calibri" w:hAnsi="Verdana" w:cs="Arial"/>
          <w:color w:val="000000"/>
          <w:lang w:val="es-ES"/>
        </w:rPr>
      </w:pPr>
    </w:p>
    <w:p w14:paraId="214D9061" w14:textId="236225C6" w:rsidR="00114178" w:rsidRPr="00B96799" w:rsidRDefault="00BE57B6" w:rsidP="00114178">
      <w:pPr>
        <w:spacing w:after="0" w:line="240" w:lineRule="auto"/>
        <w:jc w:val="both"/>
        <w:rPr>
          <w:rFonts w:ascii="Verdana" w:eastAsia="Calibri" w:hAnsi="Verdana" w:cs="Arial"/>
          <w:lang w:val="es-ES" w:eastAsia="es-ES"/>
        </w:rPr>
      </w:pPr>
      <w:r w:rsidRPr="001A3709">
        <w:rPr>
          <w:rFonts w:ascii="Verdana" w:eastAsia="Calibri" w:hAnsi="Verdana" w:cs="Arial"/>
          <w:noProof/>
          <w:color w:val="000000"/>
          <w:lang w:val="es-ES"/>
        </w:rPr>
        <w:drawing>
          <wp:anchor distT="0" distB="0" distL="114300" distR="114300" simplePos="0" relativeHeight="251659264" behindDoc="0" locked="0" layoutInCell="1" allowOverlap="1" wp14:anchorId="1D7121A5" wp14:editId="3412E2EE">
            <wp:simplePos x="0" y="0"/>
            <wp:positionH relativeFrom="margin">
              <wp:align>right</wp:align>
            </wp:positionH>
            <wp:positionV relativeFrom="paragraph">
              <wp:posOffset>6350</wp:posOffset>
            </wp:positionV>
            <wp:extent cx="2813685" cy="699135"/>
            <wp:effectExtent l="0" t="0" r="5715" b="5715"/>
            <wp:wrapSquare wrapText="bothSides"/>
            <wp:docPr id="1031739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39776" name=""/>
                    <pic:cNvPicPr/>
                  </pic:nvPicPr>
                  <pic:blipFill>
                    <a:blip r:embed="rId10">
                      <a:extLst>
                        <a:ext uri="{28A0092B-C50C-407E-A947-70E740481C1C}">
                          <a14:useLocalDpi xmlns:a14="http://schemas.microsoft.com/office/drawing/2010/main" val="0"/>
                        </a:ext>
                      </a:extLst>
                    </a:blip>
                    <a:stretch>
                      <a:fillRect/>
                    </a:stretch>
                  </pic:blipFill>
                  <pic:spPr>
                    <a:xfrm>
                      <a:off x="0" y="0"/>
                      <a:ext cx="2819259" cy="701101"/>
                    </a:xfrm>
                    <a:prstGeom prst="rect">
                      <a:avLst/>
                    </a:prstGeom>
                  </pic:spPr>
                </pic:pic>
              </a:graphicData>
            </a:graphic>
            <wp14:sizeRelH relativeFrom="margin">
              <wp14:pctWidth>0</wp14:pctWidth>
            </wp14:sizeRelH>
            <wp14:sizeRelV relativeFrom="margin">
              <wp14:pctHeight>0</wp14:pctHeight>
            </wp14:sizeRelV>
          </wp:anchor>
        </w:drawing>
      </w:r>
      <w:r w:rsidR="00114178">
        <w:rPr>
          <w:rFonts w:ascii="Verdana" w:eastAsia="Calibri" w:hAnsi="Verdana" w:cs="Arial"/>
          <w:lang w:val="es-ES" w:eastAsia="es-ES"/>
        </w:rPr>
        <w:t>Señor</w:t>
      </w:r>
    </w:p>
    <w:p w14:paraId="37A8AB10" w14:textId="77777777" w:rsidR="00114178" w:rsidRDefault="00114178" w:rsidP="00114178">
      <w:pPr>
        <w:spacing w:after="0" w:line="240" w:lineRule="auto"/>
        <w:rPr>
          <w:rFonts w:ascii="Verdana" w:eastAsia="Calibri" w:hAnsi="Verdana" w:cs="Arial"/>
          <w:b/>
          <w:lang w:val="es-ES_tradnl" w:eastAsia="es-ES_tradnl"/>
        </w:rPr>
      </w:pPr>
      <w:r w:rsidRPr="00C436E0">
        <w:rPr>
          <w:rFonts w:ascii="Verdana" w:eastAsia="Calibri" w:hAnsi="Verdana" w:cs="Arial"/>
          <w:b/>
          <w:lang w:val="es-ES_tradnl" w:eastAsia="es-ES_tradnl"/>
        </w:rPr>
        <w:t>David Alfonso Quiroz Franco</w:t>
      </w:r>
      <w:r w:rsidRPr="008777D5">
        <w:rPr>
          <w:rFonts w:ascii="Verdana" w:eastAsia="Calibri" w:hAnsi="Verdana" w:cs="Arial"/>
          <w:b/>
          <w:lang w:val="es-ES_tradnl" w:eastAsia="es-ES_tradnl"/>
        </w:rPr>
        <w:t xml:space="preserve"> </w:t>
      </w:r>
    </w:p>
    <w:p w14:paraId="5CB745C6" w14:textId="77777777" w:rsidR="00114178" w:rsidRPr="00C436E0" w:rsidRDefault="00114178" w:rsidP="00114178">
      <w:pPr>
        <w:spacing w:after="0" w:line="240" w:lineRule="auto"/>
        <w:rPr>
          <w:rFonts w:ascii="Verdana" w:eastAsia="Calibri" w:hAnsi="Verdana" w:cs="Arial"/>
          <w:lang w:val="es-ES" w:eastAsia="es-ES"/>
        </w:rPr>
      </w:pPr>
      <w:hyperlink r:id="rId11" w:history="1">
        <w:r w:rsidRPr="00FD5CF2">
          <w:rPr>
            <w:rStyle w:val="Hipervnculo"/>
            <w:rFonts w:ascii="Verdana" w:hAnsi="Verdana"/>
          </w:rPr>
          <w:t>davidquiroz28@hotmail.com</w:t>
        </w:r>
      </w:hyperlink>
      <w:r>
        <w:rPr>
          <w:rFonts w:ascii="Verdana" w:hAnsi="Verdana"/>
        </w:rPr>
        <w:t xml:space="preserve"> </w:t>
      </w:r>
      <w:r w:rsidRPr="00C436E0">
        <w:rPr>
          <w:rFonts w:ascii="Verdana" w:hAnsi="Verdana"/>
        </w:rPr>
        <w:t xml:space="preserve">                     </w:t>
      </w:r>
      <w:r w:rsidRPr="00C436E0">
        <w:rPr>
          <w:rFonts w:ascii="Verdana" w:eastAsia="Calibri" w:hAnsi="Verdana" w:cs="Arial"/>
          <w:lang w:val="es-ES" w:eastAsia="es-ES"/>
        </w:rPr>
        <w:t xml:space="preserve">    </w:t>
      </w:r>
    </w:p>
    <w:p w14:paraId="7DFCA946" w14:textId="77777777" w:rsidR="00114178" w:rsidRDefault="00114178" w:rsidP="00114178">
      <w:pPr>
        <w:spacing w:after="0" w:line="240" w:lineRule="auto"/>
        <w:rPr>
          <w:rFonts w:ascii="Verdana" w:eastAsia="Calibri" w:hAnsi="Verdana" w:cs="Arial"/>
          <w:lang w:val="es-ES" w:eastAsia="es-ES"/>
        </w:rPr>
      </w:pPr>
      <w:r>
        <w:rPr>
          <w:rFonts w:ascii="Verdana" w:eastAsia="Calibri" w:hAnsi="Verdana" w:cs="Arial"/>
          <w:lang w:val="es-ES" w:eastAsia="es-ES"/>
        </w:rPr>
        <w:t>Santiago de Cali</w:t>
      </w:r>
      <w:r w:rsidRPr="004513BB">
        <w:rPr>
          <w:rFonts w:ascii="Verdana" w:eastAsia="Calibri" w:hAnsi="Verdana" w:cs="Arial"/>
          <w:lang w:val="es-ES" w:eastAsia="es-ES"/>
        </w:rPr>
        <w:t xml:space="preserve">, </w:t>
      </w:r>
      <w:r>
        <w:rPr>
          <w:rFonts w:ascii="Verdana" w:eastAsia="Calibri" w:hAnsi="Verdana" w:cs="Arial"/>
          <w:lang w:val="es-ES" w:eastAsia="es-ES"/>
        </w:rPr>
        <w:t xml:space="preserve">Valle del Cauca </w:t>
      </w:r>
    </w:p>
    <w:p w14:paraId="60F6D54B" w14:textId="77777777" w:rsidR="00114178" w:rsidRPr="00593A5F" w:rsidRDefault="00114178" w:rsidP="00114178">
      <w:pPr>
        <w:spacing w:after="0" w:line="240" w:lineRule="auto"/>
        <w:rPr>
          <w:rFonts w:ascii="Verdana" w:eastAsia="Calibri" w:hAnsi="Verdana" w:cs="Arial"/>
          <w:b/>
          <w:bCs/>
          <w:color w:val="000000"/>
          <w:lang w:val="es-ES_tradnl" w:eastAsia="es-ES_tradnl"/>
        </w:rPr>
      </w:pPr>
    </w:p>
    <w:p w14:paraId="7861899D" w14:textId="77777777" w:rsidR="00114178" w:rsidRPr="00593A5F" w:rsidRDefault="00114178" w:rsidP="00114178">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14178" w:rsidRPr="00593A5F" w14:paraId="5BC9137A" w14:textId="77777777" w:rsidTr="00375D38">
        <w:trPr>
          <w:trHeight w:val="884"/>
        </w:trPr>
        <w:tc>
          <w:tcPr>
            <w:tcW w:w="2689" w:type="dxa"/>
          </w:tcPr>
          <w:p w14:paraId="50E95767" w14:textId="77777777" w:rsidR="00114178" w:rsidRPr="00C00976" w:rsidRDefault="00114178" w:rsidP="00375D38">
            <w:pPr>
              <w:jc w:val="both"/>
              <w:rPr>
                <w:rFonts w:ascii="Verdana" w:eastAsia="Calibri" w:hAnsi="Verdana" w:cs="Arial"/>
                <w:b/>
                <w:bCs/>
                <w:color w:val="7030A0"/>
                <w:lang w:val="es-ES_tradnl" w:eastAsia="es-ES_tradnl"/>
              </w:rPr>
            </w:pPr>
          </w:p>
        </w:tc>
        <w:tc>
          <w:tcPr>
            <w:tcW w:w="6100" w:type="dxa"/>
          </w:tcPr>
          <w:p w14:paraId="22CADE91" w14:textId="1D006774" w:rsidR="00114178" w:rsidRPr="00C00976" w:rsidRDefault="00114178" w:rsidP="00375D38">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BE57B6">
              <w:rPr>
                <w:rFonts w:ascii="Verdana" w:eastAsia="Calibri" w:hAnsi="Verdana" w:cs="Arial"/>
                <w:b/>
                <w:bCs/>
                <w:lang w:val="es-ES" w:eastAsia="es-ES"/>
              </w:rPr>
              <w:t>-</w:t>
            </w:r>
            <w:r>
              <w:rPr>
                <w:rFonts w:ascii="Verdana" w:eastAsia="Calibri" w:hAnsi="Verdana" w:cs="Arial"/>
                <w:b/>
                <w:bCs/>
                <w:lang w:val="es-ES" w:eastAsia="es-ES"/>
              </w:rPr>
              <w:t xml:space="preserve">1214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114178" w:rsidRPr="00593A5F" w14:paraId="7B51E137" w14:textId="77777777" w:rsidTr="00375D38">
        <w:trPr>
          <w:trHeight w:val="884"/>
        </w:trPr>
        <w:tc>
          <w:tcPr>
            <w:tcW w:w="2689" w:type="dxa"/>
          </w:tcPr>
          <w:p w14:paraId="4BFD0F01" w14:textId="77777777" w:rsidR="00114178" w:rsidRPr="00593A5F" w:rsidRDefault="00114178" w:rsidP="00375D38">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4635717B" w14:textId="77777777" w:rsidR="00114178" w:rsidRPr="00A11406" w:rsidRDefault="00114178" w:rsidP="00375D38">
            <w:pPr>
              <w:spacing w:line="276" w:lineRule="auto"/>
              <w:jc w:val="both"/>
              <w:rPr>
                <w:rFonts w:ascii="Verdana" w:eastAsia="Calibri" w:hAnsi="Verdana" w:cs="Arial"/>
                <w:lang w:val="es-ES" w:eastAsia="es-ES"/>
              </w:rPr>
            </w:pPr>
            <w:r w:rsidRPr="00613A93">
              <w:rPr>
                <w:rFonts w:ascii="Verdana" w:eastAsia="Calibri" w:hAnsi="Verdana" w:cs="Arial"/>
                <w:lang w:val="es-ES" w:eastAsia="es-ES"/>
              </w:rPr>
              <w:t>CAPACIDAD RESIDUAL – Definición</w:t>
            </w:r>
            <w:r>
              <w:rPr>
                <w:rFonts w:ascii="Verdana" w:eastAsia="Calibri" w:hAnsi="Verdana" w:cs="Arial"/>
                <w:lang w:val="es-ES" w:eastAsia="es-ES"/>
              </w:rPr>
              <w:t xml:space="preserve"> / </w:t>
            </w:r>
            <w:r w:rsidRPr="00613A93">
              <w:rPr>
                <w:rFonts w:ascii="Verdana" w:eastAsia="Calibri" w:hAnsi="Verdana" w:cs="Arial"/>
                <w:lang w:val="es-ES" w:eastAsia="es-ES"/>
              </w:rPr>
              <w:t>SALDO DE LOS CONTRATOS EN EJECUCIÓN – Contratos sin acta de inicio – Contratos suspendidos – Inclusión</w:t>
            </w:r>
            <w:r>
              <w:rPr>
                <w:rFonts w:ascii="Verdana" w:eastAsia="Calibri" w:hAnsi="Verdana" w:cs="Arial"/>
                <w:lang w:val="es-ES" w:eastAsia="es-ES"/>
              </w:rPr>
              <w:t xml:space="preserve"> / </w:t>
            </w:r>
            <w:r w:rsidRPr="00613A93">
              <w:rPr>
                <w:rFonts w:ascii="Verdana" w:eastAsia="Calibri" w:hAnsi="Verdana" w:cs="Arial"/>
                <w:lang w:val="es-ES" w:eastAsia="es-ES"/>
              </w:rPr>
              <w:t>OBRAS CIVILES – Significado técnico – Prevalencia</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0B4F468A" w14:textId="77777777" w:rsidR="00114178" w:rsidRPr="00593A5F" w:rsidRDefault="00114178" w:rsidP="00375D38">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114178" w:rsidRPr="008E6AD9" w14:paraId="1D9CA92C" w14:textId="77777777" w:rsidTr="00375D38">
        <w:tc>
          <w:tcPr>
            <w:tcW w:w="2689" w:type="dxa"/>
          </w:tcPr>
          <w:p w14:paraId="0F39E6F5" w14:textId="77777777" w:rsidR="00114178" w:rsidRPr="008E6AD9" w:rsidRDefault="00114178" w:rsidP="00375D38">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3B5DEEBD" w14:textId="77777777" w:rsidR="00114178" w:rsidRPr="00B92340" w:rsidRDefault="00114178" w:rsidP="00375D38">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C11002">
              <w:rPr>
                <w:rFonts w:ascii="Verdana" w:eastAsia="Calibri" w:hAnsi="Verdana" w:cs="Arial"/>
                <w:lang w:val="es-ES_tradnl" w:eastAsia="es-ES_tradnl"/>
              </w:rPr>
              <w:t>1_2026_08_02_010147</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1E12AEAA" w14:textId="77777777" w:rsidR="00114178" w:rsidRPr="00593A5F" w:rsidRDefault="00114178" w:rsidP="00114178">
      <w:pPr>
        <w:spacing w:after="0" w:line="240" w:lineRule="auto"/>
        <w:jc w:val="both"/>
        <w:rPr>
          <w:rFonts w:ascii="Verdana" w:eastAsia="Calibri" w:hAnsi="Verdana" w:cs="Arial"/>
          <w:color w:val="000000"/>
          <w:lang w:val="es-ES_tradnl" w:eastAsia="es-ES_tradnl"/>
        </w:rPr>
      </w:pPr>
    </w:p>
    <w:p w14:paraId="4DC373A4" w14:textId="77777777" w:rsidR="00114178" w:rsidRPr="00593A5F" w:rsidRDefault="00114178" w:rsidP="00114178">
      <w:pPr>
        <w:spacing w:after="0" w:line="240" w:lineRule="auto"/>
        <w:jc w:val="both"/>
        <w:rPr>
          <w:rFonts w:ascii="Verdana" w:eastAsia="Calibri" w:hAnsi="Verdana" w:cs="Arial"/>
          <w:color w:val="000000"/>
          <w:lang w:val="es-ES_tradnl" w:eastAsia="es-ES_tradnl"/>
        </w:rPr>
      </w:pPr>
    </w:p>
    <w:p w14:paraId="5E384A25" w14:textId="77777777" w:rsidR="00114178" w:rsidRPr="008E6AD9" w:rsidRDefault="00114178" w:rsidP="00114178">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 </w:t>
      </w:r>
      <w:r w:rsidRPr="000A7512">
        <w:rPr>
          <w:rFonts w:ascii="Verdana" w:eastAsia="Calibri" w:hAnsi="Verdana" w:cs="Arial"/>
          <w:lang w:val="es-ES" w:eastAsia="es-ES"/>
        </w:rPr>
        <w:t>Quiroz Franco</w:t>
      </w:r>
      <w:r w:rsidRPr="008E6AD9">
        <w:rPr>
          <w:rFonts w:ascii="Verdana" w:eastAsia="Calibri" w:hAnsi="Verdana" w:cs="Arial"/>
          <w:lang w:val="es-ES" w:eastAsia="es-ES"/>
        </w:rPr>
        <w:t xml:space="preserve">: </w:t>
      </w:r>
    </w:p>
    <w:p w14:paraId="3081590A" w14:textId="77777777" w:rsidR="00114178" w:rsidRDefault="00114178" w:rsidP="00114178">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6D41A82D" w14:textId="77777777" w:rsidR="00114178" w:rsidRPr="00593A5F" w:rsidRDefault="00114178" w:rsidP="00114178">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2 de agosto de 2026, donde solicita conceptuar sobre los siguientes aspectos</w:t>
      </w:r>
      <w:r w:rsidRPr="008E6AD9">
        <w:rPr>
          <w:rFonts w:ascii="Verdana" w:eastAsia="Calibri" w:hAnsi="Verdana" w:cs="Arial"/>
          <w:lang w:val="es-ES" w:eastAsia="es-ES"/>
        </w:rPr>
        <w:t xml:space="preserve">: </w:t>
      </w:r>
    </w:p>
    <w:p w14:paraId="0ADDB47F" w14:textId="77777777" w:rsidR="00114178" w:rsidRPr="00272A7B" w:rsidRDefault="00114178" w:rsidP="00114178">
      <w:pPr>
        <w:pStyle w:val="Prrafodelista"/>
        <w:tabs>
          <w:tab w:val="left" w:pos="142"/>
          <w:tab w:val="left" w:pos="284"/>
        </w:tabs>
        <w:spacing w:after="0" w:line="276" w:lineRule="auto"/>
        <w:ind w:left="0"/>
        <w:jc w:val="both"/>
        <w:rPr>
          <w:rFonts w:ascii="Verdana" w:eastAsia="Century Gothic" w:hAnsi="Verdana" w:cs="Century Gothic"/>
          <w:b/>
          <w:bCs/>
        </w:rPr>
      </w:pPr>
    </w:p>
    <w:p w14:paraId="7662200F" w14:textId="77777777" w:rsidR="00114178" w:rsidRPr="000A7512" w:rsidRDefault="00114178" w:rsidP="00114178">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0A7512">
        <w:rPr>
          <w:rFonts w:ascii="Verdana" w:eastAsia="Century Gothic" w:hAnsi="Verdana" w:cs="Century Gothic"/>
          <w:sz w:val="20"/>
          <w:szCs w:val="20"/>
          <w:lang w:val="es-ES"/>
        </w:rPr>
        <w:t>1. ¿Los contratos cuyo objeto comprende actividades relacionadas con proyectos eléctricos, energéticos y tecnológicos, como los que se relacionan a continuación, deben ser considerados como contratos de obra civil y, en consecuencia, ser incluidos dentro del Saldo de Contratos en Ejecución (SCE) para efectos del cálculo de la Capacidad Residual?</w:t>
      </w:r>
    </w:p>
    <w:p w14:paraId="2D74DAEF" w14:textId="77777777" w:rsidR="00114178" w:rsidRPr="000A7512" w:rsidRDefault="00114178" w:rsidP="00114178">
      <w:pPr>
        <w:spacing w:after="0" w:line="240" w:lineRule="auto"/>
        <w:ind w:left="709" w:right="709"/>
        <w:jc w:val="both"/>
        <w:rPr>
          <w:rFonts w:ascii="Verdana" w:eastAsia="Century Gothic" w:hAnsi="Verdana" w:cs="Century Gothic"/>
          <w:sz w:val="20"/>
          <w:szCs w:val="20"/>
          <w:lang w:val="es-ES"/>
        </w:rPr>
      </w:pPr>
      <w:r w:rsidRPr="000A7512">
        <w:rPr>
          <w:rFonts w:ascii="Verdana" w:eastAsia="Century Gothic" w:hAnsi="Verdana" w:cs="Century Gothic"/>
          <w:sz w:val="20"/>
          <w:szCs w:val="20"/>
          <w:lang w:val="es-ES"/>
        </w:rPr>
        <w:t>* Construir soluciones solares fotovoltaicas.</w:t>
      </w:r>
    </w:p>
    <w:p w14:paraId="76FFC37C" w14:textId="77777777" w:rsidR="00114178" w:rsidRPr="000A7512" w:rsidRDefault="00114178" w:rsidP="00114178">
      <w:pPr>
        <w:spacing w:after="0" w:line="240" w:lineRule="auto"/>
        <w:ind w:left="709" w:right="709"/>
        <w:jc w:val="both"/>
        <w:rPr>
          <w:rFonts w:ascii="Verdana" w:eastAsia="Century Gothic" w:hAnsi="Verdana" w:cs="Century Gothic"/>
          <w:sz w:val="20"/>
          <w:szCs w:val="20"/>
          <w:lang w:val="es-ES"/>
        </w:rPr>
      </w:pPr>
      <w:r w:rsidRPr="000A7512">
        <w:rPr>
          <w:rFonts w:ascii="Verdana" w:eastAsia="Century Gothic" w:hAnsi="Verdana" w:cs="Century Gothic"/>
          <w:sz w:val="20"/>
          <w:szCs w:val="20"/>
          <w:lang w:val="es-ES"/>
        </w:rPr>
        <w:t>* Construcción de proyecto para dar solución energética sostenible a comunidades.</w:t>
      </w:r>
    </w:p>
    <w:p w14:paraId="4CFB62E2" w14:textId="77777777" w:rsidR="00114178" w:rsidRPr="000A7512" w:rsidRDefault="00114178" w:rsidP="00114178">
      <w:pPr>
        <w:spacing w:after="0" w:line="240" w:lineRule="auto"/>
        <w:ind w:left="709" w:right="709"/>
        <w:jc w:val="both"/>
        <w:rPr>
          <w:rFonts w:ascii="Verdana" w:eastAsia="Century Gothic" w:hAnsi="Verdana" w:cs="Century Gothic"/>
          <w:sz w:val="20"/>
          <w:szCs w:val="20"/>
          <w:lang w:val="es-ES"/>
        </w:rPr>
      </w:pPr>
      <w:r w:rsidRPr="000A7512">
        <w:rPr>
          <w:rFonts w:ascii="Verdana" w:eastAsia="Century Gothic" w:hAnsi="Verdana" w:cs="Century Gothic"/>
          <w:sz w:val="20"/>
          <w:szCs w:val="20"/>
          <w:lang w:val="es-ES"/>
        </w:rPr>
        <w:lastRenderedPageBreak/>
        <w:t>* Realizar la modernización y repotenciación de una subestación eléctrica.</w:t>
      </w:r>
    </w:p>
    <w:p w14:paraId="630D5516" w14:textId="77777777" w:rsidR="00114178" w:rsidRPr="000A7512" w:rsidRDefault="00114178" w:rsidP="00114178">
      <w:pPr>
        <w:spacing w:after="0" w:line="240" w:lineRule="auto"/>
        <w:ind w:left="709" w:right="709"/>
        <w:jc w:val="both"/>
        <w:rPr>
          <w:rFonts w:ascii="Verdana" w:eastAsia="Century Gothic" w:hAnsi="Verdana" w:cs="Century Gothic"/>
          <w:sz w:val="20"/>
          <w:szCs w:val="20"/>
          <w:lang w:val="es-ES"/>
        </w:rPr>
      </w:pPr>
      <w:r w:rsidRPr="000A7512">
        <w:rPr>
          <w:rFonts w:ascii="Verdana" w:eastAsia="Century Gothic" w:hAnsi="Verdana" w:cs="Century Gothic"/>
          <w:sz w:val="20"/>
          <w:szCs w:val="20"/>
          <w:lang w:val="es-ES"/>
        </w:rPr>
        <w:t>* Suministro, montaje, instalación, pruebas, calibración y puesta en funcionamiento de Sistema de Protección Contra Rayos.</w:t>
      </w:r>
    </w:p>
    <w:p w14:paraId="118616CB" w14:textId="77777777" w:rsidR="00114178" w:rsidRPr="000A7512" w:rsidRDefault="00114178" w:rsidP="00114178">
      <w:pPr>
        <w:spacing w:after="120" w:line="240" w:lineRule="auto"/>
        <w:ind w:left="709" w:right="709"/>
        <w:jc w:val="both"/>
        <w:rPr>
          <w:rFonts w:ascii="Verdana" w:eastAsia="Century Gothic" w:hAnsi="Verdana" w:cs="Century Gothic"/>
          <w:sz w:val="20"/>
          <w:szCs w:val="20"/>
          <w:lang w:val="es-ES"/>
        </w:rPr>
      </w:pPr>
      <w:r w:rsidRPr="000A7512">
        <w:rPr>
          <w:rFonts w:ascii="Verdana" w:eastAsia="Century Gothic" w:hAnsi="Verdana" w:cs="Century Gothic"/>
          <w:sz w:val="20"/>
          <w:szCs w:val="20"/>
          <w:lang w:val="es-ES"/>
        </w:rPr>
        <w:t>* Fortalecimiento y actualización a la infraestructura que soporta una plataforma de seguridad electrónica.</w:t>
      </w:r>
    </w:p>
    <w:p w14:paraId="60252F81" w14:textId="77777777" w:rsidR="00114178" w:rsidRPr="008E6AD9" w:rsidRDefault="00114178" w:rsidP="00114178">
      <w:pPr>
        <w:spacing w:after="0" w:line="240" w:lineRule="auto"/>
        <w:ind w:left="709" w:right="709"/>
        <w:jc w:val="both"/>
        <w:rPr>
          <w:rFonts w:ascii="Verdana" w:eastAsia="Century Gothic" w:hAnsi="Verdana" w:cs="Century Gothic"/>
          <w:b/>
          <w:bCs/>
        </w:rPr>
      </w:pPr>
      <w:r w:rsidRPr="000A7512">
        <w:rPr>
          <w:rFonts w:ascii="Verdana" w:eastAsia="Century Gothic" w:hAnsi="Verdana" w:cs="Century Gothic"/>
          <w:sz w:val="20"/>
          <w:szCs w:val="20"/>
          <w:lang w:val="es-ES"/>
        </w:rPr>
        <w:t>2. ¿Los contratos que han sido adjudicados y legalizados, pero que a la fecha no cuentan con acta de inicio, deben ser reportados e incluidos dentro del Saldo de Contratos en Ejecución (SCE)?</w:t>
      </w:r>
      <w:r>
        <w:rPr>
          <w:rFonts w:ascii="Verdana" w:eastAsia="Century Gothic" w:hAnsi="Verdana" w:cs="Century Gothic"/>
          <w:sz w:val="20"/>
          <w:szCs w:val="20"/>
          <w:lang w:val="es-ES"/>
        </w:rPr>
        <w:t>”.</w:t>
      </w:r>
    </w:p>
    <w:p w14:paraId="0D9C45D4" w14:textId="77777777" w:rsidR="00114178" w:rsidRPr="00481B98" w:rsidRDefault="00114178" w:rsidP="00114178">
      <w:pPr>
        <w:spacing w:after="0" w:line="276" w:lineRule="auto"/>
        <w:ind w:firstLine="709"/>
        <w:jc w:val="both"/>
        <w:rPr>
          <w:rFonts w:ascii="Verdana" w:eastAsia="Calibri" w:hAnsi="Verdana" w:cs="Arial"/>
          <w:color w:val="000000"/>
          <w:lang w:eastAsia="es-ES"/>
        </w:rPr>
      </w:pPr>
    </w:p>
    <w:p w14:paraId="3F2F80F3" w14:textId="77777777" w:rsidR="00114178" w:rsidRPr="00A652FF" w:rsidRDefault="00114178" w:rsidP="00114178">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1C72C731" w14:textId="77777777" w:rsidR="00114178" w:rsidRDefault="00114178" w:rsidP="00114178">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w:t>
      </w:r>
      <w:r>
        <w:rPr>
          <w:rFonts w:ascii="Verdana" w:eastAsia="Calibri" w:hAnsi="Verdana" w:cs="Arial"/>
          <w:color w:val="000000"/>
          <w:lang w:val="es-ES" w:eastAsia="es-ES"/>
        </w:rPr>
        <w:t xml:space="preserve">de los cinco (5) </w:t>
      </w:r>
      <w:r w:rsidRPr="00670845">
        <w:rPr>
          <w:rFonts w:ascii="Verdana" w:eastAsia="Calibri" w:hAnsi="Verdana" w:cs="Arial"/>
          <w:color w:val="000000"/>
          <w:lang w:val="es-ES" w:eastAsia="es-ES"/>
        </w:rPr>
        <w:t>proyectos eléctricos, energéticos y tecnológicos</w:t>
      </w:r>
      <w:r>
        <w:rPr>
          <w:rFonts w:ascii="Verdana" w:eastAsia="Calibri" w:hAnsi="Verdana" w:cs="Arial"/>
          <w:color w:val="000000"/>
          <w:lang w:val="es-ES" w:eastAsia="es-ES"/>
        </w:rPr>
        <w:t xml:space="preserve"> mencionados en la solicitud</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los</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problemas</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7A505F44" w14:textId="77777777" w:rsidR="00114178" w:rsidRPr="00593A5F" w:rsidRDefault="00114178" w:rsidP="00114178">
      <w:pPr>
        <w:spacing w:after="0" w:line="276" w:lineRule="auto"/>
        <w:ind w:firstLine="709"/>
        <w:jc w:val="both"/>
        <w:rPr>
          <w:rFonts w:ascii="Verdana" w:eastAsia="Calibri" w:hAnsi="Verdana" w:cs="Arial"/>
          <w:color w:val="000000"/>
          <w:lang w:val="es-ES" w:eastAsia="es-ES"/>
        </w:rPr>
      </w:pPr>
    </w:p>
    <w:p w14:paraId="7863A3F1" w14:textId="77777777" w:rsidR="00114178" w:rsidRPr="00593A5F" w:rsidRDefault="00114178" w:rsidP="0011417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s</w:t>
      </w:r>
      <w:r w:rsidRPr="00593A5F">
        <w:rPr>
          <w:rFonts w:ascii="Verdana" w:eastAsia="Century Gothic" w:hAnsi="Verdana" w:cs="Century Gothic"/>
          <w:b/>
          <w:bCs/>
        </w:rPr>
        <w:t xml:space="preserve"> planteado</w:t>
      </w:r>
      <w:r>
        <w:rPr>
          <w:rFonts w:ascii="Verdana" w:eastAsia="Century Gothic" w:hAnsi="Verdana" w:cs="Century Gothic"/>
          <w:b/>
          <w:bCs/>
        </w:rPr>
        <w:t>s</w:t>
      </w:r>
      <w:r w:rsidRPr="00593A5F">
        <w:rPr>
          <w:rFonts w:ascii="Verdana" w:eastAsia="Century Gothic" w:hAnsi="Verdana" w:cs="Century Gothic"/>
          <w:b/>
          <w:bCs/>
        </w:rPr>
        <w:t>:</w:t>
      </w:r>
    </w:p>
    <w:p w14:paraId="21955880" w14:textId="77777777" w:rsidR="00114178" w:rsidRPr="00593A5F" w:rsidRDefault="00114178" w:rsidP="00114178">
      <w:pPr>
        <w:tabs>
          <w:tab w:val="left" w:pos="426"/>
        </w:tabs>
        <w:spacing w:after="0" w:line="276" w:lineRule="auto"/>
        <w:jc w:val="both"/>
        <w:rPr>
          <w:rFonts w:ascii="Verdana" w:eastAsia="Century Gothic" w:hAnsi="Verdana" w:cs="Century Gothic"/>
          <w:lang w:val="es-ES"/>
        </w:rPr>
      </w:pPr>
    </w:p>
    <w:p w14:paraId="7970FB64" w14:textId="77777777" w:rsidR="00114178" w:rsidRPr="00593A5F" w:rsidRDefault="00114178" w:rsidP="00114178">
      <w:pPr>
        <w:spacing w:after="0" w:line="276" w:lineRule="auto"/>
        <w:jc w:val="both"/>
        <w:rPr>
          <w:rFonts w:ascii="Verdana" w:eastAsia="Century Gothic" w:hAnsi="Verdana" w:cs="Century Gothic"/>
        </w:rPr>
      </w:pPr>
      <w:r w:rsidRPr="00D677B2">
        <w:rPr>
          <w:rFonts w:ascii="Verdana" w:eastAsia="Century Gothic" w:hAnsi="Verdana" w:cs="Century Gothic"/>
        </w:rPr>
        <w:t>De acuerdo con el contenido de su solicitud, esta Agencia resolverá l</w:t>
      </w:r>
      <w:r>
        <w:rPr>
          <w:rFonts w:ascii="Verdana" w:eastAsia="Century Gothic" w:hAnsi="Verdana" w:cs="Century Gothic"/>
        </w:rPr>
        <w:t>os</w:t>
      </w:r>
      <w:r w:rsidRPr="00D677B2">
        <w:rPr>
          <w:rFonts w:ascii="Verdana" w:eastAsia="Century Gothic" w:hAnsi="Verdana" w:cs="Century Gothic"/>
        </w:rPr>
        <w:t xml:space="preserve"> siguiente</w:t>
      </w:r>
      <w:r>
        <w:rPr>
          <w:rFonts w:ascii="Verdana" w:eastAsia="Century Gothic" w:hAnsi="Verdana" w:cs="Century Gothic"/>
        </w:rPr>
        <w:t>s</w:t>
      </w:r>
      <w:r w:rsidRPr="00D677B2">
        <w:rPr>
          <w:rFonts w:ascii="Verdana" w:eastAsia="Century Gothic" w:hAnsi="Verdana" w:cs="Century Gothic"/>
        </w:rPr>
        <w:t xml:space="preserve"> problema</w:t>
      </w:r>
      <w:r>
        <w:rPr>
          <w:rFonts w:ascii="Verdana" w:eastAsia="Century Gothic" w:hAnsi="Verdana" w:cs="Century Gothic"/>
        </w:rPr>
        <w:t>s</w:t>
      </w:r>
      <w:r w:rsidRPr="00D677B2">
        <w:rPr>
          <w:rFonts w:ascii="Verdana" w:eastAsia="Century Gothic" w:hAnsi="Verdana" w:cs="Century Gothic"/>
        </w:rPr>
        <w:t xml:space="preserve"> jurídico</w:t>
      </w:r>
      <w:r>
        <w:rPr>
          <w:rFonts w:ascii="Verdana" w:eastAsia="Century Gothic" w:hAnsi="Verdana" w:cs="Century Gothic"/>
        </w:rPr>
        <w:t>s</w:t>
      </w:r>
      <w:r w:rsidRPr="00D677B2">
        <w:rPr>
          <w:rFonts w:ascii="Verdana" w:eastAsia="Century Gothic" w:hAnsi="Verdana" w:cs="Century Gothic"/>
        </w:rPr>
        <w:t>:</w:t>
      </w:r>
      <w:r>
        <w:rPr>
          <w:rFonts w:ascii="Verdana" w:eastAsia="Century Gothic" w:hAnsi="Verdana" w:cs="Century Gothic"/>
        </w:rPr>
        <w:t xml:space="preserve"> i) ¿qué es la obra civil para acreditar el saldo de los contratos en ejecución en la capacidad residual? y </w:t>
      </w:r>
      <w:proofErr w:type="spellStart"/>
      <w:r>
        <w:rPr>
          <w:rFonts w:ascii="Verdana" w:eastAsia="Century Gothic" w:hAnsi="Verdana" w:cs="Century Gothic"/>
        </w:rPr>
        <w:t>ii</w:t>
      </w:r>
      <w:proofErr w:type="spellEnd"/>
      <w:r>
        <w:rPr>
          <w:rFonts w:ascii="Verdana" w:eastAsia="Century Gothic" w:hAnsi="Verdana" w:cs="Century Gothic"/>
        </w:rPr>
        <w:t>) ¿el saldo de los contratos en ejecución toma como referencia los contratos adjudicados que se hayan perfeccionado aunque no tengan acta de inicio?</w:t>
      </w:r>
    </w:p>
    <w:p w14:paraId="7E6923CF" w14:textId="77777777" w:rsidR="00114178" w:rsidRPr="004B140F" w:rsidRDefault="00114178" w:rsidP="00114178">
      <w:pPr>
        <w:spacing w:after="0" w:line="276" w:lineRule="auto"/>
        <w:jc w:val="both"/>
        <w:rPr>
          <w:rFonts w:ascii="Verdana" w:eastAsia="Calibri" w:hAnsi="Verdana" w:cs="Arial"/>
          <w:color w:val="7030A0"/>
        </w:rPr>
      </w:pPr>
    </w:p>
    <w:p w14:paraId="228FBF67" w14:textId="77777777" w:rsidR="00114178" w:rsidRPr="00593A5F" w:rsidRDefault="00114178" w:rsidP="0011417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Pr>
          <w:rFonts w:ascii="Verdana" w:eastAsia="Century Gothic" w:hAnsi="Verdana" w:cs="Century Gothic"/>
          <w:b/>
          <w:bCs/>
        </w:rPr>
        <w:t>s</w:t>
      </w:r>
      <w:r w:rsidRPr="00593A5F">
        <w:rPr>
          <w:rFonts w:ascii="Verdana" w:eastAsia="Century Gothic" w:hAnsi="Verdana" w:cs="Century Gothic"/>
          <w:b/>
          <w:bCs/>
        </w:rPr>
        <w:t>:</w:t>
      </w:r>
    </w:p>
    <w:p w14:paraId="7FAE87FD" w14:textId="77777777" w:rsidR="00114178" w:rsidRPr="00593A5F" w:rsidRDefault="00114178" w:rsidP="00114178">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14178" w:rsidRPr="00593A5F" w14:paraId="72E62FEE" w14:textId="77777777" w:rsidTr="00375D38">
        <w:trPr>
          <w:jc w:val="center"/>
        </w:trPr>
        <w:tc>
          <w:tcPr>
            <w:tcW w:w="8828" w:type="dxa"/>
          </w:tcPr>
          <w:p w14:paraId="65A3F03D" w14:textId="77777777" w:rsidR="00114178" w:rsidRPr="00502997" w:rsidRDefault="00114178" w:rsidP="00375D38">
            <w:pPr>
              <w:spacing w:after="120" w:line="276" w:lineRule="auto"/>
              <w:jc w:val="both"/>
              <w:rPr>
                <w:rFonts w:ascii="Verdana" w:eastAsia="Calibri" w:hAnsi="Verdana" w:cs="Arial"/>
                <w:bCs/>
                <w:color w:val="000000" w:themeColor="text1"/>
                <w:lang w:val="es-ES_tradnl"/>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Pr>
                <w:rFonts w:ascii="Verdana" w:eastAsia="Calibri" w:hAnsi="Verdana" w:cs="Arial"/>
                <w:color w:val="000000"/>
                <w:lang w:val="es-ES_tradnl" w:eastAsia="es-ES" w:bidi="es-ES"/>
              </w:rPr>
              <w:t>bajo los parámetros del artículo 29 de la Ley 84 de 1873,</w:t>
            </w:r>
            <w:r w:rsidRPr="00461044">
              <w:rPr>
                <w:rFonts w:ascii="Verdana" w:eastAsia="Calibri" w:hAnsi="Verdana" w:cs="Arial"/>
                <w:color w:val="000000"/>
                <w:lang w:val="es-ES_tradnl" w:eastAsia="es-ES" w:bidi="es-ES"/>
              </w:rPr>
              <w:t xml:space="preserve"> la obra civil es un término técnico que engloba cualquier tipo de infraestructura y puede ser tanto de origen público como privado</w:t>
            </w:r>
            <w:r>
              <w:rPr>
                <w:rFonts w:ascii="Verdana" w:eastAsia="Calibri" w:hAnsi="Verdana" w:cs="Arial"/>
                <w:color w:val="000000"/>
                <w:lang w:val="es-ES_tradnl" w:eastAsia="es-ES" w:bidi="es-ES"/>
              </w:rPr>
              <w:t xml:space="preserve">, la cual generalmente supone como mínimo el ejercicio de la ingeniería, de sus profesiones auxiliares o afines y está ligada estrechamente con la industria de la construcción. </w:t>
            </w:r>
          </w:p>
          <w:p w14:paraId="5D44539D" w14:textId="77777777" w:rsidR="00114178" w:rsidRDefault="00114178" w:rsidP="00375D38">
            <w:pPr>
              <w:tabs>
                <w:tab w:val="left" w:pos="426"/>
              </w:tabs>
              <w:spacing w:after="120" w:line="276" w:lineRule="auto"/>
              <w:ind w:firstLine="737"/>
              <w:jc w:val="both"/>
              <w:rPr>
                <w:rFonts w:ascii="Verdana" w:eastAsia="Calibri" w:hAnsi="Verdana" w:cs="Arial"/>
                <w:color w:val="000000"/>
                <w:lang w:val="es-ES_tradnl" w:eastAsia="es-ES" w:bidi="es-ES"/>
              </w:rPr>
            </w:pPr>
            <w:r>
              <w:rPr>
                <w:rFonts w:ascii="Verdana" w:eastAsia="Calibri" w:hAnsi="Verdana" w:cs="Arial"/>
                <w:color w:val="000000"/>
                <w:lang w:val="es-ES_tradnl" w:eastAsia="es-ES" w:bidi="es-ES"/>
              </w:rPr>
              <w:t xml:space="preserve">De acuerdo con el uso técnico de la expresión, aunque toda </w:t>
            </w:r>
            <w:r w:rsidRPr="00B52C69">
              <w:rPr>
                <w:rFonts w:ascii="Verdana" w:eastAsia="Calibri" w:hAnsi="Verdana" w:cs="Arial"/>
                <w:i/>
                <w:iCs/>
                <w:color w:val="000000"/>
                <w:lang w:val="es-ES_tradnl" w:eastAsia="es-ES" w:bidi="es-ES"/>
              </w:rPr>
              <w:t>obra civil</w:t>
            </w:r>
            <w:r>
              <w:rPr>
                <w:rFonts w:ascii="Verdana" w:eastAsia="Calibri" w:hAnsi="Verdana" w:cs="Arial"/>
                <w:color w:val="000000"/>
                <w:lang w:val="es-ES_tradnl" w:eastAsia="es-ES" w:bidi="es-ES"/>
              </w:rPr>
              <w:t xml:space="preserve"> es una </w:t>
            </w:r>
            <w:r w:rsidRPr="00B52C69">
              <w:rPr>
                <w:rFonts w:ascii="Verdana" w:eastAsia="Calibri" w:hAnsi="Verdana" w:cs="Arial"/>
                <w:i/>
                <w:iCs/>
                <w:color w:val="000000"/>
                <w:lang w:val="es-ES_tradnl" w:eastAsia="es-ES" w:bidi="es-ES"/>
              </w:rPr>
              <w:t>obra material</w:t>
            </w:r>
            <w:r>
              <w:rPr>
                <w:rFonts w:ascii="Verdana" w:eastAsia="Calibri" w:hAnsi="Verdana" w:cs="Arial"/>
                <w:color w:val="000000"/>
                <w:lang w:val="es-ES_tradnl" w:eastAsia="es-ES" w:bidi="es-ES"/>
              </w:rPr>
              <w:t xml:space="preserve">, no toda </w:t>
            </w:r>
            <w:r w:rsidRPr="00B52C69">
              <w:rPr>
                <w:rFonts w:ascii="Verdana" w:eastAsia="Calibri" w:hAnsi="Verdana" w:cs="Arial"/>
                <w:i/>
                <w:iCs/>
                <w:color w:val="000000"/>
                <w:lang w:val="es-ES_tradnl" w:eastAsia="es-ES" w:bidi="es-ES"/>
              </w:rPr>
              <w:t>obra material</w:t>
            </w:r>
            <w:r>
              <w:rPr>
                <w:rFonts w:ascii="Verdana" w:eastAsia="Calibri" w:hAnsi="Verdana" w:cs="Arial"/>
                <w:color w:val="000000"/>
                <w:lang w:val="es-ES_tradnl" w:eastAsia="es-ES" w:bidi="es-ES"/>
              </w:rPr>
              <w:t xml:space="preserve"> es una </w:t>
            </w:r>
            <w:r w:rsidRPr="00B52C69">
              <w:rPr>
                <w:rFonts w:ascii="Verdana" w:eastAsia="Calibri" w:hAnsi="Verdana" w:cs="Arial"/>
                <w:i/>
                <w:iCs/>
                <w:color w:val="000000"/>
                <w:lang w:val="es-ES_tradnl" w:eastAsia="es-ES" w:bidi="es-ES"/>
              </w:rPr>
              <w:t>obra civil</w:t>
            </w:r>
            <w:r>
              <w:rPr>
                <w:rFonts w:ascii="Verdana" w:eastAsia="Calibri" w:hAnsi="Verdana" w:cs="Arial"/>
                <w:color w:val="000000"/>
                <w:lang w:val="es-ES_tradnl" w:eastAsia="es-ES" w:bidi="es-ES"/>
              </w:rPr>
              <w:t xml:space="preserve">. Este último es caso del cuadro de un artista o el libro de una casa editorial, contratos cuya ejecución –aunque se enmarquen en el artículo 2053 de la Ley 84 de 1873– no están relacionados con la capacidad residual por no corresponder a </w:t>
            </w:r>
            <w:r w:rsidRPr="00126329">
              <w:rPr>
                <w:rFonts w:ascii="Verdana" w:eastAsia="Calibri" w:hAnsi="Verdana" w:cs="Arial"/>
                <w:i/>
                <w:iCs/>
                <w:color w:val="000000"/>
                <w:lang w:val="es-ES_tradnl" w:eastAsia="es-ES" w:bidi="es-ES"/>
              </w:rPr>
              <w:t>obras civiles</w:t>
            </w:r>
            <w:r>
              <w:rPr>
                <w:rFonts w:ascii="Verdana" w:eastAsia="Calibri" w:hAnsi="Verdana" w:cs="Arial"/>
                <w:color w:val="000000"/>
                <w:lang w:val="es-ES_tradnl" w:eastAsia="es-ES" w:bidi="es-ES"/>
              </w:rPr>
              <w:t xml:space="preserve">. Este razonamiento es congruente con la guía expedida por la Agencia, ya que incluye las “[…] </w:t>
            </w:r>
            <w:r w:rsidRPr="00A039BC">
              <w:rPr>
                <w:rFonts w:ascii="Verdana" w:eastAsia="Calibri" w:hAnsi="Verdana" w:cs="Arial"/>
                <w:color w:val="000000"/>
                <w:lang w:val="es-ES_tradnl" w:eastAsia="es-ES" w:bidi="es-ES"/>
              </w:rPr>
              <w:t>obras civiles en los contratos de concesión y los contratos de obra suscritos con concesionarios</w:t>
            </w:r>
            <w:r>
              <w:rPr>
                <w:rFonts w:ascii="Verdana" w:eastAsia="Calibri" w:hAnsi="Verdana" w:cs="Arial"/>
                <w:color w:val="000000"/>
                <w:lang w:val="es-ES_tradnl" w:eastAsia="es-ES" w:bidi="es-ES"/>
              </w:rPr>
              <w:t>”, lo que resalta su conexión del concepto con el ejercicio de la ingeniería y la industria de la construcción.</w:t>
            </w:r>
          </w:p>
          <w:p w14:paraId="214886C1" w14:textId="77777777" w:rsidR="00114178" w:rsidRPr="00F738B0" w:rsidRDefault="00114178" w:rsidP="00375D38">
            <w:pPr>
              <w:spacing w:after="120" w:line="276" w:lineRule="auto"/>
              <w:ind w:firstLine="709"/>
              <w:jc w:val="both"/>
              <w:rPr>
                <w:rFonts w:ascii="Verdana" w:hAnsi="Verdana" w:cs="Arial"/>
                <w:lang w:val="es-ES"/>
              </w:rPr>
            </w:pPr>
            <w:r w:rsidRPr="5DD007E2">
              <w:rPr>
                <w:rFonts w:ascii="Verdana" w:eastAsia="Calibri" w:hAnsi="Verdana" w:cs="Arial"/>
                <w:color w:val="000000" w:themeColor="text1"/>
                <w:lang w:val="es-ES" w:eastAsia="es-ES" w:bidi="es-ES"/>
              </w:rPr>
              <w:t>Teleológicamente, como la capacidad residual es un requisito habilitante para los contratos de obra pública conforme al parágrafo 1˚ del artículo 6 de la Ley 1150 de 2007, resulta razonable inferir que –de forma análoga a lo que sucede con la experiencia– las obras civiles para el saldo de los contratos en ejecución también se relacionan con segmento 72 del clasificador de bienes y servicios. Éste corresponde a los “Servicios de Edificación, Construcción de Instalaciones y Mantenimiento”; razón por la cual, a modo de ejemplo, incluye los “Servicios de sistemas eléctricos”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72151500– o los “Servicios de mantenimiento y reparación de equipo motivo y generación de energía eléctrica”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72154300–, así como los “Servicios de tendido de cables eléctricos”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72141115– “Servicios de construcción de líneas de energía eléctrica”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xml:space="preserve">. 72141122– y “Servicios de construcción de energía solar </w:t>
            </w:r>
            <w:proofErr w:type="spellStart"/>
            <w:r w:rsidRPr="5DD007E2">
              <w:rPr>
                <w:rFonts w:ascii="Verdana" w:eastAsia="Calibri" w:hAnsi="Verdana" w:cs="Arial"/>
                <w:color w:val="000000" w:themeColor="text1"/>
                <w:lang w:val="es-ES" w:eastAsia="es-ES" w:bidi="es-ES"/>
              </w:rPr>
              <w:t>hvac</w:t>
            </w:r>
            <w:proofErr w:type="spellEnd"/>
            <w:r w:rsidRPr="5DD007E2">
              <w:rPr>
                <w:rFonts w:ascii="Verdana" w:eastAsia="Calibri" w:hAnsi="Verdana" w:cs="Arial"/>
                <w:color w:val="000000" w:themeColor="text1"/>
                <w:lang w:val="es-ES" w:eastAsia="es-ES" w:bidi="es-ES"/>
              </w:rPr>
              <w:t>”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xml:space="preserve">. 72151203–, entre otros. </w:t>
            </w:r>
          </w:p>
          <w:p w14:paraId="76664FFC" w14:textId="77777777" w:rsidR="00114178" w:rsidRPr="00502997" w:rsidRDefault="00114178" w:rsidP="00375D38">
            <w:pPr>
              <w:tabs>
                <w:tab w:val="left" w:pos="426"/>
              </w:tabs>
              <w:spacing w:after="120" w:line="276" w:lineRule="auto"/>
              <w:ind w:firstLine="737"/>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 xml:space="preserve">Por otra parte, </w:t>
            </w:r>
            <w:r w:rsidRPr="00324EE2">
              <w:rPr>
                <w:rFonts w:ascii="Verdana" w:hAnsi="Verdana" w:cs="Arial"/>
              </w:rPr>
              <w:t>los saldos pendientes derivan de las obligaciones que se encuentran en ejecución al momento de la presentación de la oferta y se refieren a contratos cuyo objeto sea la ejecución de obras civiles. Se aclara que deben tenerse en cuenta los contratos</w:t>
            </w:r>
            <w:r>
              <w:rPr>
                <w:rFonts w:ascii="Verdana" w:hAnsi="Verdana" w:cs="Arial"/>
              </w:rPr>
              <w:t xml:space="preserve"> adjudicados y efectivamente perfeccionados conforme a los artículos 39 y 41 del EGCAP</w:t>
            </w:r>
            <w:r w:rsidRPr="00324EE2">
              <w:rPr>
                <w:rFonts w:ascii="Verdana" w:hAnsi="Verdana" w:cs="Arial"/>
              </w:rPr>
              <w:t xml:space="preserve"> </w:t>
            </w:r>
            <w:r>
              <w:rPr>
                <w:rFonts w:ascii="Verdana" w:hAnsi="Verdana" w:cs="Arial"/>
              </w:rPr>
              <w:t xml:space="preserve">aun si no tienen </w:t>
            </w:r>
            <w:r w:rsidRPr="00324EE2">
              <w:rPr>
                <w:rFonts w:ascii="Verdana" w:hAnsi="Verdana" w:cs="Arial"/>
              </w:rPr>
              <w:t xml:space="preserve">acta de inicio, pues el criterio determinante para establecer si un contrato se </w:t>
            </w:r>
            <w:r w:rsidRPr="00324EE2">
              <w:rPr>
                <w:rFonts w:ascii="Verdana" w:hAnsi="Verdana" w:cs="Arial"/>
              </w:rPr>
              <w:lastRenderedPageBreak/>
              <w:t xml:space="preserve">encuentra en ejecución no lo determina el acta, sino que el mismo contrato obligue al proponente. </w:t>
            </w:r>
          </w:p>
          <w:p w14:paraId="4E176763" w14:textId="77777777" w:rsidR="00114178" w:rsidRPr="001941FD" w:rsidRDefault="00114178" w:rsidP="00375D38">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03C9BE0B" w14:textId="77777777" w:rsidR="00114178" w:rsidRPr="00593A5F" w:rsidRDefault="00114178" w:rsidP="00114178">
      <w:pPr>
        <w:tabs>
          <w:tab w:val="left" w:pos="142"/>
          <w:tab w:val="left" w:pos="284"/>
        </w:tabs>
        <w:spacing w:after="0" w:line="276" w:lineRule="auto"/>
        <w:jc w:val="both"/>
        <w:rPr>
          <w:rFonts w:ascii="Verdana" w:eastAsia="Century Gothic" w:hAnsi="Verdana" w:cs="Century Gothic"/>
          <w:b/>
          <w:bCs/>
          <w:lang w:val="es-ES"/>
        </w:rPr>
      </w:pPr>
    </w:p>
    <w:bookmarkEnd w:id="1"/>
    <w:p w14:paraId="6D8C53C8" w14:textId="77777777" w:rsidR="00114178" w:rsidRPr="00593A5F" w:rsidRDefault="00114178" w:rsidP="0011417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Pr>
          <w:rFonts w:ascii="Verdana" w:eastAsia="Century Gothic" w:hAnsi="Verdana" w:cs="Century Gothic"/>
          <w:b/>
          <w:bCs/>
        </w:rPr>
        <w:t>s</w:t>
      </w:r>
      <w:r w:rsidRPr="00593A5F">
        <w:rPr>
          <w:rFonts w:ascii="Verdana" w:eastAsia="Century Gothic" w:hAnsi="Verdana" w:cs="Century Gothic"/>
          <w:b/>
          <w:bCs/>
        </w:rPr>
        <w:t xml:space="preserve"> respuesta</w:t>
      </w:r>
      <w:r>
        <w:rPr>
          <w:rFonts w:ascii="Verdana" w:eastAsia="Century Gothic" w:hAnsi="Verdana" w:cs="Century Gothic"/>
          <w:b/>
          <w:bCs/>
        </w:rPr>
        <w:t>s</w:t>
      </w:r>
      <w:r w:rsidRPr="00593A5F">
        <w:rPr>
          <w:rFonts w:ascii="Verdana" w:eastAsia="Century Gothic" w:hAnsi="Verdana" w:cs="Century Gothic"/>
          <w:b/>
          <w:bCs/>
        </w:rPr>
        <w:t>:</w:t>
      </w:r>
    </w:p>
    <w:p w14:paraId="3B770ACE" w14:textId="77777777" w:rsidR="00114178" w:rsidRPr="00593A5F" w:rsidRDefault="00114178" w:rsidP="00114178">
      <w:pPr>
        <w:spacing w:after="0" w:line="276" w:lineRule="auto"/>
        <w:jc w:val="both"/>
        <w:rPr>
          <w:rFonts w:ascii="Verdana" w:eastAsia="Calibri" w:hAnsi="Verdana" w:cs="Arial"/>
          <w:color w:val="7030A0"/>
          <w:lang w:val="es-ES"/>
        </w:rPr>
      </w:pPr>
    </w:p>
    <w:p w14:paraId="60E650EF" w14:textId="77777777" w:rsidR="00114178" w:rsidRDefault="00114178" w:rsidP="00114178">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7EBBC154" w14:textId="77777777" w:rsidR="00114178" w:rsidRDefault="00114178" w:rsidP="00114178">
      <w:pPr>
        <w:spacing w:after="0" w:line="276" w:lineRule="auto"/>
        <w:jc w:val="both"/>
        <w:rPr>
          <w:rFonts w:ascii="Verdana" w:eastAsia="Calibri" w:hAnsi="Verdana" w:cs="Arial"/>
          <w:lang w:val="es-ES"/>
        </w:rPr>
      </w:pPr>
    </w:p>
    <w:p w14:paraId="03F4B1EC" w14:textId="77777777" w:rsidR="00114178" w:rsidRPr="00324EE2" w:rsidRDefault="00114178" w:rsidP="00114178">
      <w:pPr>
        <w:spacing w:line="276" w:lineRule="auto"/>
        <w:jc w:val="both"/>
        <w:rPr>
          <w:rFonts w:ascii="Verdana" w:hAnsi="Verdana" w:cs="Arial"/>
          <w:color w:val="000000" w:themeColor="text1"/>
          <w:lang w:val="es-MX"/>
        </w:rPr>
      </w:pPr>
      <w:r>
        <w:rPr>
          <w:rFonts w:ascii="Verdana" w:eastAsia="Calibri" w:hAnsi="Verdana" w:cs="Arial"/>
          <w:color w:val="000000"/>
          <w:lang w:val="es-ES" w:eastAsia="es-ES"/>
        </w:rPr>
        <w:t>D</w:t>
      </w:r>
      <w:r w:rsidRPr="00324EE2">
        <w:rPr>
          <w:rFonts w:ascii="Verdana" w:hAnsi="Verdana" w:cs="Arial"/>
          <w:color w:val="000000" w:themeColor="text1"/>
          <w:lang w:val="es-MX"/>
        </w:rPr>
        <w:t>e acuerdo con el artículo 2.2.1.1.1.3.1 del Decreto 1082 de 2015, la capacidad residual es la aptitud de los oferentes para cumplir de manera oportuna y a cabalidad el objeto de un contrato de obra pública, sin que los demás compromisos contractuales que han adquirido afecten su habilidad de cumplir el objeto del contrato que está en proceso de selección</w:t>
      </w:r>
      <w:r w:rsidRPr="00324EE2">
        <w:rPr>
          <w:rFonts w:ascii="Verdana" w:hAnsi="Verdana" w:cs="Arial"/>
          <w:color w:val="000000" w:themeColor="text1"/>
          <w:szCs w:val="20"/>
          <w:vertAlign w:val="superscript"/>
          <w:lang w:val="es-MX"/>
        </w:rPr>
        <w:footnoteReference w:id="1"/>
      </w:r>
      <w:r w:rsidRPr="00324EE2">
        <w:rPr>
          <w:rFonts w:ascii="Verdana" w:hAnsi="Verdana" w:cs="Arial"/>
          <w:color w:val="000000" w:themeColor="text1"/>
          <w:lang w:val="es-MX"/>
        </w:rPr>
        <w:t>. Por su parte, el Consejo de Estado ha definido la capacidad residual como “la diferencia que existe entre el potencial de contratación que se tiene y los compromisos que haya adquirido y que se encuentren en ejecución, para la fecha de presentación de la oferta”</w:t>
      </w:r>
      <w:r w:rsidRPr="00324EE2">
        <w:rPr>
          <w:rFonts w:ascii="Verdana" w:eastAsia="Calibri" w:hAnsi="Verdana" w:cs="Arial"/>
          <w:color w:val="000000" w:themeColor="text1"/>
          <w:vertAlign w:val="superscript"/>
          <w:lang w:val="es-MX"/>
        </w:rPr>
        <w:footnoteReference w:id="2"/>
      </w:r>
      <w:r w:rsidRPr="00324EE2">
        <w:rPr>
          <w:rFonts w:ascii="Verdana" w:hAnsi="Verdana" w:cs="Arial"/>
          <w:color w:val="000000" w:themeColor="text1"/>
          <w:lang w:val="es-MX"/>
        </w:rPr>
        <w:t>.</w:t>
      </w:r>
    </w:p>
    <w:p w14:paraId="5D5A6EB1" w14:textId="77777777" w:rsidR="00114178" w:rsidRPr="00324EE2" w:rsidRDefault="00114178" w:rsidP="00114178">
      <w:pPr>
        <w:spacing w:before="120" w:after="0" w:line="276" w:lineRule="auto"/>
        <w:ind w:firstLine="708"/>
        <w:jc w:val="both"/>
        <w:rPr>
          <w:rFonts w:ascii="Verdana" w:hAnsi="Verdana" w:cs="Arial"/>
          <w:color w:val="000000" w:themeColor="text1"/>
          <w:lang w:val="es-MX"/>
        </w:rPr>
      </w:pPr>
      <w:r w:rsidRPr="00324EE2">
        <w:rPr>
          <w:rFonts w:ascii="Verdana" w:hAnsi="Verdana" w:cs="Arial"/>
          <w:color w:val="000000" w:themeColor="text1"/>
          <w:lang w:val="es-MX"/>
        </w:rPr>
        <w:t xml:space="preserve">De esta manera, la capacidad residual se refiere a la suficiencia que tiene el proponente para asumir nuevas obligaciones que se derivan del contrato objeto del proceso de contratación, en relación con las obligaciones que ya </w:t>
      </w:r>
      <w:r w:rsidRPr="00324EE2">
        <w:rPr>
          <w:rFonts w:ascii="Verdana" w:hAnsi="Verdana" w:cs="Arial"/>
          <w:color w:val="000000" w:themeColor="text1"/>
          <w:lang w:val="es-MX"/>
        </w:rPr>
        <w:lastRenderedPageBreak/>
        <w:t xml:space="preserve">adquirió frente a otros contratos. Por su parte, el artículo 6 de la Ley 1150 de 2007 dispone que la capacidad residual de los interesados en participar en procesos de selección para contratos de obra deberá ser igual o superior al que la entidad ha establecido en los pliegos de condiciones, en los siguientes términos: </w:t>
      </w:r>
    </w:p>
    <w:p w14:paraId="715572D6" w14:textId="77777777" w:rsidR="00114178" w:rsidRPr="00324EE2" w:rsidRDefault="00114178" w:rsidP="00114178">
      <w:pPr>
        <w:spacing w:after="0" w:line="276" w:lineRule="auto"/>
        <w:ind w:firstLine="708"/>
        <w:jc w:val="both"/>
        <w:rPr>
          <w:rFonts w:ascii="Verdana" w:hAnsi="Verdana" w:cs="Arial"/>
          <w:color w:val="000000" w:themeColor="text1"/>
          <w:lang w:val="es-MX"/>
        </w:rPr>
      </w:pPr>
    </w:p>
    <w:p w14:paraId="76236337" w14:textId="77777777" w:rsidR="00114178" w:rsidRPr="00C72333" w:rsidRDefault="00114178" w:rsidP="00114178">
      <w:pPr>
        <w:spacing w:after="120" w:line="240" w:lineRule="auto"/>
        <w:ind w:left="709" w:right="709"/>
        <w:jc w:val="both"/>
        <w:rPr>
          <w:rFonts w:ascii="Verdana" w:eastAsia="Calibri" w:hAnsi="Verdana" w:cs="Arial"/>
          <w:color w:val="000000" w:themeColor="text1"/>
          <w:sz w:val="20"/>
          <w:szCs w:val="20"/>
          <w:lang w:val="es-MX"/>
        </w:rPr>
      </w:pPr>
      <w:r w:rsidRPr="00C72333">
        <w:rPr>
          <w:rFonts w:ascii="Verdana" w:eastAsia="Calibri" w:hAnsi="Verdana" w:cs="Arial"/>
          <w:color w:val="000000" w:themeColor="text1"/>
          <w:sz w:val="20"/>
          <w:szCs w:val="20"/>
          <w:lang w:val="es-MX"/>
        </w:rPr>
        <w:t>“Parágrafo 1°. Para poder participar en los procesos de selección de los contratos de obra y demás que señale el reglamento, la capacidad residual del proponente o K de contratación deberá ser igual o superior al que la entidad haya establecido para el efecto en los pliegos de condiciones.</w:t>
      </w:r>
    </w:p>
    <w:p w14:paraId="46A22F57" w14:textId="77777777" w:rsidR="00114178" w:rsidRPr="00324EE2" w:rsidRDefault="00114178" w:rsidP="00114178">
      <w:pPr>
        <w:spacing w:after="0" w:line="240" w:lineRule="auto"/>
        <w:ind w:left="709" w:right="709"/>
        <w:jc w:val="both"/>
        <w:rPr>
          <w:rFonts w:ascii="Verdana" w:eastAsia="Calibri" w:hAnsi="Verdana" w:cs="Arial"/>
          <w:color w:val="000000" w:themeColor="text1"/>
          <w:sz w:val="21"/>
          <w:szCs w:val="21"/>
          <w:lang w:val="es-MX"/>
        </w:rPr>
      </w:pPr>
      <w:r w:rsidRPr="00C72333">
        <w:rPr>
          <w:rFonts w:ascii="Verdana" w:eastAsia="Calibri" w:hAnsi="Verdana" w:cs="Arial"/>
          <w:color w:val="000000" w:themeColor="text1"/>
          <w:sz w:val="20"/>
          <w:szCs w:val="20"/>
          <w:lang w:val="es-MX"/>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56FEE7E8" w14:textId="77777777" w:rsidR="00114178" w:rsidRPr="00324EE2" w:rsidRDefault="00114178" w:rsidP="00114178">
      <w:pPr>
        <w:spacing w:after="0" w:line="276" w:lineRule="auto"/>
        <w:ind w:right="709"/>
        <w:jc w:val="both"/>
        <w:rPr>
          <w:rFonts w:ascii="Verdana" w:eastAsia="Calibri" w:hAnsi="Verdana" w:cs="Arial"/>
          <w:color w:val="000000" w:themeColor="text1"/>
          <w:lang w:val="es-MX"/>
        </w:rPr>
      </w:pPr>
    </w:p>
    <w:p w14:paraId="0C139E2E" w14:textId="77777777" w:rsidR="00114178" w:rsidRPr="00324EE2" w:rsidRDefault="00114178" w:rsidP="00114178">
      <w:pPr>
        <w:spacing w:line="276" w:lineRule="auto"/>
        <w:ind w:firstLine="709"/>
        <w:jc w:val="both"/>
        <w:rPr>
          <w:rFonts w:ascii="Verdana" w:eastAsia="Calibri" w:hAnsi="Verdana" w:cs="Arial"/>
          <w:color w:val="000000" w:themeColor="text1"/>
        </w:rPr>
      </w:pPr>
      <w:r w:rsidRPr="00324EE2">
        <w:rPr>
          <w:rFonts w:ascii="Verdana" w:eastAsia="Calibri" w:hAnsi="Verdana" w:cs="Arial"/>
          <w:color w:val="000000" w:themeColor="text1"/>
          <w:lang w:val="es-MX"/>
        </w:rPr>
        <w:t xml:space="preserve">De acuerdo con </w:t>
      </w:r>
      <w:r w:rsidRPr="00324EE2">
        <w:rPr>
          <w:rFonts w:ascii="Verdana" w:eastAsia="Calibri" w:hAnsi="Verdana" w:cs="Arial"/>
          <w:color w:val="000000" w:themeColor="text1"/>
        </w:rPr>
        <w:t>el artículo 72 de la Ley 1682 de 2013, la “capacidad residual de contratación cuando se realicen contratos de obra pública se obtendrá de sustraer de la capacidad de contratación, el saldo del valor de los contratos en ejecución”. La “capacidad de contratación”, según se desprende de la misma disposición, “[…] se deberá calcular mediante la evaluación de los siguientes factores: Experiencia (E), Capacidad Financiera (CF), Capacidad Técnica (CT), y Capacidad de Organización (CO)”.</w:t>
      </w:r>
    </w:p>
    <w:p w14:paraId="67A7F797" w14:textId="77777777" w:rsidR="00114178" w:rsidRPr="00324EE2" w:rsidRDefault="00114178" w:rsidP="00114178">
      <w:pPr>
        <w:spacing w:before="120" w:after="120" w:line="276" w:lineRule="auto"/>
        <w:ind w:firstLine="709"/>
        <w:jc w:val="both"/>
        <w:rPr>
          <w:rFonts w:ascii="Verdana" w:eastAsia="Calibri" w:hAnsi="Verdana" w:cs="Arial"/>
          <w:color w:val="000000" w:themeColor="text1"/>
          <w:lang w:val="es-MX"/>
        </w:rPr>
      </w:pPr>
      <w:r w:rsidRPr="00324EE2">
        <w:rPr>
          <w:rFonts w:ascii="Verdana" w:eastAsia="Calibri" w:hAnsi="Verdana" w:cs="Arial"/>
          <w:color w:val="000000" w:themeColor="text1"/>
          <w:lang w:val="es-MX"/>
        </w:rPr>
        <w:t xml:space="preserve">Por su parte, el artículo 2.2.1.1.1.6.4 del Decreto 1082 de 2015 dispone que las entidades estatales deberán calcular la capacidad residual conforme a la metodología definida por Colombia Compre Eficiente. Para tale fines, resulta necesario tener en cuenta los factores de i) Experiencia –E–, ii) Capacidad Financiera –CF–, iii) Capacidad Técnica –CT–, iv) Capacidad de Organización y v) los Saldos de los Contratos en Ejecución –SCE–. </w:t>
      </w:r>
    </w:p>
    <w:p w14:paraId="31D2547E" w14:textId="77777777" w:rsidR="00114178" w:rsidRPr="00324EE2" w:rsidRDefault="00114178" w:rsidP="00114178">
      <w:pPr>
        <w:spacing w:before="120" w:after="120" w:line="276" w:lineRule="auto"/>
        <w:ind w:firstLine="709"/>
        <w:jc w:val="both"/>
        <w:rPr>
          <w:rFonts w:ascii="Verdana" w:hAnsi="Verdana" w:cs="Arial"/>
          <w:szCs w:val="20"/>
          <w:lang w:val="es-MX"/>
        </w:rPr>
      </w:pPr>
      <w:r w:rsidRPr="00324EE2">
        <w:rPr>
          <w:rFonts w:ascii="Verdana" w:eastAsia="Calibri" w:hAnsi="Verdana" w:cs="Arial"/>
          <w:color w:val="000000" w:themeColor="text1"/>
          <w:lang w:val="es-MX"/>
        </w:rPr>
        <w:t xml:space="preserve">De igual manera, </w:t>
      </w:r>
      <w:r w:rsidRPr="00324EE2">
        <w:rPr>
          <w:rFonts w:ascii="Verdana" w:hAnsi="Verdana" w:cs="Arial"/>
          <w:szCs w:val="20"/>
          <w:lang w:val="es-MX"/>
        </w:rPr>
        <w:t xml:space="preserve">establece que el interesado en celebrar contratos de obra pública acreditará su capacidad residual con los siguientes documentos: i) la lista de los contratos de obras civiles en ejecución suscritos con entidades estatales y con entidades privadas; ii) la lista de contratos de obras civiles en ejecución, suscritos por sociedades, consorcios o uniones temporales, en los cuales el proponente tenga participación, con entidades estatales y con entidades privadas; y finalmente iii) el balance general auditado del año </w:t>
      </w:r>
      <w:r w:rsidRPr="00324EE2">
        <w:rPr>
          <w:rFonts w:ascii="Verdana" w:hAnsi="Verdana" w:cs="Arial"/>
          <w:szCs w:val="20"/>
          <w:lang w:val="es-MX"/>
        </w:rPr>
        <w:lastRenderedPageBreak/>
        <w:t>inmediatamente anterior y estado de resultados auditado del año en que haya obtenido el mayor ingreso operacional en los últimos cinco (5) años</w:t>
      </w:r>
      <w:r w:rsidRPr="00324EE2">
        <w:rPr>
          <w:rFonts w:ascii="Verdana" w:hAnsi="Verdana"/>
          <w:vertAlign w:val="superscript"/>
        </w:rPr>
        <w:footnoteReference w:id="3"/>
      </w:r>
      <w:r w:rsidRPr="00324EE2">
        <w:rPr>
          <w:rFonts w:ascii="Verdana" w:hAnsi="Verdana" w:cs="Arial"/>
          <w:szCs w:val="20"/>
          <w:lang w:val="es-MX"/>
        </w:rPr>
        <w:t xml:space="preserve">. </w:t>
      </w:r>
    </w:p>
    <w:p w14:paraId="6D002A2E" w14:textId="77777777" w:rsidR="00114178" w:rsidRPr="00324EE2" w:rsidRDefault="00114178" w:rsidP="00114178">
      <w:pPr>
        <w:spacing w:before="120" w:after="120" w:line="276" w:lineRule="auto"/>
        <w:ind w:firstLine="709"/>
        <w:jc w:val="both"/>
        <w:rPr>
          <w:rFonts w:ascii="Verdana" w:eastAsia="Calibri" w:hAnsi="Verdana" w:cs="Arial"/>
          <w:bCs/>
          <w:color w:val="000000" w:themeColor="text1"/>
        </w:rPr>
      </w:pPr>
      <w:r w:rsidRPr="00324EE2">
        <w:rPr>
          <w:rFonts w:ascii="Verdana" w:hAnsi="Verdana" w:cs="Arial"/>
          <w:color w:val="000000" w:themeColor="text1"/>
          <w:lang w:val="es-MX"/>
        </w:rPr>
        <w:t>De conformidad con lo expuesto, la Agencia Nacional para la Contratación Pública – Colombia Compra Eficiente expidió la Guía para Determinar y Verificar la Capacidad Residual del Proponente en los Procesos de Contratación de Obra Pública. Este documento establece, entre otras cuestiones, que a la entidad contratante corresponde, primero, establecer la capacidad residual del proceso de contratación “CRPC” y, segundo, determinar si los proponentes cumplen con la capacidad residual del proceso de contratación, teniendo en cuenta la información mencionada en el párrafo precedente.</w:t>
      </w:r>
    </w:p>
    <w:p w14:paraId="3A5F20B2" w14:textId="77777777" w:rsidR="00114178" w:rsidRPr="00324EE2" w:rsidRDefault="00114178" w:rsidP="00114178">
      <w:pPr>
        <w:spacing w:line="276" w:lineRule="auto"/>
        <w:ind w:firstLine="709"/>
        <w:jc w:val="both"/>
        <w:rPr>
          <w:rFonts w:ascii="Verdana" w:eastAsia="Calibri" w:hAnsi="Verdana" w:cs="Arial"/>
          <w:bCs/>
          <w:color w:val="000000" w:themeColor="text1"/>
        </w:rPr>
      </w:pPr>
      <w:r w:rsidRPr="00324EE2">
        <w:rPr>
          <w:rFonts w:ascii="Verdana" w:eastAsia="Calibri" w:hAnsi="Verdana" w:cs="Arial"/>
          <w:bCs/>
          <w:color w:val="000000" w:themeColor="text1"/>
        </w:rPr>
        <w:t>En relación con el primer aspecto, sobre la determinación de la capacidad residual del proceso de contratación “CRPC”, debe determinarse si el plazo del contrato es superior a doce meses. Si no lo es, la CRPC equivale al presupuesto oficial estimado del Proceso de Contratación menos el anticipo o pago anticipado cuando haya lugar. Si lo es, equivale a la proporción lineal de 12 meses del presupuesto oficial estimado menos el anticipo o pago anticipado.</w:t>
      </w:r>
    </w:p>
    <w:p w14:paraId="6E761B69" w14:textId="77777777" w:rsidR="00114178" w:rsidRPr="00324EE2" w:rsidRDefault="00114178" w:rsidP="00114178">
      <w:pPr>
        <w:spacing w:before="120" w:after="0" w:line="276" w:lineRule="auto"/>
        <w:ind w:firstLine="709"/>
        <w:jc w:val="both"/>
        <w:rPr>
          <w:rFonts w:ascii="Verdana" w:eastAsia="Calibri" w:hAnsi="Verdana" w:cs="Arial"/>
          <w:bCs/>
          <w:color w:val="000000" w:themeColor="text1"/>
        </w:rPr>
      </w:pPr>
      <w:r w:rsidRPr="00324EE2">
        <w:rPr>
          <w:rFonts w:ascii="Verdana" w:eastAsia="Calibri" w:hAnsi="Verdana" w:cs="Arial"/>
          <w:bCs/>
          <w:color w:val="000000" w:themeColor="text1"/>
        </w:rPr>
        <w:t xml:space="preserve">En cuanto al segundo aspecto, sobre la validación de </w:t>
      </w:r>
      <w:bookmarkStart w:id="2" w:name="_Hlk68683272"/>
      <w:r w:rsidRPr="00324EE2">
        <w:rPr>
          <w:rFonts w:ascii="Verdana" w:eastAsia="Calibri" w:hAnsi="Verdana" w:cs="Arial"/>
          <w:bCs/>
          <w:color w:val="000000" w:themeColor="text1"/>
        </w:rPr>
        <w:t>que cada proponente cumpla con la CRPC</w:t>
      </w:r>
      <w:bookmarkEnd w:id="2"/>
      <w:r w:rsidRPr="00324EE2">
        <w:rPr>
          <w:rFonts w:ascii="Verdana" w:eastAsia="Calibri" w:hAnsi="Verdana" w:cs="Arial"/>
          <w:bCs/>
          <w:color w:val="000000" w:themeColor="text1"/>
        </w:rPr>
        <w:t xml:space="preserve">, la entidad pública debe verificar que la capacidad residual del proponente “CRP” sea igual o superior a la capacidad referida en el párrafo precedente. De todas formas, previamente debe establecer la CRP, con fundamento en los siguientes factores: i) experiencia “E”; </w:t>
      </w:r>
      <w:proofErr w:type="spellStart"/>
      <w:r w:rsidRPr="00324EE2">
        <w:rPr>
          <w:rFonts w:ascii="Verdana" w:eastAsia="Calibri" w:hAnsi="Verdana" w:cs="Arial"/>
          <w:bCs/>
          <w:color w:val="000000" w:themeColor="text1"/>
        </w:rPr>
        <w:t>ii</w:t>
      </w:r>
      <w:proofErr w:type="spellEnd"/>
      <w:r w:rsidRPr="00324EE2">
        <w:rPr>
          <w:rFonts w:ascii="Verdana" w:eastAsia="Calibri" w:hAnsi="Verdana" w:cs="Arial"/>
          <w:bCs/>
          <w:color w:val="000000" w:themeColor="text1"/>
        </w:rPr>
        <w:t xml:space="preserve">) capacidad financiera “CF”; </w:t>
      </w:r>
      <w:proofErr w:type="spellStart"/>
      <w:r w:rsidRPr="00324EE2">
        <w:rPr>
          <w:rFonts w:ascii="Verdana" w:eastAsia="Calibri" w:hAnsi="Verdana" w:cs="Arial"/>
          <w:bCs/>
          <w:color w:val="000000" w:themeColor="text1"/>
        </w:rPr>
        <w:t>iii</w:t>
      </w:r>
      <w:proofErr w:type="spellEnd"/>
      <w:r w:rsidRPr="00324EE2">
        <w:rPr>
          <w:rFonts w:ascii="Verdana" w:eastAsia="Calibri" w:hAnsi="Verdana" w:cs="Arial"/>
          <w:bCs/>
          <w:color w:val="000000" w:themeColor="text1"/>
        </w:rPr>
        <w:t xml:space="preserve">) capacidad técnica “CT”, </w:t>
      </w:r>
      <w:proofErr w:type="spellStart"/>
      <w:r w:rsidRPr="00324EE2">
        <w:rPr>
          <w:rFonts w:ascii="Verdana" w:eastAsia="Calibri" w:hAnsi="Verdana" w:cs="Arial"/>
          <w:bCs/>
          <w:color w:val="000000" w:themeColor="text1"/>
        </w:rPr>
        <w:t>iv</w:t>
      </w:r>
      <w:proofErr w:type="spellEnd"/>
      <w:r w:rsidRPr="00324EE2">
        <w:rPr>
          <w:rFonts w:ascii="Verdana" w:eastAsia="Calibri" w:hAnsi="Verdana" w:cs="Arial"/>
          <w:bCs/>
          <w:color w:val="000000" w:themeColor="text1"/>
        </w:rPr>
        <w:t>) capacidad de organización “CO”; y v) los saldos de los contratos en ejecución “SCE”, según la siguiente formula:</w:t>
      </w:r>
    </w:p>
    <w:p w14:paraId="440687AD" w14:textId="77777777" w:rsidR="00114178" w:rsidRPr="00324EE2" w:rsidRDefault="00114178" w:rsidP="00114178">
      <w:pPr>
        <w:spacing w:line="276" w:lineRule="auto"/>
        <w:ind w:firstLine="709"/>
        <w:jc w:val="both"/>
        <w:rPr>
          <w:rFonts w:ascii="Verdana" w:eastAsia="Calibri" w:hAnsi="Verdana" w:cs="Arial"/>
          <w:bCs/>
          <w:color w:val="000000" w:themeColor="text1"/>
        </w:rPr>
      </w:pPr>
      <w:r w:rsidRPr="00324EE2">
        <w:rPr>
          <w:rFonts w:ascii="Verdana" w:hAnsi="Verdana"/>
          <w:noProof/>
        </w:rPr>
        <w:lastRenderedPageBreak/>
        <w:drawing>
          <wp:anchor distT="0" distB="0" distL="0" distR="0" simplePos="0" relativeHeight="251658240" behindDoc="0" locked="0" layoutInCell="1" allowOverlap="1" wp14:anchorId="54B1C54B" wp14:editId="42EABD5D">
            <wp:simplePos x="0" y="0"/>
            <wp:positionH relativeFrom="margin">
              <wp:align>center</wp:align>
            </wp:positionH>
            <wp:positionV relativeFrom="paragraph">
              <wp:posOffset>222250</wp:posOffset>
            </wp:positionV>
            <wp:extent cx="4638040" cy="552450"/>
            <wp:effectExtent l="0" t="0" r="0" b="0"/>
            <wp:wrapTopAndBottom/>
            <wp:docPr id="569886657" name="Imagen 56988665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agram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8040" cy="552450"/>
                    </a:xfrm>
                    <a:prstGeom prst="rect">
                      <a:avLst/>
                    </a:prstGeom>
                    <a:noFill/>
                  </pic:spPr>
                </pic:pic>
              </a:graphicData>
            </a:graphic>
            <wp14:sizeRelH relativeFrom="margin">
              <wp14:pctWidth>0</wp14:pctWidth>
            </wp14:sizeRelH>
            <wp14:sizeRelV relativeFrom="margin">
              <wp14:pctHeight>0</wp14:pctHeight>
            </wp14:sizeRelV>
          </wp:anchor>
        </w:drawing>
      </w:r>
    </w:p>
    <w:p w14:paraId="498FCD57" w14:textId="77777777" w:rsidR="00114178" w:rsidRPr="00324EE2" w:rsidRDefault="00114178" w:rsidP="00114178">
      <w:pPr>
        <w:spacing w:after="0" w:line="276" w:lineRule="auto"/>
        <w:jc w:val="both"/>
        <w:rPr>
          <w:rFonts w:ascii="Verdana" w:eastAsia="Calibri" w:hAnsi="Verdana" w:cs="Arial"/>
          <w:bCs/>
          <w:color w:val="000000" w:themeColor="text1"/>
          <w:lang w:val="es-MX"/>
        </w:rPr>
      </w:pPr>
    </w:p>
    <w:p w14:paraId="2CC5661D" w14:textId="77777777" w:rsidR="00114178" w:rsidRPr="00AA2A86" w:rsidRDefault="00114178" w:rsidP="00114178">
      <w:pPr>
        <w:spacing w:after="0" w:line="276" w:lineRule="auto"/>
        <w:ind w:firstLine="709"/>
        <w:jc w:val="both"/>
        <w:rPr>
          <w:rFonts w:ascii="Verdana" w:eastAsia="Calibri" w:hAnsi="Verdana" w:cs="Arial"/>
          <w:bCs/>
          <w:color w:val="000000" w:themeColor="text1"/>
        </w:rPr>
      </w:pPr>
      <w:r w:rsidRPr="00324EE2">
        <w:rPr>
          <w:rFonts w:ascii="Verdana" w:eastAsia="Calibri" w:hAnsi="Verdana" w:cs="Arial"/>
          <w:bCs/>
          <w:color w:val="000000" w:themeColor="text1"/>
          <w:lang w:val="es-MX"/>
        </w:rPr>
        <w:t xml:space="preserve">Particularmente, respecto del factor de saldos de los contratos en ejecución </w:t>
      </w:r>
      <w:r w:rsidRPr="00324EE2">
        <w:rPr>
          <w:rFonts w:ascii="Verdana" w:eastAsia="Calibri" w:hAnsi="Verdana" w:cs="Arial"/>
          <w:bCs/>
          <w:color w:val="000000" w:themeColor="text1"/>
        </w:rPr>
        <w:t>“SCE”,</w:t>
      </w:r>
      <w:r w:rsidRPr="00324EE2">
        <w:rPr>
          <w:rFonts w:ascii="Verdana" w:hAnsi="Verdana" w:cs="Arial"/>
        </w:rPr>
        <w:t xml:space="preserve"> es necesario tener en cuenta que la Guía para Determinar y Verificar la Capacidad Residual del Proponente en los Procesos de Contratación de Obra Pública</w:t>
      </w:r>
      <w:r w:rsidRPr="00324EE2">
        <w:rPr>
          <w:rFonts w:ascii="Verdana" w:hAnsi="Verdana" w:cs="Arial"/>
          <w:i/>
          <w:iCs/>
        </w:rPr>
        <w:t xml:space="preserve">, </w:t>
      </w:r>
      <w:r w:rsidRPr="00324EE2">
        <w:rPr>
          <w:rFonts w:ascii="Verdana" w:hAnsi="Verdana" w:cs="Arial"/>
        </w:rPr>
        <w:t xml:space="preserve">define a este factor </w:t>
      </w:r>
      <w:r w:rsidRPr="00324EE2">
        <w:rPr>
          <w:rFonts w:ascii="Verdana" w:eastAsia="Calibri" w:hAnsi="Verdana" w:cs="Arial"/>
          <w:bCs/>
          <w:color w:val="000000" w:themeColor="text1"/>
        </w:rPr>
        <w:t>como “</w:t>
      </w:r>
      <w:r>
        <w:rPr>
          <w:rFonts w:ascii="Verdana" w:eastAsia="Calibri" w:hAnsi="Verdana" w:cs="Arial"/>
          <w:bCs/>
          <w:color w:val="000000" w:themeColor="text1"/>
        </w:rPr>
        <w:t xml:space="preserve">[…] </w:t>
      </w:r>
      <w:r w:rsidRPr="00AA2A86">
        <w:rPr>
          <w:rFonts w:ascii="Verdana" w:eastAsia="Calibri" w:hAnsi="Verdana" w:cs="Arial"/>
          <w:bCs/>
          <w:color w:val="000000" w:themeColor="text1"/>
        </w:rPr>
        <w:t>la sumatoria de los saldos de los Contratos en Ejecución que</w:t>
      </w:r>
      <w:r>
        <w:rPr>
          <w:rFonts w:ascii="Verdana" w:eastAsia="Calibri" w:hAnsi="Verdana" w:cs="Arial"/>
          <w:bCs/>
          <w:color w:val="000000" w:themeColor="text1"/>
        </w:rPr>
        <w:t xml:space="preserve"> </w:t>
      </w:r>
      <w:r w:rsidRPr="00AA2A86">
        <w:rPr>
          <w:rFonts w:ascii="Verdana" w:eastAsia="Calibri" w:hAnsi="Verdana" w:cs="Arial"/>
          <w:bCs/>
          <w:color w:val="000000" w:themeColor="text1"/>
        </w:rPr>
        <w:t>tienen por ejecutar un período inferior a 360 días, es decir, 12</w:t>
      </w:r>
      <w:r>
        <w:rPr>
          <w:rFonts w:ascii="Verdana" w:eastAsia="Calibri" w:hAnsi="Verdana" w:cs="Arial"/>
          <w:bCs/>
          <w:color w:val="000000" w:themeColor="text1"/>
        </w:rPr>
        <w:t xml:space="preserve"> </w:t>
      </w:r>
      <w:r w:rsidRPr="00AA2A86">
        <w:rPr>
          <w:rFonts w:ascii="Verdana" w:eastAsia="Calibri" w:hAnsi="Verdana" w:cs="Arial"/>
          <w:bCs/>
          <w:color w:val="000000" w:themeColor="text1"/>
        </w:rPr>
        <w:t>meses</w:t>
      </w:r>
      <w:r>
        <w:rPr>
          <w:rFonts w:ascii="Verdana" w:eastAsia="Calibri" w:hAnsi="Verdana" w:cs="Arial"/>
          <w:bCs/>
          <w:color w:val="000000" w:themeColor="text1"/>
        </w:rPr>
        <w:t xml:space="preserve"> […]</w:t>
      </w:r>
      <w:r w:rsidRPr="00324EE2">
        <w:rPr>
          <w:rFonts w:ascii="Verdana" w:eastAsia="Calibri" w:hAnsi="Verdana" w:cs="Arial"/>
          <w:bCs/>
          <w:color w:val="000000" w:themeColor="text1"/>
        </w:rPr>
        <w:t>”. Asimismo, define los</w:t>
      </w:r>
      <w:r w:rsidRPr="00324EE2">
        <w:rPr>
          <w:rFonts w:ascii="Verdana" w:hAnsi="Verdana" w:cs="Arial"/>
        </w:rPr>
        <w:t xml:space="preserve"> </w:t>
      </w:r>
      <w:bookmarkStart w:id="3" w:name="_Hlk78819022"/>
      <w:r w:rsidRPr="00324EE2">
        <w:rPr>
          <w:rFonts w:ascii="Verdana" w:hAnsi="Verdana" w:cs="Arial"/>
          <w:i/>
          <w:iCs/>
        </w:rPr>
        <w:t>Contratos en Ejecución</w:t>
      </w:r>
      <w:r w:rsidRPr="00324EE2">
        <w:rPr>
          <w:rFonts w:ascii="Verdana" w:hAnsi="Verdana" w:cs="Arial"/>
        </w:rPr>
        <w:t xml:space="preserve"> </w:t>
      </w:r>
      <w:bookmarkEnd w:id="3"/>
      <w:r w:rsidRPr="00324EE2">
        <w:rPr>
          <w:rFonts w:ascii="Verdana" w:hAnsi="Verdana" w:cs="Arial"/>
        </w:rPr>
        <w:t xml:space="preserve">de la siguiente manera: </w:t>
      </w:r>
      <w:r w:rsidRPr="00324EE2">
        <w:rPr>
          <w:rFonts w:ascii="Verdana" w:hAnsi="Verdana" w:cs="Arial"/>
          <w:i/>
          <w:iCs/>
        </w:rPr>
        <w:t xml:space="preserve"> </w:t>
      </w:r>
    </w:p>
    <w:p w14:paraId="2BEB2268" w14:textId="77777777" w:rsidR="00114178" w:rsidRPr="00324EE2" w:rsidRDefault="00114178" w:rsidP="00114178">
      <w:pPr>
        <w:spacing w:after="0" w:line="276" w:lineRule="auto"/>
        <w:ind w:firstLine="709"/>
        <w:jc w:val="both"/>
        <w:rPr>
          <w:rFonts w:ascii="Verdana" w:hAnsi="Verdana" w:cs="Arial"/>
        </w:rPr>
      </w:pPr>
    </w:p>
    <w:p w14:paraId="7693A846" w14:textId="77777777" w:rsidR="00114178" w:rsidRPr="00C72333" w:rsidRDefault="00114178" w:rsidP="00114178">
      <w:pPr>
        <w:spacing w:after="0" w:line="240" w:lineRule="auto"/>
        <w:ind w:left="709" w:right="709"/>
        <w:jc w:val="both"/>
        <w:rPr>
          <w:rFonts w:ascii="Verdana" w:hAnsi="Verdana" w:cs="Arial"/>
          <w:sz w:val="20"/>
          <w:szCs w:val="20"/>
        </w:rPr>
      </w:pPr>
      <w:r w:rsidRPr="00C72333">
        <w:rPr>
          <w:rFonts w:ascii="Verdana" w:hAnsi="Verdana" w:cs="Arial"/>
          <w:sz w:val="20"/>
          <w:szCs w:val="20"/>
        </w:rPr>
        <w:t xml:space="preserve">“Son los contratos que a la fecha de presentación de la oferta obligan al proponente con Entidades Estatales y con entidades privadas para ejecutar obras civiles, incluyendo la ejecución de obras civiles en los contratos de concesión y los contratos de obra suscritos con concesionarios, incluyendo los contratos suspendidos y aquellos que no tengan acta de inicio. </w:t>
      </w:r>
    </w:p>
    <w:p w14:paraId="19AB83FC" w14:textId="77777777" w:rsidR="00114178" w:rsidRPr="00C72333" w:rsidRDefault="00114178" w:rsidP="00114178">
      <w:pPr>
        <w:spacing w:after="0" w:line="240" w:lineRule="auto"/>
        <w:ind w:left="709" w:right="709"/>
        <w:jc w:val="both"/>
        <w:rPr>
          <w:rFonts w:ascii="Verdana" w:hAnsi="Verdana" w:cs="Arial"/>
          <w:sz w:val="12"/>
          <w:szCs w:val="12"/>
        </w:rPr>
      </w:pPr>
    </w:p>
    <w:p w14:paraId="63F32C71" w14:textId="77777777" w:rsidR="00114178" w:rsidRPr="00324EE2" w:rsidRDefault="00114178" w:rsidP="00114178">
      <w:pPr>
        <w:spacing w:after="0" w:line="240" w:lineRule="auto"/>
        <w:ind w:left="709" w:right="709"/>
        <w:jc w:val="both"/>
        <w:rPr>
          <w:rFonts w:ascii="Verdana" w:hAnsi="Verdana" w:cs="Arial"/>
        </w:rPr>
      </w:pPr>
      <w:r w:rsidRPr="00C72333">
        <w:rPr>
          <w:rFonts w:ascii="Verdana" w:hAnsi="Verdana" w:cs="Arial"/>
          <w:sz w:val="20"/>
          <w:szCs w:val="20"/>
        </w:rPr>
        <w:t>No se entenderán como contratos en ejecución los que se encuentren en liquidación”.</w:t>
      </w:r>
    </w:p>
    <w:p w14:paraId="02FCD959" w14:textId="77777777" w:rsidR="00114178" w:rsidRPr="00324EE2" w:rsidRDefault="00114178" w:rsidP="00114178">
      <w:pPr>
        <w:spacing w:after="0" w:line="276" w:lineRule="auto"/>
        <w:ind w:firstLine="709"/>
        <w:jc w:val="both"/>
        <w:rPr>
          <w:rFonts w:ascii="Verdana" w:hAnsi="Verdana" w:cs="Arial"/>
        </w:rPr>
      </w:pPr>
    </w:p>
    <w:p w14:paraId="392AED32" w14:textId="77777777" w:rsidR="00114178" w:rsidRPr="00324EE2" w:rsidRDefault="00114178" w:rsidP="00114178">
      <w:pPr>
        <w:spacing w:after="120" w:line="276" w:lineRule="auto"/>
        <w:ind w:firstLine="709"/>
        <w:jc w:val="both"/>
        <w:rPr>
          <w:rFonts w:ascii="Verdana" w:hAnsi="Verdana" w:cs="Arial"/>
        </w:rPr>
      </w:pPr>
      <w:r w:rsidRPr="00324EE2">
        <w:rPr>
          <w:rFonts w:ascii="Verdana" w:hAnsi="Verdana" w:cs="Arial"/>
        </w:rPr>
        <w:t>En este sentido, los saldos pendientes derivan de las obligaciones que se encuentran en ejecución al momento de la presentación de la oferta y se refieren a contratos cuyo objeto sea la ejecución de obras civiles. Se aclara que deben tenerse en cuenta los contratos</w:t>
      </w:r>
      <w:r>
        <w:rPr>
          <w:rFonts w:ascii="Verdana" w:hAnsi="Verdana" w:cs="Arial"/>
        </w:rPr>
        <w:t xml:space="preserve"> adjudicados y efectivamente perfeccionados conforme a los artículos 39 y 41 del EGCAP</w:t>
      </w:r>
      <w:r w:rsidRPr="00324EE2">
        <w:rPr>
          <w:rFonts w:ascii="Verdana" w:hAnsi="Verdana" w:cs="Arial"/>
        </w:rPr>
        <w:t xml:space="preserve"> </w:t>
      </w:r>
      <w:r>
        <w:rPr>
          <w:rFonts w:ascii="Verdana" w:hAnsi="Verdana" w:cs="Arial"/>
        </w:rPr>
        <w:t xml:space="preserve">aun si no tienen </w:t>
      </w:r>
      <w:r w:rsidRPr="00324EE2">
        <w:rPr>
          <w:rFonts w:ascii="Verdana" w:hAnsi="Verdana" w:cs="Arial"/>
        </w:rPr>
        <w:t xml:space="preserve">acta de inicio, pues el criterio determinante para establecer si un contrato se encuentra en ejecución no lo determina el acta, sino que el mismo contrato obligue al proponente. Además, los saldos pendientes por ejecutar de los contratos afectados por una suspensión constituyen, también, información relevante para calcular la capacidad residual del proponente </w:t>
      </w:r>
      <w:r w:rsidRPr="00FA5002">
        <w:rPr>
          <w:rFonts w:ascii="Verdana" w:eastAsia="Calibri" w:hAnsi="Verdana" w:cs="Arial"/>
          <w:bCs/>
          <w:color w:val="000000" w:themeColor="text1"/>
        </w:rPr>
        <w:t>“CRP”</w:t>
      </w:r>
      <w:r w:rsidRPr="00324EE2">
        <w:rPr>
          <w:rFonts w:ascii="Verdana" w:hAnsi="Verdana" w:cs="Arial"/>
        </w:rPr>
        <w:t>. Lo anterior, en la medida en que la ejecución de los contratos en principio suspendidos puede, eventualmente, afectar la aptitud del oferente para cumplir con lo ofertado, razón por la que, ante la posibilidad de que tales contratos se reanuden, se ha estimado necesario evaluar los saldos pendientes por ejecutar de tales contratos para determinar si el proponente cumple con la capacidad residual requerida.</w:t>
      </w:r>
    </w:p>
    <w:p w14:paraId="3EDA640B" w14:textId="77777777" w:rsidR="00114178" w:rsidRPr="00324EE2" w:rsidRDefault="00114178" w:rsidP="00114178">
      <w:pPr>
        <w:spacing w:after="0" w:line="276" w:lineRule="auto"/>
        <w:ind w:firstLine="709"/>
        <w:jc w:val="both"/>
        <w:rPr>
          <w:rFonts w:ascii="Verdana" w:hAnsi="Verdana" w:cs="Arial"/>
        </w:rPr>
      </w:pPr>
      <w:r w:rsidRPr="00324EE2">
        <w:rPr>
          <w:rFonts w:ascii="Verdana" w:hAnsi="Verdana" w:cs="Arial"/>
        </w:rPr>
        <w:lastRenderedPageBreak/>
        <w:t xml:space="preserve">De este modo, para acreditar el factor </w:t>
      </w:r>
      <w:r w:rsidRPr="00324EE2">
        <w:rPr>
          <w:rFonts w:ascii="Verdana" w:eastAsia="Calibri" w:hAnsi="Verdana" w:cs="Arial"/>
          <w:bCs/>
          <w:color w:val="000000" w:themeColor="text1"/>
          <w:lang w:val="es-MX"/>
        </w:rPr>
        <w:t xml:space="preserve">saldos de los contratos en ejecución </w:t>
      </w:r>
      <w:r w:rsidRPr="00324EE2">
        <w:rPr>
          <w:rFonts w:ascii="Verdana" w:eastAsia="Calibri" w:hAnsi="Verdana" w:cs="Arial"/>
          <w:bCs/>
          <w:color w:val="000000" w:themeColor="text1"/>
        </w:rPr>
        <w:t>“SCE”</w:t>
      </w:r>
      <w:r w:rsidRPr="00324EE2">
        <w:rPr>
          <w:rFonts w:ascii="Verdana" w:hAnsi="Verdana" w:cs="Arial"/>
        </w:rPr>
        <w:t xml:space="preserve"> como lo establece la Guía, el proponente debe presentar la lista de contratos de obras civiles en ejecución, tanto a nivel nacional como internacional señalando i) el valor del contrato; </w:t>
      </w:r>
      <w:proofErr w:type="spellStart"/>
      <w:r w:rsidRPr="00324EE2">
        <w:rPr>
          <w:rFonts w:ascii="Verdana" w:hAnsi="Verdana" w:cs="Arial"/>
        </w:rPr>
        <w:t>ii</w:t>
      </w:r>
      <w:proofErr w:type="spellEnd"/>
      <w:r w:rsidRPr="00324EE2">
        <w:rPr>
          <w:rFonts w:ascii="Verdana" w:hAnsi="Verdana" w:cs="Arial"/>
        </w:rPr>
        <w:t xml:space="preserve">) el plazo del contrato en meses; </w:t>
      </w:r>
      <w:proofErr w:type="spellStart"/>
      <w:r w:rsidRPr="00324EE2">
        <w:rPr>
          <w:rFonts w:ascii="Verdana" w:hAnsi="Verdana" w:cs="Arial"/>
        </w:rPr>
        <w:t>iii</w:t>
      </w:r>
      <w:proofErr w:type="spellEnd"/>
      <w:r w:rsidRPr="00324EE2">
        <w:rPr>
          <w:rFonts w:ascii="Verdana" w:hAnsi="Verdana" w:cs="Arial"/>
        </w:rPr>
        <w:t xml:space="preserve">) la fecha de inicio de las obras objeto del contrato, día, mes, año; </w:t>
      </w:r>
      <w:proofErr w:type="spellStart"/>
      <w:r w:rsidRPr="00324EE2">
        <w:rPr>
          <w:rFonts w:ascii="Verdana" w:hAnsi="Verdana" w:cs="Arial"/>
        </w:rPr>
        <w:t>iv</w:t>
      </w:r>
      <w:proofErr w:type="spellEnd"/>
      <w:r w:rsidRPr="00324EE2">
        <w:rPr>
          <w:rFonts w:ascii="Verdana" w:hAnsi="Verdana" w:cs="Arial"/>
        </w:rPr>
        <w:t xml:space="preserve">) si la obra la ejecuta un consorcio, unión temporal o sociedad de propósito especial, junto con el porcentaje de participación del oferente que presenta el certificado; v) si el contrato se encuentra suspendido, y si es así, la fecha de suspensión. Si el proponente no tiene contratos en ejecución, en el certificado debe constar expresamente esa circunstancia. Por ejemplo, sobre la acreditación del factor </w:t>
      </w:r>
      <w:r w:rsidRPr="00324EE2">
        <w:rPr>
          <w:rFonts w:ascii="Verdana" w:eastAsia="Calibri" w:hAnsi="Verdana" w:cs="Arial"/>
          <w:bCs/>
          <w:color w:val="000000" w:themeColor="text1"/>
        </w:rPr>
        <w:t xml:space="preserve">“SCE” </w:t>
      </w:r>
      <w:r w:rsidRPr="00324EE2">
        <w:rPr>
          <w:rFonts w:ascii="Verdana" w:hAnsi="Verdana" w:cs="Arial"/>
        </w:rPr>
        <w:t xml:space="preserve">en los </w:t>
      </w:r>
      <w:r>
        <w:rPr>
          <w:rFonts w:ascii="Verdana" w:hAnsi="Verdana" w:cs="Arial"/>
        </w:rPr>
        <w:t>“D</w:t>
      </w:r>
      <w:r w:rsidRPr="00324EE2">
        <w:rPr>
          <w:rFonts w:ascii="Verdana" w:hAnsi="Verdana" w:cs="Arial"/>
        </w:rPr>
        <w:t xml:space="preserve">ocumentos </w:t>
      </w:r>
      <w:r>
        <w:rPr>
          <w:rFonts w:ascii="Verdana" w:hAnsi="Verdana" w:cs="Arial"/>
        </w:rPr>
        <w:t>T</w:t>
      </w:r>
      <w:r w:rsidRPr="00324EE2">
        <w:rPr>
          <w:rFonts w:ascii="Verdana" w:hAnsi="Verdana" w:cs="Arial"/>
        </w:rPr>
        <w:t>ipo</w:t>
      </w:r>
      <w:r>
        <w:rPr>
          <w:rFonts w:ascii="Verdana" w:hAnsi="Verdana" w:cs="Arial"/>
        </w:rPr>
        <w:t xml:space="preserve"> – Versión 4”</w:t>
      </w:r>
      <w:r w:rsidRPr="00324EE2">
        <w:rPr>
          <w:rFonts w:ascii="Verdana" w:hAnsi="Verdana" w:cs="Arial"/>
        </w:rPr>
        <w:t xml:space="preserve"> de licitación de obra pública para infraestructura de transporte, el literal E del numeral 3.1</w:t>
      </w:r>
      <w:r>
        <w:rPr>
          <w:rFonts w:ascii="Verdana" w:hAnsi="Verdana" w:cs="Arial"/>
        </w:rPr>
        <w:t>1</w:t>
      </w:r>
      <w:r w:rsidRPr="00324EE2">
        <w:rPr>
          <w:rFonts w:ascii="Verdana" w:hAnsi="Verdana" w:cs="Arial"/>
        </w:rPr>
        <w:t>.2 del documento base señala lo siguiente:</w:t>
      </w:r>
    </w:p>
    <w:p w14:paraId="5B3CD269" w14:textId="77777777" w:rsidR="00114178" w:rsidRPr="00324EE2" w:rsidRDefault="00114178" w:rsidP="00114178">
      <w:pPr>
        <w:spacing w:after="0" w:line="276" w:lineRule="auto"/>
        <w:ind w:firstLine="709"/>
        <w:jc w:val="both"/>
        <w:rPr>
          <w:rFonts w:ascii="Verdana" w:hAnsi="Verdana" w:cs="Arial"/>
        </w:rPr>
      </w:pPr>
    </w:p>
    <w:p w14:paraId="4760ECDF" w14:textId="77777777" w:rsidR="00114178" w:rsidRPr="00C72333" w:rsidRDefault="00114178" w:rsidP="00114178">
      <w:pPr>
        <w:spacing w:after="0"/>
        <w:ind w:left="709" w:right="709"/>
        <w:jc w:val="both"/>
        <w:rPr>
          <w:rFonts w:ascii="Verdana" w:eastAsia="Arial," w:hAnsi="Verdana" w:cs="Arial"/>
          <w:sz w:val="20"/>
          <w:szCs w:val="20"/>
        </w:rPr>
      </w:pPr>
      <w:r w:rsidRPr="00C72333">
        <w:rPr>
          <w:rFonts w:ascii="Verdana" w:hAnsi="Verdana" w:cs="Arial"/>
          <w:sz w:val="20"/>
          <w:szCs w:val="20"/>
        </w:rPr>
        <w:t>“Para</w:t>
      </w:r>
      <w:r w:rsidRPr="00C72333">
        <w:rPr>
          <w:rFonts w:ascii="Verdana" w:eastAsia="Arial," w:hAnsi="Verdana" w:cs="Arial"/>
          <w:sz w:val="20"/>
          <w:szCs w:val="20"/>
        </w:rPr>
        <w:t xml:space="preserve"> </w:t>
      </w:r>
      <w:r w:rsidRPr="00C72333">
        <w:rPr>
          <w:rFonts w:ascii="Verdana" w:hAnsi="Verdana" w:cs="Arial"/>
          <w:sz w:val="20"/>
          <w:szCs w:val="20"/>
        </w:rPr>
        <w:t>acreditar</w:t>
      </w:r>
      <w:r w:rsidRPr="00C72333">
        <w:rPr>
          <w:rFonts w:ascii="Verdana" w:eastAsia="Arial," w:hAnsi="Verdana" w:cs="Arial"/>
          <w:sz w:val="20"/>
          <w:szCs w:val="20"/>
        </w:rPr>
        <w:t xml:space="preserve"> </w:t>
      </w:r>
      <w:r w:rsidRPr="00C72333">
        <w:rPr>
          <w:rFonts w:ascii="Verdana" w:hAnsi="Verdana" w:cs="Arial"/>
          <w:sz w:val="20"/>
          <w:szCs w:val="20"/>
        </w:rPr>
        <w:t>el</w:t>
      </w:r>
      <w:r w:rsidRPr="00C72333">
        <w:rPr>
          <w:rFonts w:ascii="Verdana" w:eastAsia="Arial," w:hAnsi="Verdana" w:cs="Arial"/>
          <w:sz w:val="20"/>
          <w:szCs w:val="20"/>
        </w:rPr>
        <w:t xml:space="preserve"> </w:t>
      </w:r>
      <w:r w:rsidRPr="00C72333">
        <w:rPr>
          <w:rFonts w:ascii="Verdana" w:hAnsi="Verdana" w:cs="Arial"/>
          <w:sz w:val="20"/>
          <w:szCs w:val="20"/>
        </w:rPr>
        <w:t>factor</w:t>
      </w:r>
      <w:r w:rsidRPr="00C72333">
        <w:rPr>
          <w:rFonts w:ascii="Verdana" w:eastAsia="Arial," w:hAnsi="Verdana" w:cs="Arial"/>
          <w:sz w:val="20"/>
          <w:szCs w:val="20"/>
        </w:rPr>
        <w:t xml:space="preserve"> </w:t>
      </w:r>
      <w:r w:rsidRPr="00C72333">
        <w:rPr>
          <w:rFonts w:ascii="Verdana" w:hAnsi="Verdana" w:cs="Arial"/>
          <w:sz w:val="20"/>
          <w:szCs w:val="20"/>
        </w:rPr>
        <w:t>(SCE)</w:t>
      </w:r>
      <w:r w:rsidRPr="00C72333">
        <w:rPr>
          <w:rFonts w:ascii="Verdana" w:eastAsia="Arial," w:hAnsi="Verdana" w:cs="Arial"/>
          <w:sz w:val="20"/>
          <w:szCs w:val="20"/>
        </w:rPr>
        <w:t xml:space="preserve"> </w:t>
      </w:r>
      <w:r w:rsidRPr="00C72333">
        <w:rPr>
          <w:rFonts w:ascii="Verdana" w:hAnsi="Verdana" w:cs="Arial"/>
          <w:sz w:val="20"/>
          <w:szCs w:val="20"/>
        </w:rPr>
        <w:t>el</w:t>
      </w:r>
      <w:r w:rsidRPr="00C72333">
        <w:rPr>
          <w:rFonts w:ascii="Verdana" w:eastAsia="Arial," w:hAnsi="Verdana" w:cs="Arial"/>
          <w:sz w:val="20"/>
          <w:szCs w:val="20"/>
        </w:rPr>
        <w:t xml:space="preserve"> </w:t>
      </w:r>
      <w:r w:rsidRPr="00C72333">
        <w:rPr>
          <w:rFonts w:ascii="Verdana" w:hAnsi="Verdana" w:cs="Arial"/>
          <w:sz w:val="20"/>
          <w:szCs w:val="20"/>
        </w:rPr>
        <w:t>Proponente</w:t>
      </w:r>
      <w:r w:rsidRPr="00C72333">
        <w:rPr>
          <w:rFonts w:ascii="Verdana" w:eastAsia="Arial," w:hAnsi="Verdana" w:cs="Arial"/>
          <w:sz w:val="20"/>
          <w:szCs w:val="20"/>
        </w:rPr>
        <w:t xml:space="preserve"> </w:t>
      </w:r>
      <w:r w:rsidRPr="00C72333">
        <w:rPr>
          <w:rFonts w:ascii="Verdana" w:hAnsi="Verdana" w:cs="Arial"/>
          <w:sz w:val="20"/>
          <w:szCs w:val="20"/>
        </w:rPr>
        <w:t>tendrá</w:t>
      </w:r>
      <w:r w:rsidRPr="00C72333">
        <w:rPr>
          <w:rFonts w:ascii="Verdana" w:eastAsia="Arial," w:hAnsi="Verdana" w:cs="Arial"/>
          <w:sz w:val="20"/>
          <w:szCs w:val="20"/>
        </w:rPr>
        <w:t xml:space="preserve"> </w:t>
      </w:r>
      <w:r w:rsidRPr="00C72333">
        <w:rPr>
          <w:rFonts w:ascii="Verdana" w:hAnsi="Verdana" w:cs="Arial"/>
          <w:sz w:val="20"/>
          <w:szCs w:val="20"/>
        </w:rPr>
        <w:t>en</w:t>
      </w:r>
      <w:r w:rsidRPr="00C72333">
        <w:rPr>
          <w:rFonts w:ascii="Verdana" w:eastAsia="Arial," w:hAnsi="Verdana" w:cs="Arial"/>
          <w:sz w:val="20"/>
          <w:szCs w:val="20"/>
        </w:rPr>
        <w:t xml:space="preserve"> </w:t>
      </w:r>
      <w:r w:rsidRPr="00C72333">
        <w:rPr>
          <w:rFonts w:ascii="Verdana" w:hAnsi="Verdana" w:cs="Arial"/>
          <w:sz w:val="20"/>
          <w:szCs w:val="20"/>
        </w:rPr>
        <w:t>cuenta</w:t>
      </w:r>
      <w:r w:rsidRPr="00C72333">
        <w:rPr>
          <w:rFonts w:ascii="Verdana" w:eastAsia="Arial," w:hAnsi="Verdana" w:cs="Arial"/>
          <w:sz w:val="20"/>
          <w:szCs w:val="20"/>
        </w:rPr>
        <w:t xml:space="preserve"> </w:t>
      </w:r>
      <w:r w:rsidRPr="00C72333">
        <w:rPr>
          <w:rFonts w:ascii="Verdana" w:hAnsi="Verdana" w:cs="Arial"/>
          <w:sz w:val="20"/>
          <w:szCs w:val="20"/>
        </w:rPr>
        <w:t>lo</w:t>
      </w:r>
      <w:r w:rsidRPr="00C72333">
        <w:rPr>
          <w:rFonts w:ascii="Verdana" w:eastAsia="Arial," w:hAnsi="Verdana" w:cs="Arial"/>
          <w:sz w:val="20"/>
          <w:szCs w:val="20"/>
        </w:rPr>
        <w:t xml:space="preserve"> </w:t>
      </w:r>
      <w:r w:rsidRPr="00C72333">
        <w:rPr>
          <w:rFonts w:ascii="Verdana" w:hAnsi="Verdana" w:cs="Arial"/>
          <w:sz w:val="20"/>
          <w:szCs w:val="20"/>
        </w:rPr>
        <w:t>siguiente:</w:t>
      </w:r>
      <w:r w:rsidRPr="00C72333">
        <w:rPr>
          <w:rFonts w:ascii="Verdana" w:eastAsia="Arial," w:hAnsi="Verdana" w:cs="Arial"/>
          <w:sz w:val="20"/>
          <w:szCs w:val="20"/>
        </w:rPr>
        <w:t xml:space="preserve"> </w:t>
      </w:r>
    </w:p>
    <w:p w14:paraId="6C6C01F9" w14:textId="77777777" w:rsidR="00114178" w:rsidRPr="00C72333" w:rsidRDefault="00114178" w:rsidP="00114178">
      <w:pPr>
        <w:spacing w:after="120"/>
        <w:ind w:right="709" w:firstLine="709"/>
        <w:jc w:val="both"/>
        <w:rPr>
          <w:rFonts w:ascii="Verdana" w:eastAsia="Arial," w:hAnsi="Verdana" w:cs="Arial"/>
          <w:sz w:val="20"/>
          <w:szCs w:val="20"/>
        </w:rPr>
      </w:pPr>
      <w:r w:rsidRPr="00C72333">
        <w:rPr>
          <w:rFonts w:ascii="Verdana" w:eastAsia="Arial," w:hAnsi="Verdana" w:cs="Arial"/>
          <w:sz w:val="20"/>
          <w:szCs w:val="20"/>
        </w:rPr>
        <w:t>[…]</w:t>
      </w:r>
    </w:p>
    <w:p w14:paraId="06949AEE" w14:textId="77777777" w:rsidR="00114178" w:rsidRPr="00C72333" w:rsidRDefault="00114178" w:rsidP="00114178">
      <w:pPr>
        <w:pStyle w:val="Prrafodelista"/>
        <w:ind w:left="1134" w:right="709" w:hanging="425"/>
        <w:jc w:val="both"/>
        <w:rPr>
          <w:rFonts w:ascii="Verdana" w:eastAsia="Arial" w:hAnsi="Verdana" w:cs="Arial"/>
          <w:sz w:val="20"/>
          <w:szCs w:val="20"/>
        </w:rPr>
      </w:pPr>
      <w:r w:rsidRPr="00C72333">
        <w:rPr>
          <w:rFonts w:ascii="Verdana" w:eastAsia="Arial" w:hAnsi="Verdana" w:cs="Arial"/>
          <w:sz w:val="20"/>
          <w:szCs w:val="20"/>
        </w:rPr>
        <w:t>II.  Los contratos de obras civiles en ejecución son aquellos que a la fecha de presentación de la oferta obligan al proponente con entidades estatales y con entidades privadas para ejecutar obras civiles. Estas incluyen las obras civiles de los contratos de concesión y los contratos de obra suscritos con concesionarios, así como, los contratos suspendidos y aquellos que no tengan acta de inicio. No se entenderán como contratos en ejecución los que se encuentren en liquidación.</w:t>
      </w:r>
    </w:p>
    <w:p w14:paraId="0E085E7A" w14:textId="77777777" w:rsidR="00114178" w:rsidRPr="00C72333" w:rsidRDefault="00114178" w:rsidP="00114178">
      <w:pPr>
        <w:pStyle w:val="Prrafodelista"/>
        <w:ind w:left="1134" w:right="709" w:hanging="425"/>
        <w:jc w:val="both"/>
        <w:rPr>
          <w:rFonts w:ascii="Verdana" w:eastAsia="Arial" w:hAnsi="Verdana" w:cs="Arial"/>
          <w:sz w:val="20"/>
          <w:szCs w:val="20"/>
        </w:rPr>
      </w:pPr>
      <w:r w:rsidRPr="00C72333">
        <w:rPr>
          <w:rFonts w:ascii="Verdana" w:eastAsia="Arial" w:hAnsi="Verdana" w:cs="Arial"/>
          <w:sz w:val="20"/>
          <w:szCs w:val="20"/>
        </w:rPr>
        <w:t>III. Se tendrán en cuenta los contratos de obras civiles en ejecución suscritos por el proponente o por sociedades, consorcios o uniones temporales en los cuales el proponente tenga participación</w:t>
      </w:r>
    </w:p>
    <w:p w14:paraId="721D22C4" w14:textId="77777777" w:rsidR="00114178" w:rsidRPr="00C72333" w:rsidRDefault="00114178" w:rsidP="00114178">
      <w:pPr>
        <w:pStyle w:val="Prrafodelista"/>
        <w:ind w:left="1134" w:right="709" w:hanging="425"/>
        <w:jc w:val="both"/>
        <w:rPr>
          <w:rFonts w:ascii="Verdana" w:eastAsia="Arial" w:hAnsi="Verdana" w:cs="Arial"/>
          <w:sz w:val="20"/>
          <w:szCs w:val="20"/>
        </w:rPr>
      </w:pPr>
      <w:r w:rsidRPr="00C72333">
        <w:rPr>
          <w:rFonts w:ascii="Verdana" w:eastAsia="Arial" w:hAnsi="Verdana" w:cs="Arial"/>
          <w:sz w:val="20"/>
          <w:szCs w:val="20"/>
        </w:rPr>
        <w:t>IV. Si</w:t>
      </w:r>
      <w:r w:rsidRPr="00C72333">
        <w:rPr>
          <w:rFonts w:ascii="Verdana" w:eastAsia="Arial," w:hAnsi="Verdana" w:cs="Arial"/>
          <w:sz w:val="20"/>
          <w:szCs w:val="20"/>
        </w:rPr>
        <w:t xml:space="preserve"> </w:t>
      </w:r>
      <w:r w:rsidRPr="00C72333">
        <w:rPr>
          <w:rFonts w:ascii="Verdana" w:eastAsia="Arial" w:hAnsi="Verdana" w:cs="Arial"/>
          <w:sz w:val="20"/>
          <w:szCs w:val="20"/>
        </w:rPr>
        <w:t>un</w:t>
      </w:r>
      <w:r w:rsidRPr="00C72333">
        <w:rPr>
          <w:rFonts w:ascii="Verdana" w:eastAsia="Arial," w:hAnsi="Verdana" w:cs="Arial"/>
          <w:sz w:val="20"/>
          <w:szCs w:val="20"/>
        </w:rPr>
        <w:t xml:space="preserve"> </w:t>
      </w:r>
      <w:r w:rsidRPr="00C72333">
        <w:rPr>
          <w:rFonts w:ascii="Verdana" w:eastAsia="Arial" w:hAnsi="Verdana" w:cs="Arial"/>
          <w:sz w:val="20"/>
          <w:szCs w:val="20"/>
        </w:rPr>
        <w:t>contrato</w:t>
      </w:r>
      <w:r w:rsidRPr="00C72333">
        <w:rPr>
          <w:rFonts w:ascii="Verdana" w:eastAsia="Arial," w:hAnsi="Verdana" w:cs="Arial"/>
          <w:sz w:val="20"/>
          <w:szCs w:val="20"/>
        </w:rPr>
        <w:t xml:space="preserve"> </w:t>
      </w:r>
      <w:r w:rsidRPr="00C72333">
        <w:rPr>
          <w:rFonts w:ascii="Verdana" w:eastAsia="Arial" w:hAnsi="Verdana" w:cs="Arial"/>
          <w:sz w:val="20"/>
          <w:szCs w:val="20"/>
        </w:rPr>
        <w:t>se</w:t>
      </w:r>
      <w:r w:rsidRPr="00C72333">
        <w:rPr>
          <w:rFonts w:ascii="Verdana" w:eastAsia="Arial," w:hAnsi="Verdana" w:cs="Arial"/>
          <w:sz w:val="20"/>
          <w:szCs w:val="20"/>
        </w:rPr>
        <w:t xml:space="preserve"> </w:t>
      </w:r>
      <w:r w:rsidRPr="00C72333">
        <w:rPr>
          <w:rFonts w:ascii="Verdana" w:eastAsia="Arial" w:hAnsi="Verdana" w:cs="Arial"/>
          <w:sz w:val="20"/>
          <w:szCs w:val="20"/>
        </w:rPr>
        <w:t>encuentra</w:t>
      </w:r>
      <w:r w:rsidRPr="00C72333">
        <w:rPr>
          <w:rFonts w:ascii="Verdana" w:eastAsia="Arial," w:hAnsi="Verdana" w:cs="Arial"/>
          <w:sz w:val="20"/>
          <w:szCs w:val="20"/>
        </w:rPr>
        <w:t xml:space="preserve"> </w:t>
      </w:r>
      <w:r w:rsidRPr="00C72333">
        <w:rPr>
          <w:rFonts w:ascii="Verdana" w:eastAsia="Arial" w:hAnsi="Verdana" w:cs="Arial"/>
          <w:sz w:val="20"/>
          <w:szCs w:val="20"/>
        </w:rPr>
        <w:t>suspendido,</w:t>
      </w:r>
      <w:r w:rsidRPr="00C72333">
        <w:rPr>
          <w:rFonts w:ascii="Verdana" w:eastAsia="Arial," w:hAnsi="Verdana" w:cs="Arial"/>
          <w:sz w:val="20"/>
          <w:szCs w:val="20"/>
        </w:rPr>
        <w:t xml:space="preserve"> </w:t>
      </w:r>
      <w:r w:rsidRPr="00C72333">
        <w:rPr>
          <w:rFonts w:ascii="Verdana" w:eastAsia="Arial" w:hAnsi="Verdana" w:cs="Arial"/>
          <w:sz w:val="20"/>
          <w:szCs w:val="20"/>
        </w:rPr>
        <w:t>el</w:t>
      </w:r>
      <w:r w:rsidRPr="00C72333">
        <w:rPr>
          <w:rFonts w:ascii="Verdana" w:eastAsia="Arial," w:hAnsi="Verdana" w:cs="Arial"/>
          <w:sz w:val="20"/>
          <w:szCs w:val="20"/>
        </w:rPr>
        <w:t xml:space="preserve"> </w:t>
      </w:r>
      <w:r w:rsidRPr="00C72333">
        <w:rPr>
          <w:rFonts w:ascii="Verdana" w:eastAsia="Arial" w:hAnsi="Verdana" w:cs="Arial"/>
          <w:sz w:val="20"/>
          <w:szCs w:val="20"/>
        </w:rPr>
        <w:t>cálculo</w:t>
      </w:r>
      <w:r w:rsidRPr="00C72333">
        <w:rPr>
          <w:rFonts w:ascii="Verdana" w:eastAsia="Arial," w:hAnsi="Verdana" w:cs="Arial"/>
          <w:sz w:val="20"/>
          <w:szCs w:val="20"/>
        </w:rPr>
        <w:t xml:space="preserve"> </w:t>
      </w:r>
      <w:r w:rsidRPr="00C72333">
        <w:rPr>
          <w:rFonts w:ascii="Verdana" w:eastAsia="Arial" w:hAnsi="Verdana" w:cs="Arial"/>
          <w:sz w:val="20"/>
          <w:szCs w:val="20"/>
        </w:rPr>
        <w:t>del</w:t>
      </w:r>
      <w:r w:rsidRPr="00C72333">
        <w:rPr>
          <w:rFonts w:ascii="Verdana" w:eastAsia="Arial," w:hAnsi="Verdana" w:cs="Arial"/>
          <w:sz w:val="20"/>
          <w:szCs w:val="20"/>
        </w:rPr>
        <w:t xml:space="preserve"> </w:t>
      </w:r>
      <w:r w:rsidRPr="00C72333">
        <w:rPr>
          <w:rFonts w:ascii="Verdana" w:eastAsia="Arial" w:hAnsi="Verdana" w:cs="Arial"/>
          <w:sz w:val="20"/>
          <w:szCs w:val="20"/>
        </w:rPr>
        <w:t>(SCE)</w:t>
      </w:r>
      <w:r w:rsidRPr="00C72333">
        <w:rPr>
          <w:rFonts w:ascii="Verdana" w:eastAsia="Arial," w:hAnsi="Verdana" w:cs="Arial"/>
          <w:sz w:val="20"/>
          <w:szCs w:val="20"/>
        </w:rPr>
        <w:t xml:space="preserve"> </w:t>
      </w:r>
      <w:r w:rsidRPr="00C72333">
        <w:rPr>
          <w:rFonts w:ascii="Verdana" w:eastAsia="Arial" w:hAnsi="Verdana" w:cs="Arial"/>
          <w:sz w:val="20"/>
          <w:szCs w:val="20"/>
        </w:rPr>
        <w:t>de</w:t>
      </w:r>
      <w:r w:rsidRPr="00C72333">
        <w:rPr>
          <w:rFonts w:ascii="Verdana" w:eastAsia="Arial," w:hAnsi="Verdana" w:cs="Arial"/>
          <w:sz w:val="20"/>
          <w:szCs w:val="20"/>
        </w:rPr>
        <w:t xml:space="preserve"> </w:t>
      </w:r>
      <w:r w:rsidRPr="00C72333">
        <w:rPr>
          <w:rFonts w:ascii="Verdana" w:eastAsia="Arial" w:hAnsi="Verdana" w:cs="Arial"/>
          <w:sz w:val="20"/>
          <w:szCs w:val="20"/>
        </w:rPr>
        <w:t>dicho</w:t>
      </w:r>
      <w:r w:rsidRPr="00C72333">
        <w:rPr>
          <w:rFonts w:ascii="Verdana" w:eastAsia="Arial," w:hAnsi="Verdana" w:cs="Arial"/>
          <w:sz w:val="20"/>
          <w:szCs w:val="20"/>
        </w:rPr>
        <w:t xml:space="preserve"> </w:t>
      </w:r>
      <w:r w:rsidRPr="00C72333">
        <w:rPr>
          <w:rFonts w:ascii="Verdana" w:eastAsia="Arial" w:hAnsi="Verdana" w:cs="Arial"/>
          <w:sz w:val="20"/>
          <w:szCs w:val="20"/>
        </w:rPr>
        <w:t>contrato</w:t>
      </w:r>
      <w:r w:rsidRPr="00C72333">
        <w:rPr>
          <w:rFonts w:ascii="Verdana" w:eastAsia="Arial," w:hAnsi="Verdana" w:cs="Arial"/>
          <w:sz w:val="20"/>
          <w:szCs w:val="20"/>
        </w:rPr>
        <w:t xml:space="preserve"> </w:t>
      </w:r>
      <w:r w:rsidRPr="00C72333">
        <w:rPr>
          <w:rFonts w:ascii="Verdana" w:eastAsia="Arial" w:hAnsi="Verdana" w:cs="Arial"/>
          <w:sz w:val="20"/>
          <w:szCs w:val="20"/>
        </w:rPr>
        <w:t>debe</w:t>
      </w:r>
      <w:r w:rsidRPr="00C72333">
        <w:rPr>
          <w:rFonts w:ascii="Verdana" w:eastAsia="Arial," w:hAnsi="Verdana" w:cs="Arial"/>
          <w:sz w:val="20"/>
          <w:szCs w:val="20"/>
        </w:rPr>
        <w:t xml:space="preserve"> </w:t>
      </w:r>
      <w:r w:rsidRPr="00C72333">
        <w:rPr>
          <w:rFonts w:ascii="Verdana" w:eastAsia="Arial" w:hAnsi="Verdana" w:cs="Arial"/>
          <w:sz w:val="20"/>
          <w:szCs w:val="20"/>
        </w:rPr>
        <w:t>efectuarse</w:t>
      </w:r>
      <w:r w:rsidRPr="00C72333">
        <w:rPr>
          <w:rFonts w:ascii="Verdana" w:eastAsia="Arial," w:hAnsi="Verdana" w:cs="Arial"/>
          <w:sz w:val="20"/>
          <w:szCs w:val="20"/>
        </w:rPr>
        <w:t xml:space="preserve"> </w:t>
      </w:r>
      <w:r w:rsidRPr="00C72333">
        <w:rPr>
          <w:rFonts w:ascii="Verdana" w:eastAsia="Arial" w:hAnsi="Verdana" w:cs="Arial"/>
          <w:sz w:val="20"/>
          <w:szCs w:val="20"/>
        </w:rPr>
        <w:t>asumiendo</w:t>
      </w:r>
      <w:r w:rsidRPr="00C72333">
        <w:rPr>
          <w:rFonts w:ascii="Verdana" w:eastAsia="Arial," w:hAnsi="Verdana" w:cs="Arial"/>
          <w:sz w:val="20"/>
          <w:szCs w:val="20"/>
        </w:rPr>
        <w:t xml:space="preserve"> </w:t>
      </w:r>
      <w:r w:rsidRPr="00C72333">
        <w:rPr>
          <w:rFonts w:ascii="Verdana" w:eastAsia="Arial" w:hAnsi="Verdana" w:cs="Arial"/>
          <w:sz w:val="20"/>
          <w:szCs w:val="20"/>
        </w:rPr>
        <w:t>que</w:t>
      </w:r>
      <w:r w:rsidRPr="00C72333">
        <w:rPr>
          <w:rFonts w:ascii="Verdana" w:eastAsia="Arial," w:hAnsi="Verdana" w:cs="Arial"/>
          <w:sz w:val="20"/>
          <w:szCs w:val="20"/>
        </w:rPr>
        <w:t xml:space="preserve"> </w:t>
      </w:r>
      <w:r w:rsidRPr="00C72333">
        <w:rPr>
          <w:rFonts w:ascii="Verdana" w:eastAsia="Arial" w:hAnsi="Verdana" w:cs="Arial"/>
          <w:sz w:val="20"/>
          <w:szCs w:val="20"/>
        </w:rPr>
        <w:t>lo</w:t>
      </w:r>
      <w:r w:rsidRPr="00C72333">
        <w:rPr>
          <w:rFonts w:ascii="Verdana" w:eastAsia="Arial," w:hAnsi="Verdana" w:cs="Arial"/>
          <w:sz w:val="20"/>
          <w:szCs w:val="20"/>
        </w:rPr>
        <w:t xml:space="preserve"> </w:t>
      </w:r>
      <w:r w:rsidRPr="00C72333">
        <w:rPr>
          <w:rFonts w:ascii="Verdana" w:eastAsia="Arial" w:hAnsi="Verdana" w:cs="Arial"/>
          <w:sz w:val="20"/>
          <w:szCs w:val="20"/>
        </w:rPr>
        <w:t>que</w:t>
      </w:r>
      <w:r w:rsidRPr="00C72333">
        <w:rPr>
          <w:rFonts w:ascii="Verdana" w:eastAsia="Arial," w:hAnsi="Verdana" w:cs="Arial"/>
          <w:sz w:val="20"/>
          <w:szCs w:val="20"/>
        </w:rPr>
        <w:t xml:space="preserve"> </w:t>
      </w:r>
      <w:r w:rsidRPr="00C72333">
        <w:rPr>
          <w:rFonts w:ascii="Verdana" w:eastAsia="Arial" w:hAnsi="Verdana" w:cs="Arial"/>
          <w:sz w:val="20"/>
          <w:szCs w:val="20"/>
        </w:rPr>
        <w:t>falta</w:t>
      </w:r>
      <w:r w:rsidRPr="00C72333">
        <w:rPr>
          <w:rFonts w:ascii="Verdana" w:eastAsia="Arial," w:hAnsi="Verdana" w:cs="Arial"/>
          <w:sz w:val="20"/>
          <w:szCs w:val="20"/>
        </w:rPr>
        <w:t xml:space="preserve"> </w:t>
      </w:r>
      <w:r w:rsidRPr="00C72333">
        <w:rPr>
          <w:rFonts w:ascii="Verdana" w:eastAsia="Arial" w:hAnsi="Verdana" w:cs="Arial"/>
          <w:sz w:val="20"/>
          <w:szCs w:val="20"/>
        </w:rPr>
        <w:t>por</w:t>
      </w:r>
      <w:r w:rsidRPr="00C72333">
        <w:rPr>
          <w:rFonts w:ascii="Verdana" w:eastAsia="Arial," w:hAnsi="Verdana" w:cs="Arial"/>
          <w:sz w:val="20"/>
          <w:szCs w:val="20"/>
        </w:rPr>
        <w:t xml:space="preserve"> </w:t>
      </w:r>
      <w:r w:rsidRPr="00C72333">
        <w:rPr>
          <w:rFonts w:ascii="Verdana" w:eastAsia="Arial" w:hAnsi="Verdana" w:cs="Arial"/>
          <w:sz w:val="20"/>
          <w:szCs w:val="20"/>
        </w:rPr>
        <w:t>ejecutar</w:t>
      </w:r>
      <w:r w:rsidRPr="00C72333">
        <w:rPr>
          <w:rFonts w:ascii="Verdana" w:eastAsia="Arial," w:hAnsi="Verdana" w:cs="Arial"/>
          <w:sz w:val="20"/>
          <w:szCs w:val="20"/>
        </w:rPr>
        <w:t xml:space="preserve"> </w:t>
      </w:r>
      <w:r w:rsidRPr="00C72333">
        <w:rPr>
          <w:rFonts w:ascii="Verdana" w:eastAsia="Arial" w:hAnsi="Verdana" w:cs="Arial"/>
          <w:sz w:val="20"/>
          <w:szCs w:val="20"/>
        </w:rPr>
        <w:t>iniciara</w:t>
      </w:r>
      <w:r w:rsidRPr="00C72333">
        <w:rPr>
          <w:rFonts w:ascii="Verdana" w:eastAsia="Arial," w:hAnsi="Verdana" w:cs="Arial"/>
          <w:sz w:val="20"/>
          <w:szCs w:val="20"/>
        </w:rPr>
        <w:t xml:space="preserve"> </w:t>
      </w:r>
      <w:r w:rsidRPr="00C72333">
        <w:rPr>
          <w:rFonts w:ascii="Verdana" w:eastAsia="Arial" w:hAnsi="Verdana" w:cs="Arial"/>
          <w:sz w:val="20"/>
          <w:szCs w:val="20"/>
        </w:rPr>
        <w:t>en</w:t>
      </w:r>
      <w:r w:rsidRPr="00C72333">
        <w:rPr>
          <w:rFonts w:ascii="Verdana" w:eastAsia="Arial," w:hAnsi="Verdana" w:cs="Arial"/>
          <w:sz w:val="20"/>
          <w:szCs w:val="20"/>
        </w:rPr>
        <w:t xml:space="preserve"> </w:t>
      </w:r>
      <w:r w:rsidRPr="00C72333">
        <w:rPr>
          <w:rFonts w:ascii="Verdana" w:eastAsia="Arial" w:hAnsi="Verdana" w:cs="Arial"/>
          <w:sz w:val="20"/>
          <w:szCs w:val="20"/>
        </w:rPr>
        <w:t>la</w:t>
      </w:r>
      <w:r w:rsidRPr="00C72333">
        <w:rPr>
          <w:rFonts w:ascii="Verdana" w:eastAsia="Arial," w:hAnsi="Verdana" w:cs="Arial"/>
          <w:sz w:val="20"/>
          <w:szCs w:val="20"/>
        </w:rPr>
        <w:t xml:space="preserve"> </w:t>
      </w:r>
      <w:r w:rsidRPr="00C72333">
        <w:rPr>
          <w:rFonts w:ascii="Verdana" w:eastAsia="Arial" w:hAnsi="Verdana" w:cs="Arial"/>
          <w:sz w:val="20"/>
          <w:szCs w:val="20"/>
        </w:rPr>
        <w:t>fecha de</w:t>
      </w:r>
      <w:r w:rsidRPr="00C72333">
        <w:rPr>
          <w:rFonts w:ascii="Verdana" w:eastAsia="Arial," w:hAnsi="Verdana" w:cs="Arial"/>
          <w:sz w:val="20"/>
          <w:szCs w:val="20"/>
        </w:rPr>
        <w:t xml:space="preserve"> </w:t>
      </w:r>
      <w:r w:rsidRPr="00C72333">
        <w:rPr>
          <w:rFonts w:ascii="Verdana" w:eastAsia="Arial" w:hAnsi="Verdana" w:cs="Arial"/>
          <w:sz w:val="20"/>
          <w:szCs w:val="20"/>
        </w:rPr>
        <w:t>presentación</w:t>
      </w:r>
      <w:r w:rsidRPr="00C72333">
        <w:rPr>
          <w:rFonts w:ascii="Verdana" w:eastAsia="Arial," w:hAnsi="Verdana" w:cs="Arial"/>
          <w:sz w:val="20"/>
          <w:szCs w:val="20"/>
        </w:rPr>
        <w:t xml:space="preserve"> </w:t>
      </w:r>
      <w:r w:rsidRPr="00C72333">
        <w:rPr>
          <w:rFonts w:ascii="Verdana" w:eastAsia="Arial" w:hAnsi="Verdana" w:cs="Arial"/>
          <w:sz w:val="20"/>
          <w:szCs w:val="20"/>
        </w:rPr>
        <w:t>de</w:t>
      </w:r>
      <w:r w:rsidRPr="00C72333">
        <w:rPr>
          <w:rFonts w:ascii="Verdana" w:eastAsia="Arial," w:hAnsi="Verdana" w:cs="Arial"/>
          <w:sz w:val="20"/>
          <w:szCs w:val="20"/>
        </w:rPr>
        <w:t xml:space="preserve"> </w:t>
      </w:r>
      <w:r w:rsidRPr="00C72333">
        <w:rPr>
          <w:rFonts w:ascii="Verdana" w:eastAsia="Arial" w:hAnsi="Verdana" w:cs="Arial"/>
          <w:sz w:val="20"/>
          <w:szCs w:val="20"/>
        </w:rPr>
        <w:t>la</w:t>
      </w:r>
      <w:r w:rsidRPr="00C72333">
        <w:rPr>
          <w:rFonts w:ascii="Verdana" w:eastAsia="Arial," w:hAnsi="Verdana" w:cs="Arial"/>
          <w:sz w:val="20"/>
          <w:szCs w:val="20"/>
        </w:rPr>
        <w:t xml:space="preserve"> </w:t>
      </w:r>
      <w:r w:rsidRPr="00C72333">
        <w:rPr>
          <w:rFonts w:ascii="Verdana" w:eastAsia="Arial" w:hAnsi="Verdana" w:cs="Arial"/>
          <w:sz w:val="20"/>
          <w:szCs w:val="20"/>
        </w:rPr>
        <w:t>oferta</w:t>
      </w:r>
      <w:r w:rsidRPr="00C72333">
        <w:rPr>
          <w:rFonts w:ascii="Verdana" w:eastAsia="Arial," w:hAnsi="Verdana" w:cs="Arial"/>
          <w:sz w:val="20"/>
          <w:szCs w:val="20"/>
        </w:rPr>
        <w:t xml:space="preserve"> </w:t>
      </w:r>
      <w:r w:rsidRPr="00C72333">
        <w:rPr>
          <w:rFonts w:ascii="Verdana" w:eastAsia="Arial" w:hAnsi="Verdana" w:cs="Arial"/>
          <w:sz w:val="20"/>
          <w:szCs w:val="20"/>
        </w:rPr>
        <w:t>del</w:t>
      </w:r>
      <w:r w:rsidRPr="00C72333">
        <w:rPr>
          <w:rFonts w:ascii="Verdana" w:eastAsia="Arial," w:hAnsi="Verdana" w:cs="Arial"/>
          <w:sz w:val="20"/>
          <w:szCs w:val="20"/>
        </w:rPr>
        <w:t xml:space="preserve"> </w:t>
      </w:r>
      <w:r w:rsidRPr="00C72333">
        <w:rPr>
          <w:rFonts w:ascii="Verdana" w:eastAsia="Arial" w:hAnsi="Verdana" w:cs="Arial"/>
          <w:sz w:val="20"/>
          <w:szCs w:val="20"/>
        </w:rPr>
        <w:t>Proceso de Contratación.</w:t>
      </w:r>
      <w:r w:rsidRPr="00C72333">
        <w:rPr>
          <w:rFonts w:ascii="Verdana" w:eastAsia="Arial," w:hAnsi="Verdana" w:cs="Arial"/>
          <w:sz w:val="20"/>
          <w:szCs w:val="20"/>
        </w:rPr>
        <w:t xml:space="preserve"> </w:t>
      </w:r>
      <w:r w:rsidRPr="00C72333">
        <w:rPr>
          <w:rFonts w:ascii="Verdana" w:eastAsia="Arial" w:hAnsi="Verdana" w:cs="Arial"/>
          <w:sz w:val="20"/>
          <w:szCs w:val="20"/>
        </w:rPr>
        <w:t>Si</w:t>
      </w:r>
      <w:r w:rsidRPr="00C72333">
        <w:rPr>
          <w:rFonts w:ascii="Verdana" w:eastAsia="Arial," w:hAnsi="Verdana" w:cs="Arial"/>
          <w:sz w:val="20"/>
          <w:szCs w:val="20"/>
        </w:rPr>
        <w:t xml:space="preserve"> </w:t>
      </w:r>
      <w:r w:rsidRPr="00C72333">
        <w:rPr>
          <w:rFonts w:ascii="Verdana" w:eastAsia="Arial" w:hAnsi="Verdana" w:cs="Arial"/>
          <w:sz w:val="20"/>
          <w:szCs w:val="20"/>
        </w:rPr>
        <w:t>el</w:t>
      </w:r>
      <w:r w:rsidRPr="00C72333">
        <w:rPr>
          <w:rFonts w:ascii="Verdana" w:eastAsia="Arial," w:hAnsi="Verdana" w:cs="Arial"/>
          <w:sz w:val="20"/>
          <w:szCs w:val="20"/>
        </w:rPr>
        <w:t xml:space="preserve"> </w:t>
      </w:r>
      <w:r w:rsidRPr="00C72333">
        <w:rPr>
          <w:rFonts w:ascii="Verdana" w:eastAsia="Arial" w:hAnsi="Verdana" w:cs="Arial"/>
          <w:sz w:val="20"/>
          <w:szCs w:val="20"/>
        </w:rPr>
        <w:t>contrato</w:t>
      </w:r>
      <w:r w:rsidRPr="00C72333">
        <w:rPr>
          <w:rFonts w:ascii="Verdana" w:eastAsia="Arial," w:hAnsi="Verdana" w:cs="Arial"/>
          <w:sz w:val="20"/>
          <w:szCs w:val="20"/>
        </w:rPr>
        <w:t xml:space="preserve"> </w:t>
      </w:r>
      <w:r w:rsidRPr="00C72333">
        <w:rPr>
          <w:rFonts w:ascii="Verdana" w:eastAsia="Arial" w:hAnsi="Verdana" w:cs="Arial"/>
          <w:sz w:val="20"/>
          <w:szCs w:val="20"/>
        </w:rPr>
        <w:t>está</w:t>
      </w:r>
      <w:r w:rsidRPr="00C72333">
        <w:rPr>
          <w:rFonts w:ascii="Verdana" w:eastAsia="Arial," w:hAnsi="Verdana" w:cs="Arial"/>
          <w:sz w:val="20"/>
          <w:szCs w:val="20"/>
        </w:rPr>
        <w:t xml:space="preserve"> </w:t>
      </w:r>
      <w:r w:rsidRPr="00C72333">
        <w:rPr>
          <w:rFonts w:ascii="Verdana" w:eastAsia="Arial" w:hAnsi="Verdana" w:cs="Arial"/>
          <w:sz w:val="20"/>
          <w:szCs w:val="20"/>
        </w:rPr>
        <w:t>suspendido</w:t>
      </w:r>
      <w:r w:rsidRPr="00C72333">
        <w:rPr>
          <w:rFonts w:ascii="Verdana" w:eastAsia="Arial," w:hAnsi="Verdana" w:cs="Arial"/>
          <w:sz w:val="20"/>
          <w:szCs w:val="20"/>
        </w:rPr>
        <w:t xml:space="preserve"> </w:t>
      </w:r>
      <w:r w:rsidRPr="00C72333">
        <w:rPr>
          <w:rFonts w:ascii="Verdana" w:eastAsia="Arial" w:hAnsi="Verdana" w:cs="Arial"/>
          <w:sz w:val="20"/>
          <w:szCs w:val="20"/>
        </w:rPr>
        <w:t>el</w:t>
      </w:r>
      <w:r w:rsidRPr="00C72333">
        <w:rPr>
          <w:rFonts w:ascii="Verdana" w:eastAsia="Arial," w:hAnsi="Verdana" w:cs="Arial"/>
          <w:sz w:val="20"/>
          <w:szCs w:val="20"/>
        </w:rPr>
        <w:t xml:space="preserve"> </w:t>
      </w:r>
      <w:r w:rsidRPr="00C72333">
        <w:rPr>
          <w:rFonts w:ascii="Verdana" w:eastAsia="Arial" w:hAnsi="Verdana" w:cs="Arial"/>
          <w:sz w:val="20"/>
          <w:szCs w:val="20"/>
        </w:rPr>
        <w:t>Proponente</w:t>
      </w:r>
      <w:r w:rsidRPr="00C72333">
        <w:rPr>
          <w:rFonts w:ascii="Verdana" w:eastAsia="Arial," w:hAnsi="Verdana" w:cs="Arial"/>
          <w:sz w:val="20"/>
          <w:szCs w:val="20"/>
        </w:rPr>
        <w:t xml:space="preserve"> </w:t>
      </w:r>
      <w:r w:rsidRPr="00C72333">
        <w:rPr>
          <w:rFonts w:ascii="Verdana" w:eastAsia="Arial" w:hAnsi="Verdana" w:cs="Arial"/>
          <w:sz w:val="20"/>
          <w:szCs w:val="20"/>
        </w:rPr>
        <w:t>debe</w:t>
      </w:r>
      <w:r w:rsidRPr="00C72333">
        <w:rPr>
          <w:rFonts w:ascii="Verdana" w:eastAsia="Arial," w:hAnsi="Verdana" w:cs="Arial"/>
          <w:sz w:val="20"/>
          <w:szCs w:val="20"/>
        </w:rPr>
        <w:t xml:space="preserve"> </w:t>
      </w:r>
      <w:r w:rsidRPr="00C72333">
        <w:rPr>
          <w:rFonts w:ascii="Verdana" w:eastAsia="Arial" w:hAnsi="Verdana" w:cs="Arial"/>
          <w:sz w:val="20"/>
          <w:szCs w:val="20"/>
        </w:rPr>
        <w:t>informar</w:t>
      </w:r>
      <w:r w:rsidRPr="00C72333">
        <w:rPr>
          <w:rFonts w:ascii="Verdana" w:eastAsia="Arial," w:hAnsi="Verdana" w:cs="Arial"/>
          <w:sz w:val="20"/>
          <w:szCs w:val="20"/>
        </w:rPr>
        <w:t xml:space="preserve"> </w:t>
      </w:r>
      <w:r w:rsidRPr="00C72333">
        <w:rPr>
          <w:rFonts w:ascii="Verdana" w:eastAsia="Arial" w:hAnsi="Verdana" w:cs="Arial"/>
          <w:sz w:val="20"/>
          <w:szCs w:val="20"/>
        </w:rPr>
        <w:t>el</w:t>
      </w:r>
      <w:r w:rsidRPr="00C72333">
        <w:rPr>
          <w:rFonts w:ascii="Verdana" w:eastAsia="Arial," w:hAnsi="Verdana" w:cs="Arial"/>
          <w:sz w:val="20"/>
          <w:szCs w:val="20"/>
        </w:rPr>
        <w:t xml:space="preserve"> </w:t>
      </w:r>
      <w:r w:rsidRPr="00C72333">
        <w:rPr>
          <w:rFonts w:ascii="Verdana" w:eastAsia="Arial" w:hAnsi="Verdana" w:cs="Arial"/>
          <w:sz w:val="20"/>
          <w:szCs w:val="20"/>
        </w:rPr>
        <w:t>saldo</w:t>
      </w:r>
      <w:r w:rsidRPr="00C72333">
        <w:rPr>
          <w:rFonts w:ascii="Verdana" w:eastAsia="Arial," w:hAnsi="Verdana" w:cs="Arial"/>
          <w:sz w:val="20"/>
          <w:szCs w:val="20"/>
        </w:rPr>
        <w:t xml:space="preserve"> </w:t>
      </w:r>
      <w:r w:rsidRPr="00C72333">
        <w:rPr>
          <w:rFonts w:ascii="Verdana" w:eastAsia="Arial" w:hAnsi="Verdana" w:cs="Arial"/>
          <w:sz w:val="20"/>
          <w:szCs w:val="20"/>
        </w:rPr>
        <w:t>pendiente</w:t>
      </w:r>
      <w:r w:rsidRPr="00C72333">
        <w:rPr>
          <w:rFonts w:ascii="Verdana" w:eastAsia="Arial," w:hAnsi="Verdana" w:cs="Arial"/>
          <w:sz w:val="20"/>
          <w:szCs w:val="20"/>
        </w:rPr>
        <w:t xml:space="preserve"> </w:t>
      </w:r>
      <w:r w:rsidRPr="00C72333">
        <w:rPr>
          <w:rFonts w:ascii="Verdana" w:eastAsia="Arial" w:hAnsi="Verdana" w:cs="Arial"/>
          <w:sz w:val="20"/>
          <w:szCs w:val="20"/>
        </w:rPr>
        <w:t>por</w:t>
      </w:r>
      <w:r w:rsidRPr="00C72333">
        <w:rPr>
          <w:rFonts w:ascii="Verdana" w:eastAsia="Arial," w:hAnsi="Verdana" w:cs="Arial"/>
          <w:sz w:val="20"/>
          <w:szCs w:val="20"/>
        </w:rPr>
        <w:t xml:space="preserve"> </w:t>
      </w:r>
      <w:r w:rsidRPr="00C72333">
        <w:rPr>
          <w:rFonts w:ascii="Verdana" w:eastAsia="Arial" w:hAnsi="Verdana" w:cs="Arial"/>
          <w:sz w:val="20"/>
          <w:szCs w:val="20"/>
        </w:rPr>
        <w:t xml:space="preserve">ejecutar. </w:t>
      </w:r>
    </w:p>
    <w:p w14:paraId="62CBBF19" w14:textId="77777777" w:rsidR="00114178" w:rsidRPr="00C72333" w:rsidRDefault="00114178" w:rsidP="00114178">
      <w:pPr>
        <w:pStyle w:val="Prrafodelista"/>
        <w:spacing w:after="120"/>
        <w:ind w:left="1134" w:right="709" w:hanging="425"/>
        <w:jc w:val="both"/>
        <w:rPr>
          <w:rFonts w:ascii="Verdana" w:hAnsi="Verdana" w:cs="Arial"/>
          <w:sz w:val="20"/>
          <w:szCs w:val="20"/>
          <w:lang w:val="es-CO"/>
        </w:rPr>
      </w:pPr>
      <w:r w:rsidRPr="00C72333">
        <w:rPr>
          <w:rFonts w:ascii="Verdana" w:eastAsia="Arial" w:hAnsi="Verdana" w:cs="Arial"/>
          <w:sz w:val="20"/>
          <w:szCs w:val="20"/>
        </w:rPr>
        <w:t xml:space="preserve">V.   </w:t>
      </w:r>
      <w:r w:rsidRPr="00C72333">
        <w:rPr>
          <w:rFonts w:ascii="Verdana" w:hAnsi="Verdana" w:cs="Arial"/>
          <w:sz w:val="20"/>
          <w:szCs w:val="20"/>
          <w:lang w:val="es-CO"/>
        </w:rPr>
        <w:t>El</w:t>
      </w:r>
      <w:r w:rsidRPr="00C72333">
        <w:rPr>
          <w:rFonts w:ascii="Verdana" w:eastAsia="Arial" w:hAnsi="Verdana" w:cs="Arial"/>
          <w:sz w:val="20"/>
          <w:szCs w:val="20"/>
          <w:lang w:val="es-CO"/>
        </w:rPr>
        <w:t xml:space="preserve"> </w:t>
      </w:r>
      <w:r w:rsidRPr="00C72333">
        <w:rPr>
          <w:rFonts w:ascii="Verdana" w:hAnsi="Verdana" w:cs="Arial"/>
          <w:sz w:val="20"/>
          <w:szCs w:val="20"/>
          <w:lang w:val="es-CO"/>
        </w:rPr>
        <w:t>cálculo</w:t>
      </w:r>
      <w:r w:rsidRPr="00C72333">
        <w:rPr>
          <w:rFonts w:ascii="Verdana" w:eastAsia="Arial" w:hAnsi="Verdana" w:cs="Arial"/>
          <w:sz w:val="20"/>
          <w:szCs w:val="20"/>
          <w:lang w:val="es-CO"/>
        </w:rPr>
        <w:t xml:space="preserve"> </w:t>
      </w:r>
      <w:r w:rsidRPr="00C72333">
        <w:rPr>
          <w:rFonts w:ascii="Verdana" w:hAnsi="Verdana" w:cs="Arial"/>
          <w:sz w:val="20"/>
          <w:szCs w:val="20"/>
          <w:lang w:val="es-CO"/>
        </w:rPr>
        <w:t>del</w:t>
      </w:r>
      <w:r w:rsidRPr="00C72333">
        <w:rPr>
          <w:rFonts w:ascii="Verdana" w:eastAsia="Arial" w:hAnsi="Verdana" w:cs="Arial"/>
          <w:sz w:val="20"/>
          <w:szCs w:val="20"/>
          <w:lang w:val="es-CO"/>
        </w:rPr>
        <w:t xml:space="preserve"> </w:t>
      </w:r>
      <w:r w:rsidRPr="00C72333">
        <w:rPr>
          <w:rFonts w:ascii="Verdana" w:hAnsi="Verdana" w:cs="Arial"/>
          <w:sz w:val="20"/>
          <w:szCs w:val="20"/>
          <w:lang w:val="es-CO"/>
        </w:rPr>
        <w:t>factor</w:t>
      </w:r>
      <w:r w:rsidRPr="00C72333">
        <w:rPr>
          <w:rFonts w:ascii="Verdana" w:eastAsia="Arial" w:hAnsi="Verdana" w:cs="Arial"/>
          <w:sz w:val="20"/>
          <w:szCs w:val="20"/>
          <w:lang w:val="es-CO"/>
        </w:rPr>
        <w:t xml:space="preserve"> </w:t>
      </w:r>
      <w:r w:rsidRPr="00C72333">
        <w:rPr>
          <w:rFonts w:ascii="Verdana" w:hAnsi="Verdana" w:cs="Arial"/>
          <w:sz w:val="20"/>
          <w:szCs w:val="20"/>
          <w:lang w:val="es-CO"/>
        </w:rPr>
        <w:t>(SCE)</w:t>
      </w:r>
      <w:r w:rsidRPr="00C72333">
        <w:rPr>
          <w:rFonts w:ascii="Verdana" w:eastAsia="Arial" w:hAnsi="Verdana" w:cs="Arial"/>
          <w:sz w:val="20"/>
          <w:szCs w:val="20"/>
          <w:lang w:val="es-CO"/>
        </w:rPr>
        <w:t xml:space="preserve"> </w:t>
      </w:r>
      <w:r w:rsidRPr="00C72333">
        <w:rPr>
          <w:rFonts w:ascii="Verdana" w:hAnsi="Verdana" w:cs="Arial"/>
          <w:sz w:val="20"/>
          <w:szCs w:val="20"/>
          <w:lang w:val="es-CO"/>
        </w:rPr>
        <w:t>debe</w:t>
      </w:r>
      <w:r w:rsidRPr="00C72333">
        <w:rPr>
          <w:rFonts w:ascii="Verdana" w:eastAsia="Arial" w:hAnsi="Verdana" w:cs="Arial"/>
          <w:sz w:val="20"/>
          <w:szCs w:val="20"/>
          <w:lang w:val="es-CO"/>
        </w:rPr>
        <w:t xml:space="preserve"> </w:t>
      </w:r>
      <w:r w:rsidRPr="00C72333">
        <w:rPr>
          <w:rFonts w:ascii="Verdana" w:hAnsi="Verdana" w:cs="Arial"/>
          <w:sz w:val="20"/>
          <w:szCs w:val="20"/>
          <w:lang w:val="es-CO"/>
        </w:rPr>
        <w:t>hacerse</w:t>
      </w:r>
      <w:r w:rsidRPr="00C72333">
        <w:rPr>
          <w:rFonts w:ascii="Verdana" w:eastAsia="Arial" w:hAnsi="Verdana" w:cs="Arial"/>
          <w:sz w:val="20"/>
          <w:szCs w:val="20"/>
          <w:lang w:val="es-CO"/>
        </w:rPr>
        <w:t xml:space="preserve"> </w:t>
      </w:r>
      <w:r w:rsidRPr="00C72333">
        <w:rPr>
          <w:rFonts w:ascii="Verdana" w:hAnsi="Verdana" w:cs="Arial"/>
          <w:sz w:val="20"/>
          <w:szCs w:val="20"/>
          <w:lang w:val="es-CO"/>
        </w:rPr>
        <w:t>linealmente</w:t>
      </w:r>
      <w:r w:rsidRPr="00C72333">
        <w:rPr>
          <w:rFonts w:ascii="Verdana" w:eastAsia="Arial" w:hAnsi="Verdana" w:cs="Arial"/>
          <w:sz w:val="20"/>
          <w:szCs w:val="20"/>
          <w:lang w:val="es-CO"/>
        </w:rPr>
        <w:t xml:space="preserve"> </w:t>
      </w:r>
      <w:r w:rsidRPr="00C72333">
        <w:rPr>
          <w:rFonts w:ascii="Verdana" w:hAnsi="Verdana" w:cs="Arial"/>
          <w:sz w:val="20"/>
          <w:szCs w:val="20"/>
          <w:lang w:val="es-CO"/>
        </w:rPr>
        <w:t>calculando</w:t>
      </w:r>
      <w:r w:rsidRPr="00C72333">
        <w:rPr>
          <w:rFonts w:ascii="Verdana" w:eastAsia="Arial" w:hAnsi="Verdana" w:cs="Arial"/>
          <w:sz w:val="20"/>
          <w:szCs w:val="20"/>
          <w:lang w:val="es-CO"/>
        </w:rPr>
        <w:t xml:space="preserve"> </w:t>
      </w:r>
      <w:r w:rsidRPr="00C72333">
        <w:rPr>
          <w:rFonts w:ascii="Verdana" w:hAnsi="Verdana" w:cs="Arial"/>
          <w:sz w:val="20"/>
          <w:szCs w:val="20"/>
          <w:lang w:val="es-CO"/>
        </w:rPr>
        <w:t>una</w:t>
      </w:r>
      <w:r w:rsidRPr="00C72333">
        <w:rPr>
          <w:rFonts w:ascii="Verdana" w:eastAsia="Arial" w:hAnsi="Verdana" w:cs="Arial"/>
          <w:sz w:val="20"/>
          <w:szCs w:val="20"/>
          <w:lang w:val="es-CO"/>
        </w:rPr>
        <w:t xml:space="preserve"> </w:t>
      </w:r>
      <w:r w:rsidRPr="00C72333">
        <w:rPr>
          <w:rFonts w:ascii="Verdana" w:hAnsi="Verdana" w:cs="Arial"/>
          <w:sz w:val="20"/>
          <w:szCs w:val="20"/>
          <w:lang w:val="es-CO"/>
        </w:rPr>
        <w:t>ejecución</w:t>
      </w:r>
      <w:r w:rsidRPr="00C72333">
        <w:rPr>
          <w:rFonts w:ascii="Verdana" w:eastAsia="Arial" w:hAnsi="Verdana" w:cs="Arial"/>
          <w:sz w:val="20"/>
          <w:szCs w:val="20"/>
          <w:lang w:val="es-CO"/>
        </w:rPr>
        <w:t xml:space="preserve"> </w:t>
      </w:r>
      <w:r w:rsidRPr="00C72333">
        <w:rPr>
          <w:rFonts w:ascii="Verdana" w:hAnsi="Verdana" w:cs="Arial"/>
          <w:sz w:val="20"/>
          <w:szCs w:val="20"/>
          <w:lang w:val="es-CO"/>
        </w:rPr>
        <w:t>diaria</w:t>
      </w:r>
      <w:r w:rsidRPr="00C72333">
        <w:rPr>
          <w:rFonts w:ascii="Verdana" w:eastAsia="Arial" w:hAnsi="Verdana" w:cs="Arial"/>
          <w:sz w:val="20"/>
          <w:szCs w:val="20"/>
          <w:lang w:val="es-CO"/>
        </w:rPr>
        <w:t xml:space="preserve"> </w:t>
      </w:r>
      <w:r w:rsidRPr="00C72333">
        <w:rPr>
          <w:rFonts w:ascii="Verdana" w:hAnsi="Verdana" w:cs="Arial"/>
          <w:sz w:val="20"/>
          <w:szCs w:val="20"/>
          <w:lang w:val="es-CO"/>
        </w:rPr>
        <w:t>equivalente</w:t>
      </w:r>
      <w:r w:rsidRPr="00C72333">
        <w:rPr>
          <w:rFonts w:ascii="Verdana" w:eastAsia="Arial" w:hAnsi="Verdana" w:cs="Arial"/>
          <w:sz w:val="20"/>
          <w:szCs w:val="20"/>
          <w:lang w:val="es-CO"/>
        </w:rPr>
        <w:t xml:space="preserve"> </w:t>
      </w:r>
      <w:r w:rsidRPr="00C72333">
        <w:rPr>
          <w:rFonts w:ascii="Verdana" w:hAnsi="Verdana" w:cs="Arial"/>
          <w:sz w:val="20"/>
          <w:szCs w:val="20"/>
          <w:lang w:val="es-CO"/>
        </w:rPr>
        <w:t>al</w:t>
      </w:r>
      <w:r w:rsidRPr="00C72333">
        <w:rPr>
          <w:rFonts w:ascii="Verdana" w:eastAsia="Arial" w:hAnsi="Verdana" w:cs="Arial"/>
          <w:sz w:val="20"/>
          <w:szCs w:val="20"/>
          <w:lang w:val="es-CO"/>
        </w:rPr>
        <w:t xml:space="preserve"> </w:t>
      </w:r>
      <w:r w:rsidRPr="00C72333">
        <w:rPr>
          <w:rFonts w:ascii="Verdana" w:hAnsi="Verdana" w:cs="Arial"/>
          <w:sz w:val="20"/>
          <w:szCs w:val="20"/>
          <w:lang w:val="es-CO"/>
        </w:rPr>
        <w:t>valor</w:t>
      </w:r>
      <w:r w:rsidRPr="00C72333">
        <w:rPr>
          <w:rFonts w:ascii="Verdana" w:eastAsia="Arial" w:hAnsi="Verdana" w:cs="Arial"/>
          <w:sz w:val="20"/>
          <w:szCs w:val="20"/>
          <w:lang w:val="es-CO"/>
        </w:rPr>
        <w:t xml:space="preserve"> </w:t>
      </w:r>
      <w:r w:rsidRPr="00C72333">
        <w:rPr>
          <w:rFonts w:ascii="Verdana" w:hAnsi="Verdana" w:cs="Arial"/>
          <w:sz w:val="20"/>
          <w:szCs w:val="20"/>
          <w:lang w:val="es-CO"/>
        </w:rPr>
        <w:t>del</w:t>
      </w:r>
      <w:r w:rsidRPr="00C72333">
        <w:rPr>
          <w:rFonts w:ascii="Verdana" w:eastAsia="Arial" w:hAnsi="Verdana" w:cs="Arial"/>
          <w:sz w:val="20"/>
          <w:szCs w:val="20"/>
          <w:lang w:val="es-CO"/>
        </w:rPr>
        <w:t xml:space="preserve"> </w:t>
      </w:r>
      <w:r w:rsidRPr="00C72333">
        <w:rPr>
          <w:rFonts w:ascii="Verdana" w:hAnsi="Verdana" w:cs="Arial"/>
          <w:sz w:val="20"/>
          <w:szCs w:val="20"/>
          <w:lang w:val="es-CO"/>
        </w:rPr>
        <w:t>contrato</w:t>
      </w:r>
      <w:r w:rsidRPr="00C72333">
        <w:rPr>
          <w:rFonts w:ascii="Verdana" w:eastAsia="Arial" w:hAnsi="Verdana" w:cs="Arial"/>
          <w:sz w:val="20"/>
          <w:szCs w:val="20"/>
          <w:lang w:val="es-CO"/>
        </w:rPr>
        <w:t xml:space="preserve"> </w:t>
      </w:r>
      <w:r w:rsidRPr="00C72333">
        <w:rPr>
          <w:rFonts w:ascii="Verdana" w:hAnsi="Verdana" w:cs="Arial"/>
          <w:sz w:val="20"/>
          <w:szCs w:val="20"/>
          <w:lang w:val="es-CO"/>
        </w:rPr>
        <w:t>dividido</w:t>
      </w:r>
      <w:r w:rsidRPr="00C72333">
        <w:rPr>
          <w:rFonts w:ascii="Verdana" w:eastAsia="Arial" w:hAnsi="Verdana" w:cs="Arial"/>
          <w:sz w:val="20"/>
          <w:szCs w:val="20"/>
          <w:lang w:val="es-CO"/>
        </w:rPr>
        <w:t xml:space="preserve"> </w:t>
      </w:r>
      <w:r w:rsidRPr="00C72333">
        <w:rPr>
          <w:rFonts w:ascii="Verdana" w:hAnsi="Verdana" w:cs="Arial"/>
          <w:sz w:val="20"/>
          <w:szCs w:val="20"/>
          <w:lang w:val="es-CO"/>
        </w:rPr>
        <w:t>por</w:t>
      </w:r>
      <w:r w:rsidRPr="00C72333">
        <w:rPr>
          <w:rFonts w:ascii="Verdana" w:eastAsia="Arial" w:hAnsi="Verdana" w:cs="Arial"/>
          <w:sz w:val="20"/>
          <w:szCs w:val="20"/>
          <w:lang w:val="es-CO"/>
        </w:rPr>
        <w:t xml:space="preserve"> </w:t>
      </w:r>
      <w:r w:rsidRPr="00C72333">
        <w:rPr>
          <w:rFonts w:ascii="Verdana" w:hAnsi="Verdana" w:cs="Arial"/>
          <w:sz w:val="20"/>
          <w:szCs w:val="20"/>
          <w:lang w:val="es-CO"/>
        </w:rPr>
        <w:t>el</w:t>
      </w:r>
      <w:r w:rsidRPr="00C72333">
        <w:rPr>
          <w:rFonts w:ascii="Verdana" w:eastAsia="Arial" w:hAnsi="Verdana" w:cs="Arial"/>
          <w:sz w:val="20"/>
          <w:szCs w:val="20"/>
          <w:lang w:val="es-CO"/>
        </w:rPr>
        <w:t xml:space="preserve"> </w:t>
      </w:r>
      <w:r w:rsidRPr="00C72333">
        <w:rPr>
          <w:rFonts w:ascii="Verdana" w:hAnsi="Verdana" w:cs="Arial"/>
          <w:sz w:val="20"/>
          <w:szCs w:val="20"/>
          <w:lang w:val="es-CO"/>
        </w:rPr>
        <w:t>plazo</w:t>
      </w:r>
      <w:r w:rsidRPr="00C72333">
        <w:rPr>
          <w:rFonts w:ascii="Verdana" w:eastAsia="Arial" w:hAnsi="Verdana" w:cs="Arial"/>
          <w:sz w:val="20"/>
          <w:szCs w:val="20"/>
          <w:lang w:val="es-CO"/>
        </w:rPr>
        <w:t xml:space="preserve"> </w:t>
      </w:r>
      <w:r w:rsidRPr="00C72333">
        <w:rPr>
          <w:rFonts w:ascii="Verdana" w:hAnsi="Verdana" w:cs="Arial"/>
          <w:sz w:val="20"/>
          <w:szCs w:val="20"/>
          <w:lang w:val="es-CO"/>
        </w:rPr>
        <w:t>del</w:t>
      </w:r>
      <w:r w:rsidRPr="00C72333">
        <w:rPr>
          <w:rFonts w:ascii="Verdana" w:eastAsia="Arial" w:hAnsi="Verdana" w:cs="Arial"/>
          <w:sz w:val="20"/>
          <w:szCs w:val="20"/>
          <w:lang w:val="es-CO"/>
        </w:rPr>
        <w:t xml:space="preserve"> </w:t>
      </w:r>
      <w:r w:rsidRPr="00C72333">
        <w:rPr>
          <w:rFonts w:ascii="Verdana" w:hAnsi="Verdana" w:cs="Arial"/>
          <w:sz w:val="20"/>
          <w:szCs w:val="20"/>
          <w:lang w:val="es-CO"/>
        </w:rPr>
        <w:t>contrato</w:t>
      </w:r>
      <w:r w:rsidRPr="00C72333">
        <w:rPr>
          <w:rFonts w:ascii="Verdana" w:eastAsia="Arial" w:hAnsi="Verdana" w:cs="Arial"/>
          <w:sz w:val="20"/>
          <w:szCs w:val="20"/>
          <w:lang w:val="es-CO"/>
        </w:rPr>
        <w:t xml:space="preserve"> </w:t>
      </w:r>
      <w:r w:rsidRPr="00C72333">
        <w:rPr>
          <w:rFonts w:ascii="Verdana" w:hAnsi="Verdana" w:cs="Arial"/>
          <w:sz w:val="20"/>
          <w:szCs w:val="20"/>
          <w:lang w:val="es-CO"/>
        </w:rPr>
        <w:t>expresado</w:t>
      </w:r>
      <w:r w:rsidRPr="00C72333">
        <w:rPr>
          <w:rFonts w:ascii="Verdana" w:eastAsia="Arial" w:hAnsi="Verdana" w:cs="Arial"/>
          <w:sz w:val="20"/>
          <w:szCs w:val="20"/>
          <w:lang w:val="es-CO"/>
        </w:rPr>
        <w:t xml:space="preserve"> </w:t>
      </w:r>
      <w:r w:rsidRPr="00C72333">
        <w:rPr>
          <w:rFonts w:ascii="Verdana" w:hAnsi="Verdana" w:cs="Arial"/>
          <w:sz w:val="20"/>
          <w:szCs w:val="20"/>
          <w:lang w:val="es-CO"/>
        </w:rPr>
        <w:t>en</w:t>
      </w:r>
      <w:r w:rsidRPr="00C72333">
        <w:rPr>
          <w:rFonts w:ascii="Verdana" w:eastAsia="Arial" w:hAnsi="Verdana" w:cs="Arial"/>
          <w:sz w:val="20"/>
          <w:szCs w:val="20"/>
          <w:lang w:val="es-CO"/>
        </w:rPr>
        <w:t xml:space="preserve"> </w:t>
      </w:r>
      <w:r w:rsidRPr="00C72333">
        <w:rPr>
          <w:rFonts w:ascii="Verdana" w:hAnsi="Verdana" w:cs="Arial"/>
          <w:sz w:val="20"/>
          <w:szCs w:val="20"/>
          <w:lang w:val="es-CO"/>
        </w:rPr>
        <w:t>días.</w:t>
      </w:r>
      <w:r w:rsidRPr="00C72333">
        <w:rPr>
          <w:rFonts w:ascii="Verdana" w:eastAsia="Arial" w:hAnsi="Verdana" w:cs="Arial"/>
          <w:sz w:val="20"/>
          <w:szCs w:val="20"/>
          <w:lang w:val="es-CO"/>
        </w:rPr>
        <w:t xml:space="preserve"> </w:t>
      </w:r>
      <w:r w:rsidRPr="00C72333">
        <w:rPr>
          <w:rFonts w:ascii="Verdana" w:hAnsi="Verdana" w:cs="Arial"/>
          <w:sz w:val="20"/>
          <w:szCs w:val="20"/>
          <w:lang w:val="es-CO"/>
        </w:rPr>
        <w:t>Este</w:t>
      </w:r>
      <w:r w:rsidRPr="00C72333">
        <w:rPr>
          <w:rFonts w:ascii="Verdana" w:eastAsia="Arial" w:hAnsi="Verdana" w:cs="Arial"/>
          <w:sz w:val="20"/>
          <w:szCs w:val="20"/>
          <w:lang w:val="es-CO"/>
        </w:rPr>
        <w:t xml:space="preserve"> </w:t>
      </w:r>
      <w:r w:rsidRPr="00C72333">
        <w:rPr>
          <w:rFonts w:ascii="Verdana" w:hAnsi="Verdana" w:cs="Arial"/>
          <w:sz w:val="20"/>
          <w:szCs w:val="20"/>
          <w:lang w:val="es-CO"/>
        </w:rPr>
        <w:t>resultado</w:t>
      </w:r>
      <w:r w:rsidRPr="00C72333">
        <w:rPr>
          <w:rFonts w:ascii="Verdana" w:eastAsia="Arial" w:hAnsi="Verdana" w:cs="Arial"/>
          <w:sz w:val="20"/>
          <w:szCs w:val="20"/>
          <w:lang w:val="es-CO"/>
        </w:rPr>
        <w:t xml:space="preserve"> </w:t>
      </w:r>
      <w:r w:rsidRPr="00C72333">
        <w:rPr>
          <w:rFonts w:ascii="Verdana" w:hAnsi="Verdana" w:cs="Arial"/>
          <w:sz w:val="20"/>
          <w:szCs w:val="20"/>
          <w:lang w:val="es-CO"/>
        </w:rPr>
        <w:t>se</w:t>
      </w:r>
      <w:r w:rsidRPr="00C72333">
        <w:rPr>
          <w:rFonts w:ascii="Verdana" w:eastAsia="Arial" w:hAnsi="Verdana" w:cs="Arial"/>
          <w:sz w:val="20"/>
          <w:szCs w:val="20"/>
          <w:lang w:val="es-CO"/>
        </w:rPr>
        <w:t xml:space="preserve"> </w:t>
      </w:r>
      <w:r w:rsidRPr="00C72333">
        <w:rPr>
          <w:rFonts w:ascii="Verdana" w:hAnsi="Verdana" w:cs="Arial"/>
          <w:sz w:val="20"/>
          <w:szCs w:val="20"/>
          <w:lang w:val="es-CO"/>
        </w:rPr>
        <w:t>multiplica</w:t>
      </w:r>
      <w:r w:rsidRPr="00C72333">
        <w:rPr>
          <w:rFonts w:ascii="Verdana" w:eastAsia="Arial" w:hAnsi="Verdana" w:cs="Arial"/>
          <w:sz w:val="20"/>
          <w:szCs w:val="20"/>
          <w:lang w:val="es-CO"/>
        </w:rPr>
        <w:t xml:space="preserve"> </w:t>
      </w:r>
      <w:r w:rsidRPr="00C72333">
        <w:rPr>
          <w:rFonts w:ascii="Verdana" w:hAnsi="Verdana" w:cs="Arial"/>
          <w:sz w:val="20"/>
          <w:szCs w:val="20"/>
          <w:lang w:val="es-CO"/>
        </w:rPr>
        <w:t>por</w:t>
      </w:r>
      <w:r w:rsidRPr="00C72333">
        <w:rPr>
          <w:rFonts w:ascii="Verdana" w:eastAsia="Arial" w:hAnsi="Verdana" w:cs="Arial"/>
          <w:sz w:val="20"/>
          <w:szCs w:val="20"/>
          <w:lang w:val="es-CO"/>
        </w:rPr>
        <w:t xml:space="preserve"> </w:t>
      </w:r>
      <w:r w:rsidRPr="00C72333">
        <w:rPr>
          <w:rFonts w:ascii="Verdana" w:hAnsi="Verdana" w:cs="Arial"/>
          <w:sz w:val="20"/>
          <w:szCs w:val="20"/>
          <w:lang w:val="es-CO"/>
        </w:rPr>
        <w:t>el</w:t>
      </w:r>
      <w:r w:rsidRPr="00C72333">
        <w:rPr>
          <w:rFonts w:ascii="Verdana" w:eastAsia="Arial" w:hAnsi="Verdana" w:cs="Arial"/>
          <w:sz w:val="20"/>
          <w:szCs w:val="20"/>
          <w:lang w:val="es-CO"/>
        </w:rPr>
        <w:t xml:space="preserve"> </w:t>
      </w:r>
      <w:r w:rsidRPr="00C72333">
        <w:rPr>
          <w:rFonts w:ascii="Verdana" w:hAnsi="Verdana" w:cs="Arial"/>
          <w:sz w:val="20"/>
          <w:szCs w:val="20"/>
          <w:lang w:val="es-CO"/>
        </w:rPr>
        <w:t>número</w:t>
      </w:r>
      <w:r w:rsidRPr="00C72333">
        <w:rPr>
          <w:rFonts w:ascii="Verdana" w:eastAsia="Arial" w:hAnsi="Verdana" w:cs="Arial"/>
          <w:sz w:val="20"/>
          <w:szCs w:val="20"/>
          <w:lang w:val="es-CO"/>
        </w:rPr>
        <w:t xml:space="preserve"> </w:t>
      </w:r>
      <w:r w:rsidRPr="00C72333">
        <w:rPr>
          <w:rFonts w:ascii="Verdana" w:hAnsi="Verdana" w:cs="Arial"/>
          <w:sz w:val="20"/>
          <w:szCs w:val="20"/>
          <w:lang w:val="es-CO"/>
        </w:rPr>
        <w:t>de</w:t>
      </w:r>
      <w:r w:rsidRPr="00C72333">
        <w:rPr>
          <w:rFonts w:ascii="Verdana" w:eastAsia="Arial" w:hAnsi="Verdana" w:cs="Arial"/>
          <w:sz w:val="20"/>
          <w:szCs w:val="20"/>
          <w:lang w:val="es-CO"/>
        </w:rPr>
        <w:t xml:space="preserve"> </w:t>
      </w:r>
      <w:r w:rsidRPr="00C72333">
        <w:rPr>
          <w:rFonts w:ascii="Verdana" w:hAnsi="Verdana" w:cs="Arial"/>
          <w:sz w:val="20"/>
          <w:szCs w:val="20"/>
          <w:lang w:val="es-CO"/>
        </w:rPr>
        <w:t>días</w:t>
      </w:r>
      <w:r w:rsidRPr="00C72333">
        <w:rPr>
          <w:rFonts w:ascii="Verdana" w:eastAsia="Arial" w:hAnsi="Verdana" w:cs="Arial"/>
          <w:sz w:val="20"/>
          <w:szCs w:val="20"/>
          <w:lang w:val="es-CO"/>
        </w:rPr>
        <w:t xml:space="preserve"> </w:t>
      </w:r>
      <w:r w:rsidRPr="00C72333">
        <w:rPr>
          <w:rFonts w:ascii="Verdana" w:hAnsi="Verdana" w:cs="Arial"/>
          <w:sz w:val="20"/>
          <w:szCs w:val="20"/>
          <w:lang w:val="es-CO"/>
        </w:rPr>
        <w:t>pendientes</w:t>
      </w:r>
      <w:r w:rsidRPr="00C72333">
        <w:rPr>
          <w:rFonts w:ascii="Verdana" w:eastAsia="Arial" w:hAnsi="Verdana" w:cs="Arial"/>
          <w:sz w:val="20"/>
          <w:szCs w:val="20"/>
          <w:lang w:val="es-CO"/>
        </w:rPr>
        <w:t xml:space="preserve"> </w:t>
      </w:r>
      <w:r w:rsidRPr="00C72333">
        <w:rPr>
          <w:rFonts w:ascii="Verdana" w:hAnsi="Verdana" w:cs="Arial"/>
          <w:sz w:val="20"/>
          <w:szCs w:val="20"/>
          <w:lang w:val="es-CO"/>
        </w:rPr>
        <w:t>para</w:t>
      </w:r>
      <w:r w:rsidRPr="00C72333">
        <w:rPr>
          <w:rFonts w:ascii="Verdana" w:eastAsia="Arial" w:hAnsi="Verdana" w:cs="Arial"/>
          <w:sz w:val="20"/>
          <w:szCs w:val="20"/>
          <w:lang w:val="es-CO"/>
        </w:rPr>
        <w:t xml:space="preserve"> </w:t>
      </w:r>
      <w:r w:rsidRPr="00C72333">
        <w:rPr>
          <w:rFonts w:ascii="Verdana" w:hAnsi="Verdana" w:cs="Arial"/>
          <w:sz w:val="20"/>
          <w:szCs w:val="20"/>
          <w:lang w:val="es-CO"/>
        </w:rPr>
        <w:t>cumplir</w:t>
      </w:r>
      <w:r w:rsidRPr="00C72333">
        <w:rPr>
          <w:rFonts w:ascii="Verdana" w:eastAsia="Arial" w:hAnsi="Verdana" w:cs="Arial"/>
          <w:sz w:val="20"/>
          <w:szCs w:val="20"/>
          <w:lang w:val="es-CO"/>
        </w:rPr>
        <w:t xml:space="preserve"> </w:t>
      </w:r>
      <w:r w:rsidRPr="00C72333">
        <w:rPr>
          <w:rFonts w:ascii="Verdana" w:hAnsi="Verdana" w:cs="Arial"/>
          <w:sz w:val="20"/>
          <w:szCs w:val="20"/>
          <w:lang w:val="es-CO"/>
        </w:rPr>
        <w:t>el</w:t>
      </w:r>
      <w:r w:rsidRPr="00C72333">
        <w:rPr>
          <w:rFonts w:ascii="Verdana" w:eastAsia="Arial" w:hAnsi="Verdana" w:cs="Arial"/>
          <w:sz w:val="20"/>
          <w:szCs w:val="20"/>
          <w:lang w:val="es-CO"/>
        </w:rPr>
        <w:t xml:space="preserve"> </w:t>
      </w:r>
      <w:r w:rsidRPr="00C72333">
        <w:rPr>
          <w:rFonts w:ascii="Verdana" w:hAnsi="Verdana" w:cs="Arial"/>
          <w:sz w:val="20"/>
          <w:szCs w:val="20"/>
          <w:lang w:val="es-CO"/>
        </w:rPr>
        <w:t>plazo</w:t>
      </w:r>
      <w:r w:rsidRPr="00C72333">
        <w:rPr>
          <w:rFonts w:ascii="Verdana" w:eastAsia="Arial" w:hAnsi="Verdana" w:cs="Arial"/>
          <w:sz w:val="20"/>
          <w:szCs w:val="20"/>
          <w:lang w:val="es-CO"/>
        </w:rPr>
        <w:t xml:space="preserve"> </w:t>
      </w:r>
      <w:r w:rsidRPr="00C72333">
        <w:rPr>
          <w:rFonts w:ascii="Verdana" w:hAnsi="Verdana" w:cs="Arial"/>
          <w:sz w:val="20"/>
          <w:szCs w:val="20"/>
          <w:lang w:val="es-CO"/>
        </w:rPr>
        <w:t>del</w:t>
      </w:r>
      <w:r w:rsidRPr="00C72333">
        <w:rPr>
          <w:rFonts w:ascii="Verdana" w:eastAsia="Arial" w:hAnsi="Verdana" w:cs="Arial"/>
          <w:sz w:val="20"/>
          <w:szCs w:val="20"/>
          <w:lang w:val="es-CO"/>
        </w:rPr>
        <w:t xml:space="preserve"> </w:t>
      </w:r>
      <w:r w:rsidRPr="00C72333">
        <w:rPr>
          <w:rFonts w:ascii="Verdana" w:hAnsi="Verdana" w:cs="Arial"/>
          <w:sz w:val="20"/>
          <w:szCs w:val="20"/>
          <w:lang w:val="es-CO"/>
        </w:rPr>
        <w:t>contrato</w:t>
      </w:r>
      <w:r w:rsidRPr="00C72333">
        <w:rPr>
          <w:rFonts w:ascii="Verdana" w:eastAsia="Arial" w:hAnsi="Verdana" w:cs="Arial"/>
          <w:sz w:val="20"/>
          <w:szCs w:val="20"/>
          <w:lang w:val="es-CO"/>
        </w:rPr>
        <w:t xml:space="preserve"> </w:t>
      </w:r>
      <w:r w:rsidRPr="00C72333">
        <w:rPr>
          <w:rFonts w:ascii="Verdana" w:hAnsi="Verdana" w:cs="Arial"/>
          <w:sz w:val="20"/>
          <w:szCs w:val="20"/>
          <w:lang w:val="es-CO"/>
        </w:rPr>
        <w:t>y</w:t>
      </w:r>
      <w:r w:rsidRPr="00C72333">
        <w:rPr>
          <w:rFonts w:ascii="Verdana" w:eastAsia="Arial" w:hAnsi="Verdana" w:cs="Arial"/>
          <w:sz w:val="20"/>
          <w:szCs w:val="20"/>
          <w:lang w:val="es-CO"/>
        </w:rPr>
        <w:t xml:space="preserve"> </w:t>
      </w:r>
      <w:r w:rsidRPr="00C72333">
        <w:rPr>
          <w:rFonts w:ascii="Verdana" w:hAnsi="Verdana" w:cs="Arial"/>
          <w:sz w:val="20"/>
          <w:szCs w:val="20"/>
          <w:lang w:val="es-CO"/>
        </w:rPr>
        <w:t>si</w:t>
      </w:r>
      <w:r w:rsidRPr="00C72333">
        <w:rPr>
          <w:rFonts w:ascii="Verdana" w:eastAsia="Arial" w:hAnsi="Verdana" w:cs="Arial"/>
          <w:sz w:val="20"/>
          <w:szCs w:val="20"/>
          <w:lang w:val="es-CO"/>
        </w:rPr>
        <w:t xml:space="preserve"> </w:t>
      </w:r>
      <w:r w:rsidRPr="00C72333">
        <w:rPr>
          <w:rFonts w:ascii="Verdana" w:hAnsi="Verdana" w:cs="Arial"/>
          <w:sz w:val="20"/>
          <w:szCs w:val="20"/>
          <w:lang w:val="es-CO"/>
        </w:rPr>
        <w:t>el</w:t>
      </w:r>
      <w:r w:rsidRPr="00C72333">
        <w:rPr>
          <w:rFonts w:ascii="Verdana" w:eastAsia="Arial" w:hAnsi="Verdana" w:cs="Arial"/>
          <w:sz w:val="20"/>
          <w:szCs w:val="20"/>
          <w:lang w:val="es-CO"/>
        </w:rPr>
        <w:t xml:space="preserve"> </w:t>
      </w:r>
      <w:r w:rsidRPr="00C72333">
        <w:rPr>
          <w:rFonts w:ascii="Verdana" w:hAnsi="Verdana" w:cs="Arial"/>
          <w:sz w:val="20"/>
          <w:szCs w:val="20"/>
          <w:lang w:val="es-CO"/>
        </w:rPr>
        <w:t>contrato</w:t>
      </w:r>
      <w:r w:rsidRPr="00C72333">
        <w:rPr>
          <w:rFonts w:ascii="Verdana" w:eastAsia="Arial" w:hAnsi="Verdana" w:cs="Arial"/>
          <w:sz w:val="20"/>
          <w:szCs w:val="20"/>
          <w:lang w:val="es-CO"/>
        </w:rPr>
        <w:t xml:space="preserve"> </w:t>
      </w:r>
      <w:r w:rsidRPr="00C72333">
        <w:rPr>
          <w:rFonts w:ascii="Verdana" w:hAnsi="Verdana" w:cs="Arial"/>
          <w:sz w:val="20"/>
          <w:szCs w:val="20"/>
          <w:lang w:val="es-CO"/>
        </w:rPr>
        <w:t>es</w:t>
      </w:r>
      <w:r w:rsidRPr="00C72333">
        <w:rPr>
          <w:rFonts w:ascii="Verdana" w:eastAsia="Arial" w:hAnsi="Verdana" w:cs="Arial"/>
          <w:sz w:val="20"/>
          <w:szCs w:val="20"/>
          <w:lang w:val="es-CO"/>
        </w:rPr>
        <w:t xml:space="preserve"> </w:t>
      </w:r>
      <w:r w:rsidRPr="00C72333">
        <w:rPr>
          <w:rFonts w:ascii="Verdana" w:hAnsi="Verdana" w:cs="Arial"/>
          <w:sz w:val="20"/>
          <w:szCs w:val="20"/>
          <w:lang w:val="es-CO"/>
        </w:rPr>
        <w:t>ejecutado</w:t>
      </w:r>
      <w:r w:rsidRPr="00C72333">
        <w:rPr>
          <w:rFonts w:ascii="Verdana" w:eastAsia="Arial" w:hAnsi="Verdana" w:cs="Arial"/>
          <w:sz w:val="20"/>
          <w:szCs w:val="20"/>
          <w:lang w:val="es-CO"/>
        </w:rPr>
        <w:t xml:space="preserve"> </w:t>
      </w:r>
      <w:r w:rsidRPr="00C72333">
        <w:rPr>
          <w:rFonts w:ascii="Verdana" w:hAnsi="Verdana" w:cs="Arial"/>
          <w:sz w:val="20"/>
          <w:szCs w:val="20"/>
          <w:lang w:val="es-CO"/>
        </w:rPr>
        <w:t>por</w:t>
      </w:r>
      <w:r w:rsidRPr="00C72333">
        <w:rPr>
          <w:rFonts w:ascii="Verdana" w:eastAsia="Arial" w:hAnsi="Verdana" w:cs="Arial"/>
          <w:sz w:val="20"/>
          <w:szCs w:val="20"/>
          <w:lang w:val="es-CO"/>
        </w:rPr>
        <w:t xml:space="preserve"> </w:t>
      </w:r>
      <w:r w:rsidRPr="00C72333">
        <w:rPr>
          <w:rFonts w:ascii="Verdana" w:hAnsi="Verdana" w:cs="Arial"/>
          <w:sz w:val="20"/>
          <w:szCs w:val="20"/>
          <w:lang w:val="es-CO"/>
        </w:rPr>
        <w:t>una estructura plural</w:t>
      </w:r>
      <w:r w:rsidRPr="00C72333">
        <w:rPr>
          <w:rFonts w:ascii="Verdana" w:eastAsia="Arial" w:hAnsi="Verdana" w:cs="Arial"/>
          <w:sz w:val="20"/>
          <w:szCs w:val="20"/>
          <w:lang w:val="es-CO"/>
        </w:rPr>
        <w:t xml:space="preserve"> </w:t>
      </w:r>
      <w:r w:rsidRPr="00C72333">
        <w:rPr>
          <w:rFonts w:ascii="Verdana" w:hAnsi="Verdana" w:cs="Arial"/>
          <w:sz w:val="20"/>
          <w:szCs w:val="20"/>
          <w:lang w:val="es-CO"/>
        </w:rPr>
        <w:t>por</w:t>
      </w:r>
      <w:r w:rsidRPr="00C72333">
        <w:rPr>
          <w:rFonts w:ascii="Verdana" w:eastAsia="Arial" w:hAnsi="Verdana" w:cs="Arial"/>
          <w:sz w:val="20"/>
          <w:szCs w:val="20"/>
          <w:lang w:val="es-CO"/>
        </w:rPr>
        <w:t xml:space="preserve"> </w:t>
      </w:r>
      <w:r w:rsidRPr="00C72333">
        <w:rPr>
          <w:rFonts w:ascii="Verdana" w:hAnsi="Verdana" w:cs="Arial"/>
          <w:sz w:val="20"/>
          <w:szCs w:val="20"/>
          <w:lang w:val="es-CO"/>
        </w:rPr>
        <w:t>la</w:t>
      </w:r>
      <w:r w:rsidRPr="00C72333">
        <w:rPr>
          <w:rFonts w:ascii="Verdana" w:eastAsia="Arial" w:hAnsi="Verdana" w:cs="Arial"/>
          <w:sz w:val="20"/>
          <w:szCs w:val="20"/>
          <w:lang w:val="es-CO"/>
        </w:rPr>
        <w:t xml:space="preserve"> </w:t>
      </w:r>
      <w:r w:rsidRPr="00C72333">
        <w:rPr>
          <w:rFonts w:ascii="Verdana" w:hAnsi="Verdana" w:cs="Arial"/>
          <w:sz w:val="20"/>
          <w:szCs w:val="20"/>
          <w:lang w:val="es-CO"/>
        </w:rPr>
        <w:t>participación</w:t>
      </w:r>
      <w:r w:rsidRPr="00C72333">
        <w:rPr>
          <w:rFonts w:ascii="Verdana" w:eastAsia="Arial" w:hAnsi="Verdana" w:cs="Arial"/>
          <w:sz w:val="20"/>
          <w:szCs w:val="20"/>
          <w:lang w:val="es-CO"/>
        </w:rPr>
        <w:t xml:space="preserve"> </w:t>
      </w:r>
      <w:r w:rsidRPr="00C72333">
        <w:rPr>
          <w:rFonts w:ascii="Verdana" w:hAnsi="Verdana" w:cs="Arial"/>
          <w:sz w:val="20"/>
          <w:szCs w:val="20"/>
          <w:lang w:val="es-CO"/>
        </w:rPr>
        <w:t>del</w:t>
      </w:r>
      <w:r w:rsidRPr="00C72333">
        <w:rPr>
          <w:rFonts w:ascii="Verdana" w:eastAsia="Arial" w:hAnsi="Verdana" w:cs="Arial"/>
          <w:sz w:val="20"/>
          <w:szCs w:val="20"/>
          <w:lang w:val="es-CO"/>
        </w:rPr>
        <w:t xml:space="preserve"> </w:t>
      </w:r>
      <w:r w:rsidRPr="00C72333">
        <w:rPr>
          <w:rFonts w:ascii="Verdana" w:hAnsi="Verdana" w:cs="Arial"/>
          <w:sz w:val="20"/>
          <w:szCs w:val="20"/>
          <w:lang w:val="es-CO"/>
        </w:rPr>
        <w:t>Proponente</w:t>
      </w:r>
      <w:r w:rsidRPr="00C72333">
        <w:rPr>
          <w:rFonts w:ascii="Verdana" w:eastAsia="Arial" w:hAnsi="Verdana" w:cs="Arial"/>
          <w:sz w:val="20"/>
          <w:szCs w:val="20"/>
          <w:lang w:val="es-CO"/>
        </w:rPr>
        <w:t xml:space="preserve"> </w:t>
      </w:r>
      <w:r w:rsidRPr="00C72333">
        <w:rPr>
          <w:rFonts w:ascii="Verdana" w:hAnsi="Verdana" w:cs="Arial"/>
          <w:sz w:val="20"/>
          <w:szCs w:val="20"/>
          <w:lang w:val="es-CO"/>
        </w:rPr>
        <w:t>en</w:t>
      </w:r>
      <w:r w:rsidRPr="00C72333">
        <w:rPr>
          <w:rFonts w:ascii="Verdana" w:eastAsia="Arial" w:hAnsi="Verdana" w:cs="Arial"/>
          <w:sz w:val="20"/>
          <w:szCs w:val="20"/>
          <w:lang w:val="es-CO"/>
        </w:rPr>
        <w:t xml:space="preserve"> </w:t>
      </w:r>
      <w:r w:rsidRPr="00C72333">
        <w:rPr>
          <w:rFonts w:ascii="Verdana" w:hAnsi="Verdana" w:cs="Arial"/>
          <w:sz w:val="20"/>
          <w:szCs w:val="20"/>
          <w:lang w:val="es-CO"/>
        </w:rPr>
        <w:t xml:space="preserve">la respectiva estructura. </w:t>
      </w:r>
    </w:p>
    <w:p w14:paraId="3D6F12B3" w14:textId="77777777" w:rsidR="00114178" w:rsidRPr="00A6508B" w:rsidRDefault="00114178" w:rsidP="00114178">
      <w:pPr>
        <w:pStyle w:val="Prrafodelista"/>
        <w:spacing w:after="120" w:line="240" w:lineRule="auto"/>
        <w:ind w:left="1134" w:right="709" w:hanging="425"/>
        <w:jc w:val="both"/>
        <w:rPr>
          <w:rFonts w:ascii="Verdana" w:hAnsi="Verdana" w:cs="Arial"/>
          <w:sz w:val="12"/>
          <w:szCs w:val="12"/>
          <w:lang w:val="es-CO"/>
        </w:rPr>
      </w:pPr>
    </w:p>
    <w:p w14:paraId="692D3717" w14:textId="77777777" w:rsidR="00114178" w:rsidRPr="00324EE2" w:rsidRDefault="00114178" w:rsidP="00114178">
      <w:pPr>
        <w:pStyle w:val="Prrafodelista"/>
        <w:spacing w:line="276" w:lineRule="auto"/>
        <w:ind w:left="0" w:firstLine="708"/>
        <w:jc w:val="both"/>
        <w:rPr>
          <w:rFonts w:ascii="Verdana" w:eastAsia="Arial," w:hAnsi="Verdana" w:cs="Arial"/>
          <w:sz w:val="21"/>
          <w:szCs w:val="21"/>
        </w:rPr>
      </w:pPr>
      <w:r w:rsidRPr="00C72333">
        <w:rPr>
          <w:rFonts w:ascii="Verdana" w:eastAsia="Arial," w:hAnsi="Verdana" w:cs="Arial"/>
          <w:sz w:val="20"/>
          <w:szCs w:val="20"/>
        </w:rPr>
        <w:t>[…]”.</w:t>
      </w:r>
    </w:p>
    <w:p w14:paraId="06A753F0" w14:textId="77777777" w:rsidR="00114178" w:rsidRPr="00324EE2" w:rsidRDefault="00114178" w:rsidP="00114178">
      <w:pPr>
        <w:pStyle w:val="Prrafodelista"/>
        <w:spacing w:after="0" w:line="276" w:lineRule="auto"/>
        <w:ind w:left="0" w:firstLine="708"/>
        <w:jc w:val="both"/>
        <w:rPr>
          <w:rFonts w:ascii="Verdana" w:eastAsia="Arial," w:hAnsi="Verdana" w:cs="Arial"/>
        </w:rPr>
      </w:pPr>
    </w:p>
    <w:p w14:paraId="5C4BC4D9" w14:textId="77777777" w:rsidR="00114178" w:rsidRDefault="00114178" w:rsidP="00114178">
      <w:pPr>
        <w:spacing w:after="120" w:line="276" w:lineRule="auto"/>
        <w:ind w:firstLine="709"/>
        <w:jc w:val="both"/>
        <w:rPr>
          <w:rFonts w:ascii="Verdana" w:hAnsi="Verdana" w:cs="Arial"/>
          <w:szCs w:val="20"/>
          <w:lang w:val="es-MX"/>
        </w:rPr>
      </w:pPr>
      <w:r w:rsidRPr="00324EE2">
        <w:rPr>
          <w:rFonts w:ascii="Verdana" w:eastAsia="Arial," w:hAnsi="Verdana" w:cs="Arial"/>
        </w:rPr>
        <w:lastRenderedPageBreak/>
        <w:t xml:space="preserve">Como se aprecia, los apartados transcritos del documento base están en armonía con lo dispuesto en la </w:t>
      </w:r>
      <w:r w:rsidRPr="00324EE2">
        <w:rPr>
          <w:rFonts w:ascii="Verdana" w:hAnsi="Verdana" w:cs="Arial"/>
        </w:rPr>
        <w:t xml:space="preserve">Guía para Determinar y Verificar la Capacidad Residual del Proponente en los Procesos de Contratación de Obra Pública, y se refieren a los contratos de obras civiles en ejecución, incluyendo a los contratos suspendidos y los que no tienen acta de inicio. Lo expuesto es congruente con </w:t>
      </w:r>
      <w:r w:rsidRPr="00324EE2">
        <w:rPr>
          <w:rFonts w:ascii="Verdana" w:eastAsia="Calibri" w:hAnsi="Verdana" w:cs="Arial"/>
          <w:color w:val="000000" w:themeColor="text1"/>
          <w:lang w:val="es-MX"/>
        </w:rPr>
        <w:t xml:space="preserve">el artículo 2.2.1.1.1.6.4 del Decreto 1082 de 2015, en virtud del cual, para efectos de </w:t>
      </w:r>
      <w:r w:rsidRPr="00324EE2">
        <w:rPr>
          <w:rFonts w:ascii="Verdana" w:hAnsi="Verdana" w:cs="Arial"/>
          <w:szCs w:val="20"/>
          <w:lang w:val="es-MX"/>
        </w:rPr>
        <w:t>acreditar la capacidad residual del proponente, se requiere el listado de contratos de obra civiles en ejecución suscritos con entidades estatales y con entidades privadas.</w:t>
      </w:r>
    </w:p>
    <w:p w14:paraId="61CBAE8B" w14:textId="77777777" w:rsidR="00114178" w:rsidRDefault="00114178" w:rsidP="00114178">
      <w:pPr>
        <w:spacing w:after="120" w:line="276" w:lineRule="auto"/>
        <w:ind w:firstLine="709"/>
        <w:jc w:val="both"/>
        <w:rPr>
          <w:rFonts w:ascii="Verdana" w:hAnsi="Verdana" w:cs="Arial"/>
          <w:szCs w:val="20"/>
          <w:lang w:val="es-MX"/>
        </w:rPr>
      </w:pPr>
      <w:r>
        <w:rPr>
          <w:rFonts w:ascii="Verdana" w:hAnsi="Verdana" w:cs="Arial"/>
          <w:szCs w:val="20"/>
          <w:lang w:val="es-MX"/>
        </w:rPr>
        <w:t>E</w:t>
      </w:r>
      <w:r w:rsidRPr="000E648F">
        <w:rPr>
          <w:rFonts w:ascii="Verdana" w:hAnsi="Verdana" w:cs="Arial"/>
          <w:szCs w:val="20"/>
          <w:lang w:val="es-MX"/>
        </w:rPr>
        <w:t>l artículo 32, numeral 1, de la Ley 80 de 1993</w:t>
      </w:r>
      <w:r>
        <w:rPr>
          <w:rFonts w:ascii="Verdana" w:hAnsi="Verdana" w:cs="Arial"/>
          <w:szCs w:val="20"/>
          <w:lang w:val="es-MX"/>
        </w:rPr>
        <w:t xml:space="preserve"> dispone que</w:t>
      </w:r>
      <w:r w:rsidRPr="000E648F">
        <w:rPr>
          <w:rFonts w:ascii="Verdana" w:hAnsi="Verdana" w:cs="Arial"/>
          <w:szCs w:val="20"/>
          <w:lang w:val="es-MX"/>
        </w:rPr>
        <w:t xml:space="preserve"> “Son contratos de obra</w:t>
      </w:r>
      <w:r>
        <w:rPr>
          <w:rFonts w:ascii="Verdana" w:hAnsi="Verdana" w:cs="Arial"/>
          <w:szCs w:val="20"/>
          <w:lang w:val="es-MX"/>
        </w:rPr>
        <w:t xml:space="preserve"> [pública]</w:t>
      </w:r>
      <w:r w:rsidRPr="000E648F">
        <w:rPr>
          <w:rFonts w:ascii="Verdana" w:hAnsi="Verdana" w:cs="Arial"/>
          <w:szCs w:val="20"/>
          <w:lang w:val="es-MX"/>
        </w:rPr>
        <w:t xml:space="preserve"> los que celebren las entidades estatales para la construcción, mantenimiento, instalación y, en general, para la realización de cualquier otro trabajo material sobre bienes inmuebles, cualquiera que sea la modalidad de ejecución y pago”</w:t>
      </w:r>
      <w:r>
        <w:rPr>
          <w:rFonts w:ascii="Verdana" w:hAnsi="Verdana" w:cs="Arial"/>
          <w:szCs w:val="20"/>
          <w:lang w:val="es-MX"/>
        </w:rPr>
        <w:t xml:space="preserve"> (Corchetes fuera de texto)</w:t>
      </w:r>
      <w:r w:rsidRPr="000E648F">
        <w:rPr>
          <w:rFonts w:ascii="Verdana" w:hAnsi="Verdana" w:cs="Arial"/>
          <w:szCs w:val="20"/>
          <w:lang w:val="es-MX"/>
        </w:rPr>
        <w:t>. En esta perspectiva, si la actividad realizada cumple con esta definición, el contrato corresponderá esta tipología.</w:t>
      </w:r>
      <w:r>
        <w:rPr>
          <w:rFonts w:ascii="Verdana" w:hAnsi="Verdana" w:cs="Arial"/>
          <w:szCs w:val="20"/>
          <w:lang w:val="es-MX"/>
        </w:rPr>
        <w:t xml:space="preserve"> En contraste, conforme</w:t>
      </w:r>
      <w:r w:rsidRPr="000E648F">
        <w:rPr>
          <w:rFonts w:ascii="Verdana" w:hAnsi="Verdana" w:cs="Arial"/>
          <w:szCs w:val="20"/>
          <w:lang w:val="es-MX"/>
        </w:rPr>
        <w:t xml:space="preserve"> </w:t>
      </w:r>
      <w:r>
        <w:rPr>
          <w:rFonts w:ascii="Verdana" w:hAnsi="Verdana" w:cs="Arial"/>
          <w:szCs w:val="20"/>
          <w:lang w:val="es-MX"/>
        </w:rPr>
        <w:t>a</w:t>
      </w:r>
      <w:r w:rsidRPr="000E648F">
        <w:rPr>
          <w:rFonts w:ascii="Verdana" w:hAnsi="Verdana" w:cs="Arial"/>
          <w:szCs w:val="20"/>
          <w:lang w:val="es-MX"/>
        </w:rPr>
        <w:t xml:space="preserve"> la guía</w:t>
      </w:r>
      <w:r>
        <w:rPr>
          <w:rFonts w:ascii="Verdana" w:hAnsi="Verdana" w:cs="Arial"/>
          <w:szCs w:val="20"/>
          <w:lang w:val="es-MX"/>
        </w:rPr>
        <w:t xml:space="preserve"> citada </w:t>
      </w:r>
      <w:r w:rsidRPr="000E648F">
        <w:rPr>
          <w:rFonts w:ascii="Verdana" w:hAnsi="Verdana" w:cs="Arial"/>
          <w:i/>
          <w:iCs/>
          <w:szCs w:val="20"/>
          <w:lang w:val="es-MX"/>
        </w:rPr>
        <w:t>ut supra</w:t>
      </w:r>
      <w:r w:rsidRPr="000E648F">
        <w:rPr>
          <w:rFonts w:ascii="Verdana" w:hAnsi="Verdana" w:cs="Arial"/>
          <w:szCs w:val="20"/>
          <w:lang w:val="es-MX"/>
        </w:rPr>
        <w:t>, los contratos en ejecución son aquellos</w:t>
      </w:r>
      <w:r>
        <w:rPr>
          <w:rFonts w:ascii="Verdana" w:hAnsi="Verdana" w:cs="Arial"/>
          <w:szCs w:val="20"/>
          <w:lang w:val="es-MX"/>
        </w:rPr>
        <w:t xml:space="preserve"> que</w:t>
      </w:r>
      <w:r w:rsidRPr="000E648F">
        <w:rPr>
          <w:rFonts w:ascii="Verdana" w:hAnsi="Verdana" w:cs="Arial"/>
          <w:szCs w:val="20"/>
          <w:lang w:val="es-MX"/>
        </w:rPr>
        <w:t xml:space="preserve"> “[…] a la fecha de presentación de la oferta obligan al proponente con Entidades Estatales y con entidades privadas para ejecutar obras civiles […]”.</w:t>
      </w:r>
    </w:p>
    <w:p w14:paraId="5DF3F20C" w14:textId="77777777" w:rsidR="00114178" w:rsidRPr="00773E4E" w:rsidRDefault="00114178" w:rsidP="00114178">
      <w:pPr>
        <w:spacing w:after="0" w:line="276" w:lineRule="auto"/>
        <w:ind w:firstLine="709"/>
        <w:jc w:val="both"/>
        <w:rPr>
          <w:rFonts w:ascii="Verdana" w:hAnsi="Verdana" w:cs="Arial"/>
          <w:szCs w:val="20"/>
          <w:lang w:val="es-MX"/>
        </w:rPr>
      </w:pPr>
      <w:r>
        <w:rPr>
          <w:rFonts w:ascii="Verdana" w:hAnsi="Verdana" w:cs="Arial"/>
          <w:szCs w:val="20"/>
          <w:lang w:val="es-MX"/>
        </w:rPr>
        <w:t>L</w:t>
      </w:r>
      <w:r w:rsidRPr="00C1226B">
        <w:rPr>
          <w:rFonts w:ascii="Verdana" w:hAnsi="Verdana" w:cs="Arial"/>
          <w:szCs w:val="20"/>
          <w:lang w:val="es-MX"/>
        </w:rPr>
        <w:t>as normas de derecho privado –a diferencia del EGCAP– no definen el contrato</w:t>
      </w:r>
      <w:r>
        <w:rPr>
          <w:rFonts w:ascii="Verdana" w:hAnsi="Verdana" w:cs="Arial"/>
          <w:szCs w:val="20"/>
          <w:lang w:val="es-MX"/>
        </w:rPr>
        <w:t xml:space="preserve"> de obra. </w:t>
      </w:r>
      <w:r w:rsidRPr="00C1226B">
        <w:rPr>
          <w:rFonts w:ascii="Verdana" w:hAnsi="Verdana" w:cs="Arial"/>
          <w:szCs w:val="20"/>
          <w:lang w:val="es-MX"/>
        </w:rPr>
        <w:t xml:space="preserve">A lo sumo, como una especie de arrendamiento, el Código Civil regula desde una perspectiva general aquellos negocios suscritos para la confección de una obra material, sin perjuicio de establecer reglas especiales para construcción de edificios en </w:t>
      </w:r>
      <w:r>
        <w:rPr>
          <w:rFonts w:ascii="Verdana" w:hAnsi="Verdana" w:cs="Arial"/>
          <w:szCs w:val="20"/>
          <w:lang w:val="es-MX"/>
        </w:rPr>
        <w:t>los</w:t>
      </w:r>
      <w:r w:rsidRPr="00C1226B">
        <w:rPr>
          <w:rFonts w:ascii="Verdana" w:hAnsi="Verdana" w:cs="Arial"/>
          <w:szCs w:val="20"/>
          <w:lang w:val="es-MX"/>
        </w:rPr>
        <w:t xml:space="preserve"> artículo</w:t>
      </w:r>
      <w:r>
        <w:rPr>
          <w:rFonts w:ascii="Verdana" w:hAnsi="Verdana" w:cs="Arial"/>
          <w:szCs w:val="20"/>
          <w:lang w:val="es-MX"/>
        </w:rPr>
        <w:t>s</w:t>
      </w:r>
      <w:r w:rsidRPr="00C1226B">
        <w:rPr>
          <w:rFonts w:ascii="Verdana" w:hAnsi="Verdana" w:cs="Arial"/>
          <w:szCs w:val="20"/>
          <w:lang w:val="es-MX"/>
        </w:rPr>
        <w:t xml:space="preserve"> 2060</w:t>
      </w:r>
      <w:r>
        <w:rPr>
          <w:rFonts w:ascii="Verdana" w:hAnsi="Verdana" w:cs="Arial"/>
          <w:szCs w:val="20"/>
          <w:lang w:val="es-MX"/>
        </w:rPr>
        <w:t xml:space="preserve"> y 2061</w:t>
      </w:r>
      <w:r w:rsidRPr="00C1226B">
        <w:rPr>
          <w:rFonts w:ascii="Verdana" w:hAnsi="Verdana" w:cs="Arial"/>
          <w:szCs w:val="20"/>
          <w:lang w:val="es-MX"/>
        </w:rPr>
        <w:t>.</w:t>
      </w:r>
      <w:r>
        <w:rPr>
          <w:rFonts w:ascii="Verdana" w:hAnsi="Verdana" w:cs="Arial"/>
          <w:szCs w:val="20"/>
          <w:lang w:val="es-MX"/>
        </w:rPr>
        <w:t xml:space="preserve"> E</w:t>
      </w:r>
      <w:r w:rsidRPr="418CF8A0">
        <w:rPr>
          <w:rFonts w:ascii="Verdana" w:eastAsia="Calibri" w:hAnsi="Verdana" w:cs="Arial"/>
          <w:color w:val="000000" w:themeColor="text1"/>
          <w:lang w:val="es-ES" w:eastAsia="es-ES" w:bidi="es-ES"/>
        </w:rPr>
        <w:t>l artículo 2053 del Código Civil lo tipifica como una de las clases de arrendamiento, y establece reglas para diferenciarlo de la compraventa, para lo cual dispone que “Si al artífice suministra la materia para la confección de una obra material, el contrato es de venta; pero no se perfecciona sino por la aprobación del que ordenó la obra”</w:t>
      </w:r>
      <w:r>
        <w:rPr>
          <w:rFonts w:ascii="Verdana" w:eastAsia="Calibri" w:hAnsi="Verdana" w:cs="Arial"/>
          <w:color w:val="000000" w:themeColor="text1"/>
          <w:lang w:val="es-ES" w:eastAsia="es-ES" w:bidi="es-ES"/>
        </w:rPr>
        <w:t>. P</w:t>
      </w:r>
      <w:r w:rsidRPr="418CF8A0">
        <w:rPr>
          <w:rFonts w:ascii="Verdana" w:eastAsia="Calibri" w:hAnsi="Verdana" w:cs="Arial"/>
          <w:color w:val="000000" w:themeColor="text1"/>
          <w:lang w:val="es-ES" w:eastAsia="es-ES" w:bidi="es-ES"/>
        </w:rPr>
        <w:t>or el contrario, “Si la materia es suministrada por la persona que encargó la obra, el contrato es de arrendamiento”; pero “Si la materia principal es suministrada por el que ha ordenado la obra, poniendo el artífice lo demás, el contrato es de arrendamiento; en el caso contrario, de venta”.</w:t>
      </w:r>
      <w:r>
        <w:rPr>
          <w:rFonts w:ascii="Verdana" w:eastAsia="Calibri" w:hAnsi="Verdana" w:cs="Arial"/>
          <w:color w:val="000000" w:themeColor="text1"/>
          <w:lang w:val="es-ES" w:eastAsia="es-ES" w:bidi="es-ES"/>
        </w:rPr>
        <w:t xml:space="preserve"> </w:t>
      </w:r>
      <w:r w:rsidRPr="418CF8A0">
        <w:rPr>
          <w:rFonts w:ascii="Verdana" w:eastAsia="Calibri" w:hAnsi="Verdana" w:cs="Arial"/>
          <w:color w:val="000000" w:themeColor="text1"/>
          <w:lang w:val="es-ES" w:eastAsia="es-ES" w:bidi="es-ES"/>
        </w:rPr>
        <w:t>Así, la doctrina considera que:</w:t>
      </w:r>
    </w:p>
    <w:p w14:paraId="7299913F" w14:textId="77777777" w:rsidR="00114178" w:rsidRPr="00EC5368" w:rsidRDefault="00114178" w:rsidP="00114178">
      <w:pPr>
        <w:widowControl w:val="0"/>
        <w:autoSpaceDE w:val="0"/>
        <w:autoSpaceDN w:val="0"/>
        <w:spacing w:after="0" w:line="276" w:lineRule="auto"/>
        <w:ind w:firstLine="708"/>
        <w:jc w:val="both"/>
        <w:rPr>
          <w:rFonts w:ascii="Verdana" w:eastAsia="Calibri" w:hAnsi="Verdana" w:cs="Arial"/>
          <w:color w:val="000000"/>
          <w:lang w:val="es-ES_tradnl" w:eastAsia="es-ES" w:bidi="es-ES"/>
        </w:rPr>
      </w:pPr>
    </w:p>
    <w:p w14:paraId="08660464" w14:textId="77777777" w:rsidR="00114178" w:rsidRPr="009A3C7D" w:rsidRDefault="00114178" w:rsidP="00114178">
      <w:pPr>
        <w:widowControl w:val="0"/>
        <w:autoSpaceDE w:val="0"/>
        <w:autoSpaceDN w:val="0"/>
        <w:spacing w:after="120" w:line="240" w:lineRule="auto"/>
        <w:ind w:left="709" w:right="709"/>
        <w:jc w:val="both"/>
        <w:rPr>
          <w:rFonts w:ascii="Verdana" w:eastAsia="Calibri" w:hAnsi="Verdana" w:cs="Arial"/>
          <w:color w:val="000000"/>
          <w:sz w:val="20"/>
          <w:szCs w:val="20"/>
          <w:lang w:val="es-ES_tradnl" w:eastAsia="es-ES" w:bidi="es-ES"/>
        </w:rPr>
      </w:pPr>
      <w:r w:rsidRPr="009A3C7D">
        <w:rPr>
          <w:rFonts w:ascii="Verdana" w:eastAsia="Calibri" w:hAnsi="Verdana" w:cs="Arial"/>
          <w:color w:val="000000"/>
          <w:sz w:val="20"/>
          <w:szCs w:val="20"/>
          <w:lang w:val="es-ES_tradnl" w:eastAsia="es-ES" w:bidi="es-ES"/>
        </w:rPr>
        <w:t xml:space="preserve">“Puede definirse el arrendamiento de obra o contrato de confección de obra material como aquél por el cual una persona llamada artífice, se </w:t>
      </w:r>
      <w:r w:rsidRPr="009A3C7D">
        <w:rPr>
          <w:rFonts w:ascii="Verdana" w:eastAsia="Calibri" w:hAnsi="Verdana" w:cs="Arial"/>
          <w:color w:val="000000"/>
          <w:sz w:val="20"/>
          <w:szCs w:val="20"/>
          <w:lang w:val="es-ES_tradnl" w:eastAsia="es-ES" w:bidi="es-ES"/>
        </w:rPr>
        <w:lastRenderedPageBreak/>
        <w:t>obliga, mediante cierto precio, a ejecutar una obra material. Los elementos de este contrato, fuera del consentimiento indispensable en todo contrato, son la ejecución de la obra y el precio.</w:t>
      </w:r>
    </w:p>
    <w:p w14:paraId="4CC33663" w14:textId="77777777" w:rsidR="00114178" w:rsidRPr="00EC5368" w:rsidRDefault="00114178" w:rsidP="00114178">
      <w:pPr>
        <w:widowControl w:val="0"/>
        <w:autoSpaceDE w:val="0"/>
        <w:autoSpaceDN w:val="0"/>
        <w:spacing w:before="120" w:after="0" w:line="240" w:lineRule="auto"/>
        <w:ind w:left="709" w:right="709"/>
        <w:jc w:val="both"/>
        <w:rPr>
          <w:rFonts w:ascii="Verdana" w:eastAsia="Calibri" w:hAnsi="Verdana" w:cs="Arial"/>
          <w:color w:val="000000"/>
          <w:sz w:val="21"/>
          <w:szCs w:val="21"/>
          <w:lang w:val="es-ES_tradnl" w:eastAsia="es-ES" w:bidi="es-ES"/>
        </w:rPr>
      </w:pPr>
      <w:r w:rsidRPr="009A3C7D">
        <w:rPr>
          <w:rFonts w:ascii="Verdana" w:eastAsia="Calibri" w:hAnsi="Verdana" w:cs="Arial"/>
          <w:color w:val="000000"/>
          <w:sz w:val="20"/>
          <w:szCs w:val="20"/>
          <w:lang w:val="es-ES_tradnl" w:eastAsia="es-ES" w:bidi="es-ES"/>
        </w:rPr>
        <w:t>Así como en el arrendamiento de cosas, el arrendador es obligado a suministrar el goce de la cosa, en el arrendamiento de obras es obligado a la ejecución de una obra material; mediante este contrato, el arrendador va a poner su trabajo al servicio de otro para transformar una sustancia en una obra nueva, que puede ser mueble o inmueble; cabe dentro de este contrato los más variados trabajos: el del sastre, del carpintero, del arquitecto, del ingeniero, etc. Lo que caracteriza entonces este contrato es que se haga una obra nueva con una sustancia mediante la transformación de ella por el trabajo del hombre”</w:t>
      </w:r>
      <w:r w:rsidRPr="009A3C7D">
        <w:rPr>
          <w:rFonts w:ascii="Verdana" w:eastAsia="Calibri" w:hAnsi="Verdana" w:cs="Arial"/>
          <w:color w:val="000000"/>
          <w:sz w:val="20"/>
          <w:szCs w:val="20"/>
          <w:vertAlign w:val="superscript"/>
          <w:lang w:val="es-ES_tradnl" w:eastAsia="es-ES" w:bidi="es-ES"/>
        </w:rPr>
        <w:footnoteReference w:id="4"/>
      </w:r>
      <w:r w:rsidRPr="009A3C7D">
        <w:rPr>
          <w:rFonts w:ascii="Verdana" w:eastAsia="Calibri" w:hAnsi="Verdana" w:cs="Arial"/>
          <w:color w:val="000000"/>
          <w:sz w:val="20"/>
          <w:szCs w:val="20"/>
          <w:lang w:val="es-ES_tradnl" w:eastAsia="es-ES" w:bidi="es-ES"/>
        </w:rPr>
        <w:t>.</w:t>
      </w:r>
      <w:r w:rsidRPr="00EC5368">
        <w:rPr>
          <w:rFonts w:ascii="Verdana" w:eastAsia="Calibri" w:hAnsi="Verdana" w:cs="Arial"/>
          <w:color w:val="000000"/>
          <w:sz w:val="21"/>
          <w:szCs w:val="21"/>
          <w:lang w:val="es-ES_tradnl" w:eastAsia="es-ES" w:bidi="es-ES"/>
        </w:rPr>
        <w:t xml:space="preserve">  </w:t>
      </w:r>
    </w:p>
    <w:p w14:paraId="780A476F" w14:textId="77777777" w:rsidR="00114178" w:rsidRPr="006E15C6" w:rsidRDefault="00114178" w:rsidP="00114178">
      <w:pPr>
        <w:widowControl w:val="0"/>
        <w:autoSpaceDE w:val="0"/>
        <w:autoSpaceDN w:val="0"/>
        <w:spacing w:after="0" w:line="276" w:lineRule="auto"/>
        <w:ind w:left="709" w:right="709"/>
        <w:jc w:val="both"/>
        <w:rPr>
          <w:rFonts w:ascii="Verdana" w:eastAsia="Calibri" w:hAnsi="Verdana" w:cs="Arial"/>
          <w:color w:val="000000"/>
          <w:lang w:val="es-ES_tradnl" w:eastAsia="es-ES" w:bidi="es-ES"/>
        </w:rPr>
      </w:pPr>
      <w:r w:rsidRPr="00EC5368">
        <w:rPr>
          <w:rFonts w:ascii="Verdana" w:eastAsia="Calibri" w:hAnsi="Verdana" w:cs="Arial"/>
          <w:color w:val="000000"/>
          <w:sz w:val="21"/>
          <w:szCs w:val="21"/>
          <w:lang w:val="es-ES_tradnl" w:eastAsia="es-ES" w:bidi="es-ES"/>
        </w:rPr>
        <w:t xml:space="preserve">    </w:t>
      </w:r>
    </w:p>
    <w:p w14:paraId="3D635480" w14:textId="77777777" w:rsidR="00114178" w:rsidRDefault="00114178" w:rsidP="00114178">
      <w:pPr>
        <w:spacing w:after="0" w:line="276" w:lineRule="auto"/>
        <w:ind w:firstLine="709"/>
        <w:jc w:val="both"/>
        <w:rPr>
          <w:rFonts w:ascii="Verdana" w:eastAsia="Calibri" w:hAnsi="Verdana" w:cs="Arial"/>
          <w:color w:val="000000"/>
          <w:lang w:val="es-ES_tradnl" w:eastAsia="es-ES" w:bidi="es-ES"/>
        </w:rPr>
      </w:pPr>
      <w:r>
        <w:rPr>
          <w:rFonts w:ascii="Verdana" w:eastAsia="Calibri" w:hAnsi="Verdana" w:cs="Arial"/>
          <w:color w:val="000000"/>
          <w:lang w:val="es-ES_tradnl" w:eastAsia="es-ES" w:bidi="es-ES"/>
        </w:rPr>
        <w:t xml:space="preserve">No obstante, el contrato es diferente a su objeto: aunque los productos del sastre y el carpintero son </w:t>
      </w:r>
      <w:r w:rsidRPr="007067D5">
        <w:rPr>
          <w:rFonts w:ascii="Verdana" w:eastAsia="Calibri" w:hAnsi="Verdana" w:cs="Arial"/>
          <w:i/>
          <w:iCs/>
          <w:color w:val="000000"/>
          <w:lang w:val="es-ES_tradnl" w:eastAsia="es-ES" w:bidi="es-ES"/>
        </w:rPr>
        <w:t>obras materiales</w:t>
      </w:r>
      <w:r>
        <w:rPr>
          <w:rFonts w:ascii="Verdana" w:eastAsia="Calibri" w:hAnsi="Verdana" w:cs="Arial"/>
          <w:color w:val="000000"/>
          <w:lang w:val="es-ES_tradnl" w:eastAsia="es-ES" w:bidi="es-ES"/>
        </w:rPr>
        <w:t xml:space="preserve">, un traje o una silla no tienen la connotación de </w:t>
      </w:r>
      <w:r w:rsidRPr="007067D5">
        <w:rPr>
          <w:rFonts w:ascii="Verdana" w:eastAsia="Calibri" w:hAnsi="Verdana" w:cs="Arial"/>
          <w:i/>
          <w:iCs/>
          <w:color w:val="000000"/>
          <w:lang w:val="es-ES_tradnl" w:eastAsia="es-ES" w:bidi="es-ES"/>
        </w:rPr>
        <w:t>obras civiles</w:t>
      </w:r>
      <w:r>
        <w:rPr>
          <w:rFonts w:ascii="Verdana" w:eastAsia="Calibri" w:hAnsi="Verdana" w:cs="Arial"/>
          <w:color w:val="000000"/>
          <w:lang w:val="es-ES_tradnl" w:eastAsia="es-ES" w:bidi="es-ES"/>
        </w:rPr>
        <w:t>. E</w:t>
      </w:r>
      <w:r w:rsidRPr="00EC5368">
        <w:rPr>
          <w:rFonts w:ascii="Verdana" w:eastAsia="Calibri" w:hAnsi="Verdana" w:cs="Arial"/>
          <w:color w:val="000000"/>
          <w:lang w:val="es-ES_tradnl" w:eastAsia="es-ES" w:bidi="es-ES"/>
        </w:rPr>
        <w:t xml:space="preserve">n </w:t>
      </w:r>
      <w:r w:rsidRPr="009A3C7D">
        <w:rPr>
          <w:rFonts w:ascii="Verdana" w:eastAsia="Calibri" w:hAnsi="Verdana" w:cs="Arial"/>
          <w:color w:val="000000"/>
          <w:lang w:val="es-ES_tradnl" w:eastAsia="es-ES" w:bidi="es-ES"/>
        </w:rPr>
        <w:t>sentido amplio</w:t>
      </w:r>
      <w:r w:rsidRPr="00EC5368">
        <w:rPr>
          <w:rFonts w:ascii="Verdana" w:eastAsia="Calibri" w:hAnsi="Verdana" w:cs="Arial"/>
          <w:color w:val="000000"/>
          <w:lang w:val="es-ES_tradnl" w:eastAsia="es-ES" w:bidi="es-ES"/>
        </w:rPr>
        <w:t>, la “obra” es un bien que crea la actividad humana</w:t>
      </w:r>
      <w:r>
        <w:rPr>
          <w:rFonts w:ascii="Verdana" w:eastAsia="Calibri" w:hAnsi="Verdana" w:cs="Arial"/>
          <w:color w:val="000000"/>
          <w:lang w:val="es-ES_tradnl" w:eastAsia="es-ES" w:bidi="es-ES"/>
        </w:rPr>
        <w:t xml:space="preserve">. Tiene el carácter de pública </w:t>
      </w:r>
      <w:r w:rsidRPr="00461044">
        <w:rPr>
          <w:rFonts w:ascii="Verdana" w:eastAsia="Calibri" w:hAnsi="Verdana" w:cs="Arial"/>
          <w:color w:val="000000"/>
          <w:lang w:val="es-ES_tradnl" w:eastAsia="es-ES" w:bidi="es-ES"/>
        </w:rPr>
        <w:t>aquell</w:t>
      </w:r>
      <w:r>
        <w:rPr>
          <w:rFonts w:ascii="Verdana" w:eastAsia="Calibri" w:hAnsi="Verdana" w:cs="Arial"/>
          <w:color w:val="000000"/>
          <w:lang w:val="es-ES_tradnl" w:eastAsia="es-ES" w:bidi="es-ES"/>
        </w:rPr>
        <w:t xml:space="preserve">os </w:t>
      </w:r>
      <w:r w:rsidRPr="009639BD">
        <w:rPr>
          <w:rFonts w:ascii="Verdana" w:eastAsia="Calibri" w:hAnsi="Verdana" w:cs="Arial"/>
          <w:color w:val="000000"/>
          <w:lang w:val="es-ES_tradnl" w:eastAsia="es-ES" w:bidi="es-ES"/>
        </w:rPr>
        <w:t>trabajo</w:t>
      </w:r>
      <w:r>
        <w:rPr>
          <w:rFonts w:ascii="Verdana" w:eastAsia="Calibri" w:hAnsi="Verdana" w:cs="Arial"/>
          <w:color w:val="000000"/>
          <w:lang w:val="es-ES_tradnl" w:eastAsia="es-ES" w:bidi="es-ES"/>
        </w:rPr>
        <w:t>s</w:t>
      </w:r>
      <w:r w:rsidRPr="009639BD">
        <w:rPr>
          <w:rFonts w:ascii="Verdana" w:eastAsia="Calibri" w:hAnsi="Verdana" w:cs="Arial"/>
          <w:color w:val="000000"/>
          <w:lang w:val="es-ES_tradnl" w:eastAsia="es-ES" w:bidi="es-ES"/>
        </w:rPr>
        <w:t xml:space="preserve"> material</w:t>
      </w:r>
      <w:r>
        <w:rPr>
          <w:rFonts w:ascii="Verdana" w:eastAsia="Calibri" w:hAnsi="Verdana" w:cs="Arial"/>
          <w:color w:val="000000"/>
          <w:lang w:val="es-ES_tradnl" w:eastAsia="es-ES" w:bidi="es-ES"/>
        </w:rPr>
        <w:t>es</w:t>
      </w:r>
      <w:r w:rsidRPr="009639BD">
        <w:rPr>
          <w:rFonts w:ascii="Verdana" w:eastAsia="Calibri" w:hAnsi="Verdana" w:cs="Arial"/>
          <w:color w:val="000000"/>
          <w:lang w:val="es-ES_tradnl" w:eastAsia="es-ES" w:bidi="es-ES"/>
        </w:rPr>
        <w:t xml:space="preserve"> sobre inmuebles </w:t>
      </w:r>
      <w:r w:rsidRPr="00461044">
        <w:rPr>
          <w:rFonts w:ascii="Verdana" w:eastAsia="Calibri" w:hAnsi="Verdana" w:cs="Arial"/>
          <w:color w:val="000000"/>
          <w:lang w:val="es-ES_tradnl" w:eastAsia="es-ES" w:bidi="es-ES"/>
        </w:rPr>
        <w:t>financiad</w:t>
      </w:r>
      <w:r>
        <w:rPr>
          <w:rFonts w:ascii="Verdana" w:eastAsia="Calibri" w:hAnsi="Verdana" w:cs="Arial"/>
          <w:color w:val="000000"/>
          <w:lang w:val="es-ES_tradnl" w:eastAsia="es-ES" w:bidi="es-ES"/>
        </w:rPr>
        <w:t>os</w:t>
      </w:r>
      <w:r w:rsidRPr="00461044">
        <w:rPr>
          <w:rFonts w:ascii="Verdana" w:eastAsia="Calibri" w:hAnsi="Verdana" w:cs="Arial"/>
          <w:color w:val="000000"/>
          <w:lang w:val="es-ES_tradnl" w:eastAsia="es-ES" w:bidi="es-ES"/>
        </w:rPr>
        <w:t xml:space="preserve"> y contratad</w:t>
      </w:r>
      <w:r>
        <w:rPr>
          <w:rFonts w:ascii="Verdana" w:eastAsia="Calibri" w:hAnsi="Verdana" w:cs="Arial"/>
          <w:color w:val="000000"/>
          <w:lang w:val="es-ES_tradnl" w:eastAsia="es-ES" w:bidi="es-ES"/>
        </w:rPr>
        <w:t>os</w:t>
      </w:r>
      <w:r w:rsidRPr="00461044">
        <w:rPr>
          <w:rFonts w:ascii="Verdana" w:eastAsia="Calibri" w:hAnsi="Verdana" w:cs="Arial"/>
          <w:color w:val="000000"/>
          <w:lang w:val="es-ES_tradnl" w:eastAsia="es-ES" w:bidi="es-ES"/>
        </w:rPr>
        <w:t xml:space="preserve"> por el Estado bajo las normas de contratación estatal. </w:t>
      </w:r>
      <w:r>
        <w:rPr>
          <w:rFonts w:ascii="Verdana" w:eastAsia="Calibri" w:hAnsi="Verdana" w:cs="Arial"/>
          <w:color w:val="000000"/>
          <w:lang w:val="es-ES_tradnl" w:eastAsia="es-ES" w:bidi="es-ES"/>
        </w:rPr>
        <w:t>No obstante</w:t>
      </w:r>
      <w:r w:rsidRPr="00461044">
        <w:rPr>
          <w:rFonts w:ascii="Verdana" w:eastAsia="Calibri" w:hAnsi="Verdana" w:cs="Arial"/>
          <w:color w:val="000000"/>
          <w:lang w:val="es-ES_tradnl" w:eastAsia="es-ES" w:bidi="es-ES"/>
        </w:rPr>
        <w:t>,</w:t>
      </w:r>
      <w:r>
        <w:rPr>
          <w:rFonts w:ascii="Verdana" w:eastAsia="Calibri" w:hAnsi="Verdana" w:cs="Arial"/>
          <w:color w:val="000000"/>
          <w:lang w:val="es-ES_tradnl" w:eastAsia="es-ES" w:bidi="es-ES"/>
        </w:rPr>
        <w:t xml:space="preserve"> bajo los parámetros del artículo 29 de la Ley 84 de 1873,</w:t>
      </w:r>
      <w:r w:rsidRPr="00461044">
        <w:rPr>
          <w:rFonts w:ascii="Verdana" w:eastAsia="Calibri" w:hAnsi="Verdana" w:cs="Arial"/>
          <w:color w:val="000000"/>
          <w:lang w:val="es-ES_tradnl" w:eastAsia="es-ES" w:bidi="es-ES"/>
        </w:rPr>
        <w:t xml:space="preserve"> la obra civil es un término técnico que engloba cualquier tipo de infraestructura y puede ser tanto de origen público como privado</w:t>
      </w:r>
      <w:r>
        <w:rPr>
          <w:rStyle w:val="Refdenotaalpie"/>
          <w:rFonts w:ascii="Verdana" w:eastAsia="Calibri" w:hAnsi="Verdana" w:cs="Arial"/>
          <w:color w:val="000000"/>
          <w:lang w:val="es-ES_tradnl" w:eastAsia="es-ES" w:bidi="es-ES"/>
        </w:rPr>
        <w:footnoteReference w:id="5"/>
      </w:r>
      <w:r>
        <w:rPr>
          <w:rFonts w:ascii="Verdana" w:eastAsia="Calibri" w:hAnsi="Verdana" w:cs="Arial"/>
          <w:color w:val="000000"/>
          <w:lang w:val="es-ES_tradnl" w:eastAsia="es-ES" w:bidi="es-ES"/>
        </w:rPr>
        <w:t>. Considerando de que “</w:t>
      </w:r>
      <w:r w:rsidRPr="00024B75">
        <w:rPr>
          <w:rFonts w:ascii="Verdana" w:eastAsia="Calibri" w:hAnsi="Verdana" w:cs="Arial"/>
          <w:color w:val="000000"/>
          <w:lang w:val="es-ES_tradnl" w:eastAsia="es-ES" w:bidi="es-ES"/>
        </w:rPr>
        <w:t>Las empresas de obras o construcciones, reparaciones, montajes, instalaciones u ornamentaciones</w:t>
      </w:r>
      <w:r>
        <w:rPr>
          <w:rFonts w:ascii="Verdana" w:eastAsia="Calibri" w:hAnsi="Verdana" w:cs="Arial"/>
          <w:color w:val="000000"/>
          <w:lang w:val="es-ES_tradnl" w:eastAsia="es-ES" w:bidi="es-ES"/>
        </w:rPr>
        <w:t>” tienen carácter mercantil conforme al artículo 20.15 del Código de Comercio, la doctrina anota que:</w:t>
      </w:r>
    </w:p>
    <w:p w14:paraId="26AD90FD" w14:textId="77777777" w:rsidR="00114178" w:rsidRDefault="00114178" w:rsidP="00114178">
      <w:pPr>
        <w:spacing w:after="0" w:line="276" w:lineRule="auto"/>
        <w:ind w:firstLine="709"/>
        <w:jc w:val="both"/>
        <w:rPr>
          <w:rFonts w:ascii="Verdana" w:eastAsia="Calibri" w:hAnsi="Verdana" w:cs="Arial"/>
          <w:color w:val="000000"/>
          <w:lang w:val="es-ES_tradnl" w:eastAsia="es-ES" w:bidi="es-ES"/>
        </w:rPr>
      </w:pPr>
    </w:p>
    <w:p w14:paraId="6B9FEF42" w14:textId="77777777" w:rsidR="00114178" w:rsidRPr="002850E8" w:rsidRDefault="00114178" w:rsidP="00114178">
      <w:pPr>
        <w:spacing w:after="120" w:line="240" w:lineRule="auto"/>
        <w:ind w:left="709" w:right="709"/>
        <w:jc w:val="both"/>
        <w:rPr>
          <w:rFonts w:ascii="Verdana" w:eastAsia="Calibri" w:hAnsi="Verdana" w:cs="Arial"/>
          <w:color w:val="000000"/>
          <w:sz w:val="20"/>
          <w:szCs w:val="20"/>
          <w:lang w:val="es-ES_tradnl" w:eastAsia="es-ES" w:bidi="es-ES"/>
        </w:rPr>
      </w:pPr>
      <w:r w:rsidRPr="002850E8">
        <w:rPr>
          <w:rFonts w:ascii="Verdana" w:eastAsia="Calibri" w:hAnsi="Verdana" w:cs="Arial"/>
          <w:color w:val="000000"/>
          <w:sz w:val="20"/>
          <w:szCs w:val="20"/>
          <w:lang w:val="es-ES_tradnl" w:eastAsia="es-ES" w:bidi="es-ES"/>
        </w:rPr>
        <w:t xml:space="preserve">“Si bien el contrato de obra está regulado por el ordenamiento civil, no podemos desconocer la importancia que esta figura jurídica tiene en el mundo de las relaciones económicas. Es así como el campo de la ingeniería, la arquitectura, la construcción y, en general, el sector empresarial se vale de dicho contrato para estructurar las distintas obligaciones y deberes que se derivan de la tarea encomendada por una persona a otra, para elaborar una obra material. </w:t>
      </w:r>
    </w:p>
    <w:p w14:paraId="71AA9D67" w14:textId="77777777" w:rsidR="00114178" w:rsidRPr="002850E8" w:rsidRDefault="00114178" w:rsidP="00114178">
      <w:pPr>
        <w:spacing w:after="120" w:line="240" w:lineRule="auto"/>
        <w:ind w:left="709" w:right="709"/>
        <w:jc w:val="both"/>
        <w:rPr>
          <w:rFonts w:ascii="Verdana" w:eastAsia="Calibri" w:hAnsi="Verdana" w:cs="Arial"/>
          <w:color w:val="000000"/>
          <w:sz w:val="20"/>
          <w:szCs w:val="20"/>
          <w:lang w:val="es-ES_tradnl" w:eastAsia="es-ES" w:bidi="es-ES"/>
        </w:rPr>
      </w:pPr>
      <w:r w:rsidRPr="002850E8">
        <w:rPr>
          <w:rFonts w:ascii="Verdana" w:eastAsia="Calibri" w:hAnsi="Verdana" w:cs="Arial"/>
          <w:color w:val="000000"/>
          <w:sz w:val="20"/>
          <w:szCs w:val="20"/>
          <w:lang w:val="es-ES_tradnl" w:eastAsia="es-ES" w:bidi="es-ES"/>
        </w:rPr>
        <w:t xml:space="preserve">Sectores como el de la construcción, constituyen uno de los pilares fundamentales del desarrollo de un país. Y qué decir de la tendencia muy generalizada en la actualidad de no ejecutar directamente la labor de producción, sino de encargarla a terceros conocedores y con experiencia en tales asuntos, mediante los fenómenos de la maquila y llave en mano, especies, sin lugar a duda, del contrato de obra […]. </w:t>
      </w:r>
    </w:p>
    <w:p w14:paraId="39655DF2" w14:textId="77777777" w:rsidR="00114178" w:rsidRDefault="00114178" w:rsidP="00114178">
      <w:pPr>
        <w:spacing w:after="0" w:line="240" w:lineRule="auto"/>
        <w:ind w:left="709" w:right="709"/>
        <w:jc w:val="both"/>
        <w:rPr>
          <w:rFonts w:ascii="Verdana" w:eastAsia="Calibri" w:hAnsi="Verdana" w:cs="Arial"/>
          <w:color w:val="000000"/>
          <w:lang w:val="es-ES_tradnl" w:eastAsia="es-ES" w:bidi="es-ES"/>
        </w:rPr>
      </w:pPr>
      <w:r w:rsidRPr="002850E8">
        <w:rPr>
          <w:rFonts w:ascii="Verdana" w:eastAsia="Calibri" w:hAnsi="Verdana" w:cs="Arial"/>
          <w:color w:val="000000"/>
          <w:sz w:val="20"/>
          <w:szCs w:val="20"/>
          <w:lang w:val="es-ES_tradnl" w:eastAsia="es-ES" w:bidi="es-ES"/>
        </w:rPr>
        <w:t>Es el contrato de obra, el vehículo idóneo para armonizar relaciones económicas cuya consecuencia es satisfacer necesidades por determinadas personas que, en razón a sus calidades y cualidades, reciben el encargo de otras para ejecutar una determinada obra material”</w:t>
      </w:r>
      <w:r>
        <w:rPr>
          <w:rStyle w:val="Refdenotaalpie"/>
          <w:rFonts w:ascii="Verdana" w:eastAsia="Calibri" w:hAnsi="Verdana" w:cs="Arial"/>
          <w:color w:val="000000"/>
          <w:sz w:val="20"/>
          <w:szCs w:val="20"/>
          <w:lang w:val="es-ES_tradnl" w:eastAsia="es-ES" w:bidi="es-ES"/>
        </w:rPr>
        <w:footnoteReference w:id="6"/>
      </w:r>
      <w:r w:rsidRPr="002850E8">
        <w:rPr>
          <w:rFonts w:ascii="Verdana" w:eastAsia="Calibri" w:hAnsi="Verdana" w:cs="Arial"/>
          <w:color w:val="000000"/>
          <w:sz w:val="20"/>
          <w:szCs w:val="20"/>
          <w:lang w:val="es-ES_tradnl" w:eastAsia="es-ES" w:bidi="es-ES"/>
        </w:rPr>
        <w:t>.</w:t>
      </w:r>
    </w:p>
    <w:p w14:paraId="00D1EB8D" w14:textId="77777777" w:rsidR="00114178" w:rsidRDefault="00114178" w:rsidP="00114178">
      <w:pPr>
        <w:spacing w:after="0" w:line="276" w:lineRule="auto"/>
        <w:jc w:val="both"/>
        <w:rPr>
          <w:rFonts w:ascii="Verdana" w:eastAsia="Calibri" w:hAnsi="Verdana" w:cs="Arial"/>
          <w:color w:val="000000"/>
          <w:lang w:val="es-ES_tradnl" w:eastAsia="es-ES" w:bidi="es-ES"/>
        </w:rPr>
      </w:pPr>
    </w:p>
    <w:p w14:paraId="10464383" w14:textId="77777777" w:rsidR="00114178" w:rsidRDefault="00114178" w:rsidP="00114178">
      <w:pPr>
        <w:spacing w:after="120" w:line="276" w:lineRule="auto"/>
        <w:jc w:val="both"/>
        <w:rPr>
          <w:rFonts w:ascii="Verdana" w:eastAsia="Calibri" w:hAnsi="Verdana" w:cs="Arial"/>
          <w:color w:val="000000"/>
          <w:lang w:val="es-ES_tradnl" w:eastAsia="es-ES" w:bidi="es-ES"/>
        </w:rPr>
      </w:pPr>
      <w:r>
        <w:rPr>
          <w:rFonts w:ascii="Verdana" w:eastAsia="Calibri" w:hAnsi="Verdana" w:cs="Arial"/>
          <w:color w:val="000000"/>
          <w:lang w:val="es-ES_tradnl" w:eastAsia="es-ES" w:bidi="es-ES"/>
        </w:rPr>
        <w:tab/>
        <w:t>Esta explicación es importante, porque la obra civil generalmente supone como mínimo el ejercicio de la ingeniería, de sus profesiones auxiliares o afines. En efecto, el literal a) del artículo 2 de la Ley 842 de 2003 dispone que corresponden a esta profesión el desarrollo de las siguientes actividades: “</w:t>
      </w:r>
      <w:r w:rsidRPr="00753B95">
        <w:rPr>
          <w:rFonts w:ascii="Verdana" w:eastAsia="Calibri" w:hAnsi="Verdana" w:cs="Arial"/>
          <w:color w:val="000000"/>
          <w:lang w:val="es-ES_tradnl" w:eastAsia="es-ES" w:bidi="es-ES"/>
        </w:rPr>
        <w:t>Los estudios, la planeación, el diseño, el cálculo, la programación, la asesoría, la consultoría, la interventoría, la construcción, el mantenimiento y la administración de construcciones de edificios y viviendas de toda índole, de puentes, presas, muelles, canales, puertos, carreteras, vías urbanas y rurales, aeropuertos, ferrocarriles, teleféricos, acueductos, alcantarillados, riesgos, drenajes y pavimentos; oleoductos, gasoductos, poliductos y en general líneas de conducción y transporte de hidrocarburos; líneas de transmisión eléctrica y en general todas aquellas obras de infraestructura para el servicio de la comunidad</w:t>
      </w:r>
      <w:r>
        <w:rPr>
          <w:rFonts w:ascii="Verdana" w:eastAsia="Calibri" w:hAnsi="Verdana" w:cs="Arial"/>
          <w:color w:val="000000"/>
          <w:lang w:val="es-ES_tradnl" w:eastAsia="es-ES" w:bidi="es-ES"/>
        </w:rPr>
        <w:t xml:space="preserve">”. Asimismo, mientras que el artículo 3 </w:t>
      </w:r>
      <w:r w:rsidRPr="00753B95">
        <w:rPr>
          <w:rFonts w:ascii="Verdana" w:eastAsia="Calibri" w:hAnsi="Verdana" w:cs="Arial"/>
          <w:i/>
          <w:iCs/>
          <w:color w:val="000000"/>
          <w:lang w:val="es-ES_tradnl" w:eastAsia="es-ES" w:bidi="es-ES"/>
        </w:rPr>
        <w:t>ibidem</w:t>
      </w:r>
      <w:r>
        <w:rPr>
          <w:rFonts w:ascii="Verdana" w:eastAsia="Calibri" w:hAnsi="Verdana" w:cs="Arial"/>
          <w:color w:val="000000"/>
          <w:lang w:val="es-ES_tradnl" w:eastAsia="es-ES" w:bidi="es-ES"/>
        </w:rPr>
        <w:t xml:space="preserve"> cataloga a los t</w:t>
      </w:r>
      <w:r w:rsidRPr="00753B95">
        <w:rPr>
          <w:rFonts w:ascii="Verdana" w:eastAsia="Calibri" w:hAnsi="Verdana" w:cs="Arial"/>
          <w:color w:val="000000"/>
          <w:lang w:val="es-ES_tradnl" w:eastAsia="es-ES" w:bidi="es-ES"/>
        </w:rPr>
        <w:t>écnicos y tecnólogos en obras civiles</w:t>
      </w:r>
      <w:r>
        <w:rPr>
          <w:rFonts w:ascii="Verdana" w:eastAsia="Calibri" w:hAnsi="Verdana" w:cs="Arial"/>
          <w:color w:val="000000"/>
          <w:lang w:val="es-ES_tradnl" w:eastAsia="es-ES" w:bidi="es-ES"/>
        </w:rPr>
        <w:t xml:space="preserve"> como profesiones auxiliares, el artículo 4 </w:t>
      </w:r>
      <w:r w:rsidRPr="00753B95">
        <w:rPr>
          <w:rFonts w:ascii="Verdana" w:eastAsia="Calibri" w:hAnsi="Verdana" w:cs="Arial"/>
          <w:i/>
          <w:iCs/>
          <w:color w:val="000000"/>
          <w:lang w:val="es-ES_tradnl" w:eastAsia="es-ES" w:bidi="es-ES"/>
        </w:rPr>
        <w:t>ibidem</w:t>
      </w:r>
      <w:r>
        <w:rPr>
          <w:rFonts w:ascii="Verdana" w:eastAsia="Calibri" w:hAnsi="Verdana" w:cs="Arial"/>
          <w:color w:val="000000"/>
          <w:lang w:val="es-ES_tradnl" w:eastAsia="es-ES" w:bidi="es-ES"/>
        </w:rPr>
        <w:t xml:space="preserve"> establece como afín </w:t>
      </w:r>
      <w:r w:rsidRPr="00753B95">
        <w:rPr>
          <w:rFonts w:ascii="Verdana" w:eastAsia="Calibri" w:hAnsi="Verdana" w:cs="Arial"/>
          <w:color w:val="000000"/>
          <w:lang w:val="es-ES_tradnl" w:eastAsia="es-ES" w:bidi="es-ES"/>
        </w:rPr>
        <w:t>la administración de obras civiles</w:t>
      </w:r>
      <w:r>
        <w:rPr>
          <w:rFonts w:ascii="Verdana" w:eastAsia="Calibri" w:hAnsi="Verdana" w:cs="Arial"/>
          <w:color w:val="000000"/>
          <w:lang w:val="es-ES_tradnl" w:eastAsia="es-ES" w:bidi="es-ES"/>
        </w:rPr>
        <w:t xml:space="preserve">. </w:t>
      </w:r>
    </w:p>
    <w:p w14:paraId="7298B069" w14:textId="77777777" w:rsidR="00114178" w:rsidRDefault="00114178" w:rsidP="00114178">
      <w:pPr>
        <w:spacing w:after="120" w:line="276" w:lineRule="auto"/>
        <w:ind w:firstLine="708"/>
        <w:jc w:val="both"/>
        <w:rPr>
          <w:rFonts w:ascii="Verdana" w:eastAsia="Calibri" w:hAnsi="Verdana" w:cs="Arial"/>
          <w:color w:val="000000"/>
          <w:lang w:val="es-ES_tradnl" w:eastAsia="es-ES" w:bidi="es-ES"/>
        </w:rPr>
      </w:pPr>
      <w:r>
        <w:rPr>
          <w:rFonts w:ascii="Verdana" w:eastAsia="Calibri" w:hAnsi="Verdana" w:cs="Arial"/>
          <w:color w:val="000000"/>
          <w:lang w:val="es-ES_tradnl" w:eastAsia="es-ES" w:bidi="es-ES"/>
        </w:rPr>
        <w:t xml:space="preserve">De esta manera, la obra civil está ligada estrechamente con la industria de la construcción, tanto así que –respecto a las normas de sismo resistencia– </w:t>
      </w:r>
      <w:r>
        <w:rPr>
          <w:rFonts w:ascii="Verdana" w:eastAsia="Calibri" w:hAnsi="Verdana" w:cs="Arial"/>
          <w:color w:val="000000"/>
          <w:lang w:val="es-ES_tradnl" w:eastAsia="es-ES" w:bidi="es-ES"/>
        </w:rPr>
        <w:lastRenderedPageBreak/>
        <w:t xml:space="preserve">el literal a) del parágrafo del artículo 4 de la Ley 400 de 1997 entiende por </w:t>
      </w:r>
      <w:r w:rsidRPr="009A2D11">
        <w:rPr>
          <w:rFonts w:ascii="Verdana" w:eastAsia="Calibri" w:hAnsi="Verdana" w:cs="Arial"/>
          <w:color w:val="000000"/>
          <w:lang w:val="es-ES_tradnl" w:eastAsia="es-ES" w:bidi="es-ES"/>
        </w:rPr>
        <w:t>profesional en construcción en arquitectura e ingeniería, al profesional de nivel universitario cuya formación académica le habilita para</w:t>
      </w:r>
      <w:r>
        <w:rPr>
          <w:rFonts w:ascii="Verdana" w:eastAsia="Calibri" w:hAnsi="Verdana" w:cs="Arial"/>
          <w:color w:val="000000"/>
          <w:lang w:val="es-ES_tradnl" w:eastAsia="es-ES" w:bidi="es-ES"/>
        </w:rPr>
        <w:t xml:space="preserve"> “</w:t>
      </w:r>
      <w:r w:rsidRPr="009A2D11">
        <w:rPr>
          <w:rFonts w:ascii="Verdana" w:eastAsia="Calibri" w:hAnsi="Verdana" w:cs="Arial"/>
          <w:color w:val="000000"/>
          <w:lang w:val="es-ES_tradnl" w:eastAsia="es-ES" w:bidi="es-ES"/>
        </w:rPr>
        <w:t>Construir o materializar la construcción de todo tipo de proyecto civil o arquitectónico, tales como construcción de edificaciones, viviendas, vías, pavimentos, puentes, aeropuertos, acueductos, alcantarillados, oleoductos, gasoductos, poliductos, etc., que hayan sido previamente diseñados o calculados por arquitectos o ingenieros respectivamente</w:t>
      </w:r>
      <w:r>
        <w:rPr>
          <w:rFonts w:ascii="Verdana" w:eastAsia="Calibri" w:hAnsi="Verdana" w:cs="Arial"/>
          <w:color w:val="000000"/>
          <w:lang w:val="es-ES_tradnl" w:eastAsia="es-ES" w:bidi="es-ES"/>
        </w:rPr>
        <w:t>” –literal a)–; “</w:t>
      </w:r>
      <w:r w:rsidRPr="009A2D11">
        <w:rPr>
          <w:rFonts w:ascii="Verdana" w:eastAsia="Calibri" w:hAnsi="Verdana" w:cs="Arial"/>
          <w:color w:val="000000"/>
          <w:lang w:val="es-ES_tradnl" w:eastAsia="es-ES" w:bidi="es-ES"/>
        </w:rPr>
        <w:t>Gestionar, planear, organizar, ejecutar, administrar y controlar (inspección, dirección de obra y/o interventoría), los diferentes procesos constructivos de los proyectos de obra civil o arquitectónica, utilizando las nuevas tecnologías y aplicando las normas constructivas vigentes, siempre y cuando el proyecto haya sido previamente calculado y diseñado por ingenieros civiles o arquitectos respectivamente</w:t>
      </w:r>
      <w:r>
        <w:rPr>
          <w:rFonts w:ascii="Verdana" w:eastAsia="Calibri" w:hAnsi="Verdana" w:cs="Arial"/>
          <w:color w:val="000000"/>
          <w:lang w:val="es-ES_tradnl" w:eastAsia="es-ES" w:bidi="es-ES"/>
        </w:rPr>
        <w:t>” –literal b)–; “</w:t>
      </w:r>
      <w:r w:rsidRPr="00C851EF">
        <w:rPr>
          <w:rFonts w:ascii="Verdana" w:eastAsia="Calibri" w:hAnsi="Verdana" w:cs="Arial"/>
          <w:color w:val="000000"/>
          <w:lang w:val="es-ES_tradnl" w:eastAsia="es-ES" w:bidi="es-ES"/>
        </w:rPr>
        <w:t>Celebrar contratos públicos o privados cuyo, objeto sea la materialización, gestión, planeación, organización, administración o control de proyectos arquitectónicos o civiles, tales como Construcción de edificaciones, viviendas, vías, pavimentos, puentes, aeropuertos, acueductos, alcantarillados, oleoductos, gasoductos, poliductos, etc. y, en general, contratos que tengan que ver con la construcción de todo tipo de proyectos que hayan sido previamente diseñados o calculados por arquitectos o ingenieros respectivamente</w:t>
      </w:r>
      <w:r>
        <w:rPr>
          <w:rFonts w:ascii="Verdana" w:eastAsia="Calibri" w:hAnsi="Verdana" w:cs="Arial"/>
          <w:color w:val="000000"/>
          <w:lang w:val="es-ES_tradnl" w:eastAsia="es-ES" w:bidi="es-ES"/>
        </w:rPr>
        <w:t>” –literal e)–; así como “</w:t>
      </w:r>
      <w:r w:rsidRPr="00C851EF">
        <w:rPr>
          <w:rFonts w:ascii="Verdana" w:eastAsia="Calibri" w:hAnsi="Verdana" w:cs="Arial"/>
          <w:color w:val="000000"/>
          <w:lang w:val="es-ES_tradnl" w:eastAsia="es-ES" w:bidi="es-ES"/>
        </w:rPr>
        <w:t>Asesor sobre todo lo referente a la materialización de obras civiles o arquitectónicas</w:t>
      </w:r>
      <w:r>
        <w:rPr>
          <w:rFonts w:ascii="Verdana" w:eastAsia="Calibri" w:hAnsi="Verdana" w:cs="Arial"/>
          <w:color w:val="000000"/>
          <w:lang w:val="es-ES_tradnl" w:eastAsia="es-ES" w:bidi="es-ES"/>
        </w:rPr>
        <w:t xml:space="preserve">” –literal g)–. </w:t>
      </w:r>
    </w:p>
    <w:p w14:paraId="66B49DD9" w14:textId="77777777" w:rsidR="00114178" w:rsidRDefault="00114178" w:rsidP="00114178">
      <w:pPr>
        <w:spacing w:after="120" w:line="276" w:lineRule="auto"/>
        <w:ind w:firstLine="709"/>
        <w:jc w:val="both"/>
        <w:rPr>
          <w:rFonts w:ascii="Verdana" w:eastAsia="Calibri" w:hAnsi="Verdana" w:cs="Arial"/>
          <w:color w:val="000000"/>
          <w:lang w:val="es-ES_tradnl" w:eastAsia="es-ES" w:bidi="es-ES"/>
        </w:rPr>
      </w:pPr>
      <w:r>
        <w:rPr>
          <w:rFonts w:ascii="Verdana" w:eastAsia="Calibri" w:hAnsi="Verdana" w:cs="Arial"/>
          <w:color w:val="000000"/>
          <w:lang w:val="es-ES_tradnl" w:eastAsia="es-ES" w:bidi="es-ES"/>
        </w:rPr>
        <w:t xml:space="preserve">En consecuencia, de acuerdo con el uso técnico de la expresión, aunque toda </w:t>
      </w:r>
      <w:r w:rsidRPr="00B52C69">
        <w:rPr>
          <w:rFonts w:ascii="Verdana" w:eastAsia="Calibri" w:hAnsi="Verdana" w:cs="Arial"/>
          <w:i/>
          <w:iCs/>
          <w:color w:val="000000"/>
          <w:lang w:val="es-ES_tradnl" w:eastAsia="es-ES" w:bidi="es-ES"/>
        </w:rPr>
        <w:t>obra civil</w:t>
      </w:r>
      <w:r>
        <w:rPr>
          <w:rFonts w:ascii="Verdana" w:eastAsia="Calibri" w:hAnsi="Verdana" w:cs="Arial"/>
          <w:color w:val="000000"/>
          <w:lang w:val="es-ES_tradnl" w:eastAsia="es-ES" w:bidi="es-ES"/>
        </w:rPr>
        <w:t xml:space="preserve"> es una </w:t>
      </w:r>
      <w:r w:rsidRPr="00B52C69">
        <w:rPr>
          <w:rFonts w:ascii="Verdana" w:eastAsia="Calibri" w:hAnsi="Verdana" w:cs="Arial"/>
          <w:i/>
          <w:iCs/>
          <w:color w:val="000000"/>
          <w:lang w:val="es-ES_tradnl" w:eastAsia="es-ES" w:bidi="es-ES"/>
        </w:rPr>
        <w:t>obra material</w:t>
      </w:r>
      <w:r>
        <w:rPr>
          <w:rFonts w:ascii="Verdana" w:eastAsia="Calibri" w:hAnsi="Verdana" w:cs="Arial"/>
          <w:color w:val="000000"/>
          <w:lang w:val="es-ES_tradnl" w:eastAsia="es-ES" w:bidi="es-ES"/>
        </w:rPr>
        <w:t xml:space="preserve"> en las condiciones explicadas </w:t>
      </w:r>
      <w:r w:rsidRPr="00B52C69">
        <w:rPr>
          <w:rFonts w:ascii="Verdana" w:eastAsia="Calibri" w:hAnsi="Verdana" w:cs="Arial"/>
          <w:i/>
          <w:iCs/>
          <w:color w:val="000000"/>
          <w:lang w:val="es-ES_tradnl" w:eastAsia="es-ES" w:bidi="es-ES"/>
        </w:rPr>
        <w:t>ut supra</w:t>
      </w:r>
      <w:r>
        <w:rPr>
          <w:rFonts w:ascii="Verdana" w:eastAsia="Calibri" w:hAnsi="Verdana" w:cs="Arial"/>
          <w:color w:val="000000"/>
          <w:lang w:val="es-ES_tradnl" w:eastAsia="es-ES" w:bidi="es-ES"/>
        </w:rPr>
        <w:t xml:space="preserve">, no toda </w:t>
      </w:r>
      <w:r w:rsidRPr="00B52C69">
        <w:rPr>
          <w:rFonts w:ascii="Verdana" w:eastAsia="Calibri" w:hAnsi="Verdana" w:cs="Arial"/>
          <w:i/>
          <w:iCs/>
          <w:color w:val="000000"/>
          <w:lang w:val="es-ES_tradnl" w:eastAsia="es-ES" w:bidi="es-ES"/>
        </w:rPr>
        <w:t>obra material</w:t>
      </w:r>
      <w:r>
        <w:rPr>
          <w:rFonts w:ascii="Verdana" w:eastAsia="Calibri" w:hAnsi="Verdana" w:cs="Arial"/>
          <w:color w:val="000000"/>
          <w:lang w:val="es-ES_tradnl" w:eastAsia="es-ES" w:bidi="es-ES"/>
        </w:rPr>
        <w:t xml:space="preserve"> es una </w:t>
      </w:r>
      <w:r w:rsidRPr="00B52C69">
        <w:rPr>
          <w:rFonts w:ascii="Verdana" w:eastAsia="Calibri" w:hAnsi="Verdana" w:cs="Arial"/>
          <w:i/>
          <w:iCs/>
          <w:color w:val="000000"/>
          <w:lang w:val="es-ES_tradnl" w:eastAsia="es-ES" w:bidi="es-ES"/>
        </w:rPr>
        <w:t>obra civil</w:t>
      </w:r>
      <w:r>
        <w:rPr>
          <w:rFonts w:ascii="Verdana" w:eastAsia="Calibri" w:hAnsi="Verdana" w:cs="Arial"/>
          <w:color w:val="000000"/>
          <w:lang w:val="es-ES_tradnl" w:eastAsia="es-ES" w:bidi="es-ES"/>
        </w:rPr>
        <w:t xml:space="preserve">. Este último es caso del cuadro de un artista o el libro de una casa editorial, contratos cuya ejecución –aunque se enmarquen en el artículo 2053 de la Ley 84 de 1873– no están relacionados con la capacidad residual por no corresponder a </w:t>
      </w:r>
      <w:r w:rsidRPr="00126329">
        <w:rPr>
          <w:rFonts w:ascii="Verdana" w:eastAsia="Calibri" w:hAnsi="Verdana" w:cs="Arial"/>
          <w:i/>
          <w:iCs/>
          <w:color w:val="000000"/>
          <w:lang w:val="es-ES_tradnl" w:eastAsia="es-ES" w:bidi="es-ES"/>
        </w:rPr>
        <w:t>obras civiles</w:t>
      </w:r>
      <w:r>
        <w:rPr>
          <w:rFonts w:ascii="Verdana" w:eastAsia="Calibri" w:hAnsi="Verdana" w:cs="Arial"/>
          <w:color w:val="000000"/>
          <w:lang w:val="es-ES_tradnl" w:eastAsia="es-ES" w:bidi="es-ES"/>
        </w:rPr>
        <w:t xml:space="preserve">. Este razonamiento es congruente con la guía expedida por la Agencia, ya que incluye las “[…] </w:t>
      </w:r>
      <w:r w:rsidRPr="00A039BC">
        <w:rPr>
          <w:rFonts w:ascii="Verdana" w:eastAsia="Calibri" w:hAnsi="Verdana" w:cs="Arial"/>
          <w:color w:val="000000"/>
          <w:lang w:val="es-ES_tradnl" w:eastAsia="es-ES" w:bidi="es-ES"/>
        </w:rPr>
        <w:t>obras civiles en los contratos de concesión y los contratos de obra suscritos con concesionarios</w:t>
      </w:r>
      <w:r>
        <w:rPr>
          <w:rFonts w:ascii="Verdana" w:eastAsia="Calibri" w:hAnsi="Verdana" w:cs="Arial"/>
          <w:color w:val="000000"/>
          <w:lang w:val="es-ES_tradnl" w:eastAsia="es-ES" w:bidi="es-ES"/>
        </w:rPr>
        <w:t xml:space="preserve">”, lo que resalta su conexión del concepto con el ejercicio de la ingeniería y la industria de la construcción. </w:t>
      </w:r>
    </w:p>
    <w:p w14:paraId="3A186D11" w14:textId="77777777" w:rsidR="00114178" w:rsidRPr="00F738B0" w:rsidRDefault="00114178" w:rsidP="00114178">
      <w:pPr>
        <w:spacing w:after="120" w:line="276" w:lineRule="auto"/>
        <w:ind w:firstLine="709"/>
        <w:jc w:val="both"/>
        <w:rPr>
          <w:rFonts w:ascii="Verdana" w:hAnsi="Verdana" w:cs="Arial"/>
          <w:lang w:val="es-ES"/>
        </w:rPr>
      </w:pPr>
      <w:r w:rsidRPr="5DD007E2">
        <w:rPr>
          <w:rFonts w:ascii="Verdana" w:eastAsia="Calibri" w:hAnsi="Verdana" w:cs="Arial"/>
          <w:color w:val="000000" w:themeColor="text1"/>
          <w:lang w:val="es-ES" w:eastAsia="es-ES" w:bidi="es-ES"/>
        </w:rPr>
        <w:t xml:space="preserve">Teleológicamente, como la capacidad residual es un requisito habilitante para los contratos de obra pública conforme al parágrafo 1˚ del artículo 6 de la Ley 1150 de 2007, resulta razonable inferir que –de forma análoga a lo que sucede con la experiencia– las obras civiles para el saldo de los contratos en </w:t>
      </w:r>
      <w:r w:rsidRPr="5DD007E2">
        <w:rPr>
          <w:rFonts w:ascii="Verdana" w:eastAsia="Calibri" w:hAnsi="Verdana" w:cs="Arial"/>
          <w:color w:val="000000" w:themeColor="text1"/>
          <w:lang w:val="es-ES" w:eastAsia="es-ES" w:bidi="es-ES"/>
        </w:rPr>
        <w:lastRenderedPageBreak/>
        <w:t>ejecución también se relacionan con segmento 72 del clasificador de bienes y servicios. Éste corresponde a los “Servicios de Edificación, Construcción de Instalaciones y Mantenimiento”; razón por la cual, a modo de ejemplo, incluye los “Servicios de sistemas eléctricos”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72151500– o los “Servicios de mantenimiento y reparación de equipo motivo y generación de energía eléctrica”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72154300–, así como los “Servicios de tendido de cables eléctricos”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72141115– “Servicios de construcción de líneas de energía eléctrica”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xml:space="preserve">. 72141122– y “Servicios de construcción de energía solar </w:t>
      </w:r>
      <w:proofErr w:type="spellStart"/>
      <w:r w:rsidRPr="5DD007E2">
        <w:rPr>
          <w:rFonts w:ascii="Verdana" w:eastAsia="Calibri" w:hAnsi="Verdana" w:cs="Arial"/>
          <w:color w:val="000000" w:themeColor="text1"/>
          <w:lang w:val="es-ES" w:eastAsia="es-ES" w:bidi="es-ES"/>
        </w:rPr>
        <w:t>hvac</w:t>
      </w:r>
      <w:proofErr w:type="spellEnd"/>
      <w:r w:rsidRPr="5DD007E2">
        <w:rPr>
          <w:rFonts w:ascii="Verdana" w:eastAsia="Calibri" w:hAnsi="Verdana" w:cs="Arial"/>
          <w:color w:val="000000" w:themeColor="text1"/>
          <w:lang w:val="es-ES" w:eastAsia="es-ES" w:bidi="es-ES"/>
        </w:rPr>
        <w:t>” –</w:t>
      </w:r>
      <w:proofErr w:type="spellStart"/>
      <w:r w:rsidRPr="5DD007E2">
        <w:rPr>
          <w:rFonts w:ascii="Verdana" w:eastAsia="Calibri" w:hAnsi="Verdana" w:cs="Arial"/>
          <w:color w:val="000000" w:themeColor="text1"/>
          <w:lang w:val="es-ES" w:eastAsia="es-ES" w:bidi="es-ES"/>
        </w:rPr>
        <w:t>cod</w:t>
      </w:r>
      <w:proofErr w:type="spellEnd"/>
      <w:r w:rsidRPr="5DD007E2">
        <w:rPr>
          <w:rFonts w:ascii="Verdana" w:eastAsia="Calibri" w:hAnsi="Verdana" w:cs="Arial"/>
          <w:color w:val="000000" w:themeColor="text1"/>
          <w:lang w:val="es-ES" w:eastAsia="es-ES" w:bidi="es-ES"/>
        </w:rPr>
        <w:t xml:space="preserve">. 72151203–, entre otros. </w:t>
      </w:r>
    </w:p>
    <w:p w14:paraId="561CF9D8" w14:textId="77777777" w:rsidR="00114178" w:rsidRPr="00A47393" w:rsidRDefault="00114178" w:rsidP="00114178">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0A9B70D" w14:textId="77777777" w:rsidR="00114178" w:rsidRPr="00185EE9" w:rsidRDefault="00114178" w:rsidP="00114178">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79E0308E" w14:textId="77777777" w:rsidR="00114178" w:rsidRPr="00182C89" w:rsidRDefault="00114178" w:rsidP="00114178">
      <w:pPr>
        <w:tabs>
          <w:tab w:val="left" w:pos="709"/>
        </w:tabs>
        <w:spacing w:after="0" w:line="276" w:lineRule="auto"/>
        <w:jc w:val="both"/>
        <w:rPr>
          <w:rFonts w:ascii="Verdana" w:eastAsia="Calibri" w:hAnsi="Verdana" w:cs="Arial"/>
          <w:color w:val="000000" w:themeColor="text1"/>
        </w:rPr>
      </w:pPr>
    </w:p>
    <w:p w14:paraId="28B3B8B0" w14:textId="77777777" w:rsidR="00114178" w:rsidRPr="00593A5F" w:rsidRDefault="00114178" w:rsidP="0011417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11C11095" w14:textId="77777777" w:rsidR="00114178" w:rsidRPr="00593A5F" w:rsidRDefault="00114178" w:rsidP="00114178">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14178" w:rsidRPr="002407CE" w14:paraId="44A8CA3B" w14:textId="77777777" w:rsidTr="00375D38">
        <w:trPr>
          <w:trHeight w:val="56"/>
          <w:jc w:val="center"/>
        </w:trPr>
        <w:tc>
          <w:tcPr>
            <w:tcW w:w="8647" w:type="dxa"/>
          </w:tcPr>
          <w:p w14:paraId="36A5D309" w14:textId="77777777" w:rsidR="00114178" w:rsidRDefault="00114178" w:rsidP="0011417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32, 39 y 41.</w:t>
            </w:r>
          </w:p>
          <w:p w14:paraId="129DCEDF" w14:textId="77777777" w:rsidR="00114178" w:rsidRDefault="00114178" w:rsidP="0011417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400 de 1997, artículo 4.</w:t>
            </w:r>
          </w:p>
          <w:p w14:paraId="4B16093E" w14:textId="77777777" w:rsidR="00114178" w:rsidRPr="00EE3868" w:rsidRDefault="00114178" w:rsidP="0011417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6.</w:t>
            </w:r>
          </w:p>
          <w:p w14:paraId="276D6D43" w14:textId="77777777" w:rsidR="00114178" w:rsidRDefault="00114178" w:rsidP="0011417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lastRenderedPageBreak/>
              <w:t>Ley 1682 de 2013, artículo 72.</w:t>
            </w:r>
          </w:p>
          <w:p w14:paraId="2C055FBC" w14:textId="77777777" w:rsidR="00114178" w:rsidRPr="00B33105" w:rsidRDefault="00114178" w:rsidP="0011417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842 de 2003, artículos 2, 3 y 4.</w:t>
            </w:r>
          </w:p>
          <w:p w14:paraId="65367235" w14:textId="77777777" w:rsidR="00114178" w:rsidRPr="00B33105" w:rsidRDefault="00114178" w:rsidP="0011417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eastAsia="Calibri" w:hAnsi="Verdana" w:cs="Arial"/>
                <w:color w:val="000000" w:themeColor="text1"/>
                <w:lang w:val="es-MX"/>
              </w:rPr>
              <w:t>Código Civil, artículos 29, 2053, 2060 y 2061.</w:t>
            </w:r>
          </w:p>
          <w:p w14:paraId="74C83CF5" w14:textId="77777777" w:rsidR="00114178" w:rsidRPr="00AC566A" w:rsidRDefault="00114178" w:rsidP="0011417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eastAsia="Calibri" w:hAnsi="Verdana" w:cs="Arial"/>
                <w:color w:val="000000" w:themeColor="text1"/>
                <w:lang w:val="es-MX"/>
              </w:rPr>
              <w:t>Código de Comercio, artículo 20.</w:t>
            </w:r>
          </w:p>
          <w:p w14:paraId="40D77DD0" w14:textId="77777777" w:rsidR="00114178" w:rsidRPr="00AC566A" w:rsidRDefault="00114178" w:rsidP="0011417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Decreto 1082 de 2015, artículos </w:t>
            </w:r>
            <w:r w:rsidRPr="00324EE2">
              <w:rPr>
                <w:rFonts w:ascii="Verdana" w:hAnsi="Verdana" w:cs="Arial"/>
                <w:color w:val="000000" w:themeColor="text1"/>
                <w:lang w:val="es-MX"/>
              </w:rPr>
              <w:t>2.2.1.1.1.3.1</w:t>
            </w:r>
            <w:r>
              <w:rPr>
                <w:rFonts w:ascii="Verdana" w:hAnsi="Verdana" w:cs="Arial"/>
                <w:color w:val="000000" w:themeColor="text1"/>
                <w:lang w:val="es-MX"/>
              </w:rPr>
              <w:t xml:space="preserve"> y </w:t>
            </w:r>
            <w:r w:rsidRPr="00324EE2">
              <w:rPr>
                <w:rFonts w:ascii="Verdana" w:eastAsia="Calibri" w:hAnsi="Verdana" w:cs="Arial"/>
                <w:color w:val="000000" w:themeColor="text1"/>
                <w:lang w:val="es-MX"/>
              </w:rPr>
              <w:t>2.2.1.1.1.6.4</w:t>
            </w:r>
            <w:r>
              <w:rPr>
                <w:rFonts w:ascii="Verdana" w:eastAsia="Calibri" w:hAnsi="Verdana" w:cs="Arial"/>
                <w:color w:val="000000" w:themeColor="text1"/>
                <w:lang w:val="es-MX"/>
              </w:rPr>
              <w:t>.</w:t>
            </w:r>
          </w:p>
          <w:p w14:paraId="26026350" w14:textId="77777777" w:rsidR="00114178" w:rsidRPr="007F34F0" w:rsidRDefault="00114178" w:rsidP="00114178">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0B5DD0">
              <w:rPr>
                <w:rFonts w:ascii="Verdana" w:hAnsi="Verdana" w:cs="Arial"/>
              </w:rPr>
              <w:t xml:space="preserve">Guía para determinar y verificar la Capacidad Residual del proponente en los Procesos de Contratación de obra pública del </w:t>
            </w:r>
            <w:r>
              <w:rPr>
                <w:rFonts w:ascii="Verdana" w:hAnsi="Verdana" w:cs="Arial"/>
              </w:rPr>
              <w:t>29 de septiembre</w:t>
            </w:r>
            <w:r w:rsidRPr="000B5DD0">
              <w:rPr>
                <w:rFonts w:ascii="Verdana" w:hAnsi="Verdana" w:cs="Arial"/>
              </w:rPr>
              <w:t xml:space="preserve"> de 2023. Disponible en: </w:t>
            </w:r>
            <w:hyperlink r:id="rId13" w:history="1">
              <w:r w:rsidRPr="00DA7BA4">
                <w:rPr>
                  <w:rStyle w:val="Hipervnculo"/>
                  <w:rFonts w:ascii="Verdana" w:hAnsi="Verdana" w:cs="Arial"/>
                </w:rPr>
                <w:t>https://www.colombiacompra.gov.co/wp-content/uploads/2024/08/2023-Guia-para-determinar-y-verificar-la-Capacidad-Residual-del-proponente-en-los-Procesos-de-Contratacion-de-obra-publica-CCE-REC-GI-22.pdf</w:t>
              </w:r>
            </w:hyperlink>
            <w:r>
              <w:rPr>
                <w:rFonts w:ascii="Verdana" w:hAnsi="Verdana" w:cs="Arial"/>
              </w:rPr>
              <w:t xml:space="preserve"> </w:t>
            </w:r>
          </w:p>
        </w:tc>
      </w:tr>
    </w:tbl>
    <w:p w14:paraId="1A630EEE" w14:textId="77777777" w:rsidR="00114178" w:rsidRPr="002407CE" w:rsidRDefault="00114178" w:rsidP="00114178">
      <w:pPr>
        <w:widowControl w:val="0"/>
        <w:autoSpaceDE w:val="0"/>
        <w:autoSpaceDN w:val="0"/>
        <w:spacing w:after="0" w:line="276" w:lineRule="auto"/>
        <w:jc w:val="both"/>
        <w:rPr>
          <w:rFonts w:ascii="Verdana" w:hAnsi="Verdana" w:cs="Arial"/>
        </w:rPr>
      </w:pPr>
    </w:p>
    <w:p w14:paraId="65407D9A" w14:textId="77777777" w:rsidR="00114178" w:rsidRPr="00593A5F" w:rsidRDefault="00114178" w:rsidP="0011417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761F5F2C" w14:textId="77777777" w:rsidR="00114178" w:rsidRPr="00593A5F" w:rsidRDefault="00114178" w:rsidP="00114178">
      <w:pPr>
        <w:widowControl w:val="0"/>
        <w:autoSpaceDE w:val="0"/>
        <w:autoSpaceDN w:val="0"/>
        <w:spacing w:after="0" w:line="276" w:lineRule="auto"/>
        <w:jc w:val="both"/>
        <w:rPr>
          <w:rFonts w:ascii="Verdana" w:hAnsi="Verdana" w:cs="Arial"/>
        </w:rPr>
      </w:pPr>
    </w:p>
    <w:p w14:paraId="2C932035" w14:textId="77777777" w:rsidR="00114178" w:rsidRPr="00ED0098" w:rsidRDefault="00114178" w:rsidP="00114178">
      <w:pPr>
        <w:widowControl w:val="0"/>
        <w:autoSpaceDE w:val="0"/>
        <w:autoSpaceDN w:val="0"/>
        <w:spacing w:after="0" w:line="276" w:lineRule="auto"/>
        <w:jc w:val="both"/>
        <w:rPr>
          <w:rStyle w:val="normaltextrun"/>
          <w:rFonts w:ascii="Verdana" w:hAnsi="Verdana" w:cs="Arial"/>
          <w:shd w:val="clear" w:color="auto" w:fill="FFFFFF"/>
        </w:rPr>
      </w:pPr>
      <w:r w:rsidRPr="008554C1">
        <w:rPr>
          <w:rFonts w:ascii="Verdana" w:hAnsi="Verdana" w:cs="Arial"/>
          <w:shd w:val="clear" w:color="auto" w:fill="FFFFFF"/>
        </w:rPr>
        <w:t xml:space="preserve">Esta Subdirección se ha pronunciado sobre </w:t>
      </w:r>
      <w:r>
        <w:rPr>
          <w:rFonts w:ascii="Verdana" w:hAnsi="Verdana" w:cs="Arial"/>
          <w:shd w:val="clear" w:color="auto" w:fill="FFFFFF"/>
        </w:rPr>
        <w:t>la capacidad residual</w:t>
      </w:r>
      <w:r w:rsidRPr="008554C1">
        <w:rPr>
          <w:rFonts w:ascii="Verdana" w:hAnsi="Verdana" w:cs="Arial"/>
          <w:shd w:val="clear" w:color="auto" w:fill="FFFFFF"/>
        </w:rPr>
        <w:t xml:space="preserve"> en los </w:t>
      </w:r>
      <w:r>
        <w:rPr>
          <w:rFonts w:ascii="Verdana" w:hAnsi="Verdana" w:cs="Arial"/>
          <w:shd w:val="clear" w:color="auto" w:fill="FFFFFF"/>
        </w:rPr>
        <w:t>C</w:t>
      </w:r>
      <w:r w:rsidRPr="008554C1">
        <w:rPr>
          <w:rFonts w:ascii="Verdana" w:hAnsi="Verdana" w:cs="Arial"/>
          <w:shd w:val="clear" w:color="auto" w:fill="FFFFFF"/>
        </w:rPr>
        <w:t>onceptos</w:t>
      </w:r>
      <w:r>
        <w:rPr>
          <w:rFonts w:ascii="Verdana" w:hAnsi="Verdana" w:cs="Arial"/>
          <w:shd w:val="clear" w:color="auto" w:fill="FFFFFF"/>
        </w:rPr>
        <w:t xml:space="preserve"> </w:t>
      </w:r>
      <w:r w:rsidRPr="00C97F50">
        <w:rPr>
          <w:rFonts w:ascii="Verdana" w:hAnsi="Verdana" w:cs="Arial"/>
          <w:shd w:val="clear" w:color="auto" w:fill="FFFFFF"/>
        </w:rPr>
        <w:t>2201913000006275 del 27 de agosto de 2019, 2201913000009465 del 20 de diciembre de 2019, 2201913000009642</w:t>
      </w:r>
      <w:r>
        <w:rPr>
          <w:rFonts w:ascii="Verdana" w:hAnsi="Verdana" w:cs="Arial"/>
          <w:shd w:val="clear" w:color="auto" w:fill="FFFFFF"/>
        </w:rPr>
        <w:t>,</w:t>
      </w:r>
      <w:r w:rsidRPr="00C97F50">
        <w:rPr>
          <w:rFonts w:ascii="Verdana" w:hAnsi="Verdana" w:cs="Arial"/>
          <w:shd w:val="clear" w:color="auto" w:fill="FFFFFF"/>
        </w:rPr>
        <w:t xml:space="preserve"> 2201913000009640 del 26 de diciembre de 2019</w:t>
      </w:r>
      <w:r>
        <w:rPr>
          <w:rFonts w:ascii="Verdana" w:hAnsi="Verdana" w:cs="Arial"/>
          <w:shd w:val="clear" w:color="auto" w:fill="FFFFFF"/>
        </w:rPr>
        <w:t xml:space="preserve">, </w:t>
      </w:r>
      <w:r w:rsidRPr="00C97F50">
        <w:rPr>
          <w:rFonts w:ascii="Verdana" w:hAnsi="Verdana" w:cs="Arial"/>
          <w:shd w:val="clear" w:color="auto" w:fill="FFFFFF"/>
        </w:rPr>
        <w:t>C–022 del 20 de febrero de 2020, C–089 del 4 de marzo de 2020, C–112 del 16 de marzo de 2020, C–133 del 25 de marzo de 2020, C–194 del 21 de abril de 2020, C–326 del 9 de junio de 2020, C–446 del 6 de julio de 2020, C-461 del 13 de julio de 2020, C–668 del 20 de noviembre de 2020, C–742 del 16 de diciembre de 2020, C–045 del 5 de marzo de 2021, C–003 del 26 de marzo de 2021, C–121 del 31 de marzo de 2021, C–143 del 9 de abril de 2021, C–202 del 7 de mayo de 2021, C–219 del 19 de mayo de 2021, C–368 del 28 de julio de 2021, C–392 del 5 de agosto de 2021, C–513 del 23 de septiembre de 2021, C–590 del 12 de octubre de 2021, C-068 del 9 de marzo de 2022, C-220 del 22 de abril de 2022, C-351 del 23 de mayo de 2022, C-392 del 16 de junio de 2022, C-411 del 4 de diciembre de 2023, C-486 del 29 de mayo de 2025, C-687 del 5 de junio de 2026</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4"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23476972" w14:textId="77777777" w:rsidR="00114178" w:rsidRPr="00096788" w:rsidRDefault="00114178" w:rsidP="00114178">
      <w:pPr>
        <w:widowControl w:val="0"/>
        <w:autoSpaceDE w:val="0"/>
        <w:autoSpaceDN w:val="0"/>
        <w:spacing w:after="0" w:line="276" w:lineRule="auto"/>
        <w:jc w:val="both"/>
        <w:rPr>
          <w:rFonts w:ascii="Verdana" w:hAnsi="Verdana" w:cs="Arial"/>
          <w:color w:val="000000" w:themeColor="text1"/>
          <w:shd w:val="clear" w:color="auto" w:fill="FFFFFF"/>
        </w:rPr>
      </w:pPr>
    </w:p>
    <w:p w14:paraId="05A50C3D" w14:textId="77777777" w:rsidR="00114178" w:rsidRPr="00F42673" w:rsidRDefault="00114178" w:rsidP="0011417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lastRenderedPageBreak/>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27D34120" w14:textId="77777777" w:rsidR="00114178" w:rsidRPr="00F42673" w:rsidRDefault="00114178" w:rsidP="00114178">
      <w:pPr>
        <w:spacing w:after="0" w:line="276" w:lineRule="auto"/>
        <w:jc w:val="both"/>
        <w:rPr>
          <w:rFonts w:ascii="Verdana" w:eastAsia="Times New Roman" w:hAnsi="Verdana" w:cs="Times New Roman"/>
          <w:color w:val="000000"/>
          <w:lang w:eastAsia="es-MX"/>
        </w:rPr>
      </w:pPr>
    </w:p>
    <w:p w14:paraId="6E762E9B" w14:textId="77777777" w:rsidR="00114178" w:rsidRPr="00F42673" w:rsidRDefault="00114178" w:rsidP="0011417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6"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46E6E32C" w14:textId="77777777" w:rsidR="00114178" w:rsidRPr="00F42673" w:rsidRDefault="00114178" w:rsidP="00114178">
      <w:pPr>
        <w:spacing w:after="0" w:line="276" w:lineRule="auto"/>
        <w:jc w:val="both"/>
        <w:rPr>
          <w:rFonts w:ascii="Verdana" w:eastAsia="Times New Roman" w:hAnsi="Verdana" w:cs="Times New Roman"/>
          <w:color w:val="000000"/>
          <w:lang w:eastAsia="es-MX"/>
        </w:rPr>
      </w:pPr>
    </w:p>
    <w:p w14:paraId="22A5FA5C" w14:textId="77777777" w:rsidR="00114178" w:rsidRPr="00F42673" w:rsidRDefault="00114178" w:rsidP="0011417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54825A10" w14:textId="77777777" w:rsidR="00114178" w:rsidRPr="00F42673" w:rsidRDefault="00114178" w:rsidP="00114178">
      <w:pPr>
        <w:spacing w:after="0" w:line="276" w:lineRule="auto"/>
        <w:jc w:val="both"/>
        <w:rPr>
          <w:rFonts w:ascii="Verdana" w:eastAsia="Times New Roman" w:hAnsi="Verdana" w:cs="Times New Roman"/>
          <w:color w:val="000000"/>
          <w:lang w:eastAsia="es-MX"/>
        </w:rPr>
      </w:pPr>
    </w:p>
    <w:p w14:paraId="27C5EBF5" w14:textId="77777777" w:rsidR="00114178" w:rsidRPr="00797CA8" w:rsidRDefault="00114178" w:rsidP="00114178">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lastRenderedPageBreak/>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6EF9EF2B" w14:textId="77777777" w:rsidR="00114178" w:rsidRDefault="00114178" w:rsidP="00114178">
      <w:pPr>
        <w:shd w:val="clear" w:color="auto" w:fill="FFFFFF"/>
        <w:spacing w:after="0" w:line="276" w:lineRule="auto"/>
        <w:jc w:val="both"/>
        <w:rPr>
          <w:rFonts w:ascii="Verdana" w:hAnsi="Verdana"/>
          <w:color w:val="000000"/>
          <w:u w:val="single"/>
        </w:rPr>
      </w:pPr>
    </w:p>
    <w:p w14:paraId="0559244F" w14:textId="77777777" w:rsidR="00114178" w:rsidRPr="00116940" w:rsidRDefault="00114178" w:rsidP="00114178">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47D29C87" w14:textId="77777777" w:rsidR="00114178" w:rsidRPr="00116940" w:rsidRDefault="00114178" w:rsidP="00114178">
      <w:pPr>
        <w:spacing w:after="0"/>
        <w:jc w:val="both"/>
        <w:rPr>
          <w:rFonts w:ascii="Verdana" w:hAnsi="Verdana"/>
        </w:rPr>
      </w:pPr>
    </w:p>
    <w:p w14:paraId="75CBB8DD" w14:textId="77777777" w:rsidR="00114178" w:rsidRPr="00116940" w:rsidRDefault="00114178" w:rsidP="00114178">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237FDD9D" w14:textId="77777777" w:rsidR="00114178" w:rsidRPr="00116940" w:rsidRDefault="00114178" w:rsidP="00114178">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7B659617" w14:textId="77777777" w:rsidR="00114178" w:rsidRPr="00116940" w:rsidRDefault="00114178" w:rsidP="0011417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9">
        <w:r w:rsidRPr="00116940">
          <w:rPr>
            <w:rStyle w:val="Hipervnculo"/>
            <w:rFonts w:ascii="Verdana" w:eastAsia="Verdana" w:hAnsi="Verdana" w:cs="Verdana"/>
            <w:lang w:val="es-MX"/>
          </w:rPr>
          <w:t>ventanilladeradicacion@colombiacompra.gov.co</w:t>
        </w:r>
      </w:hyperlink>
    </w:p>
    <w:p w14:paraId="033BEA31" w14:textId="77777777" w:rsidR="00114178" w:rsidRPr="00116940" w:rsidRDefault="00114178" w:rsidP="0011417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20">
        <w:r w:rsidRPr="00116940">
          <w:rPr>
            <w:rStyle w:val="Hipervnculo"/>
            <w:rFonts w:ascii="Verdana" w:eastAsia="Verdana" w:hAnsi="Verdana" w:cs="Verdana"/>
            <w:lang w:val="es-MX"/>
          </w:rPr>
          <w:t>https://www.colombiacompra.gov.co/pqrsd/informacion-importante-antes-de-formular-una-pqrsd</w:t>
        </w:r>
      </w:hyperlink>
    </w:p>
    <w:p w14:paraId="2C941A9E" w14:textId="77777777" w:rsidR="00114178" w:rsidRPr="00116940" w:rsidRDefault="00114178" w:rsidP="00114178">
      <w:pPr>
        <w:spacing w:after="0" w:line="240" w:lineRule="auto"/>
        <w:ind w:left="720"/>
        <w:jc w:val="both"/>
        <w:rPr>
          <w:rFonts w:ascii="Verdana" w:hAnsi="Verdana"/>
        </w:rPr>
      </w:pPr>
    </w:p>
    <w:p w14:paraId="48CDD772" w14:textId="77777777" w:rsidR="00114178" w:rsidRPr="00116940" w:rsidRDefault="00114178" w:rsidP="00114178">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1"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1BCF1C2A" w14:textId="77777777" w:rsidR="00114178" w:rsidRPr="00116940" w:rsidRDefault="00114178" w:rsidP="00114178">
      <w:pPr>
        <w:spacing w:after="0" w:line="240" w:lineRule="auto"/>
        <w:rPr>
          <w:rFonts w:ascii="Verdana" w:hAnsi="Verdana"/>
        </w:rPr>
      </w:pPr>
    </w:p>
    <w:p w14:paraId="73783260" w14:textId="77777777" w:rsidR="00114178" w:rsidRPr="00116940" w:rsidRDefault="00114178" w:rsidP="00114178">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53172C7" w14:textId="77777777" w:rsidR="00114178" w:rsidRPr="00116940" w:rsidRDefault="00114178" w:rsidP="00114178">
      <w:pPr>
        <w:spacing w:after="0" w:line="240" w:lineRule="auto"/>
        <w:jc w:val="both"/>
        <w:rPr>
          <w:rFonts w:ascii="Verdana" w:hAnsi="Verdana"/>
        </w:rPr>
      </w:pPr>
    </w:p>
    <w:p w14:paraId="350D1755" w14:textId="77777777" w:rsidR="00114178" w:rsidRPr="00116940" w:rsidRDefault="00114178" w:rsidP="00114178">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5244E5F4" w14:textId="77777777" w:rsidR="00114178" w:rsidRPr="00116940" w:rsidRDefault="00114178" w:rsidP="00114178">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3836A5D2" w14:textId="77777777" w:rsidR="00114178" w:rsidRPr="00116940" w:rsidRDefault="00114178" w:rsidP="00114178">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3843D83" w14:textId="77777777" w:rsidR="00114178" w:rsidRPr="009C4035" w:rsidRDefault="00114178" w:rsidP="00114178">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2338845D" w14:textId="77777777" w:rsidR="00114178" w:rsidRPr="00593A5F" w:rsidRDefault="00114178" w:rsidP="00114178">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 xml:space="preserve">y las </w:t>
      </w:r>
      <w:r w:rsidRPr="00593A5F">
        <w:rPr>
          <w:rFonts w:ascii="Verdana" w:hAnsi="Verdana" w:cs="Arial"/>
          <w:lang w:val="es-ES_tradnl"/>
        </w:rPr>
        <w:lastRenderedPageBreak/>
        <w:t>expresiones aquí utilizadas con mayúscula inicial deben ser entendidas con el significado que les otorga el artículo 2.2.1.1.1.3.1. del Decreto 1082 de 2015.</w:t>
      </w:r>
    </w:p>
    <w:p w14:paraId="4A3A98FC" w14:textId="77777777" w:rsidR="00114178" w:rsidRPr="00593A5F" w:rsidRDefault="00114178" w:rsidP="00114178">
      <w:pPr>
        <w:widowControl w:val="0"/>
        <w:autoSpaceDE w:val="0"/>
        <w:autoSpaceDN w:val="0"/>
        <w:spacing w:after="0" w:line="276" w:lineRule="auto"/>
        <w:jc w:val="both"/>
        <w:rPr>
          <w:rFonts w:ascii="Verdana" w:hAnsi="Verdana" w:cs="Arial"/>
        </w:rPr>
      </w:pPr>
    </w:p>
    <w:p w14:paraId="450BD40A" w14:textId="77777777" w:rsidR="00114178" w:rsidRPr="00593A5F" w:rsidRDefault="00114178" w:rsidP="00114178">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71D24AF6" w14:textId="2788BB15" w:rsidR="00114178" w:rsidRPr="00593A5F" w:rsidRDefault="002B1A07" w:rsidP="00114178">
      <w:pPr>
        <w:spacing w:line="276" w:lineRule="auto"/>
        <w:jc w:val="center"/>
        <w:rPr>
          <w:rFonts w:ascii="Verdana" w:hAnsi="Verdana" w:cs="Arial"/>
          <w:color w:val="000000"/>
          <w:lang w:val="es-ES_tradnl" w:eastAsia="es-CO"/>
        </w:rPr>
      </w:pPr>
      <w:r>
        <w:rPr>
          <w:noProof/>
        </w:rPr>
        <w:drawing>
          <wp:inline distT="0" distB="0" distL="0" distR="0" wp14:anchorId="437DCD6D" wp14:editId="4C3E9C4C">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2"/>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14178" w:rsidRPr="00593A5F" w14:paraId="7D64EB3A" w14:textId="77777777" w:rsidTr="00375D38">
        <w:trPr>
          <w:trHeight w:val="315"/>
        </w:trPr>
        <w:tc>
          <w:tcPr>
            <w:tcW w:w="893" w:type="dxa"/>
            <w:vAlign w:val="center"/>
            <w:hideMark/>
          </w:tcPr>
          <w:p w14:paraId="2B92BC93" w14:textId="77777777" w:rsidR="00114178" w:rsidRPr="003751C7" w:rsidRDefault="00114178" w:rsidP="00375D38">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7591AF6" w14:textId="77777777" w:rsidR="00114178" w:rsidRPr="00254A7A" w:rsidRDefault="00114178" w:rsidP="00375D38">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706C14C0" w14:textId="77777777" w:rsidR="00114178" w:rsidRPr="00254A7A" w:rsidRDefault="00114178" w:rsidP="00375D38">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114178" w:rsidRPr="00593A5F" w14:paraId="134C67B6" w14:textId="77777777" w:rsidTr="00375D38">
        <w:trPr>
          <w:trHeight w:val="330"/>
        </w:trPr>
        <w:tc>
          <w:tcPr>
            <w:tcW w:w="893" w:type="dxa"/>
            <w:vAlign w:val="center"/>
            <w:hideMark/>
          </w:tcPr>
          <w:p w14:paraId="23A11C6A" w14:textId="77777777" w:rsidR="00114178" w:rsidRPr="003751C7" w:rsidRDefault="00114178" w:rsidP="00375D38">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6CBCA39" w14:textId="77777777" w:rsidR="00114178" w:rsidRPr="000377DD" w:rsidRDefault="00114178" w:rsidP="00375D38">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0319E3FF" w14:textId="77777777" w:rsidR="00114178" w:rsidRPr="00A40FD0" w:rsidRDefault="00114178" w:rsidP="00375D38">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114178" w:rsidRPr="00593A5F" w14:paraId="0C9D4748" w14:textId="77777777" w:rsidTr="00375D38">
        <w:trPr>
          <w:trHeight w:val="300"/>
        </w:trPr>
        <w:tc>
          <w:tcPr>
            <w:tcW w:w="893" w:type="dxa"/>
            <w:vAlign w:val="center"/>
          </w:tcPr>
          <w:p w14:paraId="75335BD3" w14:textId="77777777" w:rsidR="00114178" w:rsidRPr="003751C7" w:rsidRDefault="00114178" w:rsidP="00375D38">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E56B306" w14:textId="77777777" w:rsidR="00114178" w:rsidRPr="00FE00BE" w:rsidRDefault="00114178" w:rsidP="00375D38">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6F1ED34E" w14:textId="77777777" w:rsidR="00114178" w:rsidRPr="00FE00BE" w:rsidRDefault="00114178" w:rsidP="00375D38">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08C456DF" w14:textId="77777777" w:rsidR="00114178" w:rsidRDefault="00114178" w:rsidP="00114178"/>
    <w:p w14:paraId="6F4567F3" w14:textId="77777777" w:rsidR="00114178" w:rsidRPr="00543BFE" w:rsidRDefault="00114178" w:rsidP="00114178">
      <w:r>
        <w:rPr>
          <w:noProof/>
        </w:rPr>
        <w:drawing>
          <wp:inline distT="0" distB="0" distL="0" distR="0" wp14:anchorId="32DEAD9E" wp14:editId="23B74F75">
            <wp:extent cx="2171700" cy="266700"/>
            <wp:effectExtent l="0" t="0" r="0" b="0"/>
            <wp:docPr id="1694888066" name="Imagen 2" descr="--Gra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f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1700" cy="266700"/>
                    </a:xfrm>
                    <a:prstGeom prst="rect">
                      <a:avLst/>
                    </a:prstGeom>
                    <a:noFill/>
                    <a:ln>
                      <a:noFill/>
                    </a:ln>
                  </pic:spPr>
                </pic:pic>
              </a:graphicData>
            </a:graphic>
          </wp:inline>
        </w:drawing>
      </w:r>
    </w:p>
    <w:p w14:paraId="0F293BF4" w14:textId="623D2106" w:rsidR="00127233" w:rsidRPr="00ED7230" w:rsidRDefault="00127233" w:rsidP="00ED7230"/>
    <w:sectPr w:rsidR="00127233" w:rsidRPr="00ED7230" w:rsidSect="007C0C0F">
      <w:headerReference w:type="default" r:id="rId24"/>
      <w:footerReference w:type="default" r:id="rId2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84AA" w14:textId="77777777" w:rsidR="004D3547" w:rsidRDefault="004D3547" w:rsidP="004A1847">
      <w:pPr>
        <w:spacing w:after="0" w:line="240" w:lineRule="auto"/>
      </w:pPr>
      <w:r>
        <w:separator/>
      </w:r>
    </w:p>
  </w:endnote>
  <w:endnote w:type="continuationSeparator" w:id="0">
    <w:p w14:paraId="08933D87" w14:textId="77777777" w:rsidR="004D3547" w:rsidRDefault="004D354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w:altName w:val="Arial"/>
    <w:charset w:val="00"/>
    <w:family w:val="auto"/>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7B2E" w14:textId="77777777" w:rsidR="004D3547" w:rsidRDefault="004D3547" w:rsidP="004A1847">
      <w:pPr>
        <w:spacing w:after="0" w:line="240" w:lineRule="auto"/>
      </w:pPr>
      <w:r>
        <w:separator/>
      </w:r>
    </w:p>
  </w:footnote>
  <w:footnote w:type="continuationSeparator" w:id="0">
    <w:p w14:paraId="7D47B64F" w14:textId="77777777" w:rsidR="004D3547" w:rsidRDefault="004D3547" w:rsidP="004A1847">
      <w:pPr>
        <w:spacing w:after="0" w:line="240" w:lineRule="auto"/>
      </w:pPr>
      <w:r>
        <w:continuationSeparator/>
      </w:r>
    </w:p>
  </w:footnote>
  <w:footnote w:id="1">
    <w:p w14:paraId="4A6FF2CD" w14:textId="77777777" w:rsidR="00114178" w:rsidRPr="00324EE2" w:rsidRDefault="00114178" w:rsidP="00114178">
      <w:pPr>
        <w:pStyle w:val="Textonotapie"/>
        <w:ind w:firstLine="708"/>
        <w:jc w:val="both"/>
        <w:rPr>
          <w:rFonts w:ascii="Verdana" w:eastAsia="Calibri" w:hAnsi="Verdana" w:cs="Arial"/>
          <w:color w:val="000000" w:themeColor="text1"/>
          <w:sz w:val="16"/>
          <w:szCs w:val="16"/>
        </w:rPr>
      </w:pPr>
      <w:r w:rsidRPr="00324EE2">
        <w:rPr>
          <w:rStyle w:val="Refdenotaalpie"/>
          <w:rFonts w:ascii="Verdana" w:hAnsi="Verdana" w:cs="Arial"/>
          <w:color w:val="000000" w:themeColor="text1"/>
          <w:sz w:val="16"/>
          <w:szCs w:val="16"/>
        </w:rPr>
        <w:footnoteRef/>
      </w:r>
      <w:r w:rsidRPr="00324EE2">
        <w:rPr>
          <w:rFonts w:ascii="Verdana" w:hAnsi="Verdana" w:cs="Arial"/>
          <w:color w:val="000000" w:themeColor="text1"/>
          <w:sz w:val="16"/>
          <w:szCs w:val="16"/>
        </w:rPr>
        <w:t xml:space="preserve"> </w:t>
      </w:r>
      <w:r w:rsidRPr="00324EE2">
        <w:rPr>
          <w:rFonts w:ascii="Verdana" w:eastAsia="Calibri" w:hAnsi="Verdana" w:cs="Arial"/>
          <w:color w:val="000000" w:themeColor="text1"/>
          <w:sz w:val="16"/>
          <w:szCs w:val="16"/>
        </w:rPr>
        <w:t xml:space="preserve">Decreto 1082 de 2015: “Articulo 2.2.1.1.1.3.1. Definiciones. 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 </w:t>
      </w:r>
    </w:p>
    <w:p w14:paraId="43C27E43" w14:textId="77777777" w:rsidR="00114178" w:rsidRPr="00324EE2" w:rsidRDefault="00114178" w:rsidP="00114178">
      <w:pPr>
        <w:pStyle w:val="Textonotapie"/>
        <w:ind w:firstLine="708"/>
        <w:jc w:val="both"/>
        <w:rPr>
          <w:rFonts w:ascii="Verdana" w:eastAsia="Calibri" w:hAnsi="Verdana" w:cs="Arial"/>
          <w:color w:val="000000" w:themeColor="text1"/>
          <w:sz w:val="16"/>
          <w:szCs w:val="16"/>
        </w:rPr>
      </w:pPr>
      <w:r w:rsidRPr="00324EE2">
        <w:rPr>
          <w:rFonts w:ascii="Verdana" w:eastAsia="Calibri" w:hAnsi="Verdana" w:cs="Arial"/>
          <w:color w:val="000000" w:themeColor="text1"/>
          <w:sz w:val="16"/>
          <w:szCs w:val="16"/>
        </w:rPr>
        <w:t>[…]</w:t>
      </w:r>
    </w:p>
    <w:p w14:paraId="17729760" w14:textId="77777777" w:rsidR="00114178" w:rsidRPr="00324EE2" w:rsidRDefault="00114178" w:rsidP="00114178">
      <w:pPr>
        <w:pStyle w:val="Textonotapie"/>
        <w:ind w:firstLine="708"/>
        <w:jc w:val="both"/>
        <w:rPr>
          <w:rFonts w:ascii="Verdana" w:hAnsi="Verdana" w:cs="Arial"/>
          <w:color w:val="000000" w:themeColor="text1"/>
          <w:sz w:val="16"/>
          <w:szCs w:val="16"/>
          <w:lang w:val="es-CO"/>
        </w:rPr>
      </w:pPr>
      <w:r w:rsidRPr="00324EE2">
        <w:rPr>
          <w:rFonts w:ascii="Verdana" w:eastAsia="Calibri" w:hAnsi="Verdana" w:cs="Arial"/>
          <w:color w:val="000000" w:themeColor="text1"/>
          <w:sz w:val="16"/>
          <w:szCs w:val="16"/>
        </w:rPr>
        <w:t>Capacidad Residual o K de Contratación: Aptitud de un oferente para cumplir oportuna y cabalmente con el objeto de un contrato de obra, sin que sus otros compromisos contractuales afecten su habilidad de cumplir con el contrato que está en proceso de selección”.</w:t>
      </w:r>
      <w:r w:rsidRPr="00324EE2">
        <w:rPr>
          <w:rFonts w:ascii="Verdana" w:hAnsi="Verdana" w:cs="Arial"/>
          <w:color w:val="000000" w:themeColor="text1"/>
          <w:sz w:val="16"/>
          <w:szCs w:val="16"/>
          <w:lang w:val="es-CO"/>
        </w:rPr>
        <w:t xml:space="preserve"> </w:t>
      </w:r>
    </w:p>
  </w:footnote>
  <w:footnote w:id="2">
    <w:p w14:paraId="2225F8D9" w14:textId="77777777" w:rsidR="00114178" w:rsidRPr="00324EE2" w:rsidRDefault="00114178" w:rsidP="00114178">
      <w:pPr>
        <w:pStyle w:val="Textonotapie"/>
        <w:ind w:firstLine="708"/>
        <w:jc w:val="both"/>
        <w:rPr>
          <w:rFonts w:ascii="Verdana" w:hAnsi="Verdana" w:cs="Arial"/>
          <w:color w:val="000000" w:themeColor="text1"/>
          <w:sz w:val="16"/>
          <w:szCs w:val="16"/>
          <w:lang w:val="es-CO"/>
        </w:rPr>
      </w:pPr>
      <w:r w:rsidRPr="00324EE2">
        <w:rPr>
          <w:rFonts w:ascii="Verdana" w:eastAsia="Calibri" w:hAnsi="Verdana" w:cs="Arial"/>
          <w:color w:val="000000" w:themeColor="text1"/>
          <w:sz w:val="16"/>
          <w:szCs w:val="16"/>
          <w:vertAlign w:val="superscript"/>
        </w:rPr>
        <w:footnoteRef/>
      </w:r>
      <w:r w:rsidRPr="00324EE2">
        <w:rPr>
          <w:rFonts w:ascii="Verdana" w:eastAsia="Calibri" w:hAnsi="Verdana" w:cs="Arial"/>
          <w:color w:val="000000" w:themeColor="text1"/>
          <w:sz w:val="16"/>
          <w:szCs w:val="16"/>
          <w:vertAlign w:val="superscript"/>
        </w:rPr>
        <w:t xml:space="preserve"> </w:t>
      </w:r>
      <w:r w:rsidRPr="00324EE2">
        <w:rPr>
          <w:rFonts w:ascii="Verdana" w:eastAsia="Calibri" w:hAnsi="Verdana" w:cs="Arial"/>
          <w:color w:val="000000" w:themeColor="text1"/>
          <w:sz w:val="16"/>
          <w:szCs w:val="16"/>
        </w:rPr>
        <w:t xml:space="preserve">Consejo de Estado. Sección Tercera. Sentencia del 26 de junio de 2003. Rad. 13.354. C.P: María Elena Giraldo Gómez. </w:t>
      </w:r>
    </w:p>
  </w:footnote>
  <w:footnote w:id="3">
    <w:p w14:paraId="25C84E70" w14:textId="77777777" w:rsidR="00114178" w:rsidRPr="00324EE2" w:rsidRDefault="00114178" w:rsidP="00114178">
      <w:pPr>
        <w:pStyle w:val="NormalWeb"/>
        <w:shd w:val="clear" w:color="auto" w:fill="FFFFFF"/>
        <w:spacing w:before="0" w:beforeAutospacing="0" w:after="0" w:afterAutospacing="0"/>
        <w:ind w:firstLine="708"/>
        <w:jc w:val="both"/>
        <w:rPr>
          <w:rFonts w:ascii="Verdana" w:hAnsi="Verdana" w:cs="Arial"/>
          <w:sz w:val="16"/>
          <w:szCs w:val="16"/>
        </w:rPr>
      </w:pPr>
      <w:r w:rsidRPr="00324EE2">
        <w:rPr>
          <w:rStyle w:val="Refdenotaalpie"/>
          <w:rFonts w:ascii="Verdana" w:hAnsi="Verdana" w:cs="Arial"/>
          <w:sz w:val="16"/>
          <w:szCs w:val="16"/>
          <w:lang w:val="es-MX"/>
        </w:rPr>
        <w:footnoteRef/>
      </w:r>
      <w:r w:rsidRPr="00324EE2">
        <w:rPr>
          <w:rStyle w:val="Refdenotaalpie"/>
          <w:rFonts w:ascii="Verdana" w:hAnsi="Verdana" w:cs="Arial"/>
          <w:sz w:val="16"/>
          <w:szCs w:val="16"/>
          <w:lang w:val="es-MX"/>
        </w:rPr>
        <w:t xml:space="preserve"> </w:t>
      </w:r>
      <w:r w:rsidRPr="00324EE2">
        <w:rPr>
          <w:rFonts w:ascii="Verdana" w:hAnsi="Verdana" w:cs="Arial"/>
          <w:sz w:val="16"/>
          <w:szCs w:val="16"/>
        </w:rPr>
        <w:t>“Artículo 2.2.1.1.1.6.4. Capacidad Residual: El interesado en celebrar contratos de obra pública con Entidades Estatales debe acreditar su Capacidad Residual o K de Contratación con los siguientes documentos:</w:t>
      </w:r>
    </w:p>
    <w:p w14:paraId="1075DB9C" w14:textId="77777777" w:rsidR="00114178" w:rsidRPr="00324EE2" w:rsidRDefault="00114178" w:rsidP="00114178">
      <w:pPr>
        <w:shd w:val="clear" w:color="auto" w:fill="FFFFFF"/>
        <w:spacing w:after="0" w:line="240" w:lineRule="auto"/>
        <w:ind w:firstLine="708"/>
        <w:jc w:val="both"/>
        <w:rPr>
          <w:rFonts w:ascii="Verdana" w:hAnsi="Verdana" w:cs="Arial"/>
          <w:sz w:val="16"/>
          <w:szCs w:val="16"/>
        </w:rPr>
      </w:pPr>
      <w:r w:rsidRPr="00324EE2">
        <w:rPr>
          <w:rFonts w:ascii="Verdana" w:hAnsi="Verdana" w:cs="Arial"/>
          <w:sz w:val="16"/>
          <w:szCs w:val="16"/>
        </w:rPr>
        <w:t>1. La lista de los contratos de obras civiles en ejecución suscritos con Entidades Estatales y con entidades privadas, así como el valor y plazo de tales contratos, incluyendo contratos de concesión y los contratos de obra suscritos con concesionarios.</w:t>
      </w:r>
    </w:p>
    <w:p w14:paraId="147696A3" w14:textId="77777777" w:rsidR="00114178" w:rsidRPr="00324EE2" w:rsidRDefault="00114178" w:rsidP="00114178">
      <w:pPr>
        <w:shd w:val="clear" w:color="auto" w:fill="FFFFFF"/>
        <w:spacing w:after="0" w:line="240" w:lineRule="auto"/>
        <w:ind w:firstLine="708"/>
        <w:jc w:val="both"/>
        <w:rPr>
          <w:rFonts w:ascii="Verdana" w:hAnsi="Verdana" w:cs="Arial"/>
          <w:sz w:val="16"/>
          <w:szCs w:val="16"/>
        </w:rPr>
      </w:pPr>
      <w:r w:rsidRPr="00324EE2">
        <w:rPr>
          <w:rFonts w:ascii="Verdana" w:hAnsi="Verdana" w:cs="Arial"/>
          <w:sz w:val="16"/>
          <w:szCs w:val="16"/>
        </w:rPr>
        <w:t>2. La lista de los contratos de obras civiles en ejecución, suscritos por sociedades, consorcios o uniones temporales, en los cuales el proponente tenga participación, con Entidades Estatales y con entidades privadas, así como el valor y plazo de tales contratos, incluyendo los contratos de concesión y los contratos de obra suscritos con concesionarios.</w:t>
      </w:r>
    </w:p>
    <w:p w14:paraId="247DB013" w14:textId="77777777" w:rsidR="00114178" w:rsidRPr="00324EE2" w:rsidRDefault="00114178" w:rsidP="00114178">
      <w:pPr>
        <w:shd w:val="clear" w:color="auto" w:fill="FFFFFF"/>
        <w:spacing w:after="0" w:line="240" w:lineRule="auto"/>
        <w:ind w:firstLine="708"/>
        <w:jc w:val="both"/>
        <w:rPr>
          <w:rFonts w:ascii="Verdana" w:hAnsi="Verdana" w:cs="Arial"/>
          <w:sz w:val="16"/>
          <w:szCs w:val="16"/>
        </w:rPr>
      </w:pPr>
      <w:r w:rsidRPr="00324EE2">
        <w:rPr>
          <w:rFonts w:ascii="Verdana" w:hAnsi="Verdana" w:cs="Arial"/>
          <w:sz w:val="16"/>
          <w:szCs w:val="16"/>
        </w:rPr>
        <w:t>3. Balance general auditado del año inmediatamente anterior y estado de resultados auditado del año en que haya obtenido el mayor ingreso operacional en los últimos cinco (5) años. Los estados financieros deben estar suscritos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w:t>
      </w:r>
    </w:p>
  </w:footnote>
  <w:footnote w:id="4">
    <w:p w14:paraId="04D89FF9" w14:textId="77777777" w:rsidR="00114178" w:rsidRPr="00E8735C" w:rsidRDefault="00114178" w:rsidP="00114178">
      <w:pPr>
        <w:pStyle w:val="Textonotapie"/>
        <w:ind w:firstLine="709"/>
        <w:jc w:val="both"/>
        <w:rPr>
          <w:rFonts w:ascii="Verdana" w:hAnsi="Verdana" w:cs="Arial"/>
          <w:color w:val="000000"/>
          <w:sz w:val="16"/>
          <w:szCs w:val="16"/>
        </w:rPr>
      </w:pPr>
      <w:r w:rsidRPr="00E8735C">
        <w:rPr>
          <w:rStyle w:val="Refdenotaalpie"/>
          <w:rFonts w:ascii="Verdana" w:hAnsi="Verdana" w:cs="Arial"/>
          <w:color w:val="000000"/>
          <w:sz w:val="16"/>
          <w:szCs w:val="16"/>
        </w:rPr>
        <w:footnoteRef/>
      </w:r>
      <w:r w:rsidRPr="00E8735C">
        <w:rPr>
          <w:rFonts w:ascii="Verdana" w:hAnsi="Verdana" w:cs="Arial"/>
          <w:color w:val="000000"/>
          <w:sz w:val="16"/>
          <w:szCs w:val="16"/>
        </w:rPr>
        <w:t xml:space="preserve"> ALESSANDRI RODRÍGUEZ, Arturo. De los contratos. Santiago de Chile: Editorial Jurídica EDIAR-CONOCSUR LTDA, 1988. p. 182. Particularmente, tomando como referencia las reglas del artículo 2060 del Código Civil, la doctrina define el contrato de construcción como “[…] aquel en que el propietario o mandante encarga al constructor o contratista la ejecución de una obra conforme a un proyecto determinado, la que debe ser ejecutada en el plazo y precio convenido. El objeto del contrato consistirá en la ejecución de la obra, la que estará sujeta a un proyecto, entendiéndose por tal el conjunto de planos, especificaciones técnicas, memorias de cálculo y demás antecedentes que permitan establecer o precisar aquello que se debe ejecutar, dentro de un determinado plazo y a un precio convenido, el que incluye los costos directos, los gastos generales y la utilidad a que tiene derecho el contratista” (MOLINA ZALDÍVAR, Carlos y RÍOS SALAS, Víctor. Derecho de la construcción. Santiago de Chile: O 'Print Impresores S.A, 2016. p. 22).  </w:t>
      </w:r>
    </w:p>
  </w:footnote>
  <w:footnote w:id="5">
    <w:p w14:paraId="057DC97C" w14:textId="77777777" w:rsidR="00114178" w:rsidRPr="00404261" w:rsidRDefault="00114178" w:rsidP="00114178">
      <w:pPr>
        <w:pStyle w:val="Textonotapie"/>
        <w:ind w:firstLine="708"/>
        <w:jc w:val="both"/>
        <w:rPr>
          <w:rFonts w:ascii="Verdana" w:hAnsi="Verdana"/>
          <w:sz w:val="16"/>
          <w:szCs w:val="16"/>
          <w:lang w:val="es-CO"/>
        </w:rPr>
      </w:pPr>
      <w:r w:rsidRPr="00404261">
        <w:rPr>
          <w:rStyle w:val="Refdenotaalpie"/>
          <w:rFonts w:ascii="Verdana" w:hAnsi="Verdana"/>
          <w:sz w:val="16"/>
          <w:szCs w:val="16"/>
        </w:rPr>
        <w:footnoteRef/>
      </w:r>
      <w:r w:rsidRPr="00404261">
        <w:rPr>
          <w:rFonts w:ascii="Verdana" w:hAnsi="Verdana"/>
          <w:sz w:val="16"/>
          <w:szCs w:val="16"/>
        </w:rPr>
        <w:t xml:space="preserve"> </w:t>
      </w:r>
      <w:r>
        <w:rPr>
          <w:rFonts w:ascii="Verdana" w:hAnsi="Verdana"/>
          <w:sz w:val="16"/>
          <w:szCs w:val="16"/>
        </w:rPr>
        <w:t>De acuerdo con el artículo 29 del Código Civil, “</w:t>
      </w:r>
      <w:r w:rsidRPr="00404261">
        <w:rPr>
          <w:rFonts w:ascii="Verdana" w:hAnsi="Verdana"/>
          <w:sz w:val="16"/>
          <w:szCs w:val="16"/>
        </w:rPr>
        <w:t>Las palabras técnicas de toda ciencia o arte se tomarán en el sentido que les den los que profesan la misma ciencia o arte; a menos que aparezca claramente que se han formado en sentido diverso</w:t>
      </w:r>
      <w:r>
        <w:rPr>
          <w:rFonts w:ascii="Verdana" w:hAnsi="Verdana"/>
          <w:sz w:val="16"/>
          <w:szCs w:val="16"/>
        </w:rPr>
        <w:t>”</w:t>
      </w:r>
      <w:r w:rsidRPr="00404261">
        <w:rPr>
          <w:rFonts w:ascii="Verdana" w:hAnsi="Verdana"/>
          <w:sz w:val="16"/>
          <w:szCs w:val="16"/>
        </w:rPr>
        <w:t>.</w:t>
      </w:r>
      <w:r>
        <w:rPr>
          <w:rFonts w:ascii="Verdana" w:hAnsi="Verdana"/>
          <w:sz w:val="16"/>
          <w:szCs w:val="16"/>
        </w:rPr>
        <w:t xml:space="preserve"> Sobre su alcance, dicho artículo “</w:t>
      </w:r>
      <w:r w:rsidRPr="00DA4CF1">
        <w:rPr>
          <w:rFonts w:ascii="Verdana" w:hAnsi="Verdana"/>
          <w:sz w:val="16"/>
          <w:szCs w:val="16"/>
        </w:rPr>
        <w:t>[…] no puede ser rastreado en el Proyecto de Código Civil francés del año viii, sino […] en Blackstone –</w:t>
      </w:r>
      <w:r>
        <w:rPr>
          <w:rFonts w:ascii="Verdana" w:hAnsi="Verdana"/>
          <w:sz w:val="16"/>
          <w:szCs w:val="16"/>
        </w:rPr>
        <w:t>‘</w:t>
      </w:r>
      <w:r w:rsidRPr="00DA4CF1">
        <w:rPr>
          <w:rFonts w:ascii="Verdana" w:hAnsi="Verdana"/>
          <w:sz w:val="16"/>
          <w:szCs w:val="16"/>
        </w:rPr>
        <w:t>Por otra parte, los términos del arte, o términos técnicos, deben ser tomados de acuerdo con la acepción de los peritos en cada arte, oficio y ciencia’–, en Pufendorf –</w:t>
      </w:r>
      <w:r>
        <w:rPr>
          <w:rFonts w:ascii="Verdana" w:hAnsi="Verdana"/>
          <w:sz w:val="16"/>
          <w:szCs w:val="16"/>
        </w:rPr>
        <w:t>‘</w:t>
      </w:r>
      <w:r w:rsidRPr="00DA4CF1">
        <w:rPr>
          <w:rFonts w:ascii="Verdana" w:hAnsi="Verdana"/>
          <w:sz w:val="16"/>
          <w:szCs w:val="16"/>
        </w:rPr>
        <w:t>Acerca de los vocablos propios de las artes, que el vulgo difícilmente entiende, debe observarse que ellos son explicados según las definiciones de los peritos de cada arte’–, así como en Grocio –</w:t>
      </w:r>
      <w:r>
        <w:rPr>
          <w:rFonts w:ascii="Verdana" w:hAnsi="Verdana"/>
          <w:sz w:val="16"/>
          <w:szCs w:val="16"/>
        </w:rPr>
        <w:t>‘</w:t>
      </w:r>
      <w:r w:rsidRPr="00DA4CF1">
        <w:rPr>
          <w:rFonts w:ascii="Verdana" w:hAnsi="Verdana"/>
          <w:sz w:val="16"/>
          <w:szCs w:val="16"/>
        </w:rPr>
        <w:t>Más en las palabras de las ciencias, que el pueblo apenas comprende, hay que atenerse a la determinación de los sabios en cada ciencia’</w:t>
      </w:r>
      <w:r>
        <w:rPr>
          <w:rFonts w:ascii="Verdana" w:hAnsi="Verdana"/>
          <w:sz w:val="16"/>
          <w:szCs w:val="16"/>
        </w:rPr>
        <w:t xml:space="preserve">” (Cfr. MORENO CRUZ, Pablo &amp; RODRÍGUEZ OLMOS, Javier M. Palabras técnicas. En: </w:t>
      </w:r>
      <w:r>
        <w:rPr>
          <w:rFonts w:ascii="Verdana" w:hAnsi="Verdana"/>
          <w:sz w:val="16"/>
          <w:szCs w:val="16"/>
          <w:lang w:val="es-CO"/>
        </w:rPr>
        <w:t xml:space="preserve">En: </w:t>
      </w:r>
      <w:r w:rsidRPr="00DC1820">
        <w:rPr>
          <w:rFonts w:ascii="Verdana" w:hAnsi="Verdana"/>
          <w:sz w:val="16"/>
          <w:szCs w:val="16"/>
          <w:lang w:val="es-CO"/>
        </w:rPr>
        <w:t>Comentario histórico-crítico del Código Civil colombiano: título preliminar</w:t>
      </w:r>
      <w:r>
        <w:rPr>
          <w:rFonts w:ascii="Verdana" w:hAnsi="Verdana"/>
          <w:sz w:val="16"/>
          <w:szCs w:val="16"/>
          <w:lang w:val="es-CO"/>
        </w:rPr>
        <w:t>. Bogotá: Universidad Externado de Colombia – Tirant lo Blanch, 2026. p. 240).</w:t>
      </w:r>
    </w:p>
  </w:footnote>
  <w:footnote w:id="6">
    <w:p w14:paraId="45A74C19" w14:textId="77777777" w:rsidR="00114178" w:rsidRPr="002850E8" w:rsidRDefault="00114178" w:rsidP="00114178">
      <w:pPr>
        <w:pStyle w:val="Textonotapie"/>
        <w:ind w:firstLine="708"/>
        <w:jc w:val="both"/>
        <w:rPr>
          <w:rFonts w:ascii="Verdana" w:hAnsi="Verdana"/>
          <w:sz w:val="16"/>
          <w:szCs w:val="16"/>
          <w:lang w:val="en-US"/>
        </w:rPr>
      </w:pPr>
      <w:r w:rsidRPr="002850E8">
        <w:rPr>
          <w:rStyle w:val="Refdenotaalpie"/>
          <w:rFonts w:ascii="Verdana" w:hAnsi="Verdana"/>
          <w:sz w:val="16"/>
          <w:szCs w:val="16"/>
        </w:rPr>
        <w:footnoteRef/>
      </w:r>
      <w:r w:rsidRPr="002850E8">
        <w:rPr>
          <w:rFonts w:ascii="Verdana" w:hAnsi="Verdana"/>
          <w:sz w:val="16"/>
          <w:szCs w:val="16"/>
        </w:rPr>
        <w:t xml:space="preserve"> </w:t>
      </w:r>
      <w:r>
        <w:rPr>
          <w:rFonts w:ascii="Verdana" w:hAnsi="Verdana"/>
          <w:sz w:val="16"/>
          <w:szCs w:val="16"/>
        </w:rPr>
        <w:t>PEÑA NOSSA, Lisandro. Contratos empresariales nacionales e internacionales. Séptima edición. Bogotá: ECOE Ediciones, 2022. pp. 401-402.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044A"/>
    <w:rsid w:val="00061B2A"/>
    <w:rsid w:val="00070B4C"/>
    <w:rsid w:val="00082362"/>
    <w:rsid w:val="000A683E"/>
    <w:rsid w:val="000B19B9"/>
    <w:rsid w:val="000D0334"/>
    <w:rsid w:val="000D5DA7"/>
    <w:rsid w:val="000F6486"/>
    <w:rsid w:val="00114178"/>
    <w:rsid w:val="00116940"/>
    <w:rsid w:val="00125105"/>
    <w:rsid w:val="00127233"/>
    <w:rsid w:val="0013440C"/>
    <w:rsid w:val="0015699B"/>
    <w:rsid w:val="001A33BF"/>
    <w:rsid w:val="001A3709"/>
    <w:rsid w:val="001E4177"/>
    <w:rsid w:val="001F0B24"/>
    <w:rsid w:val="001F7DC6"/>
    <w:rsid w:val="0022400B"/>
    <w:rsid w:val="002421BB"/>
    <w:rsid w:val="0025796E"/>
    <w:rsid w:val="002707A2"/>
    <w:rsid w:val="002951A0"/>
    <w:rsid w:val="002962BC"/>
    <w:rsid w:val="002A093D"/>
    <w:rsid w:val="002A0DD0"/>
    <w:rsid w:val="002A49AC"/>
    <w:rsid w:val="002A64FD"/>
    <w:rsid w:val="002B1A07"/>
    <w:rsid w:val="002C7A84"/>
    <w:rsid w:val="002E2BF8"/>
    <w:rsid w:val="002E4FD9"/>
    <w:rsid w:val="002E59CE"/>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52AB8"/>
    <w:rsid w:val="00466E39"/>
    <w:rsid w:val="004A1847"/>
    <w:rsid w:val="004A305D"/>
    <w:rsid w:val="004D3547"/>
    <w:rsid w:val="004F21C4"/>
    <w:rsid w:val="004F685F"/>
    <w:rsid w:val="005566E8"/>
    <w:rsid w:val="00574867"/>
    <w:rsid w:val="00591460"/>
    <w:rsid w:val="005A65E0"/>
    <w:rsid w:val="005C3777"/>
    <w:rsid w:val="005C5CDC"/>
    <w:rsid w:val="005D12FC"/>
    <w:rsid w:val="005D476C"/>
    <w:rsid w:val="005F60B5"/>
    <w:rsid w:val="006200BF"/>
    <w:rsid w:val="006219F8"/>
    <w:rsid w:val="006302F7"/>
    <w:rsid w:val="00646B9F"/>
    <w:rsid w:val="00665D70"/>
    <w:rsid w:val="006900D9"/>
    <w:rsid w:val="00690403"/>
    <w:rsid w:val="006D1411"/>
    <w:rsid w:val="00706C16"/>
    <w:rsid w:val="007340C3"/>
    <w:rsid w:val="0075235A"/>
    <w:rsid w:val="00756841"/>
    <w:rsid w:val="007649AB"/>
    <w:rsid w:val="00771D0C"/>
    <w:rsid w:val="00782BE6"/>
    <w:rsid w:val="007833AC"/>
    <w:rsid w:val="007B268C"/>
    <w:rsid w:val="007B2F6B"/>
    <w:rsid w:val="007B7171"/>
    <w:rsid w:val="007C0C0F"/>
    <w:rsid w:val="007C3DC2"/>
    <w:rsid w:val="007E5497"/>
    <w:rsid w:val="00806F5F"/>
    <w:rsid w:val="00820278"/>
    <w:rsid w:val="008258C9"/>
    <w:rsid w:val="00844AE9"/>
    <w:rsid w:val="00867F95"/>
    <w:rsid w:val="008843B6"/>
    <w:rsid w:val="00891928"/>
    <w:rsid w:val="008A446D"/>
    <w:rsid w:val="008B25F1"/>
    <w:rsid w:val="008C5E69"/>
    <w:rsid w:val="008D180B"/>
    <w:rsid w:val="008D333C"/>
    <w:rsid w:val="008E56A7"/>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2486"/>
    <w:rsid w:val="00A33C78"/>
    <w:rsid w:val="00AB0ADB"/>
    <w:rsid w:val="00B00C0E"/>
    <w:rsid w:val="00B01B1A"/>
    <w:rsid w:val="00B0381D"/>
    <w:rsid w:val="00B44A47"/>
    <w:rsid w:val="00B72CD3"/>
    <w:rsid w:val="00B72FFF"/>
    <w:rsid w:val="00BC3D36"/>
    <w:rsid w:val="00BD54A6"/>
    <w:rsid w:val="00BD7F72"/>
    <w:rsid w:val="00BE57B6"/>
    <w:rsid w:val="00BF7425"/>
    <w:rsid w:val="00C04FB3"/>
    <w:rsid w:val="00C11D8B"/>
    <w:rsid w:val="00C15139"/>
    <w:rsid w:val="00C330EB"/>
    <w:rsid w:val="00C50D69"/>
    <w:rsid w:val="00C5365C"/>
    <w:rsid w:val="00C754BE"/>
    <w:rsid w:val="00C76B1C"/>
    <w:rsid w:val="00C925AC"/>
    <w:rsid w:val="00CB6357"/>
    <w:rsid w:val="00CC1B26"/>
    <w:rsid w:val="00CD5D8E"/>
    <w:rsid w:val="00D361FD"/>
    <w:rsid w:val="00D423A2"/>
    <w:rsid w:val="00D44E26"/>
    <w:rsid w:val="00D520D8"/>
    <w:rsid w:val="00D63AC2"/>
    <w:rsid w:val="00D7383B"/>
    <w:rsid w:val="00D7788A"/>
    <w:rsid w:val="00DA231B"/>
    <w:rsid w:val="00DA5C01"/>
    <w:rsid w:val="00DB23A4"/>
    <w:rsid w:val="00DC39FC"/>
    <w:rsid w:val="00DF5254"/>
    <w:rsid w:val="00E02524"/>
    <w:rsid w:val="00E16408"/>
    <w:rsid w:val="00E20894"/>
    <w:rsid w:val="00E245AB"/>
    <w:rsid w:val="00E2764C"/>
    <w:rsid w:val="00E27F2E"/>
    <w:rsid w:val="00E50AFE"/>
    <w:rsid w:val="00E73828"/>
    <w:rsid w:val="00E75C92"/>
    <w:rsid w:val="00E771DC"/>
    <w:rsid w:val="00E8772A"/>
    <w:rsid w:val="00E90F6B"/>
    <w:rsid w:val="00E92C27"/>
    <w:rsid w:val="00EA0E3D"/>
    <w:rsid w:val="00EC38A7"/>
    <w:rsid w:val="00ED7230"/>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5DD007E2"/>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1417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14178"/>
    <w:rPr>
      <w:rFonts w:ascii="Geomanist Light" w:hAnsi="Geomanist Light"/>
      <w:lang w:val="es-ES"/>
    </w:rPr>
  </w:style>
  <w:style w:type="character" w:customStyle="1" w:styleId="s15">
    <w:name w:val="s15"/>
    <w:basedOn w:val="Fuentedeprrafopredeter"/>
    <w:rsid w:val="00114178"/>
  </w:style>
  <w:style w:type="character" w:customStyle="1" w:styleId="NormalWebCar">
    <w:name w:val="Normal (Web) Car"/>
    <w:link w:val="NormalWeb"/>
    <w:uiPriority w:val="99"/>
    <w:rsid w:val="00114178"/>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wp-content/uploads/2024/08/2023-Guia-para-determinar-y-verificar-la-Capacidad-Residual-del-proponente-en-los-Procesos-de-Contratacion-de-obra-publica-CCE-REC-GI-22.pdf" TargetMode="External"/><Relationship Id="rId18"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vidquiroz28@hotmail.com"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23"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mailto:ventanilladeradicacion@colombiacompra.gov.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image" Target="media/image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3681F8AE-A096-4FEE-9E50-A08852A94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26</TotalTime>
  <Pages>19</Pages>
  <Words>6493</Words>
  <Characters>35714</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2026-08-25T00:09:00Z</dcterms:created>
  <dcterms:modified xsi:type="dcterms:W3CDTF">2026-08-27T15:46:00Z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