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05887" w14:textId="77777777" w:rsidR="006D2829" w:rsidRPr="00523932" w:rsidRDefault="006D2829" w:rsidP="006D2829">
      <w:pPr>
        <w:spacing w:after="0" w:line="240" w:lineRule="auto"/>
        <w:rPr>
          <w:rFonts w:ascii="Verdana" w:eastAsia="Calibri" w:hAnsi="Verdana" w:cs="Arial"/>
          <w:b/>
          <w:sz w:val="20"/>
          <w:szCs w:val="20"/>
          <w:lang w:val="es-MX" w:eastAsia="es-ES_tradnl"/>
        </w:rPr>
      </w:pPr>
    </w:p>
    <w:p w14:paraId="0DE0F402" w14:textId="77777777" w:rsidR="006D2829" w:rsidRPr="00523932" w:rsidRDefault="006D2829" w:rsidP="006D2829">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INHABILIDADES – Definición – Finalidad – Limitación capacidad contractual</w:t>
      </w:r>
    </w:p>
    <w:p w14:paraId="09FDB6B7" w14:textId="77777777" w:rsidR="006D2829" w:rsidRPr="00523932" w:rsidRDefault="006D2829" w:rsidP="006D2829">
      <w:pPr>
        <w:spacing w:after="0" w:line="240" w:lineRule="auto"/>
        <w:rPr>
          <w:rFonts w:ascii="Verdana" w:eastAsia="Calibri" w:hAnsi="Verdana" w:cs="Arial"/>
          <w:bCs/>
          <w:sz w:val="20"/>
          <w:szCs w:val="20"/>
          <w:lang w:val="es-MX" w:eastAsia="es-ES_tradnl"/>
        </w:rPr>
      </w:pPr>
    </w:p>
    <w:p w14:paraId="6557479F" w14:textId="77777777" w:rsidR="006D2829" w:rsidRPr="00523932" w:rsidRDefault="006D2829" w:rsidP="006D2829">
      <w:pPr>
        <w:spacing w:after="0" w:line="240" w:lineRule="auto"/>
        <w:jc w:val="both"/>
        <w:rPr>
          <w:rFonts w:ascii="Verdana" w:eastAsia="Geomanist Light" w:hAnsi="Verdana" w:cs="Arial"/>
          <w:color w:val="000000" w:themeColor="text1"/>
          <w:sz w:val="20"/>
          <w:szCs w:val="20"/>
          <w:lang w:val="es-MX"/>
        </w:rPr>
      </w:pPr>
      <w:r w:rsidRPr="00523932">
        <w:rPr>
          <w:rFonts w:ascii="Verdana" w:eastAsia="Geomanist Light" w:hAnsi="Verdana" w:cs="Arial"/>
          <w:color w:val="000000" w:themeColor="text1"/>
          <w:sz w:val="20"/>
          <w:szCs w:val="20"/>
          <w:lang w:val="es-MX"/>
        </w:rPr>
        <w:t>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 La consagración limitaciones que afectan la capacidad jurídica para contratar desarrolla los principios de la función administrativa consagrados en el artículo 209 de la Constitución Política, con especial énfasis el de moralidad.</w:t>
      </w:r>
    </w:p>
    <w:p w14:paraId="606380FE" w14:textId="77777777" w:rsidR="006D2829" w:rsidRPr="00523932" w:rsidRDefault="006D2829" w:rsidP="006D2829">
      <w:pPr>
        <w:spacing w:after="0" w:line="240" w:lineRule="auto"/>
        <w:jc w:val="both"/>
        <w:rPr>
          <w:rFonts w:ascii="Verdana" w:eastAsia="Geomanist Light" w:hAnsi="Verdana" w:cs="Arial"/>
          <w:color w:val="000000" w:themeColor="text1"/>
          <w:sz w:val="20"/>
          <w:szCs w:val="20"/>
          <w:lang w:val="es-MX"/>
        </w:rPr>
      </w:pPr>
    </w:p>
    <w:p w14:paraId="64586F21" w14:textId="77777777" w:rsidR="006D2829" w:rsidRPr="00523932" w:rsidRDefault="006D2829" w:rsidP="006D2829">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CONTRATACIÓN ESTATAL – Capacidad – Validez contratos – Régimen de contratación – Inscripción – Limitación de la capacidad</w:t>
      </w:r>
    </w:p>
    <w:p w14:paraId="2FAC438B" w14:textId="77777777" w:rsidR="006D2829" w:rsidRPr="00523932" w:rsidRDefault="006D2829" w:rsidP="006D2829">
      <w:pPr>
        <w:spacing w:after="0" w:line="240" w:lineRule="auto"/>
        <w:jc w:val="both"/>
        <w:rPr>
          <w:rFonts w:ascii="Verdana" w:eastAsia="Calibri" w:hAnsi="Verdana" w:cs="Arial"/>
          <w:bCs/>
          <w:sz w:val="20"/>
          <w:szCs w:val="20"/>
          <w:lang w:val="es-MX" w:eastAsia="es-ES_tradnl"/>
        </w:rPr>
      </w:pPr>
    </w:p>
    <w:p w14:paraId="7EA7FD50" w14:textId="77777777" w:rsidR="006D2829" w:rsidRPr="00523932" w:rsidRDefault="006D2829" w:rsidP="006D2829">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en la contratación estatal, la capacidad también es un requisito de validez de los contratos, tanto en el régimen de las entidades sujetas al Estatuto General de Contratación de la Administración Pública como en el de las entidades exceptuadas de aquel. 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 –, se destaca el régimen de inhabilidades e incompatibilidades como un conjunto de normas que imponen restricciones para los sujetos que, eventualmente, pretendan participar en los procedimientos de selección o celebrar contratos con las entidades estatales.</w:t>
      </w:r>
    </w:p>
    <w:p w14:paraId="0DADF3C1" w14:textId="77777777" w:rsidR="006D2829" w:rsidRPr="00523932" w:rsidRDefault="006D2829" w:rsidP="006D2829">
      <w:pPr>
        <w:spacing w:after="0" w:line="240" w:lineRule="auto"/>
        <w:jc w:val="both"/>
        <w:rPr>
          <w:rFonts w:ascii="Verdana" w:eastAsia="Calibri" w:hAnsi="Verdana" w:cs="Arial"/>
          <w:bCs/>
          <w:sz w:val="20"/>
          <w:szCs w:val="20"/>
          <w:lang w:val="es-MX" w:eastAsia="es-ES_tradnl"/>
        </w:rPr>
      </w:pPr>
    </w:p>
    <w:p w14:paraId="656CF92B" w14:textId="77777777" w:rsidR="006D2829" w:rsidRPr="00523932" w:rsidRDefault="006D2829" w:rsidP="006D2829">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xml:space="preserve">Las inhabilidades son prohibiciones para concurrir a los procedimientos de selección y para contratar con el Estado, que se derivan: i) de la existencia de comportamientos reprochables o de sanciones anteriormente impuestas, ii) de vínculos personales relativos al parentesco o al estado civil o iii) de una actividad u oficio que se desempeñó en el pasado.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 En todo caso, a pesar de la existencia de distintos criterios para diferenciar las inhabilidades de las incompatibilidades, de la presencia de ellas se derivan las mismas consecuencias jurídicas, esto es, la limitación </w:t>
      </w:r>
      <w:r w:rsidRPr="00523932">
        <w:rPr>
          <w:rFonts w:ascii="Verdana" w:eastAsia="Calibri" w:hAnsi="Verdana" w:cs="Arial"/>
          <w:bCs/>
          <w:sz w:val="20"/>
          <w:szCs w:val="20"/>
          <w:lang w:val="es-MX" w:eastAsia="es-ES_tradnl"/>
        </w:rPr>
        <w:lastRenderedPageBreak/>
        <w:t>de la capacidad contractual, como se desarrolló en el numeral 2.1. de este concepto. De manera que la presencia de ellas impide que se puedan celebrar contratos con el Estado o participar en procedimientos de selección de las entidades estatales, por lo que de cualquiera de ellas se derivan los mismos efectos jurídicos.</w:t>
      </w:r>
    </w:p>
    <w:p w14:paraId="209FE075" w14:textId="77777777" w:rsidR="006D2829" w:rsidRPr="00523932" w:rsidRDefault="006D2829" w:rsidP="006D2829">
      <w:pPr>
        <w:spacing w:after="0" w:line="240" w:lineRule="auto"/>
        <w:jc w:val="both"/>
        <w:rPr>
          <w:rFonts w:ascii="Verdana" w:eastAsia="Geomanist Light" w:hAnsi="Verdana" w:cs="Arial"/>
          <w:color w:val="000000" w:themeColor="text1"/>
          <w:sz w:val="20"/>
          <w:szCs w:val="20"/>
          <w:lang w:val="es-MX"/>
        </w:rPr>
      </w:pPr>
    </w:p>
    <w:p w14:paraId="3072A951" w14:textId="77777777" w:rsidR="006D2829" w:rsidRPr="00523932" w:rsidRDefault="006D2829" w:rsidP="006D2829">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INHABILIDADES – Taxatividad – Principio de legalidad – Interpretación restrictiva</w:t>
      </w:r>
    </w:p>
    <w:p w14:paraId="39D666D6" w14:textId="77777777" w:rsidR="006D2829" w:rsidRPr="00523932" w:rsidRDefault="006D2829" w:rsidP="006D2829">
      <w:pPr>
        <w:spacing w:after="0" w:line="240" w:lineRule="auto"/>
        <w:rPr>
          <w:rFonts w:ascii="Verdana" w:eastAsia="Calibri" w:hAnsi="Verdana" w:cs="Arial"/>
          <w:bCs/>
          <w:sz w:val="20"/>
          <w:szCs w:val="20"/>
          <w:lang w:val="es-MX" w:eastAsia="es-ES_tradnl"/>
        </w:rPr>
      </w:pPr>
    </w:p>
    <w:p w14:paraId="7133F47C" w14:textId="77777777" w:rsidR="006D2829" w:rsidRDefault="006D2829" w:rsidP="006D2829">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 En similar sentido, la Sala de Consulta y Servicio Civil del Consejo de Estado expresó que “[…] las causales de inhabilidad e incompatibilidad deben estar expresa y taxativamente establecidas en la Constitución o en la ley y son de aplicación e interpretación restrictivas […]”. En este sentido, como se observa, existe consenso, incluso como lo ha expresado esta Agencia en ocasiones anteriores, que la creación de inhabilidades o incompatibilidades está reservada al constituyente o al legislador.</w:t>
      </w:r>
    </w:p>
    <w:p w14:paraId="71372398" w14:textId="77777777" w:rsidR="006D2829" w:rsidRDefault="006D2829" w:rsidP="006D2829">
      <w:pPr>
        <w:spacing w:after="0"/>
        <w:jc w:val="both"/>
        <w:rPr>
          <w:rFonts w:ascii="Verdana" w:eastAsia="Calibri" w:hAnsi="Verdana" w:cs="Arial"/>
          <w:bCs/>
          <w:sz w:val="20"/>
          <w:szCs w:val="20"/>
          <w:lang w:val="es-MX" w:eastAsia="es-ES_tradnl"/>
        </w:rPr>
      </w:pPr>
    </w:p>
    <w:p w14:paraId="6B5D634B" w14:textId="77777777" w:rsidR="006D2829" w:rsidRDefault="006D2829" w:rsidP="006D2829">
      <w:pPr>
        <w:spacing w:after="0" w:line="240" w:lineRule="auto"/>
        <w:jc w:val="both"/>
        <w:textAlignment w:val="baseline"/>
        <w:rPr>
          <w:rFonts w:ascii="Verdana" w:hAnsi="Verdana" w:cs="Arial"/>
          <w:b/>
          <w:lang w:val="es-ES"/>
        </w:rPr>
      </w:pPr>
      <w:r>
        <w:rPr>
          <w:rFonts w:ascii="Verdana" w:hAnsi="Verdana" w:cs="Arial"/>
          <w:b/>
          <w:lang w:val="es-ES"/>
        </w:rPr>
        <w:t>ACTOS DE CORRUPCIÓN</w:t>
      </w:r>
      <w:r w:rsidRPr="002D2E27">
        <w:rPr>
          <w:rFonts w:ascii="Verdana" w:hAnsi="Verdana" w:cs="Arial"/>
          <w:b/>
          <w:lang w:val="es-ES"/>
        </w:rPr>
        <w:t xml:space="preserve"> – </w:t>
      </w:r>
      <w:r>
        <w:rPr>
          <w:rFonts w:ascii="Verdana" w:hAnsi="Verdana" w:cs="Arial"/>
          <w:b/>
          <w:lang w:val="es-ES"/>
        </w:rPr>
        <w:t xml:space="preserve">Inhabilidad – Modificaciones </w:t>
      </w:r>
    </w:p>
    <w:p w14:paraId="78B735CB" w14:textId="77777777" w:rsidR="006D2829" w:rsidRPr="00693830" w:rsidRDefault="006D2829" w:rsidP="006D2829">
      <w:pPr>
        <w:spacing w:after="0" w:line="240" w:lineRule="auto"/>
        <w:jc w:val="both"/>
        <w:textAlignment w:val="baseline"/>
        <w:rPr>
          <w:rFonts w:ascii="Verdana" w:hAnsi="Verdana" w:cs="Arial"/>
          <w:b/>
          <w:sz w:val="20"/>
          <w:szCs w:val="20"/>
          <w:lang w:val="es-ES"/>
        </w:rPr>
      </w:pPr>
    </w:p>
    <w:p w14:paraId="2797AF33" w14:textId="77777777" w:rsidR="006D2829" w:rsidRDefault="006D2829" w:rsidP="006D2829">
      <w:pPr>
        <w:spacing w:after="0" w:line="240" w:lineRule="auto"/>
        <w:jc w:val="both"/>
        <w:textAlignment w:val="baseline"/>
        <w:rPr>
          <w:rFonts w:ascii="Verdana" w:hAnsi="Verdana" w:cs="Arial"/>
          <w:bCs/>
          <w:sz w:val="20"/>
          <w:szCs w:val="20"/>
        </w:rPr>
      </w:pPr>
      <w:r>
        <w:rPr>
          <w:rFonts w:ascii="Verdana" w:hAnsi="Verdana" w:cs="Arial"/>
          <w:bCs/>
          <w:sz w:val="20"/>
          <w:szCs w:val="20"/>
        </w:rPr>
        <w:t>E</w:t>
      </w:r>
      <w:r w:rsidRPr="006463A8">
        <w:rPr>
          <w:rFonts w:ascii="Verdana" w:hAnsi="Verdana" w:cs="Arial"/>
          <w:bCs/>
          <w:sz w:val="20"/>
          <w:szCs w:val="20"/>
        </w:rPr>
        <w:t>l artículo 18 de la Ley 1150 de 2007 adicionó el literal j) del artículo 8.1 de la Ley 80 de 1993. Conforme a la causal introducida en el EGCAP, están inhabilitados “Las personas naturales que hayan sido declaradas responsables judicialmente por la comisión de delitos de peculado, concusión, cohecho, prevaricato en todas sus modalidades y soborno transnacional, así como sus equivalentes en otras jurisdicciones. Esta inhabilidad se extenderá a las sociedades de que sean socias tales personas, con excepción de las sociedades anónimas abiertas”. Sin embargo, esta causal ha sido modificada por la Leyes 1474 de 2011, 1778 de 2016 y 2014 de 2019, esta última reglamentada por el Decreto 1358 de 2020.</w:t>
      </w:r>
    </w:p>
    <w:p w14:paraId="0128F426" w14:textId="77777777" w:rsidR="006D2829" w:rsidRPr="006463A8"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 xml:space="preserve"> </w:t>
      </w:r>
    </w:p>
    <w:p w14:paraId="1B2B0743" w14:textId="77777777" w:rsidR="006D2829"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 xml:space="preserve">La </w:t>
      </w:r>
      <w:r w:rsidRPr="006463A8">
        <w:rPr>
          <w:rFonts w:ascii="Verdana" w:hAnsi="Verdana" w:cs="Arial"/>
          <w:bCs/>
          <w:i/>
          <w:iCs/>
          <w:sz w:val="20"/>
          <w:szCs w:val="20"/>
        </w:rPr>
        <w:t>primera modificación</w:t>
      </w:r>
      <w:r w:rsidRPr="006463A8">
        <w:rPr>
          <w:rFonts w:ascii="Verdana" w:hAnsi="Verdana" w:cs="Arial"/>
          <w:bCs/>
          <w:sz w:val="20"/>
          <w:szCs w:val="20"/>
        </w:rPr>
        <w:t xml:space="preserve"> circunscribió la inhabilidad a las personas naturales responsables judicialmente de la comisión de delitos contra la Administración Pública cuya pena sea privativa de la libertad o soborno transnacional, con excepción de delitos culposos; la extendió a las sociedades en las que sean socias tales personas, a sus matrices y a sus subordinadas, con excepción de las sociedades anónimas abiertas; y determinó una duración de veinte (20) años. </w:t>
      </w:r>
    </w:p>
    <w:p w14:paraId="5CC24452" w14:textId="77777777" w:rsidR="006D2829" w:rsidRPr="006463A8" w:rsidRDefault="006D2829" w:rsidP="006D2829">
      <w:pPr>
        <w:spacing w:after="0" w:line="240" w:lineRule="auto"/>
        <w:jc w:val="both"/>
        <w:textAlignment w:val="baseline"/>
        <w:rPr>
          <w:rFonts w:ascii="Verdana" w:hAnsi="Verdana" w:cs="Arial"/>
          <w:bCs/>
          <w:sz w:val="20"/>
          <w:szCs w:val="20"/>
        </w:rPr>
      </w:pPr>
    </w:p>
    <w:p w14:paraId="23C3DEDC" w14:textId="77777777" w:rsidR="006D2829" w:rsidRPr="006463A8"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 xml:space="preserve">La </w:t>
      </w:r>
      <w:r w:rsidRPr="006463A8">
        <w:rPr>
          <w:rFonts w:ascii="Verdana" w:hAnsi="Verdana" w:cs="Arial"/>
          <w:bCs/>
          <w:i/>
          <w:iCs/>
          <w:sz w:val="20"/>
          <w:szCs w:val="20"/>
        </w:rPr>
        <w:t>segunda modificación</w:t>
      </w:r>
      <w:r w:rsidRPr="006463A8">
        <w:rPr>
          <w:rFonts w:ascii="Verdana" w:hAnsi="Verdana" w:cs="Arial"/>
          <w:bCs/>
          <w:sz w:val="20"/>
          <w:szCs w:val="20"/>
        </w:rPr>
        <w:t xml:space="preserve"> precisó que la restricción aplicaría a las personas naturales responsables judicialmente de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Asimismo, extendió la inhabilidad a las personas jurídicas que hayan sido declaradas responsables administrativamente por la conducta de soborno transnacional. Esta limitación también aplica por un término de 20 años, y cobija a las sociedades de </w:t>
      </w:r>
      <w:r w:rsidRPr="006463A8">
        <w:rPr>
          <w:rFonts w:ascii="Verdana" w:hAnsi="Verdana" w:cs="Arial"/>
          <w:bCs/>
          <w:sz w:val="20"/>
          <w:szCs w:val="20"/>
        </w:rPr>
        <w:lastRenderedPageBreak/>
        <w:t xml:space="preserve">las que hagan parte dichas personas en calidad de administradores, representantes legales, miembros de junta directiva o de socios controlantes, a sus matrices y a sus subordinadas y a las sucursales de sociedades extranjeras, con excepción de las sociedades anónimas abiertas. Sin embargo, establece la configuración preventiva de la inhabilidad aun cuando esté pendiente la impugnación de la sentencia condenatoria.  </w:t>
      </w:r>
    </w:p>
    <w:p w14:paraId="2C4970B8" w14:textId="77777777" w:rsidR="006D2829"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ab/>
      </w:r>
    </w:p>
    <w:p w14:paraId="187611AC" w14:textId="77777777" w:rsidR="006D2829" w:rsidRPr="006463A8"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 xml:space="preserve">La </w:t>
      </w:r>
      <w:r w:rsidRPr="006463A8">
        <w:rPr>
          <w:rFonts w:ascii="Verdana" w:hAnsi="Verdana" w:cs="Arial"/>
          <w:bCs/>
          <w:i/>
          <w:iCs/>
          <w:sz w:val="20"/>
          <w:szCs w:val="20"/>
        </w:rPr>
        <w:t>tercera modificación</w:t>
      </w:r>
      <w:r w:rsidRPr="006463A8">
        <w:rPr>
          <w:rFonts w:ascii="Verdana" w:hAnsi="Verdana" w:cs="Arial"/>
          <w:bCs/>
          <w:sz w:val="20"/>
          <w:szCs w:val="20"/>
        </w:rPr>
        <w:t xml:space="preserve"> mantiene a grandes rasgos la configuración de la inhabilidad respecto a las personas naturales declaradas responsables judicialmente por la comisión de delitos relacionados con actos de corrupción, así como las personas jurídicas que hayan sido declaradas responsables administrativamente por la conducta de soborno transnacional. Además de las personas jurídicas sobre las cuales se haya ordenado la suspensión de la personería, la restricción se extiende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Aunque conserva la configuración preventiva, tiene carácter permanente al margen de la aplicación del principio de oportunidad por cualquier delito contra la Administración pública o el patrimonio del Estado</w:t>
      </w:r>
      <w:r w:rsidRPr="001F2EA1">
        <w:rPr>
          <w:rFonts w:ascii="Verdana" w:hAnsi="Verdana" w:cs="Arial"/>
          <w:bCs/>
          <w:sz w:val="20"/>
          <w:szCs w:val="20"/>
          <w:lang w:val="es-ES_tradnl"/>
        </w:rPr>
        <w:t>.</w:t>
      </w:r>
    </w:p>
    <w:p w14:paraId="0490AA43" w14:textId="77777777" w:rsidR="006D2829" w:rsidRDefault="006D2829" w:rsidP="006D2829">
      <w:pPr>
        <w:spacing w:after="0"/>
        <w:jc w:val="both"/>
        <w:rPr>
          <w:rFonts w:ascii="Verdana" w:eastAsia="Calibri" w:hAnsi="Verdana" w:cs="Arial"/>
          <w:bCs/>
          <w:sz w:val="20"/>
          <w:szCs w:val="20"/>
          <w:lang w:val="es-MX" w:eastAsia="es-ES_tradnl"/>
        </w:rPr>
      </w:pPr>
    </w:p>
    <w:p w14:paraId="3CE07759" w14:textId="77777777" w:rsidR="006D2829" w:rsidRDefault="006D2829" w:rsidP="006D2829">
      <w:pPr>
        <w:spacing w:after="0" w:line="240" w:lineRule="auto"/>
        <w:jc w:val="both"/>
        <w:textAlignment w:val="baseline"/>
        <w:rPr>
          <w:rFonts w:ascii="Verdana" w:hAnsi="Verdana" w:cs="Arial"/>
          <w:b/>
          <w:lang w:val="es-ES"/>
        </w:rPr>
      </w:pPr>
      <w:r>
        <w:rPr>
          <w:rFonts w:ascii="Verdana" w:hAnsi="Verdana" w:cs="Arial"/>
          <w:b/>
          <w:lang w:val="es-ES"/>
        </w:rPr>
        <w:t>PRINCIPIO DE IRRETROACTIVIDAD</w:t>
      </w:r>
      <w:r w:rsidRPr="002D2E27">
        <w:rPr>
          <w:rFonts w:ascii="Verdana" w:hAnsi="Verdana" w:cs="Arial"/>
          <w:b/>
          <w:lang w:val="es-ES"/>
        </w:rPr>
        <w:t xml:space="preserve"> – </w:t>
      </w:r>
      <w:r>
        <w:rPr>
          <w:rFonts w:ascii="Verdana" w:hAnsi="Verdana" w:cs="Arial"/>
          <w:b/>
          <w:lang w:val="es-ES"/>
        </w:rPr>
        <w:t xml:space="preserve">Aplicación de las normas en el tiempo  </w:t>
      </w:r>
    </w:p>
    <w:p w14:paraId="0A4F7537" w14:textId="77777777" w:rsidR="006D2829" w:rsidRPr="00693830" w:rsidRDefault="006D2829" w:rsidP="006D2829">
      <w:pPr>
        <w:spacing w:after="0" w:line="240" w:lineRule="auto"/>
        <w:jc w:val="both"/>
        <w:textAlignment w:val="baseline"/>
        <w:rPr>
          <w:rFonts w:ascii="Verdana" w:hAnsi="Verdana" w:cs="Arial"/>
          <w:b/>
          <w:sz w:val="20"/>
          <w:szCs w:val="20"/>
          <w:lang w:val="es-ES"/>
        </w:rPr>
      </w:pPr>
    </w:p>
    <w:p w14:paraId="25507754" w14:textId="77777777" w:rsidR="006D2829"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 xml:space="preserve">Por regla general la ley es </w:t>
      </w:r>
      <w:proofErr w:type="spellStart"/>
      <w:r w:rsidRPr="006463A8">
        <w:rPr>
          <w:rFonts w:ascii="Verdana" w:hAnsi="Verdana" w:cs="Arial"/>
          <w:bCs/>
          <w:sz w:val="20"/>
          <w:szCs w:val="20"/>
        </w:rPr>
        <w:t>irretroactiva</w:t>
      </w:r>
      <w:proofErr w:type="spellEnd"/>
      <w:r w:rsidRPr="006463A8">
        <w:rPr>
          <w:rFonts w:ascii="Verdana" w:hAnsi="Verdana" w:cs="Arial"/>
          <w:bCs/>
          <w:sz w:val="20"/>
          <w:szCs w:val="20"/>
        </w:rPr>
        <w:t>, es decir, solo produce afectos hacia el futuro. El legislador no contempló excepción alguna frente a la aplicación retroactiva del artículo 18 de la Ley 1150 de 2007, el artículo 1˚ de la Ley 1474 de 2011, el artículo 31 de la Ley 1778 de 2016 o el artículo 2 de la Ley 2014 de 2019. Como la inhabilidad del literal j) del artículo 8.1 de la Ley 80 de 1993 es de carácter sancionatorio, al tratarse de la potestad punitiva del Estado, el principio de favorabilidad es aplicable en la actuaciones administrativas en virtud de lo establecido en el artículo 29 de la Constitución Política y en el artículo 3.1 de la Ley 1437 de 2011.</w:t>
      </w:r>
    </w:p>
    <w:p w14:paraId="1AFE9BC6" w14:textId="77777777" w:rsidR="006D2829" w:rsidRPr="006463A8" w:rsidRDefault="006D2829" w:rsidP="006D2829">
      <w:pPr>
        <w:spacing w:after="0" w:line="240" w:lineRule="auto"/>
        <w:jc w:val="both"/>
        <w:textAlignment w:val="baseline"/>
        <w:rPr>
          <w:rFonts w:ascii="Verdana" w:hAnsi="Verdana" w:cs="Arial"/>
          <w:bCs/>
          <w:sz w:val="20"/>
          <w:szCs w:val="20"/>
        </w:rPr>
      </w:pPr>
    </w:p>
    <w:p w14:paraId="34AAAEA2" w14:textId="77777777" w:rsidR="006D2829" w:rsidRDefault="006D2829" w:rsidP="006D2829">
      <w:pPr>
        <w:spacing w:after="0" w:line="240" w:lineRule="auto"/>
        <w:jc w:val="both"/>
        <w:textAlignment w:val="baseline"/>
        <w:rPr>
          <w:rFonts w:ascii="Verdana" w:hAnsi="Verdana" w:cs="Arial"/>
          <w:bCs/>
          <w:sz w:val="20"/>
          <w:szCs w:val="20"/>
        </w:rPr>
      </w:pPr>
      <w:r w:rsidRPr="006463A8">
        <w:rPr>
          <w:rFonts w:ascii="Verdana" w:hAnsi="Verdana" w:cs="Arial"/>
          <w:bCs/>
          <w:sz w:val="20"/>
          <w:szCs w:val="20"/>
        </w:rPr>
        <w:t xml:space="preserve">De esta manera, la inhabilidad por actos de corrupción puede asimilarse a una pena en los términos del artículo 38.2 de la Ley 153 de 1887 para efectos de determinar que la infracción correspondiente se castigará con arreglo a la ley bajo la cual se hubiere cometido. Ello se reitera en el artículo 43 </w:t>
      </w:r>
      <w:r w:rsidRPr="006463A8">
        <w:rPr>
          <w:rFonts w:ascii="Verdana" w:hAnsi="Verdana" w:cs="Arial"/>
          <w:bCs/>
          <w:i/>
          <w:iCs/>
          <w:sz w:val="20"/>
          <w:szCs w:val="20"/>
        </w:rPr>
        <w:t>ibidem</w:t>
      </w:r>
      <w:r w:rsidRPr="006463A8">
        <w:rPr>
          <w:rFonts w:ascii="Verdana" w:hAnsi="Verdana" w:cs="Arial"/>
          <w:bCs/>
          <w:sz w:val="20"/>
          <w:szCs w:val="20"/>
        </w:rPr>
        <w:t xml:space="preserve">, puesto que “La ley preexistente prefiere a la ley </w:t>
      </w:r>
      <w:r w:rsidRPr="006463A8">
        <w:rPr>
          <w:rFonts w:ascii="Verdana" w:hAnsi="Verdana" w:cs="Arial"/>
          <w:bCs/>
          <w:i/>
          <w:iCs/>
          <w:sz w:val="20"/>
          <w:szCs w:val="20"/>
        </w:rPr>
        <w:t>ex post facto</w:t>
      </w:r>
      <w:r w:rsidRPr="006463A8">
        <w:rPr>
          <w:rFonts w:ascii="Verdana" w:hAnsi="Verdana" w:cs="Arial"/>
          <w:bCs/>
          <w:sz w:val="20"/>
          <w:szCs w:val="20"/>
        </w:rPr>
        <w:t xml:space="preserve"> en materia penal. Nadie podrá ser juzgado o penado sino por ley que haya sido promulgada antes del hecho que da lugar al juicio […]”. Asimismo, la Constitución Política dispone en materia del derecho al debido proceso, que nadie podrá ser juzgado sino conforme a leyes preexistentes al acto que se le imputa, lo cual aplica para el caso de las inhabilidades de naturaleza sancionatoria, pues estas limitan derechos subjetivos.</w:t>
      </w:r>
    </w:p>
    <w:p w14:paraId="248A84B8" w14:textId="77777777" w:rsidR="006D2829" w:rsidRDefault="006D2829" w:rsidP="004808A2">
      <w:pPr>
        <w:spacing w:after="0" w:line="240" w:lineRule="auto"/>
        <w:rPr>
          <w:rFonts w:ascii="Verdana" w:hAnsi="Verdana" w:cs="Arial"/>
          <w:bCs/>
          <w:sz w:val="20"/>
          <w:szCs w:val="20"/>
          <w:lang w:eastAsia="es-CO"/>
        </w:rPr>
      </w:pPr>
    </w:p>
    <w:p w14:paraId="12FE814B" w14:textId="77777777" w:rsidR="006D2829" w:rsidRDefault="006D2829" w:rsidP="004808A2">
      <w:pPr>
        <w:spacing w:after="0" w:line="240" w:lineRule="auto"/>
        <w:rPr>
          <w:rFonts w:ascii="Verdana" w:eastAsia="Geomanist Light" w:hAnsi="Verdana" w:cs="Arial"/>
          <w:color w:val="000000" w:themeColor="text1"/>
          <w:lang w:val="es-MX"/>
        </w:rPr>
      </w:pPr>
    </w:p>
    <w:p w14:paraId="63542D76" w14:textId="77777777" w:rsidR="006D2829" w:rsidRDefault="006D2829" w:rsidP="004808A2">
      <w:pPr>
        <w:spacing w:after="0" w:line="240" w:lineRule="auto"/>
        <w:rPr>
          <w:rFonts w:ascii="Verdana" w:eastAsia="Geomanist Light" w:hAnsi="Verdana" w:cs="Arial"/>
          <w:color w:val="000000" w:themeColor="text1"/>
          <w:lang w:val="es-MX"/>
        </w:rPr>
      </w:pPr>
    </w:p>
    <w:p w14:paraId="4E387CF2" w14:textId="71123A51" w:rsidR="004808A2" w:rsidRPr="00593A5F" w:rsidRDefault="004808A2" w:rsidP="004808A2">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CE421A">
        <w:rPr>
          <w:rFonts w:ascii="Verdana" w:hAnsi="Verdana" w:cs="Verdana"/>
          <w:color w:val="000000"/>
          <w:lang w:val="es-MX"/>
        </w:rPr>
        <w:t>24 de Agosto de 2026</w:t>
      </w:r>
    </w:p>
    <w:p w14:paraId="681E2A0D" w14:textId="44723813" w:rsidR="004808A2" w:rsidRDefault="004808A2" w:rsidP="004808A2">
      <w:pPr>
        <w:spacing w:after="0" w:line="240" w:lineRule="auto"/>
        <w:jc w:val="both"/>
        <w:rPr>
          <w:rFonts w:ascii="Verdana" w:eastAsia="Calibri" w:hAnsi="Verdana" w:cs="Arial"/>
          <w:color w:val="000000"/>
          <w:lang w:val="es-ES"/>
        </w:rPr>
      </w:pPr>
    </w:p>
    <w:p w14:paraId="7C0DB097" w14:textId="1E02DBB8" w:rsidR="00CE421A" w:rsidRDefault="00CE421A" w:rsidP="00CE421A">
      <w:pPr>
        <w:spacing w:after="0" w:line="240" w:lineRule="auto"/>
        <w:jc w:val="right"/>
        <w:rPr>
          <w:rFonts w:ascii="Verdana" w:eastAsia="Calibri" w:hAnsi="Verdana" w:cs="Arial"/>
          <w:color w:val="000000"/>
          <w:lang w:val="es-ES"/>
        </w:rPr>
      </w:pPr>
    </w:p>
    <w:p w14:paraId="68402244" w14:textId="6CDDF8AE" w:rsidR="004808A2" w:rsidRPr="00593A5F" w:rsidRDefault="00517853" w:rsidP="004808A2">
      <w:pPr>
        <w:spacing w:after="0" w:line="240" w:lineRule="auto"/>
        <w:jc w:val="both"/>
        <w:rPr>
          <w:rFonts w:ascii="Verdana" w:eastAsia="Calibri" w:hAnsi="Verdana" w:cs="Arial"/>
          <w:color w:val="000000"/>
          <w:lang w:val="es-ES"/>
        </w:rPr>
      </w:pPr>
      <w:r w:rsidRPr="00CE421A">
        <w:rPr>
          <w:rFonts w:ascii="Verdana" w:eastAsia="Calibri" w:hAnsi="Verdana" w:cs="Arial"/>
          <w:noProof/>
          <w:color w:val="000000"/>
          <w:lang w:val="es-ES"/>
        </w:rPr>
        <w:drawing>
          <wp:anchor distT="0" distB="0" distL="114300" distR="114300" simplePos="0" relativeHeight="251658240" behindDoc="0" locked="0" layoutInCell="1" allowOverlap="1" wp14:anchorId="33C83EA3" wp14:editId="5E84E26C">
            <wp:simplePos x="0" y="0"/>
            <wp:positionH relativeFrom="margin">
              <wp:align>right</wp:align>
            </wp:positionH>
            <wp:positionV relativeFrom="paragraph">
              <wp:posOffset>48260</wp:posOffset>
            </wp:positionV>
            <wp:extent cx="2599055" cy="779145"/>
            <wp:effectExtent l="0" t="0" r="0" b="1905"/>
            <wp:wrapSquare wrapText="bothSides"/>
            <wp:docPr id="14367766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776630" name=""/>
                    <pic:cNvPicPr/>
                  </pic:nvPicPr>
                  <pic:blipFill>
                    <a:blip r:embed="rId10">
                      <a:extLst>
                        <a:ext uri="{28A0092B-C50C-407E-A947-70E740481C1C}">
                          <a14:useLocalDpi xmlns:a14="http://schemas.microsoft.com/office/drawing/2010/main" val="0"/>
                        </a:ext>
                      </a:extLst>
                    </a:blip>
                    <a:stretch>
                      <a:fillRect/>
                    </a:stretch>
                  </pic:blipFill>
                  <pic:spPr>
                    <a:xfrm>
                      <a:off x="0" y="0"/>
                      <a:ext cx="2599055" cy="779145"/>
                    </a:xfrm>
                    <a:prstGeom prst="rect">
                      <a:avLst/>
                    </a:prstGeom>
                  </pic:spPr>
                </pic:pic>
              </a:graphicData>
            </a:graphic>
            <wp14:sizeRelH relativeFrom="margin">
              <wp14:pctWidth>0</wp14:pctWidth>
            </wp14:sizeRelH>
            <wp14:sizeRelV relativeFrom="margin">
              <wp14:pctHeight>0</wp14:pctHeight>
            </wp14:sizeRelV>
          </wp:anchor>
        </w:drawing>
      </w:r>
    </w:p>
    <w:p w14:paraId="7F6F79F8" w14:textId="77777777" w:rsidR="004808A2" w:rsidRPr="00B96799" w:rsidRDefault="004808A2" w:rsidP="004808A2">
      <w:pPr>
        <w:spacing w:after="0" w:line="240" w:lineRule="auto"/>
        <w:jc w:val="both"/>
        <w:rPr>
          <w:rFonts w:ascii="Verdana" w:eastAsia="Calibri" w:hAnsi="Verdana" w:cs="Arial"/>
          <w:lang w:val="es-ES" w:eastAsia="es-ES"/>
        </w:rPr>
      </w:pPr>
      <w:r>
        <w:rPr>
          <w:rFonts w:ascii="Verdana" w:eastAsia="Calibri" w:hAnsi="Verdana" w:cs="Arial"/>
          <w:lang w:val="es-ES" w:eastAsia="es-ES"/>
        </w:rPr>
        <w:t>Señora</w:t>
      </w:r>
    </w:p>
    <w:p w14:paraId="72A7152E" w14:textId="77777777" w:rsidR="004808A2" w:rsidRPr="00230B75" w:rsidRDefault="004808A2" w:rsidP="004808A2">
      <w:pPr>
        <w:spacing w:after="0" w:line="240" w:lineRule="auto"/>
        <w:rPr>
          <w:rFonts w:ascii="Verdana" w:eastAsia="Calibri" w:hAnsi="Verdana" w:cs="Arial"/>
          <w:b/>
          <w:lang w:eastAsia="es-ES_tradnl"/>
        </w:rPr>
      </w:pPr>
      <w:r w:rsidRPr="00B51CF8">
        <w:rPr>
          <w:rFonts w:ascii="Verdana" w:eastAsia="Calibri" w:hAnsi="Verdana" w:cs="Arial"/>
          <w:b/>
          <w:lang w:val="es-ES_tradnl" w:eastAsia="es-ES_tradnl"/>
        </w:rPr>
        <w:t>Ana Hernández</w:t>
      </w:r>
      <w:r w:rsidRPr="00230B75">
        <w:rPr>
          <w:rFonts w:ascii="Verdana" w:eastAsia="Calibri" w:hAnsi="Verdana" w:cs="Arial"/>
          <w:b/>
          <w:lang w:eastAsia="es-ES_tradnl"/>
        </w:rPr>
        <w:t xml:space="preserve"> </w:t>
      </w:r>
    </w:p>
    <w:p w14:paraId="0EE469BE" w14:textId="77777777" w:rsidR="004808A2" w:rsidRPr="00B51CF8" w:rsidRDefault="004808A2" w:rsidP="004808A2">
      <w:pPr>
        <w:spacing w:after="0" w:line="240" w:lineRule="auto"/>
        <w:rPr>
          <w:rFonts w:ascii="Verdana" w:eastAsia="Calibri" w:hAnsi="Verdana" w:cs="Arial"/>
          <w:lang w:eastAsia="es-ES"/>
        </w:rPr>
      </w:pPr>
      <w:hyperlink r:id="rId11" w:history="1">
        <w:r w:rsidRPr="00E44321">
          <w:rPr>
            <w:rStyle w:val="Hipervnculo"/>
            <w:rFonts w:ascii="Verdana" w:hAnsi="Verdana"/>
          </w:rPr>
          <w:t>carinahernandez108@gmail.com</w:t>
        </w:r>
      </w:hyperlink>
      <w:r>
        <w:rPr>
          <w:rFonts w:ascii="Verdana" w:hAnsi="Verdana"/>
        </w:rPr>
        <w:t xml:space="preserve"> </w:t>
      </w:r>
      <w:r w:rsidRPr="00B51CF8">
        <w:rPr>
          <w:rFonts w:ascii="Verdana" w:hAnsi="Verdana"/>
        </w:rPr>
        <w:t xml:space="preserve">                       </w:t>
      </w:r>
      <w:r w:rsidRPr="00B51CF8">
        <w:rPr>
          <w:rFonts w:ascii="Verdana" w:eastAsia="Calibri" w:hAnsi="Verdana" w:cs="Arial"/>
          <w:lang w:eastAsia="es-ES"/>
        </w:rPr>
        <w:t xml:space="preserve">    </w:t>
      </w:r>
    </w:p>
    <w:p w14:paraId="6BB96461" w14:textId="77777777" w:rsidR="004808A2" w:rsidRDefault="004808A2" w:rsidP="004808A2">
      <w:pPr>
        <w:spacing w:after="0" w:line="240" w:lineRule="auto"/>
        <w:rPr>
          <w:rFonts w:ascii="Verdana" w:eastAsia="Calibri" w:hAnsi="Verdana" w:cs="Arial"/>
          <w:lang w:val="es-ES" w:eastAsia="es-ES"/>
        </w:rPr>
      </w:pPr>
      <w:r w:rsidRPr="00B51CF8">
        <w:rPr>
          <w:rFonts w:ascii="Verdana" w:eastAsia="Calibri" w:hAnsi="Verdana" w:cs="Arial"/>
          <w:lang w:val="es-ES" w:eastAsia="es-ES"/>
        </w:rPr>
        <w:t>Cumbal</w:t>
      </w:r>
      <w:r>
        <w:rPr>
          <w:rFonts w:ascii="Verdana" w:eastAsia="Calibri" w:hAnsi="Verdana" w:cs="Arial"/>
          <w:lang w:val="es-ES" w:eastAsia="es-ES"/>
        </w:rPr>
        <w:t xml:space="preserve">, </w:t>
      </w:r>
      <w:r w:rsidRPr="00B51CF8">
        <w:rPr>
          <w:rFonts w:ascii="Verdana" w:eastAsia="Calibri" w:hAnsi="Verdana" w:cs="Arial"/>
          <w:lang w:val="es-ES" w:eastAsia="es-ES"/>
        </w:rPr>
        <w:t>Nariño</w:t>
      </w:r>
      <w:r>
        <w:rPr>
          <w:rFonts w:ascii="Verdana" w:eastAsia="Calibri" w:hAnsi="Verdana" w:cs="Arial"/>
          <w:lang w:val="es-ES" w:eastAsia="es-ES"/>
        </w:rPr>
        <w:t xml:space="preserve"> </w:t>
      </w:r>
    </w:p>
    <w:p w14:paraId="424CCC95" w14:textId="77777777" w:rsidR="004808A2" w:rsidRPr="00593A5F" w:rsidRDefault="004808A2" w:rsidP="004808A2">
      <w:pPr>
        <w:spacing w:after="0" w:line="240" w:lineRule="auto"/>
        <w:rPr>
          <w:rFonts w:ascii="Verdana" w:eastAsia="Calibri" w:hAnsi="Verdana" w:cs="Arial"/>
          <w:b/>
          <w:bCs/>
          <w:color w:val="000000"/>
          <w:lang w:val="es-ES_tradnl" w:eastAsia="es-ES_tradnl"/>
        </w:rPr>
      </w:pPr>
    </w:p>
    <w:p w14:paraId="175146D3" w14:textId="77777777" w:rsidR="004808A2" w:rsidRPr="00593A5F" w:rsidRDefault="004808A2" w:rsidP="004808A2">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4808A2" w:rsidRPr="00593A5F" w14:paraId="597044ED" w14:textId="77777777" w:rsidTr="004C07B5">
        <w:trPr>
          <w:trHeight w:val="884"/>
        </w:trPr>
        <w:tc>
          <w:tcPr>
            <w:tcW w:w="2689" w:type="dxa"/>
          </w:tcPr>
          <w:p w14:paraId="2416C633" w14:textId="77777777" w:rsidR="004808A2" w:rsidRPr="00C00976" w:rsidRDefault="004808A2" w:rsidP="004C07B5">
            <w:pPr>
              <w:jc w:val="both"/>
              <w:rPr>
                <w:rFonts w:ascii="Verdana" w:eastAsia="Calibri" w:hAnsi="Verdana" w:cs="Arial"/>
                <w:b/>
                <w:bCs/>
                <w:color w:val="7030A0"/>
                <w:lang w:val="es-ES_tradnl" w:eastAsia="es-ES_tradnl"/>
              </w:rPr>
            </w:pPr>
          </w:p>
        </w:tc>
        <w:tc>
          <w:tcPr>
            <w:tcW w:w="6100" w:type="dxa"/>
          </w:tcPr>
          <w:p w14:paraId="18BE5930" w14:textId="6448BAF8" w:rsidR="004808A2" w:rsidRPr="00C00976" w:rsidRDefault="004808A2" w:rsidP="004C07B5">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517853">
              <w:rPr>
                <w:rFonts w:ascii="Verdana" w:eastAsia="Calibri" w:hAnsi="Verdana" w:cs="Arial"/>
                <w:b/>
                <w:bCs/>
                <w:lang w:val="es-ES" w:eastAsia="es-ES"/>
              </w:rPr>
              <w:t>-</w:t>
            </w:r>
            <w:r>
              <w:rPr>
                <w:rFonts w:ascii="Verdana" w:eastAsia="Calibri" w:hAnsi="Verdana" w:cs="Arial"/>
                <w:b/>
                <w:bCs/>
                <w:lang w:val="es-ES" w:eastAsia="es-ES"/>
              </w:rPr>
              <w:t xml:space="preserve">1226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4808A2" w:rsidRPr="00593A5F" w14:paraId="3CDC67FB" w14:textId="77777777" w:rsidTr="004C07B5">
        <w:trPr>
          <w:trHeight w:val="884"/>
        </w:trPr>
        <w:tc>
          <w:tcPr>
            <w:tcW w:w="2689" w:type="dxa"/>
          </w:tcPr>
          <w:p w14:paraId="431124AB" w14:textId="77777777" w:rsidR="004808A2" w:rsidRPr="00593A5F" w:rsidRDefault="004808A2" w:rsidP="004C07B5">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03B89588" w14:textId="77777777" w:rsidR="004808A2" w:rsidRPr="00A11406" w:rsidRDefault="004808A2" w:rsidP="004C07B5">
            <w:pPr>
              <w:spacing w:line="276" w:lineRule="auto"/>
              <w:jc w:val="both"/>
              <w:rPr>
                <w:rFonts w:ascii="Verdana" w:eastAsia="Calibri" w:hAnsi="Verdana" w:cs="Arial"/>
                <w:lang w:val="es-ES" w:eastAsia="es-ES"/>
              </w:rPr>
            </w:pPr>
            <w:r w:rsidRPr="000F752D">
              <w:rPr>
                <w:rFonts w:ascii="Verdana" w:eastAsia="Calibri" w:hAnsi="Verdana" w:cs="Arial"/>
                <w:lang w:val="es-ES" w:eastAsia="es-ES"/>
              </w:rPr>
              <w:t>INHABILIDADES – Definición – Finalidad – Limitación capacidad contractual / CONTRATACIÓN ESTATAL – Capacidad – Validez contratos – Régimen de contratación – Inscripción – Limitación de la capacidad / INHABILIDADES – Taxatividad – Principio de legalidad – Interpretación restrictiva</w:t>
            </w:r>
            <w:r>
              <w:rPr>
                <w:rFonts w:ascii="Verdana" w:eastAsia="Calibri" w:hAnsi="Verdana" w:cs="Arial"/>
                <w:lang w:val="es-ES" w:eastAsia="es-ES"/>
              </w:rPr>
              <w:t xml:space="preserve"> / </w:t>
            </w:r>
            <w:r w:rsidRPr="009373EF">
              <w:rPr>
                <w:rFonts w:ascii="Verdana" w:eastAsia="Calibri" w:hAnsi="Verdana" w:cs="Arial"/>
                <w:lang w:val="es-ES" w:eastAsia="es-ES"/>
              </w:rPr>
              <w:t>ACTOS DE CORRUPCIÓN – Inhabilidad – Modificaciones</w:t>
            </w:r>
            <w:r>
              <w:rPr>
                <w:rFonts w:ascii="Verdana" w:eastAsia="Calibri" w:hAnsi="Verdana" w:cs="Arial"/>
                <w:lang w:val="es-ES" w:eastAsia="es-ES"/>
              </w:rPr>
              <w:t xml:space="preserve"> / </w:t>
            </w:r>
            <w:r w:rsidRPr="009373EF">
              <w:rPr>
                <w:rFonts w:ascii="Verdana" w:eastAsia="Calibri" w:hAnsi="Verdana" w:cs="Arial"/>
                <w:lang w:val="es-ES" w:eastAsia="es-ES"/>
              </w:rPr>
              <w:t xml:space="preserve">PRINCIPIO DE IRRETROACTIVIDAD – Aplicación de las normas en el tiempo  </w:t>
            </w:r>
            <w:r w:rsidRPr="001F2EA1">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5B4D3AFA" w14:textId="77777777" w:rsidR="004808A2" w:rsidRPr="00593A5F" w:rsidRDefault="004808A2" w:rsidP="004C07B5">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4808A2" w:rsidRPr="008E6AD9" w14:paraId="5B046F4C" w14:textId="77777777" w:rsidTr="004C07B5">
        <w:tc>
          <w:tcPr>
            <w:tcW w:w="2689" w:type="dxa"/>
          </w:tcPr>
          <w:p w14:paraId="6E8DD5E2" w14:textId="77777777" w:rsidR="004808A2" w:rsidRPr="008E6AD9" w:rsidRDefault="004808A2" w:rsidP="004C07B5">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525326CD" w14:textId="77777777" w:rsidR="004808A2" w:rsidRPr="00B92340" w:rsidRDefault="004808A2" w:rsidP="004C07B5">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021999">
              <w:rPr>
                <w:rFonts w:ascii="Verdana" w:eastAsia="Calibri" w:hAnsi="Verdana" w:cs="Arial"/>
                <w:lang w:val="es-ES_tradnl" w:eastAsia="es-ES_tradnl"/>
              </w:rPr>
              <w:t>1_2026_08_04_010274</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542E94DE" w14:textId="77777777" w:rsidR="004808A2" w:rsidRPr="00593A5F" w:rsidRDefault="004808A2" w:rsidP="004808A2">
      <w:pPr>
        <w:spacing w:after="0" w:line="240" w:lineRule="auto"/>
        <w:jc w:val="both"/>
        <w:rPr>
          <w:rFonts w:ascii="Verdana" w:eastAsia="Calibri" w:hAnsi="Verdana" w:cs="Arial"/>
          <w:color w:val="000000"/>
          <w:lang w:val="es-ES_tradnl" w:eastAsia="es-ES_tradnl"/>
        </w:rPr>
      </w:pPr>
    </w:p>
    <w:p w14:paraId="1A11F5D2" w14:textId="77777777" w:rsidR="004808A2" w:rsidRPr="00593A5F" w:rsidRDefault="004808A2" w:rsidP="004808A2">
      <w:pPr>
        <w:spacing w:after="0" w:line="240" w:lineRule="auto"/>
        <w:jc w:val="both"/>
        <w:rPr>
          <w:rFonts w:ascii="Verdana" w:eastAsia="Calibri" w:hAnsi="Verdana" w:cs="Arial"/>
          <w:color w:val="000000"/>
          <w:lang w:val="es-ES_tradnl" w:eastAsia="es-ES_tradnl"/>
        </w:rPr>
      </w:pPr>
    </w:p>
    <w:p w14:paraId="3E1045B7" w14:textId="77777777" w:rsidR="004808A2" w:rsidRPr="008E6AD9" w:rsidRDefault="004808A2" w:rsidP="004808A2">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B066AF">
        <w:rPr>
          <w:rFonts w:ascii="Verdana" w:eastAsia="Calibri" w:hAnsi="Verdana" w:cs="Arial"/>
          <w:lang w:val="es-ES" w:eastAsia="es-ES"/>
        </w:rPr>
        <w:t>Hernández</w:t>
      </w:r>
      <w:r w:rsidRPr="008E6AD9">
        <w:rPr>
          <w:rFonts w:ascii="Verdana" w:eastAsia="Calibri" w:hAnsi="Verdana" w:cs="Arial"/>
          <w:lang w:val="es-ES" w:eastAsia="es-ES"/>
        </w:rPr>
        <w:t xml:space="preserve">: </w:t>
      </w:r>
    </w:p>
    <w:p w14:paraId="114F61D0" w14:textId="77777777" w:rsidR="004808A2" w:rsidRDefault="004808A2" w:rsidP="004808A2">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2D68245B" w14:textId="77777777" w:rsidR="004808A2" w:rsidRPr="00593A5F" w:rsidRDefault="004808A2" w:rsidP="004808A2">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 xml:space="preserve">la Agencia Nacional de Contratación Pública – Colombia Compra Eficiente responde </w:t>
      </w:r>
      <w:r>
        <w:rPr>
          <w:rFonts w:ascii="Verdana" w:eastAsia="Calibri" w:hAnsi="Verdana" w:cs="Arial"/>
          <w:color w:val="000000" w:themeColor="text1"/>
          <w:lang w:val="es-ES" w:eastAsia="es-ES"/>
        </w:rPr>
        <w:t>la</w:t>
      </w:r>
      <w:r w:rsidRPr="00593A5F">
        <w:rPr>
          <w:rFonts w:ascii="Verdana" w:eastAsia="Calibri" w:hAnsi="Verdana" w:cs="Arial"/>
          <w:color w:val="000000" w:themeColor="text1"/>
          <w:lang w:val="es-ES" w:eastAsia="es-ES"/>
        </w:rPr>
        <w:t xml:space="preserve">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7 de julio de 2026 realizada al Departamento Administrativo de la Función Pública, la cual –conforme al artículo 21 de la Ley 1437 de 2011– fue remitida por competencia a esta entidad mediante correo electrónico del 3 de agosto de 2026,</w:t>
      </w:r>
      <w:r w:rsidRPr="00A535A3">
        <w:rPr>
          <w:rFonts w:ascii="Verdana" w:eastAsia="Calibri" w:hAnsi="Verdana" w:cs="Arial"/>
          <w:lang w:val="es-ES" w:eastAsia="es-ES"/>
        </w:rPr>
        <w:t xml:space="preserve"> </w:t>
      </w:r>
      <w:r>
        <w:rPr>
          <w:rFonts w:ascii="Verdana" w:eastAsia="Calibri" w:hAnsi="Verdana" w:cs="Arial"/>
          <w:lang w:val="es-ES" w:eastAsia="es-ES"/>
        </w:rPr>
        <w:t>donde solicita conceptuar sobre las siguiente situación</w:t>
      </w:r>
      <w:r w:rsidRPr="008E6AD9">
        <w:rPr>
          <w:rFonts w:ascii="Verdana" w:eastAsia="Calibri" w:hAnsi="Verdana" w:cs="Arial"/>
          <w:lang w:val="es-ES" w:eastAsia="es-ES"/>
        </w:rPr>
        <w:t xml:space="preserve">: </w:t>
      </w:r>
    </w:p>
    <w:p w14:paraId="0F478EF4" w14:textId="77777777" w:rsidR="004808A2" w:rsidRPr="00272A7B" w:rsidRDefault="004808A2" w:rsidP="004808A2">
      <w:pPr>
        <w:pStyle w:val="Prrafodelista"/>
        <w:tabs>
          <w:tab w:val="left" w:pos="142"/>
          <w:tab w:val="left" w:pos="284"/>
        </w:tabs>
        <w:spacing w:after="0" w:line="276" w:lineRule="auto"/>
        <w:ind w:left="0"/>
        <w:jc w:val="both"/>
        <w:rPr>
          <w:rFonts w:ascii="Verdana" w:eastAsia="Century Gothic" w:hAnsi="Verdana" w:cs="Century Gothic"/>
          <w:b/>
          <w:bCs/>
        </w:rPr>
      </w:pPr>
    </w:p>
    <w:p w14:paraId="4743DC97" w14:textId="77777777" w:rsidR="004808A2" w:rsidRPr="00F50E09" w:rsidRDefault="004808A2" w:rsidP="004808A2">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lastRenderedPageBreak/>
        <w:t>“</w:t>
      </w:r>
      <w:bookmarkEnd w:id="0"/>
      <w:r w:rsidRPr="00F50E09">
        <w:rPr>
          <w:rFonts w:ascii="Verdana" w:eastAsia="Century Gothic" w:hAnsi="Verdana" w:cs="Century Gothic"/>
          <w:sz w:val="20"/>
          <w:szCs w:val="20"/>
          <w:lang w:val="es-ES"/>
        </w:rPr>
        <w:t>Una persona fue condenada en 2015 a 7 años de prisión por los delitos de enriquecimiento ilícito de particulares, cohecho propio, interés indebido en la celebración de contratos y extorsión. A la fecha, la pena privativa de la libertad se encuentra completamente cumplida y se constató que la comisión de estas conductas no generó un detrimento al patrimonio público.</w:t>
      </w:r>
    </w:p>
    <w:p w14:paraId="11725E4E" w14:textId="77777777" w:rsidR="004808A2" w:rsidRPr="00F50E09" w:rsidRDefault="004808A2" w:rsidP="004808A2">
      <w:pPr>
        <w:spacing w:after="120" w:line="240" w:lineRule="auto"/>
        <w:ind w:left="709" w:right="709"/>
        <w:jc w:val="both"/>
        <w:rPr>
          <w:rFonts w:ascii="Verdana" w:eastAsia="Century Gothic" w:hAnsi="Verdana" w:cs="Century Gothic"/>
          <w:sz w:val="20"/>
          <w:szCs w:val="20"/>
          <w:lang w:val="es-ES"/>
        </w:rPr>
      </w:pPr>
      <w:r w:rsidRPr="00F50E09">
        <w:rPr>
          <w:rFonts w:ascii="Verdana" w:eastAsia="Century Gothic" w:hAnsi="Verdana" w:cs="Century Gothic"/>
          <w:sz w:val="20"/>
          <w:szCs w:val="20"/>
          <w:lang w:val="es-ES"/>
        </w:rPr>
        <w:t xml:space="preserve">1. </w:t>
      </w:r>
      <w:proofErr w:type="gramStart"/>
      <w:r w:rsidRPr="00F50E09">
        <w:rPr>
          <w:rFonts w:ascii="Verdana" w:eastAsia="Century Gothic" w:hAnsi="Verdana" w:cs="Century Gothic"/>
          <w:sz w:val="20"/>
          <w:szCs w:val="20"/>
          <w:lang w:val="es-ES"/>
        </w:rPr>
        <w:t>De acuerdo a</w:t>
      </w:r>
      <w:proofErr w:type="gramEnd"/>
      <w:r w:rsidRPr="00F50E09">
        <w:rPr>
          <w:rFonts w:ascii="Verdana" w:eastAsia="Century Gothic" w:hAnsi="Verdana" w:cs="Century Gothic"/>
          <w:sz w:val="20"/>
          <w:szCs w:val="20"/>
          <w:lang w:val="es-ES"/>
        </w:rPr>
        <w:t xml:space="preserve"> la inhabilidad prevista en el literal j del numeral 1 del artículo 8 de la ley 80 de 1993, esta persona puede suscribir contratos con el estado.</w:t>
      </w:r>
    </w:p>
    <w:p w14:paraId="6B989AD1" w14:textId="77777777" w:rsidR="004808A2" w:rsidRPr="00F50E09" w:rsidRDefault="004808A2" w:rsidP="004808A2">
      <w:pPr>
        <w:spacing w:after="120" w:line="240" w:lineRule="auto"/>
        <w:ind w:left="709" w:right="709"/>
        <w:jc w:val="both"/>
        <w:rPr>
          <w:rFonts w:ascii="Verdana" w:eastAsia="Century Gothic" w:hAnsi="Verdana" w:cs="Century Gothic"/>
          <w:sz w:val="20"/>
          <w:szCs w:val="20"/>
          <w:lang w:val="es-ES"/>
        </w:rPr>
      </w:pPr>
      <w:r w:rsidRPr="00F50E09">
        <w:rPr>
          <w:rFonts w:ascii="Verdana" w:eastAsia="Century Gothic" w:hAnsi="Verdana" w:cs="Century Gothic"/>
          <w:sz w:val="20"/>
          <w:szCs w:val="20"/>
          <w:lang w:val="es-ES"/>
        </w:rPr>
        <w:t>2. Esta Inhabilidad es permanente.</w:t>
      </w:r>
    </w:p>
    <w:p w14:paraId="587844E0" w14:textId="77777777" w:rsidR="004808A2" w:rsidRPr="008E6AD9" w:rsidRDefault="004808A2" w:rsidP="004808A2">
      <w:pPr>
        <w:spacing w:after="0" w:line="240" w:lineRule="auto"/>
        <w:ind w:left="709" w:right="709"/>
        <w:jc w:val="both"/>
        <w:rPr>
          <w:rFonts w:ascii="Verdana" w:eastAsia="Century Gothic" w:hAnsi="Verdana" w:cs="Century Gothic"/>
          <w:b/>
          <w:bCs/>
        </w:rPr>
      </w:pPr>
      <w:r w:rsidRPr="00F50E09">
        <w:rPr>
          <w:rFonts w:ascii="Verdana" w:eastAsia="Century Gothic" w:hAnsi="Verdana" w:cs="Century Gothic"/>
          <w:sz w:val="20"/>
          <w:szCs w:val="20"/>
          <w:lang w:val="es-ES"/>
        </w:rPr>
        <w:t>3. Esta inhabilidad tiene excepción para no ser permanente cuando no existió por la comisión de los delitos detrimento al patrimonio público</w:t>
      </w:r>
      <w:r>
        <w:rPr>
          <w:rFonts w:ascii="Verdana" w:eastAsia="Century Gothic" w:hAnsi="Verdana" w:cs="Century Gothic"/>
          <w:sz w:val="20"/>
          <w:szCs w:val="20"/>
          <w:lang w:val="es-ES"/>
        </w:rPr>
        <w:t>”.</w:t>
      </w:r>
    </w:p>
    <w:p w14:paraId="18F73672" w14:textId="77777777" w:rsidR="004808A2" w:rsidRPr="00481B98" w:rsidRDefault="004808A2" w:rsidP="004808A2">
      <w:pPr>
        <w:spacing w:after="0" w:line="276" w:lineRule="auto"/>
        <w:ind w:firstLine="709"/>
        <w:jc w:val="both"/>
        <w:rPr>
          <w:rFonts w:ascii="Verdana" w:eastAsia="Calibri" w:hAnsi="Verdana" w:cs="Arial"/>
          <w:color w:val="000000"/>
          <w:lang w:eastAsia="es-ES"/>
        </w:rPr>
      </w:pPr>
    </w:p>
    <w:p w14:paraId="5EF06A8F" w14:textId="77777777" w:rsidR="004808A2" w:rsidRPr="00A652FF" w:rsidRDefault="004808A2" w:rsidP="004808A2">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4834E42A" w14:textId="77777777" w:rsidR="004808A2" w:rsidRDefault="004808A2" w:rsidP="004808A2">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3021EE89" w14:textId="77777777" w:rsidR="004808A2" w:rsidRPr="00593A5F" w:rsidRDefault="004808A2" w:rsidP="004808A2">
      <w:pPr>
        <w:spacing w:after="0" w:line="276" w:lineRule="auto"/>
        <w:ind w:firstLine="709"/>
        <w:jc w:val="both"/>
        <w:rPr>
          <w:rFonts w:ascii="Verdana" w:eastAsia="Calibri" w:hAnsi="Verdana" w:cs="Arial"/>
          <w:color w:val="000000"/>
          <w:lang w:val="es-ES" w:eastAsia="es-ES"/>
        </w:rPr>
      </w:pPr>
    </w:p>
    <w:p w14:paraId="20C8B7FE" w14:textId="77777777" w:rsidR="004808A2" w:rsidRPr="00593A5F" w:rsidRDefault="004808A2" w:rsidP="004808A2">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4F4743EB" w14:textId="77777777" w:rsidR="004808A2" w:rsidRPr="00593A5F" w:rsidRDefault="004808A2" w:rsidP="004808A2">
      <w:pPr>
        <w:tabs>
          <w:tab w:val="left" w:pos="426"/>
        </w:tabs>
        <w:spacing w:after="0" w:line="276" w:lineRule="auto"/>
        <w:jc w:val="both"/>
        <w:rPr>
          <w:rFonts w:ascii="Verdana" w:eastAsia="Century Gothic" w:hAnsi="Verdana" w:cs="Century Gothic"/>
          <w:lang w:val="es-ES"/>
        </w:rPr>
      </w:pPr>
    </w:p>
    <w:p w14:paraId="7C05747F" w14:textId="77777777" w:rsidR="004808A2" w:rsidRPr="00593A5F" w:rsidRDefault="004808A2" w:rsidP="004808A2">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713F51">
        <w:rPr>
          <w:rFonts w:ascii="Verdana" w:eastAsia="Century Gothic" w:hAnsi="Verdana" w:cs="Century Gothic"/>
        </w:rPr>
        <w:t>¿cuál</w:t>
      </w:r>
      <w:r>
        <w:rPr>
          <w:rFonts w:ascii="Verdana" w:eastAsia="Century Gothic" w:hAnsi="Verdana" w:cs="Century Gothic"/>
        </w:rPr>
        <w:t xml:space="preserve"> </w:t>
      </w:r>
      <w:r w:rsidRPr="00713F51">
        <w:rPr>
          <w:rFonts w:ascii="Verdana" w:eastAsia="Century Gothic" w:hAnsi="Verdana" w:cs="Century Gothic"/>
        </w:rPr>
        <w:t xml:space="preserve">es </w:t>
      </w:r>
      <w:r>
        <w:rPr>
          <w:rFonts w:ascii="Verdana" w:eastAsia="Century Gothic" w:hAnsi="Verdana" w:cs="Century Gothic"/>
        </w:rPr>
        <w:t xml:space="preserve">el criterio para aplicar </w:t>
      </w:r>
      <w:r>
        <w:rPr>
          <w:rFonts w:ascii="Verdana" w:hAnsi="Verdana" w:cs="Arial"/>
          <w:color w:val="000000" w:themeColor="text1"/>
        </w:rPr>
        <w:t>la inhabilidad del</w:t>
      </w:r>
      <w:r w:rsidRPr="00F42D22">
        <w:rPr>
          <w:rFonts w:ascii="Verdana" w:hAnsi="Verdana" w:cs="Arial"/>
          <w:color w:val="000000" w:themeColor="text1"/>
        </w:rPr>
        <w:t xml:space="preserve"> literal j) del artículo 8.1 de la Ley 80 de 1993</w:t>
      </w:r>
      <w:r>
        <w:rPr>
          <w:rFonts w:ascii="Verdana" w:hAnsi="Verdana" w:cs="Arial"/>
          <w:color w:val="000000" w:themeColor="text1"/>
        </w:rPr>
        <w:t xml:space="preserve"> frente a sus modificaciones en el tiempo</w:t>
      </w:r>
      <w:r w:rsidRPr="00713F51">
        <w:rPr>
          <w:rFonts w:ascii="Verdana" w:eastAsia="Century Gothic" w:hAnsi="Verdana" w:cs="Century Gothic"/>
        </w:rPr>
        <w:t>?</w:t>
      </w:r>
    </w:p>
    <w:p w14:paraId="78531C14" w14:textId="77777777" w:rsidR="004808A2" w:rsidRPr="004B140F" w:rsidRDefault="004808A2" w:rsidP="004808A2">
      <w:pPr>
        <w:spacing w:after="0" w:line="276" w:lineRule="auto"/>
        <w:jc w:val="both"/>
        <w:rPr>
          <w:rFonts w:ascii="Verdana" w:eastAsia="Calibri" w:hAnsi="Verdana" w:cs="Arial"/>
          <w:color w:val="7030A0"/>
        </w:rPr>
      </w:pPr>
    </w:p>
    <w:p w14:paraId="27691358" w14:textId="77777777" w:rsidR="004808A2" w:rsidRPr="00593A5F" w:rsidRDefault="004808A2" w:rsidP="004808A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lastRenderedPageBreak/>
        <w:t>Respuesta:</w:t>
      </w:r>
    </w:p>
    <w:p w14:paraId="0517D5FD" w14:textId="77777777" w:rsidR="004808A2" w:rsidRPr="00593A5F" w:rsidRDefault="004808A2" w:rsidP="004808A2">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808A2" w:rsidRPr="00593A5F" w14:paraId="38C4572A" w14:textId="77777777" w:rsidTr="004C07B5">
        <w:trPr>
          <w:jc w:val="center"/>
        </w:trPr>
        <w:tc>
          <w:tcPr>
            <w:tcW w:w="8828" w:type="dxa"/>
          </w:tcPr>
          <w:p w14:paraId="7E78F52B" w14:textId="77777777" w:rsidR="004808A2" w:rsidRDefault="004808A2" w:rsidP="004C07B5">
            <w:pPr>
              <w:spacing w:after="120" w:line="276" w:lineRule="auto"/>
              <w:jc w:val="both"/>
              <w:rPr>
                <w:rFonts w:ascii="Verdana" w:hAnsi="Verdana" w:cs="Arial"/>
                <w:color w:val="000000" w:themeColor="text1"/>
              </w:rPr>
            </w:pPr>
            <w:bookmarkStart w:id="1" w:name="_Hlk171694685"/>
            <w:r>
              <w:rPr>
                <w:rFonts w:ascii="Verdana" w:eastAsia="Calibri" w:hAnsi="Verdana" w:cs="Arial"/>
                <w:bCs/>
                <w:color w:val="000000" w:themeColor="text1"/>
              </w:rPr>
              <w:t>De acuerdo con</w:t>
            </w:r>
            <w:r w:rsidRPr="000955E3">
              <w:rPr>
                <w:rFonts w:ascii="Verdana" w:eastAsia="Calibri" w:hAnsi="Verdana" w:cs="Arial"/>
                <w:bCs/>
                <w:color w:val="000000" w:themeColor="text1"/>
              </w:rPr>
              <w:t xml:space="preserve">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sidRPr="00F42D22">
              <w:rPr>
                <w:rFonts w:ascii="Verdana" w:hAnsi="Verdana" w:cs="Arial"/>
                <w:color w:val="000000" w:themeColor="text1"/>
              </w:rPr>
              <w:t>el artículo 18 de la Ley 1150 de 2007 adicionó el literal j) del artículo 8.1 de la Ley 80 de 1993. Conforme a la causal introducida en el EGCAP, están inhabilitados “Las personas naturales que hayan sido declaradas responsables judicialmente por la comisión de delitos de peculado, concusión, cohecho, prevaricato en todas sus modalidades y soborno transnacional, así como sus equivalentes en otras jurisdicciones. Esta inhabilidad se extenderá a las sociedades de que sean socias tales personas, con excepción de las sociedades anónimas abiertas”.</w:t>
            </w:r>
            <w:r>
              <w:rPr>
                <w:rFonts w:ascii="Verdana" w:hAnsi="Verdana" w:cs="Arial"/>
                <w:color w:val="000000" w:themeColor="text1"/>
              </w:rPr>
              <w:t xml:space="preserve"> </w:t>
            </w:r>
            <w:r w:rsidRPr="00F42D22">
              <w:rPr>
                <w:rFonts w:ascii="Verdana" w:hAnsi="Verdana" w:cs="Arial"/>
                <w:color w:val="000000" w:themeColor="text1"/>
              </w:rPr>
              <w:t xml:space="preserve">Sin embargo, esta causal ha sido modificada por la Leyes 1474 de 2011, 1778 de 2016 y 2014 de 2019, esta última reglamentada por el Decreto 1358 de 2020. </w:t>
            </w:r>
          </w:p>
          <w:p w14:paraId="01625D8C" w14:textId="77777777" w:rsidR="004808A2" w:rsidRPr="00F42D22" w:rsidRDefault="004808A2" w:rsidP="004C07B5">
            <w:pPr>
              <w:spacing w:after="120" w:line="276" w:lineRule="auto"/>
              <w:ind w:firstLine="744"/>
              <w:jc w:val="both"/>
              <w:rPr>
                <w:rFonts w:ascii="Verdana" w:hAnsi="Verdana" w:cs="Arial"/>
                <w:color w:val="000000" w:themeColor="text1"/>
              </w:rPr>
            </w:pPr>
            <w:r w:rsidRPr="00F42D22">
              <w:rPr>
                <w:rFonts w:ascii="Verdana" w:hAnsi="Verdana" w:cs="Arial"/>
                <w:color w:val="000000" w:themeColor="text1"/>
              </w:rPr>
              <w:t xml:space="preserve">La </w:t>
            </w:r>
            <w:r w:rsidRPr="00F42D22">
              <w:rPr>
                <w:rFonts w:ascii="Verdana" w:hAnsi="Verdana" w:cs="Arial"/>
                <w:i/>
                <w:iCs/>
                <w:color w:val="000000" w:themeColor="text1"/>
              </w:rPr>
              <w:t>primera modificación</w:t>
            </w:r>
            <w:r w:rsidRPr="00F42D22">
              <w:rPr>
                <w:rFonts w:ascii="Verdana" w:hAnsi="Verdana" w:cs="Arial"/>
                <w:color w:val="000000" w:themeColor="text1"/>
              </w:rPr>
              <w:t xml:space="preserve"> circunscribió la inhabilidad a las personas naturales responsables judicialmente de la comisión de delitos contra la Administración Pública cuya pena sea privativa de la libertad o soborno transnacional, con excepción de delitos culposos; la extendió a las sociedades en las que sean socias tales personas, a sus matrices y a sus subordinadas, con excepción de las sociedades anónimas abiertas; y determinó una duración de veinte (20) años. </w:t>
            </w:r>
          </w:p>
          <w:p w14:paraId="35AB7F21" w14:textId="77777777" w:rsidR="004808A2" w:rsidRPr="00F42D22" w:rsidRDefault="004808A2" w:rsidP="004C07B5">
            <w:pPr>
              <w:spacing w:after="120" w:line="276" w:lineRule="auto"/>
              <w:ind w:firstLine="708"/>
              <w:jc w:val="both"/>
              <w:rPr>
                <w:rFonts w:ascii="Verdana" w:hAnsi="Verdana" w:cs="Arial"/>
                <w:color w:val="000000" w:themeColor="text1"/>
              </w:rPr>
            </w:pPr>
            <w:r w:rsidRPr="00F42D22">
              <w:rPr>
                <w:rFonts w:ascii="Verdana" w:hAnsi="Verdana" w:cs="Arial"/>
                <w:color w:val="000000" w:themeColor="text1"/>
              </w:rPr>
              <w:t xml:space="preserve">La </w:t>
            </w:r>
            <w:r w:rsidRPr="00F42D22">
              <w:rPr>
                <w:rFonts w:ascii="Verdana" w:hAnsi="Verdana" w:cs="Arial"/>
                <w:i/>
                <w:iCs/>
                <w:color w:val="000000" w:themeColor="text1"/>
              </w:rPr>
              <w:t>segunda modificación</w:t>
            </w:r>
            <w:r w:rsidRPr="00F42D22">
              <w:rPr>
                <w:rFonts w:ascii="Verdana" w:hAnsi="Verdana" w:cs="Arial"/>
                <w:color w:val="000000" w:themeColor="text1"/>
              </w:rPr>
              <w:t xml:space="preserve"> precisó que la restricción aplicaría a las personas naturales responsables judicialmente de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Asimismo, extendió la inhabilidad a las personas jurídicas que hayan sido declaradas responsables administrativamente por la conducta de soborno transnacional. Esta limitación también aplica por un término de 20 años, y cobija a las sociedades de las que hagan parte dichas personas en calidad de administradores, representantes legales, miembros de junta directiva o de socios controlantes, a sus matrices y a sus subordinadas y a las sucursales de sociedades extranjeras, con excepción de las sociedades anónimas abiertas. Sin embargo, establece la configuración preventiva de la inhabilidad aun cuando esté pendiente la impugnación de la sentencia condenatoria.  </w:t>
            </w:r>
          </w:p>
          <w:p w14:paraId="0F38E278" w14:textId="77777777" w:rsidR="004808A2" w:rsidRDefault="004808A2" w:rsidP="004C07B5">
            <w:pPr>
              <w:tabs>
                <w:tab w:val="left" w:pos="709"/>
              </w:tabs>
              <w:spacing w:after="120" w:line="276" w:lineRule="auto"/>
              <w:jc w:val="both"/>
              <w:rPr>
                <w:rFonts w:ascii="Verdana" w:hAnsi="Verdana" w:cs="Arial"/>
                <w:color w:val="000000" w:themeColor="text1"/>
              </w:rPr>
            </w:pPr>
            <w:r>
              <w:rPr>
                <w:rFonts w:ascii="Verdana" w:hAnsi="Verdana" w:cs="Arial"/>
                <w:color w:val="000000" w:themeColor="text1"/>
              </w:rPr>
              <w:lastRenderedPageBreak/>
              <w:tab/>
            </w:r>
            <w:r w:rsidRPr="00F42D22">
              <w:rPr>
                <w:rFonts w:ascii="Verdana" w:hAnsi="Verdana" w:cs="Arial"/>
                <w:color w:val="000000" w:themeColor="text1"/>
              </w:rPr>
              <w:t xml:space="preserve">La </w:t>
            </w:r>
            <w:r w:rsidRPr="00F42D22">
              <w:rPr>
                <w:rFonts w:ascii="Verdana" w:hAnsi="Verdana" w:cs="Arial"/>
                <w:i/>
                <w:iCs/>
                <w:color w:val="000000" w:themeColor="text1"/>
              </w:rPr>
              <w:t>tercera modificación</w:t>
            </w:r>
            <w:r w:rsidRPr="00F42D22">
              <w:rPr>
                <w:rFonts w:ascii="Verdana" w:hAnsi="Verdana" w:cs="Arial"/>
                <w:color w:val="000000" w:themeColor="text1"/>
              </w:rPr>
              <w:t xml:space="preserve"> mantiene a grandes rasgos la configuración de la inhabilidad respecto a las personas naturales declaradas responsables judicialmente por la comisión de delitos relacionados con actos de corrupción, así como las personas jurídicas que hayan sido declaradas responsables administrativamente por la conducta de soborno transnacional. Además de las personas jurídicas sobre las cuales se haya ordenado la suspensión de la personería, la restricción se extiende a las sociedades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 Aunque conserva la configuración preventiva, tiene carácter permanente al margen de la aplicación del principio de oportunidad por cualquier delito contra la Administración pública o el patrimonio del Estado. </w:t>
            </w:r>
          </w:p>
          <w:p w14:paraId="1454CD7E" w14:textId="25518BA4" w:rsidR="004808A2" w:rsidRPr="008630C8" w:rsidRDefault="004808A2" w:rsidP="004C07B5">
            <w:pPr>
              <w:tabs>
                <w:tab w:val="left" w:pos="709"/>
              </w:tabs>
              <w:spacing w:after="120" w:line="276" w:lineRule="auto"/>
              <w:ind w:firstLine="744"/>
              <w:jc w:val="both"/>
              <w:rPr>
                <w:rFonts w:ascii="Verdana" w:eastAsia="Calibri" w:hAnsi="Verdana" w:cs="Arial"/>
                <w:bCs/>
                <w:color w:val="000000" w:themeColor="text1"/>
              </w:rPr>
            </w:pPr>
            <w:r>
              <w:rPr>
                <w:rFonts w:ascii="Verdana" w:hAnsi="Verdana" w:cs="Arial"/>
              </w:rPr>
              <w:t>P</w:t>
            </w:r>
            <w:r w:rsidRPr="008F607E">
              <w:rPr>
                <w:rFonts w:ascii="Verdana" w:hAnsi="Verdana" w:cs="Arial"/>
              </w:rPr>
              <w:t xml:space="preserve">or regla general la ley es </w:t>
            </w:r>
            <w:proofErr w:type="spellStart"/>
            <w:r w:rsidRPr="008F607E">
              <w:rPr>
                <w:rFonts w:ascii="Verdana" w:hAnsi="Verdana" w:cs="Arial"/>
              </w:rPr>
              <w:t>irretroactiva</w:t>
            </w:r>
            <w:proofErr w:type="spellEnd"/>
            <w:r w:rsidRPr="008F607E">
              <w:rPr>
                <w:rFonts w:ascii="Verdana" w:hAnsi="Verdana" w:cs="Arial"/>
              </w:rPr>
              <w:t xml:space="preserve">, es decir, solo produce afectos hacia el futuro. El legislador no contempló excepción alguna frente a la aplicación retroactiva del artículo 18 de la Ley 1150 de 2007, el artículo 1˚ de la Ley 1474 de 2011, el artículo 31 de la Ley 1778 de 2016 o el artículo 2 de la Ley 2014 de 2019. </w:t>
            </w:r>
            <w:r>
              <w:rPr>
                <w:rFonts w:ascii="Verdana" w:hAnsi="Verdana" w:cs="Arial"/>
              </w:rPr>
              <w:t>C</w:t>
            </w:r>
            <w:r w:rsidRPr="008F607E">
              <w:rPr>
                <w:rFonts w:ascii="Verdana" w:hAnsi="Verdana" w:cs="Arial"/>
              </w:rPr>
              <w:t>omo la inhabilidad del literal j) del artículo 8.1 de la Ley 80 de 1993 es de carácter sancionatorio, al tratarse de la potestad punitiva del Estado, el principio de favorabilidad es aplicable en la</w:t>
            </w:r>
            <w:r w:rsidR="00923899">
              <w:rPr>
                <w:rFonts w:ascii="Verdana" w:hAnsi="Verdana" w:cs="Arial"/>
              </w:rPr>
              <w:t>s</w:t>
            </w:r>
            <w:r w:rsidRPr="008F607E">
              <w:rPr>
                <w:rFonts w:ascii="Verdana" w:hAnsi="Verdana" w:cs="Arial"/>
              </w:rPr>
              <w:t xml:space="preserve"> actuaciones administrativas en virtud de lo establecido en el artículo 29 de la Constitución Política y en el artículo 3.1 de la Ley 1437 de 2011</w:t>
            </w:r>
            <w:r>
              <w:rPr>
                <w:rFonts w:ascii="Verdana" w:hAnsi="Verdana" w:cs="Arial"/>
              </w:rPr>
              <w:t>.</w:t>
            </w:r>
          </w:p>
          <w:p w14:paraId="145C2195" w14:textId="77777777" w:rsidR="004808A2" w:rsidRDefault="004808A2" w:rsidP="004C07B5">
            <w:pPr>
              <w:tabs>
                <w:tab w:val="left" w:pos="426"/>
              </w:tabs>
              <w:spacing w:after="120" w:line="276" w:lineRule="auto"/>
              <w:ind w:firstLine="737"/>
              <w:jc w:val="both"/>
              <w:rPr>
                <w:rFonts w:ascii="Verdana" w:hAnsi="Verdana" w:cs="Arial"/>
              </w:rPr>
            </w:pPr>
            <w:r>
              <w:rPr>
                <w:rFonts w:ascii="Verdana" w:hAnsi="Verdana" w:cs="Arial"/>
              </w:rPr>
              <w:t>De esta manera, la</w:t>
            </w:r>
            <w:r w:rsidRPr="008F607E">
              <w:rPr>
                <w:rFonts w:ascii="Verdana" w:hAnsi="Verdana" w:cs="Arial"/>
              </w:rPr>
              <w:t xml:space="preserve"> inhabilidad por actos de corrupción puede asimilarse a una pena en los términos del artículo 38.2 de la Ley 153 de 1887 para efectos de determinar que la infracción correspondiente se castigará con arreglo a la ley bajo la cual se hubiere cometido. Ello se reitera en el artículo 43 </w:t>
            </w:r>
            <w:r w:rsidRPr="008F607E">
              <w:rPr>
                <w:rFonts w:ascii="Verdana" w:hAnsi="Verdana" w:cs="Arial"/>
                <w:i/>
                <w:iCs/>
              </w:rPr>
              <w:t>ibidem</w:t>
            </w:r>
            <w:r w:rsidRPr="008F607E">
              <w:rPr>
                <w:rFonts w:ascii="Verdana" w:hAnsi="Verdana" w:cs="Arial"/>
              </w:rPr>
              <w:t xml:space="preserve">, puesto que “La ley preexistente prefiere a la ley </w:t>
            </w:r>
            <w:r w:rsidRPr="008F607E">
              <w:rPr>
                <w:rFonts w:ascii="Verdana" w:hAnsi="Verdana" w:cs="Arial"/>
                <w:i/>
                <w:iCs/>
              </w:rPr>
              <w:t>ex post facto</w:t>
            </w:r>
            <w:r w:rsidRPr="008F607E">
              <w:rPr>
                <w:rFonts w:ascii="Verdana" w:hAnsi="Verdana" w:cs="Arial"/>
              </w:rPr>
              <w:t xml:space="preserve"> en materia penal. Nadie podrá ser juzgado o penado sino por ley que haya sido promulgada antes del hecho que da lugar al juicio […]”. Asimismo, la Constitución Política dispone en materia del derecho al debido proceso, que nadie podrá ser juzgado sino conforme a leyes preexistentes al acto que se le imputa, lo cual aplica para el caso de las inhabilidades de naturaleza sancionatoria, pues estas limitan derechos subjetivos.</w:t>
            </w:r>
          </w:p>
          <w:p w14:paraId="2D811D8F" w14:textId="77777777" w:rsidR="004808A2" w:rsidRPr="00502997" w:rsidRDefault="004808A2" w:rsidP="004C07B5">
            <w:pPr>
              <w:tabs>
                <w:tab w:val="left" w:pos="426"/>
              </w:tabs>
              <w:spacing w:after="120" w:line="276" w:lineRule="auto"/>
              <w:ind w:firstLine="737"/>
              <w:jc w:val="both"/>
              <w:rPr>
                <w:rFonts w:ascii="Verdana" w:eastAsia="Calibri" w:hAnsi="Verdana" w:cs="Arial"/>
                <w:bCs/>
                <w:color w:val="000000" w:themeColor="text1"/>
                <w:lang w:val="es-ES_tradnl"/>
              </w:rPr>
            </w:pPr>
            <w:r>
              <w:rPr>
                <w:rFonts w:ascii="Verdana" w:eastAsia="Calibri" w:hAnsi="Verdana" w:cs="Arial"/>
                <w:lang w:val="es-ES_tradnl"/>
              </w:rPr>
              <w:lastRenderedPageBreak/>
              <w:t>En consecuencia, bajo los criterios de aplicación de la ley en el tiempo anteriormente explicados, la inhabilidad d</w:t>
            </w:r>
            <w:r w:rsidRPr="00F42D22">
              <w:rPr>
                <w:rFonts w:ascii="Verdana" w:hAnsi="Verdana" w:cs="Arial"/>
                <w:color w:val="000000" w:themeColor="text1"/>
              </w:rPr>
              <w:t>el literal j) del artículo 8.1 de la Ley 80 de 1993</w:t>
            </w:r>
            <w:r>
              <w:rPr>
                <w:rFonts w:ascii="Verdana" w:hAnsi="Verdana" w:cs="Arial"/>
                <w:color w:val="000000" w:themeColor="text1"/>
              </w:rPr>
              <w:t xml:space="preserve"> puede tener carácter permanente, sin que el ordenamiento regule excepciones sobre este aspecto en la modificación introducida por el </w:t>
            </w:r>
            <w:r w:rsidRPr="008F607E">
              <w:rPr>
                <w:rFonts w:ascii="Verdana" w:hAnsi="Verdana" w:cs="Arial"/>
              </w:rPr>
              <w:t>artículo 2 de la Ley 2014 de 2019</w:t>
            </w:r>
            <w:r>
              <w:rPr>
                <w:rFonts w:ascii="Verdana" w:hAnsi="Verdana" w:cs="Arial"/>
              </w:rPr>
              <w:t>.</w:t>
            </w:r>
          </w:p>
          <w:p w14:paraId="4D57B4EA" w14:textId="77777777" w:rsidR="004808A2" w:rsidRPr="001941FD" w:rsidRDefault="004808A2" w:rsidP="004C07B5">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5F50BE26" w14:textId="77777777" w:rsidR="004808A2" w:rsidRPr="00593A5F" w:rsidRDefault="004808A2" w:rsidP="004808A2">
      <w:pPr>
        <w:tabs>
          <w:tab w:val="left" w:pos="142"/>
          <w:tab w:val="left" w:pos="284"/>
        </w:tabs>
        <w:spacing w:after="0" w:line="276" w:lineRule="auto"/>
        <w:jc w:val="both"/>
        <w:rPr>
          <w:rFonts w:ascii="Verdana" w:eastAsia="Century Gothic" w:hAnsi="Verdana" w:cs="Century Gothic"/>
          <w:b/>
          <w:bCs/>
          <w:lang w:val="es-ES"/>
        </w:rPr>
      </w:pPr>
    </w:p>
    <w:bookmarkEnd w:id="1"/>
    <w:p w14:paraId="379B941E" w14:textId="77777777" w:rsidR="004808A2" w:rsidRPr="00593A5F" w:rsidRDefault="004808A2" w:rsidP="004808A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668E1458" w14:textId="77777777" w:rsidR="004808A2" w:rsidRPr="00593A5F" w:rsidRDefault="004808A2" w:rsidP="004808A2">
      <w:pPr>
        <w:spacing w:after="0" w:line="276" w:lineRule="auto"/>
        <w:jc w:val="both"/>
        <w:rPr>
          <w:rFonts w:ascii="Verdana" w:eastAsia="Calibri" w:hAnsi="Verdana" w:cs="Arial"/>
          <w:color w:val="7030A0"/>
          <w:lang w:val="es-ES"/>
        </w:rPr>
      </w:pPr>
    </w:p>
    <w:p w14:paraId="73AF5ED0" w14:textId="77777777" w:rsidR="004808A2" w:rsidRDefault="004808A2" w:rsidP="004808A2">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29D55284" w14:textId="77777777" w:rsidR="004808A2" w:rsidRPr="00415608" w:rsidRDefault="004808A2" w:rsidP="004808A2">
      <w:pPr>
        <w:spacing w:after="0" w:line="276" w:lineRule="auto"/>
        <w:jc w:val="both"/>
        <w:rPr>
          <w:rFonts w:ascii="Verdana" w:eastAsia="Calibri" w:hAnsi="Verdana" w:cs="Arial"/>
          <w:lang w:val="es-ES"/>
        </w:rPr>
      </w:pPr>
    </w:p>
    <w:p w14:paraId="77CB5CA7" w14:textId="77777777" w:rsidR="004808A2" w:rsidRPr="00AD5F4A" w:rsidRDefault="004808A2" w:rsidP="004808A2">
      <w:pPr>
        <w:pStyle w:val="Sinespaciado"/>
        <w:spacing w:after="120" w:line="276" w:lineRule="auto"/>
        <w:jc w:val="both"/>
        <w:rPr>
          <w:rFonts w:ascii="Verdana" w:hAnsi="Verdana" w:cs="Arial"/>
          <w:sz w:val="22"/>
        </w:rPr>
      </w:pPr>
      <w:r w:rsidRPr="00AD5F4A">
        <w:rPr>
          <w:rFonts w:ascii="Verdana" w:hAnsi="Verdana" w:cs="Arial"/>
          <w:sz w:val="22"/>
        </w:rPr>
        <w:t>Las inhabilidades</w:t>
      </w:r>
      <w:r>
        <w:rPr>
          <w:rFonts w:ascii="Verdana" w:hAnsi="Verdana" w:cs="Arial"/>
          <w:sz w:val="22"/>
        </w:rPr>
        <w:t xml:space="preserve"> e incompatibilidades</w:t>
      </w:r>
      <w:r w:rsidRPr="00AD5F4A">
        <w:rPr>
          <w:rFonts w:ascii="Verdana" w:hAnsi="Verdana" w:cs="Arial"/>
          <w:sz w:val="22"/>
        </w:rPr>
        <w:t xml:space="preserve">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w:t>
      </w:r>
    </w:p>
    <w:p w14:paraId="4FAE768B" w14:textId="77777777" w:rsidR="004808A2" w:rsidRPr="00AD5F4A" w:rsidRDefault="004808A2" w:rsidP="004808A2">
      <w:pPr>
        <w:spacing w:line="276" w:lineRule="auto"/>
        <w:ind w:firstLine="709"/>
        <w:jc w:val="both"/>
        <w:rPr>
          <w:rFonts w:ascii="Verdana" w:hAnsi="Verdana" w:cs="Arial"/>
        </w:rPr>
      </w:pPr>
      <w:r w:rsidRPr="00AD5F4A">
        <w:rPr>
          <w:rFonts w:ascii="Verdana" w:hAnsi="Verdana" w:cs="Arial"/>
        </w:rPr>
        <w:t xml:space="preserve">El régimen de inhabilidades </w:t>
      </w:r>
      <w:r>
        <w:rPr>
          <w:rFonts w:ascii="Verdana" w:hAnsi="Verdana" w:cs="Arial"/>
        </w:rPr>
        <w:t xml:space="preserve">e incompatibilidades </w:t>
      </w:r>
      <w:r w:rsidRPr="00AD5F4A">
        <w:rPr>
          <w:rFonts w:ascii="Verdana" w:hAnsi="Verdana" w:cs="Arial"/>
        </w:rPr>
        <w:t xml:space="preserve">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w:t>
      </w:r>
      <w:r w:rsidRPr="00AD5F4A">
        <w:rPr>
          <w:rFonts w:ascii="Verdana" w:hAnsi="Verdana" w:cs="Arial"/>
        </w:rPr>
        <w:lastRenderedPageBreak/>
        <w:t>o requisito en el sujeto incapacitado quien por esta razón no podrá hacer parte de una relación contractual”</w:t>
      </w:r>
      <w:r w:rsidRPr="00AD5F4A">
        <w:rPr>
          <w:rStyle w:val="Refdenotaalpie"/>
          <w:rFonts w:ascii="Verdana" w:hAnsi="Verdana" w:cs="Arial"/>
        </w:rPr>
        <w:footnoteReference w:id="1"/>
      </w:r>
      <w:r w:rsidRPr="00AD5F4A">
        <w:rPr>
          <w:rFonts w:ascii="Verdana" w:hAnsi="Verdana" w:cs="Arial"/>
        </w:rPr>
        <w:t>.</w:t>
      </w:r>
    </w:p>
    <w:p w14:paraId="73068058" w14:textId="77777777" w:rsidR="004808A2" w:rsidRPr="00AD5F4A" w:rsidRDefault="004808A2" w:rsidP="004808A2">
      <w:pPr>
        <w:pStyle w:val="Sinespaciado"/>
        <w:spacing w:before="120" w:line="276" w:lineRule="auto"/>
        <w:ind w:firstLine="709"/>
        <w:jc w:val="both"/>
        <w:rPr>
          <w:rFonts w:ascii="Verdana" w:hAnsi="Verdana" w:cs="Arial"/>
          <w:sz w:val="22"/>
        </w:rPr>
      </w:pPr>
      <w:r w:rsidRPr="00AD5F4A">
        <w:rPr>
          <w:rFonts w:ascii="Verdana" w:hAnsi="Verdana" w:cs="Arial"/>
          <w:sz w:val="22"/>
        </w:rPr>
        <w:t xml:space="preserve">La consagración limitaciones que afectan la capacidad jurídica para contratar desarrolla los principios de la función administrativa consagrados en el artículo 209 de la Constitución Política, con especial énfasis el de moralidad. Así lo entiende el Consejo de Estado: </w:t>
      </w:r>
    </w:p>
    <w:p w14:paraId="5B76A59B" w14:textId="77777777" w:rsidR="004808A2" w:rsidRPr="00AD5F4A" w:rsidRDefault="004808A2" w:rsidP="004808A2">
      <w:pPr>
        <w:pStyle w:val="Sinespaciado"/>
        <w:spacing w:line="276" w:lineRule="auto"/>
        <w:jc w:val="both"/>
        <w:rPr>
          <w:rFonts w:ascii="Verdana" w:hAnsi="Verdana" w:cs="Arial"/>
          <w:sz w:val="22"/>
        </w:rPr>
      </w:pPr>
    </w:p>
    <w:p w14:paraId="71BC0BE3" w14:textId="77777777" w:rsidR="004808A2" w:rsidRPr="00AD5F4A" w:rsidRDefault="004808A2" w:rsidP="004808A2">
      <w:pPr>
        <w:pStyle w:val="NormalWeb"/>
        <w:shd w:val="clear" w:color="auto" w:fill="FFFFFF"/>
        <w:spacing w:before="0" w:beforeAutospacing="0" w:after="120" w:afterAutospacing="0"/>
        <w:ind w:left="709" w:right="709"/>
        <w:jc w:val="both"/>
        <w:rPr>
          <w:rFonts w:ascii="Verdana" w:eastAsiaTheme="minorHAnsi" w:hAnsi="Verdana" w:cs="Arial"/>
          <w:sz w:val="20"/>
          <w:szCs w:val="20"/>
          <w:lang w:val="es-ES" w:eastAsia="en-US"/>
        </w:rPr>
      </w:pPr>
      <w:r w:rsidRPr="00AD5F4A">
        <w:rPr>
          <w:rFonts w:ascii="Verdana" w:eastAsiaTheme="minorHAnsi" w:hAnsi="Verdana" w:cs="Arial"/>
          <w:sz w:val="20"/>
          <w:szCs w:val="20"/>
          <w:lang w:val="es-ES" w:eastAsia="en-U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562108D6" w14:textId="77777777" w:rsidR="004808A2" w:rsidRPr="00AD5F4A" w:rsidRDefault="004808A2" w:rsidP="004808A2">
      <w:pPr>
        <w:pStyle w:val="NormalWeb"/>
        <w:shd w:val="clear" w:color="auto" w:fill="FFFFFF"/>
        <w:spacing w:before="0" w:beforeAutospacing="0" w:after="0" w:afterAutospacing="0"/>
        <w:ind w:left="709" w:right="709"/>
        <w:jc w:val="both"/>
        <w:rPr>
          <w:rFonts w:ascii="Verdana" w:eastAsiaTheme="minorHAnsi" w:hAnsi="Verdana" w:cs="Arial"/>
          <w:sz w:val="21"/>
          <w:szCs w:val="21"/>
          <w:lang w:val="es-ES" w:eastAsia="en-US"/>
        </w:rPr>
      </w:pPr>
      <w:r w:rsidRPr="00AD5F4A">
        <w:rPr>
          <w:rFonts w:ascii="Verdana" w:eastAsiaTheme="minorHAnsi" w:hAnsi="Verdana" w:cs="Arial"/>
          <w:sz w:val="20"/>
          <w:szCs w:val="20"/>
          <w:lang w:val="es-ES" w:eastAsia="en-US"/>
        </w:rPr>
        <w:t>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AD5F4A">
        <w:rPr>
          <w:rStyle w:val="Refdenotaalpie"/>
          <w:rFonts w:ascii="Verdana" w:eastAsiaTheme="minorHAnsi" w:hAnsi="Verdana" w:cs="Arial"/>
          <w:sz w:val="20"/>
          <w:szCs w:val="20"/>
          <w:lang w:val="es-ES" w:eastAsia="en-US"/>
        </w:rPr>
        <w:footnoteReference w:id="2"/>
      </w:r>
      <w:r w:rsidRPr="00AD5F4A">
        <w:rPr>
          <w:rFonts w:ascii="Verdana" w:eastAsiaTheme="minorHAnsi" w:hAnsi="Verdana" w:cs="Arial"/>
          <w:sz w:val="20"/>
          <w:szCs w:val="20"/>
          <w:lang w:val="es-ES" w:eastAsia="en-US"/>
        </w:rPr>
        <w:t>.</w:t>
      </w:r>
    </w:p>
    <w:p w14:paraId="4C5CDFDE" w14:textId="77777777" w:rsidR="004808A2" w:rsidRPr="00AD5F4A" w:rsidRDefault="004808A2" w:rsidP="004808A2">
      <w:pPr>
        <w:pStyle w:val="NormalWeb"/>
        <w:shd w:val="clear" w:color="auto" w:fill="FFFFFF"/>
        <w:spacing w:before="0" w:beforeAutospacing="0" w:after="0" w:afterAutospacing="0" w:line="276" w:lineRule="auto"/>
        <w:ind w:left="709" w:right="709"/>
        <w:jc w:val="both"/>
        <w:rPr>
          <w:rFonts w:ascii="Verdana" w:eastAsiaTheme="minorHAnsi" w:hAnsi="Verdana" w:cs="Arial"/>
          <w:sz w:val="22"/>
          <w:szCs w:val="22"/>
          <w:lang w:val="es-ES" w:eastAsia="en-US"/>
        </w:rPr>
      </w:pPr>
    </w:p>
    <w:p w14:paraId="22053798" w14:textId="77777777" w:rsidR="004808A2" w:rsidRPr="00AD5F4A" w:rsidRDefault="004808A2" w:rsidP="004808A2">
      <w:pPr>
        <w:pStyle w:val="Sinespaciado"/>
        <w:spacing w:line="276" w:lineRule="auto"/>
        <w:ind w:firstLine="709"/>
        <w:jc w:val="both"/>
        <w:rPr>
          <w:rFonts w:ascii="Verdana" w:hAnsi="Verdana" w:cs="Arial"/>
          <w:sz w:val="22"/>
        </w:rPr>
      </w:pPr>
      <w:r w:rsidRPr="00AD5F4A">
        <w:rPr>
          <w:rFonts w:ascii="Verdana" w:hAnsi="Verdana" w:cs="Arial"/>
          <w:sz w:val="22"/>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estar </w:t>
      </w:r>
      <w:r w:rsidRPr="00AD5F4A">
        <w:rPr>
          <w:rFonts w:ascii="Verdana" w:hAnsi="Verdana" w:cs="Arial"/>
          <w:sz w:val="22"/>
        </w:rPr>
        <w:lastRenderedPageBreak/>
        <w:t xml:space="preserve">justificadas en la salvaguarda del interés general y que su lectura e interpretación es taxativa y restrictiva: </w:t>
      </w:r>
    </w:p>
    <w:p w14:paraId="3D3283EE" w14:textId="77777777" w:rsidR="004808A2" w:rsidRPr="00AD5F4A" w:rsidRDefault="004808A2" w:rsidP="004808A2">
      <w:pPr>
        <w:pStyle w:val="Sinespaciado"/>
        <w:spacing w:line="276" w:lineRule="auto"/>
        <w:ind w:firstLine="709"/>
        <w:jc w:val="both"/>
        <w:rPr>
          <w:rFonts w:ascii="Verdana" w:hAnsi="Verdana" w:cs="Arial"/>
          <w:sz w:val="22"/>
        </w:rPr>
      </w:pPr>
    </w:p>
    <w:p w14:paraId="55FC26C3" w14:textId="77777777" w:rsidR="004808A2" w:rsidRPr="00AD5F4A" w:rsidRDefault="004808A2" w:rsidP="004808A2">
      <w:pPr>
        <w:spacing w:line="240" w:lineRule="auto"/>
        <w:ind w:left="709" w:right="709"/>
        <w:jc w:val="both"/>
        <w:rPr>
          <w:rFonts w:ascii="Verdana" w:hAnsi="Verdana" w:cs="Arial"/>
          <w:sz w:val="20"/>
          <w:szCs w:val="20"/>
        </w:rPr>
      </w:pPr>
      <w:r w:rsidRPr="00AD5F4A">
        <w:rPr>
          <w:rFonts w:ascii="Verdana" w:hAnsi="Verdana" w:cs="Arial"/>
          <w:sz w:val="20"/>
          <w:szCs w:val="20"/>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4567F6DC" w14:textId="77777777" w:rsidR="004808A2" w:rsidRPr="00AD5F4A" w:rsidRDefault="004808A2" w:rsidP="004808A2">
      <w:pPr>
        <w:spacing w:after="0" w:line="240" w:lineRule="auto"/>
        <w:ind w:left="709" w:right="709"/>
        <w:jc w:val="both"/>
        <w:rPr>
          <w:rFonts w:ascii="Verdana" w:hAnsi="Verdana" w:cs="Arial"/>
          <w:sz w:val="21"/>
          <w:szCs w:val="21"/>
        </w:rPr>
      </w:pPr>
      <w:r w:rsidRPr="00AD5F4A">
        <w:rPr>
          <w:rFonts w:ascii="Verdana" w:hAnsi="Verdana" w:cs="Arial"/>
          <w:sz w:val="20"/>
          <w:szCs w:val="20"/>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AD5F4A">
        <w:rPr>
          <w:rStyle w:val="Refdenotaalpie"/>
          <w:rFonts w:ascii="Verdana" w:hAnsi="Verdana" w:cs="Arial"/>
          <w:sz w:val="20"/>
          <w:szCs w:val="20"/>
        </w:rPr>
        <w:footnoteReference w:id="3"/>
      </w:r>
      <w:r w:rsidRPr="00AD5F4A">
        <w:rPr>
          <w:rFonts w:ascii="Verdana" w:hAnsi="Verdana" w:cs="Arial"/>
          <w:sz w:val="20"/>
          <w:szCs w:val="20"/>
        </w:rPr>
        <w:t>.</w:t>
      </w:r>
    </w:p>
    <w:p w14:paraId="40761E9A" w14:textId="77777777" w:rsidR="004808A2" w:rsidRPr="00AD5F4A" w:rsidRDefault="004808A2" w:rsidP="004808A2">
      <w:pPr>
        <w:spacing w:after="0" w:line="276" w:lineRule="auto"/>
        <w:ind w:right="709"/>
        <w:jc w:val="both"/>
        <w:rPr>
          <w:rFonts w:ascii="Verdana" w:hAnsi="Verdana" w:cs="Arial"/>
        </w:rPr>
      </w:pPr>
    </w:p>
    <w:p w14:paraId="0E80DB21" w14:textId="77777777" w:rsidR="004808A2" w:rsidRPr="00AD5F4A" w:rsidRDefault="004808A2" w:rsidP="004808A2">
      <w:pPr>
        <w:spacing w:after="0" w:line="276" w:lineRule="auto"/>
        <w:ind w:firstLine="709"/>
        <w:jc w:val="both"/>
        <w:rPr>
          <w:rFonts w:ascii="Verdana" w:hAnsi="Verdana" w:cs="Arial"/>
        </w:rPr>
      </w:pPr>
      <w:r w:rsidRPr="00AD5F4A">
        <w:rPr>
          <w:rFonts w:ascii="Verdana" w:hAnsi="Verdana" w:cs="Arial"/>
        </w:rPr>
        <w:t>Además, la Corte Constitucional explica que el legislador tiene la competencia para determinar qué hechos o situaciones generan inhabilidad para contratar, pues este régimen es un aspecto propio del Estatuto General de Contratación de la Administración Pública, cuya expedición compete al Congreso de la República a la luz del artículo 150 de la Constitución Política, y que en esta materia rige el principio de legalidad:</w:t>
      </w:r>
    </w:p>
    <w:p w14:paraId="00634B06" w14:textId="77777777" w:rsidR="004808A2" w:rsidRPr="00AD5F4A" w:rsidRDefault="004808A2" w:rsidP="004808A2">
      <w:pPr>
        <w:pStyle w:val="Sinespaciado"/>
        <w:tabs>
          <w:tab w:val="left" w:pos="1532"/>
        </w:tabs>
        <w:spacing w:line="276" w:lineRule="auto"/>
        <w:jc w:val="both"/>
        <w:rPr>
          <w:rFonts w:ascii="Verdana" w:hAnsi="Verdana" w:cs="Arial"/>
          <w:sz w:val="22"/>
        </w:rPr>
      </w:pPr>
    </w:p>
    <w:p w14:paraId="7C41C3F9" w14:textId="77777777" w:rsidR="004808A2" w:rsidRPr="00AD5F4A" w:rsidRDefault="004808A2" w:rsidP="004808A2">
      <w:pPr>
        <w:spacing w:after="0" w:line="240" w:lineRule="auto"/>
        <w:ind w:left="709" w:right="709"/>
        <w:jc w:val="both"/>
        <w:rPr>
          <w:rFonts w:ascii="Verdana" w:hAnsi="Verdana" w:cs="Arial"/>
          <w:sz w:val="20"/>
          <w:szCs w:val="20"/>
        </w:rPr>
      </w:pPr>
      <w:r w:rsidRPr="00AD5F4A">
        <w:rPr>
          <w:rFonts w:ascii="Verdana" w:hAnsi="Verdana" w:cs="Arial"/>
          <w:sz w:val="20"/>
          <w:szCs w:val="20"/>
        </w:rPr>
        <w:t>“Las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w:t>
      </w:r>
      <w:r w:rsidRPr="00AD5F4A">
        <w:rPr>
          <w:rFonts w:ascii="Verdana" w:hAnsi="Verdana" w:cs="Arial"/>
          <w:i/>
          <w:iCs/>
          <w:sz w:val="20"/>
          <w:szCs w:val="20"/>
        </w:rPr>
        <w:t xml:space="preserve">pro </w:t>
      </w:r>
      <w:proofErr w:type="spellStart"/>
      <w:r w:rsidRPr="00AD5F4A">
        <w:rPr>
          <w:rFonts w:ascii="Verdana" w:hAnsi="Verdana" w:cs="Arial"/>
          <w:i/>
          <w:iCs/>
          <w:sz w:val="20"/>
          <w:szCs w:val="20"/>
        </w:rPr>
        <w:t>libertate</w:t>
      </w:r>
      <w:proofErr w:type="spellEnd"/>
      <w:r w:rsidRPr="00AD5F4A">
        <w:rPr>
          <w:rFonts w:ascii="Verdana" w:hAnsi="Verdana" w:cs="Arial"/>
          <w:sz w:val="20"/>
          <w:szCs w:val="20"/>
        </w:rPr>
        <w:t xml:space="preserve">, sino el de legalidad, el que ordena que la función pública debe </w:t>
      </w:r>
      <w:r w:rsidRPr="00AD5F4A">
        <w:rPr>
          <w:rFonts w:ascii="Verdana" w:hAnsi="Verdana" w:cs="Arial"/>
          <w:sz w:val="20"/>
          <w:szCs w:val="20"/>
        </w:rPr>
        <w:lastRenderedPageBreak/>
        <w:t xml:space="preserve">someterse estrictamente a lo que disponga la Constitución y la ley (CP art. 6). </w:t>
      </w:r>
    </w:p>
    <w:p w14:paraId="02081A67" w14:textId="77777777" w:rsidR="004808A2" w:rsidRPr="00AD5F4A" w:rsidRDefault="004808A2" w:rsidP="004808A2">
      <w:pPr>
        <w:spacing w:after="120" w:line="240" w:lineRule="auto"/>
        <w:ind w:left="709" w:right="709"/>
        <w:jc w:val="both"/>
        <w:rPr>
          <w:rFonts w:ascii="Verdana" w:hAnsi="Verdana" w:cs="Arial"/>
          <w:sz w:val="20"/>
          <w:szCs w:val="20"/>
        </w:rPr>
      </w:pPr>
      <w:r w:rsidRPr="00AD5F4A">
        <w:rPr>
          <w:rFonts w:ascii="Verdana" w:hAnsi="Verdana" w:cs="Arial"/>
          <w:sz w:val="20"/>
          <w:szCs w:val="20"/>
        </w:rPr>
        <w:t xml:space="preserve">[…] </w:t>
      </w:r>
    </w:p>
    <w:p w14:paraId="0BE99559" w14:textId="77777777" w:rsidR="004808A2" w:rsidRPr="00AD5F4A" w:rsidRDefault="004808A2" w:rsidP="004808A2">
      <w:pPr>
        <w:spacing w:after="0" w:line="240" w:lineRule="auto"/>
        <w:ind w:left="709" w:right="709"/>
        <w:jc w:val="both"/>
        <w:rPr>
          <w:rFonts w:ascii="Verdana" w:hAnsi="Verdana" w:cs="Arial"/>
          <w:sz w:val="21"/>
          <w:szCs w:val="21"/>
        </w:rPr>
      </w:pPr>
      <w:r w:rsidRPr="00AD5F4A">
        <w:rPr>
          <w:rFonts w:ascii="Verdana" w:hAnsi="Verdana" w:cs="Arial"/>
          <w:sz w:val="20"/>
          <w:szCs w:val="20"/>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AD5F4A">
        <w:rPr>
          <w:rStyle w:val="Refdenotaalpie"/>
          <w:rFonts w:ascii="Verdana" w:hAnsi="Verdana" w:cs="Arial"/>
          <w:sz w:val="20"/>
          <w:szCs w:val="20"/>
        </w:rPr>
        <w:footnoteReference w:id="4"/>
      </w:r>
      <w:r w:rsidRPr="00AD5F4A">
        <w:rPr>
          <w:rFonts w:ascii="Verdana" w:hAnsi="Verdana" w:cs="Arial"/>
          <w:sz w:val="20"/>
          <w:szCs w:val="20"/>
        </w:rPr>
        <w:t>.</w:t>
      </w:r>
    </w:p>
    <w:p w14:paraId="1B132618" w14:textId="77777777" w:rsidR="004808A2" w:rsidRPr="00AD5F4A" w:rsidRDefault="004808A2" w:rsidP="004808A2">
      <w:pPr>
        <w:spacing w:after="0" w:line="276" w:lineRule="auto"/>
        <w:ind w:left="709" w:right="709"/>
        <w:jc w:val="both"/>
        <w:rPr>
          <w:rFonts w:ascii="Verdana" w:hAnsi="Verdana" w:cs="Arial"/>
        </w:rPr>
      </w:pPr>
    </w:p>
    <w:p w14:paraId="48A91803" w14:textId="77777777" w:rsidR="004808A2" w:rsidRPr="00AD5F4A" w:rsidRDefault="004808A2" w:rsidP="004808A2">
      <w:pPr>
        <w:spacing w:after="0" w:line="276" w:lineRule="auto"/>
        <w:ind w:firstLine="709"/>
        <w:jc w:val="both"/>
        <w:rPr>
          <w:rFonts w:ascii="Verdana" w:hAnsi="Verdana" w:cs="Arial"/>
        </w:rPr>
      </w:pPr>
      <w:r w:rsidRPr="00AD5F4A">
        <w:rPr>
          <w:rFonts w:ascii="Verdana" w:hAnsi="Verdana" w:cs="Arial"/>
        </w:rPr>
        <w:t xml:space="preserve">Conviene también distinguir las fuentes de las inhabilidades, las cuales han sido clasificadas en dos (2) grupos: i) inhabilidades-sanción y </w:t>
      </w:r>
      <w:proofErr w:type="spellStart"/>
      <w:r w:rsidRPr="00AD5F4A">
        <w:rPr>
          <w:rFonts w:ascii="Verdana" w:hAnsi="Verdana" w:cs="Arial"/>
        </w:rPr>
        <w:t>ii</w:t>
      </w:r>
      <w:proofErr w:type="spellEnd"/>
      <w:r w:rsidRPr="00AD5F4A">
        <w:rPr>
          <w:rFonts w:ascii="Verdana" w:hAnsi="Verdana" w:cs="Arial"/>
        </w:rPr>
        <w:t>)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AD5F4A">
        <w:rPr>
          <w:rStyle w:val="Refdenotaalpie"/>
          <w:rFonts w:ascii="Verdana" w:hAnsi="Verdana" w:cs="Arial"/>
        </w:rPr>
        <w:footnoteReference w:id="5"/>
      </w:r>
      <w:r w:rsidRPr="00AD5F4A">
        <w:rPr>
          <w:rFonts w:ascii="Verdana" w:hAnsi="Verdana" w:cs="Arial"/>
        </w:rPr>
        <w:t>.</w:t>
      </w:r>
    </w:p>
    <w:p w14:paraId="1A0B099D" w14:textId="77777777" w:rsidR="004808A2" w:rsidRPr="00AD5F4A" w:rsidRDefault="004808A2" w:rsidP="004808A2">
      <w:pPr>
        <w:spacing w:before="120" w:after="120" w:line="276" w:lineRule="auto"/>
        <w:ind w:firstLine="709"/>
        <w:jc w:val="both"/>
        <w:rPr>
          <w:rFonts w:ascii="Verdana" w:hAnsi="Verdana" w:cs="Arial"/>
        </w:rPr>
      </w:pPr>
      <w:r w:rsidRPr="00AD5F4A">
        <w:rPr>
          <w:rFonts w:ascii="Verdana" w:hAnsi="Verdana" w:cs="Arial"/>
        </w:rPr>
        <w:t>A manera de ejemplo, en materia contractual, los literales c), d) y j) del numeral 1 del artículo 8 de la Ley 80 de 1993</w:t>
      </w:r>
      <w:r w:rsidRPr="00AD5F4A">
        <w:rPr>
          <w:rStyle w:val="Refdenotaalpie"/>
          <w:rFonts w:ascii="Verdana" w:hAnsi="Verdana" w:cs="Arial"/>
        </w:rPr>
        <w:footnoteReference w:id="6"/>
      </w:r>
      <w:r w:rsidRPr="00AD5F4A">
        <w:rPr>
          <w:rFonts w:ascii="Verdana" w:hAnsi="Verdana" w:cs="Arial"/>
        </w:rPr>
        <w:t xml:space="preserve"> establecen inhabilidades-sanción, </w:t>
      </w:r>
      <w:r w:rsidRPr="00AD5F4A">
        <w:rPr>
          <w:rFonts w:ascii="Verdana" w:hAnsi="Verdana" w:cs="Arial"/>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literal 1 de la norma citada establecen inhabilidades–requisito, pues no se configuran por la comisión previa de una falta o un delito que dio lugar a una declaratoria por parte de la Administración </w:t>
      </w:r>
      <w:r w:rsidRPr="00AD5F4A">
        <w:rPr>
          <w:rFonts w:ascii="Verdana" w:hAnsi="Verdana" w:cs="Arial"/>
        </w:rPr>
        <w:lastRenderedPageBreak/>
        <w:t xml:space="preserve">o el juez, sino de aspectos propios de la persona, derivados, por ejemplo, del parentesco o la afinidad o de la condición de servidor público. </w:t>
      </w:r>
      <w:bookmarkStart w:id="2" w:name="_Hlk40976328"/>
      <w:r w:rsidRPr="00AD5F4A">
        <w:rPr>
          <w:rFonts w:ascii="Verdana" w:hAnsi="Verdana" w:cs="Arial"/>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bookmarkEnd w:id="2"/>
    </w:p>
    <w:p w14:paraId="347C9817" w14:textId="77777777" w:rsidR="004808A2" w:rsidRPr="00AD5F4A" w:rsidRDefault="004808A2" w:rsidP="004808A2">
      <w:pPr>
        <w:spacing w:after="120" w:line="276" w:lineRule="auto"/>
        <w:ind w:firstLine="708"/>
        <w:jc w:val="both"/>
        <w:rPr>
          <w:rFonts w:ascii="Verdana" w:eastAsia="Calibri" w:hAnsi="Verdana" w:cs="Arial"/>
          <w:lang w:val="es-ES_tradnl"/>
        </w:rPr>
      </w:pPr>
      <w:r w:rsidRPr="00AD5F4A">
        <w:rPr>
          <w:rFonts w:ascii="Verdana" w:eastAsia="Calibri" w:hAnsi="Verdana" w:cs="Arial"/>
          <w:i/>
          <w:iCs/>
          <w:lang w:val="es-ES_tradnl"/>
        </w:rPr>
        <w:t>Igualmente</w:t>
      </w:r>
      <w:r w:rsidRPr="00AD5F4A">
        <w:rPr>
          <w:rFonts w:ascii="Verdana" w:eastAsia="Calibri" w:hAnsi="Verdana" w:cs="Arial"/>
          <w:lang w:val="es-ES_tradnl"/>
        </w:rPr>
        <w:t xml:space="preserve">, </w:t>
      </w:r>
      <w:bookmarkStart w:id="3" w:name="_Hlk135133412"/>
      <w:r w:rsidRPr="00AD5F4A">
        <w:rPr>
          <w:rFonts w:ascii="Verdana" w:eastAsia="Calibri" w:hAnsi="Verdana" w:cs="Arial"/>
          <w:lang w:val="es-ES_tradnl"/>
        </w:rPr>
        <w:t xml:space="preserve">en la contratación estatal, la </w:t>
      </w:r>
      <w:r w:rsidRPr="00AD5F4A">
        <w:rPr>
          <w:rFonts w:ascii="Verdana" w:eastAsia="Calibri" w:hAnsi="Verdana" w:cs="Arial"/>
          <w:i/>
          <w:iCs/>
          <w:lang w:val="es-ES_tradnl"/>
        </w:rPr>
        <w:t>capacidad</w:t>
      </w:r>
      <w:r w:rsidRPr="00AD5F4A">
        <w:rPr>
          <w:rFonts w:ascii="Verdana" w:eastAsia="Calibri" w:hAnsi="Verdana" w:cs="Arial"/>
          <w:lang w:val="es-ES_tradnl"/>
        </w:rPr>
        <w:t xml:space="preserve"> también es un requisito de validez de los contratos, tanto en el régimen de las entidades sujetas al Estatuto General de Contratación de la Administración Pública</w:t>
      </w:r>
      <w:r w:rsidRPr="00AD5F4A">
        <w:rPr>
          <w:rStyle w:val="Refdenotaalpie"/>
          <w:rFonts w:ascii="Verdana" w:eastAsia="Calibri" w:hAnsi="Verdana" w:cs="Arial"/>
          <w:lang w:val="es-ES_tradnl"/>
        </w:rPr>
        <w:footnoteReference w:id="7"/>
      </w:r>
      <w:r w:rsidRPr="00AD5F4A">
        <w:rPr>
          <w:rFonts w:ascii="Verdana" w:eastAsia="Calibri" w:hAnsi="Verdana" w:cs="Arial"/>
          <w:lang w:val="es-ES_tradnl"/>
        </w:rPr>
        <w:t xml:space="preserve"> como en el de las entidades exceptuadas de aquel</w:t>
      </w:r>
      <w:r w:rsidRPr="00AD5F4A">
        <w:rPr>
          <w:rStyle w:val="Refdenotaalpie"/>
          <w:rFonts w:ascii="Verdana" w:eastAsia="Calibri" w:hAnsi="Verdana" w:cs="Arial"/>
          <w:lang w:val="es-ES_tradnl"/>
        </w:rPr>
        <w:footnoteReference w:id="8"/>
      </w:r>
      <w:r w:rsidRPr="00AD5F4A">
        <w:rPr>
          <w:rFonts w:ascii="Verdana" w:eastAsia="Calibri" w:hAnsi="Verdana" w:cs="Arial"/>
          <w:lang w:val="es-ES_tradnl"/>
        </w:rPr>
        <w:t>. 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w:t>
      </w:r>
      <w:r w:rsidRPr="00AD5F4A">
        <w:rPr>
          <w:rStyle w:val="Refdenotaalpie"/>
          <w:rFonts w:ascii="Verdana" w:eastAsia="Calibri" w:hAnsi="Verdana" w:cs="Arial"/>
          <w:lang w:val="es-ES_tradnl"/>
        </w:rPr>
        <w:footnoteReference w:id="9"/>
      </w:r>
      <w:r w:rsidRPr="00AD5F4A">
        <w:rPr>
          <w:rFonts w:ascii="Verdana" w:eastAsia="Calibri" w:hAnsi="Verdana" w:cs="Arial"/>
          <w:lang w:val="es-ES_tradnl"/>
        </w:rPr>
        <w:t>–, se destaca el régimen de inhabilidades e incompatibilidades como un conjunto de normas que imponen restricciones para los sujetos que, eventualmente, pretendan participar en los procedimientos de selección o celebrar contratos con las entidades estatales</w:t>
      </w:r>
      <w:r w:rsidRPr="00AD5F4A">
        <w:rPr>
          <w:rStyle w:val="Refdenotaalpie"/>
          <w:rFonts w:ascii="Verdana" w:eastAsia="Calibri" w:hAnsi="Verdana" w:cs="Arial"/>
          <w:lang w:val="es-ES_tradnl"/>
        </w:rPr>
        <w:footnoteReference w:id="10"/>
      </w:r>
      <w:r w:rsidRPr="00AD5F4A">
        <w:rPr>
          <w:rFonts w:ascii="Verdana" w:eastAsia="Calibri" w:hAnsi="Verdana" w:cs="Arial"/>
          <w:lang w:val="es-ES_tradnl"/>
        </w:rPr>
        <w:t>.</w:t>
      </w:r>
    </w:p>
    <w:p w14:paraId="2AE36BD8" w14:textId="77777777" w:rsidR="004808A2" w:rsidRPr="00AD5F4A" w:rsidRDefault="004808A2" w:rsidP="004808A2">
      <w:pPr>
        <w:spacing w:after="120" w:line="276" w:lineRule="auto"/>
        <w:ind w:firstLine="709"/>
        <w:jc w:val="both"/>
        <w:rPr>
          <w:rFonts w:ascii="Verdana" w:eastAsia="Calibri" w:hAnsi="Verdana" w:cs="Arial"/>
          <w:lang w:val="es-ES"/>
        </w:rPr>
      </w:pPr>
      <w:r w:rsidRPr="2D9E9971">
        <w:rPr>
          <w:rFonts w:ascii="Verdana" w:eastAsia="Calibri" w:hAnsi="Verdana" w:cs="Arial"/>
          <w:lang w:val="es-ES"/>
        </w:rPr>
        <w:lastRenderedPageBreak/>
        <w:t>Las inhabilidades son prohibiciones para concurrir a los procedimientos de selección y para contratar con el Estado, que se derivan: i) de la existencia de comportamientos reprochables o de sanciones anteriormente impuestas</w:t>
      </w:r>
      <w:r w:rsidRPr="2D9E9971">
        <w:rPr>
          <w:rStyle w:val="Refdenotaalpie"/>
          <w:rFonts w:ascii="Verdana" w:eastAsia="Calibri" w:hAnsi="Verdana" w:cs="Arial"/>
          <w:lang w:val="es-ES"/>
        </w:rPr>
        <w:footnoteReference w:id="11"/>
      </w:r>
      <w:r w:rsidRPr="2D9E9971">
        <w:rPr>
          <w:rFonts w:ascii="Verdana" w:eastAsia="Calibri" w:hAnsi="Verdana" w:cs="Arial"/>
          <w:lang w:val="es-ES"/>
        </w:rPr>
        <w:t xml:space="preserve">, </w:t>
      </w:r>
      <w:proofErr w:type="spellStart"/>
      <w:r w:rsidRPr="2D9E9971">
        <w:rPr>
          <w:rFonts w:ascii="Verdana" w:eastAsia="Calibri" w:hAnsi="Verdana" w:cs="Arial"/>
          <w:lang w:val="es-ES"/>
        </w:rPr>
        <w:t>ii</w:t>
      </w:r>
      <w:proofErr w:type="spellEnd"/>
      <w:r w:rsidRPr="2D9E9971">
        <w:rPr>
          <w:rFonts w:ascii="Verdana" w:eastAsia="Calibri" w:hAnsi="Verdana" w:cs="Arial"/>
          <w:lang w:val="es-ES"/>
        </w:rPr>
        <w:t>) de vínculos personales relativos al parentesco o al estado civil</w:t>
      </w:r>
      <w:r w:rsidRPr="2D9E9971">
        <w:rPr>
          <w:rStyle w:val="Refdenotaalpie"/>
          <w:rFonts w:ascii="Verdana" w:eastAsia="Calibri" w:hAnsi="Verdana" w:cs="Arial"/>
          <w:lang w:val="es-ES"/>
        </w:rPr>
        <w:footnoteReference w:id="12"/>
      </w:r>
      <w:r w:rsidRPr="2D9E9971">
        <w:rPr>
          <w:rFonts w:ascii="Verdana" w:eastAsia="Calibri" w:hAnsi="Verdana" w:cs="Arial"/>
          <w:lang w:val="es-ES"/>
        </w:rPr>
        <w:t xml:space="preserve"> o </w:t>
      </w:r>
      <w:proofErr w:type="spellStart"/>
      <w:r w:rsidRPr="2D9E9971">
        <w:rPr>
          <w:rFonts w:ascii="Verdana" w:eastAsia="Calibri" w:hAnsi="Verdana" w:cs="Arial"/>
          <w:lang w:val="es-ES"/>
        </w:rPr>
        <w:t>iii</w:t>
      </w:r>
      <w:proofErr w:type="spellEnd"/>
      <w:r w:rsidRPr="2D9E9971">
        <w:rPr>
          <w:rFonts w:ascii="Verdana" w:eastAsia="Calibri" w:hAnsi="Verdana" w:cs="Arial"/>
          <w:lang w:val="es-ES"/>
        </w:rPr>
        <w:t>) de una actividad u oficio que se desempeñó en el pasado</w:t>
      </w:r>
      <w:r w:rsidRPr="2D9E9971">
        <w:rPr>
          <w:rStyle w:val="Refdenotaalpie"/>
          <w:rFonts w:ascii="Verdana" w:eastAsia="Calibri" w:hAnsi="Verdana" w:cs="Arial"/>
          <w:lang w:val="es-ES"/>
        </w:rPr>
        <w:footnoteReference w:id="13"/>
      </w:r>
      <w:r w:rsidRPr="2D9E9971">
        <w:rPr>
          <w:rFonts w:ascii="Verdana" w:eastAsia="Calibri" w:hAnsi="Verdana" w:cs="Arial"/>
          <w:lang w:val="es-ES"/>
        </w:rPr>
        <w:t xml:space="preserve">. De otro lado, las </w:t>
      </w:r>
      <w:r w:rsidRPr="2D9E9971">
        <w:rPr>
          <w:rFonts w:ascii="Verdana" w:eastAsia="Calibri" w:hAnsi="Verdana" w:cs="Arial"/>
          <w:lang w:val="es-ES"/>
        </w:rPr>
        <w:lastRenderedPageBreak/>
        <w:t>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w:t>
      </w:r>
      <w:r w:rsidRPr="2D9E9971">
        <w:rPr>
          <w:rStyle w:val="Refdenotaalpie"/>
          <w:rFonts w:ascii="Verdana" w:eastAsia="Calibri" w:hAnsi="Verdana" w:cs="Arial"/>
          <w:lang w:val="es-ES"/>
        </w:rPr>
        <w:footnoteReference w:id="14"/>
      </w:r>
      <w:r w:rsidRPr="2D9E9971">
        <w:rPr>
          <w:rFonts w:ascii="Verdana" w:eastAsia="Calibri" w:hAnsi="Verdana" w:cs="Arial"/>
          <w:lang w:val="es-ES"/>
        </w:rPr>
        <w:t>. En todo caso, a pesar de la existencia de distintos criterios para diferenciar las inhabilidades de las incompatibilidades, de la presencia de ellas se derivan las mismas consecuencias jurídicas, esto es, la limitación de la capacidad contractual, como se desarrolló en el numeral 2.1. de este concepto. De manera que la presencia de ellas impide que se puedan celebrar contratos con el Estado o participar en procedimientos de selección de las entidades estatales, por lo que de cualquiera de ellas se derivan los mismos efectos jurídicos</w:t>
      </w:r>
      <w:r w:rsidRPr="2D9E9971">
        <w:rPr>
          <w:rStyle w:val="Refdenotaalpie"/>
          <w:rFonts w:ascii="Verdana" w:eastAsia="Calibri" w:hAnsi="Verdana" w:cs="Arial"/>
          <w:lang w:val="es-ES"/>
        </w:rPr>
        <w:footnoteReference w:id="15"/>
      </w:r>
      <w:r w:rsidRPr="2D9E9971">
        <w:rPr>
          <w:rFonts w:ascii="Verdana" w:eastAsia="Calibri" w:hAnsi="Verdana" w:cs="Arial"/>
          <w:lang w:val="es-ES"/>
        </w:rPr>
        <w:t>.</w:t>
      </w:r>
    </w:p>
    <w:bookmarkEnd w:id="3"/>
    <w:p w14:paraId="71AD0DDD" w14:textId="77777777" w:rsidR="004808A2" w:rsidRPr="00AD5F4A" w:rsidRDefault="004808A2" w:rsidP="004808A2">
      <w:pPr>
        <w:spacing w:before="120" w:after="120" w:line="276" w:lineRule="auto"/>
        <w:ind w:firstLine="709"/>
        <w:jc w:val="both"/>
        <w:rPr>
          <w:rFonts w:ascii="Verdana" w:eastAsia="Calibri" w:hAnsi="Verdana" w:cs="Arial"/>
          <w:lang w:val="es-ES"/>
        </w:rPr>
      </w:pPr>
      <w:r w:rsidRPr="2D9E9971">
        <w:rPr>
          <w:rFonts w:ascii="Verdana" w:eastAsia="Calibri" w:hAnsi="Verdana" w:cs="Arial"/>
          <w:lang w:val="es-ES"/>
        </w:rPr>
        <w:t xml:space="preserve">El régimen de inhabilidades e incompatibilidades en la contratación pública responde a la tendencia, vigente desde hace varias décadas en nuestro país, pero que se ha reforzado en los últimos años, de asegurar que la actividad de </w:t>
      </w:r>
      <w:r w:rsidRPr="2D9E9971">
        <w:rPr>
          <w:rFonts w:ascii="Verdana" w:eastAsia="Calibri" w:hAnsi="Verdana" w:cs="Arial"/>
          <w:lang w:val="es-ES"/>
        </w:rPr>
        <w:lastRenderedPageBreak/>
        <w:t>provisión de los bienes, obras y servicios por parte de las entidades estatales se efectúe cumpliendo con los principios de la función administrativa y de la gestión fiscal, especialmente con probidad y transparencia. Por ello, como destaca la doctrina, las inhabilidades e incompatibilidades son herramientas en la lucha contra la corrupción, adoptando paulatinamente una naturaleza sancionatoria o “</w:t>
      </w:r>
      <w:proofErr w:type="spellStart"/>
      <w:r w:rsidRPr="2D9E9971">
        <w:rPr>
          <w:rFonts w:ascii="Verdana" w:eastAsia="Calibri" w:hAnsi="Verdana" w:cs="Arial"/>
          <w:lang w:val="es-ES"/>
        </w:rPr>
        <w:t>neopunitiva</w:t>
      </w:r>
      <w:proofErr w:type="spellEnd"/>
      <w:r w:rsidRPr="2D9E9971">
        <w:rPr>
          <w:rFonts w:ascii="Verdana" w:eastAsia="Calibri" w:hAnsi="Verdana" w:cs="Arial"/>
          <w:lang w:val="es-ES"/>
        </w:rPr>
        <w:t>”</w:t>
      </w:r>
      <w:r w:rsidRPr="2D9E9971">
        <w:rPr>
          <w:rStyle w:val="Refdenotaalpie"/>
          <w:rFonts w:ascii="Verdana" w:eastAsia="Calibri" w:hAnsi="Verdana" w:cs="Arial"/>
          <w:lang w:val="es-ES"/>
        </w:rPr>
        <w:footnoteReference w:id="16"/>
      </w:r>
      <w:r w:rsidRPr="2D9E9971">
        <w:rPr>
          <w:rFonts w:ascii="Verdana" w:eastAsia="Calibri" w:hAnsi="Verdana" w:cs="Arial"/>
          <w:lang w:val="es-ES"/>
        </w:rPr>
        <w:t>. Si bien no todas las causales de inhabilidad y de incompatibilidad son consecuencia de una medida de reproche ni de una sanción previa, como ya se explicó, es indiscutible que en los años más recientes los lamentables hechos de corrupción han generado, como respuesta del legislador, un incremento de las restricciones a la capacidad contractual, dirigidas a prevenir este tipo de situaciones o a sancionar tales conductas.</w:t>
      </w:r>
    </w:p>
    <w:p w14:paraId="16F9D3AB" w14:textId="77777777" w:rsidR="004808A2" w:rsidRPr="00AD5F4A" w:rsidRDefault="004808A2" w:rsidP="004808A2">
      <w:pPr>
        <w:spacing w:before="120" w:after="120" w:line="276" w:lineRule="auto"/>
        <w:ind w:firstLine="709"/>
        <w:jc w:val="both"/>
        <w:rPr>
          <w:rFonts w:ascii="Verdana" w:eastAsia="Calibri" w:hAnsi="Verdana" w:cs="Arial"/>
          <w:lang w:val="es-ES_tradnl"/>
        </w:rPr>
      </w:pPr>
      <w:r w:rsidRPr="00AD5F4A">
        <w:rPr>
          <w:rFonts w:ascii="Verdana" w:eastAsia="Calibri" w:hAnsi="Verdana" w:cs="Arial"/>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AD5F4A">
        <w:rPr>
          <w:rFonts w:ascii="Verdana" w:eastAsia="Calibri" w:hAnsi="Verdana" w:cs="Arial"/>
          <w:i/>
          <w:iCs/>
          <w:lang w:val="es-ES_tradnl"/>
        </w:rPr>
        <w:t>restrictiva</w:t>
      </w:r>
      <w:r w:rsidRPr="00AD5F4A">
        <w:rPr>
          <w:rStyle w:val="Refdenotaalpie"/>
          <w:rFonts w:ascii="Verdana" w:eastAsia="Calibri" w:hAnsi="Verdana" w:cs="Arial"/>
          <w:i/>
          <w:iCs/>
          <w:lang w:val="es-ES_tradnl"/>
        </w:rPr>
        <w:footnoteReference w:id="17"/>
      </w:r>
      <w:r w:rsidRPr="00AD5F4A">
        <w:rPr>
          <w:rFonts w:ascii="Verdana" w:eastAsia="Calibri" w:hAnsi="Verdana" w:cs="Arial"/>
          <w:i/>
          <w:iCs/>
          <w:lang w:val="es-ES_tradnl"/>
        </w:rPr>
        <w:t xml:space="preserve">, </w:t>
      </w:r>
      <w:r w:rsidRPr="00AD5F4A">
        <w:rPr>
          <w:rFonts w:ascii="Verdana" w:eastAsia="Calibri" w:hAnsi="Verdana" w:cs="Arial"/>
          <w:lang w:val="es-ES_tradnl"/>
        </w:rPr>
        <w:t xml:space="preserve">pues si se admitiera una interpretación amplia, extensiva o finalista de las 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093A0EAE" w14:textId="77777777" w:rsidR="004808A2" w:rsidRPr="00AD5F4A" w:rsidRDefault="004808A2" w:rsidP="004808A2">
      <w:pPr>
        <w:spacing w:after="0" w:line="276" w:lineRule="auto"/>
        <w:ind w:firstLine="709"/>
        <w:jc w:val="both"/>
        <w:rPr>
          <w:rFonts w:ascii="Verdana" w:eastAsia="Calibri" w:hAnsi="Verdana" w:cs="Arial"/>
          <w:lang w:val="es-ES_tradnl"/>
        </w:rPr>
      </w:pPr>
      <w:r w:rsidRPr="00AD5F4A">
        <w:rPr>
          <w:rFonts w:ascii="Verdana" w:eastAsia="Calibri" w:hAnsi="Verdana" w:cs="Arial"/>
          <w:lang w:val="es-ES_tradnl"/>
        </w:rPr>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AD5F4A">
        <w:rPr>
          <w:rStyle w:val="Refdenotaalpie"/>
          <w:rFonts w:ascii="Verdana" w:eastAsia="Calibri" w:hAnsi="Verdana" w:cs="Arial"/>
          <w:lang w:val="es-ES_tradnl"/>
        </w:rPr>
        <w:footnoteReference w:id="18"/>
      </w:r>
      <w:r w:rsidRPr="00AD5F4A">
        <w:rPr>
          <w:rFonts w:ascii="Verdana" w:eastAsia="Calibri" w:hAnsi="Verdana" w:cs="Arial"/>
          <w:lang w:val="es-ES_tradnl"/>
        </w:rPr>
        <w:t xml:space="preserve">. Por su parte, el Consejo de Estado ha acogido también este criterio, considerando –como expresa la Sala de Consulta y Servicio Civil–, que “La interpretación </w:t>
      </w:r>
      <w:r w:rsidRPr="00AD5F4A">
        <w:rPr>
          <w:rFonts w:ascii="Verdana" w:eastAsia="Calibri" w:hAnsi="Verdana" w:cs="Arial"/>
          <w:lang w:val="es-ES_tradnl"/>
        </w:rPr>
        <w:lastRenderedPageBreak/>
        <w:t>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AD5F4A">
        <w:rPr>
          <w:rStyle w:val="Refdenotaalpie"/>
          <w:rFonts w:ascii="Verdana" w:eastAsia="Calibri" w:hAnsi="Verdana" w:cs="Arial"/>
          <w:lang w:val="es-ES_tradnl"/>
        </w:rPr>
        <w:footnoteReference w:id="19"/>
      </w:r>
      <w:r w:rsidRPr="00AD5F4A">
        <w:rPr>
          <w:rFonts w:ascii="Verdana" w:eastAsia="Calibri" w:hAnsi="Verdana" w:cs="Arial"/>
          <w:lang w:val="es-ES_tradnl"/>
        </w:rPr>
        <w:t>. En tal sentido, la Sección Tercera ha señalado que:</w:t>
      </w:r>
    </w:p>
    <w:p w14:paraId="1351EE99" w14:textId="77777777" w:rsidR="004808A2" w:rsidRPr="00AD5F4A" w:rsidRDefault="004808A2" w:rsidP="004808A2">
      <w:pPr>
        <w:spacing w:after="0"/>
        <w:ind w:firstLine="709"/>
        <w:jc w:val="both"/>
        <w:rPr>
          <w:rFonts w:ascii="Verdana" w:eastAsia="Calibri" w:hAnsi="Verdana" w:cs="Arial"/>
          <w:lang w:val="es-ES_tradnl"/>
        </w:rPr>
      </w:pPr>
    </w:p>
    <w:p w14:paraId="493B1EB3" w14:textId="77777777" w:rsidR="004808A2" w:rsidRPr="00AD5F4A" w:rsidRDefault="004808A2" w:rsidP="004808A2">
      <w:pPr>
        <w:spacing w:after="0" w:line="240" w:lineRule="auto"/>
        <w:ind w:left="709" w:right="709"/>
        <w:jc w:val="both"/>
        <w:rPr>
          <w:rFonts w:ascii="Verdana" w:eastAsia="Calibri" w:hAnsi="Verdana" w:cs="Arial"/>
          <w:sz w:val="20"/>
          <w:szCs w:val="20"/>
          <w:lang w:val="es-ES_tradnl"/>
        </w:rPr>
      </w:pPr>
      <w:r w:rsidRPr="00AD5F4A">
        <w:rPr>
          <w:rFonts w:ascii="Verdana" w:hAnsi="Verdana" w:cs="Arial"/>
          <w:sz w:val="20"/>
          <w:szCs w:val="20"/>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AD5F4A">
        <w:rPr>
          <w:rStyle w:val="Refdenotaalpie"/>
          <w:rFonts w:ascii="Verdana" w:hAnsi="Verdana" w:cs="Arial"/>
          <w:sz w:val="20"/>
          <w:szCs w:val="20"/>
          <w:lang w:val="es-ES_tradnl"/>
        </w:rPr>
        <w:footnoteReference w:id="20"/>
      </w:r>
      <w:r w:rsidRPr="00AD5F4A">
        <w:rPr>
          <w:rFonts w:ascii="Verdana" w:hAnsi="Verdana" w:cs="Arial"/>
          <w:sz w:val="20"/>
          <w:szCs w:val="20"/>
          <w:lang w:val="es-ES_tradnl"/>
        </w:rPr>
        <w:t>.</w:t>
      </w:r>
    </w:p>
    <w:p w14:paraId="7C159EED" w14:textId="77777777" w:rsidR="004808A2" w:rsidRPr="00AD5F4A" w:rsidRDefault="004808A2" w:rsidP="004808A2">
      <w:pPr>
        <w:spacing w:after="0" w:line="276" w:lineRule="auto"/>
        <w:ind w:firstLine="709"/>
        <w:jc w:val="both"/>
        <w:rPr>
          <w:rFonts w:ascii="Verdana" w:eastAsia="Calibri" w:hAnsi="Verdana" w:cs="Arial"/>
          <w:lang w:val="es-ES_tradnl"/>
        </w:rPr>
      </w:pPr>
    </w:p>
    <w:p w14:paraId="647EEB7F" w14:textId="77777777" w:rsidR="004808A2" w:rsidRDefault="004808A2" w:rsidP="004808A2">
      <w:pPr>
        <w:spacing w:after="0"/>
        <w:ind w:firstLine="709"/>
        <w:jc w:val="both"/>
        <w:rPr>
          <w:rFonts w:ascii="Verdana" w:eastAsia="Calibri" w:hAnsi="Verdana" w:cs="Arial"/>
          <w:lang w:val="es-ES_tradnl"/>
        </w:rPr>
      </w:pPr>
      <w:r w:rsidRPr="00AD5F4A">
        <w:rPr>
          <w:rFonts w:ascii="Verdana" w:eastAsia="Calibri" w:hAnsi="Verdana" w:cs="Arial"/>
          <w:lang w:val="es-ES_tradnl"/>
        </w:rPr>
        <w:t>También ha dicho que:</w:t>
      </w:r>
    </w:p>
    <w:p w14:paraId="741D5BA6" w14:textId="77777777" w:rsidR="004808A2" w:rsidRPr="00AD5F4A" w:rsidRDefault="004808A2" w:rsidP="004808A2">
      <w:pPr>
        <w:spacing w:after="0" w:line="276" w:lineRule="auto"/>
        <w:ind w:firstLine="709"/>
        <w:jc w:val="both"/>
        <w:rPr>
          <w:rFonts w:ascii="Verdana" w:eastAsia="Calibri" w:hAnsi="Verdana" w:cs="Arial"/>
          <w:lang w:val="es-ES_tradnl"/>
        </w:rPr>
      </w:pPr>
    </w:p>
    <w:p w14:paraId="2551DA74" w14:textId="77777777" w:rsidR="004808A2" w:rsidRPr="00AD5F4A" w:rsidRDefault="004808A2" w:rsidP="004808A2">
      <w:pPr>
        <w:spacing w:after="0" w:line="240" w:lineRule="auto"/>
        <w:ind w:left="709" w:right="616"/>
        <w:jc w:val="both"/>
        <w:rPr>
          <w:rFonts w:ascii="Verdana" w:hAnsi="Verdana" w:cs="Arial"/>
          <w:sz w:val="20"/>
          <w:szCs w:val="20"/>
          <w:lang w:val="es-ES"/>
        </w:rPr>
      </w:pPr>
      <w:r w:rsidRPr="2D9E9971">
        <w:rPr>
          <w:rFonts w:ascii="Verdana" w:hAnsi="Verdana" w:cs="Arial"/>
          <w:sz w:val="20"/>
          <w:szCs w:val="20"/>
          <w:lang w:val="es-ES"/>
        </w:rPr>
        <w:t xml:space="preserve">“[…] la aplicación de estos preceptos exige una interpretación restrictiva, dado que según el principio hermenéutico </w:t>
      </w:r>
      <w:r w:rsidRPr="2D9E9971">
        <w:rPr>
          <w:rFonts w:ascii="Verdana" w:hAnsi="Verdana" w:cs="Arial"/>
          <w:i/>
          <w:sz w:val="20"/>
          <w:szCs w:val="20"/>
          <w:lang w:val="es-ES"/>
        </w:rPr>
        <w:t xml:space="preserve">pro </w:t>
      </w:r>
      <w:proofErr w:type="spellStart"/>
      <w:r w:rsidRPr="2D9E9971">
        <w:rPr>
          <w:rFonts w:ascii="Verdana" w:hAnsi="Verdana" w:cs="Arial"/>
          <w:i/>
          <w:sz w:val="20"/>
          <w:szCs w:val="20"/>
          <w:lang w:val="es-ES"/>
        </w:rPr>
        <w:t>libertate</w:t>
      </w:r>
      <w:proofErr w:type="spellEnd"/>
      <w:r w:rsidRPr="2D9E9971">
        <w:rPr>
          <w:rFonts w:ascii="Verdana" w:hAnsi="Verdana" w:cs="Arial"/>
          <w:sz w:val="20"/>
          <w:szCs w:val="20"/>
          <w:lang w:val="es-ES"/>
        </w:rPr>
        <w:t>, entre varias 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2D9E9971">
        <w:rPr>
          <w:rStyle w:val="Refdenotaalpie"/>
          <w:rFonts w:ascii="Verdana" w:hAnsi="Verdana" w:cs="Arial"/>
          <w:sz w:val="20"/>
          <w:szCs w:val="20"/>
          <w:lang w:val="es-ES"/>
        </w:rPr>
        <w:footnoteReference w:id="21"/>
      </w:r>
      <w:r w:rsidRPr="2D9E9971">
        <w:rPr>
          <w:rFonts w:ascii="Verdana" w:hAnsi="Verdana" w:cs="Arial"/>
          <w:sz w:val="20"/>
          <w:szCs w:val="20"/>
          <w:lang w:val="es-ES"/>
        </w:rPr>
        <w:t>.</w:t>
      </w:r>
    </w:p>
    <w:p w14:paraId="5036643D" w14:textId="77777777" w:rsidR="004808A2" w:rsidRPr="00AD5F4A" w:rsidRDefault="004808A2" w:rsidP="004808A2">
      <w:pPr>
        <w:spacing w:after="0" w:line="276" w:lineRule="auto"/>
        <w:ind w:firstLine="708"/>
        <w:jc w:val="both"/>
        <w:rPr>
          <w:rFonts w:ascii="Verdana" w:eastAsia="Arial" w:hAnsi="Verdana" w:cs="Arial"/>
          <w:color w:val="000000"/>
          <w:lang w:val="es-ES_tradnl"/>
        </w:rPr>
      </w:pPr>
    </w:p>
    <w:p w14:paraId="51B058AB" w14:textId="77777777" w:rsidR="004808A2" w:rsidRDefault="004808A2" w:rsidP="004808A2">
      <w:pPr>
        <w:tabs>
          <w:tab w:val="left" w:pos="709"/>
        </w:tabs>
        <w:spacing w:after="120" w:line="276" w:lineRule="auto"/>
        <w:jc w:val="both"/>
        <w:rPr>
          <w:rFonts w:ascii="Verdana" w:hAnsi="Verdana" w:cs="Arial"/>
          <w:color w:val="000000" w:themeColor="text1"/>
        </w:rPr>
      </w:pPr>
      <w:bookmarkStart w:id="4" w:name="_Hlk136439150"/>
      <w:r>
        <w:rPr>
          <w:rFonts w:ascii="Verdana" w:eastAsia="Arial" w:hAnsi="Verdana" w:cs="Arial"/>
          <w:color w:val="000000"/>
          <w:lang w:val="es-ES_tradnl"/>
        </w:rPr>
        <w:tab/>
      </w:r>
      <w:r w:rsidRPr="00AD5F4A">
        <w:rPr>
          <w:rFonts w:ascii="Verdana" w:eastAsia="Arial" w:hAnsi="Verdana" w:cs="Arial"/>
          <w:color w:val="000000"/>
          <w:lang w:val="es-ES_tradnl"/>
        </w:rPr>
        <w:t xml:space="preserve">Como se aprecia, el principio </w:t>
      </w:r>
      <w:r w:rsidRPr="00AD5F4A">
        <w:rPr>
          <w:rFonts w:ascii="Verdana" w:eastAsia="Arial" w:hAnsi="Verdana" w:cs="Arial"/>
          <w:i/>
          <w:iCs/>
          <w:color w:val="000000"/>
          <w:lang w:val="es-ES_tradnl"/>
        </w:rPr>
        <w:t xml:space="preserve">pro </w:t>
      </w:r>
      <w:proofErr w:type="spellStart"/>
      <w:r w:rsidRPr="00AD5F4A">
        <w:rPr>
          <w:rFonts w:ascii="Verdana" w:eastAsia="Arial" w:hAnsi="Verdana" w:cs="Arial"/>
          <w:i/>
          <w:iCs/>
          <w:color w:val="000000"/>
          <w:lang w:val="es-ES_tradnl"/>
        </w:rPr>
        <w:t>libertate</w:t>
      </w:r>
      <w:proofErr w:type="spellEnd"/>
      <w:r w:rsidRPr="00AD5F4A">
        <w:rPr>
          <w:rFonts w:ascii="Verdana" w:eastAsia="Arial" w:hAnsi="Verdana" w:cs="Arial"/>
          <w:color w:val="000000"/>
          <w:lang w:val="es-ES_tradnl"/>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w:t>
      </w:r>
      <w:r w:rsidRPr="00AD5F4A">
        <w:rPr>
          <w:rFonts w:ascii="Verdana" w:hAnsi="Verdana" w:cs="Arial"/>
          <w:color w:val="000000" w:themeColor="text1"/>
        </w:rPr>
        <w:t xml:space="preserve"> Corte Constitucional ha resaltado que la competencia para determinar qué hechos o situaciones generan inhabilidades o incompatibilidades para contratar con el Estado la tiene el legislador</w:t>
      </w:r>
      <w:bookmarkEnd w:id="4"/>
      <w:r w:rsidRPr="00AD5F4A">
        <w:rPr>
          <w:rStyle w:val="Refdenotaalpie"/>
          <w:rFonts w:ascii="Verdana" w:hAnsi="Verdana" w:cs="Arial"/>
          <w:color w:val="000000" w:themeColor="text1"/>
        </w:rPr>
        <w:footnoteReference w:id="22"/>
      </w:r>
      <w:r w:rsidRPr="00AD5F4A">
        <w:rPr>
          <w:rFonts w:ascii="Verdana" w:hAnsi="Verdana" w:cs="Arial"/>
          <w:color w:val="000000" w:themeColor="text1"/>
        </w:rPr>
        <w:t>.</w:t>
      </w:r>
    </w:p>
    <w:p w14:paraId="75467029" w14:textId="77777777" w:rsidR="004808A2" w:rsidRPr="00F42D22" w:rsidRDefault="004808A2" w:rsidP="004808A2">
      <w:pPr>
        <w:spacing w:after="120" w:line="276" w:lineRule="auto"/>
        <w:ind w:firstLine="708"/>
        <w:jc w:val="both"/>
        <w:rPr>
          <w:rFonts w:ascii="Verdana" w:hAnsi="Verdana" w:cs="Arial"/>
          <w:color w:val="000000" w:themeColor="text1"/>
        </w:rPr>
      </w:pPr>
      <w:r w:rsidRPr="00F42D22">
        <w:rPr>
          <w:rFonts w:ascii="Verdana" w:hAnsi="Verdana" w:cs="Arial"/>
          <w:color w:val="000000" w:themeColor="text1"/>
        </w:rPr>
        <w:lastRenderedPageBreak/>
        <w:t>Respecto a la restricción objeto de consulta, el artículo 18 de la Ley 1150 de 2007 adicionó el literal j) del artículo 8.1 de la Ley 80 de 1993. Conforme a la causal introducida en el EGCAP, están inhabilitados “Las personas naturales que hayan sido declaradas responsables judicialmente por la comisión de delitos de peculado, concusión, cohecho, prevaricato en todas sus modalidades y soborno transnacional, así como sus equivalentes en otras jurisdicciones. Esta inhabilidad se extenderá a las sociedades de que sean socias tales personas, con excepción de las sociedades anónimas abiertas”.</w:t>
      </w:r>
    </w:p>
    <w:p w14:paraId="2A49BF25" w14:textId="77777777" w:rsidR="004808A2" w:rsidRPr="00F42D22" w:rsidRDefault="004808A2" w:rsidP="004808A2">
      <w:pPr>
        <w:spacing w:after="120" w:line="276" w:lineRule="auto"/>
        <w:ind w:firstLine="708"/>
        <w:jc w:val="both"/>
        <w:rPr>
          <w:rFonts w:ascii="Verdana" w:hAnsi="Verdana" w:cs="Arial"/>
          <w:color w:val="000000" w:themeColor="text1"/>
        </w:rPr>
      </w:pPr>
      <w:r w:rsidRPr="00F42D22">
        <w:rPr>
          <w:rFonts w:ascii="Verdana" w:hAnsi="Verdana" w:cs="Arial"/>
          <w:color w:val="000000" w:themeColor="text1"/>
        </w:rPr>
        <w:t>Con esta norma, el legislador hizo más severo el régimen de inhabilidades para la persona natural. Además de restringir su capacidad jurídica para participar en procesos de selección y celebrar contratos con las entidades estatales, también estará impedida para apoyarse en los diversos tipos societarios previstos en la legislación mercantil para mantener el vínculo contractual con el Estado. Como explica la Corte Constitucional, “[…] el legislador pretende que la persona natural inhabilitada cumpla realmente con la sanción proveniente de la condena judicial que la declaró responsable de los delitos que allí se mencionan”</w:t>
      </w:r>
      <w:r w:rsidRPr="00F42D22">
        <w:rPr>
          <w:rStyle w:val="Refdenotaalpie"/>
          <w:rFonts w:ascii="Verdana" w:hAnsi="Verdana" w:cs="Arial"/>
          <w:color w:val="000000" w:themeColor="text1"/>
        </w:rPr>
        <w:footnoteReference w:id="23"/>
      </w:r>
      <w:r w:rsidRPr="00F42D22">
        <w:rPr>
          <w:rFonts w:ascii="Verdana" w:hAnsi="Verdana" w:cs="Arial"/>
          <w:color w:val="000000" w:themeColor="text1"/>
        </w:rPr>
        <w:t xml:space="preserve">. </w:t>
      </w:r>
    </w:p>
    <w:p w14:paraId="6A36B7A5" w14:textId="77777777" w:rsidR="004808A2" w:rsidRPr="00F42D22" w:rsidRDefault="004808A2" w:rsidP="004808A2">
      <w:pPr>
        <w:spacing w:after="120" w:line="276" w:lineRule="auto"/>
        <w:ind w:firstLine="708"/>
        <w:jc w:val="both"/>
        <w:rPr>
          <w:rFonts w:ascii="Verdana" w:hAnsi="Verdana" w:cs="Arial"/>
          <w:color w:val="000000" w:themeColor="text1"/>
        </w:rPr>
      </w:pPr>
      <w:r w:rsidRPr="00F42D22">
        <w:rPr>
          <w:rFonts w:ascii="Verdana" w:hAnsi="Verdana" w:cs="Arial"/>
          <w:color w:val="000000" w:themeColor="text1"/>
        </w:rPr>
        <w:t xml:space="preserve">Sin embargo, esta causal ha sido modificada por la Leyes 1474 de 2011, 1778 de 2016 y 2014 de 2019, esta última reglamentada por el Decreto 1358 de 2020. La </w:t>
      </w:r>
      <w:r w:rsidRPr="00F42D22">
        <w:rPr>
          <w:rFonts w:ascii="Verdana" w:hAnsi="Verdana" w:cs="Arial"/>
          <w:i/>
          <w:iCs/>
          <w:color w:val="000000" w:themeColor="text1"/>
        </w:rPr>
        <w:t>primera modificación</w:t>
      </w:r>
      <w:r w:rsidRPr="00F42D22">
        <w:rPr>
          <w:rFonts w:ascii="Verdana" w:hAnsi="Verdana" w:cs="Arial"/>
          <w:color w:val="000000" w:themeColor="text1"/>
        </w:rPr>
        <w:t xml:space="preserve"> circunscribió la inhabilidad a las personas naturales responsables judicialmente de la comisión de delitos contra la Administración Pública cuya pena sea privativa de la libertad o soborno transnacional, con excepción de delitos culposos; la extendió a las sociedades en las que sean socias tales personas, a sus matrices y a sus subordinadas, con excepción de las sociedades anónimas abiertas; y determinó una duración de veinte (20) años</w:t>
      </w:r>
      <w:r w:rsidRPr="00F42D22">
        <w:rPr>
          <w:rStyle w:val="Refdenotaalpie"/>
          <w:rFonts w:ascii="Verdana" w:hAnsi="Verdana" w:cs="Arial"/>
          <w:color w:val="000000" w:themeColor="text1"/>
        </w:rPr>
        <w:footnoteReference w:id="24"/>
      </w:r>
      <w:r w:rsidRPr="00F42D22">
        <w:rPr>
          <w:rFonts w:ascii="Verdana" w:hAnsi="Verdana" w:cs="Arial"/>
          <w:color w:val="000000" w:themeColor="text1"/>
        </w:rPr>
        <w:t xml:space="preserve">. </w:t>
      </w:r>
    </w:p>
    <w:p w14:paraId="5030208A" w14:textId="77777777" w:rsidR="004808A2" w:rsidRPr="00F42D22" w:rsidRDefault="004808A2" w:rsidP="004808A2">
      <w:pPr>
        <w:spacing w:after="120" w:line="276" w:lineRule="auto"/>
        <w:ind w:firstLine="708"/>
        <w:jc w:val="both"/>
        <w:rPr>
          <w:rFonts w:ascii="Verdana" w:hAnsi="Verdana" w:cs="Arial"/>
          <w:color w:val="000000" w:themeColor="text1"/>
        </w:rPr>
      </w:pPr>
      <w:r w:rsidRPr="00F42D22">
        <w:rPr>
          <w:rFonts w:ascii="Verdana" w:hAnsi="Verdana" w:cs="Arial"/>
          <w:color w:val="000000" w:themeColor="text1"/>
        </w:rPr>
        <w:lastRenderedPageBreak/>
        <w:t xml:space="preserve">La </w:t>
      </w:r>
      <w:r w:rsidRPr="00F42D22">
        <w:rPr>
          <w:rFonts w:ascii="Verdana" w:hAnsi="Verdana" w:cs="Arial"/>
          <w:i/>
          <w:iCs/>
          <w:color w:val="000000" w:themeColor="text1"/>
        </w:rPr>
        <w:t>segunda modificación</w:t>
      </w:r>
      <w:r w:rsidRPr="00F42D22">
        <w:rPr>
          <w:rFonts w:ascii="Verdana" w:hAnsi="Verdana" w:cs="Arial"/>
          <w:color w:val="000000" w:themeColor="text1"/>
        </w:rPr>
        <w:t xml:space="preserve"> precisó que la restricción aplicaría a las personas naturales responsables judicialmente de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Asimismo, extendió la inhabilidad a las personas jurídicas que hayan sido declaradas responsables administrativamente por la conducta de soborno transnacional. Esta limitación también aplica por un término de 20 años, y cobija a las sociedades de las que hagan parte dichas personas en calidad de administradores, representantes legales, miembros de junta directiva o de socios controlantes, a sus matrices y a sus subordinadas y a las sucursales de sociedades extranjeras, con excepción de las sociedades anónimas abiertas. Sin embargo, establece la configuración preventiva de la inhabilidad aun cuando esté pendiente la impugnación de la sentencia condenatoria</w:t>
      </w:r>
      <w:r w:rsidRPr="00F42D22">
        <w:rPr>
          <w:rStyle w:val="Refdenotaalpie"/>
          <w:rFonts w:ascii="Verdana" w:hAnsi="Verdana" w:cs="Arial"/>
          <w:color w:val="000000" w:themeColor="text1"/>
        </w:rPr>
        <w:footnoteReference w:id="25"/>
      </w:r>
      <w:r w:rsidRPr="00F42D22">
        <w:rPr>
          <w:rFonts w:ascii="Verdana" w:hAnsi="Verdana" w:cs="Arial"/>
          <w:color w:val="000000" w:themeColor="text1"/>
        </w:rPr>
        <w:t xml:space="preserve">.  </w:t>
      </w:r>
    </w:p>
    <w:p w14:paraId="615D21AD" w14:textId="77777777" w:rsidR="004808A2" w:rsidRDefault="004808A2" w:rsidP="004808A2">
      <w:pPr>
        <w:tabs>
          <w:tab w:val="left" w:pos="709"/>
        </w:tabs>
        <w:spacing w:after="120" w:line="276" w:lineRule="auto"/>
        <w:jc w:val="both"/>
        <w:rPr>
          <w:rFonts w:ascii="Verdana" w:hAnsi="Verdana" w:cs="Arial"/>
          <w:color w:val="000000" w:themeColor="text1"/>
        </w:rPr>
      </w:pPr>
      <w:r>
        <w:rPr>
          <w:rFonts w:ascii="Verdana" w:hAnsi="Verdana" w:cs="Arial"/>
          <w:color w:val="000000" w:themeColor="text1"/>
        </w:rPr>
        <w:tab/>
      </w:r>
      <w:r w:rsidRPr="00F42D22">
        <w:rPr>
          <w:rFonts w:ascii="Verdana" w:hAnsi="Verdana" w:cs="Arial"/>
          <w:color w:val="000000" w:themeColor="text1"/>
        </w:rPr>
        <w:t xml:space="preserve">La </w:t>
      </w:r>
      <w:r w:rsidRPr="00F42D22">
        <w:rPr>
          <w:rFonts w:ascii="Verdana" w:hAnsi="Verdana" w:cs="Arial"/>
          <w:i/>
          <w:iCs/>
          <w:color w:val="000000" w:themeColor="text1"/>
        </w:rPr>
        <w:t>tercera modificación</w:t>
      </w:r>
      <w:r w:rsidRPr="00F42D22">
        <w:rPr>
          <w:rFonts w:ascii="Verdana" w:hAnsi="Verdana" w:cs="Arial"/>
          <w:color w:val="000000" w:themeColor="text1"/>
        </w:rPr>
        <w:t xml:space="preserve"> mantiene a grandes rasgos la configuración de la inhabilidad respecto a las personas naturales declaradas responsables judicialmente por la comisión de delitos relacionados con actos de corrupción, así como las personas jurídicas que hayan sido declaradas responsables administrativamente por la conducta de soborno transnacional. Además de las personas jurídicas sobre las cuales se haya ordenado la suspensión de la personería, la restricción se extiende a las sociedades de las que hagan parte dichas personas en calidad de administradores, representantes legales, miembros de junta directiva o de socios controlantes, a sus matrices y a sus subordinadas, a los grupos empresariales a los que estas pertenezcan cuando la </w:t>
      </w:r>
      <w:r w:rsidRPr="00F42D22">
        <w:rPr>
          <w:rFonts w:ascii="Verdana" w:hAnsi="Verdana" w:cs="Arial"/>
          <w:color w:val="000000" w:themeColor="text1"/>
        </w:rPr>
        <w:lastRenderedPageBreak/>
        <w:t>conducta delictiva haya sido parte de una política del grupo y a las sucursales de sociedades extranjeras. Aunque conserva la configuración preventiva, tiene carácter permanente al margen de la aplicación del principio de oportunidad por cualquier delito contra la Administración pública o el patrimonio del Estado</w:t>
      </w:r>
      <w:r w:rsidRPr="00F42D22">
        <w:rPr>
          <w:rStyle w:val="Refdenotaalpie"/>
          <w:rFonts w:ascii="Verdana" w:hAnsi="Verdana" w:cs="Arial"/>
          <w:color w:val="000000" w:themeColor="text1"/>
        </w:rPr>
        <w:footnoteReference w:id="26"/>
      </w:r>
      <w:r w:rsidRPr="00F42D22">
        <w:rPr>
          <w:rFonts w:ascii="Verdana" w:hAnsi="Verdana" w:cs="Arial"/>
          <w:color w:val="000000" w:themeColor="text1"/>
        </w:rPr>
        <w:t xml:space="preserve">. </w:t>
      </w:r>
    </w:p>
    <w:p w14:paraId="4CE1D7FE" w14:textId="77777777" w:rsidR="004808A2" w:rsidRPr="003A42B5" w:rsidRDefault="004808A2" w:rsidP="004808A2">
      <w:pPr>
        <w:spacing w:before="120" w:line="276" w:lineRule="auto"/>
        <w:ind w:firstLine="708"/>
        <w:jc w:val="both"/>
        <w:rPr>
          <w:rFonts w:ascii="Verdana" w:hAnsi="Verdana" w:cs="Arial"/>
        </w:rPr>
      </w:pPr>
      <w:r w:rsidRPr="003A42B5">
        <w:rPr>
          <w:rFonts w:ascii="Verdana" w:hAnsi="Verdana" w:cs="Arial"/>
          <w:color w:val="000000" w:themeColor="text1"/>
        </w:rPr>
        <w:t xml:space="preserve">Dichas modificaciones </w:t>
      </w:r>
      <w:r w:rsidRPr="003A42B5">
        <w:rPr>
          <w:rFonts w:ascii="Verdana" w:eastAsia="Calibri" w:hAnsi="Verdana" w:cs="Arial"/>
          <w:lang w:val="es-ES_tradnl"/>
        </w:rPr>
        <w:t xml:space="preserve">conllevan un problema hermenéutico relativo a la aplicación de la ley en el tiempo. Al respecto, conviene recordar que </w:t>
      </w:r>
      <w:r w:rsidRPr="003A42B5">
        <w:rPr>
          <w:rFonts w:ascii="Verdana" w:hAnsi="Verdana" w:cs="Arial"/>
        </w:rPr>
        <w:t>los efectos de una ley se producen a partir de su vigencia, lo que quiere decir que, por regla general, en el ordenamiento jurídico opera la irretroactividad. Así se desprende de</w:t>
      </w:r>
      <w:r>
        <w:rPr>
          <w:rFonts w:ascii="Verdana" w:hAnsi="Verdana" w:cs="Arial"/>
        </w:rPr>
        <w:t>l artículo 2 de</w:t>
      </w:r>
      <w:r w:rsidRPr="003A42B5">
        <w:rPr>
          <w:rFonts w:ascii="Verdana" w:hAnsi="Verdana" w:cs="Arial"/>
        </w:rPr>
        <w:t xml:space="preserve"> la Ley 153 de 1887, pues dispone que la ley posterior prevalece sobre la ley anterior y en el evento en que existan discrepancias entre las mismas se debe aplicar la ley posterior</w:t>
      </w:r>
      <w:r w:rsidRPr="003A42B5">
        <w:rPr>
          <w:rStyle w:val="Refdenotaalpie"/>
          <w:rFonts w:ascii="Verdana" w:hAnsi="Verdana" w:cs="Arial"/>
        </w:rPr>
        <w:footnoteReference w:id="27"/>
      </w:r>
      <w:r w:rsidRPr="003A42B5">
        <w:rPr>
          <w:rFonts w:ascii="Verdana" w:hAnsi="Verdana" w:cs="Arial"/>
        </w:rPr>
        <w:t xml:space="preserve">. No obstante, si en vigencia de la anterior ley se consolidó una situación jurídica no deberá aplicarse la ley posterior, pues de acuerdo con la Constitución Política los derechos adquiridos no pueden ser desconocidos ni vulnerados por leyes posteriores, a menos que </w:t>
      </w:r>
      <w:r w:rsidRPr="003A42B5">
        <w:rPr>
          <w:rFonts w:ascii="Verdana" w:hAnsi="Verdana" w:cs="Arial"/>
        </w:rPr>
        <w:lastRenderedPageBreak/>
        <w:t>se trate de leyes penales que beneficien al reo –principio de favorabilidad– o que comprometan el interés público o social</w:t>
      </w:r>
      <w:r w:rsidRPr="003A42B5">
        <w:rPr>
          <w:rStyle w:val="Refdenotaalpie"/>
          <w:rFonts w:ascii="Verdana" w:hAnsi="Verdana" w:cs="Arial"/>
        </w:rPr>
        <w:footnoteReference w:id="28"/>
      </w:r>
      <w:r w:rsidRPr="003A42B5">
        <w:rPr>
          <w:rFonts w:ascii="Verdana" w:hAnsi="Verdana" w:cs="Arial"/>
        </w:rPr>
        <w:t>.</w:t>
      </w:r>
    </w:p>
    <w:p w14:paraId="0F280591" w14:textId="77777777" w:rsidR="004808A2" w:rsidRPr="008F607E" w:rsidRDefault="004808A2" w:rsidP="004808A2">
      <w:pPr>
        <w:spacing w:line="276" w:lineRule="auto"/>
        <w:ind w:right="318" w:firstLine="708"/>
        <w:jc w:val="both"/>
        <w:rPr>
          <w:rFonts w:ascii="Verdana" w:hAnsi="Verdana" w:cs="Arial"/>
        </w:rPr>
      </w:pPr>
      <w:r w:rsidRPr="008F607E">
        <w:rPr>
          <w:rFonts w:ascii="Verdana" w:hAnsi="Verdana"/>
        </w:rPr>
        <w:t>El conflicto sobre la aplicación de una ley se presenta cuando en vigencia de la ley anterior nace un hecho allí previsto, sin que se consolide situación jurídica alguna, pero los efectos se producen bajo la vigencia de la ley posterior. De igual forma, cuando se realiza un hecho jurídico bajo la ley anterior pero la ley posterior contempla nuevas condiciones para el reconocimiento de sus efectos, es decir, en vigencia de la ley anterior solo se presentaron situaciones que generaron una simple expectativa</w:t>
      </w:r>
      <w:r w:rsidRPr="008F607E">
        <w:rPr>
          <w:rStyle w:val="Refdenotaalpie"/>
          <w:rFonts w:ascii="Verdana" w:hAnsi="Verdana"/>
        </w:rPr>
        <w:footnoteReference w:id="29"/>
      </w:r>
      <w:r w:rsidRPr="008F607E">
        <w:rPr>
          <w:rFonts w:ascii="Verdana" w:hAnsi="Verdana"/>
        </w:rPr>
        <w:t xml:space="preserve">. </w:t>
      </w:r>
      <w:r w:rsidRPr="008F607E">
        <w:rPr>
          <w:rFonts w:ascii="Verdana" w:hAnsi="Verdana" w:cs="Arial"/>
        </w:rPr>
        <w:t>Así las cosas, cuando no se consolidó ninguna situación jurídica en vigencia de la ley anterior, la ley posterior prevalece y sus efectos se producen una vez entra en vigencia, por lo que su aplicación es de inmediato cumplimiento</w:t>
      </w:r>
      <w:r w:rsidRPr="008F607E">
        <w:rPr>
          <w:rStyle w:val="Refdenotaalpie"/>
          <w:rFonts w:ascii="Verdana" w:hAnsi="Verdana" w:cs="Arial"/>
        </w:rPr>
        <w:footnoteReference w:id="30"/>
      </w:r>
      <w:r w:rsidRPr="008F607E">
        <w:rPr>
          <w:rFonts w:ascii="Verdana" w:hAnsi="Verdana" w:cs="Arial"/>
        </w:rPr>
        <w:t xml:space="preserve">. </w:t>
      </w:r>
    </w:p>
    <w:p w14:paraId="0D6A3A6F" w14:textId="77777777" w:rsidR="004808A2" w:rsidRPr="00544818" w:rsidRDefault="004808A2" w:rsidP="004808A2">
      <w:pPr>
        <w:spacing w:line="276" w:lineRule="auto"/>
        <w:ind w:firstLine="708"/>
        <w:jc w:val="both"/>
        <w:rPr>
          <w:rFonts w:ascii="Verdana" w:hAnsi="Verdana" w:cs="Arial"/>
        </w:rPr>
      </w:pPr>
      <w:r w:rsidRPr="008F607E">
        <w:rPr>
          <w:rFonts w:ascii="Verdana" w:hAnsi="Verdana" w:cs="Arial"/>
        </w:rPr>
        <w:t xml:space="preserve">Entonces, por regla general la ley es </w:t>
      </w:r>
      <w:proofErr w:type="spellStart"/>
      <w:r w:rsidRPr="008F607E">
        <w:rPr>
          <w:rFonts w:ascii="Verdana" w:hAnsi="Verdana" w:cs="Arial"/>
        </w:rPr>
        <w:t>irretroactiva</w:t>
      </w:r>
      <w:proofErr w:type="spellEnd"/>
      <w:r w:rsidRPr="008F607E">
        <w:rPr>
          <w:rFonts w:ascii="Verdana" w:hAnsi="Verdana" w:cs="Arial"/>
        </w:rPr>
        <w:t xml:space="preserve">, es decir, solo produce afectos hacia el futuro. Sin embargo, hay excepciones a esta regla que en algunos casos debe estar expresamente autorizada por el legislador, como ocurre con la retroactividad en la que la ley nueva se aplica a casos anteriores a su vigencia; o la ultraactividad que opera cuando una ley derogada continúa </w:t>
      </w:r>
      <w:r w:rsidRPr="008F607E">
        <w:rPr>
          <w:rFonts w:ascii="Verdana" w:hAnsi="Verdana" w:cs="Arial"/>
        </w:rPr>
        <w:lastRenderedPageBreak/>
        <w:t>produciendo efectos aun cuando existe una nueva ley que debería aplicarse al respectivo caso; y la retrospectividad, que consiste en aplicar una ley nueva a situaciones de hecho que tuvieron lugar antes de su vigencia pero que no se vio definitivamente consolidada la situación jurídica que de ella se deriva, pues sus efectos siguieron vigentes o no encontraron mecanismo alguno que permita su resolución en forma definitiva</w:t>
      </w:r>
      <w:r w:rsidRPr="00544818">
        <w:rPr>
          <w:rFonts w:ascii="Verdana" w:hAnsi="Verdana" w:cs="Arial"/>
          <w:vertAlign w:val="superscript"/>
        </w:rPr>
        <w:footnoteReference w:id="31"/>
      </w:r>
      <w:r w:rsidRPr="00544818">
        <w:rPr>
          <w:rFonts w:ascii="Verdana" w:hAnsi="Verdana" w:cs="Arial"/>
        </w:rPr>
        <w:t>.</w:t>
      </w:r>
    </w:p>
    <w:p w14:paraId="3F5074FD" w14:textId="77777777" w:rsidR="004808A2" w:rsidRPr="008F607E" w:rsidRDefault="004808A2" w:rsidP="004808A2">
      <w:pPr>
        <w:spacing w:line="276" w:lineRule="auto"/>
        <w:ind w:firstLine="708"/>
        <w:jc w:val="both"/>
        <w:rPr>
          <w:rFonts w:ascii="Verdana" w:hAnsi="Verdana" w:cs="Arial"/>
        </w:rPr>
      </w:pPr>
      <w:r w:rsidRPr="008F607E">
        <w:rPr>
          <w:rFonts w:ascii="Verdana" w:hAnsi="Verdana" w:cs="Arial"/>
        </w:rPr>
        <w:t xml:space="preserve">El legislador no contempló excepción alguna frente a la aplicación retroactiva del artículo 18 de la Ley 1150 de 2007, el artículo 1˚ de la Ley 1474 de 2011, el artículo 31 de la Ley 1778 de 2016 o el artículo 2 de la Ley 2014 de 2019. </w:t>
      </w:r>
      <w:r>
        <w:rPr>
          <w:rFonts w:ascii="Verdana" w:hAnsi="Verdana" w:cs="Arial"/>
        </w:rPr>
        <w:t>C</w:t>
      </w:r>
      <w:r w:rsidRPr="008F607E">
        <w:rPr>
          <w:rFonts w:ascii="Verdana" w:hAnsi="Verdana" w:cs="Arial"/>
        </w:rPr>
        <w:t>omo la inhabilidad del literal j) del artículo 8.1 de la Ley 80 de 1993 es de carácter sancionatorio, al tratarse de la potestad punitiva del Estado, el principio de favorabilidad es aplicable en la actuaciones administrativas en virtud de lo establecido en el artículo 29 de la Constitución Política y en el artículo 3.1 de la Ley 1437 de 2011</w:t>
      </w:r>
      <w:r w:rsidRPr="008F607E">
        <w:rPr>
          <w:rStyle w:val="Refdenotaalpie"/>
          <w:rFonts w:ascii="Verdana" w:hAnsi="Verdana" w:cs="Arial"/>
        </w:rPr>
        <w:footnoteReference w:id="32"/>
      </w:r>
      <w:r w:rsidRPr="008F607E">
        <w:rPr>
          <w:rFonts w:ascii="Verdana" w:hAnsi="Verdana" w:cs="Arial"/>
        </w:rPr>
        <w:t>.</w:t>
      </w:r>
    </w:p>
    <w:p w14:paraId="0CA4DE63" w14:textId="77777777" w:rsidR="004808A2" w:rsidRPr="008F607E" w:rsidRDefault="004808A2" w:rsidP="004808A2">
      <w:pPr>
        <w:spacing w:line="276" w:lineRule="auto"/>
        <w:ind w:firstLine="708"/>
        <w:jc w:val="both"/>
        <w:rPr>
          <w:rFonts w:ascii="Verdana" w:hAnsi="Verdana" w:cs="Arial"/>
          <w:i/>
        </w:rPr>
      </w:pPr>
      <w:r>
        <w:rPr>
          <w:rFonts w:ascii="Verdana" w:hAnsi="Verdana" w:cs="Arial"/>
        </w:rPr>
        <w:t>De esta manera, la</w:t>
      </w:r>
      <w:r w:rsidRPr="008F607E">
        <w:rPr>
          <w:rFonts w:ascii="Verdana" w:hAnsi="Verdana" w:cs="Arial"/>
        </w:rPr>
        <w:t xml:space="preserve"> inhabilidad por actos de corrupción puede asimilarse a una pena en los términos del artículo 38.2 de la Ley 153 de 1887 para efectos de determinar que la infracción correspondiente se castigará con arreglo a la ley bajo la cual se hubiere cometido. Ello se reitera en el artículo 43 </w:t>
      </w:r>
      <w:r w:rsidRPr="008F607E">
        <w:rPr>
          <w:rFonts w:ascii="Verdana" w:hAnsi="Verdana" w:cs="Arial"/>
          <w:i/>
          <w:iCs/>
        </w:rPr>
        <w:t>ibidem</w:t>
      </w:r>
      <w:r w:rsidRPr="008F607E">
        <w:rPr>
          <w:rFonts w:ascii="Verdana" w:hAnsi="Verdana" w:cs="Arial"/>
        </w:rPr>
        <w:t xml:space="preserve">, puesto </w:t>
      </w:r>
      <w:r w:rsidRPr="008F607E">
        <w:rPr>
          <w:rFonts w:ascii="Verdana" w:hAnsi="Verdana" w:cs="Arial"/>
        </w:rPr>
        <w:lastRenderedPageBreak/>
        <w:t xml:space="preserve">que “La ley preexistente prefiere a la ley </w:t>
      </w:r>
      <w:r w:rsidRPr="008F607E">
        <w:rPr>
          <w:rFonts w:ascii="Verdana" w:hAnsi="Verdana" w:cs="Arial"/>
          <w:i/>
          <w:iCs/>
        </w:rPr>
        <w:t>ex post facto</w:t>
      </w:r>
      <w:r w:rsidRPr="008F607E">
        <w:rPr>
          <w:rFonts w:ascii="Verdana" w:hAnsi="Verdana" w:cs="Arial"/>
        </w:rPr>
        <w:t xml:space="preserve"> en materia penal. Nadie podrá ser juzgado o penado sino por ley que haya sido promulgada antes del hecho que da lugar al juicio […]”. Asimismo, la Constitución Política dispone en materia del derecho al debido proceso, que nadie podrá ser juzgado sino conforme a leyes preexistentes al acto que se le imputa, lo cual aplica para el caso de las inhabilidades de naturaleza sancionatoria, pues estas limitan derechos subjetivos. </w:t>
      </w:r>
    </w:p>
    <w:p w14:paraId="2BF43297" w14:textId="77777777" w:rsidR="004808A2" w:rsidRDefault="004808A2" w:rsidP="004808A2">
      <w:pPr>
        <w:spacing w:after="120" w:line="276" w:lineRule="auto"/>
        <w:ind w:firstLine="709"/>
        <w:jc w:val="both"/>
        <w:rPr>
          <w:rFonts w:ascii="Verdana" w:eastAsia="Calibri" w:hAnsi="Verdana" w:cs="Arial"/>
          <w:lang w:val="es-ES"/>
        </w:rPr>
      </w:pPr>
      <w:r w:rsidRPr="2D9E9971">
        <w:rPr>
          <w:rFonts w:ascii="Verdana" w:eastAsia="Calibri" w:hAnsi="Verdana" w:cs="Arial"/>
          <w:lang w:val="es-ES"/>
        </w:rPr>
        <w:t xml:space="preserve">La postura anterior además se encuentra de acuerdo con el principio </w:t>
      </w:r>
      <w:r w:rsidRPr="2D9E9971">
        <w:rPr>
          <w:rFonts w:ascii="Verdana" w:eastAsia="Calibri" w:hAnsi="Verdana" w:cs="Arial"/>
          <w:i/>
          <w:lang w:val="es-ES"/>
        </w:rPr>
        <w:t xml:space="preserve">pro </w:t>
      </w:r>
      <w:proofErr w:type="spellStart"/>
      <w:r w:rsidRPr="2D9E9971">
        <w:rPr>
          <w:rFonts w:ascii="Verdana" w:eastAsia="Calibri" w:hAnsi="Verdana" w:cs="Arial"/>
          <w:i/>
          <w:lang w:val="es-ES"/>
        </w:rPr>
        <w:t>libertate</w:t>
      </w:r>
      <w:proofErr w:type="spellEnd"/>
      <w:r w:rsidRPr="2D9E9971">
        <w:rPr>
          <w:rFonts w:ascii="Verdana" w:eastAsia="Calibri" w:hAnsi="Verdana" w:cs="Arial"/>
          <w:lang w:val="es-ES"/>
        </w:rPr>
        <w:t xml:space="preserve"> que debe dirigir la interpretación de las disposiciones normativas que consagran restricciones de derechos, como son las inhabilidades. Esto en la medida en que asumir una interpretación contraria, implicaría una mayor restricción de derechos, ya que se extenderían los efectos de la norma a un mayor número de casos particulares, lo cual resultaría contrario a la interpretación restrictiva que amerita la norma bajo estudio. </w:t>
      </w:r>
    </w:p>
    <w:p w14:paraId="52458E4A" w14:textId="77777777" w:rsidR="004808A2" w:rsidRPr="008630C8" w:rsidRDefault="004808A2" w:rsidP="004808A2">
      <w:pPr>
        <w:spacing w:after="120" w:line="276" w:lineRule="auto"/>
        <w:ind w:firstLine="709"/>
        <w:jc w:val="both"/>
        <w:rPr>
          <w:rFonts w:ascii="Verdana" w:eastAsia="Calibri" w:hAnsi="Verdana" w:cs="Arial"/>
          <w:lang w:val="es-ES_tradnl"/>
        </w:rPr>
      </w:pPr>
      <w:r>
        <w:rPr>
          <w:rFonts w:ascii="Verdana" w:eastAsia="Calibri" w:hAnsi="Verdana" w:cs="Arial"/>
          <w:lang w:val="es-ES_tradnl"/>
        </w:rPr>
        <w:t>En consecuencia, bajo los criterios de aplicación de la ley en el tiempo anteriormente explicados, la inhabilidad d</w:t>
      </w:r>
      <w:r w:rsidRPr="00F42D22">
        <w:rPr>
          <w:rFonts w:ascii="Verdana" w:hAnsi="Verdana" w:cs="Arial"/>
          <w:color w:val="000000" w:themeColor="text1"/>
        </w:rPr>
        <w:t>el literal j) del artículo 8.1 de la Ley 80 de 1993</w:t>
      </w:r>
      <w:r>
        <w:rPr>
          <w:rFonts w:ascii="Verdana" w:hAnsi="Verdana" w:cs="Arial"/>
          <w:color w:val="000000" w:themeColor="text1"/>
        </w:rPr>
        <w:t xml:space="preserve"> puede tener carácter permanente, sin que el ordenamiento regule excepciones sobre este aspecto en la modificación introducida por el </w:t>
      </w:r>
      <w:r w:rsidRPr="008F607E">
        <w:rPr>
          <w:rFonts w:ascii="Verdana" w:hAnsi="Verdana" w:cs="Arial"/>
        </w:rPr>
        <w:t>artículo 2 de la Ley 2014 de 2019</w:t>
      </w:r>
      <w:r>
        <w:rPr>
          <w:rFonts w:ascii="Verdana" w:hAnsi="Verdana" w:cs="Arial"/>
        </w:rPr>
        <w:t>.</w:t>
      </w:r>
    </w:p>
    <w:p w14:paraId="51709901" w14:textId="77777777" w:rsidR="004808A2" w:rsidRPr="00A47393" w:rsidRDefault="004808A2" w:rsidP="004808A2">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67AA9952" w14:textId="77777777" w:rsidR="004808A2" w:rsidRPr="00185EE9" w:rsidRDefault="004808A2" w:rsidP="004808A2">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w:t>
      </w:r>
      <w:r w:rsidRPr="00A47393">
        <w:rPr>
          <w:rFonts w:ascii="Verdana" w:eastAsia="Calibri" w:hAnsi="Verdana" w:cs="Arial"/>
          <w:bCs/>
          <w:color w:val="000000" w:themeColor="text1"/>
        </w:rPr>
        <w:lastRenderedPageBreak/>
        <w:t xml:space="preserve">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6C8D674" w14:textId="77777777" w:rsidR="004808A2" w:rsidRPr="00182C89" w:rsidRDefault="004808A2" w:rsidP="004808A2">
      <w:pPr>
        <w:tabs>
          <w:tab w:val="left" w:pos="709"/>
        </w:tabs>
        <w:spacing w:after="0" w:line="276" w:lineRule="auto"/>
        <w:jc w:val="both"/>
        <w:rPr>
          <w:rFonts w:ascii="Verdana" w:eastAsia="Calibri" w:hAnsi="Verdana" w:cs="Arial"/>
          <w:color w:val="000000" w:themeColor="text1"/>
        </w:rPr>
      </w:pPr>
    </w:p>
    <w:p w14:paraId="31D7D6B1" w14:textId="77777777" w:rsidR="004808A2" w:rsidRPr="00593A5F" w:rsidRDefault="004808A2" w:rsidP="004808A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405400C5" w14:textId="77777777" w:rsidR="004808A2" w:rsidRPr="00593A5F" w:rsidRDefault="004808A2" w:rsidP="004808A2">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4808A2" w:rsidRPr="002407CE" w14:paraId="30C14D6B" w14:textId="77777777" w:rsidTr="004C07B5">
        <w:trPr>
          <w:trHeight w:val="56"/>
          <w:jc w:val="center"/>
        </w:trPr>
        <w:tc>
          <w:tcPr>
            <w:tcW w:w="8647" w:type="dxa"/>
          </w:tcPr>
          <w:p w14:paraId="71AE4F71" w14:textId="77777777" w:rsidR="004808A2" w:rsidRDefault="004808A2" w:rsidP="004808A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Colombia, artículos 29, 150 y 209.</w:t>
            </w:r>
          </w:p>
          <w:p w14:paraId="472AA600" w14:textId="77777777" w:rsidR="004808A2" w:rsidRPr="006463A8" w:rsidRDefault="004808A2" w:rsidP="004808A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 8.</w:t>
            </w:r>
          </w:p>
          <w:p w14:paraId="4A2F22E5" w14:textId="77777777" w:rsidR="004808A2" w:rsidRDefault="004808A2" w:rsidP="004808A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6.</w:t>
            </w:r>
          </w:p>
          <w:p w14:paraId="0D5A7D51" w14:textId="77777777" w:rsidR="004808A2" w:rsidRDefault="004808A2" w:rsidP="004808A2">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1437 de 2011, artículo 3.</w:t>
            </w:r>
          </w:p>
          <w:p w14:paraId="638642E6" w14:textId="77777777" w:rsidR="004808A2" w:rsidRPr="006463A8" w:rsidRDefault="004808A2" w:rsidP="004808A2">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Ley 153 de 1887, artículos 2, 14, 38 y 43.</w:t>
            </w:r>
          </w:p>
        </w:tc>
      </w:tr>
    </w:tbl>
    <w:p w14:paraId="02C3CFE0" w14:textId="77777777" w:rsidR="004808A2" w:rsidRPr="002407CE" w:rsidRDefault="004808A2" w:rsidP="004808A2">
      <w:pPr>
        <w:widowControl w:val="0"/>
        <w:autoSpaceDE w:val="0"/>
        <w:autoSpaceDN w:val="0"/>
        <w:spacing w:after="0" w:line="276" w:lineRule="auto"/>
        <w:jc w:val="both"/>
        <w:rPr>
          <w:rFonts w:ascii="Verdana" w:hAnsi="Verdana" w:cs="Arial"/>
        </w:rPr>
      </w:pPr>
    </w:p>
    <w:p w14:paraId="2D0A7B39" w14:textId="77777777" w:rsidR="004808A2" w:rsidRPr="00593A5F" w:rsidRDefault="004808A2" w:rsidP="004808A2">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0626120E" w14:textId="77777777" w:rsidR="004808A2" w:rsidRPr="00593A5F" w:rsidRDefault="004808A2" w:rsidP="004808A2">
      <w:pPr>
        <w:widowControl w:val="0"/>
        <w:autoSpaceDE w:val="0"/>
        <w:autoSpaceDN w:val="0"/>
        <w:spacing w:after="0" w:line="276" w:lineRule="auto"/>
        <w:jc w:val="both"/>
        <w:rPr>
          <w:rFonts w:ascii="Verdana" w:hAnsi="Verdana" w:cs="Arial"/>
        </w:rPr>
      </w:pPr>
    </w:p>
    <w:p w14:paraId="7D8F4D1E" w14:textId="77777777" w:rsidR="004808A2" w:rsidRPr="00ED0098" w:rsidRDefault="004808A2" w:rsidP="004808A2">
      <w:pPr>
        <w:widowControl w:val="0"/>
        <w:autoSpaceDE w:val="0"/>
        <w:autoSpaceDN w:val="0"/>
        <w:spacing w:after="0" w:line="276" w:lineRule="auto"/>
        <w:jc w:val="both"/>
        <w:rPr>
          <w:rStyle w:val="normaltextrun"/>
          <w:rFonts w:ascii="Verdana" w:hAnsi="Verdana" w:cs="Arial"/>
          <w:shd w:val="clear" w:color="auto" w:fill="FFFFFF"/>
        </w:rPr>
      </w:pPr>
      <w:r w:rsidRPr="007C24D9">
        <w:rPr>
          <w:rFonts w:ascii="Verdana" w:hAnsi="Verdana" w:cs="Arial"/>
          <w:shd w:val="clear" w:color="auto" w:fill="FFFFFF"/>
        </w:rPr>
        <w:t>Esta Subdirección se ha pronunciado sobre el régimen de inhabilidades e incompatibilidades en los Conceptos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diciembre de 2019, 4201912000007512 del 16 diciembre de 2019, 4201912000008460 del 14 de febrero de 2020, C-032 del 19 de febrero de 2020, C-090 del 24 de febrero de 2020, C-125 del 3 de marzo de 2020, C-157 del 17 de marzo de 2020, C-273 del 21 de mayo de 2020, C-386 del 24 de julio de 2020, C-580 del 21 de septiembre de 2020, C-639 del 27 de octubre del 2020, C-650 del 10 de noviembre de 2020, C-684 del 24 de noviembre de 2020 C-004 del 12 de febrero de 2021, C-815 del 18 de febrero de 2021, C-210 del 12 de mayo de 2021, C-275 del 11 de junio de 2021, C-321 del 2 de julio de 2021, C-410 del 7 de julio del 2021, C-491 del 14 de septiembre de 2021, C-028 del 28 de febrero de 2022, C-318 del 18 de mayo de 2022, C-252 del 30 de mayo de 2022, C-175 del 4 de mayo de 2023, C-234 del 5 de julio de 2023, C-408 del 21 de agosto de 2024, C-975 del 16 de diciembre de 2024, C-1027 del 29 de enero de 2015, C-053 del 30 de enero de 2025, C-030 del 21 de febrero de 2025, C-</w:t>
      </w:r>
      <w:r w:rsidRPr="007C24D9">
        <w:rPr>
          <w:rFonts w:ascii="Verdana" w:hAnsi="Verdana" w:cs="Arial"/>
          <w:shd w:val="clear" w:color="auto" w:fill="FFFFFF"/>
        </w:rPr>
        <w:lastRenderedPageBreak/>
        <w:t>344 del 28 de abril de 2025, C-434 del 14 de mayo de 2025, C-595 del 4 de junio de 2025 y C-1447 del 16 de octubre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7D8E7447" w14:textId="77777777" w:rsidR="004808A2" w:rsidRPr="00096788" w:rsidRDefault="004808A2" w:rsidP="004808A2">
      <w:pPr>
        <w:widowControl w:val="0"/>
        <w:autoSpaceDE w:val="0"/>
        <w:autoSpaceDN w:val="0"/>
        <w:spacing w:after="0" w:line="276" w:lineRule="auto"/>
        <w:jc w:val="both"/>
        <w:rPr>
          <w:rFonts w:ascii="Verdana" w:hAnsi="Verdana" w:cs="Arial"/>
          <w:color w:val="000000" w:themeColor="text1"/>
          <w:shd w:val="clear" w:color="auto" w:fill="FFFFFF"/>
        </w:rPr>
      </w:pPr>
    </w:p>
    <w:p w14:paraId="5D0FB5B6" w14:textId="77777777" w:rsidR="004808A2" w:rsidRPr="00F42673" w:rsidRDefault="004808A2" w:rsidP="004808A2">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3EBAF2F0" w14:textId="77777777" w:rsidR="004808A2" w:rsidRPr="00F42673" w:rsidRDefault="004808A2" w:rsidP="004808A2">
      <w:pPr>
        <w:spacing w:after="0" w:line="276" w:lineRule="auto"/>
        <w:jc w:val="both"/>
        <w:rPr>
          <w:rFonts w:ascii="Verdana" w:eastAsia="Times New Roman" w:hAnsi="Verdana" w:cs="Times New Roman"/>
          <w:color w:val="000000"/>
          <w:lang w:eastAsia="es-MX"/>
        </w:rPr>
      </w:pPr>
    </w:p>
    <w:p w14:paraId="2506C9A4" w14:textId="77777777" w:rsidR="004808A2" w:rsidRPr="00F42673" w:rsidRDefault="004808A2" w:rsidP="004808A2">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en cumplimiento del artículo 13 de la Ley Estatutaria 1618 de 2013. Para orientar su aplicación, esta Agencia expidió 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4"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10725400" w14:textId="77777777" w:rsidR="004808A2" w:rsidRPr="00F42673" w:rsidRDefault="004808A2" w:rsidP="004808A2">
      <w:pPr>
        <w:spacing w:after="0" w:line="276" w:lineRule="auto"/>
        <w:jc w:val="both"/>
        <w:rPr>
          <w:rFonts w:ascii="Verdana" w:eastAsia="Times New Roman" w:hAnsi="Verdana" w:cs="Times New Roman"/>
          <w:color w:val="000000"/>
          <w:lang w:eastAsia="es-MX"/>
        </w:rPr>
      </w:pPr>
    </w:p>
    <w:p w14:paraId="0D0D390D" w14:textId="77777777" w:rsidR="004808A2" w:rsidRPr="00F42673" w:rsidRDefault="004808A2" w:rsidP="004808A2">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 xml:space="preserve">dirigida a todas las entidades del Estado sin distinción de su régimen contractual, en la que reitera la obligatoriedad de reportar caducidades, multas, sanciones, declaratorias de incumplimiento e inhabilidades ante las Cámaras de </w:t>
      </w:r>
      <w:r w:rsidRPr="00F42673">
        <w:rPr>
          <w:rFonts w:ascii="Verdana" w:eastAsia="Times New Roman" w:hAnsi="Verdana" w:cs="Times New Roman"/>
          <w:color w:val="000000"/>
          <w:lang w:eastAsia="es-MX"/>
        </w:rPr>
        <w:lastRenderedPageBreak/>
        <w:t>Comercio, la Procuraduría General de la Nación y el SECOP, e indica los responsables, los portales dispuestos para el efecto y las consecuencias disciplinarias de omitir este deber. Consúltala aquí: </w:t>
      </w:r>
      <w:hyperlink r:id="rId15"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4F527247" w14:textId="77777777" w:rsidR="004808A2" w:rsidRPr="00F42673" w:rsidRDefault="004808A2" w:rsidP="004808A2">
      <w:pPr>
        <w:spacing w:after="0" w:line="276" w:lineRule="auto"/>
        <w:jc w:val="both"/>
        <w:rPr>
          <w:rFonts w:ascii="Verdana" w:eastAsia="Times New Roman" w:hAnsi="Verdana" w:cs="Times New Roman"/>
          <w:color w:val="000000"/>
          <w:lang w:eastAsia="es-MX"/>
        </w:rPr>
      </w:pPr>
    </w:p>
    <w:p w14:paraId="28F6DD5E" w14:textId="77777777" w:rsidR="004808A2" w:rsidRPr="00797CA8" w:rsidRDefault="004808A2" w:rsidP="004808A2">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2197353E" w14:textId="77777777" w:rsidR="004808A2" w:rsidRDefault="004808A2" w:rsidP="004808A2">
      <w:pPr>
        <w:shd w:val="clear" w:color="auto" w:fill="FFFFFF"/>
        <w:spacing w:after="0" w:line="276" w:lineRule="auto"/>
        <w:jc w:val="both"/>
        <w:rPr>
          <w:rFonts w:ascii="Verdana" w:hAnsi="Verdana"/>
          <w:color w:val="000000"/>
          <w:u w:val="single"/>
        </w:rPr>
      </w:pPr>
    </w:p>
    <w:p w14:paraId="40E25A0C" w14:textId="77777777" w:rsidR="004808A2" w:rsidRPr="00116940" w:rsidRDefault="004808A2" w:rsidP="004808A2">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46A565FC" w14:textId="77777777" w:rsidR="004808A2" w:rsidRPr="00116940" w:rsidRDefault="004808A2" w:rsidP="004808A2">
      <w:pPr>
        <w:spacing w:after="0"/>
        <w:jc w:val="both"/>
        <w:rPr>
          <w:rFonts w:ascii="Verdana" w:hAnsi="Verdana"/>
        </w:rPr>
      </w:pPr>
    </w:p>
    <w:p w14:paraId="52465667" w14:textId="77777777" w:rsidR="004808A2" w:rsidRPr="00116940" w:rsidRDefault="004808A2" w:rsidP="004808A2">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6F6D8FCC" w14:textId="77777777" w:rsidR="004808A2" w:rsidRPr="00116940" w:rsidRDefault="004808A2" w:rsidP="004808A2">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593271E7" w14:textId="77777777" w:rsidR="004808A2" w:rsidRPr="00116940" w:rsidRDefault="004808A2" w:rsidP="004808A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7">
        <w:r w:rsidRPr="00116940">
          <w:rPr>
            <w:rStyle w:val="Hipervnculo"/>
            <w:rFonts w:ascii="Verdana" w:eastAsia="Verdana" w:hAnsi="Verdana" w:cs="Verdana"/>
            <w:lang w:val="es-MX"/>
          </w:rPr>
          <w:t>ventanilladeradicacion@colombiacompra.gov.co</w:t>
        </w:r>
      </w:hyperlink>
    </w:p>
    <w:p w14:paraId="7F48A13A" w14:textId="77777777" w:rsidR="004808A2" w:rsidRPr="00116940" w:rsidRDefault="004808A2" w:rsidP="004808A2">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8">
        <w:r w:rsidRPr="00116940">
          <w:rPr>
            <w:rStyle w:val="Hipervnculo"/>
            <w:rFonts w:ascii="Verdana" w:eastAsia="Verdana" w:hAnsi="Verdana" w:cs="Verdana"/>
            <w:lang w:val="es-MX"/>
          </w:rPr>
          <w:t>https://www.colombiacompra.gov.co/pqrsd/informacion-importante-antes-de-formular-una-pqrsd</w:t>
        </w:r>
      </w:hyperlink>
    </w:p>
    <w:p w14:paraId="205E2702" w14:textId="77777777" w:rsidR="004808A2" w:rsidRPr="00116940" w:rsidRDefault="004808A2" w:rsidP="004808A2">
      <w:pPr>
        <w:spacing w:after="0" w:line="240" w:lineRule="auto"/>
        <w:ind w:left="720"/>
        <w:jc w:val="both"/>
        <w:rPr>
          <w:rFonts w:ascii="Verdana" w:hAnsi="Verdana"/>
        </w:rPr>
      </w:pPr>
    </w:p>
    <w:p w14:paraId="570B31A5" w14:textId="77777777" w:rsidR="004808A2" w:rsidRPr="00116940" w:rsidRDefault="004808A2" w:rsidP="004808A2">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9"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637C7070" w14:textId="77777777" w:rsidR="004808A2" w:rsidRPr="00116940" w:rsidRDefault="004808A2" w:rsidP="004808A2">
      <w:pPr>
        <w:spacing w:after="0" w:line="240" w:lineRule="auto"/>
        <w:rPr>
          <w:rFonts w:ascii="Verdana" w:hAnsi="Verdana"/>
        </w:rPr>
      </w:pPr>
    </w:p>
    <w:p w14:paraId="37F26F4D" w14:textId="77777777" w:rsidR="004808A2" w:rsidRPr="00116940" w:rsidRDefault="004808A2" w:rsidP="004808A2">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AA4A50D" w14:textId="77777777" w:rsidR="004808A2" w:rsidRPr="00116940" w:rsidRDefault="004808A2" w:rsidP="004808A2">
      <w:pPr>
        <w:spacing w:after="0" w:line="240" w:lineRule="auto"/>
        <w:jc w:val="both"/>
        <w:rPr>
          <w:rFonts w:ascii="Verdana" w:hAnsi="Verdana"/>
        </w:rPr>
      </w:pPr>
    </w:p>
    <w:p w14:paraId="495CD9E2" w14:textId="77777777" w:rsidR="004808A2" w:rsidRPr="00116940" w:rsidRDefault="004808A2" w:rsidP="004808A2">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0A1F9E1A" w14:textId="77777777" w:rsidR="004808A2" w:rsidRPr="00116940" w:rsidRDefault="004808A2" w:rsidP="004808A2">
      <w:pPr>
        <w:spacing w:after="0" w:line="240" w:lineRule="auto"/>
        <w:jc w:val="both"/>
        <w:rPr>
          <w:rFonts w:ascii="Verdana" w:hAnsi="Verdana"/>
        </w:rPr>
      </w:pPr>
      <w:r w:rsidRPr="00116940">
        <w:rPr>
          <w:rFonts w:ascii="Verdana" w:hAnsi="Verdana"/>
        </w:rPr>
        <w:lastRenderedPageBreak/>
        <w:t xml:space="preserve">Facebook: </w:t>
      </w:r>
      <w:proofErr w:type="spellStart"/>
      <w:r w:rsidRPr="00116940">
        <w:rPr>
          <w:rStyle w:val="Hipervnculo"/>
          <w:rFonts w:ascii="Verdana" w:hAnsi="Verdana"/>
        </w:rPr>
        <w:t>ColombiaCompraEficiente</w:t>
      </w:r>
      <w:proofErr w:type="spellEnd"/>
    </w:p>
    <w:p w14:paraId="7A010D9B" w14:textId="77777777" w:rsidR="004808A2" w:rsidRPr="00116940" w:rsidRDefault="004808A2" w:rsidP="004808A2">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1573DC10" w14:textId="77777777" w:rsidR="004808A2" w:rsidRPr="009C4035" w:rsidRDefault="004808A2" w:rsidP="004808A2">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18CE02BE" w14:textId="77777777" w:rsidR="004808A2" w:rsidRPr="00593A5F" w:rsidRDefault="004808A2" w:rsidP="004808A2">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324BFDF4" w14:textId="77777777" w:rsidR="004808A2" w:rsidRPr="00593A5F" w:rsidRDefault="004808A2" w:rsidP="004808A2">
      <w:pPr>
        <w:widowControl w:val="0"/>
        <w:autoSpaceDE w:val="0"/>
        <w:autoSpaceDN w:val="0"/>
        <w:spacing w:after="0" w:line="276" w:lineRule="auto"/>
        <w:jc w:val="both"/>
        <w:rPr>
          <w:rFonts w:ascii="Verdana" w:hAnsi="Verdana" w:cs="Arial"/>
        </w:rPr>
      </w:pPr>
    </w:p>
    <w:p w14:paraId="285A45B2" w14:textId="77777777" w:rsidR="004808A2" w:rsidRPr="00593A5F" w:rsidRDefault="004808A2" w:rsidP="004808A2">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2A307F27" w14:textId="3466C118" w:rsidR="004808A2" w:rsidRPr="00593A5F" w:rsidRDefault="00126D22" w:rsidP="004808A2">
      <w:pPr>
        <w:spacing w:line="276" w:lineRule="auto"/>
        <w:jc w:val="center"/>
        <w:rPr>
          <w:rFonts w:ascii="Verdana" w:hAnsi="Verdana" w:cs="Arial"/>
          <w:color w:val="000000"/>
          <w:lang w:val="es-ES_tradnl" w:eastAsia="es-CO"/>
        </w:rPr>
      </w:pPr>
      <w:r>
        <w:rPr>
          <w:noProof/>
        </w:rPr>
        <w:drawing>
          <wp:inline distT="0" distB="0" distL="0" distR="0" wp14:anchorId="650A8657" wp14:editId="5FD0A287">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0"/>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808A2" w:rsidRPr="00593A5F" w14:paraId="7D637B16" w14:textId="77777777" w:rsidTr="004C07B5">
        <w:trPr>
          <w:trHeight w:val="315"/>
        </w:trPr>
        <w:tc>
          <w:tcPr>
            <w:tcW w:w="893" w:type="dxa"/>
            <w:vAlign w:val="center"/>
            <w:hideMark/>
          </w:tcPr>
          <w:p w14:paraId="218ACB91" w14:textId="77777777" w:rsidR="004808A2" w:rsidRPr="003751C7" w:rsidRDefault="004808A2" w:rsidP="004C07B5">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4B04FB1" w14:textId="77777777" w:rsidR="004808A2" w:rsidRPr="00254A7A" w:rsidRDefault="004808A2" w:rsidP="004C07B5">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5AEE2738" w14:textId="77777777" w:rsidR="004808A2" w:rsidRPr="00254A7A" w:rsidRDefault="004808A2" w:rsidP="004C07B5">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4808A2" w:rsidRPr="00593A5F" w14:paraId="41A17205" w14:textId="77777777" w:rsidTr="004C07B5">
        <w:trPr>
          <w:trHeight w:val="330"/>
        </w:trPr>
        <w:tc>
          <w:tcPr>
            <w:tcW w:w="893" w:type="dxa"/>
            <w:vAlign w:val="center"/>
            <w:hideMark/>
          </w:tcPr>
          <w:p w14:paraId="6C7602D6" w14:textId="77777777" w:rsidR="004808A2" w:rsidRPr="003751C7" w:rsidRDefault="004808A2" w:rsidP="004C07B5">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0657B1B9" w14:textId="77777777" w:rsidR="004808A2" w:rsidRPr="000377DD" w:rsidRDefault="004808A2" w:rsidP="004C07B5">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6D49C1EC" w14:textId="77777777" w:rsidR="004808A2" w:rsidRPr="00A40FD0" w:rsidRDefault="004808A2" w:rsidP="004C07B5">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4808A2" w:rsidRPr="00593A5F" w14:paraId="6EDC1FB9" w14:textId="77777777" w:rsidTr="004C07B5">
        <w:trPr>
          <w:trHeight w:val="300"/>
        </w:trPr>
        <w:tc>
          <w:tcPr>
            <w:tcW w:w="893" w:type="dxa"/>
            <w:vAlign w:val="center"/>
          </w:tcPr>
          <w:p w14:paraId="69A00A3F" w14:textId="77777777" w:rsidR="004808A2" w:rsidRPr="003751C7" w:rsidRDefault="004808A2" w:rsidP="004C07B5">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BB60A53" w14:textId="77777777" w:rsidR="004808A2" w:rsidRPr="00FE00BE" w:rsidRDefault="004808A2" w:rsidP="004C07B5">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51B6DA28" w14:textId="77777777" w:rsidR="004808A2" w:rsidRPr="00FE00BE" w:rsidRDefault="004808A2" w:rsidP="004C07B5">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0DB9EB54" w14:textId="77777777" w:rsidR="004808A2" w:rsidRDefault="004808A2" w:rsidP="004808A2"/>
    <w:p w14:paraId="3085B761" w14:textId="09409773" w:rsidR="004808A2" w:rsidRPr="00543BFE" w:rsidRDefault="004808A2" w:rsidP="004808A2"/>
    <w:p w14:paraId="0F293BF4" w14:textId="5BD0E384" w:rsidR="00127233" w:rsidRPr="00A11AA2" w:rsidRDefault="00127233" w:rsidP="00A11AA2"/>
    <w:sectPr w:rsidR="00127233" w:rsidRPr="00A11AA2" w:rsidSect="007C0C0F">
      <w:headerReference w:type="default" r:id="rId21"/>
      <w:footerReference w:type="default" r:id="rId22"/>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90C87" w14:textId="77777777" w:rsidR="00620164" w:rsidRDefault="00620164" w:rsidP="004A1847">
      <w:pPr>
        <w:spacing w:after="0" w:line="240" w:lineRule="auto"/>
      </w:pPr>
      <w:r>
        <w:separator/>
      </w:r>
    </w:p>
  </w:endnote>
  <w:endnote w:type="continuationSeparator" w:id="0">
    <w:p w14:paraId="77C82492" w14:textId="77777777" w:rsidR="00620164" w:rsidRDefault="00620164"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A83D5C"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A83D5C">
      <w:rPr>
        <w:rFonts w:ascii="Verdana" w:eastAsia="Verdana" w:hAnsi="Verdana" w:cs="Verdana"/>
        <w:b/>
        <w:color w:val="000000" w:themeColor="text1"/>
        <w:sz w:val="18"/>
        <w:szCs w:val="18"/>
        <w:lang w:val="pt-BR" w:eastAsia="es-CO"/>
      </w:rPr>
      <w:t xml:space="preserve">Código: </w:t>
    </w:r>
    <w:r w:rsidRPr="00A83D5C">
      <w:rPr>
        <w:rFonts w:ascii="Verdana" w:eastAsia="Verdana" w:hAnsi="Verdana" w:cs="Verdana"/>
        <w:color w:val="000000" w:themeColor="text1"/>
        <w:sz w:val="18"/>
        <w:szCs w:val="18"/>
        <w:lang w:val="pt-BR" w:eastAsia="es-CO"/>
      </w:rPr>
      <w:t xml:space="preserve">CCE-REC-FM-17 </w:t>
    </w:r>
    <w:r w:rsidRPr="00A83D5C">
      <w:rPr>
        <w:rFonts w:ascii="Verdana" w:eastAsia="Verdana" w:hAnsi="Verdana" w:cs="Verdana"/>
        <w:b/>
        <w:color w:val="000000" w:themeColor="text1"/>
        <w:sz w:val="18"/>
        <w:szCs w:val="18"/>
        <w:lang w:val="pt-BR" w:eastAsia="es-CO"/>
      </w:rPr>
      <w:t xml:space="preserve">V: </w:t>
    </w:r>
    <w:r w:rsidRPr="00A83D5C">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0289A" w14:textId="77777777" w:rsidR="00620164" w:rsidRDefault="00620164" w:rsidP="004A1847">
      <w:pPr>
        <w:spacing w:after="0" w:line="240" w:lineRule="auto"/>
      </w:pPr>
      <w:r>
        <w:separator/>
      </w:r>
    </w:p>
  </w:footnote>
  <w:footnote w:type="continuationSeparator" w:id="0">
    <w:p w14:paraId="7AC1877B" w14:textId="77777777" w:rsidR="00620164" w:rsidRDefault="00620164" w:rsidP="004A1847">
      <w:pPr>
        <w:spacing w:after="0" w:line="240" w:lineRule="auto"/>
      </w:pPr>
      <w:r>
        <w:continuationSeparator/>
      </w:r>
    </w:p>
  </w:footnote>
  <w:footnote w:id="1">
    <w:p w14:paraId="188A1E31" w14:textId="77777777" w:rsidR="004808A2" w:rsidRPr="00923899" w:rsidRDefault="004808A2" w:rsidP="004808A2">
      <w:pPr>
        <w:pStyle w:val="Textonotapie"/>
        <w:ind w:firstLine="709"/>
        <w:jc w:val="both"/>
        <w:rPr>
          <w:rFonts w:ascii="Verdana" w:hAnsi="Verdana" w:cs="Arial"/>
          <w:sz w:val="16"/>
          <w:szCs w:val="16"/>
          <w:lang w:val="pt-BR"/>
        </w:rPr>
      </w:pPr>
      <w:r w:rsidRPr="008F607E">
        <w:rPr>
          <w:rStyle w:val="Refdenotaalpie"/>
          <w:rFonts w:ascii="Verdana" w:hAnsi="Verdana" w:cs="Arial"/>
          <w:sz w:val="16"/>
          <w:szCs w:val="16"/>
        </w:rPr>
        <w:footnoteRef/>
      </w:r>
      <w:r w:rsidRPr="00923899">
        <w:rPr>
          <w:rFonts w:ascii="Verdana" w:hAnsi="Verdana" w:cs="Arial"/>
          <w:sz w:val="16"/>
          <w:szCs w:val="16"/>
          <w:lang w:val="pt-BR"/>
        </w:rPr>
        <w:t xml:space="preserve"> </w:t>
      </w:r>
      <w:r w:rsidRPr="008F607E">
        <w:rPr>
          <w:rFonts w:ascii="Verdana" w:hAnsi="Verdana" w:cs="Arial"/>
          <w:sz w:val="16"/>
          <w:szCs w:val="16"/>
          <w:lang w:val="pt-BR"/>
        </w:rPr>
        <w:t>CORTE CONSTITUCIONAL. Sentencia C-1016 de 2012. M.P. Jorge Iván Palacio.</w:t>
      </w:r>
    </w:p>
  </w:footnote>
  <w:footnote w:id="2">
    <w:p w14:paraId="05B506B6" w14:textId="77777777" w:rsidR="004808A2" w:rsidRPr="008F607E" w:rsidRDefault="004808A2" w:rsidP="004808A2">
      <w:pPr>
        <w:pStyle w:val="Textonotapie"/>
        <w:ind w:firstLine="709"/>
        <w:jc w:val="both"/>
        <w:rPr>
          <w:rFonts w:ascii="Verdana" w:hAnsi="Verdana" w:cs="Arial"/>
          <w:sz w:val="16"/>
          <w:szCs w:val="16"/>
          <w:lang w:val="pt-BR"/>
        </w:rPr>
      </w:pPr>
      <w:r w:rsidRPr="008F607E">
        <w:rPr>
          <w:rStyle w:val="Refdenotaalpie"/>
          <w:rFonts w:ascii="Verdana" w:hAnsi="Verdana" w:cs="Arial"/>
          <w:sz w:val="16"/>
          <w:szCs w:val="16"/>
        </w:rPr>
        <w:footnoteRef/>
      </w:r>
      <w:r w:rsidRPr="008F607E">
        <w:rPr>
          <w:rFonts w:ascii="Verdana" w:hAnsi="Verdana" w:cs="Arial"/>
          <w:sz w:val="16"/>
          <w:szCs w:val="16"/>
        </w:rPr>
        <w:t xml:space="preserve"> CONSEJO DE ESTADO. Sección Tercera. Subsección A. Sentencia del 13 de noviembre de 2013. </w:t>
      </w:r>
      <w:r w:rsidRPr="008F607E">
        <w:rPr>
          <w:rFonts w:ascii="Verdana" w:hAnsi="Verdana" w:cs="Arial"/>
          <w:sz w:val="16"/>
          <w:szCs w:val="16"/>
          <w:lang w:val="pt-BR"/>
        </w:rPr>
        <w:t>Rad. 25.646. C.P. Mauricio Fajardo Gómez.</w:t>
      </w:r>
    </w:p>
  </w:footnote>
  <w:footnote w:id="3">
    <w:p w14:paraId="0CCF1D7B" w14:textId="77777777" w:rsidR="004808A2" w:rsidRPr="00923899" w:rsidRDefault="004808A2" w:rsidP="004808A2">
      <w:pPr>
        <w:pStyle w:val="Textonotapie"/>
        <w:ind w:firstLine="709"/>
        <w:jc w:val="both"/>
        <w:rPr>
          <w:rFonts w:ascii="Verdana" w:hAnsi="Verdana" w:cs="Arial"/>
          <w:sz w:val="16"/>
          <w:szCs w:val="16"/>
          <w:lang w:val="pt-BR"/>
        </w:rPr>
      </w:pPr>
      <w:r w:rsidRPr="008F607E">
        <w:rPr>
          <w:rStyle w:val="Refdenotaalpie"/>
          <w:rFonts w:ascii="Verdana" w:hAnsi="Verdana" w:cs="Arial"/>
          <w:sz w:val="16"/>
          <w:szCs w:val="16"/>
        </w:rPr>
        <w:footnoteRef/>
      </w:r>
      <w:r w:rsidRPr="00923899">
        <w:rPr>
          <w:rFonts w:ascii="Verdana" w:hAnsi="Verdana" w:cs="Arial"/>
          <w:sz w:val="16"/>
          <w:szCs w:val="16"/>
          <w:lang w:val="pt-BR"/>
        </w:rPr>
        <w:t xml:space="preserve"> </w:t>
      </w:r>
      <w:r w:rsidRPr="008F607E">
        <w:rPr>
          <w:rFonts w:ascii="Verdana" w:hAnsi="Verdana" w:cs="Arial"/>
          <w:sz w:val="16"/>
          <w:szCs w:val="16"/>
          <w:lang w:val="pt-BR"/>
        </w:rPr>
        <w:t>CORTE CONSTITUCIONAL. Sentencia C-415 de 1994. M.P. Eduardo Cifuentes Muñoz.</w:t>
      </w:r>
    </w:p>
  </w:footnote>
  <w:footnote w:id="4">
    <w:p w14:paraId="00AAB55B" w14:textId="77777777" w:rsidR="004808A2" w:rsidRPr="008F607E" w:rsidRDefault="004808A2" w:rsidP="004808A2">
      <w:pPr>
        <w:pStyle w:val="Textonotapie"/>
        <w:ind w:firstLine="709"/>
        <w:jc w:val="both"/>
        <w:rPr>
          <w:rFonts w:ascii="Verdana" w:hAnsi="Verdana" w:cs="Arial"/>
          <w:sz w:val="16"/>
          <w:szCs w:val="16"/>
          <w:lang w:val="pt-BR"/>
        </w:rPr>
      </w:pPr>
      <w:r w:rsidRPr="008F607E">
        <w:rPr>
          <w:rStyle w:val="Refdenotaalpie"/>
          <w:rFonts w:ascii="Verdana" w:hAnsi="Verdana" w:cs="Arial"/>
          <w:sz w:val="16"/>
          <w:szCs w:val="16"/>
        </w:rPr>
        <w:footnoteRef/>
      </w:r>
      <w:r w:rsidRPr="00923899">
        <w:rPr>
          <w:rFonts w:ascii="Verdana" w:hAnsi="Verdana" w:cs="Arial"/>
          <w:sz w:val="16"/>
          <w:szCs w:val="16"/>
          <w:lang w:val="pt-BR"/>
        </w:rPr>
        <w:t xml:space="preserve"> </w:t>
      </w:r>
      <w:r w:rsidRPr="008F607E">
        <w:rPr>
          <w:rFonts w:ascii="Verdana" w:hAnsi="Verdana" w:cs="Arial"/>
          <w:sz w:val="16"/>
          <w:szCs w:val="16"/>
          <w:lang w:val="pt-BR"/>
        </w:rPr>
        <w:t>Ibídem.</w:t>
      </w:r>
    </w:p>
  </w:footnote>
  <w:footnote w:id="5">
    <w:p w14:paraId="2FFC03FB" w14:textId="77777777" w:rsidR="004808A2" w:rsidRPr="008F607E" w:rsidRDefault="004808A2" w:rsidP="004808A2">
      <w:pPr>
        <w:pStyle w:val="Textonotapie"/>
        <w:ind w:firstLine="709"/>
        <w:jc w:val="both"/>
        <w:rPr>
          <w:rFonts w:ascii="Verdana" w:hAnsi="Verdana" w:cs="Arial"/>
          <w:sz w:val="16"/>
          <w:szCs w:val="16"/>
          <w:lang w:val="es-CO"/>
        </w:rPr>
      </w:pPr>
      <w:r w:rsidRPr="008F607E">
        <w:rPr>
          <w:rStyle w:val="Refdenotaalpie"/>
          <w:rFonts w:ascii="Verdana" w:hAnsi="Verdana" w:cs="Arial"/>
          <w:sz w:val="16"/>
          <w:szCs w:val="16"/>
        </w:rPr>
        <w:footnoteRef/>
      </w:r>
      <w:r w:rsidRPr="00923899">
        <w:rPr>
          <w:rFonts w:ascii="Verdana" w:hAnsi="Verdana" w:cs="Arial"/>
          <w:sz w:val="16"/>
          <w:szCs w:val="16"/>
          <w:lang w:val="pt-BR"/>
        </w:rPr>
        <w:t xml:space="preserve"> </w:t>
      </w:r>
      <w:r w:rsidRPr="008F607E">
        <w:rPr>
          <w:rFonts w:ascii="Verdana" w:hAnsi="Verdana" w:cs="Arial"/>
          <w:sz w:val="16"/>
          <w:szCs w:val="16"/>
          <w:lang w:val="pt-BR"/>
        </w:rPr>
        <w:t xml:space="preserve">CORTE CONSTITUCIONAL. </w:t>
      </w:r>
      <w:r w:rsidRPr="008F607E">
        <w:rPr>
          <w:rFonts w:ascii="Verdana" w:hAnsi="Verdana" w:cs="Arial"/>
          <w:sz w:val="16"/>
          <w:szCs w:val="16"/>
        </w:rPr>
        <w:t xml:space="preserve">Sentencia C-780 de 2001. </w:t>
      </w:r>
      <w:r w:rsidRPr="008F607E">
        <w:rPr>
          <w:rFonts w:ascii="Verdana" w:hAnsi="Verdana" w:cs="Arial"/>
          <w:sz w:val="16"/>
          <w:szCs w:val="16"/>
          <w:lang w:val="es-CO"/>
        </w:rPr>
        <w:t xml:space="preserve">M.P. Jaime Córdoba Triviño. </w:t>
      </w:r>
    </w:p>
  </w:footnote>
  <w:footnote w:id="6">
    <w:p w14:paraId="72317632"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eastAsiaTheme="minorHAnsi" w:hAnsi="Verdana" w:cs="Arial"/>
          <w:sz w:val="16"/>
          <w:szCs w:val="16"/>
          <w:lang w:val="es-ES" w:eastAsia="en-US"/>
        </w:rPr>
        <w:t>Ley 80 de 1993: “Artículo 8: 1o. Son inhábiles para participar en licitaciones o concursos y para celebrar contratos con las entidades estatales: </w:t>
      </w:r>
    </w:p>
    <w:p w14:paraId="6E90427A"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a) Las personas que se hallen inhabilitadas para contratar por la Constitución y las leyes. </w:t>
      </w:r>
    </w:p>
    <w:p w14:paraId="2F53308B"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b) Quienes participaron en las licitaciones o concursos o celebraron los contratos de que trata el literal anterior estando inhabilitados. </w:t>
      </w:r>
    </w:p>
    <w:p w14:paraId="2579FF77"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c) Quienes dieron lugar a la declaratoria de caducidad. </w:t>
      </w:r>
    </w:p>
    <w:p w14:paraId="544A5032"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d) Quienes en sentencia judicial hayan sido condenados a la pena accesoria de interdicción de derechos y funciones públicas y quienes hayan sido sancionados disciplinariamente con destitución. </w:t>
      </w:r>
    </w:p>
    <w:p w14:paraId="41F37172"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e) Quienes sin justa causa se abstengan de suscribir el contrato estatal adjudicado. </w:t>
      </w:r>
    </w:p>
    <w:p w14:paraId="3353EFBE"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f) Los servidores públicos. </w:t>
      </w:r>
    </w:p>
    <w:p w14:paraId="362110E2"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g) Quienes sean cónyuges o compañeros permanentes y quienes se encuentren dentro del segundo grado de consanguinidad o segundo de afinidad con cualquier otra persona que formalmente haya presentado propuesta para una misma licitación o concurso. </w:t>
      </w:r>
    </w:p>
    <w:p w14:paraId="2D91852B"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42AE9F02"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i) Los socios de sociedades de personas a las cuales se haya declarado la caducidad, así como las sociedades de personas de las que aquellos formen parte con posterioridad a dicha declaratoria. </w:t>
      </w:r>
    </w:p>
    <w:p w14:paraId="4016E824"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  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49D493CE"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7B3720CC"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w:t>
      </w:r>
      <w:r w:rsidRPr="008F607E">
        <w:rPr>
          <w:rFonts w:ascii="Verdana" w:eastAsiaTheme="minorHAnsi" w:hAnsi="Verdana" w:cs="Arial"/>
          <w:sz w:val="16"/>
          <w:szCs w:val="16"/>
          <w:lang w:val="es-ES" w:eastAsia="en-US"/>
        </w:rPr>
        <w:softHyphen/>
        <w:t>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w:t>
      </w:r>
      <w:r w:rsidRPr="008F607E">
        <w:rPr>
          <w:rFonts w:ascii="Verdana" w:eastAsiaTheme="minorHAnsi" w:hAnsi="Verdana" w:cs="Arial"/>
          <w:sz w:val="16"/>
          <w:szCs w:val="16"/>
          <w:lang w:val="es-ES" w:eastAsia="en-US"/>
        </w:rPr>
        <w:softHyphen/>
        <w:t>cepción de las sociedades anónimas abiertas. También se considerarán inhabilitadas para contratar, las personas jurídicas sobre las cuales se haya ordenado la suspensión de la perso</w:t>
      </w:r>
      <w:r w:rsidRPr="008F607E">
        <w:rPr>
          <w:rFonts w:ascii="Verdana" w:eastAsiaTheme="minorHAnsi" w:hAnsi="Verdana" w:cs="Arial"/>
          <w:sz w:val="16"/>
          <w:szCs w:val="16"/>
          <w:lang w:val="es-ES" w:eastAsia="en-US"/>
        </w:rPr>
        <w:softHyphen/>
        <w:t>nería jurídica en los términos de ley, o cuyos representantes legales, ad</w:t>
      </w:r>
      <w:r w:rsidRPr="008F607E">
        <w:rPr>
          <w:rFonts w:ascii="Verdana" w:eastAsiaTheme="minorHAnsi" w:hAnsi="Verdana" w:cs="Arial"/>
          <w:sz w:val="16"/>
          <w:szCs w:val="16"/>
          <w:lang w:val="es-ES" w:eastAsia="en-US"/>
        </w:rPr>
        <w:softHyphen/>
        <w:t>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w:t>
      </w:r>
      <w:r w:rsidRPr="008F607E">
        <w:rPr>
          <w:rFonts w:ascii="Verdana" w:eastAsiaTheme="minorHAnsi" w:hAnsi="Verdana" w:cs="Arial"/>
          <w:sz w:val="16"/>
          <w:szCs w:val="16"/>
          <w:lang w:val="es-ES" w:eastAsia="en-US"/>
        </w:rPr>
        <w:softHyphen/>
        <w:t>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0CF21F95"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w:t>
      </w:r>
    </w:p>
    <w:p w14:paraId="3FB25924" w14:textId="77777777" w:rsidR="004808A2" w:rsidRPr="008F607E" w:rsidRDefault="004808A2" w:rsidP="004808A2">
      <w:pPr>
        <w:pStyle w:val="NormalWeb"/>
        <w:spacing w:before="0" w:beforeAutospacing="0" w:after="0" w:afterAutospacing="0"/>
        <w:ind w:firstLine="709"/>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2o. Tampoco podrán participar en licitaciones o concursos ni celebrar contratos estatales con la entidad respectiva: </w:t>
      </w:r>
    </w:p>
    <w:p w14:paraId="381294E4"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3BE6CE5D"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20878FF7"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c) El cónyuge, compañero o compañera permanente del servidor público en los niveles directivo, asesor, ejecutivo, o de un miembro de la junta o consejo directivo, o de quien ejerza funciones de control interno o de control fiscal. </w:t>
      </w:r>
    </w:p>
    <w:p w14:paraId="0BAAC9D4"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320D8E5A"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e) Los miembros de las juntas o consejos directivos. Esta incompatibilidad sólo se predica respecto de la entidad a la cual prestan sus servicios y de las del sector administrativo al que la misma esté adscrita o vinculada. </w:t>
      </w:r>
    </w:p>
    <w:p w14:paraId="4D1ADF59" w14:textId="77777777" w:rsidR="004808A2" w:rsidRPr="008F607E" w:rsidRDefault="004808A2" w:rsidP="004808A2">
      <w:pPr>
        <w:pStyle w:val="NormalWeb"/>
        <w:spacing w:before="0" w:beforeAutospacing="0" w:after="0" w:afterAutospacing="0"/>
        <w:ind w:firstLine="708"/>
        <w:jc w:val="both"/>
        <w:rPr>
          <w:rFonts w:ascii="Verdana" w:eastAsiaTheme="minorHAnsi" w:hAnsi="Verdana" w:cs="Arial"/>
          <w:sz w:val="16"/>
          <w:szCs w:val="16"/>
          <w:lang w:val="es-ES" w:eastAsia="en-US"/>
        </w:rPr>
      </w:pPr>
      <w:r w:rsidRPr="008F607E">
        <w:rPr>
          <w:rFonts w:ascii="Verdana" w:eastAsiaTheme="minorHAnsi" w:hAnsi="Verdana" w:cs="Arial"/>
          <w:sz w:val="16"/>
          <w:szCs w:val="16"/>
          <w:lang w:val="es-ES" w:eastAsia="en-US"/>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7">
    <w:p w14:paraId="1AF72C35" w14:textId="77777777" w:rsidR="004808A2" w:rsidRPr="008F607E" w:rsidRDefault="004808A2" w:rsidP="004808A2">
      <w:pPr>
        <w:pStyle w:val="Textonotapie"/>
        <w:ind w:firstLine="709"/>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Ley 80 de 1993: “Artículo 6. De la capacidad para contratar. Pueden celebrar contratos con las entidades estatales las personas consideradas legalmente capaces en las disposiciones vigentes. También podrán celebrar contratos con las entidades estatales, los consorcios y uniones temporales.</w:t>
      </w:r>
    </w:p>
    <w:p w14:paraId="17679CB0" w14:textId="77777777" w:rsidR="004808A2" w:rsidRPr="008F607E" w:rsidRDefault="004808A2" w:rsidP="004808A2">
      <w:pPr>
        <w:pStyle w:val="Textonotapie"/>
        <w:ind w:firstLine="709"/>
        <w:jc w:val="both"/>
        <w:rPr>
          <w:rFonts w:ascii="Verdana" w:hAnsi="Verdana" w:cs="Arial"/>
          <w:sz w:val="16"/>
          <w:szCs w:val="16"/>
        </w:rPr>
      </w:pPr>
      <w:r w:rsidRPr="008F607E">
        <w:rPr>
          <w:rFonts w:ascii="Verdana" w:hAnsi="Verdana" w:cs="Arial"/>
          <w:sz w:val="16"/>
          <w:szCs w:val="16"/>
        </w:rPr>
        <w:t>Las personas jurídicas nacionales y extranjeras deberán acreditar que su duración no será inferior a la del plazo del contrato y un año más”.</w:t>
      </w:r>
    </w:p>
  </w:footnote>
  <w:footnote w:id="8">
    <w:p w14:paraId="7CF2BE96" w14:textId="77777777" w:rsidR="004808A2" w:rsidRPr="008F607E" w:rsidRDefault="004808A2" w:rsidP="004808A2">
      <w:pPr>
        <w:pStyle w:val="Textonotapie"/>
        <w:ind w:firstLine="709"/>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Código Civil: “Artículo 1502. Requisitos para obligarse. Para que una persona se obligue a otra por un acto o declaración de voluntad, es necesario:</w:t>
      </w:r>
    </w:p>
    <w:p w14:paraId="0786789B" w14:textId="77777777" w:rsidR="004808A2" w:rsidRPr="008F607E" w:rsidRDefault="004808A2" w:rsidP="004808A2">
      <w:pPr>
        <w:pStyle w:val="Textonotapie"/>
        <w:ind w:firstLine="709"/>
        <w:jc w:val="both"/>
        <w:rPr>
          <w:rFonts w:ascii="Verdana" w:hAnsi="Verdana" w:cs="Arial"/>
          <w:sz w:val="16"/>
          <w:szCs w:val="16"/>
        </w:rPr>
      </w:pPr>
      <w:r w:rsidRPr="008F607E">
        <w:rPr>
          <w:rFonts w:ascii="Verdana" w:hAnsi="Verdana" w:cs="Arial"/>
          <w:sz w:val="16"/>
          <w:szCs w:val="16"/>
        </w:rPr>
        <w:t>1o.) que sea legalmente capaz.</w:t>
      </w:r>
    </w:p>
    <w:p w14:paraId="4CCD8C61" w14:textId="77777777" w:rsidR="004808A2" w:rsidRPr="008F607E" w:rsidRDefault="004808A2" w:rsidP="004808A2">
      <w:pPr>
        <w:pStyle w:val="Textonotapie"/>
        <w:ind w:firstLine="709"/>
        <w:jc w:val="both"/>
        <w:rPr>
          <w:rFonts w:ascii="Verdana" w:hAnsi="Verdana" w:cs="Arial"/>
          <w:sz w:val="16"/>
          <w:szCs w:val="16"/>
        </w:rPr>
      </w:pPr>
      <w:r w:rsidRPr="008F607E">
        <w:rPr>
          <w:rFonts w:ascii="Verdana" w:hAnsi="Verdana" w:cs="Arial"/>
          <w:sz w:val="16"/>
          <w:szCs w:val="16"/>
        </w:rPr>
        <w:t>[…]</w:t>
      </w:r>
    </w:p>
    <w:p w14:paraId="048F3651" w14:textId="77777777" w:rsidR="004808A2" w:rsidRPr="008F607E" w:rsidRDefault="004808A2" w:rsidP="004808A2">
      <w:pPr>
        <w:pStyle w:val="Textonotapie"/>
        <w:ind w:firstLine="709"/>
        <w:jc w:val="both"/>
        <w:rPr>
          <w:rFonts w:ascii="Verdana" w:hAnsi="Verdana" w:cs="Arial"/>
          <w:sz w:val="16"/>
          <w:szCs w:val="16"/>
        </w:rPr>
      </w:pPr>
      <w:r w:rsidRPr="008F607E">
        <w:rPr>
          <w:rFonts w:ascii="Verdana" w:hAnsi="Verdana" w:cs="Arial"/>
          <w:sz w:val="16"/>
          <w:szCs w:val="16"/>
        </w:rPr>
        <w:t>La capacidad legal de una persona consiste en poderse obligar por sí misma, sin el ministerio o la autorización de otra”.</w:t>
      </w:r>
    </w:p>
  </w:footnote>
  <w:footnote w:id="9">
    <w:p w14:paraId="05236313" w14:textId="77777777" w:rsidR="004808A2" w:rsidRPr="008F607E" w:rsidRDefault="004808A2" w:rsidP="004808A2">
      <w:pPr>
        <w:pStyle w:val="Textonotapie"/>
        <w:ind w:firstLine="709"/>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Decreto Ley 19 de 2012: “Artículo 221. El artículo 6 de la Ley 1150 de 2007, quedará así:</w:t>
      </w:r>
    </w:p>
    <w:p w14:paraId="399C725F" w14:textId="77777777" w:rsidR="004808A2" w:rsidRPr="008F607E" w:rsidRDefault="004808A2" w:rsidP="004808A2">
      <w:pPr>
        <w:pStyle w:val="Textonotapie"/>
        <w:ind w:firstLine="709"/>
        <w:jc w:val="both"/>
        <w:rPr>
          <w:rFonts w:ascii="Verdana" w:hAnsi="Verdana" w:cs="Arial"/>
          <w:sz w:val="16"/>
          <w:szCs w:val="16"/>
          <w:lang w:val="es-ES"/>
        </w:rPr>
      </w:pPr>
      <w:r w:rsidRPr="008F607E">
        <w:rPr>
          <w:rFonts w:ascii="Verdana" w:hAnsi="Verdana" w:cs="Arial"/>
          <w:sz w:val="16"/>
          <w:szCs w:val="16"/>
        </w:rPr>
        <w:t>Artículo 6. De la verificación de las condiciones de los proponentes. T</w:t>
      </w:r>
      <w:r w:rsidRPr="008F607E">
        <w:rPr>
          <w:rFonts w:ascii="Verdana" w:hAnsi="Verdana" w:cs="Arial"/>
          <w:sz w:val="16"/>
          <w:szCs w:val="16"/>
          <w:lang w:val="es-ES"/>
        </w:rPr>
        <w: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41DC6F44" w14:textId="77777777" w:rsidR="004808A2" w:rsidRPr="008F607E" w:rsidRDefault="004808A2" w:rsidP="004808A2">
      <w:pPr>
        <w:pStyle w:val="Textonotapie"/>
        <w:ind w:firstLine="709"/>
        <w:jc w:val="both"/>
        <w:rPr>
          <w:rFonts w:ascii="Verdana" w:hAnsi="Verdana" w:cs="Arial"/>
          <w:sz w:val="16"/>
          <w:szCs w:val="16"/>
          <w:lang w:val="es-ES"/>
        </w:rPr>
      </w:pPr>
      <w:r w:rsidRPr="008F607E">
        <w:rPr>
          <w:rFonts w:ascii="Verdana" w:hAnsi="Verdana" w:cs="Arial"/>
          <w:sz w:val="16"/>
          <w:szCs w:val="16"/>
          <w:lang w:val="es-ES"/>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footnote>
  <w:footnote w:id="10">
    <w:p w14:paraId="40A56BDB"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 xml:space="preserve">En tal sentido, José Luis Benavides comenta que “Aunque la mayoría de las reglas limitativas de la responsabilidad contractual se aplican a la administración, existen también algunas restricciones importantes a la capacidad de los contratistas: </w:t>
      </w:r>
      <w:r w:rsidRPr="008F607E">
        <w:rPr>
          <w:rFonts w:ascii="Verdana" w:hAnsi="Verdana" w:cs="Arial"/>
          <w:i/>
          <w:iCs/>
          <w:sz w:val="16"/>
          <w:szCs w:val="16"/>
          <w:lang w:val="es-ES"/>
        </w:rPr>
        <w:t>el régimen de inhabilidades e incompatibilidades</w:t>
      </w:r>
      <w:r w:rsidRPr="008F607E">
        <w:rPr>
          <w:rFonts w:ascii="Verdana" w:hAnsi="Verdana" w:cs="Arial"/>
          <w:sz w:val="16"/>
          <w:szCs w:val="16"/>
          <w:lang w:val="es-ES"/>
        </w:rPr>
        <w:t xml:space="preserve"> (1) y la obligación de ciertos proponentes de inscribirse en el </w:t>
      </w:r>
      <w:r w:rsidRPr="008F607E">
        <w:rPr>
          <w:rFonts w:ascii="Verdana" w:hAnsi="Verdana" w:cs="Arial"/>
          <w:i/>
          <w:iCs/>
          <w:sz w:val="16"/>
          <w:szCs w:val="16"/>
          <w:lang w:val="es-ES"/>
        </w:rPr>
        <w:t>registro único</w:t>
      </w:r>
      <w:r w:rsidRPr="008F607E">
        <w:rPr>
          <w:rFonts w:ascii="Verdana" w:hAnsi="Verdana" w:cs="Arial"/>
          <w:sz w:val="16"/>
          <w:szCs w:val="16"/>
          <w:lang w:val="es-ES"/>
        </w:rPr>
        <w:t xml:space="preserve"> (2)” (BENAVIDES, José Luis. El contrato estatal. Entre el Derecho público y el Derecho privado. 2ª ed. Bogotá: Universidad Externado de Colombia, 2004. p. 278). </w:t>
      </w:r>
    </w:p>
  </w:footnote>
  <w:footnote w:id="11">
    <w:p w14:paraId="25277678" w14:textId="77777777" w:rsidR="004808A2" w:rsidRPr="008F607E" w:rsidRDefault="004808A2" w:rsidP="004808A2">
      <w:pPr>
        <w:spacing w:after="0" w:line="240" w:lineRule="auto"/>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Son inhabilidades que responden a esta circunstancia, entre otras, las siguientes: “Quienes participaron en las licitaciones o celebraron los contratos de que trata el literal anterior estando inhabilitados” (art. 8, num. 1º, lit. b, Ley 80/93); “Quienes dieron lugar a la declaratoria de caducidad” (art. 8, num. 1º, lit. c), Ley 80/93); “Quienes en sentencia judicial hayan sido condenados a la pena accesoria de interdicción de derechos y funciones públicas y quienes hayan sido sancionados disciplinariamente con destitución” (art. 8, num. 1º, lit. d), Ley 80/93); “Quienes sin justa causa se abstengan de suscribir el contrato estatal adjudicado” (art. 8, num. 1º, lit. e), Ley 80/93); “i) Los socios de sociedades de personas a las cuales se haya declarado la caducidad, así como las sociedades de personas de las que aquellos formen parte con posterioridad a dicha declaratoria” (art. 8, num. 1º, lit. i), Ley 80/93);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(art. 8, num. 1º, lit. j), Ley 80/93);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(art. 8, num. 1º, lit. k), Ley 80/93); “Haber sido objeto de imposición de cinco (5) o más multas durante la ejecución de uno o varios contratos, con una o varias entidades estatales, durante los últimos tres (3) años; […] Haber sido objeto de declaratorias de incumplimiento contractual en por lo menos dos (2) contratos, con una o varias entidades estatales, durante los últimos tres (3) años; […] Haber sido objeto de imposición de dos (2) multas y un (1) incumplimiento durante una misma vigencia fiscal, con una o varias entidades estatales” (art. 90, lit. a), b) y c), Ley 1474/11, modificado por el art. 43, Ley 1955/19.</w:t>
      </w:r>
    </w:p>
  </w:footnote>
  <w:footnote w:id="12">
    <w:p w14:paraId="75F89F20"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Por ejemplo, a título enunciativo, las siguientes: “Quienes sean cónyuges o compañeros permanentes y quienes se encuentren dentro del segundo grado de consanguinidad o segundo de afinidad con cualquier otra persona que formalmente haya presentado propuesta para una misma licitación” (art. 8, num. 1º, lit. g), Ley 80/93);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(art. 8, num. 1º, lit. h), Ley 80/93);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(art. 8, num. 2º, lit. b), Ley 80/93); “El cónyuge, compañero o compañera permanente del servidor público en los niveles directivo, asesor, ejecutivo, o de un miembro de la junta o consejo directivo, o de quien ejerza funciones de control interno o de control fiscal” (art. 8, num. 2º, lit. c),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w:t>
      </w:r>
    </w:p>
  </w:footnote>
  <w:footnote w:id="13">
    <w:p w14:paraId="5DFD7E0B"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Verbigracia, entre otras, las que se indican a continuación: “Las personas naturales o jurídicas que hayan financiado campañas políticas a la Presidencia de la República, a las gobernaciones, a las alcaldías o al Congreso de la República, con aportes superiores al dos por ciento (2.0%)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 (art. 8, num. 1º, lit. k), Ley 80/93, modificado por el art. 33, Ley 1778/16); “Quienes fueron miembros de la junta o consejo directivo o servidores públicos de la entidad contratante” (art. 8, num. 2º, lit. a), Ley 80/93);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(art. 8, num. 2º, lit. f), Ley 80/93, adicionado por el art. 4º, Ley 1474/2011).</w:t>
      </w:r>
    </w:p>
  </w:footnote>
  <w:footnote w:id="14">
    <w:p w14:paraId="60D949BB" w14:textId="77777777" w:rsidR="004808A2" w:rsidRPr="008F607E" w:rsidRDefault="004808A2" w:rsidP="004808A2">
      <w:pPr>
        <w:spacing w:after="0" w:line="240" w:lineRule="auto"/>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 xml:space="preserve">Como las señaladas a continuación: “Los servidores públicos” (art. 8, num. 1º, lit. f),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 “Los miembros de las juntas o consejos directivos. Esta incompatibilidad sólo se predica respecto de la entidad a la cual prestan sus servicios y de las del sector administrativo al que la misma esté adscrita o vinculada” (art. 8, num. 2º, lit. e), Ley 80/93); “Quien haya celebrado un contrato estatal de obra pública, de concesión, suministro de medicamentos y de alimentos o su cónyuge, compañero o compañera permanente, pariente hasta el segundo grado de consaguinidad, segundo de afinidad y/o primero civil o sus socios en sociedades distintas de las anónimas abiertas, con las entidades a que se refiere el artículo 2o de la Ley 80 de 1993, durante el plazo de ejecución y hasta la liquidación del mismo, no podrán celebrar contratos de interventoría con la misma entidad” (art. 5, Ley 1474/11). </w:t>
      </w:r>
    </w:p>
  </w:footnote>
  <w:footnote w:id="15">
    <w:p w14:paraId="0AEE6DB1" w14:textId="77777777" w:rsidR="004808A2" w:rsidRPr="008F607E" w:rsidRDefault="004808A2" w:rsidP="004808A2">
      <w:pPr>
        <w:pStyle w:val="Textonotapie"/>
        <w:ind w:firstLine="709"/>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En esta línea Dávila Vinueza Expresa: “El legislador para calificar estas prohibiciones emplea dos vocablos: Inhabilidades o incompatibilidades, los cuales en un examen desprevenido podrían sugerir ideas diferentes y en consecuencia, efectos también distintos. Sin embargo, se trata de conceptos que no producen distinciones más allá de las puramente semánticas. En nada afecta el calificar una causal con denominación diferente a la empleada en el texto legal, cuando mucho se criticará la falta de precisión. Ello es así por cuanto los efectos jurídicos que se general para una y otra son exactamente los mismos. Incluso se podría afirmar que ante la semejanza de las figuras, conviene emplear un único vocablo, con lo cual serían innecesarias los intentos y las elucubraciones y explicaciones, algunas novedosas que podrían ensayarse”. (DÁVILA VINUEZA, Luis Guillermo. Régimen jurídico de la contratación estatal. 3ª ed. Bogotá: Legis, 2016. p. 148).</w:t>
      </w:r>
    </w:p>
  </w:footnote>
  <w:footnote w:id="16">
    <w:p w14:paraId="77F2E235"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BARRETO ROZO, Antonio Alejandro. Inhabilidades de la contratación estatal, efectos y neopunitivismo en el Estatuto Anticorrupción. En: ALVIAR GARCÍA, Helena (Coordinadora). Nuevas tendencias del Derecho administrativo. Bogotá: Universidad de los Andes; Temis, 2016. pp. 63-99.</w:t>
      </w:r>
    </w:p>
  </w:footnote>
  <w:footnote w:id="17">
    <w:p w14:paraId="3BDD1353"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Ibídem. p. 69.</w:t>
      </w:r>
    </w:p>
  </w:footnote>
  <w:footnote w:id="18">
    <w:p w14:paraId="2B3B2B99"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 xml:space="preserve">CORTE CONSTITUCIONAL. Sentencia T-1039 de 2006. M.P. Humberto Sierra Porto. La Corte Constitucional ha mantenido este criterio en las sentencias: C-903 de 2008. M.P. Jaime Araujo Rentería; C-101 de 2018. M.P. Gloria Stella Ortiz Delgado; entre otras. </w:t>
      </w:r>
    </w:p>
  </w:footnote>
  <w:footnote w:id="19">
    <w:p w14:paraId="18045B42" w14:textId="77777777" w:rsidR="004808A2" w:rsidRPr="008F607E" w:rsidRDefault="004808A2" w:rsidP="004808A2">
      <w:pPr>
        <w:pStyle w:val="Textonotapie"/>
        <w:ind w:firstLine="709"/>
        <w:jc w:val="both"/>
        <w:rPr>
          <w:rFonts w:ascii="Verdana" w:hAnsi="Verdana" w:cs="Arial"/>
          <w:sz w:val="16"/>
          <w:szCs w:val="16"/>
          <w:lang w:val="es-ES"/>
        </w:rPr>
      </w:pPr>
      <w:r w:rsidRPr="008F607E">
        <w:rPr>
          <w:rStyle w:val="Refdenotaalpie"/>
          <w:rFonts w:ascii="Verdana" w:hAnsi="Verdana" w:cs="Arial"/>
          <w:sz w:val="16"/>
          <w:szCs w:val="16"/>
        </w:rPr>
        <w:footnoteRef/>
      </w:r>
      <w:r w:rsidRPr="008F607E">
        <w:rPr>
          <w:rFonts w:ascii="Verdana" w:hAnsi="Verdana" w:cs="Arial"/>
          <w:sz w:val="16"/>
          <w:szCs w:val="16"/>
        </w:rPr>
        <w:t xml:space="preserve"> </w:t>
      </w:r>
      <w:r w:rsidRPr="008F607E">
        <w:rPr>
          <w:rFonts w:ascii="Verdana" w:hAnsi="Verdana" w:cs="Arial"/>
          <w:sz w:val="16"/>
          <w:szCs w:val="16"/>
          <w:lang w:val="es-ES"/>
        </w:rPr>
        <w:t>CONSEJO DE ESTADO. Sala de Consulta y Servicio Civil. Concepto del 30 de abril de 2015. Exp. 2251. C.P. Álvaro Namén Vargas.</w:t>
      </w:r>
    </w:p>
  </w:footnote>
  <w:footnote w:id="20">
    <w:p w14:paraId="7A2DC22C" w14:textId="77777777" w:rsidR="004808A2" w:rsidRPr="008F607E" w:rsidRDefault="004808A2" w:rsidP="004808A2">
      <w:pPr>
        <w:pStyle w:val="Textonotapie"/>
        <w:ind w:firstLine="709"/>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CONSEJO DE ESTADO. Sección Tercera. Subsección A. Sentencia del 24 de junio de 2015. Exp. 40.635. C.P. Hernán Andrade Rincón (E).</w:t>
      </w:r>
    </w:p>
  </w:footnote>
  <w:footnote w:id="21">
    <w:p w14:paraId="487F11F6" w14:textId="77777777" w:rsidR="004808A2" w:rsidRPr="008F607E" w:rsidRDefault="004808A2" w:rsidP="004808A2">
      <w:pPr>
        <w:pStyle w:val="Textonotapie"/>
        <w:ind w:firstLine="709"/>
        <w:jc w:val="both"/>
        <w:rPr>
          <w:rFonts w:ascii="Verdana" w:hAnsi="Verdana" w:cs="Arial"/>
          <w:sz w:val="16"/>
          <w:szCs w:val="16"/>
          <w:lang w:val="es-ES_tradnl"/>
        </w:rPr>
      </w:pPr>
      <w:r w:rsidRPr="008F607E">
        <w:rPr>
          <w:rStyle w:val="Refdenotaalpie"/>
          <w:rFonts w:ascii="Verdana" w:hAnsi="Verdana" w:cs="Arial"/>
          <w:sz w:val="16"/>
          <w:szCs w:val="16"/>
        </w:rPr>
        <w:footnoteRef/>
      </w:r>
      <w:r w:rsidRPr="008F607E">
        <w:rPr>
          <w:rFonts w:ascii="Verdana" w:hAnsi="Verdana" w:cs="Arial"/>
          <w:sz w:val="16"/>
          <w:szCs w:val="16"/>
        </w:rPr>
        <w:t xml:space="preserve"> CONSEJO DE ESTADO. Sección Tercera. Subsección C. Sentencia del 22 de mayo de 2013. Rad. 24.057. C.P. Olga Mélida Valle De De La Hoz. </w:t>
      </w:r>
    </w:p>
  </w:footnote>
  <w:footnote w:id="22">
    <w:p w14:paraId="4DE0ED7F" w14:textId="77777777" w:rsidR="004808A2" w:rsidRPr="008F607E" w:rsidRDefault="004808A2" w:rsidP="004808A2">
      <w:pPr>
        <w:pStyle w:val="Textonotapie"/>
        <w:ind w:firstLine="709"/>
        <w:jc w:val="both"/>
        <w:rPr>
          <w:rFonts w:ascii="Verdana" w:hAnsi="Verdana" w:cs="Arial"/>
          <w:sz w:val="16"/>
          <w:szCs w:val="16"/>
          <w:lang w:val="pt-BR"/>
        </w:rPr>
      </w:pPr>
      <w:r w:rsidRPr="008F607E">
        <w:rPr>
          <w:rStyle w:val="Refdenotaalpie"/>
          <w:rFonts w:ascii="Verdana" w:hAnsi="Verdana" w:cs="Arial"/>
          <w:sz w:val="16"/>
          <w:szCs w:val="16"/>
        </w:rPr>
        <w:footnoteRef/>
      </w:r>
      <w:r w:rsidRPr="00923899">
        <w:rPr>
          <w:rFonts w:ascii="Verdana" w:hAnsi="Verdana" w:cs="Arial"/>
          <w:sz w:val="16"/>
          <w:szCs w:val="16"/>
          <w:lang w:val="pt-BR"/>
        </w:rPr>
        <w:t xml:space="preserve"> </w:t>
      </w:r>
      <w:r w:rsidRPr="008F607E">
        <w:rPr>
          <w:rFonts w:ascii="Verdana" w:hAnsi="Verdana" w:cs="Arial"/>
          <w:sz w:val="16"/>
          <w:szCs w:val="16"/>
          <w:lang w:val="pt-BR"/>
        </w:rPr>
        <w:t>Corte Constitucional. Sentencia C-415 de 1994. M.P. Eduardo Cifuentes Muñoz.</w:t>
      </w:r>
    </w:p>
  </w:footnote>
  <w:footnote w:id="23">
    <w:p w14:paraId="490406E4" w14:textId="77777777" w:rsidR="004808A2" w:rsidRPr="008F607E" w:rsidRDefault="004808A2" w:rsidP="004808A2">
      <w:pPr>
        <w:pStyle w:val="Textonotapie"/>
        <w:ind w:firstLine="708"/>
        <w:jc w:val="both"/>
        <w:rPr>
          <w:rFonts w:ascii="Verdana" w:hAnsi="Verdana"/>
          <w:sz w:val="16"/>
          <w:szCs w:val="16"/>
        </w:rPr>
      </w:pPr>
      <w:r w:rsidRPr="008F607E">
        <w:rPr>
          <w:rStyle w:val="Refdenotaalpie"/>
          <w:rFonts w:ascii="Verdana" w:hAnsi="Verdana"/>
          <w:sz w:val="16"/>
          <w:szCs w:val="16"/>
        </w:rPr>
        <w:footnoteRef/>
      </w:r>
      <w:r w:rsidRPr="00923899">
        <w:rPr>
          <w:rFonts w:ascii="Verdana" w:hAnsi="Verdana"/>
          <w:sz w:val="16"/>
          <w:szCs w:val="16"/>
          <w:lang w:val="pt-BR"/>
        </w:rPr>
        <w:t xml:space="preserve"> CORTE CONSTITUCIONAL. </w:t>
      </w:r>
      <w:r w:rsidRPr="008F607E">
        <w:rPr>
          <w:rFonts w:ascii="Verdana" w:hAnsi="Verdana"/>
          <w:sz w:val="16"/>
          <w:szCs w:val="16"/>
        </w:rPr>
        <w:t>Sentencia C-353 de 2009. M.P. Jorge Iván Palacio Palacio.</w:t>
      </w:r>
    </w:p>
  </w:footnote>
  <w:footnote w:id="24">
    <w:p w14:paraId="3A8925EE" w14:textId="77777777" w:rsidR="004808A2" w:rsidRPr="008F607E" w:rsidRDefault="004808A2" w:rsidP="004808A2">
      <w:pPr>
        <w:pStyle w:val="Textonotapie"/>
        <w:ind w:firstLine="708"/>
        <w:jc w:val="both"/>
        <w:rPr>
          <w:rFonts w:ascii="Verdana" w:hAnsi="Verdana"/>
          <w:sz w:val="16"/>
          <w:szCs w:val="16"/>
        </w:rPr>
      </w:pPr>
      <w:r w:rsidRPr="008F607E">
        <w:rPr>
          <w:rStyle w:val="Refdenotaalpie"/>
          <w:rFonts w:ascii="Verdana" w:hAnsi="Verdana"/>
          <w:sz w:val="16"/>
          <w:szCs w:val="16"/>
        </w:rPr>
        <w:footnoteRef/>
      </w:r>
      <w:r w:rsidRPr="008F607E">
        <w:rPr>
          <w:rFonts w:ascii="Verdana" w:hAnsi="Verdana"/>
          <w:sz w:val="16"/>
          <w:szCs w:val="16"/>
        </w:rPr>
        <w:t xml:space="preserve"> El artículo 1 de la Ley 1474 de 2011 dispone que “El literal j) del numeral 1 del artículo 8 de la Ley 80 de 1993 quedará así:</w:t>
      </w:r>
    </w:p>
    <w:p w14:paraId="3A80F1C7"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 xml:space="preserve">Las personas naturales que hayan sido declaradas responsables judicialmente por la comisión de delitos contra la Administración Pública cuya pena sea privativa de la libertad o que afecten el patrimonio del Estado </w:t>
      </w:r>
      <w:r w:rsidRPr="008F607E">
        <w:rPr>
          <w:rFonts w:ascii="Verdana" w:hAnsi="Verdana"/>
          <w:strike/>
          <w:sz w:val="16"/>
          <w:szCs w:val="16"/>
        </w:rPr>
        <w:t>o quienes hayan sido condenados por delitos relacionados con la pertenencia, promoción o financiación de grupos ilegales, delitos de lesa humanidad, narcotráfico en Colombia o en el exterior,</w:t>
      </w:r>
      <w:r w:rsidRPr="008F607E">
        <w:rPr>
          <w:rFonts w:ascii="Verdana" w:hAnsi="Verdana"/>
          <w:sz w:val="16"/>
          <w:szCs w:val="16"/>
        </w:rPr>
        <w:t xml:space="preserve"> o soborno transnacional, con excepción de delitos culposos.</w:t>
      </w:r>
    </w:p>
    <w:p w14:paraId="7FC842B8"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Esta inhabilidad se extenderá a las sociedades en las que sean socias tales personas, a sus matrices y a sus subordinadas, con excepción de las sociedades anónimas abiertas.</w:t>
      </w:r>
    </w:p>
    <w:p w14:paraId="40B48E78"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La inhabilidad prevista en este literal se extenderá por un término de veinte (20) años” (Artículo declarado EXEQUIBLE, salvo el aparte tachado declarado INEXEQUIBLE, por la Corte Constitucional mediante Sentencia C-630 de 2012. M.P. Mauricio González Cuervo).</w:t>
      </w:r>
    </w:p>
  </w:footnote>
  <w:footnote w:id="25">
    <w:p w14:paraId="69CA7492" w14:textId="77777777" w:rsidR="004808A2" w:rsidRPr="008F607E" w:rsidRDefault="004808A2" w:rsidP="004808A2">
      <w:pPr>
        <w:pStyle w:val="Textonotapie"/>
        <w:ind w:firstLine="708"/>
        <w:jc w:val="both"/>
        <w:rPr>
          <w:rFonts w:ascii="Verdana" w:hAnsi="Verdana"/>
          <w:sz w:val="16"/>
          <w:szCs w:val="16"/>
        </w:rPr>
      </w:pPr>
      <w:r w:rsidRPr="008F607E">
        <w:rPr>
          <w:rStyle w:val="Refdenotaalpie"/>
          <w:rFonts w:ascii="Verdana" w:hAnsi="Verdana"/>
          <w:sz w:val="16"/>
          <w:szCs w:val="16"/>
        </w:rPr>
        <w:footnoteRef/>
      </w:r>
      <w:r w:rsidRPr="008F607E">
        <w:rPr>
          <w:rFonts w:ascii="Verdana" w:hAnsi="Verdana"/>
          <w:sz w:val="16"/>
          <w:szCs w:val="16"/>
        </w:rPr>
        <w:t xml:space="preserve"> De acuerdo con el artículo 31 de la Ley 1778 de 2016, “El literal j) del numeral 1 del artículo 8o de la Ley 80 de 1993 quedará así:</w:t>
      </w:r>
    </w:p>
    <w:p w14:paraId="16E70339"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w:t>
      </w:r>
    </w:p>
    <w:p w14:paraId="377350B0"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Esta inhabilidad procederá preventivamente aún en los casos en los que esté pendiente la decisión sobre la impugnación de la sentencia condenatoria.</w:t>
      </w:r>
    </w:p>
    <w:p w14:paraId="5DEB4581"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Asimismo, la inhabilidad se extenderá a las sociedades de las que hagan parte dichas personas en calidad de administradores, representantes legales, miembros de junta directiva o de socios controlantes, a sus matrices y a sus subordinadas y a las sucursales de sociedades extranjeras, con excepción de las sociedades anónimas abiertas.</w:t>
      </w:r>
    </w:p>
    <w:p w14:paraId="25D65057"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 xml:space="preserve">La inhabilidad prevista en este literal se extenderá por un término de veinte (20) años”. </w:t>
      </w:r>
    </w:p>
  </w:footnote>
  <w:footnote w:id="26">
    <w:p w14:paraId="29D4D15B" w14:textId="77777777" w:rsidR="004808A2" w:rsidRPr="008F607E" w:rsidRDefault="004808A2" w:rsidP="004808A2">
      <w:pPr>
        <w:pStyle w:val="Textonotapie"/>
        <w:ind w:firstLine="708"/>
        <w:jc w:val="both"/>
        <w:rPr>
          <w:rFonts w:ascii="Verdana" w:hAnsi="Verdana"/>
          <w:sz w:val="16"/>
          <w:szCs w:val="16"/>
        </w:rPr>
      </w:pPr>
      <w:r w:rsidRPr="008F607E">
        <w:rPr>
          <w:rStyle w:val="Refdenotaalpie"/>
          <w:rFonts w:ascii="Verdana" w:hAnsi="Verdana"/>
          <w:sz w:val="16"/>
          <w:szCs w:val="16"/>
        </w:rPr>
        <w:footnoteRef/>
      </w:r>
      <w:r w:rsidRPr="008F607E">
        <w:rPr>
          <w:rFonts w:ascii="Verdana" w:hAnsi="Verdana"/>
          <w:sz w:val="16"/>
          <w:szCs w:val="16"/>
        </w:rPr>
        <w:t xml:space="preserve"> El artículo 2 de la Ley 2014 de 2019 prescribe que “Modifíquese el literal j) del numeral 1 del artículo 8o de la Ley 80 de 1993, el cual quedará así:</w:t>
      </w:r>
    </w:p>
    <w:p w14:paraId="647048ED"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w:t>
      </w:r>
    </w:p>
    <w:p w14:paraId="42AAA721"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Esta inhabilidad procederá preventivamente aún en los casos en los que esté pendiente la decisión sobre la impugnación de la sentencia condenatoria.</w:t>
      </w:r>
    </w:p>
    <w:p w14:paraId="27DA8092"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 xml:space="preserve">Asimismo, la inhabilidad se extenderá a las </w:t>
      </w:r>
      <w:r w:rsidRPr="008F607E">
        <w:rPr>
          <w:rFonts w:ascii="Verdana" w:hAnsi="Verdana"/>
          <w:sz w:val="16"/>
          <w:szCs w:val="16"/>
          <w:u w:val="single"/>
        </w:rPr>
        <w:t>sociedades</w:t>
      </w:r>
      <w:r w:rsidRPr="008F607E">
        <w:rPr>
          <w:rFonts w:ascii="Verdana" w:hAnsi="Verdana"/>
          <w:sz w:val="16"/>
          <w:szCs w:val="16"/>
        </w:rPr>
        <w:t xml:space="preserve"> de las que hagan parte dichas personas en calidad de administradores, representantes legales, miembros de junta directiva o de socios controlantes, a sus matrices y a sus subordinadas, a los grupos empresariales a los que estas pertenezcan cuando la conducta delictiva haya sido parte de una política del grupo y a las sucursales de sociedades extranjeras</w:t>
      </w:r>
      <w:r w:rsidRPr="008F607E">
        <w:rPr>
          <w:rFonts w:ascii="Verdana" w:hAnsi="Verdana"/>
          <w:strike/>
          <w:sz w:val="16"/>
          <w:szCs w:val="16"/>
        </w:rPr>
        <w:t>, con excepción de las sociedades anónimas abiertas</w:t>
      </w:r>
      <w:r w:rsidRPr="008F607E">
        <w:rPr>
          <w:rFonts w:ascii="Verdana" w:hAnsi="Verdana"/>
          <w:sz w:val="16"/>
          <w:szCs w:val="16"/>
        </w:rPr>
        <w:t>.</w:t>
      </w:r>
    </w:p>
    <w:p w14:paraId="048323E1"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También se considerarán inhabilitadas para contratar, las personas jurídicas sobre las cuales se haya ordenado la suspensión de la personería jurídica en los términos de ley, o cuyos representantes legales, administradores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w:t>
      </w:r>
    </w:p>
    <w:p w14:paraId="3604231D" w14:textId="77777777" w:rsidR="004808A2" w:rsidRPr="008F607E" w:rsidRDefault="004808A2" w:rsidP="004808A2">
      <w:pPr>
        <w:pStyle w:val="Textonotapie"/>
        <w:ind w:firstLine="708"/>
        <w:jc w:val="both"/>
        <w:rPr>
          <w:rFonts w:ascii="Verdana" w:hAnsi="Verdana"/>
          <w:sz w:val="16"/>
          <w:szCs w:val="16"/>
        </w:rPr>
      </w:pPr>
      <w:r w:rsidRPr="008F607E">
        <w:rPr>
          <w:rFonts w:ascii="Verdana" w:hAnsi="Verdana"/>
          <w:sz w:val="16"/>
          <w:szCs w:val="16"/>
        </w:rPr>
        <w:t xml:space="preserve">La inhabilidad prevista en este literal se extenderá de forma permanente a las </w:t>
      </w:r>
      <w:r w:rsidRPr="008F607E">
        <w:rPr>
          <w:rFonts w:ascii="Verdana" w:hAnsi="Verdana"/>
          <w:sz w:val="16"/>
          <w:szCs w:val="16"/>
          <w:u w:val="single"/>
        </w:rPr>
        <w:t>sociedades</w:t>
      </w:r>
      <w:r w:rsidRPr="008F607E">
        <w:rPr>
          <w:rFonts w:ascii="Verdana" w:hAnsi="Verdana"/>
          <w:sz w:val="16"/>
          <w:szCs w:val="16"/>
        </w:rPr>
        <w:t xml:space="preserve"> de las que hagan parte dichas personas en las calidades presentadas en los incisos anteriores, y se aplicará de igual forma a las personas naturales que hayan sido declaradas responsables judicialmente por la comisión de delitos mencionados en este literal” (La Corte Constitucional mediante Sentencia C-437 de 2</w:t>
      </w:r>
      <w:r>
        <w:rPr>
          <w:rFonts w:ascii="Verdana" w:hAnsi="Verdana"/>
          <w:sz w:val="16"/>
          <w:szCs w:val="16"/>
        </w:rPr>
        <w:t>02</w:t>
      </w:r>
      <w:r w:rsidRPr="008F607E">
        <w:rPr>
          <w:rFonts w:ascii="Verdana" w:hAnsi="Verdana"/>
          <w:sz w:val="16"/>
          <w:szCs w:val="16"/>
        </w:rPr>
        <w:t>3, con ponencia de la Magistrada Paola Andrea Meneses Mosquera, declaró INEXEQUIBLE el aparte tachado. Asimismo, declaró CONDICIONALMENTE EXEQUIBLE la expresión “sociedades”, en el entendido de que la inhabilidad también se extenderá a todas las personas jurídicas sin ánimo de lucro con capacidad para contratar con el Estado).</w:t>
      </w:r>
    </w:p>
  </w:footnote>
  <w:footnote w:id="27">
    <w:p w14:paraId="57C3E819" w14:textId="77777777" w:rsidR="004808A2" w:rsidRPr="008F607E" w:rsidRDefault="004808A2" w:rsidP="004808A2">
      <w:pPr>
        <w:pStyle w:val="Textonotapie"/>
        <w:ind w:firstLine="600"/>
        <w:jc w:val="both"/>
        <w:rPr>
          <w:rFonts w:ascii="Verdana" w:hAnsi="Verdana" w:cs="Arial"/>
          <w:sz w:val="16"/>
          <w:szCs w:val="16"/>
          <w:lang w:val="es-CO"/>
        </w:rPr>
      </w:pPr>
      <w:r w:rsidRPr="008F607E">
        <w:rPr>
          <w:rStyle w:val="Refdenotaalpie"/>
          <w:rFonts w:ascii="Verdana" w:hAnsi="Verdana" w:cs="Arial"/>
          <w:sz w:val="16"/>
          <w:szCs w:val="16"/>
        </w:rPr>
        <w:footnoteRef/>
      </w:r>
      <w:r w:rsidRPr="008F607E">
        <w:rPr>
          <w:rFonts w:ascii="Verdana" w:hAnsi="Verdana" w:cs="Arial"/>
          <w:sz w:val="16"/>
          <w:szCs w:val="16"/>
        </w:rPr>
        <w:t xml:space="preserve"> Ley 153 de 1887 “Artículo 2. La ley posterior prevalece sobre la ley anterior. En caso de que una ley posterior sea contraria a otra anterior, y ambas preexistentes al hecho que se juzga, se aplicará la ley posterior”.</w:t>
      </w:r>
    </w:p>
  </w:footnote>
  <w:footnote w:id="28">
    <w:p w14:paraId="11ABFBC0" w14:textId="77777777" w:rsidR="004808A2" w:rsidRPr="008F607E" w:rsidRDefault="004808A2" w:rsidP="004808A2">
      <w:pPr>
        <w:spacing w:after="0" w:line="240" w:lineRule="auto"/>
        <w:ind w:firstLine="600"/>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Constitución Política de Colombia “Artículo 29. El debido proceso se aplicará a toda clase de actuaciones judiciales y administrativas.</w:t>
      </w:r>
    </w:p>
    <w:p w14:paraId="0DE5A11C" w14:textId="77777777" w:rsidR="004808A2" w:rsidRPr="008F607E" w:rsidRDefault="004808A2" w:rsidP="004808A2">
      <w:pPr>
        <w:spacing w:after="0" w:line="240" w:lineRule="auto"/>
        <w:ind w:left="600" w:firstLine="408"/>
        <w:jc w:val="both"/>
        <w:rPr>
          <w:rFonts w:ascii="Verdana" w:hAnsi="Verdana" w:cs="Arial"/>
          <w:sz w:val="16"/>
          <w:szCs w:val="16"/>
        </w:rPr>
      </w:pPr>
      <w:r w:rsidRPr="008F607E">
        <w:rPr>
          <w:rFonts w:ascii="Verdana" w:hAnsi="Verdana" w:cs="Arial"/>
          <w:sz w:val="16"/>
          <w:szCs w:val="16"/>
        </w:rPr>
        <w:t>[…]</w:t>
      </w:r>
    </w:p>
    <w:p w14:paraId="3D627707" w14:textId="77777777" w:rsidR="004808A2" w:rsidRPr="008F607E" w:rsidRDefault="004808A2" w:rsidP="004808A2">
      <w:pPr>
        <w:spacing w:after="0" w:line="240" w:lineRule="auto"/>
        <w:ind w:firstLine="600"/>
        <w:jc w:val="both"/>
        <w:rPr>
          <w:rFonts w:ascii="Verdana" w:hAnsi="Verdana" w:cs="Arial"/>
          <w:sz w:val="16"/>
          <w:szCs w:val="16"/>
        </w:rPr>
      </w:pPr>
      <w:r w:rsidRPr="008F607E">
        <w:rPr>
          <w:rFonts w:ascii="Verdana" w:hAnsi="Verdana" w:cs="Arial"/>
          <w:sz w:val="16"/>
          <w:szCs w:val="16"/>
        </w:rPr>
        <w:t>Nadie podrá ser juzgado sino conforme a leyes preexistentes al acto que se le imputa, ante juez o tribunal competente y con observancia de la plenitud de las formas propias de cada juicio.</w:t>
      </w:r>
    </w:p>
    <w:p w14:paraId="057D28CE" w14:textId="77777777" w:rsidR="004808A2" w:rsidRPr="008F607E" w:rsidRDefault="004808A2" w:rsidP="004808A2">
      <w:pPr>
        <w:spacing w:after="0" w:line="240" w:lineRule="auto"/>
        <w:ind w:left="300" w:firstLine="300"/>
        <w:jc w:val="both"/>
        <w:rPr>
          <w:rFonts w:ascii="Verdana" w:hAnsi="Verdana" w:cs="Arial"/>
          <w:sz w:val="16"/>
          <w:szCs w:val="16"/>
        </w:rPr>
      </w:pPr>
      <w:r w:rsidRPr="008F607E">
        <w:rPr>
          <w:rFonts w:ascii="Verdana" w:hAnsi="Verdana" w:cs="Arial"/>
          <w:sz w:val="16"/>
          <w:szCs w:val="16"/>
        </w:rPr>
        <w:t>En materia penal, la ley permisiva o favorable, aun cuando sea posterior, se aplicará de preferencia a la restrictiva o desfavorable.</w:t>
      </w:r>
    </w:p>
    <w:p w14:paraId="2D931179" w14:textId="77777777" w:rsidR="004808A2" w:rsidRPr="008F607E" w:rsidRDefault="004808A2" w:rsidP="004808A2">
      <w:pPr>
        <w:pStyle w:val="Textoindependiente"/>
        <w:spacing w:after="0" w:line="240" w:lineRule="auto"/>
        <w:ind w:left="708"/>
        <w:jc w:val="both"/>
        <w:rPr>
          <w:rFonts w:ascii="Verdana" w:hAnsi="Verdana"/>
          <w:sz w:val="16"/>
          <w:szCs w:val="16"/>
        </w:rPr>
      </w:pPr>
      <w:r w:rsidRPr="008F607E">
        <w:rPr>
          <w:rFonts w:ascii="Verdana" w:hAnsi="Verdana"/>
          <w:sz w:val="16"/>
          <w:szCs w:val="16"/>
        </w:rPr>
        <w:t xml:space="preserve">      […]</w:t>
      </w:r>
    </w:p>
    <w:p w14:paraId="7E120FFE" w14:textId="77777777" w:rsidR="004808A2" w:rsidRPr="008F607E" w:rsidRDefault="004808A2" w:rsidP="004808A2">
      <w:pPr>
        <w:spacing w:after="0" w:line="240" w:lineRule="auto"/>
        <w:ind w:firstLine="600"/>
        <w:jc w:val="both"/>
        <w:rPr>
          <w:rFonts w:ascii="Verdana" w:hAnsi="Verdana" w:cs="Arial"/>
          <w:sz w:val="16"/>
          <w:szCs w:val="16"/>
        </w:rPr>
      </w:pPr>
      <w:r w:rsidRPr="008F607E">
        <w:rPr>
          <w:rFonts w:ascii="Verdana" w:hAnsi="Verdana" w:cs="Arial"/>
          <w:sz w:val="16"/>
          <w:szCs w:val="16"/>
        </w:rPr>
        <w:t>Artículo 58. Se garantizan la propiedad privada y los demás derechos adquiridos con arreglo a las leyes civiles, los cuales no pueden ser desconocidos ni vulnerados por leyes posteriores. Cuando de la aplicación de una ley expedida por motivos de utilidad pública o interés social, resultaren en conflicto los derechos de los particulares con la necesidad por ella reconocida, el interés privado deberá ceder al interés público o social”.</w:t>
      </w:r>
    </w:p>
  </w:footnote>
  <w:footnote w:id="29">
    <w:p w14:paraId="15FC7697" w14:textId="77777777" w:rsidR="004808A2" w:rsidRPr="008F607E" w:rsidRDefault="004808A2" w:rsidP="004808A2">
      <w:pPr>
        <w:spacing w:after="0" w:line="240" w:lineRule="auto"/>
        <w:ind w:right="49" w:firstLine="708"/>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CORTE CONSTITUCIONAL. Sentencia C-619 de 2001, M.P. Marco Gerardo Monroy Cabra: “La noción de derecho adquirido se contrapone a la de mera expectativa. Por derecho adquirido ha entendido la doctrina y la jurisprudencia aquel derecho que ha entrado al patrimonio de una persona natural o jurídica y que hace parte de</w:t>
      </w:r>
      <w:r w:rsidRPr="008F607E">
        <w:rPr>
          <w:rFonts w:ascii="Verdana" w:hAnsi="Verdana" w:cs="Arial"/>
          <w:spacing w:val="-4"/>
          <w:sz w:val="16"/>
          <w:szCs w:val="16"/>
        </w:rPr>
        <w:t xml:space="preserve"> </w:t>
      </w:r>
      <w:r w:rsidRPr="008F607E">
        <w:rPr>
          <w:rFonts w:ascii="Verdana" w:hAnsi="Verdana" w:cs="Arial"/>
          <w:sz w:val="16"/>
          <w:szCs w:val="16"/>
        </w:rPr>
        <w:t>él,</w:t>
      </w:r>
      <w:r w:rsidRPr="008F607E">
        <w:rPr>
          <w:rFonts w:ascii="Verdana" w:hAnsi="Verdana" w:cs="Arial"/>
          <w:spacing w:val="-3"/>
          <w:sz w:val="16"/>
          <w:szCs w:val="16"/>
        </w:rPr>
        <w:t xml:space="preserve"> </w:t>
      </w:r>
      <w:r w:rsidRPr="008F607E">
        <w:rPr>
          <w:rFonts w:ascii="Verdana" w:hAnsi="Verdana" w:cs="Arial"/>
          <w:sz w:val="16"/>
          <w:szCs w:val="16"/>
        </w:rPr>
        <w:t>y</w:t>
      </w:r>
      <w:r w:rsidRPr="008F607E">
        <w:rPr>
          <w:rFonts w:ascii="Verdana" w:hAnsi="Verdana" w:cs="Arial"/>
          <w:spacing w:val="-6"/>
          <w:sz w:val="16"/>
          <w:szCs w:val="16"/>
        </w:rPr>
        <w:t xml:space="preserve"> </w:t>
      </w:r>
      <w:r w:rsidRPr="008F607E">
        <w:rPr>
          <w:rFonts w:ascii="Verdana" w:hAnsi="Verdana" w:cs="Arial"/>
          <w:sz w:val="16"/>
          <w:szCs w:val="16"/>
        </w:rPr>
        <w:t>que</w:t>
      </w:r>
      <w:r w:rsidRPr="008F607E">
        <w:rPr>
          <w:rFonts w:ascii="Verdana" w:hAnsi="Verdana" w:cs="Arial"/>
          <w:spacing w:val="-3"/>
          <w:sz w:val="16"/>
          <w:szCs w:val="16"/>
        </w:rPr>
        <w:t xml:space="preserve"> </w:t>
      </w:r>
      <w:r w:rsidRPr="008F607E">
        <w:rPr>
          <w:rFonts w:ascii="Verdana" w:hAnsi="Verdana" w:cs="Arial"/>
          <w:sz w:val="16"/>
          <w:szCs w:val="16"/>
        </w:rPr>
        <w:t>por</w:t>
      </w:r>
      <w:r w:rsidRPr="008F607E">
        <w:rPr>
          <w:rFonts w:ascii="Verdana" w:hAnsi="Verdana" w:cs="Arial"/>
          <w:spacing w:val="-3"/>
          <w:sz w:val="16"/>
          <w:szCs w:val="16"/>
        </w:rPr>
        <w:t xml:space="preserve"> </w:t>
      </w:r>
      <w:r w:rsidRPr="008F607E">
        <w:rPr>
          <w:rFonts w:ascii="Verdana" w:hAnsi="Verdana" w:cs="Arial"/>
          <w:sz w:val="16"/>
          <w:szCs w:val="16"/>
        </w:rPr>
        <w:t>lo</w:t>
      </w:r>
      <w:r w:rsidRPr="008F607E">
        <w:rPr>
          <w:rFonts w:ascii="Verdana" w:hAnsi="Verdana" w:cs="Arial"/>
          <w:spacing w:val="-1"/>
          <w:sz w:val="16"/>
          <w:szCs w:val="16"/>
        </w:rPr>
        <w:t xml:space="preserve"> </w:t>
      </w:r>
      <w:r w:rsidRPr="008F607E">
        <w:rPr>
          <w:rFonts w:ascii="Verdana" w:hAnsi="Verdana" w:cs="Arial"/>
          <w:sz w:val="16"/>
          <w:szCs w:val="16"/>
        </w:rPr>
        <w:t>mismo,</w:t>
      </w:r>
      <w:r w:rsidRPr="008F607E">
        <w:rPr>
          <w:rFonts w:ascii="Verdana" w:hAnsi="Verdana" w:cs="Arial"/>
          <w:spacing w:val="-3"/>
          <w:sz w:val="16"/>
          <w:szCs w:val="16"/>
        </w:rPr>
        <w:t xml:space="preserve"> </w:t>
      </w:r>
      <w:r w:rsidRPr="008F607E">
        <w:rPr>
          <w:rFonts w:ascii="Verdana" w:hAnsi="Verdana" w:cs="Arial"/>
          <w:sz w:val="16"/>
          <w:szCs w:val="16"/>
        </w:rPr>
        <w:t>no</w:t>
      </w:r>
      <w:r w:rsidRPr="008F607E">
        <w:rPr>
          <w:rFonts w:ascii="Verdana" w:hAnsi="Verdana" w:cs="Arial"/>
          <w:spacing w:val="-1"/>
          <w:sz w:val="16"/>
          <w:szCs w:val="16"/>
        </w:rPr>
        <w:t xml:space="preserve"> </w:t>
      </w:r>
      <w:r w:rsidRPr="008F607E">
        <w:rPr>
          <w:rFonts w:ascii="Verdana" w:hAnsi="Verdana" w:cs="Arial"/>
          <w:sz w:val="16"/>
          <w:szCs w:val="16"/>
        </w:rPr>
        <w:t>puede</w:t>
      </w:r>
      <w:r w:rsidRPr="008F607E">
        <w:rPr>
          <w:rFonts w:ascii="Verdana" w:hAnsi="Verdana" w:cs="Arial"/>
          <w:spacing w:val="-3"/>
          <w:sz w:val="16"/>
          <w:szCs w:val="16"/>
        </w:rPr>
        <w:t xml:space="preserve"> </w:t>
      </w:r>
      <w:r w:rsidRPr="008F607E">
        <w:rPr>
          <w:rFonts w:ascii="Verdana" w:hAnsi="Verdana" w:cs="Arial"/>
          <w:sz w:val="16"/>
          <w:szCs w:val="16"/>
        </w:rPr>
        <w:t>ser</w:t>
      </w:r>
      <w:r w:rsidRPr="008F607E">
        <w:rPr>
          <w:rFonts w:ascii="Verdana" w:hAnsi="Verdana" w:cs="Arial"/>
          <w:spacing w:val="-4"/>
          <w:sz w:val="16"/>
          <w:szCs w:val="16"/>
        </w:rPr>
        <w:t xml:space="preserve"> </w:t>
      </w:r>
      <w:r w:rsidRPr="008F607E">
        <w:rPr>
          <w:rFonts w:ascii="Verdana" w:hAnsi="Verdana" w:cs="Arial"/>
          <w:sz w:val="16"/>
          <w:szCs w:val="16"/>
        </w:rPr>
        <w:t>arrebatado</w:t>
      </w:r>
      <w:r w:rsidRPr="008F607E">
        <w:rPr>
          <w:rFonts w:ascii="Verdana" w:hAnsi="Verdana" w:cs="Arial"/>
          <w:spacing w:val="-3"/>
          <w:sz w:val="16"/>
          <w:szCs w:val="16"/>
        </w:rPr>
        <w:t xml:space="preserve"> </w:t>
      </w:r>
      <w:r w:rsidRPr="008F607E">
        <w:rPr>
          <w:rFonts w:ascii="Verdana" w:hAnsi="Verdana" w:cs="Arial"/>
          <w:sz w:val="16"/>
          <w:szCs w:val="16"/>
        </w:rPr>
        <w:t>o</w:t>
      </w:r>
      <w:r w:rsidRPr="008F607E">
        <w:rPr>
          <w:rFonts w:ascii="Verdana" w:hAnsi="Verdana" w:cs="Arial"/>
          <w:spacing w:val="-3"/>
          <w:sz w:val="16"/>
          <w:szCs w:val="16"/>
        </w:rPr>
        <w:t xml:space="preserve"> </w:t>
      </w:r>
      <w:r w:rsidRPr="008F607E">
        <w:rPr>
          <w:rFonts w:ascii="Verdana" w:hAnsi="Verdana" w:cs="Arial"/>
          <w:sz w:val="16"/>
          <w:szCs w:val="16"/>
        </w:rPr>
        <w:t>vulnerado</w:t>
      </w:r>
      <w:r w:rsidRPr="008F607E">
        <w:rPr>
          <w:rFonts w:ascii="Verdana" w:hAnsi="Verdana" w:cs="Arial"/>
          <w:spacing w:val="-4"/>
          <w:sz w:val="16"/>
          <w:szCs w:val="16"/>
        </w:rPr>
        <w:t xml:space="preserve"> </w:t>
      </w:r>
      <w:r w:rsidRPr="008F607E">
        <w:rPr>
          <w:rFonts w:ascii="Verdana" w:hAnsi="Verdana" w:cs="Arial"/>
          <w:sz w:val="16"/>
          <w:szCs w:val="16"/>
        </w:rPr>
        <w:t>por</w:t>
      </w:r>
      <w:r w:rsidRPr="008F607E">
        <w:rPr>
          <w:rFonts w:ascii="Verdana" w:hAnsi="Verdana" w:cs="Arial"/>
          <w:spacing w:val="-3"/>
          <w:sz w:val="16"/>
          <w:szCs w:val="16"/>
        </w:rPr>
        <w:t xml:space="preserve"> </w:t>
      </w:r>
      <w:r w:rsidRPr="008F607E">
        <w:rPr>
          <w:rFonts w:ascii="Verdana" w:hAnsi="Verdana" w:cs="Arial"/>
          <w:sz w:val="16"/>
          <w:szCs w:val="16"/>
        </w:rPr>
        <w:t>quien</w:t>
      </w:r>
      <w:r w:rsidRPr="008F607E">
        <w:rPr>
          <w:rFonts w:ascii="Verdana" w:hAnsi="Verdana" w:cs="Arial"/>
          <w:spacing w:val="-3"/>
          <w:sz w:val="16"/>
          <w:szCs w:val="16"/>
        </w:rPr>
        <w:t xml:space="preserve"> </w:t>
      </w:r>
      <w:r w:rsidRPr="008F607E">
        <w:rPr>
          <w:rFonts w:ascii="Verdana" w:hAnsi="Verdana" w:cs="Arial"/>
          <w:sz w:val="16"/>
          <w:szCs w:val="16"/>
        </w:rPr>
        <w:t>lo</w:t>
      </w:r>
      <w:r w:rsidRPr="008F607E">
        <w:rPr>
          <w:rFonts w:ascii="Verdana" w:hAnsi="Verdana" w:cs="Arial"/>
          <w:spacing w:val="-4"/>
          <w:sz w:val="16"/>
          <w:szCs w:val="16"/>
        </w:rPr>
        <w:t xml:space="preserve"> </w:t>
      </w:r>
      <w:r w:rsidRPr="008F607E">
        <w:rPr>
          <w:rFonts w:ascii="Verdana" w:hAnsi="Verdana" w:cs="Arial"/>
          <w:sz w:val="16"/>
          <w:szCs w:val="16"/>
        </w:rPr>
        <w:t>creó</w:t>
      </w:r>
      <w:r w:rsidRPr="008F607E">
        <w:rPr>
          <w:rFonts w:ascii="Verdana" w:hAnsi="Verdana" w:cs="Arial"/>
          <w:spacing w:val="-3"/>
          <w:sz w:val="16"/>
          <w:szCs w:val="16"/>
        </w:rPr>
        <w:t xml:space="preserve"> </w:t>
      </w:r>
      <w:r w:rsidRPr="008F607E">
        <w:rPr>
          <w:rFonts w:ascii="Verdana" w:hAnsi="Verdana" w:cs="Arial"/>
          <w:sz w:val="16"/>
          <w:szCs w:val="16"/>
        </w:rPr>
        <w:t>o</w:t>
      </w:r>
      <w:r w:rsidRPr="008F607E">
        <w:rPr>
          <w:rFonts w:ascii="Verdana" w:hAnsi="Verdana" w:cs="Arial"/>
          <w:spacing w:val="-4"/>
          <w:sz w:val="16"/>
          <w:szCs w:val="16"/>
        </w:rPr>
        <w:t xml:space="preserve"> </w:t>
      </w:r>
      <w:r w:rsidRPr="008F607E">
        <w:rPr>
          <w:rFonts w:ascii="Verdana" w:hAnsi="Verdana" w:cs="Arial"/>
          <w:sz w:val="16"/>
          <w:szCs w:val="16"/>
        </w:rPr>
        <w:t>reconoció legítimamente.</w:t>
      </w:r>
    </w:p>
    <w:p w14:paraId="115E4750" w14:textId="77777777" w:rsidR="004808A2" w:rsidRPr="008F607E" w:rsidRDefault="004808A2" w:rsidP="004808A2">
      <w:pPr>
        <w:spacing w:after="0" w:line="240" w:lineRule="auto"/>
        <w:ind w:right="49" w:firstLine="708"/>
        <w:jc w:val="both"/>
        <w:rPr>
          <w:rFonts w:ascii="Verdana" w:hAnsi="Verdana" w:cs="Arial"/>
          <w:sz w:val="16"/>
          <w:szCs w:val="16"/>
        </w:rPr>
      </w:pPr>
      <w:r w:rsidRPr="008F607E">
        <w:rPr>
          <w:rFonts w:ascii="Verdana" w:hAnsi="Verdana" w:cs="Arial"/>
          <w:sz w:val="16"/>
          <w:szCs w:val="16"/>
        </w:rPr>
        <w:t>Lo anterior conduce a afirmar que el derecho adquirido es la ventaja o el beneficio cuya conservación o integridad, está garantizada, en favor del titular del derecho, por una acción o por una excepción.</w:t>
      </w:r>
    </w:p>
    <w:p w14:paraId="68E29456" w14:textId="77777777" w:rsidR="004808A2" w:rsidRPr="008F607E" w:rsidRDefault="004808A2" w:rsidP="004808A2">
      <w:pPr>
        <w:spacing w:after="0" w:line="240" w:lineRule="auto"/>
        <w:ind w:right="49" w:firstLine="708"/>
        <w:jc w:val="both"/>
        <w:rPr>
          <w:rFonts w:ascii="Verdana" w:hAnsi="Verdana" w:cs="Arial"/>
          <w:sz w:val="16"/>
          <w:szCs w:val="16"/>
        </w:rPr>
      </w:pPr>
      <w:r w:rsidRPr="008F607E">
        <w:rPr>
          <w:rFonts w:ascii="Verdana" w:hAnsi="Verdana" w:cs="Arial"/>
          <w:sz w:val="16"/>
          <w:szCs w:val="16"/>
        </w:rPr>
        <w:t>Ajusta mejor con la técnica denominar 'situación jurídica concreta o subjetiva', al derecho adquirido o constituido de que trata la Constitución en sus artículos 30 y 202; y 'situación jurídica abstracta u objetiva', a la mera expectativa de derecho. Se está en presencia de la primera cuando el texto legal que la crea ha jugado ya, jurídicamente, su papel en favor o en contra de una persona en el momento en que ha entrado a regir una ley nueva. A la inversa, se está frente a la segunda, cuando el texto legal que ha creado esa situación aún no ha jugado su papel jurídico en favor o en contra de una persona”.</w:t>
      </w:r>
    </w:p>
  </w:footnote>
  <w:footnote w:id="30">
    <w:p w14:paraId="5761A3FF" w14:textId="77777777" w:rsidR="004808A2" w:rsidRPr="008F607E" w:rsidRDefault="004808A2" w:rsidP="004808A2">
      <w:pPr>
        <w:spacing w:after="0" w:line="240" w:lineRule="auto"/>
        <w:ind w:firstLine="709"/>
        <w:jc w:val="both"/>
        <w:rPr>
          <w:rFonts w:ascii="Verdana" w:hAnsi="Verdana" w:cs="Arial"/>
          <w:i/>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Ley 153 de 1887 dispuso en el artículo 14 que: “Una ley derogada no revivirá por sí sola las referencias que a ella se hagan, ni por haber sido abolida la ley que la derogó. Una disposición derogada solo recobrará su fuerza en la forma en que aparezca reproducida en una ley nueva”</w:t>
      </w:r>
    </w:p>
  </w:footnote>
  <w:footnote w:id="31">
    <w:p w14:paraId="57DD5809" w14:textId="77777777" w:rsidR="004808A2" w:rsidRPr="008F607E" w:rsidRDefault="004808A2" w:rsidP="004808A2">
      <w:pPr>
        <w:pStyle w:val="Textonotapie"/>
        <w:ind w:firstLine="708"/>
        <w:jc w:val="both"/>
        <w:rPr>
          <w:rFonts w:ascii="Verdana" w:eastAsia="Times New Roman" w:hAnsi="Verdana" w:cs="Arial"/>
          <w:sz w:val="16"/>
          <w:szCs w:val="16"/>
          <w:lang w:val="es-ES" w:eastAsia="es-ES"/>
        </w:rPr>
      </w:pPr>
      <w:r w:rsidRPr="008F607E">
        <w:rPr>
          <w:rStyle w:val="Refdenotaalpie"/>
          <w:rFonts w:ascii="Verdana" w:hAnsi="Verdana"/>
          <w:sz w:val="16"/>
          <w:szCs w:val="16"/>
        </w:rPr>
        <w:footnoteRef/>
      </w:r>
      <w:r w:rsidRPr="008F607E">
        <w:rPr>
          <w:rFonts w:ascii="Verdana" w:eastAsia="Times New Roman" w:hAnsi="Verdana" w:cs="Arial"/>
          <w:sz w:val="16"/>
          <w:szCs w:val="16"/>
          <w:lang w:val="es-ES" w:eastAsia="es-ES"/>
        </w:rPr>
        <w:t xml:space="preserve"> Corte Constitucional, Sentencia T – 564 del 3 de septiembre de 2015. M.P. Alberto Rojas Ríos:</w:t>
      </w:r>
      <w:r w:rsidRPr="008F607E">
        <w:rPr>
          <w:rFonts w:ascii="Verdana" w:hAnsi="Verdana"/>
          <w:sz w:val="16"/>
          <w:szCs w:val="16"/>
        </w:rPr>
        <w:t xml:space="preserve"> “</w:t>
      </w:r>
      <w:r w:rsidRPr="008F607E">
        <w:rPr>
          <w:rFonts w:ascii="Verdana" w:eastAsia="Times New Roman" w:hAnsi="Verdana" w:cs="Arial"/>
          <w:sz w:val="16"/>
          <w:szCs w:val="16"/>
          <w:lang w:val="es-ES" w:eastAsia="es-ES"/>
        </w:rPr>
        <w:t>Retroactividad: en principio, se configura cuando una norma expresamente contempla la posibilidad de ser aplicada a situaciones de hecho que se consolidaron con anterioridad a su entrada en vigencia, un ejemplo claro de este instituto jurídico es el establecido en el artículo 29 constitucional, conforme al cual “en materia penal, la ley permisiva o favorable, aun cuando sea posterior, se aplicará de preferencia a la restrictiva y desfavorable.</w:t>
      </w:r>
    </w:p>
    <w:p w14:paraId="61872869" w14:textId="77777777" w:rsidR="004808A2" w:rsidRPr="008F607E" w:rsidRDefault="004808A2" w:rsidP="004808A2">
      <w:pPr>
        <w:pStyle w:val="Textonotapie"/>
        <w:ind w:firstLine="708"/>
        <w:jc w:val="both"/>
        <w:rPr>
          <w:rFonts w:ascii="Verdana" w:eastAsia="Times New Roman" w:hAnsi="Verdana" w:cs="Arial"/>
          <w:sz w:val="16"/>
          <w:szCs w:val="16"/>
          <w:lang w:val="es-ES" w:eastAsia="es-ES"/>
        </w:rPr>
      </w:pPr>
      <w:r w:rsidRPr="008F607E">
        <w:rPr>
          <w:rFonts w:ascii="Verdana" w:hAnsi="Verdana"/>
          <w:sz w:val="16"/>
          <w:szCs w:val="16"/>
        </w:rPr>
        <w:t>“</w:t>
      </w:r>
      <w:r w:rsidRPr="008F607E">
        <w:rPr>
          <w:rFonts w:ascii="Verdana" w:eastAsia="Times New Roman" w:hAnsi="Verdana" w:cs="Arial"/>
          <w:sz w:val="16"/>
          <w:szCs w:val="16"/>
          <w:lang w:val="es-ES" w:eastAsia="es-ES"/>
        </w:rPr>
        <w:t>Ultractividad: consiste en la aplicación de una norma que ha sido expresa o tácitamente derogada, a situaciones de hecho que si bien tuvieron lugar durante su vigencia, en la actualidad se encuentran regidas por una nueva disposición jurídica; de forma que, si bien la nueva ley es de aplicación inmediata y, por tanto, debería regular las situaciones que se consoliden en su vigencia, resulta admisible el uso de la normatividad anterior con el objetivo de preservar los derechos adquiridos y las legítimas expectativas de quienes se rigieron por la normativa derogada.</w:t>
      </w:r>
    </w:p>
    <w:p w14:paraId="19262781" w14:textId="77777777" w:rsidR="004808A2" w:rsidRPr="008F607E" w:rsidRDefault="004808A2" w:rsidP="004808A2">
      <w:pPr>
        <w:pStyle w:val="Textonotapie"/>
        <w:ind w:firstLine="708"/>
        <w:jc w:val="both"/>
        <w:rPr>
          <w:rFonts w:ascii="Verdana" w:eastAsia="Times New Roman" w:hAnsi="Verdana" w:cs="Arial"/>
          <w:sz w:val="16"/>
          <w:szCs w:val="16"/>
          <w:lang w:val="es-ES" w:eastAsia="es-ES"/>
        </w:rPr>
      </w:pPr>
      <w:r w:rsidRPr="008F607E">
        <w:rPr>
          <w:rFonts w:ascii="Verdana" w:eastAsia="Times New Roman" w:hAnsi="Verdana" w:cs="Arial"/>
          <w:sz w:val="16"/>
          <w:szCs w:val="16"/>
          <w:lang w:val="es-ES" w:eastAsia="es-ES"/>
        </w:rPr>
        <w:t>(…)</w:t>
      </w:r>
    </w:p>
    <w:p w14:paraId="67C62DCB" w14:textId="77777777" w:rsidR="004808A2" w:rsidRPr="00E049DB" w:rsidRDefault="004808A2" w:rsidP="004808A2">
      <w:pPr>
        <w:pStyle w:val="Textonotapie"/>
        <w:ind w:firstLine="708"/>
        <w:jc w:val="both"/>
        <w:rPr>
          <w:rFonts w:ascii="Verdana" w:eastAsia="Times New Roman" w:hAnsi="Verdana" w:cs="Arial"/>
          <w:sz w:val="16"/>
          <w:szCs w:val="16"/>
          <w:lang w:val="es-ES" w:eastAsia="es-ES"/>
        </w:rPr>
      </w:pPr>
      <w:r w:rsidRPr="008F607E">
        <w:rPr>
          <w:rFonts w:ascii="Verdana" w:eastAsia="Times New Roman" w:hAnsi="Verdana" w:cs="Arial"/>
          <w:sz w:val="16"/>
          <w:szCs w:val="16"/>
          <w:lang w:val="es-ES" w:eastAsia="es-ES"/>
        </w:rPr>
        <w:t>“Adicionalmente, se ha aceptado la posibilidad de una tercera modalidad de aplicación temporal de las normas, la cual, si bien no encuentra desarrollo ni consagración normativa expresa, ha sido empleada especialmente por la jurisprudencia del Consejo de Estado, la Corte Suprema de Justicia y la Corte Constitucional, esta es, la Retrospectividad. En relación con esta figura, se ha indicado que ella consiste en la posibilidad de aplicar una determinada norma a situaciones de hecho que, si bien tuvieron lugar con anterioridad a su entrada en vigencia, nunca vieron definitivamente consolidada la situación jurídica que de ellas se deriva, pues sus efectos siguieron vigentes o no encontraron mecanismo alguno que permita su resolución en forma definitiva”.</w:t>
      </w:r>
    </w:p>
  </w:footnote>
  <w:footnote w:id="32">
    <w:p w14:paraId="38D7ABD9" w14:textId="77777777" w:rsidR="004808A2" w:rsidRPr="008F607E" w:rsidRDefault="004808A2" w:rsidP="004808A2">
      <w:pPr>
        <w:spacing w:after="0" w:line="240" w:lineRule="auto"/>
        <w:ind w:firstLine="708"/>
        <w:jc w:val="both"/>
        <w:rPr>
          <w:rFonts w:ascii="Verdana" w:hAnsi="Verdana" w:cs="Arial"/>
          <w:sz w:val="16"/>
          <w:szCs w:val="16"/>
        </w:rPr>
      </w:pPr>
      <w:r w:rsidRPr="008F607E">
        <w:rPr>
          <w:rStyle w:val="Refdenotaalpie"/>
          <w:rFonts w:ascii="Verdana" w:hAnsi="Verdana" w:cs="Arial"/>
          <w:sz w:val="16"/>
          <w:szCs w:val="16"/>
        </w:rPr>
        <w:footnoteRef/>
      </w:r>
      <w:r w:rsidRPr="008F607E">
        <w:rPr>
          <w:rFonts w:ascii="Verdana" w:hAnsi="Verdana" w:cs="Arial"/>
          <w:sz w:val="16"/>
          <w:szCs w:val="16"/>
        </w:rPr>
        <w:t xml:space="preserve"> Ley 1437 de 2011, artículo 3, numeral 1, el cual prescribe que el cual prescribe que, en materia administrativa sancionatoria se debe tener en cuenta el debido proceso y los principios de legalidad de las faltas y de las sanciones, de presunción de inocencia, de </w:t>
      </w:r>
      <w:r w:rsidRPr="008F607E">
        <w:rPr>
          <w:rFonts w:ascii="Verdana" w:hAnsi="Verdana" w:cs="Arial"/>
          <w:i/>
          <w:sz w:val="16"/>
          <w:szCs w:val="16"/>
        </w:rPr>
        <w:t>no reformatio in pejus y non bis in idem</w:t>
      </w:r>
      <w:r w:rsidRPr="008F607E">
        <w:rPr>
          <w:rFonts w:ascii="Verdana" w:hAnsi="Verdana" w:cs="Arial"/>
          <w:sz w:val="16"/>
          <w:szCs w:val="16"/>
        </w:rPr>
        <w:t xml:space="preserve">. </w:t>
      </w:r>
    </w:p>
    <w:p w14:paraId="44E87B46" w14:textId="77777777" w:rsidR="004808A2" w:rsidRPr="008F607E" w:rsidRDefault="004808A2" w:rsidP="004808A2">
      <w:pPr>
        <w:pStyle w:val="Textonotapie"/>
        <w:ind w:firstLine="708"/>
        <w:rPr>
          <w:rFonts w:ascii="Verdana" w:hAnsi="Verdana"/>
          <w:sz w:val="16"/>
          <w:szCs w:val="16"/>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0B4C"/>
    <w:rsid w:val="00080ECC"/>
    <w:rsid w:val="00081A99"/>
    <w:rsid w:val="00082362"/>
    <w:rsid w:val="000A190F"/>
    <w:rsid w:val="000A683E"/>
    <w:rsid w:val="000B19B9"/>
    <w:rsid w:val="000D0334"/>
    <w:rsid w:val="000D5DA7"/>
    <w:rsid w:val="000F6486"/>
    <w:rsid w:val="00113608"/>
    <w:rsid w:val="00116940"/>
    <w:rsid w:val="00125105"/>
    <w:rsid w:val="00126D22"/>
    <w:rsid w:val="00127233"/>
    <w:rsid w:val="001467C4"/>
    <w:rsid w:val="0015699B"/>
    <w:rsid w:val="001A33BF"/>
    <w:rsid w:val="001E4177"/>
    <w:rsid w:val="001F0B24"/>
    <w:rsid w:val="001F7DC6"/>
    <w:rsid w:val="00212A6E"/>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0D6C"/>
    <w:rsid w:val="003A779E"/>
    <w:rsid w:val="003D0F4D"/>
    <w:rsid w:val="003D5B0D"/>
    <w:rsid w:val="003E0499"/>
    <w:rsid w:val="003E4F80"/>
    <w:rsid w:val="003E6439"/>
    <w:rsid w:val="003F3941"/>
    <w:rsid w:val="00406575"/>
    <w:rsid w:val="00414C74"/>
    <w:rsid w:val="0042722E"/>
    <w:rsid w:val="00436D2F"/>
    <w:rsid w:val="0044528D"/>
    <w:rsid w:val="00466E39"/>
    <w:rsid w:val="004808A2"/>
    <w:rsid w:val="004A1847"/>
    <w:rsid w:val="004A305D"/>
    <w:rsid w:val="004F21C4"/>
    <w:rsid w:val="004F685F"/>
    <w:rsid w:val="00517853"/>
    <w:rsid w:val="005502E3"/>
    <w:rsid w:val="005566E8"/>
    <w:rsid w:val="00574867"/>
    <w:rsid w:val="00576B9A"/>
    <w:rsid w:val="00591460"/>
    <w:rsid w:val="005A65E0"/>
    <w:rsid w:val="005C3777"/>
    <w:rsid w:val="005C5CDC"/>
    <w:rsid w:val="005D476C"/>
    <w:rsid w:val="006200BF"/>
    <w:rsid w:val="00620164"/>
    <w:rsid w:val="006219F8"/>
    <w:rsid w:val="006302F7"/>
    <w:rsid w:val="00646B9F"/>
    <w:rsid w:val="00665D70"/>
    <w:rsid w:val="006900D9"/>
    <w:rsid w:val="006D2829"/>
    <w:rsid w:val="00706C16"/>
    <w:rsid w:val="00715E5C"/>
    <w:rsid w:val="007340C3"/>
    <w:rsid w:val="0075235A"/>
    <w:rsid w:val="00756841"/>
    <w:rsid w:val="007649AB"/>
    <w:rsid w:val="00771D0C"/>
    <w:rsid w:val="00782BDA"/>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899"/>
    <w:rsid w:val="00923EEF"/>
    <w:rsid w:val="009419F9"/>
    <w:rsid w:val="0095685E"/>
    <w:rsid w:val="00961B09"/>
    <w:rsid w:val="00965334"/>
    <w:rsid w:val="0097093E"/>
    <w:rsid w:val="009A0DFA"/>
    <w:rsid w:val="009A1C6F"/>
    <w:rsid w:val="009B2D26"/>
    <w:rsid w:val="009C6CFD"/>
    <w:rsid w:val="009C71FA"/>
    <w:rsid w:val="009C72E7"/>
    <w:rsid w:val="009C7F7E"/>
    <w:rsid w:val="009D3058"/>
    <w:rsid w:val="009F3A13"/>
    <w:rsid w:val="00A11AA2"/>
    <w:rsid w:val="00A122D3"/>
    <w:rsid w:val="00A14468"/>
    <w:rsid w:val="00A17F13"/>
    <w:rsid w:val="00A20739"/>
    <w:rsid w:val="00A23AF9"/>
    <w:rsid w:val="00A32486"/>
    <w:rsid w:val="00A33C78"/>
    <w:rsid w:val="00A83D5C"/>
    <w:rsid w:val="00AB0ADB"/>
    <w:rsid w:val="00B00C0E"/>
    <w:rsid w:val="00B01B1A"/>
    <w:rsid w:val="00B0381D"/>
    <w:rsid w:val="00B44A47"/>
    <w:rsid w:val="00B5295C"/>
    <w:rsid w:val="00B72CD3"/>
    <w:rsid w:val="00B72FFF"/>
    <w:rsid w:val="00BC3D36"/>
    <w:rsid w:val="00BD54A6"/>
    <w:rsid w:val="00BD7F72"/>
    <w:rsid w:val="00BE6572"/>
    <w:rsid w:val="00BF7425"/>
    <w:rsid w:val="00C04FB3"/>
    <w:rsid w:val="00C11D8B"/>
    <w:rsid w:val="00C15139"/>
    <w:rsid w:val="00C330EB"/>
    <w:rsid w:val="00C50D69"/>
    <w:rsid w:val="00C5365C"/>
    <w:rsid w:val="00C754BE"/>
    <w:rsid w:val="00C76B1C"/>
    <w:rsid w:val="00C925AC"/>
    <w:rsid w:val="00CB6357"/>
    <w:rsid w:val="00CC1B26"/>
    <w:rsid w:val="00CE421A"/>
    <w:rsid w:val="00D361FD"/>
    <w:rsid w:val="00D423A2"/>
    <w:rsid w:val="00D44B9A"/>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34682"/>
    <w:rsid w:val="00E50AFE"/>
    <w:rsid w:val="00E75C92"/>
    <w:rsid w:val="00E771DC"/>
    <w:rsid w:val="00E8772A"/>
    <w:rsid w:val="00E90F6B"/>
    <w:rsid w:val="00E92C27"/>
    <w:rsid w:val="00EA0E3D"/>
    <w:rsid w:val="00EC38A7"/>
    <w:rsid w:val="00EE1AA8"/>
    <w:rsid w:val="00F23FEA"/>
    <w:rsid w:val="00F31EDC"/>
    <w:rsid w:val="00F462B3"/>
    <w:rsid w:val="00F5664F"/>
    <w:rsid w:val="00F56B2D"/>
    <w:rsid w:val="00F666C4"/>
    <w:rsid w:val="00F76AFC"/>
    <w:rsid w:val="00FA47C0"/>
    <w:rsid w:val="00FB5DD1"/>
    <w:rsid w:val="00FC2B5D"/>
    <w:rsid w:val="00FD6C47"/>
    <w:rsid w:val="00FF1449"/>
    <w:rsid w:val="00FF7963"/>
    <w:rsid w:val="071B8F93"/>
    <w:rsid w:val="07C73DD1"/>
    <w:rsid w:val="09908A09"/>
    <w:rsid w:val="0E0AF0F4"/>
    <w:rsid w:val="0EFE6349"/>
    <w:rsid w:val="0FF4CCA8"/>
    <w:rsid w:val="13CFC91B"/>
    <w:rsid w:val="19A2EC2C"/>
    <w:rsid w:val="21779BE6"/>
    <w:rsid w:val="2859CA1B"/>
    <w:rsid w:val="2C4D2425"/>
    <w:rsid w:val="2D9E9971"/>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4808A2"/>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4808A2"/>
    <w:rPr>
      <w:rFonts w:ascii="Geomanist Light" w:hAnsi="Geomanist Light"/>
      <w:lang w:val="es-ES"/>
    </w:rPr>
  </w:style>
  <w:style w:type="paragraph" w:styleId="Textoindependiente">
    <w:name w:val="Body Text"/>
    <w:basedOn w:val="Normal"/>
    <w:link w:val="TextoindependienteCar"/>
    <w:uiPriority w:val="99"/>
    <w:unhideWhenUsed/>
    <w:rsid w:val="004808A2"/>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4808A2"/>
    <w:rPr>
      <w:rFonts w:eastAsiaTheme="minorEastAsia"/>
      <w:lang w:eastAsia="es-CO"/>
    </w:rPr>
  </w:style>
  <w:style w:type="character" w:customStyle="1" w:styleId="s15">
    <w:name w:val="s15"/>
    <w:basedOn w:val="Fuentedeprrafopredeter"/>
    <w:rsid w:val="004808A2"/>
  </w:style>
  <w:style w:type="character" w:customStyle="1" w:styleId="NormalWebCar">
    <w:name w:val="Normal (Web) Car"/>
    <w:link w:val="NormalWeb"/>
    <w:uiPriority w:val="99"/>
    <w:rsid w:val="004808A2"/>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4808A2"/>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18" Type="http://schemas.openxmlformats.org/officeDocument/2006/relationships/hyperlink" Target="https://www.colombiacompra.gov.co/pqrsd/informacion-importante-antes-de-formular-una-pqrs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mailto:ventanilladeradicacion@colombiacompra.gov.co"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inahernandez108@gmail.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orms.office.com/r/pPHyWVs2S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3B71701C-BA00-4A30-82A0-50893A1F98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27</Pages>
  <Words>8249</Words>
  <Characters>45373</Characters>
  <Application>Microsoft Office Word</Application>
  <DocSecurity>0</DocSecurity>
  <Lines>378</Lines>
  <Paragraphs>107</Paragraphs>
  <ScaleCrop>false</ScaleCrop>
  <Company/>
  <LinksUpToDate>false</LinksUpToDate>
  <CharactersWithSpaces>53515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2026-08-25T00:00:00Z</cp:lastPrinted>
  <dcterms:created xsi:type="dcterms:W3CDTF">2026-08-25T00:01:00Z</dcterms:created>
  <dcterms:modified xsi:type="dcterms:W3CDTF">2026-08-27T16:10:00Z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