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36A83" w14:textId="77777777" w:rsidR="00FA4501" w:rsidRPr="00FA4501" w:rsidRDefault="00FA4501" w:rsidP="00FA4501">
      <w:pPr>
        <w:spacing w:after="0" w:line="240" w:lineRule="auto"/>
        <w:jc w:val="both"/>
        <w:rPr>
          <w:rFonts w:ascii="Verdana" w:eastAsia="Geomanist Light" w:hAnsi="Verdana" w:cs="Arial"/>
          <w:b/>
          <w:bCs/>
          <w:color w:val="000000" w:themeColor="text1"/>
          <w:sz w:val="20"/>
          <w:szCs w:val="20"/>
          <w:lang w:val="es-MX"/>
        </w:rPr>
      </w:pPr>
      <w:bookmarkStart w:id="0" w:name="_Hlk186494164"/>
      <w:bookmarkStart w:id="1" w:name="_Hlk143780582"/>
      <w:r w:rsidRPr="00FA4501">
        <w:rPr>
          <w:rFonts w:ascii="Verdana" w:eastAsia="Times New Roman" w:hAnsi="Verdana"/>
          <w:b/>
          <w:bCs/>
          <w:lang w:val="es-ES_tradnl" w:eastAsia="es-ES_tradnl"/>
        </w:rPr>
        <w:t>CONVENIOS Y CONTRATOS INTERADMINISTRATIVOS –</w:t>
      </w:r>
      <w:r w:rsidRPr="00FA4501">
        <w:rPr>
          <w:rFonts w:ascii="Verdana" w:eastAsia="Times New Roman" w:hAnsi="Verdana"/>
          <w:b/>
          <w:bCs/>
          <w:lang w:eastAsia="es-ES_tradnl"/>
        </w:rPr>
        <w:t xml:space="preserve"> Noción y Características – Diferencias</w:t>
      </w:r>
      <w:r w:rsidRPr="00FA4501">
        <w:rPr>
          <w:rFonts w:ascii="Verdana" w:eastAsia="Calibri" w:hAnsi="Verdana" w:cs="Arial"/>
          <w:b/>
          <w:bCs/>
          <w:lang w:eastAsia="es-ES"/>
        </w:rPr>
        <w:t xml:space="preserve"> </w:t>
      </w:r>
    </w:p>
    <w:p w14:paraId="0729F99C" w14:textId="77777777" w:rsidR="00FA4501" w:rsidRPr="00FA4501" w:rsidRDefault="00FA4501" w:rsidP="00FA4501">
      <w:pPr>
        <w:spacing w:after="0" w:line="240" w:lineRule="auto"/>
        <w:rPr>
          <w:rFonts w:ascii="Verdana" w:eastAsia="Geomanist Light" w:hAnsi="Verdana" w:cs="Arial"/>
          <w:color w:val="000000" w:themeColor="text1"/>
          <w:lang w:val="es-MX"/>
        </w:rPr>
      </w:pPr>
    </w:p>
    <w:p w14:paraId="70599D3A" w14:textId="77777777" w:rsidR="00FA4501" w:rsidRPr="00FA4501" w:rsidRDefault="00FA4501" w:rsidP="00FA4501">
      <w:pPr>
        <w:snapToGrid w:val="0"/>
        <w:jc w:val="both"/>
        <w:rPr>
          <w:rFonts w:ascii="Verdana" w:eastAsia="Calibri" w:hAnsi="Verdana" w:cs="Arial"/>
          <w:bCs/>
          <w:color w:val="000000" w:themeColor="text1"/>
          <w:sz w:val="20"/>
          <w:szCs w:val="20"/>
          <w:lang w:eastAsia="es-ES_tradnl" w:bidi="es-ES"/>
        </w:rPr>
      </w:pPr>
      <w:r w:rsidRPr="00FA4501">
        <w:rPr>
          <w:rFonts w:ascii="Verdana" w:eastAsia="Calibri" w:hAnsi="Verdana" w:cs="Arial"/>
          <w:bCs/>
          <w:color w:val="000000" w:themeColor="text1"/>
          <w:sz w:val="20"/>
          <w:szCs w:val="20"/>
          <w:lang w:eastAsia="es-ES_tradnl" w:bidi="es-ES"/>
        </w:rPr>
        <w:t>Mientras que en el contrato interadministrativo las finalidades de las partes divergen, en el convenio convergen y cooperan en función del cumplimiento eficiente de un propósito estatal común superior. En esa línea, una interpretación sistemática de las leyes 80 de 1993, 1150 de 2007 y 1474 de 2011 invitaría a considerar el contrato interadministrativo como una relación jurídica patrimonial, onerosa y conmutativa, en la que existen unas exigencias y restricciones normativas adicionales, de manera que, en efecto, dista de la naturaleza y esencia del convenio interadministrativo.</w:t>
      </w:r>
    </w:p>
    <w:p w14:paraId="38F1A5D1" w14:textId="77777777" w:rsidR="00FA4501" w:rsidRPr="00FA4501" w:rsidRDefault="00FA4501" w:rsidP="00FA4501">
      <w:pPr>
        <w:snapToGrid w:val="0"/>
        <w:spacing w:after="0" w:line="240" w:lineRule="auto"/>
        <w:jc w:val="both"/>
        <w:rPr>
          <w:rFonts w:ascii="Verdana" w:eastAsia="Times New Roman" w:hAnsi="Verdana" w:cs="Arial"/>
          <w:iCs/>
          <w:sz w:val="20"/>
          <w:szCs w:val="20"/>
          <w:lang w:eastAsia="es-ES_tradnl"/>
        </w:rPr>
      </w:pPr>
      <w:r w:rsidRPr="00FA4501">
        <w:rPr>
          <w:rFonts w:ascii="Verdana" w:eastAsia="Calibri" w:hAnsi="Verdana" w:cs="Arial"/>
          <w:bCs/>
          <w:color w:val="000000" w:themeColor="text1"/>
          <w:sz w:val="20"/>
          <w:szCs w:val="20"/>
          <w:lang w:eastAsia="es-ES_tradnl" w:bidi="es-ES"/>
        </w:rPr>
        <w:t xml:space="preserve">En este contexto, </w:t>
      </w:r>
      <w:r w:rsidRPr="00FA4501">
        <w:rPr>
          <w:rFonts w:ascii="Verdana" w:eastAsia="Times New Roman" w:hAnsi="Verdana" w:cs="Arial"/>
          <w:iCs/>
          <w:sz w:val="20"/>
          <w:szCs w:val="20"/>
          <w:lang w:eastAsia="es-ES_tradnl"/>
        </w:rPr>
        <w:t>tanto en los contratos como en los convenios interadministrativos es posible incluir costos y gastos administrativos. No obstante, debido a la naturaleza jurídica de cada figura, estos rubros tienen una finalidad y alcance diferente. En el marco de un convenio interadministrativo, las entidades públicas pueden incorporar los costos o gastos administrativos asociados a sus respectivos aportes técnicos, administrativos, financieros o económicos, siempre que estén orientados a contribuir, en el ámbito de sus competencias, al cumplimiento de los compromisos comunes y a garantizar la viabilidad operativa del convenio. En contraste, en los contratos interadministrativos, debido a su naturaleza onerosa y conmutativa, estos rubros hacen parte de la contraprestación pactada a favor de la entidad ejecutora, es decir, forman parte del precio o retribución económica a una de las partes por los bienes o servicios que presta.</w:t>
      </w:r>
    </w:p>
    <w:p w14:paraId="2973248F" w14:textId="77777777" w:rsidR="00FA4501" w:rsidRPr="00FA4501" w:rsidRDefault="00FA4501" w:rsidP="00FA4501">
      <w:pPr>
        <w:spacing w:after="0" w:line="240" w:lineRule="auto"/>
        <w:rPr>
          <w:rFonts w:ascii="Verdana" w:eastAsia="Geomanist Light" w:hAnsi="Verdana" w:cs="Arial"/>
          <w:color w:val="000000" w:themeColor="text1"/>
          <w:lang w:val="es-MX"/>
        </w:rPr>
      </w:pPr>
    </w:p>
    <w:p w14:paraId="414E4F6D" w14:textId="77777777" w:rsidR="00FA4501" w:rsidRPr="00FA4501" w:rsidRDefault="00FA4501" w:rsidP="00FA4501">
      <w:pPr>
        <w:spacing w:after="0" w:line="240" w:lineRule="auto"/>
        <w:jc w:val="both"/>
        <w:rPr>
          <w:rFonts w:ascii="Verdana" w:eastAsia="Geomanist Light" w:hAnsi="Verdana" w:cs="Arial"/>
          <w:b/>
          <w:bCs/>
          <w:color w:val="000000" w:themeColor="text1"/>
          <w:lang w:val="es-MX"/>
        </w:rPr>
      </w:pPr>
      <w:r w:rsidRPr="00FA4501">
        <w:rPr>
          <w:rFonts w:ascii="Verdana" w:eastAsia="Times New Roman" w:hAnsi="Verdana"/>
          <w:b/>
          <w:bCs/>
          <w:lang w:val="es-ES_tradnl" w:eastAsia="es-ES_tradnl"/>
        </w:rPr>
        <w:t xml:space="preserve">CONVENIOS Y CONTRATOS INTERADMINISTRATIVOS </w:t>
      </w:r>
      <w:r w:rsidRPr="00FA4501">
        <w:rPr>
          <w:rFonts w:ascii="Verdana" w:eastAsia="Times New Roman" w:hAnsi="Verdana"/>
          <w:b/>
          <w:bCs/>
          <w:lang w:eastAsia="es-ES_tradnl"/>
        </w:rPr>
        <w:t xml:space="preserve">– </w:t>
      </w:r>
      <w:r w:rsidRPr="00FA4501">
        <w:rPr>
          <w:rFonts w:ascii="Verdana" w:eastAsia="Calibri" w:hAnsi="Verdana" w:cs="Arial"/>
          <w:b/>
          <w:bCs/>
          <w:lang w:eastAsia="es-ES"/>
        </w:rPr>
        <w:t xml:space="preserve">Costos administrativos </w:t>
      </w:r>
      <w:r w:rsidRPr="00FA4501">
        <w:rPr>
          <w:rFonts w:ascii="Verdana" w:eastAsia="Times New Roman" w:hAnsi="Verdana"/>
          <w:b/>
          <w:bCs/>
          <w:lang w:eastAsia="es-ES_tradnl"/>
        </w:rPr>
        <w:t>– Procedencia</w:t>
      </w:r>
    </w:p>
    <w:p w14:paraId="7449DB64" w14:textId="77777777" w:rsidR="00FA4501" w:rsidRPr="00FA4501" w:rsidRDefault="00FA4501" w:rsidP="00FA4501">
      <w:pPr>
        <w:spacing w:after="0" w:line="240" w:lineRule="auto"/>
        <w:rPr>
          <w:rFonts w:ascii="Verdana" w:eastAsia="Geomanist Light" w:hAnsi="Verdana" w:cs="Arial"/>
          <w:color w:val="000000" w:themeColor="text1"/>
          <w:lang w:val="es-MX"/>
        </w:rPr>
      </w:pPr>
    </w:p>
    <w:p w14:paraId="50728084" w14:textId="77777777" w:rsidR="00FA4501" w:rsidRPr="00FA4501" w:rsidRDefault="00FA4501" w:rsidP="00FA4501">
      <w:pPr>
        <w:spacing w:after="0" w:line="240" w:lineRule="auto"/>
        <w:jc w:val="both"/>
        <w:rPr>
          <w:rFonts w:ascii="Verdana" w:eastAsia="Calibri" w:hAnsi="Verdana" w:cs="Arial"/>
          <w:bCs/>
          <w:color w:val="000000" w:themeColor="text1"/>
          <w:sz w:val="20"/>
          <w:szCs w:val="20"/>
          <w:lang w:eastAsia="es-ES_tradnl" w:bidi="es-ES"/>
        </w:rPr>
      </w:pPr>
      <w:r w:rsidRPr="00FA4501">
        <w:rPr>
          <w:rFonts w:ascii="Verdana" w:eastAsia="Calibri" w:hAnsi="Verdana" w:cs="Arial"/>
          <w:bCs/>
          <w:color w:val="000000" w:themeColor="text1"/>
          <w:sz w:val="20"/>
          <w:szCs w:val="20"/>
          <w:lang w:eastAsia="es-ES_tradnl" w:bidi="es-ES"/>
        </w:rPr>
        <w:t>Tanto en los contratos como en los convenios interadministrativos es posible incluir costos y gastos administrativos. No obstante, debido a la naturaleza jurídica de cada figura, estos rubros tienen una finalidad y alcance diferente. En el marco de un convenio interadministrativo, las entidades públicas pueden incorporar los costos o gastos administrativos asociados a sus respectivos aportes técnicos, administrativos, financieros o económicos, siempre que estén orientados a contribuir, en el ámbito de sus competencias, al cumplimiento de los compromisos comunes y a garantizar la viabilidad operativa del convenio. En contraste, en los contratos interadministrativos, debido a su naturaleza onerosa y conmutativa, estos rubros hacen parte de la contraprestación pactada a favor de la entidad ejecutora, es decir, forman parte del precio o retribución económica a una de las partes por los bienes o servicios que presta.</w:t>
      </w:r>
    </w:p>
    <w:p w14:paraId="53B92517" w14:textId="77777777" w:rsidR="00FA4501" w:rsidRPr="00FA4501" w:rsidRDefault="00FA4501" w:rsidP="00FA4501">
      <w:pPr>
        <w:spacing w:after="0" w:line="240" w:lineRule="auto"/>
        <w:jc w:val="both"/>
        <w:rPr>
          <w:rFonts w:ascii="Verdana" w:eastAsia="Calibri" w:hAnsi="Verdana" w:cs="Arial"/>
          <w:bCs/>
          <w:color w:val="000000" w:themeColor="text1"/>
          <w:sz w:val="20"/>
          <w:szCs w:val="20"/>
          <w:lang w:eastAsia="es-ES_tradnl" w:bidi="es-ES"/>
        </w:rPr>
      </w:pPr>
    </w:p>
    <w:p w14:paraId="00D0B4BB" w14:textId="77777777" w:rsidR="00FA4501" w:rsidRPr="00FA4501" w:rsidRDefault="00FA4501" w:rsidP="00FA4501">
      <w:pPr>
        <w:spacing w:after="0" w:line="240" w:lineRule="auto"/>
        <w:jc w:val="both"/>
        <w:rPr>
          <w:rFonts w:ascii="Verdana" w:eastAsia="Calibri" w:hAnsi="Verdana" w:cs="Arial"/>
          <w:bCs/>
          <w:color w:val="000000" w:themeColor="text1"/>
          <w:sz w:val="20"/>
          <w:szCs w:val="20"/>
          <w:lang w:eastAsia="es-ES_tradnl" w:bidi="es-ES"/>
        </w:rPr>
      </w:pPr>
      <w:r w:rsidRPr="00FA4501">
        <w:rPr>
          <w:rFonts w:ascii="Verdana" w:eastAsia="Calibri" w:hAnsi="Verdana" w:cs="Arial"/>
          <w:bCs/>
          <w:color w:val="000000" w:themeColor="text1"/>
          <w:sz w:val="20"/>
          <w:szCs w:val="20"/>
          <w:lang w:eastAsia="es-ES_tradnl" w:bidi="es-ES"/>
        </w:rPr>
        <w:t xml:space="preserve">Lo anterior reviste especial importancia, ya que, como se explicó, la naturaleza del negocio jurídico determina el régimen jurídico aplicable, así como la procedencia y el alcance de determinadas figuras contractuales. En este sentido, la determinación de los </w:t>
      </w:r>
      <w:r w:rsidRPr="00FA4501">
        <w:rPr>
          <w:rFonts w:ascii="Verdana" w:eastAsia="Calibri" w:hAnsi="Verdana" w:cs="Arial"/>
          <w:bCs/>
          <w:color w:val="000000" w:themeColor="text1"/>
          <w:sz w:val="20"/>
          <w:szCs w:val="20"/>
          <w:lang w:eastAsia="es-ES_tradnl" w:bidi="es-ES"/>
        </w:rPr>
        <w:lastRenderedPageBreak/>
        <w:t>costos o gastos administrativos en uno u otro negocio jurídico debe corresponden con la naturaleza, finalidad y alcance de cada uno de ellos. En todo caso, debe recordarse que la aplicación o el alcance de estas y otras instituciones debe evaluarse con base en el contenido específico de cada convenio interadministrativo celebrado, por lo que no es posible establecer conclusiones de manera automática o anticipada con la simple denominación que las partes le asignen.</w:t>
      </w:r>
    </w:p>
    <w:p w14:paraId="61B22773" w14:textId="77777777" w:rsidR="00FA4501" w:rsidRPr="00FA4501" w:rsidRDefault="00FA4501" w:rsidP="00FA4501">
      <w:pPr>
        <w:spacing w:after="0" w:line="240" w:lineRule="auto"/>
        <w:rPr>
          <w:rFonts w:ascii="Verdana" w:eastAsia="Geomanist Light" w:hAnsi="Verdana" w:cs="Arial"/>
          <w:color w:val="000000" w:themeColor="text1"/>
          <w:lang w:val="es-MX"/>
        </w:rPr>
      </w:pPr>
    </w:p>
    <w:p w14:paraId="0AA0457E" w14:textId="77777777" w:rsidR="00FA4501" w:rsidRPr="00FA4501" w:rsidRDefault="00FA4501" w:rsidP="00FA4501">
      <w:pPr>
        <w:spacing w:after="0" w:line="240" w:lineRule="auto"/>
        <w:rPr>
          <w:rFonts w:ascii="Verdana" w:eastAsia="Geomanist Light" w:hAnsi="Verdana" w:cs="Arial"/>
          <w:color w:val="000000" w:themeColor="text1"/>
          <w:lang w:val="es-MX"/>
        </w:rPr>
      </w:pPr>
    </w:p>
    <w:p w14:paraId="4196A221" w14:textId="77777777" w:rsidR="00FA4501" w:rsidRPr="00FA4501" w:rsidRDefault="00FA4501" w:rsidP="00FA4501">
      <w:pPr>
        <w:spacing w:after="0" w:line="240" w:lineRule="auto"/>
        <w:rPr>
          <w:rFonts w:ascii="Verdana" w:eastAsia="Geomanist Light" w:hAnsi="Verdana" w:cs="Arial"/>
          <w:color w:val="000000" w:themeColor="text1"/>
          <w:lang w:val="es-MX"/>
        </w:rPr>
      </w:pPr>
    </w:p>
    <w:p w14:paraId="4AD69E09" w14:textId="77777777" w:rsidR="00FA4501" w:rsidRPr="00FA4501" w:rsidRDefault="00FA4501" w:rsidP="00FA4501">
      <w:pPr>
        <w:spacing w:after="0" w:line="240" w:lineRule="auto"/>
        <w:rPr>
          <w:rFonts w:ascii="Verdana" w:eastAsia="Geomanist Light" w:hAnsi="Verdana" w:cs="Arial"/>
          <w:color w:val="000000" w:themeColor="text1"/>
          <w:lang w:val="es-MX"/>
        </w:rPr>
      </w:pPr>
    </w:p>
    <w:p w14:paraId="26799524" w14:textId="77777777" w:rsidR="00FA4501" w:rsidRPr="00FA4501" w:rsidRDefault="00FA4501" w:rsidP="00FA4501">
      <w:pPr>
        <w:spacing w:after="0" w:line="240" w:lineRule="auto"/>
        <w:rPr>
          <w:rFonts w:ascii="Verdana" w:eastAsia="Geomanist Light" w:hAnsi="Verdana" w:cs="Arial"/>
          <w:color w:val="000000" w:themeColor="text1"/>
          <w:lang w:val="es-MX"/>
        </w:rPr>
      </w:pPr>
    </w:p>
    <w:p w14:paraId="215B3FB3" w14:textId="77777777" w:rsidR="00FA4501" w:rsidRPr="00FA4501" w:rsidRDefault="00FA4501" w:rsidP="00FA4501">
      <w:pPr>
        <w:spacing w:after="0" w:line="240" w:lineRule="auto"/>
        <w:rPr>
          <w:rFonts w:ascii="Verdana" w:eastAsia="Geomanist Light" w:hAnsi="Verdana" w:cs="Arial"/>
          <w:color w:val="000000" w:themeColor="text1"/>
          <w:lang w:val="es-MX"/>
        </w:rPr>
      </w:pPr>
    </w:p>
    <w:p w14:paraId="44A783A7" w14:textId="77777777" w:rsidR="00FA4501" w:rsidRPr="00FA4501" w:rsidRDefault="00FA4501" w:rsidP="00FA4501">
      <w:pPr>
        <w:spacing w:after="0" w:line="240" w:lineRule="auto"/>
        <w:rPr>
          <w:rFonts w:ascii="Verdana" w:eastAsia="Geomanist Light" w:hAnsi="Verdana" w:cs="Arial"/>
          <w:color w:val="000000" w:themeColor="text1"/>
          <w:lang w:val="es-MX"/>
        </w:rPr>
      </w:pPr>
    </w:p>
    <w:p w14:paraId="69727E66" w14:textId="77777777" w:rsidR="00FA4501" w:rsidRPr="00FA4501" w:rsidRDefault="00FA4501" w:rsidP="00FA4501">
      <w:pPr>
        <w:spacing w:after="0" w:line="240" w:lineRule="auto"/>
        <w:rPr>
          <w:rFonts w:ascii="Verdana" w:eastAsia="Geomanist Light" w:hAnsi="Verdana" w:cs="Arial"/>
          <w:color w:val="000000" w:themeColor="text1"/>
          <w:lang w:val="es-MX"/>
        </w:rPr>
      </w:pPr>
    </w:p>
    <w:p w14:paraId="6867FC00" w14:textId="77777777" w:rsidR="00FA4501" w:rsidRPr="00FA4501" w:rsidRDefault="00FA4501" w:rsidP="00FA4501">
      <w:pPr>
        <w:spacing w:after="0" w:line="240" w:lineRule="auto"/>
        <w:rPr>
          <w:rFonts w:ascii="Verdana" w:eastAsia="Geomanist Light" w:hAnsi="Verdana" w:cs="Arial"/>
          <w:color w:val="000000" w:themeColor="text1"/>
          <w:lang w:val="es-MX"/>
        </w:rPr>
      </w:pPr>
    </w:p>
    <w:p w14:paraId="783B69E2" w14:textId="77777777" w:rsidR="00FA4501" w:rsidRPr="00FA4501" w:rsidRDefault="00FA4501" w:rsidP="00FA4501">
      <w:pPr>
        <w:spacing w:after="0" w:line="240" w:lineRule="auto"/>
        <w:rPr>
          <w:rFonts w:ascii="Verdana" w:eastAsia="Geomanist Light" w:hAnsi="Verdana" w:cs="Arial"/>
          <w:color w:val="000000" w:themeColor="text1"/>
          <w:lang w:val="es-MX"/>
        </w:rPr>
      </w:pPr>
    </w:p>
    <w:p w14:paraId="1A59F3CC" w14:textId="77777777" w:rsidR="00FA4501" w:rsidRPr="00FA4501" w:rsidRDefault="00FA4501" w:rsidP="00FA4501">
      <w:pPr>
        <w:spacing w:after="0" w:line="240" w:lineRule="auto"/>
        <w:rPr>
          <w:rFonts w:ascii="Verdana" w:eastAsia="Geomanist Light" w:hAnsi="Verdana" w:cs="Arial"/>
          <w:color w:val="000000" w:themeColor="text1"/>
          <w:lang w:val="es-MX"/>
        </w:rPr>
      </w:pPr>
    </w:p>
    <w:p w14:paraId="07EA93C8" w14:textId="77777777" w:rsidR="00FA4501" w:rsidRPr="00FA4501" w:rsidRDefault="00FA4501" w:rsidP="00FA4501">
      <w:pPr>
        <w:spacing w:after="0" w:line="240" w:lineRule="auto"/>
        <w:rPr>
          <w:rFonts w:ascii="Verdana" w:eastAsia="Geomanist Light" w:hAnsi="Verdana" w:cs="Arial"/>
          <w:color w:val="000000" w:themeColor="text1"/>
          <w:lang w:val="es-MX"/>
        </w:rPr>
      </w:pPr>
    </w:p>
    <w:p w14:paraId="4D341BC0" w14:textId="77777777" w:rsidR="00FA4501" w:rsidRPr="00FA4501" w:rsidRDefault="00FA4501" w:rsidP="00FA4501">
      <w:pPr>
        <w:spacing w:after="0" w:line="240" w:lineRule="auto"/>
        <w:rPr>
          <w:rFonts w:ascii="Verdana" w:eastAsia="Geomanist Light" w:hAnsi="Verdana" w:cs="Arial"/>
          <w:color w:val="000000" w:themeColor="text1"/>
          <w:lang w:val="es-MX"/>
        </w:rPr>
      </w:pPr>
    </w:p>
    <w:p w14:paraId="63196226" w14:textId="77777777" w:rsidR="00FA4501" w:rsidRPr="00FA4501" w:rsidRDefault="00FA4501" w:rsidP="00FA4501">
      <w:pPr>
        <w:spacing w:after="0" w:line="240" w:lineRule="auto"/>
        <w:rPr>
          <w:rFonts w:ascii="Verdana" w:eastAsia="Geomanist Light" w:hAnsi="Verdana" w:cs="Arial"/>
          <w:color w:val="000000" w:themeColor="text1"/>
          <w:lang w:val="es-MX"/>
        </w:rPr>
      </w:pPr>
    </w:p>
    <w:p w14:paraId="5FD73DFE" w14:textId="77777777" w:rsidR="00FA4501" w:rsidRPr="00FA4501" w:rsidRDefault="00FA4501" w:rsidP="00FA4501">
      <w:pPr>
        <w:spacing w:after="0" w:line="240" w:lineRule="auto"/>
        <w:rPr>
          <w:rFonts w:ascii="Verdana" w:eastAsia="Geomanist Light" w:hAnsi="Verdana" w:cs="Arial"/>
          <w:color w:val="000000" w:themeColor="text1"/>
          <w:lang w:val="es-MX"/>
        </w:rPr>
      </w:pPr>
    </w:p>
    <w:p w14:paraId="5F723295" w14:textId="77777777" w:rsidR="00FA4501" w:rsidRPr="00FA4501" w:rsidRDefault="00FA4501" w:rsidP="00FA4501">
      <w:pPr>
        <w:spacing w:after="0" w:line="240" w:lineRule="auto"/>
        <w:rPr>
          <w:rFonts w:ascii="Verdana" w:eastAsia="Geomanist Light" w:hAnsi="Verdana" w:cs="Arial"/>
          <w:color w:val="000000" w:themeColor="text1"/>
          <w:lang w:val="es-MX"/>
        </w:rPr>
      </w:pPr>
    </w:p>
    <w:p w14:paraId="3B0B5AE4" w14:textId="77777777" w:rsidR="00FA4501" w:rsidRPr="00FA4501" w:rsidRDefault="00FA4501" w:rsidP="00FA4501">
      <w:pPr>
        <w:spacing w:after="0" w:line="240" w:lineRule="auto"/>
        <w:rPr>
          <w:rFonts w:ascii="Verdana" w:eastAsia="Geomanist Light" w:hAnsi="Verdana" w:cs="Arial"/>
          <w:color w:val="000000" w:themeColor="text1"/>
          <w:lang w:val="es-MX"/>
        </w:rPr>
      </w:pPr>
    </w:p>
    <w:p w14:paraId="3DAAB1B9" w14:textId="77777777" w:rsidR="00FA4501" w:rsidRPr="00FA4501" w:rsidRDefault="00FA4501" w:rsidP="00FA4501">
      <w:pPr>
        <w:spacing w:after="0" w:line="240" w:lineRule="auto"/>
        <w:rPr>
          <w:rFonts w:ascii="Verdana" w:eastAsia="Geomanist Light" w:hAnsi="Verdana" w:cs="Arial"/>
          <w:color w:val="000000" w:themeColor="text1"/>
          <w:lang w:val="es-MX"/>
        </w:rPr>
      </w:pPr>
    </w:p>
    <w:p w14:paraId="5870D854" w14:textId="77777777" w:rsidR="00FA4501" w:rsidRPr="00FA4501" w:rsidRDefault="00FA4501" w:rsidP="00FA4501">
      <w:pPr>
        <w:spacing w:after="0" w:line="240" w:lineRule="auto"/>
        <w:rPr>
          <w:rFonts w:ascii="Verdana" w:eastAsia="Geomanist Light" w:hAnsi="Verdana" w:cs="Arial"/>
          <w:color w:val="000000" w:themeColor="text1"/>
          <w:lang w:val="es-MX"/>
        </w:rPr>
      </w:pPr>
    </w:p>
    <w:p w14:paraId="7C27EB59" w14:textId="77777777" w:rsidR="00FA4501" w:rsidRPr="00FA4501" w:rsidRDefault="00FA4501" w:rsidP="00FA4501">
      <w:pPr>
        <w:spacing w:after="0" w:line="240" w:lineRule="auto"/>
        <w:rPr>
          <w:rFonts w:ascii="Verdana" w:eastAsia="Geomanist Light" w:hAnsi="Verdana" w:cs="Arial"/>
          <w:color w:val="000000" w:themeColor="text1"/>
          <w:lang w:val="es-MX"/>
        </w:rPr>
      </w:pPr>
    </w:p>
    <w:p w14:paraId="227CB78F" w14:textId="77777777" w:rsidR="00FA4501" w:rsidRPr="00FA4501" w:rsidRDefault="00FA4501" w:rsidP="00FA4501">
      <w:pPr>
        <w:spacing w:after="0" w:line="240" w:lineRule="auto"/>
        <w:rPr>
          <w:rFonts w:ascii="Verdana" w:eastAsia="Geomanist Light" w:hAnsi="Verdana" w:cs="Arial"/>
          <w:color w:val="000000" w:themeColor="text1"/>
          <w:lang w:val="es-MX"/>
        </w:rPr>
      </w:pPr>
    </w:p>
    <w:p w14:paraId="259AB71A" w14:textId="77777777" w:rsidR="00FA4501" w:rsidRPr="00FA4501" w:rsidRDefault="00FA4501" w:rsidP="00FA4501">
      <w:pPr>
        <w:spacing w:after="0" w:line="240" w:lineRule="auto"/>
        <w:rPr>
          <w:rFonts w:ascii="Verdana" w:eastAsia="Geomanist Light" w:hAnsi="Verdana" w:cs="Arial"/>
          <w:color w:val="000000" w:themeColor="text1"/>
          <w:lang w:val="es-MX"/>
        </w:rPr>
      </w:pPr>
    </w:p>
    <w:p w14:paraId="3B6F253B" w14:textId="77777777" w:rsidR="00FA4501" w:rsidRPr="00FA4501" w:rsidRDefault="00FA4501" w:rsidP="00FA4501">
      <w:pPr>
        <w:spacing w:after="0" w:line="240" w:lineRule="auto"/>
        <w:rPr>
          <w:rFonts w:ascii="Verdana" w:eastAsia="Geomanist Light" w:hAnsi="Verdana" w:cs="Arial"/>
          <w:color w:val="000000" w:themeColor="text1"/>
          <w:lang w:val="es-MX"/>
        </w:rPr>
      </w:pPr>
    </w:p>
    <w:p w14:paraId="31F41888" w14:textId="77777777" w:rsidR="00FA4501" w:rsidRPr="00FA4501" w:rsidRDefault="00FA4501" w:rsidP="00FA4501">
      <w:pPr>
        <w:spacing w:after="0" w:line="240" w:lineRule="auto"/>
        <w:rPr>
          <w:rFonts w:ascii="Verdana" w:eastAsia="Geomanist Light" w:hAnsi="Verdana" w:cs="Arial"/>
          <w:color w:val="000000" w:themeColor="text1"/>
          <w:lang w:val="es-MX"/>
        </w:rPr>
      </w:pPr>
    </w:p>
    <w:p w14:paraId="7C5DF9E9" w14:textId="77777777" w:rsidR="00FA4501" w:rsidRPr="00FA4501" w:rsidRDefault="00FA4501" w:rsidP="00FA4501">
      <w:pPr>
        <w:spacing w:after="0" w:line="240" w:lineRule="auto"/>
        <w:rPr>
          <w:rFonts w:ascii="Verdana" w:eastAsia="Geomanist Light" w:hAnsi="Verdana" w:cs="Arial"/>
          <w:color w:val="000000" w:themeColor="text1"/>
          <w:lang w:val="es-MX"/>
        </w:rPr>
      </w:pPr>
    </w:p>
    <w:p w14:paraId="3C495E0D" w14:textId="77777777" w:rsidR="00FA4501" w:rsidRPr="00FA4501" w:rsidRDefault="00FA4501" w:rsidP="00FA4501">
      <w:pPr>
        <w:spacing w:after="0" w:line="240" w:lineRule="auto"/>
        <w:rPr>
          <w:rFonts w:ascii="Verdana" w:eastAsia="Geomanist Light" w:hAnsi="Verdana" w:cs="Arial"/>
          <w:color w:val="000000" w:themeColor="text1"/>
          <w:lang w:val="es-MX"/>
        </w:rPr>
      </w:pPr>
    </w:p>
    <w:p w14:paraId="65A9DCAE" w14:textId="77777777" w:rsidR="00FA4501" w:rsidRPr="00FA4501" w:rsidRDefault="00FA4501" w:rsidP="00FA4501">
      <w:pPr>
        <w:spacing w:after="0" w:line="240" w:lineRule="auto"/>
        <w:rPr>
          <w:rFonts w:ascii="Verdana" w:eastAsia="Geomanist Light" w:hAnsi="Verdana" w:cs="Arial"/>
          <w:color w:val="000000" w:themeColor="text1"/>
          <w:lang w:val="es-MX"/>
        </w:rPr>
      </w:pPr>
    </w:p>
    <w:p w14:paraId="4083F5BF" w14:textId="77777777" w:rsidR="00FA4501" w:rsidRPr="00FA4501" w:rsidRDefault="00FA4501" w:rsidP="00FA4501">
      <w:pPr>
        <w:spacing w:after="0" w:line="240" w:lineRule="auto"/>
        <w:rPr>
          <w:rFonts w:ascii="Verdana" w:eastAsia="Geomanist Light" w:hAnsi="Verdana" w:cs="Arial"/>
          <w:color w:val="000000" w:themeColor="text1"/>
          <w:lang w:val="es-MX"/>
        </w:rPr>
      </w:pPr>
    </w:p>
    <w:p w14:paraId="217787DD" w14:textId="77777777" w:rsidR="00FA4501" w:rsidRPr="00FA4501" w:rsidRDefault="00FA4501" w:rsidP="00FA4501">
      <w:pPr>
        <w:spacing w:after="0" w:line="240" w:lineRule="auto"/>
        <w:rPr>
          <w:rFonts w:ascii="Verdana" w:eastAsia="Geomanist Light" w:hAnsi="Verdana" w:cs="Arial"/>
          <w:color w:val="000000" w:themeColor="text1"/>
          <w:lang w:val="es-MX"/>
        </w:rPr>
      </w:pPr>
    </w:p>
    <w:p w14:paraId="01A3FD35" w14:textId="77777777" w:rsidR="00FA4501" w:rsidRPr="00FA4501" w:rsidRDefault="00FA4501" w:rsidP="00FA4501">
      <w:pPr>
        <w:spacing w:after="0" w:line="240" w:lineRule="auto"/>
        <w:rPr>
          <w:rFonts w:ascii="Verdana" w:eastAsia="Geomanist Light" w:hAnsi="Verdana" w:cs="Arial"/>
          <w:color w:val="000000" w:themeColor="text1"/>
          <w:lang w:val="es-MX"/>
        </w:rPr>
      </w:pPr>
    </w:p>
    <w:p w14:paraId="0B359E84" w14:textId="77777777" w:rsidR="00FA4501" w:rsidRPr="00FA4501" w:rsidRDefault="00FA4501" w:rsidP="00FA4501">
      <w:pPr>
        <w:spacing w:after="0" w:line="240" w:lineRule="auto"/>
        <w:rPr>
          <w:rFonts w:ascii="Verdana" w:eastAsia="Geomanist Light" w:hAnsi="Verdana" w:cs="Arial"/>
          <w:color w:val="000000" w:themeColor="text1"/>
          <w:lang w:val="es-MX"/>
        </w:rPr>
      </w:pPr>
    </w:p>
    <w:p w14:paraId="230EF3A4" w14:textId="77777777" w:rsidR="00FA4501" w:rsidRPr="00FA4501" w:rsidRDefault="00FA4501" w:rsidP="00FA4501">
      <w:pPr>
        <w:spacing w:after="0" w:line="240" w:lineRule="auto"/>
        <w:rPr>
          <w:rFonts w:ascii="Verdana" w:eastAsia="Geomanist Light" w:hAnsi="Verdana" w:cs="Arial"/>
          <w:color w:val="000000" w:themeColor="text1"/>
          <w:lang w:val="es-MX"/>
        </w:rPr>
      </w:pPr>
    </w:p>
    <w:p w14:paraId="535C4EBF" w14:textId="77777777" w:rsidR="00B83596" w:rsidRDefault="00B83596" w:rsidP="00FA4501">
      <w:pPr>
        <w:spacing w:after="0" w:line="240" w:lineRule="auto"/>
        <w:rPr>
          <w:rFonts w:ascii="Verdana" w:eastAsia="Geomanist Light" w:hAnsi="Verdana" w:cs="Arial"/>
          <w:color w:val="000000" w:themeColor="text1"/>
          <w:lang w:val="es-MX"/>
        </w:rPr>
      </w:pPr>
    </w:p>
    <w:p w14:paraId="2F4C0A9C" w14:textId="7A940CD4" w:rsidR="00FA4501" w:rsidRPr="00FA4501" w:rsidRDefault="00FA4501" w:rsidP="00FA4501">
      <w:pPr>
        <w:spacing w:after="0" w:line="240" w:lineRule="auto"/>
        <w:rPr>
          <w:rFonts w:ascii="Verdana" w:eastAsia="Geomanist Light" w:hAnsi="Verdana" w:cs="Arial"/>
          <w:color w:val="201F1E"/>
        </w:rPr>
      </w:pPr>
      <w:r w:rsidRPr="00FA4501">
        <w:rPr>
          <w:rFonts w:ascii="Verdana" w:eastAsia="Geomanist Light" w:hAnsi="Verdana" w:cs="Arial"/>
          <w:color w:val="000000" w:themeColor="text1"/>
        </w:rPr>
        <w:lastRenderedPageBreak/>
        <w:t>Bogotá D.C., </w:t>
      </w:r>
      <w:r w:rsidR="00B83596">
        <w:rPr>
          <w:rFonts w:ascii="Verdana" w:eastAsia="Geomanist Light" w:hAnsi="Verdana" w:cs="Arial"/>
          <w:color w:val="201F1E"/>
        </w:rPr>
        <w:t>20 de agosto de 2026</w:t>
      </w:r>
    </w:p>
    <w:p w14:paraId="133FD9BE" w14:textId="300AAE82" w:rsidR="00FA4501" w:rsidRPr="00FA4501" w:rsidRDefault="00FA4501" w:rsidP="00FA4501">
      <w:pPr>
        <w:spacing w:after="0" w:line="240" w:lineRule="auto"/>
        <w:jc w:val="both"/>
        <w:rPr>
          <w:rFonts w:ascii="Verdana" w:eastAsia="Calibri" w:hAnsi="Verdana" w:cs="Arial"/>
          <w:color w:val="000000"/>
        </w:rPr>
      </w:pPr>
    </w:p>
    <w:p w14:paraId="1391040D" w14:textId="4C0EDB98" w:rsidR="00FA4501" w:rsidRPr="00FA4501" w:rsidRDefault="00FA4501" w:rsidP="00B83596">
      <w:pPr>
        <w:spacing w:after="0" w:line="240" w:lineRule="auto"/>
        <w:jc w:val="right"/>
        <w:rPr>
          <w:rFonts w:ascii="Verdana" w:eastAsia="Calibri" w:hAnsi="Verdana" w:cs="Arial"/>
          <w:color w:val="000000"/>
        </w:rPr>
      </w:pPr>
    </w:p>
    <w:p w14:paraId="3D5518C6" w14:textId="24D58F0A" w:rsidR="00FA4501" w:rsidRPr="00FA4501" w:rsidRDefault="001B602F" w:rsidP="00FA4501">
      <w:pPr>
        <w:spacing w:after="0" w:line="240" w:lineRule="auto"/>
        <w:jc w:val="both"/>
        <w:rPr>
          <w:rFonts w:ascii="Verdana" w:eastAsia="Calibri" w:hAnsi="Verdana" w:cs="Arial"/>
          <w:lang w:val="it-CH" w:eastAsia="es-ES"/>
        </w:rPr>
      </w:pPr>
      <w:r w:rsidRPr="00B83596">
        <w:rPr>
          <w:rFonts w:ascii="Verdana" w:eastAsia="Calibri" w:hAnsi="Verdana" w:cs="Arial"/>
          <w:noProof/>
          <w:color w:val="000000"/>
        </w:rPr>
        <w:drawing>
          <wp:anchor distT="0" distB="0" distL="114300" distR="114300" simplePos="0" relativeHeight="251658240" behindDoc="0" locked="0" layoutInCell="1" allowOverlap="1" wp14:anchorId="353FDE58" wp14:editId="64F9CF47">
            <wp:simplePos x="0" y="0"/>
            <wp:positionH relativeFrom="margin">
              <wp:align>right</wp:align>
            </wp:positionH>
            <wp:positionV relativeFrom="paragraph">
              <wp:posOffset>4445</wp:posOffset>
            </wp:positionV>
            <wp:extent cx="2342515" cy="930275"/>
            <wp:effectExtent l="0" t="0" r="635" b="3175"/>
            <wp:wrapSquare wrapText="bothSides"/>
            <wp:docPr id="20546359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42515" cy="930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A4501" w:rsidRPr="00FA4501">
        <w:rPr>
          <w:rFonts w:ascii="Verdana" w:eastAsia="Calibri" w:hAnsi="Verdana" w:cs="Arial"/>
          <w:lang w:val="it-CH" w:eastAsia="es-ES"/>
        </w:rPr>
        <w:t>Señor</w:t>
      </w:r>
    </w:p>
    <w:p w14:paraId="04A44AA9" w14:textId="77777777" w:rsidR="00FA4501" w:rsidRPr="00FA4501" w:rsidRDefault="00FA4501" w:rsidP="00FA4501">
      <w:pPr>
        <w:spacing w:after="0" w:line="240" w:lineRule="auto"/>
        <w:jc w:val="both"/>
        <w:rPr>
          <w:rFonts w:ascii="Verdana" w:eastAsia="Calibri" w:hAnsi="Verdana" w:cs="Arial"/>
          <w:b/>
          <w:lang w:val="it-CH" w:eastAsia="es-ES"/>
        </w:rPr>
      </w:pPr>
      <w:r w:rsidRPr="00FA4501">
        <w:rPr>
          <w:rFonts w:ascii="Verdana" w:eastAsia="Calibri" w:hAnsi="Verdana" w:cs="Arial"/>
          <w:b/>
          <w:lang w:val="it-CH" w:eastAsia="es-ES"/>
        </w:rPr>
        <w:t>Jhonatan Varela Narváez</w:t>
      </w:r>
    </w:p>
    <w:p w14:paraId="2DD0E9FF" w14:textId="77777777" w:rsidR="00FA4501" w:rsidRPr="00FA4501" w:rsidRDefault="00FA4501" w:rsidP="00FA4501">
      <w:pPr>
        <w:spacing w:after="0" w:line="240" w:lineRule="auto"/>
        <w:jc w:val="both"/>
        <w:rPr>
          <w:rFonts w:ascii="Verdana" w:hAnsi="Verdana"/>
        </w:rPr>
      </w:pPr>
      <w:r w:rsidRPr="00FA4501">
        <w:rPr>
          <w:rFonts w:ascii="Verdana" w:hAnsi="Verdana"/>
        </w:rPr>
        <w:t>Director Operativo de Responsabilidad Fiscal</w:t>
      </w:r>
    </w:p>
    <w:p w14:paraId="42ADA2BE" w14:textId="77777777" w:rsidR="00FA4501" w:rsidRPr="00FA4501" w:rsidRDefault="00FA4501" w:rsidP="00FA4501">
      <w:pPr>
        <w:spacing w:after="0" w:line="240" w:lineRule="auto"/>
        <w:jc w:val="both"/>
        <w:rPr>
          <w:rFonts w:ascii="Verdana" w:hAnsi="Verdana"/>
        </w:rPr>
      </w:pPr>
      <w:r w:rsidRPr="00FA4501">
        <w:rPr>
          <w:rFonts w:ascii="Verdana" w:hAnsi="Verdana"/>
        </w:rPr>
        <w:t>Contraloría General de Santiago de Cali</w:t>
      </w:r>
    </w:p>
    <w:p w14:paraId="1A493B54" w14:textId="77777777" w:rsidR="00FA4501" w:rsidRPr="00FA4501" w:rsidRDefault="00FA4501" w:rsidP="00FA4501">
      <w:pPr>
        <w:spacing w:after="0" w:line="240" w:lineRule="auto"/>
        <w:jc w:val="both"/>
        <w:rPr>
          <w:rFonts w:ascii="Verdana" w:eastAsia="Calibri" w:hAnsi="Verdana" w:cs="Arial"/>
          <w:b/>
          <w:lang w:val="it-CH" w:eastAsia="es-ES"/>
        </w:rPr>
      </w:pPr>
      <w:hyperlink r:id="rId12" w:history="1">
        <w:r w:rsidRPr="00FA4501">
          <w:rPr>
            <w:rFonts w:ascii="Verdana" w:hAnsi="Verdana"/>
            <w:color w:val="0000FF"/>
            <w:u w:val="single"/>
          </w:rPr>
          <w:t>secretariacomun@contraloriacali.gov.co</w:t>
        </w:r>
      </w:hyperlink>
      <w:r w:rsidRPr="00FA4501">
        <w:rPr>
          <w:rFonts w:ascii="Verdana" w:hAnsi="Verdana"/>
        </w:rPr>
        <w:t xml:space="preserve">  </w:t>
      </w:r>
      <w:r w:rsidRPr="00FA4501">
        <w:rPr>
          <w:rFonts w:ascii="Verdana" w:eastAsia="Calibri" w:hAnsi="Verdana" w:cs="Arial"/>
          <w:lang w:val="it-CH" w:eastAsia="es-ES"/>
        </w:rPr>
        <w:t xml:space="preserve"> </w:t>
      </w:r>
    </w:p>
    <w:p w14:paraId="0675B300" w14:textId="77777777" w:rsidR="00FA4501" w:rsidRPr="00FA4501" w:rsidRDefault="00FA4501" w:rsidP="00FA4501">
      <w:pPr>
        <w:spacing w:after="0" w:line="240" w:lineRule="auto"/>
        <w:rPr>
          <w:rFonts w:ascii="Verdana" w:hAnsi="Verdana"/>
        </w:rPr>
      </w:pPr>
      <w:r w:rsidRPr="00FA4501">
        <w:rPr>
          <w:rFonts w:ascii="Verdana" w:hAnsi="Verdana"/>
        </w:rPr>
        <w:t>Bogotá D.C</w:t>
      </w:r>
    </w:p>
    <w:p w14:paraId="6C60C44A" w14:textId="77777777" w:rsidR="00FA4501" w:rsidRPr="00FA4501" w:rsidRDefault="00FA4501" w:rsidP="00FA4501">
      <w:pPr>
        <w:spacing w:after="0" w:line="240" w:lineRule="auto"/>
        <w:rPr>
          <w:rFonts w:ascii="Verdana" w:eastAsia="Calibri" w:hAnsi="Verdana" w:cs="Arial"/>
          <w:lang w:eastAsia="es-ES"/>
        </w:rPr>
      </w:pPr>
    </w:p>
    <w:p w14:paraId="57573B0D" w14:textId="77777777" w:rsidR="00FA4501" w:rsidRPr="00FA4501" w:rsidRDefault="00FA4501" w:rsidP="00FA4501">
      <w:pPr>
        <w:spacing w:after="0" w:line="240" w:lineRule="auto"/>
        <w:rPr>
          <w:rFonts w:ascii="Verdana" w:eastAsia="Calibri" w:hAnsi="Verdana" w:cs="Arial"/>
          <w:b/>
          <w:bCs/>
          <w:color w:val="000000"/>
          <w:lang w:eastAsia="es-ES_tradnl"/>
        </w:rPr>
      </w:pPr>
    </w:p>
    <w:p w14:paraId="4881386A" w14:textId="0CC0ED57" w:rsidR="00FA4501" w:rsidRPr="00FA4501" w:rsidRDefault="00FA4501" w:rsidP="00FA4501">
      <w:pPr>
        <w:spacing w:after="0" w:line="240" w:lineRule="auto"/>
        <w:jc w:val="center"/>
        <w:rPr>
          <w:rFonts w:ascii="Verdana" w:eastAsia="Calibri" w:hAnsi="Verdana" w:cs="Arial"/>
          <w:b/>
          <w:bCs/>
          <w:lang w:eastAsia="es-ES"/>
        </w:rPr>
      </w:pPr>
      <w:r w:rsidRPr="00FA4501">
        <w:rPr>
          <w:rFonts w:ascii="Verdana" w:eastAsia="Calibri" w:hAnsi="Verdana" w:cs="Arial"/>
          <w:b/>
          <w:bCs/>
          <w:lang w:eastAsia="es-ES"/>
        </w:rPr>
        <w:t>Concepto C</w:t>
      </w:r>
      <w:r w:rsidR="00745462">
        <w:rPr>
          <w:rFonts w:ascii="Verdana" w:eastAsia="Calibri" w:hAnsi="Verdana" w:cs="Arial"/>
          <w:b/>
          <w:bCs/>
          <w:lang w:eastAsia="es-ES"/>
        </w:rPr>
        <w:t>-</w:t>
      </w:r>
      <w:r w:rsidRPr="00FA4501">
        <w:rPr>
          <w:rFonts w:ascii="Verdana" w:eastAsia="Calibri" w:hAnsi="Verdana" w:cs="Arial"/>
          <w:b/>
          <w:bCs/>
          <w:lang w:eastAsia="es-ES"/>
        </w:rPr>
        <w:t>1229 de 2026</w:t>
      </w:r>
    </w:p>
    <w:p w14:paraId="205E1A6B" w14:textId="77777777" w:rsidR="00FA4501" w:rsidRPr="00FA4501" w:rsidRDefault="00FA4501" w:rsidP="00FA4501">
      <w:pPr>
        <w:spacing w:after="0" w:line="240" w:lineRule="auto"/>
        <w:rPr>
          <w:rFonts w:ascii="Verdana" w:eastAsia="Calibri" w:hAnsi="Verdana" w:cs="Arial"/>
          <w:b/>
          <w:bCs/>
          <w:color w:val="000000"/>
          <w:lang w:eastAsia="es-ES_tradnl"/>
        </w:rPr>
      </w:pPr>
    </w:p>
    <w:tbl>
      <w:tblPr>
        <w:tblStyle w:val="Tablaconcuadrcula"/>
        <w:tblW w:w="878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FA4501" w:rsidRPr="00FA4501" w14:paraId="0FD6DF40" w14:textId="77777777" w:rsidTr="001A1E9A">
        <w:trPr>
          <w:trHeight w:val="884"/>
        </w:trPr>
        <w:tc>
          <w:tcPr>
            <w:tcW w:w="2689" w:type="dxa"/>
          </w:tcPr>
          <w:p w14:paraId="55284187" w14:textId="77777777" w:rsidR="00FA4501" w:rsidRPr="00FA4501" w:rsidRDefault="00FA4501" w:rsidP="00FA4501">
            <w:pPr>
              <w:jc w:val="both"/>
              <w:rPr>
                <w:rFonts w:ascii="Verdana" w:eastAsia="Calibri" w:hAnsi="Verdana" w:cs="Arial"/>
                <w:color w:val="000000"/>
                <w:lang w:eastAsia="es-ES_tradnl"/>
              </w:rPr>
            </w:pPr>
            <w:r w:rsidRPr="00FA4501">
              <w:rPr>
                <w:rFonts w:ascii="Verdana" w:eastAsia="Calibri" w:hAnsi="Verdana" w:cs="Arial"/>
                <w:b/>
                <w:color w:val="000000"/>
                <w:lang w:eastAsia="es-ES_tradnl"/>
              </w:rPr>
              <w:t>Temas:</w:t>
            </w:r>
            <w:r w:rsidRPr="00FA4501">
              <w:rPr>
                <w:rFonts w:ascii="Verdana" w:eastAsia="Calibri" w:hAnsi="Verdana" w:cs="Arial"/>
                <w:color w:val="000000"/>
                <w:lang w:eastAsia="es-ES_tradnl"/>
              </w:rPr>
              <w:t xml:space="preserve">                   </w:t>
            </w:r>
          </w:p>
        </w:tc>
        <w:tc>
          <w:tcPr>
            <w:tcW w:w="6100" w:type="dxa"/>
          </w:tcPr>
          <w:p w14:paraId="0466BCE7" w14:textId="605DE058" w:rsidR="00FA4501" w:rsidRPr="00FA4501" w:rsidRDefault="00FA4501" w:rsidP="00FA4501">
            <w:pPr>
              <w:spacing w:line="276" w:lineRule="auto"/>
              <w:jc w:val="both"/>
              <w:rPr>
                <w:rFonts w:ascii="Verdana" w:eastAsia="Calibri" w:hAnsi="Verdana" w:cs="Arial"/>
                <w:lang w:eastAsia="es-ES"/>
              </w:rPr>
            </w:pPr>
            <w:r w:rsidRPr="00FA4501">
              <w:rPr>
                <w:rFonts w:ascii="Verdana" w:eastAsia="Times New Roman" w:hAnsi="Verdana"/>
                <w:lang w:val="es-ES_tradnl" w:eastAsia="es-ES_tradnl"/>
              </w:rPr>
              <w:t>CONVENIOS Y CONTRATOS INTERADMINISTRATIVOS –</w:t>
            </w:r>
            <w:r w:rsidRPr="00FA4501">
              <w:rPr>
                <w:rFonts w:ascii="Verdana" w:eastAsia="Times New Roman" w:hAnsi="Verdana"/>
                <w:lang w:eastAsia="es-ES_tradnl"/>
              </w:rPr>
              <w:t xml:space="preserve"> Noción y Características – Diferencias</w:t>
            </w:r>
            <w:r w:rsidRPr="00FA4501">
              <w:rPr>
                <w:rFonts w:ascii="Verdana" w:eastAsia="Calibri" w:hAnsi="Verdana" w:cs="Arial"/>
                <w:lang w:eastAsia="es-ES"/>
              </w:rPr>
              <w:t xml:space="preserve"> / </w:t>
            </w:r>
            <w:r w:rsidRPr="00FA4501">
              <w:rPr>
                <w:rFonts w:ascii="Verdana" w:eastAsia="Times New Roman" w:hAnsi="Verdana"/>
                <w:lang w:val="es-ES_tradnl" w:eastAsia="es-ES_tradnl"/>
              </w:rPr>
              <w:t xml:space="preserve">CONVENIOS Y CONTRATOS INTERADMINISTRATIVOS </w:t>
            </w:r>
            <w:r w:rsidRPr="00FA4501">
              <w:rPr>
                <w:rFonts w:ascii="Verdana" w:eastAsia="Times New Roman" w:hAnsi="Verdana"/>
                <w:lang w:eastAsia="es-ES_tradnl"/>
              </w:rPr>
              <w:t xml:space="preserve">– </w:t>
            </w:r>
            <w:r w:rsidRPr="00FA4501">
              <w:rPr>
                <w:rFonts w:ascii="Verdana" w:eastAsia="Calibri" w:hAnsi="Verdana" w:cs="Arial"/>
                <w:lang w:eastAsia="es-ES"/>
              </w:rPr>
              <w:t xml:space="preserve">Costos administrativos </w:t>
            </w:r>
            <w:r w:rsidRPr="00FA4501">
              <w:rPr>
                <w:rFonts w:ascii="Verdana" w:eastAsia="Times New Roman" w:hAnsi="Verdana"/>
                <w:lang w:eastAsia="es-ES_tradnl"/>
              </w:rPr>
              <w:t>– Procedencia</w:t>
            </w:r>
          </w:p>
          <w:p w14:paraId="746989C2" w14:textId="77777777" w:rsidR="00FA4501" w:rsidRPr="00FA4501" w:rsidRDefault="00FA4501" w:rsidP="00FA4501">
            <w:pPr>
              <w:spacing w:line="276" w:lineRule="auto"/>
              <w:contextualSpacing/>
              <w:jc w:val="both"/>
              <w:rPr>
                <w:rFonts w:ascii="Verdana" w:eastAsia="Calibri" w:hAnsi="Verdana" w:cs="Arial"/>
                <w:lang w:eastAsia="es-ES"/>
              </w:rPr>
            </w:pPr>
          </w:p>
        </w:tc>
      </w:tr>
      <w:tr w:rsidR="00FA4501" w:rsidRPr="00FA4501" w14:paraId="3765067B" w14:textId="77777777" w:rsidTr="001A1E9A">
        <w:tc>
          <w:tcPr>
            <w:tcW w:w="2689" w:type="dxa"/>
          </w:tcPr>
          <w:p w14:paraId="413F52D2" w14:textId="77777777" w:rsidR="00FA4501" w:rsidRPr="00FA4501" w:rsidRDefault="00FA4501" w:rsidP="00FA4501">
            <w:pPr>
              <w:jc w:val="both"/>
              <w:rPr>
                <w:rFonts w:ascii="Verdana" w:eastAsia="Calibri" w:hAnsi="Verdana" w:cs="Arial"/>
                <w:b/>
                <w:lang w:eastAsia="es-ES_tradnl"/>
              </w:rPr>
            </w:pPr>
            <w:r w:rsidRPr="00FA4501">
              <w:rPr>
                <w:rFonts w:ascii="Verdana" w:eastAsia="Calibri" w:hAnsi="Verdana" w:cs="Arial"/>
                <w:b/>
                <w:lang w:eastAsia="es-ES_tradnl"/>
              </w:rPr>
              <w:t>Radicación:</w:t>
            </w:r>
            <w:r w:rsidRPr="00FA4501">
              <w:rPr>
                <w:rFonts w:ascii="Verdana" w:eastAsia="Calibri" w:hAnsi="Verdana" w:cs="Arial"/>
                <w:lang w:eastAsia="es-ES_tradnl"/>
              </w:rPr>
              <w:t xml:space="preserve">               </w:t>
            </w:r>
          </w:p>
        </w:tc>
        <w:tc>
          <w:tcPr>
            <w:tcW w:w="6100" w:type="dxa"/>
          </w:tcPr>
          <w:p w14:paraId="35592173" w14:textId="77777777" w:rsidR="00FA4501" w:rsidRPr="00FA4501" w:rsidRDefault="00FA4501" w:rsidP="00FA4501">
            <w:pPr>
              <w:jc w:val="both"/>
              <w:rPr>
                <w:rFonts w:ascii="Verdana" w:eastAsia="Calibri" w:hAnsi="Verdana" w:cs="Arial"/>
                <w:lang w:eastAsia="es-ES_tradnl"/>
              </w:rPr>
            </w:pPr>
            <w:r w:rsidRPr="00FA4501">
              <w:rPr>
                <w:rFonts w:ascii="Verdana" w:eastAsia="Calibri" w:hAnsi="Verdana" w:cs="Arial"/>
                <w:lang w:eastAsia="es-ES_tradnl"/>
              </w:rPr>
              <w:t>Respuesta a las consultas con radicado No. 1_2026_08_04_010323 y 1_2026_08_04_010329</w:t>
            </w:r>
          </w:p>
        </w:tc>
      </w:tr>
    </w:tbl>
    <w:p w14:paraId="39B65E06" w14:textId="77777777" w:rsidR="00FA4501" w:rsidRPr="00FA4501" w:rsidRDefault="00FA4501" w:rsidP="00FA4501">
      <w:pPr>
        <w:spacing w:after="0" w:line="240" w:lineRule="auto"/>
        <w:jc w:val="both"/>
        <w:rPr>
          <w:rFonts w:ascii="Verdana" w:eastAsia="Calibri" w:hAnsi="Verdana" w:cs="Arial"/>
          <w:color w:val="000000"/>
          <w:lang w:eastAsia="es-ES_tradnl"/>
        </w:rPr>
      </w:pPr>
    </w:p>
    <w:p w14:paraId="2441CEA5" w14:textId="77777777" w:rsidR="00FA4501" w:rsidRPr="00FA4501" w:rsidRDefault="00FA4501" w:rsidP="00FA4501">
      <w:pPr>
        <w:spacing w:after="0" w:line="240" w:lineRule="auto"/>
        <w:jc w:val="both"/>
        <w:rPr>
          <w:rFonts w:ascii="Verdana" w:eastAsia="Calibri" w:hAnsi="Verdana" w:cs="Arial"/>
          <w:color w:val="000000"/>
          <w:lang w:eastAsia="es-ES_tradnl"/>
        </w:rPr>
      </w:pPr>
    </w:p>
    <w:p w14:paraId="0BA147D7" w14:textId="77777777" w:rsidR="00FA4501" w:rsidRPr="00FA4501" w:rsidRDefault="00FA4501" w:rsidP="00FA4501">
      <w:pPr>
        <w:spacing w:after="0" w:line="276" w:lineRule="auto"/>
        <w:jc w:val="both"/>
        <w:rPr>
          <w:rFonts w:ascii="Verdana" w:eastAsia="Calibri" w:hAnsi="Verdana" w:cs="Arial"/>
          <w:lang w:eastAsia="es-ES"/>
        </w:rPr>
      </w:pPr>
      <w:r w:rsidRPr="00FA4501">
        <w:rPr>
          <w:rFonts w:ascii="Verdana" w:eastAsia="Calibri" w:hAnsi="Verdana" w:cs="Arial"/>
          <w:lang w:eastAsia="es-ES"/>
        </w:rPr>
        <w:t xml:space="preserve">Estimado señor Varela: </w:t>
      </w:r>
    </w:p>
    <w:p w14:paraId="454DC9EA" w14:textId="77777777" w:rsidR="00FA4501" w:rsidRPr="00FA4501" w:rsidRDefault="00FA4501" w:rsidP="00FA4501">
      <w:pPr>
        <w:tabs>
          <w:tab w:val="left" w:pos="3768"/>
        </w:tabs>
        <w:spacing w:after="0" w:line="276" w:lineRule="auto"/>
        <w:jc w:val="both"/>
        <w:rPr>
          <w:rFonts w:ascii="Verdana" w:eastAsia="Calibri" w:hAnsi="Verdana" w:cs="Arial"/>
          <w:color w:val="000000" w:themeColor="text1"/>
          <w:lang w:eastAsia="es-ES"/>
        </w:rPr>
      </w:pPr>
      <w:r w:rsidRPr="00FA4501">
        <w:rPr>
          <w:rFonts w:ascii="Verdana" w:eastAsia="Calibri" w:hAnsi="Verdana" w:cs="Arial"/>
          <w:color w:val="000000" w:themeColor="text1"/>
          <w:lang w:eastAsia="es-ES"/>
        </w:rPr>
        <w:tab/>
      </w:r>
    </w:p>
    <w:p w14:paraId="5447E26F" w14:textId="77777777" w:rsidR="00FA4501" w:rsidRPr="00FA4501" w:rsidRDefault="00FA4501" w:rsidP="00FA4501">
      <w:pPr>
        <w:spacing w:after="0" w:line="276" w:lineRule="auto"/>
        <w:jc w:val="both"/>
        <w:rPr>
          <w:rFonts w:ascii="Verdana" w:eastAsia="Calibri" w:hAnsi="Verdana" w:cs="Arial"/>
          <w:i/>
          <w:iCs/>
          <w:lang w:eastAsia="es-ES"/>
        </w:rPr>
      </w:pPr>
      <w:r w:rsidRPr="00FA4501">
        <w:rPr>
          <w:rFonts w:ascii="Verdana" w:eastAsia="Calibri" w:hAnsi="Verdana" w:cs="Arial"/>
          <w:color w:val="000000" w:themeColor="text1"/>
          <w:lang w:eastAsia="es-ES"/>
        </w:rPr>
        <w:t>En ejercicio de la competencia otorgada por los artículos 3, numeral 5º, y 11, numeral 8º, del Decreto Ley 4170 de 2011,</w:t>
      </w:r>
      <w:r w:rsidRPr="00FA4501">
        <w:rPr>
          <w:rFonts w:ascii="Verdana" w:eastAsia="Arial MT" w:hAnsi="Verdana" w:cs="Arial MT"/>
          <w:lang w:eastAsia="es-ES"/>
        </w:rPr>
        <w:t xml:space="preserve"> </w:t>
      </w:r>
      <w:r w:rsidRPr="00FA4501">
        <w:rPr>
          <w:rFonts w:ascii="Verdana" w:hAnsi="Verdana" w:cs="Arial"/>
          <w:color w:val="000000" w:themeColor="text1"/>
        </w:rPr>
        <w:t>así como lo establecido</w:t>
      </w:r>
      <w:r w:rsidRPr="00FA4501">
        <w:rPr>
          <w:rFonts w:ascii="Verdana" w:hAnsi="Verdana" w:cs="Arial"/>
        </w:rPr>
        <w:t xml:space="preserve"> por la </w:t>
      </w:r>
      <w:r w:rsidRPr="00FA4501">
        <w:rPr>
          <w:rFonts w:ascii="Verdana" w:eastAsia="Calibri" w:hAnsi="Verdana" w:cs="Times New Roman"/>
          <w:bCs/>
        </w:rPr>
        <w:t xml:space="preserve">Resolución 469 de 2025 </w:t>
      </w:r>
      <w:r w:rsidRPr="00FA4501">
        <w:rPr>
          <w:rFonts w:ascii="Verdana" w:hAnsi="Verdana" w:cs="Arial"/>
          <w:color w:val="000000" w:themeColor="text1"/>
        </w:rPr>
        <w:t>expedida por esta Entidad</w:t>
      </w:r>
      <w:r w:rsidRPr="00FA4501">
        <w:rPr>
          <w:rFonts w:ascii="Verdana" w:hAnsi="Verdana" w:cs="Arial"/>
        </w:rPr>
        <w:t xml:space="preserve">, </w:t>
      </w:r>
      <w:r w:rsidRPr="00FA4501">
        <w:rPr>
          <w:rFonts w:ascii="Verdana" w:eastAsia="Calibri" w:hAnsi="Verdana" w:cs="Arial"/>
          <w:color w:val="000000" w:themeColor="text1"/>
          <w:lang w:eastAsia="es-ES"/>
        </w:rPr>
        <w:t>la Agencia Nacional de Contratación Pública – Colombia Compra Eficiente responde su solicitud de concepto del 4 de agosto de 2026</w:t>
      </w:r>
      <w:r w:rsidRPr="00FA4501">
        <w:rPr>
          <w:rFonts w:ascii="Verdana" w:eastAsia="Calibri" w:hAnsi="Verdana" w:cs="Arial"/>
          <w:lang w:eastAsia="es-ES"/>
        </w:rPr>
        <w:t xml:space="preserve"> e</w:t>
      </w:r>
      <w:r w:rsidRPr="00FA4501">
        <w:rPr>
          <w:rFonts w:ascii="Verdana" w:eastAsia="Calibri" w:hAnsi="Verdana" w:cs="Arial"/>
          <w:lang w:val="es-ES" w:eastAsia="es-ES"/>
        </w:rPr>
        <w:t>n la cual manifiesta lo siguiente</w:t>
      </w:r>
      <w:r w:rsidRPr="00FA4501">
        <w:rPr>
          <w:rFonts w:ascii="Verdana" w:eastAsia="Calibri" w:hAnsi="Verdana" w:cs="Arial"/>
          <w:lang w:eastAsia="es-ES"/>
        </w:rPr>
        <w:t>:</w:t>
      </w:r>
      <w:r w:rsidRPr="00FA4501">
        <w:rPr>
          <w:rFonts w:ascii="Verdana" w:eastAsia="Calibri" w:hAnsi="Verdana" w:cs="Arial"/>
          <w:i/>
          <w:iCs/>
          <w:lang w:eastAsia="es-ES"/>
        </w:rPr>
        <w:t xml:space="preserve"> </w:t>
      </w:r>
      <w:bookmarkStart w:id="2" w:name="_Hlk95313578"/>
    </w:p>
    <w:p w14:paraId="64C6A0A7" w14:textId="77777777" w:rsidR="00FA4501" w:rsidRPr="00FA4501" w:rsidRDefault="00FA4501" w:rsidP="00FA4501">
      <w:pPr>
        <w:spacing w:after="0" w:line="276" w:lineRule="auto"/>
        <w:jc w:val="both"/>
        <w:rPr>
          <w:rFonts w:ascii="Verdana" w:eastAsia="Calibri" w:hAnsi="Verdana" w:cs="Arial"/>
          <w:i/>
          <w:iCs/>
          <w:lang w:eastAsia="es-ES"/>
        </w:rPr>
      </w:pPr>
    </w:p>
    <w:p w14:paraId="330E08D3" w14:textId="77777777" w:rsidR="00FA4501" w:rsidRPr="00FA4501" w:rsidRDefault="00FA4501" w:rsidP="00FA4501">
      <w:pPr>
        <w:spacing w:after="0" w:line="240" w:lineRule="auto"/>
        <w:ind w:left="709" w:right="618"/>
        <w:jc w:val="both"/>
        <w:rPr>
          <w:rFonts w:ascii="Verdana" w:hAnsi="Verdana"/>
          <w:sz w:val="20"/>
          <w:szCs w:val="20"/>
        </w:rPr>
      </w:pPr>
      <w:r w:rsidRPr="00FA4501">
        <w:rPr>
          <w:rFonts w:ascii="Verdana" w:eastAsia="Arial" w:hAnsi="Verdana" w:cs="Arial"/>
          <w:i/>
          <w:color w:val="000000"/>
          <w:sz w:val="20"/>
          <w:szCs w:val="20"/>
        </w:rPr>
        <w:t>“</w:t>
      </w:r>
      <w:bookmarkEnd w:id="2"/>
      <w:r w:rsidRPr="00FA4501">
        <w:rPr>
          <w:rFonts w:ascii="Verdana" w:hAnsi="Verdana"/>
          <w:sz w:val="20"/>
          <w:szCs w:val="20"/>
        </w:rPr>
        <w:t xml:space="preserve">En cumplimiento del Auto No. 1900.27.06.25.223 del 28 de agosto de 2025, MEDIO DEL CUAL SE APERTURA UN PROCESO ORDINARIO DE RESPONSABILIDAD FISCAL, esta Dirección Operativa de Responsabilidad Fiscal le solicita ordenar a quien corresponda emitir concepto respecto a: </w:t>
      </w:r>
    </w:p>
    <w:p w14:paraId="3C755E8B" w14:textId="77777777" w:rsidR="00FA4501" w:rsidRPr="00FA4501" w:rsidRDefault="00FA4501" w:rsidP="00FA4501">
      <w:pPr>
        <w:spacing w:after="0" w:line="240" w:lineRule="auto"/>
        <w:ind w:left="709" w:right="618"/>
        <w:jc w:val="both"/>
        <w:rPr>
          <w:rFonts w:ascii="Verdana" w:hAnsi="Verdana"/>
          <w:sz w:val="20"/>
          <w:szCs w:val="20"/>
        </w:rPr>
      </w:pPr>
    </w:p>
    <w:p w14:paraId="7DB8D6CE" w14:textId="77777777" w:rsidR="00FA4501" w:rsidRPr="00FA4501" w:rsidRDefault="00FA4501" w:rsidP="00FA4501">
      <w:pPr>
        <w:spacing w:after="0" w:line="240" w:lineRule="auto"/>
        <w:ind w:left="709" w:right="618"/>
        <w:jc w:val="both"/>
        <w:rPr>
          <w:rFonts w:ascii="Verdana" w:hAnsi="Verdana"/>
          <w:sz w:val="20"/>
          <w:szCs w:val="20"/>
        </w:rPr>
      </w:pPr>
      <w:r w:rsidRPr="00FA4501">
        <w:rPr>
          <w:rFonts w:ascii="Verdana" w:hAnsi="Verdana"/>
          <w:sz w:val="20"/>
          <w:szCs w:val="20"/>
        </w:rPr>
        <w:lastRenderedPageBreak/>
        <w:t xml:space="preserve">¿Si es viable que en el marco de un Convenio Interadministrativo y para efectos de su ejecución, la Entidad le reconozca costos y gastos administrativos al Asociado? </w:t>
      </w:r>
    </w:p>
    <w:p w14:paraId="371594A6" w14:textId="77777777" w:rsidR="00FA4501" w:rsidRPr="00FA4501" w:rsidRDefault="00FA4501" w:rsidP="00FA4501">
      <w:pPr>
        <w:spacing w:after="0" w:line="240" w:lineRule="auto"/>
        <w:ind w:left="709" w:right="618"/>
        <w:jc w:val="both"/>
        <w:rPr>
          <w:rFonts w:ascii="Verdana" w:hAnsi="Verdana"/>
          <w:sz w:val="20"/>
          <w:szCs w:val="20"/>
        </w:rPr>
      </w:pPr>
      <w:r w:rsidRPr="00FA4501">
        <w:rPr>
          <w:rFonts w:ascii="Verdana" w:hAnsi="Verdana"/>
          <w:sz w:val="20"/>
          <w:szCs w:val="20"/>
        </w:rPr>
        <w:t>¿Si el reconocimiento de costos y gastos administrativos está incluido como un porcentaje del valor que aporta la Entidad al Asociado, se estaría en contravía a la naturaleza del Convenio Interadministrativo?, es decir, ¿Deja de ser un Convenio Interadministrativo y se convierte en un Contrato Interadministrativo?”</w:t>
      </w:r>
    </w:p>
    <w:p w14:paraId="51F468DD" w14:textId="77777777" w:rsidR="00FA4501" w:rsidRPr="00FA4501" w:rsidRDefault="00FA4501" w:rsidP="00FA4501">
      <w:pPr>
        <w:spacing w:after="0" w:line="240" w:lineRule="auto"/>
        <w:ind w:left="709" w:right="709"/>
        <w:jc w:val="both"/>
      </w:pPr>
    </w:p>
    <w:p w14:paraId="2867C7D8" w14:textId="77777777" w:rsidR="00FA4501" w:rsidRPr="00FA4501" w:rsidRDefault="00FA4501" w:rsidP="00FA4501">
      <w:pPr>
        <w:spacing w:after="120" w:line="276" w:lineRule="auto"/>
        <w:ind w:firstLine="709"/>
        <w:jc w:val="both"/>
        <w:rPr>
          <w:rFonts w:ascii="Verdana" w:eastAsia="Calibri" w:hAnsi="Verdana" w:cs="Arial"/>
          <w:color w:val="000000"/>
          <w:lang w:eastAsia="es-ES"/>
        </w:rPr>
      </w:pPr>
      <w:r w:rsidRPr="00FA4501">
        <w:rPr>
          <w:rFonts w:ascii="Verdana" w:eastAsia="Calibri" w:hAnsi="Verdana" w:cs="Arial"/>
          <w:color w:val="000000"/>
          <w:lang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FA4501">
        <w:rPr>
          <w:rFonts w:ascii="Verdana" w:eastAsia="Calibri" w:hAnsi="Verdana" w:cs="Arial"/>
          <w:color w:val="000000"/>
          <w:szCs w:val="24"/>
          <w:lang w:eastAsia="es-ES_tradnl"/>
        </w:rPr>
        <w:tab/>
      </w:r>
    </w:p>
    <w:p w14:paraId="306A6FFA" w14:textId="77777777" w:rsidR="00FA4501" w:rsidRPr="00FA4501" w:rsidRDefault="00FA4501" w:rsidP="00FA4501">
      <w:pPr>
        <w:spacing w:after="120" w:line="276" w:lineRule="auto"/>
        <w:ind w:firstLine="709"/>
        <w:jc w:val="both"/>
        <w:rPr>
          <w:rFonts w:ascii="Verdana" w:eastAsia="Calibri" w:hAnsi="Verdana" w:cs="Arial"/>
          <w:color w:val="000000"/>
          <w:lang w:eastAsia="es-ES"/>
        </w:rPr>
      </w:pPr>
      <w:r w:rsidRPr="00FA4501">
        <w:rPr>
          <w:rFonts w:ascii="Verdana" w:eastAsia="Calibri" w:hAnsi="Verdana" w:cs="Arial"/>
          <w:color w:val="000000"/>
          <w:lang w:eastAsia="es-ES"/>
        </w:rPr>
        <w:t>Conforme lo expuesto, en aras de satisfacer el derecho fundamental de petición se resolverá su consulta dentro de los límites de la referida competencia consultiva, esto es, haciendo abstracción de las circunstancias particulares y concretas mencionadas en las preguntas de la petición, pero haciendo unas consideraciones sobre las normas generales relacionadas con los</w:t>
      </w:r>
      <w:r w:rsidRPr="00FA4501">
        <w:rPr>
          <w:rFonts w:ascii="Verdana" w:eastAsia="Calibri" w:hAnsi="Verdana" w:cs="Arial"/>
          <w:color w:val="7030A0"/>
          <w:lang w:eastAsia="es-ES"/>
        </w:rPr>
        <w:t xml:space="preserve"> </w:t>
      </w:r>
      <w:r w:rsidRPr="00FA4501">
        <w:rPr>
          <w:rFonts w:ascii="Verdana" w:eastAsia="Calibri" w:hAnsi="Verdana" w:cs="Arial"/>
          <w:color w:val="000000"/>
          <w:lang w:eastAsia="es-ES"/>
        </w:rPr>
        <w:t>problemas</w:t>
      </w:r>
      <w:r w:rsidRPr="00FA4501">
        <w:rPr>
          <w:rFonts w:ascii="Verdana" w:eastAsia="Calibri" w:hAnsi="Verdana" w:cs="Arial"/>
          <w:color w:val="7030A0"/>
          <w:lang w:eastAsia="es-ES"/>
        </w:rPr>
        <w:t xml:space="preserve"> </w:t>
      </w:r>
      <w:r w:rsidRPr="00FA4501">
        <w:rPr>
          <w:rFonts w:ascii="Verdana" w:eastAsia="Calibri" w:hAnsi="Verdana" w:cs="Arial"/>
          <w:color w:val="000000"/>
          <w:lang w:eastAsia="es-ES"/>
        </w:rPr>
        <w:t>jurídicos</w:t>
      </w:r>
      <w:r w:rsidRPr="00FA4501">
        <w:rPr>
          <w:rFonts w:ascii="Verdana" w:eastAsia="Calibri" w:hAnsi="Verdana" w:cs="Arial"/>
          <w:color w:val="7030A0"/>
          <w:lang w:eastAsia="es-ES"/>
        </w:rPr>
        <w:t xml:space="preserve"> </w:t>
      </w:r>
      <w:r w:rsidRPr="00FA4501">
        <w:rPr>
          <w:rFonts w:ascii="Verdana" w:eastAsia="Calibri" w:hAnsi="Verdana" w:cs="Arial"/>
          <w:color w:val="000000"/>
          <w:lang w:eastAsia="es-ES"/>
        </w:rPr>
        <w:t xml:space="preserve">de su consulta.  </w:t>
      </w:r>
    </w:p>
    <w:p w14:paraId="7E56A0BC" w14:textId="77777777" w:rsidR="00FA4501" w:rsidRPr="00FA4501" w:rsidRDefault="00FA4501" w:rsidP="00FA4501">
      <w:pPr>
        <w:spacing w:after="0" w:line="276" w:lineRule="auto"/>
        <w:jc w:val="both"/>
        <w:rPr>
          <w:rFonts w:ascii="Verdana" w:eastAsia="Calibri" w:hAnsi="Verdana" w:cs="Arial"/>
          <w:color w:val="000000"/>
          <w:lang w:eastAsia="es-ES"/>
        </w:rPr>
      </w:pPr>
    </w:p>
    <w:p w14:paraId="5C61411C" w14:textId="77777777" w:rsidR="00FA4501" w:rsidRPr="00FA4501" w:rsidRDefault="00FA4501" w:rsidP="00FA4501">
      <w:pPr>
        <w:numPr>
          <w:ilvl w:val="0"/>
          <w:numId w:val="1"/>
        </w:numPr>
        <w:tabs>
          <w:tab w:val="left" w:pos="142"/>
          <w:tab w:val="left" w:pos="284"/>
        </w:tabs>
        <w:spacing w:after="0" w:line="276" w:lineRule="auto"/>
        <w:jc w:val="both"/>
        <w:rPr>
          <w:rFonts w:ascii="Verdana" w:eastAsia="Century Gothic" w:hAnsi="Verdana" w:cs="Century Gothic"/>
          <w:b/>
          <w:bCs/>
        </w:rPr>
      </w:pPr>
      <w:r w:rsidRPr="00FA4501">
        <w:rPr>
          <w:rFonts w:ascii="Verdana" w:eastAsia="Century Gothic" w:hAnsi="Verdana" w:cs="Century Gothic"/>
          <w:b/>
          <w:bCs/>
        </w:rPr>
        <w:t>Problemas planteados:</w:t>
      </w:r>
    </w:p>
    <w:p w14:paraId="1A0BAFE8" w14:textId="77777777" w:rsidR="00FA4501" w:rsidRPr="00FA4501" w:rsidRDefault="00FA4501" w:rsidP="00FA4501">
      <w:pPr>
        <w:tabs>
          <w:tab w:val="left" w:pos="426"/>
        </w:tabs>
        <w:spacing w:after="0" w:line="276" w:lineRule="auto"/>
        <w:jc w:val="both"/>
        <w:rPr>
          <w:rFonts w:ascii="Verdana" w:eastAsia="Century Gothic" w:hAnsi="Verdana" w:cs="Century Gothic"/>
        </w:rPr>
      </w:pPr>
    </w:p>
    <w:p w14:paraId="4D681DDD" w14:textId="33DFFB30" w:rsidR="00FA4501" w:rsidRPr="00FA4501" w:rsidRDefault="00FA4501" w:rsidP="00FA4501">
      <w:pPr>
        <w:spacing w:after="0" w:line="276" w:lineRule="auto"/>
        <w:jc w:val="both"/>
        <w:rPr>
          <w:rFonts w:ascii="Verdana" w:eastAsia="Century Gothic" w:hAnsi="Verdana" w:cs="Century Gothic"/>
        </w:rPr>
      </w:pPr>
      <w:r w:rsidRPr="00FA4501">
        <w:rPr>
          <w:rFonts w:ascii="Verdana" w:eastAsia="Century Gothic" w:hAnsi="Verdana" w:cs="Century Gothic"/>
        </w:rPr>
        <w:t xml:space="preserve">De acuerdo con el contenido de su solicitud, esta Agencia resolverá </w:t>
      </w:r>
      <w:r w:rsidR="00AC061E">
        <w:rPr>
          <w:rFonts w:ascii="Verdana" w:eastAsia="Century Gothic" w:hAnsi="Verdana" w:cs="Century Gothic"/>
        </w:rPr>
        <w:t>el</w:t>
      </w:r>
      <w:r w:rsidRPr="00FA4501">
        <w:rPr>
          <w:rFonts w:ascii="Verdana" w:eastAsia="Century Gothic" w:hAnsi="Verdana" w:cs="Century Gothic"/>
        </w:rPr>
        <w:t xml:space="preserve"> siguiente problema jurídico: ¿Es viable establecer y pagar costos administrativos en los convenios y contratos interadministrativos celebrado entre entidades públicas?</w:t>
      </w:r>
    </w:p>
    <w:p w14:paraId="2E4E852C" w14:textId="77777777" w:rsidR="00FA4501" w:rsidRPr="00FA4501" w:rsidRDefault="00FA4501" w:rsidP="00FA4501">
      <w:pPr>
        <w:spacing w:after="0" w:line="276" w:lineRule="auto"/>
        <w:jc w:val="both"/>
        <w:rPr>
          <w:rFonts w:ascii="Verdana" w:eastAsia="Century Gothic" w:hAnsi="Verdana" w:cs="Century Gothic"/>
        </w:rPr>
      </w:pPr>
    </w:p>
    <w:p w14:paraId="1557B351" w14:textId="77777777" w:rsidR="00FA4501" w:rsidRPr="00FA4501" w:rsidRDefault="00FA4501" w:rsidP="00FA4501">
      <w:pPr>
        <w:numPr>
          <w:ilvl w:val="0"/>
          <w:numId w:val="1"/>
        </w:numPr>
        <w:tabs>
          <w:tab w:val="left" w:pos="142"/>
          <w:tab w:val="left" w:pos="284"/>
        </w:tabs>
        <w:spacing w:after="0" w:line="276" w:lineRule="auto"/>
        <w:jc w:val="both"/>
        <w:rPr>
          <w:rFonts w:ascii="Verdana" w:eastAsia="Century Gothic" w:hAnsi="Verdana" w:cs="Century Gothic"/>
          <w:b/>
          <w:bCs/>
        </w:rPr>
      </w:pPr>
      <w:r w:rsidRPr="00FA4501">
        <w:rPr>
          <w:rFonts w:ascii="Verdana" w:eastAsia="Century Gothic" w:hAnsi="Verdana" w:cs="Century Gothic"/>
          <w:b/>
          <w:bCs/>
        </w:rPr>
        <w:lastRenderedPageBreak/>
        <w:t>Respuestas:</w:t>
      </w:r>
    </w:p>
    <w:p w14:paraId="6086E518" w14:textId="77777777" w:rsidR="00FA4501" w:rsidRPr="00FA4501" w:rsidRDefault="00FA4501" w:rsidP="00FA4501">
      <w:pPr>
        <w:tabs>
          <w:tab w:val="left" w:pos="142"/>
          <w:tab w:val="left" w:pos="284"/>
        </w:tabs>
        <w:spacing w:after="0" w:line="276" w:lineRule="auto"/>
        <w:jc w:val="both"/>
        <w:rPr>
          <w:rFonts w:ascii="Verdana" w:eastAsia="Century Gothic" w:hAnsi="Verdana" w:cs="Century Gothic"/>
          <w:b/>
          <w:bCs/>
        </w:rPr>
      </w:pPr>
    </w:p>
    <w:tbl>
      <w:tblPr>
        <w:tblStyle w:val="Tablaconcuadrcu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FA4501" w:rsidRPr="00FA4501" w14:paraId="321572A2" w14:textId="77777777" w:rsidTr="001A1E9A">
        <w:trPr>
          <w:trHeight w:val="977"/>
          <w:jc w:val="center"/>
        </w:trPr>
        <w:tc>
          <w:tcPr>
            <w:tcW w:w="8828" w:type="dxa"/>
          </w:tcPr>
          <w:p w14:paraId="320FAC2D" w14:textId="77777777" w:rsidR="00FA4501" w:rsidRPr="00FA4501" w:rsidRDefault="00FA4501" w:rsidP="00FA4501">
            <w:pPr>
              <w:spacing w:after="120" w:line="276" w:lineRule="auto"/>
              <w:jc w:val="both"/>
              <w:rPr>
                <w:rFonts w:ascii="Verdana" w:hAnsi="Verdana" w:cs="Arial"/>
                <w:lang w:eastAsia="es-ES"/>
              </w:rPr>
            </w:pPr>
            <w:bookmarkStart w:id="3" w:name="_Hlk171694685"/>
            <w:r w:rsidRPr="00FA4501">
              <w:rPr>
                <w:rFonts w:ascii="Verdana" w:hAnsi="Verdana" w:cs="Arial"/>
                <w:lang w:eastAsia="es-ES"/>
              </w:rPr>
              <w:t>Tanto en los convenios como en los contratos interadministrativos pueden contemplarse costos o gastos administrativos, siempre que estos se encuentren técnica y financieramente justificados, sean necesarios, razonables y estén directamente relacionados con las obligaciones y actividades requeridas para cumplir el objeto. Sin embargo, su naturaleza y alcance difieren según la figura ya que en los convenios interadministrativos corresponden a gastos asociados a los aportes y compromisos de las partes, sin que puedan constituir utilidad o remuneración, mientras que en los contratos interadministrativos pueden integrar la contraprestación o precio pactado a favor de la entidad ejecutora.</w:t>
            </w:r>
          </w:p>
          <w:p w14:paraId="1E4D07C0" w14:textId="77777777" w:rsidR="00FA4501" w:rsidRPr="00FA4501" w:rsidRDefault="00FA4501" w:rsidP="00FA4501">
            <w:pPr>
              <w:spacing w:after="120" w:line="276" w:lineRule="auto"/>
              <w:ind w:firstLine="743"/>
              <w:jc w:val="both"/>
              <w:rPr>
                <w:rFonts w:ascii="Verdana" w:hAnsi="Verdana" w:cs="Arial"/>
                <w:lang w:eastAsia="es-ES"/>
              </w:rPr>
            </w:pPr>
            <w:r w:rsidRPr="00FA4501">
              <w:rPr>
                <w:rFonts w:ascii="Verdana" w:hAnsi="Verdana" w:cs="Arial"/>
                <w:lang w:eastAsia="es-ES"/>
              </w:rPr>
              <w:t>Lo anterior reviste especial importancia, ya que la naturaleza del negocio jurídico determina el régimen jurídico aplicable, así como la procedencia y el alcance de determinadas figuras contractuales. En este sentido, la determinación de los costos o gastos administrativos en uno u otro negocio jurídico debe corresponden con la naturaleza, finalidad y alcance de cada uno de ellos. En todo caso, debe recordarse que la aplicación o el alcance de estas y otras instituciones debe evaluarse con base en el contenido específico de cada convenio interadministrativo celebrado, por lo que no es posible establecer conclusiones de manera automática o anticipada con la simple denominación que las partes le asignen.</w:t>
            </w:r>
          </w:p>
          <w:p w14:paraId="0C2F1C95" w14:textId="77777777" w:rsidR="00FA4501" w:rsidRPr="00FA4501" w:rsidRDefault="00FA4501" w:rsidP="00FA4501">
            <w:pPr>
              <w:spacing w:after="120" w:line="276" w:lineRule="auto"/>
              <w:ind w:firstLine="743"/>
              <w:jc w:val="both"/>
              <w:rPr>
                <w:rFonts w:ascii="Verdana" w:hAnsi="Verdana" w:cs="Arial"/>
                <w:lang w:eastAsia="es-ES"/>
              </w:rPr>
            </w:pPr>
            <w:r w:rsidRPr="00FA4501">
              <w:rPr>
                <w:rFonts w:ascii="Verdana" w:hAnsi="Verdana" w:cs="Arial"/>
                <w:lang w:eastAsia="es-ES"/>
              </w:rPr>
              <w:t>En este marco, también resulta pertinente resaltar que la determinación de los costos administrativos asociados a la ejecución del convenio o contrato interadministrativo debe realizarse con fundamento en las condiciones del mercado y guardar una relación directa y razonable con las obligaciones, y actividades la entidad ejecutora. En ese sentido, dichos costos deben encontrarse debidamente soportados y justificados, de manera que respondan a los costos reales y eficientes que demanda la ejecución del objeto contractual, y no constituyan un margen adicional carente de justificación económica.</w:t>
            </w:r>
          </w:p>
          <w:p w14:paraId="06682CB7" w14:textId="4F7165D2" w:rsidR="00FA4501" w:rsidRPr="00FA4501" w:rsidRDefault="00FA4501" w:rsidP="00FA4501">
            <w:pPr>
              <w:spacing w:after="120" w:line="276" w:lineRule="auto"/>
              <w:ind w:firstLine="743"/>
              <w:jc w:val="both"/>
              <w:rPr>
                <w:rFonts w:ascii="Verdana" w:hAnsi="Verdana" w:cs="Arial"/>
                <w:lang w:eastAsia="es-ES"/>
              </w:rPr>
            </w:pPr>
            <w:r w:rsidRPr="00FA4501">
              <w:rPr>
                <w:rFonts w:ascii="Verdana" w:hAnsi="Verdana" w:cs="Arial"/>
                <w:lang w:eastAsia="es-ES"/>
              </w:rPr>
              <w:lastRenderedPageBreak/>
              <w:t xml:space="preserve">Así, dentro del análisis que sustenta la contratación resulta necesario que la entidad valore las razones por las cuales la contratación interadministrativa constituye una alternativa más eficiente frente a las demás modalidades de selección que, en principio, podrían resultar aplicables. Esta valoración no debe limitarse al valor del convenio o contrato sino considerar integralmente factores como los tiempos de contratación, la capacidad técnica y operativa, los costos de administración, los riesgos y, en general, las condiciones de eficiencia en la ejecución del objeto. Por tanto, la contratación interadministrativa debe encontrarse sustentada en razones objetivas que permitan </w:t>
            </w:r>
            <w:r w:rsidR="00F36681">
              <w:rPr>
                <w:rFonts w:ascii="Verdana" w:hAnsi="Verdana" w:cs="Arial"/>
                <w:lang w:eastAsia="es-ES"/>
              </w:rPr>
              <w:t xml:space="preserve">concluir </w:t>
            </w:r>
            <w:r w:rsidRPr="00FA4501">
              <w:rPr>
                <w:rFonts w:ascii="Verdana" w:hAnsi="Verdana" w:cs="Arial"/>
                <w:lang w:eastAsia="es-ES"/>
              </w:rPr>
              <w:t>que los costos administrativos reconocidos son razonables frente a las condiciones del mercado y que acudir a esta modalidad resulta la más conveniente para la satisfacción de la necesidad pública.</w:t>
            </w:r>
          </w:p>
          <w:p w14:paraId="65881EE0" w14:textId="77777777" w:rsidR="00FA4501" w:rsidRPr="00FA4501" w:rsidRDefault="00FA4501" w:rsidP="00FA4501">
            <w:pPr>
              <w:spacing w:after="120" w:line="276" w:lineRule="auto"/>
              <w:ind w:firstLine="743"/>
              <w:jc w:val="both"/>
              <w:rPr>
                <w:rFonts w:ascii="Verdana" w:hAnsi="Verdana" w:cs="Arial"/>
                <w:lang w:eastAsia="es-ES"/>
              </w:rPr>
            </w:pPr>
            <w:r w:rsidRPr="00FA4501">
              <w:rPr>
                <w:rFonts w:ascii="Verdana" w:hAnsi="Verdana" w:cs="Arial"/>
                <w:lang w:eastAsia="es-ES"/>
              </w:rPr>
              <w:t>En consecuencia, la sola denominación del negocio como convenio o contrato interadministrativo no determina la procedencia ni el alcance de los costos administrativos. Estos deben analizarse de acuerdo con el contenido, finalidad y obligaciones concretas de cada negocio jurídico, evitando que los rubros administrativos oculten una remuneración o utilidad en los convenios o, en sentido contrario, desconociendo su carácter de contraprestación cuando se trate de contratos interadministrativos.</w:t>
            </w:r>
          </w:p>
        </w:tc>
      </w:tr>
    </w:tbl>
    <w:p w14:paraId="7BDB82F8" w14:textId="77777777" w:rsidR="00FA4501" w:rsidRPr="00FA4501" w:rsidRDefault="00FA4501" w:rsidP="00FA4501">
      <w:pPr>
        <w:tabs>
          <w:tab w:val="left" w:pos="142"/>
          <w:tab w:val="left" w:pos="284"/>
        </w:tabs>
        <w:spacing w:after="0" w:line="276" w:lineRule="auto"/>
        <w:jc w:val="both"/>
        <w:rPr>
          <w:rFonts w:ascii="Verdana" w:eastAsia="Century Gothic" w:hAnsi="Verdana" w:cs="Century Gothic"/>
          <w:b/>
          <w:bCs/>
        </w:rPr>
      </w:pPr>
    </w:p>
    <w:bookmarkEnd w:id="3"/>
    <w:p w14:paraId="2F3C674B" w14:textId="77777777" w:rsidR="00FA4501" w:rsidRPr="00FA4501" w:rsidRDefault="00FA4501" w:rsidP="00FA4501">
      <w:pPr>
        <w:numPr>
          <w:ilvl w:val="0"/>
          <w:numId w:val="1"/>
        </w:numPr>
        <w:tabs>
          <w:tab w:val="left" w:pos="142"/>
          <w:tab w:val="left" w:pos="284"/>
        </w:tabs>
        <w:spacing w:after="0" w:line="276" w:lineRule="auto"/>
        <w:jc w:val="both"/>
        <w:rPr>
          <w:rFonts w:ascii="Verdana" w:eastAsia="Century Gothic" w:hAnsi="Verdana" w:cs="Century Gothic"/>
          <w:b/>
          <w:bCs/>
        </w:rPr>
      </w:pPr>
      <w:r w:rsidRPr="00FA4501">
        <w:rPr>
          <w:rFonts w:ascii="Verdana" w:eastAsia="Century Gothic" w:hAnsi="Verdana" w:cs="Century Gothic"/>
          <w:b/>
          <w:bCs/>
        </w:rPr>
        <w:t>Razones de las respuestas:</w:t>
      </w:r>
    </w:p>
    <w:p w14:paraId="3B53842F" w14:textId="77777777" w:rsidR="00FA4501" w:rsidRPr="00FA4501" w:rsidRDefault="00FA4501" w:rsidP="00FA4501">
      <w:pPr>
        <w:spacing w:after="0" w:line="276" w:lineRule="auto"/>
        <w:jc w:val="both"/>
        <w:rPr>
          <w:rFonts w:ascii="Verdana" w:eastAsia="Calibri" w:hAnsi="Verdana" w:cs="Arial"/>
          <w:color w:val="7030A0"/>
        </w:rPr>
      </w:pPr>
    </w:p>
    <w:p w14:paraId="0E02D40C" w14:textId="77777777" w:rsidR="00FA4501" w:rsidRPr="00FA4501" w:rsidRDefault="00FA4501" w:rsidP="00FA4501">
      <w:pPr>
        <w:spacing w:after="0" w:line="276" w:lineRule="auto"/>
        <w:jc w:val="both"/>
        <w:rPr>
          <w:rFonts w:ascii="Verdana" w:eastAsia="Calibri" w:hAnsi="Verdana" w:cs="Arial"/>
        </w:rPr>
      </w:pPr>
      <w:r w:rsidRPr="00FA4501">
        <w:rPr>
          <w:rFonts w:ascii="Verdana" w:eastAsia="Calibri" w:hAnsi="Verdana" w:cs="Arial"/>
        </w:rPr>
        <w:t>Lo anterior se sustenta en las siguientes consideraciones:</w:t>
      </w:r>
    </w:p>
    <w:p w14:paraId="1D8D8317" w14:textId="77777777" w:rsidR="00FA4501" w:rsidRPr="00FA4501" w:rsidRDefault="00FA4501" w:rsidP="00FA4501">
      <w:pPr>
        <w:spacing w:after="0" w:line="276" w:lineRule="auto"/>
        <w:jc w:val="both"/>
        <w:rPr>
          <w:rFonts w:ascii="Verdana" w:eastAsia="Calibri" w:hAnsi="Verdana" w:cs="Arial"/>
        </w:rPr>
      </w:pPr>
    </w:p>
    <w:p w14:paraId="58EABBB5" w14:textId="77777777" w:rsidR="00FA4501" w:rsidRPr="00FA4501" w:rsidRDefault="00FA4501" w:rsidP="00FA4501">
      <w:pPr>
        <w:spacing w:after="120" w:line="276" w:lineRule="auto"/>
        <w:jc w:val="both"/>
        <w:rPr>
          <w:rFonts w:ascii="Verdana" w:hAnsi="Verdana" w:cs="Arial"/>
          <w:lang w:eastAsia="es-ES"/>
        </w:rPr>
      </w:pPr>
      <w:r w:rsidRPr="00FA4501">
        <w:rPr>
          <w:rFonts w:ascii="Verdana" w:hAnsi="Verdana" w:cs="Arial"/>
          <w:bCs/>
          <w:szCs w:val="24"/>
          <w:lang w:val="es-ES_tradnl" w:eastAsia="es-ES_tradnl"/>
        </w:rPr>
        <w:t>i. Para efectos de dar respuesta al problema jurídico es fundamental distinguir entre los convenios y los contratos interadministrativos, puesto que su naturaleza tiene unas implicaciones distintas frente a la viabilidad de asumir costos y gastos administrativos. E</w:t>
      </w:r>
      <w:r w:rsidRPr="00FA4501">
        <w:rPr>
          <w:rFonts w:ascii="Verdana" w:eastAsia="Calibri" w:hAnsi="Verdana" w:cs="Arial"/>
          <w:lang w:val="es-ES" w:eastAsia="es-ES"/>
        </w:rPr>
        <w:t xml:space="preserve">n efecto, </w:t>
      </w:r>
      <w:r w:rsidRPr="00FA4501">
        <w:rPr>
          <w:rFonts w:ascii="Verdana" w:eastAsia="Calibri" w:hAnsi="Verdana" w:cs="Arial"/>
          <w:color w:val="000000" w:themeColor="text1"/>
          <w:lang w:val="es-ES"/>
        </w:rPr>
        <w:t xml:space="preserve">existen algunos supuestos bajo las cuales las diferencias entre las características propias de los contratos y convenios interadministrativos resultan definitorias de la aplicación o inaplicación de ciertas normas, ante lo cual, entonces, no podrán ser </w:t>
      </w:r>
      <w:proofErr w:type="gramStart"/>
      <w:r w:rsidRPr="00FA4501">
        <w:rPr>
          <w:rFonts w:ascii="Verdana" w:eastAsia="Calibri" w:hAnsi="Verdana" w:cs="Arial"/>
          <w:color w:val="000000" w:themeColor="text1"/>
          <w:lang w:val="es-ES"/>
        </w:rPr>
        <w:t>equiparables</w:t>
      </w:r>
      <w:proofErr w:type="gramEnd"/>
      <w:r w:rsidRPr="00FA4501">
        <w:rPr>
          <w:rFonts w:ascii="Verdana" w:eastAsia="Calibri" w:hAnsi="Verdana" w:cs="Arial"/>
          <w:color w:val="000000" w:themeColor="text1"/>
          <w:lang w:val="es-ES"/>
        </w:rPr>
        <w:t xml:space="preserve"> sino que deben ser vistos como instituciones negociales </w:t>
      </w:r>
      <w:proofErr w:type="gramStart"/>
      <w:r w:rsidRPr="00FA4501">
        <w:rPr>
          <w:rFonts w:ascii="Verdana" w:eastAsia="Calibri" w:hAnsi="Verdana" w:cs="Arial"/>
          <w:color w:val="000000" w:themeColor="text1"/>
          <w:lang w:val="es-ES"/>
        </w:rPr>
        <w:t>disímiles</w:t>
      </w:r>
      <w:proofErr w:type="gramEnd"/>
      <w:r w:rsidRPr="00FA4501">
        <w:rPr>
          <w:rFonts w:ascii="Verdana" w:eastAsia="Calibri" w:hAnsi="Verdana" w:cs="Arial"/>
          <w:color w:val="000000" w:themeColor="text1"/>
          <w:lang w:val="es-ES"/>
        </w:rPr>
        <w:t xml:space="preserve"> </w:t>
      </w:r>
      <w:r w:rsidRPr="00FA4501">
        <w:rPr>
          <w:rFonts w:ascii="Verdana" w:eastAsia="Calibri" w:hAnsi="Verdana" w:cs="Arial"/>
          <w:color w:val="000000" w:themeColor="text1"/>
          <w:lang w:val="es-ES"/>
        </w:rPr>
        <w:lastRenderedPageBreak/>
        <w:t xml:space="preserve">aunque, indudablemente, con algunos atributos comunes. En otras palabras, diferenciar entre los conceptos de convenio y contrato interadministrativos, así como establecer con precisión las características y elementos esenciales de cada uno, resulta necesario de cara a definir la aplicación de ciertas figuras contractuales y normativas a cada uno de ellos, como las que se plantean en esta consulta. </w:t>
      </w:r>
    </w:p>
    <w:p w14:paraId="402FEAFE" w14:textId="77777777" w:rsidR="00FA4501" w:rsidRPr="00FA4501" w:rsidRDefault="00FA4501" w:rsidP="00FA4501">
      <w:pPr>
        <w:spacing w:after="120" w:line="276" w:lineRule="auto"/>
        <w:ind w:firstLine="708"/>
        <w:jc w:val="both"/>
        <w:rPr>
          <w:rFonts w:ascii="Verdana" w:eastAsia="Calibri" w:hAnsi="Verdana" w:cs="Arial"/>
        </w:rPr>
      </w:pPr>
      <w:r w:rsidRPr="00FA4501">
        <w:rPr>
          <w:rFonts w:ascii="Verdana" w:eastAsia="Times New Roman" w:hAnsi="Verdana" w:cs="Arial"/>
          <w:lang w:val="es-ES" w:eastAsia="es-ES_tradnl"/>
        </w:rPr>
        <w:t>P</w:t>
      </w:r>
      <w:r w:rsidRPr="00FA4501">
        <w:rPr>
          <w:rFonts w:ascii="Verdana" w:eastAsia="Times New Roman" w:hAnsi="Verdana" w:cs="Arial"/>
          <w:lang w:val="es-ES_tradnl" w:eastAsia="es-ES_tradnl"/>
        </w:rPr>
        <w:t xml:space="preserve">ara precisar </w:t>
      </w:r>
      <w:r w:rsidRPr="00FA4501">
        <w:rPr>
          <w:rFonts w:ascii="Verdana" w:eastAsia="Times New Roman" w:hAnsi="Verdana" w:cs="Arial"/>
          <w:lang w:val="es-ES" w:eastAsia="es-ES_tradnl"/>
        </w:rPr>
        <w:t>el alcance que tiene cada una de estas figuras, resulta pertinente resaltar que, en consonancia con el artículo 209 de la Constitución Política</w:t>
      </w:r>
      <w:r w:rsidRPr="00FA4501">
        <w:rPr>
          <w:rFonts w:ascii="Verdana" w:eastAsia="Times New Roman" w:hAnsi="Verdana" w:cs="Arial"/>
          <w:vertAlign w:val="superscript"/>
          <w:lang w:val="es-ES" w:eastAsia="es-ES_tradnl"/>
        </w:rPr>
        <w:footnoteReference w:id="2"/>
      </w:r>
      <w:r w:rsidRPr="00FA4501">
        <w:rPr>
          <w:rFonts w:ascii="Verdana" w:eastAsia="Times New Roman" w:hAnsi="Verdana" w:cs="Arial"/>
          <w:lang w:val="es-ES" w:eastAsia="es-ES_tradnl"/>
        </w:rPr>
        <w:t>, del que se desprenden los deberes de coordinación y colaboración a cargo de todas las autoridades administrativas,</w:t>
      </w:r>
      <w:r w:rsidRPr="00FA4501">
        <w:rPr>
          <w:rFonts w:ascii="Verdana" w:eastAsia="Calibri" w:hAnsi="Verdana" w:cs="Arial"/>
        </w:rPr>
        <w:t xml:space="preserve"> el artículo 95 de la Ley 489 de 1998</w:t>
      </w:r>
      <w:r w:rsidRPr="00FA4501">
        <w:rPr>
          <w:rFonts w:ascii="Verdana" w:eastAsia="Calibri" w:hAnsi="Verdana" w:cs="Arial"/>
          <w:vertAlign w:val="superscript"/>
        </w:rPr>
        <w:footnoteReference w:id="3"/>
      </w:r>
      <w:r w:rsidRPr="00FA4501">
        <w:rPr>
          <w:rFonts w:ascii="Verdana" w:eastAsia="Calibri" w:hAnsi="Verdana" w:cs="Arial"/>
        </w:rPr>
        <w:t xml:space="preserve"> dispone que “las entidades públicas podrán asociarse con el fin de cooperar en el cumplimiento de funciones administrativas o de prestar conjuntamente servicios que se hallen a su cargo mediante la celebración de convenios interadministrativos (…)”</w:t>
      </w:r>
      <w:r w:rsidRPr="00FA4501">
        <w:rPr>
          <w:rFonts w:ascii="Verdana" w:eastAsia="Calibri" w:hAnsi="Verdana" w:cs="Arial"/>
          <w:vertAlign w:val="superscript"/>
        </w:rPr>
        <w:footnoteReference w:id="4"/>
      </w:r>
      <w:r w:rsidRPr="00FA4501">
        <w:rPr>
          <w:rFonts w:ascii="Verdana" w:eastAsia="Calibri" w:hAnsi="Verdana" w:cs="Arial"/>
        </w:rPr>
        <w:t>. De tal suerte que, si bien la Ley 80 de 1993 faculta a las entidades estatales para celebrar cualquier acto jurídico generador de obligaciones, la norma en cita regula en forma particular la figura del convenio interadministrativo y define los elementos que caracterizan a este tipo de negocio jurídico.</w:t>
      </w:r>
    </w:p>
    <w:p w14:paraId="0956DCC1" w14:textId="77777777" w:rsidR="00FA4501" w:rsidRPr="00FA4501" w:rsidRDefault="00FA4501" w:rsidP="00FA4501">
      <w:pPr>
        <w:spacing w:after="120" w:line="276" w:lineRule="auto"/>
        <w:ind w:firstLine="708"/>
        <w:jc w:val="both"/>
        <w:rPr>
          <w:rFonts w:ascii="Verdana" w:eastAsia="Calibri" w:hAnsi="Verdana" w:cs="Arial"/>
        </w:rPr>
      </w:pPr>
      <w:r w:rsidRPr="00FA4501">
        <w:rPr>
          <w:rFonts w:ascii="Verdana" w:eastAsia="Calibri" w:hAnsi="Verdana" w:cs="Arial"/>
        </w:rPr>
        <w:t>Sobre el alcance de los convenios interadministrativos, el Consejo de Estado ha dejado en claro lo siguiente:</w:t>
      </w:r>
    </w:p>
    <w:p w14:paraId="645FA0B8" w14:textId="77777777" w:rsidR="00FA4501" w:rsidRPr="00FA4501" w:rsidRDefault="00FA4501" w:rsidP="00FA4501">
      <w:pPr>
        <w:spacing w:after="0" w:line="240" w:lineRule="auto"/>
        <w:ind w:left="709" w:right="714"/>
        <w:jc w:val="both"/>
        <w:rPr>
          <w:rFonts w:ascii="Verdana" w:eastAsia="Calibri" w:hAnsi="Verdana" w:cs="Arial"/>
          <w:bCs/>
          <w:sz w:val="20"/>
          <w:szCs w:val="20"/>
          <w:lang w:val="es-ES_tradnl"/>
        </w:rPr>
      </w:pPr>
      <w:r w:rsidRPr="00FA4501">
        <w:rPr>
          <w:rFonts w:ascii="Verdana" w:eastAsia="Calibri" w:hAnsi="Verdana" w:cs="Arial"/>
          <w:bCs/>
          <w:sz w:val="20"/>
          <w:szCs w:val="20"/>
          <w:lang w:eastAsia="es-ES_tradnl"/>
        </w:rPr>
        <w:t xml:space="preserve">“(…) </w:t>
      </w:r>
      <w:r w:rsidRPr="00FA4501">
        <w:rPr>
          <w:rFonts w:ascii="Verdana" w:eastAsia="Calibri" w:hAnsi="Verdana" w:cs="Arial"/>
          <w:bCs/>
          <w:sz w:val="20"/>
          <w:szCs w:val="20"/>
          <w:lang w:val="es-ES_tradnl"/>
        </w:rPr>
        <w:t xml:space="preserve">i) Constituyen verdaderos contratos en los términos del Código de Comercio cuando su objeto lo constituyen obligaciones patrimoniales. </w:t>
      </w:r>
      <w:proofErr w:type="spellStart"/>
      <w:r w:rsidRPr="00FA4501">
        <w:rPr>
          <w:rFonts w:ascii="Verdana" w:eastAsia="Calibri" w:hAnsi="Verdana" w:cs="Arial"/>
          <w:bCs/>
          <w:sz w:val="20"/>
          <w:szCs w:val="20"/>
          <w:lang w:val="es-ES_tradnl"/>
        </w:rPr>
        <w:t>ii</w:t>
      </w:r>
      <w:proofErr w:type="spellEnd"/>
      <w:r w:rsidRPr="00FA4501">
        <w:rPr>
          <w:rFonts w:ascii="Verdana" w:eastAsia="Calibri" w:hAnsi="Verdana" w:cs="Arial"/>
          <w:bCs/>
          <w:sz w:val="20"/>
          <w:szCs w:val="20"/>
          <w:lang w:val="es-ES_tradnl"/>
        </w:rPr>
        <w:t xml:space="preserve">) Tienen como fuente la autonomía contractual. </w:t>
      </w:r>
      <w:proofErr w:type="spellStart"/>
      <w:r w:rsidRPr="00FA4501">
        <w:rPr>
          <w:rFonts w:ascii="Verdana" w:eastAsia="Calibri" w:hAnsi="Verdana" w:cs="Arial"/>
          <w:bCs/>
          <w:sz w:val="20"/>
          <w:szCs w:val="20"/>
          <w:lang w:val="es-ES_tradnl"/>
        </w:rPr>
        <w:t>iii</w:t>
      </w:r>
      <w:proofErr w:type="spellEnd"/>
      <w:r w:rsidRPr="00FA4501">
        <w:rPr>
          <w:rFonts w:ascii="Verdana" w:eastAsia="Calibri" w:hAnsi="Verdana" w:cs="Arial"/>
          <w:bCs/>
          <w:sz w:val="20"/>
          <w:szCs w:val="20"/>
          <w:lang w:val="es-ES_tradnl"/>
        </w:rPr>
        <w:t xml:space="preserve">) Son contratos nominados, puesto que están mencionados por la ley. </w:t>
      </w:r>
      <w:proofErr w:type="spellStart"/>
      <w:r w:rsidRPr="00FA4501">
        <w:rPr>
          <w:rFonts w:ascii="Verdana" w:eastAsia="Calibri" w:hAnsi="Verdana" w:cs="Arial"/>
          <w:bCs/>
          <w:sz w:val="20"/>
          <w:szCs w:val="20"/>
          <w:lang w:val="es-ES_tradnl"/>
        </w:rPr>
        <w:t>iv</w:t>
      </w:r>
      <w:proofErr w:type="spellEnd"/>
      <w:r w:rsidRPr="00FA4501">
        <w:rPr>
          <w:rFonts w:ascii="Verdana" w:eastAsia="Calibri" w:hAnsi="Verdana" w:cs="Arial"/>
          <w:bCs/>
          <w:sz w:val="20"/>
          <w:szCs w:val="20"/>
          <w:lang w:val="es-ES_tradnl"/>
        </w:rPr>
        <w:t xml:space="preserve">) Son contratos atípicos desde la perspectiva legal, dado que se advierte la ausencia de unas normas que de manera detallada los disciplinen, expliquen y </w:t>
      </w:r>
      <w:r w:rsidRPr="00FA4501">
        <w:rPr>
          <w:rFonts w:ascii="Verdana" w:eastAsia="Calibri" w:hAnsi="Verdana" w:cs="Arial"/>
          <w:bCs/>
          <w:sz w:val="20"/>
          <w:szCs w:val="20"/>
          <w:lang w:val="es-ES_tradnl"/>
        </w:rPr>
        <w:lastRenderedPageBreak/>
        <w:t xml:space="preserve">desarrollen, como sí las tienen los contratos típicos, por ejemplo, compraventa, arrendamiento, mandato, etc. v) La normativa a la cual se encuentran sujetos en principio es la del Estatuto General de Contratación, en atención a que las partes que los celebran son entidades estatales y, por consiguiente, también se obligan a las disposiciones que resulten pertinentes del Código Civil y el Código de Comercio. vi) Dan lugar a la creación de obligaciones jurídicamente exigibles. </w:t>
      </w:r>
      <w:proofErr w:type="spellStart"/>
      <w:r w:rsidRPr="00FA4501">
        <w:rPr>
          <w:rFonts w:ascii="Verdana" w:eastAsia="Calibri" w:hAnsi="Verdana" w:cs="Arial"/>
          <w:bCs/>
          <w:sz w:val="20"/>
          <w:szCs w:val="20"/>
          <w:lang w:val="es-ES_tradnl"/>
        </w:rPr>
        <w:t>vii</w:t>
      </w:r>
      <w:proofErr w:type="spellEnd"/>
      <w:r w:rsidRPr="00FA4501">
        <w:rPr>
          <w:rFonts w:ascii="Verdana" w:eastAsia="Calibri" w:hAnsi="Verdana" w:cs="Arial"/>
          <w:bCs/>
          <w:sz w:val="20"/>
          <w:szCs w:val="20"/>
          <w:lang w:val="es-ES_tradnl"/>
        </w:rPr>
        <w:t xml:space="preserve">) Persiguen una finalidad común a través de la realización de intereses compartidos entre las entidades vinculadas. </w:t>
      </w:r>
      <w:proofErr w:type="spellStart"/>
      <w:r w:rsidRPr="00FA4501">
        <w:rPr>
          <w:rFonts w:ascii="Verdana" w:eastAsia="Calibri" w:hAnsi="Verdana" w:cs="Arial"/>
          <w:bCs/>
          <w:sz w:val="20"/>
          <w:szCs w:val="20"/>
          <w:lang w:val="es-ES_tradnl"/>
        </w:rPr>
        <w:t>viii</w:t>
      </w:r>
      <w:proofErr w:type="spellEnd"/>
      <w:r w:rsidRPr="00FA4501">
        <w:rPr>
          <w:rFonts w:ascii="Verdana" w:eastAsia="Calibri" w:hAnsi="Verdana" w:cs="Arial"/>
          <w:bCs/>
          <w:sz w:val="20"/>
          <w:szCs w:val="20"/>
          <w:lang w:val="es-ES_tradnl"/>
        </w:rPr>
        <w:t>) La acción mediante la cual se deben ventilar las diferencias que sobre el particular surjan es la de controversias contractuales”</w:t>
      </w:r>
      <w:r w:rsidRPr="00FA4501">
        <w:rPr>
          <w:rFonts w:ascii="Verdana" w:eastAsia="Times New Roman" w:hAnsi="Verdana" w:cs="Arial"/>
          <w:sz w:val="20"/>
          <w:szCs w:val="20"/>
          <w:vertAlign w:val="superscript"/>
          <w:lang w:val="es-ES" w:eastAsia="es-ES_tradnl"/>
        </w:rPr>
        <w:footnoteReference w:id="5"/>
      </w:r>
      <w:r w:rsidRPr="00FA4501">
        <w:rPr>
          <w:rFonts w:ascii="Verdana" w:eastAsia="Calibri" w:hAnsi="Verdana" w:cs="Arial"/>
          <w:bCs/>
          <w:sz w:val="20"/>
          <w:szCs w:val="20"/>
          <w:lang w:val="es-ES_tradnl"/>
        </w:rPr>
        <w:t>.</w:t>
      </w:r>
    </w:p>
    <w:p w14:paraId="43A58D0F" w14:textId="77777777" w:rsidR="00FA4501" w:rsidRPr="00FA4501" w:rsidRDefault="00FA4501" w:rsidP="00FA4501">
      <w:pPr>
        <w:spacing w:after="0" w:line="276" w:lineRule="auto"/>
        <w:ind w:right="713"/>
        <w:jc w:val="both"/>
        <w:rPr>
          <w:rFonts w:ascii="Verdana" w:eastAsia="Times New Roman" w:hAnsi="Verdana" w:cs="Arial"/>
          <w:lang w:val="es-ES" w:eastAsia="es-ES_tradnl"/>
        </w:rPr>
      </w:pPr>
    </w:p>
    <w:p w14:paraId="4121469A" w14:textId="77777777" w:rsidR="00FA4501" w:rsidRPr="00FA4501" w:rsidRDefault="00FA4501" w:rsidP="00FA4501">
      <w:pPr>
        <w:spacing w:after="120" w:line="276" w:lineRule="auto"/>
        <w:ind w:firstLine="708"/>
        <w:jc w:val="both"/>
        <w:rPr>
          <w:rFonts w:ascii="Verdana" w:eastAsia="Times New Roman" w:hAnsi="Verdana" w:cs="Arial"/>
          <w:lang w:val="es-ES" w:eastAsia="es-ES_tradnl"/>
        </w:rPr>
      </w:pPr>
      <w:r w:rsidRPr="00FA4501">
        <w:rPr>
          <w:rFonts w:ascii="Verdana" w:eastAsia="Times New Roman" w:hAnsi="Verdana" w:cs="Arial"/>
          <w:lang w:val="es-ES" w:eastAsia="es-ES_tradnl"/>
        </w:rPr>
        <w:t>A su turno, la doctrina especializada en la materia, a partir de la aplicación de un criterio material que envuelve la causa tenida en cuenta para contratar, ha dejado entrever que los convenios interadministrativos son una figura autónoma e independiente de la de los contratos interadministrativos</w:t>
      </w:r>
      <w:r w:rsidRPr="00FA4501">
        <w:rPr>
          <w:rFonts w:ascii="Verdana" w:eastAsia="Times New Roman" w:hAnsi="Verdana" w:cs="Arial"/>
          <w:vertAlign w:val="superscript"/>
          <w:lang w:val="es-ES" w:eastAsia="es-ES_tradnl"/>
        </w:rPr>
        <w:footnoteReference w:id="6"/>
      </w:r>
      <w:r w:rsidRPr="00FA4501">
        <w:rPr>
          <w:rFonts w:ascii="Verdana" w:eastAsia="Times New Roman" w:hAnsi="Verdana" w:cs="Arial"/>
          <w:lang w:val="es-ES" w:eastAsia="es-ES_tradnl"/>
        </w:rPr>
        <w:t>. Así “(…) es posible afirmar que el contrato es en efecto un acuerdo de voluntades que modifica las situaciones jurídicas subjetivas de las partes intervinientes, pero no se trata de cualquier clase de voluntades, sino únicamente de aquellas manifestadas por sujetos de derecho que tienen pretensiones o interés disímiles que se pueden ver como opuestos. En otras palabras, el contrato es un acuerdo de voluntades, en el cual cada uno de los participantes tiene finalidades opuestas”</w:t>
      </w:r>
      <w:r w:rsidRPr="00FA4501">
        <w:rPr>
          <w:rFonts w:ascii="Verdana" w:eastAsia="Times New Roman" w:hAnsi="Verdana" w:cs="Arial"/>
          <w:vertAlign w:val="superscript"/>
          <w:lang w:val="es-ES" w:eastAsia="es-ES_tradnl"/>
        </w:rPr>
        <w:footnoteReference w:id="7"/>
      </w:r>
      <w:r w:rsidRPr="00FA4501">
        <w:rPr>
          <w:rFonts w:ascii="Verdana" w:eastAsia="Times New Roman" w:hAnsi="Verdana" w:cs="Arial"/>
          <w:lang w:val="es-ES" w:eastAsia="es-ES_tradnl"/>
        </w:rPr>
        <w:t xml:space="preserve">. </w:t>
      </w:r>
    </w:p>
    <w:p w14:paraId="349E46BB" w14:textId="77777777" w:rsidR="00FA4501" w:rsidRPr="00FA4501" w:rsidRDefault="00FA4501" w:rsidP="00FA4501">
      <w:pPr>
        <w:spacing w:after="120" w:line="276" w:lineRule="auto"/>
        <w:ind w:firstLine="708"/>
        <w:jc w:val="both"/>
        <w:rPr>
          <w:rFonts w:ascii="Verdana" w:eastAsia="Times New Roman" w:hAnsi="Verdana" w:cs="Arial"/>
          <w:lang w:val="es-ES" w:eastAsia="es-ES_tradnl"/>
        </w:rPr>
      </w:pPr>
      <w:r w:rsidRPr="00FA4501">
        <w:rPr>
          <w:rFonts w:ascii="Verdana" w:eastAsia="Times New Roman" w:hAnsi="Verdana" w:cs="Arial"/>
          <w:lang w:val="es-ES" w:eastAsia="es-ES_tradnl"/>
        </w:rPr>
        <w:t xml:space="preserve">Con todo, según se advierte, “(…) basta agregar un ingrediente subjetivo para poder deducir la existencia del contrato de la administración, cual es la necesaria e imprescindible presencia de un sujeto especial de derecho llamado administración pública, lo cual implica que el contrato de la administración es un acuerdo de voluntades en el cual cada uno de los participantes pretende </w:t>
      </w:r>
      <w:r w:rsidRPr="00FA4501">
        <w:rPr>
          <w:rFonts w:ascii="Verdana" w:eastAsia="Times New Roman" w:hAnsi="Verdana" w:cs="Arial"/>
          <w:lang w:val="es-ES" w:eastAsia="es-ES_tradnl"/>
        </w:rPr>
        <w:lastRenderedPageBreak/>
        <w:t>satisfacer necesidades o finalidades opuestas, donde necesariamente una de las partes tiene que ser una administración pública”</w:t>
      </w:r>
      <w:r w:rsidRPr="00FA4501">
        <w:rPr>
          <w:rFonts w:ascii="Verdana" w:eastAsia="Times New Roman" w:hAnsi="Verdana" w:cs="Arial"/>
          <w:vertAlign w:val="superscript"/>
          <w:lang w:val="es-ES" w:eastAsia="es-ES_tradnl"/>
        </w:rPr>
        <w:footnoteReference w:id="8"/>
      </w:r>
      <w:r w:rsidRPr="00FA4501">
        <w:rPr>
          <w:rFonts w:ascii="Verdana" w:eastAsia="Times New Roman" w:hAnsi="Verdana" w:cs="Arial"/>
          <w:lang w:val="es-ES" w:eastAsia="es-ES_tradnl"/>
        </w:rPr>
        <w:t>.</w:t>
      </w:r>
    </w:p>
    <w:p w14:paraId="370C4408" w14:textId="77777777" w:rsidR="00FA4501" w:rsidRPr="00FA4501" w:rsidRDefault="00FA4501" w:rsidP="00FA4501">
      <w:pPr>
        <w:spacing w:before="120" w:after="0" w:line="276" w:lineRule="auto"/>
        <w:ind w:firstLine="709"/>
        <w:jc w:val="both"/>
        <w:rPr>
          <w:rFonts w:ascii="Verdana" w:eastAsia="Calibri" w:hAnsi="Verdana" w:cs="Arial"/>
          <w:color w:val="000000" w:themeColor="text1"/>
          <w:lang w:val="es-ES_tradnl"/>
        </w:rPr>
      </w:pPr>
      <w:r w:rsidRPr="00FA4501">
        <w:rPr>
          <w:rFonts w:ascii="Verdana" w:eastAsia="Calibri" w:hAnsi="Verdana" w:cs="Arial"/>
          <w:bCs/>
          <w:color w:val="000000" w:themeColor="text1"/>
          <w:lang w:eastAsia="es-ES_tradnl" w:bidi="es-ES"/>
        </w:rPr>
        <w:t xml:space="preserve">En relación con las diferencias entre los </w:t>
      </w:r>
      <w:proofErr w:type="gramStart"/>
      <w:r w:rsidRPr="00FA4501">
        <w:rPr>
          <w:rFonts w:ascii="Verdana" w:eastAsia="Calibri" w:hAnsi="Verdana" w:cs="Arial"/>
          <w:bCs/>
          <w:color w:val="000000" w:themeColor="text1"/>
          <w:lang w:eastAsia="es-ES_tradnl" w:bidi="es-ES"/>
        </w:rPr>
        <w:t>contratos interadministrativos y los convenios interadministrativos</w:t>
      </w:r>
      <w:proofErr w:type="gramEnd"/>
      <w:r w:rsidRPr="00FA4501">
        <w:rPr>
          <w:rFonts w:ascii="Verdana" w:eastAsia="Calibri" w:hAnsi="Verdana" w:cs="Arial"/>
          <w:bCs/>
          <w:color w:val="000000" w:themeColor="text1"/>
          <w:lang w:eastAsia="es-ES_tradnl" w:bidi="es-ES"/>
        </w:rPr>
        <w:t xml:space="preserve"> de que trata el artículo 95 de la Ley 489 de 1998, la Sala de Consulta y Servicio Civil del Consejo de Estado expresó lo siguiente: </w:t>
      </w:r>
    </w:p>
    <w:p w14:paraId="6C9AC769" w14:textId="77777777" w:rsidR="00FA4501" w:rsidRPr="00FA4501" w:rsidRDefault="00FA4501" w:rsidP="00FA4501">
      <w:pPr>
        <w:spacing w:beforeLines="120" w:before="288" w:afterLines="120" w:after="288" w:line="276" w:lineRule="auto"/>
        <w:ind w:firstLine="709"/>
        <w:contextualSpacing/>
        <w:jc w:val="both"/>
        <w:rPr>
          <w:rFonts w:ascii="Verdana" w:eastAsia="Calibri" w:hAnsi="Verdana" w:cs="Arial"/>
          <w:bCs/>
          <w:color w:val="000000" w:themeColor="text1"/>
          <w:sz w:val="20"/>
          <w:szCs w:val="20"/>
          <w:lang w:eastAsia="es-ES_tradnl" w:bidi="es-ES"/>
        </w:rPr>
      </w:pPr>
    </w:p>
    <w:p w14:paraId="08E1058D" w14:textId="77777777" w:rsidR="00FA4501" w:rsidRPr="00FA4501" w:rsidRDefault="00FA4501" w:rsidP="00FA4501">
      <w:pPr>
        <w:spacing w:after="0" w:line="240" w:lineRule="auto"/>
        <w:ind w:left="709" w:right="709"/>
        <w:contextualSpacing/>
        <w:jc w:val="both"/>
        <w:rPr>
          <w:rFonts w:ascii="Verdana" w:eastAsia="Calibri" w:hAnsi="Verdana" w:cs="Arial"/>
          <w:bCs/>
          <w:color w:val="000000" w:themeColor="text1"/>
          <w:sz w:val="20"/>
          <w:szCs w:val="20"/>
          <w:lang w:eastAsia="es-ES_tradnl" w:bidi="es-ES"/>
        </w:rPr>
      </w:pPr>
      <w:r w:rsidRPr="00FA4501">
        <w:rPr>
          <w:rFonts w:ascii="Verdana" w:eastAsia="Calibri" w:hAnsi="Verdana" w:cs="Arial"/>
          <w:bCs/>
          <w:color w:val="000000" w:themeColor="text1"/>
          <w:sz w:val="20"/>
          <w:szCs w:val="20"/>
          <w:lang w:eastAsia="es-ES_tradnl" w:bidi="es-ES"/>
        </w:rPr>
        <w:t>“La noción convenio interadministrativo es diferente a la de contrato interadministrativo. Los contratos interadministrativos se distinguen de los convenios interadministrativos en que en los primeros existe entre las entidades estatales partes intereses opuestos y se persigue una contraprestación o precio por la adquisición de bienes o la prestación de servicios o la realización de una obra, mientras que en los segundos las entidades partes se encuentran en pie de igualdad, tienen intereses comunes para lograr una finalidad estatal impuesta por la Constitución o la ley a las mismas, sin que tengan un interés puramente económico (es decir, destinados a obtener una ganancia)”.</w:t>
      </w:r>
      <w:r w:rsidRPr="00FA4501">
        <w:rPr>
          <w:rFonts w:ascii="Verdana" w:eastAsia="Calibri" w:hAnsi="Verdana" w:cs="Arial"/>
          <w:bCs/>
          <w:color w:val="000000" w:themeColor="text1"/>
          <w:sz w:val="20"/>
          <w:szCs w:val="20"/>
          <w:vertAlign w:val="superscript"/>
          <w:lang w:val="es-ES_tradnl" w:eastAsia="es-ES_tradnl" w:bidi="es-ES"/>
        </w:rPr>
        <w:t xml:space="preserve"> </w:t>
      </w:r>
      <w:r w:rsidRPr="00FA4501">
        <w:rPr>
          <w:rFonts w:ascii="Verdana" w:eastAsia="Calibri" w:hAnsi="Verdana" w:cs="Arial"/>
          <w:bCs/>
          <w:color w:val="000000" w:themeColor="text1"/>
          <w:sz w:val="20"/>
          <w:szCs w:val="20"/>
          <w:vertAlign w:val="superscript"/>
          <w:lang w:val="es-ES_tradnl" w:eastAsia="es-ES_tradnl" w:bidi="es-ES"/>
        </w:rPr>
        <w:footnoteReference w:id="9"/>
      </w:r>
    </w:p>
    <w:p w14:paraId="3B9EB62F" w14:textId="77777777" w:rsidR="00FA4501" w:rsidRPr="00FA4501" w:rsidRDefault="00FA4501" w:rsidP="00FA4501">
      <w:pPr>
        <w:spacing w:beforeLines="120" w:before="288" w:afterLines="120" w:after="288" w:line="276" w:lineRule="auto"/>
        <w:ind w:firstLine="708"/>
        <w:contextualSpacing/>
        <w:jc w:val="both"/>
        <w:rPr>
          <w:rFonts w:ascii="Verdana" w:eastAsia="Calibri" w:hAnsi="Verdana" w:cs="Arial"/>
          <w:bCs/>
          <w:color w:val="000000" w:themeColor="text1"/>
          <w:sz w:val="20"/>
          <w:szCs w:val="20"/>
          <w:lang w:eastAsia="es-ES_tradnl" w:bidi="es-ES"/>
        </w:rPr>
      </w:pPr>
    </w:p>
    <w:p w14:paraId="52BFF93F" w14:textId="77777777" w:rsidR="00FA4501" w:rsidRPr="00FA4501" w:rsidRDefault="00FA4501" w:rsidP="00FA4501">
      <w:pPr>
        <w:spacing w:line="276" w:lineRule="auto"/>
        <w:ind w:firstLine="709"/>
        <w:contextualSpacing/>
        <w:jc w:val="both"/>
        <w:rPr>
          <w:rFonts w:ascii="Verdana" w:eastAsia="Calibri" w:hAnsi="Verdana" w:cs="Arial"/>
          <w:bCs/>
          <w:color w:val="000000" w:themeColor="text1"/>
          <w:lang w:eastAsia="es-ES_tradnl" w:bidi="es-ES"/>
        </w:rPr>
      </w:pPr>
      <w:r w:rsidRPr="00FA4501">
        <w:rPr>
          <w:rFonts w:ascii="Verdana" w:eastAsia="Calibri" w:hAnsi="Verdana" w:cs="Arial"/>
          <w:bCs/>
          <w:color w:val="000000" w:themeColor="text1"/>
          <w:lang w:eastAsia="es-ES_tradnl" w:bidi="es-ES"/>
        </w:rPr>
        <w:t>En línea con lo anterior, la Sala Contenciosa Administrativa del Consejo de Estado en sentencia del 14 de junio de 2019 también señaló:</w:t>
      </w:r>
    </w:p>
    <w:p w14:paraId="29C9CD5D" w14:textId="77777777" w:rsidR="00FA4501" w:rsidRPr="00FA4501" w:rsidRDefault="00FA4501" w:rsidP="00FA4501">
      <w:pPr>
        <w:spacing w:beforeLines="120" w:before="288" w:afterLines="120" w:after="288" w:line="276" w:lineRule="auto"/>
        <w:contextualSpacing/>
        <w:rPr>
          <w:rFonts w:ascii="Verdana" w:eastAsia="Calibri" w:hAnsi="Verdana" w:cs="Arial"/>
          <w:bCs/>
          <w:color w:val="000000" w:themeColor="text1"/>
          <w:lang w:eastAsia="es-ES_tradnl" w:bidi="es-ES"/>
        </w:rPr>
      </w:pPr>
    </w:p>
    <w:p w14:paraId="3DD83CB5" w14:textId="77777777" w:rsidR="00FA4501" w:rsidRPr="00FA4501" w:rsidRDefault="00FA4501" w:rsidP="00FA4501">
      <w:pPr>
        <w:spacing w:after="0" w:line="240" w:lineRule="auto"/>
        <w:ind w:left="709" w:right="709"/>
        <w:contextualSpacing/>
        <w:jc w:val="both"/>
        <w:rPr>
          <w:rFonts w:ascii="Verdana" w:eastAsia="Calibri" w:hAnsi="Verdana" w:cs="Arial"/>
          <w:bCs/>
          <w:color w:val="000000" w:themeColor="text1"/>
          <w:sz w:val="20"/>
          <w:szCs w:val="20"/>
          <w:lang w:val="es-ES_tradnl" w:eastAsia="es-ES_tradnl" w:bidi="es-ES"/>
        </w:rPr>
      </w:pPr>
      <w:r w:rsidRPr="00FA4501">
        <w:rPr>
          <w:rFonts w:ascii="Verdana" w:eastAsia="Calibri" w:hAnsi="Verdana" w:cs="Arial"/>
          <w:bCs/>
          <w:color w:val="000000" w:themeColor="text1"/>
          <w:sz w:val="20"/>
          <w:szCs w:val="20"/>
          <w:lang w:val="es-ES_tradnl" w:eastAsia="es-ES_tradnl" w:bidi="es-ES"/>
        </w:rPr>
        <w:t>“La Sala de Consulta y Servicio Civil</w:t>
      </w:r>
      <w:r w:rsidRPr="00FA4501">
        <w:rPr>
          <w:rFonts w:ascii="Verdana" w:eastAsia="Calibri" w:hAnsi="Verdana" w:cs="Arial"/>
          <w:bCs/>
          <w:color w:val="000000" w:themeColor="text1"/>
          <w:sz w:val="20"/>
          <w:szCs w:val="20"/>
          <w:vertAlign w:val="superscript"/>
          <w:lang w:val="es-ES_tradnl" w:eastAsia="es-ES_tradnl" w:bidi="es-ES"/>
        </w:rPr>
        <w:footnoteReference w:id="10"/>
      </w:r>
      <w:r w:rsidRPr="00FA4501">
        <w:rPr>
          <w:rFonts w:ascii="Verdana" w:eastAsia="Calibri" w:hAnsi="Verdana" w:cs="Arial"/>
          <w:bCs/>
          <w:color w:val="000000" w:themeColor="text1"/>
          <w:sz w:val="20"/>
          <w:szCs w:val="20"/>
          <w:lang w:val="es-ES_tradnl" w:eastAsia="es-ES_tradnl" w:bidi="es-ES"/>
        </w:rPr>
        <w:t xml:space="preserve"> de esta Corporación se ha referido a los </w:t>
      </w:r>
      <w:r w:rsidRPr="00FA4501">
        <w:rPr>
          <w:rFonts w:ascii="Verdana" w:eastAsia="Calibri" w:hAnsi="Verdana" w:cs="Arial"/>
          <w:bCs/>
          <w:i/>
          <w:color w:val="000000" w:themeColor="text1"/>
          <w:sz w:val="20"/>
          <w:szCs w:val="20"/>
          <w:lang w:val="es-ES_tradnl" w:eastAsia="es-ES_tradnl" w:bidi="es-ES"/>
        </w:rPr>
        <w:t>“convenios interadministrativos”</w:t>
      </w:r>
      <w:r w:rsidRPr="00FA4501">
        <w:rPr>
          <w:rFonts w:ascii="Verdana" w:eastAsia="Calibri" w:hAnsi="Verdana" w:cs="Arial"/>
          <w:bCs/>
          <w:color w:val="000000" w:themeColor="text1"/>
          <w:sz w:val="20"/>
          <w:szCs w:val="20"/>
          <w:lang w:val="es-ES_tradnl" w:eastAsia="es-ES_tradnl" w:bidi="es-ES"/>
        </w:rPr>
        <w:t xml:space="preserve"> a los cuales alude el artículo 95 de la Ley 489 de 1998, calificándolos de </w:t>
      </w:r>
      <w:r w:rsidRPr="00FA4501">
        <w:rPr>
          <w:rFonts w:ascii="Verdana" w:eastAsia="Calibri" w:hAnsi="Verdana" w:cs="Arial"/>
          <w:bCs/>
          <w:i/>
          <w:color w:val="000000" w:themeColor="text1"/>
          <w:sz w:val="20"/>
          <w:szCs w:val="20"/>
          <w:lang w:val="es-ES_tradnl" w:eastAsia="es-ES_tradnl" w:bidi="es-ES"/>
        </w:rPr>
        <w:t xml:space="preserve">“puros” </w:t>
      </w:r>
      <w:r w:rsidRPr="00FA4501">
        <w:rPr>
          <w:rFonts w:ascii="Verdana" w:eastAsia="Calibri" w:hAnsi="Verdana" w:cs="Arial"/>
          <w:bCs/>
          <w:color w:val="000000" w:themeColor="text1"/>
          <w:sz w:val="20"/>
          <w:szCs w:val="20"/>
          <w:lang w:val="es-ES_tradnl" w:eastAsia="es-ES_tradnl" w:bidi="es-ES"/>
        </w:rPr>
        <w:t xml:space="preserve">y entendiendo que estos, además de perseguir la finalidad de cooperación antes indicada, no implican intereses contrapuestos ni tampoco se circunscriben a un </w:t>
      </w:r>
      <w:r w:rsidRPr="00FA4501">
        <w:rPr>
          <w:rFonts w:ascii="Verdana" w:eastAsia="Calibri" w:hAnsi="Verdana" w:cs="Arial"/>
          <w:bCs/>
          <w:i/>
          <w:color w:val="000000" w:themeColor="text1"/>
          <w:sz w:val="20"/>
          <w:szCs w:val="20"/>
          <w:lang w:val="es-ES_tradnl" w:eastAsia="es-ES_tradnl" w:bidi="es-ES"/>
        </w:rPr>
        <w:t>“intercambio patrimonial”</w:t>
      </w:r>
      <w:r w:rsidRPr="00FA4501">
        <w:rPr>
          <w:rFonts w:ascii="Verdana" w:eastAsia="Calibri" w:hAnsi="Verdana" w:cs="Arial"/>
          <w:bCs/>
          <w:color w:val="000000" w:themeColor="text1"/>
          <w:sz w:val="20"/>
          <w:szCs w:val="20"/>
          <w:lang w:val="es-ES_tradnl" w:eastAsia="es-ES_tradnl" w:bidi="es-ES"/>
        </w:rPr>
        <w:t>. Sin perjuicio de lo anterior, en otra oportunidad, la misma Sala</w:t>
      </w:r>
      <w:r w:rsidRPr="00FA4501">
        <w:rPr>
          <w:rFonts w:ascii="Verdana" w:eastAsia="Calibri" w:hAnsi="Verdana" w:cs="Arial"/>
          <w:bCs/>
          <w:color w:val="000000" w:themeColor="text1"/>
          <w:sz w:val="20"/>
          <w:szCs w:val="20"/>
          <w:vertAlign w:val="superscript"/>
          <w:lang w:val="es-ES_tradnl" w:eastAsia="es-ES_tradnl" w:bidi="es-ES"/>
        </w:rPr>
        <w:footnoteReference w:id="11"/>
      </w:r>
      <w:r w:rsidRPr="00FA4501">
        <w:rPr>
          <w:rFonts w:ascii="Verdana" w:eastAsia="Calibri" w:hAnsi="Verdana" w:cs="Arial"/>
          <w:bCs/>
          <w:color w:val="000000" w:themeColor="text1"/>
          <w:sz w:val="20"/>
          <w:szCs w:val="20"/>
          <w:lang w:val="es-ES_tradnl" w:eastAsia="es-ES_tradnl" w:bidi="es-ES"/>
        </w:rPr>
        <w:t xml:space="preserve"> había indicado que, si bien en dichos </w:t>
      </w:r>
      <w:r w:rsidRPr="00FA4501">
        <w:rPr>
          <w:rFonts w:ascii="Verdana" w:eastAsia="Calibri" w:hAnsi="Verdana" w:cs="Arial"/>
          <w:bCs/>
          <w:color w:val="000000" w:themeColor="text1"/>
          <w:sz w:val="20"/>
          <w:szCs w:val="20"/>
          <w:lang w:val="es-ES_tradnl" w:eastAsia="es-ES_tradnl" w:bidi="es-ES"/>
        </w:rPr>
        <w:lastRenderedPageBreak/>
        <w:t xml:space="preserve">convenios no se daba un </w:t>
      </w:r>
      <w:r w:rsidRPr="00FA4501">
        <w:rPr>
          <w:rFonts w:ascii="Verdana" w:eastAsia="Calibri" w:hAnsi="Verdana" w:cs="Arial"/>
          <w:bCs/>
          <w:i/>
          <w:color w:val="000000" w:themeColor="text1"/>
          <w:sz w:val="20"/>
          <w:szCs w:val="20"/>
          <w:lang w:val="es-ES_tradnl" w:eastAsia="es-ES_tradnl" w:bidi="es-ES"/>
        </w:rPr>
        <w:t>“verdadero intercambio de bienes o servicios (contrato conmutativo)”</w:t>
      </w:r>
      <w:r w:rsidRPr="00FA4501">
        <w:rPr>
          <w:rFonts w:ascii="Verdana" w:eastAsia="Calibri" w:hAnsi="Verdana" w:cs="Arial"/>
          <w:bCs/>
          <w:color w:val="000000" w:themeColor="text1"/>
          <w:sz w:val="20"/>
          <w:szCs w:val="20"/>
          <w:lang w:val="es-ES_tradnl" w:eastAsia="es-ES_tradnl" w:bidi="es-ES"/>
        </w:rPr>
        <w:t>, ello no impedía que se conviniera una remuneración a cargo de alguna(s) entidad(es).</w:t>
      </w:r>
    </w:p>
    <w:p w14:paraId="2B9DB004" w14:textId="77777777" w:rsidR="00FA4501" w:rsidRPr="00FA4501" w:rsidRDefault="00FA4501" w:rsidP="00FA4501">
      <w:pPr>
        <w:spacing w:beforeLines="120" w:before="288" w:afterLines="120" w:after="288" w:line="276" w:lineRule="auto"/>
        <w:ind w:left="708" w:right="709" w:firstLine="708"/>
        <w:contextualSpacing/>
        <w:jc w:val="both"/>
        <w:rPr>
          <w:rFonts w:ascii="Verdana" w:eastAsia="Calibri" w:hAnsi="Verdana" w:cs="Arial"/>
          <w:bCs/>
          <w:color w:val="000000" w:themeColor="text1"/>
          <w:sz w:val="20"/>
          <w:szCs w:val="20"/>
          <w:lang w:val="es-ES_tradnl" w:eastAsia="es-ES_tradnl" w:bidi="es-ES"/>
        </w:rPr>
      </w:pPr>
    </w:p>
    <w:p w14:paraId="5B764F23" w14:textId="77777777" w:rsidR="00FA4501" w:rsidRPr="00FA4501" w:rsidRDefault="00FA4501" w:rsidP="00FA4501">
      <w:pPr>
        <w:spacing w:beforeLines="120" w:before="288" w:afterLines="120" w:after="288" w:line="240" w:lineRule="auto"/>
        <w:ind w:left="708" w:right="709"/>
        <w:contextualSpacing/>
        <w:jc w:val="both"/>
        <w:rPr>
          <w:rFonts w:ascii="Verdana" w:eastAsia="Calibri" w:hAnsi="Verdana" w:cs="Arial"/>
          <w:bCs/>
          <w:color w:val="000000" w:themeColor="text1"/>
          <w:sz w:val="20"/>
          <w:szCs w:val="20"/>
          <w:lang w:eastAsia="es-ES_tradnl" w:bidi="es-ES"/>
        </w:rPr>
      </w:pPr>
      <w:r w:rsidRPr="00FA4501">
        <w:rPr>
          <w:rFonts w:ascii="Verdana" w:eastAsia="Calibri" w:hAnsi="Verdana" w:cs="Arial"/>
          <w:bCs/>
          <w:color w:val="000000" w:themeColor="text1"/>
          <w:sz w:val="20"/>
          <w:szCs w:val="20"/>
          <w:lang w:val="es-ES_tradnl" w:eastAsia="es-ES_tradnl" w:bidi="es-ES"/>
        </w:rPr>
        <w:t xml:space="preserve">Lo expuesto evidencia que, en general, las interpretaciones en torno a los </w:t>
      </w:r>
      <w:r w:rsidRPr="00FA4501">
        <w:rPr>
          <w:rFonts w:ascii="Verdana" w:eastAsia="Calibri" w:hAnsi="Verdana" w:cs="Arial"/>
          <w:bCs/>
          <w:i/>
          <w:color w:val="000000" w:themeColor="text1"/>
          <w:sz w:val="20"/>
          <w:szCs w:val="20"/>
          <w:lang w:val="es-ES_tradnl" w:eastAsia="es-ES_tradnl" w:bidi="es-ES"/>
        </w:rPr>
        <w:t>“convenios interadministrativos”</w:t>
      </w:r>
      <w:r w:rsidRPr="00FA4501">
        <w:rPr>
          <w:rFonts w:ascii="Verdana" w:eastAsia="Calibri" w:hAnsi="Verdana" w:cs="Arial"/>
          <w:bCs/>
          <w:color w:val="000000" w:themeColor="text1"/>
          <w:sz w:val="20"/>
          <w:szCs w:val="20"/>
          <w:lang w:val="es-ES_tradnl" w:eastAsia="es-ES_tradnl" w:bidi="es-ES"/>
        </w:rPr>
        <w:t xml:space="preserve"> previstos en el artículo 95 de la Ley 489 de 1998, en el propósito de encasillarlos dentro de una categoría normativa delimitada en su estructura, elementos y régimen jurídico, han sido dubitativas al vincular o no las obligaciones propias de dichos convenios con las de los contratos estatales sometidos al EGCAP, las cuales tienen por objeto prestaciones patrimoniales”</w:t>
      </w:r>
      <w:r w:rsidRPr="00FA4501">
        <w:rPr>
          <w:rFonts w:ascii="Verdana" w:eastAsia="Calibri" w:hAnsi="Verdana" w:cs="Arial"/>
          <w:bCs/>
          <w:color w:val="000000" w:themeColor="text1"/>
          <w:sz w:val="20"/>
          <w:szCs w:val="20"/>
          <w:vertAlign w:val="superscript"/>
          <w:lang w:val="es-ES_tradnl" w:eastAsia="es-ES_tradnl" w:bidi="es-ES"/>
        </w:rPr>
        <w:footnoteReference w:id="12"/>
      </w:r>
      <w:r w:rsidRPr="00FA4501">
        <w:rPr>
          <w:rFonts w:ascii="Verdana" w:eastAsia="Calibri" w:hAnsi="Verdana" w:cs="Arial"/>
          <w:bCs/>
          <w:color w:val="000000" w:themeColor="text1"/>
          <w:sz w:val="20"/>
          <w:szCs w:val="20"/>
          <w:lang w:val="es-ES_tradnl" w:eastAsia="es-ES_tradnl" w:bidi="es-ES"/>
        </w:rPr>
        <w:t>.</w:t>
      </w:r>
      <w:r w:rsidRPr="00FA4501">
        <w:rPr>
          <w:rFonts w:ascii="Verdana" w:eastAsia="Calibri" w:hAnsi="Verdana" w:cs="Arial"/>
          <w:bCs/>
          <w:color w:val="000000" w:themeColor="text1"/>
          <w:sz w:val="20"/>
          <w:szCs w:val="20"/>
          <w:vertAlign w:val="superscript"/>
          <w:lang w:eastAsia="es-ES_tradnl" w:bidi="es-ES"/>
        </w:rPr>
        <w:footnoteReference w:id="13"/>
      </w:r>
      <w:r w:rsidRPr="00FA4501">
        <w:rPr>
          <w:rFonts w:ascii="Verdana" w:eastAsia="Calibri" w:hAnsi="Verdana" w:cs="Arial"/>
          <w:bCs/>
          <w:color w:val="000000" w:themeColor="text1"/>
          <w:sz w:val="20"/>
          <w:szCs w:val="20"/>
          <w:lang w:val="es-ES_tradnl" w:eastAsia="es-ES_tradnl" w:bidi="es-ES"/>
        </w:rPr>
        <w:t xml:space="preserve"> </w:t>
      </w:r>
    </w:p>
    <w:p w14:paraId="64C6C8B4" w14:textId="77777777" w:rsidR="00FA4501" w:rsidRPr="00FA4501" w:rsidRDefault="00FA4501" w:rsidP="00FA4501">
      <w:pPr>
        <w:snapToGrid w:val="0"/>
        <w:spacing w:after="0" w:line="276" w:lineRule="auto"/>
        <w:ind w:firstLine="709"/>
        <w:jc w:val="both"/>
        <w:rPr>
          <w:rFonts w:ascii="Verdana" w:eastAsia="Calibri" w:hAnsi="Verdana" w:cs="Arial"/>
          <w:bCs/>
          <w:color w:val="000000" w:themeColor="text1"/>
          <w:lang w:eastAsia="es-ES_tradnl" w:bidi="es-ES"/>
        </w:rPr>
      </w:pPr>
    </w:p>
    <w:p w14:paraId="390E9D2C" w14:textId="77777777" w:rsidR="00FA4501" w:rsidRPr="00FA4501" w:rsidRDefault="00FA4501" w:rsidP="00FA4501">
      <w:pPr>
        <w:snapToGrid w:val="0"/>
        <w:spacing w:after="120" w:line="276" w:lineRule="auto"/>
        <w:ind w:firstLine="709"/>
        <w:jc w:val="both"/>
        <w:rPr>
          <w:rFonts w:ascii="Verdana" w:eastAsia="Calibri" w:hAnsi="Verdana" w:cs="Arial"/>
          <w:bCs/>
          <w:color w:val="000000" w:themeColor="text1"/>
          <w:lang w:eastAsia="es-ES_tradnl" w:bidi="es-ES"/>
        </w:rPr>
      </w:pPr>
      <w:r w:rsidRPr="00FA4501">
        <w:rPr>
          <w:rFonts w:ascii="Verdana" w:eastAsia="Calibri" w:hAnsi="Verdana" w:cs="Arial"/>
          <w:bCs/>
          <w:color w:val="000000" w:themeColor="text1"/>
          <w:lang w:eastAsia="es-ES_tradnl" w:bidi="es-ES"/>
        </w:rPr>
        <w:t xml:space="preserve">En esta ocasión la referida corporación judicial resaltó la finalidad del acuerdo de voluntades como un factor de diferenciación entre las dos figuras. Si bien estas tienen un tronco común, se diferencian en su naturaleza y finalidad en la medida en que los contratos estatales –en general– comportan obligaciones de contenido patrimonial que se traducen en intereses contrapuestos entre las partes pues implican un gravamen a cambio de un beneficio en una relación de carácter conmutativo, mientras que los convenios interadministrativos involucran la ejecución de actividades en función de un interés común para las partes; en esencia se pretende el cumplimiento de fines coincidentes entre quienes lo ejecutan. </w:t>
      </w:r>
    </w:p>
    <w:p w14:paraId="00B07D86" w14:textId="77777777" w:rsidR="00FA4501" w:rsidRPr="00FA4501" w:rsidRDefault="00FA4501" w:rsidP="00FA4501">
      <w:pPr>
        <w:snapToGrid w:val="0"/>
        <w:spacing w:after="120" w:line="276" w:lineRule="auto"/>
        <w:ind w:firstLine="709"/>
        <w:jc w:val="both"/>
        <w:rPr>
          <w:rFonts w:ascii="Verdana" w:eastAsia="Calibri" w:hAnsi="Verdana" w:cs="Arial"/>
          <w:bCs/>
          <w:color w:val="000000" w:themeColor="text1"/>
          <w:lang w:eastAsia="es-ES_tradnl" w:bidi="es-ES"/>
        </w:rPr>
      </w:pPr>
      <w:r w:rsidRPr="00FA4501">
        <w:rPr>
          <w:rFonts w:ascii="Verdana" w:eastAsia="Calibri" w:hAnsi="Verdana" w:cs="Arial"/>
          <w:bCs/>
          <w:color w:val="000000" w:themeColor="text1"/>
          <w:lang w:eastAsia="es-ES_tradnl" w:bidi="es-ES"/>
        </w:rPr>
        <w:t xml:space="preserve">Mientras que en el contrato interadministrativo las finalidades de las partes divergen, en el convenio convergen y cooperan en función del cumplimiento eficiente de un propósito estatal común superior. En esa línea, una </w:t>
      </w:r>
      <w:r w:rsidRPr="00FA4501">
        <w:rPr>
          <w:rFonts w:ascii="Verdana" w:eastAsia="Calibri" w:hAnsi="Verdana" w:cs="Arial"/>
          <w:bCs/>
          <w:color w:val="000000" w:themeColor="text1"/>
          <w:lang w:eastAsia="es-ES_tradnl" w:bidi="es-ES"/>
        </w:rPr>
        <w:lastRenderedPageBreak/>
        <w:t>interpretación sistemática de las leyes 80 de 1993, 1150 de 2007 y 1474 de 2011 invitaría a considerar el contrato interadministrativo como una relación jurídica patrimonial, onerosa y conmutativa, en la que existen unas exigencias y restricciones normativas adicionales, de manera que, en efecto, dista de la naturaleza y esencia del convenio interadministrativo.</w:t>
      </w:r>
    </w:p>
    <w:p w14:paraId="0DCC3DAC" w14:textId="77777777" w:rsidR="00FA4501" w:rsidRPr="00FA4501" w:rsidRDefault="00FA4501" w:rsidP="00FA4501">
      <w:pPr>
        <w:snapToGrid w:val="0"/>
        <w:spacing w:after="120" w:line="276" w:lineRule="auto"/>
        <w:ind w:firstLine="709"/>
        <w:jc w:val="both"/>
        <w:rPr>
          <w:rFonts w:ascii="Verdana" w:eastAsia="Calibri" w:hAnsi="Verdana" w:cs="Arial"/>
          <w:bCs/>
          <w:color w:val="000000" w:themeColor="text1"/>
          <w:lang w:eastAsia="es-ES_tradnl" w:bidi="es-ES"/>
        </w:rPr>
      </w:pPr>
      <w:r w:rsidRPr="00FA4501">
        <w:rPr>
          <w:rFonts w:ascii="Verdana" w:eastAsia="Times New Roman" w:hAnsi="Verdana" w:cs="Arial"/>
          <w:lang w:val="es-ES" w:eastAsia="es-ES_tradnl"/>
        </w:rPr>
        <w:t xml:space="preserve">Visto lo anterior, de conformidad con lo previsto en el artículo 95 de la Ley 489 de 1998 y el alcance que la jurisprudencia y conceptos del Consejo de Estado  y la doctrina le han conferido al tema de la regulación de los contratos y convenios interadministrativos, esta última tipología presenta las siguientes características: </w:t>
      </w:r>
      <w:r w:rsidRPr="00FA4501">
        <w:rPr>
          <w:rFonts w:ascii="Verdana" w:eastAsia="Times New Roman" w:hAnsi="Verdana" w:cs="Arial"/>
          <w:i/>
          <w:iCs/>
          <w:lang w:val="es-ES" w:eastAsia="es-ES_tradnl"/>
        </w:rPr>
        <w:t>(i)</w:t>
      </w:r>
      <w:r w:rsidRPr="00FA4501">
        <w:rPr>
          <w:rFonts w:ascii="Verdana" w:eastAsia="Times New Roman" w:hAnsi="Verdana" w:cs="Arial"/>
          <w:lang w:val="es-ES" w:eastAsia="es-ES_tradnl"/>
        </w:rPr>
        <w:t xml:space="preserve"> se celebra entre dos entidades públicas que se encuentran en pie de igualdad con el objeto de cumplir competencias de ambas entidades dirigidas a un propósito común; </w:t>
      </w:r>
      <w:r w:rsidRPr="00FA4501">
        <w:rPr>
          <w:rFonts w:ascii="Verdana" w:eastAsia="Times New Roman" w:hAnsi="Verdana" w:cs="Arial"/>
          <w:i/>
          <w:iCs/>
          <w:lang w:val="es-ES" w:eastAsia="es-ES_tradnl"/>
        </w:rPr>
        <w:t>(</w:t>
      </w:r>
      <w:proofErr w:type="spellStart"/>
      <w:r w:rsidRPr="00FA4501">
        <w:rPr>
          <w:rFonts w:ascii="Verdana" w:eastAsia="Times New Roman" w:hAnsi="Verdana" w:cs="Arial"/>
          <w:i/>
          <w:iCs/>
          <w:lang w:val="es-ES" w:eastAsia="es-ES_tradnl"/>
        </w:rPr>
        <w:t>ii</w:t>
      </w:r>
      <w:proofErr w:type="spellEnd"/>
      <w:r w:rsidRPr="00FA4501">
        <w:rPr>
          <w:rFonts w:ascii="Verdana" w:eastAsia="Times New Roman" w:hAnsi="Verdana" w:cs="Arial"/>
          <w:i/>
          <w:iCs/>
          <w:lang w:val="es-ES" w:eastAsia="es-ES_tradnl"/>
        </w:rPr>
        <w:t>)</w:t>
      </w:r>
      <w:r w:rsidRPr="00FA4501">
        <w:rPr>
          <w:rFonts w:ascii="Verdana" w:eastAsia="Times New Roman" w:hAnsi="Verdana" w:cs="Arial"/>
          <w:lang w:val="es-ES" w:eastAsia="es-ES_tradnl"/>
        </w:rPr>
        <w:t xml:space="preserve"> la modalidad para su celebración es la contratación directa; </w:t>
      </w:r>
      <w:r w:rsidRPr="00FA4501">
        <w:rPr>
          <w:rFonts w:ascii="Verdana" w:eastAsia="Times New Roman" w:hAnsi="Verdana" w:cs="Arial"/>
          <w:i/>
          <w:iCs/>
          <w:lang w:val="es-ES" w:eastAsia="es-ES_tradnl"/>
        </w:rPr>
        <w:t>(</w:t>
      </w:r>
      <w:proofErr w:type="spellStart"/>
      <w:r w:rsidRPr="00FA4501">
        <w:rPr>
          <w:rFonts w:ascii="Verdana" w:eastAsia="Times New Roman" w:hAnsi="Verdana" w:cs="Arial"/>
          <w:i/>
          <w:iCs/>
          <w:lang w:val="es-ES" w:eastAsia="es-ES_tradnl"/>
        </w:rPr>
        <w:t>iii</w:t>
      </w:r>
      <w:proofErr w:type="spellEnd"/>
      <w:r w:rsidRPr="00FA4501">
        <w:rPr>
          <w:rFonts w:ascii="Verdana" w:eastAsia="Times New Roman" w:hAnsi="Verdana" w:cs="Arial"/>
          <w:i/>
          <w:iCs/>
          <w:lang w:val="es-ES" w:eastAsia="es-ES_tradnl"/>
        </w:rPr>
        <w:t>)</w:t>
      </w:r>
      <w:r w:rsidRPr="00FA4501">
        <w:rPr>
          <w:rFonts w:ascii="Verdana" w:eastAsia="Times New Roman" w:hAnsi="Verdana" w:cs="Arial"/>
          <w:lang w:val="es-ES" w:eastAsia="es-ES_tradnl"/>
        </w:rPr>
        <w:t xml:space="preserve"> los convenios interadministrativos pueden suponer el compromiso de recursos públicos y, por consiguiente, la realización de aportes financieros. Ello, sin embargo, no supone la posibilidad de que en este tipo de relaciones jurídicas exista una remuneración en favor de uno de los </w:t>
      </w:r>
      <w:proofErr w:type="spellStart"/>
      <w:r w:rsidRPr="00FA4501">
        <w:rPr>
          <w:rFonts w:ascii="Verdana" w:eastAsia="Times New Roman" w:hAnsi="Verdana" w:cs="Arial"/>
          <w:lang w:val="es-ES" w:eastAsia="es-ES_tradnl"/>
        </w:rPr>
        <w:t>co-contratantes</w:t>
      </w:r>
      <w:proofErr w:type="spellEnd"/>
      <w:r w:rsidRPr="00FA4501">
        <w:rPr>
          <w:rFonts w:ascii="Verdana" w:eastAsia="Times New Roman" w:hAnsi="Verdana" w:cs="Arial"/>
          <w:lang w:val="es-ES" w:eastAsia="es-ES_tradnl"/>
        </w:rPr>
        <w:t xml:space="preserve"> y a cargo de otro u otros.</w:t>
      </w:r>
    </w:p>
    <w:p w14:paraId="6F66A79B" w14:textId="77777777" w:rsidR="00FA4501" w:rsidRPr="00FA4501" w:rsidRDefault="00FA4501" w:rsidP="00FA4501">
      <w:pPr>
        <w:snapToGrid w:val="0"/>
        <w:spacing w:after="120" w:line="276" w:lineRule="auto"/>
        <w:ind w:firstLine="709"/>
        <w:jc w:val="both"/>
        <w:rPr>
          <w:rFonts w:ascii="Verdana" w:eastAsia="Calibri" w:hAnsi="Verdana" w:cs="Arial"/>
          <w:bCs/>
          <w:color w:val="000000" w:themeColor="text1"/>
          <w:lang w:eastAsia="es-ES_tradnl" w:bidi="es-ES"/>
        </w:rPr>
      </w:pPr>
      <w:r w:rsidRPr="00FA4501">
        <w:rPr>
          <w:rFonts w:ascii="Verdana" w:eastAsia="Calibri" w:hAnsi="Verdana" w:cs="Arial"/>
          <w:bCs/>
          <w:color w:val="000000" w:themeColor="text1"/>
          <w:lang w:eastAsia="es-ES_tradnl" w:bidi="es-ES"/>
        </w:rPr>
        <w:t xml:space="preserve">En suma, el convenio interadministrativo es un negocio jurídico en el cual están presentes dos entidades públicas y cuyo objeto es coordinar, cooperar, colaborar o distribuir competencias en la realización de funciones administrativas de interés común y, por tanto, tienen intereses convergentes o coincidentes, sin que se reciba por alguna de ellas el pago de un precio o contraprestación; en tanto que el contrato interadministrativo, aunque es celebrado también entre dos  entidades públicas, es un negocio jurídico generador de obligaciones al cual acuden estas con diversidad de intereses y en ellos existe una contraprestación directa a favor de la entidad contratista que ha entregado el bien o prestado el servicio o realizado la obra a favor de la entidad contratante. </w:t>
      </w:r>
    </w:p>
    <w:p w14:paraId="5038CC86" w14:textId="77777777" w:rsidR="00FA4501" w:rsidRPr="00FA4501" w:rsidRDefault="00FA4501" w:rsidP="00FA4501">
      <w:pPr>
        <w:snapToGrid w:val="0"/>
        <w:spacing w:after="120" w:line="276" w:lineRule="auto"/>
        <w:ind w:firstLine="709"/>
        <w:jc w:val="both"/>
        <w:rPr>
          <w:rFonts w:ascii="Verdana" w:eastAsia="Calibri" w:hAnsi="Verdana" w:cs="Arial"/>
          <w:bCs/>
          <w:color w:val="000000" w:themeColor="text1"/>
          <w:lang w:eastAsia="es-ES_tradnl" w:bidi="es-ES"/>
        </w:rPr>
      </w:pPr>
      <w:r w:rsidRPr="00FA4501">
        <w:rPr>
          <w:rFonts w:ascii="Verdana" w:eastAsia="Calibri" w:hAnsi="Verdana" w:cs="Arial"/>
          <w:bCs/>
          <w:color w:val="000000" w:themeColor="text1"/>
          <w:lang w:eastAsia="es-ES_tradnl" w:bidi="es-ES"/>
        </w:rPr>
        <w:t xml:space="preserve">Bajo estas consideraciones, </w:t>
      </w:r>
      <w:r w:rsidRPr="00FA4501">
        <w:rPr>
          <w:rFonts w:ascii="Verdana" w:eastAsia="Calibri" w:hAnsi="Verdana" w:cs="Arial"/>
          <w:color w:val="000000" w:themeColor="text1"/>
          <w:lang w:val="es-ES"/>
        </w:rPr>
        <w:t>puede afirmarse</w:t>
      </w:r>
      <w:r w:rsidRPr="00FA4501">
        <w:rPr>
          <w:rFonts w:ascii="Verdana" w:eastAsia="Calibri" w:hAnsi="Verdana" w:cs="Arial"/>
          <w:bCs/>
          <w:color w:val="000000" w:themeColor="text1"/>
          <w:lang w:eastAsia="es-ES_tradnl" w:bidi="es-ES"/>
        </w:rPr>
        <w:t xml:space="preserve"> </w:t>
      </w:r>
      <w:r w:rsidRPr="00FA4501">
        <w:rPr>
          <w:rFonts w:ascii="Verdana" w:eastAsia="Times New Roman" w:hAnsi="Verdana" w:cs="Arial"/>
          <w:lang w:val="es-ES" w:eastAsia="es-ES_tradnl"/>
        </w:rPr>
        <w:t xml:space="preserve">que los convenios interadministrativos no pueden ser sinalagmáticos, debido a que en ellos no se involucran intereses contrapuestos, sino un interés común. Esto implica que, en los eventos en que su celebración comporte el compromiso y la ejecución de recursos públicos, el valor de estos no puede destinarse al pago o remuneración </w:t>
      </w:r>
      <w:r w:rsidRPr="00FA4501">
        <w:rPr>
          <w:rFonts w:ascii="Verdana" w:eastAsia="Times New Roman" w:hAnsi="Verdana" w:cs="Arial"/>
          <w:lang w:val="es-ES" w:eastAsia="es-ES_tradnl"/>
        </w:rPr>
        <w:lastRenderedPageBreak/>
        <w:t xml:space="preserve">de ninguna de las partes, sino que debe corresponder necesariamente a la asunción de costos y gastos para cumplir las funciones de la respectiva entidad, así como para atender los compromisos adquiridos para con la otra, pues las entidades cooperan entre sí, no se prestan servicios ni se ofrecen bienes a cambio de una remuneración y, por esa razón, los recursos comprometidos a través de los convenios interadministrativos no constituyen un pago, sino un aporte para lograr el cometido común. </w:t>
      </w:r>
    </w:p>
    <w:p w14:paraId="2E0AFF6E" w14:textId="77777777" w:rsidR="00FA4501" w:rsidRPr="00FA4501" w:rsidRDefault="00FA4501" w:rsidP="00FA4501">
      <w:pPr>
        <w:spacing w:after="120" w:line="276" w:lineRule="auto"/>
        <w:ind w:firstLine="709"/>
        <w:jc w:val="both"/>
        <w:rPr>
          <w:rFonts w:ascii="Verdana" w:eastAsia="Times New Roman" w:hAnsi="Verdana" w:cs="Arial"/>
          <w:szCs w:val="24"/>
          <w:lang w:eastAsia="es-ES_tradnl"/>
        </w:rPr>
      </w:pPr>
      <w:r w:rsidRPr="00FA4501">
        <w:rPr>
          <w:rFonts w:ascii="Verdana" w:eastAsia="Times New Roman" w:hAnsi="Verdana" w:cs="Arial"/>
          <w:szCs w:val="24"/>
          <w:lang w:eastAsia="es-ES_tradnl"/>
        </w:rPr>
        <w:t>Así, tal y como se ha expuesto en líneas anteriores, en atención a su naturaleza particular, a los convenios interadministrativos no les subyace un interés puramente económico, en tanto no se celebran para obtener una ganancia, sino con el propósito de ejecutar actividades que contribuyen directamente al fin común de los sujetos vinculados al convenio. De hecho, las partes presentan intereses convergentes, coincidentes o comunes y cooperan en procura de alcanzar en forma eficaz el cometido estatal previsto en la Constitución o en la ley, sin que por esto se reciba por ninguna de ellas el pago de un precio o contraprestación.</w:t>
      </w:r>
      <w:r w:rsidRPr="00FA4501">
        <w:rPr>
          <w:rFonts w:ascii="Verdana" w:eastAsia="Times New Roman" w:hAnsi="Verdana" w:cs="Arial"/>
          <w:lang w:val="es-ES" w:eastAsia="es-ES_tradnl"/>
        </w:rPr>
        <w:t xml:space="preserve"> </w:t>
      </w:r>
    </w:p>
    <w:p w14:paraId="76F5F520" w14:textId="77777777" w:rsidR="00FA4501" w:rsidRPr="00FA4501" w:rsidRDefault="00FA4501" w:rsidP="00FA4501">
      <w:pPr>
        <w:spacing w:after="120" w:line="276" w:lineRule="auto"/>
        <w:ind w:firstLine="709"/>
        <w:jc w:val="both"/>
        <w:rPr>
          <w:rFonts w:ascii="Verdana" w:eastAsia="Times New Roman" w:hAnsi="Verdana" w:cs="Arial"/>
          <w:lang w:eastAsia="es-ES_tradnl"/>
        </w:rPr>
      </w:pPr>
      <w:r w:rsidRPr="00FA4501">
        <w:rPr>
          <w:rFonts w:ascii="Verdana" w:eastAsia="Times New Roman" w:hAnsi="Verdana" w:cs="Arial"/>
          <w:szCs w:val="24"/>
          <w:lang w:eastAsia="es-ES_tradnl"/>
        </w:rPr>
        <w:t xml:space="preserve">En la práctica, en los convenios interadministrativos que las entidades celebran no suele pactarse un precio o remuneración, lo que no significa que, para la ejecución de sus compromisos, no puedan </w:t>
      </w:r>
      <w:r w:rsidRPr="00FA4501">
        <w:rPr>
          <w:rFonts w:ascii="Verdana" w:eastAsia="Times New Roman" w:hAnsi="Verdana" w:cs="Arial"/>
          <w:lang w:eastAsia="es-ES_tradnl"/>
        </w:rPr>
        <w:t>afectar sus respectivos presupuestos y ejecutar recursos públicos. Recuérdese que ese contenido económico, incluso, puede estar presente de forma implícita en el caso de las obligaciones de hacer</w:t>
      </w:r>
      <w:r w:rsidRPr="00FA4501">
        <w:rPr>
          <w:rFonts w:ascii="Verdana" w:eastAsia="Calibri" w:hAnsi="Verdana" w:cs="Arial"/>
          <w:vertAlign w:val="superscript"/>
          <w:lang w:val="es-ES_tradnl"/>
        </w:rPr>
        <w:footnoteReference w:id="14"/>
      </w:r>
      <w:r w:rsidRPr="00FA4501">
        <w:rPr>
          <w:rFonts w:ascii="Verdana" w:eastAsia="Times New Roman" w:hAnsi="Verdana" w:cs="Arial"/>
          <w:lang w:eastAsia="es-ES_tradnl"/>
        </w:rPr>
        <w:t xml:space="preserve">. </w:t>
      </w:r>
    </w:p>
    <w:p w14:paraId="54C9C87B" w14:textId="77777777" w:rsidR="00FA4501" w:rsidRPr="00FA4501" w:rsidRDefault="00FA4501" w:rsidP="00FA4501">
      <w:pPr>
        <w:spacing w:after="120" w:line="276" w:lineRule="auto"/>
        <w:ind w:firstLine="709"/>
        <w:jc w:val="both"/>
        <w:rPr>
          <w:rFonts w:ascii="Verdana" w:eastAsia="Times New Roman" w:hAnsi="Verdana" w:cs="Arial"/>
          <w:lang w:eastAsia="es-ES_tradnl"/>
        </w:rPr>
      </w:pPr>
      <w:r w:rsidRPr="00FA4501">
        <w:rPr>
          <w:rFonts w:ascii="Verdana" w:eastAsia="Times New Roman" w:hAnsi="Verdana" w:cs="Arial"/>
          <w:lang w:eastAsia="es-ES_tradnl"/>
        </w:rPr>
        <w:t xml:space="preserve">Sobre este aspecto, la Sala de Consulta y Servicio Civil del Consejo de Estado, resaltó la posibilidad de asunción de aportes económicos en el marco de un convenio interadministrativo, en el cual se pueden determinar costos y gastos para el cumplimiento de sus objetivos: </w:t>
      </w:r>
    </w:p>
    <w:p w14:paraId="5C1CFA43" w14:textId="77777777" w:rsidR="00FA4501" w:rsidRPr="00FA4501" w:rsidRDefault="00FA4501" w:rsidP="00FA4501">
      <w:pPr>
        <w:spacing w:after="0" w:line="276" w:lineRule="auto"/>
        <w:ind w:firstLine="709"/>
        <w:jc w:val="both"/>
        <w:rPr>
          <w:rFonts w:ascii="Verdana" w:eastAsia="Times New Roman" w:hAnsi="Verdana" w:cs="Arial"/>
          <w:lang w:eastAsia="es-ES_tradnl"/>
        </w:rPr>
      </w:pPr>
    </w:p>
    <w:p w14:paraId="5EB9C58A" w14:textId="77777777" w:rsidR="00FA4501" w:rsidRPr="00FA4501" w:rsidRDefault="00FA4501" w:rsidP="00FA4501">
      <w:pPr>
        <w:spacing w:after="0" w:line="240" w:lineRule="auto"/>
        <w:ind w:left="709" w:right="714"/>
        <w:jc w:val="both"/>
        <w:rPr>
          <w:rFonts w:ascii="Verdana" w:eastAsia="Calibri" w:hAnsi="Verdana" w:cs="Arial"/>
          <w:bCs/>
          <w:iCs/>
          <w:sz w:val="20"/>
          <w:szCs w:val="20"/>
        </w:rPr>
      </w:pPr>
      <w:r w:rsidRPr="00FA4501">
        <w:rPr>
          <w:rFonts w:ascii="Verdana" w:eastAsia="Calibri" w:hAnsi="Verdana" w:cs="Arial"/>
          <w:iCs/>
          <w:sz w:val="20"/>
          <w:szCs w:val="20"/>
        </w:rPr>
        <w:t>“</w:t>
      </w:r>
      <w:r w:rsidRPr="00FA4501">
        <w:rPr>
          <w:rFonts w:ascii="Verdana" w:eastAsia="Calibri" w:hAnsi="Verdana" w:cs="Arial"/>
          <w:i/>
          <w:sz w:val="20"/>
          <w:szCs w:val="20"/>
        </w:rPr>
        <w:t>Lógicamente,</w:t>
      </w:r>
      <w:r w:rsidRPr="00FA4501">
        <w:rPr>
          <w:rFonts w:ascii="Verdana" w:eastAsia="Calibri" w:hAnsi="Verdana" w:cs="Arial"/>
          <w:b/>
          <w:i/>
          <w:sz w:val="20"/>
          <w:szCs w:val="20"/>
        </w:rPr>
        <w:t xml:space="preserve"> </w:t>
      </w:r>
      <w:r w:rsidRPr="00FA4501">
        <w:rPr>
          <w:rFonts w:ascii="Verdana" w:eastAsia="Calibri" w:hAnsi="Verdana" w:cs="Arial"/>
          <w:bCs/>
          <w:i/>
          <w:sz w:val="20"/>
          <w:szCs w:val="20"/>
        </w:rPr>
        <w:t>en los convenios interadministrativos propiamente dichos, es posible,</w:t>
      </w:r>
      <w:r w:rsidRPr="00FA4501">
        <w:rPr>
          <w:rFonts w:ascii="Verdana" w:eastAsia="Calibri" w:hAnsi="Verdana" w:cs="Arial"/>
          <w:bCs/>
          <w:iCs/>
          <w:sz w:val="20"/>
          <w:szCs w:val="20"/>
        </w:rPr>
        <w:t xml:space="preserve"> </w:t>
      </w:r>
      <w:r w:rsidRPr="00FA4501">
        <w:rPr>
          <w:rFonts w:ascii="Verdana" w:eastAsia="Calibri" w:hAnsi="Verdana" w:cs="Arial"/>
          <w:bCs/>
          <w:i/>
          <w:sz w:val="20"/>
          <w:szCs w:val="20"/>
        </w:rPr>
        <w:t xml:space="preserve">que cada entidad incurra en costos y gastos y en ejecución de su propio presupuesto para cumplir sus funciones y los compromisos </w:t>
      </w:r>
      <w:r w:rsidRPr="00FA4501">
        <w:rPr>
          <w:rFonts w:ascii="Verdana" w:eastAsia="Calibri" w:hAnsi="Verdana" w:cs="Arial"/>
          <w:bCs/>
          <w:i/>
          <w:sz w:val="20"/>
          <w:szCs w:val="20"/>
        </w:rPr>
        <w:lastRenderedPageBreak/>
        <w:t>adquiridos para con la otra</w:t>
      </w:r>
      <w:r w:rsidRPr="00FA4501">
        <w:rPr>
          <w:rFonts w:ascii="Verdana" w:eastAsia="Calibri" w:hAnsi="Verdana" w:cs="Arial"/>
          <w:bCs/>
          <w:iCs/>
          <w:sz w:val="20"/>
          <w:szCs w:val="20"/>
        </w:rPr>
        <w:t>, razón por la cual bien pueden comprender la asunción de aportes económicos o financieros, pero sin que su objeto esencial lo constituyan prestaciones propias de los contratos interadministrativos, o el pago de un precio o una remuneración por un servicio prestado o por un bien adquirido o por una obra realizada por una a favor de la otra, pues en tales eventos se estará en presencia de verdaderos contratos”</w:t>
      </w:r>
      <w:r w:rsidRPr="00FA4501">
        <w:rPr>
          <w:rFonts w:ascii="Verdana" w:eastAsia="Calibri" w:hAnsi="Verdana" w:cs="Arial"/>
          <w:bCs/>
          <w:iCs/>
          <w:sz w:val="20"/>
          <w:szCs w:val="20"/>
          <w:vertAlign w:val="superscript"/>
        </w:rPr>
        <w:footnoteReference w:id="15"/>
      </w:r>
      <w:r w:rsidRPr="00FA4501">
        <w:rPr>
          <w:rFonts w:ascii="Verdana" w:eastAsia="Calibri" w:hAnsi="Verdana" w:cs="Arial"/>
          <w:bCs/>
          <w:iCs/>
          <w:sz w:val="20"/>
          <w:szCs w:val="20"/>
        </w:rPr>
        <w:t>. [Énfasis por fuera de texto]</w:t>
      </w:r>
    </w:p>
    <w:p w14:paraId="17DC19E0" w14:textId="77777777" w:rsidR="00FA4501" w:rsidRPr="00FA4501" w:rsidRDefault="00FA4501" w:rsidP="00FA4501">
      <w:pPr>
        <w:spacing w:after="0" w:line="240" w:lineRule="auto"/>
        <w:ind w:left="709" w:right="714"/>
        <w:jc w:val="both"/>
        <w:rPr>
          <w:rFonts w:ascii="Verdana" w:eastAsia="Calibri" w:hAnsi="Verdana" w:cs="Arial"/>
          <w:iCs/>
          <w:sz w:val="18"/>
          <w:szCs w:val="18"/>
        </w:rPr>
      </w:pPr>
    </w:p>
    <w:p w14:paraId="71D95893" w14:textId="77777777" w:rsidR="00FA4501" w:rsidRPr="00FA4501" w:rsidRDefault="00FA4501" w:rsidP="00FA4501">
      <w:pPr>
        <w:spacing w:after="120" w:line="276" w:lineRule="auto"/>
        <w:ind w:firstLine="709"/>
        <w:jc w:val="both"/>
        <w:rPr>
          <w:rFonts w:ascii="Verdana" w:eastAsia="Times New Roman" w:hAnsi="Verdana" w:cs="Arial"/>
          <w:lang w:eastAsia="es-ES_tradnl"/>
        </w:rPr>
      </w:pPr>
      <w:r w:rsidRPr="00FA4501">
        <w:rPr>
          <w:rFonts w:ascii="Verdana" w:eastAsia="Times New Roman" w:hAnsi="Verdana" w:cs="Arial"/>
          <w:lang w:eastAsia="es-ES_tradnl"/>
        </w:rPr>
        <w:t xml:space="preserve">En reciente pronunciamiento, la Sala de lo Contencioso Administrativo, Sección Tercera del Consejo de Estado reiteró </w:t>
      </w:r>
      <w:proofErr w:type="gramStart"/>
      <w:r w:rsidRPr="00FA4501">
        <w:rPr>
          <w:rFonts w:ascii="Verdana" w:eastAsia="Times New Roman" w:hAnsi="Verdana" w:cs="Arial"/>
          <w:lang w:eastAsia="es-ES_tradnl"/>
        </w:rPr>
        <w:t>que</w:t>
      </w:r>
      <w:proofErr w:type="gramEnd"/>
      <w:r w:rsidRPr="00FA4501">
        <w:rPr>
          <w:rFonts w:ascii="Verdana" w:eastAsia="Times New Roman" w:hAnsi="Verdana" w:cs="Arial"/>
          <w:lang w:eastAsia="es-ES_tradnl"/>
        </w:rPr>
        <w:t xml:space="preserve"> si bien en el marco de los convenios interadministrativos no se generar relaciones conmutativas sinalagmáticas en la medida que no se obligan a dar o a hacer algo a cambio de una prestación equivalente o remuneración, no significa que no se pueden realizar aportes de naturaleza técnica, administrativa, financiera o económica para ejecutar el objetivo común: </w:t>
      </w:r>
    </w:p>
    <w:p w14:paraId="3A27F411" w14:textId="77777777" w:rsidR="00FA4501" w:rsidRPr="00FA4501" w:rsidRDefault="00FA4501" w:rsidP="00FA4501">
      <w:pPr>
        <w:spacing w:after="0" w:line="276" w:lineRule="auto"/>
        <w:ind w:firstLine="709"/>
        <w:jc w:val="both"/>
        <w:rPr>
          <w:rFonts w:ascii="Verdana" w:eastAsia="Times New Roman" w:hAnsi="Verdana" w:cs="Arial"/>
          <w:lang w:eastAsia="es-ES_tradnl"/>
        </w:rPr>
      </w:pPr>
    </w:p>
    <w:p w14:paraId="29CB02F9" w14:textId="77777777" w:rsidR="00FA4501" w:rsidRPr="00FA4501" w:rsidRDefault="00FA4501" w:rsidP="00FA4501">
      <w:pPr>
        <w:spacing w:after="0" w:line="240" w:lineRule="auto"/>
        <w:ind w:left="709" w:right="714"/>
        <w:jc w:val="both"/>
        <w:rPr>
          <w:rFonts w:ascii="Verdana" w:eastAsia="Calibri" w:hAnsi="Verdana" w:cs="Arial"/>
          <w:bCs/>
          <w:iCs/>
          <w:sz w:val="20"/>
          <w:szCs w:val="20"/>
        </w:rPr>
      </w:pPr>
      <w:r w:rsidRPr="00FA4501">
        <w:rPr>
          <w:rFonts w:ascii="Verdana" w:eastAsia="Calibri" w:hAnsi="Verdana" w:cs="Arial"/>
          <w:iCs/>
          <w:sz w:val="20"/>
          <w:szCs w:val="20"/>
        </w:rPr>
        <w:t xml:space="preserve">“Lo anterior no significa que en el marco de los convenios </w:t>
      </w:r>
      <w:r w:rsidRPr="00FA4501">
        <w:rPr>
          <w:rFonts w:ascii="Verdana" w:eastAsia="Calibri" w:hAnsi="Verdana" w:cs="Arial"/>
          <w:i/>
          <w:sz w:val="20"/>
          <w:szCs w:val="20"/>
        </w:rPr>
        <w:t>interadministrativos las partes no puedan asumir obligaciones de tipo económico, en tanto, desde el ámbito que corresponde a sus competencias, pueden contribuir a la realización del objetivo común a través de aportes de naturaleza técnica, administrativa, financiera o económica</w:t>
      </w:r>
      <w:r w:rsidRPr="00FA4501">
        <w:rPr>
          <w:rFonts w:ascii="Verdana" w:eastAsia="Calibri" w:hAnsi="Verdana" w:cs="Arial"/>
          <w:iCs/>
          <w:sz w:val="20"/>
          <w:szCs w:val="20"/>
        </w:rPr>
        <w:t>. Es por esto que un aporte económico no puede entenderse ni aplicarse a la relación negocial como una retribución por contraprestación de la otra parte, o por el desempeño de las funciones administrativas o técnicas que otro contrayente, en el ámbito de sus competencias, se obliga a ejecutar, pues de ser ello así, se desnaturalizaría la principal y más esencial característica de este tipo de negocios, la cual está dada por la conjunción de esfuerzos para el logro de una finalidad común a todos los intervinientes”</w:t>
      </w:r>
      <w:r w:rsidRPr="00FA4501">
        <w:rPr>
          <w:rFonts w:ascii="Verdana" w:eastAsia="Calibri" w:hAnsi="Verdana" w:cs="Arial"/>
          <w:iCs/>
          <w:sz w:val="20"/>
          <w:szCs w:val="20"/>
          <w:vertAlign w:val="superscript"/>
        </w:rPr>
        <w:footnoteReference w:id="16"/>
      </w:r>
      <w:r w:rsidRPr="00FA4501">
        <w:rPr>
          <w:rFonts w:ascii="Verdana" w:eastAsia="Calibri" w:hAnsi="Verdana" w:cs="Arial"/>
          <w:iCs/>
          <w:sz w:val="20"/>
          <w:szCs w:val="20"/>
        </w:rPr>
        <w:t>.</w:t>
      </w:r>
      <w:r w:rsidRPr="00FA4501">
        <w:rPr>
          <w:rFonts w:ascii="Verdana" w:eastAsia="Geomanist Light" w:hAnsi="Verdana" w:cs="Arial"/>
          <w:color w:val="201F1E"/>
        </w:rPr>
        <w:t xml:space="preserve"> </w:t>
      </w:r>
      <w:r w:rsidRPr="00FA4501">
        <w:rPr>
          <w:rFonts w:ascii="Verdana" w:eastAsia="Calibri" w:hAnsi="Verdana" w:cs="Arial"/>
          <w:bCs/>
          <w:iCs/>
          <w:sz w:val="20"/>
          <w:szCs w:val="20"/>
        </w:rPr>
        <w:t>[Énfasis por fuera de texto]</w:t>
      </w:r>
    </w:p>
    <w:p w14:paraId="6C3DD947" w14:textId="77777777" w:rsidR="00FA4501" w:rsidRPr="00FA4501" w:rsidRDefault="00FA4501" w:rsidP="00FA4501">
      <w:pPr>
        <w:spacing w:after="0" w:line="276" w:lineRule="auto"/>
        <w:ind w:right="714"/>
        <w:jc w:val="both"/>
        <w:rPr>
          <w:rFonts w:ascii="Verdana" w:eastAsia="Calibri" w:hAnsi="Verdana" w:cs="Arial"/>
          <w:iCs/>
          <w:sz w:val="20"/>
          <w:szCs w:val="20"/>
        </w:rPr>
      </w:pPr>
    </w:p>
    <w:p w14:paraId="1BC57C4B" w14:textId="77777777" w:rsidR="00FA4501" w:rsidRPr="00FA4501" w:rsidRDefault="00FA4501" w:rsidP="00FA4501">
      <w:pPr>
        <w:spacing w:after="120" w:line="276" w:lineRule="auto"/>
        <w:ind w:firstLine="709"/>
        <w:jc w:val="both"/>
        <w:rPr>
          <w:rFonts w:ascii="Verdana" w:eastAsia="Times New Roman" w:hAnsi="Verdana" w:cs="Arial"/>
          <w:lang w:eastAsia="es-ES_tradnl"/>
        </w:rPr>
      </w:pPr>
      <w:r w:rsidRPr="00FA4501">
        <w:rPr>
          <w:rFonts w:ascii="Verdana" w:eastAsia="Times New Roman" w:hAnsi="Verdana" w:cs="Arial"/>
          <w:lang w:eastAsia="es-ES_tradnl"/>
        </w:rPr>
        <w:t xml:space="preserve">De esta manera, </w:t>
      </w:r>
      <w:r w:rsidRPr="00FA4501">
        <w:rPr>
          <w:rFonts w:ascii="Verdana" w:eastAsia="Calibri" w:hAnsi="Verdana" w:cs="Arial"/>
          <w:bCs/>
          <w:iCs/>
        </w:rPr>
        <w:t xml:space="preserve">es posible y lógico que para efectos de la ejecución del convenio interadministrativo las entidades públicas incurran en costos y gastos administrativos lo que se puede reflejar en los respectivos </w:t>
      </w:r>
      <w:r w:rsidRPr="00FA4501">
        <w:rPr>
          <w:rFonts w:ascii="Verdana" w:eastAsia="Times New Roman" w:hAnsi="Verdana" w:cs="Arial"/>
          <w:lang w:eastAsia="es-ES_tradnl"/>
        </w:rPr>
        <w:t xml:space="preserve">aportes de naturaleza técnica, administrativa, financiera o económica, sin que ello signifique el pago </w:t>
      </w:r>
      <w:r w:rsidRPr="00FA4501">
        <w:rPr>
          <w:rFonts w:ascii="Verdana" w:eastAsia="Times New Roman" w:hAnsi="Verdana" w:cs="Arial"/>
          <w:lang w:eastAsia="es-ES_tradnl"/>
        </w:rPr>
        <w:lastRenderedPageBreak/>
        <w:t>de un precio o una remuneración por servicio prestado o bien adquirido. Estos costos o gastos de administración pueden incluirse válidamente</w:t>
      </w:r>
      <w:r w:rsidRPr="00FA4501">
        <w:rPr>
          <w:rFonts w:ascii="Verdana" w:eastAsia="Times New Roman" w:hAnsi="Verdana" w:cs="Arial"/>
          <w:b/>
          <w:bCs/>
          <w:lang w:eastAsia="es-ES_tradnl"/>
        </w:rPr>
        <w:t xml:space="preserve"> </w:t>
      </w:r>
      <w:r w:rsidRPr="00FA4501">
        <w:rPr>
          <w:rFonts w:ascii="Verdana" w:eastAsia="Times New Roman" w:hAnsi="Verdana" w:cs="Arial"/>
          <w:lang w:eastAsia="es-ES_tradnl"/>
        </w:rPr>
        <w:t xml:space="preserve">siempre que se justifique técnica y financieramente que son necesarios y razonables para el desarrollo del objeto convenido y que se trate de aspectos operativos, logísticos o de administración </w:t>
      </w:r>
      <w:r w:rsidRPr="00FA4501">
        <w:rPr>
          <w:rFonts w:ascii="Verdana" w:eastAsia="Calibri" w:hAnsi="Verdana" w:cs="Arial"/>
          <w:bCs/>
          <w:iCs/>
        </w:rPr>
        <w:t>que permitan cumplir los compromisos adquiridos en el marco del convenio</w:t>
      </w:r>
      <w:r w:rsidRPr="00FA4501">
        <w:rPr>
          <w:rFonts w:ascii="Verdana" w:eastAsia="Times New Roman" w:hAnsi="Verdana" w:cs="Arial"/>
          <w:lang w:eastAsia="es-ES_tradnl"/>
        </w:rPr>
        <w:t xml:space="preserve"> y que, por tanto, no representan una utilidad o una contraprestación en favor de una de las partes. </w:t>
      </w:r>
    </w:p>
    <w:p w14:paraId="023E1AB2" w14:textId="77777777" w:rsidR="00FA4501" w:rsidRPr="00FA4501" w:rsidRDefault="00FA4501" w:rsidP="00FA4501">
      <w:pPr>
        <w:spacing w:after="120" w:line="276" w:lineRule="auto"/>
        <w:ind w:firstLine="708"/>
        <w:jc w:val="both"/>
        <w:rPr>
          <w:rFonts w:ascii="Verdana" w:eastAsia="Times New Roman" w:hAnsi="Verdana" w:cs="Arial"/>
          <w:lang w:eastAsia="es-ES_tradnl"/>
        </w:rPr>
      </w:pPr>
      <w:r w:rsidRPr="00FA4501">
        <w:rPr>
          <w:rFonts w:ascii="Verdana" w:eastAsia="Times New Roman" w:hAnsi="Verdana" w:cs="Arial"/>
          <w:lang w:eastAsia="es-ES_tradnl"/>
        </w:rPr>
        <w:t xml:space="preserve">En este sentido, se precisa que la posibilidad de que un convenio interadministrativo incluya compromisos con contenido económico no puede ir en contravía de su naturaleza y finalidad, ni mucho menos desconocer los elementos esenciales de este tipo negocial que se desprenden del artículo 95 de la Ley 489 de 1998. Por ende, la determinación de estos costos o gastos administrativos no pueden ocultar una remuneración verdadera o una utilidad en favor de alguna de las entidades que concurre a su suscripción, así como tampoco pueden emplearse para aspectos distintos del cumplimiento de los compromisos asumidos, pues no se trataría de un </w:t>
      </w:r>
      <w:proofErr w:type="gramStart"/>
      <w:r w:rsidRPr="00FA4501">
        <w:rPr>
          <w:rFonts w:ascii="Verdana" w:eastAsia="Times New Roman" w:hAnsi="Verdana" w:cs="Arial"/>
          <w:lang w:eastAsia="es-ES_tradnl"/>
        </w:rPr>
        <w:t>convenio</w:t>
      </w:r>
      <w:proofErr w:type="gramEnd"/>
      <w:r w:rsidRPr="00FA4501">
        <w:rPr>
          <w:rFonts w:ascii="Verdana" w:eastAsia="Times New Roman" w:hAnsi="Verdana" w:cs="Arial"/>
          <w:lang w:eastAsia="es-ES_tradnl"/>
        </w:rPr>
        <w:t xml:space="preserve"> sino que su connotación transmutaría a un contrato interadministrativo. </w:t>
      </w:r>
    </w:p>
    <w:p w14:paraId="2392E327" w14:textId="77777777" w:rsidR="00FA4501" w:rsidRPr="00FA4501" w:rsidRDefault="00FA4501" w:rsidP="00FA4501">
      <w:pPr>
        <w:spacing w:after="120" w:line="276" w:lineRule="auto"/>
        <w:ind w:firstLine="708"/>
        <w:jc w:val="both"/>
        <w:rPr>
          <w:rFonts w:ascii="Verdana" w:eastAsia="Times New Roman" w:hAnsi="Verdana" w:cs="Arial"/>
          <w:iCs/>
          <w:lang w:eastAsia="es-ES_tradnl"/>
        </w:rPr>
      </w:pPr>
      <w:r w:rsidRPr="00FA4501">
        <w:rPr>
          <w:rFonts w:ascii="Verdana" w:eastAsia="Times New Roman" w:hAnsi="Verdana" w:cs="Arial"/>
          <w:iCs/>
          <w:lang w:eastAsia="es-ES_tradnl"/>
        </w:rPr>
        <w:t>Esta claridad resulta importante para efectos de la consulta planteada ya que, tanto en los contratos como en los convenios interadministrativos es posible incluir costos y gastos administrativos. No obstante, debido a la naturaleza jurídica de cada figura, estos rubros tienen una finalidad y alcance diferente. En el marco de un convenio interadministrativo, las entidades públicas pueden incorporar los costos o gastos administrativos asociados a sus respectivos aportes técnicos, administrativos, financieros o económicos, siempre que estén orientados a contribuir, en el ámbito de sus competencias, al cumplimiento de los compromisos comunes y a garantizar la viabilidad operativa del convenio. En contraste, en los contratos interadministrativos, debido a su naturaleza onerosa y conmutativa, estos rubros hacen parte de la contraprestación pactada a favor de la entidad ejecutora, es decir, forman parte del precio o retribución económica a una de las partes por los bienes o servicios que presta.</w:t>
      </w:r>
    </w:p>
    <w:p w14:paraId="55210365" w14:textId="77777777" w:rsidR="00FA4501" w:rsidRPr="00FA4501" w:rsidRDefault="00FA4501" w:rsidP="00FA4501">
      <w:pPr>
        <w:spacing w:after="120" w:line="276" w:lineRule="auto"/>
        <w:ind w:firstLine="708"/>
        <w:jc w:val="both"/>
        <w:rPr>
          <w:rFonts w:ascii="Verdana" w:eastAsia="Times New Roman" w:hAnsi="Verdana" w:cs="Arial"/>
          <w:iCs/>
          <w:lang w:eastAsia="es-ES_tradnl"/>
        </w:rPr>
      </w:pPr>
      <w:r w:rsidRPr="00FA4501">
        <w:rPr>
          <w:rFonts w:ascii="Verdana" w:eastAsia="Times New Roman" w:hAnsi="Verdana" w:cs="Arial"/>
          <w:iCs/>
          <w:lang w:eastAsia="es-ES_tradnl"/>
        </w:rPr>
        <w:t xml:space="preserve">Lo anterior reviste especial importancia, ya que, como se explicó, la naturaleza del negocio jurídico determina el régimen jurídico aplicable, así como </w:t>
      </w:r>
      <w:r w:rsidRPr="00FA4501">
        <w:rPr>
          <w:rFonts w:ascii="Verdana" w:eastAsia="Times New Roman" w:hAnsi="Verdana" w:cs="Arial"/>
          <w:iCs/>
          <w:lang w:eastAsia="es-ES_tradnl"/>
        </w:rPr>
        <w:lastRenderedPageBreak/>
        <w:t>la procedencia y el alcance de determinadas figuras contractuales. En este sentido, la determinación de los costos o gastos administrativos en uno u otro negocio jurídico debe corresponden con la naturaleza, finalidad y alcance de cada uno de ellos. En todo caso, debe recordarse que la aplicación o el alcance de estas y otras instituciones debe evaluarse con base en el contenido específico de cada convenio interadministrativo celebrado, por lo que no es posible establecer conclusiones de manera automática o anticipada con la simple denominación que las partes le asignen.</w:t>
      </w:r>
    </w:p>
    <w:p w14:paraId="6E8C1B52" w14:textId="77777777" w:rsidR="00FA4501" w:rsidRPr="00FA4501" w:rsidRDefault="00FA4501" w:rsidP="00FA4501">
      <w:pPr>
        <w:spacing w:after="120" w:line="276" w:lineRule="auto"/>
        <w:ind w:firstLine="709"/>
        <w:jc w:val="both"/>
        <w:rPr>
          <w:rFonts w:ascii="Verdana" w:eastAsia="Times New Roman" w:hAnsi="Verdana" w:cs="Arial"/>
          <w:iCs/>
          <w:lang w:eastAsia="es-ES_tradnl"/>
        </w:rPr>
      </w:pPr>
      <w:r w:rsidRPr="00FA4501">
        <w:rPr>
          <w:rFonts w:ascii="Verdana" w:eastAsia="Times New Roman" w:hAnsi="Verdana" w:cs="Arial"/>
          <w:iCs/>
          <w:lang w:eastAsia="es-ES_tradnl"/>
        </w:rPr>
        <w:t>En este marco, también resulta pertinente resaltar que la determinación de los costos administrativos asociados a la ejecución del convenio o contrato interadministrativo debe realizarse con fundamento en las condiciones del mercado y guardar una relación directa y razonable con las obligaciones, y actividades la entidad ejecutora. En ese sentido, dichos costos deben encontrarse debidamente soportados y justificados, de manera que respondan a los costos reales y eficientes que demanda la ejecución del objeto contractual, y no constituyan un margen adicional carente de justificación económica.</w:t>
      </w:r>
    </w:p>
    <w:p w14:paraId="10010CA2" w14:textId="77777777" w:rsidR="00FA4501" w:rsidRPr="00FA4501" w:rsidRDefault="00FA4501" w:rsidP="00FA4501">
      <w:pPr>
        <w:spacing w:after="120" w:line="276" w:lineRule="auto"/>
        <w:ind w:firstLine="709"/>
        <w:jc w:val="both"/>
        <w:rPr>
          <w:rFonts w:ascii="Verdana" w:eastAsia="Times New Roman" w:hAnsi="Verdana" w:cs="Arial"/>
          <w:iCs/>
          <w:lang w:eastAsia="es-ES_tradnl"/>
        </w:rPr>
      </w:pPr>
      <w:r w:rsidRPr="00FA4501">
        <w:rPr>
          <w:rFonts w:ascii="Verdana" w:eastAsia="Times New Roman" w:hAnsi="Verdana" w:cs="Arial"/>
          <w:iCs/>
          <w:lang w:eastAsia="es-ES_tradnl"/>
        </w:rPr>
        <w:t>Así, dentro del análisis que sustenta la contratación, resulta necesario que la entidad valore las razones por las cuales la contratación interadministrativa constituye una alternativa más eficiente frente a las demás modalidades de selección que, en principio, podrían resultar aplicables. Esta valoración no debe limitarse al valor del convenio o contrato sino considerar integralmente factores como los tiempos de contratación, la capacidad técnica y operativa, los costos de administración, los riesgos y, en general, las condiciones de eficiencia en la ejecución del objeto. Por tanto, la contratación interadministrativa debe encontrarse sustentada en razones objetivas que permitan concluir que los costos administrativos reconocidos son razonables frente a las condiciones del mercado y que acudir a esta modalidad resulta la más conveniente para la satisfacción de la necesidad pública.</w:t>
      </w:r>
    </w:p>
    <w:p w14:paraId="134E4F70" w14:textId="77777777" w:rsidR="00FA4501" w:rsidRPr="00FA4501" w:rsidRDefault="00FA4501" w:rsidP="00FA4501">
      <w:pPr>
        <w:spacing w:after="120" w:line="276" w:lineRule="auto"/>
        <w:ind w:firstLine="709"/>
        <w:jc w:val="both"/>
        <w:rPr>
          <w:rFonts w:ascii="Verdana" w:eastAsia="Times New Roman" w:hAnsi="Verdana" w:cs="Arial"/>
          <w:iCs/>
          <w:lang w:eastAsia="es-ES_tradnl"/>
        </w:rPr>
      </w:pPr>
      <w:r w:rsidRPr="00FA4501">
        <w:rPr>
          <w:rFonts w:ascii="Verdana" w:eastAsia="Times New Roman" w:hAnsi="Verdana" w:cs="Arial"/>
          <w:iCs/>
          <w:lang w:eastAsia="es-ES_tradnl"/>
        </w:rPr>
        <w:t xml:space="preserve">En consecuencia, no sería admisible que los costos administrativos pactados conduzcan a que la entidad asuma un valor superior al que razonablemente habría tenido que pagar si hubiera acudido a un procedimiento de selección competitivo, sin que exista una razón objetiva que explique dicha </w:t>
      </w:r>
      <w:r w:rsidRPr="00FA4501">
        <w:rPr>
          <w:rFonts w:ascii="Verdana" w:eastAsia="Times New Roman" w:hAnsi="Verdana" w:cs="Arial"/>
          <w:iCs/>
          <w:lang w:eastAsia="es-ES_tradnl"/>
        </w:rPr>
        <w:lastRenderedPageBreak/>
        <w:t>diferencia. El análisis debe permitir establecer que la alternativa interadministrativa ofrece una relación adecuada entre costo, tiempo, capacidad y eficiencia, garantizando que los recursos públicos se administren bajo criterios de economía, planeación y adecuada relación costo y beneficio.</w:t>
      </w:r>
    </w:p>
    <w:p w14:paraId="3E4A3216" w14:textId="77777777" w:rsidR="00FA4501" w:rsidRPr="00FA4501" w:rsidRDefault="00FA4501" w:rsidP="00FA4501">
      <w:pPr>
        <w:widowControl w:val="0"/>
        <w:autoSpaceDE w:val="0"/>
        <w:autoSpaceDN w:val="0"/>
        <w:spacing w:after="120" w:line="276" w:lineRule="auto"/>
        <w:ind w:firstLine="708"/>
        <w:jc w:val="both"/>
        <w:rPr>
          <w:rFonts w:ascii="Verdana" w:eastAsia="Calibri" w:hAnsi="Verdana" w:cs="Arial"/>
        </w:rPr>
      </w:pPr>
      <w:r w:rsidRPr="00FA4501">
        <w:rPr>
          <w:rFonts w:ascii="Verdana" w:eastAsia="Calibri" w:hAnsi="Verdana" w:cs="Arial"/>
        </w:rPr>
        <w:t>Sin perjuicio de lo anterior, las afirmaciones aquí realizadas no pueden interpretarse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3F704AE3" w14:textId="77777777" w:rsidR="00FA4501" w:rsidRPr="00FA4501" w:rsidRDefault="00FA4501" w:rsidP="00FA4501">
      <w:pPr>
        <w:widowControl w:val="0"/>
        <w:autoSpaceDE w:val="0"/>
        <w:autoSpaceDN w:val="0"/>
        <w:spacing w:after="0" w:line="276" w:lineRule="auto"/>
        <w:ind w:firstLine="709"/>
        <w:jc w:val="both"/>
        <w:rPr>
          <w:rFonts w:ascii="Verdana" w:eastAsia="Times New Roman" w:hAnsi="Verdana" w:cs="Arial"/>
          <w:iCs/>
          <w:lang w:eastAsia="es-ES_tradnl"/>
        </w:rPr>
      </w:pPr>
      <w:r w:rsidRPr="00FA4501">
        <w:rPr>
          <w:rFonts w:ascii="Verdana" w:eastAsia="Calibri" w:hAnsi="Verdana" w:cs="Arial"/>
        </w:rPr>
        <w:t>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p w14:paraId="51F5B896" w14:textId="77777777" w:rsidR="00FA4501" w:rsidRPr="00FA4501" w:rsidRDefault="00FA4501" w:rsidP="00FA4501">
      <w:pPr>
        <w:widowControl w:val="0"/>
        <w:autoSpaceDE w:val="0"/>
        <w:autoSpaceDN w:val="0"/>
        <w:spacing w:after="0" w:line="276" w:lineRule="auto"/>
        <w:jc w:val="both"/>
        <w:rPr>
          <w:rFonts w:ascii="Verdana" w:eastAsia="Arial" w:hAnsi="Verdana" w:cs="Arial"/>
          <w:lang w:val="es-ES"/>
        </w:rPr>
      </w:pPr>
    </w:p>
    <w:p w14:paraId="5AB72F54" w14:textId="77777777" w:rsidR="00FA4501" w:rsidRPr="00FA4501" w:rsidRDefault="00FA4501" w:rsidP="00FA4501">
      <w:pPr>
        <w:numPr>
          <w:ilvl w:val="0"/>
          <w:numId w:val="1"/>
        </w:numPr>
        <w:tabs>
          <w:tab w:val="left" w:pos="142"/>
          <w:tab w:val="left" w:pos="284"/>
        </w:tabs>
        <w:spacing w:after="0" w:line="276" w:lineRule="auto"/>
        <w:jc w:val="both"/>
        <w:rPr>
          <w:rFonts w:ascii="Verdana" w:eastAsia="Century Gothic" w:hAnsi="Verdana" w:cs="Century Gothic"/>
          <w:b/>
          <w:bCs/>
        </w:rPr>
      </w:pPr>
      <w:r w:rsidRPr="00FA4501">
        <w:rPr>
          <w:rFonts w:ascii="Verdana" w:eastAsia="Century Gothic" w:hAnsi="Verdana" w:cs="Century Gothic"/>
          <w:b/>
          <w:bCs/>
        </w:rPr>
        <w:t xml:space="preserve">Referencias normativas: </w:t>
      </w:r>
    </w:p>
    <w:p w14:paraId="409F8561" w14:textId="77777777" w:rsidR="00FA4501" w:rsidRPr="00FA4501" w:rsidRDefault="00FA4501" w:rsidP="00FA4501">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FA4501" w:rsidRPr="00FA4501" w14:paraId="643EDFF4" w14:textId="77777777" w:rsidTr="001A1E9A">
        <w:trPr>
          <w:trHeight w:val="410"/>
          <w:jc w:val="center"/>
        </w:trPr>
        <w:tc>
          <w:tcPr>
            <w:tcW w:w="8647" w:type="dxa"/>
          </w:tcPr>
          <w:p w14:paraId="42CCA83D" w14:textId="696BC759" w:rsidR="00FA4501" w:rsidRPr="00FA4501" w:rsidRDefault="00FA4501" w:rsidP="00FA4501">
            <w:pPr>
              <w:numPr>
                <w:ilvl w:val="0"/>
                <w:numId w:val="3"/>
              </w:numPr>
              <w:spacing w:after="120" w:line="276" w:lineRule="auto"/>
              <w:ind w:left="318" w:hanging="284"/>
              <w:contextualSpacing/>
              <w:jc w:val="both"/>
              <w:rPr>
                <w:rFonts w:ascii="Verdana" w:hAnsi="Verdana" w:cs="Arial"/>
                <w:lang w:val="es-MX"/>
              </w:rPr>
            </w:pPr>
            <w:r w:rsidRPr="00FA4501">
              <w:rPr>
                <w:rFonts w:ascii="Verdana" w:hAnsi="Verdana" w:cs="Arial"/>
                <w:lang w:val="es-MX"/>
              </w:rPr>
              <w:t>Constitución Política, artículo 209</w:t>
            </w:r>
            <w:r w:rsidR="009B4EBD">
              <w:rPr>
                <w:rFonts w:ascii="Verdana" w:hAnsi="Verdana" w:cs="Arial"/>
                <w:lang w:val="es-MX"/>
              </w:rPr>
              <w:t>.</w:t>
            </w:r>
          </w:p>
          <w:p w14:paraId="405F095F" w14:textId="1E001D7D" w:rsidR="00FA4501" w:rsidRPr="00FA4501" w:rsidRDefault="00FA4501" w:rsidP="00FA4501">
            <w:pPr>
              <w:numPr>
                <w:ilvl w:val="0"/>
                <w:numId w:val="3"/>
              </w:numPr>
              <w:spacing w:after="120" w:line="276" w:lineRule="auto"/>
              <w:ind w:left="318" w:hanging="284"/>
              <w:contextualSpacing/>
              <w:jc w:val="both"/>
              <w:rPr>
                <w:rFonts w:ascii="Verdana" w:hAnsi="Verdana" w:cs="Arial"/>
                <w:lang w:val="es-MX"/>
              </w:rPr>
            </w:pPr>
            <w:r w:rsidRPr="00FA4501">
              <w:rPr>
                <w:rFonts w:ascii="Verdana" w:hAnsi="Verdana" w:cs="Arial"/>
                <w:lang w:val="es-MX"/>
              </w:rPr>
              <w:t>Ley 489 de 1998, artículo 95</w:t>
            </w:r>
            <w:r w:rsidR="009B4EBD">
              <w:rPr>
                <w:rFonts w:ascii="Verdana" w:hAnsi="Verdana" w:cs="Arial"/>
                <w:lang w:val="es-MX"/>
              </w:rPr>
              <w:t>.</w:t>
            </w:r>
          </w:p>
          <w:p w14:paraId="18F759DB" w14:textId="05781975" w:rsidR="00FA4501" w:rsidRPr="00FA4501" w:rsidRDefault="00FA4501" w:rsidP="00FA4501">
            <w:pPr>
              <w:numPr>
                <w:ilvl w:val="0"/>
                <w:numId w:val="3"/>
              </w:numPr>
              <w:spacing w:after="120" w:line="276" w:lineRule="auto"/>
              <w:ind w:left="318" w:hanging="284"/>
              <w:contextualSpacing/>
              <w:jc w:val="both"/>
              <w:rPr>
                <w:rFonts w:ascii="Verdana" w:hAnsi="Verdana" w:cs="Arial"/>
                <w:lang w:val="es-MX"/>
              </w:rPr>
            </w:pPr>
            <w:r w:rsidRPr="00FA4501">
              <w:rPr>
                <w:rFonts w:ascii="Verdana" w:hAnsi="Verdana" w:cs="Arial"/>
                <w:lang w:val="es-MX"/>
              </w:rPr>
              <w:t>Ley 80 de 1993, artículos 13, 32 y 40</w:t>
            </w:r>
            <w:r w:rsidR="009B4EBD">
              <w:rPr>
                <w:rFonts w:ascii="Verdana" w:hAnsi="Verdana" w:cs="Arial"/>
                <w:lang w:val="es-MX"/>
              </w:rPr>
              <w:t>.</w:t>
            </w:r>
          </w:p>
        </w:tc>
      </w:tr>
    </w:tbl>
    <w:p w14:paraId="5B2272B9" w14:textId="77777777" w:rsidR="00FA4501" w:rsidRPr="00FA4501" w:rsidRDefault="00FA4501" w:rsidP="00FA4501">
      <w:pPr>
        <w:widowControl w:val="0"/>
        <w:autoSpaceDE w:val="0"/>
        <w:autoSpaceDN w:val="0"/>
        <w:spacing w:after="0" w:line="276" w:lineRule="auto"/>
        <w:jc w:val="both"/>
        <w:rPr>
          <w:rFonts w:ascii="Verdana" w:hAnsi="Verdana" w:cs="Arial"/>
        </w:rPr>
      </w:pPr>
    </w:p>
    <w:p w14:paraId="5398104D" w14:textId="77777777" w:rsidR="00FA4501" w:rsidRPr="00FA4501" w:rsidRDefault="00FA4501" w:rsidP="00FA4501">
      <w:pPr>
        <w:numPr>
          <w:ilvl w:val="0"/>
          <w:numId w:val="1"/>
        </w:numPr>
        <w:tabs>
          <w:tab w:val="left" w:pos="142"/>
          <w:tab w:val="left" w:pos="284"/>
        </w:tabs>
        <w:spacing w:after="0" w:line="276" w:lineRule="auto"/>
        <w:jc w:val="both"/>
        <w:rPr>
          <w:rFonts w:ascii="Verdana" w:eastAsia="Century Gothic" w:hAnsi="Verdana" w:cs="Century Gothic"/>
          <w:b/>
          <w:bCs/>
        </w:rPr>
      </w:pPr>
      <w:r w:rsidRPr="00FA4501">
        <w:rPr>
          <w:rFonts w:ascii="Verdana" w:eastAsia="Century Gothic" w:hAnsi="Verdana" w:cs="Century Gothic"/>
          <w:b/>
          <w:bCs/>
        </w:rPr>
        <w:t>Doctrina de la Agencia Nacional de Contratación Pública:</w:t>
      </w:r>
    </w:p>
    <w:p w14:paraId="0BB645CC" w14:textId="77777777" w:rsidR="00FA4501" w:rsidRPr="00FA4501" w:rsidRDefault="00FA4501" w:rsidP="00FA4501">
      <w:pPr>
        <w:widowControl w:val="0"/>
        <w:autoSpaceDE w:val="0"/>
        <w:autoSpaceDN w:val="0"/>
        <w:spacing w:after="0" w:line="276" w:lineRule="auto"/>
        <w:jc w:val="both"/>
        <w:rPr>
          <w:rFonts w:ascii="Verdana" w:hAnsi="Verdana" w:cs="Arial"/>
        </w:rPr>
      </w:pPr>
    </w:p>
    <w:p w14:paraId="6AA06532" w14:textId="77777777" w:rsidR="00FA4501" w:rsidRPr="00FA4501" w:rsidRDefault="00FA4501" w:rsidP="00FA4501">
      <w:pPr>
        <w:widowControl w:val="0"/>
        <w:autoSpaceDE w:val="0"/>
        <w:autoSpaceDN w:val="0"/>
        <w:spacing w:after="120" w:line="276" w:lineRule="auto"/>
        <w:jc w:val="both"/>
        <w:rPr>
          <w:rFonts w:ascii="Verdana" w:hAnsi="Verdana" w:cs="Arial"/>
          <w:shd w:val="clear" w:color="auto" w:fill="FFFFFF"/>
        </w:rPr>
      </w:pPr>
      <w:r w:rsidRPr="00FA4501">
        <w:rPr>
          <w:rFonts w:ascii="Verdana" w:hAnsi="Verdana" w:cs="Arial"/>
          <w:shd w:val="clear" w:color="auto" w:fill="FFFFFF"/>
        </w:rPr>
        <w:t xml:space="preserve">La Agencia Nacional de Contratación Pública -Colombia Compra Eficiente- se ha referido previamente a la noción y características de los convenios y contratos interadministrativos en los conceptos 4201913000004536 del 27 de julio del 2019, C-023 del 13 de febrero del 2020, C-220 del 13 de abril del 2020, C-681 </w:t>
      </w:r>
      <w:r w:rsidRPr="00FA4501">
        <w:rPr>
          <w:rFonts w:ascii="Verdana" w:hAnsi="Verdana" w:cs="Arial"/>
          <w:shd w:val="clear" w:color="auto" w:fill="FFFFFF"/>
        </w:rPr>
        <w:lastRenderedPageBreak/>
        <w:t>del 19 de noviembre del 2020, C-552 del 5 de octubre del 2021, C-387 del 15 de junio de 2022, C-562 del 7 de septiembre del 2022, C-114 del 4 de mayo de 2023, C-771 del 29 de diciembre de 2022 C-490 del 23 de mayo de 2025, C-1729 del 22 de diciembre de 2025 y C-311 del 17 de marzo de 2026</w:t>
      </w:r>
      <w:r w:rsidRPr="00FA4501">
        <w:rPr>
          <w:rFonts w:ascii="Verdana" w:eastAsia="Calibri" w:hAnsi="Verdana" w:cs="Arial"/>
          <w:color w:val="000000" w:themeColor="text1"/>
          <w:lang w:val="es-ES_tradnl" w:eastAsia="es-ES_tradnl"/>
        </w:rPr>
        <w:t xml:space="preserve">. </w:t>
      </w:r>
      <w:r w:rsidRPr="00FA4501">
        <w:rPr>
          <w:rFonts w:ascii="Verdana" w:hAnsi="Verdana" w:cs="Arial"/>
          <w:shd w:val="clear" w:color="auto" w:fill="FFFFFF"/>
        </w:rPr>
        <w:t>Es</w:t>
      </w:r>
      <w:r w:rsidRPr="00FA4501">
        <w:rPr>
          <w:rFonts w:ascii="Verdana" w:hAnsi="Verdana"/>
        </w:rPr>
        <w:t>tos conceptos se encuentran disponibles para consulta en el Sistema de relatoría de la Agencia, al cual se puede acceder a través del siguiente enlace:</w:t>
      </w:r>
      <w:r w:rsidRPr="00FA4501">
        <w:rPr>
          <w:rFonts w:ascii="Verdana" w:hAnsi="Verdana" w:cs="Arial"/>
          <w:shd w:val="clear" w:color="auto" w:fill="FFFFFF"/>
        </w:rPr>
        <w:t xml:space="preserve"> </w:t>
      </w:r>
      <w:hyperlink r:id="rId13" w:history="1">
        <w:r w:rsidRPr="00FA4501">
          <w:rPr>
            <w:rFonts w:ascii="Verdana" w:hAnsi="Verdana" w:cs="Arial"/>
            <w:color w:val="0563C1" w:themeColor="hyperlink"/>
            <w:u w:val="single"/>
            <w:shd w:val="clear" w:color="auto" w:fill="FFFFFF"/>
          </w:rPr>
          <w:t>https://relatoria.colombiacompra.gov.co/busqueda/conceptos</w:t>
        </w:r>
      </w:hyperlink>
      <w:r w:rsidRPr="00FA4501">
        <w:rPr>
          <w:rFonts w:ascii="Verdana" w:hAnsi="Verdana" w:cs="Arial"/>
          <w:shd w:val="clear" w:color="auto" w:fill="FFFFFF"/>
        </w:rPr>
        <w:t>.</w:t>
      </w:r>
      <w:r w:rsidRPr="00FA4501">
        <w:rPr>
          <w:rFonts w:ascii="Verdana" w:hAnsi="Verdana" w:cs="Arial"/>
          <w:color w:val="FF0000"/>
          <w:shd w:val="clear" w:color="auto" w:fill="FFFFFF"/>
        </w:rPr>
        <w:t xml:space="preserve"> </w:t>
      </w:r>
      <w:r w:rsidRPr="00FA4501">
        <w:rPr>
          <w:rFonts w:ascii="Verdana" w:hAnsi="Verdana" w:cs="Arial"/>
          <w:color w:val="000000" w:themeColor="text1"/>
          <w:shd w:val="clear" w:color="auto" w:fill="FFFFFF"/>
        </w:rPr>
        <w:t>  </w:t>
      </w:r>
    </w:p>
    <w:p w14:paraId="265710F3" w14:textId="77777777" w:rsidR="00FA4501" w:rsidRPr="00FA4501" w:rsidRDefault="00FA4501" w:rsidP="00FA4501">
      <w:pPr>
        <w:widowControl w:val="0"/>
        <w:autoSpaceDE w:val="0"/>
        <w:autoSpaceDN w:val="0"/>
        <w:spacing w:after="120" w:line="276" w:lineRule="auto"/>
        <w:jc w:val="both"/>
        <w:rPr>
          <w:rFonts w:ascii="Verdana" w:hAnsi="Verdana" w:cs="Arial"/>
          <w:color w:val="000000" w:themeColor="text1"/>
          <w:shd w:val="clear" w:color="auto" w:fill="FFFFFF"/>
        </w:rPr>
      </w:pPr>
      <w:r w:rsidRPr="00FA4501">
        <w:rPr>
          <w:rFonts w:ascii="Verdana" w:eastAsia="Times New Roman" w:hAnsi="Verdana" w:cs="Times New Roman"/>
          <w:color w:val="000000"/>
          <w:lang w:eastAsia="es-CO"/>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FA4501">
        <w:rPr>
          <w:rFonts w:ascii="Verdana" w:eastAsia="Times New Roman" w:hAnsi="Verdana" w:cs="Times New Roman"/>
          <w:b/>
          <w:bCs/>
          <w:color w:val="000000"/>
          <w:lang w:eastAsia="es-CO"/>
        </w:rPr>
        <w:t>Guía para la Exigencia y Constitución de Garantías en los Procesos de Contratación</w:t>
      </w:r>
      <w:r w:rsidRPr="00FA4501">
        <w:rPr>
          <w:rFonts w:ascii="Verdana" w:eastAsia="Times New Roman" w:hAnsi="Verdana" w:cs="Times New Roman"/>
          <w:color w:val="000000"/>
          <w:lang w:eastAsia="es-CO"/>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4" w:tgtFrame="_blank" w:tooltip="Dirección URL original: https://www.colombiacompra.gov.co/archivos/manual/guia-de-garantias-en-procesos-de-contratacion. Haga clic o pulse si confía en este vínculo." w:history="1">
        <w:r w:rsidRPr="00FA4501">
          <w:rPr>
            <w:rFonts w:ascii="Verdana" w:eastAsia="Times New Roman" w:hAnsi="Verdana" w:cs="Times New Roman"/>
            <w:color w:val="0000FF"/>
            <w:u w:val="single"/>
            <w:bdr w:val="none" w:sz="0" w:space="0" w:color="auto" w:frame="1"/>
            <w:lang w:eastAsia="es-CO"/>
          </w:rPr>
          <w:t>https://www.colombiacompra.gov.co/archivos/manual/guia-de-garantias-en-procesos-de-contratacion</w:t>
        </w:r>
      </w:hyperlink>
    </w:p>
    <w:p w14:paraId="7531EF53" w14:textId="77777777" w:rsidR="00FA4501" w:rsidRPr="00FA4501" w:rsidRDefault="00FA4501" w:rsidP="00FA4501">
      <w:pPr>
        <w:shd w:val="clear" w:color="auto" w:fill="FFFFFF"/>
        <w:spacing w:after="120" w:line="276" w:lineRule="auto"/>
        <w:jc w:val="both"/>
        <w:textAlignment w:val="baseline"/>
        <w:rPr>
          <w:rFonts w:ascii="Verdana" w:eastAsia="Times New Roman" w:hAnsi="Verdana" w:cs="Times New Roman"/>
          <w:color w:val="000000"/>
          <w:lang w:eastAsia="es-CO"/>
        </w:rPr>
      </w:pPr>
      <w:r w:rsidRPr="00FA4501">
        <w:rPr>
          <w:rFonts w:ascii="Verdana" w:eastAsia="Times New Roman" w:hAnsi="Verdana" w:cs="Times New Roman"/>
          <w:color w:val="000000"/>
          <w:lang w:eastAsia="es-CO"/>
        </w:rPr>
        <w:t>De otro lado, te contamos que el Decreto 287 del 19 de marzo de 2026 sustituyó los artículos 2.2.1.2.4.2.6., 2.2.1.2.4.2.7. y 2.2.1.2.4.2.8. del Decreto 1082 de 2015 y estructuró el </w:t>
      </w:r>
      <w:r w:rsidRPr="00FA4501">
        <w:rPr>
          <w:rFonts w:ascii="Verdana" w:eastAsia="Times New Roman" w:hAnsi="Verdana" w:cs="Times New Roman"/>
          <w:b/>
          <w:bCs/>
          <w:color w:val="000000"/>
          <w:lang w:eastAsia="es-CO"/>
        </w:rPr>
        <w:t>Sistema Integral de Preferencias en favor de las personas con discapacidad</w:t>
      </w:r>
      <w:r w:rsidRPr="00FA4501">
        <w:rPr>
          <w:rFonts w:ascii="Verdana" w:eastAsia="Times New Roman" w:hAnsi="Verdana" w:cs="Times New Roman"/>
          <w:color w:val="000000"/>
          <w:lang w:eastAsia="es-CO"/>
        </w:rPr>
        <w:t>, en cumplimiento del artículo 13 de la Ley Estatutaria 1618 de 2013. Para orientar su aplicación, esta Agencia expidió la </w:t>
      </w:r>
      <w:r w:rsidRPr="00FA4501">
        <w:rPr>
          <w:rFonts w:ascii="Verdana" w:eastAsia="Times New Roman" w:hAnsi="Verdana" w:cs="Times New Roman"/>
          <w:b/>
          <w:bCs/>
          <w:color w:val="000000"/>
          <w:lang w:eastAsia="es-CO"/>
        </w:rPr>
        <w:t>Circular Externa 003 del 12 de mayo de 2026, </w:t>
      </w:r>
      <w:r w:rsidRPr="00FA4501">
        <w:rPr>
          <w:rFonts w:ascii="Verdana" w:eastAsia="Times New Roman" w:hAnsi="Verdana" w:cs="Times New Roman"/>
          <w:color w:val="000000"/>
          <w:lang w:eastAsia="es-CO"/>
        </w:rPr>
        <w:t>en la que precisa quiénes son los beneficiarios, las cinco medidas que integran el sistema y su obligatoriedad según la modalidad de selección, y el régimen de transición aplicable a los procesos en curso. Consúltala aquí: </w:t>
      </w:r>
      <w:hyperlink r:id="rId15" w:tgtFrame="_blank" w:tooltip="Dirección URL original: https://www.colombiacompra.gov.co/archivos/circular/circular-externa-003-de-2026. Haga clic o pulse si confía en este vínculo." w:history="1">
        <w:r w:rsidRPr="00FA4501">
          <w:rPr>
            <w:rFonts w:ascii="Verdana" w:eastAsia="Times New Roman" w:hAnsi="Verdana" w:cs="Times New Roman"/>
            <w:color w:val="0000FF"/>
            <w:u w:val="single"/>
            <w:bdr w:val="none" w:sz="0" w:space="0" w:color="auto" w:frame="1"/>
            <w:lang w:eastAsia="es-CO"/>
          </w:rPr>
          <w:t>https://www.colombiacompra.gov.co/archivos/circular/circular-externa-003-de-2026</w:t>
        </w:r>
      </w:hyperlink>
    </w:p>
    <w:p w14:paraId="17B73412" w14:textId="77777777" w:rsidR="00FA4501" w:rsidRPr="00FA4501" w:rsidRDefault="00FA4501" w:rsidP="00FA4501">
      <w:pPr>
        <w:shd w:val="clear" w:color="auto" w:fill="FFFFFF"/>
        <w:spacing w:after="120" w:line="276" w:lineRule="auto"/>
        <w:jc w:val="both"/>
        <w:textAlignment w:val="baseline"/>
        <w:rPr>
          <w:rFonts w:ascii="Verdana" w:eastAsia="Times New Roman" w:hAnsi="Verdana" w:cs="Times New Roman"/>
          <w:color w:val="000000"/>
          <w:lang w:eastAsia="es-CO"/>
        </w:rPr>
      </w:pPr>
      <w:r w:rsidRPr="00FA4501">
        <w:rPr>
          <w:rFonts w:ascii="Verdana" w:eastAsia="Times New Roman" w:hAnsi="Verdana" w:cs="Times New Roman"/>
          <w:color w:val="000000"/>
          <w:lang w:eastAsia="es-CO"/>
        </w:rPr>
        <w:t>Recuerda también que la</w:t>
      </w:r>
      <w:r w:rsidRPr="00FA4501">
        <w:rPr>
          <w:rFonts w:ascii="Verdana" w:eastAsia="Times New Roman" w:hAnsi="Verdana" w:cs="Times New Roman"/>
          <w:b/>
          <w:bCs/>
          <w:color w:val="000000"/>
          <w:lang w:eastAsia="es-CO"/>
        </w:rPr>
        <w:t> información sobre sanciones e inhabilidades </w:t>
      </w:r>
      <w:r w:rsidRPr="00FA4501">
        <w:rPr>
          <w:rFonts w:ascii="Verdana" w:eastAsia="Times New Roman" w:hAnsi="Verdana" w:cs="Times New Roman"/>
          <w:color w:val="000000"/>
          <w:lang w:eastAsia="es-CO"/>
        </w:rPr>
        <w:t>solo cumple su función preventiva si llega oportunamente a los registros públicos. Sobre este deber, esta Agencia expidió la </w:t>
      </w:r>
      <w:r w:rsidRPr="00FA4501">
        <w:rPr>
          <w:rFonts w:ascii="Verdana" w:eastAsia="Times New Roman" w:hAnsi="Verdana" w:cs="Times New Roman"/>
          <w:b/>
          <w:bCs/>
          <w:color w:val="000000"/>
          <w:lang w:eastAsia="es-CO"/>
        </w:rPr>
        <w:t xml:space="preserve">Circular Externa 002 del 5 de mayo </w:t>
      </w:r>
      <w:r w:rsidRPr="00FA4501">
        <w:rPr>
          <w:rFonts w:ascii="Verdana" w:eastAsia="Times New Roman" w:hAnsi="Verdana" w:cs="Times New Roman"/>
          <w:b/>
          <w:bCs/>
          <w:color w:val="000000"/>
          <w:lang w:eastAsia="es-CO"/>
        </w:rPr>
        <w:lastRenderedPageBreak/>
        <w:t>de 2026,</w:t>
      </w:r>
      <w:r w:rsidRPr="00FA4501">
        <w:rPr>
          <w:rFonts w:ascii="Verdana" w:eastAsia="Times New Roman" w:hAnsi="Verdana" w:cs="Times New Roman"/>
          <w:color w:val="000000"/>
          <w:lang w:eastAsia="es-CO"/>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6" w:tgtFrame="_blank" w:tooltip="Dirección URL original: https://www.colombiacompra.gov.co/archivos/circular/circular-externa-002-de-2026. Haga clic o pulse si confía en este vínculo." w:history="1">
        <w:r w:rsidRPr="00FA4501">
          <w:rPr>
            <w:rFonts w:ascii="Verdana" w:eastAsia="Times New Roman" w:hAnsi="Verdana" w:cs="Times New Roman"/>
            <w:color w:val="0000FF"/>
            <w:u w:val="single"/>
            <w:bdr w:val="none" w:sz="0" w:space="0" w:color="auto" w:frame="1"/>
            <w:lang w:eastAsia="es-CO"/>
          </w:rPr>
          <w:t>https://www.colombiacompra.gov.co/archivos/circular/circular-externa-002-de-2026</w:t>
        </w:r>
      </w:hyperlink>
    </w:p>
    <w:p w14:paraId="6A556630" w14:textId="77777777" w:rsidR="00FA4501" w:rsidRPr="00FA4501" w:rsidRDefault="00FA4501" w:rsidP="00FA4501">
      <w:pPr>
        <w:shd w:val="clear" w:color="auto" w:fill="FFFFFF"/>
        <w:spacing w:after="120" w:line="276" w:lineRule="auto"/>
        <w:jc w:val="both"/>
        <w:textAlignment w:val="baseline"/>
        <w:rPr>
          <w:rFonts w:ascii="Verdana" w:eastAsia="Times New Roman" w:hAnsi="Verdana" w:cs="Times New Roman"/>
          <w:color w:val="000000"/>
          <w:lang w:eastAsia="es-CO"/>
        </w:rPr>
      </w:pPr>
      <w:r w:rsidRPr="00FA4501">
        <w:rPr>
          <w:rFonts w:ascii="Verdana" w:eastAsia="Times New Roman" w:hAnsi="Verdana" w:cs="Times New Roman"/>
          <w:color w:val="000000"/>
          <w:lang w:eastAsia="es-CO"/>
        </w:rPr>
        <w:t>Finalmente, si quieres seguir de cerca la actividad de la Agencia, la tercera edición de 2026 del</w:t>
      </w:r>
      <w:r w:rsidRPr="00FA4501">
        <w:rPr>
          <w:rFonts w:ascii="Verdana" w:eastAsia="Times New Roman" w:hAnsi="Verdana" w:cs="Times New Roman"/>
          <w:b/>
          <w:bCs/>
          <w:color w:val="000000"/>
          <w:lang w:eastAsia="es-CO"/>
        </w:rPr>
        <w:t> Radar de la Compra Pública</w:t>
      </w:r>
      <w:r w:rsidRPr="00FA4501">
        <w:rPr>
          <w:rFonts w:ascii="Verdana" w:eastAsia="Times New Roman" w:hAnsi="Verdana" w:cs="Times New Roman"/>
          <w:color w:val="000000"/>
          <w:lang w:eastAsia="es-CO"/>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7" w:tgtFrame="_blank" w:tooltip="Dirección URL original: https://www.colombiacompra.gov.co/archivos/boletin/boletin-edicion-n-3-de-2026-radar-de-la-compra-publica. Haga clic o pulse si confía en este vínculo." w:history="1">
        <w:r w:rsidRPr="00FA4501">
          <w:rPr>
            <w:rFonts w:ascii="Verdana" w:eastAsia="Times New Roman" w:hAnsi="Verdana" w:cs="Times New Roman"/>
            <w:color w:val="0000FF"/>
            <w:u w:val="single"/>
            <w:bdr w:val="none" w:sz="0" w:space="0" w:color="auto" w:frame="1"/>
            <w:lang w:eastAsia="es-CO"/>
          </w:rPr>
          <w:t>https://www.colombiacompra.gov.co/archivos/boletin/boletin-edicion-n-3-de-2026-radar-de-la-compra-publica</w:t>
        </w:r>
      </w:hyperlink>
      <w:r w:rsidRPr="00FA4501">
        <w:rPr>
          <w:rFonts w:ascii="Verdana" w:eastAsia="Times New Roman" w:hAnsi="Verdana" w:cs="Times New Roman"/>
          <w:color w:val="000000"/>
          <w:lang w:eastAsia="es-CO"/>
        </w:rPr>
        <w:t>"</w:t>
      </w:r>
    </w:p>
    <w:p w14:paraId="693E1C7F" w14:textId="77777777" w:rsidR="00FA4501" w:rsidRPr="00FA4501" w:rsidRDefault="00FA4501" w:rsidP="00FA4501">
      <w:pPr>
        <w:spacing w:after="0" w:line="276" w:lineRule="auto"/>
        <w:jc w:val="both"/>
        <w:rPr>
          <w:rFonts w:ascii="Verdana" w:hAnsi="Verdana"/>
          <w:lang w:val="es-ES"/>
        </w:rPr>
      </w:pPr>
      <w:r w:rsidRPr="00FA4501">
        <w:rPr>
          <w:rFonts w:ascii="Verdana" w:hAnsi="Verdana"/>
          <w:lang w:val="es-ES"/>
        </w:rPr>
        <w:t xml:space="preserve">Por último, lo invitamos a seguirnos en las redes sociales en las cuales se difunde información institucional: </w:t>
      </w:r>
    </w:p>
    <w:p w14:paraId="0ED824E8" w14:textId="77777777" w:rsidR="00FA4501" w:rsidRPr="00FA4501" w:rsidRDefault="00FA4501" w:rsidP="00FA4501">
      <w:pPr>
        <w:spacing w:after="0" w:line="276" w:lineRule="auto"/>
        <w:jc w:val="both"/>
        <w:rPr>
          <w:rFonts w:ascii="Verdana" w:hAnsi="Verdana"/>
          <w:lang w:val="es-ES"/>
        </w:rPr>
      </w:pPr>
    </w:p>
    <w:p w14:paraId="150C99EC" w14:textId="77777777" w:rsidR="00FA4501" w:rsidRPr="00FA4501" w:rsidRDefault="00FA4501" w:rsidP="00FA4501">
      <w:pPr>
        <w:spacing w:after="0" w:line="276" w:lineRule="auto"/>
        <w:jc w:val="both"/>
        <w:rPr>
          <w:rFonts w:ascii="Verdana" w:hAnsi="Verdana"/>
          <w:lang w:val="es-ES"/>
        </w:rPr>
      </w:pPr>
      <w:r w:rsidRPr="00FA4501">
        <w:rPr>
          <w:rFonts w:ascii="Verdana" w:hAnsi="Verdana"/>
          <w:lang w:val="es-ES"/>
        </w:rPr>
        <w:t xml:space="preserve">Twitter: </w:t>
      </w:r>
      <w:r w:rsidRPr="00FA4501">
        <w:rPr>
          <w:rFonts w:ascii="Verdana" w:hAnsi="Verdana" w:cs="Arial"/>
          <w:color w:val="0000FF"/>
          <w:u w:val="single"/>
          <w:shd w:val="clear" w:color="auto" w:fill="FFFFFF"/>
          <w:lang w:val="es-ES"/>
        </w:rPr>
        <w:t>@colombiacompra</w:t>
      </w:r>
      <w:r w:rsidRPr="00FA4501">
        <w:rPr>
          <w:rFonts w:ascii="Verdana" w:hAnsi="Verdana"/>
          <w:color w:val="4472C4" w:themeColor="accent1"/>
          <w:lang w:val="es-ES"/>
        </w:rPr>
        <w:t xml:space="preserve"> </w:t>
      </w:r>
    </w:p>
    <w:p w14:paraId="1F79AAB5" w14:textId="77777777" w:rsidR="00FA4501" w:rsidRPr="00FA4501" w:rsidRDefault="00FA4501" w:rsidP="00FA4501">
      <w:pPr>
        <w:spacing w:after="0" w:line="276" w:lineRule="auto"/>
        <w:jc w:val="both"/>
        <w:rPr>
          <w:rFonts w:ascii="Verdana" w:hAnsi="Verdana"/>
          <w:lang w:val="es-ES"/>
        </w:rPr>
      </w:pPr>
      <w:r w:rsidRPr="00FA4501">
        <w:rPr>
          <w:rFonts w:ascii="Verdana" w:hAnsi="Verdana"/>
          <w:lang w:val="es-ES"/>
        </w:rPr>
        <w:t xml:space="preserve">Facebook: </w:t>
      </w:r>
      <w:proofErr w:type="spellStart"/>
      <w:r w:rsidRPr="00FA4501">
        <w:rPr>
          <w:rFonts w:ascii="Verdana" w:hAnsi="Verdana" w:cs="Arial"/>
          <w:color w:val="0000FF"/>
          <w:u w:val="single"/>
          <w:shd w:val="clear" w:color="auto" w:fill="FFFFFF"/>
          <w:lang w:val="es-ES"/>
        </w:rPr>
        <w:t>ColombiaCompraEficiente</w:t>
      </w:r>
      <w:proofErr w:type="spellEnd"/>
    </w:p>
    <w:p w14:paraId="1996AF88" w14:textId="77777777" w:rsidR="00FA4501" w:rsidRPr="00FA4501" w:rsidRDefault="00FA4501" w:rsidP="00FA4501">
      <w:pPr>
        <w:spacing w:after="0" w:line="276" w:lineRule="auto"/>
        <w:jc w:val="both"/>
        <w:rPr>
          <w:rFonts w:ascii="Verdana" w:hAnsi="Verdana"/>
          <w:lang w:val="es-ES"/>
        </w:rPr>
      </w:pPr>
      <w:r w:rsidRPr="00FA4501">
        <w:rPr>
          <w:rFonts w:ascii="Verdana" w:hAnsi="Verdana"/>
          <w:lang w:val="es-ES"/>
        </w:rPr>
        <w:t xml:space="preserve">LinkedIn: </w:t>
      </w:r>
      <w:r w:rsidRPr="00FA4501">
        <w:rPr>
          <w:rFonts w:ascii="Verdana" w:hAnsi="Verdana" w:cs="Arial"/>
          <w:color w:val="0000FF"/>
          <w:u w:val="single"/>
          <w:shd w:val="clear" w:color="auto" w:fill="FFFFFF"/>
          <w:lang w:val="es-ES"/>
        </w:rPr>
        <w:t xml:space="preserve">Agencia Nacional de Contratación Pública - Colombia Compra Eficiente </w:t>
      </w:r>
      <w:r w:rsidRPr="00FA4501">
        <w:rPr>
          <w:rFonts w:ascii="Verdana" w:hAnsi="Verdana"/>
          <w:lang w:val="es-ES"/>
        </w:rPr>
        <w:t xml:space="preserve">Instagram: </w:t>
      </w:r>
      <w:r w:rsidRPr="00FA4501">
        <w:rPr>
          <w:rFonts w:ascii="Verdana" w:hAnsi="Verdana" w:cs="Arial"/>
          <w:color w:val="0000FF"/>
          <w:u w:val="single"/>
          <w:shd w:val="clear" w:color="auto" w:fill="FFFFFF"/>
          <w:lang w:val="es-ES"/>
        </w:rPr>
        <w:t>@colombiacompraeficiente_cce</w:t>
      </w:r>
    </w:p>
    <w:p w14:paraId="44D8BCB6" w14:textId="77777777" w:rsidR="00FA4501" w:rsidRPr="00FA4501" w:rsidRDefault="00FA4501" w:rsidP="00FA4501">
      <w:pPr>
        <w:spacing w:after="0" w:line="240" w:lineRule="auto"/>
        <w:jc w:val="both"/>
        <w:rPr>
          <w:rFonts w:ascii="Verdana" w:hAnsi="Verdana"/>
        </w:rPr>
      </w:pPr>
    </w:p>
    <w:p w14:paraId="49CC76D2" w14:textId="77777777" w:rsidR="00FA4501" w:rsidRPr="00FA4501" w:rsidRDefault="00FA4501" w:rsidP="00FA4501">
      <w:pPr>
        <w:widowControl w:val="0"/>
        <w:autoSpaceDE w:val="0"/>
        <w:autoSpaceDN w:val="0"/>
        <w:spacing w:after="0" w:line="276" w:lineRule="auto"/>
        <w:jc w:val="both"/>
        <w:rPr>
          <w:rFonts w:ascii="Verdana" w:hAnsi="Verdana" w:cs="Arial"/>
        </w:rPr>
      </w:pPr>
    </w:p>
    <w:p w14:paraId="43F734EC" w14:textId="77777777" w:rsidR="00FA4501" w:rsidRPr="00FA4501" w:rsidRDefault="00FA4501" w:rsidP="00FA4501">
      <w:pPr>
        <w:widowControl w:val="0"/>
        <w:autoSpaceDE w:val="0"/>
        <w:autoSpaceDN w:val="0"/>
        <w:spacing w:after="0" w:line="276" w:lineRule="auto"/>
        <w:jc w:val="both"/>
        <w:rPr>
          <w:rFonts w:ascii="Verdana" w:hAnsi="Verdana" w:cs="Arial"/>
        </w:rPr>
      </w:pPr>
      <w:r w:rsidRPr="00FA4501">
        <w:rPr>
          <w:rFonts w:ascii="Verdana" w:hAnsi="Verdana" w:cs="Arial"/>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7DB62B61" w14:textId="77777777" w:rsidR="00FA4501" w:rsidRPr="00FA4501" w:rsidRDefault="00FA4501" w:rsidP="00FA4501">
      <w:pPr>
        <w:widowControl w:val="0"/>
        <w:autoSpaceDE w:val="0"/>
        <w:autoSpaceDN w:val="0"/>
        <w:spacing w:after="0" w:line="276" w:lineRule="auto"/>
        <w:jc w:val="both"/>
        <w:rPr>
          <w:rFonts w:ascii="Verdana" w:hAnsi="Verdana" w:cs="Arial"/>
        </w:rPr>
      </w:pPr>
    </w:p>
    <w:p w14:paraId="50AB2CC9" w14:textId="77777777" w:rsidR="00FA4501" w:rsidRPr="00FA4501" w:rsidRDefault="00FA4501" w:rsidP="00FA4501">
      <w:pPr>
        <w:spacing w:after="0" w:line="276" w:lineRule="auto"/>
        <w:rPr>
          <w:rFonts w:ascii="Verdana" w:hAnsi="Verdana" w:cs="Arial"/>
          <w:lang w:eastAsia="es-CO"/>
        </w:rPr>
      </w:pPr>
      <w:r w:rsidRPr="00FA4501">
        <w:rPr>
          <w:rFonts w:ascii="Verdana" w:eastAsia="Times New Roman" w:hAnsi="Verdana" w:cs="Arial"/>
          <w:lang w:eastAsia="es-CO"/>
        </w:rPr>
        <w:t>Atentamente,</w:t>
      </w:r>
      <w:r w:rsidRPr="00FA4501">
        <w:rPr>
          <w:rFonts w:ascii="Verdana" w:hAnsi="Verdana" w:cs="Arial"/>
          <w:lang w:eastAsia="es-CO"/>
        </w:rPr>
        <w:t xml:space="preserve"> </w:t>
      </w:r>
    </w:p>
    <w:p w14:paraId="51E2014C" w14:textId="31D0CE7B" w:rsidR="00FA4501" w:rsidRPr="00FA4501" w:rsidRDefault="002C07F0" w:rsidP="00FA4501">
      <w:pPr>
        <w:spacing w:line="276" w:lineRule="auto"/>
        <w:jc w:val="center"/>
        <w:rPr>
          <w:rFonts w:ascii="Verdana" w:hAnsi="Verdana" w:cs="Arial"/>
          <w:color w:val="000000"/>
          <w:lang w:eastAsia="es-CO"/>
        </w:rPr>
      </w:pPr>
      <w:r w:rsidRPr="00F21F0B">
        <w:rPr>
          <w:rFonts w:ascii="Century Gothic" w:hAnsi="Century Gothic"/>
          <w:noProof/>
        </w:rPr>
        <w:lastRenderedPageBreak/>
        <w:drawing>
          <wp:inline distT="0" distB="0" distL="0" distR="0" wp14:anchorId="328E074C" wp14:editId="0DBAB472">
            <wp:extent cx="3771900" cy="1402080"/>
            <wp:effectExtent l="0" t="0" r="0" b="7620"/>
            <wp:docPr id="246173048"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exto&#10;&#10;Descripción generada automáticament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71900" cy="1402080"/>
                    </a:xfrm>
                    <a:prstGeom prst="rect">
                      <a:avLst/>
                    </a:prstGeom>
                    <a:noFill/>
                    <a:ln>
                      <a:noFill/>
                    </a:ln>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FA4501" w:rsidRPr="00FA4501" w14:paraId="591D61B6" w14:textId="77777777" w:rsidTr="001A1E9A">
        <w:trPr>
          <w:trHeight w:val="315"/>
        </w:trPr>
        <w:tc>
          <w:tcPr>
            <w:tcW w:w="893" w:type="dxa"/>
            <w:vAlign w:val="center"/>
            <w:hideMark/>
          </w:tcPr>
          <w:p w14:paraId="66589820" w14:textId="77777777" w:rsidR="00FA4501" w:rsidRPr="00FA4501" w:rsidRDefault="00FA4501" w:rsidP="00FA4501">
            <w:pPr>
              <w:contextualSpacing/>
              <w:rPr>
                <w:rFonts w:ascii="Verdana" w:hAnsi="Verdana" w:cs="Arial"/>
                <w:sz w:val="16"/>
                <w:szCs w:val="16"/>
                <w:lang w:eastAsia="es-ES"/>
              </w:rPr>
            </w:pPr>
            <w:r w:rsidRPr="00FA4501">
              <w:rPr>
                <w:rFonts w:ascii="Verdana" w:hAnsi="Verdana" w:cs="Arial"/>
                <w:sz w:val="16"/>
                <w:szCs w:val="16"/>
                <w:lang w:eastAsia="es-ES"/>
              </w:rPr>
              <w:t>Elaboró:</w:t>
            </w:r>
          </w:p>
        </w:tc>
        <w:tc>
          <w:tcPr>
            <w:tcW w:w="5628" w:type="dxa"/>
            <w:tcBorders>
              <w:top w:val="nil"/>
              <w:left w:val="nil"/>
              <w:bottom w:val="dotted" w:sz="4" w:space="0" w:color="7F7F7F" w:themeColor="text1" w:themeTint="80"/>
              <w:right w:val="nil"/>
            </w:tcBorders>
            <w:vAlign w:val="center"/>
            <w:hideMark/>
          </w:tcPr>
          <w:p w14:paraId="6FD0E375" w14:textId="77777777" w:rsidR="00FA4501" w:rsidRPr="00FA4501" w:rsidRDefault="00FA4501" w:rsidP="00FA4501">
            <w:pPr>
              <w:contextualSpacing/>
              <w:rPr>
                <w:rFonts w:ascii="Verdana" w:hAnsi="Verdana"/>
                <w:sz w:val="16"/>
                <w:szCs w:val="16"/>
              </w:rPr>
            </w:pPr>
            <w:r w:rsidRPr="00FA4501">
              <w:rPr>
                <w:rFonts w:ascii="Verdana" w:hAnsi="Verdana"/>
                <w:sz w:val="16"/>
                <w:szCs w:val="16"/>
              </w:rPr>
              <w:t>Tatiana Baquero Iguarán</w:t>
            </w:r>
          </w:p>
          <w:p w14:paraId="3BB2E58F" w14:textId="77777777" w:rsidR="00FA4501" w:rsidRPr="00FA4501" w:rsidRDefault="00FA4501" w:rsidP="00FA4501">
            <w:pPr>
              <w:contextualSpacing/>
              <w:rPr>
                <w:rFonts w:ascii="Verdana" w:eastAsia="Arial" w:hAnsi="Verdana" w:cs="Arial"/>
                <w:sz w:val="16"/>
                <w:szCs w:val="16"/>
              </w:rPr>
            </w:pPr>
            <w:r w:rsidRPr="00FA4501">
              <w:rPr>
                <w:rFonts w:ascii="Verdana" w:hAnsi="Verdana"/>
                <w:sz w:val="16"/>
                <w:szCs w:val="16"/>
              </w:rPr>
              <w:t>Contratista de la Subdirección de Gestión Contractual</w:t>
            </w:r>
          </w:p>
        </w:tc>
      </w:tr>
      <w:tr w:rsidR="00FA4501" w:rsidRPr="00FA4501" w14:paraId="31BA13F6" w14:textId="77777777" w:rsidTr="001A1E9A">
        <w:trPr>
          <w:trHeight w:val="330"/>
        </w:trPr>
        <w:tc>
          <w:tcPr>
            <w:tcW w:w="893" w:type="dxa"/>
            <w:vAlign w:val="center"/>
            <w:hideMark/>
          </w:tcPr>
          <w:p w14:paraId="573A56E3" w14:textId="77777777" w:rsidR="00FA4501" w:rsidRPr="00FA4501" w:rsidRDefault="00FA4501" w:rsidP="00FA4501">
            <w:pPr>
              <w:contextualSpacing/>
              <w:rPr>
                <w:rFonts w:ascii="Verdana" w:hAnsi="Verdana" w:cs="Arial"/>
                <w:sz w:val="16"/>
                <w:szCs w:val="16"/>
                <w:lang w:eastAsia="es-ES"/>
              </w:rPr>
            </w:pPr>
            <w:r w:rsidRPr="00FA4501">
              <w:rPr>
                <w:rFonts w:ascii="Verdana" w:hAnsi="Verdana" w:cs="Arial"/>
                <w:sz w:val="16"/>
                <w:szCs w:val="16"/>
                <w:lang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74241F26" w14:textId="77777777" w:rsidR="00FA4501" w:rsidRPr="00FA4501" w:rsidRDefault="00FA4501" w:rsidP="00FA4501">
            <w:pPr>
              <w:textAlignment w:val="baseline"/>
              <w:rPr>
                <w:rFonts w:ascii="Verdana" w:eastAsia="Times New Roman" w:hAnsi="Verdana" w:cs="Arial"/>
                <w:sz w:val="16"/>
                <w:szCs w:val="16"/>
                <w:lang w:val="es-MX" w:eastAsia="es-CO"/>
              </w:rPr>
            </w:pPr>
            <w:r w:rsidRPr="00FA4501">
              <w:rPr>
                <w:rFonts w:ascii="Verdana" w:eastAsia="Times New Roman" w:hAnsi="Verdana" w:cs="Arial"/>
                <w:sz w:val="16"/>
                <w:szCs w:val="16"/>
                <w:lang w:val="es-MX" w:eastAsia="es-CO"/>
              </w:rPr>
              <w:t>Alejandro Raúl Sarmiento Cantillo</w:t>
            </w:r>
          </w:p>
          <w:p w14:paraId="28CBE918" w14:textId="77777777" w:rsidR="00FA4501" w:rsidRPr="00FA4501" w:rsidRDefault="00FA4501" w:rsidP="00FA4501">
            <w:pPr>
              <w:spacing w:before="100" w:beforeAutospacing="1" w:after="100" w:afterAutospacing="1"/>
              <w:contextualSpacing/>
              <w:textAlignment w:val="baseline"/>
              <w:rPr>
                <w:rFonts w:ascii="Verdana" w:eastAsia="Times New Roman" w:hAnsi="Verdana" w:cs="Segoe UI"/>
                <w:sz w:val="16"/>
                <w:szCs w:val="16"/>
                <w:lang w:eastAsia="es-ES_tradnl"/>
              </w:rPr>
            </w:pPr>
            <w:r w:rsidRPr="00FA4501">
              <w:rPr>
                <w:rFonts w:ascii="Verdana" w:eastAsia="Times New Roman" w:hAnsi="Verdana" w:cs="Arial"/>
                <w:sz w:val="16"/>
                <w:szCs w:val="16"/>
                <w:lang w:val="es-MX" w:eastAsia="es-CO"/>
              </w:rPr>
              <w:t>Gestor T1-15 de la Subdirección de Gestión Contractual</w:t>
            </w:r>
          </w:p>
        </w:tc>
      </w:tr>
      <w:tr w:rsidR="00FA4501" w:rsidRPr="00FA4501" w14:paraId="7BF3B1BB" w14:textId="77777777" w:rsidTr="001A1E9A">
        <w:trPr>
          <w:trHeight w:val="300"/>
        </w:trPr>
        <w:tc>
          <w:tcPr>
            <w:tcW w:w="893" w:type="dxa"/>
            <w:vAlign w:val="center"/>
          </w:tcPr>
          <w:p w14:paraId="4A9CA0D4" w14:textId="77777777" w:rsidR="00FA4501" w:rsidRPr="00FA4501" w:rsidRDefault="00FA4501" w:rsidP="00FA4501">
            <w:pPr>
              <w:contextualSpacing/>
              <w:rPr>
                <w:rFonts w:ascii="Verdana" w:hAnsi="Verdana" w:cs="Arial"/>
                <w:sz w:val="16"/>
                <w:szCs w:val="16"/>
                <w:lang w:eastAsia="es-ES"/>
              </w:rPr>
            </w:pPr>
            <w:r w:rsidRPr="00FA4501">
              <w:rPr>
                <w:rFonts w:ascii="Verdana" w:hAnsi="Verdana" w:cs="Arial"/>
                <w:sz w:val="16"/>
                <w:szCs w:val="16"/>
                <w:lang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75D2C465" w14:textId="77777777" w:rsidR="00FA4501" w:rsidRPr="00FA4501" w:rsidRDefault="00FA4501" w:rsidP="00FA4501">
            <w:pPr>
              <w:contextualSpacing/>
              <w:rPr>
                <w:rFonts w:ascii="Verdana" w:eastAsia="Calibri" w:hAnsi="Verdana" w:cs="Arial"/>
                <w:sz w:val="16"/>
                <w:szCs w:val="16"/>
                <w:lang w:eastAsia="es-ES"/>
              </w:rPr>
            </w:pPr>
            <w:r w:rsidRPr="00FA4501">
              <w:rPr>
                <w:rFonts w:ascii="Verdana" w:eastAsia="Calibri" w:hAnsi="Verdana" w:cs="Arial"/>
                <w:sz w:val="16"/>
                <w:szCs w:val="16"/>
                <w:lang w:eastAsia="es-ES"/>
              </w:rPr>
              <w:t>Carolina Quintero Gacharná</w:t>
            </w:r>
          </w:p>
          <w:p w14:paraId="31C55FA9" w14:textId="77777777" w:rsidR="00FA4501" w:rsidRPr="00FA4501" w:rsidRDefault="00FA4501" w:rsidP="00FA4501">
            <w:pPr>
              <w:contextualSpacing/>
              <w:rPr>
                <w:rFonts w:ascii="Verdana" w:eastAsia="Calibri" w:hAnsi="Verdana" w:cs="Arial"/>
                <w:sz w:val="16"/>
                <w:szCs w:val="16"/>
                <w:lang w:eastAsia="es-ES"/>
              </w:rPr>
            </w:pPr>
            <w:r w:rsidRPr="00FA4501">
              <w:rPr>
                <w:rFonts w:ascii="Verdana" w:eastAsia="Calibri" w:hAnsi="Verdana" w:cs="Arial"/>
                <w:sz w:val="16"/>
                <w:szCs w:val="16"/>
                <w:lang w:eastAsia="es-ES"/>
              </w:rPr>
              <w:t>Subdirectora de Gestión Contractual ANCP – CCE</w:t>
            </w:r>
          </w:p>
        </w:tc>
      </w:tr>
      <w:bookmarkEnd w:id="0"/>
    </w:tbl>
    <w:p w14:paraId="4EF63CE2" w14:textId="77777777" w:rsidR="00FA4501" w:rsidRPr="00FA4501" w:rsidRDefault="00FA4501" w:rsidP="00FA4501">
      <w:pPr>
        <w:spacing w:after="0" w:line="240" w:lineRule="auto"/>
        <w:jc w:val="both"/>
        <w:textAlignment w:val="baseline"/>
        <w:rPr>
          <w:rFonts w:ascii="Verdana" w:eastAsia="Verdana" w:hAnsi="Verdana" w:cs="Verdana"/>
          <w:lang w:eastAsia="es-CO"/>
        </w:rPr>
      </w:pPr>
    </w:p>
    <w:p w14:paraId="578A7DF2" w14:textId="4D30F02B" w:rsidR="00FA4501" w:rsidRPr="00FA4501" w:rsidRDefault="00FA4501" w:rsidP="00FA4501">
      <w:pPr>
        <w:spacing w:after="0" w:line="240" w:lineRule="auto"/>
        <w:textAlignment w:val="baseline"/>
        <w:rPr>
          <w:rFonts w:ascii="Verdana" w:eastAsia="Verdana" w:hAnsi="Verdana" w:cs="Verdana"/>
          <w:lang w:eastAsia="es-CO"/>
        </w:rPr>
      </w:pPr>
      <w:r w:rsidRPr="00FA4501">
        <w:rPr>
          <w:rFonts w:ascii="Verdana" w:eastAsia="Verdana" w:hAnsi="Verdana" w:cs="Verdana"/>
          <w:lang w:eastAsia="es-CO"/>
        </w:rPr>
        <w:t> </w:t>
      </w:r>
      <w:bookmarkEnd w:id="1"/>
    </w:p>
    <w:p w14:paraId="770E9091" w14:textId="77777777" w:rsidR="00FA4501" w:rsidRPr="00FA4501" w:rsidRDefault="00FA4501" w:rsidP="00FA4501"/>
    <w:p w14:paraId="04CCFAD9" w14:textId="77777777" w:rsidR="00FA4501" w:rsidRPr="00FA4501" w:rsidRDefault="00FA4501" w:rsidP="00FA4501"/>
    <w:p w14:paraId="2A81EB88" w14:textId="77777777" w:rsidR="00EB703A" w:rsidRPr="00FA4501" w:rsidRDefault="00EB703A" w:rsidP="00FA4501"/>
    <w:sectPr w:rsidR="00EB703A" w:rsidRPr="00FA4501" w:rsidSect="00C44B4C">
      <w:headerReference w:type="default" r:id="rId19"/>
      <w:footerReference w:type="default" r:id="rId20"/>
      <w:pgSz w:w="12240" w:h="15840"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AA4F8" w14:textId="77777777" w:rsidR="001E6B89" w:rsidRPr="009B7987" w:rsidRDefault="001E6B89" w:rsidP="00B30448">
      <w:pPr>
        <w:spacing w:after="0" w:line="240" w:lineRule="auto"/>
      </w:pPr>
      <w:r w:rsidRPr="009B7987">
        <w:separator/>
      </w:r>
    </w:p>
  </w:endnote>
  <w:endnote w:type="continuationSeparator" w:id="0">
    <w:p w14:paraId="2090C3DB" w14:textId="77777777" w:rsidR="001E6B89" w:rsidRPr="009B7987" w:rsidRDefault="001E6B89" w:rsidP="00B30448">
      <w:pPr>
        <w:spacing w:after="0" w:line="240" w:lineRule="auto"/>
      </w:pPr>
      <w:r w:rsidRPr="009B7987">
        <w:continuationSeparator/>
      </w:r>
    </w:p>
  </w:endnote>
  <w:endnote w:type="continuationNotice" w:id="1">
    <w:p w14:paraId="2B1AF543" w14:textId="77777777" w:rsidR="001E6B89" w:rsidRPr="009B7987" w:rsidRDefault="001E6B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Inter Variable">
    <w:altName w:val="Cambria"/>
    <w:panose1 w:val="00000000000000000000"/>
    <w:charset w:val="00"/>
    <w:family w:val="roman"/>
    <w:notTrueType/>
    <w:pitch w:val="default"/>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9C0E4" w14:textId="77777777" w:rsidR="00A81E50" w:rsidRPr="009B7987" w:rsidRDefault="00A81E50" w:rsidP="00A81E50">
    <w:pPr>
      <w:pBdr>
        <w:top w:val="single" w:sz="4" w:space="1" w:color="auto"/>
      </w:pBdr>
      <w:spacing w:after="0"/>
      <w:rPr>
        <w:rFonts w:ascii="Verdana" w:hAnsi="Verdana"/>
        <w:b/>
        <w:bCs/>
        <w:sz w:val="20"/>
        <w:szCs w:val="20"/>
      </w:rPr>
    </w:pPr>
    <w:r w:rsidRPr="009B7987">
      <w:rPr>
        <w:rFonts w:ascii="Verdana" w:hAnsi="Verdana"/>
        <w:b/>
        <w:bCs/>
        <w:sz w:val="20"/>
        <w:szCs w:val="20"/>
      </w:rPr>
      <w:t xml:space="preserve">Agencia Nacional de Contratación Pública                                              </w:t>
    </w:r>
    <w:r w:rsidRPr="009B7987">
      <w:rPr>
        <w:rFonts w:ascii="Verdana" w:eastAsiaTheme="majorEastAsia" w:hAnsi="Verdana" w:cstheme="majorBidi"/>
        <w:b/>
        <w:bCs/>
        <w:sz w:val="16"/>
        <w:szCs w:val="16"/>
      </w:rPr>
      <w:t xml:space="preserve">pág. </w:t>
    </w:r>
    <w:r w:rsidRPr="009B7987">
      <w:rPr>
        <w:rFonts w:ascii="Verdana" w:eastAsiaTheme="minorEastAsia" w:hAnsi="Verdana"/>
        <w:b/>
        <w:bCs/>
        <w:sz w:val="16"/>
        <w:szCs w:val="16"/>
      </w:rPr>
      <w:fldChar w:fldCharType="begin"/>
    </w:r>
    <w:r w:rsidRPr="009B7987">
      <w:rPr>
        <w:rFonts w:ascii="Verdana" w:hAnsi="Verdana"/>
        <w:b/>
        <w:bCs/>
        <w:sz w:val="16"/>
        <w:szCs w:val="16"/>
      </w:rPr>
      <w:instrText>PAGE    \* MERGEFORMAT</w:instrText>
    </w:r>
    <w:r w:rsidRPr="009B7987">
      <w:rPr>
        <w:rFonts w:ascii="Verdana" w:eastAsiaTheme="minorEastAsia" w:hAnsi="Verdana"/>
        <w:b/>
        <w:bCs/>
        <w:sz w:val="16"/>
        <w:szCs w:val="16"/>
      </w:rPr>
      <w:fldChar w:fldCharType="separate"/>
    </w:r>
    <w:r w:rsidRPr="009B7987">
      <w:rPr>
        <w:rFonts w:ascii="Verdana" w:eastAsiaTheme="minorEastAsia" w:hAnsi="Verdana"/>
        <w:b/>
        <w:bCs/>
        <w:sz w:val="16"/>
        <w:szCs w:val="16"/>
      </w:rPr>
      <w:t>1</w:t>
    </w:r>
    <w:r w:rsidRPr="009B7987">
      <w:rPr>
        <w:rFonts w:ascii="Verdana" w:eastAsiaTheme="majorEastAsia" w:hAnsi="Verdana" w:cstheme="majorBidi"/>
        <w:b/>
        <w:bCs/>
        <w:sz w:val="16"/>
        <w:szCs w:val="16"/>
      </w:rPr>
      <w:fldChar w:fldCharType="end"/>
    </w:r>
    <w:r w:rsidRPr="009B7987">
      <w:rPr>
        <w:rFonts w:ascii="Verdana" w:hAnsi="Verdana"/>
        <w:b/>
        <w:bCs/>
        <w:sz w:val="20"/>
        <w:szCs w:val="20"/>
      </w:rPr>
      <w:t xml:space="preserve">              Colombia Compra Eficiente                                                            </w:t>
    </w:r>
  </w:p>
  <w:p w14:paraId="4FC9CAA9" w14:textId="77777777" w:rsidR="00A81E50" w:rsidRPr="009B7987" w:rsidRDefault="00A81E50" w:rsidP="00A81E50">
    <w:pPr>
      <w:spacing w:after="0"/>
      <w:jc w:val="both"/>
      <w:rPr>
        <w:rFonts w:ascii="Verdana" w:hAnsi="Verdana"/>
        <w:sz w:val="18"/>
        <w:szCs w:val="18"/>
      </w:rPr>
    </w:pPr>
    <w:r w:rsidRPr="009B7987">
      <w:rPr>
        <w:rFonts w:ascii="Verdana" w:hAnsi="Verdana"/>
        <w:sz w:val="18"/>
        <w:szCs w:val="18"/>
      </w:rPr>
      <w:t>Dirección: Carrera 7 # 26 – 20 - Bogotá, Colombia</w:t>
    </w:r>
  </w:p>
  <w:p w14:paraId="0B709B73" w14:textId="77777777" w:rsidR="00A81E50" w:rsidRPr="009B7987" w:rsidRDefault="00A81E50" w:rsidP="00A81E50">
    <w:pPr>
      <w:spacing w:after="0"/>
      <w:jc w:val="both"/>
      <w:rPr>
        <w:rFonts w:ascii="Verdana" w:hAnsi="Verdana"/>
        <w:sz w:val="18"/>
        <w:szCs w:val="18"/>
      </w:rPr>
    </w:pPr>
    <w:r w:rsidRPr="009B7987">
      <w:rPr>
        <w:rFonts w:ascii="Verdana" w:hAnsi="Verdana"/>
        <w:sz w:val="18"/>
        <w:szCs w:val="18"/>
      </w:rPr>
      <w:t>Mesa de servicio: (+57) 601 7456788</w:t>
    </w:r>
  </w:p>
  <w:p w14:paraId="224AB27F" w14:textId="77777777" w:rsidR="00DD7A2C" w:rsidRPr="009B7987" w:rsidRDefault="00A81E50" w:rsidP="00C00976">
    <w:pPr>
      <w:pBdr>
        <w:top w:val="nil"/>
        <w:left w:val="nil"/>
        <w:bottom w:val="nil"/>
        <w:right w:val="nil"/>
        <w:between w:val="nil"/>
      </w:pBdr>
      <w:tabs>
        <w:tab w:val="center" w:pos="4419"/>
        <w:tab w:val="right" w:pos="8838"/>
        <w:tab w:val="center" w:pos="5400"/>
      </w:tabs>
      <w:spacing w:after="0"/>
      <w:rPr>
        <w:rFonts w:ascii="Verdana" w:hAnsi="Verdana"/>
        <w:sz w:val="20"/>
        <w:szCs w:val="20"/>
      </w:rPr>
    </w:pPr>
    <w:r w:rsidRPr="009B7987">
      <w:rPr>
        <w:rFonts w:ascii="Verdana" w:hAnsi="Verdana"/>
        <w:sz w:val="18"/>
        <w:szCs w:val="18"/>
      </w:rPr>
      <w:t>Atención al ciudadano: (+57) 601 7956600</w:t>
    </w:r>
    <w:r w:rsidRPr="009B7987">
      <w:rPr>
        <w:rFonts w:ascii="Verdana" w:hAnsi="Verdana"/>
        <w:sz w:val="20"/>
        <w:szCs w:val="20"/>
      </w:rPr>
      <w:t xml:space="preserve">         </w:t>
    </w:r>
  </w:p>
  <w:p w14:paraId="2B8DBB2A" w14:textId="26AE77D2" w:rsidR="00A81E50" w:rsidRPr="009B7987" w:rsidRDefault="00A81E50" w:rsidP="00DD7A2C">
    <w:pPr>
      <w:pBdr>
        <w:top w:val="nil"/>
        <w:left w:val="nil"/>
        <w:bottom w:val="nil"/>
        <w:right w:val="nil"/>
        <w:between w:val="nil"/>
      </w:pBdr>
      <w:tabs>
        <w:tab w:val="center" w:pos="4419"/>
        <w:tab w:val="right" w:pos="8838"/>
        <w:tab w:val="center" w:pos="5400"/>
      </w:tabs>
      <w:spacing w:after="0"/>
      <w:jc w:val="right"/>
    </w:pPr>
    <w:r w:rsidRPr="009B7987">
      <w:rPr>
        <w:rFonts w:ascii="Verdana" w:hAnsi="Verdana"/>
        <w:sz w:val="20"/>
        <w:szCs w:val="20"/>
      </w:rPr>
      <w:t xml:space="preserve"> </w:t>
    </w:r>
    <w:r w:rsidRPr="009B7987">
      <w:rPr>
        <w:rFonts w:ascii="Verdana" w:eastAsia="Geo" w:hAnsi="Verdana" w:cs="Geo"/>
        <w:bCs/>
        <w:color w:val="000000"/>
        <w:sz w:val="16"/>
        <w:szCs w:val="16"/>
        <w:lang w:eastAsia="es-CO"/>
      </w:rPr>
      <w:t>Código: CCE-REC-FM-13 Versión</w:t>
    </w:r>
    <w:r w:rsidRPr="009B7987">
      <w:rPr>
        <w:rFonts w:ascii="Verdana" w:eastAsia="Arial Nova" w:hAnsi="Verdana" w:cs="Arial Nova"/>
        <w:bCs/>
        <w:color w:val="000000"/>
        <w:sz w:val="16"/>
        <w:szCs w:val="16"/>
        <w:lang w:eastAsia="es-CO"/>
      </w:rPr>
      <w:t>:</w:t>
    </w:r>
    <w:r w:rsidRPr="009B7987">
      <w:rPr>
        <w:rFonts w:ascii="Verdana" w:eastAsia="Arial Nova" w:hAnsi="Verdana" w:cs="Arial Nova"/>
        <w:b/>
        <w:color w:val="000000"/>
        <w:sz w:val="16"/>
        <w:szCs w:val="16"/>
        <w:lang w:eastAsia="es-CO"/>
      </w:rPr>
      <w:t xml:space="preserve"> </w:t>
    </w:r>
    <w:r w:rsidRPr="009B7987">
      <w:rPr>
        <w:rFonts w:ascii="Verdana" w:eastAsia="Geo" w:hAnsi="Verdana" w:cs="Geo"/>
        <w:sz w:val="16"/>
        <w:szCs w:val="16"/>
        <w:lang w:eastAsia="es-CO"/>
      </w:rPr>
      <w:t>01 Fecha:15-06-2023</w:t>
    </w:r>
  </w:p>
  <w:p w14:paraId="3574F586" w14:textId="77777777" w:rsidR="00D134BD" w:rsidRDefault="00D134BD"/>
  <w:p w14:paraId="3369C2CC" w14:textId="77777777" w:rsidR="00D134BD" w:rsidRDefault="00D134B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17D99" w14:textId="77777777" w:rsidR="001E6B89" w:rsidRPr="009B7987" w:rsidRDefault="001E6B89" w:rsidP="00B30448">
      <w:pPr>
        <w:spacing w:after="0" w:line="240" w:lineRule="auto"/>
      </w:pPr>
      <w:r w:rsidRPr="009B7987">
        <w:separator/>
      </w:r>
    </w:p>
  </w:footnote>
  <w:footnote w:type="continuationSeparator" w:id="0">
    <w:p w14:paraId="49BA8176" w14:textId="77777777" w:rsidR="001E6B89" w:rsidRPr="009B7987" w:rsidRDefault="001E6B89" w:rsidP="00B30448">
      <w:pPr>
        <w:spacing w:after="0" w:line="240" w:lineRule="auto"/>
      </w:pPr>
      <w:r w:rsidRPr="009B7987">
        <w:continuationSeparator/>
      </w:r>
    </w:p>
  </w:footnote>
  <w:footnote w:type="continuationNotice" w:id="1">
    <w:p w14:paraId="4F9A73C1" w14:textId="77777777" w:rsidR="001E6B89" w:rsidRPr="009B7987" w:rsidRDefault="001E6B89">
      <w:pPr>
        <w:spacing w:after="0" w:line="240" w:lineRule="auto"/>
      </w:pPr>
    </w:p>
  </w:footnote>
  <w:footnote w:id="2">
    <w:p w14:paraId="6A3F2CB2" w14:textId="77777777" w:rsidR="00FA4501" w:rsidRPr="00B95CFD" w:rsidRDefault="00FA4501" w:rsidP="00FA4501">
      <w:pPr>
        <w:pStyle w:val="Textonotapie"/>
        <w:ind w:firstLine="709"/>
        <w:jc w:val="both"/>
        <w:rPr>
          <w:rFonts w:ascii="Verdana" w:hAnsi="Verdana" w:cs="Arial"/>
          <w:sz w:val="16"/>
          <w:szCs w:val="16"/>
        </w:rPr>
      </w:pPr>
      <w:r w:rsidRPr="00B95CFD">
        <w:rPr>
          <w:rStyle w:val="Refdenotaalpie"/>
          <w:rFonts w:ascii="Verdana" w:hAnsi="Verdana" w:cs="Arial"/>
          <w:sz w:val="16"/>
          <w:szCs w:val="16"/>
        </w:rPr>
        <w:footnoteRef/>
      </w:r>
      <w:r w:rsidRPr="00B95CFD">
        <w:rPr>
          <w:rFonts w:ascii="Verdana" w:hAnsi="Verdana" w:cs="Arial"/>
          <w:sz w:val="16"/>
          <w:szCs w:val="16"/>
        </w:rPr>
        <w:t xml:space="preserve"> </w:t>
      </w:r>
      <w:r w:rsidRPr="00B95CFD">
        <w:rPr>
          <w:rFonts w:ascii="Verdana" w:hAnsi="Verdana" w:cs="Arial"/>
          <w:i/>
          <w:iCs/>
          <w:sz w:val="16"/>
          <w:szCs w:val="16"/>
          <w:lang w:val="es-ES"/>
        </w:rPr>
        <w:t>“</w:t>
      </w:r>
      <w:r w:rsidRPr="00B95CFD">
        <w:rPr>
          <w:rFonts w:ascii="Verdana" w:hAnsi="Verdana" w:cs="Arial"/>
          <w:bCs/>
          <w:i/>
          <w:iCs/>
          <w:sz w:val="16"/>
          <w:szCs w:val="16"/>
          <w:lang w:val="es-ES_tradnl"/>
        </w:rPr>
        <w:t>La función administrativa está al servicio de los intereses generales y se desarrolla con fundamento en los principios de igualdad, moralidad, eficacia, economía, celeridad, imparcialidad y publicidad, mediante la descentralización, la delegación y la desconcentración de funciones. Las autoridades administrativas deben coordinar sus actuaciones para el adecuado cumplimiento de los fines del estado. La administración pública, en todos sus órdenes, tendrá un control interno que se ejercerá en los términos que señale la Ley”.</w:t>
      </w:r>
    </w:p>
  </w:footnote>
  <w:footnote w:id="3">
    <w:p w14:paraId="14A28A13" w14:textId="77777777" w:rsidR="00FA4501" w:rsidRPr="00B95CFD" w:rsidRDefault="00FA4501" w:rsidP="00FA4501">
      <w:pPr>
        <w:pStyle w:val="Textonotapie"/>
        <w:ind w:firstLine="709"/>
        <w:jc w:val="both"/>
        <w:rPr>
          <w:rFonts w:ascii="Verdana" w:hAnsi="Verdana" w:cs="Arial"/>
          <w:sz w:val="16"/>
          <w:szCs w:val="16"/>
        </w:rPr>
      </w:pPr>
      <w:r w:rsidRPr="00B95CFD">
        <w:rPr>
          <w:rStyle w:val="Refdenotaalpie"/>
          <w:rFonts w:ascii="Verdana" w:hAnsi="Verdana" w:cs="Arial"/>
          <w:sz w:val="16"/>
          <w:szCs w:val="16"/>
        </w:rPr>
        <w:footnoteRef/>
      </w:r>
      <w:r w:rsidRPr="00B95CFD">
        <w:rPr>
          <w:rFonts w:ascii="Verdana" w:hAnsi="Verdana" w:cs="Arial"/>
          <w:sz w:val="16"/>
          <w:szCs w:val="16"/>
        </w:rPr>
        <w:t xml:space="preserve"> </w:t>
      </w:r>
      <w:r w:rsidRPr="00B95CFD">
        <w:rPr>
          <w:rFonts w:ascii="Verdana" w:hAnsi="Verdana" w:cs="Arial"/>
          <w:color w:val="000000" w:themeColor="text1"/>
          <w:sz w:val="16"/>
          <w:szCs w:val="16"/>
        </w:rPr>
        <w:t>“</w:t>
      </w:r>
      <w:r w:rsidRPr="00B95CFD">
        <w:rPr>
          <w:rStyle w:val="nfasis"/>
          <w:rFonts w:ascii="Verdana" w:hAnsi="Verdana" w:cs="Arial"/>
          <w:color w:val="000000" w:themeColor="text1"/>
          <w:sz w:val="16"/>
          <w:szCs w:val="16"/>
          <w:shd w:val="clear" w:color="auto" w:fill="FFFFFF"/>
        </w:rPr>
        <w:t>Por la cual se dictan normas sobre la organización y funcionamiento de las entidades del orden nacional, se expiden las disposiciones, principios y reglas generales para el ejercicio de las atribuciones previstas en los numerales 15 y 16 del artículo 189 de la Constitución Política y se dictan otras disposiciones”.</w:t>
      </w:r>
    </w:p>
  </w:footnote>
  <w:footnote w:id="4">
    <w:p w14:paraId="3A97B379" w14:textId="77777777" w:rsidR="00FA4501" w:rsidRPr="00B95CFD" w:rsidRDefault="00FA4501" w:rsidP="00FA4501">
      <w:pPr>
        <w:pStyle w:val="Textonotapie"/>
        <w:ind w:firstLine="709"/>
        <w:jc w:val="both"/>
        <w:rPr>
          <w:rFonts w:ascii="Verdana" w:hAnsi="Verdana"/>
          <w:sz w:val="16"/>
          <w:szCs w:val="16"/>
        </w:rPr>
      </w:pPr>
      <w:r w:rsidRPr="00B95CFD">
        <w:rPr>
          <w:rStyle w:val="Refdenotaalpie"/>
          <w:rFonts w:ascii="Verdana" w:hAnsi="Verdana" w:cs="Arial"/>
          <w:sz w:val="16"/>
          <w:szCs w:val="16"/>
        </w:rPr>
        <w:footnoteRef/>
      </w:r>
      <w:r w:rsidRPr="00B95CFD">
        <w:rPr>
          <w:rFonts w:ascii="Verdana" w:hAnsi="Verdana" w:cs="Arial"/>
          <w:sz w:val="16"/>
          <w:szCs w:val="16"/>
        </w:rPr>
        <w:t xml:space="preserve"> Este artículo fue declarado exequible por la Corte Constitucional mediante la Sentencia C-671 de 1999, M.P. Alfredo Beltrán Sierra.</w:t>
      </w:r>
    </w:p>
  </w:footnote>
  <w:footnote w:id="5">
    <w:p w14:paraId="68CD081D" w14:textId="77777777" w:rsidR="00FA4501" w:rsidRPr="00B95CFD" w:rsidRDefault="00FA4501" w:rsidP="00FA4501">
      <w:pPr>
        <w:pStyle w:val="Textonotapie"/>
        <w:ind w:firstLine="709"/>
        <w:jc w:val="both"/>
        <w:rPr>
          <w:rFonts w:ascii="Verdana" w:hAnsi="Verdana" w:cs="Arial"/>
          <w:sz w:val="16"/>
          <w:szCs w:val="16"/>
        </w:rPr>
      </w:pPr>
      <w:r w:rsidRPr="00B95CFD">
        <w:rPr>
          <w:rStyle w:val="Refdenotaalpie"/>
          <w:rFonts w:ascii="Verdana" w:hAnsi="Verdana" w:cs="Arial"/>
          <w:sz w:val="16"/>
          <w:szCs w:val="16"/>
        </w:rPr>
        <w:footnoteRef/>
      </w:r>
      <w:r w:rsidRPr="00B95CFD">
        <w:rPr>
          <w:rFonts w:ascii="Verdana" w:hAnsi="Verdana" w:cs="Arial"/>
          <w:sz w:val="16"/>
          <w:szCs w:val="16"/>
        </w:rPr>
        <w:t xml:space="preserve"> </w:t>
      </w:r>
      <w:r>
        <w:rPr>
          <w:rFonts w:ascii="Verdana" w:hAnsi="Verdana" w:cs="Arial"/>
          <w:sz w:val="16"/>
          <w:szCs w:val="16"/>
        </w:rPr>
        <w:t>Consejo de Estado</w:t>
      </w:r>
      <w:r w:rsidRPr="00B95CFD">
        <w:rPr>
          <w:rFonts w:ascii="Verdana" w:hAnsi="Verdana" w:cs="Arial"/>
          <w:sz w:val="16"/>
          <w:szCs w:val="16"/>
        </w:rPr>
        <w:t>, Sala de lo Contencioso Administrativo, Sección Tercera, sentencia de 23 de junio de 2010, exp.17860.</w:t>
      </w:r>
    </w:p>
  </w:footnote>
  <w:footnote w:id="6">
    <w:p w14:paraId="1CBD349A" w14:textId="77777777" w:rsidR="00FA4501" w:rsidRPr="00B95CFD" w:rsidRDefault="00FA4501" w:rsidP="00FA4501">
      <w:pPr>
        <w:pStyle w:val="Textonotapie"/>
        <w:ind w:firstLine="709"/>
        <w:jc w:val="both"/>
        <w:rPr>
          <w:rFonts w:ascii="Verdana" w:hAnsi="Verdana" w:cs="Arial"/>
          <w:sz w:val="16"/>
          <w:szCs w:val="16"/>
        </w:rPr>
      </w:pPr>
      <w:r w:rsidRPr="00B95CFD">
        <w:rPr>
          <w:rStyle w:val="Refdenotaalpie"/>
          <w:rFonts w:ascii="Verdana" w:hAnsi="Verdana" w:cs="Arial"/>
          <w:sz w:val="16"/>
          <w:szCs w:val="16"/>
        </w:rPr>
        <w:footnoteRef/>
      </w:r>
      <w:r w:rsidRPr="00B95CFD">
        <w:rPr>
          <w:rFonts w:ascii="Verdana" w:hAnsi="Verdana" w:cs="Arial"/>
          <w:sz w:val="16"/>
          <w:szCs w:val="16"/>
        </w:rPr>
        <w:t xml:space="preserve"> Santos Rodríguez, Jorge Enrique. </w:t>
      </w:r>
      <w:r w:rsidRPr="00B95CFD">
        <w:rPr>
          <w:rFonts w:ascii="Verdana" w:hAnsi="Verdana" w:cs="Arial"/>
          <w:i/>
          <w:iCs/>
          <w:sz w:val="16"/>
          <w:szCs w:val="16"/>
        </w:rPr>
        <w:t>“Consideraciones sobre los convenios y contratos interadministrativos”</w:t>
      </w:r>
      <w:r w:rsidRPr="00B95CFD">
        <w:rPr>
          <w:rFonts w:ascii="Verdana" w:hAnsi="Verdana" w:cs="Arial"/>
          <w:sz w:val="16"/>
          <w:szCs w:val="16"/>
        </w:rPr>
        <w:t>. Universidad Externado de Colombia, Revista Digital de Derecho Administrativo, Bogotá 2009.</w:t>
      </w:r>
    </w:p>
  </w:footnote>
  <w:footnote w:id="7">
    <w:p w14:paraId="2197B949" w14:textId="77777777" w:rsidR="00FA4501" w:rsidRPr="00B95CFD" w:rsidRDefault="00FA4501" w:rsidP="00FA4501">
      <w:pPr>
        <w:pStyle w:val="Textonotapie"/>
        <w:ind w:firstLine="709"/>
        <w:jc w:val="both"/>
        <w:rPr>
          <w:rFonts w:ascii="Verdana" w:hAnsi="Verdana" w:cs="Arial"/>
          <w:sz w:val="16"/>
          <w:szCs w:val="16"/>
        </w:rPr>
      </w:pPr>
      <w:r w:rsidRPr="00B95CFD">
        <w:rPr>
          <w:rStyle w:val="Refdenotaalpie"/>
          <w:rFonts w:ascii="Verdana" w:hAnsi="Verdana" w:cs="Arial"/>
          <w:sz w:val="16"/>
          <w:szCs w:val="16"/>
        </w:rPr>
        <w:footnoteRef/>
      </w:r>
      <w:r w:rsidRPr="00B95CFD">
        <w:rPr>
          <w:rFonts w:ascii="Verdana" w:hAnsi="Verdana" w:cs="Arial"/>
          <w:sz w:val="16"/>
          <w:szCs w:val="16"/>
        </w:rPr>
        <w:t xml:space="preserve"> Sobre el concepto causalista de contrato y sus efectos respecto de la actividad negocial de la administración, cfr. Augusto Ramón Chávez Marín Los convenios de la administración: entre la gestión pública y la actividad negocial, Bogotá, Universidad del Rosario, 2008, pp. 41 y ss.</w:t>
      </w:r>
    </w:p>
  </w:footnote>
  <w:footnote w:id="8">
    <w:p w14:paraId="54ABE7FB" w14:textId="77777777" w:rsidR="00FA4501" w:rsidRPr="00B95CFD" w:rsidRDefault="00FA4501" w:rsidP="00FA4501">
      <w:pPr>
        <w:pStyle w:val="Textonotapie"/>
        <w:ind w:firstLine="709"/>
        <w:jc w:val="both"/>
        <w:rPr>
          <w:rFonts w:ascii="Verdana" w:hAnsi="Verdana" w:cs="Arial"/>
          <w:sz w:val="16"/>
          <w:szCs w:val="16"/>
        </w:rPr>
      </w:pPr>
      <w:r w:rsidRPr="00B95CFD">
        <w:rPr>
          <w:rStyle w:val="Refdenotaalpie"/>
          <w:rFonts w:ascii="Verdana" w:hAnsi="Verdana" w:cs="Arial"/>
          <w:sz w:val="16"/>
          <w:szCs w:val="16"/>
        </w:rPr>
        <w:footnoteRef/>
      </w:r>
      <w:r w:rsidRPr="00B95CFD">
        <w:rPr>
          <w:rFonts w:ascii="Verdana" w:hAnsi="Verdana" w:cs="Arial"/>
          <w:sz w:val="16"/>
          <w:szCs w:val="16"/>
        </w:rPr>
        <w:t xml:space="preserve"> Expósito Vélez, Juan Carlos. </w:t>
      </w:r>
      <w:r w:rsidRPr="00B95CFD">
        <w:rPr>
          <w:rFonts w:ascii="Verdana" w:hAnsi="Verdana" w:cs="Arial"/>
          <w:i/>
          <w:iCs/>
          <w:sz w:val="16"/>
          <w:szCs w:val="16"/>
        </w:rPr>
        <w:t>“La configuración del contrato de la administración pública en derecho colombiano y español”</w:t>
      </w:r>
      <w:r w:rsidRPr="00B95CFD">
        <w:rPr>
          <w:rFonts w:ascii="Verdana" w:hAnsi="Verdana" w:cs="Arial"/>
          <w:sz w:val="16"/>
          <w:szCs w:val="16"/>
        </w:rPr>
        <w:t>. Bogotá, universidad Externado de Colombia, 2003, p. 25.</w:t>
      </w:r>
    </w:p>
  </w:footnote>
  <w:footnote w:id="9">
    <w:p w14:paraId="61EF6671" w14:textId="77777777" w:rsidR="00FA4501" w:rsidRPr="00B95CFD" w:rsidRDefault="00FA4501" w:rsidP="00FA4501">
      <w:pPr>
        <w:ind w:firstLine="708"/>
        <w:jc w:val="both"/>
        <w:rPr>
          <w:rFonts w:ascii="Verdana" w:hAnsi="Verdana" w:cs="Arial"/>
          <w:sz w:val="16"/>
          <w:szCs w:val="16"/>
        </w:rPr>
      </w:pPr>
      <w:r w:rsidRPr="00B95CFD">
        <w:rPr>
          <w:rStyle w:val="Refdenotaalpie"/>
          <w:rFonts w:ascii="Verdana" w:hAnsi="Verdana" w:cs="Arial"/>
          <w:sz w:val="16"/>
          <w:szCs w:val="16"/>
        </w:rPr>
        <w:footnoteRef/>
      </w:r>
      <w:r w:rsidRPr="00B95CFD">
        <w:rPr>
          <w:rFonts w:ascii="Verdana" w:hAnsi="Verdana" w:cs="Arial"/>
          <w:sz w:val="16"/>
          <w:szCs w:val="16"/>
        </w:rPr>
        <w:t xml:space="preserve"> </w:t>
      </w:r>
      <w:r>
        <w:rPr>
          <w:rFonts w:ascii="Verdana" w:hAnsi="Verdana" w:cs="Arial"/>
          <w:sz w:val="16"/>
          <w:szCs w:val="16"/>
        </w:rPr>
        <w:t>Consejo de Estado</w:t>
      </w:r>
      <w:r w:rsidRPr="00B95CFD">
        <w:rPr>
          <w:rFonts w:ascii="Verdana" w:hAnsi="Verdana" w:cs="Arial"/>
          <w:sz w:val="16"/>
          <w:szCs w:val="16"/>
        </w:rPr>
        <w:t>. Sala de Consulta y Servicio Civil. Concepto 26 de julio de 2016. Exp. 2.257. C.P. Álvaro Namén Vargas.</w:t>
      </w:r>
    </w:p>
  </w:footnote>
  <w:footnote w:id="10">
    <w:p w14:paraId="3839EA39" w14:textId="77777777" w:rsidR="00FA4501" w:rsidRPr="00B95CFD" w:rsidRDefault="00FA4501" w:rsidP="00FA4501">
      <w:pPr>
        <w:ind w:firstLine="708"/>
        <w:contextualSpacing/>
        <w:jc w:val="both"/>
        <w:rPr>
          <w:rFonts w:ascii="Verdana" w:hAnsi="Verdana" w:cs="Arial"/>
          <w:sz w:val="16"/>
          <w:szCs w:val="16"/>
        </w:rPr>
      </w:pPr>
      <w:r w:rsidRPr="00B95CFD">
        <w:rPr>
          <w:rStyle w:val="Refdenotaalpie"/>
          <w:rFonts w:ascii="Verdana" w:hAnsi="Verdana" w:cs="Arial"/>
          <w:sz w:val="16"/>
          <w:szCs w:val="16"/>
        </w:rPr>
        <w:footnoteRef/>
      </w:r>
      <w:r w:rsidRPr="00B95CFD">
        <w:rPr>
          <w:rFonts w:ascii="Verdana" w:hAnsi="Verdana" w:cs="Arial"/>
          <w:sz w:val="16"/>
          <w:szCs w:val="16"/>
        </w:rPr>
        <w:t xml:space="preserve"> [Referencia propia de la cita] </w:t>
      </w:r>
      <w:r>
        <w:rPr>
          <w:rFonts w:ascii="Verdana" w:hAnsi="Verdana" w:cs="Arial"/>
          <w:sz w:val="16"/>
          <w:szCs w:val="16"/>
        </w:rPr>
        <w:t>“</w:t>
      </w:r>
      <w:r w:rsidRPr="00B95CFD">
        <w:rPr>
          <w:rFonts w:ascii="Verdana" w:hAnsi="Verdana" w:cs="Arial"/>
          <w:sz w:val="16"/>
          <w:szCs w:val="16"/>
        </w:rPr>
        <w:t>CE. SCSC. Concepto de 1 de noviembre de 2016 [Rad. 11001-03-06-000-2016-00125-00(2305)]. MP. Germán Alberto Bula Escobar</w:t>
      </w:r>
      <w:r>
        <w:rPr>
          <w:rFonts w:ascii="Verdana" w:hAnsi="Verdana" w:cs="Arial"/>
          <w:sz w:val="16"/>
          <w:szCs w:val="16"/>
        </w:rPr>
        <w:t>”</w:t>
      </w:r>
      <w:r w:rsidRPr="00B95CFD">
        <w:rPr>
          <w:rFonts w:ascii="Verdana" w:hAnsi="Verdana" w:cs="Arial"/>
          <w:sz w:val="16"/>
          <w:szCs w:val="16"/>
        </w:rPr>
        <w:t>.</w:t>
      </w:r>
    </w:p>
  </w:footnote>
  <w:footnote w:id="11">
    <w:p w14:paraId="20DB5923" w14:textId="77777777" w:rsidR="00FA4501" w:rsidRPr="00B95CFD" w:rsidRDefault="00FA4501" w:rsidP="00FA4501">
      <w:pPr>
        <w:ind w:firstLine="708"/>
        <w:contextualSpacing/>
        <w:jc w:val="both"/>
        <w:rPr>
          <w:rFonts w:ascii="Verdana" w:hAnsi="Verdana" w:cs="Arial"/>
          <w:sz w:val="16"/>
          <w:szCs w:val="16"/>
        </w:rPr>
      </w:pPr>
      <w:r w:rsidRPr="00B95CFD">
        <w:rPr>
          <w:rStyle w:val="Refdenotaalpie"/>
          <w:rFonts w:ascii="Verdana" w:hAnsi="Verdana" w:cs="Arial"/>
          <w:sz w:val="16"/>
          <w:szCs w:val="16"/>
        </w:rPr>
        <w:footnoteRef/>
      </w:r>
      <w:r w:rsidRPr="00B95CFD">
        <w:rPr>
          <w:rFonts w:ascii="Verdana" w:hAnsi="Verdana" w:cs="Arial"/>
          <w:sz w:val="16"/>
          <w:szCs w:val="16"/>
        </w:rPr>
        <w:t xml:space="preserve"> [Referencia propia de la cita] </w:t>
      </w:r>
      <w:r>
        <w:rPr>
          <w:rFonts w:ascii="Verdana" w:hAnsi="Verdana" w:cs="Arial"/>
          <w:sz w:val="16"/>
          <w:szCs w:val="16"/>
        </w:rPr>
        <w:t>“</w:t>
      </w:r>
      <w:r w:rsidRPr="00B95CFD">
        <w:rPr>
          <w:rFonts w:ascii="Verdana" w:hAnsi="Verdana" w:cs="Arial"/>
          <w:sz w:val="16"/>
          <w:szCs w:val="16"/>
        </w:rPr>
        <w:t xml:space="preserve">CE. SCSC. Concepto de 30 de abril de 2008 [Rad. 11001-03-06-000-2008-00013-00(1881)]. MP. Enrique José Arboleda Perdomo. En esta oportunidad, la Sala indicó que el contenido </w:t>
      </w:r>
      <w:r w:rsidRPr="00B95CFD">
        <w:rPr>
          <w:rFonts w:ascii="Verdana" w:hAnsi="Verdana" w:cs="Arial"/>
          <w:i/>
          <w:sz w:val="16"/>
          <w:szCs w:val="16"/>
        </w:rPr>
        <w:t>“obligacional”</w:t>
      </w:r>
      <w:r w:rsidRPr="00B95CFD">
        <w:rPr>
          <w:rFonts w:ascii="Verdana" w:hAnsi="Verdana" w:cs="Arial"/>
          <w:sz w:val="16"/>
          <w:szCs w:val="16"/>
        </w:rPr>
        <w:t xml:space="preserve"> de los convenios se estructura definiendo el resultado querido por las partes y los medios que cada entidad despliega para la obtención del respectivo objeto</w:t>
      </w:r>
      <w:r>
        <w:rPr>
          <w:rFonts w:ascii="Verdana" w:hAnsi="Verdana" w:cs="Arial"/>
          <w:sz w:val="16"/>
          <w:szCs w:val="16"/>
        </w:rPr>
        <w:t>”</w:t>
      </w:r>
      <w:r w:rsidRPr="00B95CFD">
        <w:rPr>
          <w:rFonts w:ascii="Verdana" w:hAnsi="Verdana" w:cs="Arial"/>
          <w:sz w:val="16"/>
          <w:szCs w:val="16"/>
        </w:rPr>
        <w:t>.</w:t>
      </w:r>
    </w:p>
  </w:footnote>
  <w:footnote w:id="12">
    <w:p w14:paraId="19F751AF" w14:textId="77777777" w:rsidR="00FA4501" w:rsidRPr="00B95CFD" w:rsidRDefault="00FA4501" w:rsidP="00FA4501">
      <w:pPr>
        <w:spacing w:line="240" w:lineRule="auto"/>
        <w:ind w:firstLine="709"/>
        <w:contextualSpacing/>
        <w:jc w:val="both"/>
        <w:rPr>
          <w:rFonts w:ascii="Verdana" w:hAnsi="Verdana" w:cs="Arial"/>
          <w:sz w:val="16"/>
          <w:szCs w:val="16"/>
        </w:rPr>
      </w:pPr>
      <w:r w:rsidRPr="00B95CFD">
        <w:rPr>
          <w:rStyle w:val="Refdenotaalpie"/>
          <w:rFonts w:ascii="Verdana" w:hAnsi="Verdana" w:cs="Arial"/>
          <w:sz w:val="16"/>
          <w:szCs w:val="16"/>
        </w:rPr>
        <w:footnoteRef/>
      </w:r>
      <w:r w:rsidRPr="00B95CFD">
        <w:rPr>
          <w:rFonts w:ascii="Verdana" w:hAnsi="Verdana" w:cs="Arial"/>
          <w:sz w:val="16"/>
          <w:szCs w:val="16"/>
        </w:rPr>
        <w:t xml:space="preserve"> [Referencia propia de la cita] </w:t>
      </w:r>
      <w:r>
        <w:rPr>
          <w:rFonts w:ascii="Verdana" w:hAnsi="Verdana" w:cs="Arial"/>
          <w:sz w:val="16"/>
          <w:szCs w:val="16"/>
        </w:rPr>
        <w:t>“</w:t>
      </w:r>
      <w:r w:rsidRPr="00B95CFD">
        <w:rPr>
          <w:rFonts w:ascii="Verdana" w:hAnsi="Verdana" w:cs="Arial"/>
          <w:sz w:val="16"/>
          <w:szCs w:val="16"/>
        </w:rPr>
        <w:t xml:space="preserve">La normativa vigente del EGCAP </w:t>
      </w:r>
      <w:r w:rsidRPr="00B95CFD">
        <w:rPr>
          <w:rFonts w:ascii="Verdana" w:hAnsi="Verdana" w:cs="Arial"/>
          <w:i/>
          <w:sz w:val="16"/>
          <w:szCs w:val="16"/>
        </w:rPr>
        <w:t>[literal c) del numeral 4. del artículo 2 de la Ley 1150/07]</w:t>
      </w:r>
      <w:r w:rsidRPr="00B95CFD">
        <w:rPr>
          <w:rFonts w:ascii="Verdana" w:hAnsi="Verdana" w:cs="Arial"/>
          <w:sz w:val="16"/>
          <w:szCs w:val="16"/>
        </w:rPr>
        <w:t xml:space="preserve"> se refiere a </w:t>
      </w:r>
      <w:r w:rsidRPr="00B95CFD">
        <w:rPr>
          <w:rFonts w:ascii="Verdana" w:hAnsi="Verdana" w:cs="Arial"/>
          <w:i/>
          <w:sz w:val="16"/>
          <w:szCs w:val="16"/>
        </w:rPr>
        <w:t>“contratos interadministrativos”</w:t>
      </w:r>
      <w:r w:rsidRPr="00B95CFD">
        <w:rPr>
          <w:rFonts w:ascii="Verdana" w:hAnsi="Verdana" w:cs="Arial"/>
          <w:sz w:val="16"/>
          <w:szCs w:val="16"/>
        </w:rPr>
        <w:t xml:space="preserve"> en los que sí existe dicha contraposición de intereses, lo cual obedece a que las relaciones obligatorias que estos plantean, a diferencia de los regulados por el artículo 95 de la Ley 489/98, carecen de la finalidad asociativa, en la medida en que persiguen preponderantemente la satisfacción de necesidades contractuales de las entidades estatales, sin perjuicio de los fines que motivan la contratación en los términos del artículo 3 de la Ley 80/93</w:t>
      </w:r>
      <w:r>
        <w:rPr>
          <w:rFonts w:ascii="Verdana" w:hAnsi="Verdana" w:cs="Arial"/>
          <w:sz w:val="16"/>
          <w:szCs w:val="16"/>
        </w:rPr>
        <w:t>”</w:t>
      </w:r>
      <w:r w:rsidRPr="00B95CFD">
        <w:rPr>
          <w:rFonts w:ascii="Verdana" w:hAnsi="Verdana" w:cs="Arial"/>
          <w:sz w:val="16"/>
          <w:szCs w:val="16"/>
        </w:rPr>
        <w:t>.</w:t>
      </w:r>
    </w:p>
  </w:footnote>
  <w:footnote w:id="13">
    <w:p w14:paraId="4005625E" w14:textId="77777777" w:rsidR="00FA4501" w:rsidRPr="00B95CFD" w:rsidRDefault="00FA4501" w:rsidP="00FA4501">
      <w:pPr>
        <w:pStyle w:val="Textonotapie"/>
        <w:ind w:firstLine="709"/>
        <w:jc w:val="both"/>
        <w:rPr>
          <w:rFonts w:ascii="Verdana" w:hAnsi="Verdana" w:cs="Arial"/>
          <w:sz w:val="16"/>
          <w:szCs w:val="16"/>
          <w:lang w:val="es-ES"/>
        </w:rPr>
      </w:pPr>
      <w:r w:rsidRPr="00B95CFD">
        <w:rPr>
          <w:rStyle w:val="Refdenotaalpie"/>
          <w:rFonts w:ascii="Verdana" w:hAnsi="Verdana" w:cs="Arial"/>
          <w:sz w:val="16"/>
          <w:szCs w:val="16"/>
        </w:rPr>
        <w:footnoteRef/>
      </w:r>
      <w:r w:rsidRPr="00B95CFD">
        <w:rPr>
          <w:rFonts w:ascii="Verdana" w:hAnsi="Verdana" w:cs="Arial"/>
          <w:sz w:val="16"/>
          <w:szCs w:val="16"/>
        </w:rPr>
        <w:t xml:space="preserve"> En sentido similar </w:t>
      </w:r>
      <w:r w:rsidRPr="00B95CFD">
        <w:rPr>
          <w:rFonts w:ascii="Verdana" w:hAnsi="Verdana" w:cs="Arial"/>
          <w:sz w:val="16"/>
          <w:szCs w:val="16"/>
          <w:lang w:val="es-ES"/>
        </w:rPr>
        <w:t xml:space="preserve">ver, entre otras, al </w:t>
      </w:r>
      <w:r>
        <w:rPr>
          <w:rFonts w:ascii="Verdana" w:hAnsi="Verdana" w:cs="Arial"/>
          <w:sz w:val="16"/>
          <w:szCs w:val="16"/>
          <w:lang w:val="es-ES"/>
        </w:rPr>
        <w:t>Consejo de Estado</w:t>
      </w:r>
      <w:r w:rsidRPr="00B95CFD">
        <w:rPr>
          <w:rFonts w:ascii="Verdana" w:hAnsi="Verdana" w:cs="Arial"/>
          <w:sz w:val="16"/>
          <w:szCs w:val="16"/>
          <w:lang w:val="es-ES"/>
        </w:rPr>
        <w:t xml:space="preserve">, Sala de lo Contencioso Administrativo, Sección Tercera, sentencia del 22 de octubre de 2021, Rad. 65978, M.P. Martha Nubia Velásquez; </w:t>
      </w:r>
      <w:r>
        <w:rPr>
          <w:rFonts w:ascii="Verdana" w:hAnsi="Verdana" w:cs="Arial"/>
          <w:sz w:val="16"/>
          <w:szCs w:val="16"/>
          <w:lang w:val="es-ES"/>
        </w:rPr>
        <w:t>Consejo de Estado</w:t>
      </w:r>
      <w:r w:rsidRPr="00B95CFD">
        <w:rPr>
          <w:rFonts w:ascii="Verdana" w:hAnsi="Verdana" w:cs="Arial"/>
          <w:sz w:val="16"/>
          <w:szCs w:val="16"/>
          <w:lang w:val="es-ES"/>
        </w:rPr>
        <w:t xml:space="preserve">, Sala de lo Contencioso Administrativo, Sección Tercera, Subsección A, Sentencia del 23 de abril de 2021, Rad. 49148, M.P. María Adriana Marín; </w:t>
      </w:r>
      <w:r>
        <w:rPr>
          <w:rFonts w:ascii="Verdana" w:hAnsi="Verdana" w:cs="Arial"/>
          <w:sz w:val="16"/>
          <w:szCs w:val="16"/>
          <w:lang w:val="es-ES"/>
        </w:rPr>
        <w:t>Consejo de Estado</w:t>
      </w:r>
      <w:r w:rsidRPr="00B95CFD">
        <w:rPr>
          <w:rFonts w:ascii="Verdana" w:hAnsi="Verdana" w:cs="Arial"/>
          <w:sz w:val="16"/>
          <w:szCs w:val="16"/>
          <w:lang w:val="es-ES"/>
        </w:rPr>
        <w:t xml:space="preserve">, Sala de lo Contencioso Administrativo, Sección Tercera, Subsección A, Sentencia del 21 de mayo de 2021, Rad. 66756, M.P. José Roberto Sáchica Méndez; </w:t>
      </w:r>
      <w:r>
        <w:rPr>
          <w:rFonts w:ascii="Verdana" w:hAnsi="Verdana" w:cs="Arial"/>
          <w:sz w:val="16"/>
          <w:szCs w:val="16"/>
          <w:lang w:val="es-ES"/>
        </w:rPr>
        <w:t>Consejo de Estado</w:t>
      </w:r>
      <w:r w:rsidRPr="00B95CFD">
        <w:rPr>
          <w:rFonts w:ascii="Verdana" w:hAnsi="Verdana" w:cs="Arial"/>
          <w:sz w:val="16"/>
          <w:szCs w:val="16"/>
          <w:lang w:val="es-ES"/>
        </w:rPr>
        <w:t xml:space="preserve">, Sala de lo Contencioso Administrativo, Sección Tercera, Subsección C, Auto del 30 de septiembre de 2020, Rad. 65358, M.P. Guillermo Sánchez Luque. </w:t>
      </w:r>
    </w:p>
    <w:p w14:paraId="299B880B" w14:textId="77777777" w:rsidR="00FA4501" w:rsidRPr="00B95CFD" w:rsidRDefault="00FA4501" w:rsidP="00FA4501">
      <w:pPr>
        <w:pStyle w:val="Textonotapie"/>
        <w:ind w:firstLine="709"/>
        <w:jc w:val="both"/>
        <w:rPr>
          <w:rFonts w:ascii="Verdana" w:hAnsi="Verdana" w:cs="Arial"/>
          <w:sz w:val="16"/>
          <w:szCs w:val="16"/>
          <w:lang w:val="es-ES"/>
        </w:rPr>
      </w:pPr>
    </w:p>
  </w:footnote>
  <w:footnote w:id="14">
    <w:p w14:paraId="4EBEC3F2" w14:textId="77777777" w:rsidR="00FA4501" w:rsidRPr="00B95CFD" w:rsidRDefault="00FA4501" w:rsidP="00FA4501">
      <w:pPr>
        <w:pStyle w:val="Textonotapie"/>
        <w:ind w:firstLine="709"/>
        <w:jc w:val="both"/>
        <w:rPr>
          <w:rFonts w:ascii="Verdana" w:hAnsi="Verdana" w:cs="Arial"/>
          <w:sz w:val="16"/>
          <w:szCs w:val="16"/>
        </w:rPr>
      </w:pPr>
      <w:r w:rsidRPr="00B95CFD">
        <w:rPr>
          <w:rStyle w:val="Refdenotaalpie"/>
          <w:rFonts w:ascii="Verdana" w:hAnsi="Verdana" w:cs="Arial"/>
          <w:sz w:val="16"/>
          <w:szCs w:val="16"/>
        </w:rPr>
        <w:footnoteRef/>
      </w:r>
      <w:r w:rsidRPr="00B95CFD">
        <w:rPr>
          <w:rFonts w:ascii="Verdana" w:hAnsi="Verdana" w:cs="Arial"/>
          <w:sz w:val="16"/>
          <w:szCs w:val="16"/>
        </w:rPr>
        <w:t>Consejo de Estado</w:t>
      </w:r>
      <w:r>
        <w:rPr>
          <w:rFonts w:ascii="Verdana" w:hAnsi="Verdana" w:cs="Arial"/>
          <w:sz w:val="16"/>
          <w:szCs w:val="16"/>
        </w:rPr>
        <w:t xml:space="preserve">. </w:t>
      </w:r>
      <w:r w:rsidRPr="00B95CFD">
        <w:rPr>
          <w:rFonts w:ascii="Verdana" w:hAnsi="Verdana" w:cs="Arial"/>
          <w:sz w:val="16"/>
          <w:szCs w:val="16"/>
        </w:rPr>
        <w:t xml:space="preserve">Sección Tercera. Sentencia del </w:t>
      </w:r>
      <w:r w:rsidRPr="00B95CFD">
        <w:rPr>
          <w:rFonts w:ascii="Verdana" w:hAnsi="Verdana" w:cs="Arial"/>
          <w:bCs/>
          <w:iCs/>
          <w:sz w:val="16"/>
          <w:szCs w:val="16"/>
        </w:rPr>
        <w:t xml:space="preserve">14 de junio del 2019, </w:t>
      </w:r>
      <w:r>
        <w:rPr>
          <w:rFonts w:ascii="Verdana" w:hAnsi="Verdana" w:cs="Arial"/>
          <w:bCs/>
          <w:iCs/>
          <w:sz w:val="16"/>
          <w:szCs w:val="16"/>
        </w:rPr>
        <w:t xml:space="preserve">Expediente </w:t>
      </w:r>
      <w:r w:rsidRPr="00B95CFD">
        <w:rPr>
          <w:rFonts w:ascii="Verdana" w:hAnsi="Verdana" w:cs="Arial"/>
          <w:bCs/>
          <w:iCs/>
          <w:sz w:val="16"/>
          <w:szCs w:val="16"/>
        </w:rPr>
        <w:t>Número: 25000-23-37-000-2010-02552-01(AP).</w:t>
      </w:r>
      <w:r>
        <w:rPr>
          <w:rFonts w:ascii="Verdana" w:hAnsi="Verdana" w:cs="Arial"/>
          <w:bCs/>
          <w:iCs/>
          <w:sz w:val="16"/>
          <w:szCs w:val="16"/>
        </w:rPr>
        <w:t xml:space="preserve"> CP:</w:t>
      </w:r>
      <w:r w:rsidRPr="00F81DE9">
        <w:rPr>
          <w:rFonts w:ascii="Inter Variable" w:hAnsi="Inter Variable"/>
          <w:color w:val="333333"/>
          <w:sz w:val="21"/>
          <w:szCs w:val="21"/>
          <w:shd w:val="clear" w:color="auto" w:fill="F5F5F7"/>
          <w:lang w:val="es-CO"/>
        </w:rPr>
        <w:t xml:space="preserve"> </w:t>
      </w:r>
      <w:r w:rsidRPr="00F81DE9">
        <w:rPr>
          <w:rFonts w:ascii="Verdana" w:hAnsi="Verdana" w:cs="Arial"/>
          <w:bCs/>
          <w:iCs/>
          <w:sz w:val="16"/>
          <w:szCs w:val="16"/>
          <w:lang w:val="es-CO"/>
        </w:rPr>
        <w:t>Marta Nubia Velásquez Rico</w:t>
      </w:r>
    </w:p>
  </w:footnote>
  <w:footnote w:id="15">
    <w:p w14:paraId="076FEC5D" w14:textId="77777777" w:rsidR="00FA4501" w:rsidRPr="00B95CFD" w:rsidRDefault="00FA4501" w:rsidP="00FA4501">
      <w:pPr>
        <w:pStyle w:val="Textonotapie"/>
        <w:ind w:firstLine="709"/>
        <w:rPr>
          <w:rFonts w:ascii="Verdana" w:hAnsi="Verdana"/>
          <w:sz w:val="16"/>
          <w:szCs w:val="16"/>
          <w:lang w:val="es-CO"/>
        </w:rPr>
      </w:pPr>
      <w:r w:rsidRPr="00B95CFD">
        <w:rPr>
          <w:rStyle w:val="Refdenotaalpie"/>
          <w:rFonts w:ascii="Verdana" w:hAnsi="Verdana"/>
          <w:sz w:val="16"/>
          <w:szCs w:val="16"/>
        </w:rPr>
        <w:footnoteRef/>
      </w:r>
      <w:r w:rsidRPr="00B95CFD">
        <w:rPr>
          <w:rFonts w:ascii="Verdana" w:hAnsi="Verdana"/>
          <w:sz w:val="16"/>
          <w:szCs w:val="16"/>
        </w:rPr>
        <w:t xml:space="preserve"> </w:t>
      </w:r>
      <w:r w:rsidRPr="00B95CFD">
        <w:rPr>
          <w:rFonts w:ascii="Verdana" w:hAnsi="Verdana" w:cs="Arial"/>
          <w:sz w:val="16"/>
          <w:szCs w:val="16"/>
        </w:rPr>
        <w:t>C</w:t>
      </w:r>
      <w:r>
        <w:rPr>
          <w:rFonts w:ascii="Verdana" w:hAnsi="Verdana" w:cs="Arial"/>
          <w:sz w:val="16"/>
          <w:szCs w:val="16"/>
        </w:rPr>
        <w:t>onsejo de Estado</w:t>
      </w:r>
      <w:r w:rsidRPr="00B95CFD">
        <w:rPr>
          <w:rFonts w:ascii="Verdana" w:hAnsi="Verdana" w:cs="Arial"/>
          <w:sz w:val="16"/>
          <w:szCs w:val="16"/>
        </w:rPr>
        <w:t>. Sala de Consulta y Servicio Civil. Concepto 26 de julio de 2016. Exp. 2.257. C.P. Álvaro Namén Vargas.</w:t>
      </w:r>
    </w:p>
  </w:footnote>
  <w:footnote w:id="16">
    <w:p w14:paraId="6BCB7044" w14:textId="77777777" w:rsidR="00FA4501" w:rsidRPr="00B95CFD" w:rsidRDefault="00FA4501" w:rsidP="00FA4501">
      <w:pPr>
        <w:pStyle w:val="Textonotapie"/>
        <w:ind w:firstLine="709"/>
        <w:jc w:val="both"/>
        <w:rPr>
          <w:rFonts w:ascii="Verdana" w:hAnsi="Verdana"/>
          <w:sz w:val="16"/>
          <w:szCs w:val="16"/>
          <w:lang w:val="es-CO"/>
        </w:rPr>
      </w:pPr>
      <w:r w:rsidRPr="00B95CFD">
        <w:rPr>
          <w:rStyle w:val="Refdenotaalpie"/>
          <w:rFonts w:ascii="Verdana" w:hAnsi="Verdana"/>
          <w:sz w:val="16"/>
          <w:szCs w:val="16"/>
        </w:rPr>
        <w:footnoteRef/>
      </w:r>
      <w:r w:rsidRPr="00B95CFD">
        <w:rPr>
          <w:rFonts w:ascii="Verdana" w:hAnsi="Verdana"/>
          <w:sz w:val="16"/>
          <w:szCs w:val="16"/>
        </w:rPr>
        <w:t xml:space="preserve"> </w:t>
      </w:r>
      <w:r w:rsidRPr="00B95CFD">
        <w:rPr>
          <w:rFonts w:ascii="Verdana" w:hAnsi="Verdana" w:cs="Arial"/>
          <w:sz w:val="16"/>
          <w:szCs w:val="16"/>
        </w:rPr>
        <w:t>Consejo de Estado</w:t>
      </w:r>
      <w:r>
        <w:rPr>
          <w:rFonts w:ascii="Verdana" w:hAnsi="Verdana" w:cs="Arial"/>
          <w:sz w:val="16"/>
          <w:szCs w:val="16"/>
        </w:rPr>
        <w:t xml:space="preserve">. </w:t>
      </w:r>
      <w:r w:rsidRPr="00B95CFD">
        <w:rPr>
          <w:rFonts w:ascii="Verdana" w:hAnsi="Verdana" w:cs="Arial"/>
          <w:sz w:val="16"/>
          <w:szCs w:val="16"/>
        </w:rPr>
        <w:t xml:space="preserve">Sección Tercera. Sentencia del </w:t>
      </w:r>
      <w:r w:rsidRPr="00B95CFD">
        <w:rPr>
          <w:rFonts w:ascii="Verdana" w:hAnsi="Verdana" w:cs="Arial"/>
          <w:bCs/>
          <w:iCs/>
          <w:sz w:val="16"/>
          <w:szCs w:val="16"/>
        </w:rPr>
        <w:t xml:space="preserve">21 de febrero de 2025. Radicación Número: 68.280. CP: José Roberto Sáchica Méndez.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49BFF" w14:textId="77777777" w:rsidR="00006F59" w:rsidRPr="009B7987" w:rsidRDefault="00006F59" w:rsidP="00006F59">
    <w:pPr>
      <w:pStyle w:val="Encabezado"/>
    </w:pPr>
    <w:r w:rsidRPr="009B7987">
      <w:rPr>
        <w:rFonts w:ascii="Geomanist Bold" w:hAnsi="Geomanist Bold"/>
        <w:b/>
        <w:bCs/>
        <w:noProof/>
        <w:color w:val="002060"/>
        <w:sz w:val="24"/>
        <w:szCs w:val="24"/>
      </w:rPr>
      <w:drawing>
        <wp:anchor distT="0" distB="0" distL="114300" distR="114300" simplePos="0" relativeHeight="251658241" behindDoc="1" locked="0" layoutInCell="1" allowOverlap="1" wp14:anchorId="4812B632" wp14:editId="2E35C64A">
          <wp:simplePos x="0" y="0"/>
          <wp:positionH relativeFrom="margin">
            <wp:align>center</wp:align>
          </wp:positionH>
          <wp:positionV relativeFrom="paragraph">
            <wp:posOffset>-250190</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Pr="009B7987">
      <w:rPr>
        <w:rFonts w:ascii="Geomanist Bold" w:hAnsi="Geomanist Bold"/>
        <w:b/>
        <w:bCs/>
        <w:noProof/>
        <w:color w:val="002060"/>
        <w:sz w:val="24"/>
        <w:szCs w:val="24"/>
      </w:rPr>
      <w:drawing>
        <wp:anchor distT="0" distB="0" distL="114300" distR="114300" simplePos="0" relativeHeight="251658240" behindDoc="0" locked="0" layoutInCell="1" allowOverlap="1" wp14:anchorId="292DC36A" wp14:editId="6004C65E">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descr="Imagen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149914" name="Imagen 962149914" descr="Imagen en blanco y negro&#10;&#10;Descripción generada automáticamente con confianza media"/>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34B171C2" w14:textId="77777777" w:rsidR="00006F59" w:rsidRPr="009B7987" w:rsidRDefault="00006F59" w:rsidP="00006F59">
    <w:pPr>
      <w:pStyle w:val="Encabezado"/>
      <w:jc w:val="center"/>
    </w:pPr>
  </w:p>
  <w:p w14:paraId="1665FD71" w14:textId="77777777" w:rsidR="00006F59" w:rsidRPr="009B7987" w:rsidRDefault="00006F59" w:rsidP="00006F59">
    <w:pPr>
      <w:pStyle w:val="Encabezado"/>
    </w:pPr>
  </w:p>
  <w:p w14:paraId="61B882FC" w14:textId="77777777" w:rsidR="00006F59" w:rsidRPr="009B7987" w:rsidRDefault="00006F59" w:rsidP="00006F59">
    <w:pPr>
      <w:spacing w:after="0"/>
      <w:rPr>
        <w:rFonts w:ascii="Verdana" w:hAnsi="Verdana"/>
        <w:b/>
        <w:bCs/>
        <w:sz w:val="24"/>
        <w:szCs w:val="24"/>
      </w:rPr>
    </w:pPr>
  </w:p>
  <w:p w14:paraId="701A9D55" w14:textId="29EB49FC" w:rsidR="00006F59" w:rsidRDefault="00006F59" w:rsidP="001918F1">
    <w:pPr>
      <w:tabs>
        <w:tab w:val="left" w:pos="6217"/>
      </w:tabs>
      <w:spacing w:after="0"/>
      <w:rPr>
        <w:rFonts w:ascii="Verdana" w:hAnsi="Verdana"/>
        <w:b/>
        <w:bCs/>
        <w:sz w:val="24"/>
        <w:szCs w:val="24"/>
      </w:rPr>
    </w:pPr>
    <w:r w:rsidRPr="009B7987">
      <w:rPr>
        <w:rFonts w:ascii="Verdana" w:hAnsi="Verdana"/>
        <w:b/>
        <w:bCs/>
        <w:sz w:val="24"/>
        <w:szCs w:val="24"/>
      </w:rPr>
      <w:t>FORMATO PQRSD</w:t>
    </w:r>
  </w:p>
  <w:p w14:paraId="6EB4A4DF" w14:textId="77777777" w:rsidR="001C5662" w:rsidRPr="009B7987" w:rsidRDefault="001C5662" w:rsidP="001918F1">
    <w:pPr>
      <w:tabs>
        <w:tab w:val="left" w:pos="6217"/>
      </w:tabs>
      <w:spacing w:after="0"/>
      <w:rPr>
        <w:rFonts w:ascii="Verdana" w:hAnsi="Verdana"/>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06310"/>
    <w:multiLevelType w:val="multilevel"/>
    <w:tmpl w:val="AFEEE7AE"/>
    <w:lvl w:ilvl="0">
      <w:start w:val="1"/>
      <w:numFmt w:val="decimal"/>
      <w:lvlText w:val="%1."/>
      <w:lvlJc w:val="left"/>
      <w:pPr>
        <w:ind w:left="1068" w:hanging="360"/>
      </w:pPr>
      <w:rPr>
        <w:b/>
        <w:color w:val="000000" w:themeColor="text1"/>
      </w:rPr>
    </w:lvl>
    <w:lvl w:ilvl="1">
      <w:start w:val="2"/>
      <w:numFmt w:val="decimal"/>
      <w:isLgl/>
      <w:lvlText w:val="%1.%2"/>
      <w:lvlJc w:val="left"/>
      <w:pPr>
        <w:ind w:left="708"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1" w15:restartNumberingAfterBreak="0">
    <w:nsid w:val="03520020"/>
    <w:multiLevelType w:val="hybridMultilevel"/>
    <w:tmpl w:val="D6F4F64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5E83FFA"/>
    <w:multiLevelType w:val="hybridMultilevel"/>
    <w:tmpl w:val="8EF612C4"/>
    <w:lvl w:ilvl="0" w:tplc="DCA0A690">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3" w15:restartNumberingAfterBreak="0">
    <w:nsid w:val="0801457A"/>
    <w:multiLevelType w:val="hybridMultilevel"/>
    <w:tmpl w:val="38A20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764EF3"/>
    <w:multiLevelType w:val="hybridMultilevel"/>
    <w:tmpl w:val="1F80E5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F555BB5"/>
    <w:multiLevelType w:val="multilevel"/>
    <w:tmpl w:val="5868EEA8"/>
    <w:lvl w:ilvl="0">
      <w:start w:val="1"/>
      <w:numFmt w:val="decimal"/>
      <w:lvlText w:val="%1."/>
      <w:lvlJc w:val="left"/>
      <w:pPr>
        <w:ind w:left="460" w:hanging="360"/>
      </w:pPr>
      <w:rPr>
        <w:rFonts w:ascii="Arial" w:eastAsia="Arial" w:hAnsi="Arial" w:cs="Arial" w:hint="default"/>
        <w:b/>
        <w:bCs/>
        <w:color w:val="4E4D4D"/>
        <w:spacing w:val="-8"/>
        <w:w w:val="100"/>
        <w:sz w:val="22"/>
        <w:szCs w:val="22"/>
        <w:lang w:val="es-ES" w:eastAsia="en-US" w:bidi="ar-SA"/>
      </w:rPr>
    </w:lvl>
    <w:lvl w:ilvl="1">
      <w:start w:val="1"/>
      <w:numFmt w:val="decimal"/>
      <w:lvlText w:val="%1.%2."/>
      <w:lvlJc w:val="left"/>
      <w:pPr>
        <w:ind w:left="820" w:hanging="720"/>
      </w:pPr>
      <w:rPr>
        <w:rFonts w:ascii="Arial" w:eastAsia="Arial" w:hAnsi="Arial" w:cs="Arial" w:hint="default"/>
        <w:b/>
        <w:bCs/>
        <w:color w:val="4E4D4D"/>
        <w:spacing w:val="-4"/>
        <w:w w:val="100"/>
        <w:sz w:val="22"/>
        <w:szCs w:val="22"/>
        <w:lang w:val="es-ES" w:eastAsia="en-US" w:bidi="ar-SA"/>
      </w:rPr>
    </w:lvl>
    <w:lvl w:ilvl="2">
      <w:start w:val="1"/>
      <w:numFmt w:val="decimal"/>
      <w:lvlText w:val="%3."/>
      <w:lvlJc w:val="left"/>
      <w:pPr>
        <w:ind w:left="1192" w:hanging="243"/>
      </w:pPr>
      <w:rPr>
        <w:rFonts w:ascii="Verdana" w:eastAsia="Arial" w:hAnsi="Verdana" w:cs="Arial" w:hint="default"/>
        <w:color w:val="auto"/>
        <w:spacing w:val="-1"/>
        <w:w w:val="100"/>
        <w:sz w:val="20"/>
        <w:szCs w:val="20"/>
        <w:lang w:val="es-ES" w:eastAsia="en-US" w:bidi="ar-SA"/>
      </w:rPr>
    </w:lvl>
    <w:lvl w:ilvl="3">
      <w:numFmt w:val="bullet"/>
      <w:lvlText w:val="•"/>
      <w:lvlJc w:val="left"/>
      <w:pPr>
        <w:ind w:left="2192" w:hanging="243"/>
      </w:pPr>
      <w:rPr>
        <w:rFonts w:hint="default"/>
        <w:lang w:val="es-ES" w:eastAsia="en-US" w:bidi="ar-SA"/>
      </w:rPr>
    </w:lvl>
    <w:lvl w:ilvl="4">
      <w:numFmt w:val="bullet"/>
      <w:lvlText w:val="•"/>
      <w:lvlJc w:val="left"/>
      <w:pPr>
        <w:ind w:left="3185" w:hanging="243"/>
      </w:pPr>
      <w:rPr>
        <w:rFonts w:hint="default"/>
        <w:lang w:val="es-ES" w:eastAsia="en-US" w:bidi="ar-SA"/>
      </w:rPr>
    </w:lvl>
    <w:lvl w:ilvl="5">
      <w:numFmt w:val="bullet"/>
      <w:lvlText w:val="•"/>
      <w:lvlJc w:val="left"/>
      <w:pPr>
        <w:ind w:left="4177" w:hanging="243"/>
      </w:pPr>
      <w:rPr>
        <w:rFonts w:hint="default"/>
        <w:lang w:val="es-ES" w:eastAsia="en-US" w:bidi="ar-SA"/>
      </w:rPr>
    </w:lvl>
    <w:lvl w:ilvl="6">
      <w:numFmt w:val="bullet"/>
      <w:lvlText w:val="•"/>
      <w:lvlJc w:val="left"/>
      <w:pPr>
        <w:ind w:left="5170" w:hanging="243"/>
      </w:pPr>
      <w:rPr>
        <w:rFonts w:hint="default"/>
        <w:lang w:val="es-ES" w:eastAsia="en-US" w:bidi="ar-SA"/>
      </w:rPr>
    </w:lvl>
    <w:lvl w:ilvl="7">
      <w:numFmt w:val="bullet"/>
      <w:lvlText w:val="•"/>
      <w:lvlJc w:val="left"/>
      <w:pPr>
        <w:ind w:left="6162" w:hanging="243"/>
      </w:pPr>
      <w:rPr>
        <w:rFonts w:hint="default"/>
        <w:lang w:val="es-ES" w:eastAsia="en-US" w:bidi="ar-SA"/>
      </w:rPr>
    </w:lvl>
    <w:lvl w:ilvl="8">
      <w:numFmt w:val="bullet"/>
      <w:lvlText w:val="•"/>
      <w:lvlJc w:val="left"/>
      <w:pPr>
        <w:ind w:left="7155" w:hanging="243"/>
      </w:pPr>
      <w:rPr>
        <w:rFonts w:hint="default"/>
        <w:lang w:val="es-ES" w:eastAsia="en-US" w:bidi="ar-SA"/>
      </w:rPr>
    </w:lvl>
  </w:abstractNum>
  <w:abstractNum w:abstractNumId="6" w15:restartNumberingAfterBreak="0">
    <w:nsid w:val="17AF3BD1"/>
    <w:multiLevelType w:val="hybridMultilevel"/>
    <w:tmpl w:val="13F4E4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C23291E"/>
    <w:multiLevelType w:val="hybridMultilevel"/>
    <w:tmpl w:val="352C3E0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0">
    <w:nsid w:val="239D63F5"/>
    <w:multiLevelType w:val="hybridMultilevel"/>
    <w:tmpl w:val="F538EEB4"/>
    <w:lvl w:ilvl="0" w:tplc="DB68C6FA">
      <w:numFmt w:val="bullet"/>
      <w:lvlText w:val="-"/>
      <w:lvlJc w:val="left"/>
      <w:pPr>
        <w:ind w:left="1069" w:hanging="360"/>
      </w:pPr>
      <w:rPr>
        <w:rFonts w:ascii="Verdana" w:eastAsia="Calibri" w:hAnsi="Verdana" w:cs="Arial" w:hint="default"/>
      </w:rPr>
    </w:lvl>
    <w:lvl w:ilvl="1" w:tplc="240A0003" w:tentative="1">
      <w:start w:val="1"/>
      <w:numFmt w:val="bullet"/>
      <w:lvlText w:val="o"/>
      <w:lvlJc w:val="left"/>
      <w:pPr>
        <w:ind w:left="1789" w:hanging="360"/>
      </w:pPr>
      <w:rPr>
        <w:rFonts w:ascii="Courier New" w:hAnsi="Courier New" w:cs="Courier New" w:hint="default"/>
      </w:rPr>
    </w:lvl>
    <w:lvl w:ilvl="2" w:tplc="240A0005" w:tentative="1">
      <w:start w:val="1"/>
      <w:numFmt w:val="bullet"/>
      <w:lvlText w:val=""/>
      <w:lvlJc w:val="left"/>
      <w:pPr>
        <w:ind w:left="2509" w:hanging="360"/>
      </w:pPr>
      <w:rPr>
        <w:rFonts w:ascii="Wingdings" w:hAnsi="Wingdings" w:hint="default"/>
      </w:rPr>
    </w:lvl>
    <w:lvl w:ilvl="3" w:tplc="240A0001" w:tentative="1">
      <w:start w:val="1"/>
      <w:numFmt w:val="bullet"/>
      <w:lvlText w:val=""/>
      <w:lvlJc w:val="left"/>
      <w:pPr>
        <w:ind w:left="3229" w:hanging="360"/>
      </w:pPr>
      <w:rPr>
        <w:rFonts w:ascii="Symbol" w:hAnsi="Symbol" w:hint="default"/>
      </w:rPr>
    </w:lvl>
    <w:lvl w:ilvl="4" w:tplc="240A0003" w:tentative="1">
      <w:start w:val="1"/>
      <w:numFmt w:val="bullet"/>
      <w:lvlText w:val="o"/>
      <w:lvlJc w:val="left"/>
      <w:pPr>
        <w:ind w:left="3949" w:hanging="360"/>
      </w:pPr>
      <w:rPr>
        <w:rFonts w:ascii="Courier New" w:hAnsi="Courier New" w:cs="Courier New" w:hint="default"/>
      </w:rPr>
    </w:lvl>
    <w:lvl w:ilvl="5" w:tplc="240A0005" w:tentative="1">
      <w:start w:val="1"/>
      <w:numFmt w:val="bullet"/>
      <w:lvlText w:val=""/>
      <w:lvlJc w:val="left"/>
      <w:pPr>
        <w:ind w:left="4669" w:hanging="360"/>
      </w:pPr>
      <w:rPr>
        <w:rFonts w:ascii="Wingdings" w:hAnsi="Wingdings" w:hint="default"/>
      </w:rPr>
    </w:lvl>
    <w:lvl w:ilvl="6" w:tplc="240A0001" w:tentative="1">
      <w:start w:val="1"/>
      <w:numFmt w:val="bullet"/>
      <w:lvlText w:val=""/>
      <w:lvlJc w:val="left"/>
      <w:pPr>
        <w:ind w:left="5389" w:hanging="360"/>
      </w:pPr>
      <w:rPr>
        <w:rFonts w:ascii="Symbol" w:hAnsi="Symbol" w:hint="default"/>
      </w:rPr>
    </w:lvl>
    <w:lvl w:ilvl="7" w:tplc="240A0003" w:tentative="1">
      <w:start w:val="1"/>
      <w:numFmt w:val="bullet"/>
      <w:lvlText w:val="o"/>
      <w:lvlJc w:val="left"/>
      <w:pPr>
        <w:ind w:left="6109" w:hanging="360"/>
      </w:pPr>
      <w:rPr>
        <w:rFonts w:ascii="Courier New" w:hAnsi="Courier New" w:cs="Courier New" w:hint="default"/>
      </w:rPr>
    </w:lvl>
    <w:lvl w:ilvl="8" w:tplc="240A0005" w:tentative="1">
      <w:start w:val="1"/>
      <w:numFmt w:val="bullet"/>
      <w:lvlText w:val=""/>
      <w:lvlJc w:val="left"/>
      <w:pPr>
        <w:ind w:left="6829" w:hanging="360"/>
      </w:pPr>
      <w:rPr>
        <w:rFonts w:ascii="Wingdings" w:hAnsi="Wingdings" w:hint="default"/>
      </w:rPr>
    </w:lvl>
  </w:abstractNum>
  <w:abstractNum w:abstractNumId="9" w15:restartNumberingAfterBreak="0">
    <w:nsid w:val="2F2143A1"/>
    <w:multiLevelType w:val="hybridMultilevel"/>
    <w:tmpl w:val="4EB84EEC"/>
    <w:lvl w:ilvl="0" w:tplc="5E185100">
      <w:start w:val="1"/>
      <w:numFmt w:val="lowerRoman"/>
      <w:lvlText w:val="%1)"/>
      <w:lvlJc w:val="left"/>
      <w:pPr>
        <w:ind w:left="2136" w:hanging="720"/>
      </w:pPr>
      <w:rPr>
        <w:rFonts w:hint="default"/>
      </w:rPr>
    </w:lvl>
    <w:lvl w:ilvl="1" w:tplc="240A0019" w:tentative="1">
      <w:start w:val="1"/>
      <w:numFmt w:val="lowerLetter"/>
      <w:lvlText w:val="%2."/>
      <w:lvlJc w:val="left"/>
      <w:pPr>
        <w:ind w:left="2496" w:hanging="360"/>
      </w:pPr>
    </w:lvl>
    <w:lvl w:ilvl="2" w:tplc="240A001B" w:tentative="1">
      <w:start w:val="1"/>
      <w:numFmt w:val="lowerRoman"/>
      <w:lvlText w:val="%3."/>
      <w:lvlJc w:val="right"/>
      <w:pPr>
        <w:ind w:left="3216" w:hanging="180"/>
      </w:pPr>
    </w:lvl>
    <w:lvl w:ilvl="3" w:tplc="240A000F" w:tentative="1">
      <w:start w:val="1"/>
      <w:numFmt w:val="decimal"/>
      <w:lvlText w:val="%4."/>
      <w:lvlJc w:val="left"/>
      <w:pPr>
        <w:ind w:left="3936" w:hanging="360"/>
      </w:pPr>
    </w:lvl>
    <w:lvl w:ilvl="4" w:tplc="240A0019" w:tentative="1">
      <w:start w:val="1"/>
      <w:numFmt w:val="lowerLetter"/>
      <w:lvlText w:val="%5."/>
      <w:lvlJc w:val="left"/>
      <w:pPr>
        <w:ind w:left="4656" w:hanging="360"/>
      </w:pPr>
    </w:lvl>
    <w:lvl w:ilvl="5" w:tplc="240A001B" w:tentative="1">
      <w:start w:val="1"/>
      <w:numFmt w:val="lowerRoman"/>
      <w:lvlText w:val="%6."/>
      <w:lvlJc w:val="right"/>
      <w:pPr>
        <w:ind w:left="5376" w:hanging="180"/>
      </w:pPr>
    </w:lvl>
    <w:lvl w:ilvl="6" w:tplc="240A000F" w:tentative="1">
      <w:start w:val="1"/>
      <w:numFmt w:val="decimal"/>
      <w:lvlText w:val="%7."/>
      <w:lvlJc w:val="left"/>
      <w:pPr>
        <w:ind w:left="6096" w:hanging="360"/>
      </w:pPr>
    </w:lvl>
    <w:lvl w:ilvl="7" w:tplc="240A0019" w:tentative="1">
      <w:start w:val="1"/>
      <w:numFmt w:val="lowerLetter"/>
      <w:lvlText w:val="%8."/>
      <w:lvlJc w:val="left"/>
      <w:pPr>
        <w:ind w:left="6816" w:hanging="360"/>
      </w:pPr>
    </w:lvl>
    <w:lvl w:ilvl="8" w:tplc="240A001B" w:tentative="1">
      <w:start w:val="1"/>
      <w:numFmt w:val="lowerRoman"/>
      <w:lvlText w:val="%9."/>
      <w:lvlJc w:val="right"/>
      <w:pPr>
        <w:ind w:left="7536" w:hanging="180"/>
      </w:pPr>
    </w:lvl>
  </w:abstractNum>
  <w:abstractNum w:abstractNumId="10" w15:restartNumberingAfterBreak="0">
    <w:nsid w:val="2F2F4AAF"/>
    <w:multiLevelType w:val="hybridMultilevel"/>
    <w:tmpl w:val="8780C6F4"/>
    <w:lvl w:ilvl="0" w:tplc="55946782">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11"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318E5EF0"/>
    <w:multiLevelType w:val="hybridMultilevel"/>
    <w:tmpl w:val="BAEA2E5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3835108C"/>
    <w:multiLevelType w:val="hybridMultilevel"/>
    <w:tmpl w:val="46D6164A"/>
    <w:lvl w:ilvl="0" w:tplc="9ADA0392">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14" w15:restartNumberingAfterBreak="0">
    <w:nsid w:val="388E5AE1"/>
    <w:multiLevelType w:val="hybridMultilevel"/>
    <w:tmpl w:val="1B62FAF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9CD3660"/>
    <w:multiLevelType w:val="hybridMultilevel"/>
    <w:tmpl w:val="DCEE24D0"/>
    <w:lvl w:ilvl="0" w:tplc="7D9E7E62">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3D5D596E"/>
    <w:multiLevelType w:val="hybridMultilevel"/>
    <w:tmpl w:val="88DE2ABC"/>
    <w:lvl w:ilvl="0" w:tplc="ECF04718">
      <w:start w:val="1"/>
      <w:numFmt w:val="lowerRoman"/>
      <w:lvlText w:val="%1)"/>
      <w:lvlJc w:val="left"/>
      <w:pPr>
        <w:ind w:left="1429" w:hanging="720"/>
      </w:pPr>
      <w:rPr>
        <w:rFonts w:ascii="Verdana" w:eastAsia="Calibri" w:hAnsi="Verdana" w:cs="Arial"/>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8" w15:restartNumberingAfterBreak="0">
    <w:nsid w:val="418679D0"/>
    <w:multiLevelType w:val="hybridMultilevel"/>
    <w:tmpl w:val="F2F430A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9" w15:restartNumberingAfterBreak="0">
    <w:nsid w:val="475C5A77"/>
    <w:multiLevelType w:val="hybridMultilevel"/>
    <w:tmpl w:val="F5321E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D0E478B"/>
    <w:multiLevelType w:val="hybridMultilevel"/>
    <w:tmpl w:val="869EF6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522C350D"/>
    <w:multiLevelType w:val="hybridMultilevel"/>
    <w:tmpl w:val="89B6917E"/>
    <w:lvl w:ilvl="0" w:tplc="A7B2FCBE">
      <w:start w:val="1"/>
      <w:numFmt w:val="decimal"/>
      <w:lvlText w:val="%1."/>
      <w:lvlJc w:val="left"/>
      <w:pPr>
        <w:ind w:left="1494" w:hanging="360"/>
      </w:pPr>
      <w:rPr>
        <w:rFonts w:hint="default"/>
      </w:rPr>
    </w:lvl>
    <w:lvl w:ilvl="1" w:tplc="240A0019" w:tentative="1">
      <w:start w:val="1"/>
      <w:numFmt w:val="lowerLetter"/>
      <w:lvlText w:val="%2."/>
      <w:lvlJc w:val="left"/>
      <w:pPr>
        <w:ind w:left="2214" w:hanging="360"/>
      </w:pPr>
    </w:lvl>
    <w:lvl w:ilvl="2" w:tplc="240A001B" w:tentative="1">
      <w:start w:val="1"/>
      <w:numFmt w:val="lowerRoman"/>
      <w:lvlText w:val="%3."/>
      <w:lvlJc w:val="right"/>
      <w:pPr>
        <w:ind w:left="2934" w:hanging="180"/>
      </w:pPr>
    </w:lvl>
    <w:lvl w:ilvl="3" w:tplc="240A000F" w:tentative="1">
      <w:start w:val="1"/>
      <w:numFmt w:val="decimal"/>
      <w:lvlText w:val="%4."/>
      <w:lvlJc w:val="left"/>
      <w:pPr>
        <w:ind w:left="3654" w:hanging="360"/>
      </w:pPr>
    </w:lvl>
    <w:lvl w:ilvl="4" w:tplc="240A0019" w:tentative="1">
      <w:start w:val="1"/>
      <w:numFmt w:val="lowerLetter"/>
      <w:lvlText w:val="%5."/>
      <w:lvlJc w:val="left"/>
      <w:pPr>
        <w:ind w:left="4374" w:hanging="360"/>
      </w:pPr>
    </w:lvl>
    <w:lvl w:ilvl="5" w:tplc="240A001B" w:tentative="1">
      <w:start w:val="1"/>
      <w:numFmt w:val="lowerRoman"/>
      <w:lvlText w:val="%6."/>
      <w:lvlJc w:val="right"/>
      <w:pPr>
        <w:ind w:left="5094" w:hanging="180"/>
      </w:pPr>
    </w:lvl>
    <w:lvl w:ilvl="6" w:tplc="240A000F" w:tentative="1">
      <w:start w:val="1"/>
      <w:numFmt w:val="decimal"/>
      <w:lvlText w:val="%7."/>
      <w:lvlJc w:val="left"/>
      <w:pPr>
        <w:ind w:left="5814" w:hanging="360"/>
      </w:pPr>
    </w:lvl>
    <w:lvl w:ilvl="7" w:tplc="240A0019" w:tentative="1">
      <w:start w:val="1"/>
      <w:numFmt w:val="lowerLetter"/>
      <w:lvlText w:val="%8."/>
      <w:lvlJc w:val="left"/>
      <w:pPr>
        <w:ind w:left="6534" w:hanging="360"/>
      </w:pPr>
    </w:lvl>
    <w:lvl w:ilvl="8" w:tplc="240A001B" w:tentative="1">
      <w:start w:val="1"/>
      <w:numFmt w:val="lowerRoman"/>
      <w:lvlText w:val="%9."/>
      <w:lvlJc w:val="right"/>
      <w:pPr>
        <w:ind w:left="7254" w:hanging="180"/>
      </w:pPr>
    </w:lvl>
  </w:abstractNum>
  <w:abstractNum w:abstractNumId="22" w15:restartNumberingAfterBreak="0">
    <w:nsid w:val="540506B6"/>
    <w:multiLevelType w:val="hybridMultilevel"/>
    <w:tmpl w:val="974E04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03F1D1B"/>
    <w:multiLevelType w:val="hybridMultilevel"/>
    <w:tmpl w:val="D012F2B4"/>
    <w:lvl w:ilvl="0" w:tplc="88466D34">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604178A9"/>
    <w:multiLevelType w:val="hybridMultilevel"/>
    <w:tmpl w:val="7486A3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20101A4"/>
    <w:multiLevelType w:val="hybridMultilevel"/>
    <w:tmpl w:val="717C38BE"/>
    <w:lvl w:ilvl="0" w:tplc="FFFFFFFF">
      <w:start w:val="1"/>
      <w:numFmt w:val="lowerRoman"/>
      <w:lvlText w:val="%1)"/>
      <w:lvlJc w:val="left"/>
      <w:pPr>
        <w:ind w:left="1429" w:hanging="720"/>
      </w:pPr>
      <w:rPr>
        <w:rFonts w:ascii="Verdana" w:eastAsia="Calibri" w:hAnsi="Verdana" w:cs="Arial"/>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6"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27" w15:restartNumberingAfterBreak="0">
    <w:nsid w:val="661C105F"/>
    <w:multiLevelType w:val="hybridMultilevel"/>
    <w:tmpl w:val="FF7611B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700542C4"/>
    <w:multiLevelType w:val="hybridMultilevel"/>
    <w:tmpl w:val="232828B0"/>
    <w:lvl w:ilvl="0" w:tplc="FFFFFFFF">
      <w:start w:val="1"/>
      <w:numFmt w:val="decimal"/>
      <w:lvlText w:val="%1."/>
      <w:lvlJc w:val="left"/>
      <w:pPr>
        <w:ind w:left="2061"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9" w15:restartNumberingAfterBreak="0">
    <w:nsid w:val="70D60AF4"/>
    <w:multiLevelType w:val="hybridMultilevel"/>
    <w:tmpl w:val="623869D6"/>
    <w:lvl w:ilvl="0" w:tplc="1E18C336">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77681820"/>
    <w:multiLevelType w:val="hybridMultilevel"/>
    <w:tmpl w:val="978A04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B7F0FB5"/>
    <w:multiLevelType w:val="hybridMultilevel"/>
    <w:tmpl w:val="3586D1F0"/>
    <w:lvl w:ilvl="0" w:tplc="15C0C8AE">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7C190BA4"/>
    <w:multiLevelType w:val="hybridMultilevel"/>
    <w:tmpl w:val="D1FEAF26"/>
    <w:lvl w:ilvl="0" w:tplc="D5B89D1A">
      <w:start w:val="1"/>
      <w:numFmt w:val="decimal"/>
      <w:lvlText w:val="%1."/>
      <w:lvlJc w:val="left"/>
      <w:pPr>
        <w:ind w:left="1028" w:hanging="221"/>
      </w:pPr>
      <w:rPr>
        <w:rFonts w:ascii="Arial" w:eastAsia="Arial" w:hAnsi="Arial" w:cs="Arial" w:hint="default"/>
        <w:color w:val="auto"/>
        <w:spacing w:val="-2"/>
        <w:w w:val="100"/>
        <w:sz w:val="20"/>
        <w:szCs w:val="20"/>
        <w:lang w:val="es-ES" w:eastAsia="es-ES" w:bidi="es-ES"/>
      </w:rPr>
    </w:lvl>
    <w:lvl w:ilvl="1" w:tplc="053E5822">
      <w:numFmt w:val="bullet"/>
      <w:lvlText w:val="•"/>
      <w:lvlJc w:val="left"/>
      <w:pPr>
        <w:ind w:left="1846" w:hanging="221"/>
      </w:pPr>
      <w:rPr>
        <w:rFonts w:hint="default"/>
        <w:lang w:val="es-ES" w:eastAsia="es-ES" w:bidi="es-ES"/>
      </w:rPr>
    </w:lvl>
    <w:lvl w:ilvl="2" w:tplc="90242A8E">
      <w:numFmt w:val="bullet"/>
      <w:lvlText w:val="•"/>
      <w:lvlJc w:val="left"/>
      <w:pPr>
        <w:ind w:left="2672" w:hanging="221"/>
      </w:pPr>
      <w:rPr>
        <w:rFonts w:hint="default"/>
        <w:lang w:val="es-ES" w:eastAsia="es-ES" w:bidi="es-ES"/>
      </w:rPr>
    </w:lvl>
    <w:lvl w:ilvl="3" w:tplc="E160CF42">
      <w:numFmt w:val="bullet"/>
      <w:lvlText w:val="•"/>
      <w:lvlJc w:val="left"/>
      <w:pPr>
        <w:ind w:left="3498" w:hanging="221"/>
      </w:pPr>
      <w:rPr>
        <w:rFonts w:hint="default"/>
        <w:lang w:val="es-ES" w:eastAsia="es-ES" w:bidi="es-ES"/>
      </w:rPr>
    </w:lvl>
    <w:lvl w:ilvl="4" w:tplc="9B26973A">
      <w:numFmt w:val="bullet"/>
      <w:lvlText w:val="•"/>
      <w:lvlJc w:val="left"/>
      <w:pPr>
        <w:ind w:left="4324" w:hanging="221"/>
      </w:pPr>
      <w:rPr>
        <w:rFonts w:hint="default"/>
        <w:lang w:val="es-ES" w:eastAsia="es-ES" w:bidi="es-ES"/>
      </w:rPr>
    </w:lvl>
    <w:lvl w:ilvl="5" w:tplc="017409CE">
      <w:numFmt w:val="bullet"/>
      <w:lvlText w:val="•"/>
      <w:lvlJc w:val="left"/>
      <w:pPr>
        <w:ind w:left="5150" w:hanging="221"/>
      </w:pPr>
      <w:rPr>
        <w:rFonts w:hint="default"/>
        <w:lang w:val="es-ES" w:eastAsia="es-ES" w:bidi="es-ES"/>
      </w:rPr>
    </w:lvl>
    <w:lvl w:ilvl="6" w:tplc="870EC5D4">
      <w:numFmt w:val="bullet"/>
      <w:lvlText w:val="•"/>
      <w:lvlJc w:val="left"/>
      <w:pPr>
        <w:ind w:left="5976" w:hanging="221"/>
      </w:pPr>
      <w:rPr>
        <w:rFonts w:hint="default"/>
        <w:lang w:val="es-ES" w:eastAsia="es-ES" w:bidi="es-ES"/>
      </w:rPr>
    </w:lvl>
    <w:lvl w:ilvl="7" w:tplc="F4B4208E">
      <w:numFmt w:val="bullet"/>
      <w:lvlText w:val="•"/>
      <w:lvlJc w:val="left"/>
      <w:pPr>
        <w:ind w:left="6802" w:hanging="221"/>
      </w:pPr>
      <w:rPr>
        <w:rFonts w:hint="default"/>
        <w:lang w:val="es-ES" w:eastAsia="es-ES" w:bidi="es-ES"/>
      </w:rPr>
    </w:lvl>
    <w:lvl w:ilvl="8" w:tplc="55B09E2E">
      <w:numFmt w:val="bullet"/>
      <w:lvlText w:val="•"/>
      <w:lvlJc w:val="left"/>
      <w:pPr>
        <w:ind w:left="7628" w:hanging="221"/>
      </w:pPr>
      <w:rPr>
        <w:rFonts w:hint="default"/>
        <w:lang w:val="es-ES" w:eastAsia="es-ES" w:bidi="es-ES"/>
      </w:rPr>
    </w:lvl>
  </w:abstractNum>
  <w:abstractNum w:abstractNumId="33" w15:restartNumberingAfterBreak="0">
    <w:nsid w:val="7DD23916"/>
    <w:multiLevelType w:val="multilevel"/>
    <w:tmpl w:val="89F2A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30140246">
    <w:abstractNumId w:val="0"/>
  </w:num>
  <w:num w:numId="2" w16cid:durableId="1492209491">
    <w:abstractNumId w:val="12"/>
  </w:num>
  <w:num w:numId="3" w16cid:durableId="679089576">
    <w:abstractNumId w:val="16"/>
  </w:num>
  <w:num w:numId="4" w16cid:durableId="893472101">
    <w:abstractNumId w:val="8"/>
  </w:num>
  <w:num w:numId="5" w16cid:durableId="1982299905">
    <w:abstractNumId w:val="33"/>
  </w:num>
  <w:num w:numId="6" w16cid:durableId="130758360">
    <w:abstractNumId w:val="19"/>
  </w:num>
  <w:num w:numId="7" w16cid:durableId="262541512">
    <w:abstractNumId w:val="30"/>
  </w:num>
  <w:num w:numId="8" w16cid:durableId="1947226218">
    <w:abstractNumId w:val="15"/>
  </w:num>
  <w:num w:numId="9" w16cid:durableId="1180706126">
    <w:abstractNumId w:val="18"/>
  </w:num>
  <w:num w:numId="10" w16cid:durableId="2097506960">
    <w:abstractNumId w:val="24"/>
  </w:num>
  <w:num w:numId="11" w16cid:durableId="1977490869">
    <w:abstractNumId w:val="22"/>
  </w:num>
  <w:num w:numId="12" w16cid:durableId="158663248">
    <w:abstractNumId w:val="21"/>
  </w:num>
  <w:num w:numId="13" w16cid:durableId="2024085788">
    <w:abstractNumId w:val="2"/>
  </w:num>
  <w:num w:numId="14" w16cid:durableId="1885099950">
    <w:abstractNumId w:val="14"/>
  </w:num>
  <w:num w:numId="15" w16cid:durableId="32047459">
    <w:abstractNumId w:val="9"/>
  </w:num>
  <w:num w:numId="16" w16cid:durableId="1192261824">
    <w:abstractNumId w:val="10"/>
  </w:num>
  <w:num w:numId="17" w16cid:durableId="375933272">
    <w:abstractNumId w:val="17"/>
  </w:num>
  <w:num w:numId="18" w16cid:durableId="610939998">
    <w:abstractNumId w:val="25"/>
  </w:num>
  <w:num w:numId="19" w16cid:durableId="1910656144">
    <w:abstractNumId w:val="3"/>
  </w:num>
  <w:num w:numId="20" w16cid:durableId="947545103">
    <w:abstractNumId w:val="13"/>
  </w:num>
  <w:num w:numId="21" w16cid:durableId="1851335222">
    <w:abstractNumId w:val="32"/>
  </w:num>
  <w:num w:numId="22" w16cid:durableId="578707994">
    <w:abstractNumId w:val="5"/>
  </w:num>
  <w:num w:numId="23" w16cid:durableId="876742304">
    <w:abstractNumId w:val="11"/>
  </w:num>
  <w:num w:numId="24" w16cid:durableId="1994095851">
    <w:abstractNumId w:val="6"/>
  </w:num>
  <w:num w:numId="25" w16cid:durableId="1567109325">
    <w:abstractNumId w:val="27"/>
  </w:num>
  <w:num w:numId="26" w16cid:durableId="1116487847">
    <w:abstractNumId w:val="20"/>
  </w:num>
  <w:num w:numId="27" w16cid:durableId="611326471">
    <w:abstractNumId w:val="28"/>
    <w:lvlOverride w:ilvl="0">
      <w:startOverride w:val="1"/>
    </w:lvlOverride>
    <w:lvlOverride w:ilvl="1"/>
    <w:lvlOverride w:ilvl="2"/>
    <w:lvlOverride w:ilvl="3"/>
    <w:lvlOverride w:ilvl="4"/>
    <w:lvlOverride w:ilvl="5"/>
    <w:lvlOverride w:ilvl="6"/>
    <w:lvlOverride w:ilvl="7"/>
    <w:lvlOverride w:ilvl="8"/>
  </w:num>
  <w:num w:numId="28" w16cid:durableId="883785195">
    <w:abstractNumId w:val="1"/>
  </w:num>
  <w:num w:numId="29" w16cid:durableId="2116288898">
    <w:abstractNumId w:val="31"/>
  </w:num>
  <w:num w:numId="30" w16cid:durableId="363991975">
    <w:abstractNumId w:val="29"/>
  </w:num>
  <w:num w:numId="31" w16cid:durableId="1509440290">
    <w:abstractNumId w:val="23"/>
  </w:num>
  <w:num w:numId="32" w16cid:durableId="1601723362">
    <w:abstractNumId w:val="7"/>
  </w:num>
  <w:num w:numId="33" w16cid:durableId="1484539021">
    <w:abstractNumId w:val="4"/>
  </w:num>
  <w:num w:numId="34" w16cid:durableId="39034980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448"/>
    <w:rsid w:val="00001B12"/>
    <w:rsid w:val="00001B99"/>
    <w:rsid w:val="00001E39"/>
    <w:rsid w:val="00002920"/>
    <w:rsid w:val="00002D55"/>
    <w:rsid w:val="0000399A"/>
    <w:rsid w:val="00005225"/>
    <w:rsid w:val="000054DB"/>
    <w:rsid w:val="0000587D"/>
    <w:rsid w:val="000059AE"/>
    <w:rsid w:val="00005BB0"/>
    <w:rsid w:val="00006F59"/>
    <w:rsid w:val="00007086"/>
    <w:rsid w:val="00007382"/>
    <w:rsid w:val="00007576"/>
    <w:rsid w:val="0001025F"/>
    <w:rsid w:val="0001155E"/>
    <w:rsid w:val="00011613"/>
    <w:rsid w:val="00011CD3"/>
    <w:rsid w:val="00011D3C"/>
    <w:rsid w:val="0001222D"/>
    <w:rsid w:val="00012679"/>
    <w:rsid w:val="00012EDA"/>
    <w:rsid w:val="00013B3F"/>
    <w:rsid w:val="00014981"/>
    <w:rsid w:val="00014B0D"/>
    <w:rsid w:val="00014E7B"/>
    <w:rsid w:val="00016280"/>
    <w:rsid w:val="0001672C"/>
    <w:rsid w:val="00016F04"/>
    <w:rsid w:val="00017870"/>
    <w:rsid w:val="00021068"/>
    <w:rsid w:val="00021595"/>
    <w:rsid w:val="000219D1"/>
    <w:rsid w:val="00021C3A"/>
    <w:rsid w:val="0002202D"/>
    <w:rsid w:val="00022C23"/>
    <w:rsid w:val="00023DF7"/>
    <w:rsid w:val="0002525D"/>
    <w:rsid w:val="000267DD"/>
    <w:rsid w:val="000273EA"/>
    <w:rsid w:val="00027B63"/>
    <w:rsid w:val="00027CA9"/>
    <w:rsid w:val="00030B3D"/>
    <w:rsid w:val="00030BC5"/>
    <w:rsid w:val="00030BFB"/>
    <w:rsid w:val="00031DA1"/>
    <w:rsid w:val="00031EAF"/>
    <w:rsid w:val="00033390"/>
    <w:rsid w:val="0003430D"/>
    <w:rsid w:val="000361EA"/>
    <w:rsid w:val="0003699E"/>
    <w:rsid w:val="000369C0"/>
    <w:rsid w:val="0003731A"/>
    <w:rsid w:val="00037367"/>
    <w:rsid w:val="00037A8B"/>
    <w:rsid w:val="00040372"/>
    <w:rsid w:val="000408AD"/>
    <w:rsid w:val="00041469"/>
    <w:rsid w:val="0004180C"/>
    <w:rsid w:val="000419D7"/>
    <w:rsid w:val="00042DD7"/>
    <w:rsid w:val="00043EE5"/>
    <w:rsid w:val="000442CC"/>
    <w:rsid w:val="000442DE"/>
    <w:rsid w:val="00044B24"/>
    <w:rsid w:val="0004508D"/>
    <w:rsid w:val="0004526E"/>
    <w:rsid w:val="00045A51"/>
    <w:rsid w:val="00045B37"/>
    <w:rsid w:val="0004709D"/>
    <w:rsid w:val="000504AA"/>
    <w:rsid w:val="0005086B"/>
    <w:rsid w:val="0005098A"/>
    <w:rsid w:val="00050C95"/>
    <w:rsid w:val="00050CAD"/>
    <w:rsid w:val="00050EB7"/>
    <w:rsid w:val="0005142D"/>
    <w:rsid w:val="00051A3C"/>
    <w:rsid w:val="00051BE4"/>
    <w:rsid w:val="00051E96"/>
    <w:rsid w:val="000526A8"/>
    <w:rsid w:val="00052EF1"/>
    <w:rsid w:val="0005420B"/>
    <w:rsid w:val="00054E53"/>
    <w:rsid w:val="000551CB"/>
    <w:rsid w:val="0005620B"/>
    <w:rsid w:val="00057392"/>
    <w:rsid w:val="000577A2"/>
    <w:rsid w:val="000577D3"/>
    <w:rsid w:val="00057963"/>
    <w:rsid w:val="000579AB"/>
    <w:rsid w:val="00060AE4"/>
    <w:rsid w:val="000622B9"/>
    <w:rsid w:val="000631E9"/>
    <w:rsid w:val="00063B4B"/>
    <w:rsid w:val="00064721"/>
    <w:rsid w:val="00064D60"/>
    <w:rsid w:val="00065973"/>
    <w:rsid w:val="00065C6D"/>
    <w:rsid w:val="000665D3"/>
    <w:rsid w:val="00066646"/>
    <w:rsid w:val="00066C7A"/>
    <w:rsid w:val="00066CF1"/>
    <w:rsid w:val="0007144A"/>
    <w:rsid w:val="000716AB"/>
    <w:rsid w:val="00071AB8"/>
    <w:rsid w:val="0007243A"/>
    <w:rsid w:val="000734CB"/>
    <w:rsid w:val="00073ED1"/>
    <w:rsid w:val="000762C0"/>
    <w:rsid w:val="00076737"/>
    <w:rsid w:val="00076C2B"/>
    <w:rsid w:val="00076C73"/>
    <w:rsid w:val="00076F81"/>
    <w:rsid w:val="00077106"/>
    <w:rsid w:val="000772B1"/>
    <w:rsid w:val="000779DE"/>
    <w:rsid w:val="000800B6"/>
    <w:rsid w:val="00080D15"/>
    <w:rsid w:val="0008132D"/>
    <w:rsid w:val="00081B03"/>
    <w:rsid w:val="000847A0"/>
    <w:rsid w:val="00084B6A"/>
    <w:rsid w:val="00084BFD"/>
    <w:rsid w:val="00087073"/>
    <w:rsid w:val="0008739A"/>
    <w:rsid w:val="000875BD"/>
    <w:rsid w:val="000878E7"/>
    <w:rsid w:val="00087A3B"/>
    <w:rsid w:val="00087C01"/>
    <w:rsid w:val="000903E4"/>
    <w:rsid w:val="000906E3"/>
    <w:rsid w:val="00091D73"/>
    <w:rsid w:val="000933B5"/>
    <w:rsid w:val="000933BC"/>
    <w:rsid w:val="00093544"/>
    <w:rsid w:val="00093D95"/>
    <w:rsid w:val="00094663"/>
    <w:rsid w:val="00094C5E"/>
    <w:rsid w:val="00094FA6"/>
    <w:rsid w:val="00095410"/>
    <w:rsid w:val="00095E48"/>
    <w:rsid w:val="00096637"/>
    <w:rsid w:val="0009726B"/>
    <w:rsid w:val="00097285"/>
    <w:rsid w:val="000975EA"/>
    <w:rsid w:val="000A021A"/>
    <w:rsid w:val="000A08FD"/>
    <w:rsid w:val="000A12F3"/>
    <w:rsid w:val="000A1828"/>
    <w:rsid w:val="000A1C31"/>
    <w:rsid w:val="000A1D06"/>
    <w:rsid w:val="000A1F38"/>
    <w:rsid w:val="000A2030"/>
    <w:rsid w:val="000A37F5"/>
    <w:rsid w:val="000A413A"/>
    <w:rsid w:val="000A4F1E"/>
    <w:rsid w:val="000A5881"/>
    <w:rsid w:val="000A66A1"/>
    <w:rsid w:val="000A69FB"/>
    <w:rsid w:val="000B1087"/>
    <w:rsid w:val="000B199A"/>
    <w:rsid w:val="000B1FF7"/>
    <w:rsid w:val="000B2529"/>
    <w:rsid w:val="000B2B7C"/>
    <w:rsid w:val="000B377E"/>
    <w:rsid w:val="000B381D"/>
    <w:rsid w:val="000B3DD4"/>
    <w:rsid w:val="000B4024"/>
    <w:rsid w:val="000B44BA"/>
    <w:rsid w:val="000B4C9C"/>
    <w:rsid w:val="000B5311"/>
    <w:rsid w:val="000B5313"/>
    <w:rsid w:val="000B5C05"/>
    <w:rsid w:val="000B5C65"/>
    <w:rsid w:val="000B5F1D"/>
    <w:rsid w:val="000B6BE9"/>
    <w:rsid w:val="000C02AD"/>
    <w:rsid w:val="000C060A"/>
    <w:rsid w:val="000C07B0"/>
    <w:rsid w:val="000C09DF"/>
    <w:rsid w:val="000C0AA8"/>
    <w:rsid w:val="000C18BD"/>
    <w:rsid w:val="000C1FC8"/>
    <w:rsid w:val="000C36E1"/>
    <w:rsid w:val="000C42A9"/>
    <w:rsid w:val="000C42C6"/>
    <w:rsid w:val="000C50D6"/>
    <w:rsid w:val="000C557B"/>
    <w:rsid w:val="000C5A85"/>
    <w:rsid w:val="000C5F29"/>
    <w:rsid w:val="000C5F48"/>
    <w:rsid w:val="000C66BF"/>
    <w:rsid w:val="000C6FC1"/>
    <w:rsid w:val="000C7FF8"/>
    <w:rsid w:val="000D0372"/>
    <w:rsid w:val="000D0ADE"/>
    <w:rsid w:val="000D1A8F"/>
    <w:rsid w:val="000D2914"/>
    <w:rsid w:val="000D2E60"/>
    <w:rsid w:val="000D2F50"/>
    <w:rsid w:val="000D3275"/>
    <w:rsid w:val="000D3A1B"/>
    <w:rsid w:val="000D3B86"/>
    <w:rsid w:val="000D470B"/>
    <w:rsid w:val="000D4E64"/>
    <w:rsid w:val="000D5008"/>
    <w:rsid w:val="000D570C"/>
    <w:rsid w:val="000D5A0F"/>
    <w:rsid w:val="000D5B1E"/>
    <w:rsid w:val="000D5D9B"/>
    <w:rsid w:val="000D5E3F"/>
    <w:rsid w:val="000D6532"/>
    <w:rsid w:val="000D6E33"/>
    <w:rsid w:val="000E0622"/>
    <w:rsid w:val="000E07AA"/>
    <w:rsid w:val="000E1D6F"/>
    <w:rsid w:val="000E2D0D"/>
    <w:rsid w:val="000E3381"/>
    <w:rsid w:val="000E3744"/>
    <w:rsid w:val="000E3CD9"/>
    <w:rsid w:val="000E481D"/>
    <w:rsid w:val="000E4DBF"/>
    <w:rsid w:val="000E4DF2"/>
    <w:rsid w:val="000E5844"/>
    <w:rsid w:val="000E7349"/>
    <w:rsid w:val="000E73EF"/>
    <w:rsid w:val="000E762D"/>
    <w:rsid w:val="000E77CC"/>
    <w:rsid w:val="000F0144"/>
    <w:rsid w:val="000F0783"/>
    <w:rsid w:val="000F0807"/>
    <w:rsid w:val="000F080D"/>
    <w:rsid w:val="000F0B3C"/>
    <w:rsid w:val="000F13D5"/>
    <w:rsid w:val="000F175F"/>
    <w:rsid w:val="000F1AD8"/>
    <w:rsid w:val="000F2F4C"/>
    <w:rsid w:val="000F38D9"/>
    <w:rsid w:val="000F3933"/>
    <w:rsid w:val="000F3CED"/>
    <w:rsid w:val="000F414C"/>
    <w:rsid w:val="000F5192"/>
    <w:rsid w:val="000F6320"/>
    <w:rsid w:val="000F64FC"/>
    <w:rsid w:val="000F696E"/>
    <w:rsid w:val="000F6C10"/>
    <w:rsid w:val="000F718E"/>
    <w:rsid w:val="001001F2"/>
    <w:rsid w:val="00100207"/>
    <w:rsid w:val="001003C6"/>
    <w:rsid w:val="001003DF"/>
    <w:rsid w:val="00100682"/>
    <w:rsid w:val="001010D3"/>
    <w:rsid w:val="0010144A"/>
    <w:rsid w:val="00101C11"/>
    <w:rsid w:val="00102F4F"/>
    <w:rsid w:val="001034DD"/>
    <w:rsid w:val="00103C58"/>
    <w:rsid w:val="00104425"/>
    <w:rsid w:val="00104B4C"/>
    <w:rsid w:val="00105135"/>
    <w:rsid w:val="001055A2"/>
    <w:rsid w:val="00105DC2"/>
    <w:rsid w:val="0010682A"/>
    <w:rsid w:val="00106C4C"/>
    <w:rsid w:val="00107DEF"/>
    <w:rsid w:val="0011037E"/>
    <w:rsid w:val="00110404"/>
    <w:rsid w:val="001109E8"/>
    <w:rsid w:val="00110F73"/>
    <w:rsid w:val="00111557"/>
    <w:rsid w:val="00111E35"/>
    <w:rsid w:val="001128B4"/>
    <w:rsid w:val="00112EBD"/>
    <w:rsid w:val="001132C2"/>
    <w:rsid w:val="0011382D"/>
    <w:rsid w:val="00113958"/>
    <w:rsid w:val="00113AF2"/>
    <w:rsid w:val="00113C17"/>
    <w:rsid w:val="00113FDD"/>
    <w:rsid w:val="00114051"/>
    <w:rsid w:val="00114973"/>
    <w:rsid w:val="00114CFF"/>
    <w:rsid w:val="00114FDF"/>
    <w:rsid w:val="0011650B"/>
    <w:rsid w:val="00116616"/>
    <w:rsid w:val="00116FC5"/>
    <w:rsid w:val="00117163"/>
    <w:rsid w:val="00117BBD"/>
    <w:rsid w:val="001202DF"/>
    <w:rsid w:val="00120C91"/>
    <w:rsid w:val="00120F1B"/>
    <w:rsid w:val="001213E7"/>
    <w:rsid w:val="001224BA"/>
    <w:rsid w:val="001238BC"/>
    <w:rsid w:val="00124288"/>
    <w:rsid w:val="00124518"/>
    <w:rsid w:val="001248AB"/>
    <w:rsid w:val="00124981"/>
    <w:rsid w:val="00124B2E"/>
    <w:rsid w:val="001256A1"/>
    <w:rsid w:val="00125D81"/>
    <w:rsid w:val="00126301"/>
    <w:rsid w:val="0012661F"/>
    <w:rsid w:val="00126966"/>
    <w:rsid w:val="001269B0"/>
    <w:rsid w:val="00126B24"/>
    <w:rsid w:val="00127234"/>
    <w:rsid w:val="001276C4"/>
    <w:rsid w:val="00127C68"/>
    <w:rsid w:val="00127D5B"/>
    <w:rsid w:val="00131373"/>
    <w:rsid w:val="001314A0"/>
    <w:rsid w:val="00131A1F"/>
    <w:rsid w:val="00131A66"/>
    <w:rsid w:val="00131F9C"/>
    <w:rsid w:val="00132336"/>
    <w:rsid w:val="00132425"/>
    <w:rsid w:val="0013280A"/>
    <w:rsid w:val="00132875"/>
    <w:rsid w:val="001332B3"/>
    <w:rsid w:val="0013343F"/>
    <w:rsid w:val="001344F9"/>
    <w:rsid w:val="00134F37"/>
    <w:rsid w:val="00135F76"/>
    <w:rsid w:val="001360E9"/>
    <w:rsid w:val="001360F4"/>
    <w:rsid w:val="001363C7"/>
    <w:rsid w:val="00136E87"/>
    <w:rsid w:val="00137B44"/>
    <w:rsid w:val="00140793"/>
    <w:rsid w:val="00140951"/>
    <w:rsid w:val="0014203B"/>
    <w:rsid w:val="001422BD"/>
    <w:rsid w:val="0014286D"/>
    <w:rsid w:val="00143AF3"/>
    <w:rsid w:val="00143B8E"/>
    <w:rsid w:val="00143F21"/>
    <w:rsid w:val="0014420C"/>
    <w:rsid w:val="001446C3"/>
    <w:rsid w:val="001453DB"/>
    <w:rsid w:val="00145EA8"/>
    <w:rsid w:val="001461A7"/>
    <w:rsid w:val="00146946"/>
    <w:rsid w:val="00146C01"/>
    <w:rsid w:val="00146E7C"/>
    <w:rsid w:val="00147F8C"/>
    <w:rsid w:val="00150492"/>
    <w:rsid w:val="00150AD6"/>
    <w:rsid w:val="001511EB"/>
    <w:rsid w:val="00151200"/>
    <w:rsid w:val="001513CE"/>
    <w:rsid w:val="00151465"/>
    <w:rsid w:val="00151AD8"/>
    <w:rsid w:val="00151E77"/>
    <w:rsid w:val="00153287"/>
    <w:rsid w:val="001533E6"/>
    <w:rsid w:val="001538BE"/>
    <w:rsid w:val="00153C33"/>
    <w:rsid w:val="00155198"/>
    <w:rsid w:val="00155A26"/>
    <w:rsid w:val="00155EF1"/>
    <w:rsid w:val="00156192"/>
    <w:rsid w:val="00156E57"/>
    <w:rsid w:val="0015710D"/>
    <w:rsid w:val="00157338"/>
    <w:rsid w:val="0015784F"/>
    <w:rsid w:val="00157CE5"/>
    <w:rsid w:val="00157DEB"/>
    <w:rsid w:val="00157FE2"/>
    <w:rsid w:val="001610BC"/>
    <w:rsid w:val="00161847"/>
    <w:rsid w:val="00161E13"/>
    <w:rsid w:val="001629D8"/>
    <w:rsid w:val="00162B2A"/>
    <w:rsid w:val="00162B8D"/>
    <w:rsid w:val="00162F9F"/>
    <w:rsid w:val="00163D14"/>
    <w:rsid w:val="00163EB1"/>
    <w:rsid w:val="00164803"/>
    <w:rsid w:val="00164AE0"/>
    <w:rsid w:val="00165BF5"/>
    <w:rsid w:val="00165F2E"/>
    <w:rsid w:val="0016646A"/>
    <w:rsid w:val="00166E1E"/>
    <w:rsid w:val="0016793B"/>
    <w:rsid w:val="00167C43"/>
    <w:rsid w:val="001706C9"/>
    <w:rsid w:val="0017120C"/>
    <w:rsid w:val="0017150D"/>
    <w:rsid w:val="00171570"/>
    <w:rsid w:val="00171D3A"/>
    <w:rsid w:val="001721E2"/>
    <w:rsid w:val="001727D7"/>
    <w:rsid w:val="00172C96"/>
    <w:rsid w:val="00172DDC"/>
    <w:rsid w:val="00172F3A"/>
    <w:rsid w:val="00173477"/>
    <w:rsid w:val="00173B4B"/>
    <w:rsid w:val="0017414F"/>
    <w:rsid w:val="0017432C"/>
    <w:rsid w:val="00174636"/>
    <w:rsid w:val="00174735"/>
    <w:rsid w:val="0017481D"/>
    <w:rsid w:val="00174B1B"/>
    <w:rsid w:val="00174BD8"/>
    <w:rsid w:val="00174D51"/>
    <w:rsid w:val="001750BC"/>
    <w:rsid w:val="001757B3"/>
    <w:rsid w:val="001765BB"/>
    <w:rsid w:val="0017667E"/>
    <w:rsid w:val="001766D3"/>
    <w:rsid w:val="00176AE8"/>
    <w:rsid w:val="00176E76"/>
    <w:rsid w:val="00177570"/>
    <w:rsid w:val="00177E95"/>
    <w:rsid w:val="0018007F"/>
    <w:rsid w:val="001811FC"/>
    <w:rsid w:val="00182338"/>
    <w:rsid w:val="00182348"/>
    <w:rsid w:val="00183F50"/>
    <w:rsid w:val="00184BD9"/>
    <w:rsid w:val="00184ED6"/>
    <w:rsid w:val="00184F13"/>
    <w:rsid w:val="00184FD9"/>
    <w:rsid w:val="00185361"/>
    <w:rsid w:val="00186037"/>
    <w:rsid w:val="00186AE4"/>
    <w:rsid w:val="00186D14"/>
    <w:rsid w:val="001876D8"/>
    <w:rsid w:val="00187F6A"/>
    <w:rsid w:val="00190325"/>
    <w:rsid w:val="00190391"/>
    <w:rsid w:val="0019151E"/>
    <w:rsid w:val="00191593"/>
    <w:rsid w:val="001918F1"/>
    <w:rsid w:val="0019196E"/>
    <w:rsid w:val="00191FF5"/>
    <w:rsid w:val="001926D7"/>
    <w:rsid w:val="00192CCE"/>
    <w:rsid w:val="0019385B"/>
    <w:rsid w:val="00193F1C"/>
    <w:rsid w:val="001948F5"/>
    <w:rsid w:val="00194958"/>
    <w:rsid w:val="00196359"/>
    <w:rsid w:val="00197205"/>
    <w:rsid w:val="00197632"/>
    <w:rsid w:val="0019793F"/>
    <w:rsid w:val="00197A9D"/>
    <w:rsid w:val="001A08E7"/>
    <w:rsid w:val="001A17D7"/>
    <w:rsid w:val="001A1A67"/>
    <w:rsid w:val="001A1FDD"/>
    <w:rsid w:val="001A2D8F"/>
    <w:rsid w:val="001A3D89"/>
    <w:rsid w:val="001A3E0A"/>
    <w:rsid w:val="001A5458"/>
    <w:rsid w:val="001A545B"/>
    <w:rsid w:val="001A54DA"/>
    <w:rsid w:val="001A5E69"/>
    <w:rsid w:val="001A65F6"/>
    <w:rsid w:val="001A6861"/>
    <w:rsid w:val="001A6C9E"/>
    <w:rsid w:val="001A6FEC"/>
    <w:rsid w:val="001A78AA"/>
    <w:rsid w:val="001B08B5"/>
    <w:rsid w:val="001B143B"/>
    <w:rsid w:val="001B1532"/>
    <w:rsid w:val="001B1777"/>
    <w:rsid w:val="001B19C5"/>
    <w:rsid w:val="001B1B6D"/>
    <w:rsid w:val="001B1C93"/>
    <w:rsid w:val="001B21CA"/>
    <w:rsid w:val="001B28D5"/>
    <w:rsid w:val="001B28E4"/>
    <w:rsid w:val="001B35D4"/>
    <w:rsid w:val="001B4446"/>
    <w:rsid w:val="001B53DD"/>
    <w:rsid w:val="001B5A00"/>
    <w:rsid w:val="001B5F59"/>
    <w:rsid w:val="001B602F"/>
    <w:rsid w:val="001B63A7"/>
    <w:rsid w:val="001B6810"/>
    <w:rsid w:val="001B6E89"/>
    <w:rsid w:val="001B791C"/>
    <w:rsid w:val="001B7D70"/>
    <w:rsid w:val="001C0125"/>
    <w:rsid w:val="001C1074"/>
    <w:rsid w:val="001C21C8"/>
    <w:rsid w:val="001C25F5"/>
    <w:rsid w:val="001C265A"/>
    <w:rsid w:val="001C2DFD"/>
    <w:rsid w:val="001C34D0"/>
    <w:rsid w:val="001C36BB"/>
    <w:rsid w:val="001C4249"/>
    <w:rsid w:val="001C46E3"/>
    <w:rsid w:val="001C4F27"/>
    <w:rsid w:val="001C51FE"/>
    <w:rsid w:val="001C5662"/>
    <w:rsid w:val="001C6573"/>
    <w:rsid w:val="001C6D50"/>
    <w:rsid w:val="001C7D03"/>
    <w:rsid w:val="001D00BE"/>
    <w:rsid w:val="001D079B"/>
    <w:rsid w:val="001D0C1F"/>
    <w:rsid w:val="001D0D32"/>
    <w:rsid w:val="001D17C9"/>
    <w:rsid w:val="001D1AB9"/>
    <w:rsid w:val="001D1EEB"/>
    <w:rsid w:val="001D1F20"/>
    <w:rsid w:val="001D3795"/>
    <w:rsid w:val="001D386C"/>
    <w:rsid w:val="001D4006"/>
    <w:rsid w:val="001D54BD"/>
    <w:rsid w:val="001D5C72"/>
    <w:rsid w:val="001D626E"/>
    <w:rsid w:val="001D733B"/>
    <w:rsid w:val="001D73CF"/>
    <w:rsid w:val="001D7E8C"/>
    <w:rsid w:val="001E0902"/>
    <w:rsid w:val="001E1801"/>
    <w:rsid w:val="001E1C73"/>
    <w:rsid w:val="001E1E05"/>
    <w:rsid w:val="001E2254"/>
    <w:rsid w:val="001E22D2"/>
    <w:rsid w:val="001E2343"/>
    <w:rsid w:val="001E3A17"/>
    <w:rsid w:val="001E3FCB"/>
    <w:rsid w:val="001E52DF"/>
    <w:rsid w:val="001E5500"/>
    <w:rsid w:val="001E6B89"/>
    <w:rsid w:val="001E6BCB"/>
    <w:rsid w:val="001E783B"/>
    <w:rsid w:val="001E7FBC"/>
    <w:rsid w:val="001F0822"/>
    <w:rsid w:val="001F08CB"/>
    <w:rsid w:val="001F105B"/>
    <w:rsid w:val="001F15F6"/>
    <w:rsid w:val="001F179C"/>
    <w:rsid w:val="001F24B7"/>
    <w:rsid w:val="001F2649"/>
    <w:rsid w:val="001F3496"/>
    <w:rsid w:val="001F41CA"/>
    <w:rsid w:val="001F4355"/>
    <w:rsid w:val="001F4819"/>
    <w:rsid w:val="001F48BD"/>
    <w:rsid w:val="001F4FAB"/>
    <w:rsid w:val="001F5034"/>
    <w:rsid w:val="001F61DE"/>
    <w:rsid w:val="001F63AA"/>
    <w:rsid w:val="001F69C8"/>
    <w:rsid w:val="001F7054"/>
    <w:rsid w:val="001F77E5"/>
    <w:rsid w:val="001F7DB7"/>
    <w:rsid w:val="002000AA"/>
    <w:rsid w:val="00201502"/>
    <w:rsid w:val="0020212E"/>
    <w:rsid w:val="0020302A"/>
    <w:rsid w:val="002032A0"/>
    <w:rsid w:val="00203532"/>
    <w:rsid w:val="002038C6"/>
    <w:rsid w:val="00203AE0"/>
    <w:rsid w:val="00204106"/>
    <w:rsid w:val="00204109"/>
    <w:rsid w:val="0020503A"/>
    <w:rsid w:val="00205041"/>
    <w:rsid w:val="0020524C"/>
    <w:rsid w:val="002059E3"/>
    <w:rsid w:val="00207438"/>
    <w:rsid w:val="002100FF"/>
    <w:rsid w:val="00210543"/>
    <w:rsid w:val="00210B9B"/>
    <w:rsid w:val="0021102F"/>
    <w:rsid w:val="002118D1"/>
    <w:rsid w:val="00211DCE"/>
    <w:rsid w:val="0021229D"/>
    <w:rsid w:val="00212390"/>
    <w:rsid w:val="00212897"/>
    <w:rsid w:val="0021386A"/>
    <w:rsid w:val="00213C44"/>
    <w:rsid w:val="002147EE"/>
    <w:rsid w:val="00215516"/>
    <w:rsid w:val="002158DC"/>
    <w:rsid w:val="002159D5"/>
    <w:rsid w:val="00215B64"/>
    <w:rsid w:val="00215C05"/>
    <w:rsid w:val="002161E3"/>
    <w:rsid w:val="00216DF5"/>
    <w:rsid w:val="00216EFA"/>
    <w:rsid w:val="0021798E"/>
    <w:rsid w:val="00217CA1"/>
    <w:rsid w:val="00217DEE"/>
    <w:rsid w:val="00217E2B"/>
    <w:rsid w:val="002203BF"/>
    <w:rsid w:val="00220C4C"/>
    <w:rsid w:val="00220E95"/>
    <w:rsid w:val="002217FE"/>
    <w:rsid w:val="0022180C"/>
    <w:rsid w:val="00221935"/>
    <w:rsid w:val="00221C72"/>
    <w:rsid w:val="002223E1"/>
    <w:rsid w:val="002225AB"/>
    <w:rsid w:val="00222955"/>
    <w:rsid w:val="002231B0"/>
    <w:rsid w:val="002250D1"/>
    <w:rsid w:val="002267D2"/>
    <w:rsid w:val="00230077"/>
    <w:rsid w:val="00230839"/>
    <w:rsid w:val="00230EE8"/>
    <w:rsid w:val="00231ADB"/>
    <w:rsid w:val="00232178"/>
    <w:rsid w:val="00232248"/>
    <w:rsid w:val="00232D12"/>
    <w:rsid w:val="00233616"/>
    <w:rsid w:val="00233975"/>
    <w:rsid w:val="00233B8C"/>
    <w:rsid w:val="002353E3"/>
    <w:rsid w:val="00235CC0"/>
    <w:rsid w:val="00235F30"/>
    <w:rsid w:val="00236287"/>
    <w:rsid w:val="002363FF"/>
    <w:rsid w:val="00236D10"/>
    <w:rsid w:val="002376D4"/>
    <w:rsid w:val="00237FB3"/>
    <w:rsid w:val="002407CE"/>
    <w:rsid w:val="00242325"/>
    <w:rsid w:val="00243A38"/>
    <w:rsid w:val="0024474F"/>
    <w:rsid w:val="00244761"/>
    <w:rsid w:val="002450F2"/>
    <w:rsid w:val="00245B7F"/>
    <w:rsid w:val="00246383"/>
    <w:rsid w:val="002466FA"/>
    <w:rsid w:val="002469C2"/>
    <w:rsid w:val="00247BDE"/>
    <w:rsid w:val="00247DE2"/>
    <w:rsid w:val="002505DE"/>
    <w:rsid w:val="002514FA"/>
    <w:rsid w:val="00251DAF"/>
    <w:rsid w:val="00252503"/>
    <w:rsid w:val="0025265C"/>
    <w:rsid w:val="00252ED7"/>
    <w:rsid w:val="0025393C"/>
    <w:rsid w:val="002549E7"/>
    <w:rsid w:val="00254A7A"/>
    <w:rsid w:val="00254EA4"/>
    <w:rsid w:val="0025509C"/>
    <w:rsid w:val="002552F8"/>
    <w:rsid w:val="0025575F"/>
    <w:rsid w:val="002571E3"/>
    <w:rsid w:val="002573DA"/>
    <w:rsid w:val="00260496"/>
    <w:rsid w:val="00260542"/>
    <w:rsid w:val="00260BAD"/>
    <w:rsid w:val="0026224C"/>
    <w:rsid w:val="00264C7C"/>
    <w:rsid w:val="0026650F"/>
    <w:rsid w:val="00266DC3"/>
    <w:rsid w:val="0027029D"/>
    <w:rsid w:val="00270443"/>
    <w:rsid w:val="00270C8E"/>
    <w:rsid w:val="00270EE2"/>
    <w:rsid w:val="0027138C"/>
    <w:rsid w:val="0027165A"/>
    <w:rsid w:val="00272787"/>
    <w:rsid w:val="00272826"/>
    <w:rsid w:val="00272A7B"/>
    <w:rsid w:val="00272C44"/>
    <w:rsid w:val="00272F05"/>
    <w:rsid w:val="00273527"/>
    <w:rsid w:val="00273F6B"/>
    <w:rsid w:val="002747EF"/>
    <w:rsid w:val="00274B06"/>
    <w:rsid w:val="002751D6"/>
    <w:rsid w:val="002754D3"/>
    <w:rsid w:val="00276261"/>
    <w:rsid w:val="00276944"/>
    <w:rsid w:val="00276964"/>
    <w:rsid w:val="002769AE"/>
    <w:rsid w:val="00276CA7"/>
    <w:rsid w:val="002816DD"/>
    <w:rsid w:val="002817A6"/>
    <w:rsid w:val="002821E8"/>
    <w:rsid w:val="00282F1D"/>
    <w:rsid w:val="00283215"/>
    <w:rsid w:val="002833F3"/>
    <w:rsid w:val="00284203"/>
    <w:rsid w:val="00285237"/>
    <w:rsid w:val="00285E3F"/>
    <w:rsid w:val="0028610D"/>
    <w:rsid w:val="002862CC"/>
    <w:rsid w:val="00286BFE"/>
    <w:rsid w:val="00286C81"/>
    <w:rsid w:val="0028703E"/>
    <w:rsid w:val="0028709F"/>
    <w:rsid w:val="0028717B"/>
    <w:rsid w:val="00287524"/>
    <w:rsid w:val="00290119"/>
    <w:rsid w:val="0029040D"/>
    <w:rsid w:val="002908F8"/>
    <w:rsid w:val="00290A53"/>
    <w:rsid w:val="00290B64"/>
    <w:rsid w:val="00291CB7"/>
    <w:rsid w:val="00292E91"/>
    <w:rsid w:val="002930AD"/>
    <w:rsid w:val="00293254"/>
    <w:rsid w:val="00295002"/>
    <w:rsid w:val="0029568E"/>
    <w:rsid w:val="00295E8C"/>
    <w:rsid w:val="002970F1"/>
    <w:rsid w:val="002971C7"/>
    <w:rsid w:val="002971F2"/>
    <w:rsid w:val="00297785"/>
    <w:rsid w:val="00297E05"/>
    <w:rsid w:val="002A0444"/>
    <w:rsid w:val="002A0F8D"/>
    <w:rsid w:val="002A1311"/>
    <w:rsid w:val="002A1377"/>
    <w:rsid w:val="002A1F89"/>
    <w:rsid w:val="002A211A"/>
    <w:rsid w:val="002A264B"/>
    <w:rsid w:val="002A33FD"/>
    <w:rsid w:val="002A3E38"/>
    <w:rsid w:val="002A4A82"/>
    <w:rsid w:val="002A4B33"/>
    <w:rsid w:val="002A4C00"/>
    <w:rsid w:val="002A5311"/>
    <w:rsid w:val="002A548D"/>
    <w:rsid w:val="002A5863"/>
    <w:rsid w:val="002A6E9B"/>
    <w:rsid w:val="002A6FBB"/>
    <w:rsid w:val="002B05D1"/>
    <w:rsid w:val="002B09F5"/>
    <w:rsid w:val="002B1933"/>
    <w:rsid w:val="002B20BD"/>
    <w:rsid w:val="002B22DB"/>
    <w:rsid w:val="002B2611"/>
    <w:rsid w:val="002B27D8"/>
    <w:rsid w:val="002B35B9"/>
    <w:rsid w:val="002B38D2"/>
    <w:rsid w:val="002B3A46"/>
    <w:rsid w:val="002B3F1C"/>
    <w:rsid w:val="002B3F60"/>
    <w:rsid w:val="002B401B"/>
    <w:rsid w:val="002B48C5"/>
    <w:rsid w:val="002B4ED9"/>
    <w:rsid w:val="002B4EF4"/>
    <w:rsid w:val="002B51BB"/>
    <w:rsid w:val="002B58C5"/>
    <w:rsid w:val="002B6CA2"/>
    <w:rsid w:val="002B6E44"/>
    <w:rsid w:val="002B6E8A"/>
    <w:rsid w:val="002B726F"/>
    <w:rsid w:val="002B744E"/>
    <w:rsid w:val="002B7909"/>
    <w:rsid w:val="002C000B"/>
    <w:rsid w:val="002C016F"/>
    <w:rsid w:val="002C07F0"/>
    <w:rsid w:val="002C09A8"/>
    <w:rsid w:val="002C103C"/>
    <w:rsid w:val="002C1109"/>
    <w:rsid w:val="002C12C7"/>
    <w:rsid w:val="002C185E"/>
    <w:rsid w:val="002C1E93"/>
    <w:rsid w:val="002C29EB"/>
    <w:rsid w:val="002C30F0"/>
    <w:rsid w:val="002C401A"/>
    <w:rsid w:val="002C479B"/>
    <w:rsid w:val="002C4EC8"/>
    <w:rsid w:val="002C532B"/>
    <w:rsid w:val="002C6AF5"/>
    <w:rsid w:val="002C6D15"/>
    <w:rsid w:val="002C72F4"/>
    <w:rsid w:val="002C7E5B"/>
    <w:rsid w:val="002D0907"/>
    <w:rsid w:val="002D0E9E"/>
    <w:rsid w:val="002D1381"/>
    <w:rsid w:val="002D2D68"/>
    <w:rsid w:val="002D2F69"/>
    <w:rsid w:val="002D3016"/>
    <w:rsid w:val="002D3067"/>
    <w:rsid w:val="002D38D9"/>
    <w:rsid w:val="002D3CE3"/>
    <w:rsid w:val="002D4298"/>
    <w:rsid w:val="002D47E8"/>
    <w:rsid w:val="002D4FCC"/>
    <w:rsid w:val="002D5FD5"/>
    <w:rsid w:val="002D68F4"/>
    <w:rsid w:val="002D7395"/>
    <w:rsid w:val="002D7417"/>
    <w:rsid w:val="002D782B"/>
    <w:rsid w:val="002E0D9C"/>
    <w:rsid w:val="002E1247"/>
    <w:rsid w:val="002E26E8"/>
    <w:rsid w:val="002E2A64"/>
    <w:rsid w:val="002E3DD8"/>
    <w:rsid w:val="002E3ED8"/>
    <w:rsid w:val="002E5A01"/>
    <w:rsid w:val="002E5AF4"/>
    <w:rsid w:val="002E5EA3"/>
    <w:rsid w:val="002E717C"/>
    <w:rsid w:val="002E7533"/>
    <w:rsid w:val="002E7A61"/>
    <w:rsid w:val="002F00B8"/>
    <w:rsid w:val="002F0106"/>
    <w:rsid w:val="002F02C2"/>
    <w:rsid w:val="002F03C8"/>
    <w:rsid w:val="002F188D"/>
    <w:rsid w:val="002F18A5"/>
    <w:rsid w:val="002F26F3"/>
    <w:rsid w:val="002F317F"/>
    <w:rsid w:val="002F51A2"/>
    <w:rsid w:val="002F5BA8"/>
    <w:rsid w:val="002F5E95"/>
    <w:rsid w:val="002F5F68"/>
    <w:rsid w:val="002F63CA"/>
    <w:rsid w:val="002F67B4"/>
    <w:rsid w:val="002F6F73"/>
    <w:rsid w:val="002F7AA9"/>
    <w:rsid w:val="003004E3"/>
    <w:rsid w:val="00300FF1"/>
    <w:rsid w:val="00301C0D"/>
    <w:rsid w:val="00301D7B"/>
    <w:rsid w:val="00301E19"/>
    <w:rsid w:val="003023DE"/>
    <w:rsid w:val="00302998"/>
    <w:rsid w:val="00303DC4"/>
    <w:rsid w:val="00304676"/>
    <w:rsid w:val="00306BE7"/>
    <w:rsid w:val="00306D4A"/>
    <w:rsid w:val="003110A2"/>
    <w:rsid w:val="00311655"/>
    <w:rsid w:val="00311B66"/>
    <w:rsid w:val="00311F29"/>
    <w:rsid w:val="00312518"/>
    <w:rsid w:val="00314036"/>
    <w:rsid w:val="00314347"/>
    <w:rsid w:val="00314C4F"/>
    <w:rsid w:val="00314DC1"/>
    <w:rsid w:val="00314FAF"/>
    <w:rsid w:val="00315CDD"/>
    <w:rsid w:val="003162A5"/>
    <w:rsid w:val="00316591"/>
    <w:rsid w:val="00320553"/>
    <w:rsid w:val="00320C6D"/>
    <w:rsid w:val="00321242"/>
    <w:rsid w:val="003213A8"/>
    <w:rsid w:val="00321CC6"/>
    <w:rsid w:val="00321FA8"/>
    <w:rsid w:val="00321FFD"/>
    <w:rsid w:val="003225AD"/>
    <w:rsid w:val="00322E18"/>
    <w:rsid w:val="00323C3D"/>
    <w:rsid w:val="00323D1D"/>
    <w:rsid w:val="00323F8A"/>
    <w:rsid w:val="00324752"/>
    <w:rsid w:val="00324D73"/>
    <w:rsid w:val="00326011"/>
    <w:rsid w:val="0032643D"/>
    <w:rsid w:val="00326D02"/>
    <w:rsid w:val="00327069"/>
    <w:rsid w:val="00327812"/>
    <w:rsid w:val="00327AFB"/>
    <w:rsid w:val="00327BAF"/>
    <w:rsid w:val="00327D10"/>
    <w:rsid w:val="00331894"/>
    <w:rsid w:val="00332CB8"/>
    <w:rsid w:val="00333427"/>
    <w:rsid w:val="00333428"/>
    <w:rsid w:val="00334784"/>
    <w:rsid w:val="003350B6"/>
    <w:rsid w:val="0033595E"/>
    <w:rsid w:val="0033601B"/>
    <w:rsid w:val="003364B6"/>
    <w:rsid w:val="0033764C"/>
    <w:rsid w:val="00337DF3"/>
    <w:rsid w:val="00337F8E"/>
    <w:rsid w:val="00340039"/>
    <w:rsid w:val="003400D3"/>
    <w:rsid w:val="0034024F"/>
    <w:rsid w:val="00340A77"/>
    <w:rsid w:val="00340D39"/>
    <w:rsid w:val="00340DFB"/>
    <w:rsid w:val="00341941"/>
    <w:rsid w:val="0034207A"/>
    <w:rsid w:val="003424E9"/>
    <w:rsid w:val="0034278F"/>
    <w:rsid w:val="0034281F"/>
    <w:rsid w:val="003438CB"/>
    <w:rsid w:val="00343B47"/>
    <w:rsid w:val="0034404F"/>
    <w:rsid w:val="00344ACC"/>
    <w:rsid w:val="00345F01"/>
    <w:rsid w:val="0034654F"/>
    <w:rsid w:val="00346B28"/>
    <w:rsid w:val="003475E1"/>
    <w:rsid w:val="00347685"/>
    <w:rsid w:val="003509A5"/>
    <w:rsid w:val="003515FD"/>
    <w:rsid w:val="003518A4"/>
    <w:rsid w:val="00351E21"/>
    <w:rsid w:val="00352327"/>
    <w:rsid w:val="003526A9"/>
    <w:rsid w:val="00352D0F"/>
    <w:rsid w:val="00354062"/>
    <w:rsid w:val="00354405"/>
    <w:rsid w:val="00355120"/>
    <w:rsid w:val="00355A76"/>
    <w:rsid w:val="00355DEC"/>
    <w:rsid w:val="0035635F"/>
    <w:rsid w:val="00356E0F"/>
    <w:rsid w:val="0035700C"/>
    <w:rsid w:val="003607EE"/>
    <w:rsid w:val="00360BC8"/>
    <w:rsid w:val="00360CC2"/>
    <w:rsid w:val="00360E35"/>
    <w:rsid w:val="00361106"/>
    <w:rsid w:val="003617AE"/>
    <w:rsid w:val="00361F64"/>
    <w:rsid w:val="0036215C"/>
    <w:rsid w:val="00362500"/>
    <w:rsid w:val="003630F7"/>
    <w:rsid w:val="0036332B"/>
    <w:rsid w:val="00363589"/>
    <w:rsid w:val="00363636"/>
    <w:rsid w:val="003651AC"/>
    <w:rsid w:val="003653AA"/>
    <w:rsid w:val="00366120"/>
    <w:rsid w:val="003661FF"/>
    <w:rsid w:val="003665A5"/>
    <w:rsid w:val="00366A0C"/>
    <w:rsid w:val="00367238"/>
    <w:rsid w:val="00367462"/>
    <w:rsid w:val="003677D5"/>
    <w:rsid w:val="0037034B"/>
    <w:rsid w:val="00370507"/>
    <w:rsid w:val="00370682"/>
    <w:rsid w:val="00370F0B"/>
    <w:rsid w:val="003718D8"/>
    <w:rsid w:val="00372A01"/>
    <w:rsid w:val="00372CFC"/>
    <w:rsid w:val="003733DF"/>
    <w:rsid w:val="00373865"/>
    <w:rsid w:val="003739DA"/>
    <w:rsid w:val="00373CE8"/>
    <w:rsid w:val="00374DB0"/>
    <w:rsid w:val="003751C7"/>
    <w:rsid w:val="00375C84"/>
    <w:rsid w:val="00376524"/>
    <w:rsid w:val="00376E3B"/>
    <w:rsid w:val="003776FE"/>
    <w:rsid w:val="00380424"/>
    <w:rsid w:val="00380868"/>
    <w:rsid w:val="00380B9B"/>
    <w:rsid w:val="003818B3"/>
    <w:rsid w:val="003819F5"/>
    <w:rsid w:val="00381A52"/>
    <w:rsid w:val="00381B57"/>
    <w:rsid w:val="00381D47"/>
    <w:rsid w:val="003821CC"/>
    <w:rsid w:val="003835F0"/>
    <w:rsid w:val="003842F5"/>
    <w:rsid w:val="003853B1"/>
    <w:rsid w:val="003853ED"/>
    <w:rsid w:val="0038628F"/>
    <w:rsid w:val="00386421"/>
    <w:rsid w:val="0038704C"/>
    <w:rsid w:val="00387AA1"/>
    <w:rsid w:val="0039082A"/>
    <w:rsid w:val="0039101F"/>
    <w:rsid w:val="003915B4"/>
    <w:rsid w:val="00392EDB"/>
    <w:rsid w:val="00392FAE"/>
    <w:rsid w:val="003931AA"/>
    <w:rsid w:val="00393EEE"/>
    <w:rsid w:val="003941C0"/>
    <w:rsid w:val="00394D45"/>
    <w:rsid w:val="00395132"/>
    <w:rsid w:val="00395D99"/>
    <w:rsid w:val="00396682"/>
    <w:rsid w:val="003968DF"/>
    <w:rsid w:val="003976C3"/>
    <w:rsid w:val="00397A03"/>
    <w:rsid w:val="00397A64"/>
    <w:rsid w:val="003A083B"/>
    <w:rsid w:val="003A099A"/>
    <w:rsid w:val="003A1372"/>
    <w:rsid w:val="003A15DE"/>
    <w:rsid w:val="003A1D46"/>
    <w:rsid w:val="003A2447"/>
    <w:rsid w:val="003A2B82"/>
    <w:rsid w:val="003A36D3"/>
    <w:rsid w:val="003A3927"/>
    <w:rsid w:val="003A3D2E"/>
    <w:rsid w:val="003A3FF7"/>
    <w:rsid w:val="003A43D1"/>
    <w:rsid w:val="003A44D9"/>
    <w:rsid w:val="003A48A4"/>
    <w:rsid w:val="003A6A51"/>
    <w:rsid w:val="003A6E29"/>
    <w:rsid w:val="003A7BDB"/>
    <w:rsid w:val="003A7FEA"/>
    <w:rsid w:val="003B0464"/>
    <w:rsid w:val="003B0BDB"/>
    <w:rsid w:val="003B0E88"/>
    <w:rsid w:val="003B106E"/>
    <w:rsid w:val="003B153F"/>
    <w:rsid w:val="003B16AF"/>
    <w:rsid w:val="003B17B0"/>
    <w:rsid w:val="003B1844"/>
    <w:rsid w:val="003B1A5C"/>
    <w:rsid w:val="003B211E"/>
    <w:rsid w:val="003B24EA"/>
    <w:rsid w:val="003B2DA7"/>
    <w:rsid w:val="003B3AB7"/>
    <w:rsid w:val="003B3ABC"/>
    <w:rsid w:val="003B3CDD"/>
    <w:rsid w:val="003B3D8E"/>
    <w:rsid w:val="003B3FED"/>
    <w:rsid w:val="003B3FF1"/>
    <w:rsid w:val="003B4217"/>
    <w:rsid w:val="003B59A1"/>
    <w:rsid w:val="003B6D11"/>
    <w:rsid w:val="003B74F1"/>
    <w:rsid w:val="003B7541"/>
    <w:rsid w:val="003B7966"/>
    <w:rsid w:val="003B7F07"/>
    <w:rsid w:val="003B7FCE"/>
    <w:rsid w:val="003C0F87"/>
    <w:rsid w:val="003C141E"/>
    <w:rsid w:val="003C1B83"/>
    <w:rsid w:val="003C210E"/>
    <w:rsid w:val="003C21B3"/>
    <w:rsid w:val="003C30AD"/>
    <w:rsid w:val="003C32B6"/>
    <w:rsid w:val="003C3503"/>
    <w:rsid w:val="003C40DE"/>
    <w:rsid w:val="003C4851"/>
    <w:rsid w:val="003C4C96"/>
    <w:rsid w:val="003C55E0"/>
    <w:rsid w:val="003C5E39"/>
    <w:rsid w:val="003C683A"/>
    <w:rsid w:val="003D0079"/>
    <w:rsid w:val="003D017D"/>
    <w:rsid w:val="003D04D6"/>
    <w:rsid w:val="003D10EC"/>
    <w:rsid w:val="003D28DE"/>
    <w:rsid w:val="003D29B9"/>
    <w:rsid w:val="003D3500"/>
    <w:rsid w:val="003D37B6"/>
    <w:rsid w:val="003D3C68"/>
    <w:rsid w:val="003D450D"/>
    <w:rsid w:val="003D4BA9"/>
    <w:rsid w:val="003D4F8F"/>
    <w:rsid w:val="003D503A"/>
    <w:rsid w:val="003D6505"/>
    <w:rsid w:val="003D6ABD"/>
    <w:rsid w:val="003D71A6"/>
    <w:rsid w:val="003D7709"/>
    <w:rsid w:val="003E004C"/>
    <w:rsid w:val="003E0BAF"/>
    <w:rsid w:val="003E0E25"/>
    <w:rsid w:val="003E1409"/>
    <w:rsid w:val="003E16F2"/>
    <w:rsid w:val="003E2195"/>
    <w:rsid w:val="003E36A5"/>
    <w:rsid w:val="003E42BC"/>
    <w:rsid w:val="003E4A52"/>
    <w:rsid w:val="003E5CBA"/>
    <w:rsid w:val="003E6FDC"/>
    <w:rsid w:val="003E78A9"/>
    <w:rsid w:val="003E7912"/>
    <w:rsid w:val="003F04A3"/>
    <w:rsid w:val="003F04E6"/>
    <w:rsid w:val="003F2CDD"/>
    <w:rsid w:val="003F33CF"/>
    <w:rsid w:val="003F3FB3"/>
    <w:rsid w:val="003F45D7"/>
    <w:rsid w:val="003F4C1B"/>
    <w:rsid w:val="003F5660"/>
    <w:rsid w:val="003F5717"/>
    <w:rsid w:val="003F5A39"/>
    <w:rsid w:val="003F5B56"/>
    <w:rsid w:val="003F5B9F"/>
    <w:rsid w:val="003F5C1A"/>
    <w:rsid w:val="003F6A6A"/>
    <w:rsid w:val="003F738D"/>
    <w:rsid w:val="003F7554"/>
    <w:rsid w:val="003F7845"/>
    <w:rsid w:val="003F7FA1"/>
    <w:rsid w:val="003F7FA4"/>
    <w:rsid w:val="004006EA"/>
    <w:rsid w:val="004008DE"/>
    <w:rsid w:val="00400B4E"/>
    <w:rsid w:val="0040130D"/>
    <w:rsid w:val="00402E56"/>
    <w:rsid w:val="00403634"/>
    <w:rsid w:val="00403A99"/>
    <w:rsid w:val="00404289"/>
    <w:rsid w:val="00404592"/>
    <w:rsid w:val="0040496E"/>
    <w:rsid w:val="00404B58"/>
    <w:rsid w:val="0040544F"/>
    <w:rsid w:val="00405537"/>
    <w:rsid w:val="00405AD2"/>
    <w:rsid w:val="0040625C"/>
    <w:rsid w:val="00406275"/>
    <w:rsid w:val="004069D2"/>
    <w:rsid w:val="00406E29"/>
    <w:rsid w:val="004076FF"/>
    <w:rsid w:val="00411B17"/>
    <w:rsid w:val="00411FFF"/>
    <w:rsid w:val="0041222D"/>
    <w:rsid w:val="004124F2"/>
    <w:rsid w:val="00412C2A"/>
    <w:rsid w:val="00412E6F"/>
    <w:rsid w:val="00413C5C"/>
    <w:rsid w:val="0041413F"/>
    <w:rsid w:val="0041567A"/>
    <w:rsid w:val="00415BAB"/>
    <w:rsid w:val="00415BCF"/>
    <w:rsid w:val="00416297"/>
    <w:rsid w:val="00417083"/>
    <w:rsid w:val="00417E36"/>
    <w:rsid w:val="0042057C"/>
    <w:rsid w:val="00420BDF"/>
    <w:rsid w:val="00421608"/>
    <w:rsid w:val="00421849"/>
    <w:rsid w:val="00421C23"/>
    <w:rsid w:val="0042261E"/>
    <w:rsid w:val="00422749"/>
    <w:rsid w:val="004228F2"/>
    <w:rsid w:val="004233DC"/>
    <w:rsid w:val="00424888"/>
    <w:rsid w:val="004255D9"/>
    <w:rsid w:val="00425763"/>
    <w:rsid w:val="00425C3C"/>
    <w:rsid w:val="00426F8D"/>
    <w:rsid w:val="00427D1B"/>
    <w:rsid w:val="00427E40"/>
    <w:rsid w:val="004306AB"/>
    <w:rsid w:val="0043159D"/>
    <w:rsid w:val="0043171D"/>
    <w:rsid w:val="00432F78"/>
    <w:rsid w:val="004334A2"/>
    <w:rsid w:val="004335BC"/>
    <w:rsid w:val="00433972"/>
    <w:rsid w:val="004339E6"/>
    <w:rsid w:val="00434723"/>
    <w:rsid w:val="00434729"/>
    <w:rsid w:val="0043617B"/>
    <w:rsid w:val="00437D17"/>
    <w:rsid w:val="00437D2F"/>
    <w:rsid w:val="0044046D"/>
    <w:rsid w:val="004410D3"/>
    <w:rsid w:val="00441A5B"/>
    <w:rsid w:val="00441DAF"/>
    <w:rsid w:val="0044270D"/>
    <w:rsid w:val="00442E8C"/>
    <w:rsid w:val="0044312A"/>
    <w:rsid w:val="00443310"/>
    <w:rsid w:val="004435D5"/>
    <w:rsid w:val="00443A34"/>
    <w:rsid w:val="00443D38"/>
    <w:rsid w:val="00444140"/>
    <w:rsid w:val="00444BF5"/>
    <w:rsid w:val="00444F43"/>
    <w:rsid w:val="00447213"/>
    <w:rsid w:val="00447C23"/>
    <w:rsid w:val="00450744"/>
    <w:rsid w:val="00450BE7"/>
    <w:rsid w:val="00450F9E"/>
    <w:rsid w:val="00450FE8"/>
    <w:rsid w:val="004518D0"/>
    <w:rsid w:val="0045213A"/>
    <w:rsid w:val="0045227C"/>
    <w:rsid w:val="0045230E"/>
    <w:rsid w:val="004528FA"/>
    <w:rsid w:val="00452D67"/>
    <w:rsid w:val="00452E53"/>
    <w:rsid w:val="0045418C"/>
    <w:rsid w:val="004542C6"/>
    <w:rsid w:val="00454EDC"/>
    <w:rsid w:val="00455B00"/>
    <w:rsid w:val="00455B97"/>
    <w:rsid w:val="00456635"/>
    <w:rsid w:val="00456BFD"/>
    <w:rsid w:val="004575D5"/>
    <w:rsid w:val="00457657"/>
    <w:rsid w:val="004600BF"/>
    <w:rsid w:val="004607D0"/>
    <w:rsid w:val="00460CE3"/>
    <w:rsid w:val="00460F25"/>
    <w:rsid w:val="0046116D"/>
    <w:rsid w:val="004612A4"/>
    <w:rsid w:val="0046153C"/>
    <w:rsid w:val="004615F5"/>
    <w:rsid w:val="004624D2"/>
    <w:rsid w:val="004625C8"/>
    <w:rsid w:val="00462DCE"/>
    <w:rsid w:val="0046442A"/>
    <w:rsid w:val="00464BF1"/>
    <w:rsid w:val="004657C5"/>
    <w:rsid w:val="00465D73"/>
    <w:rsid w:val="00466078"/>
    <w:rsid w:val="0046626B"/>
    <w:rsid w:val="004676E4"/>
    <w:rsid w:val="00467AFF"/>
    <w:rsid w:val="00470183"/>
    <w:rsid w:val="004708C9"/>
    <w:rsid w:val="00470C48"/>
    <w:rsid w:val="0047139F"/>
    <w:rsid w:val="00471429"/>
    <w:rsid w:val="004722B1"/>
    <w:rsid w:val="004734A1"/>
    <w:rsid w:val="004739D2"/>
    <w:rsid w:val="00473A47"/>
    <w:rsid w:val="00473A4F"/>
    <w:rsid w:val="00473C0A"/>
    <w:rsid w:val="00473EEF"/>
    <w:rsid w:val="00474415"/>
    <w:rsid w:val="00474BC1"/>
    <w:rsid w:val="004760A7"/>
    <w:rsid w:val="004763EC"/>
    <w:rsid w:val="0047722F"/>
    <w:rsid w:val="00477459"/>
    <w:rsid w:val="00477CC9"/>
    <w:rsid w:val="0048012F"/>
    <w:rsid w:val="0048026E"/>
    <w:rsid w:val="00480303"/>
    <w:rsid w:val="004807A9"/>
    <w:rsid w:val="00480A8A"/>
    <w:rsid w:val="00480F76"/>
    <w:rsid w:val="004810A5"/>
    <w:rsid w:val="004810E0"/>
    <w:rsid w:val="00481318"/>
    <w:rsid w:val="00481363"/>
    <w:rsid w:val="004813EE"/>
    <w:rsid w:val="00481835"/>
    <w:rsid w:val="00482CDC"/>
    <w:rsid w:val="00482FB0"/>
    <w:rsid w:val="00483B03"/>
    <w:rsid w:val="0048444C"/>
    <w:rsid w:val="00485058"/>
    <w:rsid w:val="00485702"/>
    <w:rsid w:val="00485C2D"/>
    <w:rsid w:val="004867EC"/>
    <w:rsid w:val="00486A37"/>
    <w:rsid w:val="00487662"/>
    <w:rsid w:val="004876C6"/>
    <w:rsid w:val="00487D7B"/>
    <w:rsid w:val="00490F7A"/>
    <w:rsid w:val="00490FD5"/>
    <w:rsid w:val="00491241"/>
    <w:rsid w:val="00491813"/>
    <w:rsid w:val="0049194F"/>
    <w:rsid w:val="00493278"/>
    <w:rsid w:val="00493855"/>
    <w:rsid w:val="004951D8"/>
    <w:rsid w:val="004952C1"/>
    <w:rsid w:val="00497575"/>
    <w:rsid w:val="004A078B"/>
    <w:rsid w:val="004A0B6C"/>
    <w:rsid w:val="004A12C0"/>
    <w:rsid w:val="004A169A"/>
    <w:rsid w:val="004A18C9"/>
    <w:rsid w:val="004A191A"/>
    <w:rsid w:val="004A1A70"/>
    <w:rsid w:val="004A2D5A"/>
    <w:rsid w:val="004A3988"/>
    <w:rsid w:val="004A4027"/>
    <w:rsid w:val="004A419E"/>
    <w:rsid w:val="004A4688"/>
    <w:rsid w:val="004A6463"/>
    <w:rsid w:val="004A6B58"/>
    <w:rsid w:val="004A6BA2"/>
    <w:rsid w:val="004B06C3"/>
    <w:rsid w:val="004B0917"/>
    <w:rsid w:val="004B0B09"/>
    <w:rsid w:val="004B0FFB"/>
    <w:rsid w:val="004B140F"/>
    <w:rsid w:val="004B14EB"/>
    <w:rsid w:val="004B21CF"/>
    <w:rsid w:val="004B2DE3"/>
    <w:rsid w:val="004B34DF"/>
    <w:rsid w:val="004B3FEA"/>
    <w:rsid w:val="004B47F7"/>
    <w:rsid w:val="004B4E68"/>
    <w:rsid w:val="004B53F1"/>
    <w:rsid w:val="004B5D6E"/>
    <w:rsid w:val="004B60BA"/>
    <w:rsid w:val="004B6946"/>
    <w:rsid w:val="004B6D89"/>
    <w:rsid w:val="004B6E81"/>
    <w:rsid w:val="004C0FFE"/>
    <w:rsid w:val="004C136D"/>
    <w:rsid w:val="004C1619"/>
    <w:rsid w:val="004C177F"/>
    <w:rsid w:val="004C19E4"/>
    <w:rsid w:val="004C1B59"/>
    <w:rsid w:val="004C3C25"/>
    <w:rsid w:val="004C3CFC"/>
    <w:rsid w:val="004C3EEA"/>
    <w:rsid w:val="004C4EA2"/>
    <w:rsid w:val="004C596B"/>
    <w:rsid w:val="004C5E41"/>
    <w:rsid w:val="004C60E7"/>
    <w:rsid w:val="004C664D"/>
    <w:rsid w:val="004C7BDE"/>
    <w:rsid w:val="004C7EEB"/>
    <w:rsid w:val="004D0090"/>
    <w:rsid w:val="004D020F"/>
    <w:rsid w:val="004D03D1"/>
    <w:rsid w:val="004D07A1"/>
    <w:rsid w:val="004D10B0"/>
    <w:rsid w:val="004D11AF"/>
    <w:rsid w:val="004D2E58"/>
    <w:rsid w:val="004D37D9"/>
    <w:rsid w:val="004D41A2"/>
    <w:rsid w:val="004D502C"/>
    <w:rsid w:val="004D5FB2"/>
    <w:rsid w:val="004D60A3"/>
    <w:rsid w:val="004D6DC3"/>
    <w:rsid w:val="004D71CA"/>
    <w:rsid w:val="004E016A"/>
    <w:rsid w:val="004E0461"/>
    <w:rsid w:val="004E0F55"/>
    <w:rsid w:val="004E1CC8"/>
    <w:rsid w:val="004E2052"/>
    <w:rsid w:val="004E29B1"/>
    <w:rsid w:val="004E3F87"/>
    <w:rsid w:val="004E461B"/>
    <w:rsid w:val="004E4653"/>
    <w:rsid w:val="004E477D"/>
    <w:rsid w:val="004E5890"/>
    <w:rsid w:val="004E79EF"/>
    <w:rsid w:val="004E7B33"/>
    <w:rsid w:val="004F0368"/>
    <w:rsid w:val="004F0D19"/>
    <w:rsid w:val="004F121B"/>
    <w:rsid w:val="004F140F"/>
    <w:rsid w:val="004F185F"/>
    <w:rsid w:val="004F198B"/>
    <w:rsid w:val="004F2811"/>
    <w:rsid w:val="004F3326"/>
    <w:rsid w:val="004F4D22"/>
    <w:rsid w:val="004F590E"/>
    <w:rsid w:val="004F5966"/>
    <w:rsid w:val="004F6026"/>
    <w:rsid w:val="004F60F4"/>
    <w:rsid w:val="004F62E8"/>
    <w:rsid w:val="004F67C3"/>
    <w:rsid w:val="004F6C17"/>
    <w:rsid w:val="004F7390"/>
    <w:rsid w:val="004F78F8"/>
    <w:rsid w:val="004F7C02"/>
    <w:rsid w:val="005001A5"/>
    <w:rsid w:val="00500CCD"/>
    <w:rsid w:val="005019AA"/>
    <w:rsid w:val="00502008"/>
    <w:rsid w:val="005032E9"/>
    <w:rsid w:val="00503C3B"/>
    <w:rsid w:val="00503CE7"/>
    <w:rsid w:val="005040C9"/>
    <w:rsid w:val="005042DB"/>
    <w:rsid w:val="0050458E"/>
    <w:rsid w:val="00505928"/>
    <w:rsid w:val="00505CD6"/>
    <w:rsid w:val="005069B2"/>
    <w:rsid w:val="0050741A"/>
    <w:rsid w:val="00510452"/>
    <w:rsid w:val="005107BD"/>
    <w:rsid w:val="005108EC"/>
    <w:rsid w:val="00511F8F"/>
    <w:rsid w:val="00512A7E"/>
    <w:rsid w:val="00513291"/>
    <w:rsid w:val="00513EA4"/>
    <w:rsid w:val="005147DA"/>
    <w:rsid w:val="00514C3C"/>
    <w:rsid w:val="00514FBF"/>
    <w:rsid w:val="00514FCB"/>
    <w:rsid w:val="005153AC"/>
    <w:rsid w:val="005153C3"/>
    <w:rsid w:val="00515745"/>
    <w:rsid w:val="00515862"/>
    <w:rsid w:val="005165FE"/>
    <w:rsid w:val="0051690E"/>
    <w:rsid w:val="00516942"/>
    <w:rsid w:val="00516DC0"/>
    <w:rsid w:val="00516DC5"/>
    <w:rsid w:val="00517667"/>
    <w:rsid w:val="005179CB"/>
    <w:rsid w:val="00520BBA"/>
    <w:rsid w:val="00521092"/>
    <w:rsid w:val="005225AC"/>
    <w:rsid w:val="0052268F"/>
    <w:rsid w:val="005226FA"/>
    <w:rsid w:val="005233F3"/>
    <w:rsid w:val="0052365C"/>
    <w:rsid w:val="00524250"/>
    <w:rsid w:val="005245D2"/>
    <w:rsid w:val="0052488B"/>
    <w:rsid w:val="00524C98"/>
    <w:rsid w:val="00524C9C"/>
    <w:rsid w:val="00524EDD"/>
    <w:rsid w:val="00524FEB"/>
    <w:rsid w:val="00525B59"/>
    <w:rsid w:val="005269C4"/>
    <w:rsid w:val="00526A20"/>
    <w:rsid w:val="00531966"/>
    <w:rsid w:val="00532472"/>
    <w:rsid w:val="005325C9"/>
    <w:rsid w:val="005329DA"/>
    <w:rsid w:val="0053322F"/>
    <w:rsid w:val="00533BC1"/>
    <w:rsid w:val="00533DBF"/>
    <w:rsid w:val="00534940"/>
    <w:rsid w:val="00535673"/>
    <w:rsid w:val="00535784"/>
    <w:rsid w:val="00535D6B"/>
    <w:rsid w:val="00536442"/>
    <w:rsid w:val="005374FE"/>
    <w:rsid w:val="00537B9F"/>
    <w:rsid w:val="0054053D"/>
    <w:rsid w:val="0054126C"/>
    <w:rsid w:val="00541368"/>
    <w:rsid w:val="005415DD"/>
    <w:rsid w:val="00541D12"/>
    <w:rsid w:val="005423F3"/>
    <w:rsid w:val="005426DB"/>
    <w:rsid w:val="005442F1"/>
    <w:rsid w:val="00544A24"/>
    <w:rsid w:val="0054583C"/>
    <w:rsid w:val="00546227"/>
    <w:rsid w:val="005468E2"/>
    <w:rsid w:val="00546D83"/>
    <w:rsid w:val="00550113"/>
    <w:rsid w:val="0055019B"/>
    <w:rsid w:val="005504BE"/>
    <w:rsid w:val="0055082B"/>
    <w:rsid w:val="0055093A"/>
    <w:rsid w:val="00550F00"/>
    <w:rsid w:val="00551964"/>
    <w:rsid w:val="00551BDF"/>
    <w:rsid w:val="00551ED7"/>
    <w:rsid w:val="0055211C"/>
    <w:rsid w:val="0055263A"/>
    <w:rsid w:val="005526EE"/>
    <w:rsid w:val="00552B57"/>
    <w:rsid w:val="00552E53"/>
    <w:rsid w:val="00553C1B"/>
    <w:rsid w:val="00553E34"/>
    <w:rsid w:val="00553EEF"/>
    <w:rsid w:val="005547B7"/>
    <w:rsid w:val="005551E9"/>
    <w:rsid w:val="0055680D"/>
    <w:rsid w:val="00557670"/>
    <w:rsid w:val="00557C2D"/>
    <w:rsid w:val="00557D40"/>
    <w:rsid w:val="00560094"/>
    <w:rsid w:val="00560C62"/>
    <w:rsid w:val="00562A61"/>
    <w:rsid w:val="00562E78"/>
    <w:rsid w:val="005638A2"/>
    <w:rsid w:val="00564E45"/>
    <w:rsid w:val="005652D5"/>
    <w:rsid w:val="00565E52"/>
    <w:rsid w:val="00567227"/>
    <w:rsid w:val="00567CD0"/>
    <w:rsid w:val="00570C7B"/>
    <w:rsid w:val="00571C77"/>
    <w:rsid w:val="00572D5B"/>
    <w:rsid w:val="00574268"/>
    <w:rsid w:val="00574614"/>
    <w:rsid w:val="00574A70"/>
    <w:rsid w:val="00574D35"/>
    <w:rsid w:val="00575C75"/>
    <w:rsid w:val="00575CEA"/>
    <w:rsid w:val="005762CA"/>
    <w:rsid w:val="005770CF"/>
    <w:rsid w:val="00577904"/>
    <w:rsid w:val="00577922"/>
    <w:rsid w:val="00577AC3"/>
    <w:rsid w:val="00580577"/>
    <w:rsid w:val="005815A8"/>
    <w:rsid w:val="00581915"/>
    <w:rsid w:val="0058284A"/>
    <w:rsid w:val="00583431"/>
    <w:rsid w:val="005835B0"/>
    <w:rsid w:val="005846C0"/>
    <w:rsid w:val="00584D04"/>
    <w:rsid w:val="005853F5"/>
    <w:rsid w:val="0058567E"/>
    <w:rsid w:val="00585DE1"/>
    <w:rsid w:val="0058659E"/>
    <w:rsid w:val="005869EE"/>
    <w:rsid w:val="005872DD"/>
    <w:rsid w:val="00587CF2"/>
    <w:rsid w:val="00587D3A"/>
    <w:rsid w:val="00590346"/>
    <w:rsid w:val="00590BA2"/>
    <w:rsid w:val="00590CA7"/>
    <w:rsid w:val="00590E93"/>
    <w:rsid w:val="005915E1"/>
    <w:rsid w:val="00591C75"/>
    <w:rsid w:val="00592BE2"/>
    <w:rsid w:val="00592D10"/>
    <w:rsid w:val="0059388B"/>
    <w:rsid w:val="00593A5F"/>
    <w:rsid w:val="0059404E"/>
    <w:rsid w:val="00594269"/>
    <w:rsid w:val="00595539"/>
    <w:rsid w:val="005959A7"/>
    <w:rsid w:val="00597108"/>
    <w:rsid w:val="005976DB"/>
    <w:rsid w:val="005A00BB"/>
    <w:rsid w:val="005A1346"/>
    <w:rsid w:val="005A1A84"/>
    <w:rsid w:val="005A3E82"/>
    <w:rsid w:val="005A4287"/>
    <w:rsid w:val="005A482E"/>
    <w:rsid w:val="005A4DB0"/>
    <w:rsid w:val="005A5095"/>
    <w:rsid w:val="005A5597"/>
    <w:rsid w:val="005A57BF"/>
    <w:rsid w:val="005A6AC2"/>
    <w:rsid w:val="005A7A65"/>
    <w:rsid w:val="005A7B26"/>
    <w:rsid w:val="005A7B8E"/>
    <w:rsid w:val="005B012B"/>
    <w:rsid w:val="005B095C"/>
    <w:rsid w:val="005B0C87"/>
    <w:rsid w:val="005B0FE9"/>
    <w:rsid w:val="005B1B82"/>
    <w:rsid w:val="005B2195"/>
    <w:rsid w:val="005B26C7"/>
    <w:rsid w:val="005B2D65"/>
    <w:rsid w:val="005B3877"/>
    <w:rsid w:val="005B3AC8"/>
    <w:rsid w:val="005B3CC1"/>
    <w:rsid w:val="005B4002"/>
    <w:rsid w:val="005B45AB"/>
    <w:rsid w:val="005B4D8F"/>
    <w:rsid w:val="005B526C"/>
    <w:rsid w:val="005B541E"/>
    <w:rsid w:val="005B6551"/>
    <w:rsid w:val="005B71A8"/>
    <w:rsid w:val="005B744B"/>
    <w:rsid w:val="005B7A81"/>
    <w:rsid w:val="005C0A6F"/>
    <w:rsid w:val="005C0FA7"/>
    <w:rsid w:val="005C155F"/>
    <w:rsid w:val="005C1C0E"/>
    <w:rsid w:val="005C1FF5"/>
    <w:rsid w:val="005C36E2"/>
    <w:rsid w:val="005C3E9E"/>
    <w:rsid w:val="005C400C"/>
    <w:rsid w:val="005C410C"/>
    <w:rsid w:val="005C4BF1"/>
    <w:rsid w:val="005C4BF2"/>
    <w:rsid w:val="005C52D4"/>
    <w:rsid w:val="005C5BED"/>
    <w:rsid w:val="005C5D86"/>
    <w:rsid w:val="005C6167"/>
    <w:rsid w:val="005C6ADB"/>
    <w:rsid w:val="005C6EE2"/>
    <w:rsid w:val="005C7A07"/>
    <w:rsid w:val="005C7DDC"/>
    <w:rsid w:val="005C7EEC"/>
    <w:rsid w:val="005C7F7C"/>
    <w:rsid w:val="005D0BAD"/>
    <w:rsid w:val="005D0C0A"/>
    <w:rsid w:val="005D107D"/>
    <w:rsid w:val="005D123A"/>
    <w:rsid w:val="005D2506"/>
    <w:rsid w:val="005D2BB5"/>
    <w:rsid w:val="005D2DBD"/>
    <w:rsid w:val="005D3677"/>
    <w:rsid w:val="005D4781"/>
    <w:rsid w:val="005D4E4C"/>
    <w:rsid w:val="005D5B5E"/>
    <w:rsid w:val="005D5C85"/>
    <w:rsid w:val="005D5CA0"/>
    <w:rsid w:val="005D69AB"/>
    <w:rsid w:val="005D72FC"/>
    <w:rsid w:val="005D7DFC"/>
    <w:rsid w:val="005E035A"/>
    <w:rsid w:val="005E0464"/>
    <w:rsid w:val="005E0681"/>
    <w:rsid w:val="005E1218"/>
    <w:rsid w:val="005E18EC"/>
    <w:rsid w:val="005E19B8"/>
    <w:rsid w:val="005E1A55"/>
    <w:rsid w:val="005E1B6B"/>
    <w:rsid w:val="005E1F61"/>
    <w:rsid w:val="005E2127"/>
    <w:rsid w:val="005E2281"/>
    <w:rsid w:val="005E236C"/>
    <w:rsid w:val="005E2FAE"/>
    <w:rsid w:val="005E32C9"/>
    <w:rsid w:val="005E351B"/>
    <w:rsid w:val="005E38A8"/>
    <w:rsid w:val="005E39F9"/>
    <w:rsid w:val="005E3A00"/>
    <w:rsid w:val="005E3D9B"/>
    <w:rsid w:val="005E44B6"/>
    <w:rsid w:val="005E4828"/>
    <w:rsid w:val="005E4887"/>
    <w:rsid w:val="005E5016"/>
    <w:rsid w:val="005E5231"/>
    <w:rsid w:val="005E55BB"/>
    <w:rsid w:val="005E5B65"/>
    <w:rsid w:val="005E5D11"/>
    <w:rsid w:val="005E667C"/>
    <w:rsid w:val="005E6A1D"/>
    <w:rsid w:val="005E6F12"/>
    <w:rsid w:val="005E733E"/>
    <w:rsid w:val="005E7428"/>
    <w:rsid w:val="005F00C0"/>
    <w:rsid w:val="005F0694"/>
    <w:rsid w:val="005F06E1"/>
    <w:rsid w:val="005F077C"/>
    <w:rsid w:val="005F0B88"/>
    <w:rsid w:val="005F1735"/>
    <w:rsid w:val="005F187E"/>
    <w:rsid w:val="005F252A"/>
    <w:rsid w:val="005F3C78"/>
    <w:rsid w:val="005F3CE8"/>
    <w:rsid w:val="005F4F41"/>
    <w:rsid w:val="005F4F70"/>
    <w:rsid w:val="005F566D"/>
    <w:rsid w:val="005F648F"/>
    <w:rsid w:val="005F65E9"/>
    <w:rsid w:val="005F68C3"/>
    <w:rsid w:val="005F7D87"/>
    <w:rsid w:val="00601794"/>
    <w:rsid w:val="00601A7D"/>
    <w:rsid w:val="00601E94"/>
    <w:rsid w:val="006021B1"/>
    <w:rsid w:val="006029A7"/>
    <w:rsid w:val="00602F40"/>
    <w:rsid w:val="006037C5"/>
    <w:rsid w:val="006040CE"/>
    <w:rsid w:val="0060467D"/>
    <w:rsid w:val="00604DF3"/>
    <w:rsid w:val="0060585E"/>
    <w:rsid w:val="00605B4D"/>
    <w:rsid w:val="00605B9D"/>
    <w:rsid w:val="00606213"/>
    <w:rsid w:val="00606B57"/>
    <w:rsid w:val="00606B85"/>
    <w:rsid w:val="00607390"/>
    <w:rsid w:val="006076D8"/>
    <w:rsid w:val="00607D7A"/>
    <w:rsid w:val="00607E6D"/>
    <w:rsid w:val="0061061D"/>
    <w:rsid w:val="00611816"/>
    <w:rsid w:val="00611A3B"/>
    <w:rsid w:val="006120CA"/>
    <w:rsid w:val="00612389"/>
    <w:rsid w:val="00612570"/>
    <w:rsid w:val="006127BD"/>
    <w:rsid w:val="00612871"/>
    <w:rsid w:val="00612929"/>
    <w:rsid w:val="00612A44"/>
    <w:rsid w:val="00612A8E"/>
    <w:rsid w:val="00613098"/>
    <w:rsid w:val="006134D9"/>
    <w:rsid w:val="006135DA"/>
    <w:rsid w:val="00613BDC"/>
    <w:rsid w:val="00614921"/>
    <w:rsid w:val="00615564"/>
    <w:rsid w:val="006155E2"/>
    <w:rsid w:val="00615ECA"/>
    <w:rsid w:val="00615F26"/>
    <w:rsid w:val="00616CCC"/>
    <w:rsid w:val="00617A81"/>
    <w:rsid w:val="00617C11"/>
    <w:rsid w:val="00617DEC"/>
    <w:rsid w:val="00620573"/>
    <w:rsid w:val="00620579"/>
    <w:rsid w:val="006208AA"/>
    <w:rsid w:val="0062128D"/>
    <w:rsid w:val="006213A7"/>
    <w:rsid w:val="00621C96"/>
    <w:rsid w:val="00622161"/>
    <w:rsid w:val="0062228D"/>
    <w:rsid w:val="006224D1"/>
    <w:rsid w:val="0062258F"/>
    <w:rsid w:val="00622732"/>
    <w:rsid w:val="00622E6D"/>
    <w:rsid w:val="00623BC7"/>
    <w:rsid w:val="00623E70"/>
    <w:rsid w:val="006241D0"/>
    <w:rsid w:val="00624425"/>
    <w:rsid w:val="00624665"/>
    <w:rsid w:val="00625434"/>
    <w:rsid w:val="0062576B"/>
    <w:rsid w:val="00625C5F"/>
    <w:rsid w:val="00625E4C"/>
    <w:rsid w:val="00625FF2"/>
    <w:rsid w:val="00626032"/>
    <w:rsid w:val="00627643"/>
    <w:rsid w:val="00627788"/>
    <w:rsid w:val="006300CD"/>
    <w:rsid w:val="0063017E"/>
    <w:rsid w:val="00630723"/>
    <w:rsid w:val="00630E8B"/>
    <w:rsid w:val="00630EAE"/>
    <w:rsid w:val="006312D0"/>
    <w:rsid w:val="00631866"/>
    <w:rsid w:val="006318A4"/>
    <w:rsid w:val="00631A11"/>
    <w:rsid w:val="00631D4F"/>
    <w:rsid w:val="006321B6"/>
    <w:rsid w:val="006327C6"/>
    <w:rsid w:val="00633496"/>
    <w:rsid w:val="006338D2"/>
    <w:rsid w:val="00633F92"/>
    <w:rsid w:val="0063435E"/>
    <w:rsid w:val="00634CB2"/>
    <w:rsid w:val="006357E2"/>
    <w:rsid w:val="00635FD8"/>
    <w:rsid w:val="00636651"/>
    <w:rsid w:val="006368E4"/>
    <w:rsid w:val="00636F7B"/>
    <w:rsid w:val="00640140"/>
    <w:rsid w:val="0064019C"/>
    <w:rsid w:val="00640288"/>
    <w:rsid w:val="006405AC"/>
    <w:rsid w:val="0064084A"/>
    <w:rsid w:val="0064099D"/>
    <w:rsid w:val="00640E9A"/>
    <w:rsid w:val="006412CD"/>
    <w:rsid w:val="006413D8"/>
    <w:rsid w:val="00641610"/>
    <w:rsid w:val="0064198D"/>
    <w:rsid w:val="00641B7B"/>
    <w:rsid w:val="00641C55"/>
    <w:rsid w:val="00642405"/>
    <w:rsid w:val="00642645"/>
    <w:rsid w:val="00643461"/>
    <w:rsid w:val="006437E8"/>
    <w:rsid w:val="006438E0"/>
    <w:rsid w:val="00644BED"/>
    <w:rsid w:val="006455CB"/>
    <w:rsid w:val="00646FD5"/>
    <w:rsid w:val="006472F8"/>
    <w:rsid w:val="00647680"/>
    <w:rsid w:val="00647743"/>
    <w:rsid w:val="006510C0"/>
    <w:rsid w:val="00651DC7"/>
    <w:rsid w:val="00652092"/>
    <w:rsid w:val="00652472"/>
    <w:rsid w:val="00652F31"/>
    <w:rsid w:val="006535E5"/>
    <w:rsid w:val="0065394E"/>
    <w:rsid w:val="00653B2B"/>
    <w:rsid w:val="00653B38"/>
    <w:rsid w:val="00654D37"/>
    <w:rsid w:val="00654F06"/>
    <w:rsid w:val="00656385"/>
    <w:rsid w:val="00656F19"/>
    <w:rsid w:val="00657B4C"/>
    <w:rsid w:val="00657BB7"/>
    <w:rsid w:val="00660299"/>
    <w:rsid w:val="00660552"/>
    <w:rsid w:val="00660DBE"/>
    <w:rsid w:val="00660F58"/>
    <w:rsid w:val="00661113"/>
    <w:rsid w:val="0066127D"/>
    <w:rsid w:val="00661AB0"/>
    <w:rsid w:val="006621E9"/>
    <w:rsid w:val="006623A4"/>
    <w:rsid w:val="006627B5"/>
    <w:rsid w:val="0066351C"/>
    <w:rsid w:val="0066354C"/>
    <w:rsid w:val="006635BF"/>
    <w:rsid w:val="00663CBA"/>
    <w:rsid w:val="00664498"/>
    <w:rsid w:val="00664693"/>
    <w:rsid w:val="00664DC0"/>
    <w:rsid w:val="006651CC"/>
    <w:rsid w:val="0066582B"/>
    <w:rsid w:val="006658DA"/>
    <w:rsid w:val="00665B9B"/>
    <w:rsid w:val="00665CA1"/>
    <w:rsid w:val="00666F2F"/>
    <w:rsid w:val="00667421"/>
    <w:rsid w:val="0066780E"/>
    <w:rsid w:val="00667A31"/>
    <w:rsid w:val="00670702"/>
    <w:rsid w:val="006708EB"/>
    <w:rsid w:val="0067147C"/>
    <w:rsid w:val="006718EA"/>
    <w:rsid w:val="00672895"/>
    <w:rsid w:val="00672A8A"/>
    <w:rsid w:val="00673524"/>
    <w:rsid w:val="00673F50"/>
    <w:rsid w:val="00674EEA"/>
    <w:rsid w:val="0067549D"/>
    <w:rsid w:val="006759B0"/>
    <w:rsid w:val="00677012"/>
    <w:rsid w:val="006771EA"/>
    <w:rsid w:val="006773C0"/>
    <w:rsid w:val="00680D0E"/>
    <w:rsid w:val="00680F00"/>
    <w:rsid w:val="006825A6"/>
    <w:rsid w:val="006825B4"/>
    <w:rsid w:val="006829BA"/>
    <w:rsid w:val="00682AF2"/>
    <w:rsid w:val="00682C1D"/>
    <w:rsid w:val="00682E8A"/>
    <w:rsid w:val="00682FB7"/>
    <w:rsid w:val="006837DE"/>
    <w:rsid w:val="00683CE0"/>
    <w:rsid w:val="00684FA5"/>
    <w:rsid w:val="0068537F"/>
    <w:rsid w:val="00686104"/>
    <w:rsid w:val="00686334"/>
    <w:rsid w:val="00686C3A"/>
    <w:rsid w:val="00686EEB"/>
    <w:rsid w:val="00687628"/>
    <w:rsid w:val="00687CFE"/>
    <w:rsid w:val="0069035A"/>
    <w:rsid w:val="00690EB8"/>
    <w:rsid w:val="0069109D"/>
    <w:rsid w:val="006915E5"/>
    <w:rsid w:val="00692401"/>
    <w:rsid w:val="00693B7A"/>
    <w:rsid w:val="006941CC"/>
    <w:rsid w:val="006942BA"/>
    <w:rsid w:val="006945D4"/>
    <w:rsid w:val="0069496B"/>
    <w:rsid w:val="00694EC0"/>
    <w:rsid w:val="00695852"/>
    <w:rsid w:val="00695F56"/>
    <w:rsid w:val="0069758B"/>
    <w:rsid w:val="00697F88"/>
    <w:rsid w:val="006A050B"/>
    <w:rsid w:val="006A07FF"/>
    <w:rsid w:val="006A0A70"/>
    <w:rsid w:val="006A0B6C"/>
    <w:rsid w:val="006A165F"/>
    <w:rsid w:val="006A1692"/>
    <w:rsid w:val="006A16E1"/>
    <w:rsid w:val="006A179F"/>
    <w:rsid w:val="006A188D"/>
    <w:rsid w:val="006A3293"/>
    <w:rsid w:val="006A36DF"/>
    <w:rsid w:val="006A3C8A"/>
    <w:rsid w:val="006A3E61"/>
    <w:rsid w:val="006A5213"/>
    <w:rsid w:val="006A6003"/>
    <w:rsid w:val="006A6737"/>
    <w:rsid w:val="006B0AE6"/>
    <w:rsid w:val="006B1CFA"/>
    <w:rsid w:val="006B1E08"/>
    <w:rsid w:val="006B2099"/>
    <w:rsid w:val="006B265B"/>
    <w:rsid w:val="006B26B1"/>
    <w:rsid w:val="006B2E45"/>
    <w:rsid w:val="006B341B"/>
    <w:rsid w:val="006B3875"/>
    <w:rsid w:val="006B425B"/>
    <w:rsid w:val="006B4AD5"/>
    <w:rsid w:val="006B545C"/>
    <w:rsid w:val="006B5AC8"/>
    <w:rsid w:val="006B5D32"/>
    <w:rsid w:val="006B758B"/>
    <w:rsid w:val="006B7BF8"/>
    <w:rsid w:val="006C0E54"/>
    <w:rsid w:val="006C0F11"/>
    <w:rsid w:val="006C23E1"/>
    <w:rsid w:val="006C25D5"/>
    <w:rsid w:val="006C25F9"/>
    <w:rsid w:val="006C262B"/>
    <w:rsid w:val="006C2866"/>
    <w:rsid w:val="006C28DB"/>
    <w:rsid w:val="006C28E7"/>
    <w:rsid w:val="006C2DC9"/>
    <w:rsid w:val="006C31C6"/>
    <w:rsid w:val="006C32BE"/>
    <w:rsid w:val="006C3A2D"/>
    <w:rsid w:val="006C44FC"/>
    <w:rsid w:val="006C4666"/>
    <w:rsid w:val="006C49BF"/>
    <w:rsid w:val="006C5FC5"/>
    <w:rsid w:val="006C63D7"/>
    <w:rsid w:val="006C6894"/>
    <w:rsid w:val="006C69D9"/>
    <w:rsid w:val="006C7535"/>
    <w:rsid w:val="006C76A6"/>
    <w:rsid w:val="006C796D"/>
    <w:rsid w:val="006D0525"/>
    <w:rsid w:val="006D08DC"/>
    <w:rsid w:val="006D09D1"/>
    <w:rsid w:val="006D23FF"/>
    <w:rsid w:val="006D2F09"/>
    <w:rsid w:val="006D2FD2"/>
    <w:rsid w:val="006D33E6"/>
    <w:rsid w:val="006D3783"/>
    <w:rsid w:val="006D3DC0"/>
    <w:rsid w:val="006D40C4"/>
    <w:rsid w:val="006D4162"/>
    <w:rsid w:val="006D4307"/>
    <w:rsid w:val="006D453E"/>
    <w:rsid w:val="006D5303"/>
    <w:rsid w:val="006D5C32"/>
    <w:rsid w:val="006D5E84"/>
    <w:rsid w:val="006D7A4C"/>
    <w:rsid w:val="006D7C99"/>
    <w:rsid w:val="006E0443"/>
    <w:rsid w:val="006E0C50"/>
    <w:rsid w:val="006E0DCF"/>
    <w:rsid w:val="006E14D6"/>
    <w:rsid w:val="006E1647"/>
    <w:rsid w:val="006E1BA2"/>
    <w:rsid w:val="006E2298"/>
    <w:rsid w:val="006E2C5A"/>
    <w:rsid w:val="006E2F3A"/>
    <w:rsid w:val="006E310A"/>
    <w:rsid w:val="006E3C3E"/>
    <w:rsid w:val="006E3FBD"/>
    <w:rsid w:val="006E40C7"/>
    <w:rsid w:val="006E429F"/>
    <w:rsid w:val="006E47E0"/>
    <w:rsid w:val="006E50E4"/>
    <w:rsid w:val="006E5148"/>
    <w:rsid w:val="006E6F30"/>
    <w:rsid w:val="006E6FE9"/>
    <w:rsid w:val="006E7082"/>
    <w:rsid w:val="006E709F"/>
    <w:rsid w:val="006E7F73"/>
    <w:rsid w:val="006F030F"/>
    <w:rsid w:val="006F193C"/>
    <w:rsid w:val="006F1B58"/>
    <w:rsid w:val="006F27DC"/>
    <w:rsid w:val="006F2B89"/>
    <w:rsid w:val="006F36F1"/>
    <w:rsid w:val="006F3B81"/>
    <w:rsid w:val="006F4860"/>
    <w:rsid w:val="006F4D59"/>
    <w:rsid w:val="006F4F79"/>
    <w:rsid w:val="006F4F80"/>
    <w:rsid w:val="006F5532"/>
    <w:rsid w:val="006F5ADA"/>
    <w:rsid w:val="006F62CC"/>
    <w:rsid w:val="006F644B"/>
    <w:rsid w:val="006F66C1"/>
    <w:rsid w:val="006F681D"/>
    <w:rsid w:val="006F731E"/>
    <w:rsid w:val="006F78E9"/>
    <w:rsid w:val="0070235F"/>
    <w:rsid w:val="00702BC3"/>
    <w:rsid w:val="00702FF3"/>
    <w:rsid w:val="007032AC"/>
    <w:rsid w:val="00703496"/>
    <w:rsid w:val="007036FE"/>
    <w:rsid w:val="00703AB1"/>
    <w:rsid w:val="0070404E"/>
    <w:rsid w:val="00704614"/>
    <w:rsid w:val="00704C5F"/>
    <w:rsid w:val="00704DEB"/>
    <w:rsid w:val="00705623"/>
    <w:rsid w:val="00705B37"/>
    <w:rsid w:val="0070658A"/>
    <w:rsid w:val="00706B65"/>
    <w:rsid w:val="007071AF"/>
    <w:rsid w:val="00707C1A"/>
    <w:rsid w:val="00710023"/>
    <w:rsid w:val="00710207"/>
    <w:rsid w:val="0071023D"/>
    <w:rsid w:val="007103CD"/>
    <w:rsid w:val="007104CB"/>
    <w:rsid w:val="00710530"/>
    <w:rsid w:val="007107BD"/>
    <w:rsid w:val="00711E77"/>
    <w:rsid w:val="00712912"/>
    <w:rsid w:val="00713AAC"/>
    <w:rsid w:val="007141DC"/>
    <w:rsid w:val="00714B04"/>
    <w:rsid w:val="00714F75"/>
    <w:rsid w:val="007155CE"/>
    <w:rsid w:val="007168A0"/>
    <w:rsid w:val="00716BC6"/>
    <w:rsid w:val="00716C95"/>
    <w:rsid w:val="00717762"/>
    <w:rsid w:val="00717F1A"/>
    <w:rsid w:val="007204DA"/>
    <w:rsid w:val="0072143F"/>
    <w:rsid w:val="00721A63"/>
    <w:rsid w:val="00721DED"/>
    <w:rsid w:val="00721FF9"/>
    <w:rsid w:val="0072229E"/>
    <w:rsid w:val="00722F53"/>
    <w:rsid w:val="0072337E"/>
    <w:rsid w:val="00723696"/>
    <w:rsid w:val="0072442F"/>
    <w:rsid w:val="00725189"/>
    <w:rsid w:val="0072541E"/>
    <w:rsid w:val="00725735"/>
    <w:rsid w:val="00725BB8"/>
    <w:rsid w:val="007260A3"/>
    <w:rsid w:val="0072630D"/>
    <w:rsid w:val="00726A2A"/>
    <w:rsid w:val="007271E9"/>
    <w:rsid w:val="007273BC"/>
    <w:rsid w:val="007275FD"/>
    <w:rsid w:val="007276E5"/>
    <w:rsid w:val="00730943"/>
    <w:rsid w:val="007310EF"/>
    <w:rsid w:val="00731D5E"/>
    <w:rsid w:val="00732492"/>
    <w:rsid w:val="00733E5A"/>
    <w:rsid w:val="00733F25"/>
    <w:rsid w:val="00736395"/>
    <w:rsid w:val="00736459"/>
    <w:rsid w:val="0073685F"/>
    <w:rsid w:val="00737821"/>
    <w:rsid w:val="0074058F"/>
    <w:rsid w:val="00740E86"/>
    <w:rsid w:val="00741175"/>
    <w:rsid w:val="007419FB"/>
    <w:rsid w:val="00742606"/>
    <w:rsid w:val="00742608"/>
    <w:rsid w:val="007441FF"/>
    <w:rsid w:val="007448A7"/>
    <w:rsid w:val="00744EE8"/>
    <w:rsid w:val="00744F42"/>
    <w:rsid w:val="00745462"/>
    <w:rsid w:val="007459F5"/>
    <w:rsid w:val="00746713"/>
    <w:rsid w:val="007467E4"/>
    <w:rsid w:val="00746B08"/>
    <w:rsid w:val="00747569"/>
    <w:rsid w:val="00750238"/>
    <w:rsid w:val="0075023C"/>
    <w:rsid w:val="007518E3"/>
    <w:rsid w:val="007518E9"/>
    <w:rsid w:val="00752247"/>
    <w:rsid w:val="007523E7"/>
    <w:rsid w:val="007524C4"/>
    <w:rsid w:val="00752AE5"/>
    <w:rsid w:val="007531CA"/>
    <w:rsid w:val="00754252"/>
    <w:rsid w:val="00756AEC"/>
    <w:rsid w:val="0075709F"/>
    <w:rsid w:val="007577B1"/>
    <w:rsid w:val="00757CB3"/>
    <w:rsid w:val="00757D87"/>
    <w:rsid w:val="00757E79"/>
    <w:rsid w:val="00760EED"/>
    <w:rsid w:val="0076109F"/>
    <w:rsid w:val="00761399"/>
    <w:rsid w:val="00761615"/>
    <w:rsid w:val="007616DA"/>
    <w:rsid w:val="007619CE"/>
    <w:rsid w:val="00761F4F"/>
    <w:rsid w:val="007620DC"/>
    <w:rsid w:val="00762102"/>
    <w:rsid w:val="0076255D"/>
    <w:rsid w:val="007625F6"/>
    <w:rsid w:val="00762B8B"/>
    <w:rsid w:val="0076325B"/>
    <w:rsid w:val="00764AF9"/>
    <w:rsid w:val="007650AD"/>
    <w:rsid w:val="00765D18"/>
    <w:rsid w:val="0076640B"/>
    <w:rsid w:val="007673DE"/>
    <w:rsid w:val="00770C54"/>
    <w:rsid w:val="00771344"/>
    <w:rsid w:val="0077213A"/>
    <w:rsid w:val="00772613"/>
    <w:rsid w:val="00772B41"/>
    <w:rsid w:val="00772CED"/>
    <w:rsid w:val="00773EA1"/>
    <w:rsid w:val="00775215"/>
    <w:rsid w:val="00775748"/>
    <w:rsid w:val="00776ACC"/>
    <w:rsid w:val="00777AE2"/>
    <w:rsid w:val="00777C71"/>
    <w:rsid w:val="00777D6B"/>
    <w:rsid w:val="00777F20"/>
    <w:rsid w:val="0078080B"/>
    <w:rsid w:val="00781148"/>
    <w:rsid w:val="0078120F"/>
    <w:rsid w:val="00781F98"/>
    <w:rsid w:val="0078265B"/>
    <w:rsid w:val="00782999"/>
    <w:rsid w:val="00782AFE"/>
    <w:rsid w:val="00782CCE"/>
    <w:rsid w:val="00782E10"/>
    <w:rsid w:val="00784926"/>
    <w:rsid w:val="00784DB8"/>
    <w:rsid w:val="00784FDD"/>
    <w:rsid w:val="0078508F"/>
    <w:rsid w:val="0078619F"/>
    <w:rsid w:val="00786448"/>
    <w:rsid w:val="007875D7"/>
    <w:rsid w:val="007906B2"/>
    <w:rsid w:val="0079134E"/>
    <w:rsid w:val="007925F0"/>
    <w:rsid w:val="0079278E"/>
    <w:rsid w:val="00792DCA"/>
    <w:rsid w:val="00792E3C"/>
    <w:rsid w:val="00793040"/>
    <w:rsid w:val="007930C1"/>
    <w:rsid w:val="0079315D"/>
    <w:rsid w:val="00793B45"/>
    <w:rsid w:val="0079477A"/>
    <w:rsid w:val="007956CD"/>
    <w:rsid w:val="00795706"/>
    <w:rsid w:val="007960E3"/>
    <w:rsid w:val="007962A1"/>
    <w:rsid w:val="00796D49"/>
    <w:rsid w:val="00796F7C"/>
    <w:rsid w:val="00797131"/>
    <w:rsid w:val="00797254"/>
    <w:rsid w:val="00797430"/>
    <w:rsid w:val="00797AF4"/>
    <w:rsid w:val="007A0F8D"/>
    <w:rsid w:val="007A1078"/>
    <w:rsid w:val="007A180A"/>
    <w:rsid w:val="007A2304"/>
    <w:rsid w:val="007A257D"/>
    <w:rsid w:val="007A2CB0"/>
    <w:rsid w:val="007A343D"/>
    <w:rsid w:val="007A38CE"/>
    <w:rsid w:val="007A3F1C"/>
    <w:rsid w:val="007A46E6"/>
    <w:rsid w:val="007A48D8"/>
    <w:rsid w:val="007A5ACE"/>
    <w:rsid w:val="007A5C5C"/>
    <w:rsid w:val="007A6528"/>
    <w:rsid w:val="007A7B48"/>
    <w:rsid w:val="007A7FD7"/>
    <w:rsid w:val="007B18C6"/>
    <w:rsid w:val="007B20C2"/>
    <w:rsid w:val="007B25D5"/>
    <w:rsid w:val="007B27E4"/>
    <w:rsid w:val="007B2910"/>
    <w:rsid w:val="007B301D"/>
    <w:rsid w:val="007B3264"/>
    <w:rsid w:val="007B35F6"/>
    <w:rsid w:val="007B3F87"/>
    <w:rsid w:val="007B404F"/>
    <w:rsid w:val="007B44A6"/>
    <w:rsid w:val="007B494E"/>
    <w:rsid w:val="007B4C5E"/>
    <w:rsid w:val="007B7462"/>
    <w:rsid w:val="007B7B52"/>
    <w:rsid w:val="007C02A3"/>
    <w:rsid w:val="007C0C55"/>
    <w:rsid w:val="007C1507"/>
    <w:rsid w:val="007C1857"/>
    <w:rsid w:val="007C2F60"/>
    <w:rsid w:val="007C3639"/>
    <w:rsid w:val="007C3757"/>
    <w:rsid w:val="007C4D8D"/>
    <w:rsid w:val="007C5144"/>
    <w:rsid w:val="007C5613"/>
    <w:rsid w:val="007C6138"/>
    <w:rsid w:val="007C6153"/>
    <w:rsid w:val="007C6849"/>
    <w:rsid w:val="007C6BC6"/>
    <w:rsid w:val="007C6C12"/>
    <w:rsid w:val="007C73B2"/>
    <w:rsid w:val="007C7F93"/>
    <w:rsid w:val="007D0435"/>
    <w:rsid w:val="007D0D3E"/>
    <w:rsid w:val="007D116E"/>
    <w:rsid w:val="007D16D8"/>
    <w:rsid w:val="007D1B24"/>
    <w:rsid w:val="007D1C08"/>
    <w:rsid w:val="007D267F"/>
    <w:rsid w:val="007D3341"/>
    <w:rsid w:val="007D3A3E"/>
    <w:rsid w:val="007D400A"/>
    <w:rsid w:val="007D4B0E"/>
    <w:rsid w:val="007D4DD2"/>
    <w:rsid w:val="007D5D0F"/>
    <w:rsid w:val="007D6C43"/>
    <w:rsid w:val="007D6EA8"/>
    <w:rsid w:val="007D7B3C"/>
    <w:rsid w:val="007E042B"/>
    <w:rsid w:val="007E05DB"/>
    <w:rsid w:val="007E0CEA"/>
    <w:rsid w:val="007E1247"/>
    <w:rsid w:val="007E1A44"/>
    <w:rsid w:val="007E2419"/>
    <w:rsid w:val="007E3FF5"/>
    <w:rsid w:val="007E4219"/>
    <w:rsid w:val="007E577E"/>
    <w:rsid w:val="007E635E"/>
    <w:rsid w:val="007E6A9C"/>
    <w:rsid w:val="007E6C0C"/>
    <w:rsid w:val="007E7300"/>
    <w:rsid w:val="007E767B"/>
    <w:rsid w:val="007E7B54"/>
    <w:rsid w:val="007F038C"/>
    <w:rsid w:val="007F0428"/>
    <w:rsid w:val="007F0F24"/>
    <w:rsid w:val="007F1755"/>
    <w:rsid w:val="007F222B"/>
    <w:rsid w:val="007F2CBC"/>
    <w:rsid w:val="007F3092"/>
    <w:rsid w:val="007F30F9"/>
    <w:rsid w:val="007F39B8"/>
    <w:rsid w:val="007F3C03"/>
    <w:rsid w:val="007F3CC1"/>
    <w:rsid w:val="007F3E3F"/>
    <w:rsid w:val="007F45DF"/>
    <w:rsid w:val="007F4A6F"/>
    <w:rsid w:val="007F4FBC"/>
    <w:rsid w:val="007F5975"/>
    <w:rsid w:val="007F5AB9"/>
    <w:rsid w:val="007F6497"/>
    <w:rsid w:val="007F6836"/>
    <w:rsid w:val="007F7DF2"/>
    <w:rsid w:val="008005E6"/>
    <w:rsid w:val="00800A35"/>
    <w:rsid w:val="00800D91"/>
    <w:rsid w:val="008015F2"/>
    <w:rsid w:val="00801A0E"/>
    <w:rsid w:val="00803362"/>
    <w:rsid w:val="00803C65"/>
    <w:rsid w:val="00804BC0"/>
    <w:rsid w:val="00804E3C"/>
    <w:rsid w:val="00804E4C"/>
    <w:rsid w:val="00805774"/>
    <w:rsid w:val="0080662C"/>
    <w:rsid w:val="008070B2"/>
    <w:rsid w:val="008074CE"/>
    <w:rsid w:val="00807D79"/>
    <w:rsid w:val="00810102"/>
    <w:rsid w:val="008102BC"/>
    <w:rsid w:val="008116F3"/>
    <w:rsid w:val="008117C4"/>
    <w:rsid w:val="0081222E"/>
    <w:rsid w:val="00812461"/>
    <w:rsid w:val="008127E0"/>
    <w:rsid w:val="00812810"/>
    <w:rsid w:val="0081398E"/>
    <w:rsid w:val="00813F02"/>
    <w:rsid w:val="008149D8"/>
    <w:rsid w:val="00815714"/>
    <w:rsid w:val="00815A2A"/>
    <w:rsid w:val="0081724D"/>
    <w:rsid w:val="0081788A"/>
    <w:rsid w:val="00817927"/>
    <w:rsid w:val="00817CFC"/>
    <w:rsid w:val="00817E16"/>
    <w:rsid w:val="00817E82"/>
    <w:rsid w:val="00820A3F"/>
    <w:rsid w:val="00821D81"/>
    <w:rsid w:val="00822A13"/>
    <w:rsid w:val="00822A52"/>
    <w:rsid w:val="00822F31"/>
    <w:rsid w:val="00823654"/>
    <w:rsid w:val="0082374A"/>
    <w:rsid w:val="008237F3"/>
    <w:rsid w:val="00823A90"/>
    <w:rsid w:val="00825C68"/>
    <w:rsid w:val="0082757E"/>
    <w:rsid w:val="0082769C"/>
    <w:rsid w:val="00827B6C"/>
    <w:rsid w:val="00827D77"/>
    <w:rsid w:val="00830259"/>
    <w:rsid w:val="00830561"/>
    <w:rsid w:val="00831115"/>
    <w:rsid w:val="0083249C"/>
    <w:rsid w:val="00832552"/>
    <w:rsid w:val="00832D42"/>
    <w:rsid w:val="008333A9"/>
    <w:rsid w:val="00833419"/>
    <w:rsid w:val="008341D7"/>
    <w:rsid w:val="008342A5"/>
    <w:rsid w:val="00834B7C"/>
    <w:rsid w:val="00834BE2"/>
    <w:rsid w:val="00834EA4"/>
    <w:rsid w:val="00835049"/>
    <w:rsid w:val="008354B9"/>
    <w:rsid w:val="00835DCB"/>
    <w:rsid w:val="00836090"/>
    <w:rsid w:val="00836921"/>
    <w:rsid w:val="00837237"/>
    <w:rsid w:val="008376C0"/>
    <w:rsid w:val="008377CC"/>
    <w:rsid w:val="00837C13"/>
    <w:rsid w:val="0084035D"/>
    <w:rsid w:val="008405F9"/>
    <w:rsid w:val="0084060B"/>
    <w:rsid w:val="0084139B"/>
    <w:rsid w:val="0084143B"/>
    <w:rsid w:val="008417D4"/>
    <w:rsid w:val="00842547"/>
    <w:rsid w:val="00842583"/>
    <w:rsid w:val="008427D3"/>
    <w:rsid w:val="008429CF"/>
    <w:rsid w:val="0084324C"/>
    <w:rsid w:val="00843910"/>
    <w:rsid w:val="00843B9B"/>
    <w:rsid w:val="008451F8"/>
    <w:rsid w:val="008457D2"/>
    <w:rsid w:val="008459D4"/>
    <w:rsid w:val="00846212"/>
    <w:rsid w:val="008468E0"/>
    <w:rsid w:val="0084767E"/>
    <w:rsid w:val="0084790F"/>
    <w:rsid w:val="00847BE7"/>
    <w:rsid w:val="00850EAB"/>
    <w:rsid w:val="00851C80"/>
    <w:rsid w:val="00851D70"/>
    <w:rsid w:val="00852760"/>
    <w:rsid w:val="008529B3"/>
    <w:rsid w:val="00852ADD"/>
    <w:rsid w:val="008535FA"/>
    <w:rsid w:val="00853883"/>
    <w:rsid w:val="00853EB9"/>
    <w:rsid w:val="0085421C"/>
    <w:rsid w:val="00854CF7"/>
    <w:rsid w:val="00854DA7"/>
    <w:rsid w:val="008557A0"/>
    <w:rsid w:val="008557AE"/>
    <w:rsid w:val="00856607"/>
    <w:rsid w:val="00857696"/>
    <w:rsid w:val="0086037C"/>
    <w:rsid w:val="008604A8"/>
    <w:rsid w:val="00860ADD"/>
    <w:rsid w:val="008616A2"/>
    <w:rsid w:val="00861C6C"/>
    <w:rsid w:val="008636AC"/>
    <w:rsid w:val="00863862"/>
    <w:rsid w:val="00863AAD"/>
    <w:rsid w:val="00864644"/>
    <w:rsid w:val="00864F4D"/>
    <w:rsid w:val="008658DE"/>
    <w:rsid w:val="00866296"/>
    <w:rsid w:val="008665C7"/>
    <w:rsid w:val="008665EC"/>
    <w:rsid w:val="00866DC1"/>
    <w:rsid w:val="008707A3"/>
    <w:rsid w:val="00870A36"/>
    <w:rsid w:val="00870E52"/>
    <w:rsid w:val="008711AE"/>
    <w:rsid w:val="0087143E"/>
    <w:rsid w:val="00871A36"/>
    <w:rsid w:val="00872F21"/>
    <w:rsid w:val="00873736"/>
    <w:rsid w:val="0087378E"/>
    <w:rsid w:val="008737DF"/>
    <w:rsid w:val="008755E7"/>
    <w:rsid w:val="00875A46"/>
    <w:rsid w:val="00875E16"/>
    <w:rsid w:val="00877D03"/>
    <w:rsid w:val="00877E96"/>
    <w:rsid w:val="0088023D"/>
    <w:rsid w:val="008803CE"/>
    <w:rsid w:val="00882077"/>
    <w:rsid w:val="008820D9"/>
    <w:rsid w:val="00883613"/>
    <w:rsid w:val="0088557F"/>
    <w:rsid w:val="008860E0"/>
    <w:rsid w:val="00886393"/>
    <w:rsid w:val="00886579"/>
    <w:rsid w:val="00886F19"/>
    <w:rsid w:val="008870C9"/>
    <w:rsid w:val="00887865"/>
    <w:rsid w:val="00887B37"/>
    <w:rsid w:val="00890598"/>
    <w:rsid w:val="0089065A"/>
    <w:rsid w:val="0089078F"/>
    <w:rsid w:val="00890DEB"/>
    <w:rsid w:val="0089177A"/>
    <w:rsid w:val="00891D7A"/>
    <w:rsid w:val="00891DFC"/>
    <w:rsid w:val="00892791"/>
    <w:rsid w:val="00892B98"/>
    <w:rsid w:val="008945D2"/>
    <w:rsid w:val="008949A3"/>
    <w:rsid w:val="008959FC"/>
    <w:rsid w:val="0089605E"/>
    <w:rsid w:val="00896668"/>
    <w:rsid w:val="00896E9A"/>
    <w:rsid w:val="0089728A"/>
    <w:rsid w:val="008A0CCC"/>
    <w:rsid w:val="008A1D0E"/>
    <w:rsid w:val="008A25EA"/>
    <w:rsid w:val="008A276E"/>
    <w:rsid w:val="008A31C7"/>
    <w:rsid w:val="008A3215"/>
    <w:rsid w:val="008A3630"/>
    <w:rsid w:val="008A3E8B"/>
    <w:rsid w:val="008A47BE"/>
    <w:rsid w:val="008A4AEC"/>
    <w:rsid w:val="008A5609"/>
    <w:rsid w:val="008A5697"/>
    <w:rsid w:val="008A6DD5"/>
    <w:rsid w:val="008A6DF0"/>
    <w:rsid w:val="008A6FA0"/>
    <w:rsid w:val="008A7FEF"/>
    <w:rsid w:val="008B0385"/>
    <w:rsid w:val="008B05E6"/>
    <w:rsid w:val="008B105C"/>
    <w:rsid w:val="008B15CE"/>
    <w:rsid w:val="008B1C8F"/>
    <w:rsid w:val="008B21F8"/>
    <w:rsid w:val="008B2570"/>
    <w:rsid w:val="008B2B19"/>
    <w:rsid w:val="008B2F40"/>
    <w:rsid w:val="008B2FCD"/>
    <w:rsid w:val="008B3627"/>
    <w:rsid w:val="008B3EAD"/>
    <w:rsid w:val="008B49B6"/>
    <w:rsid w:val="008B56A0"/>
    <w:rsid w:val="008B5AA1"/>
    <w:rsid w:val="008B5E61"/>
    <w:rsid w:val="008B64CE"/>
    <w:rsid w:val="008B68B4"/>
    <w:rsid w:val="008B756F"/>
    <w:rsid w:val="008B7914"/>
    <w:rsid w:val="008C0D0C"/>
    <w:rsid w:val="008C108C"/>
    <w:rsid w:val="008C127A"/>
    <w:rsid w:val="008C18BD"/>
    <w:rsid w:val="008C1932"/>
    <w:rsid w:val="008C1CC8"/>
    <w:rsid w:val="008C2C7F"/>
    <w:rsid w:val="008C2F0D"/>
    <w:rsid w:val="008C364D"/>
    <w:rsid w:val="008C500C"/>
    <w:rsid w:val="008C5D2A"/>
    <w:rsid w:val="008C6754"/>
    <w:rsid w:val="008C6C16"/>
    <w:rsid w:val="008C74FB"/>
    <w:rsid w:val="008C7AF4"/>
    <w:rsid w:val="008C7DA4"/>
    <w:rsid w:val="008C7F6E"/>
    <w:rsid w:val="008C7FAE"/>
    <w:rsid w:val="008D0210"/>
    <w:rsid w:val="008D033E"/>
    <w:rsid w:val="008D0851"/>
    <w:rsid w:val="008D0DEF"/>
    <w:rsid w:val="008D0FCD"/>
    <w:rsid w:val="008D1074"/>
    <w:rsid w:val="008D1079"/>
    <w:rsid w:val="008D2643"/>
    <w:rsid w:val="008D280F"/>
    <w:rsid w:val="008D2F60"/>
    <w:rsid w:val="008D318B"/>
    <w:rsid w:val="008D3994"/>
    <w:rsid w:val="008D3C3D"/>
    <w:rsid w:val="008D478E"/>
    <w:rsid w:val="008D4DB6"/>
    <w:rsid w:val="008D534E"/>
    <w:rsid w:val="008D619B"/>
    <w:rsid w:val="008D6E81"/>
    <w:rsid w:val="008D7739"/>
    <w:rsid w:val="008D7A64"/>
    <w:rsid w:val="008D7A92"/>
    <w:rsid w:val="008E0302"/>
    <w:rsid w:val="008E03F3"/>
    <w:rsid w:val="008E1267"/>
    <w:rsid w:val="008E19FD"/>
    <w:rsid w:val="008E22F8"/>
    <w:rsid w:val="008E25EC"/>
    <w:rsid w:val="008E38DA"/>
    <w:rsid w:val="008E39D8"/>
    <w:rsid w:val="008E443A"/>
    <w:rsid w:val="008E4531"/>
    <w:rsid w:val="008E4DEE"/>
    <w:rsid w:val="008E5313"/>
    <w:rsid w:val="008E5D73"/>
    <w:rsid w:val="008E606F"/>
    <w:rsid w:val="008E6AD9"/>
    <w:rsid w:val="008E6E25"/>
    <w:rsid w:val="008F022A"/>
    <w:rsid w:val="008F06FD"/>
    <w:rsid w:val="008F1172"/>
    <w:rsid w:val="008F27E3"/>
    <w:rsid w:val="008F3485"/>
    <w:rsid w:val="008F3AC3"/>
    <w:rsid w:val="008F42C1"/>
    <w:rsid w:val="008F51FF"/>
    <w:rsid w:val="008F52FC"/>
    <w:rsid w:val="008F5DEF"/>
    <w:rsid w:val="008F61F2"/>
    <w:rsid w:val="008F636D"/>
    <w:rsid w:val="008F7C0A"/>
    <w:rsid w:val="009005DC"/>
    <w:rsid w:val="00901140"/>
    <w:rsid w:val="00901DBB"/>
    <w:rsid w:val="009026CB"/>
    <w:rsid w:val="00902876"/>
    <w:rsid w:val="009030FF"/>
    <w:rsid w:val="009036E9"/>
    <w:rsid w:val="009038F6"/>
    <w:rsid w:val="00903FB2"/>
    <w:rsid w:val="00904038"/>
    <w:rsid w:val="009041AF"/>
    <w:rsid w:val="009042AA"/>
    <w:rsid w:val="009049AB"/>
    <w:rsid w:val="00904C8C"/>
    <w:rsid w:val="009050B7"/>
    <w:rsid w:val="0090510D"/>
    <w:rsid w:val="00905130"/>
    <w:rsid w:val="009053BD"/>
    <w:rsid w:val="00905728"/>
    <w:rsid w:val="009061B8"/>
    <w:rsid w:val="009064BF"/>
    <w:rsid w:val="009069B8"/>
    <w:rsid w:val="0091077D"/>
    <w:rsid w:val="009130CC"/>
    <w:rsid w:val="009133EC"/>
    <w:rsid w:val="00913AF7"/>
    <w:rsid w:val="00913B37"/>
    <w:rsid w:val="00914683"/>
    <w:rsid w:val="00914861"/>
    <w:rsid w:val="009148D8"/>
    <w:rsid w:val="00914B5F"/>
    <w:rsid w:val="00914E71"/>
    <w:rsid w:val="0091504C"/>
    <w:rsid w:val="0091573F"/>
    <w:rsid w:val="00915897"/>
    <w:rsid w:val="00915B44"/>
    <w:rsid w:val="00915CD5"/>
    <w:rsid w:val="00916093"/>
    <w:rsid w:val="009160E3"/>
    <w:rsid w:val="0091639C"/>
    <w:rsid w:val="00916A8C"/>
    <w:rsid w:val="00916E99"/>
    <w:rsid w:val="0092002E"/>
    <w:rsid w:val="0092050A"/>
    <w:rsid w:val="00920EC6"/>
    <w:rsid w:val="0092101E"/>
    <w:rsid w:val="009219C6"/>
    <w:rsid w:val="009225D6"/>
    <w:rsid w:val="0092383B"/>
    <w:rsid w:val="00923DCE"/>
    <w:rsid w:val="00924119"/>
    <w:rsid w:val="00925120"/>
    <w:rsid w:val="009255FA"/>
    <w:rsid w:val="009262E4"/>
    <w:rsid w:val="009266D2"/>
    <w:rsid w:val="00927D4E"/>
    <w:rsid w:val="00927F89"/>
    <w:rsid w:val="00930AC2"/>
    <w:rsid w:val="00930D2A"/>
    <w:rsid w:val="009312BF"/>
    <w:rsid w:val="00931680"/>
    <w:rsid w:val="00931B84"/>
    <w:rsid w:val="00931DA9"/>
    <w:rsid w:val="0093220A"/>
    <w:rsid w:val="009322B2"/>
    <w:rsid w:val="009328DA"/>
    <w:rsid w:val="00932E7E"/>
    <w:rsid w:val="009336BF"/>
    <w:rsid w:val="00933846"/>
    <w:rsid w:val="0093442D"/>
    <w:rsid w:val="00934CD2"/>
    <w:rsid w:val="00935497"/>
    <w:rsid w:val="00935A35"/>
    <w:rsid w:val="009375E5"/>
    <w:rsid w:val="0093785F"/>
    <w:rsid w:val="00937BC5"/>
    <w:rsid w:val="00937D30"/>
    <w:rsid w:val="00941848"/>
    <w:rsid w:val="0094337A"/>
    <w:rsid w:val="009436E3"/>
    <w:rsid w:val="009437F2"/>
    <w:rsid w:val="009442E8"/>
    <w:rsid w:val="00944BA7"/>
    <w:rsid w:val="0094519B"/>
    <w:rsid w:val="0094636D"/>
    <w:rsid w:val="00947222"/>
    <w:rsid w:val="0094759C"/>
    <w:rsid w:val="009503FE"/>
    <w:rsid w:val="00950448"/>
    <w:rsid w:val="009507D4"/>
    <w:rsid w:val="00950ACD"/>
    <w:rsid w:val="00950E37"/>
    <w:rsid w:val="00951666"/>
    <w:rsid w:val="0095182F"/>
    <w:rsid w:val="00952524"/>
    <w:rsid w:val="0095278F"/>
    <w:rsid w:val="00953D2D"/>
    <w:rsid w:val="00953EAF"/>
    <w:rsid w:val="0095426C"/>
    <w:rsid w:val="00955EE9"/>
    <w:rsid w:val="009562AE"/>
    <w:rsid w:val="0095654A"/>
    <w:rsid w:val="00956BF5"/>
    <w:rsid w:val="009570CF"/>
    <w:rsid w:val="009571C2"/>
    <w:rsid w:val="009575C3"/>
    <w:rsid w:val="0095770C"/>
    <w:rsid w:val="009579AF"/>
    <w:rsid w:val="00957CC8"/>
    <w:rsid w:val="00957EE7"/>
    <w:rsid w:val="0096086A"/>
    <w:rsid w:val="00961453"/>
    <w:rsid w:val="009616D4"/>
    <w:rsid w:val="0096182D"/>
    <w:rsid w:val="00962150"/>
    <w:rsid w:val="00962CCD"/>
    <w:rsid w:val="00964166"/>
    <w:rsid w:val="009645AD"/>
    <w:rsid w:val="0096475C"/>
    <w:rsid w:val="0096546E"/>
    <w:rsid w:val="0096562A"/>
    <w:rsid w:val="00965865"/>
    <w:rsid w:val="00966096"/>
    <w:rsid w:val="009662BD"/>
    <w:rsid w:val="00966A13"/>
    <w:rsid w:val="00966BAF"/>
    <w:rsid w:val="00967473"/>
    <w:rsid w:val="00967730"/>
    <w:rsid w:val="00970D56"/>
    <w:rsid w:val="00970E50"/>
    <w:rsid w:val="00971074"/>
    <w:rsid w:val="009725B2"/>
    <w:rsid w:val="0097401B"/>
    <w:rsid w:val="009747AA"/>
    <w:rsid w:val="00974B99"/>
    <w:rsid w:val="00974BCB"/>
    <w:rsid w:val="0097529C"/>
    <w:rsid w:val="00975361"/>
    <w:rsid w:val="009758CD"/>
    <w:rsid w:val="00975AEF"/>
    <w:rsid w:val="00975BF2"/>
    <w:rsid w:val="0097616C"/>
    <w:rsid w:val="009763E4"/>
    <w:rsid w:val="0097649D"/>
    <w:rsid w:val="0097654D"/>
    <w:rsid w:val="009766B7"/>
    <w:rsid w:val="00976D58"/>
    <w:rsid w:val="00977C23"/>
    <w:rsid w:val="00980A22"/>
    <w:rsid w:val="00980D85"/>
    <w:rsid w:val="00981E09"/>
    <w:rsid w:val="00983094"/>
    <w:rsid w:val="00983599"/>
    <w:rsid w:val="009843DE"/>
    <w:rsid w:val="0098544F"/>
    <w:rsid w:val="00985B04"/>
    <w:rsid w:val="0098661B"/>
    <w:rsid w:val="00986A6D"/>
    <w:rsid w:val="00986BEF"/>
    <w:rsid w:val="00987298"/>
    <w:rsid w:val="00987360"/>
    <w:rsid w:val="00987B34"/>
    <w:rsid w:val="00990282"/>
    <w:rsid w:val="00990769"/>
    <w:rsid w:val="00991DF8"/>
    <w:rsid w:val="00992499"/>
    <w:rsid w:val="00992986"/>
    <w:rsid w:val="009936E2"/>
    <w:rsid w:val="00994B55"/>
    <w:rsid w:val="009954AD"/>
    <w:rsid w:val="00995D86"/>
    <w:rsid w:val="00995FB2"/>
    <w:rsid w:val="0099781E"/>
    <w:rsid w:val="00997A68"/>
    <w:rsid w:val="009A0071"/>
    <w:rsid w:val="009A00EA"/>
    <w:rsid w:val="009A0587"/>
    <w:rsid w:val="009A0DA2"/>
    <w:rsid w:val="009A1F6B"/>
    <w:rsid w:val="009A2616"/>
    <w:rsid w:val="009A2C4C"/>
    <w:rsid w:val="009A2DD8"/>
    <w:rsid w:val="009A30DE"/>
    <w:rsid w:val="009A3D29"/>
    <w:rsid w:val="009A509F"/>
    <w:rsid w:val="009A5453"/>
    <w:rsid w:val="009A6A7B"/>
    <w:rsid w:val="009A7532"/>
    <w:rsid w:val="009A7883"/>
    <w:rsid w:val="009B04B7"/>
    <w:rsid w:val="009B0596"/>
    <w:rsid w:val="009B1D50"/>
    <w:rsid w:val="009B237F"/>
    <w:rsid w:val="009B2760"/>
    <w:rsid w:val="009B308D"/>
    <w:rsid w:val="009B31D6"/>
    <w:rsid w:val="009B38D5"/>
    <w:rsid w:val="009B3B62"/>
    <w:rsid w:val="009B3C8D"/>
    <w:rsid w:val="009B3DE3"/>
    <w:rsid w:val="009B4EBD"/>
    <w:rsid w:val="009B4FFB"/>
    <w:rsid w:val="009B53C7"/>
    <w:rsid w:val="009B7489"/>
    <w:rsid w:val="009B7987"/>
    <w:rsid w:val="009B7B0A"/>
    <w:rsid w:val="009C07C9"/>
    <w:rsid w:val="009C08D7"/>
    <w:rsid w:val="009C0DC5"/>
    <w:rsid w:val="009C1866"/>
    <w:rsid w:val="009C1FDE"/>
    <w:rsid w:val="009C23FE"/>
    <w:rsid w:val="009C24C8"/>
    <w:rsid w:val="009C375C"/>
    <w:rsid w:val="009C3DA1"/>
    <w:rsid w:val="009C4D19"/>
    <w:rsid w:val="009C4E0D"/>
    <w:rsid w:val="009C4F1B"/>
    <w:rsid w:val="009C503B"/>
    <w:rsid w:val="009C5793"/>
    <w:rsid w:val="009C5816"/>
    <w:rsid w:val="009C61EA"/>
    <w:rsid w:val="009C63EC"/>
    <w:rsid w:val="009C6E29"/>
    <w:rsid w:val="009C7DAC"/>
    <w:rsid w:val="009D077D"/>
    <w:rsid w:val="009D08A6"/>
    <w:rsid w:val="009D0EC0"/>
    <w:rsid w:val="009D1915"/>
    <w:rsid w:val="009D1B69"/>
    <w:rsid w:val="009D1EB3"/>
    <w:rsid w:val="009D24DE"/>
    <w:rsid w:val="009D25DE"/>
    <w:rsid w:val="009D2ABF"/>
    <w:rsid w:val="009D3AD2"/>
    <w:rsid w:val="009D3E06"/>
    <w:rsid w:val="009D4569"/>
    <w:rsid w:val="009D5843"/>
    <w:rsid w:val="009D638D"/>
    <w:rsid w:val="009D6393"/>
    <w:rsid w:val="009D6B6C"/>
    <w:rsid w:val="009E0885"/>
    <w:rsid w:val="009E1CC8"/>
    <w:rsid w:val="009E20FF"/>
    <w:rsid w:val="009E2827"/>
    <w:rsid w:val="009E2863"/>
    <w:rsid w:val="009E30D2"/>
    <w:rsid w:val="009E4859"/>
    <w:rsid w:val="009E4885"/>
    <w:rsid w:val="009E508B"/>
    <w:rsid w:val="009E5A12"/>
    <w:rsid w:val="009E5EDF"/>
    <w:rsid w:val="009E5FBE"/>
    <w:rsid w:val="009E6A00"/>
    <w:rsid w:val="009F0086"/>
    <w:rsid w:val="009F03AB"/>
    <w:rsid w:val="009F0619"/>
    <w:rsid w:val="009F068A"/>
    <w:rsid w:val="009F08C5"/>
    <w:rsid w:val="009F0A85"/>
    <w:rsid w:val="009F1260"/>
    <w:rsid w:val="009F15CA"/>
    <w:rsid w:val="009F1B71"/>
    <w:rsid w:val="009F220A"/>
    <w:rsid w:val="009F2462"/>
    <w:rsid w:val="009F36D6"/>
    <w:rsid w:val="009F6575"/>
    <w:rsid w:val="009F7ADC"/>
    <w:rsid w:val="00A0002A"/>
    <w:rsid w:val="00A016DB"/>
    <w:rsid w:val="00A01F3A"/>
    <w:rsid w:val="00A0236D"/>
    <w:rsid w:val="00A02985"/>
    <w:rsid w:val="00A02B2B"/>
    <w:rsid w:val="00A02C77"/>
    <w:rsid w:val="00A02FA8"/>
    <w:rsid w:val="00A03CF6"/>
    <w:rsid w:val="00A03F1A"/>
    <w:rsid w:val="00A03F74"/>
    <w:rsid w:val="00A03F88"/>
    <w:rsid w:val="00A046BF"/>
    <w:rsid w:val="00A05A37"/>
    <w:rsid w:val="00A05B25"/>
    <w:rsid w:val="00A05C04"/>
    <w:rsid w:val="00A05EC0"/>
    <w:rsid w:val="00A06254"/>
    <w:rsid w:val="00A06842"/>
    <w:rsid w:val="00A07459"/>
    <w:rsid w:val="00A07D78"/>
    <w:rsid w:val="00A07DB6"/>
    <w:rsid w:val="00A104F6"/>
    <w:rsid w:val="00A10573"/>
    <w:rsid w:val="00A10972"/>
    <w:rsid w:val="00A11406"/>
    <w:rsid w:val="00A13205"/>
    <w:rsid w:val="00A132A1"/>
    <w:rsid w:val="00A13422"/>
    <w:rsid w:val="00A148F0"/>
    <w:rsid w:val="00A15132"/>
    <w:rsid w:val="00A1554D"/>
    <w:rsid w:val="00A15792"/>
    <w:rsid w:val="00A158E3"/>
    <w:rsid w:val="00A1591A"/>
    <w:rsid w:val="00A172E0"/>
    <w:rsid w:val="00A17527"/>
    <w:rsid w:val="00A17DF8"/>
    <w:rsid w:val="00A211C5"/>
    <w:rsid w:val="00A221A3"/>
    <w:rsid w:val="00A223D5"/>
    <w:rsid w:val="00A235E4"/>
    <w:rsid w:val="00A23F41"/>
    <w:rsid w:val="00A247EE"/>
    <w:rsid w:val="00A25547"/>
    <w:rsid w:val="00A25CAB"/>
    <w:rsid w:val="00A25F76"/>
    <w:rsid w:val="00A27B28"/>
    <w:rsid w:val="00A3003E"/>
    <w:rsid w:val="00A31E14"/>
    <w:rsid w:val="00A3325E"/>
    <w:rsid w:val="00A34276"/>
    <w:rsid w:val="00A34524"/>
    <w:rsid w:val="00A345B6"/>
    <w:rsid w:val="00A3502D"/>
    <w:rsid w:val="00A357A4"/>
    <w:rsid w:val="00A35AF5"/>
    <w:rsid w:val="00A35CDF"/>
    <w:rsid w:val="00A36453"/>
    <w:rsid w:val="00A37970"/>
    <w:rsid w:val="00A37A68"/>
    <w:rsid w:val="00A37B0C"/>
    <w:rsid w:val="00A37CE6"/>
    <w:rsid w:val="00A37D1C"/>
    <w:rsid w:val="00A37FFE"/>
    <w:rsid w:val="00A404BE"/>
    <w:rsid w:val="00A40ECF"/>
    <w:rsid w:val="00A411C9"/>
    <w:rsid w:val="00A41257"/>
    <w:rsid w:val="00A41B47"/>
    <w:rsid w:val="00A41FEF"/>
    <w:rsid w:val="00A42476"/>
    <w:rsid w:val="00A42C43"/>
    <w:rsid w:val="00A433CA"/>
    <w:rsid w:val="00A43A1A"/>
    <w:rsid w:val="00A43D48"/>
    <w:rsid w:val="00A43F3C"/>
    <w:rsid w:val="00A447A5"/>
    <w:rsid w:val="00A45B83"/>
    <w:rsid w:val="00A4646E"/>
    <w:rsid w:val="00A46771"/>
    <w:rsid w:val="00A468FD"/>
    <w:rsid w:val="00A46921"/>
    <w:rsid w:val="00A47249"/>
    <w:rsid w:val="00A47E3B"/>
    <w:rsid w:val="00A501C7"/>
    <w:rsid w:val="00A5058A"/>
    <w:rsid w:val="00A50905"/>
    <w:rsid w:val="00A513FD"/>
    <w:rsid w:val="00A517D0"/>
    <w:rsid w:val="00A5254B"/>
    <w:rsid w:val="00A52BC1"/>
    <w:rsid w:val="00A52D47"/>
    <w:rsid w:val="00A5347F"/>
    <w:rsid w:val="00A534A0"/>
    <w:rsid w:val="00A537EA"/>
    <w:rsid w:val="00A539AD"/>
    <w:rsid w:val="00A53E3E"/>
    <w:rsid w:val="00A540B2"/>
    <w:rsid w:val="00A5414D"/>
    <w:rsid w:val="00A54A3E"/>
    <w:rsid w:val="00A556B7"/>
    <w:rsid w:val="00A564A6"/>
    <w:rsid w:val="00A56819"/>
    <w:rsid w:val="00A568AC"/>
    <w:rsid w:val="00A578CC"/>
    <w:rsid w:val="00A57B07"/>
    <w:rsid w:val="00A6025F"/>
    <w:rsid w:val="00A60E9C"/>
    <w:rsid w:val="00A61196"/>
    <w:rsid w:val="00A6131E"/>
    <w:rsid w:val="00A616AF"/>
    <w:rsid w:val="00A61879"/>
    <w:rsid w:val="00A628B4"/>
    <w:rsid w:val="00A62E6A"/>
    <w:rsid w:val="00A63E4E"/>
    <w:rsid w:val="00A6444F"/>
    <w:rsid w:val="00A652FF"/>
    <w:rsid w:val="00A6598D"/>
    <w:rsid w:val="00A65A0D"/>
    <w:rsid w:val="00A65C27"/>
    <w:rsid w:val="00A65F3C"/>
    <w:rsid w:val="00A661FD"/>
    <w:rsid w:val="00A66FB3"/>
    <w:rsid w:val="00A67DF5"/>
    <w:rsid w:val="00A709A3"/>
    <w:rsid w:val="00A70F8D"/>
    <w:rsid w:val="00A71216"/>
    <w:rsid w:val="00A714A3"/>
    <w:rsid w:val="00A71B8B"/>
    <w:rsid w:val="00A74456"/>
    <w:rsid w:val="00A75089"/>
    <w:rsid w:val="00A75EDC"/>
    <w:rsid w:val="00A7649A"/>
    <w:rsid w:val="00A80404"/>
    <w:rsid w:val="00A80548"/>
    <w:rsid w:val="00A8085F"/>
    <w:rsid w:val="00A80A3D"/>
    <w:rsid w:val="00A80DB5"/>
    <w:rsid w:val="00A817A8"/>
    <w:rsid w:val="00A81E50"/>
    <w:rsid w:val="00A81F1C"/>
    <w:rsid w:val="00A82241"/>
    <w:rsid w:val="00A82602"/>
    <w:rsid w:val="00A82DA0"/>
    <w:rsid w:val="00A83E49"/>
    <w:rsid w:val="00A8401C"/>
    <w:rsid w:val="00A8415A"/>
    <w:rsid w:val="00A841A6"/>
    <w:rsid w:val="00A84221"/>
    <w:rsid w:val="00A843CA"/>
    <w:rsid w:val="00A84B7A"/>
    <w:rsid w:val="00A85063"/>
    <w:rsid w:val="00A85367"/>
    <w:rsid w:val="00A85DB5"/>
    <w:rsid w:val="00A86090"/>
    <w:rsid w:val="00A86359"/>
    <w:rsid w:val="00A865DC"/>
    <w:rsid w:val="00A86FBC"/>
    <w:rsid w:val="00A879C5"/>
    <w:rsid w:val="00A902AD"/>
    <w:rsid w:val="00A90302"/>
    <w:rsid w:val="00A9099E"/>
    <w:rsid w:val="00A91FB7"/>
    <w:rsid w:val="00A921CE"/>
    <w:rsid w:val="00A92967"/>
    <w:rsid w:val="00A9298F"/>
    <w:rsid w:val="00A9301E"/>
    <w:rsid w:val="00A93E3A"/>
    <w:rsid w:val="00A95186"/>
    <w:rsid w:val="00A951AD"/>
    <w:rsid w:val="00A9561B"/>
    <w:rsid w:val="00A961BD"/>
    <w:rsid w:val="00A9652F"/>
    <w:rsid w:val="00A96C75"/>
    <w:rsid w:val="00A973B1"/>
    <w:rsid w:val="00A97D3F"/>
    <w:rsid w:val="00AA027E"/>
    <w:rsid w:val="00AA1224"/>
    <w:rsid w:val="00AA14F2"/>
    <w:rsid w:val="00AA180B"/>
    <w:rsid w:val="00AA1D43"/>
    <w:rsid w:val="00AA2358"/>
    <w:rsid w:val="00AA2469"/>
    <w:rsid w:val="00AA2CD7"/>
    <w:rsid w:val="00AA2FA4"/>
    <w:rsid w:val="00AA3301"/>
    <w:rsid w:val="00AA3360"/>
    <w:rsid w:val="00AA386B"/>
    <w:rsid w:val="00AA4C2E"/>
    <w:rsid w:val="00AA6384"/>
    <w:rsid w:val="00AA6B93"/>
    <w:rsid w:val="00AA79B9"/>
    <w:rsid w:val="00AA7A06"/>
    <w:rsid w:val="00AA7A7F"/>
    <w:rsid w:val="00AA7F56"/>
    <w:rsid w:val="00AB1984"/>
    <w:rsid w:val="00AB1CBB"/>
    <w:rsid w:val="00AB215B"/>
    <w:rsid w:val="00AB266D"/>
    <w:rsid w:val="00AB2E7D"/>
    <w:rsid w:val="00AB3146"/>
    <w:rsid w:val="00AB333E"/>
    <w:rsid w:val="00AB37DB"/>
    <w:rsid w:val="00AB3ECC"/>
    <w:rsid w:val="00AB3EEB"/>
    <w:rsid w:val="00AB54B5"/>
    <w:rsid w:val="00AB5A73"/>
    <w:rsid w:val="00AB5F48"/>
    <w:rsid w:val="00AB7156"/>
    <w:rsid w:val="00AB716D"/>
    <w:rsid w:val="00AB72BB"/>
    <w:rsid w:val="00AB7472"/>
    <w:rsid w:val="00AB7BF3"/>
    <w:rsid w:val="00AC061E"/>
    <w:rsid w:val="00AC09D5"/>
    <w:rsid w:val="00AC0D8E"/>
    <w:rsid w:val="00AC175B"/>
    <w:rsid w:val="00AC1AA3"/>
    <w:rsid w:val="00AC1F8E"/>
    <w:rsid w:val="00AC22C1"/>
    <w:rsid w:val="00AC374B"/>
    <w:rsid w:val="00AC3798"/>
    <w:rsid w:val="00AC3918"/>
    <w:rsid w:val="00AC3ED5"/>
    <w:rsid w:val="00AC4CB3"/>
    <w:rsid w:val="00AC4D7C"/>
    <w:rsid w:val="00AC53B0"/>
    <w:rsid w:val="00AC6655"/>
    <w:rsid w:val="00AC6EF2"/>
    <w:rsid w:val="00AC71A6"/>
    <w:rsid w:val="00AC742F"/>
    <w:rsid w:val="00AC7664"/>
    <w:rsid w:val="00AC774F"/>
    <w:rsid w:val="00AC780D"/>
    <w:rsid w:val="00AC787B"/>
    <w:rsid w:val="00AC78A0"/>
    <w:rsid w:val="00AC7956"/>
    <w:rsid w:val="00AC7E18"/>
    <w:rsid w:val="00AD157F"/>
    <w:rsid w:val="00AD1B79"/>
    <w:rsid w:val="00AD2B82"/>
    <w:rsid w:val="00AD2BD7"/>
    <w:rsid w:val="00AD3208"/>
    <w:rsid w:val="00AD3C00"/>
    <w:rsid w:val="00AD4A3C"/>
    <w:rsid w:val="00AD4F6A"/>
    <w:rsid w:val="00AD50F8"/>
    <w:rsid w:val="00AD719F"/>
    <w:rsid w:val="00AD7447"/>
    <w:rsid w:val="00AD752A"/>
    <w:rsid w:val="00AD7D36"/>
    <w:rsid w:val="00AE0A0E"/>
    <w:rsid w:val="00AE0DED"/>
    <w:rsid w:val="00AE1D05"/>
    <w:rsid w:val="00AE2780"/>
    <w:rsid w:val="00AE284A"/>
    <w:rsid w:val="00AE307E"/>
    <w:rsid w:val="00AE3450"/>
    <w:rsid w:val="00AE392E"/>
    <w:rsid w:val="00AE3E11"/>
    <w:rsid w:val="00AE40B3"/>
    <w:rsid w:val="00AE4BAB"/>
    <w:rsid w:val="00AE4BDC"/>
    <w:rsid w:val="00AE4CFD"/>
    <w:rsid w:val="00AE4EA6"/>
    <w:rsid w:val="00AE51FF"/>
    <w:rsid w:val="00AE55AD"/>
    <w:rsid w:val="00AE5C72"/>
    <w:rsid w:val="00AE5D8F"/>
    <w:rsid w:val="00AE63D1"/>
    <w:rsid w:val="00AE67D5"/>
    <w:rsid w:val="00AE78ED"/>
    <w:rsid w:val="00AE7AC2"/>
    <w:rsid w:val="00AE7EC9"/>
    <w:rsid w:val="00AF1117"/>
    <w:rsid w:val="00AF1555"/>
    <w:rsid w:val="00AF174E"/>
    <w:rsid w:val="00AF18BA"/>
    <w:rsid w:val="00AF1CA5"/>
    <w:rsid w:val="00AF228C"/>
    <w:rsid w:val="00AF2DB9"/>
    <w:rsid w:val="00AF3928"/>
    <w:rsid w:val="00AF3B55"/>
    <w:rsid w:val="00AF3D62"/>
    <w:rsid w:val="00AF4146"/>
    <w:rsid w:val="00AF56FE"/>
    <w:rsid w:val="00AF5C45"/>
    <w:rsid w:val="00AF62A7"/>
    <w:rsid w:val="00AF6AC5"/>
    <w:rsid w:val="00AF7809"/>
    <w:rsid w:val="00AF7CA7"/>
    <w:rsid w:val="00AF7F7B"/>
    <w:rsid w:val="00B00BDE"/>
    <w:rsid w:val="00B0104B"/>
    <w:rsid w:val="00B021E0"/>
    <w:rsid w:val="00B03A30"/>
    <w:rsid w:val="00B03A35"/>
    <w:rsid w:val="00B0430C"/>
    <w:rsid w:val="00B04F99"/>
    <w:rsid w:val="00B057B6"/>
    <w:rsid w:val="00B05A7C"/>
    <w:rsid w:val="00B05AF2"/>
    <w:rsid w:val="00B06361"/>
    <w:rsid w:val="00B0651D"/>
    <w:rsid w:val="00B06955"/>
    <w:rsid w:val="00B06AAD"/>
    <w:rsid w:val="00B0758A"/>
    <w:rsid w:val="00B07BEA"/>
    <w:rsid w:val="00B07F41"/>
    <w:rsid w:val="00B102F9"/>
    <w:rsid w:val="00B10CC7"/>
    <w:rsid w:val="00B11C80"/>
    <w:rsid w:val="00B11F33"/>
    <w:rsid w:val="00B12152"/>
    <w:rsid w:val="00B12C85"/>
    <w:rsid w:val="00B12DCA"/>
    <w:rsid w:val="00B139EF"/>
    <w:rsid w:val="00B13ECB"/>
    <w:rsid w:val="00B1524F"/>
    <w:rsid w:val="00B15A54"/>
    <w:rsid w:val="00B15B04"/>
    <w:rsid w:val="00B15ECF"/>
    <w:rsid w:val="00B169CD"/>
    <w:rsid w:val="00B16C0A"/>
    <w:rsid w:val="00B17174"/>
    <w:rsid w:val="00B1785C"/>
    <w:rsid w:val="00B17F60"/>
    <w:rsid w:val="00B2039A"/>
    <w:rsid w:val="00B20AC8"/>
    <w:rsid w:val="00B215D5"/>
    <w:rsid w:val="00B21D55"/>
    <w:rsid w:val="00B225CB"/>
    <w:rsid w:val="00B22870"/>
    <w:rsid w:val="00B22A22"/>
    <w:rsid w:val="00B22AA6"/>
    <w:rsid w:val="00B23D1A"/>
    <w:rsid w:val="00B23F4C"/>
    <w:rsid w:val="00B24233"/>
    <w:rsid w:val="00B246DD"/>
    <w:rsid w:val="00B248D8"/>
    <w:rsid w:val="00B24BA7"/>
    <w:rsid w:val="00B25A6F"/>
    <w:rsid w:val="00B25CD9"/>
    <w:rsid w:val="00B268D0"/>
    <w:rsid w:val="00B269D3"/>
    <w:rsid w:val="00B27886"/>
    <w:rsid w:val="00B27F44"/>
    <w:rsid w:val="00B301ED"/>
    <w:rsid w:val="00B30448"/>
    <w:rsid w:val="00B3048B"/>
    <w:rsid w:val="00B30C49"/>
    <w:rsid w:val="00B30D75"/>
    <w:rsid w:val="00B30DAD"/>
    <w:rsid w:val="00B31315"/>
    <w:rsid w:val="00B3260E"/>
    <w:rsid w:val="00B32C4B"/>
    <w:rsid w:val="00B331DE"/>
    <w:rsid w:val="00B3407E"/>
    <w:rsid w:val="00B34C84"/>
    <w:rsid w:val="00B34D6A"/>
    <w:rsid w:val="00B35021"/>
    <w:rsid w:val="00B35749"/>
    <w:rsid w:val="00B35EF5"/>
    <w:rsid w:val="00B3677F"/>
    <w:rsid w:val="00B36872"/>
    <w:rsid w:val="00B3704D"/>
    <w:rsid w:val="00B37071"/>
    <w:rsid w:val="00B40162"/>
    <w:rsid w:val="00B4054D"/>
    <w:rsid w:val="00B40903"/>
    <w:rsid w:val="00B40FDB"/>
    <w:rsid w:val="00B41C6D"/>
    <w:rsid w:val="00B420B2"/>
    <w:rsid w:val="00B42800"/>
    <w:rsid w:val="00B42832"/>
    <w:rsid w:val="00B42863"/>
    <w:rsid w:val="00B430F6"/>
    <w:rsid w:val="00B43511"/>
    <w:rsid w:val="00B43CE6"/>
    <w:rsid w:val="00B4468B"/>
    <w:rsid w:val="00B45528"/>
    <w:rsid w:val="00B468B0"/>
    <w:rsid w:val="00B46B6E"/>
    <w:rsid w:val="00B478FA"/>
    <w:rsid w:val="00B50156"/>
    <w:rsid w:val="00B501E8"/>
    <w:rsid w:val="00B502A3"/>
    <w:rsid w:val="00B506D4"/>
    <w:rsid w:val="00B507AA"/>
    <w:rsid w:val="00B50953"/>
    <w:rsid w:val="00B509AE"/>
    <w:rsid w:val="00B50E13"/>
    <w:rsid w:val="00B51581"/>
    <w:rsid w:val="00B518AD"/>
    <w:rsid w:val="00B51BB6"/>
    <w:rsid w:val="00B52056"/>
    <w:rsid w:val="00B52B0E"/>
    <w:rsid w:val="00B52D81"/>
    <w:rsid w:val="00B5355B"/>
    <w:rsid w:val="00B5402E"/>
    <w:rsid w:val="00B540E8"/>
    <w:rsid w:val="00B54681"/>
    <w:rsid w:val="00B55852"/>
    <w:rsid w:val="00B560A9"/>
    <w:rsid w:val="00B56866"/>
    <w:rsid w:val="00B56CC4"/>
    <w:rsid w:val="00B604BB"/>
    <w:rsid w:val="00B6062A"/>
    <w:rsid w:val="00B60A96"/>
    <w:rsid w:val="00B60DD7"/>
    <w:rsid w:val="00B60EB6"/>
    <w:rsid w:val="00B60EE5"/>
    <w:rsid w:val="00B616A5"/>
    <w:rsid w:val="00B628BE"/>
    <w:rsid w:val="00B62B67"/>
    <w:rsid w:val="00B637FB"/>
    <w:rsid w:val="00B6386F"/>
    <w:rsid w:val="00B65295"/>
    <w:rsid w:val="00B65D9B"/>
    <w:rsid w:val="00B66E51"/>
    <w:rsid w:val="00B66E68"/>
    <w:rsid w:val="00B672CB"/>
    <w:rsid w:val="00B67346"/>
    <w:rsid w:val="00B6793A"/>
    <w:rsid w:val="00B67AC3"/>
    <w:rsid w:val="00B70880"/>
    <w:rsid w:val="00B71422"/>
    <w:rsid w:val="00B71486"/>
    <w:rsid w:val="00B71607"/>
    <w:rsid w:val="00B71EF7"/>
    <w:rsid w:val="00B72361"/>
    <w:rsid w:val="00B74AB0"/>
    <w:rsid w:val="00B75345"/>
    <w:rsid w:val="00B76327"/>
    <w:rsid w:val="00B76400"/>
    <w:rsid w:val="00B76C94"/>
    <w:rsid w:val="00B76D4E"/>
    <w:rsid w:val="00B76D6E"/>
    <w:rsid w:val="00B771A8"/>
    <w:rsid w:val="00B771AA"/>
    <w:rsid w:val="00B772D0"/>
    <w:rsid w:val="00B80A99"/>
    <w:rsid w:val="00B80F4E"/>
    <w:rsid w:val="00B814CF"/>
    <w:rsid w:val="00B81A33"/>
    <w:rsid w:val="00B8256C"/>
    <w:rsid w:val="00B82B2D"/>
    <w:rsid w:val="00B83117"/>
    <w:rsid w:val="00B8319C"/>
    <w:rsid w:val="00B83596"/>
    <w:rsid w:val="00B8369E"/>
    <w:rsid w:val="00B90351"/>
    <w:rsid w:val="00B90532"/>
    <w:rsid w:val="00B906F2"/>
    <w:rsid w:val="00B90D9B"/>
    <w:rsid w:val="00B91259"/>
    <w:rsid w:val="00B919B5"/>
    <w:rsid w:val="00B91AD5"/>
    <w:rsid w:val="00B91B81"/>
    <w:rsid w:val="00B91FF0"/>
    <w:rsid w:val="00B926A8"/>
    <w:rsid w:val="00B92FFF"/>
    <w:rsid w:val="00B93538"/>
    <w:rsid w:val="00B936F8"/>
    <w:rsid w:val="00B9492E"/>
    <w:rsid w:val="00B960DB"/>
    <w:rsid w:val="00B96799"/>
    <w:rsid w:val="00B96DE5"/>
    <w:rsid w:val="00B97A76"/>
    <w:rsid w:val="00BA0143"/>
    <w:rsid w:val="00BA0166"/>
    <w:rsid w:val="00BA0584"/>
    <w:rsid w:val="00BA0755"/>
    <w:rsid w:val="00BA1E9D"/>
    <w:rsid w:val="00BA249D"/>
    <w:rsid w:val="00BA28FE"/>
    <w:rsid w:val="00BA38D5"/>
    <w:rsid w:val="00BA3C66"/>
    <w:rsid w:val="00BA4D00"/>
    <w:rsid w:val="00BA4F9B"/>
    <w:rsid w:val="00BA5665"/>
    <w:rsid w:val="00BA6825"/>
    <w:rsid w:val="00BA72D9"/>
    <w:rsid w:val="00BA74E8"/>
    <w:rsid w:val="00BB02DB"/>
    <w:rsid w:val="00BB0AB5"/>
    <w:rsid w:val="00BB195B"/>
    <w:rsid w:val="00BB1BBA"/>
    <w:rsid w:val="00BB1DB7"/>
    <w:rsid w:val="00BB204A"/>
    <w:rsid w:val="00BB2BD1"/>
    <w:rsid w:val="00BB31DF"/>
    <w:rsid w:val="00BB33E9"/>
    <w:rsid w:val="00BB34B7"/>
    <w:rsid w:val="00BB37AF"/>
    <w:rsid w:val="00BB3BE4"/>
    <w:rsid w:val="00BB44DB"/>
    <w:rsid w:val="00BB57D3"/>
    <w:rsid w:val="00BB5852"/>
    <w:rsid w:val="00BB58EE"/>
    <w:rsid w:val="00BB64EC"/>
    <w:rsid w:val="00BB6964"/>
    <w:rsid w:val="00BB7589"/>
    <w:rsid w:val="00BB7668"/>
    <w:rsid w:val="00BB767D"/>
    <w:rsid w:val="00BB7E42"/>
    <w:rsid w:val="00BB7ECC"/>
    <w:rsid w:val="00BC077E"/>
    <w:rsid w:val="00BC0DE5"/>
    <w:rsid w:val="00BC0E57"/>
    <w:rsid w:val="00BC1F5F"/>
    <w:rsid w:val="00BC21BE"/>
    <w:rsid w:val="00BC2465"/>
    <w:rsid w:val="00BC2A8A"/>
    <w:rsid w:val="00BC3E36"/>
    <w:rsid w:val="00BC443B"/>
    <w:rsid w:val="00BC4B2D"/>
    <w:rsid w:val="00BC4CE8"/>
    <w:rsid w:val="00BC4D54"/>
    <w:rsid w:val="00BC6E2F"/>
    <w:rsid w:val="00BC728A"/>
    <w:rsid w:val="00BC7632"/>
    <w:rsid w:val="00BC77A4"/>
    <w:rsid w:val="00BC7C9E"/>
    <w:rsid w:val="00BD1E79"/>
    <w:rsid w:val="00BD23A5"/>
    <w:rsid w:val="00BD2937"/>
    <w:rsid w:val="00BD2AFC"/>
    <w:rsid w:val="00BD2CD4"/>
    <w:rsid w:val="00BD3143"/>
    <w:rsid w:val="00BD330C"/>
    <w:rsid w:val="00BD359B"/>
    <w:rsid w:val="00BD3663"/>
    <w:rsid w:val="00BD367F"/>
    <w:rsid w:val="00BD46DF"/>
    <w:rsid w:val="00BD4871"/>
    <w:rsid w:val="00BD48A9"/>
    <w:rsid w:val="00BD4B47"/>
    <w:rsid w:val="00BD5712"/>
    <w:rsid w:val="00BD581A"/>
    <w:rsid w:val="00BD5C02"/>
    <w:rsid w:val="00BD5F83"/>
    <w:rsid w:val="00BD658C"/>
    <w:rsid w:val="00BD678A"/>
    <w:rsid w:val="00BD6819"/>
    <w:rsid w:val="00BD7EC6"/>
    <w:rsid w:val="00BE063A"/>
    <w:rsid w:val="00BE0FF2"/>
    <w:rsid w:val="00BE1345"/>
    <w:rsid w:val="00BE18BC"/>
    <w:rsid w:val="00BE2147"/>
    <w:rsid w:val="00BE239E"/>
    <w:rsid w:val="00BE3B83"/>
    <w:rsid w:val="00BE3C67"/>
    <w:rsid w:val="00BE3CF7"/>
    <w:rsid w:val="00BE42FC"/>
    <w:rsid w:val="00BE6085"/>
    <w:rsid w:val="00BE66FC"/>
    <w:rsid w:val="00BE73FA"/>
    <w:rsid w:val="00BF00D1"/>
    <w:rsid w:val="00BF0353"/>
    <w:rsid w:val="00BF090A"/>
    <w:rsid w:val="00BF0918"/>
    <w:rsid w:val="00BF2001"/>
    <w:rsid w:val="00BF2575"/>
    <w:rsid w:val="00BF31A0"/>
    <w:rsid w:val="00BF323A"/>
    <w:rsid w:val="00BF36C0"/>
    <w:rsid w:val="00BF3F0A"/>
    <w:rsid w:val="00BF4E35"/>
    <w:rsid w:val="00BF5FB3"/>
    <w:rsid w:val="00BF6F82"/>
    <w:rsid w:val="00BF7B9B"/>
    <w:rsid w:val="00C0083F"/>
    <w:rsid w:val="00C00976"/>
    <w:rsid w:val="00C01113"/>
    <w:rsid w:val="00C020CD"/>
    <w:rsid w:val="00C02DDE"/>
    <w:rsid w:val="00C0362D"/>
    <w:rsid w:val="00C0367B"/>
    <w:rsid w:val="00C03CB4"/>
    <w:rsid w:val="00C04E51"/>
    <w:rsid w:val="00C05074"/>
    <w:rsid w:val="00C05AF9"/>
    <w:rsid w:val="00C05DB8"/>
    <w:rsid w:val="00C0606E"/>
    <w:rsid w:val="00C060A3"/>
    <w:rsid w:val="00C060B0"/>
    <w:rsid w:val="00C061FA"/>
    <w:rsid w:val="00C06D2C"/>
    <w:rsid w:val="00C072F0"/>
    <w:rsid w:val="00C07344"/>
    <w:rsid w:val="00C079A3"/>
    <w:rsid w:val="00C07C1F"/>
    <w:rsid w:val="00C07C79"/>
    <w:rsid w:val="00C11A79"/>
    <w:rsid w:val="00C1211E"/>
    <w:rsid w:val="00C13607"/>
    <w:rsid w:val="00C137B1"/>
    <w:rsid w:val="00C13811"/>
    <w:rsid w:val="00C13B43"/>
    <w:rsid w:val="00C14749"/>
    <w:rsid w:val="00C15E81"/>
    <w:rsid w:val="00C174C9"/>
    <w:rsid w:val="00C17A25"/>
    <w:rsid w:val="00C17B6E"/>
    <w:rsid w:val="00C17C0C"/>
    <w:rsid w:val="00C200BA"/>
    <w:rsid w:val="00C20748"/>
    <w:rsid w:val="00C20754"/>
    <w:rsid w:val="00C21378"/>
    <w:rsid w:val="00C220A5"/>
    <w:rsid w:val="00C22307"/>
    <w:rsid w:val="00C22BB2"/>
    <w:rsid w:val="00C22EAF"/>
    <w:rsid w:val="00C23150"/>
    <w:rsid w:val="00C24580"/>
    <w:rsid w:val="00C2476D"/>
    <w:rsid w:val="00C24908"/>
    <w:rsid w:val="00C250E8"/>
    <w:rsid w:val="00C25150"/>
    <w:rsid w:val="00C2515F"/>
    <w:rsid w:val="00C25B30"/>
    <w:rsid w:val="00C25DCF"/>
    <w:rsid w:val="00C2633B"/>
    <w:rsid w:val="00C26AEA"/>
    <w:rsid w:val="00C276EC"/>
    <w:rsid w:val="00C27C0A"/>
    <w:rsid w:val="00C305D9"/>
    <w:rsid w:val="00C31AD4"/>
    <w:rsid w:val="00C31C63"/>
    <w:rsid w:val="00C31C8C"/>
    <w:rsid w:val="00C31CD9"/>
    <w:rsid w:val="00C32481"/>
    <w:rsid w:val="00C3394C"/>
    <w:rsid w:val="00C34581"/>
    <w:rsid w:val="00C34AD7"/>
    <w:rsid w:val="00C35148"/>
    <w:rsid w:val="00C3516D"/>
    <w:rsid w:val="00C351E4"/>
    <w:rsid w:val="00C353D8"/>
    <w:rsid w:val="00C361A6"/>
    <w:rsid w:val="00C365C5"/>
    <w:rsid w:val="00C3670F"/>
    <w:rsid w:val="00C36E1A"/>
    <w:rsid w:val="00C36E26"/>
    <w:rsid w:val="00C371DF"/>
    <w:rsid w:val="00C37818"/>
    <w:rsid w:val="00C37EFC"/>
    <w:rsid w:val="00C37FF9"/>
    <w:rsid w:val="00C40126"/>
    <w:rsid w:val="00C41099"/>
    <w:rsid w:val="00C41425"/>
    <w:rsid w:val="00C41B4A"/>
    <w:rsid w:val="00C4213A"/>
    <w:rsid w:val="00C42C11"/>
    <w:rsid w:val="00C43344"/>
    <w:rsid w:val="00C43ADB"/>
    <w:rsid w:val="00C43D15"/>
    <w:rsid w:val="00C44949"/>
    <w:rsid w:val="00C44B4C"/>
    <w:rsid w:val="00C450E3"/>
    <w:rsid w:val="00C456CC"/>
    <w:rsid w:val="00C45830"/>
    <w:rsid w:val="00C45C56"/>
    <w:rsid w:val="00C45CCD"/>
    <w:rsid w:val="00C46734"/>
    <w:rsid w:val="00C50112"/>
    <w:rsid w:val="00C5105D"/>
    <w:rsid w:val="00C511F0"/>
    <w:rsid w:val="00C513C7"/>
    <w:rsid w:val="00C51639"/>
    <w:rsid w:val="00C51871"/>
    <w:rsid w:val="00C53220"/>
    <w:rsid w:val="00C533A0"/>
    <w:rsid w:val="00C537E7"/>
    <w:rsid w:val="00C53AFE"/>
    <w:rsid w:val="00C53E9D"/>
    <w:rsid w:val="00C5426B"/>
    <w:rsid w:val="00C54C18"/>
    <w:rsid w:val="00C573DA"/>
    <w:rsid w:val="00C5772E"/>
    <w:rsid w:val="00C5781B"/>
    <w:rsid w:val="00C60055"/>
    <w:rsid w:val="00C609E1"/>
    <w:rsid w:val="00C61117"/>
    <w:rsid w:val="00C616B4"/>
    <w:rsid w:val="00C621A7"/>
    <w:rsid w:val="00C624F8"/>
    <w:rsid w:val="00C62AA0"/>
    <w:rsid w:val="00C62BF2"/>
    <w:rsid w:val="00C62D1B"/>
    <w:rsid w:val="00C636C0"/>
    <w:rsid w:val="00C638A6"/>
    <w:rsid w:val="00C63FB9"/>
    <w:rsid w:val="00C64266"/>
    <w:rsid w:val="00C647DF"/>
    <w:rsid w:val="00C64F8E"/>
    <w:rsid w:val="00C66306"/>
    <w:rsid w:val="00C66CE8"/>
    <w:rsid w:val="00C70074"/>
    <w:rsid w:val="00C70D51"/>
    <w:rsid w:val="00C70DF4"/>
    <w:rsid w:val="00C71252"/>
    <w:rsid w:val="00C7277F"/>
    <w:rsid w:val="00C73C07"/>
    <w:rsid w:val="00C74930"/>
    <w:rsid w:val="00C74B47"/>
    <w:rsid w:val="00C74D80"/>
    <w:rsid w:val="00C754BD"/>
    <w:rsid w:val="00C75D3A"/>
    <w:rsid w:val="00C769A9"/>
    <w:rsid w:val="00C76E9A"/>
    <w:rsid w:val="00C774C9"/>
    <w:rsid w:val="00C77F1B"/>
    <w:rsid w:val="00C80987"/>
    <w:rsid w:val="00C80A3F"/>
    <w:rsid w:val="00C8180E"/>
    <w:rsid w:val="00C818A9"/>
    <w:rsid w:val="00C82436"/>
    <w:rsid w:val="00C82933"/>
    <w:rsid w:val="00C82BE2"/>
    <w:rsid w:val="00C84BBF"/>
    <w:rsid w:val="00C84BE9"/>
    <w:rsid w:val="00C85001"/>
    <w:rsid w:val="00C85DEF"/>
    <w:rsid w:val="00C85E40"/>
    <w:rsid w:val="00C86D76"/>
    <w:rsid w:val="00C87A64"/>
    <w:rsid w:val="00C910F8"/>
    <w:rsid w:val="00C91106"/>
    <w:rsid w:val="00C9117B"/>
    <w:rsid w:val="00C91D19"/>
    <w:rsid w:val="00C928C4"/>
    <w:rsid w:val="00C93B58"/>
    <w:rsid w:val="00C93C2F"/>
    <w:rsid w:val="00C9437C"/>
    <w:rsid w:val="00C946E4"/>
    <w:rsid w:val="00C946FF"/>
    <w:rsid w:val="00C94A14"/>
    <w:rsid w:val="00C94CDA"/>
    <w:rsid w:val="00C95BED"/>
    <w:rsid w:val="00C96725"/>
    <w:rsid w:val="00C97A66"/>
    <w:rsid w:val="00CA007B"/>
    <w:rsid w:val="00CA01BB"/>
    <w:rsid w:val="00CA0AA4"/>
    <w:rsid w:val="00CA0C1E"/>
    <w:rsid w:val="00CA149D"/>
    <w:rsid w:val="00CA15B0"/>
    <w:rsid w:val="00CA1C71"/>
    <w:rsid w:val="00CA1D4C"/>
    <w:rsid w:val="00CA1D50"/>
    <w:rsid w:val="00CA1DAB"/>
    <w:rsid w:val="00CA20E0"/>
    <w:rsid w:val="00CA2598"/>
    <w:rsid w:val="00CA3347"/>
    <w:rsid w:val="00CA523D"/>
    <w:rsid w:val="00CA6561"/>
    <w:rsid w:val="00CA6FDA"/>
    <w:rsid w:val="00CA77CF"/>
    <w:rsid w:val="00CA7B58"/>
    <w:rsid w:val="00CB0836"/>
    <w:rsid w:val="00CB0CB9"/>
    <w:rsid w:val="00CB1413"/>
    <w:rsid w:val="00CB18D4"/>
    <w:rsid w:val="00CB2518"/>
    <w:rsid w:val="00CB3920"/>
    <w:rsid w:val="00CB4C4C"/>
    <w:rsid w:val="00CB4D54"/>
    <w:rsid w:val="00CB6413"/>
    <w:rsid w:val="00CB696F"/>
    <w:rsid w:val="00CB6A00"/>
    <w:rsid w:val="00CB7097"/>
    <w:rsid w:val="00CB715F"/>
    <w:rsid w:val="00CB73EE"/>
    <w:rsid w:val="00CB77F4"/>
    <w:rsid w:val="00CB780D"/>
    <w:rsid w:val="00CC05E0"/>
    <w:rsid w:val="00CC0F1C"/>
    <w:rsid w:val="00CC1983"/>
    <w:rsid w:val="00CC1BBB"/>
    <w:rsid w:val="00CC259D"/>
    <w:rsid w:val="00CC299A"/>
    <w:rsid w:val="00CC3039"/>
    <w:rsid w:val="00CC32B7"/>
    <w:rsid w:val="00CC36DE"/>
    <w:rsid w:val="00CC4498"/>
    <w:rsid w:val="00CC4F99"/>
    <w:rsid w:val="00CC5CDC"/>
    <w:rsid w:val="00CC5FC3"/>
    <w:rsid w:val="00CC6369"/>
    <w:rsid w:val="00CC6576"/>
    <w:rsid w:val="00CC65D6"/>
    <w:rsid w:val="00CC73F3"/>
    <w:rsid w:val="00CC7B85"/>
    <w:rsid w:val="00CD0634"/>
    <w:rsid w:val="00CD081C"/>
    <w:rsid w:val="00CD14DA"/>
    <w:rsid w:val="00CD1B5A"/>
    <w:rsid w:val="00CD1E9C"/>
    <w:rsid w:val="00CD27DB"/>
    <w:rsid w:val="00CD2E70"/>
    <w:rsid w:val="00CD386B"/>
    <w:rsid w:val="00CD3D06"/>
    <w:rsid w:val="00CD439F"/>
    <w:rsid w:val="00CD4A09"/>
    <w:rsid w:val="00CD4C67"/>
    <w:rsid w:val="00CD4C7B"/>
    <w:rsid w:val="00CD5397"/>
    <w:rsid w:val="00CD5E93"/>
    <w:rsid w:val="00CE15AE"/>
    <w:rsid w:val="00CE1CFC"/>
    <w:rsid w:val="00CE235A"/>
    <w:rsid w:val="00CE37A3"/>
    <w:rsid w:val="00CE3814"/>
    <w:rsid w:val="00CE3FC0"/>
    <w:rsid w:val="00CE4AC7"/>
    <w:rsid w:val="00CE56B7"/>
    <w:rsid w:val="00CE6660"/>
    <w:rsid w:val="00CE6855"/>
    <w:rsid w:val="00CE6B6F"/>
    <w:rsid w:val="00CE7033"/>
    <w:rsid w:val="00CE7075"/>
    <w:rsid w:val="00CE770A"/>
    <w:rsid w:val="00CF02A6"/>
    <w:rsid w:val="00CF05A6"/>
    <w:rsid w:val="00CF06CF"/>
    <w:rsid w:val="00CF0994"/>
    <w:rsid w:val="00CF101C"/>
    <w:rsid w:val="00CF15C5"/>
    <w:rsid w:val="00CF1EFE"/>
    <w:rsid w:val="00CF2DC1"/>
    <w:rsid w:val="00CF2EE2"/>
    <w:rsid w:val="00CF3948"/>
    <w:rsid w:val="00CF3ACF"/>
    <w:rsid w:val="00CF441D"/>
    <w:rsid w:val="00CF4D4B"/>
    <w:rsid w:val="00CF4F6D"/>
    <w:rsid w:val="00CF4FCF"/>
    <w:rsid w:val="00CF4FDC"/>
    <w:rsid w:val="00CF53F2"/>
    <w:rsid w:val="00CF549F"/>
    <w:rsid w:val="00CF56AF"/>
    <w:rsid w:val="00CF5BE0"/>
    <w:rsid w:val="00CF5BF1"/>
    <w:rsid w:val="00CF5FC6"/>
    <w:rsid w:val="00CF6001"/>
    <w:rsid w:val="00CF61CB"/>
    <w:rsid w:val="00CF666F"/>
    <w:rsid w:val="00CF686F"/>
    <w:rsid w:val="00CF6CA7"/>
    <w:rsid w:val="00CF6E7D"/>
    <w:rsid w:val="00CF76FB"/>
    <w:rsid w:val="00D00175"/>
    <w:rsid w:val="00D00223"/>
    <w:rsid w:val="00D00312"/>
    <w:rsid w:val="00D0045E"/>
    <w:rsid w:val="00D008D8"/>
    <w:rsid w:val="00D00DBF"/>
    <w:rsid w:val="00D0149B"/>
    <w:rsid w:val="00D01CF6"/>
    <w:rsid w:val="00D01F5D"/>
    <w:rsid w:val="00D01FA9"/>
    <w:rsid w:val="00D028A2"/>
    <w:rsid w:val="00D02D17"/>
    <w:rsid w:val="00D03DBE"/>
    <w:rsid w:val="00D03EED"/>
    <w:rsid w:val="00D043DA"/>
    <w:rsid w:val="00D0597D"/>
    <w:rsid w:val="00D06274"/>
    <w:rsid w:val="00D066D8"/>
    <w:rsid w:val="00D07919"/>
    <w:rsid w:val="00D07FB9"/>
    <w:rsid w:val="00D11949"/>
    <w:rsid w:val="00D11A69"/>
    <w:rsid w:val="00D11CB2"/>
    <w:rsid w:val="00D12C98"/>
    <w:rsid w:val="00D12FFC"/>
    <w:rsid w:val="00D13282"/>
    <w:rsid w:val="00D134BD"/>
    <w:rsid w:val="00D13CA3"/>
    <w:rsid w:val="00D1484F"/>
    <w:rsid w:val="00D14BA0"/>
    <w:rsid w:val="00D14D7B"/>
    <w:rsid w:val="00D1516D"/>
    <w:rsid w:val="00D151AA"/>
    <w:rsid w:val="00D158B0"/>
    <w:rsid w:val="00D16930"/>
    <w:rsid w:val="00D1707A"/>
    <w:rsid w:val="00D17CC2"/>
    <w:rsid w:val="00D20EED"/>
    <w:rsid w:val="00D21435"/>
    <w:rsid w:val="00D2242C"/>
    <w:rsid w:val="00D224FA"/>
    <w:rsid w:val="00D22D43"/>
    <w:rsid w:val="00D23033"/>
    <w:rsid w:val="00D2402F"/>
    <w:rsid w:val="00D245C2"/>
    <w:rsid w:val="00D25660"/>
    <w:rsid w:val="00D2569B"/>
    <w:rsid w:val="00D258EB"/>
    <w:rsid w:val="00D25AEB"/>
    <w:rsid w:val="00D271CD"/>
    <w:rsid w:val="00D30480"/>
    <w:rsid w:val="00D3064E"/>
    <w:rsid w:val="00D31325"/>
    <w:rsid w:val="00D315CC"/>
    <w:rsid w:val="00D31DDA"/>
    <w:rsid w:val="00D31F05"/>
    <w:rsid w:val="00D32067"/>
    <w:rsid w:val="00D327A3"/>
    <w:rsid w:val="00D32D66"/>
    <w:rsid w:val="00D33AE9"/>
    <w:rsid w:val="00D34927"/>
    <w:rsid w:val="00D34C82"/>
    <w:rsid w:val="00D3503C"/>
    <w:rsid w:val="00D35131"/>
    <w:rsid w:val="00D36550"/>
    <w:rsid w:val="00D379EC"/>
    <w:rsid w:val="00D37C94"/>
    <w:rsid w:val="00D37E9F"/>
    <w:rsid w:val="00D40CA4"/>
    <w:rsid w:val="00D40D88"/>
    <w:rsid w:val="00D416EF"/>
    <w:rsid w:val="00D41E42"/>
    <w:rsid w:val="00D41F6B"/>
    <w:rsid w:val="00D42380"/>
    <w:rsid w:val="00D42C9B"/>
    <w:rsid w:val="00D4348D"/>
    <w:rsid w:val="00D436D7"/>
    <w:rsid w:val="00D44E42"/>
    <w:rsid w:val="00D44FC3"/>
    <w:rsid w:val="00D45072"/>
    <w:rsid w:val="00D450E2"/>
    <w:rsid w:val="00D453D7"/>
    <w:rsid w:val="00D4552D"/>
    <w:rsid w:val="00D462D6"/>
    <w:rsid w:val="00D4714D"/>
    <w:rsid w:val="00D474AB"/>
    <w:rsid w:val="00D4754E"/>
    <w:rsid w:val="00D50460"/>
    <w:rsid w:val="00D50961"/>
    <w:rsid w:val="00D50A02"/>
    <w:rsid w:val="00D512A1"/>
    <w:rsid w:val="00D518D6"/>
    <w:rsid w:val="00D52AB4"/>
    <w:rsid w:val="00D52F26"/>
    <w:rsid w:val="00D531F5"/>
    <w:rsid w:val="00D532D0"/>
    <w:rsid w:val="00D538C1"/>
    <w:rsid w:val="00D538D5"/>
    <w:rsid w:val="00D53B5C"/>
    <w:rsid w:val="00D54640"/>
    <w:rsid w:val="00D54916"/>
    <w:rsid w:val="00D55455"/>
    <w:rsid w:val="00D559B5"/>
    <w:rsid w:val="00D56420"/>
    <w:rsid w:val="00D5658A"/>
    <w:rsid w:val="00D56A94"/>
    <w:rsid w:val="00D56C0C"/>
    <w:rsid w:val="00D56F9E"/>
    <w:rsid w:val="00D570B4"/>
    <w:rsid w:val="00D5798B"/>
    <w:rsid w:val="00D60736"/>
    <w:rsid w:val="00D6088C"/>
    <w:rsid w:val="00D6170E"/>
    <w:rsid w:val="00D61972"/>
    <w:rsid w:val="00D61B58"/>
    <w:rsid w:val="00D6307D"/>
    <w:rsid w:val="00D63632"/>
    <w:rsid w:val="00D63732"/>
    <w:rsid w:val="00D63925"/>
    <w:rsid w:val="00D6405D"/>
    <w:rsid w:val="00D6568E"/>
    <w:rsid w:val="00D65893"/>
    <w:rsid w:val="00D658EC"/>
    <w:rsid w:val="00D66816"/>
    <w:rsid w:val="00D6684E"/>
    <w:rsid w:val="00D66FF0"/>
    <w:rsid w:val="00D6742A"/>
    <w:rsid w:val="00D67B9B"/>
    <w:rsid w:val="00D71733"/>
    <w:rsid w:val="00D718AC"/>
    <w:rsid w:val="00D719A3"/>
    <w:rsid w:val="00D71E7A"/>
    <w:rsid w:val="00D72DE7"/>
    <w:rsid w:val="00D7302F"/>
    <w:rsid w:val="00D73870"/>
    <w:rsid w:val="00D73BB2"/>
    <w:rsid w:val="00D74575"/>
    <w:rsid w:val="00D74D14"/>
    <w:rsid w:val="00D74F3B"/>
    <w:rsid w:val="00D75229"/>
    <w:rsid w:val="00D752E7"/>
    <w:rsid w:val="00D7574B"/>
    <w:rsid w:val="00D75913"/>
    <w:rsid w:val="00D75E82"/>
    <w:rsid w:val="00D76270"/>
    <w:rsid w:val="00D767C6"/>
    <w:rsid w:val="00D769C5"/>
    <w:rsid w:val="00D76E76"/>
    <w:rsid w:val="00D80631"/>
    <w:rsid w:val="00D818EC"/>
    <w:rsid w:val="00D81A20"/>
    <w:rsid w:val="00D81F55"/>
    <w:rsid w:val="00D825E2"/>
    <w:rsid w:val="00D8321A"/>
    <w:rsid w:val="00D83F57"/>
    <w:rsid w:val="00D8445D"/>
    <w:rsid w:val="00D845DC"/>
    <w:rsid w:val="00D84A86"/>
    <w:rsid w:val="00D85152"/>
    <w:rsid w:val="00D85F2C"/>
    <w:rsid w:val="00D86030"/>
    <w:rsid w:val="00D861BD"/>
    <w:rsid w:val="00D86D55"/>
    <w:rsid w:val="00D8789C"/>
    <w:rsid w:val="00D8789D"/>
    <w:rsid w:val="00D87A7D"/>
    <w:rsid w:val="00D87B3F"/>
    <w:rsid w:val="00D9003D"/>
    <w:rsid w:val="00D903C0"/>
    <w:rsid w:val="00D90558"/>
    <w:rsid w:val="00D9082F"/>
    <w:rsid w:val="00D90C79"/>
    <w:rsid w:val="00D914EB"/>
    <w:rsid w:val="00D91B36"/>
    <w:rsid w:val="00D9305B"/>
    <w:rsid w:val="00D94085"/>
    <w:rsid w:val="00D944D2"/>
    <w:rsid w:val="00D96D4F"/>
    <w:rsid w:val="00DA1806"/>
    <w:rsid w:val="00DA1BD1"/>
    <w:rsid w:val="00DA212B"/>
    <w:rsid w:val="00DA3A76"/>
    <w:rsid w:val="00DA5713"/>
    <w:rsid w:val="00DA5F95"/>
    <w:rsid w:val="00DA6205"/>
    <w:rsid w:val="00DA6856"/>
    <w:rsid w:val="00DA6D6D"/>
    <w:rsid w:val="00DA73C1"/>
    <w:rsid w:val="00DA7457"/>
    <w:rsid w:val="00DA770D"/>
    <w:rsid w:val="00DA77A8"/>
    <w:rsid w:val="00DA7851"/>
    <w:rsid w:val="00DA7DC1"/>
    <w:rsid w:val="00DB00EE"/>
    <w:rsid w:val="00DB0132"/>
    <w:rsid w:val="00DB2754"/>
    <w:rsid w:val="00DB2D88"/>
    <w:rsid w:val="00DB3687"/>
    <w:rsid w:val="00DB38D1"/>
    <w:rsid w:val="00DB41CB"/>
    <w:rsid w:val="00DB5114"/>
    <w:rsid w:val="00DB681B"/>
    <w:rsid w:val="00DB73C2"/>
    <w:rsid w:val="00DB7E24"/>
    <w:rsid w:val="00DC0445"/>
    <w:rsid w:val="00DC115F"/>
    <w:rsid w:val="00DC2082"/>
    <w:rsid w:val="00DC225F"/>
    <w:rsid w:val="00DC2883"/>
    <w:rsid w:val="00DC2C48"/>
    <w:rsid w:val="00DC46B5"/>
    <w:rsid w:val="00DC4B28"/>
    <w:rsid w:val="00DC4B5D"/>
    <w:rsid w:val="00DC525E"/>
    <w:rsid w:val="00DC535C"/>
    <w:rsid w:val="00DC5DCB"/>
    <w:rsid w:val="00DC6C0D"/>
    <w:rsid w:val="00DC75E7"/>
    <w:rsid w:val="00DD074A"/>
    <w:rsid w:val="00DD0D70"/>
    <w:rsid w:val="00DD1941"/>
    <w:rsid w:val="00DD26A5"/>
    <w:rsid w:val="00DD2812"/>
    <w:rsid w:val="00DD2CE3"/>
    <w:rsid w:val="00DD34F2"/>
    <w:rsid w:val="00DD3C6B"/>
    <w:rsid w:val="00DD48D7"/>
    <w:rsid w:val="00DD4A56"/>
    <w:rsid w:val="00DD54ED"/>
    <w:rsid w:val="00DD697F"/>
    <w:rsid w:val="00DD699C"/>
    <w:rsid w:val="00DD739F"/>
    <w:rsid w:val="00DD7631"/>
    <w:rsid w:val="00DD7762"/>
    <w:rsid w:val="00DD781E"/>
    <w:rsid w:val="00DD7A2C"/>
    <w:rsid w:val="00DD7F63"/>
    <w:rsid w:val="00DE0A1B"/>
    <w:rsid w:val="00DE1238"/>
    <w:rsid w:val="00DE1966"/>
    <w:rsid w:val="00DE1FFE"/>
    <w:rsid w:val="00DE2F9E"/>
    <w:rsid w:val="00DE31B1"/>
    <w:rsid w:val="00DE32E7"/>
    <w:rsid w:val="00DE3841"/>
    <w:rsid w:val="00DE3BB8"/>
    <w:rsid w:val="00DE40EB"/>
    <w:rsid w:val="00DE5117"/>
    <w:rsid w:val="00DE51F6"/>
    <w:rsid w:val="00DE5648"/>
    <w:rsid w:val="00DE568A"/>
    <w:rsid w:val="00DE56B7"/>
    <w:rsid w:val="00DE595E"/>
    <w:rsid w:val="00DE5CD9"/>
    <w:rsid w:val="00DE6A70"/>
    <w:rsid w:val="00DE70B5"/>
    <w:rsid w:val="00DE7113"/>
    <w:rsid w:val="00DF00F9"/>
    <w:rsid w:val="00DF0576"/>
    <w:rsid w:val="00DF1981"/>
    <w:rsid w:val="00DF1D07"/>
    <w:rsid w:val="00DF1E89"/>
    <w:rsid w:val="00DF1EC8"/>
    <w:rsid w:val="00DF2144"/>
    <w:rsid w:val="00DF24D9"/>
    <w:rsid w:val="00DF2EA5"/>
    <w:rsid w:val="00DF310B"/>
    <w:rsid w:val="00DF3E47"/>
    <w:rsid w:val="00DF5362"/>
    <w:rsid w:val="00DF56E8"/>
    <w:rsid w:val="00DF5C01"/>
    <w:rsid w:val="00DF5FF5"/>
    <w:rsid w:val="00DF6655"/>
    <w:rsid w:val="00DF6EB6"/>
    <w:rsid w:val="00DF7133"/>
    <w:rsid w:val="00DF722A"/>
    <w:rsid w:val="00DF764C"/>
    <w:rsid w:val="00DF7FBF"/>
    <w:rsid w:val="00E00108"/>
    <w:rsid w:val="00E00BB4"/>
    <w:rsid w:val="00E00CAA"/>
    <w:rsid w:val="00E01441"/>
    <w:rsid w:val="00E01682"/>
    <w:rsid w:val="00E01D4A"/>
    <w:rsid w:val="00E02C68"/>
    <w:rsid w:val="00E02F4B"/>
    <w:rsid w:val="00E03D04"/>
    <w:rsid w:val="00E04332"/>
    <w:rsid w:val="00E043BB"/>
    <w:rsid w:val="00E047A0"/>
    <w:rsid w:val="00E04ECF"/>
    <w:rsid w:val="00E0502A"/>
    <w:rsid w:val="00E0584C"/>
    <w:rsid w:val="00E05902"/>
    <w:rsid w:val="00E067C4"/>
    <w:rsid w:val="00E06A36"/>
    <w:rsid w:val="00E074C9"/>
    <w:rsid w:val="00E1198B"/>
    <w:rsid w:val="00E11C0C"/>
    <w:rsid w:val="00E126B2"/>
    <w:rsid w:val="00E127E3"/>
    <w:rsid w:val="00E1321D"/>
    <w:rsid w:val="00E13E8F"/>
    <w:rsid w:val="00E14818"/>
    <w:rsid w:val="00E148E8"/>
    <w:rsid w:val="00E1610C"/>
    <w:rsid w:val="00E162BD"/>
    <w:rsid w:val="00E16660"/>
    <w:rsid w:val="00E16C6F"/>
    <w:rsid w:val="00E16C78"/>
    <w:rsid w:val="00E16D73"/>
    <w:rsid w:val="00E17056"/>
    <w:rsid w:val="00E17296"/>
    <w:rsid w:val="00E17833"/>
    <w:rsid w:val="00E17981"/>
    <w:rsid w:val="00E17CD2"/>
    <w:rsid w:val="00E17E36"/>
    <w:rsid w:val="00E201F2"/>
    <w:rsid w:val="00E206D8"/>
    <w:rsid w:val="00E20A87"/>
    <w:rsid w:val="00E2113A"/>
    <w:rsid w:val="00E21C65"/>
    <w:rsid w:val="00E21F30"/>
    <w:rsid w:val="00E2307E"/>
    <w:rsid w:val="00E2352B"/>
    <w:rsid w:val="00E23C63"/>
    <w:rsid w:val="00E23E84"/>
    <w:rsid w:val="00E23F9B"/>
    <w:rsid w:val="00E24D23"/>
    <w:rsid w:val="00E2546F"/>
    <w:rsid w:val="00E26285"/>
    <w:rsid w:val="00E26649"/>
    <w:rsid w:val="00E2703D"/>
    <w:rsid w:val="00E271F9"/>
    <w:rsid w:val="00E27F0A"/>
    <w:rsid w:val="00E30712"/>
    <w:rsid w:val="00E309B0"/>
    <w:rsid w:val="00E30E67"/>
    <w:rsid w:val="00E32143"/>
    <w:rsid w:val="00E325F3"/>
    <w:rsid w:val="00E326E9"/>
    <w:rsid w:val="00E32AB7"/>
    <w:rsid w:val="00E32B61"/>
    <w:rsid w:val="00E33106"/>
    <w:rsid w:val="00E345C2"/>
    <w:rsid w:val="00E34D99"/>
    <w:rsid w:val="00E352C3"/>
    <w:rsid w:val="00E35476"/>
    <w:rsid w:val="00E355C0"/>
    <w:rsid w:val="00E359A5"/>
    <w:rsid w:val="00E359C6"/>
    <w:rsid w:val="00E35C28"/>
    <w:rsid w:val="00E372F7"/>
    <w:rsid w:val="00E37431"/>
    <w:rsid w:val="00E37DC0"/>
    <w:rsid w:val="00E37E0A"/>
    <w:rsid w:val="00E37EC6"/>
    <w:rsid w:val="00E40432"/>
    <w:rsid w:val="00E40850"/>
    <w:rsid w:val="00E40D52"/>
    <w:rsid w:val="00E41187"/>
    <w:rsid w:val="00E411B3"/>
    <w:rsid w:val="00E41585"/>
    <w:rsid w:val="00E41F94"/>
    <w:rsid w:val="00E421ED"/>
    <w:rsid w:val="00E4220D"/>
    <w:rsid w:val="00E4231E"/>
    <w:rsid w:val="00E4279A"/>
    <w:rsid w:val="00E429ED"/>
    <w:rsid w:val="00E42EBB"/>
    <w:rsid w:val="00E43894"/>
    <w:rsid w:val="00E44AC7"/>
    <w:rsid w:val="00E44E08"/>
    <w:rsid w:val="00E45337"/>
    <w:rsid w:val="00E45B2D"/>
    <w:rsid w:val="00E45DF9"/>
    <w:rsid w:val="00E468F2"/>
    <w:rsid w:val="00E47A20"/>
    <w:rsid w:val="00E5084C"/>
    <w:rsid w:val="00E50871"/>
    <w:rsid w:val="00E50AD9"/>
    <w:rsid w:val="00E50B4C"/>
    <w:rsid w:val="00E512FE"/>
    <w:rsid w:val="00E5198D"/>
    <w:rsid w:val="00E52063"/>
    <w:rsid w:val="00E52C66"/>
    <w:rsid w:val="00E53533"/>
    <w:rsid w:val="00E537ED"/>
    <w:rsid w:val="00E5384D"/>
    <w:rsid w:val="00E53F2E"/>
    <w:rsid w:val="00E54004"/>
    <w:rsid w:val="00E546C9"/>
    <w:rsid w:val="00E54BB9"/>
    <w:rsid w:val="00E54D3F"/>
    <w:rsid w:val="00E55F1F"/>
    <w:rsid w:val="00E56735"/>
    <w:rsid w:val="00E56866"/>
    <w:rsid w:val="00E56904"/>
    <w:rsid w:val="00E57DFD"/>
    <w:rsid w:val="00E60423"/>
    <w:rsid w:val="00E60545"/>
    <w:rsid w:val="00E606F4"/>
    <w:rsid w:val="00E607E5"/>
    <w:rsid w:val="00E60A16"/>
    <w:rsid w:val="00E610CB"/>
    <w:rsid w:val="00E6125B"/>
    <w:rsid w:val="00E6170A"/>
    <w:rsid w:val="00E62816"/>
    <w:rsid w:val="00E62ADF"/>
    <w:rsid w:val="00E62FA7"/>
    <w:rsid w:val="00E637A3"/>
    <w:rsid w:val="00E659FD"/>
    <w:rsid w:val="00E65B0C"/>
    <w:rsid w:val="00E66B16"/>
    <w:rsid w:val="00E66BA2"/>
    <w:rsid w:val="00E677DB"/>
    <w:rsid w:val="00E700F8"/>
    <w:rsid w:val="00E7036A"/>
    <w:rsid w:val="00E71C2D"/>
    <w:rsid w:val="00E72187"/>
    <w:rsid w:val="00E7266C"/>
    <w:rsid w:val="00E72BB6"/>
    <w:rsid w:val="00E72CD0"/>
    <w:rsid w:val="00E730AC"/>
    <w:rsid w:val="00E7310C"/>
    <w:rsid w:val="00E733ED"/>
    <w:rsid w:val="00E734CE"/>
    <w:rsid w:val="00E73D33"/>
    <w:rsid w:val="00E750CB"/>
    <w:rsid w:val="00E778DC"/>
    <w:rsid w:val="00E80336"/>
    <w:rsid w:val="00E80D00"/>
    <w:rsid w:val="00E815CE"/>
    <w:rsid w:val="00E81611"/>
    <w:rsid w:val="00E81800"/>
    <w:rsid w:val="00E81863"/>
    <w:rsid w:val="00E81C42"/>
    <w:rsid w:val="00E81C5C"/>
    <w:rsid w:val="00E81FDB"/>
    <w:rsid w:val="00E82064"/>
    <w:rsid w:val="00E82B6E"/>
    <w:rsid w:val="00E82DC6"/>
    <w:rsid w:val="00E8347E"/>
    <w:rsid w:val="00E835C5"/>
    <w:rsid w:val="00E83ACD"/>
    <w:rsid w:val="00E83D4B"/>
    <w:rsid w:val="00E848F0"/>
    <w:rsid w:val="00E84D1C"/>
    <w:rsid w:val="00E84D9C"/>
    <w:rsid w:val="00E85069"/>
    <w:rsid w:val="00E8628F"/>
    <w:rsid w:val="00E86888"/>
    <w:rsid w:val="00E8695C"/>
    <w:rsid w:val="00E9162C"/>
    <w:rsid w:val="00E92C96"/>
    <w:rsid w:val="00E942B8"/>
    <w:rsid w:val="00E944ED"/>
    <w:rsid w:val="00E945AF"/>
    <w:rsid w:val="00E94A0B"/>
    <w:rsid w:val="00E94A2C"/>
    <w:rsid w:val="00E9544C"/>
    <w:rsid w:val="00E95799"/>
    <w:rsid w:val="00E95D93"/>
    <w:rsid w:val="00E9683D"/>
    <w:rsid w:val="00E970B7"/>
    <w:rsid w:val="00E97D95"/>
    <w:rsid w:val="00EA0035"/>
    <w:rsid w:val="00EA010D"/>
    <w:rsid w:val="00EA012D"/>
    <w:rsid w:val="00EA04C5"/>
    <w:rsid w:val="00EA0507"/>
    <w:rsid w:val="00EA0BB5"/>
    <w:rsid w:val="00EA1A8A"/>
    <w:rsid w:val="00EA21FA"/>
    <w:rsid w:val="00EA25EB"/>
    <w:rsid w:val="00EA26D5"/>
    <w:rsid w:val="00EA2775"/>
    <w:rsid w:val="00EA305D"/>
    <w:rsid w:val="00EA3106"/>
    <w:rsid w:val="00EA3874"/>
    <w:rsid w:val="00EA5697"/>
    <w:rsid w:val="00EA5AB6"/>
    <w:rsid w:val="00EA5FB0"/>
    <w:rsid w:val="00EA612E"/>
    <w:rsid w:val="00EA6F91"/>
    <w:rsid w:val="00EA761C"/>
    <w:rsid w:val="00EA7D7F"/>
    <w:rsid w:val="00EB0810"/>
    <w:rsid w:val="00EB0B5F"/>
    <w:rsid w:val="00EB0F1C"/>
    <w:rsid w:val="00EB1CF7"/>
    <w:rsid w:val="00EB25C2"/>
    <w:rsid w:val="00EB28AE"/>
    <w:rsid w:val="00EB2B6F"/>
    <w:rsid w:val="00EB2CAD"/>
    <w:rsid w:val="00EB2FA2"/>
    <w:rsid w:val="00EB3272"/>
    <w:rsid w:val="00EB37B2"/>
    <w:rsid w:val="00EB3FF9"/>
    <w:rsid w:val="00EB5F0B"/>
    <w:rsid w:val="00EB703A"/>
    <w:rsid w:val="00EB7352"/>
    <w:rsid w:val="00EB769A"/>
    <w:rsid w:val="00EC11E4"/>
    <w:rsid w:val="00EC14E1"/>
    <w:rsid w:val="00EC183C"/>
    <w:rsid w:val="00EC2A3F"/>
    <w:rsid w:val="00EC2E64"/>
    <w:rsid w:val="00EC3A35"/>
    <w:rsid w:val="00EC3C52"/>
    <w:rsid w:val="00EC3E5B"/>
    <w:rsid w:val="00EC3E69"/>
    <w:rsid w:val="00EC41A7"/>
    <w:rsid w:val="00EC4257"/>
    <w:rsid w:val="00EC46CE"/>
    <w:rsid w:val="00EC4B5D"/>
    <w:rsid w:val="00EC4F94"/>
    <w:rsid w:val="00EC5554"/>
    <w:rsid w:val="00EC572B"/>
    <w:rsid w:val="00EC5B8E"/>
    <w:rsid w:val="00EC7356"/>
    <w:rsid w:val="00EC75F6"/>
    <w:rsid w:val="00ED0065"/>
    <w:rsid w:val="00ED15E3"/>
    <w:rsid w:val="00ED17B5"/>
    <w:rsid w:val="00ED1BA0"/>
    <w:rsid w:val="00ED1D2D"/>
    <w:rsid w:val="00ED3242"/>
    <w:rsid w:val="00ED353D"/>
    <w:rsid w:val="00ED4C59"/>
    <w:rsid w:val="00ED588C"/>
    <w:rsid w:val="00ED5B71"/>
    <w:rsid w:val="00ED6E7A"/>
    <w:rsid w:val="00ED6EA1"/>
    <w:rsid w:val="00ED7A7F"/>
    <w:rsid w:val="00ED7B85"/>
    <w:rsid w:val="00EE060B"/>
    <w:rsid w:val="00EE07AC"/>
    <w:rsid w:val="00EE0891"/>
    <w:rsid w:val="00EE0C94"/>
    <w:rsid w:val="00EE1062"/>
    <w:rsid w:val="00EE17F2"/>
    <w:rsid w:val="00EE188A"/>
    <w:rsid w:val="00EE1B01"/>
    <w:rsid w:val="00EE1C62"/>
    <w:rsid w:val="00EE1DB8"/>
    <w:rsid w:val="00EE210D"/>
    <w:rsid w:val="00EE2746"/>
    <w:rsid w:val="00EE2FD8"/>
    <w:rsid w:val="00EE3256"/>
    <w:rsid w:val="00EE4759"/>
    <w:rsid w:val="00EE4C20"/>
    <w:rsid w:val="00EE4F2D"/>
    <w:rsid w:val="00EE524C"/>
    <w:rsid w:val="00EE589E"/>
    <w:rsid w:val="00EE6755"/>
    <w:rsid w:val="00EE78D6"/>
    <w:rsid w:val="00EF03DC"/>
    <w:rsid w:val="00EF0437"/>
    <w:rsid w:val="00EF0568"/>
    <w:rsid w:val="00EF0BFE"/>
    <w:rsid w:val="00EF0C2F"/>
    <w:rsid w:val="00EF1878"/>
    <w:rsid w:val="00EF1DE8"/>
    <w:rsid w:val="00EF2AC7"/>
    <w:rsid w:val="00EF3397"/>
    <w:rsid w:val="00EF40BF"/>
    <w:rsid w:val="00EF4557"/>
    <w:rsid w:val="00EF493F"/>
    <w:rsid w:val="00EF5947"/>
    <w:rsid w:val="00EF5E22"/>
    <w:rsid w:val="00EF60CA"/>
    <w:rsid w:val="00EF63C1"/>
    <w:rsid w:val="00EF6557"/>
    <w:rsid w:val="00EF69B7"/>
    <w:rsid w:val="00EF6C2B"/>
    <w:rsid w:val="00F00059"/>
    <w:rsid w:val="00F008BD"/>
    <w:rsid w:val="00F00ABA"/>
    <w:rsid w:val="00F01DF0"/>
    <w:rsid w:val="00F021A9"/>
    <w:rsid w:val="00F02C54"/>
    <w:rsid w:val="00F02CD0"/>
    <w:rsid w:val="00F02D03"/>
    <w:rsid w:val="00F035DB"/>
    <w:rsid w:val="00F0448C"/>
    <w:rsid w:val="00F04BAF"/>
    <w:rsid w:val="00F0553C"/>
    <w:rsid w:val="00F06A7A"/>
    <w:rsid w:val="00F06BA7"/>
    <w:rsid w:val="00F06C50"/>
    <w:rsid w:val="00F071BA"/>
    <w:rsid w:val="00F11D2E"/>
    <w:rsid w:val="00F1284F"/>
    <w:rsid w:val="00F136A4"/>
    <w:rsid w:val="00F1377B"/>
    <w:rsid w:val="00F13918"/>
    <w:rsid w:val="00F13C5E"/>
    <w:rsid w:val="00F14108"/>
    <w:rsid w:val="00F14366"/>
    <w:rsid w:val="00F14378"/>
    <w:rsid w:val="00F148D5"/>
    <w:rsid w:val="00F1601A"/>
    <w:rsid w:val="00F160BF"/>
    <w:rsid w:val="00F16173"/>
    <w:rsid w:val="00F1675C"/>
    <w:rsid w:val="00F16A3C"/>
    <w:rsid w:val="00F17428"/>
    <w:rsid w:val="00F17EAC"/>
    <w:rsid w:val="00F20046"/>
    <w:rsid w:val="00F20CC1"/>
    <w:rsid w:val="00F20D22"/>
    <w:rsid w:val="00F21112"/>
    <w:rsid w:val="00F21A58"/>
    <w:rsid w:val="00F2302A"/>
    <w:rsid w:val="00F23048"/>
    <w:rsid w:val="00F239CD"/>
    <w:rsid w:val="00F23DCC"/>
    <w:rsid w:val="00F24158"/>
    <w:rsid w:val="00F24294"/>
    <w:rsid w:val="00F2477C"/>
    <w:rsid w:val="00F24E5D"/>
    <w:rsid w:val="00F24EBB"/>
    <w:rsid w:val="00F26A92"/>
    <w:rsid w:val="00F271B2"/>
    <w:rsid w:val="00F27696"/>
    <w:rsid w:val="00F2777F"/>
    <w:rsid w:val="00F27F06"/>
    <w:rsid w:val="00F314E8"/>
    <w:rsid w:val="00F316A2"/>
    <w:rsid w:val="00F321B5"/>
    <w:rsid w:val="00F323A2"/>
    <w:rsid w:val="00F332D4"/>
    <w:rsid w:val="00F33B57"/>
    <w:rsid w:val="00F33CA8"/>
    <w:rsid w:val="00F33D5C"/>
    <w:rsid w:val="00F356D6"/>
    <w:rsid w:val="00F36681"/>
    <w:rsid w:val="00F372DB"/>
    <w:rsid w:val="00F3785D"/>
    <w:rsid w:val="00F378BE"/>
    <w:rsid w:val="00F37D37"/>
    <w:rsid w:val="00F400E3"/>
    <w:rsid w:val="00F4021A"/>
    <w:rsid w:val="00F40876"/>
    <w:rsid w:val="00F42148"/>
    <w:rsid w:val="00F4363B"/>
    <w:rsid w:val="00F44642"/>
    <w:rsid w:val="00F454A2"/>
    <w:rsid w:val="00F45E89"/>
    <w:rsid w:val="00F47845"/>
    <w:rsid w:val="00F47B6C"/>
    <w:rsid w:val="00F50039"/>
    <w:rsid w:val="00F50675"/>
    <w:rsid w:val="00F5071D"/>
    <w:rsid w:val="00F50BD6"/>
    <w:rsid w:val="00F50E16"/>
    <w:rsid w:val="00F513B2"/>
    <w:rsid w:val="00F51520"/>
    <w:rsid w:val="00F52140"/>
    <w:rsid w:val="00F521E4"/>
    <w:rsid w:val="00F52CCE"/>
    <w:rsid w:val="00F53151"/>
    <w:rsid w:val="00F535A9"/>
    <w:rsid w:val="00F53B58"/>
    <w:rsid w:val="00F53F3D"/>
    <w:rsid w:val="00F53F92"/>
    <w:rsid w:val="00F5480F"/>
    <w:rsid w:val="00F54AA5"/>
    <w:rsid w:val="00F552F7"/>
    <w:rsid w:val="00F553A7"/>
    <w:rsid w:val="00F554EB"/>
    <w:rsid w:val="00F5562D"/>
    <w:rsid w:val="00F55828"/>
    <w:rsid w:val="00F55BC7"/>
    <w:rsid w:val="00F566EA"/>
    <w:rsid w:val="00F567A4"/>
    <w:rsid w:val="00F578EB"/>
    <w:rsid w:val="00F605BE"/>
    <w:rsid w:val="00F60AF6"/>
    <w:rsid w:val="00F60DDC"/>
    <w:rsid w:val="00F610A9"/>
    <w:rsid w:val="00F617BE"/>
    <w:rsid w:val="00F61C7A"/>
    <w:rsid w:val="00F625F7"/>
    <w:rsid w:val="00F64702"/>
    <w:rsid w:val="00F64D5A"/>
    <w:rsid w:val="00F64E0F"/>
    <w:rsid w:val="00F65399"/>
    <w:rsid w:val="00F65B68"/>
    <w:rsid w:val="00F65C22"/>
    <w:rsid w:val="00F65EC9"/>
    <w:rsid w:val="00F66CB1"/>
    <w:rsid w:val="00F672BD"/>
    <w:rsid w:val="00F67767"/>
    <w:rsid w:val="00F677CB"/>
    <w:rsid w:val="00F67E15"/>
    <w:rsid w:val="00F67FCA"/>
    <w:rsid w:val="00F70815"/>
    <w:rsid w:val="00F709F4"/>
    <w:rsid w:val="00F71019"/>
    <w:rsid w:val="00F710A9"/>
    <w:rsid w:val="00F7284D"/>
    <w:rsid w:val="00F72CFE"/>
    <w:rsid w:val="00F72FB0"/>
    <w:rsid w:val="00F73423"/>
    <w:rsid w:val="00F7365E"/>
    <w:rsid w:val="00F737A4"/>
    <w:rsid w:val="00F737BF"/>
    <w:rsid w:val="00F7388D"/>
    <w:rsid w:val="00F73950"/>
    <w:rsid w:val="00F7478E"/>
    <w:rsid w:val="00F75481"/>
    <w:rsid w:val="00F76664"/>
    <w:rsid w:val="00F76A4C"/>
    <w:rsid w:val="00F76AB3"/>
    <w:rsid w:val="00F802A3"/>
    <w:rsid w:val="00F816A4"/>
    <w:rsid w:val="00F8194C"/>
    <w:rsid w:val="00F81AE9"/>
    <w:rsid w:val="00F81DE9"/>
    <w:rsid w:val="00F827D0"/>
    <w:rsid w:val="00F82C78"/>
    <w:rsid w:val="00F82E2E"/>
    <w:rsid w:val="00F83186"/>
    <w:rsid w:val="00F83601"/>
    <w:rsid w:val="00F837E6"/>
    <w:rsid w:val="00F8389A"/>
    <w:rsid w:val="00F83AE9"/>
    <w:rsid w:val="00F83EC8"/>
    <w:rsid w:val="00F843D4"/>
    <w:rsid w:val="00F84A40"/>
    <w:rsid w:val="00F84B50"/>
    <w:rsid w:val="00F84DBD"/>
    <w:rsid w:val="00F8516E"/>
    <w:rsid w:val="00F852E5"/>
    <w:rsid w:val="00F85C0D"/>
    <w:rsid w:val="00F86741"/>
    <w:rsid w:val="00F86796"/>
    <w:rsid w:val="00F87C3F"/>
    <w:rsid w:val="00F87C5B"/>
    <w:rsid w:val="00F87FEA"/>
    <w:rsid w:val="00F90613"/>
    <w:rsid w:val="00F906F4"/>
    <w:rsid w:val="00F915F3"/>
    <w:rsid w:val="00F91800"/>
    <w:rsid w:val="00F91853"/>
    <w:rsid w:val="00F918B6"/>
    <w:rsid w:val="00F91987"/>
    <w:rsid w:val="00F9208E"/>
    <w:rsid w:val="00F92571"/>
    <w:rsid w:val="00F93B2F"/>
    <w:rsid w:val="00F93CAE"/>
    <w:rsid w:val="00F9453D"/>
    <w:rsid w:val="00F954E4"/>
    <w:rsid w:val="00F95CCE"/>
    <w:rsid w:val="00F966D3"/>
    <w:rsid w:val="00F9692D"/>
    <w:rsid w:val="00F978BE"/>
    <w:rsid w:val="00F97D7B"/>
    <w:rsid w:val="00FA0013"/>
    <w:rsid w:val="00FA0154"/>
    <w:rsid w:val="00FA0288"/>
    <w:rsid w:val="00FA0C62"/>
    <w:rsid w:val="00FA0F71"/>
    <w:rsid w:val="00FA23E2"/>
    <w:rsid w:val="00FA26BC"/>
    <w:rsid w:val="00FA3872"/>
    <w:rsid w:val="00FA3A97"/>
    <w:rsid w:val="00FA3AEA"/>
    <w:rsid w:val="00FA4219"/>
    <w:rsid w:val="00FA4501"/>
    <w:rsid w:val="00FA48C7"/>
    <w:rsid w:val="00FA54FF"/>
    <w:rsid w:val="00FA5570"/>
    <w:rsid w:val="00FA59E0"/>
    <w:rsid w:val="00FA5C0B"/>
    <w:rsid w:val="00FA70F5"/>
    <w:rsid w:val="00FA7902"/>
    <w:rsid w:val="00FB005D"/>
    <w:rsid w:val="00FB183E"/>
    <w:rsid w:val="00FB1CD3"/>
    <w:rsid w:val="00FB1D54"/>
    <w:rsid w:val="00FB3363"/>
    <w:rsid w:val="00FB4048"/>
    <w:rsid w:val="00FB446E"/>
    <w:rsid w:val="00FB4629"/>
    <w:rsid w:val="00FB577F"/>
    <w:rsid w:val="00FB5E5D"/>
    <w:rsid w:val="00FB5FC4"/>
    <w:rsid w:val="00FB6A07"/>
    <w:rsid w:val="00FB6FB1"/>
    <w:rsid w:val="00FB7460"/>
    <w:rsid w:val="00FB7747"/>
    <w:rsid w:val="00FB7A10"/>
    <w:rsid w:val="00FC0F81"/>
    <w:rsid w:val="00FC3524"/>
    <w:rsid w:val="00FC3798"/>
    <w:rsid w:val="00FC577C"/>
    <w:rsid w:val="00FC59AF"/>
    <w:rsid w:val="00FC5C43"/>
    <w:rsid w:val="00FC5F72"/>
    <w:rsid w:val="00FC62B5"/>
    <w:rsid w:val="00FC6D4E"/>
    <w:rsid w:val="00FC7073"/>
    <w:rsid w:val="00FC736F"/>
    <w:rsid w:val="00FD0CDB"/>
    <w:rsid w:val="00FD1FA7"/>
    <w:rsid w:val="00FD2282"/>
    <w:rsid w:val="00FD2D42"/>
    <w:rsid w:val="00FD30B5"/>
    <w:rsid w:val="00FD3453"/>
    <w:rsid w:val="00FD39CF"/>
    <w:rsid w:val="00FD459B"/>
    <w:rsid w:val="00FD4B7B"/>
    <w:rsid w:val="00FD4D84"/>
    <w:rsid w:val="00FD5468"/>
    <w:rsid w:val="00FD58F5"/>
    <w:rsid w:val="00FD6287"/>
    <w:rsid w:val="00FD6340"/>
    <w:rsid w:val="00FD754C"/>
    <w:rsid w:val="00FD7696"/>
    <w:rsid w:val="00FE0DAE"/>
    <w:rsid w:val="00FE0E6B"/>
    <w:rsid w:val="00FE1370"/>
    <w:rsid w:val="00FE1510"/>
    <w:rsid w:val="00FE2121"/>
    <w:rsid w:val="00FE2387"/>
    <w:rsid w:val="00FE254A"/>
    <w:rsid w:val="00FE321B"/>
    <w:rsid w:val="00FE3D07"/>
    <w:rsid w:val="00FE4411"/>
    <w:rsid w:val="00FE4B6F"/>
    <w:rsid w:val="00FE536F"/>
    <w:rsid w:val="00FE56DB"/>
    <w:rsid w:val="00FE6818"/>
    <w:rsid w:val="00FE6A9E"/>
    <w:rsid w:val="00FE6BFB"/>
    <w:rsid w:val="00FF0CF5"/>
    <w:rsid w:val="00FF0D6F"/>
    <w:rsid w:val="00FF0E9E"/>
    <w:rsid w:val="00FF1103"/>
    <w:rsid w:val="00FF1712"/>
    <w:rsid w:val="00FF1936"/>
    <w:rsid w:val="00FF213D"/>
    <w:rsid w:val="00FF251D"/>
    <w:rsid w:val="00FF37DC"/>
    <w:rsid w:val="00FF37F2"/>
    <w:rsid w:val="00FF43D9"/>
    <w:rsid w:val="00FF5B3C"/>
    <w:rsid w:val="00FF69C8"/>
    <w:rsid w:val="00FF6D3D"/>
    <w:rsid w:val="00FF7866"/>
    <w:rsid w:val="024D7E2C"/>
    <w:rsid w:val="0D2EB883"/>
    <w:rsid w:val="0D8163B6"/>
    <w:rsid w:val="1BB32F19"/>
    <w:rsid w:val="1F2C3AF5"/>
    <w:rsid w:val="1FF4886A"/>
    <w:rsid w:val="22D2584A"/>
    <w:rsid w:val="28751A95"/>
    <w:rsid w:val="29FA8189"/>
    <w:rsid w:val="2C00A012"/>
    <w:rsid w:val="389994B3"/>
    <w:rsid w:val="3B30A011"/>
    <w:rsid w:val="3B93C128"/>
    <w:rsid w:val="3CFBE104"/>
    <w:rsid w:val="467F9A7B"/>
    <w:rsid w:val="510454D8"/>
    <w:rsid w:val="5395A1E2"/>
    <w:rsid w:val="5D8505AD"/>
    <w:rsid w:val="6F81B597"/>
    <w:rsid w:val="71443FBB"/>
    <w:rsid w:val="7563E76A"/>
    <w:rsid w:val="79A6159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27A6B"/>
  <w15:docId w15:val="{9003D52C-EAFF-4023-919F-C462EC874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6A7A"/>
  </w:style>
  <w:style w:type="paragraph" w:styleId="Ttulo1">
    <w:name w:val="heading 1"/>
    <w:basedOn w:val="Normal"/>
    <w:link w:val="Ttulo1Car"/>
    <w:uiPriority w:val="9"/>
    <w:qFormat/>
    <w:rsid w:val="00CD2E7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qFormat/>
    <w:locked/>
    <w:rsid w:val="00B3044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nhideWhenUsed/>
    <w:qFormat/>
    <w:rsid w:val="00B30448"/>
    <w:pPr>
      <w:spacing w:after="0" w:line="240" w:lineRule="auto"/>
    </w:pPr>
    <w:rPr>
      <w:sz w:val="20"/>
      <w:szCs w:val="20"/>
      <w:lang w:val="es-MX"/>
    </w:rPr>
  </w:style>
  <w:style w:type="character" w:customStyle="1" w:styleId="TextonotapieCar1">
    <w:name w:val="Texto nota pie Car1"/>
    <w:basedOn w:val="Fuentedeprrafopredeter"/>
    <w:uiPriority w:val="99"/>
    <w:semiHidden/>
    <w:rsid w:val="00B3044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nhideWhenUsed/>
    <w:qFormat/>
    <w:rsid w:val="00B30448"/>
    <w:rPr>
      <w:vertAlign w:val="superscript"/>
    </w:rPr>
  </w:style>
  <w:style w:type="paragraph" w:customStyle="1" w:styleId="Appelnotedebasde">
    <w:name w:val="Appel note de bas de..."/>
    <w:basedOn w:val="Normal"/>
    <w:link w:val="Refdenotaalpie"/>
    <w:rsid w:val="00B30448"/>
    <w:pPr>
      <w:spacing w:line="240" w:lineRule="exact"/>
    </w:pPr>
    <w:rPr>
      <w:vertAlign w:val="superscript"/>
    </w:rPr>
  </w:style>
  <w:style w:type="paragraph" w:styleId="Encabezado">
    <w:name w:val="header"/>
    <w:basedOn w:val="Normal"/>
    <w:link w:val="EncabezadoCar"/>
    <w:uiPriority w:val="99"/>
    <w:unhideWhenUsed/>
    <w:rsid w:val="00B3044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30448"/>
  </w:style>
  <w:style w:type="paragraph" w:styleId="Piedepgina">
    <w:name w:val="footer"/>
    <w:basedOn w:val="Normal"/>
    <w:link w:val="PiedepginaCar"/>
    <w:uiPriority w:val="99"/>
    <w:unhideWhenUsed/>
    <w:rsid w:val="00B3044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30448"/>
  </w:style>
  <w:style w:type="table" w:styleId="Tablaconcuadrcula">
    <w:name w:val="Table Grid"/>
    <w:basedOn w:val="Tablanormal"/>
    <w:uiPriority w:val="39"/>
    <w:qFormat/>
    <w:rsid w:val="00B30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C22307"/>
    <w:rPr>
      <w:color w:val="0563C1" w:themeColor="hyperlink"/>
      <w:u w:val="single"/>
    </w:rPr>
  </w:style>
  <w:style w:type="character" w:styleId="Mencinsinresolver">
    <w:name w:val="Unresolved Mention"/>
    <w:basedOn w:val="Fuentedeprrafopredeter"/>
    <w:uiPriority w:val="99"/>
    <w:semiHidden/>
    <w:unhideWhenUsed/>
    <w:rsid w:val="00C22307"/>
    <w:rPr>
      <w:color w:val="605E5C"/>
      <w:shd w:val="clear" w:color="auto" w:fill="E1DFDD"/>
    </w:rPr>
  </w:style>
  <w:style w:type="character" w:styleId="Hipervnculovisitado">
    <w:name w:val="FollowedHyperlink"/>
    <w:basedOn w:val="Fuentedeprrafopredeter"/>
    <w:uiPriority w:val="99"/>
    <w:semiHidden/>
    <w:unhideWhenUsed/>
    <w:rsid w:val="00C22307"/>
    <w:rPr>
      <w:color w:val="954F72" w:themeColor="followedHyperlink"/>
      <w:u w:val="single"/>
    </w:rPr>
  </w:style>
  <w:style w:type="character" w:styleId="Refdecomentario">
    <w:name w:val="annotation reference"/>
    <w:basedOn w:val="Fuentedeprrafopredeter"/>
    <w:uiPriority w:val="99"/>
    <w:semiHidden/>
    <w:unhideWhenUsed/>
    <w:rsid w:val="00A37D1C"/>
    <w:rPr>
      <w:sz w:val="16"/>
      <w:szCs w:val="16"/>
    </w:rPr>
  </w:style>
  <w:style w:type="paragraph" w:styleId="Textocomentario">
    <w:name w:val="annotation text"/>
    <w:basedOn w:val="Normal"/>
    <w:link w:val="TextocomentarioCar"/>
    <w:uiPriority w:val="99"/>
    <w:unhideWhenUsed/>
    <w:rsid w:val="00A37D1C"/>
    <w:pPr>
      <w:spacing w:line="240" w:lineRule="auto"/>
    </w:pPr>
    <w:rPr>
      <w:sz w:val="20"/>
      <w:szCs w:val="20"/>
    </w:rPr>
  </w:style>
  <w:style w:type="character" w:customStyle="1" w:styleId="TextocomentarioCar">
    <w:name w:val="Texto comentario Car"/>
    <w:basedOn w:val="Fuentedeprrafopredeter"/>
    <w:link w:val="Textocomentario"/>
    <w:uiPriority w:val="99"/>
    <w:rsid w:val="00A37D1C"/>
    <w:rPr>
      <w:sz w:val="20"/>
      <w:szCs w:val="20"/>
    </w:rPr>
  </w:style>
  <w:style w:type="paragraph" w:styleId="Asuntodelcomentario">
    <w:name w:val="annotation subject"/>
    <w:basedOn w:val="Textocomentario"/>
    <w:next w:val="Textocomentario"/>
    <w:link w:val="AsuntodelcomentarioCar"/>
    <w:uiPriority w:val="99"/>
    <w:semiHidden/>
    <w:unhideWhenUsed/>
    <w:rsid w:val="00A37D1C"/>
    <w:rPr>
      <w:b/>
      <w:bCs/>
    </w:rPr>
  </w:style>
  <w:style w:type="character" w:customStyle="1" w:styleId="AsuntodelcomentarioCar">
    <w:name w:val="Asunto del comentario Car"/>
    <w:basedOn w:val="TextocomentarioCar"/>
    <w:link w:val="Asuntodelcomentario"/>
    <w:uiPriority w:val="99"/>
    <w:semiHidden/>
    <w:rsid w:val="00A37D1C"/>
    <w:rPr>
      <w:b/>
      <w:bCs/>
      <w:sz w:val="20"/>
      <w:szCs w:val="20"/>
    </w:rPr>
  </w:style>
  <w:style w:type="paragraph" w:customStyle="1" w:styleId="Normal11pt">
    <w:name w:val="Normal + 11 pt"/>
    <w:aliases w:val="Negro,Justificado,Izquierda:  -0,95 cm,Derecha:  0,04 cm"/>
    <w:basedOn w:val="Normal"/>
    <w:uiPriority w:val="99"/>
    <w:rsid w:val="00B76C94"/>
    <w:pPr>
      <w:spacing w:after="0" w:line="240" w:lineRule="auto"/>
      <w:ind w:left="-540"/>
      <w:jc w:val="both"/>
    </w:pPr>
    <w:rPr>
      <w:rFonts w:ascii="Arial" w:eastAsia="Times New Roman" w:hAnsi="Arial" w:cs="Arial"/>
      <w:color w:val="000000"/>
      <w:lang w:val="es-ES_tradnl" w:eastAsia="es-ES"/>
    </w:rPr>
  </w:style>
  <w:style w:type="paragraph" w:styleId="Revisin">
    <w:name w:val="Revision"/>
    <w:hidden/>
    <w:uiPriority w:val="99"/>
    <w:semiHidden/>
    <w:rsid w:val="00F64D5A"/>
    <w:pPr>
      <w:spacing w:after="0" w:line="240" w:lineRule="auto"/>
    </w:pPr>
  </w:style>
  <w:style w:type="character" w:customStyle="1" w:styleId="cf01">
    <w:name w:val="cf01"/>
    <w:basedOn w:val="Fuentedeprrafopredeter"/>
    <w:rsid w:val="005019AA"/>
    <w:rPr>
      <w:rFonts w:ascii="Segoe UI" w:hAnsi="Segoe UI" w:cs="Segoe UI" w:hint="default"/>
      <w:i/>
      <w:iCs/>
      <w:sz w:val="18"/>
      <w:szCs w:val="18"/>
    </w:rPr>
  </w:style>
  <w:style w:type="character" w:customStyle="1" w:styleId="normaltextrun">
    <w:name w:val="normaltextrun"/>
    <w:basedOn w:val="Fuentedeprrafopredeter"/>
    <w:rsid w:val="5D8505AD"/>
  </w:style>
  <w:style w:type="character" w:customStyle="1" w:styleId="eop">
    <w:name w:val="eop"/>
    <w:basedOn w:val="Fuentedeprrafopredeter"/>
    <w:rsid w:val="5D8505AD"/>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34"/>
    <w:qFormat/>
    <w:rsid w:val="00E84D1C"/>
    <w:pPr>
      <w:spacing w:after="0" w:line="240" w:lineRule="auto"/>
      <w:ind w:left="720"/>
      <w:contextualSpacing/>
    </w:pPr>
    <w:rPr>
      <w:sz w:val="24"/>
      <w:lang w:val="es-MX"/>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E84D1C"/>
    <w:rPr>
      <w:sz w:val="24"/>
      <w:lang w:val="es-MX"/>
    </w:rPr>
  </w:style>
  <w:style w:type="character" w:customStyle="1" w:styleId="Ttulo1Car">
    <w:name w:val="Título 1 Car"/>
    <w:basedOn w:val="Fuentedeprrafopredeter"/>
    <w:link w:val="Ttulo1"/>
    <w:uiPriority w:val="9"/>
    <w:rsid w:val="00CD2E70"/>
    <w:rPr>
      <w:rFonts w:ascii="Times New Roman" w:eastAsia="Times New Roman" w:hAnsi="Times New Roman" w:cs="Times New Roman"/>
      <w:b/>
      <w:bCs/>
      <w:kern w:val="36"/>
      <w:sz w:val="48"/>
      <w:szCs w:val="48"/>
      <w:lang w:eastAsia="es-ES_tradnl"/>
    </w:rPr>
  </w:style>
  <w:style w:type="paragraph" w:customStyle="1" w:styleId="paragraph">
    <w:name w:val="paragraph"/>
    <w:basedOn w:val="Normal"/>
    <w:rsid w:val="00CD2E70"/>
    <w:pPr>
      <w:spacing w:before="100" w:beforeAutospacing="1" w:after="100" w:afterAutospacing="1" w:line="240" w:lineRule="auto"/>
    </w:pPr>
    <w:rPr>
      <w:rFonts w:ascii="Times New Roman" w:eastAsia="Times New Roman" w:hAnsi="Times New Roman" w:cs="Times New Roman"/>
      <w:sz w:val="24"/>
      <w:szCs w:val="24"/>
      <w:lang w:eastAsia="es-ES_tradnl"/>
    </w:rPr>
  </w:style>
  <w:style w:type="character" w:customStyle="1" w:styleId="superscript">
    <w:name w:val="superscript"/>
    <w:basedOn w:val="Fuentedeprrafopredeter"/>
    <w:rsid w:val="003651AC"/>
  </w:style>
  <w:style w:type="paragraph" w:styleId="NormalWeb">
    <w:name w:val="Normal (Web)"/>
    <w:basedOn w:val="Normal"/>
    <w:uiPriority w:val="99"/>
    <w:unhideWhenUsed/>
    <w:rsid w:val="00FB5FC4"/>
    <w:rPr>
      <w:rFonts w:ascii="Times New Roman" w:hAnsi="Times New Roman" w:cs="Times New Roman"/>
      <w:sz w:val="24"/>
      <w:szCs w:val="24"/>
    </w:rPr>
  </w:style>
  <w:style w:type="character" w:customStyle="1" w:styleId="Hipervnculo1">
    <w:name w:val="Hipervínculo1"/>
    <w:basedOn w:val="Fuentedeprrafopredeter"/>
    <w:uiPriority w:val="99"/>
    <w:unhideWhenUsed/>
    <w:rsid w:val="00FB5FC4"/>
    <w:rPr>
      <w:color w:val="F2F2F2"/>
      <w:u w:val="single"/>
    </w:rPr>
  </w:style>
  <w:style w:type="character" w:styleId="Fuerte">
    <w:name w:val="Strong"/>
    <w:basedOn w:val="Fuentedeprrafopredeter"/>
    <w:uiPriority w:val="22"/>
    <w:qFormat/>
    <w:rsid w:val="00FB5FC4"/>
    <w:rPr>
      <w:b/>
      <w:bCs/>
    </w:rPr>
  </w:style>
  <w:style w:type="character" w:styleId="nfasis">
    <w:name w:val="Emphasis"/>
    <w:basedOn w:val="Fuentedeprrafopredeter"/>
    <w:uiPriority w:val="20"/>
    <w:qFormat/>
    <w:rsid w:val="00FB5FC4"/>
    <w:rPr>
      <w:i/>
      <w:iCs/>
    </w:rPr>
  </w:style>
  <w:style w:type="paragraph" w:customStyle="1" w:styleId="Textoindependiente21">
    <w:name w:val="Texto independiente 21"/>
    <w:basedOn w:val="Normal"/>
    <w:rsid w:val="007A6528"/>
    <w:pPr>
      <w:overflowPunct w:val="0"/>
      <w:autoSpaceDE w:val="0"/>
      <w:autoSpaceDN w:val="0"/>
      <w:adjustRightInd w:val="0"/>
      <w:spacing w:after="0" w:line="360" w:lineRule="auto"/>
      <w:ind w:firstLine="710"/>
      <w:jc w:val="both"/>
      <w:textAlignment w:val="baseline"/>
    </w:pPr>
    <w:rPr>
      <w:rFonts w:ascii="Arial" w:eastAsia="Times New Roman" w:hAnsi="Arial" w:cs="Times New Roman"/>
      <w:sz w:val="24"/>
      <w:szCs w:val="20"/>
      <w:lang w:eastAsia="es-ES"/>
    </w:rPr>
  </w:style>
  <w:style w:type="paragraph" w:styleId="Textoindependiente">
    <w:name w:val="Body Text"/>
    <w:basedOn w:val="Normal"/>
    <w:link w:val="TextoindependienteCar"/>
    <w:uiPriority w:val="99"/>
    <w:unhideWhenUsed/>
    <w:rsid w:val="00002D5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oindependienteCar">
    <w:name w:val="Texto independiente Car"/>
    <w:basedOn w:val="Fuentedeprrafopredeter"/>
    <w:link w:val="Textoindependiente"/>
    <w:uiPriority w:val="99"/>
    <w:rsid w:val="00002D55"/>
    <w:rPr>
      <w:rFonts w:ascii="Times New Roman" w:eastAsia="Times New Roman" w:hAnsi="Times New Roman" w:cs="Times New Roman"/>
      <w:sz w:val="24"/>
      <w:szCs w:val="24"/>
      <w:lang w:eastAsia="es-CO"/>
    </w:rPr>
  </w:style>
  <w:style w:type="character" w:customStyle="1" w:styleId="FontStyle23">
    <w:name w:val="Font Style23"/>
    <w:basedOn w:val="Fuentedeprrafopredeter"/>
    <w:rsid w:val="0081788A"/>
    <w:rPr>
      <w:rFonts w:ascii="Times New Roman" w:hAnsi="Times New Roman" w:cs="Times New Roman" w:hint="default"/>
      <w:sz w:val="20"/>
      <w:szCs w:val="20"/>
    </w:rPr>
  </w:style>
  <w:style w:type="character" w:customStyle="1" w:styleId="baj">
    <w:name w:val="b_aj"/>
    <w:basedOn w:val="Fuentedeprrafopredeter"/>
    <w:rsid w:val="00B43CE6"/>
  </w:style>
  <w:style w:type="character" w:customStyle="1" w:styleId="author-name">
    <w:name w:val="author-name"/>
    <w:basedOn w:val="Fuentedeprrafopredeter"/>
    <w:rsid w:val="00CA01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34882">
      <w:bodyDiv w:val="1"/>
      <w:marLeft w:val="0"/>
      <w:marRight w:val="0"/>
      <w:marTop w:val="0"/>
      <w:marBottom w:val="0"/>
      <w:divBdr>
        <w:top w:val="none" w:sz="0" w:space="0" w:color="auto"/>
        <w:left w:val="none" w:sz="0" w:space="0" w:color="auto"/>
        <w:bottom w:val="none" w:sz="0" w:space="0" w:color="auto"/>
        <w:right w:val="none" w:sz="0" w:space="0" w:color="auto"/>
      </w:divBdr>
    </w:div>
    <w:div w:id="46149373">
      <w:bodyDiv w:val="1"/>
      <w:marLeft w:val="0"/>
      <w:marRight w:val="0"/>
      <w:marTop w:val="0"/>
      <w:marBottom w:val="0"/>
      <w:divBdr>
        <w:top w:val="none" w:sz="0" w:space="0" w:color="auto"/>
        <w:left w:val="none" w:sz="0" w:space="0" w:color="auto"/>
        <w:bottom w:val="none" w:sz="0" w:space="0" w:color="auto"/>
        <w:right w:val="none" w:sz="0" w:space="0" w:color="auto"/>
      </w:divBdr>
    </w:div>
    <w:div w:id="107549441">
      <w:bodyDiv w:val="1"/>
      <w:marLeft w:val="0"/>
      <w:marRight w:val="0"/>
      <w:marTop w:val="0"/>
      <w:marBottom w:val="0"/>
      <w:divBdr>
        <w:top w:val="none" w:sz="0" w:space="0" w:color="auto"/>
        <w:left w:val="none" w:sz="0" w:space="0" w:color="auto"/>
        <w:bottom w:val="none" w:sz="0" w:space="0" w:color="auto"/>
        <w:right w:val="none" w:sz="0" w:space="0" w:color="auto"/>
      </w:divBdr>
    </w:div>
    <w:div w:id="112671991">
      <w:bodyDiv w:val="1"/>
      <w:marLeft w:val="0"/>
      <w:marRight w:val="0"/>
      <w:marTop w:val="0"/>
      <w:marBottom w:val="0"/>
      <w:divBdr>
        <w:top w:val="none" w:sz="0" w:space="0" w:color="auto"/>
        <w:left w:val="none" w:sz="0" w:space="0" w:color="auto"/>
        <w:bottom w:val="none" w:sz="0" w:space="0" w:color="auto"/>
        <w:right w:val="none" w:sz="0" w:space="0" w:color="auto"/>
      </w:divBdr>
    </w:div>
    <w:div w:id="125584597">
      <w:bodyDiv w:val="1"/>
      <w:marLeft w:val="0"/>
      <w:marRight w:val="0"/>
      <w:marTop w:val="0"/>
      <w:marBottom w:val="0"/>
      <w:divBdr>
        <w:top w:val="none" w:sz="0" w:space="0" w:color="auto"/>
        <w:left w:val="none" w:sz="0" w:space="0" w:color="auto"/>
        <w:bottom w:val="none" w:sz="0" w:space="0" w:color="auto"/>
        <w:right w:val="none" w:sz="0" w:space="0" w:color="auto"/>
      </w:divBdr>
    </w:div>
    <w:div w:id="139424028">
      <w:bodyDiv w:val="1"/>
      <w:marLeft w:val="0"/>
      <w:marRight w:val="0"/>
      <w:marTop w:val="0"/>
      <w:marBottom w:val="0"/>
      <w:divBdr>
        <w:top w:val="none" w:sz="0" w:space="0" w:color="auto"/>
        <w:left w:val="none" w:sz="0" w:space="0" w:color="auto"/>
        <w:bottom w:val="none" w:sz="0" w:space="0" w:color="auto"/>
        <w:right w:val="none" w:sz="0" w:space="0" w:color="auto"/>
      </w:divBdr>
      <w:divsChild>
        <w:div w:id="1821341347">
          <w:marLeft w:val="0"/>
          <w:marRight w:val="0"/>
          <w:marTop w:val="0"/>
          <w:marBottom w:val="0"/>
          <w:divBdr>
            <w:top w:val="none" w:sz="0" w:space="0" w:color="auto"/>
            <w:left w:val="none" w:sz="0" w:space="0" w:color="auto"/>
            <w:bottom w:val="none" w:sz="0" w:space="0" w:color="auto"/>
            <w:right w:val="none" w:sz="0" w:space="0" w:color="auto"/>
          </w:divBdr>
          <w:divsChild>
            <w:div w:id="91904659">
              <w:marLeft w:val="0"/>
              <w:marRight w:val="0"/>
              <w:marTop w:val="0"/>
              <w:marBottom w:val="0"/>
              <w:divBdr>
                <w:top w:val="none" w:sz="0" w:space="0" w:color="auto"/>
                <w:left w:val="none" w:sz="0" w:space="0" w:color="auto"/>
                <w:bottom w:val="none" w:sz="0" w:space="0" w:color="auto"/>
                <w:right w:val="none" w:sz="0" w:space="0" w:color="auto"/>
              </w:divBdr>
              <w:divsChild>
                <w:div w:id="205610424">
                  <w:marLeft w:val="0"/>
                  <w:marRight w:val="0"/>
                  <w:marTop w:val="0"/>
                  <w:marBottom w:val="0"/>
                  <w:divBdr>
                    <w:top w:val="none" w:sz="0" w:space="0" w:color="auto"/>
                    <w:left w:val="none" w:sz="0" w:space="0" w:color="auto"/>
                    <w:bottom w:val="none" w:sz="0" w:space="0" w:color="auto"/>
                    <w:right w:val="none" w:sz="0" w:space="0" w:color="auto"/>
                  </w:divBdr>
                  <w:divsChild>
                    <w:div w:id="744687126">
                      <w:marLeft w:val="0"/>
                      <w:marRight w:val="0"/>
                      <w:marTop w:val="0"/>
                      <w:marBottom w:val="0"/>
                      <w:divBdr>
                        <w:top w:val="none" w:sz="0" w:space="0" w:color="auto"/>
                        <w:left w:val="none" w:sz="0" w:space="0" w:color="auto"/>
                        <w:bottom w:val="none" w:sz="0" w:space="0" w:color="auto"/>
                        <w:right w:val="none" w:sz="0" w:space="0" w:color="auto"/>
                      </w:divBdr>
                      <w:divsChild>
                        <w:div w:id="658389621">
                          <w:marLeft w:val="0"/>
                          <w:marRight w:val="0"/>
                          <w:marTop w:val="0"/>
                          <w:marBottom w:val="0"/>
                          <w:divBdr>
                            <w:top w:val="none" w:sz="0" w:space="0" w:color="auto"/>
                            <w:left w:val="none" w:sz="0" w:space="0" w:color="auto"/>
                            <w:bottom w:val="none" w:sz="0" w:space="0" w:color="auto"/>
                            <w:right w:val="none" w:sz="0" w:space="0" w:color="auto"/>
                          </w:divBdr>
                          <w:divsChild>
                            <w:div w:id="4911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047657">
      <w:bodyDiv w:val="1"/>
      <w:marLeft w:val="0"/>
      <w:marRight w:val="0"/>
      <w:marTop w:val="0"/>
      <w:marBottom w:val="0"/>
      <w:divBdr>
        <w:top w:val="none" w:sz="0" w:space="0" w:color="auto"/>
        <w:left w:val="none" w:sz="0" w:space="0" w:color="auto"/>
        <w:bottom w:val="none" w:sz="0" w:space="0" w:color="auto"/>
        <w:right w:val="none" w:sz="0" w:space="0" w:color="auto"/>
      </w:divBdr>
    </w:div>
    <w:div w:id="182283863">
      <w:bodyDiv w:val="1"/>
      <w:marLeft w:val="0"/>
      <w:marRight w:val="0"/>
      <w:marTop w:val="0"/>
      <w:marBottom w:val="0"/>
      <w:divBdr>
        <w:top w:val="none" w:sz="0" w:space="0" w:color="auto"/>
        <w:left w:val="none" w:sz="0" w:space="0" w:color="auto"/>
        <w:bottom w:val="none" w:sz="0" w:space="0" w:color="auto"/>
        <w:right w:val="none" w:sz="0" w:space="0" w:color="auto"/>
      </w:divBdr>
    </w:div>
    <w:div w:id="188226555">
      <w:bodyDiv w:val="1"/>
      <w:marLeft w:val="0"/>
      <w:marRight w:val="0"/>
      <w:marTop w:val="0"/>
      <w:marBottom w:val="0"/>
      <w:divBdr>
        <w:top w:val="none" w:sz="0" w:space="0" w:color="auto"/>
        <w:left w:val="none" w:sz="0" w:space="0" w:color="auto"/>
        <w:bottom w:val="none" w:sz="0" w:space="0" w:color="auto"/>
        <w:right w:val="none" w:sz="0" w:space="0" w:color="auto"/>
      </w:divBdr>
    </w:div>
    <w:div w:id="192960455">
      <w:bodyDiv w:val="1"/>
      <w:marLeft w:val="0"/>
      <w:marRight w:val="0"/>
      <w:marTop w:val="0"/>
      <w:marBottom w:val="0"/>
      <w:divBdr>
        <w:top w:val="none" w:sz="0" w:space="0" w:color="auto"/>
        <w:left w:val="none" w:sz="0" w:space="0" w:color="auto"/>
        <w:bottom w:val="none" w:sz="0" w:space="0" w:color="auto"/>
        <w:right w:val="none" w:sz="0" w:space="0" w:color="auto"/>
      </w:divBdr>
    </w:div>
    <w:div w:id="195851429">
      <w:bodyDiv w:val="1"/>
      <w:marLeft w:val="0"/>
      <w:marRight w:val="0"/>
      <w:marTop w:val="0"/>
      <w:marBottom w:val="0"/>
      <w:divBdr>
        <w:top w:val="none" w:sz="0" w:space="0" w:color="auto"/>
        <w:left w:val="none" w:sz="0" w:space="0" w:color="auto"/>
        <w:bottom w:val="none" w:sz="0" w:space="0" w:color="auto"/>
        <w:right w:val="none" w:sz="0" w:space="0" w:color="auto"/>
      </w:divBdr>
    </w:div>
    <w:div w:id="271516540">
      <w:bodyDiv w:val="1"/>
      <w:marLeft w:val="0"/>
      <w:marRight w:val="0"/>
      <w:marTop w:val="0"/>
      <w:marBottom w:val="0"/>
      <w:divBdr>
        <w:top w:val="none" w:sz="0" w:space="0" w:color="auto"/>
        <w:left w:val="none" w:sz="0" w:space="0" w:color="auto"/>
        <w:bottom w:val="none" w:sz="0" w:space="0" w:color="auto"/>
        <w:right w:val="none" w:sz="0" w:space="0" w:color="auto"/>
      </w:divBdr>
    </w:div>
    <w:div w:id="277950301">
      <w:bodyDiv w:val="1"/>
      <w:marLeft w:val="0"/>
      <w:marRight w:val="0"/>
      <w:marTop w:val="0"/>
      <w:marBottom w:val="0"/>
      <w:divBdr>
        <w:top w:val="none" w:sz="0" w:space="0" w:color="auto"/>
        <w:left w:val="none" w:sz="0" w:space="0" w:color="auto"/>
        <w:bottom w:val="none" w:sz="0" w:space="0" w:color="auto"/>
        <w:right w:val="none" w:sz="0" w:space="0" w:color="auto"/>
      </w:divBdr>
    </w:div>
    <w:div w:id="283849664">
      <w:bodyDiv w:val="1"/>
      <w:marLeft w:val="0"/>
      <w:marRight w:val="0"/>
      <w:marTop w:val="0"/>
      <w:marBottom w:val="0"/>
      <w:divBdr>
        <w:top w:val="none" w:sz="0" w:space="0" w:color="auto"/>
        <w:left w:val="none" w:sz="0" w:space="0" w:color="auto"/>
        <w:bottom w:val="none" w:sz="0" w:space="0" w:color="auto"/>
        <w:right w:val="none" w:sz="0" w:space="0" w:color="auto"/>
      </w:divBdr>
    </w:div>
    <w:div w:id="302009774">
      <w:bodyDiv w:val="1"/>
      <w:marLeft w:val="0"/>
      <w:marRight w:val="0"/>
      <w:marTop w:val="0"/>
      <w:marBottom w:val="0"/>
      <w:divBdr>
        <w:top w:val="none" w:sz="0" w:space="0" w:color="auto"/>
        <w:left w:val="none" w:sz="0" w:space="0" w:color="auto"/>
        <w:bottom w:val="none" w:sz="0" w:space="0" w:color="auto"/>
        <w:right w:val="none" w:sz="0" w:space="0" w:color="auto"/>
      </w:divBdr>
    </w:div>
    <w:div w:id="311446626">
      <w:bodyDiv w:val="1"/>
      <w:marLeft w:val="0"/>
      <w:marRight w:val="0"/>
      <w:marTop w:val="0"/>
      <w:marBottom w:val="0"/>
      <w:divBdr>
        <w:top w:val="none" w:sz="0" w:space="0" w:color="auto"/>
        <w:left w:val="none" w:sz="0" w:space="0" w:color="auto"/>
        <w:bottom w:val="none" w:sz="0" w:space="0" w:color="auto"/>
        <w:right w:val="none" w:sz="0" w:space="0" w:color="auto"/>
      </w:divBdr>
    </w:div>
    <w:div w:id="329917147">
      <w:bodyDiv w:val="1"/>
      <w:marLeft w:val="0"/>
      <w:marRight w:val="0"/>
      <w:marTop w:val="0"/>
      <w:marBottom w:val="0"/>
      <w:divBdr>
        <w:top w:val="none" w:sz="0" w:space="0" w:color="auto"/>
        <w:left w:val="none" w:sz="0" w:space="0" w:color="auto"/>
        <w:bottom w:val="none" w:sz="0" w:space="0" w:color="auto"/>
        <w:right w:val="none" w:sz="0" w:space="0" w:color="auto"/>
      </w:divBdr>
    </w:div>
    <w:div w:id="334461891">
      <w:bodyDiv w:val="1"/>
      <w:marLeft w:val="0"/>
      <w:marRight w:val="0"/>
      <w:marTop w:val="0"/>
      <w:marBottom w:val="0"/>
      <w:divBdr>
        <w:top w:val="none" w:sz="0" w:space="0" w:color="auto"/>
        <w:left w:val="none" w:sz="0" w:space="0" w:color="auto"/>
        <w:bottom w:val="none" w:sz="0" w:space="0" w:color="auto"/>
        <w:right w:val="none" w:sz="0" w:space="0" w:color="auto"/>
      </w:divBdr>
    </w:div>
    <w:div w:id="337804836">
      <w:bodyDiv w:val="1"/>
      <w:marLeft w:val="0"/>
      <w:marRight w:val="0"/>
      <w:marTop w:val="0"/>
      <w:marBottom w:val="0"/>
      <w:divBdr>
        <w:top w:val="none" w:sz="0" w:space="0" w:color="auto"/>
        <w:left w:val="none" w:sz="0" w:space="0" w:color="auto"/>
        <w:bottom w:val="none" w:sz="0" w:space="0" w:color="auto"/>
        <w:right w:val="none" w:sz="0" w:space="0" w:color="auto"/>
      </w:divBdr>
    </w:div>
    <w:div w:id="374045247">
      <w:bodyDiv w:val="1"/>
      <w:marLeft w:val="0"/>
      <w:marRight w:val="0"/>
      <w:marTop w:val="0"/>
      <w:marBottom w:val="0"/>
      <w:divBdr>
        <w:top w:val="none" w:sz="0" w:space="0" w:color="auto"/>
        <w:left w:val="none" w:sz="0" w:space="0" w:color="auto"/>
        <w:bottom w:val="none" w:sz="0" w:space="0" w:color="auto"/>
        <w:right w:val="none" w:sz="0" w:space="0" w:color="auto"/>
      </w:divBdr>
      <w:divsChild>
        <w:div w:id="506864930">
          <w:marLeft w:val="0"/>
          <w:marRight w:val="0"/>
          <w:marTop w:val="0"/>
          <w:marBottom w:val="160"/>
          <w:divBdr>
            <w:top w:val="none" w:sz="0" w:space="0" w:color="auto"/>
            <w:left w:val="none" w:sz="0" w:space="0" w:color="auto"/>
            <w:bottom w:val="none" w:sz="0" w:space="0" w:color="auto"/>
            <w:right w:val="none" w:sz="0" w:space="0" w:color="auto"/>
          </w:divBdr>
        </w:div>
        <w:div w:id="563570546">
          <w:marLeft w:val="0"/>
          <w:marRight w:val="0"/>
          <w:marTop w:val="0"/>
          <w:marBottom w:val="160"/>
          <w:divBdr>
            <w:top w:val="none" w:sz="0" w:space="0" w:color="auto"/>
            <w:left w:val="none" w:sz="0" w:space="0" w:color="auto"/>
            <w:bottom w:val="none" w:sz="0" w:space="0" w:color="auto"/>
            <w:right w:val="none" w:sz="0" w:space="0" w:color="auto"/>
          </w:divBdr>
        </w:div>
        <w:div w:id="773287731">
          <w:marLeft w:val="0"/>
          <w:marRight w:val="0"/>
          <w:marTop w:val="0"/>
          <w:marBottom w:val="160"/>
          <w:divBdr>
            <w:top w:val="none" w:sz="0" w:space="0" w:color="auto"/>
            <w:left w:val="none" w:sz="0" w:space="0" w:color="auto"/>
            <w:bottom w:val="none" w:sz="0" w:space="0" w:color="auto"/>
            <w:right w:val="none" w:sz="0" w:space="0" w:color="auto"/>
          </w:divBdr>
        </w:div>
      </w:divsChild>
    </w:div>
    <w:div w:id="398597067">
      <w:bodyDiv w:val="1"/>
      <w:marLeft w:val="0"/>
      <w:marRight w:val="0"/>
      <w:marTop w:val="0"/>
      <w:marBottom w:val="0"/>
      <w:divBdr>
        <w:top w:val="none" w:sz="0" w:space="0" w:color="auto"/>
        <w:left w:val="none" w:sz="0" w:space="0" w:color="auto"/>
        <w:bottom w:val="none" w:sz="0" w:space="0" w:color="auto"/>
        <w:right w:val="none" w:sz="0" w:space="0" w:color="auto"/>
      </w:divBdr>
    </w:div>
    <w:div w:id="428160872">
      <w:bodyDiv w:val="1"/>
      <w:marLeft w:val="0"/>
      <w:marRight w:val="0"/>
      <w:marTop w:val="0"/>
      <w:marBottom w:val="0"/>
      <w:divBdr>
        <w:top w:val="none" w:sz="0" w:space="0" w:color="auto"/>
        <w:left w:val="none" w:sz="0" w:space="0" w:color="auto"/>
        <w:bottom w:val="none" w:sz="0" w:space="0" w:color="auto"/>
        <w:right w:val="none" w:sz="0" w:space="0" w:color="auto"/>
      </w:divBdr>
    </w:div>
    <w:div w:id="432018390">
      <w:bodyDiv w:val="1"/>
      <w:marLeft w:val="0"/>
      <w:marRight w:val="0"/>
      <w:marTop w:val="0"/>
      <w:marBottom w:val="0"/>
      <w:divBdr>
        <w:top w:val="none" w:sz="0" w:space="0" w:color="auto"/>
        <w:left w:val="none" w:sz="0" w:space="0" w:color="auto"/>
        <w:bottom w:val="none" w:sz="0" w:space="0" w:color="auto"/>
        <w:right w:val="none" w:sz="0" w:space="0" w:color="auto"/>
      </w:divBdr>
    </w:div>
    <w:div w:id="438305584">
      <w:bodyDiv w:val="1"/>
      <w:marLeft w:val="0"/>
      <w:marRight w:val="0"/>
      <w:marTop w:val="0"/>
      <w:marBottom w:val="0"/>
      <w:divBdr>
        <w:top w:val="none" w:sz="0" w:space="0" w:color="auto"/>
        <w:left w:val="none" w:sz="0" w:space="0" w:color="auto"/>
        <w:bottom w:val="none" w:sz="0" w:space="0" w:color="auto"/>
        <w:right w:val="none" w:sz="0" w:space="0" w:color="auto"/>
      </w:divBdr>
    </w:div>
    <w:div w:id="493691612">
      <w:bodyDiv w:val="1"/>
      <w:marLeft w:val="0"/>
      <w:marRight w:val="0"/>
      <w:marTop w:val="0"/>
      <w:marBottom w:val="0"/>
      <w:divBdr>
        <w:top w:val="none" w:sz="0" w:space="0" w:color="auto"/>
        <w:left w:val="none" w:sz="0" w:space="0" w:color="auto"/>
        <w:bottom w:val="none" w:sz="0" w:space="0" w:color="auto"/>
        <w:right w:val="none" w:sz="0" w:space="0" w:color="auto"/>
      </w:divBdr>
    </w:div>
    <w:div w:id="497113796">
      <w:bodyDiv w:val="1"/>
      <w:marLeft w:val="0"/>
      <w:marRight w:val="0"/>
      <w:marTop w:val="0"/>
      <w:marBottom w:val="0"/>
      <w:divBdr>
        <w:top w:val="none" w:sz="0" w:space="0" w:color="auto"/>
        <w:left w:val="none" w:sz="0" w:space="0" w:color="auto"/>
        <w:bottom w:val="none" w:sz="0" w:space="0" w:color="auto"/>
        <w:right w:val="none" w:sz="0" w:space="0" w:color="auto"/>
      </w:divBdr>
      <w:divsChild>
        <w:div w:id="932205885">
          <w:marLeft w:val="0"/>
          <w:marRight w:val="0"/>
          <w:marTop w:val="0"/>
          <w:marBottom w:val="0"/>
          <w:divBdr>
            <w:top w:val="none" w:sz="0" w:space="0" w:color="auto"/>
            <w:left w:val="none" w:sz="0" w:space="0" w:color="auto"/>
            <w:bottom w:val="none" w:sz="0" w:space="0" w:color="auto"/>
            <w:right w:val="none" w:sz="0" w:space="0" w:color="auto"/>
          </w:divBdr>
          <w:divsChild>
            <w:div w:id="396978682">
              <w:marLeft w:val="0"/>
              <w:marRight w:val="0"/>
              <w:marTop w:val="0"/>
              <w:marBottom w:val="0"/>
              <w:divBdr>
                <w:top w:val="none" w:sz="0" w:space="0" w:color="auto"/>
                <w:left w:val="none" w:sz="0" w:space="0" w:color="auto"/>
                <w:bottom w:val="none" w:sz="0" w:space="0" w:color="auto"/>
                <w:right w:val="none" w:sz="0" w:space="0" w:color="auto"/>
              </w:divBdr>
              <w:divsChild>
                <w:div w:id="1886520651">
                  <w:marLeft w:val="0"/>
                  <w:marRight w:val="0"/>
                  <w:marTop w:val="0"/>
                  <w:marBottom w:val="0"/>
                  <w:divBdr>
                    <w:top w:val="none" w:sz="0" w:space="0" w:color="auto"/>
                    <w:left w:val="none" w:sz="0" w:space="0" w:color="auto"/>
                    <w:bottom w:val="none" w:sz="0" w:space="0" w:color="auto"/>
                    <w:right w:val="none" w:sz="0" w:space="0" w:color="auto"/>
                  </w:divBdr>
                  <w:divsChild>
                    <w:div w:id="1561600205">
                      <w:marLeft w:val="0"/>
                      <w:marRight w:val="0"/>
                      <w:marTop w:val="0"/>
                      <w:marBottom w:val="0"/>
                      <w:divBdr>
                        <w:top w:val="none" w:sz="0" w:space="0" w:color="auto"/>
                        <w:left w:val="none" w:sz="0" w:space="0" w:color="auto"/>
                        <w:bottom w:val="none" w:sz="0" w:space="0" w:color="auto"/>
                        <w:right w:val="none" w:sz="0" w:space="0" w:color="auto"/>
                      </w:divBdr>
                      <w:divsChild>
                        <w:div w:id="312949149">
                          <w:marLeft w:val="0"/>
                          <w:marRight w:val="0"/>
                          <w:marTop w:val="0"/>
                          <w:marBottom w:val="0"/>
                          <w:divBdr>
                            <w:top w:val="none" w:sz="0" w:space="0" w:color="auto"/>
                            <w:left w:val="none" w:sz="0" w:space="0" w:color="auto"/>
                            <w:bottom w:val="none" w:sz="0" w:space="0" w:color="auto"/>
                            <w:right w:val="none" w:sz="0" w:space="0" w:color="auto"/>
                          </w:divBdr>
                          <w:divsChild>
                            <w:div w:id="112874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9076646">
      <w:bodyDiv w:val="1"/>
      <w:marLeft w:val="0"/>
      <w:marRight w:val="0"/>
      <w:marTop w:val="0"/>
      <w:marBottom w:val="0"/>
      <w:divBdr>
        <w:top w:val="none" w:sz="0" w:space="0" w:color="auto"/>
        <w:left w:val="none" w:sz="0" w:space="0" w:color="auto"/>
        <w:bottom w:val="none" w:sz="0" w:space="0" w:color="auto"/>
        <w:right w:val="none" w:sz="0" w:space="0" w:color="auto"/>
      </w:divBdr>
    </w:div>
    <w:div w:id="588775434">
      <w:bodyDiv w:val="1"/>
      <w:marLeft w:val="0"/>
      <w:marRight w:val="0"/>
      <w:marTop w:val="0"/>
      <w:marBottom w:val="0"/>
      <w:divBdr>
        <w:top w:val="none" w:sz="0" w:space="0" w:color="auto"/>
        <w:left w:val="none" w:sz="0" w:space="0" w:color="auto"/>
        <w:bottom w:val="none" w:sz="0" w:space="0" w:color="auto"/>
        <w:right w:val="none" w:sz="0" w:space="0" w:color="auto"/>
      </w:divBdr>
      <w:divsChild>
        <w:div w:id="686953851">
          <w:marLeft w:val="0"/>
          <w:marRight w:val="0"/>
          <w:marTop w:val="0"/>
          <w:marBottom w:val="0"/>
          <w:divBdr>
            <w:top w:val="none" w:sz="0" w:space="0" w:color="auto"/>
            <w:left w:val="none" w:sz="0" w:space="0" w:color="auto"/>
            <w:bottom w:val="none" w:sz="0" w:space="0" w:color="auto"/>
            <w:right w:val="none" w:sz="0" w:space="0" w:color="auto"/>
          </w:divBdr>
          <w:divsChild>
            <w:div w:id="172259401">
              <w:marLeft w:val="0"/>
              <w:marRight w:val="0"/>
              <w:marTop w:val="0"/>
              <w:marBottom w:val="0"/>
              <w:divBdr>
                <w:top w:val="none" w:sz="0" w:space="0" w:color="auto"/>
                <w:left w:val="none" w:sz="0" w:space="0" w:color="auto"/>
                <w:bottom w:val="none" w:sz="0" w:space="0" w:color="auto"/>
                <w:right w:val="none" w:sz="0" w:space="0" w:color="auto"/>
              </w:divBdr>
              <w:divsChild>
                <w:div w:id="2105608189">
                  <w:marLeft w:val="0"/>
                  <w:marRight w:val="0"/>
                  <w:marTop w:val="0"/>
                  <w:marBottom w:val="0"/>
                  <w:divBdr>
                    <w:top w:val="none" w:sz="0" w:space="0" w:color="auto"/>
                    <w:left w:val="none" w:sz="0" w:space="0" w:color="auto"/>
                    <w:bottom w:val="none" w:sz="0" w:space="0" w:color="auto"/>
                    <w:right w:val="none" w:sz="0" w:space="0" w:color="auto"/>
                  </w:divBdr>
                  <w:divsChild>
                    <w:div w:id="1691952384">
                      <w:marLeft w:val="0"/>
                      <w:marRight w:val="0"/>
                      <w:marTop w:val="0"/>
                      <w:marBottom w:val="0"/>
                      <w:divBdr>
                        <w:top w:val="none" w:sz="0" w:space="0" w:color="auto"/>
                        <w:left w:val="none" w:sz="0" w:space="0" w:color="auto"/>
                        <w:bottom w:val="none" w:sz="0" w:space="0" w:color="auto"/>
                        <w:right w:val="none" w:sz="0" w:space="0" w:color="auto"/>
                      </w:divBdr>
                      <w:divsChild>
                        <w:div w:id="1490360998">
                          <w:marLeft w:val="0"/>
                          <w:marRight w:val="0"/>
                          <w:marTop w:val="0"/>
                          <w:marBottom w:val="0"/>
                          <w:divBdr>
                            <w:top w:val="none" w:sz="0" w:space="0" w:color="auto"/>
                            <w:left w:val="none" w:sz="0" w:space="0" w:color="auto"/>
                            <w:bottom w:val="none" w:sz="0" w:space="0" w:color="auto"/>
                            <w:right w:val="none" w:sz="0" w:space="0" w:color="auto"/>
                          </w:divBdr>
                          <w:divsChild>
                            <w:div w:id="62654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3080197">
      <w:bodyDiv w:val="1"/>
      <w:marLeft w:val="0"/>
      <w:marRight w:val="0"/>
      <w:marTop w:val="0"/>
      <w:marBottom w:val="0"/>
      <w:divBdr>
        <w:top w:val="none" w:sz="0" w:space="0" w:color="auto"/>
        <w:left w:val="none" w:sz="0" w:space="0" w:color="auto"/>
        <w:bottom w:val="none" w:sz="0" w:space="0" w:color="auto"/>
        <w:right w:val="none" w:sz="0" w:space="0" w:color="auto"/>
      </w:divBdr>
    </w:div>
    <w:div w:id="620191855">
      <w:bodyDiv w:val="1"/>
      <w:marLeft w:val="0"/>
      <w:marRight w:val="0"/>
      <w:marTop w:val="0"/>
      <w:marBottom w:val="0"/>
      <w:divBdr>
        <w:top w:val="none" w:sz="0" w:space="0" w:color="auto"/>
        <w:left w:val="none" w:sz="0" w:space="0" w:color="auto"/>
        <w:bottom w:val="none" w:sz="0" w:space="0" w:color="auto"/>
        <w:right w:val="none" w:sz="0" w:space="0" w:color="auto"/>
      </w:divBdr>
    </w:div>
    <w:div w:id="696200587">
      <w:bodyDiv w:val="1"/>
      <w:marLeft w:val="0"/>
      <w:marRight w:val="0"/>
      <w:marTop w:val="0"/>
      <w:marBottom w:val="0"/>
      <w:divBdr>
        <w:top w:val="none" w:sz="0" w:space="0" w:color="auto"/>
        <w:left w:val="none" w:sz="0" w:space="0" w:color="auto"/>
        <w:bottom w:val="none" w:sz="0" w:space="0" w:color="auto"/>
        <w:right w:val="none" w:sz="0" w:space="0" w:color="auto"/>
      </w:divBdr>
    </w:div>
    <w:div w:id="719481719">
      <w:bodyDiv w:val="1"/>
      <w:marLeft w:val="0"/>
      <w:marRight w:val="0"/>
      <w:marTop w:val="0"/>
      <w:marBottom w:val="0"/>
      <w:divBdr>
        <w:top w:val="none" w:sz="0" w:space="0" w:color="auto"/>
        <w:left w:val="none" w:sz="0" w:space="0" w:color="auto"/>
        <w:bottom w:val="none" w:sz="0" w:space="0" w:color="auto"/>
        <w:right w:val="none" w:sz="0" w:space="0" w:color="auto"/>
      </w:divBdr>
    </w:div>
    <w:div w:id="723599209">
      <w:bodyDiv w:val="1"/>
      <w:marLeft w:val="0"/>
      <w:marRight w:val="0"/>
      <w:marTop w:val="0"/>
      <w:marBottom w:val="0"/>
      <w:divBdr>
        <w:top w:val="none" w:sz="0" w:space="0" w:color="auto"/>
        <w:left w:val="none" w:sz="0" w:space="0" w:color="auto"/>
        <w:bottom w:val="none" w:sz="0" w:space="0" w:color="auto"/>
        <w:right w:val="none" w:sz="0" w:space="0" w:color="auto"/>
      </w:divBdr>
    </w:div>
    <w:div w:id="745341291">
      <w:bodyDiv w:val="1"/>
      <w:marLeft w:val="0"/>
      <w:marRight w:val="0"/>
      <w:marTop w:val="0"/>
      <w:marBottom w:val="0"/>
      <w:divBdr>
        <w:top w:val="none" w:sz="0" w:space="0" w:color="auto"/>
        <w:left w:val="none" w:sz="0" w:space="0" w:color="auto"/>
        <w:bottom w:val="none" w:sz="0" w:space="0" w:color="auto"/>
        <w:right w:val="none" w:sz="0" w:space="0" w:color="auto"/>
      </w:divBdr>
    </w:div>
    <w:div w:id="784926870">
      <w:bodyDiv w:val="1"/>
      <w:marLeft w:val="0"/>
      <w:marRight w:val="0"/>
      <w:marTop w:val="0"/>
      <w:marBottom w:val="0"/>
      <w:divBdr>
        <w:top w:val="none" w:sz="0" w:space="0" w:color="auto"/>
        <w:left w:val="none" w:sz="0" w:space="0" w:color="auto"/>
        <w:bottom w:val="none" w:sz="0" w:space="0" w:color="auto"/>
        <w:right w:val="none" w:sz="0" w:space="0" w:color="auto"/>
      </w:divBdr>
    </w:div>
    <w:div w:id="850341528">
      <w:bodyDiv w:val="1"/>
      <w:marLeft w:val="0"/>
      <w:marRight w:val="0"/>
      <w:marTop w:val="0"/>
      <w:marBottom w:val="0"/>
      <w:divBdr>
        <w:top w:val="none" w:sz="0" w:space="0" w:color="auto"/>
        <w:left w:val="none" w:sz="0" w:space="0" w:color="auto"/>
        <w:bottom w:val="none" w:sz="0" w:space="0" w:color="auto"/>
        <w:right w:val="none" w:sz="0" w:space="0" w:color="auto"/>
      </w:divBdr>
    </w:div>
    <w:div w:id="905454849">
      <w:bodyDiv w:val="1"/>
      <w:marLeft w:val="0"/>
      <w:marRight w:val="0"/>
      <w:marTop w:val="0"/>
      <w:marBottom w:val="0"/>
      <w:divBdr>
        <w:top w:val="none" w:sz="0" w:space="0" w:color="auto"/>
        <w:left w:val="none" w:sz="0" w:space="0" w:color="auto"/>
        <w:bottom w:val="none" w:sz="0" w:space="0" w:color="auto"/>
        <w:right w:val="none" w:sz="0" w:space="0" w:color="auto"/>
      </w:divBdr>
      <w:divsChild>
        <w:div w:id="591283175">
          <w:marLeft w:val="0"/>
          <w:marRight w:val="0"/>
          <w:marTop w:val="0"/>
          <w:marBottom w:val="160"/>
          <w:divBdr>
            <w:top w:val="none" w:sz="0" w:space="0" w:color="auto"/>
            <w:left w:val="none" w:sz="0" w:space="0" w:color="auto"/>
            <w:bottom w:val="none" w:sz="0" w:space="0" w:color="auto"/>
            <w:right w:val="none" w:sz="0" w:space="0" w:color="auto"/>
          </w:divBdr>
        </w:div>
        <w:div w:id="2145074026">
          <w:marLeft w:val="0"/>
          <w:marRight w:val="0"/>
          <w:marTop w:val="0"/>
          <w:marBottom w:val="160"/>
          <w:divBdr>
            <w:top w:val="none" w:sz="0" w:space="0" w:color="auto"/>
            <w:left w:val="none" w:sz="0" w:space="0" w:color="auto"/>
            <w:bottom w:val="none" w:sz="0" w:space="0" w:color="auto"/>
            <w:right w:val="none" w:sz="0" w:space="0" w:color="auto"/>
          </w:divBdr>
        </w:div>
        <w:div w:id="1578511561">
          <w:marLeft w:val="0"/>
          <w:marRight w:val="0"/>
          <w:marTop w:val="0"/>
          <w:marBottom w:val="160"/>
          <w:divBdr>
            <w:top w:val="none" w:sz="0" w:space="0" w:color="auto"/>
            <w:left w:val="none" w:sz="0" w:space="0" w:color="auto"/>
            <w:bottom w:val="none" w:sz="0" w:space="0" w:color="auto"/>
            <w:right w:val="none" w:sz="0" w:space="0" w:color="auto"/>
          </w:divBdr>
        </w:div>
      </w:divsChild>
    </w:div>
    <w:div w:id="935362018">
      <w:bodyDiv w:val="1"/>
      <w:marLeft w:val="0"/>
      <w:marRight w:val="0"/>
      <w:marTop w:val="0"/>
      <w:marBottom w:val="0"/>
      <w:divBdr>
        <w:top w:val="none" w:sz="0" w:space="0" w:color="auto"/>
        <w:left w:val="none" w:sz="0" w:space="0" w:color="auto"/>
        <w:bottom w:val="none" w:sz="0" w:space="0" w:color="auto"/>
        <w:right w:val="none" w:sz="0" w:space="0" w:color="auto"/>
      </w:divBdr>
    </w:div>
    <w:div w:id="951672208">
      <w:bodyDiv w:val="1"/>
      <w:marLeft w:val="0"/>
      <w:marRight w:val="0"/>
      <w:marTop w:val="0"/>
      <w:marBottom w:val="0"/>
      <w:divBdr>
        <w:top w:val="none" w:sz="0" w:space="0" w:color="auto"/>
        <w:left w:val="none" w:sz="0" w:space="0" w:color="auto"/>
        <w:bottom w:val="none" w:sz="0" w:space="0" w:color="auto"/>
        <w:right w:val="none" w:sz="0" w:space="0" w:color="auto"/>
      </w:divBdr>
    </w:div>
    <w:div w:id="1015158801">
      <w:bodyDiv w:val="1"/>
      <w:marLeft w:val="0"/>
      <w:marRight w:val="0"/>
      <w:marTop w:val="0"/>
      <w:marBottom w:val="0"/>
      <w:divBdr>
        <w:top w:val="none" w:sz="0" w:space="0" w:color="auto"/>
        <w:left w:val="none" w:sz="0" w:space="0" w:color="auto"/>
        <w:bottom w:val="none" w:sz="0" w:space="0" w:color="auto"/>
        <w:right w:val="none" w:sz="0" w:space="0" w:color="auto"/>
      </w:divBdr>
    </w:div>
    <w:div w:id="1067846211">
      <w:bodyDiv w:val="1"/>
      <w:marLeft w:val="0"/>
      <w:marRight w:val="0"/>
      <w:marTop w:val="0"/>
      <w:marBottom w:val="0"/>
      <w:divBdr>
        <w:top w:val="none" w:sz="0" w:space="0" w:color="auto"/>
        <w:left w:val="none" w:sz="0" w:space="0" w:color="auto"/>
        <w:bottom w:val="none" w:sz="0" w:space="0" w:color="auto"/>
        <w:right w:val="none" w:sz="0" w:space="0" w:color="auto"/>
      </w:divBdr>
    </w:div>
    <w:div w:id="1072897937">
      <w:bodyDiv w:val="1"/>
      <w:marLeft w:val="0"/>
      <w:marRight w:val="0"/>
      <w:marTop w:val="0"/>
      <w:marBottom w:val="0"/>
      <w:divBdr>
        <w:top w:val="none" w:sz="0" w:space="0" w:color="auto"/>
        <w:left w:val="none" w:sz="0" w:space="0" w:color="auto"/>
        <w:bottom w:val="none" w:sz="0" w:space="0" w:color="auto"/>
        <w:right w:val="none" w:sz="0" w:space="0" w:color="auto"/>
      </w:divBdr>
    </w:div>
    <w:div w:id="1090585167">
      <w:bodyDiv w:val="1"/>
      <w:marLeft w:val="0"/>
      <w:marRight w:val="0"/>
      <w:marTop w:val="0"/>
      <w:marBottom w:val="0"/>
      <w:divBdr>
        <w:top w:val="none" w:sz="0" w:space="0" w:color="auto"/>
        <w:left w:val="none" w:sz="0" w:space="0" w:color="auto"/>
        <w:bottom w:val="none" w:sz="0" w:space="0" w:color="auto"/>
        <w:right w:val="none" w:sz="0" w:space="0" w:color="auto"/>
      </w:divBdr>
    </w:div>
    <w:div w:id="1107236897">
      <w:bodyDiv w:val="1"/>
      <w:marLeft w:val="0"/>
      <w:marRight w:val="0"/>
      <w:marTop w:val="0"/>
      <w:marBottom w:val="0"/>
      <w:divBdr>
        <w:top w:val="none" w:sz="0" w:space="0" w:color="auto"/>
        <w:left w:val="none" w:sz="0" w:space="0" w:color="auto"/>
        <w:bottom w:val="none" w:sz="0" w:space="0" w:color="auto"/>
        <w:right w:val="none" w:sz="0" w:space="0" w:color="auto"/>
      </w:divBdr>
      <w:divsChild>
        <w:div w:id="477647396">
          <w:marLeft w:val="0"/>
          <w:marRight w:val="0"/>
          <w:marTop w:val="0"/>
          <w:marBottom w:val="0"/>
          <w:divBdr>
            <w:top w:val="none" w:sz="0" w:space="0" w:color="auto"/>
            <w:left w:val="none" w:sz="0" w:space="0" w:color="auto"/>
            <w:bottom w:val="none" w:sz="0" w:space="0" w:color="auto"/>
            <w:right w:val="none" w:sz="0" w:space="0" w:color="auto"/>
          </w:divBdr>
          <w:divsChild>
            <w:div w:id="796800405">
              <w:marLeft w:val="0"/>
              <w:marRight w:val="0"/>
              <w:marTop w:val="0"/>
              <w:marBottom w:val="0"/>
              <w:divBdr>
                <w:top w:val="none" w:sz="0" w:space="0" w:color="auto"/>
                <w:left w:val="none" w:sz="0" w:space="0" w:color="auto"/>
                <w:bottom w:val="none" w:sz="0" w:space="0" w:color="auto"/>
                <w:right w:val="none" w:sz="0" w:space="0" w:color="auto"/>
              </w:divBdr>
              <w:divsChild>
                <w:div w:id="969165727">
                  <w:marLeft w:val="0"/>
                  <w:marRight w:val="0"/>
                  <w:marTop w:val="0"/>
                  <w:marBottom w:val="0"/>
                  <w:divBdr>
                    <w:top w:val="none" w:sz="0" w:space="0" w:color="auto"/>
                    <w:left w:val="none" w:sz="0" w:space="0" w:color="auto"/>
                    <w:bottom w:val="none" w:sz="0" w:space="0" w:color="auto"/>
                    <w:right w:val="none" w:sz="0" w:space="0" w:color="auto"/>
                  </w:divBdr>
                  <w:divsChild>
                    <w:div w:id="324626554">
                      <w:marLeft w:val="0"/>
                      <w:marRight w:val="0"/>
                      <w:marTop w:val="0"/>
                      <w:marBottom w:val="0"/>
                      <w:divBdr>
                        <w:top w:val="none" w:sz="0" w:space="0" w:color="auto"/>
                        <w:left w:val="none" w:sz="0" w:space="0" w:color="auto"/>
                        <w:bottom w:val="none" w:sz="0" w:space="0" w:color="auto"/>
                        <w:right w:val="none" w:sz="0" w:space="0" w:color="auto"/>
                      </w:divBdr>
                      <w:divsChild>
                        <w:div w:id="1435707499">
                          <w:marLeft w:val="0"/>
                          <w:marRight w:val="0"/>
                          <w:marTop w:val="0"/>
                          <w:marBottom w:val="0"/>
                          <w:divBdr>
                            <w:top w:val="none" w:sz="0" w:space="0" w:color="auto"/>
                            <w:left w:val="none" w:sz="0" w:space="0" w:color="auto"/>
                            <w:bottom w:val="none" w:sz="0" w:space="0" w:color="auto"/>
                            <w:right w:val="none" w:sz="0" w:space="0" w:color="auto"/>
                          </w:divBdr>
                          <w:divsChild>
                            <w:div w:id="33030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3371148">
      <w:bodyDiv w:val="1"/>
      <w:marLeft w:val="0"/>
      <w:marRight w:val="0"/>
      <w:marTop w:val="0"/>
      <w:marBottom w:val="0"/>
      <w:divBdr>
        <w:top w:val="none" w:sz="0" w:space="0" w:color="auto"/>
        <w:left w:val="none" w:sz="0" w:space="0" w:color="auto"/>
        <w:bottom w:val="none" w:sz="0" w:space="0" w:color="auto"/>
        <w:right w:val="none" w:sz="0" w:space="0" w:color="auto"/>
      </w:divBdr>
      <w:divsChild>
        <w:div w:id="578834935">
          <w:marLeft w:val="0"/>
          <w:marRight w:val="0"/>
          <w:marTop w:val="0"/>
          <w:marBottom w:val="160"/>
          <w:divBdr>
            <w:top w:val="none" w:sz="0" w:space="0" w:color="auto"/>
            <w:left w:val="none" w:sz="0" w:space="0" w:color="auto"/>
            <w:bottom w:val="none" w:sz="0" w:space="0" w:color="auto"/>
            <w:right w:val="none" w:sz="0" w:space="0" w:color="auto"/>
          </w:divBdr>
        </w:div>
        <w:div w:id="86193346">
          <w:marLeft w:val="0"/>
          <w:marRight w:val="0"/>
          <w:marTop w:val="0"/>
          <w:marBottom w:val="160"/>
          <w:divBdr>
            <w:top w:val="none" w:sz="0" w:space="0" w:color="auto"/>
            <w:left w:val="none" w:sz="0" w:space="0" w:color="auto"/>
            <w:bottom w:val="none" w:sz="0" w:space="0" w:color="auto"/>
            <w:right w:val="none" w:sz="0" w:space="0" w:color="auto"/>
          </w:divBdr>
        </w:div>
        <w:div w:id="185557124">
          <w:marLeft w:val="0"/>
          <w:marRight w:val="0"/>
          <w:marTop w:val="0"/>
          <w:marBottom w:val="160"/>
          <w:divBdr>
            <w:top w:val="none" w:sz="0" w:space="0" w:color="auto"/>
            <w:left w:val="none" w:sz="0" w:space="0" w:color="auto"/>
            <w:bottom w:val="none" w:sz="0" w:space="0" w:color="auto"/>
            <w:right w:val="none" w:sz="0" w:space="0" w:color="auto"/>
          </w:divBdr>
        </w:div>
      </w:divsChild>
    </w:div>
    <w:div w:id="1165128992">
      <w:bodyDiv w:val="1"/>
      <w:marLeft w:val="0"/>
      <w:marRight w:val="0"/>
      <w:marTop w:val="0"/>
      <w:marBottom w:val="0"/>
      <w:divBdr>
        <w:top w:val="none" w:sz="0" w:space="0" w:color="auto"/>
        <w:left w:val="none" w:sz="0" w:space="0" w:color="auto"/>
        <w:bottom w:val="none" w:sz="0" w:space="0" w:color="auto"/>
        <w:right w:val="none" w:sz="0" w:space="0" w:color="auto"/>
      </w:divBdr>
    </w:div>
    <w:div w:id="1200049807">
      <w:bodyDiv w:val="1"/>
      <w:marLeft w:val="0"/>
      <w:marRight w:val="0"/>
      <w:marTop w:val="0"/>
      <w:marBottom w:val="0"/>
      <w:divBdr>
        <w:top w:val="none" w:sz="0" w:space="0" w:color="auto"/>
        <w:left w:val="none" w:sz="0" w:space="0" w:color="auto"/>
        <w:bottom w:val="none" w:sz="0" w:space="0" w:color="auto"/>
        <w:right w:val="none" w:sz="0" w:space="0" w:color="auto"/>
      </w:divBdr>
    </w:div>
    <w:div w:id="1220283956">
      <w:bodyDiv w:val="1"/>
      <w:marLeft w:val="0"/>
      <w:marRight w:val="0"/>
      <w:marTop w:val="0"/>
      <w:marBottom w:val="0"/>
      <w:divBdr>
        <w:top w:val="none" w:sz="0" w:space="0" w:color="auto"/>
        <w:left w:val="none" w:sz="0" w:space="0" w:color="auto"/>
        <w:bottom w:val="none" w:sz="0" w:space="0" w:color="auto"/>
        <w:right w:val="none" w:sz="0" w:space="0" w:color="auto"/>
      </w:divBdr>
    </w:div>
    <w:div w:id="1243177627">
      <w:bodyDiv w:val="1"/>
      <w:marLeft w:val="0"/>
      <w:marRight w:val="0"/>
      <w:marTop w:val="0"/>
      <w:marBottom w:val="0"/>
      <w:divBdr>
        <w:top w:val="none" w:sz="0" w:space="0" w:color="auto"/>
        <w:left w:val="none" w:sz="0" w:space="0" w:color="auto"/>
        <w:bottom w:val="none" w:sz="0" w:space="0" w:color="auto"/>
        <w:right w:val="none" w:sz="0" w:space="0" w:color="auto"/>
      </w:divBdr>
    </w:div>
    <w:div w:id="1320504720">
      <w:bodyDiv w:val="1"/>
      <w:marLeft w:val="0"/>
      <w:marRight w:val="0"/>
      <w:marTop w:val="0"/>
      <w:marBottom w:val="0"/>
      <w:divBdr>
        <w:top w:val="none" w:sz="0" w:space="0" w:color="auto"/>
        <w:left w:val="none" w:sz="0" w:space="0" w:color="auto"/>
        <w:bottom w:val="none" w:sz="0" w:space="0" w:color="auto"/>
        <w:right w:val="none" w:sz="0" w:space="0" w:color="auto"/>
      </w:divBdr>
    </w:div>
    <w:div w:id="1347245505">
      <w:bodyDiv w:val="1"/>
      <w:marLeft w:val="0"/>
      <w:marRight w:val="0"/>
      <w:marTop w:val="0"/>
      <w:marBottom w:val="0"/>
      <w:divBdr>
        <w:top w:val="none" w:sz="0" w:space="0" w:color="auto"/>
        <w:left w:val="none" w:sz="0" w:space="0" w:color="auto"/>
        <w:bottom w:val="none" w:sz="0" w:space="0" w:color="auto"/>
        <w:right w:val="none" w:sz="0" w:space="0" w:color="auto"/>
      </w:divBdr>
    </w:div>
    <w:div w:id="1350988023">
      <w:bodyDiv w:val="1"/>
      <w:marLeft w:val="0"/>
      <w:marRight w:val="0"/>
      <w:marTop w:val="0"/>
      <w:marBottom w:val="0"/>
      <w:divBdr>
        <w:top w:val="none" w:sz="0" w:space="0" w:color="auto"/>
        <w:left w:val="none" w:sz="0" w:space="0" w:color="auto"/>
        <w:bottom w:val="none" w:sz="0" w:space="0" w:color="auto"/>
        <w:right w:val="none" w:sz="0" w:space="0" w:color="auto"/>
      </w:divBdr>
    </w:div>
    <w:div w:id="1383409235">
      <w:bodyDiv w:val="1"/>
      <w:marLeft w:val="0"/>
      <w:marRight w:val="0"/>
      <w:marTop w:val="0"/>
      <w:marBottom w:val="0"/>
      <w:divBdr>
        <w:top w:val="none" w:sz="0" w:space="0" w:color="auto"/>
        <w:left w:val="none" w:sz="0" w:space="0" w:color="auto"/>
        <w:bottom w:val="none" w:sz="0" w:space="0" w:color="auto"/>
        <w:right w:val="none" w:sz="0" w:space="0" w:color="auto"/>
      </w:divBdr>
    </w:div>
    <w:div w:id="1391033297">
      <w:bodyDiv w:val="1"/>
      <w:marLeft w:val="0"/>
      <w:marRight w:val="0"/>
      <w:marTop w:val="0"/>
      <w:marBottom w:val="0"/>
      <w:divBdr>
        <w:top w:val="none" w:sz="0" w:space="0" w:color="auto"/>
        <w:left w:val="none" w:sz="0" w:space="0" w:color="auto"/>
        <w:bottom w:val="none" w:sz="0" w:space="0" w:color="auto"/>
        <w:right w:val="none" w:sz="0" w:space="0" w:color="auto"/>
      </w:divBdr>
      <w:divsChild>
        <w:div w:id="1302231751">
          <w:marLeft w:val="0"/>
          <w:marRight w:val="0"/>
          <w:marTop w:val="0"/>
          <w:marBottom w:val="0"/>
          <w:divBdr>
            <w:top w:val="none" w:sz="0" w:space="0" w:color="auto"/>
            <w:left w:val="none" w:sz="0" w:space="0" w:color="auto"/>
            <w:bottom w:val="none" w:sz="0" w:space="0" w:color="auto"/>
            <w:right w:val="none" w:sz="0" w:space="0" w:color="auto"/>
          </w:divBdr>
          <w:divsChild>
            <w:div w:id="1910311305">
              <w:marLeft w:val="0"/>
              <w:marRight w:val="0"/>
              <w:marTop w:val="0"/>
              <w:marBottom w:val="0"/>
              <w:divBdr>
                <w:top w:val="none" w:sz="0" w:space="0" w:color="auto"/>
                <w:left w:val="none" w:sz="0" w:space="0" w:color="auto"/>
                <w:bottom w:val="none" w:sz="0" w:space="0" w:color="auto"/>
                <w:right w:val="none" w:sz="0" w:space="0" w:color="auto"/>
              </w:divBdr>
              <w:divsChild>
                <w:div w:id="245462431">
                  <w:marLeft w:val="0"/>
                  <w:marRight w:val="0"/>
                  <w:marTop w:val="0"/>
                  <w:marBottom w:val="0"/>
                  <w:divBdr>
                    <w:top w:val="none" w:sz="0" w:space="0" w:color="auto"/>
                    <w:left w:val="none" w:sz="0" w:space="0" w:color="auto"/>
                    <w:bottom w:val="none" w:sz="0" w:space="0" w:color="auto"/>
                    <w:right w:val="none" w:sz="0" w:space="0" w:color="auto"/>
                  </w:divBdr>
                  <w:divsChild>
                    <w:div w:id="1029255869">
                      <w:marLeft w:val="0"/>
                      <w:marRight w:val="0"/>
                      <w:marTop w:val="0"/>
                      <w:marBottom w:val="0"/>
                      <w:divBdr>
                        <w:top w:val="none" w:sz="0" w:space="0" w:color="auto"/>
                        <w:left w:val="none" w:sz="0" w:space="0" w:color="auto"/>
                        <w:bottom w:val="none" w:sz="0" w:space="0" w:color="auto"/>
                        <w:right w:val="none" w:sz="0" w:space="0" w:color="auto"/>
                      </w:divBdr>
                      <w:divsChild>
                        <w:div w:id="613244225">
                          <w:marLeft w:val="0"/>
                          <w:marRight w:val="0"/>
                          <w:marTop w:val="0"/>
                          <w:marBottom w:val="0"/>
                          <w:divBdr>
                            <w:top w:val="none" w:sz="0" w:space="0" w:color="auto"/>
                            <w:left w:val="none" w:sz="0" w:space="0" w:color="auto"/>
                            <w:bottom w:val="none" w:sz="0" w:space="0" w:color="auto"/>
                            <w:right w:val="none" w:sz="0" w:space="0" w:color="auto"/>
                          </w:divBdr>
                          <w:divsChild>
                            <w:div w:id="58288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247560">
      <w:bodyDiv w:val="1"/>
      <w:marLeft w:val="0"/>
      <w:marRight w:val="0"/>
      <w:marTop w:val="0"/>
      <w:marBottom w:val="0"/>
      <w:divBdr>
        <w:top w:val="none" w:sz="0" w:space="0" w:color="auto"/>
        <w:left w:val="none" w:sz="0" w:space="0" w:color="auto"/>
        <w:bottom w:val="none" w:sz="0" w:space="0" w:color="auto"/>
        <w:right w:val="none" w:sz="0" w:space="0" w:color="auto"/>
      </w:divBdr>
    </w:div>
    <w:div w:id="1448115632">
      <w:bodyDiv w:val="1"/>
      <w:marLeft w:val="0"/>
      <w:marRight w:val="0"/>
      <w:marTop w:val="0"/>
      <w:marBottom w:val="0"/>
      <w:divBdr>
        <w:top w:val="none" w:sz="0" w:space="0" w:color="auto"/>
        <w:left w:val="none" w:sz="0" w:space="0" w:color="auto"/>
        <w:bottom w:val="none" w:sz="0" w:space="0" w:color="auto"/>
        <w:right w:val="none" w:sz="0" w:space="0" w:color="auto"/>
      </w:divBdr>
    </w:div>
    <w:div w:id="1475366781">
      <w:bodyDiv w:val="1"/>
      <w:marLeft w:val="0"/>
      <w:marRight w:val="0"/>
      <w:marTop w:val="0"/>
      <w:marBottom w:val="0"/>
      <w:divBdr>
        <w:top w:val="none" w:sz="0" w:space="0" w:color="auto"/>
        <w:left w:val="none" w:sz="0" w:space="0" w:color="auto"/>
        <w:bottom w:val="none" w:sz="0" w:space="0" w:color="auto"/>
        <w:right w:val="none" w:sz="0" w:space="0" w:color="auto"/>
      </w:divBdr>
    </w:div>
    <w:div w:id="1496920400">
      <w:bodyDiv w:val="1"/>
      <w:marLeft w:val="0"/>
      <w:marRight w:val="0"/>
      <w:marTop w:val="0"/>
      <w:marBottom w:val="0"/>
      <w:divBdr>
        <w:top w:val="none" w:sz="0" w:space="0" w:color="auto"/>
        <w:left w:val="none" w:sz="0" w:space="0" w:color="auto"/>
        <w:bottom w:val="none" w:sz="0" w:space="0" w:color="auto"/>
        <w:right w:val="none" w:sz="0" w:space="0" w:color="auto"/>
      </w:divBdr>
    </w:div>
    <w:div w:id="1498619727">
      <w:bodyDiv w:val="1"/>
      <w:marLeft w:val="0"/>
      <w:marRight w:val="0"/>
      <w:marTop w:val="0"/>
      <w:marBottom w:val="0"/>
      <w:divBdr>
        <w:top w:val="none" w:sz="0" w:space="0" w:color="auto"/>
        <w:left w:val="none" w:sz="0" w:space="0" w:color="auto"/>
        <w:bottom w:val="none" w:sz="0" w:space="0" w:color="auto"/>
        <w:right w:val="none" w:sz="0" w:space="0" w:color="auto"/>
      </w:divBdr>
      <w:divsChild>
        <w:div w:id="797839195">
          <w:marLeft w:val="0"/>
          <w:marRight w:val="0"/>
          <w:marTop w:val="0"/>
          <w:marBottom w:val="160"/>
          <w:divBdr>
            <w:top w:val="none" w:sz="0" w:space="0" w:color="auto"/>
            <w:left w:val="none" w:sz="0" w:space="0" w:color="auto"/>
            <w:bottom w:val="none" w:sz="0" w:space="0" w:color="auto"/>
            <w:right w:val="none" w:sz="0" w:space="0" w:color="auto"/>
          </w:divBdr>
        </w:div>
        <w:div w:id="560681091">
          <w:marLeft w:val="0"/>
          <w:marRight w:val="0"/>
          <w:marTop w:val="0"/>
          <w:marBottom w:val="160"/>
          <w:divBdr>
            <w:top w:val="none" w:sz="0" w:space="0" w:color="auto"/>
            <w:left w:val="none" w:sz="0" w:space="0" w:color="auto"/>
            <w:bottom w:val="none" w:sz="0" w:space="0" w:color="auto"/>
            <w:right w:val="none" w:sz="0" w:space="0" w:color="auto"/>
          </w:divBdr>
        </w:div>
        <w:div w:id="1153833297">
          <w:marLeft w:val="0"/>
          <w:marRight w:val="0"/>
          <w:marTop w:val="0"/>
          <w:marBottom w:val="160"/>
          <w:divBdr>
            <w:top w:val="none" w:sz="0" w:space="0" w:color="auto"/>
            <w:left w:val="none" w:sz="0" w:space="0" w:color="auto"/>
            <w:bottom w:val="none" w:sz="0" w:space="0" w:color="auto"/>
            <w:right w:val="none" w:sz="0" w:space="0" w:color="auto"/>
          </w:divBdr>
        </w:div>
      </w:divsChild>
    </w:div>
    <w:div w:id="1505320125">
      <w:bodyDiv w:val="1"/>
      <w:marLeft w:val="0"/>
      <w:marRight w:val="0"/>
      <w:marTop w:val="0"/>
      <w:marBottom w:val="0"/>
      <w:divBdr>
        <w:top w:val="none" w:sz="0" w:space="0" w:color="auto"/>
        <w:left w:val="none" w:sz="0" w:space="0" w:color="auto"/>
        <w:bottom w:val="none" w:sz="0" w:space="0" w:color="auto"/>
        <w:right w:val="none" w:sz="0" w:space="0" w:color="auto"/>
      </w:divBdr>
    </w:div>
    <w:div w:id="1541283808">
      <w:bodyDiv w:val="1"/>
      <w:marLeft w:val="0"/>
      <w:marRight w:val="0"/>
      <w:marTop w:val="0"/>
      <w:marBottom w:val="0"/>
      <w:divBdr>
        <w:top w:val="none" w:sz="0" w:space="0" w:color="auto"/>
        <w:left w:val="none" w:sz="0" w:space="0" w:color="auto"/>
        <w:bottom w:val="none" w:sz="0" w:space="0" w:color="auto"/>
        <w:right w:val="none" w:sz="0" w:space="0" w:color="auto"/>
      </w:divBdr>
    </w:div>
    <w:div w:id="1551576322">
      <w:bodyDiv w:val="1"/>
      <w:marLeft w:val="0"/>
      <w:marRight w:val="0"/>
      <w:marTop w:val="0"/>
      <w:marBottom w:val="0"/>
      <w:divBdr>
        <w:top w:val="none" w:sz="0" w:space="0" w:color="auto"/>
        <w:left w:val="none" w:sz="0" w:space="0" w:color="auto"/>
        <w:bottom w:val="none" w:sz="0" w:space="0" w:color="auto"/>
        <w:right w:val="none" w:sz="0" w:space="0" w:color="auto"/>
      </w:divBdr>
    </w:div>
    <w:div w:id="1555891875">
      <w:bodyDiv w:val="1"/>
      <w:marLeft w:val="0"/>
      <w:marRight w:val="0"/>
      <w:marTop w:val="0"/>
      <w:marBottom w:val="0"/>
      <w:divBdr>
        <w:top w:val="none" w:sz="0" w:space="0" w:color="auto"/>
        <w:left w:val="none" w:sz="0" w:space="0" w:color="auto"/>
        <w:bottom w:val="none" w:sz="0" w:space="0" w:color="auto"/>
        <w:right w:val="none" w:sz="0" w:space="0" w:color="auto"/>
      </w:divBdr>
    </w:div>
    <w:div w:id="1562521597">
      <w:bodyDiv w:val="1"/>
      <w:marLeft w:val="0"/>
      <w:marRight w:val="0"/>
      <w:marTop w:val="0"/>
      <w:marBottom w:val="0"/>
      <w:divBdr>
        <w:top w:val="none" w:sz="0" w:space="0" w:color="auto"/>
        <w:left w:val="none" w:sz="0" w:space="0" w:color="auto"/>
        <w:bottom w:val="none" w:sz="0" w:space="0" w:color="auto"/>
        <w:right w:val="none" w:sz="0" w:space="0" w:color="auto"/>
      </w:divBdr>
    </w:div>
    <w:div w:id="1568610026">
      <w:bodyDiv w:val="1"/>
      <w:marLeft w:val="0"/>
      <w:marRight w:val="0"/>
      <w:marTop w:val="0"/>
      <w:marBottom w:val="0"/>
      <w:divBdr>
        <w:top w:val="none" w:sz="0" w:space="0" w:color="auto"/>
        <w:left w:val="none" w:sz="0" w:space="0" w:color="auto"/>
        <w:bottom w:val="none" w:sz="0" w:space="0" w:color="auto"/>
        <w:right w:val="none" w:sz="0" w:space="0" w:color="auto"/>
      </w:divBdr>
    </w:div>
    <w:div w:id="1606376211">
      <w:bodyDiv w:val="1"/>
      <w:marLeft w:val="0"/>
      <w:marRight w:val="0"/>
      <w:marTop w:val="0"/>
      <w:marBottom w:val="0"/>
      <w:divBdr>
        <w:top w:val="none" w:sz="0" w:space="0" w:color="auto"/>
        <w:left w:val="none" w:sz="0" w:space="0" w:color="auto"/>
        <w:bottom w:val="none" w:sz="0" w:space="0" w:color="auto"/>
        <w:right w:val="none" w:sz="0" w:space="0" w:color="auto"/>
      </w:divBdr>
      <w:divsChild>
        <w:div w:id="729840230">
          <w:marLeft w:val="0"/>
          <w:marRight w:val="0"/>
          <w:marTop w:val="0"/>
          <w:marBottom w:val="160"/>
          <w:divBdr>
            <w:top w:val="none" w:sz="0" w:space="0" w:color="auto"/>
            <w:left w:val="none" w:sz="0" w:space="0" w:color="auto"/>
            <w:bottom w:val="none" w:sz="0" w:space="0" w:color="auto"/>
            <w:right w:val="none" w:sz="0" w:space="0" w:color="auto"/>
          </w:divBdr>
        </w:div>
        <w:div w:id="1459761652">
          <w:marLeft w:val="0"/>
          <w:marRight w:val="0"/>
          <w:marTop w:val="0"/>
          <w:marBottom w:val="160"/>
          <w:divBdr>
            <w:top w:val="none" w:sz="0" w:space="0" w:color="auto"/>
            <w:left w:val="none" w:sz="0" w:space="0" w:color="auto"/>
            <w:bottom w:val="none" w:sz="0" w:space="0" w:color="auto"/>
            <w:right w:val="none" w:sz="0" w:space="0" w:color="auto"/>
          </w:divBdr>
        </w:div>
        <w:div w:id="2021463511">
          <w:marLeft w:val="0"/>
          <w:marRight w:val="0"/>
          <w:marTop w:val="0"/>
          <w:marBottom w:val="160"/>
          <w:divBdr>
            <w:top w:val="none" w:sz="0" w:space="0" w:color="auto"/>
            <w:left w:val="none" w:sz="0" w:space="0" w:color="auto"/>
            <w:bottom w:val="none" w:sz="0" w:space="0" w:color="auto"/>
            <w:right w:val="none" w:sz="0" w:space="0" w:color="auto"/>
          </w:divBdr>
        </w:div>
      </w:divsChild>
    </w:div>
    <w:div w:id="1607687474">
      <w:bodyDiv w:val="1"/>
      <w:marLeft w:val="0"/>
      <w:marRight w:val="0"/>
      <w:marTop w:val="0"/>
      <w:marBottom w:val="0"/>
      <w:divBdr>
        <w:top w:val="none" w:sz="0" w:space="0" w:color="auto"/>
        <w:left w:val="none" w:sz="0" w:space="0" w:color="auto"/>
        <w:bottom w:val="none" w:sz="0" w:space="0" w:color="auto"/>
        <w:right w:val="none" w:sz="0" w:space="0" w:color="auto"/>
      </w:divBdr>
    </w:div>
    <w:div w:id="1607956335">
      <w:bodyDiv w:val="1"/>
      <w:marLeft w:val="0"/>
      <w:marRight w:val="0"/>
      <w:marTop w:val="0"/>
      <w:marBottom w:val="0"/>
      <w:divBdr>
        <w:top w:val="none" w:sz="0" w:space="0" w:color="auto"/>
        <w:left w:val="none" w:sz="0" w:space="0" w:color="auto"/>
        <w:bottom w:val="none" w:sz="0" w:space="0" w:color="auto"/>
        <w:right w:val="none" w:sz="0" w:space="0" w:color="auto"/>
      </w:divBdr>
    </w:div>
    <w:div w:id="1612129035">
      <w:bodyDiv w:val="1"/>
      <w:marLeft w:val="0"/>
      <w:marRight w:val="0"/>
      <w:marTop w:val="0"/>
      <w:marBottom w:val="0"/>
      <w:divBdr>
        <w:top w:val="none" w:sz="0" w:space="0" w:color="auto"/>
        <w:left w:val="none" w:sz="0" w:space="0" w:color="auto"/>
        <w:bottom w:val="none" w:sz="0" w:space="0" w:color="auto"/>
        <w:right w:val="none" w:sz="0" w:space="0" w:color="auto"/>
      </w:divBdr>
    </w:div>
    <w:div w:id="1626696393">
      <w:bodyDiv w:val="1"/>
      <w:marLeft w:val="0"/>
      <w:marRight w:val="0"/>
      <w:marTop w:val="0"/>
      <w:marBottom w:val="0"/>
      <w:divBdr>
        <w:top w:val="none" w:sz="0" w:space="0" w:color="auto"/>
        <w:left w:val="none" w:sz="0" w:space="0" w:color="auto"/>
        <w:bottom w:val="none" w:sz="0" w:space="0" w:color="auto"/>
        <w:right w:val="none" w:sz="0" w:space="0" w:color="auto"/>
      </w:divBdr>
    </w:div>
    <w:div w:id="1641811474">
      <w:bodyDiv w:val="1"/>
      <w:marLeft w:val="0"/>
      <w:marRight w:val="0"/>
      <w:marTop w:val="0"/>
      <w:marBottom w:val="0"/>
      <w:divBdr>
        <w:top w:val="none" w:sz="0" w:space="0" w:color="auto"/>
        <w:left w:val="none" w:sz="0" w:space="0" w:color="auto"/>
        <w:bottom w:val="none" w:sz="0" w:space="0" w:color="auto"/>
        <w:right w:val="none" w:sz="0" w:space="0" w:color="auto"/>
      </w:divBdr>
    </w:div>
    <w:div w:id="1647588101">
      <w:bodyDiv w:val="1"/>
      <w:marLeft w:val="0"/>
      <w:marRight w:val="0"/>
      <w:marTop w:val="0"/>
      <w:marBottom w:val="0"/>
      <w:divBdr>
        <w:top w:val="none" w:sz="0" w:space="0" w:color="auto"/>
        <w:left w:val="none" w:sz="0" w:space="0" w:color="auto"/>
        <w:bottom w:val="none" w:sz="0" w:space="0" w:color="auto"/>
        <w:right w:val="none" w:sz="0" w:space="0" w:color="auto"/>
      </w:divBdr>
    </w:div>
    <w:div w:id="1669096844">
      <w:bodyDiv w:val="1"/>
      <w:marLeft w:val="0"/>
      <w:marRight w:val="0"/>
      <w:marTop w:val="0"/>
      <w:marBottom w:val="0"/>
      <w:divBdr>
        <w:top w:val="none" w:sz="0" w:space="0" w:color="auto"/>
        <w:left w:val="none" w:sz="0" w:space="0" w:color="auto"/>
        <w:bottom w:val="none" w:sz="0" w:space="0" w:color="auto"/>
        <w:right w:val="none" w:sz="0" w:space="0" w:color="auto"/>
      </w:divBdr>
      <w:divsChild>
        <w:div w:id="518936356">
          <w:marLeft w:val="0"/>
          <w:marRight w:val="0"/>
          <w:marTop w:val="0"/>
          <w:marBottom w:val="160"/>
          <w:divBdr>
            <w:top w:val="none" w:sz="0" w:space="0" w:color="auto"/>
            <w:left w:val="none" w:sz="0" w:space="0" w:color="auto"/>
            <w:bottom w:val="none" w:sz="0" w:space="0" w:color="auto"/>
            <w:right w:val="none" w:sz="0" w:space="0" w:color="auto"/>
          </w:divBdr>
        </w:div>
        <w:div w:id="528104072">
          <w:marLeft w:val="0"/>
          <w:marRight w:val="0"/>
          <w:marTop w:val="0"/>
          <w:marBottom w:val="160"/>
          <w:divBdr>
            <w:top w:val="none" w:sz="0" w:space="0" w:color="auto"/>
            <w:left w:val="none" w:sz="0" w:space="0" w:color="auto"/>
            <w:bottom w:val="none" w:sz="0" w:space="0" w:color="auto"/>
            <w:right w:val="none" w:sz="0" w:space="0" w:color="auto"/>
          </w:divBdr>
        </w:div>
        <w:div w:id="273513336">
          <w:marLeft w:val="0"/>
          <w:marRight w:val="0"/>
          <w:marTop w:val="0"/>
          <w:marBottom w:val="160"/>
          <w:divBdr>
            <w:top w:val="none" w:sz="0" w:space="0" w:color="auto"/>
            <w:left w:val="none" w:sz="0" w:space="0" w:color="auto"/>
            <w:bottom w:val="none" w:sz="0" w:space="0" w:color="auto"/>
            <w:right w:val="none" w:sz="0" w:space="0" w:color="auto"/>
          </w:divBdr>
        </w:div>
      </w:divsChild>
    </w:div>
    <w:div w:id="1695689083">
      <w:bodyDiv w:val="1"/>
      <w:marLeft w:val="0"/>
      <w:marRight w:val="0"/>
      <w:marTop w:val="0"/>
      <w:marBottom w:val="0"/>
      <w:divBdr>
        <w:top w:val="none" w:sz="0" w:space="0" w:color="auto"/>
        <w:left w:val="none" w:sz="0" w:space="0" w:color="auto"/>
        <w:bottom w:val="none" w:sz="0" w:space="0" w:color="auto"/>
        <w:right w:val="none" w:sz="0" w:space="0" w:color="auto"/>
      </w:divBdr>
    </w:div>
    <w:div w:id="1752071965">
      <w:bodyDiv w:val="1"/>
      <w:marLeft w:val="0"/>
      <w:marRight w:val="0"/>
      <w:marTop w:val="0"/>
      <w:marBottom w:val="0"/>
      <w:divBdr>
        <w:top w:val="none" w:sz="0" w:space="0" w:color="auto"/>
        <w:left w:val="none" w:sz="0" w:space="0" w:color="auto"/>
        <w:bottom w:val="none" w:sz="0" w:space="0" w:color="auto"/>
        <w:right w:val="none" w:sz="0" w:space="0" w:color="auto"/>
      </w:divBdr>
    </w:div>
    <w:div w:id="1761637096">
      <w:bodyDiv w:val="1"/>
      <w:marLeft w:val="0"/>
      <w:marRight w:val="0"/>
      <w:marTop w:val="0"/>
      <w:marBottom w:val="0"/>
      <w:divBdr>
        <w:top w:val="none" w:sz="0" w:space="0" w:color="auto"/>
        <w:left w:val="none" w:sz="0" w:space="0" w:color="auto"/>
        <w:bottom w:val="none" w:sz="0" w:space="0" w:color="auto"/>
        <w:right w:val="none" w:sz="0" w:space="0" w:color="auto"/>
      </w:divBdr>
      <w:divsChild>
        <w:div w:id="423385161">
          <w:marLeft w:val="0"/>
          <w:marRight w:val="0"/>
          <w:marTop w:val="0"/>
          <w:marBottom w:val="160"/>
          <w:divBdr>
            <w:top w:val="none" w:sz="0" w:space="0" w:color="auto"/>
            <w:left w:val="none" w:sz="0" w:space="0" w:color="auto"/>
            <w:bottom w:val="none" w:sz="0" w:space="0" w:color="auto"/>
            <w:right w:val="none" w:sz="0" w:space="0" w:color="auto"/>
          </w:divBdr>
        </w:div>
        <w:div w:id="2126801678">
          <w:marLeft w:val="0"/>
          <w:marRight w:val="0"/>
          <w:marTop w:val="0"/>
          <w:marBottom w:val="160"/>
          <w:divBdr>
            <w:top w:val="none" w:sz="0" w:space="0" w:color="auto"/>
            <w:left w:val="none" w:sz="0" w:space="0" w:color="auto"/>
            <w:bottom w:val="none" w:sz="0" w:space="0" w:color="auto"/>
            <w:right w:val="none" w:sz="0" w:space="0" w:color="auto"/>
          </w:divBdr>
        </w:div>
        <w:div w:id="827133892">
          <w:marLeft w:val="0"/>
          <w:marRight w:val="0"/>
          <w:marTop w:val="0"/>
          <w:marBottom w:val="160"/>
          <w:divBdr>
            <w:top w:val="none" w:sz="0" w:space="0" w:color="auto"/>
            <w:left w:val="none" w:sz="0" w:space="0" w:color="auto"/>
            <w:bottom w:val="none" w:sz="0" w:space="0" w:color="auto"/>
            <w:right w:val="none" w:sz="0" w:space="0" w:color="auto"/>
          </w:divBdr>
        </w:div>
      </w:divsChild>
    </w:div>
    <w:div w:id="1799494866">
      <w:bodyDiv w:val="1"/>
      <w:marLeft w:val="0"/>
      <w:marRight w:val="0"/>
      <w:marTop w:val="0"/>
      <w:marBottom w:val="0"/>
      <w:divBdr>
        <w:top w:val="none" w:sz="0" w:space="0" w:color="auto"/>
        <w:left w:val="none" w:sz="0" w:space="0" w:color="auto"/>
        <w:bottom w:val="none" w:sz="0" w:space="0" w:color="auto"/>
        <w:right w:val="none" w:sz="0" w:space="0" w:color="auto"/>
      </w:divBdr>
    </w:div>
    <w:div w:id="1806041921">
      <w:bodyDiv w:val="1"/>
      <w:marLeft w:val="0"/>
      <w:marRight w:val="0"/>
      <w:marTop w:val="0"/>
      <w:marBottom w:val="0"/>
      <w:divBdr>
        <w:top w:val="none" w:sz="0" w:space="0" w:color="auto"/>
        <w:left w:val="none" w:sz="0" w:space="0" w:color="auto"/>
        <w:bottom w:val="none" w:sz="0" w:space="0" w:color="auto"/>
        <w:right w:val="none" w:sz="0" w:space="0" w:color="auto"/>
      </w:divBdr>
    </w:div>
    <w:div w:id="1806653743">
      <w:bodyDiv w:val="1"/>
      <w:marLeft w:val="0"/>
      <w:marRight w:val="0"/>
      <w:marTop w:val="0"/>
      <w:marBottom w:val="0"/>
      <w:divBdr>
        <w:top w:val="none" w:sz="0" w:space="0" w:color="auto"/>
        <w:left w:val="none" w:sz="0" w:space="0" w:color="auto"/>
        <w:bottom w:val="none" w:sz="0" w:space="0" w:color="auto"/>
        <w:right w:val="none" w:sz="0" w:space="0" w:color="auto"/>
      </w:divBdr>
    </w:div>
    <w:div w:id="1831869620">
      <w:bodyDiv w:val="1"/>
      <w:marLeft w:val="0"/>
      <w:marRight w:val="0"/>
      <w:marTop w:val="0"/>
      <w:marBottom w:val="0"/>
      <w:divBdr>
        <w:top w:val="none" w:sz="0" w:space="0" w:color="auto"/>
        <w:left w:val="none" w:sz="0" w:space="0" w:color="auto"/>
        <w:bottom w:val="none" w:sz="0" w:space="0" w:color="auto"/>
        <w:right w:val="none" w:sz="0" w:space="0" w:color="auto"/>
      </w:divBdr>
    </w:div>
    <w:div w:id="1834879058">
      <w:bodyDiv w:val="1"/>
      <w:marLeft w:val="0"/>
      <w:marRight w:val="0"/>
      <w:marTop w:val="0"/>
      <w:marBottom w:val="0"/>
      <w:divBdr>
        <w:top w:val="none" w:sz="0" w:space="0" w:color="auto"/>
        <w:left w:val="none" w:sz="0" w:space="0" w:color="auto"/>
        <w:bottom w:val="none" w:sz="0" w:space="0" w:color="auto"/>
        <w:right w:val="none" w:sz="0" w:space="0" w:color="auto"/>
      </w:divBdr>
    </w:div>
    <w:div w:id="1838374371">
      <w:bodyDiv w:val="1"/>
      <w:marLeft w:val="0"/>
      <w:marRight w:val="0"/>
      <w:marTop w:val="0"/>
      <w:marBottom w:val="0"/>
      <w:divBdr>
        <w:top w:val="none" w:sz="0" w:space="0" w:color="auto"/>
        <w:left w:val="none" w:sz="0" w:space="0" w:color="auto"/>
        <w:bottom w:val="none" w:sz="0" w:space="0" w:color="auto"/>
        <w:right w:val="none" w:sz="0" w:space="0" w:color="auto"/>
      </w:divBdr>
    </w:div>
    <w:div w:id="1843085015">
      <w:bodyDiv w:val="1"/>
      <w:marLeft w:val="0"/>
      <w:marRight w:val="0"/>
      <w:marTop w:val="0"/>
      <w:marBottom w:val="0"/>
      <w:divBdr>
        <w:top w:val="none" w:sz="0" w:space="0" w:color="auto"/>
        <w:left w:val="none" w:sz="0" w:space="0" w:color="auto"/>
        <w:bottom w:val="none" w:sz="0" w:space="0" w:color="auto"/>
        <w:right w:val="none" w:sz="0" w:space="0" w:color="auto"/>
      </w:divBdr>
    </w:div>
    <w:div w:id="1871645697">
      <w:bodyDiv w:val="1"/>
      <w:marLeft w:val="0"/>
      <w:marRight w:val="0"/>
      <w:marTop w:val="0"/>
      <w:marBottom w:val="0"/>
      <w:divBdr>
        <w:top w:val="none" w:sz="0" w:space="0" w:color="auto"/>
        <w:left w:val="none" w:sz="0" w:space="0" w:color="auto"/>
        <w:bottom w:val="none" w:sz="0" w:space="0" w:color="auto"/>
        <w:right w:val="none" w:sz="0" w:space="0" w:color="auto"/>
      </w:divBdr>
    </w:div>
    <w:div w:id="1951625272">
      <w:bodyDiv w:val="1"/>
      <w:marLeft w:val="0"/>
      <w:marRight w:val="0"/>
      <w:marTop w:val="0"/>
      <w:marBottom w:val="0"/>
      <w:divBdr>
        <w:top w:val="none" w:sz="0" w:space="0" w:color="auto"/>
        <w:left w:val="none" w:sz="0" w:space="0" w:color="auto"/>
        <w:bottom w:val="none" w:sz="0" w:space="0" w:color="auto"/>
        <w:right w:val="none" w:sz="0" w:space="0" w:color="auto"/>
      </w:divBdr>
    </w:div>
    <w:div w:id="1958440709">
      <w:bodyDiv w:val="1"/>
      <w:marLeft w:val="0"/>
      <w:marRight w:val="0"/>
      <w:marTop w:val="0"/>
      <w:marBottom w:val="0"/>
      <w:divBdr>
        <w:top w:val="none" w:sz="0" w:space="0" w:color="auto"/>
        <w:left w:val="none" w:sz="0" w:space="0" w:color="auto"/>
        <w:bottom w:val="none" w:sz="0" w:space="0" w:color="auto"/>
        <w:right w:val="none" w:sz="0" w:space="0" w:color="auto"/>
      </w:divBdr>
    </w:div>
    <w:div w:id="1975985341">
      <w:bodyDiv w:val="1"/>
      <w:marLeft w:val="0"/>
      <w:marRight w:val="0"/>
      <w:marTop w:val="0"/>
      <w:marBottom w:val="0"/>
      <w:divBdr>
        <w:top w:val="none" w:sz="0" w:space="0" w:color="auto"/>
        <w:left w:val="none" w:sz="0" w:space="0" w:color="auto"/>
        <w:bottom w:val="none" w:sz="0" w:space="0" w:color="auto"/>
        <w:right w:val="none" w:sz="0" w:space="0" w:color="auto"/>
      </w:divBdr>
    </w:div>
    <w:div w:id="2011717450">
      <w:bodyDiv w:val="1"/>
      <w:marLeft w:val="0"/>
      <w:marRight w:val="0"/>
      <w:marTop w:val="0"/>
      <w:marBottom w:val="0"/>
      <w:divBdr>
        <w:top w:val="none" w:sz="0" w:space="0" w:color="auto"/>
        <w:left w:val="none" w:sz="0" w:space="0" w:color="auto"/>
        <w:bottom w:val="none" w:sz="0" w:space="0" w:color="auto"/>
        <w:right w:val="none" w:sz="0" w:space="0" w:color="auto"/>
      </w:divBdr>
    </w:div>
    <w:div w:id="2021278799">
      <w:bodyDiv w:val="1"/>
      <w:marLeft w:val="0"/>
      <w:marRight w:val="0"/>
      <w:marTop w:val="0"/>
      <w:marBottom w:val="0"/>
      <w:divBdr>
        <w:top w:val="none" w:sz="0" w:space="0" w:color="auto"/>
        <w:left w:val="none" w:sz="0" w:space="0" w:color="auto"/>
        <w:bottom w:val="none" w:sz="0" w:space="0" w:color="auto"/>
        <w:right w:val="none" w:sz="0" w:space="0" w:color="auto"/>
      </w:divBdr>
    </w:div>
    <w:div w:id="2077781944">
      <w:bodyDiv w:val="1"/>
      <w:marLeft w:val="0"/>
      <w:marRight w:val="0"/>
      <w:marTop w:val="0"/>
      <w:marBottom w:val="0"/>
      <w:divBdr>
        <w:top w:val="none" w:sz="0" w:space="0" w:color="auto"/>
        <w:left w:val="none" w:sz="0" w:space="0" w:color="auto"/>
        <w:bottom w:val="none" w:sz="0" w:space="0" w:color="auto"/>
        <w:right w:val="none" w:sz="0" w:space="0" w:color="auto"/>
      </w:divBdr>
    </w:div>
    <w:div w:id="2110271813">
      <w:bodyDiv w:val="1"/>
      <w:marLeft w:val="0"/>
      <w:marRight w:val="0"/>
      <w:marTop w:val="0"/>
      <w:marBottom w:val="0"/>
      <w:divBdr>
        <w:top w:val="none" w:sz="0" w:space="0" w:color="auto"/>
        <w:left w:val="none" w:sz="0" w:space="0" w:color="auto"/>
        <w:bottom w:val="none" w:sz="0" w:space="0" w:color="auto"/>
        <w:right w:val="none" w:sz="0" w:space="0" w:color="auto"/>
      </w:divBdr>
    </w:div>
    <w:div w:id="2115590451">
      <w:bodyDiv w:val="1"/>
      <w:marLeft w:val="0"/>
      <w:marRight w:val="0"/>
      <w:marTop w:val="0"/>
      <w:marBottom w:val="0"/>
      <w:divBdr>
        <w:top w:val="none" w:sz="0" w:space="0" w:color="auto"/>
        <w:left w:val="none" w:sz="0" w:space="0" w:color="auto"/>
        <w:bottom w:val="none" w:sz="0" w:space="0" w:color="auto"/>
        <w:right w:val="none" w:sz="0" w:space="0" w:color="auto"/>
      </w:divBdr>
      <w:divsChild>
        <w:div w:id="428045146">
          <w:marLeft w:val="0"/>
          <w:marRight w:val="0"/>
          <w:marTop w:val="0"/>
          <w:marBottom w:val="0"/>
          <w:divBdr>
            <w:top w:val="none" w:sz="0" w:space="0" w:color="auto"/>
            <w:left w:val="none" w:sz="0" w:space="0" w:color="auto"/>
            <w:bottom w:val="none" w:sz="0" w:space="0" w:color="auto"/>
            <w:right w:val="none" w:sz="0" w:space="0" w:color="auto"/>
          </w:divBdr>
          <w:divsChild>
            <w:div w:id="1917788406">
              <w:marLeft w:val="0"/>
              <w:marRight w:val="0"/>
              <w:marTop w:val="0"/>
              <w:marBottom w:val="0"/>
              <w:divBdr>
                <w:top w:val="none" w:sz="0" w:space="0" w:color="auto"/>
                <w:left w:val="none" w:sz="0" w:space="0" w:color="auto"/>
                <w:bottom w:val="none" w:sz="0" w:space="0" w:color="auto"/>
                <w:right w:val="none" w:sz="0" w:space="0" w:color="auto"/>
              </w:divBdr>
              <w:divsChild>
                <w:div w:id="109321855">
                  <w:marLeft w:val="0"/>
                  <w:marRight w:val="0"/>
                  <w:marTop w:val="0"/>
                  <w:marBottom w:val="0"/>
                  <w:divBdr>
                    <w:top w:val="none" w:sz="0" w:space="0" w:color="auto"/>
                    <w:left w:val="none" w:sz="0" w:space="0" w:color="auto"/>
                    <w:bottom w:val="none" w:sz="0" w:space="0" w:color="auto"/>
                    <w:right w:val="none" w:sz="0" w:space="0" w:color="auto"/>
                  </w:divBdr>
                  <w:divsChild>
                    <w:div w:id="824205549">
                      <w:marLeft w:val="0"/>
                      <w:marRight w:val="0"/>
                      <w:marTop w:val="0"/>
                      <w:marBottom w:val="0"/>
                      <w:divBdr>
                        <w:top w:val="none" w:sz="0" w:space="0" w:color="auto"/>
                        <w:left w:val="none" w:sz="0" w:space="0" w:color="auto"/>
                        <w:bottom w:val="none" w:sz="0" w:space="0" w:color="auto"/>
                        <w:right w:val="none" w:sz="0" w:space="0" w:color="auto"/>
                      </w:divBdr>
                      <w:divsChild>
                        <w:div w:id="1492217882">
                          <w:marLeft w:val="0"/>
                          <w:marRight w:val="0"/>
                          <w:marTop w:val="0"/>
                          <w:marBottom w:val="0"/>
                          <w:divBdr>
                            <w:top w:val="none" w:sz="0" w:space="0" w:color="auto"/>
                            <w:left w:val="none" w:sz="0" w:space="0" w:color="auto"/>
                            <w:bottom w:val="none" w:sz="0" w:space="0" w:color="auto"/>
                            <w:right w:val="none" w:sz="0" w:space="0" w:color="auto"/>
                          </w:divBdr>
                          <w:divsChild>
                            <w:div w:id="16755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82362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latoria.colombiacompra.gov.co/busqueda/conceptos" TargetMode="Externa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secretariacomun@contraloriacali.gov.co" TargetMode="External"/><Relationship Id="rId17" Type="http://schemas.openxmlformats.org/officeDocument/2006/relationships/hyperlink" Target="https://nam02.safelinks.protection.outlook.com/?url=https%3A%2F%2Fwww.colombiacompra.gov.co%2Farchivos%2Fboletin%2Fboletin-edicion-n-3-de-2026-radar-de-la-compra-publica&amp;data=05%7C02%7Ctatiana.baquero%40colombiacompra.gov.co%7C7128555136e04fa6887d08dee99e1b50%7C7b09041e245149d08cb179d5e3d8c1be%7C0%7C0%7C639205062450972052%7CUnknown%7CTWFpbGZsb3d8eyJFbXB0eU1hcGkiOnRydWUsIlYiOiIwLjAuMDAwMCIsIlAiOiJXaW4zMiIsIkFOIjoiTWFpbCIsIldUIjoyfQ%3D%3D%7C0%7C%7C%7C&amp;sdata=ngIfOSul6%2FIYwaP3ShmRxU6EMjPXXDKeUCuzgZ8UYuY%3D&amp;reserved=0"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circular%2Fcircular-externa-002-de-2026&amp;data=05%7C02%7Ctatiana.baquero%40colombiacompra.gov.co%7C7128555136e04fa6887d08dee99e1b50%7C7b09041e245149d08cb179d5e3d8c1be%7C0%7C0%7C639205062450922843%7CUnknown%7CTWFpbGZsb3d8eyJFbXB0eU1hcGkiOnRydWUsIlYiOiIwLjAuMDAwMCIsIlAiOiJXaW4zMiIsIkFOIjoiTWFpbCIsIldUIjoyfQ%3D%3D%7C0%7C%7C%7C&amp;sdata=bLkuj%2F1DdqlO%2FR2uZ73mZRHPww5FGil6IeBR7uyBmq4%3D&amp;reserved=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s://nam02.safelinks.protection.outlook.com/?url=https%3A%2F%2Fwww.colombiacompra.gov.co%2Farchivos%2Fcircular%2Fcircular-externa-003-de-2026&amp;data=05%7C02%7Ctatiana.baquero%40colombiacompra.gov.co%7C7128555136e04fa6887d08dee99e1b50%7C7b09041e245149d08cb179d5e3d8c1be%7C0%7C0%7C639205062450833668%7CUnknown%7CTWFpbGZsb3d8eyJFbXB0eU1hcGkiOnRydWUsIlYiOiIwLjAuMDAwMCIsIlAiOiJXaW4zMiIsIkFOIjoiTWFpbCIsIldUIjoyfQ%3D%3D%7C0%7C%7C%7C&amp;sdata=giqymQNNNmUoeT4tdRU5Za2hp3r64T%2BETOnL33%2BpGoQ%3D&amp;reserved=0"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am02.safelinks.protection.outlook.com/?url=https%3A%2F%2Fwww.colombiacompra.gov.co%2Farchivos%2Fmanual%2Fguia-de-garantias-en-procesos-de-contratacion&amp;data=05%7C02%7Ctatiana.baquero%40colombiacompra.gov.co%7C7128555136e04fa6887d08dee99e1b50%7C7b09041e245149d08cb179d5e3d8c1be%7C0%7C0%7C639205062450802688%7CUnknown%7CTWFpbGZsb3d8eyJFbXB0eU1hcGkiOnRydWUsIlYiOiIwLjAuMDAwMCIsIlAiOiJXaW4zMiIsIkFOIjoiTWFpbCIsIldUIjoyfQ%3D%3D%7C0%7C%7C%7C&amp;sdata=lIeIj8SX2uajtdSKcop2FcVwduTm7IqX5cc%2BNrzmczU%3D&amp;reserved=0"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lcf76f155ced4ddcb4097134ff3c332f xmlns="9d85dbaf-23eb-4e57-a637-93dcacc8b1a1">
      <Terms xmlns="http://schemas.microsoft.com/office/infopath/2007/PartnerControls"/>
    </lcf76f155ced4ddcb4097134ff3c332f>
    <_Flow_SignoffStatus xmlns="9d85dbaf-23eb-4e57-a637-93dcacc8b1a1" xsi:nil="true"/>
    <SharedWithUsers xmlns="a6cb9e4b-f1d1-4245-83ec-6cad768d538a">
      <UserInfo>
        <DisplayName>Alejandro Sarmiento</DisplayName>
        <AccountId>129</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24EFD2-6506-4654-A0AC-DEF36450FF53}">
  <ds:schemaRefs>
    <ds:schemaRef ds:uri="http://schemas.microsoft.com/sharepoint/v3/contenttype/forms"/>
  </ds:schemaRefs>
</ds:datastoreItem>
</file>

<file path=customXml/itemProps2.xml><?xml version="1.0" encoding="utf-8"?>
<ds:datastoreItem xmlns:ds="http://schemas.openxmlformats.org/officeDocument/2006/customXml" ds:itemID="{206954CD-A18B-4BC8-BDFD-948A7B8E2372}">
  <ds:schemaRefs>
    <ds:schemaRef ds:uri="http://schemas.openxmlformats.org/officeDocument/2006/bibliography"/>
  </ds:schemaRefs>
</ds:datastoreItem>
</file>

<file path=customXml/itemProps3.xml><?xml version="1.0" encoding="utf-8"?>
<ds:datastoreItem xmlns:ds="http://schemas.openxmlformats.org/officeDocument/2006/customXml" ds:itemID="{B3B8AE37-E1F3-4B08-98E9-52F0B3FA79CF}">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4.xml><?xml version="1.0" encoding="utf-8"?>
<ds:datastoreItem xmlns:ds="http://schemas.openxmlformats.org/officeDocument/2006/customXml" ds:itemID="{504E573B-E7E3-427F-8833-825DE765F4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19</Pages>
  <Words>5863</Words>
  <Characters>32250</Characters>
  <Application>Microsoft Office Word</Application>
  <DocSecurity>0</DocSecurity>
  <Lines>268</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38037</CharactersWithSpaces>
  <SharedDoc>false</SharedDoc>
  <HLinks>
    <vt:vector size="48" baseType="variant">
      <vt:variant>
        <vt:i4>5439494</vt:i4>
      </vt:variant>
      <vt:variant>
        <vt:i4>15</vt:i4>
      </vt:variant>
      <vt:variant>
        <vt:i4>0</vt:i4>
      </vt:variant>
      <vt:variant>
        <vt:i4>5</vt:i4>
      </vt:variant>
      <vt:variant>
        <vt:lpwstr>https://www.colombiacompra.gov.co/sala-de-prensa/boletin-digital</vt:lpwstr>
      </vt:variant>
      <vt:variant>
        <vt:lpwstr/>
      </vt:variant>
      <vt:variant>
        <vt:i4>7471218</vt:i4>
      </vt:variant>
      <vt:variant>
        <vt:i4>12</vt:i4>
      </vt:variant>
      <vt:variant>
        <vt:i4>0</vt:i4>
      </vt:variant>
      <vt:variant>
        <vt:i4>5</vt:i4>
      </vt:variant>
      <vt:variant>
        <vt:lpwstr>https://relatoria.colombiacompra.gov.co/busqueda/conceptos</vt:lpwstr>
      </vt:variant>
      <vt:variant>
        <vt:lpwstr/>
      </vt:variant>
      <vt:variant>
        <vt:i4>5111895</vt:i4>
      </vt:variant>
      <vt:variant>
        <vt:i4>9</vt:i4>
      </vt:variant>
      <vt:variant>
        <vt:i4>0</vt:i4>
      </vt:variant>
      <vt:variant>
        <vt:i4>5</vt:i4>
      </vt:variant>
      <vt:variant>
        <vt:lpwstr>https://www.colombiacompra.gov.co/manuales-guias-y-pliegos-tipo/manuales-y-guias</vt:lpwstr>
      </vt:variant>
      <vt:variant>
        <vt:lpwstr/>
      </vt:variant>
      <vt:variant>
        <vt:i4>3801145</vt:i4>
      </vt:variant>
      <vt:variant>
        <vt:i4>6</vt:i4>
      </vt:variant>
      <vt:variant>
        <vt:i4>0</vt:i4>
      </vt:variant>
      <vt:variant>
        <vt:i4>5</vt:i4>
      </vt:variant>
      <vt:variant>
        <vt:lpwstr>https://relatoria.colombiacompra.gov.co/providencias-consejo-de-estado/</vt:lpwstr>
      </vt:variant>
      <vt:variant>
        <vt:lpwstr/>
      </vt:variant>
      <vt:variant>
        <vt:i4>3145787</vt:i4>
      </vt:variant>
      <vt:variant>
        <vt:i4>3</vt:i4>
      </vt:variant>
      <vt:variant>
        <vt:i4>0</vt:i4>
      </vt:variant>
      <vt:variant>
        <vt:i4>5</vt:i4>
      </vt:variant>
      <vt:variant>
        <vt:lpwstr>https://www.colombiacompra.gov.co/content/04-documentos-tipo-de-licitacion-de-obra-publica-para-proyectos-de-infraestructura-social</vt:lpwstr>
      </vt:variant>
      <vt:variant>
        <vt:lpwstr/>
      </vt:variant>
      <vt:variant>
        <vt:i4>7208987</vt:i4>
      </vt:variant>
      <vt:variant>
        <vt:i4>0</vt:i4>
      </vt:variant>
      <vt:variant>
        <vt:i4>0</vt:i4>
      </vt:variant>
      <vt:variant>
        <vt:i4>5</vt:i4>
      </vt:variant>
      <vt:variant>
        <vt:lpwstr>https://www.colombiacompra.gov.co/sites/cce_public/files/cce_circulares/circular_externa_unica_version_3_vf49.pdf</vt:lpwstr>
      </vt:variant>
      <vt:variant>
        <vt:lpwstr/>
      </vt:variant>
      <vt:variant>
        <vt:i4>6619182</vt:i4>
      </vt:variant>
      <vt:variant>
        <vt:i4>3</vt:i4>
      </vt:variant>
      <vt:variant>
        <vt:i4>0</vt:i4>
      </vt:variant>
      <vt:variant>
        <vt:i4>5</vt:i4>
      </vt:variant>
      <vt:variant>
        <vt:lpwstr>https://www.culturarecreacionydeporte.gov.co/es/bogotanitos/bogodatos/las-plazas-de-mercado-de-bogota</vt:lpwstr>
      </vt:variant>
      <vt:variant>
        <vt:lpwstr>:~:text=Muchos%20tienen%20diferentes%20conceptos%20sobre,en%20un%20sitio%20abierto%20o</vt:lpwstr>
      </vt:variant>
      <vt:variant>
        <vt:i4>2883621</vt:i4>
      </vt:variant>
      <vt:variant>
        <vt:i4>0</vt:i4>
      </vt:variant>
      <vt:variant>
        <vt:i4>0</vt:i4>
      </vt:variant>
      <vt:variant>
        <vt:i4>5</vt:i4>
      </vt:variant>
      <vt:variant>
        <vt:lpwstr>https://www.colombiacompra.gov.co/content/03-documentos-tipo-transversales-de-licitacion-de-obra-publica-de-infraestructura-social-con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ANCP-SGC</dc:creator>
  <cp:keywords/>
  <dc:description/>
  <cp:lastModifiedBy>Sergio Andrés Rivera Cano</cp:lastModifiedBy>
  <cp:revision>76</cp:revision>
  <dcterms:created xsi:type="dcterms:W3CDTF">2026-08-20T14:19:00Z</dcterms:created>
  <dcterms:modified xsi:type="dcterms:W3CDTF">2026-08-21T13:52:00Z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