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9B109" w14:textId="77777777" w:rsidR="00E85CD4" w:rsidRPr="00D83A49" w:rsidRDefault="00E85CD4" w:rsidP="00E85CD4">
      <w:pPr>
        <w:pStyle w:val="Textoindependiente"/>
        <w:spacing w:after="0" w:line="240" w:lineRule="auto"/>
        <w:ind w:right="102"/>
        <w:jc w:val="both"/>
        <w:rPr>
          <w:rFonts w:ascii="Verdana" w:hAnsi="Verdana" w:cs="Arial"/>
          <w:b/>
          <w:color w:val="000000" w:themeColor="text1"/>
          <w:lang w:val="es-ES_tradnl"/>
        </w:rPr>
      </w:pPr>
      <w:r w:rsidRPr="00D83A49">
        <w:rPr>
          <w:rFonts w:ascii="Verdana" w:hAnsi="Verdana" w:cs="Arial"/>
          <w:b/>
          <w:color w:val="000000" w:themeColor="text1"/>
          <w:lang w:val="es-ES_tradnl"/>
        </w:rPr>
        <w:t xml:space="preserve">DEBIDA DILIGENCIA – Marco normativo </w:t>
      </w:r>
    </w:p>
    <w:p w14:paraId="621985F4" w14:textId="77777777" w:rsidR="00E85CD4" w:rsidRPr="00D83A49" w:rsidRDefault="00E85CD4" w:rsidP="00E85CD4">
      <w:pPr>
        <w:pStyle w:val="Textoindependiente"/>
        <w:spacing w:after="0" w:line="240" w:lineRule="auto"/>
        <w:ind w:right="102"/>
        <w:jc w:val="both"/>
        <w:rPr>
          <w:rFonts w:cs="Arial"/>
          <w:color w:val="000000" w:themeColor="text1"/>
          <w:sz w:val="20"/>
          <w:szCs w:val="20"/>
          <w:lang w:val="es-ES_tradnl"/>
        </w:rPr>
      </w:pPr>
    </w:p>
    <w:p w14:paraId="0834B9D6" w14:textId="77777777" w:rsidR="00E85CD4" w:rsidRDefault="00E85CD4" w:rsidP="00E85CD4">
      <w:pPr>
        <w:spacing w:after="0" w:line="240" w:lineRule="auto"/>
        <w:jc w:val="both"/>
        <w:rPr>
          <w:rFonts w:ascii="Verdana" w:eastAsia="Arial" w:hAnsi="Verdana" w:cs="Arial"/>
          <w:color w:val="000000" w:themeColor="text1"/>
          <w:sz w:val="20"/>
          <w:szCs w:val="20"/>
          <w:lang w:val="es-ES"/>
        </w:rPr>
      </w:pPr>
      <w:r w:rsidRPr="00477AD7">
        <w:rPr>
          <w:rFonts w:ascii="Verdana" w:eastAsia="Arial" w:hAnsi="Verdana" w:cs="Arial"/>
          <w:color w:val="000000" w:themeColor="text1"/>
          <w:sz w:val="20"/>
          <w:szCs w:val="20"/>
          <w:lang w:val="es-ES"/>
        </w:rPr>
        <w:t xml:space="preserve">Conforme al literal a) del artículo 73 de la Ley 1474 de 2011, </w:t>
      </w:r>
      <w:r w:rsidRPr="004A2FCD">
        <w:rPr>
          <w:rFonts w:ascii="Verdana" w:eastAsia="Arial" w:hAnsi="Verdana" w:cs="Arial"/>
          <w:color w:val="000000" w:themeColor="text1"/>
          <w:sz w:val="20"/>
          <w:szCs w:val="20"/>
          <w:lang w:val="es-ES"/>
        </w:rPr>
        <w:t>modificado por el artículo 31 de la Ley 2195 de 2022, “Cada entidad del orden nacional, departamental y municipal, cualquiera que sea su régimen de contratación, deberá implementar Programas de Transparencia y Ética Pública con el fin de promover la cultura de la legalidad e identificar, medir, controlar y monitorear constantemente el riesgo de corrupción en el desarrollo de su misionalidad […]</w:t>
      </w:r>
      <w:r>
        <w:rPr>
          <w:rFonts w:ascii="Verdana" w:eastAsia="Arial" w:hAnsi="Verdana" w:cs="Arial"/>
          <w:color w:val="000000" w:themeColor="text1"/>
          <w:sz w:val="20"/>
          <w:szCs w:val="20"/>
          <w:lang w:val="es-ES"/>
        </w:rPr>
        <w:t>”</w:t>
      </w:r>
      <w:r w:rsidRPr="00477AD7">
        <w:rPr>
          <w:rFonts w:ascii="Verdana" w:eastAsia="Arial" w:hAnsi="Verdana" w:cs="Arial"/>
          <w:color w:val="000000" w:themeColor="text1"/>
          <w:sz w:val="20"/>
          <w:szCs w:val="20"/>
          <w:lang w:val="es-ES"/>
        </w:rPr>
        <w:t xml:space="preserve">. Este programa incluye, entre otros aspectos, las “Medidas de debida diligencia en las entidades del sector público”. </w:t>
      </w:r>
    </w:p>
    <w:p w14:paraId="69C9F233" w14:textId="77777777" w:rsidR="00E85CD4" w:rsidRPr="00477AD7" w:rsidRDefault="00E85CD4" w:rsidP="00E85CD4">
      <w:pPr>
        <w:spacing w:after="0" w:line="240" w:lineRule="auto"/>
        <w:jc w:val="both"/>
        <w:rPr>
          <w:rFonts w:ascii="Verdana" w:eastAsia="Arial" w:hAnsi="Verdana" w:cs="Arial"/>
          <w:color w:val="000000" w:themeColor="text1"/>
          <w:sz w:val="20"/>
          <w:szCs w:val="20"/>
          <w:lang w:val="es-ES"/>
        </w:rPr>
      </w:pPr>
    </w:p>
    <w:p w14:paraId="035D75DC" w14:textId="77777777" w:rsidR="00E85CD4" w:rsidRPr="00FB1576" w:rsidRDefault="00E85CD4" w:rsidP="00E85CD4">
      <w:pPr>
        <w:spacing w:after="0" w:line="240" w:lineRule="auto"/>
        <w:jc w:val="both"/>
        <w:rPr>
          <w:rFonts w:ascii="Verdana" w:eastAsia="Arial" w:hAnsi="Verdana" w:cs="Arial"/>
          <w:color w:val="000000" w:themeColor="text1"/>
          <w:sz w:val="20"/>
          <w:szCs w:val="20"/>
        </w:rPr>
      </w:pPr>
      <w:r w:rsidRPr="004A2FCD">
        <w:rPr>
          <w:rFonts w:ascii="Verdana" w:eastAsia="Arial" w:hAnsi="Verdana" w:cs="Arial"/>
          <w:color w:val="000000" w:themeColor="text1"/>
          <w:sz w:val="20"/>
          <w:szCs w:val="20"/>
        </w:rPr>
        <w:t>Así, de acuerdo con el inciso primero del artículo 12 de la Ley 2195 de 2022</w:t>
      </w:r>
      <w:r w:rsidRPr="00477AD7">
        <w:rPr>
          <w:rFonts w:ascii="Verdana" w:eastAsia="Arial" w:hAnsi="Verdana" w:cs="Arial"/>
          <w:color w:val="000000" w:themeColor="text1"/>
          <w:sz w:val="20"/>
          <w:szCs w:val="20"/>
        </w:rPr>
        <w:t>, “La Entidad del Estado y la persona natural, persona jurídica o estructura sin personería jurídica o similar, que tenga la obligación de implementar un sistema de prevención, gestión o administración del riesgo de lavado de activos, financiación del terrorismo y proliferación de armas o que tengan la obligación de entregar información al Registro Único de Beneficiarios Finales (RUB), debe llevar a cabo medidas de debida diligencia […]”.</w:t>
      </w:r>
      <w:r w:rsidRPr="00FB1576">
        <w:rPr>
          <w:rFonts w:ascii="Verdana" w:eastAsia="Arial" w:hAnsi="Verdana" w:cs="Arial"/>
          <w:color w:val="000000" w:themeColor="text1"/>
          <w:sz w:val="20"/>
          <w:szCs w:val="20"/>
        </w:rPr>
        <w:t xml:space="preserve"> </w:t>
      </w:r>
    </w:p>
    <w:p w14:paraId="337F188B" w14:textId="77777777" w:rsidR="00E85CD4" w:rsidRPr="00B64D5B" w:rsidRDefault="00E85CD4" w:rsidP="00E85CD4">
      <w:pPr>
        <w:spacing w:after="0" w:line="240" w:lineRule="auto"/>
        <w:jc w:val="both"/>
        <w:rPr>
          <w:rFonts w:ascii="Verdana" w:eastAsia="Arial" w:hAnsi="Verdana" w:cs="Arial"/>
          <w:color w:val="000000" w:themeColor="text1"/>
          <w:sz w:val="20"/>
          <w:szCs w:val="20"/>
        </w:rPr>
      </w:pPr>
    </w:p>
    <w:p w14:paraId="2DDD5900" w14:textId="77777777" w:rsidR="00E85CD4" w:rsidRPr="00D00501" w:rsidRDefault="00E85CD4" w:rsidP="00E85CD4">
      <w:pPr>
        <w:spacing w:after="0"/>
        <w:jc w:val="both"/>
        <w:rPr>
          <w:rFonts w:ascii="Verdana" w:eastAsia="Calibri" w:hAnsi="Verdana" w:cs="Arial"/>
          <w:color w:val="000000" w:themeColor="text1"/>
          <w:lang w:val="es-ES"/>
        </w:rPr>
      </w:pPr>
      <w:r w:rsidRPr="00D00501">
        <w:rPr>
          <w:rFonts w:ascii="Verdana" w:eastAsia="Calibri" w:hAnsi="Verdana" w:cs="Arial"/>
          <w:b/>
          <w:bCs/>
          <w:color w:val="000000" w:themeColor="text1"/>
          <w:lang w:val="es-ES"/>
        </w:rPr>
        <w:t xml:space="preserve">RECHAZO DE LA OFERTA </w:t>
      </w:r>
      <w:r w:rsidRPr="00D00501">
        <w:rPr>
          <w:rFonts w:ascii="Verdana" w:eastAsia="Calibri" w:hAnsi="Verdana" w:cs="Arial"/>
          <w:b/>
          <w:bCs/>
          <w:color w:val="000000" w:themeColor="text1"/>
        </w:rPr>
        <w:t>– Causales –</w:t>
      </w:r>
      <w:r w:rsidRPr="00D00501">
        <w:rPr>
          <w:rFonts w:ascii="Verdana" w:eastAsia="Calibri" w:hAnsi="Verdana" w:cs="Arial"/>
          <w:b/>
          <w:bCs/>
          <w:color w:val="000000" w:themeColor="text1"/>
          <w:lang w:val="es-ES"/>
        </w:rPr>
        <w:t xml:space="preserve"> Principio de imparcialidad </w:t>
      </w:r>
      <w:r w:rsidRPr="00D00501">
        <w:rPr>
          <w:rFonts w:ascii="Verdana" w:eastAsia="Calibri" w:hAnsi="Verdana" w:cs="Arial"/>
          <w:b/>
          <w:bCs/>
          <w:color w:val="000000" w:themeColor="text1"/>
        </w:rPr>
        <w:t>– Principio de</w:t>
      </w:r>
      <w:r w:rsidRPr="00D00501">
        <w:rPr>
          <w:rFonts w:ascii="Verdana" w:eastAsia="Calibri" w:hAnsi="Verdana" w:cs="Arial"/>
          <w:b/>
          <w:bCs/>
          <w:color w:val="000000" w:themeColor="text1"/>
          <w:lang w:val="es-ES"/>
        </w:rPr>
        <w:t xml:space="preserve"> selección objetiva</w:t>
      </w:r>
    </w:p>
    <w:p w14:paraId="1FAC19F0" w14:textId="77777777" w:rsidR="00E85CD4" w:rsidRPr="00B64D5B" w:rsidRDefault="00E85CD4" w:rsidP="00E85CD4">
      <w:pPr>
        <w:spacing w:after="0" w:line="240" w:lineRule="auto"/>
        <w:jc w:val="both"/>
        <w:rPr>
          <w:rFonts w:ascii="Verdana" w:eastAsia="Calibri" w:hAnsi="Verdana" w:cs="Arial"/>
          <w:color w:val="000000" w:themeColor="text1"/>
          <w:sz w:val="20"/>
          <w:szCs w:val="20"/>
          <w:lang w:val="es-ES_tradnl"/>
        </w:rPr>
      </w:pPr>
    </w:p>
    <w:p w14:paraId="286BC3DC" w14:textId="77777777" w:rsidR="00E85CD4" w:rsidRPr="00B64D5B" w:rsidRDefault="00E85CD4" w:rsidP="00E85CD4">
      <w:pPr>
        <w:spacing w:after="0" w:line="240" w:lineRule="auto"/>
        <w:jc w:val="both"/>
        <w:rPr>
          <w:rFonts w:ascii="Verdana" w:eastAsia="Calibri" w:hAnsi="Verdana" w:cs="Arial"/>
          <w:color w:val="000000" w:themeColor="text1"/>
          <w:sz w:val="20"/>
          <w:szCs w:val="20"/>
          <w:lang w:val="es-ES_tradnl"/>
        </w:rPr>
      </w:pPr>
      <w:r w:rsidRPr="00B64D5B">
        <w:rPr>
          <w:rFonts w:ascii="Verdana" w:eastAsia="Calibri" w:hAnsi="Verdana" w:cs="Arial"/>
          <w:color w:val="000000" w:themeColor="text1"/>
          <w:sz w:val="20"/>
          <w:szCs w:val="20"/>
          <w:lang w:val="es-ES_tradnl"/>
        </w:rPr>
        <w:t>Dichos principios tienen un papel relevante en la elaboración de los pliegos de condiciones, pues si bien las entidades tienen un margen de autonomía para definir algunos aspectos del futuro negocio, las causales de rechazo de las propuestas deben ser razonables, bien porque algunas de éstas se encuentren previstas en el ordenamiento o porque conducen a que se adjudique el contrato al proponente que cumple con los requisitos técnicos y económicos para su ejecución. En esta medida, dichas causales no deben fundamentarse en el simple capricho o el mero arbitrio, lo cual –además de contrariar los principios analizados– limita la participación</w:t>
      </w:r>
      <w:r>
        <w:rPr>
          <w:rFonts w:ascii="Verdana" w:eastAsia="Calibri" w:hAnsi="Verdana" w:cs="Arial"/>
          <w:color w:val="000000" w:themeColor="text1"/>
          <w:sz w:val="20"/>
          <w:szCs w:val="20"/>
          <w:lang w:val="es-ES_tradnl"/>
        </w:rPr>
        <w:t>.</w:t>
      </w:r>
    </w:p>
    <w:p w14:paraId="4945A730" w14:textId="77777777" w:rsidR="00E85CD4" w:rsidRPr="00B64D5B" w:rsidRDefault="00E85CD4" w:rsidP="00E85CD4">
      <w:pPr>
        <w:spacing w:after="0" w:line="240" w:lineRule="auto"/>
        <w:jc w:val="both"/>
        <w:rPr>
          <w:rFonts w:ascii="Verdana" w:eastAsia="Calibri" w:hAnsi="Verdana" w:cs="Arial"/>
          <w:b/>
          <w:color w:val="000000" w:themeColor="text1"/>
          <w:sz w:val="20"/>
          <w:szCs w:val="20"/>
          <w:lang w:val="es-ES_tradnl"/>
        </w:rPr>
      </w:pPr>
    </w:p>
    <w:p w14:paraId="102BB53B" w14:textId="77777777" w:rsidR="00E85CD4" w:rsidRPr="00D00501" w:rsidRDefault="00E85CD4" w:rsidP="00E85CD4">
      <w:pPr>
        <w:spacing w:after="0" w:line="240" w:lineRule="auto"/>
        <w:jc w:val="both"/>
        <w:rPr>
          <w:rFonts w:ascii="Verdana" w:eastAsia="Calibri" w:hAnsi="Verdana" w:cs="Arial"/>
          <w:b/>
          <w:color w:val="000000" w:themeColor="text1"/>
          <w:lang w:val="es-ES_tradnl"/>
        </w:rPr>
      </w:pPr>
      <w:r w:rsidRPr="00D00501">
        <w:rPr>
          <w:rFonts w:ascii="Verdana" w:eastAsia="Calibri" w:hAnsi="Verdana" w:cs="Arial"/>
          <w:b/>
          <w:color w:val="000000" w:themeColor="text1"/>
          <w:lang w:val="es-ES_tradnl"/>
        </w:rPr>
        <w:t xml:space="preserve">RÉGIMEN DE INHABILIDADES E INCOMPATIBILIDADES – Reserva legal  </w:t>
      </w:r>
    </w:p>
    <w:p w14:paraId="77D45546" w14:textId="77777777" w:rsidR="00E85CD4" w:rsidRPr="00396DBB" w:rsidRDefault="00E85CD4" w:rsidP="00E85CD4">
      <w:pPr>
        <w:spacing w:after="0" w:line="240" w:lineRule="auto"/>
        <w:jc w:val="both"/>
        <w:rPr>
          <w:rFonts w:ascii="Verdana" w:eastAsia="Calibri" w:hAnsi="Verdana" w:cs="Arial"/>
          <w:bCs/>
          <w:color w:val="000000" w:themeColor="text1"/>
          <w:sz w:val="20"/>
          <w:szCs w:val="20"/>
          <w:lang w:val="es-ES_tradnl"/>
        </w:rPr>
      </w:pPr>
    </w:p>
    <w:p w14:paraId="27D84B27" w14:textId="77777777" w:rsidR="00E85CD4" w:rsidRDefault="00E85CD4" w:rsidP="00E85CD4">
      <w:pPr>
        <w:spacing w:after="0" w:line="240" w:lineRule="auto"/>
        <w:jc w:val="both"/>
        <w:rPr>
          <w:rFonts w:ascii="Verdana" w:hAnsi="Verdana" w:cs="Arial"/>
          <w:color w:val="000000" w:themeColor="text1"/>
          <w:sz w:val="20"/>
          <w:szCs w:val="20"/>
        </w:rPr>
      </w:pPr>
      <w:r w:rsidRPr="00782519">
        <w:rPr>
          <w:rFonts w:ascii="Verdana" w:hAnsi="Verdana" w:cs="Arial"/>
          <w:color w:val="000000" w:themeColor="text1"/>
          <w:sz w:val="20"/>
          <w:szCs w:val="20"/>
        </w:rPr>
        <w:t>El carácter reconocidamente taxativo y restrictivo de régimen de inhabilidades e incompatibilidades obedece a la necesidad de salvaguardar el interés general inherente en la contratación pública, de forma que implique el menor sacrificio posible al derecho de igualdad y de reconocimiento de la personalidad jurídica de quienes aspiran a contratar con el Estado. Bajo estas circunstancias, las entidades públicas no pueden establecer en el pliego de condiciones causales de inhabilidad o incompatibilidad no previstas en la Constitución o en la ley. En consecuencia, al tratarse de una materia que tiene reserva legal, no resulta jurídicamente posible que una entidad pública establezca nuevas causales que afecten la capacidad para contratar con el Estado, ni siquiera haciéndolas pasar como causa para rechazar los ofrecimientos realizados a la entidad.</w:t>
      </w:r>
    </w:p>
    <w:p w14:paraId="2FC7E039" w14:textId="77777777" w:rsidR="00E85CD4" w:rsidRDefault="00E85CD4" w:rsidP="00E85CD4">
      <w:pPr>
        <w:spacing w:after="0" w:line="240" w:lineRule="auto"/>
        <w:jc w:val="both"/>
        <w:rPr>
          <w:rFonts w:ascii="Verdana" w:hAnsi="Verdana" w:cs="Arial"/>
          <w:color w:val="000000" w:themeColor="text1"/>
          <w:sz w:val="20"/>
          <w:szCs w:val="20"/>
        </w:rPr>
      </w:pPr>
    </w:p>
    <w:p w14:paraId="21F1C85F" w14:textId="77777777" w:rsidR="00E85CD4" w:rsidRDefault="00E85CD4" w:rsidP="00E85CD4">
      <w:pPr>
        <w:spacing w:after="0" w:line="240" w:lineRule="auto"/>
        <w:jc w:val="both"/>
        <w:textAlignment w:val="baseline"/>
        <w:rPr>
          <w:rFonts w:ascii="Verdana" w:hAnsi="Verdana" w:cs="Arial"/>
          <w:b/>
          <w:lang w:val="es-ES"/>
        </w:rPr>
      </w:pPr>
      <w:r>
        <w:rPr>
          <w:rFonts w:ascii="Verdana" w:hAnsi="Verdana" w:cs="Arial"/>
          <w:b/>
          <w:lang w:val="es-ES"/>
        </w:rPr>
        <w:t>MANUALES DE CONTRATACIÓN</w:t>
      </w:r>
      <w:r w:rsidRPr="002D2E27">
        <w:rPr>
          <w:rFonts w:ascii="Verdana" w:hAnsi="Verdana" w:cs="Arial"/>
          <w:b/>
          <w:lang w:val="es-ES"/>
        </w:rPr>
        <w:t xml:space="preserve"> – </w:t>
      </w:r>
      <w:r>
        <w:rPr>
          <w:rFonts w:ascii="Verdana" w:hAnsi="Verdana" w:cs="Arial"/>
          <w:b/>
          <w:lang w:val="es-ES"/>
        </w:rPr>
        <w:t>Directrices</w:t>
      </w:r>
      <w:r w:rsidRPr="002D2E27">
        <w:rPr>
          <w:rFonts w:ascii="Verdana" w:hAnsi="Verdana" w:cs="Arial"/>
          <w:b/>
          <w:lang w:val="es-ES"/>
        </w:rPr>
        <w:t xml:space="preserve"> </w:t>
      </w:r>
      <w:r>
        <w:rPr>
          <w:rFonts w:ascii="Verdana" w:hAnsi="Verdana" w:cs="Arial"/>
          <w:b/>
          <w:lang w:val="es-ES"/>
        </w:rPr>
        <w:t xml:space="preserve">específicas </w:t>
      </w:r>
      <w:r w:rsidRPr="002D2E27">
        <w:rPr>
          <w:rFonts w:ascii="Verdana" w:hAnsi="Verdana" w:cs="Arial"/>
          <w:b/>
          <w:lang w:val="es-ES"/>
        </w:rPr>
        <w:t xml:space="preserve">– </w:t>
      </w:r>
      <w:r>
        <w:rPr>
          <w:rFonts w:ascii="Verdana" w:hAnsi="Verdana" w:cs="Arial"/>
          <w:b/>
          <w:lang w:val="es-ES"/>
        </w:rPr>
        <w:t xml:space="preserve">Debida diligencia </w:t>
      </w:r>
    </w:p>
    <w:p w14:paraId="53A099EF" w14:textId="77777777" w:rsidR="00E85CD4" w:rsidRPr="00693830" w:rsidRDefault="00E85CD4" w:rsidP="00E85CD4">
      <w:pPr>
        <w:spacing w:after="0" w:line="240" w:lineRule="auto"/>
        <w:jc w:val="both"/>
        <w:textAlignment w:val="baseline"/>
        <w:rPr>
          <w:rFonts w:ascii="Verdana" w:hAnsi="Verdana" w:cs="Arial"/>
          <w:b/>
          <w:sz w:val="20"/>
          <w:szCs w:val="20"/>
          <w:lang w:val="es-ES"/>
        </w:rPr>
      </w:pPr>
    </w:p>
    <w:p w14:paraId="533E5338" w14:textId="77777777" w:rsidR="00E85CD4" w:rsidRDefault="00E85CD4" w:rsidP="00E85CD4">
      <w:pPr>
        <w:spacing w:after="0" w:line="240" w:lineRule="auto"/>
        <w:jc w:val="both"/>
        <w:textAlignment w:val="baseline"/>
        <w:rPr>
          <w:rFonts w:ascii="Verdana" w:hAnsi="Verdana" w:cs="Arial"/>
          <w:bCs/>
          <w:sz w:val="20"/>
          <w:szCs w:val="20"/>
        </w:rPr>
      </w:pPr>
      <w:r>
        <w:rPr>
          <w:rFonts w:ascii="Verdana" w:hAnsi="Verdana" w:cs="Arial"/>
          <w:bCs/>
          <w:sz w:val="20"/>
          <w:szCs w:val="20"/>
        </w:rPr>
        <w:lastRenderedPageBreak/>
        <w:t>A</w:t>
      </w:r>
      <w:r w:rsidRPr="009110CF">
        <w:rPr>
          <w:rFonts w:ascii="Verdana" w:hAnsi="Verdana" w:cs="Arial"/>
          <w:bCs/>
          <w:sz w:val="20"/>
          <w:szCs w:val="20"/>
        </w:rPr>
        <w:t>unque gran parte de los aspectos relacionados con la gestión contractual se encuentran en el EGCAP y en decretos que lo desarrollan, los manuales de contratación establecen flujogramas en la estructuración de los procesos; asignan responsabilidades específicas en la proyección, revisión y aprobación de los documentos; unifican y estandarizan trámites internos; fijan directrices respecto a la gestión de los procesos y la ejecución de los contratos; entre otros.</w:t>
      </w:r>
    </w:p>
    <w:p w14:paraId="190B6CAE" w14:textId="77777777" w:rsidR="00E85CD4" w:rsidRPr="009110CF" w:rsidRDefault="00E85CD4" w:rsidP="00E85CD4">
      <w:pPr>
        <w:spacing w:after="0" w:line="240" w:lineRule="auto"/>
        <w:jc w:val="both"/>
        <w:textAlignment w:val="baseline"/>
        <w:rPr>
          <w:rFonts w:ascii="Verdana" w:hAnsi="Verdana" w:cs="Arial"/>
          <w:bCs/>
          <w:sz w:val="20"/>
          <w:szCs w:val="20"/>
        </w:rPr>
      </w:pPr>
    </w:p>
    <w:p w14:paraId="2245A4E6" w14:textId="665500D0" w:rsidR="00E85CD4" w:rsidRDefault="00E85CD4" w:rsidP="00E85CD4">
      <w:pPr>
        <w:spacing w:after="0" w:line="240" w:lineRule="auto"/>
        <w:jc w:val="both"/>
        <w:rPr>
          <w:rFonts w:ascii="Verdana" w:eastAsia="Geomanist Light" w:hAnsi="Verdana" w:cs="Arial"/>
          <w:color w:val="000000" w:themeColor="text1"/>
          <w:lang w:val="es-MX"/>
        </w:rPr>
      </w:pPr>
      <w:r w:rsidRPr="009110CF">
        <w:rPr>
          <w:rFonts w:ascii="Verdana" w:hAnsi="Verdana" w:cs="Arial"/>
          <w:bCs/>
          <w:sz w:val="20"/>
          <w:szCs w:val="20"/>
        </w:rPr>
        <w:t>Al estar subordinados a la ley y al reglamento, los manuales de contratación no pueden modificar aspectos como la capacidad jurídica</w:t>
      </w:r>
      <w:r>
        <w:rPr>
          <w:rFonts w:ascii="Verdana" w:hAnsi="Verdana" w:cs="Arial"/>
          <w:bCs/>
          <w:sz w:val="20"/>
          <w:szCs w:val="20"/>
        </w:rPr>
        <w:t xml:space="preserve"> </w:t>
      </w:r>
      <w:r w:rsidRPr="009110CF">
        <w:rPr>
          <w:rFonts w:ascii="Verdana" w:hAnsi="Verdana" w:cs="Arial"/>
          <w:bCs/>
          <w:sz w:val="20"/>
          <w:szCs w:val="20"/>
        </w:rPr>
        <w:t>–inhabilidades, incompatibilidades, consorcios y uniones temporales y registro único de proponentes–, la competencia para contratar, las reglas de selección objetiva –procedimientos de selección–, el régimen de perfeccionamiento del contrato, así como algunos aspectos de ejecución contractual –manejo del riesgo, cláusulas exorbitantes, tipologías contractuales y garantías–. No obstante, siempre que estén en consonancia con las normas de carácter superior, pueden regular aspectos operativos de la gestión de procesos y contratos al interior de la entidad. Esto último incluye directrices específicas sobre la debida diligencia en materia de contratación pública, sin perjuicio del cumplimiento del Decreto 1122 de 2024 para implementación del Programa de Transparencia y Ética Pública en los términos del literal a) del artículo 73 de la Ley 1474 de 2011.</w:t>
      </w:r>
    </w:p>
    <w:p w14:paraId="2E3CBA93" w14:textId="77777777" w:rsidR="00E85CD4" w:rsidRDefault="00E85CD4" w:rsidP="00273D05">
      <w:pPr>
        <w:spacing w:after="0" w:line="240" w:lineRule="auto"/>
        <w:rPr>
          <w:rFonts w:ascii="Verdana" w:eastAsia="Geomanist Light" w:hAnsi="Verdana" w:cs="Arial"/>
          <w:color w:val="000000" w:themeColor="text1"/>
          <w:lang w:val="es-MX"/>
        </w:rPr>
      </w:pPr>
    </w:p>
    <w:p w14:paraId="0AE33D53" w14:textId="77777777" w:rsidR="00E85CD4" w:rsidRDefault="00E85CD4" w:rsidP="00273D05">
      <w:pPr>
        <w:spacing w:after="0" w:line="240" w:lineRule="auto"/>
        <w:rPr>
          <w:rFonts w:ascii="Verdana" w:eastAsia="Geomanist Light" w:hAnsi="Verdana" w:cs="Arial"/>
          <w:color w:val="000000" w:themeColor="text1"/>
          <w:lang w:val="es-MX"/>
        </w:rPr>
      </w:pPr>
    </w:p>
    <w:p w14:paraId="465466C3" w14:textId="77777777" w:rsidR="00E85CD4" w:rsidRDefault="00E85CD4" w:rsidP="00273D05">
      <w:pPr>
        <w:spacing w:after="0" w:line="240" w:lineRule="auto"/>
        <w:rPr>
          <w:rFonts w:ascii="Verdana" w:eastAsia="Geomanist Light" w:hAnsi="Verdana" w:cs="Arial"/>
          <w:color w:val="000000" w:themeColor="text1"/>
          <w:lang w:val="es-MX"/>
        </w:rPr>
      </w:pPr>
    </w:p>
    <w:p w14:paraId="5962C83E" w14:textId="77777777" w:rsidR="00E85CD4" w:rsidRDefault="00E85CD4" w:rsidP="00273D05">
      <w:pPr>
        <w:spacing w:after="0" w:line="240" w:lineRule="auto"/>
        <w:rPr>
          <w:rFonts w:ascii="Verdana" w:eastAsia="Geomanist Light" w:hAnsi="Verdana" w:cs="Arial"/>
          <w:color w:val="000000" w:themeColor="text1"/>
          <w:lang w:val="es-MX"/>
        </w:rPr>
      </w:pPr>
    </w:p>
    <w:p w14:paraId="1432A9BB" w14:textId="77777777" w:rsidR="00E85CD4" w:rsidRDefault="00E85CD4" w:rsidP="00273D05">
      <w:pPr>
        <w:spacing w:after="0" w:line="240" w:lineRule="auto"/>
        <w:rPr>
          <w:rFonts w:ascii="Verdana" w:eastAsia="Geomanist Light" w:hAnsi="Verdana" w:cs="Arial"/>
          <w:color w:val="000000" w:themeColor="text1"/>
          <w:lang w:val="es-MX"/>
        </w:rPr>
      </w:pPr>
    </w:p>
    <w:p w14:paraId="5E063286" w14:textId="77777777" w:rsidR="00E85CD4" w:rsidRDefault="00E85CD4" w:rsidP="00273D05">
      <w:pPr>
        <w:spacing w:after="0" w:line="240" w:lineRule="auto"/>
        <w:rPr>
          <w:rFonts w:ascii="Verdana" w:eastAsia="Geomanist Light" w:hAnsi="Verdana" w:cs="Arial"/>
          <w:color w:val="000000" w:themeColor="text1"/>
          <w:lang w:val="es-MX"/>
        </w:rPr>
      </w:pPr>
    </w:p>
    <w:p w14:paraId="0CB3FDAF" w14:textId="77777777" w:rsidR="00E85CD4" w:rsidRDefault="00E85CD4" w:rsidP="00273D05">
      <w:pPr>
        <w:spacing w:after="0" w:line="240" w:lineRule="auto"/>
        <w:rPr>
          <w:rFonts w:ascii="Verdana" w:eastAsia="Geomanist Light" w:hAnsi="Verdana" w:cs="Arial"/>
          <w:color w:val="000000" w:themeColor="text1"/>
          <w:lang w:val="es-MX"/>
        </w:rPr>
      </w:pPr>
    </w:p>
    <w:p w14:paraId="5BD7D546" w14:textId="77777777" w:rsidR="00E85CD4" w:rsidRDefault="00E85CD4" w:rsidP="00273D05">
      <w:pPr>
        <w:spacing w:after="0" w:line="240" w:lineRule="auto"/>
        <w:rPr>
          <w:rFonts w:ascii="Verdana" w:eastAsia="Geomanist Light" w:hAnsi="Verdana" w:cs="Arial"/>
          <w:color w:val="000000" w:themeColor="text1"/>
          <w:lang w:val="es-MX"/>
        </w:rPr>
      </w:pPr>
    </w:p>
    <w:p w14:paraId="4D0FD440" w14:textId="77777777" w:rsidR="00E85CD4" w:rsidRDefault="00E85CD4" w:rsidP="00273D05">
      <w:pPr>
        <w:spacing w:after="0" w:line="240" w:lineRule="auto"/>
        <w:rPr>
          <w:rFonts w:ascii="Verdana" w:eastAsia="Geomanist Light" w:hAnsi="Verdana" w:cs="Arial"/>
          <w:color w:val="000000" w:themeColor="text1"/>
          <w:lang w:val="es-MX"/>
        </w:rPr>
      </w:pPr>
    </w:p>
    <w:p w14:paraId="242299B4" w14:textId="77777777" w:rsidR="00E85CD4" w:rsidRDefault="00E85CD4" w:rsidP="00273D05">
      <w:pPr>
        <w:spacing w:after="0" w:line="240" w:lineRule="auto"/>
        <w:rPr>
          <w:rFonts w:ascii="Verdana" w:eastAsia="Geomanist Light" w:hAnsi="Verdana" w:cs="Arial"/>
          <w:color w:val="000000" w:themeColor="text1"/>
          <w:lang w:val="es-MX"/>
        </w:rPr>
      </w:pPr>
    </w:p>
    <w:p w14:paraId="71F5FD00" w14:textId="77777777" w:rsidR="00E85CD4" w:rsidRDefault="00E85CD4" w:rsidP="00273D05">
      <w:pPr>
        <w:spacing w:after="0" w:line="240" w:lineRule="auto"/>
        <w:rPr>
          <w:rFonts w:ascii="Verdana" w:eastAsia="Geomanist Light" w:hAnsi="Verdana" w:cs="Arial"/>
          <w:color w:val="000000" w:themeColor="text1"/>
          <w:lang w:val="es-MX"/>
        </w:rPr>
      </w:pPr>
    </w:p>
    <w:p w14:paraId="34FC8A2D" w14:textId="77777777" w:rsidR="00E85CD4" w:rsidRDefault="00E85CD4" w:rsidP="00273D05">
      <w:pPr>
        <w:spacing w:after="0" w:line="240" w:lineRule="auto"/>
        <w:rPr>
          <w:rFonts w:ascii="Verdana" w:eastAsia="Geomanist Light" w:hAnsi="Verdana" w:cs="Arial"/>
          <w:color w:val="000000" w:themeColor="text1"/>
          <w:lang w:val="es-MX"/>
        </w:rPr>
      </w:pPr>
    </w:p>
    <w:p w14:paraId="57AB261F" w14:textId="77777777" w:rsidR="00E85CD4" w:rsidRDefault="00E85CD4" w:rsidP="00273D05">
      <w:pPr>
        <w:spacing w:after="0" w:line="240" w:lineRule="auto"/>
        <w:rPr>
          <w:rFonts w:ascii="Verdana" w:eastAsia="Geomanist Light" w:hAnsi="Verdana" w:cs="Arial"/>
          <w:color w:val="000000" w:themeColor="text1"/>
          <w:lang w:val="es-MX"/>
        </w:rPr>
      </w:pPr>
    </w:p>
    <w:p w14:paraId="17BCA1B1" w14:textId="77777777" w:rsidR="00E85CD4" w:rsidRDefault="00E85CD4" w:rsidP="00273D05">
      <w:pPr>
        <w:spacing w:after="0" w:line="240" w:lineRule="auto"/>
        <w:rPr>
          <w:rFonts w:ascii="Verdana" w:eastAsia="Geomanist Light" w:hAnsi="Verdana" w:cs="Arial"/>
          <w:color w:val="000000" w:themeColor="text1"/>
          <w:lang w:val="es-MX"/>
        </w:rPr>
      </w:pPr>
    </w:p>
    <w:p w14:paraId="524785E6" w14:textId="77777777" w:rsidR="00E85CD4" w:rsidRDefault="00E85CD4" w:rsidP="00273D05">
      <w:pPr>
        <w:spacing w:after="0" w:line="240" w:lineRule="auto"/>
        <w:rPr>
          <w:rFonts w:ascii="Verdana" w:eastAsia="Geomanist Light" w:hAnsi="Verdana" w:cs="Arial"/>
          <w:color w:val="000000" w:themeColor="text1"/>
          <w:lang w:val="es-MX"/>
        </w:rPr>
      </w:pPr>
    </w:p>
    <w:p w14:paraId="2790417D" w14:textId="77777777" w:rsidR="00E85CD4" w:rsidRDefault="00E85CD4" w:rsidP="00273D05">
      <w:pPr>
        <w:spacing w:after="0" w:line="240" w:lineRule="auto"/>
        <w:rPr>
          <w:rFonts w:ascii="Verdana" w:eastAsia="Geomanist Light" w:hAnsi="Verdana" w:cs="Arial"/>
          <w:color w:val="000000" w:themeColor="text1"/>
          <w:lang w:val="es-MX"/>
        </w:rPr>
      </w:pPr>
    </w:p>
    <w:p w14:paraId="334705EF" w14:textId="77777777" w:rsidR="00E85CD4" w:rsidRDefault="00E85CD4" w:rsidP="00273D05">
      <w:pPr>
        <w:spacing w:after="0" w:line="240" w:lineRule="auto"/>
        <w:rPr>
          <w:rFonts w:ascii="Verdana" w:eastAsia="Geomanist Light" w:hAnsi="Verdana" w:cs="Arial"/>
          <w:color w:val="000000" w:themeColor="text1"/>
          <w:lang w:val="es-MX"/>
        </w:rPr>
      </w:pPr>
    </w:p>
    <w:p w14:paraId="203F290C" w14:textId="77777777" w:rsidR="00E85CD4" w:rsidRDefault="00E85CD4" w:rsidP="00273D05">
      <w:pPr>
        <w:spacing w:after="0" w:line="240" w:lineRule="auto"/>
        <w:rPr>
          <w:rFonts w:ascii="Verdana" w:eastAsia="Geomanist Light" w:hAnsi="Verdana" w:cs="Arial"/>
          <w:color w:val="000000" w:themeColor="text1"/>
          <w:lang w:val="es-MX"/>
        </w:rPr>
      </w:pPr>
    </w:p>
    <w:p w14:paraId="20E20F03" w14:textId="77777777" w:rsidR="00E85CD4" w:rsidRDefault="00E85CD4" w:rsidP="00273D05">
      <w:pPr>
        <w:spacing w:after="0" w:line="240" w:lineRule="auto"/>
        <w:rPr>
          <w:rFonts w:ascii="Verdana" w:eastAsia="Geomanist Light" w:hAnsi="Verdana" w:cs="Arial"/>
          <w:color w:val="000000" w:themeColor="text1"/>
          <w:lang w:val="es-MX"/>
        </w:rPr>
      </w:pPr>
    </w:p>
    <w:p w14:paraId="4A26C0F6" w14:textId="77777777" w:rsidR="00E85CD4" w:rsidRDefault="00E85CD4" w:rsidP="00273D05">
      <w:pPr>
        <w:spacing w:after="0" w:line="240" w:lineRule="auto"/>
        <w:rPr>
          <w:rFonts w:ascii="Verdana" w:eastAsia="Geomanist Light" w:hAnsi="Verdana" w:cs="Arial"/>
          <w:color w:val="000000" w:themeColor="text1"/>
          <w:lang w:val="es-MX"/>
        </w:rPr>
      </w:pPr>
    </w:p>
    <w:p w14:paraId="6F8F740A" w14:textId="77777777" w:rsidR="00E85CD4" w:rsidRDefault="00E85CD4" w:rsidP="00273D05">
      <w:pPr>
        <w:spacing w:after="0" w:line="240" w:lineRule="auto"/>
        <w:rPr>
          <w:rFonts w:ascii="Verdana" w:eastAsia="Geomanist Light" w:hAnsi="Verdana" w:cs="Arial"/>
          <w:color w:val="000000" w:themeColor="text1"/>
          <w:lang w:val="es-MX"/>
        </w:rPr>
      </w:pPr>
    </w:p>
    <w:p w14:paraId="1EDF64F7" w14:textId="77777777" w:rsidR="00E85CD4" w:rsidRDefault="00E85CD4" w:rsidP="00273D05">
      <w:pPr>
        <w:spacing w:after="0" w:line="240" w:lineRule="auto"/>
        <w:rPr>
          <w:rFonts w:ascii="Verdana" w:eastAsia="Geomanist Light" w:hAnsi="Verdana" w:cs="Arial"/>
          <w:color w:val="000000" w:themeColor="text1"/>
          <w:lang w:val="es-MX"/>
        </w:rPr>
      </w:pPr>
    </w:p>
    <w:p w14:paraId="25706BF1" w14:textId="77777777" w:rsidR="00E85CD4" w:rsidRDefault="00E85CD4" w:rsidP="00273D05">
      <w:pPr>
        <w:spacing w:after="0" w:line="240" w:lineRule="auto"/>
        <w:rPr>
          <w:rFonts w:ascii="Verdana" w:eastAsia="Geomanist Light" w:hAnsi="Verdana" w:cs="Arial"/>
          <w:color w:val="000000" w:themeColor="text1"/>
          <w:lang w:val="es-MX"/>
        </w:rPr>
      </w:pPr>
    </w:p>
    <w:p w14:paraId="3072F1B6" w14:textId="77777777" w:rsidR="00DE0B1B" w:rsidRDefault="00DE0B1B" w:rsidP="00273D05">
      <w:pPr>
        <w:spacing w:after="0" w:line="240" w:lineRule="auto"/>
        <w:rPr>
          <w:rFonts w:ascii="Verdana" w:eastAsia="Geomanist Light" w:hAnsi="Verdana" w:cs="Arial"/>
          <w:color w:val="000000" w:themeColor="text1"/>
          <w:lang w:val="es-MX"/>
        </w:rPr>
      </w:pPr>
    </w:p>
    <w:p w14:paraId="5000EF66" w14:textId="22AAA341" w:rsidR="00273D05" w:rsidRPr="00593A5F" w:rsidRDefault="00273D05" w:rsidP="00273D05">
      <w:pPr>
        <w:spacing w:after="0" w:line="240" w:lineRule="auto"/>
        <w:rPr>
          <w:rFonts w:ascii="Verdana" w:eastAsia="Geomanist Light" w:hAnsi="Verdana" w:cs="Arial"/>
          <w:color w:val="201F1E"/>
          <w:lang w:val="es-MX"/>
        </w:rPr>
      </w:pPr>
      <w:r w:rsidRPr="00593A5F">
        <w:rPr>
          <w:rFonts w:ascii="Verdana" w:eastAsia="Geomanist Light" w:hAnsi="Verdana" w:cs="Arial"/>
          <w:color w:val="000000" w:themeColor="text1"/>
          <w:lang w:val="es-MX"/>
        </w:rPr>
        <w:lastRenderedPageBreak/>
        <w:t>Bogotá D.C., </w:t>
      </w:r>
      <w:r w:rsidR="008F46E3" w:rsidRPr="008F46E3">
        <w:rPr>
          <w:rFonts w:ascii="Verdana" w:eastAsia="Geomanist Light" w:hAnsi="Verdana" w:cs="Arial"/>
          <w:color w:val="000000" w:themeColor="text1"/>
          <w:lang w:val="es-MX"/>
        </w:rPr>
        <w:t xml:space="preserve">24 de </w:t>
      </w:r>
      <w:r w:rsidR="00DE0B1B" w:rsidRPr="008F46E3">
        <w:rPr>
          <w:rFonts w:ascii="Verdana" w:eastAsia="Geomanist Light" w:hAnsi="Verdana" w:cs="Arial"/>
          <w:color w:val="000000" w:themeColor="text1"/>
          <w:lang w:val="es-MX"/>
        </w:rPr>
        <w:t>agosto</w:t>
      </w:r>
      <w:r w:rsidR="008F46E3" w:rsidRPr="008F46E3">
        <w:rPr>
          <w:rFonts w:ascii="Verdana" w:eastAsia="Geomanist Light" w:hAnsi="Verdana" w:cs="Arial"/>
          <w:color w:val="000000" w:themeColor="text1"/>
          <w:lang w:val="es-MX"/>
        </w:rPr>
        <w:t xml:space="preserve"> de 2026</w:t>
      </w:r>
    </w:p>
    <w:p w14:paraId="4EED09AD" w14:textId="04100B34" w:rsidR="00273D05" w:rsidRDefault="00273D05" w:rsidP="00273D05">
      <w:pPr>
        <w:spacing w:after="0" w:line="240" w:lineRule="auto"/>
        <w:jc w:val="both"/>
        <w:rPr>
          <w:rFonts w:ascii="Verdana" w:eastAsia="Calibri" w:hAnsi="Verdana" w:cs="Arial"/>
          <w:color w:val="000000"/>
          <w:lang w:val="es-ES"/>
        </w:rPr>
      </w:pPr>
    </w:p>
    <w:p w14:paraId="20748022" w14:textId="631B710B" w:rsidR="008F46E3" w:rsidRDefault="00DE0B1B" w:rsidP="008F46E3">
      <w:pPr>
        <w:spacing w:after="0" w:line="240" w:lineRule="auto"/>
        <w:jc w:val="right"/>
        <w:rPr>
          <w:rFonts w:ascii="Verdana" w:eastAsia="Calibri" w:hAnsi="Verdana" w:cs="Arial"/>
          <w:color w:val="000000"/>
          <w:lang w:val="es-ES"/>
        </w:rPr>
      </w:pPr>
      <w:r w:rsidRPr="008F46E3">
        <w:rPr>
          <w:rFonts w:ascii="Verdana" w:eastAsia="Calibri" w:hAnsi="Verdana" w:cs="Arial"/>
          <w:noProof/>
          <w:color w:val="000000"/>
          <w:lang w:val="es-ES"/>
        </w:rPr>
        <w:drawing>
          <wp:anchor distT="0" distB="0" distL="114300" distR="114300" simplePos="0" relativeHeight="251658240" behindDoc="0" locked="0" layoutInCell="1" allowOverlap="1" wp14:anchorId="7B09EB09" wp14:editId="2ECC936E">
            <wp:simplePos x="0" y="0"/>
            <wp:positionH relativeFrom="margin">
              <wp:align>right</wp:align>
            </wp:positionH>
            <wp:positionV relativeFrom="paragraph">
              <wp:posOffset>8917</wp:posOffset>
            </wp:positionV>
            <wp:extent cx="2400300" cy="755015"/>
            <wp:effectExtent l="0" t="0" r="0" b="6985"/>
            <wp:wrapSquare wrapText="bothSides"/>
            <wp:docPr id="6638680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868014" name=""/>
                    <pic:cNvPicPr/>
                  </pic:nvPicPr>
                  <pic:blipFill>
                    <a:blip r:embed="rId10">
                      <a:extLst>
                        <a:ext uri="{28A0092B-C50C-407E-A947-70E740481C1C}">
                          <a14:useLocalDpi xmlns:a14="http://schemas.microsoft.com/office/drawing/2010/main" val="0"/>
                        </a:ext>
                      </a:extLst>
                    </a:blip>
                    <a:stretch>
                      <a:fillRect/>
                    </a:stretch>
                  </pic:blipFill>
                  <pic:spPr>
                    <a:xfrm>
                      <a:off x="0" y="0"/>
                      <a:ext cx="2400300" cy="755015"/>
                    </a:xfrm>
                    <a:prstGeom prst="rect">
                      <a:avLst/>
                    </a:prstGeom>
                  </pic:spPr>
                </pic:pic>
              </a:graphicData>
            </a:graphic>
            <wp14:sizeRelV relativeFrom="margin">
              <wp14:pctHeight>0</wp14:pctHeight>
            </wp14:sizeRelV>
          </wp:anchor>
        </w:drawing>
      </w:r>
    </w:p>
    <w:p w14:paraId="66E3E1CF" w14:textId="5E7900AA" w:rsidR="00273D05" w:rsidRPr="00B96799" w:rsidRDefault="00273D05" w:rsidP="00273D05">
      <w:pPr>
        <w:spacing w:after="0" w:line="240" w:lineRule="auto"/>
        <w:jc w:val="both"/>
        <w:rPr>
          <w:rFonts w:ascii="Verdana" w:eastAsia="Calibri" w:hAnsi="Verdana" w:cs="Arial"/>
          <w:lang w:val="es-ES" w:eastAsia="es-ES"/>
        </w:rPr>
      </w:pPr>
      <w:r>
        <w:rPr>
          <w:rFonts w:ascii="Verdana" w:eastAsia="Calibri" w:hAnsi="Verdana" w:cs="Arial"/>
          <w:lang w:val="es-ES" w:eastAsia="es-ES"/>
        </w:rPr>
        <w:t>Señora</w:t>
      </w:r>
    </w:p>
    <w:p w14:paraId="4F5AA6AD" w14:textId="77777777" w:rsidR="00273D05" w:rsidRDefault="00273D05" w:rsidP="00273D05">
      <w:pPr>
        <w:spacing w:after="0" w:line="240" w:lineRule="auto"/>
        <w:rPr>
          <w:rFonts w:ascii="Verdana" w:eastAsia="Calibri" w:hAnsi="Verdana" w:cs="Arial"/>
          <w:b/>
          <w:lang w:val="es-ES_tradnl" w:eastAsia="es-ES_tradnl"/>
        </w:rPr>
      </w:pPr>
      <w:r w:rsidRPr="003B1529">
        <w:rPr>
          <w:rFonts w:ascii="Verdana" w:eastAsia="Calibri" w:hAnsi="Verdana" w:cs="Arial"/>
          <w:b/>
          <w:lang w:val="es-ES_tradnl" w:eastAsia="es-ES_tradnl"/>
        </w:rPr>
        <w:t>Carolinne Moreno Trian</w:t>
      </w:r>
      <w:r>
        <w:rPr>
          <w:rFonts w:ascii="Verdana" w:eastAsia="Calibri" w:hAnsi="Verdana" w:cs="Arial"/>
          <w:b/>
          <w:lang w:val="es-ES_tradnl" w:eastAsia="es-ES_tradnl"/>
        </w:rPr>
        <w:t>a</w:t>
      </w:r>
    </w:p>
    <w:p w14:paraId="63B92AF0" w14:textId="77777777" w:rsidR="00273D05" w:rsidRPr="00C80335" w:rsidRDefault="00273D05" w:rsidP="00273D05">
      <w:pPr>
        <w:spacing w:after="0" w:line="240" w:lineRule="auto"/>
        <w:rPr>
          <w:rFonts w:ascii="Verdana" w:eastAsia="Calibri" w:hAnsi="Verdana" w:cs="Arial"/>
          <w:lang w:val="es-ES" w:eastAsia="es-ES"/>
        </w:rPr>
      </w:pPr>
      <w:hyperlink r:id="rId11" w:history="1">
        <w:r w:rsidRPr="001E078B">
          <w:rPr>
            <w:rStyle w:val="Hipervnculo"/>
            <w:rFonts w:ascii="Verdana" w:hAnsi="Verdana"/>
          </w:rPr>
          <w:t>carolinne.moreno@contraloria.gov.co</w:t>
        </w:r>
      </w:hyperlink>
      <w:r>
        <w:rPr>
          <w:rFonts w:ascii="Verdana" w:hAnsi="Verdana"/>
        </w:rPr>
        <w:t xml:space="preserve"> </w:t>
      </w:r>
      <w:r w:rsidRPr="00C80335">
        <w:rPr>
          <w:rFonts w:ascii="Verdana" w:hAnsi="Verdana"/>
        </w:rPr>
        <w:t xml:space="preserve">                     </w:t>
      </w:r>
      <w:r w:rsidRPr="00C80335">
        <w:rPr>
          <w:rFonts w:ascii="Verdana" w:eastAsia="Calibri" w:hAnsi="Verdana" w:cs="Arial"/>
          <w:lang w:val="es-ES" w:eastAsia="es-ES"/>
        </w:rPr>
        <w:t xml:space="preserve">    </w:t>
      </w:r>
    </w:p>
    <w:p w14:paraId="51B12F33" w14:textId="77777777" w:rsidR="00273D05" w:rsidRDefault="00273D05" w:rsidP="00273D05">
      <w:pPr>
        <w:spacing w:after="0" w:line="240" w:lineRule="auto"/>
        <w:rPr>
          <w:rFonts w:ascii="Verdana" w:eastAsia="Calibri" w:hAnsi="Verdana" w:cs="Arial"/>
          <w:lang w:val="es-ES" w:eastAsia="es-ES"/>
        </w:rPr>
      </w:pPr>
      <w:r w:rsidRPr="00593A5F">
        <w:rPr>
          <w:rFonts w:ascii="Verdana" w:eastAsia="Geomanist Light" w:hAnsi="Verdana" w:cs="Arial"/>
          <w:color w:val="000000" w:themeColor="text1"/>
          <w:lang w:val="es-MX"/>
        </w:rPr>
        <w:t>Bogotá D.C.</w:t>
      </w:r>
      <w:r>
        <w:rPr>
          <w:rFonts w:ascii="Verdana" w:eastAsia="Calibri" w:hAnsi="Verdana" w:cs="Arial"/>
          <w:lang w:val="es-ES" w:eastAsia="es-ES"/>
        </w:rPr>
        <w:t xml:space="preserve"> </w:t>
      </w:r>
    </w:p>
    <w:p w14:paraId="156C9497" w14:textId="77777777" w:rsidR="00273D05" w:rsidRPr="00593A5F" w:rsidRDefault="00273D05" w:rsidP="00273D05">
      <w:pPr>
        <w:spacing w:after="0" w:line="240" w:lineRule="auto"/>
        <w:rPr>
          <w:rFonts w:ascii="Verdana" w:eastAsia="Calibri" w:hAnsi="Verdana" w:cs="Arial"/>
          <w:b/>
          <w:bCs/>
          <w:color w:val="000000"/>
          <w:lang w:val="es-ES_tradnl" w:eastAsia="es-ES_tradnl"/>
        </w:rPr>
      </w:pPr>
    </w:p>
    <w:p w14:paraId="018D2F43" w14:textId="77777777" w:rsidR="00273D05" w:rsidRPr="00593A5F" w:rsidRDefault="00273D05" w:rsidP="00273D05">
      <w:pPr>
        <w:spacing w:after="0" w:line="240" w:lineRule="auto"/>
        <w:rPr>
          <w:rFonts w:ascii="Verdana" w:eastAsia="Calibri" w:hAnsi="Verdana" w:cs="Arial"/>
          <w:b/>
          <w:bCs/>
          <w:color w:val="000000"/>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273D05" w:rsidRPr="00593A5F" w14:paraId="143806D0" w14:textId="77777777" w:rsidTr="00C13540">
        <w:trPr>
          <w:trHeight w:val="884"/>
        </w:trPr>
        <w:tc>
          <w:tcPr>
            <w:tcW w:w="2689" w:type="dxa"/>
          </w:tcPr>
          <w:p w14:paraId="205ADEFB" w14:textId="77777777" w:rsidR="00273D05" w:rsidRPr="00C00976" w:rsidRDefault="00273D05" w:rsidP="00C13540">
            <w:pPr>
              <w:jc w:val="both"/>
              <w:rPr>
                <w:rFonts w:ascii="Verdana" w:eastAsia="Calibri" w:hAnsi="Verdana" w:cs="Arial"/>
                <w:b/>
                <w:bCs/>
                <w:color w:val="7030A0"/>
                <w:lang w:val="es-ES_tradnl" w:eastAsia="es-ES_tradnl"/>
              </w:rPr>
            </w:pPr>
          </w:p>
        </w:tc>
        <w:tc>
          <w:tcPr>
            <w:tcW w:w="6100" w:type="dxa"/>
          </w:tcPr>
          <w:p w14:paraId="5928FB28" w14:textId="72F7F8B2" w:rsidR="00273D05" w:rsidRPr="00C00976" w:rsidRDefault="00273D05" w:rsidP="00C13540">
            <w:pPr>
              <w:jc w:val="both"/>
              <w:rPr>
                <w:rFonts w:ascii="Verdana" w:eastAsia="Calibri" w:hAnsi="Verdana" w:cs="Arial"/>
                <w:b/>
                <w:bCs/>
                <w:color w:val="7030A0"/>
                <w:lang w:val="es-ES" w:eastAsia="es-ES"/>
              </w:rPr>
            </w:pPr>
            <w:r w:rsidRPr="008E6AD9">
              <w:rPr>
                <w:rFonts w:ascii="Verdana" w:eastAsia="Calibri" w:hAnsi="Verdana" w:cs="Arial"/>
                <w:b/>
                <w:bCs/>
                <w:lang w:val="es-ES" w:eastAsia="es-ES"/>
              </w:rPr>
              <w:t>Concepto C</w:t>
            </w:r>
            <w:r w:rsidR="00DE0B1B">
              <w:rPr>
                <w:rFonts w:ascii="Verdana" w:eastAsia="Calibri" w:hAnsi="Verdana" w:cs="Arial"/>
                <w:b/>
                <w:bCs/>
                <w:lang w:val="es-ES" w:eastAsia="es-ES"/>
              </w:rPr>
              <w:t>-</w:t>
            </w:r>
            <w:r>
              <w:rPr>
                <w:rFonts w:ascii="Verdana" w:eastAsia="Calibri" w:hAnsi="Verdana" w:cs="Arial"/>
                <w:b/>
                <w:bCs/>
                <w:lang w:val="es-ES" w:eastAsia="es-ES"/>
              </w:rPr>
              <w:t xml:space="preserve">1237 </w:t>
            </w:r>
            <w:r w:rsidRPr="008E6AD9">
              <w:rPr>
                <w:rFonts w:ascii="Verdana" w:eastAsia="Calibri" w:hAnsi="Verdana" w:cs="Arial"/>
                <w:b/>
                <w:bCs/>
                <w:lang w:val="es-ES" w:eastAsia="es-ES"/>
              </w:rPr>
              <w:t>de 202</w:t>
            </w:r>
            <w:r>
              <w:rPr>
                <w:rFonts w:ascii="Verdana" w:eastAsia="Calibri" w:hAnsi="Verdana" w:cs="Arial"/>
                <w:b/>
                <w:bCs/>
                <w:lang w:val="es-ES" w:eastAsia="es-ES"/>
              </w:rPr>
              <w:t>6</w:t>
            </w:r>
          </w:p>
        </w:tc>
      </w:tr>
      <w:tr w:rsidR="00273D05" w:rsidRPr="00593A5F" w14:paraId="40596517" w14:textId="77777777" w:rsidTr="00C13540">
        <w:trPr>
          <w:trHeight w:val="884"/>
        </w:trPr>
        <w:tc>
          <w:tcPr>
            <w:tcW w:w="2689" w:type="dxa"/>
          </w:tcPr>
          <w:p w14:paraId="446A0A31" w14:textId="77777777" w:rsidR="00273D05" w:rsidRPr="00593A5F" w:rsidRDefault="00273D05" w:rsidP="00C13540">
            <w:pPr>
              <w:jc w:val="both"/>
              <w:rPr>
                <w:rFonts w:ascii="Verdana" w:eastAsia="Calibri" w:hAnsi="Verdana" w:cs="Arial"/>
                <w:color w:val="000000"/>
                <w:lang w:val="es-ES_tradnl" w:eastAsia="es-ES_tradnl"/>
              </w:rPr>
            </w:pPr>
            <w:r w:rsidRPr="00593A5F">
              <w:rPr>
                <w:rFonts w:ascii="Verdana" w:eastAsia="Calibri" w:hAnsi="Verdana" w:cs="Arial"/>
                <w:b/>
                <w:color w:val="000000"/>
                <w:lang w:val="es-ES_tradnl" w:eastAsia="es-ES_tradnl"/>
              </w:rPr>
              <w:t>Temas:</w:t>
            </w:r>
            <w:r w:rsidRPr="00593A5F">
              <w:rPr>
                <w:rFonts w:ascii="Verdana" w:eastAsia="Calibri" w:hAnsi="Verdana" w:cs="Arial"/>
                <w:color w:val="000000"/>
                <w:lang w:val="es-ES_tradnl" w:eastAsia="es-ES_tradnl"/>
              </w:rPr>
              <w:t xml:space="preserve">                   </w:t>
            </w:r>
          </w:p>
        </w:tc>
        <w:tc>
          <w:tcPr>
            <w:tcW w:w="6100" w:type="dxa"/>
          </w:tcPr>
          <w:p w14:paraId="3315CF38" w14:textId="77777777" w:rsidR="00273D05" w:rsidRPr="00A11406" w:rsidRDefault="00273D05" w:rsidP="00C13540">
            <w:pPr>
              <w:spacing w:line="276" w:lineRule="auto"/>
              <w:jc w:val="both"/>
              <w:rPr>
                <w:rFonts w:ascii="Verdana" w:eastAsia="Calibri" w:hAnsi="Verdana" w:cs="Arial"/>
                <w:lang w:val="es-ES" w:eastAsia="es-ES"/>
              </w:rPr>
            </w:pPr>
            <w:r w:rsidRPr="00B016FD">
              <w:rPr>
                <w:rFonts w:ascii="Verdana" w:eastAsia="Calibri" w:hAnsi="Verdana" w:cs="Arial"/>
                <w:lang w:val="es-ES" w:eastAsia="es-ES"/>
              </w:rPr>
              <w:t xml:space="preserve">DEBIDA DILIGENCIA – Marco normativo / </w:t>
            </w:r>
            <w:r w:rsidRPr="00D00501">
              <w:rPr>
                <w:rFonts w:ascii="Verdana" w:eastAsia="Calibri" w:hAnsi="Verdana" w:cs="Arial"/>
                <w:lang w:val="es-ES" w:eastAsia="es-ES"/>
              </w:rPr>
              <w:t>RECHAZO DE LA OFERTA – Causales – Principio de imparcialidad – Principio de selección objetiva</w:t>
            </w:r>
            <w:r w:rsidRPr="00B016FD">
              <w:rPr>
                <w:rFonts w:ascii="Verdana" w:eastAsia="Calibri" w:hAnsi="Verdana" w:cs="Arial"/>
                <w:lang w:val="es-ES" w:eastAsia="es-ES"/>
              </w:rPr>
              <w:t xml:space="preserve"> </w:t>
            </w:r>
            <w:r>
              <w:rPr>
                <w:rFonts w:ascii="Verdana" w:eastAsia="Calibri" w:hAnsi="Verdana" w:cs="Arial"/>
                <w:lang w:val="es-ES" w:eastAsia="es-ES"/>
              </w:rPr>
              <w:t xml:space="preserve">/ </w:t>
            </w:r>
            <w:r w:rsidRPr="00B016FD">
              <w:rPr>
                <w:rFonts w:ascii="Verdana" w:eastAsia="Calibri" w:hAnsi="Verdana" w:cs="Arial"/>
                <w:lang w:val="es-ES" w:eastAsia="es-ES"/>
              </w:rPr>
              <w:t>RÉGIMEN DE INHABILIDADES E INCOMPATIBILIDADES – Reserva legal</w:t>
            </w:r>
            <w:r>
              <w:rPr>
                <w:rFonts w:ascii="Verdana" w:eastAsia="Calibri" w:hAnsi="Verdana" w:cs="Arial"/>
                <w:lang w:val="es-ES" w:eastAsia="es-ES"/>
              </w:rPr>
              <w:t xml:space="preserve"> / </w:t>
            </w:r>
            <w:r w:rsidRPr="009110CF">
              <w:rPr>
                <w:rFonts w:ascii="Verdana" w:eastAsia="Calibri" w:hAnsi="Verdana" w:cs="Arial"/>
                <w:lang w:val="es-ES" w:eastAsia="es-ES"/>
              </w:rPr>
              <w:t>MANUALES DE CONTRATACIÓN – Directrices específicas – Debida diligencia</w:t>
            </w:r>
            <w:r w:rsidRPr="009673B4">
              <w:rPr>
                <w:rFonts w:ascii="Verdana" w:eastAsia="Calibri" w:hAnsi="Verdana" w:cs="Arial"/>
                <w:lang w:val="es-ES" w:eastAsia="es-ES"/>
              </w:rPr>
              <w:t xml:space="preserve">  </w:t>
            </w:r>
            <w:r w:rsidRPr="00B24DBE">
              <w:rPr>
                <w:rFonts w:ascii="Verdana" w:eastAsia="Calibri" w:hAnsi="Verdana" w:cs="Arial"/>
                <w:lang w:val="es-ES" w:eastAsia="es-ES"/>
              </w:rPr>
              <w:t xml:space="preserve"> </w:t>
            </w:r>
            <w:r w:rsidRPr="00BE364D">
              <w:rPr>
                <w:rFonts w:ascii="Verdana" w:eastAsia="Calibri" w:hAnsi="Verdana" w:cs="Arial"/>
                <w:lang w:val="es-ES" w:eastAsia="es-ES"/>
              </w:rPr>
              <w:t xml:space="preserve">  </w:t>
            </w:r>
            <w:r w:rsidRPr="00E23D97">
              <w:rPr>
                <w:rFonts w:ascii="Verdana" w:eastAsia="Calibri" w:hAnsi="Verdana" w:cs="Arial"/>
                <w:lang w:val="es-ES" w:eastAsia="es-ES"/>
              </w:rPr>
              <w:t xml:space="preserve"> </w:t>
            </w:r>
            <w:r w:rsidRPr="009E03E6">
              <w:rPr>
                <w:rFonts w:ascii="Verdana" w:eastAsia="Calibri" w:hAnsi="Verdana" w:cs="Arial"/>
                <w:lang w:val="es-ES" w:eastAsia="es-ES"/>
              </w:rPr>
              <w:t xml:space="preserve">  </w:t>
            </w:r>
            <w:r w:rsidRPr="006E6F30">
              <w:rPr>
                <w:rFonts w:ascii="Verdana" w:eastAsia="Calibri" w:hAnsi="Verdana" w:cs="Arial"/>
                <w:lang w:val="es-ES" w:eastAsia="es-ES"/>
              </w:rPr>
              <w:t xml:space="preserve"> </w:t>
            </w:r>
            <w:r w:rsidRPr="00FA3A97">
              <w:rPr>
                <w:rFonts w:ascii="Verdana" w:eastAsia="Calibri" w:hAnsi="Verdana" w:cs="Arial"/>
                <w:lang w:val="es-ES" w:eastAsia="es-ES"/>
              </w:rPr>
              <w:t xml:space="preserve">  </w:t>
            </w:r>
            <w:r w:rsidRPr="00BE364D">
              <w:rPr>
                <w:rFonts w:ascii="Verdana" w:eastAsia="Calibri" w:hAnsi="Verdana" w:cs="Arial"/>
                <w:lang w:val="es-ES" w:eastAsia="es-ES"/>
              </w:rPr>
              <w:t xml:space="preserve">  </w:t>
            </w:r>
            <w:r w:rsidRPr="00E23D97">
              <w:rPr>
                <w:rFonts w:ascii="Verdana" w:eastAsia="Calibri" w:hAnsi="Verdana" w:cs="Arial"/>
                <w:lang w:val="es-ES" w:eastAsia="es-ES"/>
              </w:rPr>
              <w:t xml:space="preserve"> </w:t>
            </w:r>
            <w:r w:rsidRPr="009E03E6">
              <w:rPr>
                <w:rFonts w:ascii="Verdana" w:eastAsia="Calibri" w:hAnsi="Verdana" w:cs="Arial"/>
                <w:lang w:val="es-ES" w:eastAsia="es-ES"/>
              </w:rPr>
              <w:t xml:space="preserve">  </w:t>
            </w:r>
            <w:r w:rsidRPr="006E6F30">
              <w:rPr>
                <w:rFonts w:ascii="Verdana" w:eastAsia="Calibri" w:hAnsi="Verdana" w:cs="Arial"/>
                <w:lang w:val="es-ES" w:eastAsia="es-ES"/>
              </w:rPr>
              <w:t xml:space="preserve"> </w:t>
            </w:r>
            <w:r w:rsidRPr="00FA3A97">
              <w:rPr>
                <w:rFonts w:ascii="Verdana" w:eastAsia="Calibri" w:hAnsi="Verdana" w:cs="Arial"/>
                <w:lang w:val="es-ES" w:eastAsia="es-ES"/>
              </w:rPr>
              <w:t xml:space="preserve">  </w:t>
            </w:r>
          </w:p>
          <w:p w14:paraId="66BB73E1" w14:textId="77777777" w:rsidR="00273D05" w:rsidRPr="00593A5F" w:rsidRDefault="00273D05" w:rsidP="00C13540">
            <w:pPr>
              <w:spacing w:line="276" w:lineRule="auto"/>
              <w:jc w:val="both"/>
              <w:rPr>
                <w:rFonts w:ascii="Verdana" w:eastAsia="Calibri" w:hAnsi="Verdana" w:cs="Arial"/>
                <w:lang w:val="es-ES" w:eastAsia="es-ES"/>
              </w:rPr>
            </w:pPr>
            <w:r w:rsidRPr="00A11406">
              <w:rPr>
                <w:rFonts w:ascii="Verdana" w:eastAsia="Calibri" w:hAnsi="Verdana" w:cs="Arial"/>
                <w:lang w:val="es-ES" w:eastAsia="es-ES"/>
              </w:rPr>
              <w:t xml:space="preserve"> </w:t>
            </w:r>
            <w:r w:rsidRPr="00D1484F">
              <w:rPr>
                <w:rFonts w:ascii="Verdana" w:eastAsia="Calibri" w:hAnsi="Verdana" w:cs="Arial"/>
                <w:lang w:val="es-ES" w:eastAsia="es-ES"/>
              </w:rPr>
              <w:t xml:space="preserve"> </w:t>
            </w:r>
          </w:p>
        </w:tc>
      </w:tr>
      <w:tr w:rsidR="00273D05" w:rsidRPr="008E6AD9" w14:paraId="7DE3E859" w14:textId="77777777" w:rsidTr="00C13540">
        <w:tc>
          <w:tcPr>
            <w:tcW w:w="2689" w:type="dxa"/>
          </w:tcPr>
          <w:p w14:paraId="408801D7" w14:textId="77777777" w:rsidR="00273D05" w:rsidRPr="008E6AD9" w:rsidRDefault="00273D05" w:rsidP="00C13540">
            <w:pPr>
              <w:jc w:val="both"/>
              <w:rPr>
                <w:rFonts w:ascii="Verdana" w:eastAsia="Calibri" w:hAnsi="Verdana" w:cs="Arial"/>
                <w:b/>
                <w:lang w:val="es-ES_tradnl" w:eastAsia="es-ES_tradnl"/>
              </w:rPr>
            </w:pPr>
            <w:r w:rsidRPr="008E6AD9">
              <w:rPr>
                <w:rFonts w:ascii="Verdana" w:eastAsia="Calibri" w:hAnsi="Verdana" w:cs="Arial"/>
                <w:b/>
                <w:lang w:val="es-ES_tradnl" w:eastAsia="es-ES_tradnl"/>
              </w:rPr>
              <w:t>Radicación:</w:t>
            </w:r>
            <w:r w:rsidRPr="008E6AD9">
              <w:rPr>
                <w:rFonts w:ascii="Verdana" w:eastAsia="Calibri" w:hAnsi="Verdana" w:cs="Arial"/>
                <w:lang w:val="es-ES_tradnl" w:eastAsia="es-ES_tradnl"/>
              </w:rPr>
              <w:t xml:space="preserve">               </w:t>
            </w:r>
          </w:p>
        </w:tc>
        <w:tc>
          <w:tcPr>
            <w:tcW w:w="6100" w:type="dxa"/>
          </w:tcPr>
          <w:p w14:paraId="3CBB70D1" w14:textId="77777777" w:rsidR="00273D05" w:rsidRPr="00B92340" w:rsidRDefault="00273D05" w:rsidP="00C13540">
            <w:pPr>
              <w:spacing w:line="276" w:lineRule="auto"/>
              <w:jc w:val="both"/>
              <w:rPr>
                <w:rFonts w:ascii="Verdana" w:eastAsia="Calibri" w:hAnsi="Verdana" w:cs="Arial"/>
                <w:lang w:val="es-ES_tradnl" w:eastAsia="es-ES_tradnl"/>
              </w:rPr>
            </w:pPr>
            <w:r w:rsidRPr="008E6AD9">
              <w:rPr>
                <w:rFonts w:ascii="Verdana" w:eastAsia="Calibri" w:hAnsi="Verdana" w:cs="Arial"/>
                <w:lang w:val="es-ES_tradnl" w:eastAsia="es-ES_tradnl"/>
              </w:rPr>
              <w:t xml:space="preserve">Respuesta a </w:t>
            </w:r>
            <w:r>
              <w:rPr>
                <w:rFonts w:ascii="Verdana" w:eastAsia="Calibri" w:hAnsi="Verdana" w:cs="Arial"/>
                <w:lang w:val="es-ES_tradnl" w:eastAsia="es-ES_tradnl"/>
              </w:rPr>
              <w:t xml:space="preserve">la </w:t>
            </w:r>
            <w:r w:rsidRPr="008E6AD9">
              <w:rPr>
                <w:rFonts w:ascii="Verdana" w:eastAsia="Calibri" w:hAnsi="Verdana" w:cs="Arial"/>
                <w:lang w:val="es-ES_tradnl" w:eastAsia="es-ES_tradnl"/>
              </w:rPr>
              <w:t>consulta con radicado No.</w:t>
            </w:r>
            <w:r>
              <w:rPr>
                <w:rFonts w:ascii="Verdana" w:eastAsia="Calibri" w:hAnsi="Verdana" w:cs="Arial"/>
                <w:lang w:val="es-ES_tradnl" w:eastAsia="es-ES_tradnl"/>
              </w:rPr>
              <w:t xml:space="preserve"> </w:t>
            </w:r>
            <w:r w:rsidRPr="00221AFB">
              <w:rPr>
                <w:rFonts w:ascii="Verdana" w:eastAsia="Calibri" w:hAnsi="Verdana" w:cs="Arial"/>
                <w:lang w:val="es-ES_tradnl" w:eastAsia="es-ES_tradnl"/>
              </w:rPr>
              <w:t>1_2026_08_05_010373</w:t>
            </w:r>
            <w:r w:rsidRPr="008E6AD9">
              <w:rPr>
                <w:rFonts w:ascii="Verdana" w:eastAsia="Calibri" w:hAnsi="Verdana" w:cs="Arial"/>
                <w:lang w:val="es-ES_tradnl" w:eastAsia="es-ES_tradnl"/>
              </w:rPr>
              <w:t xml:space="preserve"> </w:t>
            </w:r>
            <w:r>
              <w:rPr>
                <w:rFonts w:ascii="Verdana" w:eastAsia="Calibri" w:hAnsi="Verdana" w:cs="Arial"/>
                <w:lang w:val="es-ES_tradnl" w:eastAsia="es-ES_tradnl"/>
              </w:rPr>
              <w:t xml:space="preserve">                                   </w:t>
            </w:r>
          </w:p>
        </w:tc>
      </w:tr>
    </w:tbl>
    <w:p w14:paraId="2B55AA26" w14:textId="77777777" w:rsidR="00273D05" w:rsidRPr="00593A5F" w:rsidRDefault="00273D05" w:rsidP="00273D05">
      <w:pPr>
        <w:spacing w:after="0" w:line="240" w:lineRule="auto"/>
        <w:jc w:val="both"/>
        <w:rPr>
          <w:rFonts w:ascii="Verdana" w:eastAsia="Calibri" w:hAnsi="Verdana" w:cs="Arial"/>
          <w:color w:val="000000"/>
          <w:lang w:val="es-ES_tradnl" w:eastAsia="es-ES_tradnl"/>
        </w:rPr>
      </w:pPr>
    </w:p>
    <w:p w14:paraId="106D4B66" w14:textId="77777777" w:rsidR="00273D05" w:rsidRPr="00593A5F" w:rsidRDefault="00273D05" w:rsidP="00273D05">
      <w:pPr>
        <w:spacing w:after="0" w:line="240" w:lineRule="auto"/>
        <w:jc w:val="both"/>
        <w:rPr>
          <w:rFonts w:ascii="Verdana" w:eastAsia="Calibri" w:hAnsi="Verdana" w:cs="Arial"/>
          <w:color w:val="000000"/>
          <w:lang w:val="es-ES_tradnl" w:eastAsia="es-ES_tradnl"/>
        </w:rPr>
      </w:pPr>
    </w:p>
    <w:p w14:paraId="4BF2487E" w14:textId="77777777" w:rsidR="00273D05" w:rsidRPr="008E6AD9" w:rsidRDefault="00273D05" w:rsidP="00273D05">
      <w:pPr>
        <w:spacing w:after="0" w:line="276" w:lineRule="auto"/>
        <w:jc w:val="both"/>
        <w:rPr>
          <w:rFonts w:ascii="Verdana" w:eastAsia="Calibri" w:hAnsi="Verdana" w:cs="Arial"/>
          <w:lang w:val="es-ES" w:eastAsia="es-ES"/>
        </w:rPr>
      </w:pPr>
      <w:r w:rsidRPr="008E6AD9">
        <w:rPr>
          <w:rFonts w:ascii="Verdana" w:eastAsia="Calibri" w:hAnsi="Verdana" w:cs="Arial"/>
          <w:lang w:val="es-ES" w:eastAsia="es-ES"/>
        </w:rPr>
        <w:t>Estimad</w:t>
      </w:r>
      <w:r>
        <w:rPr>
          <w:rFonts w:ascii="Verdana" w:eastAsia="Calibri" w:hAnsi="Verdana" w:cs="Arial"/>
          <w:lang w:val="es-ES" w:eastAsia="es-ES"/>
        </w:rPr>
        <w:t>a</w:t>
      </w:r>
      <w:r w:rsidRPr="008E6AD9">
        <w:rPr>
          <w:rFonts w:ascii="Verdana" w:eastAsia="Calibri" w:hAnsi="Verdana" w:cs="Arial"/>
          <w:lang w:val="es-ES" w:eastAsia="es-ES"/>
        </w:rPr>
        <w:t xml:space="preserve"> </w:t>
      </w:r>
      <w:r>
        <w:rPr>
          <w:rFonts w:ascii="Verdana" w:eastAsia="Calibri" w:hAnsi="Verdana" w:cs="Arial"/>
          <w:lang w:val="es-ES" w:eastAsia="es-ES"/>
        </w:rPr>
        <w:t xml:space="preserve">señora </w:t>
      </w:r>
      <w:r w:rsidRPr="003B1529">
        <w:rPr>
          <w:rFonts w:ascii="Verdana" w:eastAsia="Calibri" w:hAnsi="Verdana" w:cs="Arial"/>
          <w:lang w:val="es-ES" w:eastAsia="es-ES"/>
        </w:rPr>
        <w:t>Moreno Triana</w:t>
      </w:r>
      <w:r w:rsidRPr="008E6AD9">
        <w:rPr>
          <w:rFonts w:ascii="Verdana" w:eastAsia="Calibri" w:hAnsi="Verdana" w:cs="Arial"/>
          <w:lang w:val="es-ES" w:eastAsia="es-ES"/>
        </w:rPr>
        <w:t xml:space="preserve">: </w:t>
      </w:r>
    </w:p>
    <w:p w14:paraId="28D3EBB5" w14:textId="77777777" w:rsidR="00273D05" w:rsidRDefault="00273D05" w:rsidP="00273D05">
      <w:pPr>
        <w:tabs>
          <w:tab w:val="left" w:pos="3768"/>
        </w:tabs>
        <w:spacing w:after="0" w:line="276"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ab/>
      </w:r>
    </w:p>
    <w:p w14:paraId="650641BD" w14:textId="77777777" w:rsidR="00273D05" w:rsidRPr="00593A5F" w:rsidRDefault="00273D05" w:rsidP="00273D05">
      <w:pPr>
        <w:spacing w:after="0" w:line="276" w:lineRule="auto"/>
        <w:jc w:val="both"/>
        <w:rPr>
          <w:rFonts w:ascii="Verdana" w:eastAsia="Calibri" w:hAnsi="Verdana" w:cs="Arial"/>
          <w:color w:val="7030A0"/>
          <w:lang w:val="es-ES" w:eastAsia="es-ES"/>
        </w:rPr>
      </w:pPr>
      <w:r w:rsidRPr="00593A5F">
        <w:rPr>
          <w:rFonts w:ascii="Verdana" w:eastAsia="Calibri" w:hAnsi="Verdana" w:cs="Arial"/>
          <w:color w:val="000000" w:themeColor="text1"/>
          <w:lang w:val="es-ES" w:eastAsia="es-ES"/>
        </w:rPr>
        <w:t>En ejercicio de la competencia otorgada por los artículos 3, numeral 5º, y 11, numeral 8º, del Decreto Ley 4170 de 2011,</w:t>
      </w:r>
      <w:r w:rsidRPr="00593A5F">
        <w:rPr>
          <w:rFonts w:ascii="Verdana" w:eastAsia="Arial MT" w:hAnsi="Verdana" w:cs="Arial MT"/>
          <w:lang w:val="es-ES" w:eastAsia="es-ES"/>
        </w:rPr>
        <w:t xml:space="preserve"> </w:t>
      </w:r>
      <w:r w:rsidRPr="003B6F24">
        <w:rPr>
          <w:rFonts w:ascii="Verdana" w:hAnsi="Verdana" w:cs="Arial"/>
        </w:rPr>
        <w:t>así como lo establecido en el artículo 4 de la Resolución 469 de 2025 expedida por esta Entidad</w:t>
      </w:r>
      <w:r w:rsidRPr="00593A5F">
        <w:rPr>
          <w:rFonts w:ascii="Verdana" w:hAnsi="Verdana" w:cs="Arial"/>
        </w:rPr>
        <w:t xml:space="preserve">, </w:t>
      </w:r>
      <w:r w:rsidRPr="00593A5F">
        <w:rPr>
          <w:rFonts w:ascii="Verdana" w:eastAsia="Calibri" w:hAnsi="Verdana" w:cs="Arial"/>
          <w:color w:val="000000" w:themeColor="text1"/>
          <w:lang w:val="es-ES" w:eastAsia="es-ES"/>
        </w:rPr>
        <w:t>la Agencia Nacional de Contratación Pública – Colombia Compra Eficiente responde su solicitud de</w:t>
      </w:r>
      <w:r>
        <w:rPr>
          <w:rFonts w:ascii="Verdana" w:eastAsia="Calibri" w:hAnsi="Verdana" w:cs="Arial"/>
          <w:color w:val="000000" w:themeColor="text1"/>
          <w:lang w:val="es-ES" w:eastAsia="es-ES"/>
        </w:rPr>
        <w:t xml:space="preserve"> consulta de </w:t>
      </w:r>
      <w:r w:rsidRPr="008E6AD9">
        <w:rPr>
          <w:rFonts w:ascii="Verdana" w:eastAsia="Calibri" w:hAnsi="Verdana" w:cs="Arial"/>
          <w:lang w:val="es-ES" w:eastAsia="es-ES"/>
        </w:rPr>
        <w:t>fecha</w:t>
      </w:r>
      <w:r>
        <w:rPr>
          <w:rFonts w:ascii="Verdana" w:eastAsia="Calibri" w:hAnsi="Verdana" w:cs="Arial"/>
          <w:lang w:val="es-ES" w:eastAsia="es-ES"/>
        </w:rPr>
        <w:t xml:space="preserve"> 5 de agosto de 2026, donde solicita conceptuar sobre los siguientes aspectos</w:t>
      </w:r>
      <w:r w:rsidRPr="008E6AD9">
        <w:rPr>
          <w:rFonts w:ascii="Verdana" w:eastAsia="Calibri" w:hAnsi="Verdana" w:cs="Arial"/>
          <w:lang w:val="es-ES" w:eastAsia="es-ES"/>
        </w:rPr>
        <w:t xml:space="preserve">: </w:t>
      </w:r>
    </w:p>
    <w:p w14:paraId="3C14D856" w14:textId="77777777" w:rsidR="00273D05" w:rsidRPr="00272A7B" w:rsidRDefault="00273D05" w:rsidP="00273D05">
      <w:pPr>
        <w:pStyle w:val="Prrafodelista"/>
        <w:tabs>
          <w:tab w:val="left" w:pos="142"/>
          <w:tab w:val="left" w:pos="284"/>
        </w:tabs>
        <w:spacing w:after="0" w:line="276" w:lineRule="auto"/>
        <w:ind w:left="0"/>
        <w:jc w:val="both"/>
        <w:rPr>
          <w:rFonts w:ascii="Verdana" w:eastAsia="Century Gothic" w:hAnsi="Verdana" w:cs="Century Gothic"/>
          <w:b/>
          <w:bCs/>
        </w:rPr>
      </w:pPr>
    </w:p>
    <w:p w14:paraId="06BC2B92" w14:textId="77777777" w:rsidR="00273D05" w:rsidRPr="004E0D6C" w:rsidRDefault="00273D05" w:rsidP="00273D05">
      <w:pPr>
        <w:spacing w:after="120" w:line="240" w:lineRule="auto"/>
        <w:ind w:left="709" w:right="709"/>
        <w:jc w:val="both"/>
        <w:rPr>
          <w:rFonts w:ascii="Verdana" w:eastAsia="Century Gothic" w:hAnsi="Verdana" w:cs="Century Gothic"/>
          <w:sz w:val="20"/>
          <w:szCs w:val="20"/>
          <w:lang w:val="es-ES"/>
        </w:rPr>
      </w:pPr>
      <w:bookmarkStart w:id="0" w:name="_Hlk95313578"/>
      <w:r w:rsidRPr="001904AF">
        <w:rPr>
          <w:rFonts w:ascii="Verdana" w:eastAsia="Century Gothic" w:hAnsi="Verdana" w:cs="Century Gothic"/>
          <w:sz w:val="20"/>
          <w:szCs w:val="20"/>
          <w:lang w:val="es-ES"/>
        </w:rPr>
        <w:t>“</w:t>
      </w:r>
      <w:bookmarkEnd w:id="0"/>
      <w:r w:rsidRPr="004E0D6C">
        <w:rPr>
          <w:rFonts w:ascii="Verdana" w:eastAsia="Century Gothic" w:hAnsi="Verdana" w:cs="Century Gothic"/>
          <w:sz w:val="20"/>
          <w:szCs w:val="20"/>
          <w:lang w:val="es-ES"/>
        </w:rPr>
        <w:t xml:space="preserve">En el marco de la actualización del Manual de Contratación de la Contraloría General de la República y en ejercicio de las funciones relacionadas con el fortalecimiento de los procesos de contratación pública en coordinación con la gestión de riesgos dentro de la actividad contractual, respetuosamente solicitamos la orientación de la Agencia Nacional de Contratación Pública Colombia Compra Eficiente respecto de </w:t>
      </w:r>
      <w:r w:rsidRPr="004E0D6C">
        <w:rPr>
          <w:rFonts w:ascii="Verdana" w:eastAsia="Century Gothic" w:hAnsi="Verdana" w:cs="Century Gothic"/>
          <w:sz w:val="20"/>
          <w:szCs w:val="20"/>
          <w:lang w:val="es-ES"/>
        </w:rPr>
        <w:lastRenderedPageBreak/>
        <w:t xml:space="preserve">la incorporación de lineamientos sobre la debida diligencia dentro del Manual. </w:t>
      </w:r>
    </w:p>
    <w:p w14:paraId="7BE028B9" w14:textId="77777777" w:rsidR="00273D05" w:rsidRPr="004E0D6C" w:rsidRDefault="00273D05" w:rsidP="00273D05">
      <w:pPr>
        <w:spacing w:after="120" w:line="240" w:lineRule="auto"/>
        <w:ind w:left="709" w:right="709"/>
        <w:jc w:val="both"/>
        <w:rPr>
          <w:rFonts w:ascii="Verdana" w:eastAsia="Century Gothic" w:hAnsi="Verdana" w:cs="Century Gothic"/>
          <w:sz w:val="20"/>
          <w:szCs w:val="20"/>
          <w:lang w:val="es-ES"/>
        </w:rPr>
      </w:pPr>
      <w:r>
        <w:rPr>
          <w:rFonts w:ascii="Verdana" w:eastAsia="Century Gothic" w:hAnsi="Verdana" w:cs="Century Gothic"/>
          <w:sz w:val="20"/>
          <w:szCs w:val="20"/>
          <w:lang w:val="es-ES"/>
        </w:rPr>
        <w:t xml:space="preserve">[1] </w:t>
      </w:r>
      <w:r w:rsidRPr="004E0D6C">
        <w:rPr>
          <w:rFonts w:ascii="Verdana" w:eastAsia="Century Gothic" w:hAnsi="Verdana" w:cs="Century Gothic"/>
          <w:sz w:val="20"/>
          <w:szCs w:val="20"/>
          <w:lang w:val="es-ES"/>
        </w:rPr>
        <w:t xml:space="preserve">En particular, esta Dirección requiere conocer el criterio institucional respecto a la pertinencia de incluir procedimientos o directrices específicas de la debida diligencia como parte de la gestión de riesgos en las etapas precontractual, contractual y de seguimiento, encaminadas a identificar, evaluar y mitigar riesgos asociados a los contratistas y demás actores que intervienen en la contratación pública, teniendo en cuenta que de manera amplia ya se contempla dentro del reglamento el cumplimiento a los principios de transparencia, integridad, planeación, selección objetiva, libre concurrencia, debido proceso y gestión de riesgos. </w:t>
      </w:r>
    </w:p>
    <w:p w14:paraId="6187333F" w14:textId="77777777" w:rsidR="00273D05" w:rsidRPr="004E0D6C" w:rsidRDefault="00273D05" w:rsidP="00273D05">
      <w:pPr>
        <w:spacing w:after="120" w:line="240" w:lineRule="auto"/>
        <w:ind w:left="709" w:right="709"/>
        <w:jc w:val="both"/>
        <w:rPr>
          <w:rFonts w:ascii="Verdana" w:eastAsia="Century Gothic" w:hAnsi="Verdana" w:cs="Century Gothic"/>
          <w:sz w:val="20"/>
          <w:szCs w:val="20"/>
          <w:lang w:val="es-ES"/>
        </w:rPr>
      </w:pPr>
      <w:r w:rsidRPr="004E0D6C">
        <w:rPr>
          <w:rFonts w:ascii="Verdana" w:eastAsia="Century Gothic" w:hAnsi="Verdana" w:cs="Century Gothic"/>
          <w:sz w:val="20"/>
          <w:szCs w:val="20"/>
          <w:lang w:val="es-ES"/>
        </w:rPr>
        <w:t xml:space="preserve">Con base en la normatividad vigente, hoy se verifica que los futuros contratistas cumplan con los requisitos habilitantes, que no se encuentre incurso en inhabilidades o incompatibilidades, que tenga la capacidad jurídica, financiera, técnica y organizacional exigida, además de cumplir las condiciones previstas en los documentos del proceso. </w:t>
      </w:r>
    </w:p>
    <w:p w14:paraId="1AC5E343" w14:textId="77777777" w:rsidR="00273D05" w:rsidRPr="004E0D6C" w:rsidRDefault="00273D05" w:rsidP="00273D05">
      <w:pPr>
        <w:spacing w:after="120" w:line="240" w:lineRule="auto"/>
        <w:ind w:left="709" w:right="709"/>
        <w:jc w:val="both"/>
        <w:rPr>
          <w:rFonts w:ascii="Verdana" w:eastAsia="Century Gothic" w:hAnsi="Verdana" w:cs="Century Gothic"/>
          <w:sz w:val="20"/>
          <w:szCs w:val="20"/>
          <w:lang w:val="es-ES"/>
        </w:rPr>
      </w:pPr>
      <w:r>
        <w:rPr>
          <w:rFonts w:ascii="Verdana" w:eastAsia="Century Gothic" w:hAnsi="Verdana" w:cs="Century Gothic"/>
          <w:sz w:val="20"/>
          <w:szCs w:val="20"/>
          <w:lang w:val="es-ES"/>
        </w:rPr>
        <w:t xml:space="preserve">[2] </w:t>
      </w:r>
      <w:r w:rsidRPr="004E0D6C">
        <w:rPr>
          <w:rFonts w:ascii="Verdana" w:eastAsia="Century Gothic" w:hAnsi="Verdana" w:cs="Century Gothic"/>
          <w:sz w:val="20"/>
          <w:szCs w:val="20"/>
          <w:lang w:val="es-ES"/>
        </w:rPr>
        <w:t xml:space="preserve">De igualmente manera, se solicita solicito se me informe si la Agencia ha desarrollado algún lineamiento, recomendación o criterios técnicos respecto del tratamiento de situaciones que, aunque no constituyen una causal legal de inhabilidad, incompatibilidad o prohibición para contratar, si </w:t>
      </w:r>
      <w:proofErr w:type="gramStart"/>
      <w:r w:rsidRPr="004E0D6C">
        <w:rPr>
          <w:rFonts w:ascii="Verdana" w:eastAsia="Century Gothic" w:hAnsi="Verdana" w:cs="Century Gothic"/>
          <w:sz w:val="20"/>
          <w:szCs w:val="20"/>
          <w:lang w:val="es-ES"/>
        </w:rPr>
        <w:t>podrían</w:t>
      </w:r>
      <w:proofErr w:type="gramEnd"/>
      <w:r w:rsidRPr="004E0D6C">
        <w:rPr>
          <w:rFonts w:ascii="Verdana" w:eastAsia="Century Gothic" w:hAnsi="Verdana" w:cs="Century Gothic"/>
          <w:sz w:val="20"/>
          <w:szCs w:val="20"/>
          <w:lang w:val="es-ES"/>
        </w:rPr>
        <w:t xml:space="preserve"> representar un riesgo para la adecuada ejecución del contrato, la transparencia del proceso o la protección del interés público. </w:t>
      </w:r>
    </w:p>
    <w:p w14:paraId="34AC3FFB" w14:textId="77777777" w:rsidR="00273D05" w:rsidRPr="004E0D6C" w:rsidRDefault="00273D05" w:rsidP="00273D05">
      <w:pPr>
        <w:spacing w:after="120" w:line="240" w:lineRule="auto"/>
        <w:ind w:left="709" w:right="709"/>
        <w:jc w:val="both"/>
        <w:rPr>
          <w:rFonts w:ascii="Verdana" w:eastAsia="Century Gothic" w:hAnsi="Verdana" w:cs="Century Gothic"/>
          <w:sz w:val="20"/>
          <w:szCs w:val="20"/>
          <w:lang w:val="es-ES"/>
        </w:rPr>
      </w:pPr>
      <w:r w:rsidRPr="004E0D6C">
        <w:rPr>
          <w:rFonts w:ascii="Verdana" w:eastAsia="Century Gothic" w:hAnsi="Verdana" w:cs="Century Gothic"/>
          <w:sz w:val="20"/>
          <w:szCs w:val="20"/>
          <w:lang w:val="es-ES"/>
        </w:rPr>
        <w:t xml:space="preserve">En ese sentido, agradezco se informe si existen orientaciones sobre la valoración y gestión de circunstancias tales como investigaciones administrativas, disciplinarias o fiscales en curso que no hayan culminado con una sanción, riesgos reputacionales, financieros, operacionales o de integridad identificados durante la etapa de selección, conflictos de interés potenciales o aparentes que, sin configurar una prohibición legal, puedan afectar la confianza en el proceso de contratación; cualquier otro criterio de debida diligencia que Colombia Compra Eficiente considere recomendable incorporar dentro de la gestión integral de riesgos de las entidades estatales. </w:t>
      </w:r>
    </w:p>
    <w:p w14:paraId="4F1F5454" w14:textId="77777777" w:rsidR="00273D05" w:rsidRPr="008E6AD9" w:rsidRDefault="00273D05" w:rsidP="00273D05">
      <w:pPr>
        <w:spacing w:after="0" w:line="240" w:lineRule="auto"/>
        <w:ind w:left="709" w:right="709"/>
        <w:jc w:val="both"/>
        <w:rPr>
          <w:rFonts w:ascii="Verdana" w:eastAsia="Century Gothic" w:hAnsi="Verdana" w:cs="Century Gothic"/>
          <w:b/>
          <w:bCs/>
        </w:rPr>
      </w:pPr>
      <w:r>
        <w:rPr>
          <w:rFonts w:ascii="Verdana" w:eastAsia="Century Gothic" w:hAnsi="Verdana" w:cs="Century Gothic"/>
          <w:sz w:val="20"/>
          <w:szCs w:val="20"/>
          <w:lang w:val="es-ES"/>
        </w:rPr>
        <w:t xml:space="preserve">[3] </w:t>
      </w:r>
      <w:r w:rsidRPr="004E0D6C">
        <w:rPr>
          <w:rFonts w:ascii="Verdana" w:eastAsia="Century Gothic" w:hAnsi="Verdana" w:cs="Century Gothic"/>
          <w:sz w:val="20"/>
          <w:szCs w:val="20"/>
          <w:lang w:val="es-ES"/>
        </w:rPr>
        <w:t>Finalmente, solicito precisar si, en ejercicio de la autonomía administrativa y con fundamento en el principio de planeación y en la gestión de riesgos prevista en el Decreto 1082 de 2015, las entidades estatales pueden incorporar en sus Manuales de Contratación procedimientos internos de debida diligencia para identificar y administrar riesgos asociados a los contratistas, siempre que dichas medidas no impliquen la creación de nuevas inhabilidades, incompatibilidades o requisitos habilitantes distintos de los previstos en la Constitución y la ley</w:t>
      </w:r>
      <w:r>
        <w:rPr>
          <w:rFonts w:ascii="Verdana" w:eastAsia="Century Gothic" w:hAnsi="Verdana" w:cs="Century Gothic"/>
          <w:sz w:val="20"/>
          <w:szCs w:val="20"/>
          <w:lang w:val="es-ES"/>
        </w:rPr>
        <w:t>”. (Corchetes fuera de texto)</w:t>
      </w:r>
    </w:p>
    <w:p w14:paraId="7FF2F3AD" w14:textId="77777777" w:rsidR="00273D05" w:rsidRPr="00481B98" w:rsidRDefault="00273D05" w:rsidP="00273D05">
      <w:pPr>
        <w:spacing w:after="0" w:line="276" w:lineRule="auto"/>
        <w:ind w:firstLine="709"/>
        <w:jc w:val="both"/>
        <w:rPr>
          <w:rFonts w:ascii="Verdana" w:eastAsia="Calibri" w:hAnsi="Verdana" w:cs="Arial"/>
          <w:color w:val="000000"/>
          <w:lang w:eastAsia="es-ES"/>
        </w:rPr>
      </w:pPr>
    </w:p>
    <w:p w14:paraId="267B39E5" w14:textId="77777777" w:rsidR="00273D05" w:rsidRPr="00A652FF" w:rsidRDefault="00273D05" w:rsidP="00273D05">
      <w:pPr>
        <w:spacing w:after="120" w:line="276" w:lineRule="auto"/>
        <w:ind w:firstLine="709"/>
        <w:jc w:val="both"/>
        <w:rPr>
          <w:rFonts w:ascii="Verdana" w:eastAsia="Calibri" w:hAnsi="Verdana" w:cs="Arial"/>
          <w:color w:val="000000"/>
          <w:lang w:val="es-ES" w:eastAsia="es-ES"/>
        </w:rPr>
      </w:pPr>
      <w:r>
        <w:rPr>
          <w:rFonts w:ascii="Verdana" w:eastAsia="Calibri" w:hAnsi="Verdana" w:cs="Arial"/>
          <w:color w:val="000000"/>
          <w:lang w:val="es-ES" w:eastAsia="es-ES"/>
        </w:rPr>
        <w:lastRenderedPageBreak/>
        <w:t>De manera preliminar</w:t>
      </w:r>
      <w:r w:rsidRPr="00593A5F">
        <w:rPr>
          <w:rFonts w:ascii="Verdana" w:eastAsia="Calibri" w:hAnsi="Verdana" w:cs="Arial"/>
          <w:color w:val="000000"/>
          <w:lang w:val="es-ES" w:eastAsia="es-ES"/>
        </w:rPr>
        <w:t>, resulta necesario acotar que esta entidad s</w:t>
      </w:r>
      <w:r>
        <w:rPr>
          <w:rFonts w:ascii="Verdana" w:eastAsia="Calibri" w:hAnsi="Verdana" w:cs="Arial"/>
          <w:color w:val="000000"/>
          <w:lang w:val="es-ES" w:eastAsia="es-ES"/>
        </w:rPr>
        <w:t>ó</w:t>
      </w:r>
      <w:r w:rsidRPr="00593A5F">
        <w:rPr>
          <w:rFonts w:ascii="Verdana" w:eastAsia="Calibri" w:hAnsi="Verdana" w:cs="Arial"/>
          <w:color w:val="000000"/>
          <w:lang w:val="es-ES" w:eastAsia="es-ES"/>
        </w:rPr>
        <w:t xml:space="preserve">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w:t>
      </w:r>
      <w:r>
        <w:rPr>
          <w:rFonts w:ascii="Verdana" w:eastAsia="Calibri" w:hAnsi="Verdana" w:cs="Arial"/>
          <w:color w:val="000000"/>
          <w:lang w:val="es-ES" w:eastAsia="es-ES"/>
        </w:rPr>
        <w:t>concretos</w:t>
      </w:r>
      <w:r w:rsidRPr="00593A5F">
        <w:rPr>
          <w:rFonts w:ascii="Verdana" w:eastAsia="Calibri" w:hAnsi="Verdana" w:cs="Arial"/>
          <w:color w:val="000000"/>
          <w:lang w:val="es-ES" w:eastAsia="es-ES"/>
        </w:rPr>
        <w:t xml:space="preserve">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593A5F">
        <w:rPr>
          <w:rFonts w:ascii="Verdana" w:eastAsia="Calibri" w:hAnsi="Verdana" w:cs="Arial"/>
          <w:color w:val="000000"/>
          <w:szCs w:val="24"/>
          <w:lang w:val="es-ES_tradnl" w:eastAsia="es-ES_tradnl"/>
        </w:rPr>
        <w:tab/>
      </w:r>
    </w:p>
    <w:p w14:paraId="6068DE61" w14:textId="77777777" w:rsidR="00273D05" w:rsidRDefault="00273D05" w:rsidP="00273D05">
      <w:pPr>
        <w:spacing w:after="0" w:line="276" w:lineRule="auto"/>
        <w:ind w:firstLine="709"/>
        <w:jc w:val="both"/>
        <w:rPr>
          <w:rFonts w:ascii="Verdana" w:eastAsia="Calibri" w:hAnsi="Verdana" w:cs="Arial"/>
          <w:color w:val="000000"/>
          <w:lang w:val="es-ES" w:eastAsia="es-ES"/>
        </w:rPr>
      </w:pPr>
      <w:r w:rsidRPr="00593A5F">
        <w:rPr>
          <w:rFonts w:ascii="Verdana" w:eastAsia="Calibri" w:hAnsi="Verdana" w:cs="Arial"/>
          <w:color w:val="000000"/>
          <w:lang w:val="es-ES" w:eastAsia="es-ES"/>
        </w:rPr>
        <w:t>Conforme lo expuesto, en aras de satisfacer el derecho fundamental de petición se resolverá su consulta dentro de los límites de la referida competencia consultiva, esto es, haciendo abstracción de la</w:t>
      </w:r>
      <w:r>
        <w:rPr>
          <w:rFonts w:ascii="Verdana" w:eastAsia="Calibri" w:hAnsi="Verdana" w:cs="Arial"/>
          <w:color w:val="000000"/>
          <w:lang w:val="es-ES" w:eastAsia="es-ES"/>
        </w:rPr>
        <w:t>s circunstancias</w:t>
      </w:r>
      <w:r w:rsidRPr="00593A5F">
        <w:rPr>
          <w:rFonts w:ascii="Verdana" w:eastAsia="Calibri" w:hAnsi="Verdana" w:cs="Arial"/>
          <w:color w:val="000000"/>
          <w:lang w:val="es-ES" w:eastAsia="es-ES"/>
        </w:rPr>
        <w:t xml:space="preserve"> </w:t>
      </w:r>
      <w:r>
        <w:rPr>
          <w:rFonts w:ascii="Verdana" w:eastAsia="Calibri" w:hAnsi="Verdana" w:cs="Arial"/>
          <w:color w:val="000000"/>
          <w:lang w:val="es-ES" w:eastAsia="es-ES"/>
        </w:rPr>
        <w:t>específicas que la hayan motivado</w:t>
      </w:r>
      <w:r w:rsidRPr="00593A5F">
        <w:rPr>
          <w:rFonts w:ascii="Verdana" w:eastAsia="Calibri" w:hAnsi="Verdana" w:cs="Arial"/>
          <w:color w:val="000000"/>
          <w:lang w:val="es-ES" w:eastAsia="es-ES"/>
        </w:rPr>
        <w:t xml:space="preserve">, pero haciendo unas consideraciones sobre las normas generales relacionadas con </w:t>
      </w:r>
      <w:r>
        <w:rPr>
          <w:rFonts w:ascii="Verdana" w:eastAsia="Calibri" w:hAnsi="Verdana" w:cs="Arial"/>
          <w:color w:val="000000"/>
          <w:lang w:val="es-ES" w:eastAsia="es-ES"/>
        </w:rPr>
        <w:t>el</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problema</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jurídico</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de su</w:t>
      </w:r>
      <w:r w:rsidRPr="00593A5F">
        <w:rPr>
          <w:rFonts w:ascii="Verdana" w:eastAsia="Calibri" w:hAnsi="Verdana" w:cs="Arial"/>
          <w:color w:val="000000"/>
          <w:lang w:val="es-ES" w:eastAsia="es-ES"/>
        </w:rPr>
        <w:t xml:space="preserve"> consulta.</w:t>
      </w:r>
      <w:r>
        <w:rPr>
          <w:rFonts w:ascii="Verdana" w:eastAsia="Calibri" w:hAnsi="Verdana" w:cs="Arial"/>
          <w:color w:val="000000"/>
          <w:lang w:val="es-ES" w:eastAsia="es-ES"/>
        </w:rPr>
        <w:t xml:space="preserve"> </w:t>
      </w:r>
      <w:r w:rsidRPr="00593A5F">
        <w:rPr>
          <w:rFonts w:ascii="Verdana" w:eastAsia="Calibri" w:hAnsi="Verdana" w:cs="Arial"/>
          <w:color w:val="000000"/>
          <w:lang w:val="es-ES" w:eastAsia="es-ES"/>
        </w:rPr>
        <w:t xml:space="preserve"> </w:t>
      </w:r>
    </w:p>
    <w:p w14:paraId="3228276D" w14:textId="77777777" w:rsidR="00273D05" w:rsidRPr="00593A5F" w:rsidRDefault="00273D05" w:rsidP="00273D05">
      <w:pPr>
        <w:spacing w:after="0" w:line="276" w:lineRule="auto"/>
        <w:ind w:firstLine="709"/>
        <w:jc w:val="both"/>
        <w:rPr>
          <w:rFonts w:ascii="Verdana" w:eastAsia="Calibri" w:hAnsi="Verdana" w:cs="Arial"/>
          <w:color w:val="000000"/>
          <w:lang w:val="es-ES" w:eastAsia="es-ES"/>
        </w:rPr>
      </w:pPr>
    </w:p>
    <w:p w14:paraId="497D418F" w14:textId="77777777" w:rsidR="00273D05" w:rsidRPr="00593A5F" w:rsidRDefault="00273D05" w:rsidP="00273D05">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rPr>
      </w:pPr>
      <w:r w:rsidRPr="00593A5F">
        <w:rPr>
          <w:rFonts w:ascii="Verdana" w:eastAsia="Century Gothic" w:hAnsi="Verdana" w:cs="Century Gothic"/>
          <w:b/>
          <w:bCs/>
        </w:rPr>
        <w:t>Problema planteado:</w:t>
      </w:r>
    </w:p>
    <w:p w14:paraId="6548F74B" w14:textId="77777777" w:rsidR="00273D05" w:rsidRPr="00593A5F" w:rsidRDefault="00273D05" w:rsidP="00273D05">
      <w:pPr>
        <w:tabs>
          <w:tab w:val="left" w:pos="426"/>
        </w:tabs>
        <w:spacing w:after="0" w:line="276" w:lineRule="auto"/>
        <w:jc w:val="both"/>
        <w:rPr>
          <w:rFonts w:ascii="Verdana" w:eastAsia="Century Gothic" w:hAnsi="Verdana" w:cs="Century Gothic"/>
          <w:lang w:val="es-ES"/>
        </w:rPr>
      </w:pPr>
    </w:p>
    <w:p w14:paraId="3B43EB1D" w14:textId="77777777" w:rsidR="00273D05" w:rsidRPr="00593A5F" w:rsidRDefault="00273D05" w:rsidP="00273D05">
      <w:pPr>
        <w:spacing w:after="0" w:line="276" w:lineRule="auto"/>
        <w:jc w:val="both"/>
        <w:rPr>
          <w:rFonts w:ascii="Verdana" w:eastAsia="Century Gothic" w:hAnsi="Verdana" w:cs="Century Gothic"/>
        </w:rPr>
      </w:pPr>
      <w:r w:rsidRPr="00906BE9">
        <w:rPr>
          <w:rFonts w:ascii="Verdana" w:eastAsia="Century Gothic" w:hAnsi="Verdana" w:cs="Century Gothic"/>
        </w:rPr>
        <w:t xml:space="preserve">De acuerdo con el contenido de su solicitud, esta Agencia resolverá </w:t>
      </w:r>
      <w:r>
        <w:rPr>
          <w:rFonts w:ascii="Verdana" w:eastAsia="Century Gothic" w:hAnsi="Verdana" w:cs="Century Gothic"/>
        </w:rPr>
        <w:t>el</w:t>
      </w:r>
      <w:r w:rsidRPr="00906BE9">
        <w:rPr>
          <w:rFonts w:ascii="Verdana" w:eastAsia="Century Gothic" w:hAnsi="Verdana" w:cs="Century Gothic"/>
        </w:rPr>
        <w:t xml:space="preserve"> siguiente</w:t>
      </w:r>
      <w:r>
        <w:rPr>
          <w:rFonts w:ascii="Verdana" w:eastAsia="Century Gothic" w:hAnsi="Verdana" w:cs="Century Gothic"/>
        </w:rPr>
        <w:t xml:space="preserve"> </w:t>
      </w:r>
      <w:r w:rsidRPr="00906BE9">
        <w:rPr>
          <w:rFonts w:ascii="Verdana" w:eastAsia="Century Gothic" w:hAnsi="Verdana" w:cs="Century Gothic"/>
        </w:rPr>
        <w:t>problema jurídico:</w:t>
      </w:r>
      <w:r>
        <w:rPr>
          <w:rFonts w:ascii="Verdana" w:eastAsia="Century Gothic" w:hAnsi="Verdana" w:cs="Century Gothic"/>
        </w:rPr>
        <w:t xml:space="preserve"> ¿los manuales de contratación pueden contemplar medidas específicas para la debida diligencia sin modificar el régimen de capacidad jurídica para suscribir contratos con el Estado? </w:t>
      </w:r>
    </w:p>
    <w:p w14:paraId="379F7C78" w14:textId="77777777" w:rsidR="00273D05" w:rsidRPr="004B140F" w:rsidRDefault="00273D05" w:rsidP="00273D05">
      <w:pPr>
        <w:spacing w:after="0" w:line="276" w:lineRule="auto"/>
        <w:jc w:val="both"/>
        <w:rPr>
          <w:rFonts w:ascii="Verdana" w:eastAsia="Calibri" w:hAnsi="Verdana" w:cs="Arial"/>
          <w:color w:val="7030A0"/>
        </w:rPr>
      </w:pPr>
    </w:p>
    <w:p w14:paraId="7C76E5A0" w14:textId="77777777" w:rsidR="00273D05" w:rsidRPr="00593A5F" w:rsidRDefault="00273D05" w:rsidP="00273D05">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Respuesta:</w:t>
      </w:r>
    </w:p>
    <w:p w14:paraId="785429C0" w14:textId="77777777" w:rsidR="00273D05" w:rsidRPr="00593A5F" w:rsidRDefault="00273D05" w:rsidP="00273D05">
      <w:pPr>
        <w:tabs>
          <w:tab w:val="left" w:pos="142"/>
          <w:tab w:val="left" w:pos="284"/>
        </w:tabs>
        <w:spacing w:after="0" w:line="276" w:lineRule="auto"/>
        <w:jc w:val="both"/>
        <w:rPr>
          <w:rFonts w:ascii="Verdana" w:eastAsia="Century Gothic" w:hAnsi="Verdana" w:cs="Century Gothic"/>
          <w:b/>
          <w:bCs/>
          <w:lang w:val="es-ES"/>
        </w:rPr>
      </w:pPr>
    </w:p>
    <w:tbl>
      <w:tblPr>
        <w:tblStyle w:val="Tablaconcuadrcu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273D05" w:rsidRPr="00593A5F" w14:paraId="6D1A94EF" w14:textId="77777777" w:rsidTr="00C13540">
        <w:trPr>
          <w:jc w:val="center"/>
        </w:trPr>
        <w:tc>
          <w:tcPr>
            <w:tcW w:w="8828" w:type="dxa"/>
          </w:tcPr>
          <w:p w14:paraId="4FD2A9E7" w14:textId="77777777" w:rsidR="00273D05" w:rsidRDefault="00273D05" w:rsidP="00C13540">
            <w:pPr>
              <w:spacing w:after="120" w:line="276" w:lineRule="auto"/>
              <w:jc w:val="both"/>
              <w:rPr>
                <w:rFonts w:ascii="Verdana" w:hAnsi="Verdana" w:cs="Arial"/>
                <w:bCs/>
                <w:lang w:val="es-ES_tradnl"/>
              </w:rPr>
            </w:pPr>
            <w:bookmarkStart w:id="1" w:name="_Hlk171694685"/>
            <w:r w:rsidRPr="000955E3">
              <w:rPr>
                <w:rFonts w:ascii="Verdana" w:eastAsia="Calibri" w:hAnsi="Verdana" w:cs="Arial"/>
                <w:bCs/>
                <w:color w:val="000000" w:themeColor="text1"/>
              </w:rPr>
              <w:t>Conforme a la interpretación general de las normas del sistema de compras públicas</w:t>
            </w:r>
            <w:r w:rsidRPr="000955E3">
              <w:rPr>
                <w:rFonts w:ascii="Verdana" w:eastAsia="Arial" w:hAnsi="Verdana" w:cs="Arial"/>
                <w:lang w:val="es-MX" w:eastAsia="es-ES" w:bidi="es-ES"/>
              </w:rPr>
              <w:t>,</w:t>
            </w:r>
            <w:r>
              <w:rPr>
                <w:rFonts w:ascii="Verdana" w:eastAsia="Arial" w:hAnsi="Verdana" w:cs="Arial"/>
                <w:lang w:val="es-MX" w:eastAsia="es-ES" w:bidi="es-ES"/>
              </w:rPr>
              <w:t xml:space="preserve"> </w:t>
            </w:r>
            <w:r>
              <w:rPr>
                <w:rFonts w:ascii="Verdana" w:hAnsi="Verdana" w:cs="Arial"/>
                <w:lang w:val="es-ES_tradnl" w:bidi="es-ES"/>
              </w:rPr>
              <w:t>a</w:t>
            </w:r>
            <w:r>
              <w:rPr>
                <w:rFonts w:ascii="Verdana" w:hAnsi="Verdana" w:cs="Arial"/>
                <w:bCs/>
                <w:lang w:val="es-ES_tradnl"/>
              </w:rPr>
              <w:t xml:space="preserve">unque gran parte de los aspectos relacionados con la gestión contractual se encuentran en el EGCAP y en decretos que lo desarrollan, los </w:t>
            </w:r>
            <w:r>
              <w:rPr>
                <w:rFonts w:ascii="Verdana" w:eastAsia="Arial" w:hAnsi="Verdana" w:cs="Arial"/>
                <w:lang w:val="es-MX" w:eastAsia="es-ES" w:bidi="es-ES"/>
              </w:rPr>
              <w:t>manuales de contratación</w:t>
            </w:r>
            <w:r>
              <w:rPr>
                <w:rFonts w:ascii="Verdana" w:hAnsi="Verdana" w:cs="Arial"/>
                <w:bCs/>
                <w:lang w:val="es-ES_tradnl"/>
              </w:rPr>
              <w:t xml:space="preserve"> establecen flujogramas en la estructuración de los procesos; asignan responsabilidades específicas en la proyección, revisión y aprobación de los documentos; unifican y estandarizan trámites internos; fijan directrices respecto a la gestión de los procesos y la ejecución de los contratos; entre otros.</w:t>
            </w:r>
          </w:p>
          <w:p w14:paraId="5FCCE632" w14:textId="77777777" w:rsidR="00273D05" w:rsidRDefault="00273D05" w:rsidP="00C13540">
            <w:pPr>
              <w:spacing w:after="120" w:line="276" w:lineRule="auto"/>
              <w:jc w:val="both"/>
              <w:rPr>
                <w:rFonts w:ascii="Verdana" w:hAnsi="Verdana" w:cs="Arial"/>
                <w:bCs/>
                <w:lang w:val="es-ES_tradnl"/>
              </w:rPr>
            </w:pPr>
            <w:r>
              <w:rPr>
                <w:rFonts w:ascii="Verdana" w:hAnsi="Verdana" w:cs="Arial"/>
                <w:bCs/>
                <w:lang w:val="es-ES_tradnl"/>
              </w:rPr>
              <w:lastRenderedPageBreak/>
              <w:tab/>
              <w:t xml:space="preserve">Al estar subordinados a la ley y al reglamento, los manuales de contratación no pueden modificar aspectos como </w:t>
            </w:r>
            <w:r w:rsidRPr="00CB68C5">
              <w:rPr>
                <w:rFonts w:ascii="Verdana" w:hAnsi="Verdana" w:cs="Arial"/>
              </w:rPr>
              <w:t>la capacidad jurídica</w:t>
            </w:r>
            <w:r>
              <w:rPr>
                <w:rFonts w:ascii="Verdana" w:hAnsi="Verdana" w:cs="Arial"/>
              </w:rPr>
              <w:t xml:space="preserve">               </w:t>
            </w:r>
            <w:r w:rsidRPr="00CB68C5">
              <w:rPr>
                <w:rFonts w:ascii="Verdana" w:hAnsi="Verdana" w:cs="Arial"/>
              </w:rPr>
              <w:t>–inhabilidades, incompatibilidades, consorcios y uniones temporales y registro único de proponentes–,</w:t>
            </w:r>
            <w:r>
              <w:rPr>
                <w:rFonts w:ascii="Verdana" w:hAnsi="Verdana" w:cs="Arial"/>
              </w:rPr>
              <w:t xml:space="preserve"> la competencia para contratar,</w:t>
            </w:r>
            <w:r w:rsidRPr="00CB68C5">
              <w:rPr>
                <w:rFonts w:ascii="Verdana" w:hAnsi="Verdana" w:cs="Arial"/>
              </w:rPr>
              <w:t xml:space="preserve"> las reglas de selección objetiva –procedimientos de selección–, </w:t>
            </w:r>
            <w:r>
              <w:rPr>
                <w:rFonts w:ascii="Verdana" w:hAnsi="Verdana" w:cs="Arial"/>
              </w:rPr>
              <w:t xml:space="preserve">el régimen de perfeccionamiento del contrato, </w:t>
            </w:r>
            <w:r w:rsidRPr="00CB68C5">
              <w:rPr>
                <w:rFonts w:ascii="Verdana" w:hAnsi="Verdana" w:cs="Arial"/>
              </w:rPr>
              <w:t>así como algunos aspectos de ejecución contractual –manejo del riesgo, cláusulas exorbitantes</w:t>
            </w:r>
            <w:r>
              <w:rPr>
                <w:rFonts w:ascii="Verdana" w:hAnsi="Verdana" w:cs="Arial"/>
              </w:rPr>
              <w:t>,</w:t>
            </w:r>
            <w:r w:rsidRPr="00CB68C5">
              <w:rPr>
                <w:rFonts w:ascii="Verdana" w:hAnsi="Verdana" w:cs="Arial"/>
              </w:rPr>
              <w:t xml:space="preserve"> tipologías contractuales</w:t>
            </w:r>
            <w:r>
              <w:rPr>
                <w:rFonts w:ascii="Verdana" w:hAnsi="Verdana" w:cs="Arial"/>
              </w:rPr>
              <w:t xml:space="preserve"> y garantías</w:t>
            </w:r>
            <w:r w:rsidRPr="00CB68C5">
              <w:rPr>
                <w:rFonts w:ascii="Verdana" w:hAnsi="Verdana" w:cs="Arial"/>
              </w:rPr>
              <w:t>–</w:t>
            </w:r>
            <w:r>
              <w:rPr>
                <w:rFonts w:ascii="Verdana" w:hAnsi="Verdana" w:cs="Arial"/>
              </w:rPr>
              <w:t>. No obstante, siempre que estén en consonancia con las normas de carácter superior, pueden regular aspectos operativos de la gestión de procesos y contratos al interior de la entidad.</w:t>
            </w:r>
            <w:r>
              <w:rPr>
                <w:rFonts w:ascii="Verdana" w:hAnsi="Verdana" w:cs="Arial"/>
                <w:bCs/>
                <w:lang w:val="es-ES_tradnl"/>
              </w:rPr>
              <w:t xml:space="preserve"> Esto último incluye directrices específicas sobre la debida diligencia en materia de contratación pública, sin perjuicio del cumplimiento del Decreto 1122 de 2024 para implementación del </w:t>
            </w:r>
            <w:r w:rsidRPr="0004276A">
              <w:rPr>
                <w:rFonts w:ascii="Verdana" w:eastAsia="Calibri" w:hAnsi="Verdana" w:cs="Arial"/>
                <w:lang w:val="es-ES"/>
              </w:rPr>
              <w:t>Programa de Transparencia y Ética Pública</w:t>
            </w:r>
            <w:r>
              <w:rPr>
                <w:rFonts w:ascii="Verdana" w:eastAsia="Calibri" w:hAnsi="Verdana" w:cs="Arial"/>
                <w:lang w:val="es-ES"/>
              </w:rPr>
              <w:t xml:space="preserve"> en los términos del</w:t>
            </w:r>
            <w:r w:rsidRPr="0004276A">
              <w:rPr>
                <w:rFonts w:ascii="Verdana" w:eastAsia="Calibri" w:hAnsi="Verdana" w:cs="Arial"/>
                <w:lang w:val="es-ES"/>
              </w:rPr>
              <w:t xml:space="preserve"> literal a) del artículo 73 de la Ley 1474 de 2011</w:t>
            </w:r>
            <w:r>
              <w:rPr>
                <w:rFonts w:ascii="Verdana" w:eastAsia="Calibri" w:hAnsi="Verdana" w:cs="Arial"/>
                <w:lang w:val="es-ES"/>
              </w:rPr>
              <w:t>. (Respuesta a las preguntas [1] y [3])</w:t>
            </w:r>
            <w:r>
              <w:rPr>
                <w:rFonts w:ascii="Verdana" w:hAnsi="Verdana" w:cs="Arial"/>
                <w:bCs/>
                <w:lang w:val="es-ES_tradnl"/>
              </w:rPr>
              <w:t xml:space="preserve">  </w:t>
            </w:r>
          </w:p>
          <w:p w14:paraId="52A7FFDA" w14:textId="77777777" w:rsidR="00273D05" w:rsidRPr="006B677A" w:rsidRDefault="00273D05" w:rsidP="00C13540">
            <w:pPr>
              <w:spacing w:after="120" w:line="276" w:lineRule="auto"/>
              <w:ind w:firstLine="709"/>
              <w:jc w:val="both"/>
              <w:rPr>
                <w:rFonts w:ascii="Verdana" w:eastAsia="Calibri" w:hAnsi="Verdana" w:cs="Arial"/>
                <w:color w:val="000000" w:themeColor="text1"/>
                <w:lang w:val="es-ES_tradnl"/>
              </w:rPr>
            </w:pPr>
            <w:r>
              <w:rPr>
                <w:rFonts w:ascii="Verdana" w:hAnsi="Verdana" w:cs="Arial"/>
                <w:bCs/>
                <w:lang w:val="es-ES_tradnl"/>
              </w:rPr>
              <w:t>Por lo demás, la Agencia no ha expedido orientaciones particulares sobre “[…]</w:t>
            </w:r>
            <w:r w:rsidRPr="000F0CB8">
              <w:rPr>
                <w:rFonts w:ascii="Verdana" w:hAnsi="Verdana" w:cs="Arial"/>
                <w:bCs/>
                <w:lang w:val="es-ES_tradnl"/>
              </w:rPr>
              <w:t xml:space="preserve"> la valoración y gestión de circunstancias tales como investigaciones administrativas, disciplinarias o fiscales en curso que no hayan culminado con una sanción, riesgos reputacionales, financieros, operacionales o de integridad identificados durante la etapa de selección, conflictos de interés potenciales o aparentes que, sin configurar una prohibición legal, puedan afectar la confianza en el proceso de contratación</w:t>
            </w:r>
            <w:r>
              <w:rPr>
                <w:rFonts w:ascii="Verdana" w:hAnsi="Verdana" w:cs="Arial"/>
                <w:bCs/>
                <w:lang w:val="es-ES_tradnl"/>
              </w:rPr>
              <w:t xml:space="preserve"> […]”. En todo caso, s</w:t>
            </w:r>
            <w:r w:rsidRPr="0003226F">
              <w:rPr>
                <w:rFonts w:ascii="Verdana" w:eastAsia="Calibri" w:hAnsi="Verdana" w:cs="Arial"/>
                <w:color w:val="000000" w:themeColor="text1"/>
                <w:lang w:val="es-ES_tradnl"/>
              </w:rPr>
              <w:t xml:space="preserve">i bien la Administración tiene facultad para disponer causales de exclusión de ofertas en sus procesos de selección, que consulten la necesidad de unas exigencias mínimas que deben satisfacer los proponentes para la ejecución del objeto contractual, lo cierto es que esas facultades no le permiten fijar requerimientos que al ser analizados a fondo puedan constituirse hechos o situaciones propias del régimen de inhabilidades o incompatibilidades, los cuales son de estricta reserva legal. </w:t>
            </w:r>
            <w:r>
              <w:rPr>
                <w:rFonts w:ascii="Verdana" w:eastAsia="Calibri" w:hAnsi="Verdana" w:cs="Arial"/>
                <w:color w:val="000000" w:themeColor="text1"/>
                <w:lang w:val="es-ES_tradnl"/>
              </w:rPr>
              <w:t xml:space="preserve">En consecuencia, dichos riesgos podrán mitigarse en las condiciones explicadas tanto en la </w:t>
            </w:r>
            <w:r>
              <w:rPr>
                <w:rFonts w:ascii="Verdana" w:hAnsi="Verdana" w:cs="Arial"/>
                <w:color w:val="000000" w:themeColor="text1"/>
              </w:rPr>
              <w:t>“</w:t>
            </w:r>
            <w:r w:rsidRPr="005B15C8">
              <w:rPr>
                <w:rFonts w:ascii="Verdana" w:hAnsi="Verdana" w:cs="Arial"/>
                <w:color w:val="000000" w:themeColor="text1"/>
              </w:rPr>
              <w:t>Guía para la Gestión Integral del Riesgo en Entidades Públicas – Versión</w:t>
            </w:r>
            <w:r>
              <w:rPr>
                <w:rFonts w:ascii="Verdana" w:hAnsi="Verdana" w:cs="Arial"/>
                <w:color w:val="000000" w:themeColor="text1"/>
              </w:rPr>
              <w:t xml:space="preserve"> 7”</w:t>
            </w:r>
            <w:r w:rsidRPr="005B15C8">
              <w:rPr>
                <w:rFonts w:ascii="Verdana" w:hAnsi="Verdana" w:cs="Arial"/>
                <w:color w:val="000000" w:themeColor="text1"/>
              </w:rPr>
              <w:t>, elaborada por el Departamento Administrativo de la Función Pública,</w:t>
            </w:r>
            <w:r>
              <w:rPr>
                <w:rFonts w:ascii="Verdana" w:eastAsia="Calibri" w:hAnsi="Verdana" w:cs="Arial"/>
                <w:color w:val="000000" w:themeColor="text1"/>
                <w:lang w:val="es-ES_tradnl"/>
              </w:rPr>
              <w:t xml:space="preserve"> como en el </w:t>
            </w:r>
            <w:r w:rsidRPr="00F24E53">
              <w:rPr>
                <w:rFonts w:ascii="Verdana" w:eastAsia="Calibri" w:hAnsi="Verdana" w:cs="Arial"/>
                <w:lang w:val="es-ES"/>
              </w:rPr>
              <w:t>Concepto del 27 de agosto de 2015</w:t>
            </w:r>
            <w:r>
              <w:rPr>
                <w:rFonts w:ascii="Verdana" w:eastAsia="Calibri" w:hAnsi="Verdana" w:cs="Arial"/>
                <w:lang w:val="es-ES"/>
              </w:rPr>
              <w:t xml:space="preserve"> de la </w:t>
            </w:r>
            <w:r w:rsidRPr="00FC74A2">
              <w:rPr>
                <w:rFonts w:ascii="Verdana" w:eastAsia="Calibri" w:hAnsi="Verdana" w:cs="Arial"/>
                <w:lang w:val="es-ES"/>
              </w:rPr>
              <w:t>Sala de Consulta y Servicio Civil</w:t>
            </w:r>
            <w:r>
              <w:rPr>
                <w:rFonts w:ascii="Verdana" w:eastAsia="Calibri" w:hAnsi="Verdana" w:cs="Arial"/>
                <w:lang w:val="es-ES"/>
              </w:rPr>
              <w:t xml:space="preserve"> del Consejo de Estado. (Respuesta a la pregunta [2])</w:t>
            </w:r>
            <w:r>
              <w:rPr>
                <w:rFonts w:ascii="Verdana" w:eastAsia="Calibri" w:hAnsi="Verdana" w:cs="Arial"/>
                <w:color w:val="000000" w:themeColor="text1"/>
                <w:lang w:val="es-ES_tradnl"/>
              </w:rPr>
              <w:t xml:space="preserve"> </w:t>
            </w:r>
          </w:p>
          <w:p w14:paraId="120F396C" w14:textId="77777777" w:rsidR="00273D05" w:rsidRPr="001941FD" w:rsidRDefault="00273D05" w:rsidP="00C13540">
            <w:pPr>
              <w:spacing w:line="276" w:lineRule="auto"/>
              <w:ind w:firstLine="737"/>
              <w:jc w:val="both"/>
              <w:rPr>
                <w:rFonts w:ascii="Verdana" w:eastAsia="Calibri" w:hAnsi="Verdana" w:cs="Arial"/>
                <w:bCs/>
                <w:color w:val="000000" w:themeColor="text1"/>
              </w:rPr>
            </w:pPr>
            <w:r w:rsidRPr="00A47393">
              <w:rPr>
                <w:rStyle w:val="s15"/>
                <w:rFonts w:ascii="Verdana" w:hAnsi="Verdana"/>
                <w:color w:val="000000"/>
              </w:rPr>
              <w:t xml:space="preserve">Al margen de la explicación precedente debe advertirse que el análisis requerido para resolver problemas específicos en torno a la gestión contractual </w:t>
            </w:r>
            <w:r w:rsidRPr="00A47393">
              <w:rPr>
                <w:rStyle w:val="s15"/>
                <w:rFonts w:ascii="Verdana" w:hAnsi="Verdana"/>
                <w:color w:val="000000"/>
              </w:rPr>
              <w:lastRenderedPageBreak/>
              <w:t>de las entidades públicas debe ser realizado por quienes tengan interés en ello, de acuerdo con lo explicado la aclaración preliminar del presente oficio. Por lo anterior, previo concepto de sus asesores, la solución de situaciones particulares corresponde a los interesados adoptar la decisión correspondiente y, en caso de conflicto, a las autoridades judiciales, fiscales y disciplinarias. Así, cada entidad definirá la forma de adelantar su gestión contractual, sin que sea atribución de Colombia Compra Eficiente validar sus actuaciones.</w:t>
            </w:r>
          </w:p>
        </w:tc>
      </w:tr>
    </w:tbl>
    <w:p w14:paraId="2FD09793" w14:textId="77777777" w:rsidR="00273D05" w:rsidRPr="00593A5F" w:rsidRDefault="00273D05" w:rsidP="00273D05">
      <w:pPr>
        <w:tabs>
          <w:tab w:val="left" w:pos="142"/>
          <w:tab w:val="left" w:pos="284"/>
        </w:tabs>
        <w:spacing w:after="0" w:line="276" w:lineRule="auto"/>
        <w:jc w:val="both"/>
        <w:rPr>
          <w:rFonts w:ascii="Verdana" w:eastAsia="Century Gothic" w:hAnsi="Verdana" w:cs="Century Gothic"/>
          <w:b/>
          <w:bCs/>
          <w:lang w:val="es-ES"/>
        </w:rPr>
      </w:pPr>
    </w:p>
    <w:bookmarkEnd w:id="1"/>
    <w:p w14:paraId="7053BAE4" w14:textId="77777777" w:rsidR="00273D05" w:rsidRPr="00593A5F" w:rsidRDefault="00273D05" w:rsidP="00273D05">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Razones de la respuesta:</w:t>
      </w:r>
    </w:p>
    <w:p w14:paraId="5735AA86" w14:textId="77777777" w:rsidR="00273D05" w:rsidRPr="00593A5F" w:rsidRDefault="00273D05" w:rsidP="00273D05">
      <w:pPr>
        <w:spacing w:after="0" w:line="276" w:lineRule="auto"/>
        <w:jc w:val="both"/>
        <w:rPr>
          <w:rFonts w:ascii="Verdana" w:eastAsia="Calibri" w:hAnsi="Verdana" w:cs="Arial"/>
          <w:color w:val="7030A0"/>
          <w:lang w:val="es-ES"/>
        </w:rPr>
      </w:pPr>
    </w:p>
    <w:p w14:paraId="40DBAD86" w14:textId="77777777" w:rsidR="00273D05" w:rsidRDefault="00273D05" w:rsidP="00273D05">
      <w:pPr>
        <w:spacing w:after="0" w:line="276" w:lineRule="auto"/>
        <w:jc w:val="both"/>
        <w:rPr>
          <w:rFonts w:ascii="Verdana" w:eastAsia="Calibri" w:hAnsi="Verdana" w:cs="Arial"/>
          <w:lang w:val="es-ES"/>
        </w:rPr>
      </w:pPr>
      <w:r w:rsidRPr="00B96799">
        <w:rPr>
          <w:rFonts w:ascii="Verdana" w:eastAsia="Calibri" w:hAnsi="Verdana" w:cs="Arial"/>
          <w:lang w:val="es-ES"/>
        </w:rPr>
        <w:t>Lo anterior se sustenta en las siguientes consideraciones:</w:t>
      </w:r>
    </w:p>
    <w:p w14:paraId="469CB529" w14:textId="77777777" w:rsidR="00273D05" w:rsidRPr="00415608" w:rsidRDefault="00273D05" w:rsidP="00273D05">
      <w:pPr>
        <w:spacing w:after="0" w:line="276" w:lineRule="auto"/>
        <w:jc w:val="both"/>
        <w:rPr>
          <w:rFonts w:ascii="Verdana" w:eastAsia="Calibri" w:hAnsi="Verdana" w:cs="Arial"/>
          <w:lang w:val="es-ES"/>
        </w:rPr>
      </w:pPr>
    </w:p>
    <w:p w14:paraId="04DECAAD" w14:textId="77777777" w:rsidR="00273D05" w:rsidRDefault="00273D05" w:rsidP="00273D05">
      <w:pPr>
        <w:spacing w:after="120" w:line="276" w:lineRule="auto"/>
        <w:jc w:val="both"/>
        <w:rPr>
          <w:rFonts w:ascii="Verdana" w:eastAsia="Calibri" w:hAnsi="Verdana" w:cs="Arial"/>
          <w:lang w:val="es-ES"/>
        </w:rPr>
      </w:pPr>
      <w:r>
        <w:rPr>
          <w:rFonts w:ascii="Verdana" w:eastAsia="Calibri" w:hAnsi="Verdana" w:cs="Arial"/>
          <w:lang w:val="es-ES"/>
        </w:rPr>
        <w:t xml:space="preserve">i. </w:t>
      </w:r>
      <w:r w:rsidRPr="0004276A">
        <w:rPr>
          <w:rFonts w:ascii="Verdana" w:eastAsia="Calibri" w:hAnsi="Verdana" w:cs="Arial"/>
          <w:lang w:val="es-ES"/>
        </w:rPr>
        <w:t>Conforme al literal a) del artículo 73 de la Ley 1474 de 2011, modificado por el artículo 31 de la Ley 2195 de 2022, “Cada entidad del orden nacional, departamental y municipal, cualquiera que sea su régimen de contratación, deberá implementar Programas de Transparencia y Ética Pública con el fin de promover la cultura de la legalidad</w:t>
      </w:r>
      <w:r w:rsidRPr="00E7047B">
        <w:rPr>
          <w:rFonts w:ascii="Verdana" w:eastAsia="Calibri" w:hAnsi="Verdana" w:cs="Arial"/>
          <w:lang w:val="es-ES"/>
        </w:rPr>
        <w:t xml:space="preserve"> e identificar, medir, controlar y monitorear constantemente el riesgo de corrupción en el desarrollo de su misionalidad</w:t>
      </w:r>
      <w:r>
        <w:rPr>
          <w:rFonts w:ascii="Verdana" w:eastAsia="Calibri" w:hAnsi="Verdana" w:cs="Arial"/>
          <w:lang w:val="es-ES"/>
        </w:rPr>
        <w:t xml:space="preserve"> […]”. Este programa incluye, entre otros aspectos, las “</w:t>
      </w:r>
      <w:r w:rsidRPr="00E7047B">
        <w:rPr>
          <w:rFonts w:ascii="Verdana" w:eastAsia="Calibri" w:hAnsi="Verdana" w:cs="Arial"/>
          <w:lang w:val="es-ES"/>
        </w:rPr>
        <w:t>Medidas de debida diligencia en las entidades del sector público</w:t>
      </w:r>
      <w:r>
        <w:rPr>
          <w:rFonts w:ascii="Verdana" w:eastAsia="Calibri" w:hAnsi="Verdana" w:cs="Arial"/>
          <w:lang w:val="es-ES"/>
        </w:rPr>
        <w:t xml:space="preserve">”. </w:t>
      </w:r>
    </w:p>
    <w:p w14:paraId="72120E16" w14:textId="77777777" w:rsidR="00273D05" w:rsidRDefault="00273D05" w:rsidP="00273D05">
      <w:pPr>
        <w:spacing w:after="0" w:line="276" w:lineRule="auto"/>
        <w:jc w:val="both"/>
        <w:rPr>
          <w:rFonts w:ascii="Verdana" w:hAnsi="Verdana"/>
        </w:rPr>
      </w:pPr>
      <w:r>
        <w:rPr>
          <w:rFonts w:ascii="Verdana" w:hAnsi="Verdana"/>
        </w:rPr>
        <w:tab/>
        <w:t>Así, de acuerdo con el inciso primero del artículo 12 de la Ley 2195 de 2022, “</w:t>
      </w:r>
      <w:r w:rsidRPr="00D63BE2">
        <w:rPr>
          <w:rFonts w:ascii="Verdana" w:hAnsi="Verdana"/>
        </w:rPr>
        <w:t xml:space="preserve">La Entidad del Estado y la persona natural, persona jurídica o estructura sin personería jurídica o similar, que tenga la obligación de implementar un sistema de prevención, gestión o administración del riesgo de lavado de activos, financiación del terrorismo y proliferación de armas o que tengan la obligación de entregar información al Registro Único de Beneficiarios Finales (RUB), debe llevar a cabo medidas de debida diligencia </w:t>
      </w:r>
      <w:r>
        <w:rPr>
          <w:rFonts w:ascii="Verdana" w:hAnsi="Verdana"/>
        </w:rPr>
        <w:t xml:space="preserve">[…]”. Por ello, debe solicitar la </w:t>
      </w:r>
      <w:r w:rsidRPr="00126A69">
        <w:rPr>
          <w:rFonts w:ascii="Verdana" w:hAnsi="Verdana"/>
        </w:rPr>
        <w:t>siguiente información:</w:t>
      </w:r>
    </w:p>
    <w:p w14:paraId="39B34785" w14:textId="77777777" w:rsidR="00273D05" w:rsidRPr="00126A69" w:rsidRDefault="00273D05" w:rsidP="00273D05">
      <w:pPr>
        <w:spacing w:after="0" w:line="276" w:lineRule="auto"/>
        <w:jc w:val="both"/>
        <w:rPr>
          <w:rFonts w:ascii="Verdana" w:hAnsi="Verdana"/>
        </w:rPr>
      </w:pPr>
    </w:p>
    <w:p w14:paraId="2DCB97F4" w14:textId="77777777" w:rsidR="00273D05" w:rsidRPr="00126A69" w:rsidRDefault="00273D05" w:rsidP="00273D05">
      <w:pPr>
        <w:spacing w:after="120" w:line="240" w:lineRule="auto"/>
        <w:ind w:left="709" w:right="709"/>
        <w:jc w:val="both"/>
        <w:rPr>
          <w:rFonts w:ascii="Verdana" w:hAnsi="Verdana"/>
          <w:sz w:val="21"/>
          <w:szCs w:val="21"/>
        </w:rPr>
      </w:pPr>
      <w:r w:rsidRPr="00126A69">
        <w:rPr>
          <w:rFonts w:ascii="Verdana" w:hAnsi="Verdana"/>
          <w:sz w:val="21"/>
          <w:szCs w:val="21"/>
        </w:rPr>
        <w:t xml:space="preserve">“1. Identificar la persona natural, persona jurídica, estructura sin personería jurídica o similar con la que se celebre el negocio jurídico o el contrato estatal. </w:t>
      </w:r>
    </w:p>
    <w:p w14:paraId="76912EEC" w14:textId="77777777" w:rsidR="00273D05" w:rsidRPr="00126A69" w:rsidRDefault="00273D05" w:rsidP="00273D05">
      <w:pPr>
        <w:spacing w:after="120" w:line="240" w:lineRule="auto"/>
        <w:ind w:left="709" w:right="709"/>
        <w:jc w:val="both"/>
        <w:rPr>
          <w:rFonts w:ascii="Verdana" w:hAnsi="Verdana"/>
          <w:sz w:val="21"/>
          <w:szCs w:val="21"/>
        </w:rPr>
      </w:pPr>
      <w:r w:rsidRPr="00126A69">
        <w:rPr>
          <w:rFonts w:ascii="Verdana" w:hAnsi="Verdana"/>
          <w:sz w:val="21"/>
          <w:szCs w:val="21"/>
        </w:rPr>
        <w:t xml:space="preserve">2. Identificar el/los beneficiarios(s) final(es) y la estructura de titularidad y control de la persona jurídica, estructura sin personería jurídica o similar con la que se celebre el negocio jurídico o el contrato estatal, y tomar medidas razonables para verificar la información reportada. </w:t>
      </w:r>
    </w:p>
    <w:p w14:paraId="3AC21848" w14:textId="77777777" w:rsidR="00273D05" w:rsidRPr="00126A69" w:rsidRDefault="00273D05" w:rsidP="00273D05">
      <w:pPr>
        <w:spacing w:after="120" w:line="240" w:lineRule="auto"/>
        <w:ind w:left="709" w:right="709"/>
        <w:jc w:val="both"/>
        <w:rPr>
          <w:rFonts w:ascii="Verdana" w:hAnsi="Verdana"/>
          <w:sz w:val="21"/>
          <w:szCs w:val="21"/>
        </w:rPr>
      </w:pPr>
      <w:r w:rsidRPr="00126A69">
        <w:rPr>
          <w:rFonts w:ascii="Verdana" w:hAnsi="Verdana"/>
          <w:sz w:val="21"/>
          <w:szCs w:val="21"/>
        </w:rPr>
        <w:lastRenderedPageBreak/>
        <w:t xml:space="preserve">3. Solicitar y obtener información que permita conocer el objetivo que se pretende con el negocio jurídico o el contrato estatal. Cuando la entidad estatal sea la contratante debe obtener la información que permita entender el objeto social del contratista. </w:t>
      </w:r>
    </w:p>
    <w:p w14:paraId="432A686F" w14:textId="77777777" w:rsidR="00273D05" w:rsidRPr="00126A69" w:rsidRDefault="00273D05" w:rsidP="00273D05">
      <w:pPr>
        <w:spacing w:after="0" w:line="240" w:lineRule="auto"/>
        <w:ind w:left="709" w:right="709"/>
        <w:jc w:val="both"/>
        <w:rPr>
          <w:rFonts w:ascii="Verdana" w:hAnsi="Verdana"/>
          <w:sz w:val="21"/>
          <w:szCs w:val="21"/>
        </w:rPr>
      </w:pPr>
      <w:r w:rsidRPr="00126A69">
        <w:rPr>
          <w:rFonts w:ascii="Verdana" w:hAnsi="Verdana"/>
          <w:sz w:val="21"/>
          <w:szCs w:val="21"/>
        </w:rPr>
        <w:t>4. Realizar una debida diligencia de manera continua del negocio jurídico o el contrato estatal, examinando las transacciones llevadas a cabo a lo largo de esa relación para asegurar que las transacciones sean consistentes con el conocimiento de la persona natural, persona jurídica, estructura sin personería jurídica o similar con la que se realiza el negocio jurídico o el contrato estatal, su actividad comercial, perfil de riesgo y fuente de los fondos”.</w:t>
      </w:r>
    </w:p>
    <w:p w14:paraId="4CF541D7" w14:textId="77777777" w:rsidR="00273D05" w:rsidRDefault="00273D05" w:rsidP="00273D05">
      <w:pPr>
        <w:spacing w:after="0" w:line="276" w:lineRule="auto"/>
        <w:jc w:val="both"/>
        <w:rPr>
          <w:rFonts w:ascii="Verdana" w:hAnsi="Verdana"/>
        </w:rPr>
      </w:pPr>
    </w:p>
    <w:p w14:paraId="77EBB4F0" w14:textId="77777777" w:rsidR="00273D05" w:rsidRDefault="00273D05" w:rsidP="00273D05">
      <w:pPr>
        <w:spacing w:after="120" w:line="276" w:lineRule="auto"/>
        <w:jc w:val="both"/>
        <w:rPr>
          <w:rFonts w:ascii="Verdana" w:hAnsi="Verdana"/>
        </w:rPr>
      </w:pPr>
      <w:r>
        <w:rPr>
          <w:rFonts w:ascii="Verdana" w:hAnsi="Verdana"/>
        </w:rPr>
        <w:tab/>
        <w:t xml:space="preserve">En caso de que exista reserva documental, el manejo deberá realizarse conforme a las Leyes 1437 de 2011, 1581 de 2012 y 1712 de 2014, pues de los artículos 12 y 31 de la Ley 2195 de 2022 no se desprende excepción alguna para la consulta datos clasificados; razón por la cual, el deber de debida diligencia se cumple en marco de la información que tenga carácter público. En todo caso, es necesario tener en cuenta que “[…] </w:t>
      </w:r>
      <w:r w:rsidRPr="000D2814">
        <w:rPr>
          <w:rFonts w:ascii="Verdana" w:hAnsi="Verdana"/>
        </w:rPr>
        <w:t xml:space="preserve">las autoridades de la rama ejecutiva que ejerzan funciones de inspección, vigilancia y control sobre los sujetos obligados </w:t>
      </w:r>
      <w:r>
        <w:rPr>
          <w:rFonts w:ascii="Verdana" w:hAnsi="Verdana"/>
        </w:rPr>
        <w:t>[…]</w:t>
      </w:r>
      <w:r w:rsidRPr="000D2814">
        <w:rPr>
          <w:rFonts w:ascii="Verdana" w:hAnsi="Verdana"/>
        </w:rPr>
        <w:t xml:space="preserve"> definirán las condiciones específicas que deben tener en cuenta sus vigilados o supervisados para adelantar el proceso de debida diligencia</w:t>
      </w:r>
      <w:r>
        <w:rPr>
          <w:rFonts w:ascii="Verdana" w:hAnsi="Verdana"/>
        </w:rPr>
        <w:t xml:space="preserve">” –Par. 1 del art. 12 de la Ley 2195 de 2022–. </w:t>
      </w:r>
    </w:p>
    <w:p w14:paraId="2889413E" w14:textId="77777777" w:rsidR="00273D05" w:rsidRDefault="00273D05" w:rsidP="00273D05">
      <w:pPr>
        <w:spacing w:after="120" w:line="276" w:lineRule="auto"/>
        <w:jc w:val="both"/>
        <w:rPr>
          <w:rFonts w:ascii="Verdana" w:hAnsi="Verdana"/>
        </w:rPr>
      </w:pPr>
      <w:r>
        <w:rPr>
          <w:rFonts w:ascii="Verdana" w:hAnsi="Verdana"/>
        </w:rPr>
        <w:tab/>
        <w:t>El deber de debida diligencia es independiente de la tipología contractual y aplica a las entidades públicas al margen de su régimen de contratación, sin que los artículos 12 y 31 de la Ley 2195 de 2022 establezcan un trato diferenciado respecto a los negocios suscritos. También se extiende a los instrumentos de agregación de demanda estructurados por la Agencia. Es este último evento, dada la ausencia de regulación legal, la debida diligencia será adelantada en la operación primara y/o secundaria en las condiciones que defina la Subdirección de Negocios al estructurar los documentos del proceso.</w:t>
      </w:r>
    </w:p>
    <w:p w14:paraId="3498AA23" w14:textId="77777777" w:rsidR="00273D05" w:rsidRDefault="00273D05" w:rsidP="00273D05">
      <w:pPr>
        <w:spacing w:after="120" w:line="276" w:lineRule="auto"/>
        <w:ind w:firstLine="708"/>
        <w:jc w:val="both"/>
        <w:rPr>
          <w:rFonts w:ascii="Verdana" w:hAnsi="Verdana"/>
        </w:rPr>
      </w:pPr>
      <w:r>
        <w:rPr>
          <w:rFonts w:ascii="Verdana" w:hAnsi="Verdana"/>
        </w:rPr>
        <w:t xml:space="preserve">Sin perjuicio de lo que explique la Secretaría de Transparencia de la Presidencia de la República como impulsora del proyecto del ley, el seguimiento recae sobre la “[…] </w:t>
      </w:r>
      <w:r w:rsidRPr="008D44C6">
        <w:rPr>
          <w:rFonts w:ascii="Verdana" w:hAnsi="Verdana"/>
        </w:rPr>
        <w:t xml:space="preserve">persona natural, persona jurídica, estructura sin personería jurídica o similar con la que se celebre </w:t>
      </w:r>
      <w:r>
        <w:rPr>
          <w:rFonts w:ascii="Verdana" w:hAnsi="Verdana"/>
        </w:rPr>
        <w:t>[…]</w:t>
      </w:r>
      <w:r w:rsidRPr="008D44C6">
        <w:rPr>
          <w:rFonts w:ascii="Verdana" w:hAnsi="Verdana"/>
        </w:rPr>
        <w:t xml:space="preserve"> el contrato estatal</w:t>
      </w:r>
      <w:r>
        <w:rPr>
          <w:rFonts w:ascii="Verdana" w:hAnsi="Verdana"/>
        </w:rPr>
        <w:t>”, de manera que sólo incluye a los contratistas del Estado, no a los subcontratistas dado que se trata de un negocio entre particulares.</w:t>
      </w:r>
      <w:r w:rsidRPr="008D44C6">
        <w:rPr>
          <w:rFonts w:ascii="Verdana" w:hAnsi="Verdana"/>
        </w:rPr>
        <w:t xml:space="preserve"> </w:t>
      </w:r>
      <w:r>
        <w:rPr>
          <w:rFonts w:ascii="Verdana" w:hAnsi="Verdana"/>
        </w:rPr>
        <w:t>Si existe algún hallazgo, además de acatar las directrices del antecitado parágrafo</w:t>
      </w:r>
      <w:r w:rsidRPr="00FE6BB2">
        <w:rPr>
          <w:rFonts w:ascii="Verdana" w:hAnsi="Verdana"/>
        </w:rPr>
        <w:t xml:space="preserve"> 1 del art</w:t>
      </w:r>
      <w:r>
        <w:rPr>
          <w:rFonts w:ascii="Verdana" w:hAnsi="Verdana"/>
        </w:rPr>
        <w:t>ículo</w:t>
      </w:r>
      <w:r w:rsidRPr="00FE6BB2">
        <w:rPr>
          <w:rFonts w:ascii="Verdana" w:hAnsi="Verdana"/>
        </w:rPr>
        <w:t xml:space="preserve"> 12 de la </w:t>
      </w:r>
      <w:r>
        <w:rPr>
          <w:rFonts w:ascii="Verdana" w:hAnsi="Verdana"/>
        </w:rPr>
        <w:t>Ley 2195</w:t>
      </w:r>
      <w:r w:rsidRPr="00FE6BB2">
        <w:rPr>
          <w:rFonts w:ascii="Verdana" w:hAnsi="Verdana"/>
        </w:rPr>
        <w:t xml:space="preserve"> </w:t>
      </w:r>
      <w:r w:rsidRPr="00FE6BB2">
        <w:rPr>
          <w:rFonts w:ascii="Verdana" w:hAnsi="Verdana"/>
        </w:rPr>
        <w:lastRenderedPageBreak/>
        <w:t>de 2022</w:t>
      </w:r>
      <w:r>
        <w:rPr>
          <w:rFonts w:ascii="Verdana" w:hAnsi="Verdana"/>
        </w:rPr>
        <w:t>, debe reportarse a la fiscalía para que inicie el trámite del proceso penal en cumplimiento del deber de denuncia de que trata el artículo 67 de la Ley 906 de 2004</w:t>
      </w:r>
      <w:r>
        <w:rPr>
          <w:rStyle w:val="Refdenotaalpie"/>
          <w:rFonts w:ascii="Verdana" w:hAnsi="Verdana"/>
        </w:rPr>
        <w:footnoteReference w:id="1"/>
      </w:r>
      <w:r>
        <w:rPr>
          <w:rFonts w:ascii="Verdana" w:hAnsi="Verdana"/>
        </w:rPr>
        <w:t xml:space="preserve">. </w:t>
      </w:r>
    </w:p>
    <w:p w14:paraId="5FC3C68C" w14:textId="77777777" w:rsidR="00273D05" w:rsidRDefault="00273D05" w:rsidP="00273D05">
      <w:pPr>
        <w:spacing w:after="120" w:line="276" w:lineRule="auto"/>
        <w:jc w:val="both"/>
        <w:rPr>
          <w:rFonts w:ascii="Verdana" w:hAnsi="Verdana"/>
        </w:rPr>
      </w:pPr>
      <w:r>
        <w:rPr>
          <w:rFonts w:ascii="Verdana" w:hAnsi="Verdana"/>
        </w:rPr>
        <w:tab/>
        <w:t xml:space="preserve">De acuerdo con el </w:t>
      </w:r>
      <w:r w:rsidRPr="008E1B68">
        <w:rPr>
          <w:rFonts w:ascii="Verdana" w:hAnsi="Verdana"/>
        </w:rPr>
        <w:t xml:space="preserve">parágrafo 5 del artículo 12 de la </w:t>
      </w:r>
      <w:r>
        <w:rPr>
          <w:rFonts w:ascii="Verdana" w:hAnsi="Verdana"/>
        </w:rPr>
        <w:t>Ley 2195</w:t>
      </w:r>
      <w:r w:rsidRPr="008E1B68">
        <w:rPr>
          <w:rFonts w:ascii="Verdana" w:hAnsi="Verdana"/>
        </w:rPr>
        <w:t xml:space="preserve"> de 2022, “El incumplimiento de las disposiciones del presente artículo acarreará las sanciones respectivas previstas por cada una de las autoridades que ejerzan funciones de inspección, vigilancia y control para los obligados a cumplirlas</w:t>
      </w:r>
      <w:r>
        <w:rPr>
          <w:rFonts w:ascii="Verdana" w:hAnsi="Verdana"/>
        </w:rPr>
        <w:t xml:space="preserve">”; razón por la cual, la forma de mitigar este riesgo es cumplir con las obligaciones de debida diligencia en el marco del programa </w:t>
      </w:r>
      <w:r w:rsidRPr="008E1B68">
        <w:rPr>
          <w:rFonts w:ascii="Verdana" w:hAnsi="Verdana"/>
        </w:rPr>
        <w:t>de transparencia y ética pública</w:t>
      </w:r>
      <w:r>
        <w:rPr>
          <w:rFonts w:ascii="Verdana" w:hAnsi="Verdana"/>
        </w:rPr>
        <w:t xml:space="preserve"> </w:t>
      </w:r>
      <w:r>
        <w:rPr>
          <w:rFonts w:ascii="Verdana" w:eastAsia="Calibri" w:hAnsi="Verdana" w:cs="Arial"/>
        </w:rPr>
        <w:t>del</w:t>
      </w:r>
      <w:r>
        <w:rPr>
          <w:rFonts w:ascii="Verdana" w:eastAsia="Calibri" w:hAnsi="Verdana" w:cs="Arial"/>
          <w:lang w:val="es-ES"/>
        </w:rPr>
        <w:t xml:space="preserve"> literal a) del artículo 73 de la Ley 1474 de 2011</w:t>
      </w:r>
      <w:r w:rsidRPr="008E1B68">
        <w:rPr>
          <w:rFonts w:ascii="Verdana" w:hAnsi="Verdana"/>
        </w:rPr>
        <w:t>.</w:t>
      </w:r>
      <w:r>
        <w:rPr>
          <w:rFonts w:ascii="Verdana" w:hAnsi="Verdana"/>
        </w:rPr>
        <w:t xml:space="preserve"> Como se trata de un deber que deben cumplir las entidades contratantes, de las normas citadas no se desprende una centralización del mismo en cabeza de los órganos de control.</w:t>
      </w:r>
    </w:p>
    <w:p w14:paraId="74A4CDC9" w14:textId="77777777" w:rsidR="00273D05" w:rsidRDefault="00273D05" w:rsidP="00273D05">
      <w:pPr>
        <w:spacing w:after="0" w:line="276" w:lineRule="auto"/>
        <w:jc w:val="both"/>
        <w:rPr>
          <w:rFonts w:ascii="Verdana" w:hAnsi="Verdana"/>
        </w:rPr>
      </w:pPr>
      <w:r>
        <w:rPr>
          <w:rFonts w:ascii="Verdana" w:hAnsi="Verdana"/>
        </w:rPr>
        <w:tab/>
        <w:t>Asimismo, en el marco de los artículos 14 y 15 de la Ley 2195</w:t>
      </w:r>
      <w:r w:rsidRPr="006666CB">
        <w:rPr>
          <w:rFonts w:ascii="Verdana" w:hAnsi="Verdana"/>
        </w:rPr>
        <w:t xml:space="preserve"> de 2022</w:t>
      </w:r>
      <w:r>
        <w:rPr>
          <w:rFonts w:ascii="Verdana" w:hAnsi="Verdana"/>
        </w:rPr>
        <w:t xml:space="preserve">, el ordenamiento jurídico ha regulado </w:t>
      </w:r>
      <w:r w:rsidRPr="006666CB">
        <w:rPr>
          <w:rFonts w:ascii="Verdana" w:hAnsi="Verdana"/>
        </w:rPr>
        <w:t>sistemas de intercambio de información, articulación y colaboración para la lucha contra la corrupción</w:t>
      </w:r>
      <w:r>
        <w:rPr>
          <w:rFonts w:ascii="Verdana" w:hAnsi="Verdana"/>
        </w:rPr>
        <w:t>. L</w:t>
      </w:r>
      <w:r w:rsidRPr="00CD6FA1">
        <w:rPr>
          <w:rFonts w:ascii="Verdana" w:hAnsi="Verdana"/>
        </w:rPr>
        <w:t xml:space="preserve">a Secretaría de Transparencia de la Presidencia de la República </w:t>
      </w:r>
      <w:r>
        <w:rPr>
          <w:rFonts w:ascii="Verdana" w:hAnsi="Verdana"/>
        </w:rPr>
        <w:t>tiene la</w:t>
      </w:r>
      <w:r w:rsidRPr="00CD6FA1">
        <w:rPr>
          <w:rFonts w:ascii="Verdana" w:hAnsi="Verdana"/>
        </w:rPr>
        <w:t xml:space="preserve"> administra</w:t>
      </w:r>
      <w:r>
        <w:rPr>
          <w:rFonts w:ascii="Verdana" w:hAnsi="Verdana"/>
        </w:rPr>
        <w:t xml:space="preserve">ción </w:t>
      </w:r>
      <w:r w:rsidRPr="00CD6FA1">
        <w:rPr>
          <w:rFonts w:ascii="Verdana" w:hAnsi="Verdana"/>
        </w:rPr>
        <w:t>y desarroll</w:t>
      </w:r>
      <w:r>
        <w:rPr>
          <w:rFonts w:ascii="Verdana" w:hAnsi="Verdana"/>
        </w:rPr>
        <w:t>o</w:t>
      </w:r>
      <w:r w:rsidRPr="00CD6FA1">
        <w:rPr>
          <w:rFonts w:ascii="Verdana" w:hAnsi="Verdana"/>
        </w:rPr>
        <w:t xml:space="preserve"> </w:t>
      </w:r>
      <w:r>
        <w:rPr>
          <w:rFonts w:ascii="Verdana" w:hAnsi="Verdana"/>
        </w:rPr>
        <w:t>d</w:t>
      </w:r>
      <w:r w:rsidRPr="00CD6FA1">
        <w:rPr>
          <w:rFonts w:ascii="Verdana" w:hAnsi="Verdana"/>
        </w:rPr>
        <w:t>el observatorio anticorrupción</w:t>
      </w:r>
      <w:r>
        <w:rPr>
          <w:rFonts w:ascii="Verdana" w:hAnsi="Verdana"/>
        </w:rPr>
        <w:t xml:space="preserve">, mientras que la </w:t>
      </w:r>
      <w:r w:rsidRPr="00CD6FA1">
        <w:rPr>
          <w:rFonts w:ascii="Verdana" w:hAnsi="Verdana"/>
        </w:rPr>
        <w:t>Procuraduría General de la Nación</w:t>
      </w:r>
      <w:r>
        <w:rPr>
          <w:rFonts w:ascii="Verdana" w:hAnsi="Verdana"/>
        </w:rPr>
        <w:t xml:space="preserve"> tiene a cargo el s</w:t>
      </w:r>
      <w:r w:rsidRPr="00CD6FA1">
        <w:rPr>
          <w:rFonts w:ascii="Verdana" w:hAnsi="Verdana"/>
        </w:rPr>
        <w:t>istema de detección y alertas para combatir el incremento patrimonial no justificado de servidores públicos</w:t>
      </w:r>
      <w:r>
        <w:rPr>
          <w:rStyle w:val="Refdenotaalpie"/>
          <w:rFonts w:ascii="Verdana" w:hAnsi="Verdana"/>
        </w:rPr>
        <w:footnoteReference w:id="2"/>
      </w:r>
      <w:r>
        <w:rPr>
          <w:rFonts w:ascii="Verdana" w:hAnsi="Verdana"/>
        </w:rPr>
        <w:t xml:space="preserve">. Ambos se desarrollan bajo el criterio de interoperabilidad, por lo que son un insumo importante para el deber de debida diligencia. </w:t>
      </w:r>
    </w:p>
    <w:p w14:paraId="71778B8E" w14:textId="77777777" w:rsidR="00273D05" w:rsidRDefault="00273D05" w:rsidP="00273D05">
      <w:pPr>
        <w:spacing w:after="0" w:line="276" w:lineRule="auto"/>
        <w:jc w:val="both"/>
        <w:rPr>
          <w:rFonts w:ascii="Verdana" w:eastAsia="Calibri" w:hAnsi="Verdana" w:cs="Arial"/>
          <w:color w:val="000000" w:themeColor="text1"/>
          <w:lang w:eastAsia="es-ES"/>
        </w:rPr>
      </w:pPr>
    </w:p>
    <w:p w14:paraId="1231CA3D" w14:textId="77777777" w:rsidR="00273D05" w:rsidRPr="009E462E" w:rsidRDefault="00273D05" w:rsidP="00273D05">
      <w:pPr>
        <w:spacing w:after="120" w:line="276" w:lineRule="auto"/>
        <w:jc w:val="both"/>
        <w:rPr>
          <w:rFonts w:ascii="Verdana" w:eastAsia="Calibri" w:hAnsi="Verdana" w:cs="Arial"/>
          <w:color w:val="000000" w:themeColor="text1"/>
          <w:lang w:val="es-ES_tradnl"/>
        </w:rPr>
      </w:pPr>
      <w:proofErr w:type="spellStart"/>
      <w:r>
        <w:rPr>
          <w:rFonts w:ascii="Verdana" w:eastAsia="Calibri" w:hAnsi="Verdana" w:cs="Arial"/>
          <w:color w:val="000000" w:themeColor="text1"/>
          <w:lang w:eastAsia="es-ES"/>
        </w:rPr>
        <w:lastRenderedPageBreak/>
        <w:t>ii</w:t>
      </w:r>
      <w:proofErr w:type="spellEnd"/>
      <w:r>
        <w:rPr>
          <w:rFonts w:ascii="Verdana" w:eastAsia="Calibri" w:hAnsi="Verdana" w:cs="Arial"/>
          <w:color w:val="000000" w:themeColor="text1"/>
          <w:lang w:eastAsia="es-ES"/>
        </w:rPr>
        <w:t xml:space="preserve">. </w:t>
      </w:r>
      <w:r w:rsidRPr="009E462E">
        <w:rPr>
          <w:rFonts w:ascii="Verdana" w:eastAsia="Calibri" w:hAnsi="Verdana" w:cs="Arial"/>
          <w:color w:val="000000" w:themeColor="text1"/>
          <w:lang w:val="es-ES_tradnl"/>
        </w:rPr>
        <w:t>Conforme al inciso 1 del artículo 209 de la Constitución Política de Colombia, la función administrativa está al servicio de los intereses generales y se desarrolla, entre otros, con fundamento en el principio de imparcialidad. En este sentido, el numeral 3 del artículo 3 de la Ley 1437 de 2011 prescribe que “En virtud del principio de imparcialidad, las autoridades deberán actuar teniendo en cuenta que la finalidad de los procedimientos consiste en asegurar y garantizar los derechos de todas las personas sin discriminación alguna y sin tener en consideración factores de afecto o de interés y, en general, cualquier clase de motivación subjetiva”. Esta directriz es de especial relevancia en materia de contratación estatal, ya que –en virtud del artículo 77 de la Ley 80 de 1993 y el artículo 13 de la Ley 1150 de 2007– se integra tanto al régimen de las entidades sometidas como al de las exceptuadas del Estatuto General de Contratación de la Administración Pública, guardando una estrecha relación con el principio de selección objetiva.</w:t>
      </w:r>
    </w:p>
    <w:p w14:paraId="1B283F2F" w14:textId="77777777" w:rsidR="00273D05" w:rsidRPr="009E462E" w:rsidRDefault="00273D05" w:rsidP="00273D05">
      <w:pPr>
        <w:spacing w:after="0" w:line="276" w:lineRule="auto"/>
        <w:jc w:val="both"/>
        <w:rPr>
          <w:rFonts w:ascii="Verdana" w:eastAsia="Calibri" w:hAnsi="Verdana" w:cs="Arial"/>
          <w:color w:val="000000" w:themeColor="text1"/>
          <w:lang w:val="es-ES_tradnl"/>
        </w:rPr>
      </w:pPr>
      <w:r w:rsidRPr="009E462E">
        <w:rPr>
          <w:rFonts w:ascii="Verdana" w:eastAsia="Calibri" w:hAnsi="Verdana" w:cs="Arial"/>
          <w:color w:val="000000" w:themeColor="text1"/>
          <w:lang w:val="es-ES_tradnl"/>
        </w:rPr>
        <w:tab/>
      </w:r>
      <w:bookmarkStart w:id="2" w:name="_Hlk34855985"/>
      <w:r w:rsidRPr="009E462E">
        <w:rPr>
          <w:rFonts w:ascii="Verdana" w:eastAsia="Calibri" w:hAnsi="Verdana" w:cs="Arial"/>
          <w:color w:val="000000" w:themeColor="text1"/>
          <w:lang w:val="es-ES_tradnl"/>
        </w:rPr>
        <w:t>Dichos principios tienen un papel relevante en la elaboración de los pliegos de condiciones o documentos equivalentes, pues si bien las entidades tienen un margen de autonomía para definir algunos aspectos del futuro negocio, las causales de rechazo de las propuestas deben ser razonables, bien porque algunas de éstas se encuentren previstas en el ordenamiento o porque conducen a que se adjudique el contrato al proponente que no cumple con los requisitos técnicos y económicos para su ejecución. En esta medida, dichas causales no deben fundamentarse en el simple capricho o el mero arbitrio, lo cual –además de contrariar los principios analizados– limita la participación</w:t>
      </w:r>
      <w:bookmarkEnd w:id="2"/>
      <w:r w:rsidRPr="009E462E">
        <w:rPr>
          <w:rFonts w:ascii="Verdana" w:eastAsia="Calibri" w:hAnsi="Verdana" w:cs="Arial"/>
          <w:color w:val="000000" w:themeColor="text1"/>
          <w:lang w:val="es-ES_tradnl"/>
        </w:rPr>
        <w:t>. No en vano, la jurisprudencia ha sostenido que:</w:t>
      </w:r>
    </w:p>
    <w:p w14:paraId="720CAA50" w14:textId="77777777" w:rsidR="00273D05" w:rsidRPr="009E462E" w:rsidRDefault="00273D05" w:rsidP="00273D05">
      <w:pPr>
        <w:spacing w:after="0" w:line="276" w:lineRule="auto"/>
        <w:jc w:val="both"/>
        <w:rPr>
          <w:rFonts w:ascii="Verdana" w:eastAsia="Calibri" w:hAnsi="Verdana" w:cs="Arial"/>
          <w:color w:val="000000" w:themeColor="text1"/>
          <w:lang w:val="es-ES_tradnl"/>
        </w:rPr>
      </w:pPr>
    </w:p>
    <w:p w14:paraId="6AEEC0C3" w14:textId="77777777" w:rsidR="00273D05" w:rsidRPr="00876E10" w:rsidRDefault="00273D05" w:rsidP="00273D05">
      <w:pPr>
        <w:spacing w:after="0" w:line="240" w:lineRule="auto"/>
        <w:ind w:left="709" w:right="709"/>
        <w:jc w:val="both"/>
        <w:rPr>
          <w:rFonts w:ascii="Verdana" w:eastAsia="Calibri" w:hAnsi="Verdana" w:cs="Arial"/>
          <w:color w:val="000000" w:themeColor="text1"/>
          <w:sz w:val="20"/>
          <w:szCs w:val="20"/>
          <w:lang w:val="es-ES_tradnl"/>
        </w:rPr>
      </w:pPr>
      <w:r w:rsidRPr="00876E10">
        <w:rPr>
          <w:rFonts w:ascii="Verdana" w:eastAsia="Calibri" w:hAnsi="Verdana" w:cs="Arial"/>
          <w:color w:val="000000" w:themeColor="text1"/>
          <w:sz w:val="20"/>
          <w:szCs w:val="20"/>
          <w:lang w:val="es-ES_tradnl"/>
        </w:rPr>
        <w:t xml:space="preserve">“[…] la descalificación de ofertas no puede depender de la libre discrecionalidad de la Administración, en la medida en que el oferente adquiere el derecho de participar en el procedimiento de selección y se genera para él una situación jurídica particular, en consecuencia, para rechazar o descalificar una propuesta la entidad pública debe sujetarse a determinadas reglas consistentes en que las causales que dan lugar a ello se encuentren previamente establecidas en la ley o deriven del incumplimiento de requisitos de la propuesta o de la omisión de documentos referentes a la futura contratación que sean necesarios para la comparación de las propuestas […], puesto que la causa excluyente debe ser razonable, esencial y proporcionada, toda vez que no tendría </w:t>
      </w:r>
      <w:r w:rsidRPr="00876E10">
        <w:rPr>
          <w:rFonts w:ascii="Verdana" w:eastAsia="Calibri" w:hAnsi="Verdana" w:cs="Arial"/>
          <w:color w:val="000000" w:themeColor="text1"/>
          <w:sz w:val="20"/>
          <w:szCs w:val="20"/>
          <w:lang w:val="es-ES_tradnl"/>
        </w:rPr>
        <w:lastRenderedPageBreak/>
        <w:t>justificación excluir una propuesta por una deficiencia que no tenga incidencia alguna en la contratación”</w:t>
      </w:r>
      <w:r w:rsidRPr="00876E10">
        <w:rPr>
          <w:rStyle w:val="Refdenotaalpie"/>
          <w:rFonts w:ascii="Verdana" w:eastAsia="Calibri" w:hAnsi="Verdana" w:cs="Arial"/>
          <w:color w:val="000000" w:themeColor="text1"/>
          <w:sz w:val="20"/>
          <w:szCs w:val="20"/>
          <w:lang w:val="es-ES_tradnl"/>
        </w:rPr>
        <w:footnoteReference w:id="3"/>
      </w:r>
      <w:r w:rsidRPr="00876E10">
        <w:rPr>
          <w:rFonts w:ascii="Verdana" w:eastAsia="Calibri" w:hAnsi="Verdana" w:cs="Arial"/>
          <w:color w:val="000000" w:themeColor="text1"/>
          <w:sz w:val="20"/>
          <w:szCs w:val="20"/>
          <w:lang w:val="es-ES_tradnl"/>
        </w:rPr>
        <w:t>.</w:t>
      </w:r>
    </w:p>
    <w:p w14:paraId="6465E2DD" w14:textId="77777777" w:rsidR="00273D05" w:rsidRPr="009E462E" w:rsidRDefault="00273D05" w:rsidP="00273D05">
      <w:pPr>
        <w:spacing w:after="0" w:line="276" w:lineRule="auto"/>
        <w:ind w:left="709" w:right="709"/>
        <w:jc w:val="both"/>
        <w:rPr>
          <w:rFonts w:ascii="Verdana" w:eastAsia="Calibri" w:hAnsi="Verdana" w:cs="Arial"/>
          <w:color w:val="000000" w:themeColor="text1"/>
          <w:lang w:val="es-ES_tradnl"/>
        </w:rPr>
      </w:pPr>
    </w:p>
    <w:p w14:paraId="33BD1306" w14:textId="77777777" w:rsidR="00273D05" w:rsidRDefault="00273D05" w:rsidP="00273D05">
      <w:pPr>
        <w:spacing w:after="0" w:line="276" w:lineRule="auto"/>
        <w:ind w:firstLine="708"/>
        <w:jc w:val="both"/>
        <w:rPr>
          <w:rFonts w:ascii="Verdana" w:eastAsia="Calibri" w:hAnsi="Verdana" w:cs="Arial"/>
          <w:color w:val="000000" w:themeColor="text1"/>
          <w:lang w:val="es-ES"/>
        </w:rPr>
      </w:pPr>
      <w:r w:rsidRPr="1D8397FD">
        <w:rPr>
          <w:rFonts w:ascii="Verdana" w:eastAsia="Calibri" w:hAnsi="Verdana" w:cs="Arial"/>
          <w:color w:val="000000" w:themeColor="text1"/>
          <w:lang w:val="es-ES"/>
        </w:rPr>
        <w:t xml:space="preserve">En este contexto, </w:t>
      </w:r>
      <w:bookmarkStart w:id="3" w:name="_Hlk34855896"/>
      <w:r w:rsidRPr="1D8397FD">
        <w:rPr>
          <w:rFonts w:ascii="Verdana" w:eastAsia="Calibri" w:hAnsi="Verdana" w:cs="Arial"/>
          <w:color w:val="000000" w:themeColor="text1"/>
          <w:lang w:val="es-ES"/>
        </w:rPr>
        <w:t>las causales de rechazo de la oferta deben emanar directamente de la ley o del pliego de condiciones, pero en uno y en otro caso guardan relación con defectos, omisiones o circunstancias impeditivas que permitan deducir que la misma no resulta favorable para los intereses de la entidad, en los términos del inciso 1 del artículo 5 de la Ley 1150 de 2007. En otras palabras, no pueden fundamentarse en consideraciones subjetivas, que conviertan dichas causales en inhabilidades para participar en los procesos de selección.</w:t>
      </w:r>
      <w:bookmarkEnd w:id="3"/>
    </w:p>
    <w:p w14:paraId="778FA5BE" w14:textId="77777777" w:rsidR="00273D05" w:rsidRDefault="00273D05" w:rsidP="00273D05">
      <w:pPr>
        <w:spacing w:after="0" w:line="276" w:lineRule="auto"/>
        <w:jc w:val="both"/>
        <w:rPr>
          <w:rFonts w:ascii="Verdana" w:eastAsia="Calibri" w:hAnsi="Verdana" w:cs="Arial"/>
          <w:color w:val="000000" w:themeColor="text1"/>
          <w:lang w:val="es-ES_tradnl"/>
        </w:rPr>
      </w:pPr>
    </w:p>
    <w:p w14:paraId="5CD65EAF" w14:textId="77777777" w:rsidR="00273D05" w:rsidRDefault="00273D05" w:rsidP="00273D05">
      <w:pPr>
        <w:pStyle w:val="Sinespaciado"/>
        <w:spacing w:line="276" w:lineRule="auto"/>
        <w:jc w:val="both"/>
        <w:rPr>
          <w:rFonts w:ascii="Verdana" w:hAnsi="Verdana" w:cs="Arial"/>
          <w:color w:val="000000" w:themeColor="text1"/>
          <w:sz w:val="22"/>
        </w:rPr>
      </w:pPr>
      <w:proofErr w:type="spellStart"/>
      <w:r>
        <w:rPr>
          <w:rFonts w:ascii="Verdana" w:eastAsia="Calibri" w:hAnsi="Verdana" w:cs="Arial"/>
          <w:color w:val="000000" w:themeColor="text1"/>
          <w:lang w:val="es-ES_tradnl"/>
        </w:rPr>
        <w:t>iii</w:t>
      </w:r>
      <w:proofErr w:type="spellEnd"/>
      <w:r>
        <w:rPr>
          <w:rFonts w:ascii="Verdana" w:eastAsia="Calibri" w:hAnsi="Verdana" w:cs="Arial"/>
          <w:color w:val="000000" w:themeColor="text1"/>
          <w:lang w:val="es-ES_tradnl"/>
        </w:rPr>
        <w:t xml:space="preserve">. </w:t>
      </w:r>
      <w:r>
        <w:rPr>
          <w:rFonts w:ascii="Verdana" w:hAnsi="Verdana" w:cs="Arial"/>
          <w:color w:val="000000" w:themeColor="text1"/>
          <w:sz w:val="22"/>
        </w:rPr>
        <w:t>L</w:t>
      </w:r>
      <w:r w:rsidRPr="00322B59">
        <w:rPr>
          <w:rFonts w:ascii="Verdana" w:hAnsi="Verdana" w:cs="Arial"/>
          <w:color w:val="000000" w:themeColor="text1"/>
          <w:sz w:val="22"/>
        </w:rPr>
        <w:t xml:space="preserve">as inhabilidades e incompatibilidades son circunstancias establecidas por la Constitución o la ley que impiden la posibilidad de que ciertas personas sean elegidas o designadas en un cargo público o puedan celebrar contratos con el Estado, con el objetivo de garantizar la idoneidad, imparcialidad, probidad, transparencia y moralidad de la gestión pública.  El régimen de inhabilidades e incompatibilidades para contratar con el Estado es un conjunto de restricciones establecidas por el constituyente o por el legislador que afectan directamente la capacidad de las personas para establecer una relación jurídica contractual con el Estado, que pueden resultar de condenas, sanciones o situaciones previamente establecidas por el ordenamiento jurídico. Estas restricciones o limitaciones que afectan la capacidad jurídica de las personas para contratar realizan los principios de la función administrativa, consagrados en el artículo 209 de la Constitución Política, con especial énfasis en el de moralidad. Así lo ha entendido el Consejo de Estado: </w:t>
      </w:r>
    </w:p>
    <w:p w14:paraId="26FB58BC" w14:textId="77777777" w:rsidR="00273D05" w:rsidRPr="00322B59" w:rsidRDefault="00273D05" w:rsidP="00273D05">
      <w:pPr>
        <w:pStyle w:val="Sinespaciado"/>
        <w:spacing w:line="276" w:lineRule="auto"/>
        <w:jc w:val="both"/>
        <w:rPr>
          <w:rFonts w:ascii="Verdana" w:hAnsi="Verdana" w:cs="Arial"/>
          <w:color w:val="000000" w:themeColor="text1"/>
          <w:sz w:val="22"/>
          <w:lang w:val="es-ES"/>
        </w:rPr>
      </w:pPr>
    </w:p>
    <w:p w14:paraId="1387F320" w14:textId="77777777" w:rsidR="00273D05" w:rsidRDefault="00273D05" w:rsidP="00273D05">
      <w:pPr>
        <w:pStyle w:val="NormalWeb"/>
        <w:shd w:val="clear" w:color="auto" w:fill="FFFFFF"/>
        <w:spacing w:before="0" w:beforeAutospacing="0" w:after="0" w:afterAutospacing="0"/>
        <w:ind w:left="709" w:right="709"/>
        <w:jc w:val="both"/>
        <w:rPr>
          <w:rFonts w:ascii="Verdana" w:hAnsi="Verdana" w:cs="Arial"/>
          <w:color w:val="000000" w:themeColor="text1"/>
          <w:sz w:val="20"/>
          <w:szCs w:val="20"/>
          <w:lang w:val="es-ES"/>
        </w:rPr>
      </w:pPr>
      <w:r w:rsidRPr="00876E10">
        <w:rPr>
          <w:rFonts w:ascii="Verdana" w:hAnsi="Verdana" w:cs="Arial"/>
          <w:color w:val="000000" w:themeColor="text1"/>
          <w:sz w:val="20"/>
          <w:szCs w:val="20"/>
          <w:lang w:val="es-ES"/>
        </w:rPr>
        <w:t>“De manera primordial en esta reflexión debe advertirse que la consagración legal de las incompatibilidades e inhabilidades en materia contractual, no es sino desarrollo del Principio de Moralidad que la Constitución Política consagra como uno de los rectores de la Función Administrativa, instituido en el artículo 209 de la Carta, toda vez que este Principio –en su carácter jurídico, ordenador y orientador del derecho– constituye la Finalidad, el Deber Ser, la Razón de Primer Orden en la cual se inspira, justifica y legitima la existencia de las normas que definen y regulan las inhabilidades e incompatibilidades.</w:t>
      </w:r>
    </w:p>
    <w:p w14:paraId="6186C965" w14:textId="77777777" w:rsidR="00273D05" w:rsidRPr="007C492B" w:rsidRDefault="00273D05" w:rsidP="00273D05">
      <w:pPr>
        <w:pStyle w:val="NormalWeb"/>
        <w:shd w:val="clear" w:color="auto" w:fill="FFFFFF"/>
        <w:spacing w:before="0" w:beforeAutospacing="0" w:after="0" w:afterAutospacing="0"/>
        <w:ind w:left="709" w:right="709"/>
        <w:jc w:val="both"/>
        <w:rPr>
          <w:rFonts w:ascii="Verdana" w:hAnsi="Verdana" w:cs="Arial"/>
          <w:color w:val="000000" w:themeColor="text1"/>
          <w:sz w:val="12"/>
          <w:szCs w:val="12"/>
          <w:lang w:val="es-ES"/>
        </w:rPr>
      </w:pPr>
    </w:p>
    <w:p w14:paraId="0AE91F6E" w14:textId="77777777" w:rsidR="00273D05" w:rsidRPr="00876E10" w:rsidRDefault="00273D05" w:rsidP="00273D05">
      <w:pPr>
        <w:pStyle w:val="NormalWeb"/>
        <w:shd w:val="clear" w:color="auto" w:fill="FFFFFF"/>
        <w:spacing w:before="0" w:beforeAutospacing="0" w:after="0"/>
        <w:ind w:left="709" w:right="709"/>
        <w:jc w:val="both"/>
        <w:rPr>
          <w:rFonts w:ascii="Verdana" w:hAnsi="Verdana" w:cs="Arial"/>
          <w:color w:val="000000" w:themeColor="text1"/>
          <w:sz w:val="20"/>
          <w:szCs w:val="20"/>
          <w:lang w:val="es-ES"/>
        </w:rPr>
      </w:pPr>
      <w:r w:rsidRPr="00876E10">
        <w:rPr>
          <w:rFonts w:ascii="Verdana" w:hAnsi="Verdana" w:cs="Arial"/>
          <w:color w:val="000000" w:themeColor="text1"/>
          <w:sz w:val="20"/>
          <w:szCs w:val="20"/>
          <w:lang w:val="es-ES"/>
        </w:rPr>
        <w:lastRenderedPageBreak/>
        <w:t>Adicionalmente, toda vez que la Jurisprudencia Constitucional se ha referido a la protección del Interés General como causa que legitima la estructuración legal de las incompatibilidades e inhabilidades, se puede precisar que la regulación de sus causales para contratar con el Estado debe orientarse por el Principio de Moralidad que obviamente –como es propio de todos los Principios de la Función Administrativa– se despliega ordenado con base en la protección prevalente del interés general y, por ello, se entiende que la potestad de configuración legislativa en materia de incompatibilidades e inhabilidades para contratar con el Estado puede concretarse a través de una regla de carácter excluyente para determinados potenciales contratistas, la cual se impone entonces por razón de ese fin de interés general como regla legal prevalente, esto es que puede ser impuesta sobre el derecho individual a contratar con el Estado”</w:t>
      </w:r>
      <w:r w:rsidRPr="00876E10">
        <w:rPr>
          <w:rStyle w:val="Refdenotaalpie"/>
          <w:rFonts w:ascii="Verdana" w:hAnsi="Verdana" w:cs="Arial"/>
          <w:color w:val="000000" w:themeColor="text1"/>
          <w:sz w:val="20"/>
          <w:szCs w:val="20"/>
          <w:lang w:val="es-ES"/>
        </w:rPr>
        <w:footnoteReference w:id="4"/>
      </w:r>
      <w:r w:rsidRPr="00876E10">
        <w:rPr>
          <w:rFonts w:ascii="Verdana" w:hAnsi="Verdana" w:cs="Arial"/>
          <w:color w:val="000000" w:themeColor="text1"/>
          <w:sz w:val="20"/>
          <w:szCs w:val="20"/>
          <w:lang w:val="es-ES"/>
        </w:rPr>
        <w:t xml:space="preserve">. </w:t>
      </w:r>
    </w:p>
    <w:p w14:paraId="2C677C7B" w14:textId="77777777" w:rsidR="00273D05" w:rsidRDefault="00273D05" w:rsidP="00273D05">
      <w:pPr>
        <w:spacing w:after="0" w:line="276" w:lineRule="auto"/>
        <w:ind w:firstLine="708"/>
        <w:jc w:val="both"/>
        <w:rPr>
          <w:rFonts w:ascii="Verdana" w:hAnsi="Verdana" w:cs="Arial"/>
          <w:color w:val="000000" w:themeColor="text1"/>
        </w:rPr>
      </w:pPr>
      <w:r w:rsidRPr="00322B59">
        <w:rPr>
          <w:rFonts w:ascii="Verdana" w:hAnsi="Verdana" w:cs="Arial"/>
          <w:color w:val="000000" w:themeColor="text1"/>
        </w:rPr>
        <w:t>Las inhabilidades e incompatibilidades son medios que garantiza</w:t>
      </w:r>
      <w:r>
        <w:rPr>
          <w:rFonts w:ascii="Verdana" w:hAnsi="Verdana" w:cs="Arial"/>
          <w:color w:val="000000" w:themeColor="text1"/>
        </w:rPr>
        <w:t>n</w:t>
      </w:r>
      <w:r w:rsidRPr="00322B59">
        <w:rPr>
          <w:rFonts w:ascii="Verdana" w:hAnsi="Verdana" w:cs="Arial"/>
          <w:color w:val="000000" w:themeColor="text1"/>
        </w:rPr>
        <w:t xml:space="preserve"> la transparencia y eficiencia en la actividad contractual del Estado y para ello imponen restricciones en la personalidad jurídica, la igualdad, la libre empresa y, particularmente, el derecho a participar en procesos de selección y celebrar contratos con la Administración. Asimismo</w:t>
      </w:r>
      <w:r w:rsidRPr="00322B59">
        <w:rPr>
          <w:rFonts w:ascii="Verdana" w:eastAsia="Calibri" w:hAnsi="Verdana" w:cs="Arial"/>
          <w:color w:val="000000" w:themeColor="text1"/>
          <w:lang w:val="es-ES_tradnl"/>
        </w:rPr>
        <w:t xml:space="preserve">, el carácter reconocidamente taxativo y restrictivo de régimen de inhabilidades obedece a la necesidad de salvaguardar el interés general inherente en la contratación pública, de forma que implique el menor sacrificio posible al derecho de igualdad y de reconocimiento de la personalidad jurídica de quienes aspiran a contratar con el Estado. Por ello, </w:t>
      </w:r>
      <w:r w:rsidRPr="00322B59">
        <w:rPr>
          <w:rFonts w:ascii="Verdana" w:hAnsi="Verdana" w:cs="Arial"/>
          <w:color w:val="000000" w:themeColor="text1"/>
        </w:rPr>
        <w:t>la competencia para determinar qué hechos o situaciones generan inhabilidad para contratar con el Estado la tiene el legislador, pues este régimen es un aspecto propio del Estatuto General de la Contratación Pública, cuya expedición corresponde al Congreso de la República, conforme al artículo 150 de la Constitución Política, por lo que en esta materia rige el principio de legalidad.</w:t>
      </w:r>
    </w:p>
    <w:p w14:paraId="191F3308" w14:textId="77777777" w:rsidR="00273D05" w:rsidRDefault="00273D05" w:rsidP="00273D05">
      <w:pPr>
        <w:spacing w:after="0" w:line="276" w:lineRule="auto"/>
        <w:jc w:val="both"/>
        <w:rPr>
          <w:rFonts w:ascii="Verdana" w:hAnsi="Verdana" w:cs="Arial"/>
          <w:color w:val="000000" w:themeColor="text1"/>
        </w:rPr>
      </w:pPr>
    </w:p>
    <w:p w14:paraId="5CF58429" w14:textId="77777777" w:rsidR="00273D05" w:rsidRPr="00F4112E" w:rsidRDefault="00273D05" w:rsidP="00273D05">
      <w:pPr>
        <w:spacing w:after="120" w:line="276" w:lineRule="auto"/>
        <w:jc w:val="both"/>
        <w:rPr>
          <w:rFonts w:ascii="Verdana" w:eastAsia="Calibri" w:hAnsi="Verdana" w:cs="Arial"/>
          <w:color w:val="000000" w:themeColor="text1"/>
          <w:lang w:val="es-ES_tradnl"/>
        </w:rPr>
      </w:pPr>
      <w:proofErr w:type="spellStart"/>
      <w:r w:rsidRPr="00F4112E">
        <w:rPr>
          <w:rFonts w:ascii="Verdana" w:hAnsi="Verdana" w:cs="Arial"/>
          <w:color w:val="000000" w:themeColor="text1"/>
        </w:rPr>
        <w:t>iv</w:t>
      </w:r>
      <w:proofErr w:type="spellEnd"/>
      <w:r w:rsidRPr="00F4112E">
        <w:rPr>
          <w:rFonts w:ascii="Verdana" w:hAnsi="Verdana" w:cs="Arial"/>
          <w:color w:val="000000" w:themeColor="text1"/>
        </w:rPr>
        <w:t xml:space="preserve">. </w:t>
      </w:r>
      <w:r w:rsidRPr="00F4112E">
        <w:rPr>
          <w:rFonts w:ascii="Verdana" w:eastAsia="Calibri" w:hAnsi="Verdana" w:cs="Arial"/>
          <w:color w:val="000000" w:themeColor="text1"/>
          <w:lang w:val="es-ES_tradnl"/>
        </w:rPr>
        <w:t xml:space="preserve">Bajo estas circunstancias, las entidades públicas no pueden establecer en el pliego de condiciones causales de inhabilidad o incompatibilidad no previstas en la Constitución o en la ley. En consecuencia, al tratarse de una materia que tiene reserva legal, no es posible que una entidad pública establezca nuevas causales que afecten la capacidad para contratar con el Estado, ni siquiera haciéndolas pasar como causa para rechazar los ofrecimientos realizados.  </w:t>
      </w:r>
    </w:p>
    <w:p w14:paraId="51DBF2F5" w14:textId="77777777" w:rsidR="00273D05" w:rsidRPr="00F4112E" w:rsidRDefault="00273D05" w:rsidP="00273D05">
      <w:pPr>
        <w:pStyle w:val="Sinespaciado"/>
        <w:tabs>
          <w:tab w:val="left" w:pos="709"/>
        </w:tabs>
        <w:spacing w:line="276" w:lineRule="auto"/>
        <w:jc w:val="both"/>
        <w:rPr>
          <w:rFonts w:ascii="Verdana" w:hAnsi="Verdana" w:cs="Arial"/>
          <w:color w:val="000000" w:themeColor="text1"/>
          <w:sz w:val="22"/>
          <w:lang w:val="es-ES"/>
        </w:rPr>
      </w:pPr>
      <w:r w:rsidRPr="00F4112E">
        <w:rPr>
          <w:rFonts w:ascii="Verdana" w:eastAsia="Calibri" w:hAnsi="Verdana" w:cs="Arial"/>
          <w:color w:val="000000" w:themeColor="text1"/>
          <w:lang w:val="es-ES_tradnl"/>
        </w:rPr>
        <w:lastRenderedPageBreak/>
        <w:tab/>
      </w:r>
      <w:r w:rsidRPr="00F4112E">
        <w:rPr>
          <w:rFonts w:ascii="Verdana" w:hAnsi="Verdana" w:cs="Arial"/>
          <w:color w:val="000000" w:themeColor="text1"/>
          <w:sz w:val="22"/>
        </w:rPr>
        <w:t xml:space="preserve">De conformidad con el artículo 24.5 de la Ley 80 de 1993, en los pliegos de condiciones se definen reglas objetivas, justas, claras y completas que permitan la confección de ofrecimientos de índole similar. La jurisprudencia del Consejo de Estado ha determinado que la claridad, justicia y completitud de las reglas de los pliegos de condiciones deben procurar la selección del mejor oferente. Al respecto, señala que  </w:t>
      </w:r>
    </w:p>
    <w:p w14:paraId="7E048794" w14:textId="77777777" w:rsidR="00273D05" w:rsidRPr="00F4112E" w:rsidRDefault="00273D05" w:rsidP="00273D05">
      <w:pPr>
        <w:pStyle w:val="Sinespaciado"/>
        <w:tabs>
          <w:tab w:val="left" w:pos="1532"/>
        </w:tabs>
        <w:spacing w:line="276" w:lineRule="auto"/>
        <w:jc w:val="both"/>
        <w:rPr>
          <w:rFonts w:ascii="Verdana" w:hAnsi="Verdana" w:cs="Arial"/>
          <w:color w:val="000000" w:themeColor="text1"/>
        </w:rPr>
      </w:pPr>
    </w:p>
    <w:p w14:paraId="0ED22C29" w14:textId="77777777" w:rsidR="00273D05" w:rsidRPr="00876E10" w:rsidRDefault="00273D05" w:rsidP="00273D05">
      <w:pPr>
        <w:spacing w:after="120" w:line="240" w:lineRule="auto"/>
        <w:ind w:left="709" w:right="709"/>
        <w:jc w:val="both"/>
        <w:rPr>
          <w:rFonts w:ascii="Verdana" w:hAnsi="Verdana" w:cs="Arial"/>
          <w:color w:val="000000" w:themeColor="text1"/>
          <w:sz w:val="20"/>
          <w:szCs w:val="20"/>
        </w:rPr>
      </w:pPr>
      <w:r w:rsidRPr="00876E10">
        <w:rPr>
          <w:rFonts w:ascii="Verdana" w:hAnsi="Verdana" w:cs="Arial"/>
          <w:color w:val="000000" w:themeColor="text1"/>
          <w:sz w:val="20"/>
          <w:szCs w:val="20"/>
        </w:rPr>
        <w:t>“En ese orden de ideas, las reglas que de manera previa a la apertura del procedimiento administrativo de selección deben ser fijadas por la Administración y que habrán de gobernarlo hasta su culminación toda vez que a la luz de ellas y sólo de ellas debe adjudicarse el contrato han de ser reglas justas, esto es, que realmente apunten a posibilitar la selección del mejor contratista, a la persona natural o jurídica o al grupo de personas que de mejor manera pueda cumplir con el objeto contractual, haciendo prevalecer, por tanto, las condiciones sustanciales de los proponentes respecto de los meros formalismos; reglas objetivas en la medida en que se establezcan de manera tal que sean ellas y exclusivamente ellas, las que determinen el resultado del procedimiento de selección, cerrando las puertas a que sean las estimaciones o los enfoques y criterios personales de los evaluadores los que devengan definitivos, a tal efecto, en el momento de aplicar las referidas reglas; éstas, por lo demás, como corolario del antes comentado principio de objetividad, deben haber sido fijadas con fundamento en las evaluaciones y en los estudios técnicos, económicos, jurídicos, de conveniencia o de oportunidad que la entidad ha debido llevar a cabo con el propósito de ubicarse en la mejor posición antes de configurar los pliegos de condiciones o sus equivalentes principio de objetividad.</w:t>
      </w:r>
    </w:p>
    <w:p w14:paraId="2FF4C9E2" w14:textId="77777777" w:rsidR="00273D05" w:rsidRPr="00876E10" w:rsidRDefault="00273D05" w:rsidP="00273D05">
      <w:pPr>
        <w:spacing w:after="0" w:line="240" w:lineRule="auto"/>
        <w:ind w:left="709" w:right="709"/>
        <w:jc w:val="both"/>
        <w:rPr>
          <w:rFonts w:ascii="Verdana" w:hAnsi="Verdana" w:cs="Arial"/>
          <w:color w:val="000000" w:themeColor="text1"/>
          <w:sz w:val="20"/>
          <w:szCs w:val="20"/>
        </w:rPr>
      </w:pPr>
      <w:r w:rsidRPr="00876E10">
        <w:rPr>
          <w:rFonts w:ascii="Verdana" w:hAnsi="Verdana" w:cs="Arial"/>
          <w:color w:val="000000" w:themeColor="text1"/>
          <w:sz w:val="20"/>
          <w:szCs w:val="20"/>
        </w:rPr>
        <w:t xml:space="preserve">Deben ser, así mismo, reglas claras, cuya redacción dé lugar a que la interpretación que de ellas efectúe la instancia que las fijó, sea exactamente la misma que puedan realizar tanto los posibles oferentes como quienes tengan a su cargo la evaluación y calificación de las propuestas, de suerte tal que la univocidad de su configuración conduzca a un único entendimiento posible de su contenido y, finalmente, han de ser reglas completas, esto es, que para efectos de resultar aplicables no remitan a o no precisen de la información o de los conceptos o de los criterios incluidos en otros preceptos o, en general, en fuentes externas o ajenas al propio pliego de condiciones, menos </w:t>
      </w:r>
      <w:proofErr w:type="spellStart"/>
      <w:r w:rsidRPr="00876E10">
        <w:rPr>
          <w:rFonts w:ascii="Verdana" w:hAnsi="Verdana" w:cs="Arial"/>
          <w:color w:val="000000" w:themeColor="text1"/>
          <w:sz w:val="20"/>
          <w:szCs w:val="20"/>
        </w:rPr>
        <w:t>aún</w:t>
      </w:r>
      <w:proofErr w:type="spellEnd"/>
      <w:r w:rsidRPr="00876E10">
        <w:rPr>
          <w:rFonts w:ascii="Verdana" w:hAnsi="Verdana" w:cs="Arial"/>
          <w:color w:val="000000" w:themeColor="text1"/>
          <w:sz w:val="20"/>
          <w:szCs w:val="20"/>
        </w:rPr>
        <w:t xml:space="preserve"> cuando no exista certeza en punto a cuáles son los elementos que integran dichas fuentes externas, lo cual ocurriría, por vía de ejemplo, cuando se remita ‘al estado del arte o de la ciencia’ en un específico ámbito del saber técnico, científico o especializado”</w:t>
      </w:r>
      <w:r w:rsidRPr="00876E10">
        <w:rPr>
          <w:rStyle w:val="Refdenotaalpie"/>
          <w:rFonts w:ascii="Verdana" w:hAnsi="Verdana" w:cs="Arial"/>
          <w:color w:val="000000" w:themeColor="text1"/>
          <w:sz w:val="20"/>
          <w:szCs w:val="20"/>
        </w:rPr>
        <w:footnoteReference w:id="5"/>
      </w:r>
      <w:r w:rsidRPr="00876E10">
        <w:rPr>
          <w:rFonts w:ascii="Verdana" w:hAnsi="Verdana" w:cs="Arial"/>
          <w:color w:val="000000" w:themeColor="text1"/>
          <w:sz w:val="20"/>
          <w:szCs w:val="20"/>
        </w:rPr>
        <w:t>.</w:t>
      </w:r>
    </w:p>
    <w:p w14:paraId="5CF1A44A" w14:textId="77777777" w:rsidR="00273D05" w:rsidRPr="00F4112E" w:rsidRDefault="00273D05" w:rsidP="00273D05">
      <w:pPr>
        <w:pStyle w:val="Sinespaciado"/>
        <w:tabs>
          <w:tab w:val="left" w:pos="1532"/>
        </w:tabs>
        <w:jc w:val="both"/>
        <w:rPr>
          <w:rFonts w:ascii="Verdana" w:hAnsi="Verdana" w:cs="Arial"/>
          <w:color w:val="000000" w:themeColor="text1"/>
          <w:sz w:val="22"/>
        </w:rPr>
      </w:pPr>
    </w:p>
    <w:p w14:paraId="3D3885C5" w14:textId="77777777" w:rsidR="00273D05" w:rsidRPr="00F4112E" w:rsidRDefault="00273D05" w:rsidP="00273D05">
      <w:pPr>
        <w:pStyle w:val="Sinespaciado"/>
        <w:spacing w:after="120" w:line="276" w:lineRule="auto"/>
        <w:jc w:val="both"/>
        <w:rPr>
          <w:rFonts w:ascii="Verdana" w:hAnsi="Verdana" w:cs="Arial"/>
          <w:color w:val="000000" w:themeColor="text1"/>
          <w:sz w:val="22"/>
        </w:rPr>
      </w:pPr>
      <w:r w:rsidRPr="00F4112E">
        <w:rPr>
          <w:rFonts w:ascii="Verdana" w:hAnsi="Verdana" w:cs="Arial"/>
          <w:color w:val="000000" w:themeColor="text1"/>
        </w:rPr>
        <w:tab/>
      </w:r>
      <w:r w:rsidRPr="00F4112E">
        <w:rPr>
          <w:rFonts w:ascii="Verdana" w:hAnsi="Verdana" w:cs="Arial"/>
          <w:color w:val="000000" w:themeColor="text1"/>
          <w:sz w:val="22"/>
        </w:rPr>
        <w:t xml:space="preserve">De esta forma, los pliegos de condiciones deben contener de manera clara los criterios y factores de evaluación y selección de las ofertas, los cuales deben ser proporcionados y razonables, pues no de otra manera se garantizarían los principios de igualdad, imparcialidad y selección objetiva. Por ello, deben atender lo dispuesto en los literales d) y e) del artículo 24.5 de la Ley 80 de 1993, según los cuales no es posible i) introducir condiciones o exigencias de imposible cumplimiento, ii) prever exenciones de responsabilidad derivada de los datos, informes y documentos que se suministren, iii) establecer reglas que induzcan a error a los oferentes, que permitan la formulación de ofertas de extensión ilimitada o que dependan de la voluntad exclusiva de la entidad contratante. </w:t>
      </w:r>
    </w:p>
    <w:p w14:paraId="3C70BD12" w14:textId="77777777" w:rsidR="00273D05" w:rsidRPr="00F4112E" w:rsidRDefault="00273D05" w:rsidP="00273D05">
      <w:pPr>
        <w:pStyle w:val="Sinespaciado"/>
        <w:tabs>
          <w:tab w:val="left" w:pos="709"/>
        </w:tabs>
        <w:spacing w:line="276" w:lineRule="auto"/>
        <w:jc w:val="both"/>
        <w:rPr>
          <w:rFonts w:ascii="Verdana" w:hAnsi="Verdana" w:cs="Arial"/>
          <w:color w:val="000000" w:themeColor="text1"/>
          <w:sz w:val="22"/>
        </w:rPr>
      </w:pPr>
      <w:r w:rsidRPr="00F4112E">
        <w:rPr>
          <w:rFonts w:ascii="Verdana" w:hAnsi="Verdana" w:cs="Arial"/>
          <w:color w:val="000000" w:themeColor="text1"/>
          <w:sz w:val="22"/>
        </w:rPr>
        <w:tab/>
        <w:t>Además de lo anterior, existen otras prohibiciones legales que debe observar la Administración al estructurar los pliegos de condiciones, por ejemplo, la contenida en el inciso 2º del artículo 6, apartado 6.1, de la Ley 1150 de 2007, según el cual las entidades no podrán exigir a los proponentes que aporten los documentos que se utilizan para la inscripción en el Registro Único de Proponentes. Asimismo, el Consejo de Estado ha sostenido que no es posible establecer en los pliegos de condiciones prohibiciones que tengan el carácter de inhabilidades o incompatibilidades, o fijar requisitos que bajo la denominación de causales de rechazo o exclusión encubren estas restricciones, que están reservadas al constituyente y el legislador. No en vano, la jurisprudencia manifiesta lo siguiente:</w:t>
      </w:r>
    </w:p>
    <w:p w14:paraId="4C122199" w14:textId="77777777" w:rsidR="00273D05" w:rsidRPr="00F4112E" w:rsidRDefault="00273D05" w:rsidP="00273D05">
      <w:pPr>
        <w:pStyle w:val="Sinespaciado"/>
        <w:tabs>
          <w:tab w:val="left" w:pos="1532"/>
        </w:tabs>
        <w:spacing w:line="276" w:lineRule="auto"/>
        <w:jc w:val="both"/>
        <w:rPr>
          <w:rFonts w:ascii="Verdana" w:hAnsi="Verdana" w:cs="Arial"/>
          <w:color w:val="000000" w:themeColor="text1"/>
          <w:sz w:val="22"/>
        </w:rPr>
      </w:pPr>
    </w:p>
    <w:p w14:paraId="6E9FBE0D" w14:textId="77777777" w:rsidR="00273D05" w:rsidRPr="00876E10" w:rsidRDefault="00273D05" w:rsidP="00273D05">
      <w:pPr>
        <w:spacing w:after="120" w:line="240" w:lineRule="auto"/>
        <w:ind w:left="703" w:right="567"/>
        <w:jc w:val="both"/>
        <w:rPr>
          <w:rFonts w:ascii="Verdana" w:hAnsi="Verdana" w:cs="Arial"/>
          <w:color w:val="000000" w:themeColor="text1"/>
          <w:sz w:val="20"/>
          <w:szCs w:val="20"/>
        </w:rPr>
      </w:pPr>
      <w:r w:rsidRPr="00876E10">
        <w:rPr>
          <w:rFonts w:ascii="Verdana" w:hAnsi="Verdana" w:cs="Arial"/>
          <w:color w:val="000000" w:themeColor="text1"/>
          <w:sz w:val="20"/>
          <w:szCs w:val="20"/>
        </w:rPr>
        <w:t>“Al avanzar en el análisis relacionado con los límites que deben respetarse en la configuración de los pliegos de condiciones que han de regir en cada procedimiento administrativo de selección contractual, hay lugar a precisar que las entidades estatales contratantes no cuentan con facultades para establecer, consagrar o crear prohibiciones como inhabilidades o incompatibilidades no previstas en la Constitución Política o en la ley para impedir la participación de interesados que desean o deciden intervenir en los correspondientes procedimientos administrativos de selección o causales de exclusión o de rechazo de las ofertas respectivas que tampoco correspondan a previsiones previamente consagradas en normas de jerarquía superior a la de los pliegos de condiciones.</w:t>
      </w:r>
    </w:p>
    <w:p w14:paraId="014ADFE7" w14:textId="77777777" w:rsidR="00273D05" w:rsidRPr="00876E10" w:rsidRDefault="00273D05" w:rsidP="00273D05">
      <w:pPr>
        <w:spacing w:after="0" w:line="240" w:lineRule="auto"/>
        <w:ind w:left="705" w:right="567"/>
        <w:jc w:val="both"/>
        <w:rPr>
          <w:rFonts w:ascii="Verdana" w:hAnsi="Verdana" w:cs="Arial"/>
          <w:color w:val="000000" w:themeColor="text1"/>
          <w:sz w:val="20"/>
          <w:szCs w:val="20"/>
        </w:rPr>
      </w:pPr>
      <w:r w:rsidRPr="00876E10">
        <w:rPr>
          <w:rFonts w:ascii="Verdana" w:hAnsi="Verdana" w:cs="Arial"/>
          <w:color w:val="000000" w:themeColor="text1"/>
          <w:sz w:val="20"/>
          <w:szCs w:val="20"/>
        </w:rPr>
        <w:t xml:space="preserve">De ahí que las entidades estatales contratantes deban ser extremadamente cuidadosas y transparentes al exigir a los oferentes el cumplimiento de requisitos razonables y proporcionales cuya inobservancia, a la vez, determina que tales entidades no pueden seleccionar entonces las ofertas que se encuentren en circunstancias de incumplimiento de requisitos </w:t>
      </w:r>
      <w:r w:rsidRPr="00876E10">
        <w:rPr>
          <w:rFonts w:ascii="Verdana" w:hAnsi="Verdana" w:cs="Arial"/>
          <w:color w:val="000000" w:themeColor="text1"/>
          <w:sz w:val="20"/>
          <w:szCs w:val="20"/>
        </w:rPr>
        <w:lastRenderedPageBreak/>
        <w:t>esenciales o indispensables establecidos en el correspondiente pliego de condiciones-lo cual incluye aquellos que hoy la propia ley denomina ‘requisitos habilitantes’–, por lo cual no será válido que tras la apariencia de tales exigencias en realidad se disfracen u oculten inhabilidades o incompatibilidades distintas a las previstas en la Constitución o en la ley para impedir la participación de ciertos interesados en los respectivos procedimientos administrativos de selección contractual”</w:t>
      </w:r>
      <w:r w:rsidRPr="00876E10">
        <w:rPr>
          <w:rStyle w:val="Refdenotaalpie"/>
          <w:rFonts w:ascii="Verdana" w:hAnsi="Verdana" w:cs="Arial"/>
          <w:color w:val="000000" w:themeColor="text1"/>
          <w:sz w:val="20"/>
          <w:szCs w:val="20"/>
        </w:rPr>
        <w:footnoteReference w:id="6"/>
      </w:r>
      <w:r w:rsidRPr="00876E10">
        <w:rPr>
          <w:rFonts w:ascii="Verdana" w:hAnsi="Verdana" w:cs="Arial"/>
          <w:color w:val="000000" w:themeColor="text1"/>
          <w:sz w:val="20"/>
          <w:szCs w:val="20"/>
        </w:rPr>
        <w:t>.</w:t>
      </w:r>
    </w:p>
    <w:p w14:paraId="307C590A" w14:textId="77777777" w:rsidR="00273D05" w:rsidRPr="00F4112E" w:rsidRDefault="00273D05" w:rsidP="00273D05">
      <w:pPr>
        <w:pStyle w:val="Sinespaciado"/>
        <w:tabs>
          <w:tab w:val="left" w:pos="1532"/>
        </w:tabs>
        <w:spacing w:line="276" w:lineRule="auto"/>
        <w:jc w:val="both"/>
        <w:rPr>
          <w:rFonts w:ascii="Verdana" w:hAnsi="Verdana" w:cs="Arial"/>
          <w:color w:val="000000" w:themeColor="text1"/>
          <w:sz w:val="22"/>
        </w:rPr>
      </w:pPr>
      <w:r w:rsidRPr="00F4112E">
        <w:rPr>
          <w:rFonts w:ascii="Verdana" w:hAnsi="Verdana" w:cs="Arial"/>
          <w:color w:val="000000" w:themeColor="text1"/>
        </w:rPr>
        <w:t xml:space="preserve"> </w:t>
      </w:r>
    </w:p>
    <w:p w14:paraId="2D70B059" w14:textId="77777777" w:rsidR="00273D05" w:rsidRPr="00F4112E" w:rsidRDefault="00273D05" w:rsidP="00273D05">
      <w:pPr>
        <w:pStyle w:val="Sinespaciado"/>
        <w:tabs>
          <w:tab w:val="left" w:pos="709"/>
        </w:tabs>
        <w:spacing w:after="120" w:line="276" w:lineRule="auto"/>
        <w:jc w:val="both"/>
        <w:rPr>
          <w:rFonts w:ascii="Verdana" w:hAnsi="Verdana" w:cs="Arial"/>
          <w:color w:val="000000" w:themeColor="text1"/>
          <w:sz w:val="22"/>
        </w:rPr>
      </w:pPr>
      <w:r w:rsidRPr="00F4112E">
        <w:rPr>
          <w:rFonts w:ascii="Verdana" w:hAnsi="Verdana" w:cs="Arial"/>
          <w:color w:val="000000" w:themeColor="text1"/>
        </w:rPr>
        <w:tab/>
      </w:r>
      <w:r w:rsidRPr="00F4112E">
        <w:rPr>
          <w:rFonts w:ascii="Verdana" w:hAnsi="Verdana" w:cs="Arial"/>
          <w:color w:val="000000" w:themeColor="text1"/>
          <w:sz w:val="22"/>
        </w:rPr>
        <w:t xml:space="preserve">Con fundamento en esta posición, es posible sostener que: </w:t>
      </w:r>
      <w:r>
        <w:rPr>
          <w:rFonts w:ascii="Verdana" w:hAnsi="Verdana" w:cs="Arial"/>
          <w:color w:val="000000" w:themeColor="text1"/>
          <w:sz w:val="22"/>
        </w:rPr>
        <w:t>a</w:t>
      </w:r>
      <w:r w:rsidRPr="00F4112E">
        <w:rPr>
          <w:rFonts w:ascii="Verdana" w:hAnsi="Verdana" w:cs="Arial"/>
          <w:color w:val="000000" w:themeColor="text1"/>
          <w:sz w:val="22"/>
        </w:rPr>
        <w:t xml:space="preserve">) a pesar del amplio margen de la Administración para configurar los pliegos de condiciones de acuerdo con sus necesidades, también está sujeta al principio de legalidad, en virtud del cual las autoridades públicas solo pueden ejercer las funciones o atribuciones expresamente asignadas por la Constitución y la Ley, y no existe ninguna norma constitucional o legal que autorice a las entidades contratantes para establecer inhabilidades o incompatibilidades diferentes a las consagradas por la Constitución y la Ley.   </w:t>
      </w:r>
    </w:p>
    <w:p w14:paraId="572A11E5" w14:textId="77777777" w:rsidR="00273D05" w:rsidRPr="00F4112E" w:rsidRDefault="00273D05" w:rsidP="00273D05">
      <w:pPr>
        <w:pStyle w:val="Sinespaciado"/>
        <w:tabs>
          <w:tab w:val="left" w:pos="709"/>
        </w:tabs>
        <w:spacing w:after="120" w:line="276" w:lineRule="auto"/>
        <w:jc w:val="both"/>
        <w:rPr>
          <w:rFonts w:ascii="Verdana" w:hAnsi="Verdana" w:cs="Arial"/>
          <w:color w:val="000000" w:themeColor="text1"/>
          <w:sz w:val="22"/>
        </w:rPr>
      </w:pPr>
      <w:r w:rsidRPr="00F4112E">
        <w:rPr>
          <w:rFonts w:ascii="Verdana" w:hAnsi="Verdana" w:cs="Arial"/>
          <w:color w:val="000000" w:themeColor="text1"/>
          <w:sz w:val="22"/>
        </w:rPr>
        <w:tab/>
      </w:r>
      <w:r>
        <w:rPr>
          <w:rFonts w:ascii="Verdana" w:hAnsi="Verdana" w:cs="Arial"/>
          <w:color w:val="000000" w:themeColor="text1"/>
          <w:sz w:val="22"/>
        </w:rPr>
        <w:t>b</w:t>
      </w:r>
      <w:r w:rsidRPr="00F4112E">
        <w:rPr>
          <w:rFonts w:ascii="Verdana" w:hAnsi="Verdana" w:cs="Arial"/>
          <w:color w:val="000000" w:themeColor="text1"/>
          <w:sz w:val="22"/>
        </w:rPr>
        <w:t xml:space="preserve">) El artículo 84 de la Constitución Política establece que cuando un derecho o actividad haya sido reglamentada de manera general, las autoridades no pueden establecer ni exigir permisos, licencias o requisitos adicionales para su ejercicio. Así, teniendo en cuenta que la actividad de las entidades estatales está reglada por el Estatuto General de Contratación Pública, donde se establecen de manera expresa las inhabilidades e incompatibilidades, no es posible que la Administración establezca requisitos adicionales de los que allí fueron consignados. </w:t>
      </w:r>
    </w:p>
    <w:p w14:paraId="03FD724C" w14:textId="77777777" w:rsidR="00273D05" w:rsidRPr="00F4112E" w:rsidRDefault="00273D05" w:rsidP="00273D05">
      <w:pPr>
        <w:pStyle w:val="Sinespaciado"/>
        <w:tabs>
          <w:tab w:val="left" w:pos="709"/>
        </w:tabs>
        <w:spacing w:after="120" w:line="276" w:lineRule="auto"/>
        <w:jc w:val="both"/>
        <w:rPr>
          <w:rFonts w:ascii="Verdana" w:hAnsi="Verdana" w:cs="Arial"/>
          <w:color w:val="000000" w:themeColor="text1"/>
          <w:sz w:val="22"/>
        </w:rPr>
      </w:pPr>
      <w:r w:rsidRPr="00F4112E">
        <w:rPr>
          <w:rFonts w:ascii="Verdana" w:hAnsi="Verdana" w:cs="Arial"/>
          <w:color w:val="000000" w:themeColor="text1"/>
          <w:sz w:val="22"/>
        </w:rPr>
        <w:tab/>
      </w:r>
      <w:r>
        <w:rPr>
          <w:rFonts w:ascii="Verdana" w:hAnsi="Verdana" w:cs="Arial"/>
          <w:color w:val="000000" w:themeColor="text1"/>
          <w:sz w:val="22"/>
        </w:rPr>
        <w:t>c</w:t>
      </w:r>
      <w:r w:rsidRPr="00F4112E">
        <w:rPr>
          <w:rFonts w:ascii="Verdana" w:hAnsi="Verdana" w:cs="Arial"/>
          <w:color w:val="000000" w:themeColor="text1"/>
          <w:sz w:val="22"/>
        </w:rPr>
        <w:t xml:space="preserve">) El literal a) del numeral 1 del artículo 8 de la Ley 80 de 1993 señala que no pueden participar en licitaciones ni celebrar contratos con las entidades estatales las personas que se hallen inhabilitadas por la Constitución y las Leyes. Para el Consejo de Estado, esta norma debe entenderse como una ratificación de que el régimen de inhabilidades e incompatibilidades es el contenido en la Constitución y la Ley, y en consecuencia no es posible determinar estas restricciones a través de normas de menor jerarquía. </w:t>
      </w:r>
    </w:p>
    <w:p w14:paraId="2D167F4A" w14:textId="77777777" w:rsidR="00273D05" w:rsidRDefault="00273D05" w:rsidP="00273D05">
      <w:pPr>
        <w:pStyle w:val="Sinespaciado"/>
        <w:tabs>
          <w:tab w:val="left" w:pos="709"/>
        </w:tabs>
        <w:spacing w:line="276" w:lineRule="auto"/>
        <w:jc w:val="both"/>
        <w:rPr>
          <w:rFonts w:ascii="Verdana" w:hAnsi="Verdana" w:cs="Arial"/>
          <w:color w:val="000000" w:themeColor="text1"/>
          <w:sz w:val="22"/>
        </w:rPr>
      </w:pPr>
      <w:r w:rsidRPr="00F4112E">
        <w:rPr>
          <w:rFonts w:ascii="Verdana" w:hAnsi="Verdana" w:cs="Arial"/>
          <w:color w:val="000000" w:themeColor="text1"/>
          <w:sz w:val="22"/>
        </w:rPr>
        <w:tab/>
        <w:t xml:space="preserve">A todo lo anterior se adiciona la naturaleza taxativa y de interpretación restrictiva de las causales de inhabilidad e incompatibilidad. En otras palabras, si bien la Administración tiene facultad para establecer causales de rechazo o </w:t>
      </w:r>
      <w:r w:rsidRPr="00F4112E">
        <w:rPr>
          <w:rFonts w:ascii="Verdana" w:hAnsi="Verdana" w:cs="Arial"/>
          <w:color w:val="000000" w:themeColor="text1"/>
          <w:sz w:val="22"/>
        </w:rPr>
        <w:lastRenderedPageBreak/>
        <w:t>exclusión de ofertas en sus procesos de selección, que consulten la necesidad de establecer las exigencias mínimas que deben satisfacer los proponentes para ser idóneos para la ejecución del objeto contractual, lo cierto es que esas facultades no le permiten fijar requerimientos que al ser analizados a fondo constituyen hechos o situaciones propias del régimen de inhabilidades o incompatibilidades.</w:t>
      </w:r>
    </w:p>
    <w:p w14:paraId="531DFDC4" w14:textId="77777777" w:rsidR="00273D05" w:rsidRDefault="00273D05" w:rsidP="00273D05">
      <w:pPr>
        <w:pStyle w:val="Sinespaciado"/>
        <w:tabs>
          <w:tab w:val="left" w:pos="709"/>
        </w:tabs>
        <w:spacing w:line="276" w:lineRule="auto"/>
        <w:jc w:val="both"/>
        <w:rPr>
          <w:rFonts w:ascii="Verdana" w:hAnsi="Verdana" w:cs="Arial"/>
          <w:color w:val="000000" w:themeColor="text1"/>
          <w:sz w:val="22"/>
        </w:rPr>
      </w:pPr>
    </w:p>
    <w:p w14:paraId="409D37C6" w14:textId="77777777" w:rsidR="00273D05" w:rsidRDefault="00273D05" w:rsidP="00273D05">
      <w:pPr>
        <w:pStyle w:val="Sinespaciado"/>
        <w:tabs>
          <w:tab w:val="left" w:pos="709"/>
        </w:tabs>
        <w:spacing w:after="120" w:line="276" w:lineRule="auto"/>
        <w:jc w:val="both"/>
        <w:rPr>
          <w:rFonts w:ascii="Verdana" w:hAnsi="Verdana" w:cs="Arial"/>
          <w:color w:val="000000" w:themeColor="text1"/>
          <w:sz w:val="22"/>
        </w:rPr>
      </w:pPr>
      <w:r>
        <w:rPr>
          <w:rFonts w:ascii="Verdana" w:hAnsi="Verdana" w:cs="Arial"/>
          <w:color w:val="000000" w:themeColor="text1"/>
          <w:sz w:val="22"/>
        </w:rPr>
        <w:t xml:space="preserve">v. </w:t>
      </w:r>
      <w:r w:rsidRPr="00F53B70">
        <w:rPr>
          <w:rFonts w:ascii="Verdana" w:hAnsi="Verdana" w:cs="Arial"/>
          <w:color w:val="000000" w:themeColor="text1"/>
          <w:sz w:val="22"/>
        </w:rPr>
        <w:t>E</w:t>
      </w:r>
      <w:r>
        <w:rPr>
          <w:rFonts w:ascii="Verdana" w:hAnsi="Verdana" w:cs="Arial"/>
          <w:color w:val="000000" w:themeColor="text1"/>
          <w:sz w:val="22"/>
        </w:rPr>
        <w:t>s necesario tener en cuenta que la</w:t>
      </w:r>
      <w:r w:rsidRPr="005B15C8">
        <w:rPr>
          <w:rFonts w:ascii="Verdana" w:hAnsi="Verdana" w:cs="Arial"/>
          <w:color w:val="000000" w:themeColor="text1"/>
          <w:sz w:val="22"/>
        </w:rPr>
        <w:t xml:space="preserve"> </w:t>
      </w:r>
      <w:r>
        <w:rPr>
          <w:rFonts w:ascii="Verdana" w:hAnsi="Verdana" w:cs="Arial"/>
          <w:color w:val="000000" w:themeColor="text1"/>
          <w:sz w:val="22"/>
        </w:rPr>
        <w:t>“</w:t>
      </w:r>
      <w:r w:rsidRPr="005B15C8">
        <w:rPr>
          <w:rFonts w:ascii="Verdana" w:hAnsi="Verdana" w:cs="Arial"/>
          <w:color w:val="000000" w:themeColor="text1"/>
          <w:sz w:val="22"/>
        </w:rPr>
        <w:t>Guía para la Gestión Integral del Riesgo en Entidades Públicas – Versión</w:t>
      </w:r>
      <w:r>
        <w:rPr>
          <w:rFonts w:ascii="Verdana" w:hAnsi="Verdana" w:cs="Arial"/>
          <w:color w:val="000000" w:themeColor="text1"/>
          <w:sz w:val="22"/>
        </w:rPr>
        <w:t xml:space="preserve"> 7”</w:t>
      </w:r>
      <w:r w:rsidRPr="005B15C8">
        <w:rPr>
          <w:rFonts w:ascii="Verdana" w:hAnsi="Verdana" w:cs="Arial"/>
          <w:color w:val="000000" w:themeColor="text1"/>
          <w:sz w:val="22"/>
        </w:rPr>
        <w:t>, elaborada por el Departamento Administrativo de la Función Pública, establece una metodología integral para que las entidades públicas identifiquen, analicen, valoren, traten y monitoreen los riesgos que puedan afectar el cumplimiento de sus objetivos institucionales. La actualización incorpora los lineamientos sobre riesgos para la integridad pública, en particular los derivados de la Ley 2195 de 2022 y el Decreto 1122 de 2024, y articula la gestión de riesgos de gestión, fiscales, de seguridad de la información y de integridad pública.</w:t>
      </w:r>
      <w:r>
        <w:rPr>
          <w:rFonts w:ascii="Verdana" w:hAnsi="Verdana" w:cs="Arial"/>
          <w:color w:val="000000" w:themeColor="text1"/>
          <w:sz w:val="22"/>
        </w:rPr>
        <w:t xml:space="preserve"> </w:t>
      </w:r>
    </w:p>
    <w:p w14:paraId="6A716C29" w14:textId="77777777" w:rsidR="00273D05" w:rsidRPr="00F53B70" w:rsidRDefault="00273D05" w:rsidP="00273D05">
      <w:pPr>
        <w:pStyle w:val="Sinespaciado"/>
        <w:tabs>
          <w:tab w:val="left" w:pos="709"/>
        </w:tabs>
        <w:spacing w:line="276" w:lineRule="auto"/>
        <w:jc w:val="both"/>
        <w:rPr>
          <w:rFonts w:ascii="Verdana" w:hAnsi="Verdana" w:cs="Arial"/>
          <w:color w:val="000000" w:themeColor="text1"/>
          <w:sz w:val="22"/>
        </w:rPr>
      </w:pPr>
      <w:r>
        <w:rPr>
          <w:rFonts w:ascii="Verdana" w:hAnsi="Verdana" w:cs="Arial"/>
          <w:color w:val="000000" w:themeColor="text1"/>
          <w:sz w:val="22"/>
        </w:rPr>
        <w:tab/>
      </w:r>
      <w:r w:rsidRPr="00D5646C">
        <w:rPr>
          <w:rFonts w:ascii="Verdana" w:hAnsi="Verdana" w:cs="Arial"/>
          <w:color w:val="000000" w:themeColor="text1"/>
          <w:sz w:val="22"/>
        </w:rPr>
        <w:t>La guía busca promover una cultura organizacional orientada a la transparencia, la eficiencia y la responsabilidad en el uso de recursos públicos. Su objetivo es facilitar a las entidades públicas la identificación temprana de amenazas y la gestión de oportunidades, asegurando el cumplimiento de sus objetivos y fortaleciendo la confianza ciudadana.</w:t>
      </w:r>
      <w:r>
        <w:rPr>
          <w:rFonts w:ascii="Verdana" w:hAnsi="Verdana" w:cs="Arial"/>
          <w:color w:val="000000" w:themeColor="text1"/>
          <w:sz w:val="22"/>
        </w:rPr>
        <w:t xml:space="preserve"> Sumado </w:t>
      </w:r>
      <w:r w:rsidRPr="00F53B70">
        <w:rPr>
          <w:rFonts w:ascii="Verdana" w:hAnsi="Verdana" w:cs="Arial"/>
          <w:color w:val="000000" w:themeColor="text1"/>
          <w:sz w:val="22"/>
        </w:rPr>
        <w:t xml:space="preserve">a ello, </w:t>
      </w:r>
      <w:r w:rsidRPr="00F53B70">
        <w:rPr>
          <w:rFonts w:ascii="Verdana" w:eastAsia="Calibri" w:hAnsi="Verdana" w:cs="Arial"/>
          <w:color w:val="000000" w:themeColor="text1"/>
          <w:sz w:val="22"/>
        </w:rPr>
        <w:t xml:space="preserve">para prevenir el riesgo de corrupción y de delitos derivados de la celebración de contratos estatales, la </w:t>
      </w:r>
      <w:bookmarkStart w:id="4" w:name="_Hlk148964958"/>
      <w:r w:rsidRPr="00F53B70">
        <w:rPr>
          <w:rFonts w:ascii="Verdana" w:eastAsia="Calibri" w:hAnsi="Verdana" w:cs="Arial"/>
          <w:color w:val="000000" w:themeColor="text1"/>
          <w:sz w:val="22"/>
        </w:rPr>
        <w:t>Sala de Consulta y Servicio Civil del Consejo de Estado</w:t>
      </w:r>
      <w:bookmarkEnd w:id="4"/>
      <w:r w:rsidRPr="00F53B70">
        <w:rPr>
          <w:rFonts w:ascii="Verdana" w:eastAsia="Calibri" w:hAnsi="Verdana" w:cs="Arial"/>
          <w:color w:val="000000" w:themeColor="text1"/>
          <w:sz w:val="22"/>
        </w:rPr>
        <w:t xml:space="preserve"> explica que las entidades – tanto sometidas como exceptuadas de la Ley 80 de 1993– tienen las siguientes opciones: </w:t>
      </w:r>
    </w:p>
    <w:p w14:paraId="1C4F5ACE" w14:textId="77777777" w:rsidR="00273D05" w:rsidRPr="00926BEA" w:rsidRDefault="00273D05" w:rsidP="00273D05">
      <w:pPr>
        <w:spacing w:after="0" w:line="276" w:lineRule="auto"/>
        <w:ind w:firstLine="708"/>
        <w:jc w:val="both"/>
        <w:rPr>
          <w:rFonts w:ascii="Verdana" w:eastAsia="Calibri" w:hAnsi="Verdana" w:cs="Arial"/>
          <w:color w:val="000000" w:themeColor="text1"/>
        </w:rPr>
      </w:pPr>
    </w:p>
    <w:p w14:paraId="2B5B589E" w14:textId="77777777" w:rsidR="00273D05" w:rsidRPr="00F53B70" w:rsidRDefault="00273D05" w:rsidP="00273D05">
      <w:pPr>
        <w:spacing w:after="120" w:line="240" w:lineRule="auto"/>
        <w:ind w:left="709" w:right="709"/>
        <w:jc w:val="both"/>
        <w:rPr>
          <w:rFonts w:ascii="Verdana" w:eastAsia="Calibri" w:hAnsi="Verdana" w:cs="Arial"/>
          <w:color w:val="000000" w:themeColor="text1"/>
          <w:sz w:val="20"/>
          <w:szCs w:val="20"/>
        </w:rPr>
      </w:pPr>
      <w:r w:rsidRPr="00F53B70">
        <w:rPr>
          <w:rFonts w:ascii="Verdana" w:eastAsia="Calibri" w:hAnsi="Verdana" w:cs="Arial"/>
          <w:color w:val="000000" w:themeColor="text1"/>
          <w:sz w:val="20"/>
          <w:szCs w:val="20"/>
        </w:rPr>
        <w:t>“(i) En los estudios previos que sustentan la contratación: a) tipificar, estimar y asignar los riesgos para prevenir actos de corrupción; b) contemplar las medidas tendientes a verificar las calidades de los proponentes o futuros contratistas;</w:t>
      </w:r>
    </w:p>
    <w:p w14:paraId="6A637FAF" w14:textId="77777777" w:rsidR="00273D05" w:rsidRPr="00F53B70" w:rsidRDefault="00273D05" w:rsidP="00273D05">
      <w:pPr>
        <w:spacing w:after="120" w:line="240" w:lineRule="auto"/>
        <w:ind w:left="709" w:right="709"/>
        <w:jc w:val="both"/>
        <w:rPr>
          <w:rFonts w:ascii="Verdana" w:eastAsia="Calibri" w:hAnsi="Verdana" w:cs="Arial"/>
          <w:color w:val="000000" w:themeColor="text1"/>
          <w:sz w:val="20"/>
          <w:szCs w:val="20"/>
        </w:rPr>
      </w:pPr>
      <w:r w:rsidRPr="00F53B70">
        <w:rPr>
          <w:rFonts w:ascii="Verdana" w:eastAsia="Calibri" w:hAnsi="Verdana" w:cs="Arial"/>
          <w:color w:val="000000" w:themeColor="text1"/>
          <w:sz w:val="20"/>
          <w:szCs w:val="20"/>
        </w:rPr>
        <w:t>(</w:t>
      </w:r>
      <w:proofErr w:type="spellStart"/>
      <w:r w:rsidRPr="00F53B70">
        <w:rPr>
          <w:rFonts w:ascii="Verdana" w:eastAsia="Calibri" w:hAnsi="Verdana" w:cs="Arial"/>
          <w:color w:val="000000" w:themeColor="text1"/>
          <w:sz w:val="20"/>
          <w:szCs w:val="20"/>
        </w:rPr>
        <w:t>ii</w:t>
      </w:r>
      <w:proofErr w:type="spellEnd"/>
      <w:r w:rsidRPr="00F53B70">
        <w:rPr>
          <w:rFonts w:ascii="Verdana" w:eastAsia="Calibri" w:hAnsi="Verdana" w:cs="Arial"/>
          <w:color w:val="000000" w:themeColor="text1"/>
          <w:sz w:val="20"/>
          <w:szCs w:val="20"/>
        </w:rPr>
        <w:t xml:space="preserve">) En los pliegos de condiciones y como parte integrante de la oferta: a) exigir la suscripción de </w:t>
      </w:r>
      <w:r>
        <w:rPr>
          <w:rFonts w:ascii="Verdana" w:eastAsia="Calibri" w:hAnsi="Verdana" w:cs="Arial"/>
          <w:color w:val="000000" w:themeColor="text1"/>
          <w:sz w:val="20"/>
          <w:szCs w:val="20"/>
        </w:rPr>
        <w:t>‘</w:t>
      </w:r>
      <w:r w:rsidRPr="00F53B70">
        <w:rPr>
          <w:rFonts w:ascii="Verdana" w:eastAsia="Calibri" w:hAnsi="Verdana" w:cs="Arial"/>
          <w:color w:val="000000" w:themeColor="text1"/>
          <w:sz w:val="20"/>
          <w:szCs w:val="20"/>
        </w:rPr>
        <w:t>pactos o compromisos de integridad</w:t>
      </w:r>
      <w:r>
        <w:rPr>
          <w:rFonts w:ascii="Verdana" w:eastAsia="Calibri" w:hAnsi="Verdana" w:cs="Arial"/>
          <w:color w:val="000000" w:themeColor="text1"/>
          <w:sz w:val="20"/>
          <w:szCs w:val="20"/>
        </w:rPr>
        <w:t>’</w:t>
      </w:r>
      <w:r w:rsidRPr="00F53B70">
        <w:rPr>
          <w:rFonts w:ascii="Verdana" w:eastAsia="Calibri" w:hAnsi="Verdana" w:cs="Arial"/>
          <w:color w:val="000000" w:themeColor="text1"/>
          <w:sz w:val="20"/>
          <w:szCs w:val="20"/>
        </w:rPr>
        <w:t xml:space="preserve"> y de la </w:t>
      </w:r>
      <w:r>
        <w:rPr>
          <w:rFonts w:ascii="Verdana" w:eastAsia="Calibri" w:hAnsi="Verdana" w:cs="Arial"/>
          <w:color w:val="000000" w:themeColor="text1"/>
          <w:sz w:val="20"/>
          <w:szCs w:val="20"/>
        </w:rPr>
        <w:t>‘</w:t>
      </w:r>
      <w:r w:rsidRPr="00F53B70">
        <w:rPr>
          <w:rFonts w:ascii="Verdana" w:eastAsia="Calibri" w:hAnsi="Verdana" w:cs="Arial"/>
          <w:color w:val="000000" w:themeColor="text1"/>
          <w:sz w:val="20"/>
          <w:szCs w:val="20"/>
        </w:rPr>
        <w:t>declaración de origen de fondos</w:t>
      </w:r>
      <w:r>
        <w:rPr>
          <w:rFonts w:ascii="Verdana" w:eastAsia="Calibri" w:hAnsi="Verdana" w:cs="Arial"/>
          <w:color w:val="000000" w:themeColor="text1"/>
          <w:sz w:val="20"/>
          <w:szCs w:val="20"/>
        </w:rPr>
        <w:t>’</w:t>
      </w:r>
      <w:r w:rsidRPr="00F53B70">
        <w:rPr>
          <w:rFonts w:ascii="Verdana" w:eastAsia="Calibri" w:hAnsi="Verdana" w:cs="Arial"/>
          <w:color w:val="000000" w:themeColor="text1"/>
          <w:sz w:val="20"/>
          <w:szCs w:val="20"/>
        </w:rPr>
        <w:t>; b) identificar plenamente al proponente y verificar los datos pertinentes, de acuerdo con la prerrogativa de la entidad, y c) señalar expresamente que uno de los riesgos asociados al contrato es el de corrupción, el cual se relaciona directamente con el riesgo financiero y, en consecuencia, exigir garantías suficientes que permitan mantener cubierta a la entidad en relación con este riesgo;</w:t>
      </w:r>
    </w:p>
    <w:p w14:paraId="0626580F" w14:textId="77777777" w:rsidR="00273D05" w:rsidRPr="00926BEA" w:rsidRDefault="00273D05" w:rsidP="00273D05">
      <w:pPr>
        <w:spacing w:after="0" w:line="240" w:lineRule="auto"/>
        <w:ind w:left="709" w:right="709"/>
        <w:jc w:val="both"/>
        <w:rPr>
          <w:rFonts w:ascii="Verdana" w:eastAsia="Calibri" w:hAnsi="Verdana" w:cs="Arial"/>
          <w:color w:val="000000" w:themeColor="text1"/>
          <w:sz w:val="21"/>
          <w:szCs w:val="21"/>
        </w:rPr>
      </w:pPr>
      <w:r w:rsidRPr="00F53B70">
        <w:rPr>
          <w:rFonts w:ascii="Verdana" w:eastAsia="Calibri" w:hAnsi="Verdana" w:cs="Arial"/>
          <w:color w:val="000000" w:themeColor="text1"/>
          <w:sz w:val="20"/>
          <w:szCs w:val="20"/>
        </w:rPr>
        <w:lastRenderedPageBreak/>
        <w:t>(</w:t>
      </w:r>
      <w:proofErr w:type="spellStart"/>
      <w:r w:rsidRPr="00F53B70">
        <w:rPr>
          <w:rFonts w:ascii="Verdana" w:eastAsia="Calibri" w:hAnsi="Verdana" w:cs="Arial"/>
          <w:color w:val="000000" w:themeColor="text1"/>
          <w:sz w:val="20"/>
          <w:szCs w:val="20"/>
        </w:rPr>
        <w:t>iii</w:t>
      </w:r>
      <w:proofErr w:type="spellEnd"/>
      <w:r w:rsidRPr="00F53B70">
        <w:rPr>
          <w:rFonts w:ascii="Verdana" w:eastAsia="Calibri" w:hAnsi="Verdana" w:cs="Arial"/>
          <w:color w:val="000000" w:themeColor="text1"/>
          <w:sz w:val="20"/>
          <w:szCs w:val="20"/>
        </w:rPr>
        <w:t>) En las cláusulas contractuales: a) incorporar la obligación a cargo del contratista de reportar periódicamente su información societaria, financiera y comercial, así como la modificación del estado de los mencionados riesgos; b) con el fin de proteger los intereses de la administración, incluir condiciones resolutorias expresas por hechos u omisiones que, aunque no estén tipificadas como causales de inhabilidad o incompatibilidad impliquen por parte del contratista o de las personas vinculadas a él actos de corrupción u otras circunstancias de las cuales se derive el aumento considerable de los riesgos para la entidad contratante o que vulneren los principios de la contratación estatal; c) estipular multas en los términos expuestos en este concepto”</w:t>
      </w:r>
      <w:r w:rsidRPr="00F53B70">
        <w:rPr>
          <w:rStyle w:val="Refdenotaalpie"/>
          <w:rFonts w:ascii="Verdana" w:eastAsia="Calibri" w:hAnsi="Verdana" w:cs="Arial"/>
          <w:color w:val="000000" w:themeColor="text1"/>
          <w:sz w:val="20"/>
          <w:szCs w:val="20"/>
        </w:rPr>
        <w:footnoteReference w:id="7"/>
      </w:r>
      <w:r w:rsidRPr="00F53B70">
        <w:rPr>
          <w:rFonts w:ascii="Verdana" w:eastAsia="Calibri" w:hAnsi="Verdana" w:cs="Arial"/>
          <w:color w:val="000000" w:themeColor="text1"/>
          <w:sz w:val="20"/>
          <w:szCs w:val="20"/>
        </w:rPr>
        <w:t>.</w:t>
      </w:r>
    </w:p>
    <w:p w14:paraId="080CF81E" w14:textId="77777777" w:rsidR="00273D05" w:rsidRPr="00926BEA" w:rsidRDefault="00273D05" w:rsidP="00273D05">
      <w:pPr>
        <w:spacing w:after="0" w:line="276" w:lineRule="auto"/>
        <w:ind w:left="709" w:right="709"/>
        <w:jc w:val="both"/>
        <w:rPr>
          <w:rFonts w:ascii="Verdana" w:eastAsia="Calibri" w:hAnsi="Verdana" w:cs="Arial"/>
          <w:color w:val="000000" w:themeColor="text1"/>
        </w:rPr>
      </w:pPr>
    </w:p>
    <w:p w14:paraId="74974101" w14:textId="77777777" w:rsidR="00273D05" w:rsidRPr="00F53B70" w:rsidRDefault="00273D05" w:rsidP="00273D05">
      <w:pPr>
        <w:spacing w:after="120" w:line="276" w:lineRule="auto"/>
        <w:ind w:firstLine="709"/>
        <w:jc w:val="both"/>
        <w:rPr>
          <w:rFonts w:ascii="Verdana" w:eastAsia="Calibri" w:hAnsi="Verdana" w:cs="Arial"/>
          <w:color w:val="000000" w:themeColor="text1"/>
        </w:rPr>
      </w:pPr>
      <w:r>
        <w:rPr>
          <w:rFonts w:ascii="Verdana" w:eastAsia="Calibri" w:hAnsi="Verdana" w:cs="Arial"/>
          <w:color w:val="000000" w:themeColor="text1"/>
        </w:rPr>
        <w:t>L</w:t>
      </w:r>
      <w:r w:rsidRPr="00926BEA">
        <w:rPr>
          <w:rFonts w:ascii="Verdana" w:eastAsia="Calibri" w:hAnsi="Verdana" w:cs="Arial"/>
          <w:color w:val="000000" w:themeColor="text1"/>
        </w:rPr>
        <w:t xml:space="preserve">a debida diligencia es una acción fundamental al interior de todos los sistemas de gestión del riesgo de lavado de activos y financiación del terrorismo, pues se configura en la etapa de conocimiento del proveedor, así como en la vinculación del extremo contractual, satisfaciendo </w:t>
      </w:r>
      <w:r w:rsidRPr="00926BEA">
        <w:rPr>
          <w:rFonts w:ascii="Verdana" w:eastAsia="Calibri" w:hAnsi="Verdana" w:cs="Arial"/>
          <w:color w:val="000000" w:themeColor="text1"/>
          <w:lang w:val="es-ES_tradnl"/>
        </w:rPr>
        <w:t>la necesidad de salvaguardar el interés general inherente en la contratación pública, de forma que implique el menor sacrificio posible al derecho de igualdad y al reconocimiento de la personalidad jurídica de quienes aspiran a contratar con el Estado.</w:t>
      </w:r>
    </w:p>
    <w:p w14:paraId="69A5C6B6" w14:textId="77777777" w:rsidR="00273D05" w:rsidRDefault="00273D05" w:rsidP="00273D05">
      <w:pPr>
        <w:pStyle w:val="Sinespaciado"/>
        <w:tabs>
          <w:tab w:val="left" w:pos="709"/>
        </w:tabs>
        <w:spacing w:line="276" w:lineRule="auto"/>
        <w:jc w:val="both"/>
        <w:rPr>
          <w:rFonts w:ascii="Verdana" w:eastAsia="Calibri" w:hAnsi="Verdana" w:cs="Arial"/>
          <w:color w:val="000000" w:themeColor="text1"/>
          <w:sz w:val="22"/>
          <w:lang w:val="es-ES"/>
        </w:rPr>
      </w:pPr>
      <w:r>
        <w:rPr>
          <w:rFonts w:ascii="Verdana" w:eastAsia="Calibri" w:hAnsi="Verdana" w:cs="Arial"/>
          <w:color w:val="000000" w:themeColor="text1"/>
          <w:lang w:val="es-ES"/>
        </w:rPr>
        <w:tab/>
      </w:r>
      <w:r w:rsidRPr="00F53B70">
        <w:rPr>
          <w:rFonts w:ascii="Verdana" w:eastAsia="Calibri" w:hAnsi="Verdana" w:cs="Arial"/>
          <w:color w:val="000000" w:themeColor="text1"/>
          <w:sz w:val="22"/>
          <w:lang w:val="es-ES"/>
        </w:rPr>
        <w:t xml:space="preserve">Sin perjuicio de otras medidas que adopte la entidad que adelanta el proceso de selección, el riesgo de lavado de activos y de la financiación del terrorismo puede controlarse en las condiciones explicadas por la Sala de Consulta y Servicio Civil. Como se observa, ninguna de las medidas que sugiere el Consejo de Estado incluye la consagración de causales de rechazo con tintes </w:t>
      </w:r>
      <w:proofErr w:type="spellStart"/>
      <w:r w:rsidRPr="00F53B70">
        <w:rPr>
          <w:rFonts w:ascii="Verdana" w:eastAsia="Calibri" w:hAnsi="Verdana" w:cs="Arial"/>
          <w:color w:val="000000" w:themeColor="text1"/>
          <w:sz w:val="22"/>
          <w:lang w:val="es-ES"/>
        </w:rPr>
        <w:t>inhabilitantes</w:t>
      </w:r>
      <w:proofErr w:type="spellEnd"/>
      <w:r>
        <w:rPr>
          <w:rFonts w:ascii="Verdana" w:eastAsia="Calibri" w:hAnsi="Verdana" w:cs="Arial"/>
          <w:color w:val="000000" w:themeColor="text1"/>
          <w:sz w:val="22"/>
          <w:lang w:val="es-ES"/>
        </w:rPr>
        <w:t>.</w:t>
      </w:r>
    </w:p>
    <w:p w14:paraId="17C51DFE" w14:textId="77777777" w:rsidR="00273D05" w:rsidRDefault="00273D05" w:rsidP="00273D05">
      <w:pPr>
        <w:pStyle w:val="Sinespaciado"/>
        <w:tabs>
          <w:tab w:val="left" w:pos="709"/>
        </w:tabs>
        <w:spacing w:line="276" w:lineRule="auto"/>
        <w:jc w:val="both"/>
        <w:rPr>
          <w:rFonts w:ascii="Verdana" w:eastAsia="Calibri" w:hAnsi="Verdana" w:cs="Arial"/>
          <w:color w:val="000000" w:themeColor="text1"/>
          <w:sz w:val="22"/>
          <w:lang w:val="es-ES"/>
        </w:rPr>
      </w:pPr>
    </w:p>
    <w:p w14:paraId="001C6601" w14:textId="77777777" w:rsidR="00273D05" w:rsidRPr="00C76926" w:rsidRDefault="00273D05" w:rsidP="00273D05">
      <w:pPr>
        <w:spacing w:after="120" w:line="276" w:lineRule="auto"/>
        <w:jc w:val="both"/>
        <w:rPr>
          <w:rFonts w:ascii="Verdana" w:hAnsi="Verdana" w:cs="Arial"/>
        </w:rPr>
      </w:pPr>
      <w:r>
        <w:rPr>
          <w:rFonts w:ascii="Verdana" w:eastAsia="Calibri" w:hAnsi="Verdana" w:cs="Arial"/>
          <w:color w:val="000000" w:themeColor="text1"/>
          <w:lang w:val="es-ES"/>
        </w:rPr>
        <w:t xml:space="preserve">vi. </w:t>
      </w:r>
      <w:r>
        <w:rPr>
          <w:rFonts w:ascii="Verdana" w:hAnsi="Verdana" w:cs="Arial"/>
          <w:bCs/>
          <w:lang w:val="es-ES_tradnl"/>
        </w:rPr>
        <w:t>Finalmente, es necesario considerar que el derogado artículo 89 del Decreto del 2474 de 2008 disponía que “</w:t>
      </w:r>
      <w:r w:rsidRPr="00B17F28">
        <w:rPr>
          <w:rFonts w:ascii="Verdana" w:hAnsi="Verdana" w:cs="Arial"/>
          <w:bCs/>
          <w:lang w:val="es-ES_tradnl"/>
        </w:rPr>
        <w:t xml:space="preserve">Las entidades estatales sometidas al Estatuto General de Contratación deberán contar con un manual de contratación, en el que se señalen </w:t>
      </w:r>
      <w:r w:rsidRPr="002B56DE">
        <w:rPr>
          <w:rFonts w:ascii="Verdana" w:hAnsi="Verdana" w:cs="Arial"/>
          <w:bCs/>
          <w:i/>
          <w:iCs/>
          <w:u w:val="single"/>
          <w:lang w:val="es-ES_tradnl"/>
        </w:rPr>
        <w:t>los procedimientos internos</w:t>
      </w:r>
      <w:r w:rsidRPr="00B17F28">
        <w:rPr>
          <w:rFonts w:ascii="Verdana" w:hAnsi="Verdana" w:cs="Arial"/>
          <w:bCs/>
          <w:lang w:val="es-ES_tradnl"/>
        </w:rPr>
        <w:t xml:space="preserve">, los funcionarios intervinientes, </w:t>
      </w:r>
      <w:r w:rsidRPr="002B56DE">
        <w:rPr>
          <w:rFonts w:ascii="Verdana" w:hAnsi="Verdana" w:cs="Arial"/>
          <w:bCs/>
          <w:i/>
          <w:iCs/>
          <w:u w:val="single"/>
          <w:lang w:val="es-ES_tradnl"/>
        </w:rPr>
        <w:t>y todos los asuntos propios de la realización de los procesos de selección</w:t>
      </w:r>
      <w:r w:rsidRPr="00B17F28">
        <w:rPr>
          <w:rFonts w:ascii="Verdana" w:hAnsi="Verdana" w:cs="Arial"/>
          <w:bCs/>
          <w:lang w:val="es-ES_tradnl"/>
        </w:rPr>
        <w:t>, así como de la vigilancia y control de la ejecución contractual, en los términos establecidos en el presente decreto</w:t>
      </w:r>
      <w:r>
        <w:rPr>
          <w:rFonts w:ascii="Verdana" w:hAnsi="Verdana" w:cs="Arial"/>
          <w:bCs/>
          <w:lang w:val="es-ES_tradnl"/>
        </w:rPr>
        <w:t>” (Énfasis dentro del texto). Si bien las expresiones subrayadas fueron anuladas por exceso en la potestad reglamentaria, la Sección Tercera del Consejo de Estado declaró la legalidad del resto del artículo al considerar que “</w:t>
      </w:r>
      <w:r w:rsidRPr="00EC62B2">
        <w:rPr>
          <w:rFonts w:ascii="Verdana" w:hAnsi="Verdana" w:cs="Arial"/>
          <w:bCs/>
          <w:lang w:val="es-ES_tradnl"/>
        </w:rPr>
        <w:t xml:space="preserve">Los denominados manuales de contratación pueden </w:t>
      </w:r>
      <w:proofErr w:type="gramStart"/>
      <w:r w:rsidRPr="00EC62B2">
        <w:rPr>
          <w:rFonts w:ascii="Verdana" w:hAnsi="Verdana" w:cs="Arial"/>
          <w:bCs/>
          <w:lang w:val="es-ES_tradnl"/>
        </w:rPr>
        <w:t xml:space="preserve">enmarcarse </w:t>
      </w:r>
      <w:r w:rsidRPr="00EC62B2">
        <w:rPr>
          <w:rFonts w:ascii="Verdana" w:hAnsi="Verdana" w:cs="Arial"/>
          <w:bCs/>
          <w:lang w:val="es-ES_tradnl"/>
        </w:rPr>
        <w:lastRenderedPageBreak/>
        <w:t>dentro de</w:t>
      </w:r>
      <w:proofErr w:type="gramEnd"/>
      <w:r w:rsidRPr="00EC62B2">
        <w:rPr>
          <w:rFonts w:ascii="Verdana" w:hAnsi="Verdana" w:cs="Arial"/>
          <w:bCs/>
          <w:lang w:val="es-ES_tradnl"/>
        </w:rPr>
        <w:t xml:space="preserve"> la potestad de </w:t>
      </w:r>
      <w:proofErr w:type="gramStart"/>
      <w:r w:rsidRPr="00EC62B2">
        <w:rPr>
          <w:rFonts w:ascii="Verdana" w:hAnsi="Verdana" w:cs="Arial"/>
          <w:bCs/>
          <w:lang w:val="es-ES_tradnl"/>
        </w:rPr>
        <w:t>auto-organización</w:t>
      </w:r>
      <w:proofErr w:type="gramEnd"/>
      <w:r w:rsidRPr="00EC62B2">
        <w:rPr>
          <w:rFonts w:ascii="Verdana" w:hAnsi="Verdana" w:cs="Arial"/>
          <w:bCs/>
          <w:lang w:val="es-ES_tradnl"/>
        </w:rPr>
        <w:t xml:space="preserve"> reconocida a cada entidad estatal, toda vez que los mismos tienen un campo de aplicación que se restringe a cada organismo administrativo</w:t>
      </w:r>
      <w:r>
        <w:rPr>
          <w:rFonts w:ascii="Verdana" w:hAnsi="Verdana" w:cs="Arial"/>
          <w:bCs/>
          <w:lang w:val="es-ES_tradnl"/>
        </w:rPr>
        <w:t>.</w:t>
      </w:r>
      <w:r w:rsidRPr="00EC62B2">
        <w:rPr>
          <w:rFonts w:ascii="Verdana" w:hAnsi="Verdana" w:cs="Arial"/>
          <w:bCs/>
          <w:lang w:val="es-ES_tradnl"/>
        </w:rPr>
        <w:t xml:space="preserve"> En otras palabras, es una norma de carácter interno ya que regula relaciones de carácter inter-orgánico. Adicionalmente, su objeto no es </w:t>
      </w:r>
      <w:proofErr w:type="gramStart"/>
      <w:r w:rsidRPr="00EC62B2">
        <w:rPr>
          <w:rFonts w:ascii="Verdana" w:hAnsi="Verdana" w:cs="Arial"/>
          <w:bCs/>
          <w:lang w:val="es-ES_tradnl"/>
        </w:rPr>
        <w:t>otro distinto a reglamentar</w:t>
      </w:r>
      <w:proofErr w:type="gramEnd"/>
      <w:r w:rsidRPr="00EC62B2">
        <w:rPr>
          <w:rFonts w:ascii="Verdana" w:hAnsi="Verdana" w:cs="Arial"/>
          <w:bCs/>
          <w:lang w:val="es-ES_tradnl"/>
        </w:rPr>
        <w:t xml:space="preserve"> temas administrativos del manejo de la contratación estatal</w:t>
      </w:r>
      <w:r>
        <w:rPr>
          <w:rFonts w:ascii="Verdana" w:hAnsi="Verdana" w:cs="Arial"/>
          <w:bCs/>
          <w:lang w:val="es-ES_tradnl"/>
        </w:rPr>
        <w:t xml:space="preserve"> </w:t>
      </w:r>
      <w:r w:rsidRPr="00EC62B2">
        <w:rPr>
          <w:rFonts w:ascii="Verdana" w:hAnsi="Verdana" w:cs="Arial"/>
          <w:bCs/>
          <w:lang w:val="es-ES_tradnl"/>
        </w:rPr>
        <w:t>-funcionarios que intervienen en las distintas etapas de la contratación, en la vigilancia y ejecución del negocio jurídico, entre otros-, es decir aspectos administrativos del trámite y desarrollo contractual</w:t>
      </w:r>
      <w:r>
        <w:rPr>
          <w:rFonts w:ascii="Verdana" w:hAnsi="Verdana" w:cs="Arial"/>
          <w:bCs/>
          <w:lang w:val="es-ES_tradnl"/>
        </w:rPr>
        <w:t xml:space="preserve"> […]”</w:t>
      </w:r>
      <w:r>
        <w:rPr>
          <w:rStyle w:val="Refdenotaalpie"/>
          <w:rFonts w:ascii="Verdana" w:hAnsi="Verdana" w:cs="Arial"/>
          <w:bCs/>
          <w:lang w:val="es-ES_tradnl"/>
        </w:rPr>
        <w:footnoteReference w:id="8"/>
      </w:r>
      <w:r w:rsidRPr="00EC62B2">
        <w:rPr>
          <w:rFonts w:ascii="Verdana" w:hAnsi="Verdana" w:cs="Arial"/>
          <w:bCs/>
          <w:lang w:val="es-ES_tradnl"/>
        </w:rPr>
        <w:t>.</w:t>
      </w:r>
      <w:r>
        <w:rPr>
          <w:rFonts w:ascii="Verdana" w:hAnsi="Verdana" w:cs="Arial"/>
          <w:bCs/>
          <w:lang w:val="es-ES_tradnl"/>
        </w:rPr>
        <w:t xml:space="preserve"> </w:t>
      </w:r>
    </w:p>
    <w:p w14:paraId="5C81E7D6" w14:textId="77777777" w:rsidR="00273D05" w:rsidRDefault="00273D05" w:rsidP="00273D05">
      <w:pPr>
        <w:spacing w:after="120" w:line="276" w:lineRule="auto"/>
        <w:jc w:val="both"/>
        <w:rPr>
          <w:rFonts w:ascii="Verdana" w:hAnsi="Verdana" w:cs="Arial"/>
          <w:bCs/>
          <w:lang w:val="es-ES_tradnl"/>
        </w:rPr>
      </w:pPr>
      <w:r>
        <w:rPr>
          <w:rFonts w:ascii="Verdana" w:hAnsi="Verdana" w:cs="Arial"/>
          <w:bCs/>
          <w:lang w:val="es-ES_tradnl"/>
        </w:rPr>
        <w:tab/>
        <w:t>El artículo 89 del Decreto 2474 de 2008 fue modificado por el otrora artículo 35 del Decreto 3576 de 2009. La norma disponía lo siguiente: “</w:t>
      </w:r>
      <w:r w:rsidRPr="00741A89">
        <w:rPr>
          <w:rFonts w:ascii="Verdana" w:hAnsi="Verdana" w:cs="Arial"/>
          <w:bCs/>
          <w:lang w:val="es-ES_tradnl"/>
        </w:rPr>
        <w:t>Las entidades estatales sometidas al Estatuto General de Contratación deberán contar con un manual de contratación, en el que se señalen las funciones internas en materia contractual, las tareas que deban acometerse por virtud de la delegación o desconcentración de funciones, así como las que se derivan de la vigilancia y control de la ejecución contractual</w:t>
      </w:r>
      <w:r>
        <w:rPr>
          <w:rFonts w:ascii="Verdana" w:hAnsi="Verdana" w:cs="Arial"/>
          <w:bCs/>
          <w:lang w:val="es-ES_tradnl"/>
        </w:rPr>
        <w:t>”</w:t>
      </w:r>
      <w:r w:rsidRPr="00741A89">
        <w:rPr>
          <w:rFonts w:ascii="Verdana" w:hAnsi="Verdana" w:cs="Arial"/>
          <w:bCs/>
          <w:lang w:val="es-ES_tradnl"/>
        </w:rPr>
        <w:t>.</w:t>
      </w:r>
      <w:r>
        <w:rPr>
          <w:rFonts w:ascii="Verdana" w:hAnsi="Verdana" w:cs="Arial"/>
          <w:bCs/>
          <w:lang w:val="es-ES_tradnl"/>
        </w:rPr>
        <w:t xml:space="preserve"> Este contenido se reprodujo en el artículo </w:t>
      </w:r>
      <w:r w:rsidRPr="00741A89">
        <w:rPr>
          <w:rFonts w:ascii="Verdana" w:hAnsi="Verdana" w:cs="Arial"/>
          <w:bCs/>
          <w:lang w:val="es-ES_tradnl"/>
        </w:rPr>
        <w:t>8.1.11</w:t>
      </w:r>
      <w:r>
        <w:rPr>
          <w:rFonts w:ascii="Verdana" w:hAnsi="Verdana" w:cs="Arial"/>
          <w:bCs/>
          <w:lang w:val="es-ES_tradnl"/>
        </w:rPr>
        <w:t xml:space="preserve"> del Decreto 734 de 2012. </w:t>
      </w:r>
    </w:p>
    <w:p w14:paraId="7EA7F4C6" w14:textId="77777777" w:rsidR="00273D05" w:rsidRDefault="00273D05" w:rsidP="00273D05">
      <w:pPr>
        <w:spacing w:after="0" w:line="276" w:lineRule="auto"/>
        <w:ind w:firstLine="708"/>
        <w:jc w:val="both"/>
        <w:rPr>
          <w:rFonts w:ascii="Verdana" w:hAnsi="Verdana" w:cs="Arial"/>
          <w:lang w:val="es-ES"/>
        </w:rPr>
      </w:pPr>
      <w:r w:rsidRPr="499A95C8">
        <w:rPr>
          <w:rFonts w:ascii="Verdana" w:hAnsi="Verdana" w:cs="Arial"/>
          <w:lang w:val="es-ES"/>
        </w:rPr>
        <w:t xml:space="preserve">Finalmente, el artículo 160 del Decreto 1510 de 2013 –compilado en el artículo 2.2.1.2.5.3 del Decreto 1082 de 2015– prescribía que “Las Entidades Estatales deben contar con un manual de contratación, el cual debe cumplir con los lineamientos que para el efecto señale Colombia Compra Eficiente”. Sin embargo, mediante la Sentencia 3 de abril de 2020, </w:t>
      </w:r>
      <w:proofErr w:type="spellStart"/>
      <w:r w:rsidRPr="499A95C8">
        <w:rPr>
          <w:rFonts w:ascii="Verdana" w:hAnsi="Verdana" w:cs="Arial"/>
          <w:lang w:val="es-ES"/>
        </w:rPr>
        <w:t>exp</w:t>
      </w:r>
      <w:proofErr w:type="spellEnd"/>
      <w:r w:rsidRPr="499A95C8">
        <w:rPr>
          <w:rFonts w:ascii="Verdana" w:hAnsi="Verdana" w:cs="Arial"/>
          <w:lang w:val="es-ES"/>
        </w:rPr>
        <w:t xml:space="preserve">. 50199, con ponencia del </w:t>
      </w:r>
      <w:proofErr w:type="gramStart"/>
      <w:r w:rsidRPr="499A95C8">
        <w:rPr>
          <w:rFonts w:ascii="Verdana" w:hAnsi="Verdana" w:cs="Arial"/>
          <w:lang w:val="es-ES"/>
        </w:rPr>
        <w:t>Consejero</w:t>
      </w:r>
      <w:proofErr w:type="gramEnd"/>
      <w:r w:rsidRPr="499A95C8">
        <w:rPr>
          <w:rFonts w:ascii="Verdana" w:hAnsi="Verdana" w:cs="Arial"/>
          <w:lang w:val="es-ES"/>
        </w:rPr>
        <w:t xml:space="preserve"> Alberto Montaña Plata, esta norma fue anulada por la Subsección B de la Sección Tercera del Consejo de Estado, para lo cual consideró que:</w:t>
      </w:r>
    </w:p>
    <w:p w14:paraId="0C665E12" w14:textId="77777777" w:rsidR="00273D05" w:rsidRDefault="00273D05" w:rsidP="00273D05">
      <w:pPr>
        <w:spacing w:after="0" w:line="276" w:lineRule="auto"/>
        <w:ind w:firstLine="708"/>
        <w:jc w:val="both"/>
        <w:rPr>
          <w:rFonts w:ascii="Verdana" w:hAnsi="Verdana" w:cs="Arial"/>
          <w:bCs/>
          <w:lang w:val="es-ES_tradnl"/>
        </w:rPr>
      </w:pPr>
    </w:p>
    <w:p w14:paraId="4E33A20B" w14:textId="77777777" w:rsidR="00273D05" w:rsidRPr="008E70B3" w:rsidRDefault="00273D05" w:rsidP="00273D05">
      <w:pPr>
        <w:spacing w:after="120" w:line="240" w:lineRule="auto"/>
        <w:ind w:left="709" w:right="709"/>
        <w:jc w:val="both"/>
        <w:rPr>
          <w:rFonts w:ascii="Verdana" w:hAnsi="Verdana" w:cs="Arial"/>
          <w:bCs/>
          <w:sz w:val="21"/>
          <w:szCs w:val="21"/>
          <w:lang w:val="es-ES_tradnl"/>
        </w:rPr>
      </w:pPr>
      <w:r w:rsidRPr="008E70B3">
        <w:rPr>
          <w:rFonts w:ascii="Verdana" w:hAnsi="Verdana" w:cs="Arial"/>
          <w:bCs/>
          <w:sz w:val="21"/>
          <w:szCs w:val="21"/>
          <w:lang w:val="es-ES_tradnl"/>
        </w:rPr>
        <w:t>“[…] el artículo 158 instituyó el deber de Colombia Compra Eficiente de establecer los lineamientos y el formato que “</w:t>
      </w:r>
      <w:r w:rsidRPr="008E70B3">
        <w:rPr>
          <w:rFonts w:ascii="Verdana" w:hAnsi="Verdana" w:cs="Arial"/>
          <w:bCs/>
          <w:i/>
          <w:iCs/>
          <w:sz w:val="21"/>
          <w:szCs w:val="21"/>
          <w:lang w:val="es-ES_tradnl"/>
        </w:rPr>
        <w:t>deben ser utilizados</w:t>
      </w:r>
      <w:r w:rsidRPr="008E70B3">
        <w:rPr>
          <w:rFonts w:ascii="Verdana" w:hAnsi="Verdana" w:cs="Arial"/>
          <w:bCs/>
          <w:sz w:val="21"/>
          <w:szCs w:val="21"/>
          <w:lang w:val="es-ES_tradnl"/>
        </w:rPr>
        <w:t>” por las entidades para elaborar sus respectivos planes anuales de adquisiciones. Por su parte, el artículo 160 dispuso que la Agencia Nacional de Contratación debía señalar los lineamientos que “</w:t>
      </w:r>
      <w:r w:rsidRPr="008E70B3">
        <w:rPr>
          <w:rFonts w:ascii="Verdana" w:hAnsi="Verdana" w:cs="Arial"/>
          <w:bCs/>
          <w:i/>
          <w:iCs/>
          <w:sz w:val="21"/>
          <w:szCs w:val="21"/>
          <w:lang w:val="es-ES_tradnl"/>
        </w:rPr>
        <w:t>deben cumplir</w:t>
      </w:r>
      <w:r w:rsidRPr="008E70B3">
        <w:rPr>
          <w:rFonts w:ascii="Verdana" w:hAnsi="Verdana" w:cs="Arial"/>
          <w:bCs/>
          <w:sz w:val="21"/>
          <w:szCs w:val="21"/>
          <w:lang w:val="es-ES_tradnl"/>
        </w:rPr>
        <w:t>” las entidades estatales al elaborar sus manuales de contratación. En ambos casos, el reglamento le otorgó a CCE la potestad de reglamentar dos instrumentos puntuales en materia contractual con la expedición de normas de contenido obligatorio, que deben ser acatadas por todas las entidades públicas.</w:t>
      </w:r>
    </w:p>
    <w:p w14:paraId="2DDC611B" w14:textId="77777777" w:rsidR="00273D05" w:rsidRDefault="00273D05" w:rsidP="00273D05">
      <w:pPr>
        <w:spacing w:after="0" w:line="240" w:lineRule="auto"/>
        <w:ind w:left="709" w:right="709"/>
        <w:jc w:val="both"/>
        <w:rPr>
          <w:rFonts w:ascii="Verdana" w:hAnsi="Verdana" w:cs="Arial"/>
          <w:lang w:val="es-ES"/>
        </w:rPr>
      </w:pPr>
      <w:r w:rsidRPr="499A95C8">
        <w:rPr>
          <w:rFonts w:ascii="Verdana" w:hAnsi="Verdana" w:cs="Arial"/>
          <w:sz w:val="21"/>
          <w:szCs w:val="21"/>
          <w:lang w:val="es-ES"/>
        </w:rPr>
        <w:lastRenderedPageBreak/>
        <w:t xml:space="preserve">50.  No resulta procedente que el </w:t>
      </w:r>
      <w:proofErr w:type="gramStart"/>
      <w:r w:rsidRPr="499A95C8">
        <w:rPr>
          <w:rFonts w:ascii="Verdana" w:hAnsi="Verdana" w:cs="Arial"/>
          <w:sz w:val="21"/>
          <w:szCs w:val="21"/>
          <w:lang w:val="es-ES"/>
        </w:rPr>
        <w:t>Presidente</w:t>
      </w:r>
      <w:proofErr w:type="gramEnd"/>
      <w:r w:rsidRPr="499A95C8">
        <w:rPr>
          <w:rFonts w:ascii="Verdana" w:hAnsi="Verdana" w:cs="Arial"/>
          <w:sz w:val="21"/>
          <w:szCs w:val="21"/>
          <w:lang w:val="es-ES"/>
        </w:rPr>
        <w:t xml:space="preserve"> de la República, a través de las normas demandadas, traslade a otra entidad, en este caso a Colombia Compra Eficiente, la reglamentación que le corresponde por mandato constitucional (artículo 189, numeral 11 de la Constitución Política de Colombia). Esto es, de las funciones asignadas a CCE en su norma de creación, que se circunscriben a desarrollar, implementar y difundir las políticas públicas, planes, programas, normas, instrumentos y herramientas que faciliten las compras públicas, no se puede pretender derivar una facultad reglamentaria”. (Énfasis dentro del texto)</w:t>
      </w:r>
    </w:p>
    <w:p w14:paraId="7A860BDE" w14:textId="77777777" w:rsidR="00273D05" w:rsidRDefault="00273D05" w:rsidP="00273D05">
      <w:pPr>
        <w:spacing w:after="0" w:line="276" w:lineRule="auto"/>
        <w:jc w:val="both"/>
        <w:rPr>
          <w:rFonts w:ascii="Verdana" w:hAnsi="Verdana" w:cs="Arial"/>
          <w:bCs/>
          <w:lang w:val="es-ES_tradnl"/>
        </w:rPr>
      </w:pPr>
    </w:p>
    <w:p w14:paraId="0382334C" w14:textId="77777777" w:rsidR="00273D05" w:rsidRDefault="00273D05" w:rsidP="00273D05">
      <w:pPr>
        <w:spacing w:after="120" w:line="276" w:lineRule="auto"/>
        <w:jc w:val="both"/>
        <w:rPr>
          <w:rFonts w:ascii="Verdana" w:hAnsi="Verdana" w:cs="Arial"/>
          <w:lang w:val="es-ES"/>
        </w:rPr>
      </w:pPr>
      <w:r>
        <w:rPr>
          <w:rFonts w:ascii="Verdana" w:hAnsi="Verdana" w:cs="Arial"/>
          <w:bCs/>
          <w:lang w:val="es-ES_tradnl"/>
        </w:rPr>
        <w:tab/>
      </w:r>
      <w:r w:rsidRPr="499A95C8">
        <w:rPr>
          <w:rFonts w:ascii="Verdana" w:hAnsi="Verdana" w:cs="Arial"/>
          <w:lang w:val="es-ES"/>
        </w:rPr>
        <w:t xml:space="preserve">Como se observa, la jurisprudencia no proscribe los manuales de contratación, sino que éstos deban acatar los lineamientos de la ANCP – CCE. Es decir, con la nulidad del artículo 160 del Decreto 1510 de 2013, la expedición del manual de contratación, más que un deber, es una facultad de las entidades sometidas al Estatuto General de la Contratación de la Administración Pública. Como se explicó </w:t>
      </w:r>
      <w:r w:rsidRPr="499A95C8">
        <w:rPr>
          <w:rFonts w:ascii="Verdana" w:hAnsi="Verdana" w:cs="Arial"/>
          <w:i/>
          <w:lang w:val="es-ES"/>
        </w:rPr>
        <w:t>ut supra</w:t>
      </w:r>
      <w:r w:rsidRPr="499A95C8">
        <w:rPr>
          <w:rFonts w:ascii="Verdana" w:hAnsi="Verdana" w:cs="Arial"/>
          <w:lang w:val="es-ES"/>
        </w:rPr>
        <w:t xml:space="preserve">, dichos manuales hacen parte de la potestad de autoorganización de las entidades estatales; razón por la cual, su adopción constituye una buena práctica contractual. </w:t>
      </w:r>
    </w:p>
    <w:p w14:paraId="34F69073" w14:textId="77777777" w:rsidR="00273D05" w:rsidRDefault="00273D05" w:rsidP="00273D05">
      <w:pPr>
        <w:spacing w:after="120" w:line="276" w:lineRule="auto"/>
        <w:ind w:firstLine="708"/>
        <w:jc w:val="both"/>
        <w:rPr>
          <w:rFonts w:ascii="Verdana" w:hAnsi="Verdana" w:cs="Arial"/>
          <w:bCs/>
          <w:lang w:val="es-ES_tradnl"/>
        </w:rPr>
      </w:pPr>
      <w:r>
        <w:rPr>
          <w:rFonts w:ascii="Verdana" w:eastAsia="Calibri" w:hAnsi="Verdana" w:cs="Arial"/>
          <w:color w:val="000000" w:themeColor="text1"/>
          <w:lang w:val="es-ES"/>
        </w:rPr>
        <w:t xml:space="preserve">Dichos manuales </w:t>
      </w:r>
      <w:r>
        <w:rPr>
          <w:rFonts w:ascii="Verdana" w:hAnsi="Verdana" w:cs="Arial"/>
          <w:bCs/>
          <w:lang w:val="es-ES_tradnl"/>
        </w:rPr>
        <w:t xml:space="preserve">juegan un rol relevante para las </w:t>
      </w:r>
      <w:r w:rsidRPr="00147338">
        <w:rPr>
          <w:rFonts w:ascii="Verdana" w:hAnsi="Verdana" w:cs="Arial"/>
          <w:bCs/>
          <w:i/>
          <w:iCs/>
          <w:lang w:val="es-ES_tradnl"/>
        </w:rPr>
        <w:t>entidades sometidas a la Ley 80 de 1993</w:t>
      </w:r>
      <w:r>
        <w:rPr>
          <w:rFonts w:ascii="Verdana" w:hAnsi="Verdana" w:cs="Arial"/>
          <w:bCs/>
          <w:lang w:val="es-ES_tradnl"/>
        </w:rPr>
        <w:t>. Aunque gran parte de los aspectos relacionados con la gestión contractual se encuentran en el EGCAP y en decretos que lo desarrollan, los mismos establecen flujogramas en la estructuración de los procesos; asignan responsabilidades específicas en la proyección, revisión y aprobación de los documentos; unifican y estandarizan trámites internos; fijan directrices respecto a la gestión de los procesos y la ejecución de los contratos; entre otros.</w:t>
      </w:r>
    </w:p>
    <w:p w14:paraId="72105B33" w14:textId="77777777" w:rsidR="00273D05" w:rsidRDefault="00273D05" w:rsidP="00273D05">
      <w:pPr>
        <w:spacing w:after="0" w:line="276" w:lineRule="auto"/>
        <w:jc w:val="both"/>
        <w:rPr>
          <w:rFonts w:ascii="Verdana" w:hAnsi="Verdana" w:cs="Arial"/>
          <w:bCs/>
          <w:lang w:val="es-ES_tradnl"/>
        </w:rPr>
      </w:pPr>
      <w:r>
        <w:rPr>
          <w:rFonts w:ascii="Verdana" w:hAnsi="Verdana" w:cs="Arial"/>
          <w:bCs/>
          <w:lang w:val="es-ES_tradnl"/>
        </w:rPr>
        <w:tab/>
        <w:t xml:space="preserve">Al estar subordinados a la ley y al reglamento, los manuales de contratación de las </w:t>
      </w:r>
      <w:r w:rsidRPr="00346387">
        <w:rPr>
          <w:rFonts w:ascii="Verdana" w:hAnsi="Verdana" w:cs="Arial"/>
          <w:bCs/>
          <w:i/>
          <w:iCs/>
          <w:lang w:val="es-ES_tradnl"/>
        </w:rPr>
        <w:t>entidades sometidas a la Ley 80 de 1993</w:t>
      </w:r>
      <w:r>
        <w:rPr>
          <w:rFonts w:ascii="Verdana" w:hAnsi="Verdana" w:cs="Arial"/>
          <w:bCs/>
          <w:lang w:val="es-ES_tradnl"/>
        </w:rPr>
        <w:t xml:space="preserve"> no pueden modificar aspectos como </w:t>
      </w:r>
      <w:r w:rsidRPr="00CB68C5">
        <w:rPr>
          <w:rFonts w:ascii="Verdana" w:hAnsi="Verdana" w:cs="Arial"/>
        </w:rPr>
        <w:t>la capacidad jurídica –inhabilidades, incompatibilidades, consorcios y uniones temporales y registro único de proponentes–,</w:t>
      </w:r>
      <w:r>
        <w:rPr>
          <w:rFonts w:ascii="Verdana" w:hAnsi="Verdana" w:cs="Arial"/>
        </w:rPr>
        <w:t xml:space="preserve"> la competencia para contratar,</w:t>
      </w:r>
      <w:r w:rsidRPr="00CB68C5">
        <w:rPr>
          <w:rFonts w:ascii="Verdana" w:hAnsi="Verdana" w:cs="Arial"/>
        </w:rPr>
        <w:t xml:space="preserve"> las reglas de selección objetiva –procedimientos de selección–, </w:t>
      </w:r>
      <w:r>
        <w:rPr>
          <w:rFonts w:ascii="Verdana" w:hAnsi="Verdana" w:cs="Arial"/>
        </w:rPr>
        <w:t xml:space="preserve">el régimen de perfeccionamiento del contrato, </w:t>
      </w:r>
      <w:r w:rsidRPr="00CB68C5">
        <w:rPr>
          <w:rFonts w:ascii="Verdana" w:hAnsi="Verdana" w:cs="Arial"/>
        </w:rPr>
        <w:t>así como algunos aspectos de ejecución contractual –manejo del riesgo, cláusulas exorbitantes</w:t>
      </w:r>
      <w:r>
        <w:rPr>
          <w:rFonts w:ascii="Verdana" w:hAnsi="Verdana" w:cs="Arial"/>
        </w:rPr>
        <w:t>,</w:t>
      </w:r>
      <w:r w:rsidRPr="00CB68C5">
        <w:rPr>
          <w:rFonts w:ascii="Verdana" w:hAnsi="Verdana" w:cs="Arial"/>
        </w:rPr>
        <w:t xml:space="preserve"> tipologías contractuales</w:t>
      </w:r>
      <w:r>
        <w:rPr>
          <w:rFonts w:ascii="Verdana" w:hAnsi="Verdana" w:cs="Arial"/>
        </w:rPr>
        <w:t xml:space="preserve"> y garantías</w:t>
      </w:r>
      <w:r w:rsidRPr="00CB68C5">
        <w:rPr>
          <w:rFonts w:ascii="Verdana" w:hAnsi="Verdana" w:cs="Arial"/>
        </w:rPr>
        <w:t>–</w:t>
      </w:r>
      <w:r>
        <w:rPr>
          <w:rFonts w:ascii="Verdana" w:hAnsi="Verdana" w:cs="Arial"/>
        </w:rPr>
        <w:t>. No obstante, siempre que estén en consonancia con las normas de carácter superior, pueden regular aspectos operativos de la gestión de procesos y contratos al interior de la entidad.</w:t>
      </w:r>
      <w:r>
        <w:rPr>
          <w:rFonts w:ascii="Verdana" w:hAnsi="Verdana" w:cs="Arial"/>
          <w:bCs/>
          <w:lang w:val="es-ES_tradnl"/>
        </w:rPr>
        <w:t xml:space="preserve"> Esto último incluye directrices específicas sobre la debida diligencia en materia de </w:t>
      </w:r>
      <w:r>
        <w:rPr>
          <w:rFonts w:ascii="Verdana" w:hAnsi="Verdana" w:cs="Arial"/>
          <w:bCs/>
          <w:lang w:val="es-ES_tradnl"/>
        </w:rPr>
        <w:lastRenderedPageBreak/>
        <w:t xml:space="preserve">contratación pública, sin perjuicio del cumplimiento del Decreto 1122 de 2024 para implementación del </w:t>
      </w:r>
      <w:r w:rsidRPr="0004276A">
        <w:rPr>
          <w:rFonts w:ascii="Verdana" w:eastAsia="Calibri" w:hAnsi="Verdana" w:cs="Arial"/>
          <w:lang w:val="es-ES"/>
        </w:rPr>
        <w:t>Programa de Transparencia y Ética Pública</w:t>
      </w:r>
      <w:r>
        <w:rPr>
          <w:rFonts w:ascii="Verdana" w:eastAsia="Calibri" w:hAnsi="Verdana" w:cs="Arial"/>
          <w:lang w:val="es-ES"/>
        </w:rPr>
        <w:t xml:space="preserve"> en los términos del</w:t>
      </w:r>
      <w:r w:rsidRPr="0004276A">
        <w:rPr>
          <w:rFonts w:ascii="Verdana" w:eastAsia="Calibri" w:hAnsi="Verdana" w:cs="Arial"/>
          <w:lang w:val="es-ES"/>
        </w:rPr>
        <w:t xml:space="preserve"> literal a) del artículo 73 de la Ley 1474 de 2011</w:t>
      </w:r>
      <w:r>
        <w:rPr>
          <w:rFonts w:ascii="Verdana" w:eastAsia="Calibri" w:hAnsi="Verdana" w:cs="Arial"/>
          <w:lang w:val="es-ES"/>
        </w:rPr>
        <w:t xml:space="preserve">. </w:t>
      </w:r>
      <w:r>
        <w:rPr>
          <w:rFonts w:ascii="Verdana" w:hAnsi="Verdana" w:cs="Arial"/>
          <w:bCs/>
          <w:lang w:val="es-ES_tradnl"/>
        </w:rPr>
        <w:t xml:space="preserve">  </w:t>
      </w:r>
    </w:p>
    <w:p w14:paraId="7887A20B" w14:textId="77777777" w:rsidR="00273D05" w:rsidRDefault="00273D05" w:rsidP="00273D05">
      <w:pPr>
        <w:spacing w:after="0" w:line="276" w:lineRule="auto"/>
        <w:jc w:val="both"/>
        <w:rPr>
          <w:rFonts w:ascii="Verdana" w:hAnsi="Verdana" w:cs="Arial"/>
          <w:lang w:val="es-ES_tradnl"/>
        </w:rPr>
      </w:pPr>
    </w:p>
    <w:p w14:paraId="06607D35" w14:textId="77777777" w:rsidR="00273D05" w:rsidRPr="001D51AD" w:rsidRDefault="00273D05" w:rsidP="00273D05">
      <w:pPr>
        <w:spacing w:after="120" w:line="276" w:lineRule="auto"/>
        <w:jc w:val="both"/>
        <w:rPr>
          <w:rFonts w:ascii="Verdana" w:hAnsi="Verdana" w:cs="Arial"/>
        </w:rPr>
      </w:pPr>
      <w:proofErr w:type="spellStart"/>
      <w:r>
        <w:rPr>
          <w:rFonts w:ascii="Verdana" w:hAnsi="Verdana" w:cs="Arial"/>
          <w:lang w:val="es-ES_tradnl"/>
        </w:rPr>
        <w:t>vii</w:t>
      </w:r>
      <w:proofErr w:type="spellEnd"/>
      <w:r>
        <w:rPr>
          <w:rFonts w:ascii="Verdana" w:hAnsi="Verdana" w:cs="Arial"/>
          <w:lang w:val="es-ES_tradnl"/>
        </w:rPr>
        <w:t xml:space="preserve">. </w:t>
      </w:r>
      <w:r w:rsidRPr="00A47393">
        <w:rPr>
          <w:rFonts w:ascii="Verdana" w:eastAsia="Calibri" w:hAnsi="Verdana" w:cs="Arial"/>
          <w:bCs/>
          <w:color w:val="000000" w:themeColor="text1"/>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3EAFFB73" w14:textId="77777777" w:rsidR="00273D05" w:rsidRPr="00185EE9" w:rsidRDefault="00273D05" w:rsidP="00273D05">
      <w:pPr>
        <w:tabs>
          <w:tab w:val="left" w:pos="709"/>
        </w:tabs>
        <w:spacing w:after="0" w:line="276" w:lineRule="auto"/>
        <w:jc w:val="both"/>
        <w:rPr>
          <w:rFonts w:ascii="Verdana" w:eastAsia="Calibri" w:hAnsi="Verdana" w:cs="Arial"/>
          <w:bCs/>
          <w:color w:val="000000" w:themeColor="text1"/>
        </w:rPr>
      </w:pPr>
      <w:r>
        <w:rPr>
          <w:rFonts w:ascii="Verdana" w:eastAsia="Calibri" w:hAnsi="Verdana" w:cs="Arial"/>
          <w:bCs/>
          <w:color w:val="000000" w:themeColor="text1"/>
        </w:rPr>
        <w:tab/>
      </w:r>
      <w:r w:rsidRPr="00A47393">
        <w:rPr>
          <w:rFonts w:ascii="Verdana" w:eastAsia="Calibri" w:hAnsi="Verdana" w:cs="Arial"/>
          <w:bCs/>
          <w:color w:val="000000" w:themeColor="text1"/>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r w:rsidRPr="00185EE9">
        <w:rPr>
          <w:rFonts w:ascii="Verdana" w:eastAsia="Calibri" w:hAnsi="Verdana" w:cs="Arial"/>
          <w:bCs/>
          <w:color w:val="000000" w:themeColor="text1"/>
        </w:rPr>
        <w:t xml:space="preserve"> </w:t>
      </w:r>
    </w:p>
    <w:p w14:paraId="004E302A" w14:textId="77777777" w:rsidR="00273D05" w:rsidRPr="00182C89" w:rsidRDefault="00273D05" w:rsidP="00273D05">
      <w:pPr>
        <w:tabs>
          <w:tab w:val="left" w:pos="709"/>
        </w:tabs>
        <w:spacing w:after="0" w:line="276" w:lineRule="auto"/>
        <w:jc w:val="both"/>
        <w:rPr>
          <w:rFonts w:ascii="Verdana" w:eastAsia="Calibri" w:hAnsi="Verdana" w:cs="Arial"/>
          <w:color w:val="000000" w:themeColor="text1"/>
        </w:rPr>
      </w:pPr>
    </w:p>
    <w:p w14:paraId="529A7660" w14:textId="77777777" w:rsidR="00273D05" w:rsidRPr="00593A5F" w:rsidRDefault="00273D05" w:rsidP="00273D05">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Referencias normativas:</w:t>
      </w:r>
    </w:p>
    <w:p w14:paraId="0ABC26C8" w14:textId="77777777" w:rsidR="00273D05" w:rsidRPr="00593A5F" w:rsidRDefault="00273D05" w:rsidP="00273D05">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273D05" w:rsidRPr="002407CE" w14:paraId="5E9DFEF6" w14:textId="77777777" w:rsidTr="00C13540">
        <w:trPr>
          <w:trHeight w:val="56"/>
          <w:jc w:val="center"/>
        </w:trPr>
        <w:tc>
          <w:tcPr>
            <w:tcW w:w="8647" w:type="dxa"/>
          </w:tcPr>
          <w:p w14:paraId="6F2889B7" w14:textId="77777777" w:rsidR="00273D05" w:rsidRDefault="00273D05" w:rsidP="00273D05">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Constitución Política de 1991, artículos 150 y 209.</w:t>
            </w:r>
          </w:p>
          <w:p w14:paraId="01382121" w14:textId="77777777" w:rsidR="00273D05" w:rsidRDefault="00273D05" w:rsidP="00273D05">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80 de 1993, artículos 8, 24 y 77.</w:t>
            </w:r>
          </w:p>
          <w:p w14:paraId="615B94D3" w14:textId="77777777" w:rsidR="00273D05" w:rsidRDefault="00273D05" w:rsidP="00273D05">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1150 de 2007, artículos 5, 6 y 13.</w:t>
            </w:r>
          </w:p>
          <w:p w14:paraId="11695872" w14:textId="77777777" w:rsidR="00273D05" w:rsidRDefault="00273D05" w:rsidP="00273D05">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1437 de 2011, artículo 3.</w:t>
            </w:r>
          </w:p>
          <w:p w14:paraId="1172BAAD" w14:textId="77777777" w:rsidR="00273D05" w:rsidRDefault="00273D05" w:rsidP="00273D05">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1474 de 2011, artículo 73.</w:t>
            </w:r>
          </w:p>
          <w:p w14:paraId="7970273B" w14:textId="77777777" w:rsidR="00273D05" w:rsidRPr="006E6164" w:rsidRDefault="00273D05" w:rsidP="00273D05">
            <w:pPr>
              <w:pStyle w:val="Prrafodelista"/>
              <w:widowControl w:val="0"/>
              <w:numPr>
                <w:ilvl w:val="0"/>
                <w:numId w:val="17"/>
              </w:numPr>
              <w:autoSpaceDE w:val="0"/>
              <w:autoSpaceDN w:val="0"/>
              <w:spacing w:line="276" w:lineRule="auto"/>
              <w:ind w:left="714" w:hanging="357"/>
              <w:contextualSpacing w:val="0"/>
              <w:jc w:val="both"/>
              <w:rPr>
                <w:rFonts w:ascii="Verdana" w:hAnsi="Verdana" w:cs="Arial"/>
              </w:rPr>
            </w:pPr>
            <w:r>
              <w:rPr>
                <w:rFonts w:ascii="Verdana" w:hAnsi="Verdana" w:cs="Arial"/>
              </w:rPr>
              <w:t>Ley 2195 de 2022, artículo 12, 14 y 15.</w:t>
            </w:r>
          </w:p>
        </w:tc>
      </w:tr>
    </w:tbl>
    <w:p w14:paraId="6E4B1F39" w14:textId="77777777" w:rsidR="00273D05" w:rsidRPr="002407CE" w:rsidRDefault="00273D05" w:rsidP="00273D05">
      <w:pPr>
        <w:widowControl w:val="0"/>
        <w:autoSpaceDE w:val="0"/>
        <w:autoSpaceDN w:val="0"/>
        <w:spacing w:after="0" w:line="276" w:lineRule="auto"/>
        <w:jc w:val="both"/>
        <w:rPr>
          <w:rFonts w:ascii="Verdana" w:hAnsi="Verdana" w:cs="Arial"/>
        </w:rPr>
      </w:pPr>
    </w:p>
    <w:p w14:paraId="52F9B136" w14:textId="77777777" w:rsidR="00273D05" w:rsidRPr="00593A5F" w:rsidRDefault="00273D05" w:rsidP="00273D05">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Pr>
          <w:rFonts w:ascii="Verdana" w:eastAsia="Century Gothic" w:hAnsi="Verdana" w:cs="Century Gothic"/>
          <w:b/>
          <w:bCs/>
        </w:rPr>
        <w:t>Doctrina de la Agencia Nacional de Contratación Pública</w:t>
      </w:r>
      <w:r w:rsidRPr="00593A5F">
        <w:rPr>
          <w:rFonts w:ascii="Verdana" w:eastAsia="Century Gothic" w:hAnsi="Verdana" w:cs="Century Gothic"/>
          <w:b/>
          <w:bCs/>
        </w:rPr>
        <w:t>:</w:t>
      </w:r>
    </w:p>
    <w:p w14:paraId="501046D9" w14:textId="77777777" w:rsidR="00273D05" w:rsidRPr="00593A5F" w:rsidRDefault="00273D05" w:rsidP="00273D05">
      <w:pPr>
        <w:widowControl w:val="0"/>
        <w:autoSpaceDE w:val="0"/>
        <w:autoSpaceDN w:val="0"/>
        <w:spacing w:after="0" w:line="276" w:lineRule="auto"/>
        <w:jc w:val="both"/>
        <w:rPr>
          <w:rFonts w:ascii="Verdana" w:hAnsi="Verdana" w:cs="Arial"/>
        </w:rPr>
      </w:pPr>
    </w:p>
    <w:p w14:paraId="1B7AD1B2" w14:textId="77777777" w:rsidR="00273D05" w:rsidRPr="00ED0098" w:rsidRDefault="00273D05" w:rsidP="00273D05">
      <w:pPr>
        <w:widowControl w:val="0"/>
        <w:autoSpaceDE w:val="0"/>
        <w:autoSpaceDN w:val="0"/>
        <w:spacing w:after="0" w:line="276" w:lineRule="auto"/>
        <w:jc w:val="both"/>
        <w:rPr>
          <w:rStyle w:val="normaltextrun"/>
          <w:rFonts w:ascii="Verdana" w:hAnsi="Verdana" w:cs="Arial"/>
          <w:shd w:val="clear" w:color="auto" w:fill="FFFFFF"/>
        </w:rPr>
      </w:pPr>
      <w:r w:rsidRPr="008554C1">
        <w:rPr>
          <w:rFonts w:ascii="Verdana" w:hAnsi="Verdana" w:cs="Arial"/>
          <w:shd w:val="clear" w:color="auto" w:fill="FFFFFF"/>
        </w:rPr>
        <w:t xml:space="preserve">Esta Subdirección se ha pronunciado sobre </w:t>
      </w:r>
      <w:r>
        <w:rPr>
          <w:rFonts w:ascii="Verdana" w:hAnsi="Verdana" w:cs="Arial"/>
          <w:shd w:val="clear" w:color="auto" w:fill="FFFFFF"/>
        </w:rPr>
        <w:t>la debida diligencia en los Conceptos C-494 del 12 de noviembre de 2024, C-279 del 27 de marzo de 2025, C-498 del 14 de mayo de 2025 y C-718 del 17 de junio de 2025</w:t>
      </w:r>
      <w:r>
        <w:rPr>
          <w:rFonts w:ascii="Verdana" w:eastAsia="Calibri" w:hAnsi="Verdana" w:cs="Arial"/>
          <w:shd w:val="clear" w:color="auto" w:fill="FFFFFF"/>
        </w:rPr>
        <w:t>. También analizó los manuales de la contratación de la entidades sometidas a la Ley 80 de 1993 en el Concepto C-1224 del 25 de septiembre de 2025.</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Estos y otros conceptos se encuentran disponibles para consulta en el Sistema de relatoría de la Agencia</w:t>
      </w:r>
      <w:r w:rsidRPr="00A1554D">
        <w:rPr>
          <w:rFonts w:ascii="Verdana" w:hAnsi="Verdana"/>
        </w:rPr>
        <w:t>, al cual puede acceder</w:t>
      </w:r>
      <w:r>
        <w:rPr>
          <w:rFonts w:ascii="Verdana" w:hAnsi="Verdana"/>
        </w:rPr>
        <w:t>se</w:t>
      </w:r>
      <w:r w:rsidRPr="00A1554D">
        <w:rPr>
          <w:rFonts w:ascii="Verdana" w:hAnsi="Verdana"/>
        </w:rPr>
        <w:t xml:space="preserve"> a través del siguiente enlace:</w:t>
      </w:r>
      <w:r>
        <w:rPr>
          <w:rFonts w:ascii="Verdana" w:hAnsi="Verdana" w:cs="Arial"/>
          <w:shd w:val="clear" w:color="auto" w:fill="FFFFFF"/>
        </w:rPr>
        <w:t xml:space="preserve"> </w:t>
      </w:r>
      <w:hyperlink r:id="rId12" w:history="1">
        <w:r w:rsidRPr="00186F77">
          <w:rPr>
            <w:rStyle w:val="Hipervnculo"/>
            <w:rFonts w:ascii="Verdana" w:hAnsi="Verdana" w:cs="Arial"/>
            <w:shd w:val="clear" w:color="auto" w:fill="FFFFFF"/>
          </w:rPr>
          <w:t>https://relatoria.colombiacompra.gov.co/busqueda/conceptos</w:t>
        </w:r>
      </w:hyperlink>
      <w:r>
        <w:rPr>
          <w:rStyle w:val="normaltextrun"/>
          <w:rFonts w:ascii="Verdana" w:hAnsi="Verdana" w:cs="Arial"/>
          <w:shd w:val="clear" w:color="auto" w:fill="FFFFFF"/>
        </w:rPr>
        <w:t>.</w:t>
      </w:r>
      <w:r w:rsidRPr="008D0AB0">
        <w:rPr>
          <w:rStyle w:val="normaltextrun"/>
          <w:rFonts w:ascii="Verdana" w:hAnsi="Verdana" w:cs="Arial"/>
          <w:shd w:val="clear" w:color="auto" w:fill="FFFFFF"/>
        </w:rPr>
        <w:t xml:space="preserve"> </w:t>
      </w:r>
      <w:r>
        <w:rPr>
          <w:rStyle w:val="normaltextrun"/>
          <w:rFonts w:ascii="Verdana" w:hAnsi="Verdana" w:cs="Arial"/>
          <w:color w:val="FF0000"/>
          <w:shd w:val="clear" w:color="auto" w:fill="FFFFFF"/>
          <w:lang w:val="es-ES"/>
        </w:rPr>
        <w:t xml:space="preserve"> </w:t>
      </w:r>
    </w:p>
    <w:p w14:paraId="51CB4B7E" w14:textId="77777777" w:rsidR="00273D05" w:rsidRPr="00096788" w:rsidRDefault="00273D05" w:rsidP="00273D05">
      <w:pPr>
        <w:widowControl w:val="0"/>
        <w:autoSpaceDE w:val="0"/>
        <w:autoSpaceDN w:val="0"/>
        <w:spacing w:after="0" w:line="276" w:lineRule="auto"/>
        <w:jc w:val="both"/>
        <w:rPr>
          <w:rFonts w:ascii="Verdana" w:hAnsi="Verdana" w:cs="Arial"/>
          <w:color w:val="000000" w:themeColor="text1"/>
          <w:shd w:val="clear" w:color="auto" w:fill="FFFFFF"/>
        </w:rPr>
      </w:pPr>
    </w:p>
    <w:p w14:paraId="7F1BF297" w14:textId="77777777" w:rsidR="00273D05" w:rsidRPr="00F42673" w:rsidRDefault="00273D05" w:rsidP="00273D05">
      <w:pPr>
        <w:spacing w:after="0" w:line="276" w:lineRule="auto"/>
        <w:jc w:val="both"/>
        <w:rPr>
          <w:rFonts w:ascii="Verdana" w:eastAsia="Times New Roman" w:hAnsi="Verdana" w:cs="Times New Roman"/>
          <w:color w:val="000000"/>
          <w:lang w:eastAsia="es-MX"/>
        </w:rPr>
      </w:pPr>
      <w:r w:rsidRPr="00F42673">
        <w:rPr>
          <w:rFonts w:ascii="Verdana" w:eastAsia="Times New Roman" w:hAnsi="Verdana" w:cs="Times New Roman"/>
          <w:color w:val="000000"/>
          <w:lang w:eastAsia="es-MX"/>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F42673">
        <w:rPr>
          <w:rFonts w:ascii="Verdana" w:eastAsia="Times New Roman" w:hAnsi="Verdana" w:cs="Times New Roman"/>
          <w:b/>
          <w:bCs/>
          <w:color w:val="000000"/>
          <w:lang w:eastAsia="es-MX"/>
        </w:rPr>
        <w:t>Guía para la Exigencia y Constitución de Garantías en los Procesos de Contratación</w:t>
      </w:r>
      <w:r w:rsidRPr="00F42673">
        <w:rPr>
          <w:rFonts w:ascii="Verdana" w:eastAsia="Times New Roman" w:hAnsi="Verdana" w:cs="Times New Roman"/>
          <w:color w:val="000000"/>
          <w:lang w:eastAsia="es-MX"/>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3" w:tooltip="Original URL:&#10;https://www.colombiacompra.gov.co/archivos/manual/guia-de-garantias-en-procesos-de-contratacion&#10;&#10;Click to follow link." w:history="1">
        <w:r w:rsidRPr="00F42673">
          <w:rPr>
            <w:rFonts w:ascii="Verdana" w:eastAsia="Times New Roman" w:hAnsi="Verdana" w:cs="Times New Roman"/>
            <w:color w:val="0086F0"/>
            <w:u w:val="single"/>
            <w:lang w:eastAsia="es-MX"/>
          </w:rPr>
          <w:t>https://www.colombiacompra.gov.co/archivos/manual/guia-de-garantias-en-procesos-de-contratacion</w:t>
        </w:r>
      </w:hyperlink>
    </w:p>
    <w:p w14:paraId="6E36988B" w14:textId="77777777" w:rsidR="00273D05" w:rsidRPr="00F42673" w:rsidRDefault="00273D05" w:rsidP="00273D05">
      <w:pPr>
        <w:spacing w:after="0" w:line="276" w:lineRule="auto"/>
        <w:jc w:val="both"/>
        <w:rPr>
          <w:rFonts w:ascii="Verdana" w:eastAsia="Times New Roman" w:hAnsi="Verdana" w:cs="Times New Roman"/>
          <w:color w:val="000000"/>
          <w:lang w:eastAsia="es-MX"/>
        </w:rPr>
      </w:pPr>
    </w:p>
    <w:p w14:paraId="3F86F8EB" w14:textId="77777777" w:rsidR="00273D05" w:rsidRPr="00F42673" w:rsidRDefault="00273D05" w:rsidP="00273D05">
      <w:pPr>
        <w:spacing w:after="0" w:line="276" w:lineRule="auto"/>
        <w:jc w:val="both"/>
        <w:rPr>
          <w:rFonts w:ascii="Verdana" w:eastAsia="Times New Roman" w:hAnsi="Verdana" w:cs="Times New Roman"/>
          <w:color w:val="000000"/>
          <w:lang w:eastAsia="es-MX"/>
        </w:rPr>
      </w:pPr>
      <w:r w:rsidRPr="00F42673">
        <w:rPr>
          <w:rFonts w:ascii="Verdana" w:eastAsia="Times New Roman" w:hAnsi="Verdana" w:cs="Times New Roman"/>
          <w:color w:val="000000"/>
          <w:lang w:eastAsia="es-MX"/>
        </w:rPr>
        <w:t>De otro lado, te contamos que el Decreto 287 del 19 de marzo de 2026 sustituyó los artículos 2.2.1.2.4.2.6., 2.2.1.2.4.2.7. y 2.2.1.2.4.2.8. del Decreto 1082 de 2015 y estructuró el </w:t>
      </w:r>
      <w:r w:rsidRPr="00F42673">
        <w:rPr>
          <w:rFonts w:ascii="Verdana" w:eastAsia="Times New Roman" w:hAnsi="Verdana" w:cs="Times New Roman"/>
          <w:b/>
          <w:bCs/>
          <w:color w:val="000000"/>
          <w:lang w:eastAsia="es-MX"/>
        </w:rPr>
        <w:t>Sistema Integral de Preferencias en favor de las personas con discapacidad</w:t>
      </w:r>
      <w:r w:rsidRPr="00F42673">
        <w:rPr>
          <w:rFonts w:ascii="Verdana" w:eastAsia="Times New Roman" w:hAnsi="Verdana" w:cs="Times New Roman"/>
          <w:color w:val="000000"/>
          <w:lang w:eastAsia="es-MX"/>
        </w:rPr>
        <w:t>, en cumplimiento del artículo 13 de la Ley Estatutaria 1618 de 2013. Para orientar su aplicación, esta Agencia expidió la </w:t>
      </w:r>
      <w:r w:rsidRPr="00F42673">
        <w:rPr>
          <w:rFonts w:ascii="Verdana" w:eastAsia="Times New Roman" w:hAnsi="Verdana" w:cs="Times New Roman"/>
          <w:b/>
          <w:bCs/>
          <w:color w:val="000000"/>
          <w:lang w:eastAsia="es-MX"/>
        </w:rPr>
        <w:t>Circular Externa 003 del 12 de mayo de 2026, </w:t>
      </w:r>
      <w:r w:rsidRPr="00F42673">
        <w:rPr>
          <w:rFonts w:ascii="Verdana" w:eastAsia="Times New Roman" w:hAnsi="Verdana" w:cs="Times New Roman"/>
          <w:color w:val="000000"/>
          <w:lang w:eastAsia="es-MX"/>
        </w:rPr>
        <w:t>en la que precisa quiénes son los beneficiarios, las cinco medidas que integran el sistema y su obligatoriedad según la modalidad de selección, y el régimen de transición aplicable a los procesos en curso. Consúltala aquí: </w:t>
      </w:r>
      <w:hyperlink r:id="rId14" w:tooltip="Original URL:&#10;https://www.colombiacompra.gov.co/archivos/circular/circular-externa-003-de-2026&#10;&#10;Click to follow link." w:history="1">
        <w:r w:rsidRPr="00F42673">
          <w:rPr>
            <w:rFonts w:ascii="Verdana" w:eastAsia="Times New Roman" w:hAnsi="Verdana" w:cs="Times New Roman"/>
            <w:color w:val="0086F0"/>
            <w:u w:val="single"/>
            <w:lang w:eastAsia="es-MX"/>
          </w:rPr>
          <w:t>https://www.colombiacompra.gov.co/archivos/circular/circular-externa-003-de-2026</w:t>
        </w:r>
      </w:hyperlink>
    </w:p>
    <w:p w14:paraId="380822EB" w14:textId="77777777" w:rsidR="00273D05" w:rsidRPr="00F42673" w:rsidRDefault="00273D05" w:rsidP="00273D05">
      <w:pPr>
        <w:spacing w:after="0" w:line="276" w:lineRule="auto"/>
        <w:jc w:val="both"/>
        <w:rPr>
          <w:rFonts w:ascii="Verdana" w:eastAsia="Times New Roman" w:hAnsi="Verdana" w:cs="Times New Roman"/>
          <w:color w:val="000000"/>
          <w:lang w:eastAsia="es-MX"/>
        </w:rPr>
      </w:pPr>
    </w:p>
    <w:p w14:paraId="2B305927" w14:textId="77777777" w:rsidR="00273D05" w:rsidRPr="00F42673" w:rsidRDefault="00273D05" w:rsidP="00273D05">
      <w:pPr>
        <w:spacing w:after="0" w:line="276" w:lineRule="auto"/>
        <w:jc w:val="both"/>
        <w:rPr>
          <w:rFonts w:ascii="Verdana" w:eastAsia="Times New Roman" w:hAnsi="Verdana" w:cs="Times New Roman"/>
          <w:color w:val="000000"/>
          <w:lang w:eastAsia="es-MX"/>
        </w:rPr>
      </w:pPr>
      <w:r w:rsidRPr="00F42673">
        <w:rPr>
          <w:rFonts w:ascii="Verdana" w:eastAsia="Times New Roman" w:hAnsi="Verdana" w:cs="Times New Roman"/>
          <w:color w:val="000000"/>
          <w:lang w:eastAsia="es-MX"/>
        </w:rPr>
        <w:t>Recuerda también que la</w:t>
      </w:r>
      <w:r w:rsidRPr="00F42673">
        <w:rPr>
          <w:rFonts w:ascii="Verdana" w:eastAsia="Times New Roman" w:hAnsi="Verdana" w:cs="Times New Roman"/>
          <w:b/>
          <w:bCs/>
          <w:color w:val="000000"/>
          <w:lang w:eastAsia="es-MX"/>
        </w:rPr>
        <w:t> información sobre sanciones e inhabilidades </w:t>
      </w:r>
      <w:r w:rsidRPr="00F42673">
        <w:rPr>
          <w:rFonts w:ascii="Verdana" w:eastAsia="Times New Roman" w:hAnsi="Verdana" w:cs="Times New Roman"/>
          <w:color w:val="000000"/>
          <w:lang w:eastAsia="es-MX"/>
        </w:rPr>
        <w:t xml:space="preserve">solo cumple su función preventiva si llega oportunamente a los registros públicos. </w:t>
      </w:r>
      <w:r w:rsidRPr="00F42673">
        <w:rPr>
          <w:rFonts w:ascii="Verdana" w:eastAsia="Times New Roman" w:hAnsi="Verdana" w:cs="Times New Roman"/>
          <w:color w:val="000000"/>
          <w:lang w:eastAsia="es-MX"/>
        </w:rPr>
        <w:lastRenderedPageBreak/>
        <w:t>Sobre este deber, esta Agencia expidió la </w:t>
      </w:r>
      <w:r w:rsidRPr="00F42673">
        <w:rPr>
          <w:rFonts w:ascii="Verdana" w:eastAsia="Times New Roman" w:hAnsi="Verdana" w:cs="Times New Roman"/>
          <w:b/>
          <w:bCs/>
          <w:color w:val="000000"/>
          <w:lang w:eastAsia="es-MX"/>
        </w:rPr>
        <w:t>Circular Externa 002 del 5 de mayo de 2026,</w:t>
      </w:r>
      <w:r w:rsidRPr="00F42673">
        <w:rPr>
          <w:rFonts w:ascii="Verdana" w:eastAsia="Times New Roman" w:hAnsi="Verdana" w:cs="Times New Roman"/>
          <w:color w:val="000000"/>
          <w:lang w:eastAsia="es-MX"/>
        </w:rPr>
        <w:t>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5" w:tooltip="Original URL:&#10;https://www.colombiacompra.gov.co/archivos/circular/circular-externa-002-de-2026&#10;&#10;Click to follow link." w:history="1">
        <w:r w:rsidRPr="00F42673">
          <w:rPr>
            <w:rFonts w:ascii="Verdana" w:eastAsia="Times New Roman" w:hAnsi="Verdana" w:cs="Times New Roman"/>
            <w:color w:val="0086F0"/>
            <w:u w:val="single"/>
            <w:lang w:eastAsia="es-MX"/>
          </w:rPr>
          <w:t>https://www.colombiacompra.gov.co/archivos/circular/circular-externa-002-de-2026</w:t>
        </w:r>
      </w:hyperlink>
    </w:p>
    <w:p w14:paraId="78D90774" w14:textId="77777777" w:rsidR="00273D05" w:rsidRPr="00F42673" w:rsidRDefault="00273D05" w:rsidP="00273D05">
      <w:pPr>
        <w:spacing w:after="0" w:line="276" w:lineRule="auto"/>
        <w:jc w:val="both"/>
        <w:rPr>
          <w:rFonts w:ascii="Verdana" w:eastAsia="Times New Roman" w:hAnsi="Verdana" w:cs="Times New Roman"/>
          <w:color w:val="000000"/>
          <w:lang w:eastAsia="es-MX"/>
        </w:rPr>
      </w:pPr>
    </w:p>
    <w:p w14:paraId="38FFE8A0" w14:textId="77777777" w:rsidR="00273D05" w:rsidRPr="00797CA8" w:rsidRDefault="00273D05" w:rsidP="00273D05">
      <w:pPr>
        <w:spacing w:after="0" w:line="276" w:lineRule="auto"/>
        <w:jc w:val="both"/>
        <w:rPr>
          <w:rFonts w:ascii="Aptos" w:eastAsia="Times New Roman" w:hAnsi="Aptos" w:cs="Times New Roman"/>
          <w:color w:val="000000"/>
          <w:lang w:eastAsia="es-MX"/>
        </w:rPr>
      </w:pPr>
      <w:r w:rsidRPr="00F42673">
        <w:rPr>
          <w:rFonts w:ascii="Verdana" w:eastAsia="Times New Roman" w:hAnsi="Verdana" w:cs="Times New Roman"/>
          <w:color w:val="000000"/>
          <w:lang w:eastAsia="es-MX"/>
        </w:rPr>
        <w:t>Finalmente, si quieres seguir de cerca la actividad de la Agencia, la tercera edición de 2026 del</w:t>
      </w:r>
      <w:r w:rsidRPr="00F42673">
        <w:rPr>
          <w:rFonts w:ascii="Verdana" w:eastAsia="Times New Roman" w:hAnsi="Verdana" w:cs="Times New Roman"/>
          <w:b/>
          <w:bCs/>
          <w:color w:val="000000"/>
          <w:lang w:eastAsia="es-MX"/>
        </w:rPr>
        <w:t> Radar de la Compra Pública</w:t>
      </w:r>
      <w:r w:rsidRPr="00F42673">
        <w:rPr>
          <w:rFonts w:ascii="Verdana" w:eastAsia="Times New Roman" w:hAnsi="Verdana" w:cs="Times New Roman"/>
          <w:color w:val="000000"/>
          <w:lang w:eastAsia="es-MX"/>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6" w:tooltip="Original URL:&#10;https://www.colombiacompra.gov.co/archivos/boletin/boletin-edicion-n-3-de-2026-radar-de-la-compra-publica&#10;&#10;Click to follow link." w:history="1">
        <w:r w:rsidRPr="00F42673">
          <w:rPr>
            <w:rFonts w:ascii="Verdana" w:eastAsia="Times New Roman" w:hAnsi="Verdana" w:cs="Times New Roman"/>
            <w:color w:val="0086F0"/>
            <w:u w:val="single"/>
            <w:lang w:eastAsia="es-MX"/>
          </w:rPr>
          <w:t>https://www.colombiacompra.gov.co/archivos/boletin/boletin-edicion-n-3-de-2026-radar-de-la-compra-publica</w:t>
        </w:r>
      </w:hyperlink>
    </w:p>
    <w:p w14:paraId="4C8C02CA" w14:textId="77777777" w:rsidR="00273D05" w:rsidRDefault="00273D05" w:rsidP="00273D05">
      <w:pPr>
        <w:shd w:val="clear" w:color="auto" w:fill="FFFFFF"/>
        <w:spacing w:after="0" w:line="276" w:lineRule="auto"/>
        <w:jc w:val="both"/>
        <w:rPr>
          <w:rFonts w:ascii="Verdana" w:hAnsi="Verdana"/>
          <w:color w:val="000000"/>
          <w:u w:val="single"/>
        </w:rPr>
      </w:pPr>
    </w:p>
    <w:p w14:paraId="3253CFDB" w14:textId="77777777" w:rsidR="00273D05" w:rsidRPr="00116940" w:rsidRDefault="00273D05" w:rsidP="00273D05">
      <w:pPr>
        <w:spacing w:after="0"/>
        <w:jc w:val="both"/>
        <w:rPr>
          <w:rFonts w:ascii="Verdana" w:hAnsi="Verdana"/>
        </w:rPr>
      </w:pPr>
      <w:r>
        <w:rPr>
          <w:rFonts w:ascii="Verdana" w:hAnsi="Verdana"/>
        </w:rPr>
        <w:t>A</w:t>
      </w:r>
      <w:r w:rsidRPr="00E02524">
        <w:rPr>
          <w:rFonts w:ascii="Verdana" w:hAnsi="Verdana"/>
        </w:rPr>
        <w:t xml:space="preserve">provechamos la oportunidad de manifestar la entera disposición de la </w:t>
      </w:r>
      <w:r w:rsidRPr="00116940">
        <w:rPr>
          <w:rFonts w:ascii="Verdana" w:hAnsi="Verdana"/>
        </w:rPr>
        <w:t xml:space="preserve">Agencia Nacional de Contratación Pública –Colombia Compra Eficiente– para atender las peticiones o solicitudes, así como para brindar el apoyo que se requiera en el marco de nuestras funciones a través de nuestros diferentes canales de atención: </w:t>
      </w:r>
    </w:p>
    <w:p w14:paraId="5459E18B" w14:textId="77777777" w:rsidR="00273D05" w:rsidRPr="00116940" w:rsidRDefault="00273D05" w:rsidP="00273D05">
      <w:pPr>
        <w:spacing w:after="0"/>
        <w:jc w:val="both"/>
        <w:rPr>
          <w:rFonts w:ascii="Verdana" w:hAnsi="Verdana"/>
        </w:rPr>
      </w:pPr>
    </w:p>
    <w:p w14:paraId="172E7B4C" w14:textId="77777777" w:rsidR="00273D05" w:rsidRPr="00116940" w:rsidRDefault="00273D05" w:rsidP="00273D05">
      <w:pPr>
        <w:pStyle w:val="Prrafodelista"/>
        <w:numPr>
          <w:ilvl w:val="0"/>
          <w:numId w:val="15"/>
        </w:numPr>
        <w:spacing w:after="0" w:line="240" w:lineRule="auto"/>
        <w:jc w:val="both"/>
        <w:rPr>
          <w:rFonts w:ascii="Verdana" w:eastAsia="Verdana" w:hAnsi="Verdana" w:cs="Verdana"/>
          <w:color w:val="4472C4" w:themeColor="accent1"/>
          <w:u w:val="single"/>
          <w:lang w:val="es-MX"/>
        </w:rPr>
      </w:pPr>
      <w:r w:rsidRPr="00116940">
        <w:rPr>
          <w:rFonts w:ascii="Verdana" w:eastAsia="Verdana" w:hAnsi="Verdana" w:cs="Verdana"/>
          <w:lang w:val="es-MX"/>
        </w:rPr>
        <w:t xml:space="preserve">Línea nacional gratuita o servicio a la ciudadanía (Mesa de servicio): </w:t>
      </w:r>
      <w:r w:rsidRPr="00116940">
        <w:rPr>
          <w:rStyle w:val="Hipervnculo"/>
          <w:rFonts w:ascii="Verdana" w:hAnsi="Verdana"/>
        </w:rPr>
        <w:t>01800 0520808</w:t>
      </w:r>
    </w:p>
    <w:p w14:paraId="6D3CD85D" w14:textId="77777777" w:rsidR="00273D05" w:rsidRPr="00116940" w:rsidRDefault="00273D05" w:rsidP="00273D05">
      <w:pPr>
        <w:pStyle w:val="Prrafodelista"/>
        <w:numPr>
          <w:ilvl w:val="0"/>
          <w:numId w:val="15"/>
        </w:numPr>
        <w:spacing w:after="0"/>
        <w:rPr>
          <w:rFonts w:ascii="Verdana" w:eastAsia="Verdana" w:hAnsi="Verdana" w:cs="Verdana"/>
          <w:color w:val="4472C4" w:themeColor="accent1"/>
          <w:u w:val="single"/>
          <w:lang w:val="es-MX"/>
        </w:rPr>
      </w:pPr>
      <w:r w:rsidRPr="00116940">
        <w:rPr>
          <w:rFonts w:ascii="Verdana" w:eastAsia="Verdana" w:hAnsi="Verdana" w:cs="Verdana"/>
          <w:lang w:val="es-MX"/>
        </w:rPr>
        <w:t>Línea en Bogotá (Mesa de servicio):</w:t>
      </w:r>
      <w:r w:rsidRPr="00116940">
        <w:rPr>
          <w:rStyle w:val="Hipervnculo"/>
          <w:rFonts w:ascii="Verdana" w:hAnsi="Verdana"/>
        </w:rPr>
        <w:t>+57 601 7456788</w:t>
      </w:r>
    </w:p>
    <w:p w14:paraId="52456C1C" w14:textId="77777777" w:rsidR="00273D05" w:rsidRPr="00116940" w:rsidRDefault="00273D05" w:rsidP="00273D05">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lang w:val="es-MX"/>
        </w:rPr>
        <w:t xml:space="preserve">Correo de radicación de correspondencia: </w:t>
      </w:r>
      <w:hyperlink r:id="rId17">
        <w:r w:rsidRPr="00116940">
          <w:rPr>
            <w:rStyle w:val="Hipervnculo"/>
            <w:rFonts w:ascii="Verdana" w:eastAsia="Verdana" w:hAnsi="Verdana" w:cs="Verdana"/>
            <w:lang w:val="es-MX"/>
          </w:rPr>
          <w:t>ventanilladeradicacion@colombiacompra.gov.co</w:t>
        </w:r>
      </w:hyperlink>
    </w:p>
    <w:p w14:paraId="4C513F78" w14:textId="77777777" w:rsidR="00273D05" w:rsidRPr="00116940" w:rsidRDefault="00273D05" w:rsidP="00273D05">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rPr>
        <w:t>Formulario web para</w:t>
      </w:r>
      <w:r w:rsidRPr="00116940">
        <w:rPr>
          <w:rFonts w:ascii="Verdana" w:eastAsia="Verdana" w:hAnsi="Verdana" w:cs="Verdana"/>
          <w:lang w:val="es"/>
        </w:rPr>
        <w:t xml:space="preserve"> PQRSD: </w:t>
      </w:r>
      <w:hyperlink r:id="rId18">
        <w:r w:rsidRPr="00116940">
          <w:rPr>
            <w:rStyle w:val="Hipervnculo"/>
            <w:rFonts w:ascii="Verdana" w:eastAsia="Verdana" w:hAnsi="Verdana" w:cs="Verdana"/>
            <w:lang w:val="es-MX"/>
          </w:rPr>
          <w:t>https://www.colombiacompra.gov.co/pqrsd/informacion-importante-antes-de-formular-una-pqrsd</w:t>
        </w:r>
      </w:hyperlink>
    </w:p>
    <w:p w14:paraId="63FCBB81" w14:textId="77777777" w:rsidR="00273D05" w:rsidRPr="00116940" w:rsidRDefault="00273D05" w:rsidP="00273D05">
      <w:pPr>
        <w:spacing w:after="0" w:line="240" w:lineRule="auto"/>
        <w:ind w:left="720"/>
        <w:jc w:val="both"/>
        <w:rPr>
          <w:rFonts w:ascii="Verdana" w:hAnsi="Verdana"/>
        </w:rPr>
      </w:pPr>
    </w:p>
    <w:p w14:paraId="71B226B1" w14:textId="77777777" w:rsidR="00273D05" w:rsidRPr="00116940" w:rsidRDefault="00273D05" w:rsidP="00273D05">
      <w:pPr>
        <w:spacing w:after="0" w:line="240" w:lineRule="auto"/>
        <w:rPr>
          <w:rFonts w:ascii="Verdana" w:hAnsi="Verdana"/>
        </w:rPr>
      </w:pPr>
      <w:r w:rsidRPr="00116940">
        <w:rPr>
          <w:rFonts w:ascii="Verdana" w:hAnsi="Verdana"/>
        </w:rPr>
        <w:t>Evalúa el servicio que ofrece la Agencia por el canal de atención de PQRSD en el siguiente enlace :</w:t>
      </w:r>
      <w:hyperlink r:id="rId19" w:tgtFrame="_blank" w:tooltip="https://forms.office.com/r/pphywvs2sz" w:history="1">
        <w:r w:rsidRPr="00116940">
          <w:rPr>
            <w:rStyle w:val="Hipervnculo"/>
            <w:rFonts w:ascii="Verdana" w:hAnsi="Verdana"/>
          </w:rPr>
          <w:t>https://forms.office.com/r/pPHyWVs2SZ</w:t>
        </w:r>
      </w:hyperlink>
      <w:r w:rsidRPr="00116940">
        <w:rPr>
          <w:rFonts w:ascii="Verdana" w:hAnsi="Verdana"/>
        </w:rPr>
        <w:t xml:space="preserve"> .¡Ayúdanos a mejorar porque el compromiso es de todos!</w:t>
      </w:r>
    </w:p>
    <w:p w14:paraId="5A83448B" w14:textId="77777777" w:rsidR="00273D05" w:rsidRPr="00116940" w:rsidRDefault="00273D05" w:rsidP="00273D05">
      <w:pPr>
        <w:spacing w:after="0" w:line="240" w:lineRule="auto"/>
        <w:rPr>
          <w:rFonts w:ascii="Verdana" w:hAnsi="Verdana"/>
        </w:rPr>
      </w:pPr>
    </w:p>
    <w:p w14:paraId="78E96614" w14:textId="77777777" w:rsidR="00273D05" w:rsidRPr="00116940" w:rsidRDefault="00273D05" w:rsidP="00273D05">
      <w:pPr>
        <w:spacing w:after="0" w:line="240" w:lineRule="auto"/>
        <w:jc w:val="both"/>
        <w:rPr>
          <w:rFonts w:ascii="Verdana" w:hAnsi="Verdana"/>
        </w:rPr>
      </w:pPr>
      <w:r w:rsidRPr="00116940">
        <w:rPr>
          <w:rFonts w:ascii="Verdana" w:hAnsi="Verdana"/>
        </w:rPr>
        <w:lastRenderedPageBreak/>
        <w:t xml:space="preserve">Por último, lo invitamos a seguirnos en las redes sociales en las cuales se difunde información institucional: </w:t>
      </w:r>
    </w:p>
    <w:p w14:paraId="2CFE0873" w14:textId="77777777" w:rsidR="00273D05" w:rsidRPr="00116940" w:rsidRDefault="00273D05" w:rsidP="00273D05">
      <w:pPr>
        <w:spacing w:after="0" w:line="240" w:lineRule="auto"/>
        <w:jc w:val="both"/>
        <w:rPr>
          <w:rFonts w:ascii="Verdana" w:hAnsi="Verdana"/>
        </w:rPr>
      </w:pPr>
    </w:p>
    <w:p w14:paraId="2896EEEF" w14:textId="77777777" w:rsidR="00273D05" w:rsidRPr="00116940" w:rsidRDefault="00273D05" w:rsidP="00273D05">
      <w:pPr>
        <w:spacing w:after="0" w:line="240"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4159016B" w14:textId="77777777" w:rsidR="00273D05" w:rsidRPr="00116940" w:rsidRDefault="00273D05" w:rsidP="00273D05">
      <w:pPr>
        <w:spacing w:after="0" w:line="240" w:lineRule="auto"/>
        <w:jc w:val="both"/>
        <w:rPr>
          <w:rFonts w:ascii="Verdana" w:hAnsi="Verdana"/>
        </w:rPr>
      </w:pPr>
      <w:r w:rsidRPr="00116940">
        <w:rPr>
          <w:rFonts w:ascii="Verdana" w:hAnsi="Verdana"/>
        </w:rPr>
        <w:t xml:space="preserve">Facebook: </w:t>
      </w:r>
      <w:proofErr w:type="spellStart"/>
      <w:r w:rsidRPr="00116940">
        <w:rPr>
          <w:rStyle w:val="Hipervnculo"/>
          <w:rFonts w:ascii="Verdana" w:hAnsi="Verdana"/>
        </w:rPr>
        <w:t>ColombiaCompraEficiente</w:t>
      </w:r>
      <w:proofErr w:type="spellEnd"/>
    </w:p>
    <w:p w14:paraId="0E98415D" w14:textId="77777777" w:rsidR="00273D05" w:rsidRPr="00116940" w:rsidRDefault="00273D05" w:rsidP="00273D05">
      <w:pPr>
        <w:spacing w:after="0" w:line="240"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021037F3" w14:textId="77777777" w:rsidR="00273D05" w:rsidRPr="009C4035" w:rsidRDefault="00273D05" w:rsidP="00273D05">
      <w:pPr>
        <w:widowControl w:val="0"/>
        <w:autoSpaceDE w:val="0"/>
        <w:autoSpaceDN w:val="0"/>
        <w:spacing w:after="120" w:line="276" w:lineRule="auto"/>
        <w:jc w:val="both"/>
        <w:rPr>
          <w:rFonts w:ascii="Verdana" w:hAnsi="Verdana" w:cs="Arial"/>
          <w:color w:val="FF0000"/>
          <w:shd w:val="clear" w:color="auto" w:fill="FFFFFF"/>
          <w:lang w:val="es-ES_tradnl"/>
        </w:rPr>
      </w:pPr>
      <w:r w:rsidRPr="004A73EC">
        <w:rPr>
          <w:rStyle w:val="normaltextrun"/>
          <w:rFonts w:ascii="Verdana" w:hAnsi="Verdana" w:cs="Arial"/>
          <w:color w:val="FF0000"/>
          <w:shd w:val="clear" w:color="auto" w:fill="FFFFFF"/>
          <w:lang w:val="es-ES_tradnl"/>
        </w:rPr>
        <w:t xml:space="preserve">        </w:t>
      </w:r>
    </w:p>
    <w:p w14:paraId="433F0A5E" w14:textId="77777777" w:rsidR="00273D05" w:rsidRPr="00593A5F" w:rsidRDefault="00273D05" w:rsidP="00273D05">
      <w:pPr>
        <w:widowControl w:val="0"/>
        <w:autoSpaceDE w:val="0"/>
        <w:autoSpaceDN w:val="0"/>
        <w:spacing w:after="0" w:line="276" w:lineRule="auto"/>
        <w:jc w:val="both"/>
        <w:rPr>
          <w:rFonts w:ascii="Verdana" w:hAnsi="Verdana" w:cs="Arial"/>
          <w:lang w:val="es-ES_tradnl"/>
        </w:rPr>
      </w:pPr>
      <w:r w:rsidRPr="00593A5F">
        <w:rPr>
          <w:rFonts w:ascii="Verdana" w:hAnsi="Verdana" w:cs="Arial"/>
        </w:rPr>
        <w:t xml:space="preserve">Este concepto tiene el alcance previsto en el artículo 28 del Código de Procedimiento Administrativo y de lo Contencioso Administrativo </w:t>
      </w:r>
      <w:r w:rsidRPr="00593A5F">
        <w:rPr>
          <w:rFonts w:ascii="Verdana" w:hAnsi="Verdana" w:cs="Arial"/>
          <w:lang w:val="es-ES_tradnl"/>
        </w:rPr>
        <w:t>y las expresiones aquí utilizadas con mayúscula inicial deben ser entendidas con el significado que les otorga el artículo 2.2.1.1.1.3.1. del Decreto 1082 de 2015.</w:t>
      </w:r>
    </w:p>
    <w:p w14:paraId="647D8E9E" w14:textId="77777777" w:rsidR="00273D05" w:rsidRPr="00593A5F" w:rsidRDefault="00273D05" w:rsidP="00273D05">
      <w:pPr>
        <w:widowControl w:val="0"/>
        <w:autoSpaceDE w:val="0"/>
        <w:autoSpaceDN w:val="0"/>
        <w:spacing w:after="0" w:line="276" w:lineRule="auto"/>
        <w:jc w:val="both"/>
        <w:rPr>
          <w:rFonts w:ascii="Verdana" w:hAnsi="Verdana" w:cs="Arial"/>
        </w:rPr>
      </w:pPr>
    </w:p>
    <w:p w14:paraId="3FD52568" w14:textId="77777777" w:rsidR="00273D05" w:rsidRPr="00593A5F" w:rsidRDefault="00273D05" w:rsidP="00273D05">
      <w:pPr>
        <w:spacing w:after="0" w:line="240" w:lineRule="auto"/>
        <w:rPr>
          <w:rFonts w:ascii="Verdana" w:hAnsi="Verdana" w:cs="Arial"/>
          <w:lang w:eastAsia="es-CO"/>
        </w:rPr>
      </w:pPr>
      <w:r w:rsidRPr="00593A5F">
        <w:rPr>
          <w:rFonts w:ascii="Verdana" w:eastAsia="Times New Roman" w:hAnsi="Verdana" w:cs="Arial"/>
          <w:lang w:eastAsia="es-CO"/>
        </w:rPr>
        <w:t>Atentamente,</w:t>
      </w:r>
      <w:r w:rsidRPr="00593A5F">
        <w:rPr>
          <w:rFonts w:ascii="Verdana" w:hAnsi="Verdana" w:cs="Arial"/>
          <w:lang w:eastAsia="es-CO"/>
        </w:rPr>
        <w:t xml:space="preserve"> </w:t>
      </w:r>
    </w:p>
    <w:p w14:paraId="6F08D0BC" w14:textId="21EDAA3E" w:rsidR="00273D05" w:rsidRPr="00593A5F" w:rsidRDefault="00660490" w:rsidP="00273D05">
      <w:pPr>
        <w:spacing w:line="276" w:lineRule="auto"/>
        <w:jc w:val="center"/>
        <w:rPr>
          <w:rFonts w:ascii="Verdana" w:hAnsi="Verdana" w:cs="Arial"/>
          <w:color w:val="000000"/>
          <w:lang w:val="es-ES_tradnl" w:eastAsia="es-CO"/>
        </w:rPr>
      </w:pPr>
      <w:r>
        <w:rPr>
          <w:noProof/>
        </w:rPr>
        <w:drawing>
          <wp:inline distT="0" distB="0" distL="0" distR="0" wp14:anchorId="35A8D7E7" wp14:editId="296F886B">
            <wp:extent cx="3771900" cy="1400175"/>
            <wp:effectExtent l="0" t="0" r="0" b="0"/>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a:picLocks noChangeAspect="1"/>
                    </pic:cNvPicPr>
                  </pic:nvPicPr>
                  <pic:blipFill>
                    <a:blip r:embed="rId20"/>
                    <a:stretch>
                      <a:fillRect/>
                    </a:stretch>
                  </pic:blipFill>
                  <pic:spPr>
                    <a:xfrm>
                      <a:off x="0" y="0"/>
                      <a:ext cx="3771900" cy="1400175"/>
                    </a:xfrm>
                    <a:prstGeom prst="rect">
                      <a:avLst/>
                    </a:prstGeom>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273D05" w:rsidRPr="00593A5F" w14:paraId="27214F48" w14:textId="77777777" w:rsidTr="00C13540">
        <w:trPr>
          <w:trHeight w:val="315"/>
        </w:trPr>
        <w:tc>
          <w:tcPr>
            <w:tcW w:w="893" w:type="dxa"/>
            <w:vAlign w:val="center"/>
            <w:hideMark/>
          </w:tcPr>
          <w:p w14:paraId="403CA0DA" w14:textId="77777777" w:rsidR="00273D05" w:rsidRPr="003751C7" w:rsidRDefault="00273D05" w:rsidP="00C13540">
            <w:pPr>
              <w:contextualSpacing/>
              <w:rPr>
                <w:rFonts w:ascii="Verdana" w:hAnsi="Verdana" w:cs="Arial"/>
                <w:sz w:val="16"/>
                <w:szCs w:val="16"/>
                <w:lang w:val="es-ES" w:eastAsia="es-ES"/>
              </w:rPr>
            </w:pPr>
            <w:r w:rsidRPr="003751C7">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70F39BE4" w14:textId="77777777" w:rsidR="00273D05" w:rsidRPr="00254A7A" w:rsidRDefault="00273D05" w:rsidP="00C13540">
            <w:pPr>
              <w:contextualSpacing/>
              <w:rPr>
                <w:rStyle w:val="normaltextrun"/>
                <w:rFonts w:ascii="Verdana" w:hAnsi="Verdana"/>
                <w:sz w:val="16"/>
                <w:szCs w:val="16"/>
              </w:rPr>
            </w:pPr>
            <w:r w:rsidRPr="00254A7A">
              <w:rPr>
                <w:rStyle w:val="normaltextrun"/>
                <w:rFonts w:ascii="Verdana" w:hAnsi="Verdana"/>
                <w:sz w:val="16"/>
                <w:szCs w:val="16"/>
              </w:rPr>
              <w:t>Juan David Montoya Penagos</w:t>
            </w:r>
          </w:p>
          <w:p w14:paraId="4CB06BB8" w14:textId="77777777" w:rsidR="00273D05" w:rsidRPr="00254A7A" w:rsidRDefault="00273D05" w:rsidP="00C13540">
            <w:pPr>
              <w:contextualSpacing/>
              <w:rPr>
                <w:rFonts w:ascii="Verdana" w:eastAsia="Arial" w:hAnsi="Verdana" w:cs="Arial"/>
                <w:sz w:val="16"/>
                <w:szCs w:val="16"/>
              </w:rPr>
            </w:pPr>
            <w:r w:rsidRPr="00254A7A">
              <w:rPr>
                <w:rStyle w:val="normaltextrun"/>
                <w:rFonts w:ascii="Verdana" w:hAnsi="Verdana"/>
                <w:sz w:val="16"/>
                <w:szCs w:val="16"/>
              </w:rPr>
              <w:t>Contratista de la Subdirección de Gestión Contractual</w:t>
            </w:r>
          </w:p>
        </w:tc>
      </w:tr>
      <w:tr w:rsidR="00273D05" w:rsidRPr="00593A5F" w14:paraId="6B7EE347" w14:textId="77777777" w:rsidTr="00C13540">
        <w:trPr>
          <w:trHeight w:val="330"/>
        </w:trPr>
        <w:tc>
          <w:tcPr>
            <w:tcW w:w="893" w:type="dxa"/>
            <w:vAlign w:val="center"/>
            <w:hideMark/>
          </w:tcPr>
          <w:p w14:paraId="43EB440A" w14:textId="77777777" w:rsidR="00273D05" w:rsidRPr="003751C7" w:rsidRDefault="00273D05" w:rsidP="00C13540">
            <w:pPr>
              <w:contextualSpacing/>
              <w:rPr>
                <w:rFonts w:ascii="Verdana" w:hAnsi="Verdana" w:cs="Arial"/>
                <w:sz w:val="16"/>
                <w:szCs w:val="16"/>
                <w:lang w:val="es-ES" w:eastAsia="es-ES"/>
              </w:rPr>
            </w:pPr>
            <w:r w:rsidRPr="003751C7">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339E0707" w14:textId="77777777" w:rsidR="00273D05" w:rsidRPr="000377DD" w:rsidRDefault="00273D05" w:rsidP="00C13540">
            <w:pPr>
              <w:pStyle w:val="paragraph"/>
              <w:spacing w:after="0"/>
              <w:contextualSpacing/>
              <w:textAlignment w:val="baseline"/>
              <w:rPr>
                <w:rStyle w:val="normaltextrun"/>
                <w:rFonts w:ascii="Verdana" w:hAnsi="Verdana" w:cs="Arial"/>
                <w:sz w:val="16"/>
                <w:szCs w:val="16"/>
                <w:lang w:val="es-ES_tradnl"/>
              </w:rPr>
            </w:pPr>
            <w:r w:rsidRPr="000377DD">
              <w:rPr>
                <w:rStyle w:val="normaltextrun"/>
                <w:rFonts w:ascii="Verdana" w:hAnsi="Verdana" w:cs="Arial"/>
                <w:sz w:val="16"/>
                <w:szCs w:val="16"/>
                <w:lang w:val="es-ES_tradnl"/>
              </w:rPr>
              <w:t>Alejandro Sarmiento Cantillo</w:t>
            </w:r>
          </w:p>
          <w:p w14:paraId="508077C0" w14:textId="77777777" w:rsidR="00273D05" w:rsidRPr="00A40FD0" w:rsidRDefault="00273D05" w:rsidP="00C13540">
            <w:pPr>
              <w:pStyle w:val="paragraph"/>
              <w:spacing w:before="0" w:beforeAutospacing="0" w:after="0" w:afterAutospacing="0"/>
              <w:contextualSpacing/>
              <w:textAlignment w:val="baseline"/>
              <w:rPr>
                <w:rFonts w:ascii="Verdana" w:hAnsi="Verdana" w:cs="Segoe UI"/>
                <w:sz w:val="16"/>
                <w:szCs w:val="16"/>
              </w:rPr>
            </w:pPr>
            <w:r w:rsidRPr="000377DD">
              <w:rPr>
                <w:rStyle w:val="normaltextrun"/>
                <w:rFonts w:ascii="Verdana" w:hAnsi="Verdana" w:cs="Arial"/>
                <w:sz w:val="16"/>
                <w:szCs w:val="16"/>
                <w:lang w:val="es-ES_tradnl"/>
              </w:rPr>
              <w:t>Gestor T1 ‒ 15 de la Subdirección de Gestión Contractual</w:t>
            </w:r>
          </w:p>
        </w:tc>
      </w:tr>
      <w:tr w:rsidR="00273D05" w:rsidRPr="00593A5F" w14:paraId="341BFBA6" w14:textId="77777777" w:rsidTr="00C13540">
        <w:trPr>
          <w:trHeight w:val="300"/>
        </w:trPr>
        <w:tc>
          <w:tcPr>
            <w:tcW w:w="893" w:type="dxa"/>
            <w:vAlign w:val="center"/>
          </w:tcPr>
          <w:p w14:paraId="7DE21586" w14:textId="77777777" w:rsidR="00273D05" w:rsidRPr="003751C7" w:rsidRDefault="00273D05" w:rsidP="00C13540">
            <w:pPr>
              <w:contextualSpacing/>
              <w:rPr>
                <w:rFonts w:ascii="Verdana" w:hAnsi="Verdana" w:cs="Arial"/>
                <w:sz w:val="16"/>
                <w:szCs w:val="16"/>
                <w:lang w:val="es-ES" w:eastAsia="es-ES"/>
              </w:rPr>
            </w:pPr>
            <w:r w:rsidRPr="003751C7">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6560A3BF" w14:textId="77777777" w:rsidR="00273D05" w:rsidRPr="00FE00BE" w:rsidRDefault="00273D05" w:rsidP="00C13540">
            <w:pPr>
              <w:contextualSpacing/>
              <w:rPr>
                <w:rFonts w:ascii="Verdana" w:eastAsia="Calibri" w:hAnsi="Verdana" w:cs="Arial"/>
                <w:sz w:val="16"/>
                <w:szCs w:val="16"/>
                <w:lang w:val="es-ES_tradnl" w:eastAsia="es-ES"/>
              </w:rPr>
            </w:pPr>
            <w:r w:rsidRPr="00FE00BE">
              <w:rPr>
                <w:rFonts w:ascii="Verdana" w:eastAsia="Calibri" w:hAnsi="Verdana" w:cs="Arial"/>
                <w:sz w:val="16"/>
                <w:szCs w:val="16"/>
                <w:lang w:val="es-ES_tradnl" w:eastAsia="es-ES"/>
              </w:rPr>
              <w:t>Carolina Quintero Gacharná</w:t>
            </w:r>
          </w:p>
          <w:p w14:paraId="4776D025" w14:textId="77777777" w:rsidR="00273D05" w:rsidRPr="00FE00BE" w:rsidRDefault="00273D05" w:rsidP="00C13540">
            <w:pPr>
              <w:contextualSpacing/>
              <w:rPr>
                <w:rFonts w:ascii="Verdana" w:eastAsia="Calibri" w:hAnsi="Verdana" w:cs="Arial"/>
                <w:sz w:val="16"/>
                <w:szCs w:val="16"/>
                <w:lang w:val="es-ES_tradnl" w:eastAsia="es-ES"/>
              </w:rPr>
            </w:pPr>
            <w:r w:rsidRPr="00FE00BE">
              <w:rPr>
                <w:rFonts w:ascii="Verdana" w:eastAsia="Calibri" w:hAnsi="Verdana" w:cs="Arial"/>
                <w:sz w:val="16"/>
                <w:szCs w:val="16"/>
                <w:lang w:val="es-ES_tradnl" w:eastAsia="es-ES"/>
              </w:rPr>
              <w:t>Subdirectora de Gestión Contractual ANCP – CCE</w:t>
            </w:r>
          </w:p>
        </w:tc>
      </w:tr>
    </w:tbl>
    <w:p w14:paraId="3091F1D6" w14:textId="77777777" w:rsidR="00273D05" w:rsidRDefault="00273D05" w:rsidP="00273D05"/>
    <w:p w14:paraId="69F7731C" w14:textId="368863EF" w:rsidR="00273D05" w:rsidRPr="00543BFE" w:rsidRDefault="00273D05" w:rsidP="00273D05"/>
    <w:p w14:paraId="0F293BF4" w14:textId="546FF153" w:rsidR="00127233" w:rsidRPr="00D90E5D" w:rsidRDefault="00127233" w:rsidP="00D90E5D"/>
    <w:sectPr w:rsidR="00127233" w:rsidRPr="00D90E5D" w:rsidSect="007C0C0F">
      <w:headerReference w:type="default" r:id="rId21"/>
      <w:footerReference w:type="default" r:id="rId22"/>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E508D" w14:textId="77777777" w:rsidR="00300C65" w:rsidRDefault="00300C65" w:rsidP="004A1847">
      <w:pPr>
        <w:spacing w:after="0" w:line="240" w:lineRule="auto"/>
      </w:pPr>
      <w:r>
        <w:separator/>
      </w:r>
    </w:p>
  </w:endnote>
  <w:endnote w:type="continuationSeparator" w:id="0">
    <w:p w14:paraId="2BD278D0" w14:textId="77777777" w:rsidR="00300C65" w:rsidRDefault="00300C65"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Pr="00E07D9C"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val="pt-BR" w:eastAsia="es-CO"/>
      </w:rPr>
    </w:pPr>
    <w:r w:rsidRPr="00E07D9C">
      <w:rPr>
        <w:rFonts w:ascii="Verdana" w:eastAsia="Verdana" w:hAnsi="Verdana" w:cs="Verdana"/>
        <w:b/>
        <w:color w:val="000000" w:themeColor="text1"/>
        <w:sz w:val="18"/>
        <w:szCs w:val="18"/>
        <w:lang w:val="pt-BR" w:eastAsia="es-CO"/>
      </w:rPr>
      <w:t xml:space="preserve">Código: </w:t>
    </w:r>
    <w:r w:rsidRPr="00E07D9C">
      <w:rPr>
        <w:rFonts w:ascii="Verdana" w:eastAsia="Verdana" w:hAnsi="Verdana" w:cs="Verdana"/>
        <w:color w:val="000000" w:themeColor="text1"/>
        <w:sz w:val="18"/>
        <w:szCs w:val="18"/>
        <w:lang w:val="pt-BR" w:eastAsia="es-CO"/>
      </w:rPr>
      <w:t xml:space="preserve">CCE-REC-FM-17 </w:t>
    </w:r>
    <w:r w:rsidRPr="00E07D9C">
      <w:rPr>
        <w:rFonts w:ascii="Verdana" w:eastAsia="Verdana" w:hAnsi="Verdana" w:cs="Verdana"/>
        <w:b/>
        <w:color w:val="000000" w:themeColor="text1"/>
        <w:sz w:val="18"/>
        <w:szCs w:val="18"/>
        <w:lang w:val="pt-BR" w:eastAsia="es-CO"/>
      </w:rPr>
      <w:t xml:space="preserve">V: </w:t>
    </w:r>
    <w:r w:rsidRPr="00E07D9C">
      <w:rPr>
        <w:rFonts w:ascii="Verdana" w:eastAsia="Verdana" w:hAnsi="Verdana" w:cs="Verdana"/>
        <w:sz w:val="18"/>
        <w:szCs w:val="18"/>
        <w:lang w:val="pt-BR"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2E9B6" w14:textId="77777777" w:rsidR="00300C65" w:rsidRDefault="00300C65" w:rsidP="004A1847">
      <w:pPr>
        <w:spacing w:after="0" w:line="240" w:lineRule="auto"/>
      </w:pPr>
      <w:r>
        <w:separator/>
      </w:r>
    </w:p>
  </w:footnote>
  <w:footnote w:type="continuationSeparator" w:id="0">
    <w:p w14:paraId="2E99AD0C" w14:textId="77777777" w:rsidR="00300C65" w:rsidRDefault="00300C65" w:rsidP="004A1847">
      <w:pPr>
        <w:spacing w:after="0" w:line="240" w:lineRule="auto"/>
      </w:pPr>
      <w:r>
        <w:continuationSeparator/>
      </w:r>
    </w:p>
  </w:footnote>
  <w:footnote w:id="1">
    <w:p w14:paraId="5920EEC6" w14:textId="77777777" w:rsidR="00273D05" w:rsidRPr="00DF34D8" w:rsidRDefault="00273D05" w:rsidP="00273D05">
      <w:pPr>
        <w:pStyle w:val="Textonotapie"/>
        <w:ind w:firstLine="708"/>
        <w:jc w:val="both"/>
        <w:rPr>
          <w:rFonts w:ascii="Verdana" w:hAnsi="Verdana"/>
          <w:sz w:val="16"/>
          <w:szCs w:val="16"/>
        </w:rPr>
      </w:pPr>
      <w:r w:rsidRPr="00DF34D8">
        <w:rPr>
          <w:rStyle w:val="Refdenotaalpie"/>
          <w:rFonts w:ascii="Verdana" w:hAnsi="Verdana"/>
          <w:sz w:val="16"/>
          <w:szCs w:val="16"/>
        </w:rPr>
        <w:footnoteRef/>
      </w:r>
      <w:r w:rsidRPr="00DF34D8">
        <w:rPr>
          <w:rFonts w:ascii="Verdana" w:hAnsi="Verdana"/>
          <w:sz w:val="16"/>
          <w:szCs w:val="16"/>
        </w:rPr>
        <w:t xml:space="preserve"> El artículo 67 del Código de Procedimiento Penal dispone que “Toda persona debe denunciar a la autoridad los delitos de cuya comisión tenga conocimiento y que deban investigarse de oficio.</w:t>
      </w:r>
    </w:p>
    <w:p w14:paraId="5F751385" w14:textId="77777777" w:rsidR="00273D05" w:rsidRPr="00DF34D8" w:rsidRDefault="00273D05" w:rsidP="00273D05">
      <w:pPr>
        <w:pStyle w:val="Textonotapie"/>
        <w:ind w:firstLine="708"/>
        <w:jc w:val="both"/>
        <w:rPr>
          <w:rFonts w:ascii="Verdana" w:hAnsi="Verdana"/>
          <w:sz w:val="16"/>
          <w:szCs w:val="16"/>
          <w:lang w:val="es-CO"/>
        </w:rPr>
      </w:pPr>
      <w:r w:rsidRPr="00DF34D8">
        <w:rPr>
          <w:rFonts w:ascii="Verdana" w:hAnsi="Verdana"/>
          <w:sz w:val="16"/>
          <w:szCs w:val="16"/>
        </w:rPr>
        <w:t>El servidor público que conozca de la comisión de un delito que deba investigarse de oficio, iniciará sin tardanza la investigación si tuviere competencia para ello; en caso contrario, pondrá inmediatamente el hecho en conocimiento ante la autoridad competente”.</w:t>
      </w:r>
    </w:p>
  </w:footnote>
  <w:footnote w:id="2">
    <w:p w14:paraId="297ABD3E" w14:textId="77777777" w:rsidR="00273D05" w:rsidRPr="00DF34D8" w:rsidRDefault="00273D05" w:rsidP="00273D05">
      <w:pPr>
        <w:pStyle w:val="Textonotapie"/>
        <w:ind w:firstLine="708"/>
        <w:jc w:val="both"/>
        <w:rPr>
          <w:rFonts w:ascii="Verdana" w:hAnsi="Verdana"/>
          <w:sz w:val="16"/>
          <w:szCs w:val="16"/>
        </w:rPr>
      </w:pPr>
      <w:r w:rsidRPr="00DF34D8">
        <w:rPr>
          <w:rStyle w:val="Refdenotaalpie"/>
          <w:rFonts w:ascii="Verdana" w:hAnsi="Verdana"/>
          <w:sz w:val="16"/>
          <w:szCs w:val="16"/>
        </w:rPr>
        <w:footnoteRef/>
      </w:r>
      <w:r w:rsidRPr="00DF34D8">
        <w:rPr>
          <w:rFonts w:ascii="Verdana" w:hAnsi="Verdana"/>
          <w:sz w:val="16"/>
          <w:szCs w:val="16"/>
        </w:rPr>
        <w:t xml:space="preserve"> El inciso primero del artículo 14 de la Ley 2195 de 2022 dispone que: “La Secretaría de Transparencia de la Presidencia de la República tendrá la responsabilidad de administrar y desarrollar el Observatorio Anticorrupción, el cual recolectará, integrará, consolidará e interoperará información pública con el fin de generar de forma permanente y dinámica un análisis de las tipologías del fenómeno de la corrupción, por cada sector”.</w:t>
      </w:r>
    </w:p>
    <w:p w14:paraId="64BACAE3" w14:textId="77777777" w:rsidR="00273D05" w:rsidRPr="00DF34D8" w:rsidRDefault="00273D05" w:rsidP="00273D05">
      <w:pPr>
        <w:pStyle w:val="Textonotapie"/>
        <w:ind w:firstLine="708"/>
        <w:jc w:val="both"/>
        <w:rPr>
          <w:rFonts w:ascii="Verdana" w:hAnsi="Verdana"/>
          <w:sz w:val="16"/>
          <w:szCs w:val="16"/>
        </w:rPr>
      </w:pPr>
      <w:r w:rsidRPr="00DF34D8">
        <w:rPr>
          <w:rFonts w:ascii="Verdana" w:hAnsi="Verdana"/>
          <w:sz w:val="16"/>
          <w:szCs w:val="16"/>
        </w:rPr>
        <w:t xml:space="preserve">Por su parte, el artículo 15 </w:t>
      </w:r>
      <w:r w:rsidRPr="00DF34D8">
        <w:rPr>
          <w:rFonts w:ascii="Verdana" w:hAnsi="Verdana"/>
          <w:i/>
          <w:iCs/>
          <w:sz w:val="16"/>
          <w:szCs w:val="16"/>
        </w:rPr>
        <w:t>ibidem</w:t>
      </w:r>
      <w:r w:rsidRPr="00DF34D8">
        <w:rPr>
          <w:rFonts w:ascii="Verdana" w:hAnsi="Verdana"/>
          <w:sz w:val="16"/>
          <w:szCs w:val="16"/>
        </w:rPr>
        <w:t xml:space="preserve"> prescribe lo siguiente: “Créese el Sistema de detección y alertas para combatir el incremento patrimonial no justificado de servidores públicos, bajo la dirección y coordinación de la Procuraduría General de la Nación, la cual adoptará las medidas para articular, en un sistema autónomo, los sistemas que existen en las diferentes entidades que manejan, controlan y vigilan la información sobre la gestión de los servidores públicos, y el análisis de información tributaria y patrimonial del servidor público, su cónyuge, compañero permanente e hijos […]</w:t>
      </w:r>
    </w:p>
    <w:p w14:paraId="6D065EB9" w14:textId="77777777" w:rsidR="00273D05" w:rsidRPr="00DF34D8" w:rsidRDefault="00273D05" w:rsidP="00273D05">
      <w:pPr>
        <w:pStyle w:val="Textonotapie"/>
        <w:ind w:firstLine="708"/>
        <w:jc w:val="both"/>
        <w:rPr>
          <w:rFonts w:ascii="Verdana" w:hAnsi="Verdana"/>
          <w:sz w:val="16"/>
          <w:szCs w:val="16"/>
        </w:rPr>
      </w:pPr>
      <w:r w:rsidRPr="00DF34D8">
        <w:rPr>
          <w:rFonts w:ascii="Verdana" w:hAnsi="Verdana"/>
          <w:sz w:val="16"/>
          <w:szCs w:val="16"/>
        </w:rPr>
        <w:t>[…]</w:t>
      </w:r>
    </w:p>
    <w:p w14:paraId="286CCD81" w14:textId="77777777" w:rsidR="00273D05" w:rsidRPr="00DF34D8" w:rsidRDefault="00273D05" w:rsidP="00273D05">
      <w:pPr>
        <w:pStyle w:val="Textonotapie"/>
        <w:ind w:firstLine="708"/>
        <w:jc w:val="both"/>
        <w:rPr>
          <w:rFonts w:ascii="Verdana" w:hAnsi="Verdana"/>
          <w:sz w:val="16"/>
          <w:szCs w:val="16"/>
          <w:lang w:val="es-CO"/>
        </w:rPr>
      </w:pPr>
      <w:r w:rsidRPr="00DF34D8">
        <w:rPr>
          <w:rFonts w:ascii="Verdana" w:hAnsi="Verdana"/>
          <w:sz w:val="16"/>
          <w:szCs w:val="16"/>
        </w:rPr>
        <w:t xml:space="preserve">Parágrafo 2. […] Dentro de los seis (6) meses siguientes a la entrada en vigencia de la presente Ley y en virtud del principio de la interoperabilidad, las entidades involucradas en este Sistema deberán poner la información a disposición de la Procuraduría General de la Nación, en tiempo real”.   </w:t>
      </w:r>
    </w:p>
  </w:footnote>
  <w:footnote w:id="3">
    <w:p w14:paraId="71148FB9" w14:textId="77777777" w:rsidR="00273D05" w:rsidRPr="00B64D5B" w:rsidRDefault="00273D05" w:rsidP="00273D05">
      <w:pPr>
        <w:pStyle w:val="Textonotapie"/>
        <w:ind w:firstLine="708"/>
        <w:jc w:val="both"/>
        <w:rPr>
          <w:rFonts w:ascii="Verdana" w:hAnsi="Verdana" w:cs="Arial"/>
          <w:color w:val="000000" w:themeColor="text1"/>
          <w:sz w:val="16"/>
          <w:szCs w:val="16"/>
          <w:lang w:val="es-ES"/>
        </w:rPr>
      </w:pPr>
      <w:r w:rsidRPr="00B64D5B">
        <w:rPr>
          <w:rStyle w:val="Refdenotaalpie"/>
          <w:rFonts w:ascii="Verdana" w:hAnsi="Verdana" w:cs="Arial"/>
          <w:color w:val="000000" w:themeColor="text1"/>
          <w:sz w:val="16"/>
          <w:szCs w:val="16"/>
        </w:rPr>
        <w:footnoteRef/>
      </w:r>
      <w:r w:rsidRPr="00B64D5B">
        <w:rPr>
          <w:rFonts w:ascii="Verdana" w:hAnsi="Verdana" w:cs="Arial"/>
          <w:color w:val="000000" w:themeColor="text1"/>
          <w:sz w:val="16"/>
          <w:szCs w:val="16"/>
        </w:rPr>
        <w:t xml:space="preserve"> CONSEJO DE ESTADO. Sección Tercera. Sentencia del 4 de junio de 2008. Exp. 17.783. C.P. Myriam Guerrero de Escobar.</w:t>
      </w:r>
    </w:p>
  </w:footnote>
  <w:footnote w:id="4">
    <w:p w14:paraId="3CDA9F72" w14:textId="77777777" w:rsidR="00273D05" w:rsidRPr="00B64D5B" w:rsidRDefault="00273D05" w:rsidP="00273D05">
      <w:pPr>
        <w:pStyle w:val="Textonotapie"/>
        <w:ind w:firstLine="708"/>
        <w:jc w:val="both"/>
        <w:rPr>
          <w:rFonts w:ascii="Verdana" w:hAnsi="Verdana" w:cs="Arial"/>
          <w:color w:val="000000" w:themeColor="text1"/>
          <w:sz w:val="16"/>
          <w:szCs w:val="16"/>
        </w:rPr>
      </w:pPr>
      <w:r w:rsidRPr="00B64D5B">
        <w:rPr>
          <w:rStyle w:val="Refdenotaalpie"/>
          <w:rFonts w:ascii="Verdana" w:hAnsi="Verdana" w:cs="Arial"/>
          <w:color w:val="000000" w:themeColor="text1"/>
          <w:sz w:val="16"/>
          <w:szCs w:val="16"/>
        </w:rPr>
        <w:footnoteRef/>
      </w:r>
      <w:r w:rsidRPr="00B64D5B">
        <w:rPr>
          <w:rFonts w:ascii="Verdana" w:hAnsi="Verdana" w:cs="Arial"/>
          <w:color w:val="000000" w:themeColor="text1"/>
          <w:sz w:val="16"/>
          <w:szCs w:val="16"/>
        </w:rPr>
        <w:t xml:space="preserve"> CONSEJO DE ESTADO. Sección Tercera, Subsección A. Sentencia del 13 de noviembre de 2013. Rad. 25.646.C.P. Mauricio Fajardo Gómez. </w:t>
      </w:r>
    </w:p>
  </w:footnote>
  <w:footnote w:id="5">
    <w:p w14:paraId="2A23C031" w14:textId="77777777" w:rsidR="00273D05" w:rsidRPr="00B64D5B" w:rsidRDefault="00273D05" w:rsidP="00273D05">
      <w:pPr>
        <w:pStyle w:val="Textonotapie"/>
        <w:ind w:firstLine="708"/>
        <w:jc w:val="both"/>
        <w:rPr>
          <w:rFonts w:ascii="Verdana" w:hAnsi="Verdana" w:cs="Arial"/>
          <w:color w:val="000000" w:themeColor="text1"/>
          <w:sz w:val="16"/>
          <w:szCs w:val="16"/>
        </w:rPr>
      </w:pPr>
      <w:r w:rsidRPr="00B64D5B">
        <w:rPr>
          <w:rStyle w:val="Refdenotaalpie"/>
          <w:rFonts w:ascii="Verdana" w:hAnsi="Verdana" w:cs="Arial"/>
          <w:color w:val="000000" w:themeColor="text1"/>
          <w:sz w:val="16"/>
          <w:szCs w:val="16"/>
        </w:rPr>
        <w:footnoteRef/>
      </w:r>
      <w:r w:rsidRPr="00B64D5B">
        <w:rPr>
          <w:rFonts w:ascii="Verdana" w:hAnsi="Verdana" w:cs="Arial"/>
          <w:color w:val="000000" w:themeColor="text1"/>
          <w:sz w:val="16"/>
          <w:szCs w:val="16"/>
        </w:rPr>
        <w:t xml:space="preserve"> CONSEJO DE ESTADO. Sección Tercera, Subsección A. Sentencia del 14 de marzo de 2013. Rad. 24.059. C.P. Mauricio Fajardo Gómez.</w:t>
      </w:r>
    </w:p>
  </w:footnote>
  <w:footnote w:id="6">
    <w:p w14:paraId="3890E13B" w14:textId="77777777" w:rsidR="00273D05" w:rsidRPr="00B64D5B" w:rsidRDefault="00273D05" w:rsidP="00273D05">
      <w:pPr>
        <w:pStyle w:val="Textonotapie"/>
        <w:ind w:firstLine="708"/>
        <w:jc w:val="both"/>
        <w:rPr>
          <w:rFonts w:ascii="Verdana" w:hAnsi="Verdana" w:cs="Arial"/>
          <w:color w:val="000000" w:themeColor="text1"/>
          <w:sz w:val="16"/>
          <w:szCs w:val="16"/>
        </w:rPr>
      </w:pPr>
      <w:r w:rsidRPr="00B64D5B">
        <w:rPr>
          <w:rStyle w:val="Refdenotaalpie"/>
          <w:rFonts w:ascii="Verdana" w:hAnsi="Verdana" w:cs="Arial"/>
          <w:color w:val="000000" w:themeColor="text1"/>
          <w:sz w:val="16"/>
          <w:szCs w:val="16"/>
        </w:rPr>
        <w:footnoteRef/>
      </w:r>
      <w:r w:rsidRPr="00B64D5B">
        <w:rPr>
          <w:rFonts w:ascii="Verdana" w:hAnsi="Verdana" w:cs="Arial"/>
          <w:color w:val="000000" w:themeColor="text1"/>
          <w:sz w:val="16"/>
          <w:szCs w:val="16"/>
        </w:rPr>
        <w:t xml:space="preserve"> </w:t>
      </w:r>
      <w:r w:rsidRPr="00B64D5B">
        <w:rPr>
          <w:rFonts w:ascii="Verdana" w:hAnsi="Verdana" w:cs="Arial"/>
          <w:i/>
          <w:iCs/>
          <w:color w:val="000000" w:themeColor="text1"/>
          <w:sz w:val="16"/>
          <w:szCs w:val="16"/>
        </w:rPr>
        <w:t>Ibíd</w:t>
      </w:r>
      <w:r w:rsidRPr="00B64D5B">
        <w:rPr>
          <w:rFonts w:ascii="Verdana" w:hAnsi="Verdana" w:cs="Arial"/>
          <w:color w:val="000000" w:themeColor="text1"/>
          <w:sz w:val="16"/>
          <w:szCs w:val="16"/>
        </w:rPr>
        <w:t>.</w:t>
      </w:r>
    </w:p>
  </w:footnote>
  <w:footnote w:id="7">
    <w:p w14:paraId="291D6E93" w14:textId="77777777" w:rsidR="00273D05" w:rsidRPr="002D57F6" w:rsidRDefault="00273D05" w:rsidP="00273D05">
      <w:pPr>
        <w:pStyle w:val="Textonotapie"/>
        <w:ind w:firstLine="708"/>
        <w:jc w:val="both"/>
        <w:rPr>
          <w:rFonts w:ascii="Verdana" w:hAnsi="Verdana" w:cs="Arial"/>
          <w:sz w:val="16"/>
          <w:szCs w:val="16"/>
        </w:rPr>
      </w:pPr>
      <w:r w:rsidRPr="002D57F6">
        <w:rPr>
          <w:rStyle w:val="Refdenotaalpie"/>
          <w:rFonts w:ascii="Verdana" w:hAnsi="Verdana" w:cs="Arial"/>
          <w:sz w:val="16"/>
          <w:szCs w:val="16"/>
        </w:rPr>
        <w:footnoteRef/>
      </w:r>
      <w:r w:rsidRPr="002D57F6">
        <w:rPr>
          <w:rFonts w:ascii="Verdana" w:hAnsi="Verdana" w:cs="Arial"/>
          <w:sz w:val="16"/>
          <w:szCs w:val="16"/>
        </w:rPr>
        <w:t xml:space="preserve"> CONSEJO DE ESTADO. Sala de Consulta y Servicio Civil. Concepto del 27 de agosto de 2015. Rad. 2.264. C.P. Álvaro Namén Vargas.</w:t>
      </w:r>
    </w:p>
  </w:footnote>
  <w:footnote w:id="8">
    <w:p w14:paraId="6927C495" w14:textId="77777777" w:rsidR="00273D05" w:rsidRPr="00B67CDE" w:rsidRDefault="00273D05" w:rsidP="00273D05">
      <w:pPr>
        <w:pStyle w:val="Textonotapie"/>
        <w:ind w:firstLine="708"/>
        <w:jc w:val="both"/>
        <w:rPr>
          <w:rFonts w:ascii="Verdana" w:hAnsi="Verdana"/>
          <w:sz w:val="16"/>
          <w:szCs w:val="16"/>
          <w:lang w:val="es-CO"/>
        </w:rPr>
      </w:pPr>
      <w:r w:rsidRPr="00B67CDE">
        <w:rPr>
          <w:rStyle w:val="Refdenotaalpie"/>
          <w:rFonts w:ascii="Verdana" w:hAnsi="Verdana"/>
          <w:sz w:val="16"/>
          <w:szCs w:val="16"/>
        </w:rPr>
        <w:footnoteRef/>
      </w:r>
      <w:r w:rsidRPr="00B67CDE">
        <w:rPr>
          <w:rFonts w:ascii="Verdana" w:hAnsi="Verdana"/>
          <w:sz w:val="16"/>
          <w:szCs w:val="16"/>
        </w:rPr>
        <w:t xml:space="preserve"> </w:t>
      </w:r>
      <w:r>
        <w:rPr>
          <w:rFonts w:ascii="Verdana" w:hAnsi="Verdana"/>
          <w:sz w:val="16"/>
          <w:szCs w:val="16"/>
        </w:rPr>
        <w:t xml:space="preserve">CONSEJO DE ESTADO. Sección Tercera. Sentencia del 4 de abril de 2010. Exp. </w:t>
      </w:r>
      <w:r w:rsidRPr="0075632B">
        <w:rPr>
          <w:rFonts w:ascii="Verdana" w:hAnsi="Verdana"/>
          <w:sz w:val="16"/>
          <w:szCs w:val="16"/>
        </w:rPr>
        <w:t>36054B</w:t>
      </w:r>
      <w:r>
        <w:rPr>
          <w:rFonts w:ascii="Verdana" w:hAnsi="Verdana"/>
          <w:sz w:val="16"/>
          <w:szCs w:val="16"/>
        </w:rPr>
        <w:t>. C.P. Enrique Gil Botero.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5pt;height:12.5pt" o:bullet="t">
        <v:imagedata r:id="rId1" o:title="mso1B13"/>
      </v:shape>
    </w:pict>
  </w:numPicBullet>
  <w:abstractNum w:abstractNumId="0" w15:restartNumberingAfterBreak="0">
    <w:nsid w:val="01C06310"/>
    <w:multiLevelType w:val="multilevel"/>
    <w:tmpl w:val="47FE4C7E"/>
    <w:lvl w:ilvl="0">
      <w:start w:val="1"/>
      <w:numFmt w:val="upperRoman"/>
      <w:lvlText w:val="%1."/>
      <w:lvlJc w:val="right"/>
      <w:pPr>
        <w:ind w:left="1068" w:hanging="360"/>
      </w:pPr>
      <w:rPr>
        <w:b/>
        <w:color w:val="000000" w:themeColor="text1"/>
      </w:rPr>
    </w:lvl>
    <w:lvl w:ilvl="1">
      <w:start w:val="2"/>
      <w:numFmt w:val="decimal"/>
      <w:isLgl/>
      <w:lvlText w:val="%1.%2"/>
      <w:lvlJc w:val="left"/>
      <w:pPr>
        <w:ind w:left="708"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4"/>
  </w:num>
  <w:num w:numId="15" w16cid:durableId="390349800">
    <w:abstractNumId w:val="10"/>
  </w:num>
  <w:num w:numId="16" w16cid:durableId="1330140246">
    <w:abstractNumId w:val="0"/>
  </w:num>
  <w:num w:numId="17" w16cid:durableId="6790895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70B4C"/>
    <w:rsid w:val="00082362"/>
    <w:rsid w:val="000A683E"/>
    <w:rsid w:val="000B19B9"/>
    <w:rsid w:val="000D0334"/>
    <w:rsid w:val="000D5DA7"/>
    <w:rsid w:val="000F6486"/>
    <w:rsid w:val="00116940"/>
    <w:rsid w:val="00125105"/>
    <w:rsid w:val="00127233"/>
    <w:rsid w:val="0015699B"/>
    <w:rsid w:val="001A33BF"/>
    <w:rsid w:val="001C50EF"/>
    <w:rsid w:val="001C71AC"/>
    <w:rsid w:val="001D773A"/>
    <w:rsid w:val="001E4177"/>
    <w:rsid w:val="001F0B24"/>
    <w:rsid w:val="001F7DC6"/>
    <w:rsid w:val="0022400B"/>
    <w:rsid w:val="002421BB"/>
    <w:rsid w:val="0025796E"/>
    <w:rsid w:val="002707A2"/>
    <w:rsid w:val="00273D05"/>
    <w:rsid w:val="002951A0"/>
    <w:rsid w:val="002962BC"/>
    <w:rsid w:val="002A093D"/>
    <w:rsid w:val="002A0DD0"/>
    <w:rsid w:val="002A49AC"/>
    <w:rsid w:val="002A64FD"/>
    <w:rsid w:val="002C7A84"/>
    <w:rsid w:val="002E2BF8"/>
    <w:rsid w:val="002E4FD9"/>
    <w:rsid w:val="00300C65"/>
    <w:rsid w:val="0030657A"/>
    <w:rsid w:val="00322A85"/>
    <w:rsid w:val="00324168"/>
    <w:rsid w:val="00330834"/>
    <w:rsid w:val="003448F4"/>
    <w:rsid w:val="00374F5E"/>
    <w:rsid w:val="00377E3E"/>
    <w:rsid w:val="003A779E"/>
    <w:rsid w:val="003D0F4D"/>
    <w:rsid w:val="003D5B0D"/>
    <w:rsid w:val="003E0499"/>
    <w:rsid w:val="003E4F80"/>
    <w:rsid w:val="003E6439"/>
    <w:rsid w:val="003F3941"/>
    <w:rsid w:val="00406575"/>
    <w:rsid w:val="00414C74"/>
    <w:rsid w:val="0042722E"/>
    <w:rsid w:val="0044528D"/>
    <w:rsid w:val="00466E39"/>
    <w:rsid w:val="004A1847"/>
    <w:rsid w:val="004A305D"/>
    <w:rsid w:val="004F21C4"/>
    <w:rsid w:val="004F685F"/>
    <w:rsid w:val="005566E8"/>
    <w:rsid w:val="00574867"/>
    <w:rsid w:val="00576B9A"/>
    <w:rsid w:val="00591460"/>
    <w:rsid w:val="005A47BE"/>
    <w:rsid w:val="005A65E0"/>
    <w:rsid w:val="005C3777"/>
    <w:rsid w:val="005C5CDC"/>
    <w:rsid w:val="005D476C"/>
    <w:rsid w:val="006200BF"/>
    <w:rsid w:val="006219F8"/>
    <w:rsid w:val="006302F7"/>
    <w:rsid w:val="00646B9F"/>
    <w:rsid w:val="00660490"/>
    <w:rsid w:val="006647AB"/>
    <w:rsid w:val="00665D70"/>
    <w:rsid w:val="006900D9"/>
    <w:rsid w:val="006B6000"/>
    <w:rsid w:val="006E1376"/>
    <w:rsid w:val="00706C16"/>
    <w:rsid w:val="007340C3"/>
    <w:rsid w:val="0075235A"/>
    <w:rsid w:val="00756841"/>
    <w:rsid w:val="0076077F"/>
    <w:rsid w:val="007649AB"/>
    <w:rsid w:val="00771D0C"/>
    <w:rsid w:val="007833AC"/>
    <w:rsid w:val="00792F32"/>
    <w:rsid w:val="007B268C"/>
    <w:rsid w:val="007B7171"/>
    <w:rsid w:val="007C0C0F"/>
    <w:rsid w:val="007C3DC2"/>
    <w:rsid w:val="007E5497"/>
    <w:rsid w:val="00806F5F"/>
    <w:rsid w:val="00820278"/>
    <w:rsid w:val="008258C9"/>
    <w:rsid w:val="00844AE9"/>
    <w:rsid w:val="00867F95"/>
    <w:rsid w:val="00881374"/>
    <w:rsid w:val="008827D0"/>
    <w:rsid w:val="008843B6"/>
    <w:rsid w:val="00891928"/>
    <w:rsid w:val="008A446D"/>
    <w:rsid w:val="008B25F1"/>
    <w:rsid w:val="008D180B"/>
    <w:rsid w:val="008F0EA7"/>
    <w:rsid w:val="008F46E3"/>
    <w:rsid w:val="00923EEF"/>
    <w:rsid w:val="009419F9"/>
    <w:rsid w:val="0095685E"/>
    <w:rsid w:val="00961B09"/>
    <w:rsid w:val="00965334"/>
    <w:rsid w:val="0097093E"/>
    <w:rsid w:val="0098360B"/>
    <w:rsid w:val="00985C3A"/>
    <w:rsid w:val="009A0DFA"/>
    <w:rsid w:val="009A1C6F"/>
    <w:rsid w:val="009A3231"/>
    <w:rsid w:val="009B2D26"/>
    <w:rsid w:val="009C47E9"/>
    <w:rsid w:val="009C71FA"/>
    <w:rsid w:val="009C72E7"/>
    <w:rsid w:val="009C7F7E"/>
    <w:rsid w:val="009D3058"/>
    <w:rsid w:val="009F3A13"/>
    <w:rsid w:val="00A122D3"/>
    <w:rsid w:val="00A14468"/>
    <w:rsid w:val="00A17F13"/>
    <w:rsid w:val="00A20739"/>
    <w:rsid w:val="00A23AF9"/>
    <w:rsid w:val="00A32486"/>
    <w:rsid w:val="00A33C78"/>
    <w:rsid w:val="00AB0ADB"/>
    <w:rsid w:val="00B00C0E"/>
    <w:rsid w:val="00B01B1A"/>
    <w:rsid w:val="00B0381D"/>
    <w:rsid w:val="00B44A47"/>
    <w:rsid w:val="00B72CD3"/>
    <w:rsid w:val="00B72FFF"/>
    <w:rsid w:val="00BA22E4"/>
    <w:rsid w:val="00BC3D36"/>
    <w:rsid w:val="00BD54A6"/>
    <w:rsid w:val="00BD7F72"/>
    <w:rsid w:val="00BF7425"/>
    <w:rsid w:val="00C04FB3"/>
    <w:rsid w:val="00C11D8B"/>
    <w:rsid w:val="00C15139"/>
    <w:rsid w:val="00C330EB"/>
    <w:rsid w:val="00C50D69"/>
    <w:rsid w:val="00C5365C"/>
    <w:rsid w:val="00C754BE"/>
    <w:rsid w:val="00C76B1C"/>
    <w:rsid w:val="00C925AC"/>
    <w:rsid w:val="00CB6357"/>
    <w:rsid w:val="00CC1B26"/>
    <w:rsid w:val="00D361FD"/>
    <w:rsid w:val="00D423A2"/>
    <w:rsid w:val="00D44E26"/>
    <w:rsid w:val="00D520D8"/>
    <w:rsid w:val="00D63AC2"/>
    <w:rsid w:val="00D7383B"/>
    <w:rsid w:val="00D7788A"/>
    <w:rsid w:val="00D90E5D"/>
    <w:rsid w:val="00DA231B"/>
    <w:rsid w:val="00DC39FC"/>
    <w:rsid w:val="00DE0B1B"/>
    <w:rsid w:val="00DF5254"/>
    <w:rsid w:val="00E02524"/>
    <w:rsid w:val="00E07D9C"/>
    <w:rsid w:val="00E10714"/>
    <w:rsid w:val="00E16408"/>
    <w:rsid w:val="00E20894"/>
    <w:rsid w:val="00E245AB"/>
    <w:rsid w:val="00E2764C"/>
    <w:rsid w:val="00E27F2E"/>
    <w:rsid w:val="00E403E5"/>
    <w:rsid w:val="00E50AFE"/>
    <w:rsid w:val="00E75C92"/>
    <w:rsid w:val="00E771DC"/>
    <w:rsid w:val="00E85CD4"/>
    <w:rsid w:val="00E8772A"/>
    <w:rsid w:val="00E90F6B"/>
    <w:rsid w:val="00E92C27"/>
    <w:rsid w:val="00EA0E3D"/>
    <w:rsid w:val="00EC38A7"/>
    <w:rsid w:val="00EE1AA8"/>
    <w:rsid w:val="00F16B4B"/>
    <w:rsid w:val="00F23FEA"/>
    <w:rsid w:val="00F31EDC"/>
    <w:rsid w:val="00F3322A"/>
    <w:rsid w:val="00F462B3"/>
    <w:rsid w:val="00F5664F"/>
    <w:rsid w:val="00F666C4"/>
    <w:rsid w:val="00F76AFC"/>
    <w:rsid w:val="00F825CA"/>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499A95C8"/>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273D05"/>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273D05"/>
    <w:rPr>
      <w:rFonts w:ascii="Geomanist Light" w:hAnsi="Geomanist Light"/>
      <w:lang w:val="es-ES"/>
    </w:rPr>
  </w:style>
  <w:style w:type="paragraph" w:styleId="Textoindependiente">
    <w:name w:val="Body Text"/>
    <w:basedOn w:val="Normal"/>
    <w:link w:val="TextoindependienteCar"/>
    <w:uiPriority w:val="99"/>
    <w:unhideWhenUsed/>
    <w:rsid w:val="00273D05"/>
    <w:pPr>
      <w:spacing w:after="120" w:line="276" w:lineRule="auto"/>
    </w:pPr>
    <w:rPr>
      <w:rFonts w:eastAsiaTheme="minorEastAsia"/>
      <w:lang w:eastAsia="es-CO"/>
    </w:rPr>
  </w:style>
  <w:style w:type="character" w:customStyle="1" w:styleId="TextoindependienteCar">
    <w:name w:val="Texto independiente Car"/>
    <w:basedOn w:val="Fuentedeprrafopredeter"/>
    <w:link w:val="Textoindependiente"/>
    <w:uiPriority w:val="99"/>
    <w:rsid w:val="00273D05"/>
    <w:rPr>
      <w:rFonts w:eastAsiaTheme="minorEastAsia"/>
      <w:lang w:eastAsia="es-CO"/>
    </w:rPr>
  </w:style>
  <w:style w:type="character" w:customStyle="1" w:styleId="s15">
    <w:name w:val="s15"/>
    <w:basedOn w:val="Fuentedeprrafopredeter"/>
    <w:rsid w:val="00273D05"/>
  </w:style>
  <w:style w:type="character" w:customStyle="1" w:styleId="NormalWebCar">
    <w:name w:val="Normal (Web) Car"/>
    <w:link w:val="NormalWeb"/>
    <w:uiPriority w:val="99"/>
    <w:rsid w:val="00273D05"/>
    <w:rPr>
      <w:rFonts w:ascii="Times New Roman" w:eastAsia="Times New Roman" w:hAnsi="Times New Roman" w:cs="Times New Roman"/>
      <w:sz w:val="24"/>
      <w:szCs w:val="24"/>
      <w:lang w:eastAsia="es-CO"/>
    </w:rPr>
  </w:style>
  <w:style w:type="paragraph" w:styleId="Sinespaciado">
    <w:name w:val="No Spacing"/>
    <w:aliases w:val="No Indent"/>
    <w:uiPriority w:val="3"/>
    <w:qFormat/>
    <w:rsid w:val="00273D05"/>
    <w:pPr>
      <w:spacing w:after="0" w:line="240" w:lineRule="auto"/>
    </w:pPr>
    <w:rPr>
      <w:sz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2.safelinks.protection.outlook.com/?url=https%3A%2F%2Fwww.colombiacompra.gov.co%2Farchivos%2Fmanual%2Fguia-de-garantias-en-procesos-de-contratacion&amp;data=05%7C02%7Cjuan.montoya%40colombiacompra.gov.co%7C7128555136e04fa6887d08dee99e1b50%7C7b09041e245149d08cb179d5e3d8c1be%7C0%7C0%7C639205062451279556%7CUnknown%7CTWFpbGZsb3d8eyJFbXB0eU1hcGkiOnRydWUsIlYiOiIwLjAuMDAwMCIsIlAiOiJXaW4zMiIsIkFOIjoiTWFpbCIsIldUIjoyfQ%3D%3D%7C0%7C%7C%7C&amp;sdata=i4ge%2BIRzNcFc6YLVHBS9VTZEZfbIWHprkVqyLu5AvlY%3D&amp;reserved=0" TargetMode="External"/><Relationship Id="rId18" Type="http://schemas.openxmlformats.org/officeDocument/2006/relationships/hyperlink" Target="https://www.colombiacompra.gov.co/pqrsd/informacion-importante-antes-de-formular-una-pqrsd"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hyperlink" Target="mailto:ventanilladeradicacion@colombiacompra.gov.co"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boletin%2Fboletin-edicion-n-3-de-2026-radar-de-la-compra-publica&amp;data=05%7C02%7Cjuan.montoya%40colombiacompra.gov.co%7C7128555136e04fa6887d08dee99e1b50%7C7b09041e245149d08cb179d5e3d8c1be%7C0%7C0%7C639205062451356630%7CUnknown%7CTWFpbGZsb3d8eyJFbXB0eU1hcGkiOnRydWUsIlYiOiIwLjAuMDAwMCIsIlAiOiJXaW4zMiIsIkFOIjoiTWFpbCIsIldUIjoyfQ%3D%3D%7C0%7C%7C%7C&amp;sdata=BAEerpr5LJv1S5EMjF4wsWYXvi5rJvYw5HldhbMOmZk%3D&amp;reserved=0"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arolinne.moreno@contraloria.gov.co"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2-de-2026&amp;data=05%7C02%7Cjuan.montoya%40colombiacompra.gov.co%7C7128555136e04fa6887d08dee99e1b50%7C7b09041e245149d08cb179d5e3d8c1be%7C0%7C0%7C639205062451334414%7CUnknown%7CTWFpbGZsb3d8eyJFbXB0eU1hcGkiOnRydWUsIlYiOiIwLjAuMDAwMCIsIlAiOiJXaW4zMiIsIkFOIjoiTWFpbCIsIldUIjoyfQ%3D%3D%7C0%7C%7C%7C&amp;sdata=afoCV6jibHbTjlvaQik3Cm4faTAldy%2BPjeYD7F9ArKA%3D&amp;reserved=0"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forms.office.com/r/pPHyWVs2S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circular%2Fcircular-externa-003-de-2026&amp;data=05%7C02%7Cjuan.montoya%40colombiacompra.gov.co%7C7128555136e04fa6887d08dee99e1b50%7C7b09041e245149d08cb179d5e3d8c1be%7C0%7C0%7C639205062451311236%7CUnknown%7CTWFpbGZsb3d8eyJFbXB0eU1hcGkiOnRydWUsIlYiOiIwLjAuMDAwMCIsIlAiOiJXaW4zMiIsIkFOIjoiTWFpbCIsIldUIjoyfQ%3D%3D%7C0%7C%7C%7C&amp;sdata=%2FIK%2BCWYsSGOFYBZnWf4YWtYLVNUxZLARHnAsDCfX018%3D&amp;reserved=0"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C9D0F752-2DD5-477E-92F6-C92EAA0CDB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14</TotalTime>
  <Pages>23</Pages>
  <Words>8463</Words>
  <Characters>46550</Characters>
  <Application>Microsoft Office Word</Application>
  <DocSecurity>0</DocSecurity>
  <Lines>387</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7</cp:revision>
  <cp:lastPrinted>2023-01-10T21:18:00Z</cp:lastPrinted>
  <dcterms:created xsi:type="dcterms:W3CDTF">2026-08-25T00:05:00Z</dcterms:created>
  <dcterms:modified xsi:type="dcterms:W3CDTF">2026-08-27T17:10:00Z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